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402" w:rsidRPr="00D17B72" w:rsidRDefault="00564402" w:rsidP="00D17B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caps/>
          <w:sz w:val="20"/>
          <w:szCs w:val="20"/>
          <w:lang w:val="es-ES_tradnl" w:eastAsia="es-ES"/>
        </w:rPr>
      </w:pPr>
      <w:r w:rsidRPr="00D17B72">
        <w:rPr>
          <w:rFonts w:ascii="Tahoma" w:eastAsia="Times New Roman" w:hAnsi="Tahoma" w:cs="Tahoma"/>
          <w:b/>
          <w:caps/>
          <w:sz w:val="20"/>
          <w:szCs w:val="20"/>
          <w:lang w:val="es-ES_tradnl" w:eastAsia="es-ES"/>
        </w:rPr>
        <w:t>REPÚBLICA DE COLOMBIA</w:t>
      </w:r>
    </w:p>
    <w:p w:rsidR="00564402" w:rsidRPr="00D17B72" w:rsidRDefault="00564402" w:rsidP="00D17B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</w:pPr>
      <w:r w:rsidRPr="00D17B72">
        <w:rPr>
          <w:rFonts w:ascii="Tahoma" w:eastAsia="Times New Roman" w:hAnsi="Tahoma" w:cs="Tahoma"/>
          <w:b/>
          <w:bCs/>
          <w:caps/>
          <w:sz w:val="20"/>
          <w:szCs w:val="20"/>
          <w:lang w:val="es-ES_tradnl" w:eastAsia="es-ES"/>
        </w:rPr>
        <w:object w:dxaOrig="1275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3pt;height:26.3pt" o:ole="">
            <v:imagedata r:id="rId5" o:title=""/>
          </v:shape>
          <o:OLEObject Type="Embed" ProgID="PBrush" ShapeID="_x0000_i1025" DrawAspect="Content" ObjectID="_1490429584" r:id="rId6"/>
        </w:object>
      </w:r>
    </w:p>
    <w:p w:rsidR="00564402" w:rsidRPr="00D17B72" w:rsidRDefault="00564402" w:rsidP="00D17B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</w:pPr>
      <w:r w:rsidRPr="00D17B72"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  <w:t>RAMA JURISDICCIONAL DEL PODER PÚBLICO</w:t>
      </w:r>
    </w:p>
    <w:p w:rsidR="00564402" w:rsidRPr="00D17B72" w:rsidRDefault="00564402" w:rsidP="00D17B72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b/>
          <w:bCs/>
          <w:iCs/>
          <w:sz w:val="20"/>
          <w:szCs w:val="20"/>
          <w:lang w:val="es-ES" w:eastAsia="es-ES"/>
        </w:rPr>
        <w:t>JUZGADO SÉPTIMO ADMINISTRATIVO ORAL  DE MEDELLÍN</w:t>
      </w:r>
    </w:p>
    <w:p w:rsidR="00564402" w:rsidRPr="00D17B72" w:rsidRDefault="00564402" w:rsidP="00D17B72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D17B72" w:rsidRDefault="00564402" w:rsidP="00D17B72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Medellín, </w:t>
      </w:r>
      <w:r w:rsidR="00061570"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Trece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(</w:t>
      </w:r>
      <w:r w:rsidR="00061570"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13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) de </w:t>
      </w:r>
      <w:r w:rsidR="00061570"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Abril 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de dos mil </w:t>
      </w:r>
      <w:r w:rsidR="006D1306"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quince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(201</w:t>
      </w:r>
      <w:r w:rsidR="006D1306"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5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)</w:t>
      </w: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6237"/>
      </w:tblGrid>
      <w:tr w:rsidR="00564402" w:rsidRPr="00D17B72" w:rsidTr="00050562">
        <w:trPr>
          <w:jc w:val="center"/>
        </w:trPr>
        <w:tc>
          <w:tcPr>
            <w:tcW w:w="2093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Radicado</w:t>
            </w:r>
          </w:p>
        </w:tc>
        <w:tc>
          <w:tcPr>
            <w:tcW w:w="6237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050013333 007 </w:t>
            </w:r>
            <w:r w:rsidR="002801EB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2013</w:t>
            </w: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="002801EB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01088</w:t>
            </w: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Pr="00D17B72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00 </w:t>
            </w:r>
          </w:p>
        </w:tc>
      </w:tr>
      <w:tr w:rsidR="00564402" w:rsidRPr="00D17B72" w:rsidTr="00050562">
        <w:trPr>
          <w:jc w:val="center"/>
        </w:trPr>
        <w:tc>
          <w:tcPr>
            <w:tcW w:w="2093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Demandante</w:t>
            </w:r>
          </w:p>
        </w:tc>
        <w:tc>
          <w:tcPr>
            <w:tcW w:w="6237" w:type="dxa"/>
          </w:tcPr>
          <w:p w:rsidR="00564402" w:rsidRPr="00D17B72" w:rsidRDefault="002801EB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MARÍA LILIAM CASTRILLÓN ZAPATA Y OTROS</w:t>
            </w:r>
          </w:p>
        </w:tc>
      </w:tr>
      <w:tr w:rsidR="00564402" w:rsidRPr="00D17B72" w:rsidTr="00050562">
        <w:trPr>
          <w:jc w:val="center"/>
        </w:trPr>
        <w:tc>
          <w:tcPr>
            <w:tcW w:w="2093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Demandado</w:t>
            </w:r>
          </w:p>
        </w:tc>
        <w:tc>
          <w:tcPr>
            <w:tcW w:w="6237" w:type="dxa"/>
          </w:tcPr>
          <w:p w:rsidR="00564402" w:rsidRPr="00D17B72" w:rsidRDefault="002801EB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E.S.E HOSPITAL SAN VICENTE DE PAUL DE BARBOSA Y OTRO</w:t>
            </w:r>
          </w:p>
        </w:tc>
      </w:tr>
      <w:tr w:rsidR="00564402" w:rsidRPr="00D17B72" w:rsidTr="00050562">
        <w:trPr>
          <w:jc w:val="center"/>
        </w:trPr>
        <w:tc>
          <w:tcPr>
            <w:tcW w:w="2093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Medio de control</w:t>
            </w:r>
          </w:p>
        </w:tc>
        <w:tc>
          <w:tcPr>
            <w:tcW w:w="6237" w:type="dxa"/>
          </w:tcPr>
          <w:p w:rsidR="00564402" w:rsidRPr="00D17B72" w:rsidRDefault="0022375F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>Reparación Directa</w:t>
            </w:r>
          </w:p>
        </w:tc>
      </w:tr>
      <w:tr w:rsidR="00564402" w:rsidRPr="00D17B72" w:rsidTr="00050562">
        <w:trPr>
          <w:jc w:val="center"/>
        </w:trPr>
        <w:tc>
          <w:tcPr>
            <w:tcW w:w="2093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Asunto</w:t>
            </w:r>
          </w:p>
        </w:tc>
        <w:tc>
          <w:tcPr>
            <w:tcW w:w="6237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Fija fecha y hora para la celebración de Audiencia Inicial. Art. 180 del CPACA</w:t>
            </w:r>
          </w:p>
        </w:tc>
      </w:tr>
    </w:tbl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Vencido como se encuentra el término de traslado de la demanda para que la parte demandada emitiera contestación al respecto, efectuado el traslado de las excepciones y sin que se hubiera presentado reforma a la misma, en los términos del art. 173 del Código de Procedimiento Administrativo y de lo Contencioso Administrativo, procede el Despacho a dar aplicación a lo dispuesto en el art. 180 ibídem, razón por la cual se dispone:</w:t>
      </w: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>1.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CONVOCAR 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a las partes a AUDIENCIA INICIAL, la cual tendrá lugar el día </w:t>
      </w:r>
      <w:r w:rsidR="00CC5AAB">
        <w:rPr>
          <w:rFonts w:ascii="Tahoma" w:eastAsia="Times New Roman" w:hAnsi="Tahoma" w:cs="Tahoma"/>
          <w:b/>
          <w:sz w:val="20"/>
          <w:szCs w:val="20"/>
          <w:lang w:val="es-ES" w:eastAsia="es-ES"/>
        </w:rPr>
        <w:t>VEINTE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(</w:t>
      </w:r>
      <w:r w:rsidR="00CC5AAB">
        <w:rPr>
          <w:rFonts w:ascii="Tahoma" w:eastAsia="Times New Roman" w:hAnsi="Tahoma" w:cs="Tahoma"/>
          <w:b/>
          <w:sz w:val="20"/>
          <w:szCs w:val="20"/>
          <w:lang w:val="es-ES" w:eastAsia="es-ES"/>
        </w:rPr>
        <w:t>20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) DE </w:t>
      </w:r>
      <w:r w:rsidR="003B42F6">
        <w:rPr>
          <w:rFonts w:ascii="Tahoma" w:eastAsia="Times New Roman" w:hAnsi="Tahoma" w:cs="Tahoma"/>
          <w:b/>
          <w:sz w:val="20"/>
          <w:szCs w:val="20"/>
          <w:lang w:val="es-ES" w:eastAsia="es-ES"/>
        </w:rPr>
        <w:t>ABRIL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DE DOS MIL </w:t>
      </w:r>
      <w:r w:rsidR="003B42F6">
        <w:rPr>
          <w:rFonts w:ascii="Tahoma" w:eastAsia="Times New Roman" w:hAnsi="Tahoma" w:cs="Tahoma"/>
          <w:b/>
          <w:sz w:val="20"/>
          <w:szCs w:val="20"/>
          <w:lang w:val="es-ES" w:eastAsia="es-ES"/>
        </w:rPr>
        <w:t>DIECISÉIS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(20</w:t>
      </w:r>
      <w:r w:rsidR="003B42F6">
        <w:rPr>
          <w:rFonts w:ascii="Tahoma" w:eastAsia="Times New Roman" w:hAnsi="Tahoma" w:cs="Tahoma"/>
          <w:b/>
          <w:sz w:val="20"/>
          <w:szCs w:val="20"/>
          <w:lang w:val="es-ES" w:eastAsia="es-ES"/>
        </w:rPr>
        <w:t>16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) A LAS </w:t>
      </w:r>
      <w:r w:rsidR="00B911AD">
        <w:rPr>
          <w:rFonts w:ascii="Tahoma" w:eastAsia="Times New Roman" w:hAnsi="Tahoma" w:cs="Tahoma"/>
          <w:b/>
          <w:sz w:val="20"/>
          <w:szCs w:val="20"/>
          <w:lang w:val="es-ES" w:eastAsia="es-ES"/>
        </w:rPr>
        <w:t>DOS DE LA TARDE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(</w:t>
      </w:r>
      <w:r w:rsidR="00B911AD">
        <w:rPr>
          <w:rFonts w:ascii="Tahoma" w:eastAsia="Times New Roman" w:hAnsi="Tahoma" w:cs="Tahoma"/>
          <w:b/>
          <w:sz w:val="20"/>
          <w:szCs w:val="20"/>
          <w:lang w:val="es-ES" w:eastAsia="es-ES"/>
        </w:rPr>
        <w:t>2</w:t>
      </w:r>
      <w:r w:rsidR="003B42F6">
        <w:rPr>
          <w:rFonts w:ascii="Tahoma" w:eastAsia="Times New Roman" w:hAnsi="Tahoma" w:cs="Tahoma"/>
          <w:b/>
          <w:sz w:val="20"/>
          <w:szCs w:val="20"/>
          <w:lang w:val="es-ES" w:eastAsia="es-ES"/>
        </w:rPr>
        <w:t>:0</w:t>
      </w:r>
      <w:r w:rsidR="00C2621F"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>0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</w:t>
      </w:r>
      <w:r w:rsidR="00B911AD">
        <w:rPr>
          <w:rFonts w:ascii="Tahoma" w:eastAsia="Times New Roman" w:hAnsi="Tahoma" w:cs="Tahoma"/>
          <w:b/>
          <w:sz w:val="20"/>
          <w:szCs w:val="20"/>
          <w:lang w:val="es-ES" w:eastAsia="es-ES"/>
        </w:rPr>
        <w:t>P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.M.), </w:t>
      </w:r>
      <w:r w:rsidR="003B42F6" w:rsidRPr="003B42F6">
        <w:rPr>
          <w:rFonts w:ascii="Tahoma" w:eastAsia="Times New Roman" w:hAnsi="Tahoma" w:cs="Tahoma"/>
          <w:sz w:val="20"/>
          <w:szCs w:val="20"/>
          <w:lang w:val="es-ES" w:eastAsia="es-ES"/>
        </w:rPr>
        <w:t>en las instalaciones de las Salas de Audiencias ubicadas en el primer piso de la sede del Despacho.</w:t>
      </w:r>
    </w:p>
    <w:p w:rsidR="003B42F6" w:rsidRPr="00D17B72" w:rsidRDefault="003B42F6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>2.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Se previene a los apoderados de las partes que deben concurrir obligatoriamente a la citada Audiencia, so pena de las sanciones establecidas en el numeral 4º del art.180 del CPACA. También podrán asistir las partes, los terceros y el Ministerio Público.</w:t>
      </w: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No obstante lo anterior, se advierte que la inasistencia de quienes deben concurrir a la Audiencia no impedirá la realización de la misma, salvo aplazamiento por decisión del Despacho (numeral 2º del art. 180 Ibídem).</w:t>
      </w:r>
    </w:p>
    <w:p w:rsidR="00252D82" w:rsidRDefault="00252D8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252D82" w:rsidRPr="0014094A" w:rsidRDefault="00252D82" w:rsidP="00252D8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F693E">
        <w:rPr>
          <w:rFonts w:ascii="Tahoma" w:eastAsia="Times New Roman" w:hAnsi="Tahoma" w:cs="Tahoma"/>
          <w:b/>
          <w:sz w:val="20"/>
          <w:szCs w:val="20"/>
          <w:lang w:val="es-ES" w:eastAsia="es-ES"/>
        </w:rPr>
        <w:t>3.</w:t>
      </w:r>
      <w:r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</w:t>
      </w:r>
      <w:r w:rsidRPr="00E530F4">
        <w:rPr>
          <w:rFonts w:ascii="Tahoma" w:hAnsi="Tahoma" w:cs="Tahoma"/>
          <w:sz w:val="20"/>
          <w:szCs w:val="20"/>
        </w:rPr>
        <w:t xml:space="preserve">Se reconoce personería a la </w:t>
      </w:r>
      <w:r>
        <w:rPr>
          <w:rFonts w:ascii="Tahoma" w:hAnsi="Tahoma" w:cs="Tahoma"/>
          <w:sz w:val="20"/>
          <w:szCs w:val="20"/>
        </w:rPr>
        <w:t>Doctora</w:t>
      </w:r>
      <w:r w:rsidRPr="00E530F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 xml:space="preserve">ANA MARÍA </w:t>
      </w:r>
      <w:r>
        <w:rPr>
          <w:rFonts w:ascii="Tahoma" w:hAnsi="Tahoma" w:cs="Tahoma"/>
          <w:b/>
          <w:sz w:val="20"/>
          <w:szCs w:val="20"/>
        </w:rPr>
        <w:t>MORALES PALACIOS</w:t>
      </w:r>
      <w:r w:rsidRPr="00E530F4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abogada en ejercicio y</w:t>
      </w:r>
      <w:r w:rsidRPr="00E530F4">
        <w:rPr>
          <w:rFonts w:ascii="Tahoma" w:hAnsi="Tahoma" w:cs="Tahoma"/>
          <w:sz w:val="20"/>
          <w:szCs w:val="20"/>
        </w:rPr>
        <w:t xml:space="preserve"> portadora de la T.P. </w:t>
      </w:r>
      <w:r>
        <w:rPr>
          <w:rFonts w:ascii="Tahoma" w:hAnsi="Tahoma" w:cs="Tahoma"/>
          <w:sz w:val="20"/>
          <w:szCs w:val="20"/>
        </w:rPr>
        <w:t>201.102</w:t>
      </w:r>
      <w:r>
        <w:rPr>
          <w:rFonts w:ascii="Tahoma" w:hAnsi="Tahoma" w:cs="Tahoma"/>
          <w:sz w:val="20"/>
          <w:szCs w:val="20"/>
        </w:rPr>
        <w:t xml:space="preserve"> del C.S de la J</w:t>
      </w:r>
      <w:r w:rsidRPr="00E530F4">
        <w:rPr>
          <w:rFonts w:ascii="Tahoma" w:hAnsi="Tahoma" w:cs="Tahoma"/>
          <w:sz w:val="20"/>
          <w:szCs w:val="20"/>
        </w:rPr>
        <w:t xml:space="preserve"> </w:t>
      </w:r>
      <w:r w:rsidRPr="0014094A">
        <w:rPr>
          <w:rFonts w:ascii="Tahoma" w:hAnsi="Tahoma" w:cs="Tahoma"/>
          <w:sz w:val="20"/>
          <w:szCs w:val="20"/>
        </w:rPr>
        <w:t>como apoderada principal y a</w:t>
      </w:r>
      <w:r>
        <w:rPr>
          <w:rFonts w:ascii="Tahoma" w:hAnsi="Tahoma" w:cs="Tahoma"/>
          <w:sz w:val="20"/>
          <w:szCs w:val="20"/>
        </w:rPr>
        <w:t xml:space="preserve"> </w:t>
      </w:r>
      <w:r w:rsidRPr="0014094A">
        <w:rPr>
          <w:rFonts w:ascii="Tahoma" w:hAnsi="Tahoma" w:cs="Tahoma"/>
          <w:sz w:val="20"/>
          <w:szCs w:val="20"/>
        </w:rPr>
        <w:t>l</w:t>
      </w:r>
      <w:r>
        <w:rPr>
          <w:rFonts w:ascii="Tahoma" w:hAnsi="Tahoma" w:cs="Tahoma"/>
          <w:sz w:val="20"/>
          <w:szCs w:val="20"/>
        </w:rPr>
        <w:t>a</w:t>
      </w:r>
      <w:r w:rsidRPr="0014094A">
        <w:rPr>
          <w:rFonts w:ascii="Tahoma" w:hAnsi="Tahoma" w:cs="Tahoma"/>
          <w:sz w:val="20"/>
          <w:szCs w:val="20"/>
        </w:rPr>
        <w:t xml:space="preserve"> Doctor</w:t>
      </w:r>
      <w:r>
        <w:rPr>
          <w:rFonts w:ascii="Tahoma" w:hAnsi="Tahoma" w:cs="Tahoma"/>
          <w:sz w:val="20"/>
          <w:szCs w:val="20"/>
        </w:rPr>
        <w:t>a</w:t>
      </w:r>
      <w:r w:rsidRPr="0014094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DIANA VELÁSQUEZ RESTREPO abogada en ejercicio identificada</w:t>
      </w:r>
      <w:r w:rsidRPr="0014094A">
        <w:rPr>
          <w:rFonts w:ascii="Tahoma" w:hAnsi="Tahoma" w:cs="Tahoma"/>
          <w:sz w:val="20"/>
          <w:szCs w:val="20"/>
        </w:rPr>
        <w:t xml:space="preserve"> con la T.P. </w:t>
      </w:r>
      <w:r>
        <w:rPr>
          <w:rFonts w:ascii="Tahoma" w:hAnsi="Tahoma" w:cs="Tahoma"/>
          <w:sz w:val="20"/>
          <w:szCs w:val="20"/>
        </w:rPr>
        <w:t>211.540</w:t>
      </w:r>
      <w:r w:rsidRPr="0014094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del C.S. de la J. como apoderada sustituta</w:t>
      </w:r>
      <w:r w:rsidRPr="0014094A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para representar al señor Fernando Enrique Miranda Rodríguez</w:t>
      </w:r>
      <w:r w:rsidRPr="0014094A">
        <w:rPr>
          <w:rFonts w:ascii="Tahoma" w:hAnsi="Tahoma" w:cs="Tahoma"/>
          <w:sz w:val="20"/>
          <w:szCs w:val="20"/>
        </w:rPr>
        <w:t xml:space="preserve"> en los términos del poder conferido obrante a folio</w:t>
      </w:r>
      <w:r>
        <w:rPr>
          <w:rFonts w:ascii="Tahoma" w:hAnsi="Tahoma" w:cs="Tahoma"/>
          <w:sz w:val="20"/>
          <w:szCs w:val="20"/>
        </w:rPr>
        <w:t xml:space="preserve"> 169</w:t>
      </w:r>
      <w:r w:rsidRPr="0014094A">
        <w:rPr>
          <w:rFonts w:ascii="Tahoma" w:hAnsi="Tahoma" w:cs="Tahoma"/>
          <w:sz w:val="20"/>
          <w:szCs w:val="20"/>
        </w:rPr>
        <w:t>.</w:t>
      </w:r>
    </w:p>
    <w:p w:rsidR="00252D82" w:rsidRPr="0014094A" w:rsidRDefault="00252D82" w:rsidP="00252D8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252D82" w:rsidRDefault="00252D82" w:rsidP="00252D8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4094A">
        <w:rPr>
          <w:rFonts w:ascii="Tahoma" w:hAnsi="Tahoma" w:cs="Tahoma"/>
          <w:sz w:val="20"/>
          <w:szCs w:val="20"/>
        </w:rPr>
        <w:t>Se hace saber que como lo dispone</w:t>
      </w:r>
      <w:r>
        <w:rPr>
          <w:rFonts w:ascii="Tahoma" w:hAnsi="Tahoma" w:cs="Tahoma"/>
          <w:sz w:val="20"/>
          <w:szCs w:val="20"/>
        </w:rPr>
        <w:t xml:space="preserve"> e</w:t>
      </w:r>
      <w:r>
        <w:rPr>
          <w:rFonts w:ascii="Tahoma" w:hAnsi="Tahoma" w:cs="Tahoma"/>
          <w:sz w:val="20"/>
          <w:szCs w:val="20"/>
        </w:rPr>
        <w:t>l Artículo 66</w:t>
      </w:r>
      <w:r w:rsidRPr="0014094A">
        <w:rPr>
          <w:rFonts w:ascii="Tahoma" w:hAnsi="Tahoma" w:cs="Tahoma"/>
          <w:sz w:val="20"/>
          <w:szCs w:val="20"/>
        </w:rPr>
        <w:t xml:space="preserve"> del Código </w:t>
      </w:r>
      <w:r>
        <w:rPr>
          <w:rFonts w:ascii="Tahoma" w:hAnsi="Tahoma" w:cs="Tahoma"/>
          <w:sz w:val="20"/>
          <w:szCs w:val="20"/>
        </w:rPr>
        <w:t>de Procedimiento Civil</w:t>
      </w:r>
      <w:r w:rsidRPr="0014094A">
        <w:rPr>
          <w:rFonts w:ascii="Tahoma" w:hAnsi="Tahoma" w:cs="Tahoma"/>
          <w:sz w:val="20"/>
          <w:szCs w:val="20"/>
        </w:rPr>
        <w:t>, en el transcurso del proceso los apoderados no podrán actuar simultáneamente</w:t>
      </w:r>
    </w:p>
    <w:p w:rsidR="00252D82" w:rsidRDefault="00252D82" w:rsidP="00252D8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252D82" w:rsidRDefault="00252D82" w:rsidP="00252D8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6F693E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Se reconoce personería al Doctor </w:t>
      </w:r>
      <w:r>
        <w:rPr>
          <w:rFonts w:ascii="Tahoma" w:eastAsia="Times New Roman" w:hAnsi="Tahoma" w:cs="Tahoma"/>
          <w:b/>
          <w:sz w:val="20"/>
          <w:szCs w:val="20"/>
          <w:lang w:val="es-ES" w:eastAsia="es-ES"/>
        </w:rPr>
        <w:t>DARÍO ARREDONDO SIERRA</w:t>
      </w:r>
      <w:r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abogado en ejercicio identificado</w:t>
      </w:r>
      <w:r w:rsidRPr="006F693E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con la T.P. </w:t>
      </w:r>
      <w:r>
        <w:rPr>
          <w:rFonts w:ascii="Tahoma" w:eastAsia="Times New Roman" w:hAnsi="Tahoma" w:cs="Tahoma"/>
          <w:sz w:val="20"/>
          <w:szCs w:val="20"/>
          <w:lang w:val="es-ES" w:eastAsia="es-ES"/>
        </w:rPr>
        <w:t>63.382</w:t>
      </w:r>
      <w:r w:rsidRPr="006F693E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del C.S. de la J., para representar a </w:t>
      </w:r>
      <w:r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la </w:t>
      </w:r>
      <w:r>
        <w:rPr>
          <w:rFonts w:ascii="Tahoma" w:eastAsia="Times New Roman" w:hAnsi="Tahoma" w:cs="Tahoma"/>
          <w:sz w:val="20"/>
          <w:szCs w:val="20"/>
          <w:lang w:val="es-ES" w:eastAsia="es-ES"/>
        </w:rPr>
        <w:t>E.S.E Hospital San Vicente de Paúl de Barbosa</w:t>
      </w:r>
      <w:r w:rsidRPr="006F693E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en los términos del po</w:t>
      </w:r>
      <w:r>
        <w:rPr>
          <w:rFonts w:ascii="Tahoma" w:eastAsia="Times New Roman" w:hAnsi="Tahoma" w:cs="Tahoma"/>
          <w:sz w:val="20"/>
          <w:szCs w:val="20"/>
          <w:lang w:val="es-ES" w:eastAsia="es-ES"/>
        </w:rPr>
        <w:t>d</w:t>
      </w:r>
      <w:r>
        <w:rPr>
          <w:rFonts w:ascii="Tahoma" w:eastAsia="Times New Roman" w:hAnsi="Tahoma" w:cs="Tahoma"/>
          <w:sz w:val="20"/>
          <w:szCs w:val="20"/>
          <w:lang w:val="es-ES" w:eastAsia="es-ES"/>
        </w:rPr>
        <w:t>er conferido obrante a folio 218</w:t>
      </w:r>
      <w:r w:rsidRPr="006F693E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del ex</w:t>
      </w:r>
      <w:r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pediente; a la Doctora </w:t>
      </w:r>
      <w:r>
        <w:rPr>
          <w:rFonts w:ascii="Tahoma" w:eastAsia="Times New Roman" w:hAnsi="Tahoma" w:cs="Tahoma"/>
          <w:b/>
          <w:sz w:val="20"/>
          <w:szCs w:val="20"/>
          <w:lang w:val="es-ES" w:eastAsia="es-ES"/>
        </w:rPr>
        <w:t>MARÍA PATRICIA RÍOS CORREA</w:t>
      </w:r>
      <w:r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abogada en ejercicio identificada</w:t>
      </w:r>
      <w:r w:rsidRPr="006F693E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con la T.P. </w:t>
      </w:r>
      <w:r>
        <w:rPr>
          <w:rFonts w:ascii="Tahoma" w:eastAsia="Times New Roman" w:hAnsi="Tahoma" w:cs="Tahoma"/>
          <w:sz w:val="20"/>
          <w:szCs w:val="20"/>
          <w:lang w:val="es-ES" w:eastAsia="es-ES"/>
        </w:rPr>
        <w:t>80.347</w:t>
      </w:r>
      <w:r w:rsidRPr="006F693E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del C.S. de la J., para representar a </w:t>
      </w:r>
      <w:r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la </w:t>
      </w:r>
      <w:r>
        <w:rPr>
          <w:rFonts w:ascii="Tahoma" w:eastAsia="Times New Roman" w:hAnsi="Tahoma" w:cs="Tahoma"/>
          <w:sz w:val="20"/>
          <w:szCs w:val="20"/>
          <w:lang w:val="es-ES" w:eastAsia="es-ES"/>
        </w:rPr>
        <w:t>Previsora S.A Compañía de Seguros</w:t>
      </w:r>
      <w:r w:rsidRPr="006F693E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en los términos del po</w:t>
      </w:r>
      <w:r>
        <w:rPr>
          <w:rFonts w:ascii="Tahoma" w:eastAsia="Times New Roman" w:hAnsi="Tahoma" w:cs="Tahoma"/>
          <w:sz w:val="20"/>
          <w:szCs w:val="20"/>
          <w:lang w:val="es-ES" w:eastAsia="es-ES"/>
        </w:rPr>
        <w:t>d</w:t>
      </w:r>
      <w:r>
        <w:rPr>
          <w:rFonts w:ascii="Tahoma" w:eastAsia="Times New Roman" w:hAnsi="Tahoma" w:cs="Tahoma"/>
          <w:sz w:val="20"/>
          <w:szCs w:val="20"/>
          <w:lang w:val="es-ES" w:eastAsia="es-ES"/>
        </w:rPr>
        <w:t>er conferido obrante a folio 49</w:t>
      </w:r>
      <w:r w:rsidRPr="006F693E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del </w:t>
      </w:r>
      <w:r>
        <w:rPr>
          <w:rFonts w:ascii="Tahoma" w:eastAsia="Times New Roman" w:hAnsi="Tahoma" w:cs="Tahoma"/>
          <w:sz w:val="20"/>
          <w:szCs w:val="20"/>
          <w:lang w:val="es-ES" w:eastAsia="es-ES"/>
        </w:rPr>
        <w:t>cuaderno de llamamiento en garantía 2</w:t>
      </w:r>
      <w:r w:rsidR="005118A9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y</w:t>
      </w:r>
      <w:r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al Doctor </w:t>
      </w:r>
      <w:r w:rsidR="005118A9">
        <w:rPr>
          <w:rFonts w:ascii="Tahoma" w:eastAsia="Times New Roman" w:hAnsi="Tahoma" w:cs="Tahoma"/>
          <w:b/>
          <w:sz w:val="20"/>
          <w:szCs w:val="20"/>
          <w:lang w:val="es-ES" w:eastAsia="es-ES"/>
        </w:rPr>
        <w:t>LADISLAO MEDINA MORENO</w:t>
      </w:r>
      <w:r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abogado en ejercicio identificado</w:t>
      </w:r>
      <w:r w:rsidRPr="006F693E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con la T.P. </w:t>
      </w:r>
      <w:r w:rsidR="005118A9">
        <w:rPr>
          <w:rFonts w:ascii="Tahoma" w:eastAsia="Times New Roman" w:hAnsi="Tahoma" w:cs="Tahoma"/>
          <w:sz w:val="20"/>
          <w:szCs w:val="20"/>
          <w:lang w:val="es-ES" w:eastAsia="es-ES"/>
        </w:rPr>
        <w:t>26.480</w:t>
      </w:r>
      <w:r w:rsidRPr="006F693E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del C.S. de la J., para representar </w:t>
      </w:r>
      <w:r>
        <w:rPr>
          <w:rFonts w:ascii="Tahoma" w:eastAsia="Times New Roman" w:hAnsi="Tahoma" w:cs="Tahoma"/>
          <w:sz w:val="20"/>
          <w:szCs w:val="20"/>
          <w:lang w:val="es-ES" w:eastAsia="es-ES"/>
        </w:rPr>
        <w:t>a</w:t>
      </w:r>
      <w:r w:rsidR="005118A9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val="es-ES" w:eastAsia="es-ES"/>
        </w:rPr>
        <w:t>l</w:t>
      </w:r>
      <w:r w:rsidR="005118A9">
        <w:rPr>
          <w:rFonts w:ascii="Tahoma" w:eastAsia="Times New Roman" w:hAnsi="Tahoma" w:cs="Tahoma"/>
          <w:sz w:val="20"/>
          <w:szCs w:val="20"/>
          <w:lang w:val="es-ES" w:eastAsia="es-ES"/>
        </w:rPr>
        <w:t>a</w:t>
      </w:r>
      <w:r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</w:t>
      </w:r>
      <w:r w:rsidR="005118A9">
        <w:rPr>
          <w:rFonts w:ascii="Tahoma" w:eastAsia="Times New Roman" w:hAnsi="Tahoma" w:cs="Tahoma"/>
          <w:sz w:val="20"/>
          <w:szCs w:val="20"/>
          <w:lang w:val="es-ES" w:eastAsia="es-ES"/>
        </w:rPr>
        <w:t>Nueva E.P.S S.A</w:t>
      </w:r>
      <w:r w:rsidRPr="006F693E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en los términos del po</w:t>
      </w:r>
      <w:r>
        <w:rPr>
          <w:rFonts w:ascii="Tahoma" w:eastAsia="Times New Roman" w:hAnsi="Tahoma" w:cs="Tahoma"/>
          <w:sz w:val="20"/>
          <w:szCs w:val="20"/>
          <w:lang w:val="es-ES" w:eastAsia="es-ES"/>
        </w:rPr>
        <w:t>d</w:t>
      </w:r>
      <w:r w:rsidR="005118A9">
        <w:rPr>
          <w:rFonts w:ascii="Tahoma" w:eastAsia="Times New Roman" w:hAnsi="Tahoma" w:cs="Tahoma"/>
          <w:sz w:val="20"/>
          <w:szCs w:val="20"/>
          <w:lang w:val="es-ES" w:eastAsia="es-ES"/>
        </w:rPr>
        <w:t>er conferido obrante a folio 31 del cuaderno de llamamiento en garantía 1.</w:t>
      </w:r>
      <w:r w:rsidRPr="006F693E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</w:t>
      </w:r>
    </w:p>
    <w:p w:rsidR="00B911AD" w:rsidRPr="00D17B72" w:rsidRDefault="00B911AD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D17B72" w:rsidRDefault="00564402" w:rsidP="00D17B72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ahoma" w:eastAsia="Times New Roman" w:hAnsi="Tahoma" w:cs="Tahoma"/>
          <w:b/>
          <w:sz w:val="20"/>
          <w:szCs w:val="20"/>
          <w:lang w:val="es-ES_tradnl" w:eastAsia="es-ES"/>
        </w:rPr>
      </w:pPr>
      <w:r w:rsidRPr="00D17B72">
        <w:rPr>
          <w:rFonts w:ascii="Tahoma" w:eastAsia="Times New Roman" w:hAnsi="Tahoma" w:cs="Tahoma"/>
          <w:b/>
          <w:sz w:val="20"/>
          <w:szCs w:val="20"/>
          <w:lang w:val="es-ES_tradnl" w:eastAsia="es-ES"/>
        </w:rPr>
        <w:t>NOTIFÍQUESE</w:t>
      </w:r>
    </w:p>
    <w:p w:rsidR="00D17B72" w:rsidRDefault="00D17B72" w:rsidP="00D17B72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s-ES_tradnl" w:eastAsia="es-ES"/>
        </w:rPr>
      </w:pPr>
    </w:p>
    <w:p w:rsidR="003713E9" w:rsidRPr="00D17B72" w:rsidRDefault="003713E9" w:rsidP="00D17B72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s-ES_tradnl" w:eastAsia="es-ES"/>
        </w:rPr>
      </w:pPr>
    </w:p>
    <w:p w:rsidR="00564402" w:rsidRPr="00D17B72" w:rsidRDefault="00564402" w:rsidP="00D17B72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</w:pPr>
      <w:r w:rsidRPr="00D17B72"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  <w:t>BEATRIZ STELLA GAVIRIA CARDONA</w:t>
      </w:r>
    </w:p>
    <w:p w:rsidR="00564402" w:rsidRPr="00D17B72" w:rsidRDefault="00564402" w:rsidP="00D17B72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Juez</w:t>
      </w:r>
    </w:p>
    <w:p w:rsidR="001E59D9" w:rsidRDefault="00B3598A" w:rsidP="00D17B72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val="es-ES" w:eastAsia="es-ES"/>
        </w:rPr>
      </w:pPr>
      <w:r w:rsidRPr="00D17B72">
        <w:rPr>
          <w:rFonts w:ascii="Tahoma" w:eastAsia="Times New Roman" w:hAnsi="Tahoma" w:cs="Tahoma"/>
          <w:sz w:val="16"/>
          <w:szCs w:val="16"/>
          <w:lang w:val="es-ES" w:eastAsia="es-ES"/>
        </w:rPr>
        <w:t>P.</w:t>
      </w:r>
    </w:p>
    <w:p w:rsidR="003713E9" w:rsidRDefault="003713E9" w:rsidP="00D17B72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val="es-ES" w:eastAsia="es-ES"/>
        </w:rPr>
      </w:pPr>
    </w:p>
    <w:p w:rsidR="003713E9" w:rsidRDefault="003713E9" w:rsidP="00D17B72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val="es-ES" w:eastAsia="es-ES"/>
        </w:rPr>
      </w:pPr>
    </w:p>
    <w:p w:rsidR="003713E9" w:rsidRDefault="003713E9" w:rsidP="00D17B72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val="es-ES" w:eastAsia="es-ES"/>
        </w:rPr>
      </w:pPr>
    </w:p>
    <w:p w:rsidR="003713E9" w:rsidRDefault="003713E9" w:rsidP="00D17B72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val="es-ES" w:eastAsia="es-ES"/>
        </w:rPr>
      </w:pPr>
    </w:p>
    <w:p w:rsidR="003713E9" w:rsidRDefault="003713E9" w:rsidP="00D17B72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val="es-ES" w:eastAsia="es-ES"/>
        </w:rPr>
      </w:pPr>
    </w:p>
    <w:p w:rsidR="003713E9" w:rsidRDefault="003713E9" w:rsidP="00D17B72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val="es-ES" w:eastAsia="es-ES"/>
        </w:rPr>
      </w:pPr>
    </w:p>
    <w:p w:rsidR="003713E9" w:rsidRDefault="003713E9" w:rsidP="00D17B72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val="es-ES" w:eastAsia="es-ES"/>
        </w:rPr>
      </w:pPr>
    </w:p>
    <w:p w:rsidR="003713E9" w:rsidRDefault="003713E9" w:rsidP="00D17B72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val="es-ES" w:eastAsia="es-ES"/>
        </w:rPr>
      </w:pPr>
    </w:p>
    <w:p w:rsidR="003713E9" w:rsidRDefault="003713E9" w:rsidP="00D17B72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val="es-ES" w:eastAsia="es-ES"/>
        </w:rPr>
      </w:pPr>
    </w:p>
    <w:p w:rsidR="003713E9" w:rsidRPr="00D17B72" w:rsidRDefault="003713E9" w:rsidP="00D17B72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val="es-ES" w:eastAsia="es-ES"/>
        </w:rPr>
      </w:pPr>
      <w:bookmarkStart w:id="0" w:name="_GoBack"/>
      <w:bookmarkEnd w:id="0"/>
    </w:p>
    <w:tbl>
      <w:tblPr>
        <w:tblW w:w="6103" w:type="dxa"/>
        <w:tblInd w:w="1374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103"/>
      </w:tblGrid>
      <w:tr w:rsidR="001E59D9" w:rsidRPr="00D17B72" w:rsidTr="00FA363F"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9D9" w:rsidRPr="00D17B72" w:rsidRDefault="001E59D9" w:rsidP="00D17B72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</w:rPr>
            </w:pP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b/>
                <w:i/>
                <w:sz w:val="16"/>
                <w:szCs w:val="16"/>
              </w:rPr>
              <w:t xml:space="preserve"> </w:t>
            </w:r>
            <w:r w:rsidRPr="00D17B72">
              <w:rPr>
                <w:rFonts w:cs="Arial"/>
                <w:sz w:val="16"/>
                <w:szCs w:val="16"/>
              </w:rPr>
              <w:t xml:space="preserve">NOTIFICACIÓN POR ESTADO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>JUZGADO SÉPTIMO  ADMINISTRATIVO ORAL DE MEDELLÍN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CERTIFICO: En la fecha se notificó por ESTADOS el auto anterior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Medellín,  </w:t>
            </w:r>
            <w:r w:rsidRPr="00D17B72">
              <w:rPr>
                <w:rFonts w:cs="Arial"/>
                <w:b/>
                <w:sz w:val="16"/>
                <w:szCs w:val="16"/>
              </w:rPr>
              <w:t>_________________</w:t>
            </w:r>
            <w:r w:rsidRPr="00D17B72">
              <w:rPr>
                <w:rFonts w:cs="Arial"/>
                <w:sz w:val="16"/>
                <w:szCs w:val="16"/>
              </w:rPr>
              <w:t>. Fijado a las 8:00 a.m.</w:t>
            </w:r>
            <w:r w:rsidRPr="00D17B72"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___________________________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>Secretario (a)</w:t>
            </w:r>
            <w:r w:rsidRPr="00D17B72">
              <w:rPr>
                <w:sz w:val="16"/>
                <w:szCs w:val="16"/>
              </w:rPr>
              <w:t xml:space="preserve"> </w:t>
            </w:r>
          </w:p>
        </w:tc>
      </w:tr>
    </w:tbl>
    <w:p w:rsidR="001E59D9" w:rsidRPr="00D17B72" w:rsidRDefault="001E59D9" w:rsidP="00D17B72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:rsidR="001E59D9" w:rsidRPr="00D17B72" w:rsidRDefault="001E59D9" w:rsidP="00D17B72">
      <w:pPr>
        <w:spacing w:after="0" w:line="240" w:lineRule="auto"/>
        <w:jc w:val="center"/>
        <w:rPr>
          <w:rFonts w:cs="Arial"/>
          <w:b/>
          <w:caps/>
          <w:sz w:val="16"/>
          <w:szCs w:val="16"/>
        </w:rPr>
      </w:pP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sectPr w:rsidR="00564402" w:rsidRPr="00D17B72" w:rsidSect="0061029A">
      <w:pgSz w:w="12242" w:h="18722" w:code="12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02"/>
    <w:rsid w:val="00033753"/>
    <w:rsid w:val="00050562"/>
    <w:rsid w:val="00061570"/>
    <w:rsid w:val="0011303D"/>
    <w:rsid w:val="001B3D26"/>
    <w:rsid w:val="001E59D9"/>
    <w:rsid w:val="0022375F"/>
    <w:rsid w:val="00252D82"/>
    <w:rsid w:val="002801EB"/>
    <w:rsid w:val="002A68A6"/>
    <w:rsid w:val="003713E9"/>
    <w:rsid w:val="00375130"/>
    <w:rsid w:val="003A569A"/>
    <w:rsid w:val="003B42F6"/>
    <w:rsid w:val="0050663A"/>
    <w:rsid w:val="005118A9"/>
    <w:rsid w:val="00563C7F"/>
    <w:rsid w:val="00564402"/>
    <w:rsid w:val="00597D2A"/>
    <w:rsid w:val="005A60EC"/>
    <w:rsid w:val="005F7F47"/>
    <w:rsid w:val="0061029A"/>
    <w:rsid w:val="006864EB"/>
    <w:rsid w:val="006A7227"/>
    <w:rsid w:val="006D1306"/>
    <w:rsid w:val="007B0BF5"/>
    <w:rsid w:val="008769A3"/>
    <w:rsid w:val="008A16F7"/>
    <w:rsid w:val="009073F2"/>
    <w:rsid w:val="00A2222F"/>
    <w:rsid w:val="00AF2B59"/>
    <w:rsid w:val="00B3598A"/>
    <w:rsid w:val="00B75D87"/>
    <w:rsid w:val="00B911AD"/>
    <w:rsid w:val="00B97217"/>
    <w:rsid w:val="00C2621F"/>
    <w:rsid w:val="00C768EB"/>
    <w:rsid w:val="00C8315E"/>
    <w:rsid w:val="00CC5AAB"/>
    <w:rsid w:val="00CC5C4E"/>
    <w:rsid w:val="00D15D7E"/>
    <w:rsid w:val="00D17B72"/>
    <w:rsid w:val="00E76C53"/>
    <w:rsid w:val="00F106E8"/>
    <w:rsid w:val="00F1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5:docId w15:val="{F9E76198-B8CA-4499-8FDB-6BFD5052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4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6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68EB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3B42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392C1-98A5-4797-99AA-E09823E1A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508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Juzgado 07 Administrativo de Medellin</dc:creator>
  <cp:lastModifiedBy>Juzgado 07 Administrativo de Medellin</cp:lastModifiedBy>
  <cp:revision>6</cp:revision>
  <cp:lastPrinted>2015-04-13T16:26:00Z</cp:lastPrinted>
  <dcterms:created xsi:type="dcterms:W3CDTF">2015-04-13T13:23:00Z</dcterms:created>
  <dcterms:modified xsi:type="dcterms:W3CDTF">2015-04-13T16:26:00Z</dcterms:modified>
</cp:coreProperties>
</file>