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37769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061570"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AF2B5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00146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AF2B59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QUIMIFER S.A.S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AF2B59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MEDIO AMBIENTE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5A60EC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 DE LA 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5A60EC">
        <w:rPr>
          <w:rFonts w:ascii="Tahoma" w:eastAsia="Times New Roman" w:hAnsi="Tahoma" w:cs="Tahoma"/>
          <w:b/>
          <w:sz w:val="20"/>
          <w:szCs w:val="20"/>
          <w:lang w:val="es-ES" w:eastAsia="es-ES"/>
        </w:rPr>
        <w:t>9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5A60EC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9924C7" w:rsidRDefault="009924C7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E7D59" w:rsidRDefault="009924C7" w:rsidP="009924C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6F69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Se reconoce personería al Doctor </w:t>
      </w:r>
      <w:r w:rsidR="00F02964">
        <w:rPr>
          <w:rFonts w:ascii="Tahoma" w:eastAsia="Times New Roman" w:hAnsi="Tahoma" w:cs="Tahoma"/>
          <w:b/>
          <w:sz w:val="20"/>
          <w:szCs w:val="20"/>
          <w:lang w:val="es-ES" w:eastAsia="es-ES"/>
        </w:rPr>
        <w:t>CARLOS MARIO PALACIO VELÁSQUEZ</w:t>
      </w:r>
      <w:r w:rsidR="00F0296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F02964">
        <w:rPr>
          <w:rFonts w:ascii="Tahoma" w:eastAsia="Times New Roman" w:hAnsi="Tahoma" w:cs="Tahoma"/>
          <w:sz w:val="20"/>
          <w:szCs w:val="20"/>
          <w:lang w:val="es-ES" w:eastAsia="es-ES"/>
        </w:rPr>
        <w:t>35.521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F02964">
        <w:rPr>
          <w:rFonts w:ascii="Tahoma" w:eastAsia="Times New Roman" w:hAnsi="Tahoma" w:cs="Tahoma"/>
          <w:sz w:val="20"/>
          <w:szCs w:val="20"/>
          <w:lang w:val="es-ES" w:eastAsia="es-ES"/>
        </w:rPr>
        <w:t>al Municipio de Bello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F02964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122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pediente; al Doctor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D754B9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MANUEL VICENTE CRUZ ALARCON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57.151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del C.S. de la J., para representar 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la Nación – 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Ministerio de Vivienda, Ciudad y Territorio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191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pediente; al Doctor </w:t>
      </w:r>
      <w:r w:rsidR="00CE7D59">
        <w:rPr>
          <w:rFonts w:ascii="Tahoma" w:eastAsia="Times New Roman" w:hAnsi="Tahoma" w:cs="Tahoma"/>
          <w:b/>
          <w:sz w:val="20"/>
          <w:szCs w:val="20"/>
          <w:lang w:val="es-ES" w:eastAsia="es-ES"/>
        </w:rPr>
        <w:t>CARLOS ANDRÉS ACEVEDO MESA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>100.572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Área Metropolitana del Valle de </w:t>
      </w:r>
      <w:proofErr w:type="spellStart"/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Aburrá</w:t>
      </w:r>
      <w:proofErr w:type="spellEnd"/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768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;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D754B9">
        <w:rPr>
          <w:rFonts w:ascii="Tahoma" w:eastAsia="Times New Roman" w:hAnsi="Tahoma" w:cs="Tahoma"/>
          <w:b/>
          <w:sz w:val="20"/>
          <w:szCs w:val="20"/>
          <w:lang w:val="es-ES" w:eastAsia="es-ES"/>
        </w:rPr>
        <w:t>BLANCA LILIAM OSORIO SANDOVAL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172.422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apoderada principal y al Doctor EDISSON OSORIO ESPINAL con T.P 160.624 del C.S de la J como apoderado sustituto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Consejo Superior de la Judicatura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265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D754B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se le advierte a los apoderados que de conformidad con el artículo 66 del C.P.C los apoderados no podrán actuar de forma simultánea; 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FC2E1D">
        <w:rPr>
          <w:rFonts w:ascii="Tahoma" w:eastAsia="Times New Roman" w:hAnsi="Tahoma" w:cs="Tahoma"/>
          <w:b/>
          <w:sz w:val="20"/>
          <w:szCs w:val="20"/>
          <w:lang w:val="es-ES" w:eastAsia="es-ES"/>
        </w:rPr>
        <w:t>YOLANDA DEL SOCORRO PASTOR DE PUERTA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81.030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Instituto Nacional de Vías 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>–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INVIAS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apoderada principal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296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y al Doctor SERGIO ADRIAN TORRES VICTORIA identificado</w:t>
      </w:r>
      <w:r w:rsidR="00CE7D59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>176.326</w:t>
      </w:r>
      <w:r w:rsidR="00CE7D59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apoderado sustituto, se advierte que en el transcurso del proceso los apoderados no podrán actuar simultáneamente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; 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Doctor </w:t>
      </w:r>
      <w:r w:rsidR="00FC2E1D">
        <w:rPr>
          <w:rFonts w:ascii="Tahoma" w:eastAsia="Times New Roman" w:hAnsi="Tahoma" w:cs="Tahoma"/>
          <w:b/>
          <w:sz w:val="20"/>
          <w:szCs w:val="20"/>
          <w:lang w:val="es-ES" w:eastAsia="es-ES"/>
        </w:rPr>
        <w:t>FRANCISCO JAVIER BAENA GÓMEZ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168.127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Departamento de Antioquia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350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; 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Doctor </w:t>
      </w:r>
      <w:r w:rsidR="00FC2E1D">
        <w:rPr>
          <w:rFonts w:ascii="Tahoma" w:eastAsia="Times New Roman" w:hAnsi="Tahoma" w:cs="Tahoma"/>
          <w:b/>
          <w:sz w:val="20"/>
          <w:szCs w:val="20"/>
          <w:lang w:val="es-ES" w:eastAsia="es-ES"/>
        </w:rPr>
        <w:t>WILSON GUILLERMO AGUILAR ROMAN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62.967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proofErr w:type="spellStart"/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Corantioquia</w:t>
      </w:r>
      <w:proofErr w:type="spellEnd"/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395</w:t>
      </w:r>
      <w:r w:rsidR="00FC2E1D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FC2E1D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; 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411B9C">
        <w:rPr>
          <w:rFonts w:ascii="Tahoma" w:eastAsia="Times New Roman" w:hAnsi="Tahoma" w:cs="Tahoma"/>
          <w:b/>
          <w:sz w:val="20"/>
          <w:szCs w:val="20"/>
          <w:lang w:val="es-ES" w:eastAsia="es-ES"/>
        </w:rPr>
        <w:t>ANDREA MILENA VERA PABÓN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186.534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Agencia Nacional de Infraestructura - ANI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689</w:t>
      </w:r>
      <w:r w:rsidR="00411B9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411B9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; </w:t>
      </w:r>
      <w:r w:rsidR="00CE7D59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Doctor </w:t>
      </w:r>
      <w:r w:rsidR="009C67D2">
        <w:rPr>
          <w:rFonts w:ascii="Tahoma" w:eastAsia="Times New Roman" w:hAnsi="Tahoma" w:cs="Tahoma"/>
          <w:b/>
          <w:sz w:val="20"/>
          <w:szCs w:val="20"/>
          <w:lang w:val="es-ES" w:eastAsia="es-ES"/>
        </w:rPr>
        <w:t>CARLOS ALBERTO RESTREPO RAMÍREZ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n ejercicio identificado</w:t>
      </w:r>
      <w:r w:rsidR="00CE7D59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211.625</w:t>
      </w:r>
      <w:r w:rsidR="00CE7D59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>a la Fiscalía General de la Nación</w:t>
      </w:r>
      <w:r w:rsidR="00CE7D59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1059</w:t>
      </w:r>
      <w:r w:rsidR="00CE7D59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CE7D59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; 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C67D2">
        <w:rPr>
          <w:rFonts w:ascii="Tahoma" w:eastAsia="Times New Roman" w:hAnsi="Tahoma" w:cs="Tahoma"/>
          <w:b/>
          <w:sz w:val="20"/>
          <w:szCs w:val="20"/>
          <w:lang w:val="es-ES" w:eastAsia="es-ES"/>
        </w:rPr>
        <w:t>HILDER YAMILE UYAZÁN SÁNCHEZ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n ejercicio identificada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151.264 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del C.S. de la J., para representar 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al Ministerio de Medio Ambiente y Desarrollo Sostenible 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en los términos del po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de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r conferido obrante a folio 1070</w:t>
      </w:r>
      <w:r w:rsidR="009C67D2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 w:rsidR="009C67D2"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y 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8404C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MARISOL IDARRAGA MONTOYA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>n ejercicio identificada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>30.255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lastRenderedPageBreak/>
        <w:t xml:space="preserve">representar 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</w:t>
      </w:r>
      <w:proofErr w:type="spellStart"/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>Devimed</w:t>
      </w:r>
      <w:proofErr w:type="spellEnd"/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S.A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>de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>r conferido obrante a folio 119</w:t>
      </w:r>
      <w:r w:rsidR="00E8404C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8404C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cuaderno de </w:t>
      </w:r>
      <w:r w:rsidR="00E8404C" w:rsidRPr="00FA5ABB">
        <w:rPr>
          <w:rFonts w:ascii="Tahoma" w:eastAsia="Times New Roman" w:hAnsi="Tahoma" w:cs="Tahoma"/>
          <w:sz w:val="20"/>
          <w:szCs w:val="20"/>
          <w:lang w:val="es-ES" w:eastAsia="es-ES"/>
        </w:rPr>
        <w:t>llamamiento en garantía 2.</w:t>
      </w:r>
    </w:p>
    <w:p w:rsidR="00CE7D59" w:rsidRDefault="00CE7D59" w:rsidP="009924C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9924C7" w:rsidRPr="00D17B72" w:rsidRDefault="00E8404C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>
        <w:rPr>
          <w:rFonts w:ascii="Tahoma" w:eastAsia="Times New Roman" w:hAnsi="Tahoma" w:cs="Tahoma"/>
          <w:sz w:val="20"/>
          <w:szCs w:val="20"/>
          <w:lang w:val="es-ES" w:eastAsia="es-ES"/>
        </w:rPr>
        <w:t>Igualmente, s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e reconoce personería 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ANGELA PATRICIA GIRALDO OSPINA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</w:t>
      </w:r>
      <w:bookmarkStart w:id="0" w:name="_GoBack"/>
      <w:bookmarkEnd w:id="0"/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38.742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Allianz Seguros S.A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134 del cuader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no de llamamiento en garantía 2 y a la </w:t>
      </w:r>
      <w:r w:rsidR="00061433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>Doctor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061433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06143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ANGELA </w:t>
      </w:r>
      <w:r w:rsidR="00061433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MARÍA RESTREPO GÓMEZ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="00061433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>210.649</w:t>
      </w:r>
      <w:r w:rsidR="00061433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>QBE Seguros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S.A</w:t>
      </w:r>
      <w:r w:rsidR="00061433"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61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cuader</w:t>
      </w:r>
      <w:r w:rsidR="00061433">
        <w:rPr>
          <w:rFonts w:ascii="Tahoma" w:eastAsia="Times New Roman" w:hAnsi="Tahoma" w:cs="Tahoma"/>
          <w:sz w:val="20"/>
          <w:szCs w:val="20"/>
          <w:lang w:val="es-ES" w:eastAsia="es-ES"/>
        </w:rPr>
        <w:t>no de llamamiento en garantía 1.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DF4385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433"/>
    <w:rsid w:val="00061570"/>
    <w:rsid w:val="0011303D"/>
    <w:rsid w:val="001B3D26"/>
    <w:rsid w:val="001E59D9"/>
    <w:rsid w:val="0022375F"/>
    <w:rsid w:val="002A68A6"/>
    <w:rsid w:val="00375130"/>
    <w:rsid w:val="003A569A"/>
    <w:rsid w:val="003B42F6"/>
    <w:rsid w:val="00411B9C"/>
    <w:rsid w:val="0050663A"/>
    <w:rsid w:val="00563C7F"/>
    <w:rsid w:val="00564402"/>
    <w:rsid w:val="00597D2A"/>
    <w:rsid w:val="005A60EC"/>
    <w:rsid w:val="005F7F47"/>
    <w:rsid w:val="006A7227"/>
    <w:rsid w:val="006D1306"/>
    <w:rsid w:val="007B0BF5"/>
    <w:rsid w:val="008769A3"/>
    <w:rsid w:val="008A16F7"/>
    <w:rsid w:val="009073F2"/>
    <w:rsid w:val="009924C7"/>
    <w:rsid w:val="009C67D2"/>
    <w:rsid w:val="00A2222F"/>
    <w:rsid w:val="00AF2B59"/>
    <w:rsid w:val="00B3598A"/>
    <w:rsid w:val="00B75D87"/>
    <w:rsid w:val="00C2621F"/>
    <w:rsid w:val="00C768EB"/>
    <w:rsid w:val="00C8315E"/>
    <w:rsid w:val="00CE7D59"/>
    <w:rsid w:val="00D15D7E"/>
    <w:rsid w:val="00D17B72"/>
    <w:rsid w:val="00D754B9"/>
    <w:rsid w:val="00DF4385"/>
    <w:rsid w:val="00E76C53"/>
    <w:rsid w:val="00E8404C"/>
    <w:rsid w:val="00F02964"/>
    <w:rsid w:val="00F106E8"/>
    <w:rsid w:val="00F176C0"/>
    <w:rsid w:val="00FA5ABB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13</cp:revision>
  <cp:lastPrinted>2015-04-13T18:42:00Z</cp:lastPrinted>
  <dcterms:created xsi:type="dcterms:W3CDTF">2015-04-13T12:59:00Z</dcterms:created>
  <dcterms:modified xsi:type="dcterms:W3CDTF">2015-04-13T18:42:00Z</dcterms:modified>
</cp:coreProperties>
</file>