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C4F" w:rsidRPr="00AF71F5" w:rsidRDefault="00604C4F" w:rsidP="00604C4F">
      <w:pPr>
        <w:ind w:right="360"/>
        <w:jc w:val="center"/>
        <w:rPr>
          <w:rFonts w:ascii="Arial" w:hAnsi="Arial" w:cs="Arial"/>
          <w:b/>
          <w:noProof/>
        </w:rPr>
      </w:pPr>
      <w:bookmarkStart w:id="0" w:name="_GoBack"/>
      <w:bookmarkEnd w:id="0"/>
      <w:r>
        <w:rPr>
          <w:rFonts w:ascii="Arial" w:hAnsi="Arial" w:cs="Arial"/>
          <w:b/>
          <w:noProof/>
          <w:lang w:val="es-ES" w:eastAsia="es-ES"/>
        </w:rPr>
        <w:drawing>
          <wp:inline distT="0" distB="0" distL="0" distR="0">
            <wp:extent cx="533400" cy="485775"/>
            <wp:effectExtent l="19050" t="0" r="0" b="0"/>
            <wp:docPr id="10" name="Imagen 1" descr="PKGE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KGE121"/>
                    <pic:cNvPicPr>
                      <a:picLocks noChangeAspect="1" noChangeArrowheads="1"/>
                    </pic:cNvPicPr>
                  </pic:nvPicPr>
                  <pic:blipFill>
                    <a:blip r:embed="rId6" cstate="print"/>
                    <a:srcRect/>
                    <a:stretch>
                      <a:fillRect/>
                    </a:stretch>
                  </pic:blipFill>
                  <pic:spPr bwMode="auto">
                    <a:xfrm>
                      <a:off x="0" y="0"/>
                      <a:ext cx="533400" cy="485775"/>
                    </a:xfrm>
                    <a:prstGeom prst="rect">
                      <a:avLst/>
                    </a:prstGeom>
                    <a:noFill/>
                    <a:ln w="9525">
                      <a:noFill/>
                      <a:miter lim="800000"/>
                      <a:headEnd/>
                      <a:tailEnd/>
                    </a:ln>
                  </pic:spPr>
                </pic:pic>
              </a:graphicData>
            </a:graphic>
          </wp:inline>
        </w:drawing>
      </w:r>
    </w:p>
    <w:p w:rsidR="00604C4F" w:rsidRPr="00AF71F5" w:rsidRDefault="00604C4F" w:rsidP="00604C4F">
      <w:pPr>
        <w:ind w:right="360"/>
        <w:jc w:val="center"/>
        <w:rPr>
          <w:rFonts w:ascii="Arial" w:hAnsi="Arial" w:cs="Arial"/>
          <w:b/>
          <w:noProof/>
        </w:rPr>
      </w:pPr>
      <w:r w:rsidRPr="00AF71F5">
        <w:rPr>
          <w:rFonts w:ascii="Arial" w:hAnsi="Arial" w:cs="Arial"/>
          <w:b/>
          <w:noProof/>
        </w:rPr>
        <w:t xml:space="preserve">RAMA JUDICIAL </w:t>
      </w:r>
    </w:p>
    <w:p w:rsidR="00604C4F" w:rsidRPr="00AF71F5" w:rsidRDefault="00604C4F" w:rsidP="00604C4F">
      <w:pPr>
        <w:jc w:val="center"/>
        <w:outlineLvl w:val="0"/>
        <w:rPr>
          <w:rFonts w:ascii="Arial" w:hAnsi="Arial" w:cs="Arial"/>
          <w:b/>
        </w:rPr>
      </w:pPr>
      <w:r w:rsidRPr="00AF71F5">
        <w:rPr>
          <w:rFonts w:ascii="Arial" w:hAnsi="Arial" w:cs="Arial"/>
          <w:b/>
        </w:rPr>
        <w:t>TRIBUNAL SUPERIOR DE BOGOTÁ</w:t>
      </w:r>
    </w:p>
    <w:p w:rsidR="00604C4F" w:rsidRPr="00AF71F5" w:rsidRDefault="00604C4F" w:rsidP="00604C4F">
      <w:pPr>
        <w:jc w:val="center"/>
        <w:rPr>
          <w:rFonts w:ascii="Arial" w:hAnsi="Arial" w:cs="Arial"/>
          <w:b/>
        </w:rPr>
      </w:pPr>
      <w:r w:rsidRPr="00AF71F5">
        <w:rPr>
          <w:rFonts w:ascii="Arial" w:hAnsi="Arial" w:cs="Arial"/>
          <w:b/>
        </w:rPr>
        <w:t>BOLETÍN  0</w:t>
      </w:r>
      <w:r w:rsidR="00502FC1">
        <w:rPr>
          <w:rFonts w:ascii="Arial" w:hAnsi="Arial" w:cs="Arial"/>
          <w:b/>
        </w:rPr>
        <w:t>8</w:t>
      </w:r>
      <w:r w:rsidRPr="00AF71F5">
        <w:rPr>
          <w:rFonts w:ascii="Arial" w:hAnsi="Arial" w:cs="Arial"/>
          <w:b/>
        </w:rPr>
        <w:t xml:space="preserve"> </w:t>
      </w:r>
      <w:r>
        <w:rPr>
          <w:rFonts w:ascii="Arial" w:hAnsi="Arial" w:cs="Arial"/>
          <w:b/>
        </w:rPr>
        <w:t xml:space="preserve">DEL </w:t>
      </w:r>
      <w:r w:rsidR="00502FC1">
        <w:rPr>
          <w:rFonts w:ascii="Arial" w:hAnsi="Arial" w:cs="Arial"/>
          <w:b/>
        </w:rPr>
        <w:t>15</w:t>
      </w:r>
      <w:r>
        <w:rPr>
          <w:rFonts w:ascii="Arial" w:hAnsi="Arial" w:cs="Arial"/>
          <w:b/>
        </w:rPr>
        <w:t xml:space="preserve"> DE </w:t>
      </w:r>
      <w:r w:rsidR="00502FC1">
        <w:rPr>
          <w:rFonts w:ascii="Arial" w:hAnsi="Arial" w:cs="Arial"/>
          <w:b/>
        </w:rPr>
        <w:t>MAYO</w:t>
      </w:r>
      <w:r>
        <w:rPr>
          <w:rFonts w:ascii="Arial" w:hAnsi="Arial" w:cs="Arial"/>
          <w:b/>
        </w:rPr>
        <w:t xml:space="preserve"> DE 2012</w:t>
      </w:r>
    </w:p>
    <w:p w:rsidR="00604C4F" w:rsidRPr="00E30418" w:rsidRDefault="00604C4F" w:rsidP="00604C4F">
      <w:pPr>
        <w:jc w:val="center"/>
        <w:outlineLvl w:val="0"/>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9"/>
      </w:tblGrid>
      <w:tr w:rsidR="00604C4F" w:rsidRPr="00E30418" w:rsidTr="00425EC1">
        <w:trPr>
          <w:jc w:val="center"/>
        </w:trPr>
        <w:tc>
          <w:tcPr>
            <w:tcW w:w="8644" w:type="dxa"/>
          </w:tcPr>
          <w:p w:rsidR="00604C4F" w:rsidRPr="00E30418" w:rsidRDefault="00604C4F" w:rsidP="00425EC1">
            <w:pPr>
              <w:pStyle w:val="Ttulo8"/>
              <w:jc w:val="center"/>
              <w:rPr>
                <w:rFonts w:ascii="Arial" w:hAnsi="Arial" w:cs="Arial"/>
                <w:b/>
              </w:rPr>
            </w:pPr>
            <w:r w:rsidRPr="00E30418">
              <w:rPr>
                <w:rStyle w:val="Ttulo7Car"/>
                <w:rFonts w:ascii="Arial" w:hAnsi="Arial" w:cs="Arial"/>
                <w:b/>
              </w:rPr>
              <w:t>1.</w:t>
            </w:r>
            <w:r w:rsidRPr="00E30418">
              <w:rPr>
                <w:rFonts w:ascii="Arial" w:hAnsi="Arial" w:cs="Arial"/>
                <w:b/>
              </w:rPr>
              <w:t xml:space="preserve"> PROVIDENCIAS DE INTERÉS DE ESTA CORPORACIÓN</w:t>
            </w:r>
          </w:p>
          <w:p w:rsidR="00604C4F" w:rsidRPr="00E30418" w:rsidRDefault="00604C4F" w:rsidP="00425EC1">
            <w:pPr>
              <w:jc w:val="center"/>
              <w:outlineLvl w:val="0"/>
              <w:rPr>
                <w:b/>
              </w:rPr>
            </w:pPr>
          </w:p>
        </w:tc>
      </w:tr>
    </w:tbl>
    <w:p w:rsidR="00604C4F" w:rsidRDefault="00604C4F" w:rsidP="00604C4F">
      <w:pPr>
        <w:jc w:val="center"/>
        <w:outlineLvl w:val="0"/>
        <w:rPr>
          <w:rFonts w:ascii="Arial" w:hAnsi="Arial" w:cs="Arial"/>
          <w:b/>
          <w:sz w:val="20"/>
          <w:szCs w:val="20"/>
        </w:rPr>
      </w:pPr>
    </w:p>
    <w:p w:rsidR="00604C4F" w:rsidRDefault="00604C4F" w:rsidP="00604C4F">
      <w:pPr>
        <w:jc w:val="center"/>
        <w:outlineLvl w:val="0"/>
        <w:rPr>
          <w:rFonts w:ascii="Arial" w:hAnsi="Arial" w:cs="Arial"/>
          <w:b/>
        </w:rPr>
      </w:pPr>
      <w:r w:rsidRPr="006C3FF3">
        <w:rPr>
          <w:rFonts w:ascii="Arial" w:hAnsi="Arial" w:cs="Arial"/>
          <w:b/>
        </w:rPr>
        <w:t>1</w:t>
      </w:r>
      <w:r>
        <w:rPr>
          <w:rFonts w:ascii="Arial" w:hAnsi="Arial" w:cs="Arial"/>
          <w:b/>
        </w:rPr>
        <w:t>.1</w:t>
      </w:r>
      <w:r w:rsidRPr="006C3FF3">
        <w:rPr>
          <w:rFonts w:ascii="Arial" w:hAnsi="Arial" w:cs="Arial"/>
          <w:b/>
        </w:rPr>
        <w:t xml:space="preserve"> Sala </w:t>
      </w:r>
      <w:r>
        <w:rPr>
          <w:rFonts w:ascii="Arial" w:hAnsi="Arial" w:cs="Arial"/>
          <w:b/>
        </w:rPr>
        <w:t>Civil</w:t>
      </w:r>
    </w:p>
    <w:p w:rsidR="00604C4F" w:rsidRDefault="00604C4F" w:rsidP="00604C4F">
      <w:pPr>
        <w:jc w:val="center"/>
        <w:outlineLvl w:val="0"/>
        <w:rPr>
          <w:rFonts w:ascii="Arial" w:hAnsi="Arial" w:cs="Arial"/>
          <w:b/>
        </w:rPr>
      </w:pPr>
    </w:p>
    <w:p w:rsidR="00604C4F" w:rsidRDefault="00604C4F" w:rsidP="00604C4F">
      <w:pPr>
        <w:jc w:val="center"/>
        <w:outlineLvl w:val="0"/>
        <w:rPr>
          <w:rFonts w:ascii="Arial" w:hAnsi="Arial" w:cs="Arial"/>
          <w:b/>
        </w:rPr>
      </w:pPr>
    </w:p>
    <w:p w:rsidR="00604C4F" w:rsidRDefault="00604C4F" w:rsidP="00604C4F">
      <w:pPr>
        <w:jc w:val="center"/>
        <w:outlineLvl w:val="0"/>
        <w:rPr>
          <w:rFonts w:ascii="Arial" w:hAnsi="Arial" w:cs="Arial"/>
          <w:b/>
          <w:sz w:val="20"/>
          <w:szCs w:val="20"/>
        </w:rPr>
      </w:pPr>
    </w:p>
    <w:p w:rsidR="00604C4F" w:rsidRPr="008E7ED2" w:rsidRDefault="00604C4F" w:rsidP="00604C4F">
      <w:pPr>
        <w:jc w:val="center"/>
        <w:outlineLvl w:val="0"/>
        <w:rPr>
          <w:rFonts w:ascii="Arial" w:hAnsi="Arial" w:cs="Arial"/>
          <w:b/>
          <w:sz w:val="20"/>
          <w:szCs w:val="20"/>
        </w:rPr>
      </w:pPr>
    </w:p>
    <w:p w:rsidR="00502FC1" w:rsidRDefault="00502FC1" w:rsidP="00502FC1">
      <w:pPr>
        <w:jc w:val="center"/>
        <w:outlineLvl w:val="0"/>
        <w:rPr>
          <w:rFonts w:ascii="Arial" w:hAnsi="Arial" w:cs="Arial"/>
          <w:b/>
        </w:rPr>
      </w:pPr>
    </w:p>
    <w:p w:rsidR="00502FC1" w:rsidRDefault="00502FC1" w:rsidP="00502FC1">
      <w:pPr>
        <w:jc w:val="center"/>
        <w:outlineLvl w:val="0"/>
        <w:rPr>
          <w:rFonts w:ascii="Arial" w:hAnsi="Arial" w:cs="Arial"/>
          <w:b/>
        </w:rPr>
      </w:pPr>
      <w:r>
        <w:rPr>
          <w:rFonts w:ascii="Arial" w:hAnsi="Arial" w:cs="Arial"/>
          <w:b/>
        </w:rPr>
        <w:t>1.2. 1</w:t>
      </w:r>
    </w:p>
    <w:p w:rsidR="00502FC1" w:rsidRDefault="00502FC1" w:rsidP="00502FC1">
      <w:pPr>
        <w:jc w:val="center"/>
        <w:outlineLvl w:val="0"/>
        <w:rPr>
          <w:rFonts w:ascii="Arial" w:hAnsi="Arial" w:cs="Arial"/>
          <w:b/>
        </w:rPr>
      </w:pPr>
    </w:p>
    <w:p w:rsidR="00502FC1" w:rsidRDefault="00502FC1" w:rsidP="00502FC1">
      <w:pPr>
        <w:jc w:val="center"/>
        <w:outlineLvl w:val="0"/>
        <w:rPr>
          <w:rFonts w:ascii="Arial" w:hAnsi="Arial" w:cs="Arial"/>
          <w:b/>
        </w:rPr>
      </w:pPr>
      <w:r>
        <w:rPr>
          <w:rFonts w:ascii="Arial" w:hAnsi="Arial" w:cs="Arial"/>
          <w:b/>
        </w:rPr>
        <w:t xml:space="preserve">Sala de Familia </w:t>
      </w:r>
    </w:p>
    <w:p w:rsidR="00502FC1" w:rsidRDefault="00502FC1" w:rsidP="00502FC1">
      <w:pPr>
        <w:jc w:val="center"/>
        <w:outlineLvl w:val="0"/>
        <w:rPr>
          <w:rFonts w:ascii="Arial" w:hAnsi="Arial" w:cs="Arial"/>
          <w:b/>
        </w:rPr>
      </w:pPr>
    </w:p>
    <w:p w:rsidR="00502FC1" w:rsidRDefault="00502FC1" w:rsidP="00502FC1">
      <w:pPr>
        <w:jc w:val="center"/>
        <w:outlineLvl w:val="0"/>
        <w:rPr>
          <w:rFonts w:ascii="Arial" w:hAnsi="Arial" w:cs="Arial"/>
          <w:b/>
        </w:rPr>
      </w:pPr>
    </w:p>
    <w:p w:rsidR="00502FC1" w:rsidRPr="004F5AB4" w:rsidRDefault="00502FC1" w:rsidP="00502FC1">
      <w:pPr>
        <w:jc w:val="both"/>
        <w:outlineLvl w:val="0"/>
        <w:rPr>
          <w:rFonts w:ascii="Arial" w:hAnsi="Arial" w:cs="Arial"/>
          <w:b/>
          <w:sz w:val="20"/>
          <w:szCs w:val="20"/>
        </w:rPr>
      </w:pPr>
      <w:r>
        <w:rPr>
          <w:rFonts w:ascii="Arial" w:hAnsi="Arial" w:cs="Arial"/>
          <w:b/>
          <w:i/>
          <w:sz w:val="20"/>
          <w:szCs w:val="20"/>
          <w:lang w:val="es-MX"/>
        </w:rPr>
        <w:t>“</w:t>
      </w:r>
      <w:r w:rsidRPr="004F5AB4">
        <w:rPr>
          <w:rFonts w:ascii="Arial" w:hAnsi="Arial" w:cs="Arial"/>
          <w:b/>
          <w:i/>
          <w:sz w:val="20"/>
          <w:szCs w:val="20"/>
          <w:lang w:val="es-MX"/>
        </w:rPr>
        <w:t xml:space="preserve">DE ACUERDO CON EL ARTÍCULO 178 DEL CÓDIGO DE LA INFANCIA Y LA ADOLESCENCIA, LAS SANCIONES SEÑALADAS EN EL ARTÍCULO 177 TIENEN UNA FINALIDAD PROTECTORA, EDUCATIVA Y RESTAURATIVA, Y SE APLICARÁN CON EL APOYO DE LA FAMILIA Y DE ESPECIALISTAS.  ASÍ MISMO, CONTEMPLA LA POSIBILIDAD DE MODIFICAR LAS MEDIDAS IMPUESTAS, “EN FUNCIÓN DE LAS CIRCUNSTANCIAS INDIVIDUALES DEL ADOLESCENTE Y SUS NECESIDADES”. </w:t>
      </w:r>
    </w:p>
    <w:p w:rsidR="00502FC1" w:rsidRPr="004F5AB4" w:rsidRDefault="00502FC1" w:rsidP="00502FC1">
      <w:pPr>
        <w:jc w:val="both"/>
        <w:outlineLvl w:val="0"/>
        <w:rPr>
          <w:rFonts w:ascii="Arial" w:hAnsi="Arial" w:cs="Arial"/>
          <w:b/>
          <w:sz w:val="20"/>
          <w:szCs w:val="20"/>
        </w:rPr>
      </w:pPr>
    </w:p>
    <w:p w:rsidR="00502FC1" w:rsidRPr="004F5AB4" w:rsidRDefault="00502FC1" w:rsidP="00502FC1">
      <w:pPr>
        <w:jc w:val="both"/>
        <w:outlineLvl w:val="0"/>
        <w:rPr>
          <w:rFonts w:ascii="Arial" w:hAnsi="Arial" w:cs="Arial"/>
          <w:b/>
          <w:sz w:val="20"/>
          <w:szCs w:val="20"/>
        </w:rPr>
      </w:pPr>
      <w:r w:rsidRPr="004F5AB4">
        <w:rPr>
          <w:rFonts w:ascii="Arial" w:hAnsi="Arial" w:cs="Arial"/>
          <w:b/>
          <w:i/>
          <w:sz w:val="20"/>
          <w:szCs w:val="20"/>
          <w:lang w:val="es-MX"/>
        </w:rPr>
        <w:t>POR OTRA PARTE, EL INCISO TERCERO DEL ARTÍCULO 187 DEL CÓDIGO DE LA INFANCIA Y LA ADOLESCENCIA (LEY 1098 DE 2006), ESTABLECE QUE “PARTE DE LA SANCIÓN IMPUESTA PODRÁ SER SUSTITUIDA POR EL ESTABLECIMIENTO DE PRESENTACIONES PERIÓDICAS, SERVICIOS A LA COMUNIDAD, EL COMPROMISO DE NO VOLVER A DELINQUIR Y GUARDAR BUEN COMPORTAMIENTO, POR EL TIEMPO QUE FIJE EL JUEZ.  EL INCUMPLIMIENTO DE ESTOS COMPROMISOS ACARREARÁ LA PÉRDIDA DE ESTOS BENEFICIOS Y EL CUMPLIMIENTO DEL RESTO DE LA SANCIÓN INICIALMENTE IMPUESTA BAJO PRIVACIÓN DE LA LIBERTAD”.</w:t>
      </w:r>
    </w:p>
    <w:p w:rsidR="00502FC1" w:rsidRDefault="00502FC1" w:rsidP="00502FC1">
      <w:pPr>
        <w:jc w:val="both"/>
        <w:rPr>
          <w:rFonts w:ascii="Arial" w:hAnsi="Arial" w:cs="Arial"/>
          <w:b/>
          <w:i/>
          <w:sz w:val="20"/>
          <w:szCs w:val="20"/>
        </w:rPr>
      </w:pPr>
    </w:p>
    <w:p w:rsidR="00502FC1" w:rsidRDefault="00502FC1" w:rsidP="00502FC1">
      <w:pPr>
        <w:jc w:val="both"/>
        <w:rPr>
          <w:rFonts w:ascii="Arial" w:hAnsi="Arial" w:cs="Arial"/>
          <w:b/>
          <w:i/>
          <w:sz w:val="20"/>
          <w:szCs w:val="20"/>
        </w:rPr>
      </w:pPr>
      <w:r>
        <w:rPr>
          <w:rFonts w:ascii="Arial" w:hAnsi="Arial" w:cs="Arial"/>
          <w:b/>
          <w:i/>
          <w:sz w:val="20"/>
          <w:szCs w:val="20"/>
        </w:rPr>
        <w:t xml:space="preserve"> (…)</w:t>
      </w:r>
    </w:p>
    <w:p w:rsidR="00502FC1" w:rsidRDefault="00502FC1" w:rsidP="00502FC1">
      <w:pPr>
        <w:jc w:val="both"/>
        <w:rPr>
          <w:rFonts w:ascii="Arial" w:hAnsi="Arial" w:cs="Arial"/>
          <w:b/>
          <w:i/>
          <w:sz w:val="20"/>
          <w:szCs w:val="20"/>
        </w:rPr>
      </w:pPr>
      <w:r>
        <w:rPr>
          <w:rFonts w:ascii="Arial" w:hAnsi="Arial" w:cs="Arial"/>
          <w:b/>
          <w:i/>
          <w:sz w:val="20"/>
          <w:szCs w:val="20"/>
        </w:rPr>
        <w:t xml:space="preserve"> </w:t>
      </w:r>
    </w:p>
    <w:p w:rsidR="00502FC1" w:rsidRPr="005A37CA" w:rsidRDefault="00502FC1" w:rsidP="00502FC1">
      <w:pPr>
        <w:jc w:val="both"/>
        <w:rPr>
          <w:rFonts w:ascii="Arial" w:hAnsi="Arial" w:cs="Arial"/>
          <w:b/>
          <w:i/>
          <w:sz w:val="20"/>
          <w:szCs w:val="20"/>
        </w:rPr>
      </w:pPr>
      <w:r w:rsidRPr="005A37CA">
        <w:rPr>
          <w:rFonts w:ascii="Arial" w:hAnsi="Arial" w:cs="Arial"/>
          <w:i/>
          <w:sz w:val="20"/>
          <w:szCs w:val="20"/>
        </w:rPr>
        <w:t xml:space="preserve">Procede la Sala a resolver el recurso de apelación interpuesto por el señor apoderado de confianza del adolescente C. A. C. G. en contra del auto calendado el dieciséis (16) de diciembre de dos mil once (2011), mediante el cual negó la modificación de la medida impuesta en la sentencia. </w:t>
      </w:r>
    </w:p>
    <w:p w:rsidR="00502FC1" w:rsidRPr="00596101" w:rsidRDefault="00502FC1" w:rsidP="00502FC1">
      <w:pPr>
        <w:spacing w:line="360" w:lineRule="auto"/>
        <w:ind w:firstLine="709"/>
        <w:jc w:val="both"/>
        <w:rPr>
          <w:rFonts w:ascii="Arial" w:hAnsi="Arial" w:cs="Arial"/>
          <w:i/>
          <w:lang w:val="es-MX"/>
        </w:rPr>
      </w:pPr>
    </w:p>
    <w:p w:rsidR="00502FC1" w:rsidRPr="004F5AB4" w:rsidRDefault="00502FC1" w:rsidP="00502FC1">
      <w:pPr>
        <w:jc w:val="both"/>
        <w:rPr>
          <w:rFonts w:ascii="Arial" w:hAnsi="Arial" w:cs="Arial"/>
          <w:b/>
          <w:i/>
          <w:sz w:val="20"/>
          <w:szCs w:val="20"/>
        </w:rPr>
      </w:pPr>
    </w:p>
    <w:p w:rsidR="00502FC1" w:rsidRPr="004F5AB4" w:rsidRDefault="00502FC1" w:rsidP="00502FC1">
      <w:pPr>
        <w:jc w:val="both"/>
        <w:rPr>
          <w:rFonts w:ascii="Arial" w:hAnsi="Arial" w:cs="Arial"/>
          <w:b/>
          <w:i/>
          <w:sz w:val="20"/>
          <w:szCs w:val="20"/>
        </w:rPr>
      </w:pPr>
      <w:r w:rsidRPr="004F5AB4">
        <w:rPr>
          <w:rFonts w:ascii="Arial" w:hAnsi="Arial" w:cs="Arial"/>
          <w:i/>
          <w:sz w:val="20"/>
          <w:szCs w:val="20"/>
          <w:lang w:val="es-MX"/>
        </w:rPr>
        <w:t>E</w:t>
      </w:r>
      <w:r w:rsidRPr="004F5AB4">
        <w:rPr>
          <w:rFonts w:ascii="Arial" w:hAnsi="Arial" w:cs="Arial"/>
          <w:i/>
          <w:sz w:val="20"/>
          <w:szCs w:val="20"/>
        </w:rPr>
        <w:t>l nueve (9) de noviembre de dos mil nueve (2009) en la calle 68A No. 1B- Este aproximadamente a las 18:39 horas, el adolescente C. A. C. G., luego de llamar al hoy fallecido ÁRNOL RODRÍGUEZ BORDA para que se acercara al vehículo taxi conducido por el señor EDUARDO CHOCONTÁ, hermano del adolescente, le propinó una lesión precordial con arma blanca, la cual causó la muerte al joven ya mencionado, quien falleció momentos después en el Hospital Tunal, procediendo a huir del lugar de los hechos.</w:t>
      </w:r>
    </w:p>
    <w:p w:rsidR="00502FC1" w:rsidRPr="004F5AB4" w:rsidRDefault="00502FC1" w:rsidP="00502FC1">
      <w:pPr>
        <w:jc w:val="both"/>
        <w:rPr>
          <w:rFonts w:ascii="Arial" w:hAnsi="Arial" w:cs="Arial"/>
          <w:b/>
          <w:i/>
          <w:sz w:val="20"/>
          <w:szCs w:val="20"/>
        </w:rPr>
      </w:pPr>
    </w:p>
    <w:p w:rsidR="00502FC1" w:rsidRPr="004F5AB4" w:rsidRDefault="00502FC1" w:rsidP="00502FC1">
      <w:pPr>
        <w:jc w:val="both"/>
        <w:rPr>
          <w:rFonts w:ascii="Arial" w:hAnsi="Arial" w:cs="Arial"/>
          <w:b/>
          <w:i/>
          <w:sz w:val="20"/>
          <w:szCs w:val="20"/>
        </w:rPr>
      </w:pPr>
      <w:r w:rsidRPr="004F5AB4">
        <w:rPr>
          <w:rFonts w:ascii="Arial" w:hAnsi="Arial" w:cs="Arial"/>
          <w:i/>
          <w:sz w:val="20"/>
          <w:szCs w:val="20"/>
          <w:lang w:val="es-MX"/>
        </w:rPr>
        <w:t>Surtido el trámite del proceso ordinario ante la no aceptación de los cargos que fueron imputados al citado adolescente, culminó la instancia mediante sentencia proferida el ocho (8) de abril de dos mil diez (2010), en la que el Juzgado Segundo Penal para adolescentes con función de conocimiento declaró al joven C. A. C. G. como autor material responsable del delito de Homicidio Agravado y le impuso como sanción, la privación de la libertad en centro de atención por el término de treinta y seis meses, teniendo como parte cumplida de la sanción, los cinco meses que ha estado bajo internamiento preventivo, sentencia que fue apelada por el señor Fiscal, el señor Defensor Técnico y el apoderado de la víctima.</w:t>
      </w:r>
    </w:p>
    <w:p w:rsidR="00502FC1" w:rsidRDefault="00502FC1" w:rsidP="00502FC1">
      <w:pPr>
        <w:spacing w:line="360" w:lineRule="auto"/>
        <w:ind w:firstLine="1418"/>
        <w:rPr>
          <w:rFonts w:ascii="Arial" w:hAnsi="Arial" w:cs="Arial"/>
          <w:i/>
          <w:lang w:val="es-MX"/>
        </w:rPr>
      </w:pPr>
      <w:r>
        <w:rPr>
          <w:rFonts w:ascii="Arial" w:hAnsi="Arial" w:cs="Arial"/>
          <w:i/>
          <w:lang w:val="es-MX"/>
        </w:rPr>
        <w:t>(…)</w:t>
      </w:r>
    </w:p>
    <w:p w:rsidR="00502FC1" w:rsidRPr="004F5AB4" w:rsidRDefault="00502FC1" w:rsidP="00502FC1">
      <w:pPr>
        <w:jc w:val="both"/>
        <w:rPr>
          <w:rFonts w:ascii="Arial" w:hAnsi="Arial" w:cs="Arial"/>
          <w:spacing w:val="-3"/>
          <w:sz w:val="20"/>
          <w:szCs w:val="20"/>
        </w:rPr>
      </w:pPr>
      <w:r w:rsidRPr="006A0BF9">
        <w:rPr>
          <w:rFonts w:ascii="Arial" w:hAnsi="Arial" w:cs="Arial"/>
          <w:i/>
          <w:sz w:val="20"/>
          <w:szCs w:val="20"/>
          <w:lang w:val="es-MX"/>
        </w:rPr>
        <w:t xml:space="preserve">El apoderado judicial del joven C. A. C. G., mediante escrito presentado el 18 de noviembre de 2011, que obra a folio 113 de la carpeta, solicitó la sustitución de la sanción de privación de la libertad teniendo en cuenta los avances que ha presentado el mismo, conforme se demuestra con el informe de fecha 9 de noviembre de 2011 en el que se resalta que ingresó </w:t>
      </w:r>
      <w:r w:rsidRPr="006A0BF9">
        <w:rPr>
          <w:rFonts w:ascii="Arial" w:hAnsi="Arial" w:cs="Arial"/>
          <w:i/>
          <w:sz w:val="20"/>
          <w:szCs w:val="20"/>
          <w:lang w:val="es-MX"/>
        </w:rPr>
        <w:lastRenderedPageBreak/>
        <w:t xml:space="preserve">con grado séptimo y terminó el bachillerato, además fue personero por elección de los compañeros; sustentó la solicitud en la Constitución Política, en el bloque de constitucionalidad en lo relacionado con los tratados internacionales celebrados por Colombia como la Convención de los Derechos de los Niños, Niñas y Adolescentes, artículo 37 liberal b), artículo 40-4; las reglas de Beijing 17 punto 1 literal b y c, numeral 4º, 19, 23,2, 28 normatividad de la que se establece que “el tiempo que los adolescentes sean privados de la libertad sea el mínimo posible”, aunado a lo establecido en los artículos 178 y 179 de la ley 1098 de 2006, en cuanto dispone que la finalidad de la sanción es protectora, educativa y restaurativa; solicita por ello, se conceda la sustitución de la sanción a fin de poderle brindar al adolescente la posibilidad de realizar el proyecto de vida que consiste en trabajar en el sector de transporte con su familia. </w:t>
      </w:r>
    </w:p>
    <w:p w:rsidR="00502FC1" w:rsidRPr="006A0BF9" w:rsidRDefault="00502FC1" w:rsidP="00502FC1">
      <w:pPr>
        <w:ind w:firstLine="1418"/>
        <w:jc w:val="both"/>
        <w:rPr>
          <w:rFonts w:ascii="Arial" w:hAnsi="Arial" w:cs="Arial"/>
          <w:i/>
          <w:sz w:val="20"/>
          <w:szCs w:val="20"/>
          <w:lang w:val="es-MX"/>
        </w:rPr>
      </w:pPr>
    </w:p>
    <w:p w:rsidR="00502FC1" w:rsidRPr="006A0BF9" w:rsidRDefault="00502FC1" w:rsidP="00502FC1">
      <w:pPr>
        <w:ind w:firstLine="1418"/>
        <w:jc w:val="both"/>
        <w:rPr>
          <w:rFonts w:ascii="Arial" w:hAnsi="Arial" w:cs="Arial"/>
          <w:i/>
          <w:sz w:val="20"/>
          <w:szCs w:val="20"/>
          <w:lang w:val="es-MX"/>
        </w:rPr>
      </w:pPr>
      <w:r w:rsidRPr="006A0BF9">
        <w:rPr>
          <w:rFonts w:ascii="Arial" w:hAnsi="Arial" w:cs="Arial"/>
          <w:b/>
          <w:i/>
          <w:sz w:val="20"/>
          <w:szCs w:val="20"/>
          <w:lang w:val="es-MX"/>
        </w:rPr>
        <w:t>3.1.</w:t>
      </w:r>
      <w:r w:rsidRPr="006A0BF9">
        <w:rPr>
          <w:rFonts w:ascii="Arial" w:hAnsi="Arial" w:cs="Arial"/>
          <w:i/>
          <w:sz w:val="20"/>
          <w:szCs w:val="20"/>
          <w:lang w:val="es-MX"/>
        </w:rPr>
        <w:t xml:space="preserve"> El Juzgado, por auto del dieciséis (16) de diciembre de dos mil once (2011) negó la solicitud presentada y ordenó que C. A. G. continuara cumpliendo con la sanción impuesta en la Escuela de Trabajo El Redentor; motivó la decisión comentada en que se han valorado los avances obtenidos por el citado adolescente; que el mismo fue sentenciado y sancionado por esta Corporación por el término de treinta y seis meses de los cuales, hasta la fecha, “ha descontado veinticinco meses”; que en razón a la naturaleza pedagógica de la sanción, atendiendo a la evolución del proceso educativo del adolescente “y según los conceptos del equipo interdisciplinario de la institución y del Grupo de Seguimiento en la ejecución de sanción, el joven, quien cuenta con 18 años de edad, debe seguir cumpliendo con la sanción; le falta hacer conciencia y reconocimiento del daño causado a las víctimas con su actuar”. </w:t>
      </w:r>
    </w:p>
    <w:p w:rsidR="00502FC1" w:rsidRPr="006A0BF9" w:rsidRDefault="00502FC1" w:rsidP="00502FC1">
      <w:pPr>
        <w:ind w:firstLine="1418"/>
        <w:jc w:val="both"/>
        <w:rPr>
          <w:rFonts w:ascii="Arial" w:hAnsi="Arial" w:cs="Arial"/>
          <w:i/>
          <w:sz w:val="20"/>
          <w:szCs w:val="20"/>
          <w:lang w:val="es-MX"/>
        </w:rPr>
      </w:pPr>
    </w:p>
    <w:p w:rsidR="00502FC1" w:rsidRPr="006A0BF9" w:rsidRDefault="00502FC1" w:rsidP="00502FC1">
      <w:pPr>
        <w:ind w:firstLine="1418"/>
        <w:jc w:val="both"/>
        <w:rPr>
          <w:rFonts w:ascii="Arial" w:hAnsi="Arial" w:cs="Arial"/>
          <w:i/>
          <w:sz w:val="20"/>
          <w:szCs w:val="20"/>
          <w:lang w:val="es-MX"/>
        </w:rPr>
      </w:pPr>
      <w:r w:rsidRPr="006A0BF9">
        <w:rPr>
          <w:rFonts w:ascii="Arial" w:hAnsi="Arial" w:cs="Arial"/>
          <w:i/>
          <w:sz w:val="20"/>
          <w:szCs w:val="20"/>
          <w:lang w:val="es-MX"/>
        </w:rPr>
        <w:t>Que la sanción, antes de representar un castigo, constituye consecuencias jurídicas que deben asumir los menores infractores de la ley penal, siendo medidas de protección con las que el Estado busca proporcionar a los adolescentes las condiciones adecuadas para su normal desarrollo, asumiendo que las falencias en su entorno social y familiar es lo que los ha llevado a cometer conductas delictivas.</w:t>
      </w:r>
    </w:p>
    <w:p w:rsidR="00502FC1" w:rsidRPr="006A0BF9" w:rsidRDefault="00502FC1" w:rsidP="00502FC1">
      <w:pPr>
        <w:ind w:firstLine="1418"/>
        <w:jc w:val="both"/>
        <w:rPr>
          <w:rFonts w:ascii="Arial" w:hAnsi="Arial" w:cs="Arial"/>
          <w:i/>
          <w:sz w:val="20"/>
          <w:szCs w:val="20"/>
          <w:lang w:val="es-MX"/>
        </w:rPr>
      </w:pPr>
    </w:p>
    <w:p w:rsidR="00502FC1" w:rsidRDefault="00502FC1" w:rsidP="00502FC1">
      <w:pPr>
        <w:ind w:firstLine="1418"/>
        <w:jc w:val="both"/>
        <w:rPr>
          <w:rFonts w:ascii="Arial" w:hAnsi="Arial" w:cs="Arial"/>
          <w:i/>
          <w:lang w:val="es-MX"/>
        </w:rPr>
      </w:pPr>
      <w:r w:rsidRPr="006A0BF9">
        <w:rPr>
          <w:rFonts w:ascii="Arial" w:hAnsi="Arial" w:cs="Arial"/>
          <w:b/>
          <w:i/>
          <w:sz w:val="20"/>
          <w:szCs w:val="20"/>
          <w:lang w:val="es-MX"/>
        </w:rPr>
        <w:t>3.2.</w:t>
      </w:r>
      <w:r w:rsidRPr="006A0BF9">
        <w:rPr>
          <w:rFonts w:ascii="Arial" w:hAnsi="Arial" w:cs="Arial"/>
          <w:i/>
          <w:sz w:val="20"/>
          <w:szCs w:val="20"/>
          <w:lang w:val="es-MX"/>
        </w:rPr>
        <w:t xml:space="preserve"> Inconforme con la anterior determinación, el señor apoderado del adolescente, interpuso el recurso de apelación, aduciendo que el a quo al momento de resolver la solicitud, no tuvo en cuenta los diferentes tratados internacionales como la Convención de los Derechos de los Niños Niñas y Adolescentes, las reglas de Beijing, por cuanto el principio de la última ratio de privación de libertad se aplica no solamente al momento de fijar la sanción como sucedió en este caso, sino que esta debe ser por el menor tiempo posible, lo que va aunado a la medida de sustitución de la sanción que es no dejar sin sanción al adolescente, sino sustituirla por una más benévola.  Que C. A. es un adolescente que cuenta con más de 18 años, que cuando ingresó había alcanzado el séptimo grado y ahora es bachiller; que siendo personero en la institución, adelantó un curso en el Sena, tiene una compañera con quien tiene un hijo, asume su rol y tiene un proyecto de vida definido que consiste en trabajar con un familiar.  Que no se desconoce la gravedad del delito, pero el legislador no ha negado la posibilidad de la sustitución de la sanción, razón por la que solicita a esta Corporación, revocar el auto censurado y conceder al adolescente la sustitución de la sanción y darle la oportunidad de realizar su proyecto de vida y ser útil a la sociedad con el acompañamiento de su familia</w:t>
      </w:r>
      <w:r>
        <w:rPr>
          <w:rFonts w:ascii="Arial" w:hAnsi="Arial" w:cs="Arial"/>
          <w:i/>
          <w:lang w:val="es-MX"/>
        </w:rPr>
        <w:t xml:space="preserve">. </w:t>
      </w:r>
    </w:p>
    <w:p w:rsidR="00502FC1" w:rsidRDefault="00502FC1" w:rsidP="00502FC1">
      <w:pPr>
        <w:pStyle w:val="Textoindependienteprimerasangra"/>
        <w:jc w:val="both"/>
        <w:rPr>
          <w:rFonts w:ascii="Arial" w:hAnsi="Arial" w:cs="Arial"/>
          <w:b/>
          <w:i/>
          <w:iCs/>
        </w:rPr>
      </w:pPr>
    </w:p>
    <w:p w:rsidR="00502FC1" w:rsidRDefault="00502FC1" w:rsidP="00502FC1">
      <w:pPr>
        <w:pStyle w:val="Textoindependienteprimerasangra"/>
        <w:jc w:val="both"/>
        <w:rPr>
          <w:rFonts w:ascii="Arial" w:hAnsi="Arial" w:cs="Arial"/>
          <w:b/>
          <w:i/>
          <w:iCs/>
        </w:rPr>
      </w:pPr>
      <w:r w:rsidRPr="007D46D4">
        <w:rPr>
          <w:rFonts w:ascii="Arial" w:hAnsi="Arial" w:cs="Arial"/>
          <w:b/>
          <w:i/>
          <w:iCs/>
        </w:rPr>
        <w:t xml:space="preserve"> (…)    </w:t>
      </w:r>
    </w:p>
    <w:p w:rsidR="00502FC1" w:rsidRPr="007D46D4" w:rsidRDefault="00502FC1" w:rsidP="00502FC1">
      <w:pPr>
        <w:ind w:firstLine="1418"/>
        <w:jc w:val="both"/>
        <w:rPr>
          <w:rFonts w:ascii="Arial" w:hAnsi="Arial" w:cs="Arial"/>
          <w:b/>
          <w:i/>
          <w:sz w:val="20"/>
          <w:szCs w:val="20"/>
          <w:lang w:val="es-MX"/>
        </w:rPr>
      </w:pPr>
      <w:r w:rsidRPr="007D46D4">
        <w:rPr>
          <w:rFonts w:ascii="Arial" w:hAnsi="Arial" w:cs="Arial"/>
          <w:i/>
          <w:sz w:val="20"/>
          <w:szCs w:val="20"/>
          <w:lang w:val="es-MX"/>
        </w:rPr>
        <w:t xml:space="preserve">Sobre el alcance de la disposición transcrita, la Sala de Casación Penal en sentencia del siete (7) de julio de dos mil diez (2010), radicación </w:t>
      </w:r>
      <w:smartTag w:uri="urn:schemas-microsoft-com:office:smarttags" w:element="metricconverter">
        <w:smartTagPr>
          <w:attr w:name="ProductID" w:val="33519, M"/>
        </w:smartTagPr>
        <w:r w:rsidRPr="007D46D4">
          <w:rPr>
            <w:rFonts w:ascii="Arial" w:hAnsi="Arial" w:cs="Arial"/>
            <w:i/>
            <w:sz w:val="20"/>
            <w:szCs w:val="20"/>
            <w:lang w:val="es-MX"/>
          </w:rPr>
          <w:t>33519, M</w:t>
        </w:r>
      </w:smartTag>
      <w:r w:rsidRPr="007D46D4">
        <w:rPr>
          <w:rFonts w:ascii="Arial" w:hAnsi="Arial" w:cs="Arial"/>
          <w:i/>
          <w:sz w:val="20"/>
          <w:szCs w:val="20"/>
          <w:lang w:val="es-MX"/>
        </w:rPr>
        <w:t>.P. No. Dr. JULIO ENRIQUE SOCHA SALAMANCA, acotó:  “</w:t>
      </w:r>
      <w:r w:rsidRPr="007D46D4">
        <w:rPr>
          <w:rFonts w:ascii="Arial" w:hAnsi="Arial" w:cs="Arial"/>
          <w:b/>
          <w:i/>
          <w:sz w:val="20"/>
          <w:szCs w:val="20"/>
          <w:lang w:val="es-MX"/>
        </w:rPr>
        <w:t>cualquiera que sea la medida impuesta, en el curso de su ejecución, de acuerdo con las circunstancias individuales del menor transgresor y sus necesidades especiales, el juez puede modificarla o sustituirla por otra de las previstas en la legislación en cuestión teniendo en cuenta el principio de progresividad, esto es, por una menos restrictiva, y por el tiempo que considere pertinente, sin que pueda exceder los límites fijados en las respectivas disposiciones ni el lapso de ejecución que reste de la modificada o sustituida; cuando se trate de la privación de la libertad, el cumplimiento del adolescente infractor de los respectivos compromisos, acarreará la satisfacción del arresto de la sanción inicialmente asignada</w:t>
      </w:r>
      <w:r w:rsidRPr="007D46D4">
        <w:rPr>
          <w:rStyle w:val="Refdenotaalpie"/>
          <w:rFonts w:ascii="Arial" w:hAnsi="Arial" w:cs="Arial"/>
          <w:b/>
          <w:i/>
          <w:sz w:val="20"/>
          <w:szCs w:val="20"/>
          <w:lang w:val="es-MX"/>
        </w:rPr>
        <w:footnoteReference w:id="1"/>
      </w:r>
      <w:r w:rsidRPr="007D46D4">
        <w:rPr>
          <w:rFonts w:ascii="Arial" w:hAnsi="Arial" w:cs="Arial"/>
          <w:b/>
          <w:i/>
          <w:sz w:val="20"/>
          <w:szCs w:val="20"/>
          <w:lang w:val="es-MX"/>
        </w:rPr>
        <w:t>”.</w:t>
      </w:r>
    </w:p>
    <w:p w:rsidR="00502FC1" w:rsidRPr="007D46D4" w:rsidRDefault="00502FC1" w:rsidP="00502FC1">
      <w:pPr>
        <w:ind w:firstLine="1418"/>
        <w:jc w:val="both"/>
        <w:rPr>
          <w:rFonts w:ascii="Arial" w:hAnsi="Arial" w:cs="Arial"/>
          <w:i/>
          <w:sz w:val="20"/>
          <w:szCs w:val="20"/>
          <w:lang w:val="es-MX"/>
        </w:rPr>
      </w:pPr>
    </w:p>
    <w:p w:rsidR="00502FC1" w:rsidRPr="007D46D4" w:rsidRDefault="00502FC1" w:rsidP="00502FC1">
      <w:pPr>
        <w:ind w:firstLine="1418"/>
        <w:jc w:val="both"/>
        <w:rPr>
          <w:rFonts w:ascii="Arial" w:hAnsi="Arial" w:cs="Arial"/>
          <w:i/>
          <w:sz w:val="20"/>
          <w:szCs w:val="20"/>
          <w:lang w:val="es-MX"/>
        </w:rPr>
      </w:pPr>
      <w:r w:rsidRPr="007D46D4">
        <w:rPr>
          <w:rFonts w:ascii="Arial" w:hAnsi="Arial" w:cs="Arial"/>
          <w:i/>
          <w:sz w:val="20"/>
          <w:szCs w:val="20"/>
          <w:lang w:val="es-MX"/>
        </w:rPr>
        <w:t xml:space="preserve">Conforme con los anteriores derroteros, se advierte que el legislador previó el mecanismo sustitutivo de la medida, no solo en aplicación de los principios de protección integral de los menores, la prevalencia de sus derechos y el interés superior de los niños, niñas y adolescentes, sino también, en razón de la propia naturaleza pedagógica de la sanción prevista en el Código de la Infancia y la Adolescencia (artículo </w:t>
      </w:r>
      <w:smartTag w:uri="urn:schemas-microsoft-com:office:smarttags" w:element="metricconverter">
        <w:smartTagPr>
          <w:attr w:name="ProductID" w:val="161 in"/>
        </w:smartTagPr>
        <w:r w:rsidRPr="007D46D4">
          <w:rPr>
            <w:rFonts w:ascii="Arial" w:hAnsi="Arial" w:cs="Arial"/>
            <w:i/>
            <w:sz w:val="20"/>
            <w:szCs w:val="20"/>
            <w:lang w:val="es-MX"/>
          </w:rPr>
          <w:t>161 in</w:t>
        </w:r>
      </w:smartTag>
      <w:r w:rsidRPr="007D46D4">
        <w:rPr>
          <w:rFonts w:ascii="Arial" w:hAnsi="Arial" w:cs="Arial"/>
          <w:i/>
          <w:sz w:val="20"/>
          <w:szCs w:val="20"/>
          <w:lang w:val="es-MX"/>
        </w:rPr>
        <w:t xml:space="preserve"> fine); principios que permiten la flexibilidad en la aplicación de las medidas, atendiendo la evolución del comportamiento del adolescente en el centro de reclusión, y observando los conceptos </w:t>
      </w:r>
      <w:r w:rsidRPr="007D46D4">
        <w:rPr>
          <w:rFonts w:ascii="Arial" w:hAnsi="Arial" w:cs="Arial"/>
          <w:i/>
          <w:sz w:val="20"/>
          <w:szCs w:val="20"/>
          <w:lang w:val="es-MX"/>
        </w:rPr>
        <w:lastRenderedPageBreak/>
        <w:t>especializados de los equipos interdisciplinarios, de lo cual se deriva, que la sanción impuesta en la sentencia, pueda ser modificada en un futuro, porque el juez que conoce de asuntos penales para adolescentes, goza, al momento de determinar la sanción a imponer o su continuidad, de un marco de discrecionalidad relativa orientada por el concepto que rindan los profesionales del equipo interdisciplinario.</w:t>
      </w:r>
    </w:p>
    <w:p w:rsidR="00502FC1" w:rsidRPr="007D46D4" w:rsidRDefault="00502FC1" w:rsidP="00502FC1">
      <w:pPr>
        <w:ind w:firstLine="709"/>
        <w:jc w:val="both"/>
        <w:rPr>
          <w:rFonts w:ascii="Arial" w:hAnsi="Arial" w:cs="Arial"/>
          <w:i/>
          <w:sz w:val="20"/>
          <w:szCs w:val="20"/>
          <w:lang w:val="es-MX"/>
        </w:rPr>
      </w:pPr>
    </w:p>
    <w:p w:rsidR="00502FC1" w:rsidRPr="007D46D4" w:rsidRDefault="00502FC1" w:rsidP="00502FC1">
      <w:pPr>
        <w:pStyle w:val="Textoindependienteprimerasangra"/>
        <w:jc w:val="both"/>
        <w:rPr>
          <w:rFonts w:ascii="Arial" w:hAnsi="Arial" w:cs="Arial"/>
          <w:b/>
          <w:i/>
          <w:iCs/>
        </w:rPr>
      </w:pPr>
    </w:p>
    <w:p w:rsidR="00502FC1" w:rsidRPr="007D46D4" w:rsidRDefault="00502FC1" w:rsidP="00502FC1">
      <w:pPr>
        <w:ind w:firstLine="1418"/>
        <w:jc w:val="both"/>
        <w:rPr>
          <w:rFonts w:ascii="Arial" w:hAnsi="Arial" w:cs="Arial"/>
          <w:i/>
          <w:sz w:val="20"/>
          <w:szCs w:val="20"/>
          <w:lang w:val="es-MX"/>
        </w:rPr>
      </w:pPr>
      <w:r w:rsidRPr="007D46D4">
        <w:rPr>
          <w:rFonts w:ascii="Arial" w:hAnsi="Arial" w:cs="Arial"/>
          <w:i/>
          <w:sz w:val="20"/>
          <w:szCs w:val="20"/>
          <w:lang w:val="es-MX"/>
        </w:rPr>
        <w:t xml:space="preserve">Luego, con lo anterior, es evidente que el adolescente C. A. con la actitud desempeñada al interior de la Institución y la capacidad de liderazgo que lo ha caracterizado en la misma, demostró encontrarse apto para reincorporarse a su entorno familiar y social y desde luego, incursionar en el campo laboral para ser una persona útil para la comunidad, teniendo en cuenta el aprovechamiento de los diferentes programas académicos brindados por la Escuela de Trabajo El Redentor y el curso técnico adelantado ante el SENA, además de haber demostrado el núcleo familiar encontrarse comprometido con el adolescente; tan es así, que lo ha acompañado en todo el proceso educativo y restaurativo implementado por el Centro Educativo mencionado; luego, al haber cumplido la finalidad la medida impuesta en un comienzo en la sentencia con la que culminó el proceso penal seguido en contra del mencionado adolescente, considera la Sala viable la modificación de la misma; por ello, habrá de revocarse el auto materia de alzada y disponer la sustitución de la medida privativa de la libertad, </w:t>
      </w:r>
      <w:r w:rsidRPr="007D46D4">
        <w:rPr>
          <w:rFonts w:ascii="Arial" w:hAnsi="Arial" w:cs="Arial"/>
          <w:b/>
          <w:i/>
          <w:sz w:val="20"/>
          <w:szCs w:val="20"/>
          <w:lang w:val="es-MX"/>
        </w:rPr>
        <w:t>por la de libertad asistida</w:t>
      </w:r>
      <w:r w:rsidRPr="007D46D4">
        <w:rPr>
          <w:rFonts w:ascii="Arial" w:hAnsi="Arial" w:cs="Arial"/>
          <w:i/>
          <w:sz w:val="20"/>
          <w:szCs w:val="20"/>
          <w:lang w:val="es-MX"/>
        </w:rPr>
        <w:t xml:space="preserve"> prevista en el artículo 185 del Código de la Infancia y la Adolescencia, que consiste en “la concesión de la libertad que da la autoridad judicial al adolescente con la condición obligatoria de someterse a la supervisión, asistencia y la orientación de un programa de atención especializada”; para tal efecto, deberá el a quo adoptar las decisiones correspondientes, esto es, la atinente a la periodicidad, determinar el programa y el centro especializado donde deberá recibir el adolescente el mismo; en cuanto al término que tendrá la medida, será lo que falte para cumplir la totalidad de la sanción impuesta en el fallo que fue de  treinta y seis meses. </w:t>
      </w:r>
    </w:p>
    <w:p w:rsidR="00502FC1" w:rsidRPr="007D46D4" w:rsidRDefault="00502FC1" w:rsidP="00502FC1">
      <w:pPr>
        <w:ind w:firstLine="1418"/>
        <w:jc w:val="both"/>
        <w:rPr>
          <w:rFonts w:ascii="Arial" w:hAnsi="Arial" w:cs="Arial"/>
          <w:i/>
          <w:sz w:val="20"/>
          <w:szCs w:val="20"/>
          <w:lang w:val="es-MX"/>
        </w:rPr>
      </w:pPr>
    </w:p>
    <w:p w:rsidR="00502FC1" w:rsidRPr="007D46D4" w:rsidRDefault="00502FC1" w:rsidP="00502FC1">
      <w:pPr>
        <w:ind w:firstLine="1418"/>
        <w:jc w:val="both"/>
        <w:rPr>
          <w:rFonts w:ascii="Arial" w:hAnsi="Arial" w:cs="Arial"/>
          <w:i/>
          <w:sz w:val="20"/>
          <w:szCs w:val="20"/>
          <w:lang w:val="es-MX"/>
        </w:rPr>
      </w:pPr>
    </w:p>
    <w:p w:rsidR="00502FC1" w:rsidRPr="007D46D4" w:rsidRDefault="00502FC1" w:rsidP="00502FC1">
      <w:pPr>
        <w:ind w:firstLine="1418"/>
        <w:jc w:val="both"/>
        <w:rPr>
          <w:rFonts w:ascii="Arial" w:hAnsi="Arial" w:cs="Arial"/>
          <w:i/>
          <w:sz w:val="20"/>
          <w:szCs w:val="20"/>
          <w:lang w:val="es-MX"/>
        </w:rPr>
      </w:pPr>
    </w:p>
    <w:p w:rsidR="00502FC1" w:rsidRPr="007D46D4" w:rsidRDefault="00502FC1" w:rsidP="00502FC1">
      <w:pPr>
        <w:ind w:firstLine="1418"/>
        <w:jc w:val="both"/>
        <w:rPr>
          <w:rFonts w:ascii="Arial" w:hAnsi="Arial" w:cs="Arial"/>
          <w:i/>
          <w:sz w:val="20"/>
          <w:szCs w:val="20"/>
          <w:lang w:val="es-MX"/>
        </w:rPr>
      </w:pPr>
      <w:r w:rsidRPr="007D46D4">
        <w:rPr>
          <w:rFonts w:ascii="Arial" w:hAnsi="Arial" w:cs="Arial"/>
          <w:i/>
          <w:sz w:val="20"/>
          <w:szCs w:val="20"/>
          <w:lang w:val="es-MX"/>
        </w:rPr>
        <w:t>Por consiguiente, el adolescente C. A. C. G. deberá suscribir la diligencia en la que se comprometa a acudir al Juzgado de primera instancia para el cumplimiento de las condiciones en las que habrá de darse la ejecución de la medida de libertad vigilada</w:t>
      </w:r>
      <w:r>
        <w:rPr>
          <w:rFonts w:ascii="Arial" w:hAnsi="Arial" w:cs="Arial"/>
          <w:i/>
          <w:sz w:val="20"/>
          <w:szCs w:val="20"/>
          <w:lang w:val="es-MX"/>
        </w:rPr>
        <w:t>”</w:t>
      </w:r>
      <w:r w:rsidRPr="007D46D4">
        <w:rPr>
          <w:rFonts w:ascii="Arial" w:hAnsi="Arial" w:cs="Arial"/>
          <w:i/>
          <w:sz w:val="20"/>
          <w:szCs w:val="20"/>
          <w:lang w:val="es-MX"/>
        </w:rPr>
        <w:t>.</w:t>
      </w:r>
      <w:r>
        <w:rPr>
          <w:rFonts w:ascii="Arial" w:hAnsi="Arial" w:cs="Arial"/>
          <w:i/>
          <w:sz w:val="20"/>
          <w:szCs w:val="20"/>
          <w:lang w:val="es-MX"/>
        </w:rPr>
        <w:t xml:space="preserve"> (…)</w:t>
      </w:r>
      <w:r w:rsidRPr="007D46D4">
        <w:rPr>
          <w:rFonts w:ascii="Arial" w:hAnsi="Arial" w:cs="Arial"/>
          <w:i/>
          <w:sz w:val="20"/>
          <w:szCs w:val="20"/>
          <w:lang w:val="es-MX"/>
        </w:rPr>
        <w:t xml:space="preserve"> </w:t>
      </w:r>
    </w:p>
    <w:p w:rsidR="00502FC1" w:rsidRDefault="00502FC1" w:rsidP="00502FC1">
      <w:pPr>
        <w:pStyle w:val="Textoindependienteprimerasangra"/>
        <w:jc w:val="both"/>
        <w:rPr>
          <w:rFonts w:ascii="Arial" w:hAnsi="Arial" w:cs="Arial"/>
          <w:b/>
          <w:i/>
          <w:iCs/>
        </w:rPr>
      </w:pPr>
    </w:p>
    <w:p w:rsidR="00502FC1" w:rsidRDefault="00502FC1" w:rsidP="00502FC1">
      <w:pPr>
        <w:widowControl w:val="0"/>
        <w:jc w:val="both"/>
        <w:rPr>
          <w:rFonts w:ascii="Arial" w:hAnsi="Arial" w:cs="Arial"/>
          <w:b/>
          <w:sz w:val="20"/>
          <w:szCs w:val="20"/>
        </w:rPr>
      </w:pPr>
      <w:r w:rsidRPr="00E60445">
        <w:rPr>
          <w:rFonts w:ascii="Arial" w:hAnsi="Arial" w:cs="Arial"/>
          <w:b/>
          <w:sz w:val="20"/>
          <w:szCs w:val="20"/>
        </w:rPr>
        <w:t>FUENT</w:t>
      </w:r>
      <w:r>
        <w:rPr>
          <w:rFonts w:ascii="Arial" w:hAnsi="Arial" w:cs="Arial"/>
          <w:b/>
          <w:sz w:val="20"/>
          <w:szCs w:val="20"/>
        </w:rPr>
        <w:t>E NORMATIVA</w:t>
      </w:r>
      <w:r>
        <w:rPr>
          <w:rFonts w:ascii="Arial" w:hAnsi="Arial" w:cs="Arial"/>
          <w:b/>
          <w:sz w:val="20"/>
          <w:szCs w:val="20"/>
        </w:rPr>
        <w:tab/>
        <w:t xml:space="preserve">: </w:t>
      </w:r>
      <w:r w:rsidRPr="00502FC1">
        <w:rPr>
          <w:rFonts w:ascii="Arial" w:hAnsi="Arial" w:cs="Arial"/>
          <w:b/>
          <w:sz w:val="18"/>
          <w:szCs w:val="18"/>
        </w:rPr>
        <w:t xml:space="preserve">ARTÍCULOS 161, 168, 177, 178, 179, 185 y 187 LEY 1098 DE           2006 </w:t>
      </w:r>
    </w:p>
    <w:p w:rsidR="00502FC1" w:rsidRDefault="00502FC1" w:rsidP="00502FC1">
      <w:pPr>
        <w:widowControl w:val="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ARTÍCULO 37 LITERAL b) ARTÍCULO 40-4 REGLAS DE BEIGIN</w:t>
      </w:r>
    </w:p>
    <w:p w:rsidR="00502FC1" w:rsidRDefault="00502FC1" w:rsidP="00502FC1">
      <w:pPr>
        <w:widowControl w:val="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17 PUNTO 1 LITERAL b y c NUMERAL 4, 19, 23. 2, 28</w:t>
      </w:r>
    </w:p>
    <w:p w:rsidR="00502FC1" w:rsidRPr="00E60445" w:rsidRDefault="00502FC1" w:rsidP="00502FC1">
      <w:pPr>
        <w:widowControl w:val="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ARTÍCULO 34 LEY 906 DE 2004  </w:t>
      </w:r>
    </w:p>
    <w:p w:rsidR="00502FC1" w:rsidRDefault="00502FC1" w:rsidP="00502FC1">
      <w:pPr>
        <w:widowControl w:val="0"/>
        <w:jc w:val="both"/>
        <w:rPr>
          <w:rFonts w:ascii="Arial" w:hAnsi="Arial" w:cs="Arial"/>
          <w:b/>
          <w:sz w:val="20"/>
          <w:szCs w:val="20"/>
        </w:rPr>
      </w:pPr>
      <w:r w:rsidRPr="006C3FF3">
        <w:rPr>
          <w:rFonts w:ascii="Arial" w:hAnsi="Arial" w:cs="Arial"/>
          <w:b/>
          <w:sz w:val="20"/>
          <w:szCs w:val="20"/>
        </w:rPr>
        <w:t xml:space="preserve">FECHA </w:t>
      </w:r>
      <w:r w:rsidRPr="006C3FF3">
        <w:rPr>
          <w:rFonts w:ascii="Arial" w:hAnsi="Arial" w:cs="Arial"/>
          <w:b/>
          <w:sz w:val="20"/>
          <w:szCs w:val="20"/>
        </w:rPr>
        <w:tab/>
      </w:r>
      <w:r w:rsidRPr="006C3FF3">
        <w:rPr>
          <w:rFonts w:ascii="Arial" w:hAnsi="Arial" w:cs="Arial"/>
          <w:b/>
          <w:sz w:val="20"/>
          <w:szCs w:val="20"/>
        </w:rPr>
        <w:tab/>
        <w:t xml:space="preserve">: </w:t>
      </w:r>
      <w:r>
        <w:rPr>
          <w:rFonts w:ascii="Arial" w:hAnsi="Arial" w:cs="Arial"/>
          <w:b/>
          <w:sz w:val="20"/>
          <w:szCs w:val="20"/>
        </w:rPr>
        <w:t>2012-03-01</w:t>
      </w:r>
    </w:p>
    <w:p w:rsidR="00502FC1" w:rsidRPr="006C3FF3" w:rsidRDefault="00502FC1" w:rsidP="00502FC1">
      <w:pPr>
        <w:jc w:val="both"/>
        <w:rPr>
          <w:rFonts w:ascii="Arial" w:hAnsi="Arial" w:cs="Arial"/>
          <w:b/>
          <w:sz w:val="20"/>
          <w:szCs w:val="20"/>
        </w:rPr>
      </w:pPr>
      <w:r w:rsidRPr="006C3FF3">
        <w:rPr>
          <w:rFonts w:ascii="Arial" w:hAnsi="Arial" w:cs="Arial"/>
          <w:b/>
          <w:sz w:val="20"/>
          <w:szCs w:val="20"/>
        </w:rPr>
        <w:t>PROCESO</w:t>
      </w:r>
      <w:r w:rsidRPr="006C3FF3">
        <w:rPr>
          <w:rFonts w:ascii="Arial" w:hAnsi="Arial" w:cs="Arial"/>
          <w:b/>
          <w:sz w:val="20"/>
          <w:szCs w:val="20"/>
        </w:rPr>
        <w:tab/>
      </w:r>
      <w:r w:rsidRPr="006C3FF3">
        <w:rPr>
          <w:rFonts w:ascii="Arial" w:hAnsi="Arial" w:cs="Arial"/>
          <w:b/>
          <w:sz w:val="20"/>
          <w:szCs w:val="20"/>
        </w:rPr>
        <w:tab/>
        <w:t xml:space="preserve">: </w:t>
      </w:r>
      <w:r>
        <w:rPr>
          <w:rFonts w:ascii="Arial" w:hAnsi="Arial" w:cs="Arial"/>
          <w:b/>
          <w:sz w:val="20"/>
          <w:szCs w:val="20"/>
        </w:rPr>
        <w:t xml:space="preserve">CAMBIO DE MEDIDA IMPUESTA EN SENTENCIA </w:t>
      </w:r>
    </w:p>
    <w:p w:rsidR="00502FC1" w:rsidRDefault="00502FC1" w:rsidP="00502FC1">
      <w:pPr>
        <w:jc w:val="both"/>
        <w:rPr>
          <w:rFonts w:ascii="Arial" w:hAnsi="Arial" w:cs="Arial"/>
          <w:b/>
          <w:sz w:val="20"/>
          <w:szCs w:val="20"/>
        </w:rPr>
      </w:pPr>
      <w:r w:rsidRPr="006C3FF3">
        <w:rPr>
          <w:rFonts w:ascii="Arial" w:hAnsi="Arial" w:cs="Arial"/>
          <w:b/>
          <w:sz w:val="20"/>
          <w:szCs w:val="20"/>
        </w:rPr>
        <w:t>PONENTE</w:t>
      </w:r>
      <w:r w:rsidRPr="006C3FF3">
        <w:rPr>
          <w:rFonts w:ascii="Arial" w:hAnsi="Arial" w:cs="Arial"/>
          <w:b/>
          <w:sz w:val="20"/>
          <w:szCs w:val="20"/>
        </w:rPr>
        <w:tab/>
      </w:r>
      <w:r w:rsidRPr="006C3FF3">
        <w:rPr>
          <w:rFonts w:ascii="Arial" w:hAnsi="Arial" w:cs="Arial"/>
          <w:b/>
          <w:sz w:val="20"/>
          <w:szCs w:val="20"/>
        </w:rPr>
        <w:tab/>
        <w:t xml:space="preserve">: </w:t>
      </w:r>
      <w:r w:rsidRPr="00323F15">
        <w:rPr>
          <w:rFonts w:ascii="Arial" w:hAnsi="Arial" w:cs="Arial"/>
          <w:b/>
          <w:sz w:val="20"/>
          <w:szCs w:val="20"/>
        </w:rPr>
        <w:t>D</w:t>
      </w:r>
      <w:r>
        <w:rPr>
          <w:rFonts w:ascii="Arial" w:hAnsi="Arial" w:cs="Arial"/>
          <w:b/>
          <w:sz w:val="20"/>
          <w:szCs w:val="20"/>
        </w:rPr>
        <w:t>ra</w:t>
      </w:r>
      <w:r w:rsidRPr="00323F15">
        <w:rPr>
          <w:rFonts w:ascii="Arial" w:hAnsi="Arial" w:cs="Arial"/>
          <w:b/>
          <w:sz w:val="20"/>
          <w:szCs w:val="20"/>
        </w:rPr>
        <w:t xml:space="preserve">. </w:t>
      </w:r>
      <w:r>
        <w:rPr>
          <w:rFonts w:ascii="Arial" w:hAnsi="Arial" w:cs="Arial"/>
          <w:b/>
          <w:sz w:val="20"/>
          <w:szCs w:val="20"/>
        </w:rPr>
        <w:t>GLORIA ISABEL ESPINEL FAJARD</w:t>
      </w:r>
      <w:r w:rsidR="00E623B6">
        <w:rPr>
          <w:rFonts w:ascii="Arial" w:hAnsi="Arial" w:cs="Arial"/>
          <w:b/>
          <w:sz w:val="20"/>
          <w:szCs w:val="20"/>
        </w:rPr>
        <w:t>O</w:t>
      </w:r>
    </w:p>
    <w:p w:rsidR="00502FC1" w:rsidRDefault="00502FC1" w:rsidP="00502FC1">
      <w:pPr>
        <w:jc w:val="both"/>
        <w:rPr>
          <w:rFonts w:ascii="Arial" w:hAnsi="Arial" w:cs="Arial"/>
          <w:b/>
          <w:sz w:val="20"/>
          <w:szCs w:val="20"/>
        </w:rPr>
      </w:pPr>
      <w:r>
        <w:rPr>
          <w:rFonts w:ascii="Arial" w:hAnsi="Arial" w:cs="Arial"/>
          <w:b/>
          <w:sz w:val="20"/>
          <w:szCs w:val="20"/>
        </w:rPr>
        <w:t>CONDUCTA PUNIBLE</w:t>
      </w:r>
      <w:r w:rsidRPr="006C3FF3">
        <w:rPr>
          <w:rFonts w:ascii="Arial" w:hAnsi="Arial" w:cs="Arial"/>
          <w:b/>
          <w:sz w:val="20"/>
          <w:szCs w:val="20"/>
        </w:rPr>
        <w:tab/>
        <w:t>:</w:t>
      </w:r>
      <w:r>
        <w:rPr>
          <w:rFonts w:ascii="Arial" w:hAnsi="Arial" w:cs="Arial"/>
          <w:b/>
          <w:sz w:val="20"/>
          <w:szCs w:val="20"/>
        </w:rPr>
        <w:t xml:space="preserve"> HOMICIDIO AGRAVADO ADOLESCENTE C.A.C.G. </w:t>
      </w:r>
    </w:p>
    <w:p w:rsidR="00502FC1" w:rsidRDefault="00502FC1" w:rsidP="00502FC1">
      <w:pPr>
        <w:rPr>
          <w:rFonts w:ascii="Arial" w:hAnsi="Arial" w:cs="Arial"/>
          <w:b/>
          <w:spacing w:val="-3"/>
          <w:sz w:val="20"/>
          <w:szCs w:val="20"/>
        </w:rPr>
      </w:pPr>
      <w:r w:rsidRPr="006C3FF3">
        <w:rPr>
          <w:rFonts w:ascii="Arial" w:hAnsi="Arial" w:cs="Arial"/>
          <w:b/>
          <w:sz w:val="20"/>
          <w:szCs w:val="20"/>
        </w:rPr>
        <w:t xml:space="preserve">RADICACIÓN </w:t>
      </w:r>
      <w:r w:rsidRPr="006C3FF3">
        <w:rPr>
          <w:rFonts w:ascii="Arial" w:hAnsi="Arial" w:cs="Arial"/>
          <w:b/>
          <w:sz w:val="20"/>
          <w:szCs w:val="20"/>
        </w:rPr>
        <w:tab/>
      </w:r>
      <w:r w:rsidRPr="006C3FF3">
        <w:rPr>
          <w:rFonts w:ascii="Arial" w:hAnsi="Arial" w:cs="Arial"/>
          <w:b/>
          <w:sz w:val="20"/>
          <w:szCs w:val="20"/>
        </w:rPr>
        <w:tab/>
        <w:t>:</w:t>
      </w:r>
      <w:r w:rsidRPr="006C3FF3">
        <w:rPr>
          <w:rFonts w:ascii="Arial" w:hAnsi="Arial" w:cs="Arial"/>
          <w:b/>
          <w:spacing w:val="-3"/>
          <w:sz w:val="20"/>
          <w:szCs w:val="20"/>
        </w:rPr>
        <w:t xml:space="preserve"> </w:t>
      </w:r>
      <w:r>
        <w:rPr>
          <w:rFonts w:ascii="Arial" w:hAnsi="Arial" w:cs="Arial"/>
          <w:b/>
          <w:spacing w:val="-3"/>
          <w:sz w:val="20"/>
          <w:szCs w:val="20"/>
        </w:rPr>
        <w:t>1100160000714200903421 02</w:t>
      </w:r>
    </w:p>
    <w:p w:rsidR="00502FC1" w:rsidRDefault="00502FC1" w:rsidP="00502FC1">
      <w:pPr>
        <w:rPr>
          <w:rFonts w:ascii="Arial" w:hAnsi="Arial" w:cs="Arial"/>
          <w:b/>
          <w:spacing w:val="-3"/>
          <w:sz w:val="20"/>
          <w:szCs w:val="20"/>
        </w:rPr>
      </w:pPr>
      <w:r>
        <w:rPr>
          <w:rFonts w:ascii="Arial" w:hAnsi="Arial" w:cs="Arial"/>
          <w:b/>
          <w:spacing w:val="-3"/>
          <w:sz w:val="20"/>
          <w:szCs w:val="20"/>
        </w:rPr>
        <w:t xml:space="preserve">DECISIÓN                       : </w:t>
      </w:r>
      <w:r w:rsidRPr="00502FC1">
        <w:rPr>
          <w:rFonts w:ascii="Arial" w:hAnsi="Arial" w:cs="Arial"/>
          <w:b/>
          <w:spacing w:val="-3"/>
          <w:sz w:val="18"/>
          <w:szCs w:val="18"/>
        </w:rPr>
        <w:t>REVOCA AUTO DEL JUZGADO 2° PENAL PARA ADOLESCENTES</w:t>
      </w:r>
      <w:r>
        <w:rPr>
          <w:rFonts w:ascii="Arial" w:hAnsi="Arial" w:cs="Arial"/>
          <w:b/>
          <w:spacing w:val="-3"/>
          <w:sz w:val="20"/>
          <w:szCs w:val="20"/>
        </w:rPr>
        <w:t xml:space="preserve">   </w:t>
      </w:r>
    </w:p>
    <w:p w:rsidR="00502FC1" w:rsidRPr="00DC0BFB" w:rsidRDefault="00502FC1" w:rsidP="00502FC1">
      <w:pPr>
        <w:rPr>
          <w:rFonts w:ascii="Arial" w:hAnsi="Arial" w:cs="Arial"/>
          <w:b/>
          <w:spacing w:val="-3"/>
          <w:sz w:val="20"/>
          <w:szCs w:val="20"/>
        </w:rPr>
      </w:pPr>
      <w:r>
        <w:rPr>
          <w:rFonts w:ascii="Arial" w:hAnsi="Arial" w:cs="Arial"/>
          <w:b/>
          <w:spacing w:val="-3"/>
          <w:sz w:val="20"/>
          <w:szCs w:val="20"/>
        </w:rPr>
        <w:tab/>
      </w:r>
      <w:r>
        <w:rPr>
          <w:rFonts w:ascii="Arial" w:hAnsi="Arial" w:cs="Arial"/>
          <w:b/>
          <w:spacing w:val="-3"/>
          <w:sz w:val="20"/>
          <w:szCs w:val="20"/>
        </w:rPr>
        <w:tab/>
      </w:r>
      <w:r>
        <w:rPr>
          <w:rFonts w:ascii="Arial" w:hAnsi="Arial" w:cs="Arial"/>
          <w:b/>
          <w:spacing w:val="-3"/>
          <w:sz w:val="20"/>
          <w:szCs w:val="20"/>
        </w:rPr>
        <w:tab/>
        <w:t>: CON FUNCIÓN DE CONOCIMIENTO</w:t>
      </w:r>
    </w:p>
    <w:p w:rsidR="00502FC1" w:rsidRDefault="00502FC1" w:rsidP="00502FC1">
      <w:pPr>
        <w:jc w:val="center"/>
        <w:outlineLvl w:val="0"/>
        <w:rPr>
          <w:rFonts w:ascii="Arial" w:hAnsi="Arial" w:cs="Arial"/>
          <w:b/>
        </w:rPr>
      </w:pPr>
    </w:p>
    <w:p w:rsidR="00502FC1" w:rsidRDefault="00502FC1" w:rsidP="00502FC1">
      <w:pPr>
        <w:jc w:val="center"/>
        <w:outlineLvl w:val="0"/>
        <w:rPr>
          <w:rFonts w:ascii="Arial" w:hAnsi="Arial" w:cs="Arial"/>
          <w:b/>
        </w:rPr>
      </w:pPr>
      <w:r>
        <w:rPr>
          <w:rFonts w:ascii="Arial" w:hAnsi="Arial" w:cs="Arial"/>
          <w:b/>
        </w:rPr>
        <w:t>Sala Laboral</w:t>
      </w:r>
    </w:p>
    <w:p w:rsidR="00502FC1" w:rsidRDefault="00502FC1" w:rsidP="00502FC1">
      <w:pPr>
        <w:jc w:val="center"/>
        <w:outlineLvl w:val="0"/>
        <w:rPr>
          <w:rFonts w:ascii="Arial" w:hAnsi="Arial" w:cs="Arial"/>
          <w:b/>
        </w:rPr>
      </w:pPr>
    </w:p>
    <w:p w:rsidR="00502FC1" w:rsidRDefault="00502FC1" w:rsidP="00502FC1">
      <w:pPr>
        <w:jc w:val="center"/>
        <w:outlineLvl w:val="0"/>
        <w:rPr>
          <w:rFonts w:ascii="Arial" w:hAnsi="Arial" w:cs="Arial"/>
          <w:b/>
        </w:rPr>
      </w:pPr>
      <w:r>
        <w:rPr>
          <w:rFonts w:ascii="Arial" w:hAnsi="Arial" w:cs="Arial"/>
          <w:b/>
        </w:rPr>
        <w:t>1.3. 1.</w:t>
      </w:r>
    </w:p>
    <w:p w:rsidR="00502FC1" w:rsidRPr="00EC718D" w:rsidRDefault="00502FC1" w:rsidP="00502FC1">
      <w:pPr>
        <w:jc w:val="center"/>
        <w:outlineLvl w:val="0"/>
        <w:rPr>
          <w:rFonts w:ascii="Arial" w:hAnsi="Arial" w:cs="Arial"/>
          <w:b/>
        </w:rPr>
      </w:pPr>
    </w:p>
    <w:p w:rsidR="00502FC1" w:rsidRPr="00D564FB" w:rsidRDefault="00502FC1" w:rsidP="00502FC1">
      <w:pPr>
        <w:jc w:val="both"/>
        <w:rPr>
          <w:rFonts w:ascii="Arial" w:hAnsi="Arial" w:cs="Arial"/>
          <w:b/>
          <w:sz w:val="20"/>
          <w:szCs w:val="20"/>
        </w:rPr>
      </w:pPr>
      <w:r w:rsidRPr="00EC718D">
        <w:rPr>
          <w:rFonts w:ascii="Arial" w:hAnsi="Arial" w:cs="Arial"/>
          <w:b/>
          <w:sz w:val="20"/>
          <w:szCs w:val="20"/>
        </w:rPr>
        <w:t xml:space="preserve"> Tema: “</w:t>
      </w:r>
      <w:r w:rsidRPr="00D564FB">
        <w:rPr>
          <w:rFonts w:ascii="Arial" w:hAnsi="Arial" w:cs="Arial"/>
          <w:b/>
          <w:sz w:val="20"/>
          <w:szCs w:val="20"/>
        </w:rPr>
        <w:t xml:space="preserve">EXPUESTA ASÍ LA SITUACIÓN LA SALA TIENE QUE EN EL PRESENTE CASO LA ACCIÓN ORDINARIA NO FUE INTERRUMPIDA CIVILMENTE DENTRO DE LOS TÉRMINOS CONSAGRADOS EN LOS ARTÍCULO 2539 Y 2542 DEL C.C. PUES PARA ELLO EL ACTOR DEBIÓ INTERPONERLA Y EFECTUAR LA NOTIFICACIÓN DENTRO DEL AÑO SIGUIENTE DE CONFORMIDAD CON LOS PARÁMETROS CONSAGRADOS EN EL ARTÍCULO 90 DEL C.P.C. CONTRARIO A LO ANTERIOR INICIÓ ACCIÓN EJECUTIVA ANTE UNA JURISDICCIÓN EQUIVOCADA, TRÁMITE QUE ADEMÁS, FUE DECLARADO NULO EN SU TOTALIDAD POR AUTO DE 30 DE DICIEMBRE DE 2010, PROFERIDO POR EL JUZGADO 24 CIVIL DEL CIRCUITO DE BOGOTÁ LO QUE ADEMÁS DESCARTA LA INTERRUPCIÓN DE LA PRESCRIPCIÓN DE LA ACCIÓN, EN LOS TÉRMINOS DEL NUMERAL 3° DEL ARTÍCULO 91 DEL C. DE P.C. </w:t>
      </w:r>
    </w:p>
    <w:p w:rsidR="00502FC1" w:rsidRPr="00D564FB" w:rsidRDefault="00502FC1" w:rsidP="00502FC1">
      <w:pPr>
        <w:pStyle w:val="Textoindependiente"/>
        <w:rPr>
          <w:rFonts w:ascii="Arial" w:hAnsi="Arial" w:cs="Arial"/>
          <w:b/>
          <w:sz w:val="20"/>
          <w:szCs w:val="20"/>
        </w:rPr>
      </w:pPr>
    </w:p>
    <w:p w:rsidR="00502FC1" w:rsidRDefault="00502FC1" w:rsidP="00502FC1">
      <w:pPr>
        <w:pStyle w:val="Textoindependiente"/>
        <w:rPr>
          <w:rFonts w:ascii="Arial" w:hAnsi="Arial" w:cs="Arial"/>
          <w:sz w:val="20"/>
          <w:szCs w:val="20"/>
        </w:rPr>
      </w:pPr>
      <w:r>
        <w:rPr>
          <w:rFonts w:ascii="Arial" w:hAnsi="Arial" w:cs="Arial"/>
          <w:sz w:val="20"/>
          <w:szCs w:val="20"/>
        </w:rPr>
        <w:t>(…)</w:t>
      </w:r>
    </w:p>
    <w:p w:rsidR="00502FC1" w:rsidRDefault="00502FC1" w:rsidP="00502FC1">
      <w:pPr>
        <w:pStyle w:val="Textoindependiente"/>
        <w:rPr>
          <w:rFonts w:ascii="Arial" w:hAnsi="Arial" w:cs="Arial"/>
          <w:sz w:val="20"/>
          <w:szCs w:val="20"/>
        </w:rPr>
      </w:pPr>
    </w:p>
    <w:p w:rsidR="00502FC1" w:rsidRPr="006A5C9F" w:rsidRDefault="00502FC1" w:rsidP="00502FC1">
      <w:pPr>
        <w:jc w:val="both"/>
        <w:rPr>
          <w:rFonts w:ascii="Arial" w:hAnsi="Arial" w:cs="Arial"/>
          <w:sz w:val="20"/>
          <w:szCs w:val="20"/>
        </w:rPr>
      </w:pPr>
      <w:r w:rsidRPr="006A5C9F">
        <w:rPr>
          <w:rFonts w:ascii="Arial" w:hAnsi="Arial" w:cs="Arial"/>
          <w:sz w:val="20"/>
          <w:szCs w:val="20"/>
        </w:rPr>
        <w:t xml:space="preserve">El recurrente funda sus alegaciones, argumentando que la providencia no está ajustada a derecho toda vez que la excepción de prescripción no puede ser analizada desde el punto de vista subjetivo, pues tal excepción en este caso, es objetiva en el sentido de que al momento de notificarse la demanda laboral, por parte del juzgado 35 a la señora Gloria </w:t>
      </w:r>
      <w:r w:rsidRPr="006A5C9F">
        <w:rPr>
          <w:rFonts w:ascii="Arial" w:hAnsi="Arial" w:cs="Arial"/>
          <w:sz w:val="20"/>
          <w:szCs w:val="20"/>
        </w:rPr>
        <w:lastRenderedPageBreak/>
        <w:t>Isabel Romero Blum, ya habían pasado más de 6 años, término que sobrepasa las exigencias de la ley para entablar las acciones ejecutivas o acciones ordinarias laborales.</w:t>
      </w:r>
    </w:p>
    <w:p w:rsidR="00502FC1" w:rsidRDefault="00502FC1" w:rsidP="00502FC1">
      <w:pPr>
        <w:spacing w:line="360" w:lineRule="auto"/>
        <w:jc w:val="both"/>
        <w:rPr>
          <w:rFonts w:ascii="Arial" w:hAnsi="Arial" w:cs="Arial"/>
        </w:rPr>
      </w:pPr>
    </w:p>
    <w:p w:rsidR="00502FC1" w:rsidRDefault="00502FC1" w:rsidP="00502FC1">
      <w:pPr>
        <w:spacing w:line="360" w:lineRule="auto"/>
        <w:jc w:val="both"/>
        <w:rPr>
          <w:rFonts w:ascii="Arial" w:hAnsi="Arial" w:cs="Arial"/>
        </w:rPr>
      </w:pPr>
      <w:r>
        <w:rPr>
          <w:rFonts w:ascii="Arial" w:hAnsi="Arial" w:cs="Arial"/>
        </w:rPr>
        <w:t>(…)</w:t>
      </w:r>
    </w:p>
    <w:p w:rsidR="00502FC1" w:rsidRPr="00D564FB" w:rsidRDefault="00502FC1" w:rsidP="00502FC1">
      <w:pPr>
        <w:jc w:val="both"/>
        <w:rPr>
          <w:rFonts w:ascii="Arial" w:hAnsi="Arial" w:cs="Arial"/>
          <w:sz w:val="20"/>
          <w:szCs w:val="20"/>
        </w:rPr>
      </w:pPr>
    </w:p>
    <w:p w:rsidR="00502FC1" w:rsidRPr="00D564FB" w:rsidRDefault="00502FC1" w:rsidP="00502FC1">
      <w:pPr>
        <w:jc w:val="both"/>
        <w:rPr>
          <w:rFonts w:ascii="Arial" w:hAnsi="Arial" w:cs="Arial"/>
          <w:sz w:val="20"/>
          <w:szCs w:val="20"/>
        </w:rPr>
      </w:pPr>
      <w:r w:rsidRPr="00D564FB">
        <w:rPr>
          <w:rFonts w:ascii="Arial" w:hAnsi="Arial" w:cs="Arial"/>
          <w:sz w:val="20"/>
          <w:szCs w:val="20"/>
        </w:rPr>
        <w:t xml:space="preserve">Si bien es cierto que </w:t>
      </w:r>
      <w:r w:rsidRPr="00D564FB">
        <w:rPr>
          <w:rFonts w:ascii="Arial" w:hAnsi="Arial" w:cs="Arial"/>
          <w:color w:val="000000"/>
          <w:sz w:val="20"/>
          <w:szCs w:val="20"/>
        </w:rPr>
        <w:t xml:space="preserve">la Corte Constitucional en sentencia C  227 de 2009, al declarar la constitucionalidad del artículo 91, lo hizo </w:t>
      </w:r>
      <w:r w:rsidRPr="00D564FB">
        <w:rPr>
          <w:rFonts w:ascii="Arial" w:hAnsi="Arial" w:cs="Arial"/>
          <w:iCs/>
          <w:color w:val="000000"/>
          <w:sz w:val="20"/>
          <w:szCs w:val="20"/>
        </w:rPr>
        <w:t>en el entendido</w:t>
      </w:r>
      <w:r w:rsidRPr="00D564FB">
        <w:rPr>
          <w:rFonts w:ascii="Arial" w:hAnsi="Arial" w:cs="Arial"/>
          <w:i/>
          <w:iCs/>
          <w:color w:val="000000"/>
          <w:sz w:val="20"/>
          <w:szCs w:val="20"/>
        </w:rPr>
        <w:t xml:space="preserve"> </w:t>
      </w:r>
      <w:r w:rsidRPr="00D564FB">
        <w:rPr>
          <w:rFonts w:ascii="Arial" w:hAnsi="Arial" w:cs="Arial"/>
          <w:iCs/>
          <w:color w:val="000000"/>
          <w:sz w:val="20"/>
          <w:szCs w:val="20"/>
        </w:rPr>
        <w:t>que:</w:t>
      </w:r>
      <w:r w:rsidRPr="00D564FB">
        <w:rPr>
          <w:rFonts w:ascii="Arial" w:hAnsi="Arial" w:cs="Arial"/>
          <w:i/>
          <w:iCs/>
          <w:color w:val="000000"/>
          <w:sz w:val="20"/>
          <w:szCs w:val="20"/>
        </w:rPr>
        <w:t xml:space="preserve"> “la no interrupción de la prescripción y la operancia de la caducidad sólo aplica cuando la nulidad se produzca por culpa del demandante”; </w:t>
      </w:r>
      <w:r w:rsidRPr="00D564FB">
        <w:rPr>
          <w:rFonts w:ascii="Arial" w:hAnsi="Arial" w:cs="Arial"/>
          <w:iCs/>
          <w:color w:val="000000"/>
          <w:sz w:val="20"/>
          <w:szCs w:val="20"/>
        </w:rPr>
        <w:t>también lo es, que</w:t>
      </w:r>
      <w:r w:rsidRPr="00D564FB">
        <w:rPr>
          <w:rFonts w:ascii="Arial" w:hAnsi="Arial" w:cs="Arial"/>
          <w:i/>
          <w:iCs/>
          <w:color w:val="000000"/>
          <w:sz w:val="20"/>
          <w:szCs w:val="20"/>
        </w:rPr>
        <w:t xml:space="preserve"> </w:t>
      </w:r>
      <w:r w:rsidRPr="00D564FB">
        <w:rPr>
          <w:rFonts w:ascii="Arial" w:hAnsi="Arial" w:cs="Arial"/>
          <w:sz w:val="20"/>
          <w:szCs w:val="20"/>
        </w:rPr>
        <w:t>el demandante a pesar de su condición de abogado, en forma errada radicó la demanda ejecutiva ante los Jueces civiles del circuito, cuando lo pretendido era el reconocimiento y pago de honorarios profesionales, que constituyen declaraciones propias que deben ser conocidas en proceso ordinario adelantado ante la jurisdicción Laboral, de conformidad con lo consagrado en el numeral 6° del artículo 2 del CPL Y SS, lo que hace viable la aplicación del numeral 3° del artículo 91 del CPC y por ende descarta la existencia de interrupción de la prescripción en el presente caso.</w:t>
      </w:r>
    </w:p>
    <w:p w:rsidR="00502FC1" w:rsidRPr="00D564FB" w:rsidRDefault="00502FC1" w:rsidP="00502FC1">
      <w:pPr>
        <w:jc w:val="both"/>
        <w:rPr>
          <w:rFonts w:ascii="Arial" w:hAnsi="Arial" w:cs="Arial"/>
          <w:sz w:val="20"/>
          <w:szCs w:val="20"/>
        </w:rPr>
      </w:pPr>
    </w:p>
    <w:p w:rsidR="00502FC1" w:rsidRPr="00D564FB" w:rsidRDefault="00502FC1" w:rsidP="00502FC1">
      <w:pPr>
        <w:jc w:val="both"/>
        <w:rPr>
          <w:rFonts w:ascii="Arial" w:hAnsi="Arial" w:cs="Arial"/>
          <w:sz w:val="20"/>
          <w:szCs w:val="20"/>
        </w:rPr>
      </w:pPr>
    </w:p>
    <w:p w:rsidR="00502FC1" w:rsidRPr="00D564FB" w:rsidRDefault="00502FC1" w:rsidP="00502FC1">
      <w:pPr>
        <w:jc w:val="both"/>
        <w:rPr>
          <w:rFonts w:ascii="Arial" w:hAnsi="Arial" w:cs="Arial"/>
          <w:sz w:val="20"/>
          <w:szCs w:val="20"/>
        </w:rPr>
      </w:pPr>
      <w:r w:rsidRPr="00D564FB">
        <w:rPr>
          <w:rFonts w:ascii="Arial" w:hAnsi="Arial" w:cs="Arial"/>
          <w:sz w:val="20"/>
          <w:szCs w:val="20"/>
        </w:rPr>
        <w:t xml:space="preserve">De esta suerte ha de concluirse que la acción ordinaria de la que hoy conoce la Sala cuya demanda fue repartida en la jurisdicción laboral el 16 de julio de 2011, se encuentra actualmente prescrita de conformidad con lo establecido por los artículos 2542 y 2539 del C.C. y 90 y 91 del C. de P.C. toda vez que la exigibilidad de la obligación de la que se derivan sus pretensiones inició el 14 de octubre de 2004, por lo que trascurrieron más de tres años entre ese momento y el 16 de julio de 2011, sin que el actor interrumpiera la prescripción con la presentación de la demanda ordinaria, como lo ordenan las normas relacionadas. </w:t>
      </w:r>
    </w:p>
    <w:p w:rsidR="00502FC1" w:rsidRPr="00D564FB" w:rsidRDefault="00502FC1" w:rsidP="00502FC1">
      <w:pPr>
        <w:jc w:val="both"/>
        <w:rPr>
          <w:rFonts w:ascii="Arial" w:hAnsi="Arial" w:cs="Arial"/>
          <w:sz w:val="20"/>
          <w:szCs w:val="20"/>
        </w:rPr>
      </w:pPr>
    </w:p>
    <w:p w:rsidR="00502FC1" w:rsidRPr="00D564FB" w:rsidRDefault="00502FC1" w:rsidP="00502FC1">
      <w:pPr>
        <w:jc w:val="both"/>
        <w:rPr>
          <w:rFonts w:ascii="Arial" w:hAnsi="Arial" w:cs="Arial"/>
          <w:sz w:val="20"/>
          <w:szCs w:val="20"/>
        </w:rPr>
      </w:pPr>
      <w:r w:rsidRPr="00D564FB">
        <w:rPr>
          <w:rFonts w:ascii="Arial" w:hAnsi="Arial" w:cs="Arial"/>
          <w:sz w:val="20"/>
          <w:szCs w:val="20"/>
        </w:rPr>
        <w:t xml:space="preserve">Si bien el proceso ejecutivo declarado nulo fue remitido por la jurisdicción civil a la laboral en razón de competencia, lo cierto es, que no se trataba de la misma acción, pues lo que intentó el actor en primer término, se reitera, fue entablar la acción ejecutiva ante la jurisdicción civil, para luego, fracasada ésta, emprender el proceso ordinario ante la jurisdicción laboral. Se trata entonces de acciones disímiles de las que no puede predicarse continuidad entre una y otra. </w:t>
      </w:r>
    </w:p>
    <w:p w:rsidR="00502FC1" w:rsidRPr="00D564FB" w:rsidRDefault="00502FC1" w:rsidP="00502FC1">
      <w:pPr>
        <w:jc w:val="both"/>
        <w:rPr>
          <w:rFonts w:ascii="Arial" w:hAnsi="Arial" w:cs="Arial"/>
          <w:sz w:val="20"/>
          <w:szCs w:val="20"/>
        </w:rPr>
      </w:pPr>
    </w:p>
    <w:p w:rsidR="00502FC1" w:rsidRPr="00D564FB" w:rsidRDefault="00502FC1" w:rsidP="00502FC1">
      <w:pPr>
        <w:jc w:val="both"/>
        <w:rPr>
          <w:rFonts w:ascii="Arial" w:hAnsi="Arial" w:cs="Arial"/>
          <w:sz w:val="20"/>
          <w:szCs w:val="20"/>
        </w:rPr>
      </w:pPr>
      <w:r w:rsidRPr="00D564FB">
        <w:rPr>
          <w:rFonts w:ascii="Arial" w:hAnsi="Arial" w:cs="Arial"/>
          <w:sz w:val="20"/>
          <w:szCs w:val="20"/>
        </w:rPr>
        <w:t xml:space="preserve">En efecto, la acción ordinaria es declarativa y al mismo tiempo constitutiva del derecho, mientras que la acción ejecutiva presupone la existencia de un derecho expreso actual y exigible contenido en un título que por su naturaleza es autónomo y suficiente para obtener la satisfacción de la obligación en él contenida. En cada una de las dos jurisdicciones se utilizó una acción diferente, y por lo tanto, estas carecían de una línea de acción común. Tan cierto es esto, que iniciada la acción ejecutiva ante la jurisdicción civil, no pudo continuarse la misma acción ejecutiva ante la jurisdicción laboral sino que esta trocó en acción ordinaria que era la adecuada desde el principio. </w:t>
      </w:r>
    </w:p>
    <w:p w:rsidR="00502FC1" w:rsidRPr="00D564FB" w:rsidRDefault="00502FC1" w:rsidP="00502FC1">
      <w:pPr>
        <w:jc w:val="both"/>
        <w:rPr>
          <w:rFonts w:ascii="Arial" w:hAnsi="Arial" w:cs="Arial"/>
          <w:sz w:val="20"/>
          <w:szCs w:val="20"/>
        </w:rPr>
      </w:pPr>
    </w:p>
    <w:p w:rsidR="00502FC1" w:rsidRPr="00D564FB" w:rsidRDefault="00502FC1" w:rsidP="00502FC1">
      <w:pPr>
        <w:jc w:val="both"/>
        <w:rPr>
          <w:rFonts w:ascii="Arial" w:hAnsi="Arial" w:cs="Arial"/>
          <w:sz w:val="20"/>
          <w:szCs w:val="20"/>
        </w:rPr>
      </w:pPr>
      <w:r w:rsidRPr="00D564FB">
        <w:rPr>
          <w:rFonts w:ascii="Arial" w:hAnsi="Arial" w:cs="Arial"/>
          <w:sz w:val="20"/>
          <w:szCs w:val="20"/>
        </w:rPr>
        <w:t>Es de advertir, que la administración de justicia en nada incidió para que esto ocurriera, ya que es evidente que desde su inicio, tal y como consideró el juez civil al resolverse la nulidad, se determinó que el documento adosado como prueba de la obligación a cargo de la ejecutada, lo constituía un contrato de prestación de servicios profesionales de abogado, cuyo cumplimiento debió ventilarse por los canales del proceso ordinario Laboral. En esas condiciones, claro se ve que el actor instauro la demanda erradamente por iniciativa atribuible únicamente a él mismo.</w:t>
      </w:r>
    </w:p>
    <w:p w:rsidR="00502FC1" w:rsidRPr="00D564FB" w:rsidRDefault="00502FC1" w:rsidP="00502FC1">
      <w:pPr>
        <w:jc w:val="both"/>
        <w:rPr>
          <w:rFonts w:ascii="Arial" w:hAnsi="Arial" w:cs="Arial"/>
          <w:sz w:val="20"/>
          <w:szCs w:val="20"/>
        </w:rPr>
      </w:pPr>
    </w:p>
    <w:p w:rsidR="00502FC1" w:rsidRDefault="00502FC1" w:rsidP="00502FC1">
      <w:pPr>
        <w:jc w:val="both"/>
        <w:rPr>
          <w:rFonts w:ascii="Arial" w:hAnsi="Arial" w:cs="Arial"/>
        </w:rPr>
      </w:pPr>
      <w:r w:rsidRPr="00D564FB">
        <w:rPr>
          <w:rFonts w:ascii="Arial" w:hAnsi="Arial" w:cs="Arial"/>
          <w:sz w:val="20"/>
          <w:szCs w:val="20"/>
        </w:rPr>
        <w:t>Estas consideraciones llevan a declarar probada la excepción de prescripción y en consecuencia, a revocar la decisión recurrida</w:t>
      </w:r>
      <w:r>
        <w:rPr>
          <w:rFonts w:ascii="Arial" w:hAnsi="Arial" w:cs="Arial"/>
          <w:sz w:val="20"/>
          <w:szCs w:val="20"/>
        </w:rPr>
        <w:t>”</w:t>
      </w:r>
      <w:r w:rsidRPr="00D564FB">
        <w:rPr>
          <w:rFonts w:ascii="Arial" w:hAnsi="Arial" w:cs="Arial"/>
          <w:sz w:val="20"/>
          <w:szCs w:val="20"/>
        </w:rPr>
        <w:t>.</w:t>
      </w:r>
      <w:r>
        <w:rPr>
          <w:rFonts w:ascii="Arial" w:hAnsi="Arial" w:cs="Arial"/>
        </w:rPr>
        <w:t xml:space="preserve"> (…)</w:t>
      </w:r>
    </w:p>
    <w:p w:rsidR="00502FC1" w:rsidRPr="00EC718D" w:rsidRDefault="00502FC1" w:rsidP="00502FC1">
      <w:pPr>
        <w:pStyle w:val="Textoindependiente"/>
        <w:rPr>
          <w:rFonts w:ascii="Arial" w:hAnsi="Arial" w:cs="Arial"/>
          <w:sz w:val="20"/>
          <w:szCs w:val="20"/>
        </w:rPr>
      </w:pPr>
    </w:p>
    <w:p w:rsidR="00502FC1" w:rsidRDefault="00502FC1" w:rsidP="00502FC1">
      <w:pPr>
        <w:pStyle w:val="Textoindependiente"/>
        <w:rPr>
          <w:rFonts w:ascii="Arial" w:hAnsi="Arial" w:cs="Arial"/>
          <w:sz w:val="20"/>
          <w:szCs w:val="20"/>
        </w:rPr>
      </w:pPr>
    </w:p>
    <w:p w:rsidR="00502FC1" w:rsidRDefault="00502FC1" w:rsidP="00502FC1">
      <w:pPr>
        <w:widowControl w:val="0"/>
        <w:jc w:val="both"/>
        <w:rPr>
          <w:rFonts w:ascii="Arial" w:hAnsi="Arial" w:cs="Arial"/>
          <w:b/>
          <w:sz w:val="20"/>
          <w:szCs w:val="20"/>
        </w:rPr>
      </w:pPr>
      <w:r w:rsidRPr="001B57B7">
        <w:rPr>
          <w:rFonts w:ascii="Arial" w:hAnsi="Arial" w:cs="Arial"/>
          <w:b/>
          <w:sz w:val="20"/>
          <w:szCs w:val="20"/>
        </w:rPr>
        <w:t>FUENTE NORMATIVA</w:t>
      </w:r>
      <w:r w:rsidRPr="001B57B7">
        <w:rPr>
          <w:rFonts w:ascii="Arial" w:hAnsi="Arial" w:cs="Arial"/>
          <w:b/>
          <w:sz w:val="20"/>
          <w:szCs w:val="20"/>
        </w:rPr>
        <w:tab/>
        <w:t>: ARTÍCULO</w:t>
      </w:r>
      <w:r>
        <w:rPr>
          <w:rFonts w:ascii="Arial" w:hAnsi="Arial" w:cs="Arial"/>
          <w:b/>
          <w:sz w:val="20"/>
          <w:szCs w:val="20"/>
        </w:rPr>
        <w:t>S 25, 25A y 26 C.S.T. y S.S.</w:t>
      </w:r>
    </w:p>
    <w:p w:rsidR="00502FC1" w:rsidRDefault="00502FC1" w:rsidP="00502FC1">
      <w:pPr>
        <w:widowControl w:val="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ARTÍCULOS 2539 y 2542 DEL C.C.</w:t>
      </w:r>
    </w:p>
    <w:p w:rsidR="00502FC1" w:rsidRPr="001B57B7" w:rsidRDefault="00502FC1" w:rsidP="00502FC1">
      <w:pPr>
        <w:widowControl w:val="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ARTÍCULOS 90 Y 91 NUM. 3° C. DE P.C. </w:t>
      </w:r>
    </w:p>
    <w:p w:rsidR="00502FC1" w:rsidRPr="001B57B7" w:rsidRDefault="00502FC1" w:rsidP="00502FC1">
      <w:pPr>
        <w:jc w:val="both"/>
        <w:rPr>
          <w:rFonts w:ascii="Arial" w:hAnsi="Arial" w:cs="Arial"/>
          <w:b/>
          <w:sz w:val="20"/>
          <w:szCs w:val="20"/>
        </w:rPr>
      </w:pPr>
      <w:r w:rsidRPr="001B57B7">
        <w:rPr>
          <w:rFonts w:ascii="Arial" w:hAnsi="Arial" w:cs="Arial"/>
          <w:b/>
          <w:sz w:val="20"/>
          <w:szCs w:val="20"/>
        </w:rPr>
        <w:t xml:space="preserve">FECHA </w:t>
      </w:r>
      <w:r w:rsidRPr="001B57B7">
        <w:rPr>
          <w:rFonts w:ascii="Arial" w:hAnsi="Arial" w:cs="Arial"/>
          <w:b/>
          <w:sz w:val="20"/>
          <w:szCs w:val="20"/>
        </w:rPr>
        <w:tab/>
      </w:r>
      <w:r w:rsidRPr="001B57B7">
        <w:rPr>
          <w:rFonts w:ascii="Arial" w:hAnsi="Arial" w:cs="Arial"/>
          <w:b/>
          <w:sz w:val="20"/>
          <w:szCs w:val="20"/>
        </w:rPr>
        <w:tab/>
        <w:t>: 201</w:t>
      </w:r>
      <w:r>
        <w:rPr>
          <w:rFonts w:ascii="Arial" w:hAnsi="Arial" w:cs="Arial"/>
          <w:b/>
          <w:sz w:val="20"/>
          <w:szCs w:val="20"/>
        </w:rPr>
        <w:t>2</w:t>
      </w:r>
      <w:r w:rsidRPr="001B57B7">
        <w:rPr>
          <w:rFonts w:ascii="Arial" w:hAnsi="Arial" w:cs="Arial"/>
          <w:b/>
          <w:sz w:val="20"/>
          <w:szCs w:val="20"/>
        </w:rPr>
        <w:t>-</w:t>
      </w:r>
      <w:r>
        <w:rPr>
          <w:rFonts w:ascii="Arial" w:hAnsi="Arial" w:cs="Arial"/>
          <w:b/>
          <w:sz w:val="20"/>
          <w:szCs w:val="20"/>
        </w:rPr>
        <w:t>04</w:t>
      </w:r>
      <w:r w:rsidRPr="001B57B7">
        <w:rPr>
          <w:rFonts w:ascii="Arial" w:hAnsi="Arial" w:cs="Arial"/>
          <w:b/>
          <w:sz w:val="20"/>
          <w:szCs w:val="20"/>
        </w:rPr>
        <w:t>-</w:t>
      </w:r>
      <w:r>
        <w:rPr>
          <w:rFonts w:ascii="Arial" w:hAnsi="Arial" w:cs="Arial"/>
          <w:b/>
          <w:sz w:val="20"/>
          <w:szCs w:val="20"/>
        </w:rPr>
        <w:t>27</w:t>
      </w:r>
    </w:p>
    <w:p w:rsidR="00502FC1" w:rsidRPr="001B57B7" w:rsidRDefault="00502FC1" w:rsidP="00502FC1">
      <w:pPr>
        <w:jc w:val="both"/>
        <w:rPr>
          <w:rFonts w:ascii="Arial" w:hAnsi="Arial" w:cs="Arial"/>
          <w:b/>
          <w:sz w:val="20"/>
          <w:szCs w:val="20"/>
        </w:rPr>
      </w:pPr>
      <w:r w:rsidRPr="001B57B7">
        <w:rPr>
          <w:rFonts w:ascii="Arial" w:hAnsi="Arial" w:cs="Arial"/>
          <w:b/>
          <w:sz w:val="20"/>
          <w:szCs w:val="20"/>
        </w:rPr>
        <w:t>PROCESO</w:t>
      </w:r>
      <w:r w:rsidRPr="001B57B7">
        <w:rPr>
          <w:rFonts w:ascii="Arial" w:hAnsi="Arial" w:cs="Arial"/>
          <w:b/>
          <w:sz w:val="20"/>
          <w:szCs w:val="20"/>
        </w:rPr>
        <w:tab/>
      </w:r>
      <w:r w:rsidRPr="001B57B7">
        <w:rPr>
          <w:rFonts w:ascii="Arial" w:hAnsi="Arial" w:cs="Arial"/>
          <w:b/>
          <w:sz w:val="20"/>
          <w:szCs w:val="20"/>
        </w:rPr>
        <w:tab/>
        <w:t xml:space="preserve">: </w:t>
      </w:r>
      <w:r>
        <w:rPr>
          <w:rFonts w:ascii="Arial" w:hAnsi="Arial" w:cs="Arial"/>
          <w:b/>
          <w:sz w:val="20"/>
          <w:szCs w:val="20"/>
        </w:rPr>
        <w:t>ORDINARIO LABORAL</w:t>
      </w:r>
      <w:r w:rsidRPr="001B57B7">
        <w:rPr>
          <w:rFonts w:ascii="Arial" w:hAnsi="Arial" w:cs="Arial"/>
          <w:b/>
          <w:sz w:val="20"/>
          <w:szCs w:val="20"/>
        </w:rPr>
        <w:t xml:space="preserve"> </w:t>
      </w:r>
    </w:p>
    <w:p w:rsidR="00502FC1" w:rsidRPr="001B57B7" w:rsidRDefault="00502FC1" w:rsidP="00502FC1">
      <w:pPr>
        <w:jc w:val="both"/>
        <w:rPr>
          <w:rFonts w:ascii="Arial" w:hAnsi="Arial" w:cs="Arial"/>
          <w:b/>
          <w:sz w:val="20"/>
          <w:szCs w:val="20"/>
        </w:rPr>
      </w:pPr>
      <w:r w:rsidRPr="001B57B7">
        <w:rPr>
          <w:rFonts w:ascii="Arial" w:hAnsi="Arial" w:cs="Arial"/>
          <w:b/>
          <w:sz w:val="20"/>
          <w:szCs w:val="20"/>
        </w:rPr>
        <w:t>PONENTE</w:t>
      </w:r>
      <w:r w:rsidRPr="001B57B7">
        <w:rPr>
          <w:rFonts w:ascii="Arial" w:hAnsi="Arial" w:cs="Arial"/>
          <w:b/>
          <w:sz w:val="20"/>
          <w:szCs w:val="20"/>
        </w:rPr>
        <w:tab/>
      </w:r>
      <w:r w:rsidRPr="001B57B7">
        <w:rPr>
          <w:rFonts w:ascii="Arial" w:hAnsi="Arial" w:cs="Arial"/>
          <w:b/>
          <w:sz w:val="20"/>
          <w:szCs w:val="20"/>
        </w:rPr>
        <w:tab/>
        <w:t xml:space="preserve">: Dr. </w:t>
      </w:r>
      <w:r>
        <w:rPr>
          <w:rFonts w:ascii="Arial" w:hAnsi="Arial" w:cs="Arial"/>
          <w:b/>
          <w:sz w:val="20"/>
          <w:szCs w:val="20"/>
        </w:rPr>
        <w:t>GUSTAVO HERNANDO LÓPEZ ALGARRA</w:t>
      </w:r>
    </w:p>
    <w:p w:rsidR="00502FC1" w:rsidRDefault="00502FC1" w:rsidP="00502FC1">
      <w:pPr>
        <w:jc w:val="both"/>
        <w:rPr>
          <w:rFonts w:ascii="Arial" w:hAnsi="Arial" w:cs="Arial"/>
          <w:b/>
          <w:sz w:val="20"/>
          <w:szCs w:val="20"/>
        </w:rPr>
      </w:pPr>
      <w:r w:rsidRPr="001B57B7">
        <w:rPr>
          <w:rFonts w:ascii="Arial" w:hAnsi="Arial" w:cs="Arial"/>
          <w:b/>
          <w:sz w:val="20"/>
          <w:szCs w:val="20"/>
        </w:rPr>
        <w:t>DEMANDANTE</w:t>
      </w:r>
      <w:r w:rsidRPr="001B57B7">
        <w:rPr>
          <w:rFonts w:ascii="Arial" w:hAnsi="Arial" w:cs="Arial"/>
          <w:b/>
          <w:sz w:val="20"/>
          <w:szCs w:val="20"/>
        </w:rPr>
        <w:tab/>
        <w:t xml:space="preserve">: </w:t>
      </w:r>
      <w:r>
        <w:rPr>
          <w:rFonts w:ascii="Arial" w:hAnsi="Arial" w:cs="Arial"/>
          <w:b/>
          <w:sz w:val="20"/>
          <w:szCs w:val="20"/>
        </w:rPr>
        <w:t>JESÚS HERNANDO BONILLA</w:t>
      </w:r>
    </w:p>
    <w:p w:rsidR="00502FC1" w:rsidRDefault="00502FC1" w:rsidP="00502FC1">
      <w:pPr>
        <w:jc w:val="both"/>
        <w:rPr>
          <w:rFonts w:ascii="Arial" w:hAnsi="Arial" w:cs="Arial"/>
          <w:b/>
          <w:sz w:val="20"/>
          <w:szCs w:val="20"/>
        </w:rPr>
      </w:pPr>
      <w:r>
        <w:rPr>
          <w:rFonts w:ascii="Arial" w:hAnsi="Arial" w:cs="Arial"/>
          <w:b/>
          <w:sz w:val="20"/>
          <w:szCs w:val="20"/>
        </w:rPr>
        <w:t>DEMANDADO</w:t>
      </w:r>
      <w:r>
        <w:rPr>
          <w:rFonts w:ascii="Arial" w:hAnsi="Arial" w:cs="Arial"/>
          <w:b/>
          <w:sz w:val="20"/>
          <w:szCs w:val="20"/>
        </w:rPr>
        <w:tab/>
      </w:r>
      <w:r>
        <w:rPr>
          <w:rFonts w:ascii="Arial" w:hAnsi="Arial" w:cs="Arial"/>
          <w:b/>
          <w:sz w:val="20"/>
          <w:szCs w:val="20"/>
        </w:rPr>
        <w:tab/>
        <w:t xml:space="preserve">: GLORIA ISABEL ROMERO BLUM  </w:t>
      </w:r>
    </w:p>
    <w:p w:rsidR="00502FC1" w:rsidRDefault="00502FC1" w:rsidP="00502FC1">
      <w:pPr>
        <w:rPr>
          <w:rFonts w:ascii="Arial" w:hAnsi="Arial" w:cs="Arial"/>
          <w:b/>
          <w:spacing w:val="-3"/>
          <w:sz w:val="20"/>
          <w:szCs w:val="20"/>
        </w:rPr>
      </w:pPr>
      <w:r w:rsidRPr="001B57B7">
        <w:rPr>
          <w:rFonts w:ascii="Arial" w:hAnsi="Arial" w:cs="Arial"/>
          <w:b/>
          <w:sz w:val="20"/>
          <w:szCs w:val="20"/>
        </w:rPr>
        <w:t xml:space="preserve">RADICACIÓN </w:t>
      </w:r>
      <w:r w:rsidRPr="001B57B7">
        <w:rPr>
          <w:rFonts w:ascii="Arial" w:hAnsi="Arial" w:cs="Arial"/>
          <w:b/>
          <w:sz w:val="20"/>
          <w:szCs w:val="20"/>
        </w:rPr>
        <w:tab/>
      </w:r>
      <w:r w:rsidRPr="001B57B7">
        <w:rPr>
          <w:rFonts w:ascii="Arial" w:hAnsi="Arial" w:cs="Arial"/>
          <w:b/>
          <w:sz w:val="20"/>
          <w:szCs w:val="20"/>
        </w:rPr>
        <w:tab/>
        <w:t>:</w:t>
      </w:r>
      <w:r w:rsidRPr="001B57B7">
        <w:rPr>
          <w:rFonts w:ascii="Arial" w:hAnsi="Arial" w:cs="Arial"/>
          <w:b/>
          <w:spacing w:val="-3"/>
          <w:sz w:val="20"/>
          <w:szCs w:val="20"/>
        </w:rPr>
        <w:t xml:space="preserve"> </w:t>
      </w:r>
      <w:r>
        <w:rPr>
          <w:rFonts w:ascii="Arial" w:hAnsi="Arial" w:cs="Arial"/>
          <w:b/>
          <w:spacing w:val="-3"/>
          <w:sz w:val="20"/>
          <w:szCs w:val="20"/>
        </w:rPr>
        <w:t>2011 004391</w:t>
      </w:r>
    </w:p>
    <w:p w:rsidR="00502FC1" w:rsidRPr="001B57B7" w:rsidRDefault="00502FC1" w:rsidP="00502FC1">
      <w:pPr>
        <w:rPr>
          <w:rFonts w:ascii="Arial" w:hAnsi="Arial" w:cs="Arial"/>
          <w:b/>
          <w:spacing w:val="-3"/>
          <w:sz w:val="20"/>
          <w:szCs w:val="20"/>
        </w:rPr>
      </w:pPr>
      <w:r>
        <w:rPr>
          <w:rFonts w:ascii="Arial" w:hAnsi="Arial" w:cs="Arial"/>
          <w:b/>
          <w:spacing w:val="-3"/>
          <w:sz w:val="20"/>
          <w:szCs w:val="20"/>
        </w:rPr>
        <w:t>DECISIÓN</w:t>
      </w:r>
      <w:r>
        <w:rPr>
          <w:rFonts w:ascii="Arial" w:hAnsi="Arial" w:cs="Arial"/>
          <w:b/>
          <w:spacing w:val="-3"/>
          <w:sz w:val="20"/>
          <w:szCs w:val="20"/>
        </w:rPr>
        <w:tab/>
      </w:r>
      <w:r>
        <w:rPr>
          <w:rFonts w:ascii="Arial" w:hAnsi="Arial" w:cs="Arial"/>
          <w:b/>
          <w:spacing w:val="-3"/>
          <w:sz w:val="20"/>
          <w:szCs w:val="20"/>
        </w:rPr>
        <w:tab/>
        <w:t>: REVOCA</w:t>
      </w:r>
    </w:p>
    <w:p w:rsidR="00604C4F" w:rsidRDefault="00604C4F" w:rsidP="00604C4F">
      <w:pPr>
        <w:rPr>
          <w:rFonts w:ascii="Arial" w:hAnsi="Arial" w:cs="Arial"/>
          <w:b/>
          <w:spacing w:val="-3"/>
          <w:sz w:val="20"/>
          <w:szCs w:val="20"/>
        </w:rPr>
      </w:pPr>
    </w:p>
    <w:p w:rsidR="00604C4F" w:rsidRDefault="00604C4F" w:rsidP="00604C4F">
      <w:pPr>
        <w:rPr>
          <w:rFonts w:ascii="Arial" w:hAnsi="Arial" w:cs="Arial"/>
          <w:b/>
          <w:spacing w:val="-3"/>
          <w:sz w:val="20"/>
          <w:szCs w:val="20"/>
        </w:rPr>
      </w:pPr>
    </w:p>
    <w:p w:rsidR="00604C4F" w:rsidRDefault="00604C4F" w:rsidP="00604C4F">
      <w:pPr>
        <w:jc w:val="center"/>
        <w:rPr>
          <w:b/>
          <w:szCs w:val="2"/>
        </w:rPr>
      </w:pPr>
      <w:r w:rsidRPr="00D43785">
        <w:rPr>
          <w:b/>
          <w:szCs w:val="2"/>
        </w:rPr>
        <w:t>SALA PENAL</w:t>
      </w:r>
    </w:p>
    <w:p w:rsidR="00604C4F" w:rsidRDefault="00604C4F" w:rsidP="00604C4F">
      <w:pPr>
        <w:jc w:val="center"/>
        <w:rPr>
          <w:b/>
          <w:szCs w:val="2"/>
        </w:rPr>
      </w:pPr>
    </w:p>
    <w:p w:rsidR="00604C4F" w:rsidRDefault="00604C4F" w:rsidP="00604C4F">
      <w:pPr>
        <w:jc w:val="center"/>
        <w:rPr>
          <w:b/>
          <w:szCs w:val="2"/>
        </w:rPr>
      </w:pPr>
    </w:p>
    <w:p w:rsidR="009D42FD" w:rsidRDefault="009D42FD" w:rsidP="009D42FD">
      <w:pPr>
        <w:ind w:right="365"/>
        <w:jc w:val="center"/>
        <w:rPr>
          <w:rFonts w:ascii="Tahoma" w:hAnsi="Tahoma" w:cs="Tahoma"/>
          <w:b/>
          <w:sz w:val="18"/>
          <w:szCs w:val="18"/>
          <w:lang w:val="pt-BR"/>
        </w:rPr>
      </w:pPr>
    </w:p>
    <w:sectPr w:rsidR="009D42FD" w:rsidSect="00D43785">
      <w:headerReference w:type="default" r:id="rId7"/>
      <w:footerReference w:type="default" r:id="rId8"/>
      <w:type w:val="continuous"/>
      <w:pgSz w:w="12242" w:h="20163" w:code="124"/>
      <w:pgMar w:top="1758" w:right="1701" w:bottom="1985" w:left="2268" w:header="539" w:footer="7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5AB" w:rsidRDefault="00F515AB" w:rsidP="00502FC1">
      <w:r>
        <w:separator/>
      </w:r>
    </w:p>
  </w:endnote>
  <w:endnote w:type="continuationSeparator" w:id="0">
    <w:p w:rsidR="00F515AB" w:rsidRDefault="00F515AB" w:rsidP="0050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99" w:rsidRDefault="00F515AB" w:rsidP="002E7666">
    <w:pPr>
      <w:jc w:val="center"/>
      <w:rPr>
        <w:rFonts w:ascii="Lucida Handwriting" w:hAnsi="Lucida Handwriting" w:cs="Arial"/>
        <w:b/>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5AB" w:rsidRDefault="00F515AB" w:rsidP="00502FC1">
      <w:r>
        <w:separator/>
      </w:r>
    </w:p>
  </w:footnote>
  <w:footnote w:type="continuationSeparator" w:id="0">
    <w:p w:rsidR="00F515AB" w:rsidRDefault="00F515AB" w:rsidP="00502FC1">
      <w:r>
        <w:continuationSeparator/>
      </w:r>
    </w:p>
  </w:footnote>
  <w:footnote w:id="1">
    <w:p w:rsidR="00502FC1" w:rsidRPr="004066AE" w:rsidRDefault="00502FC1" w:rsidP="00502FC1">
      <w:pPr>
        <w:pStyle w:val="Textonotapie"/>
        <w:rPr>
          <w:rFonts w:ascii="Arial" w:hAnsi="Arial" w:cs="Arial"/>
          <w:i/>
          <w:sz w:val="16"/>
          <w:szCs w:val="16"/>
          <w:lang w:val="es-CO"/>
        </w:rPr>
      </w:pPr>
      <w:r w:rsidRPr="004066AE">
        <w:rPr>
          <w:rStyle w:val="Refdenotaalpie"/>
          <w:rFonts w:ascii="Arial" w:hAnsi="Arial" w:cs="Arial"/>
          <w:i/>
          <w:sz w:val="16"/>
          <w:szCs w:val="16"/>
        </w:rPr>
        <w:footnoteRef/>
      </w:r>
      <w:r w:rsidRPr="004066AE">
        <w:rPr>
          <w:rFonts w:ascii="Arial" w:hAnsi="Arial" w:cs="Arial"/>
          <w:i/>
          <w:sz w:val="16"/>
          <w:szCs w:val="16"/>
        </w:rPr>
        <w:t>Ley 1098 de 2006, artículos 178, inciso segundo, 179, parágrafo 2º, y 187, inciso tercero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99" w:rsidRDefault="008A626B" w:rsidP="00700573">
    <w:pPr>
      <w:pStyle w:val="Encabezado"/>
      <w:framePr w:wrap="around" w:vAnchor="text" w:hAnchor="margin" w:xAlign="right" w:y="1"/>
      <w:rPr>
        <w:rStyle w:val="Nmerodepgina"/>
      </w:rPr>
    </w:pPr>
    <w:r>
      <w:rPr>
        <w:rStyle w:val="Nmerodepgina"/>
      </w:rPr>
      <w:fldChar w:fldCharType="begin"/>
    </w:r>
    <w:r w:rsidR="00B34948">
      <w:rPr>
        <w:rStyle w:val="Nmerodepgina"/>
      </w:rPr>
      <w:instrText xml:space="preserve">PAGE  </w:instrText>
    </w:r>
    <w:r>
      <w:rPr>
        <w:rStyle w:val="Nmerodepgina"/>
      </w:rPr>
      <w:fldChar w:fldCharType="separate"/>
    </w:r>
    <w:r w:rsidR="00E71660">
      <w:rPr>
        <w:rStyle w:val="Nmerodepgina"/>
        <w:noProof/>
      </w:rPr>
      <w:t>5</w:t>
    </w:r>
    <w:r>
      <w:rPr>
        <w:rStyle w:val="Nmerodepgina"/>
      </w:rPr>
      <w:fldChar w:fldCharType="end"/>
    </w:r>
  </w:p>
  <w:p w:rsidR="00240499" w:rsidRPr="0034782A" w:rsidRDefault="00B34948" w:rsidP="00D43785">
    <w:pPr>
      <w:ind w:right="360" w:firstLine="708"/>
      <w:rPr>
        <w:rFonts w:ascii="Arial" w:hAnsi="Arial" w:cs="Arial"/>
        <w:b/>
        <w:sz w:val="14"/>
        <w:szCs w:val="14"/>
      </w:rPr>
    </w:pPr>
    <w:r w:rsidRPr="0034782A">
      <w:rPr>
        <w:rFonts w:ascii="Tahoma" w:hAnsi="Tahoma" w:cs="Tahoma"/>
        <w:b/>
        <w:sz w:val="14"/>
        <w:szCs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4F"/>
    <w:rsid w:val="00035945"/>
    <w:rsid w:val="000829A2"/>
    <w:rsid w:val="000B4CA7"/>
    <w:rsid w:val="000F754C"/>
    <w:rsid w:val="0010192F"/>
    <w:rsid w:val="0014096B"/>
    <w:rsid w:val="001D3709"/>
    <w:rsid w:val="00350128"/>
    <w:rsid w:val="00413823"/>
    <w:rsid w:val="004C2E3B"/>
    <w:rsid w:val="00502FC1"/>
    <w:rsid w:val="005E64AA"/>
    <w:rsid w:val="00604C4F"/>
    <w:rsid w:val="0069027F"/>
    <w:rsid w:val="006F0B77"/>
    <w:rsid w:val="0088366A"/>
    <w:rsid w:val="008A626B"/>
    <w:rsid w:val="009A56B6"/>
    <w:rsid w:val="009D42FD"/>
    <w:rsid w:val="00A119AF"/>
    <w:rsid w:val="00A3089B"/>
    <w:rsid w:val="00A42A33"/>
    <w:rsid w:val="00A66B92"/>
    <w:rsid w:val="00B34948"/>
    <w:rsid w:val="00B44D79"/>
    <w:rsid w:val="00BA7A5A"/>
    <w:rsid w:val="00D43622"/>
    <w:rsid w:val="00D6437F"/>
    <w:rsid w:val="00DF637E"/>
    <w:rsid w:val="00E623B6"/>
    <w:rsid w:val="00E71660"/>
    <w:rsid w:val="00EB5FEE"/>
    <w:rsid w:val="00ED7E49"/>
    <w:rsid w:val="00EF2515"/>
    <w:rsid w:val="00F515AB"/>
    <w:rsid w:val="00FB4F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850679C-82F7-4A83-BF4B-B116F7AB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pacing w:line="360" w:lineRule="auto"/>
        <w:ind w:left="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C4F"/>
    <w:pPr>
      <w:spacing w:line="240" w:lineRule="auto"/>
      <w:ind w:left="0"/>
      <w:jc w:val="left"/>
    </w:pPr>
    <w:rPr>
      <w:sz w:val="24"/>
      <w:szCs w:val="24"/>
      <w:lang w:val="es-CO" w:eastAsia="es-CO"/>
    </w:rPr>
  </w:style>
  <w:style w:type="paragraph" w:styleId="Ttulo5">
    <w:name w:val="heading 5"/>
    <w:basedOn w:val="Normal"/>
    <w:next w:val="Normal"/>
    <w:link w:val="Ttulo5Car"/>
    <w:qFormat/>
    <w:rsid w:val="00604C4F"/>
    <w:pPr>
      <w:spacing w:before="240" w:after="60"/>
      <w:outlineLvl w:val="4"/>
    </w:pPr>
    <w:rPr>
      <w:b/>
      <w:bCs/>
      <w:i/>
      <w:iCs/>
      <w:sz w:val="26"/>
      <w:szCs w:val="26"/>
    </w:rPr>
  </w:style>
  <w:style w:type="paragraph" w:styleId="Ttulo7">
    <w:name w:val="heading 7"/>
    <w:basedOn w:val="Normal"/>
    <w:next w:val="Normal"/>
    <w:link w:val="Ttulo7Car"/>
    <w:qFormat/>
    <w:rsid w:val="00604C4F"/>
    <w:pPr>
      <w:spacing w:before="240" w:after="60"/>
      <w:outlineLvl w:val="6"/>
    </w:pPr>
  </w:style>
  <w:style w:type="paragraph" w:styleId="Ttulo8">
    <w:name w:val="heading 8"/>
    <w:basedOn w:val="Normal"/>
    <w:next w:val="Normal"/>
    <w:link w:val="Ttulo8Car"/>
    <w:semiHidden/>
    <w:unhideWhenUsed/>
    <w:qFormat/>
    <w:rsid w:val="00604C4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604C4F"/>
    <w:rPr>
      <w:b/>
      <w:bCs/>
      <w:i/>
      <w:iCs/>
      <w:sz w:val="26"/>
      <w:szCs w:val="26"/>
      <w:lang w:val="es-CO" w:eastAsia="es-CO"/>
    </w:rPr>
  </w:style>
  <w:style w:type="character" w:customStyle="1" w:styleId="Ttulo7Car">
    <w:name w:val="Título 7 Car"/>
    <w:basedOn w:val="Fuentedeprrafopredeter"/>
    <w:link w:val="Ttulo7"/>
    <w:rsid w:val="00604C4F"/>
    <w:rPr>
      <w:sz w:val="24"/>
      <w:szCs w:val="24"/>
      <w:lang w:val="es-CO" w:eastAsia="es-CO"/>
    </w:rPr>
  </w:style>
  <w:style w:type="character" w:customStyle="1" w:styleId="Ttulo8Car">
    <w:name w:val="Título 8 Car"/>
    <w:basedOn w:val="Fuentedeprrafopredeter"/>
    <w:link w:val="Ttulo8"/>
    <w:semiHidden/>
    <w:rsid w:val="00604C4F"/>
    <w:rPr>
      <w:rFonts w:asciiTheme="majorHAnsi" w:eastAsiaTheme="majorEastAsia" w:hAnsiTheme="majorHAnsi" w:cstheme="majorBidi"/>
      <w:color w:val="404040" w:themeColor="text1" w:themeTint="BF"/>
      <w:lang w:val="es-CO" w:eastAsia="es-CO"/>
    </w:rPr>
  </w:style>
  <w:style w:type="paragraph" w:styleId="Encabezado">
    <w:name w:val="header"/>
    <w:basedOn w:val="Normal"/>
    <w:link w:val="EncabezadoCar"/>
    <w:rsid w:val="00604C4F"/>
    <w:pPr>
      <w:tabs>
        <w:tab w:val="center" w:pos="4252"/>
        <w:tab w:val="right" w:pos="8504"/>
      </w:tabs>
    </w:pPr>
  </w:style>
  <w:style w:type="character" w:customStyle="1" w:styleId="EncabezadoCar">
    <w:name w:val="Encabezado Car"/>
    <w:basedOn w:val="Fuentedeprrafopredeter"/>
    <w:link w:val="Encabezado"/>
    <w:rsid w:val="00604C4F"/>
    <w:rPr>
      <w:sz w:val="24"/>
      <w:szCs w:val="24"/>
      <w:lang w:val="es-CO" w:eastAsia="es-CO"/>
    </w:rPr>
  </w:style>
  <w:style w:type="paragraph" w:styleId="Textoindependiente">
    <w:name w:val="Body Text"/>
    <w:basedOn w:val="Normal"/>
    <w:link w:val="TextoindependienteCar"/>
    <w:rsid w:val="00604C4F"/>
    <w:pPr>
      <w:spacing w:after="120"/>
    </w:pPr>
  </w:style>
  <w:style w:type="character" w:customStyle="1" w:styleId="TextoindependienteCar">
    <w:name w:val="Texto independiente Car"/>
    <w:basedOn w:val="Fuentedeprrafopredeter"/>
    <w:link w:val="Textoindependiente"/>
    <w:rsid w:val="00604C4F"/>
    <w:rPr>
      <w:sz w:val="24"/>
      <w:szCs w:val="24"/>
      <w:lang w:val="es-CO" w:eastAsia="es-CO"/>
    </w:rPr>
  </w:style>
  <w:style w:type="character" w:styleId="Nmerodepgina">
    <w:name w:val="page number"/>
    <w:basedOn w:val="Fuentedeprrafopredeter"/>
    <w:rsid w:val="00604C4F"/>
  </w:style>
  <w:style w:type="paragraph" w:styleId="Textodeglobo">
    <w:name w:val="Balloon Text"/>
    <w:basedOn w:val="Normal"/>
    <w:link w:val="TextodegloboCar"/>
    <w:uiPriority w:val="99"/>
    <w:semiHidden/>
    <w:unhideWhenUsed/>
    <w:rsid w:val="00604C4F"/>
    <w:rPr>
      <w:rFonts w:ascii="Tahoma" w:hAnsi="Tahoma" w:cs="Tahoma"/>
      <w:sz w:val="16"/>
      <w:szCs w:val="16"/>
    </w:rPr>
  </w:style>
  <w:style w:type="character" w:customStyle="1" w:styleId="TextodegloboCar">
    <w:name w:val="Texto de globo Car"/>
    <w:basedOn w:val="Fuentedeprrafopredeter"/>
    <w:link w:val="Textodeglobo"/>
    <w:uiPriority w:val="99"/>
    <w:semiHidden/>
    <w:rsid w:val="00604C4F"/>
    <w:rPr>
      <w:rFonts w:ascii="Tahoma" w:hAnsi="Tahoma" w:cs="Tahoma"/>
      <w:sz w:val="16"/>
      <w:szCs w:val="16"/>
      <w:lang w:val="es-CO" w:eastAsia="es-CO"/>
    </w:rPr>
  </w:style>
  <w:style w:type="paragraph" w:styleId="Textoindependienteprimerasangra">
    <w:name w:val="Body Text First Indent"/>
    <w:basedOn w:val="Textoindependiente"/>
    <w:link w:val="TextoindependienteprimerasangraCar"/>
    <w:uiPriority w:val="99"/>
    <w:semiHidden/>
    <w:unhideWhenUsed/>
    <w:rsid w:val="00502FC1"/>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502FC1"/>
    <w:rPr>
      <w:sz w:val="24"/>
      <w:szCs w:val="24"/>
      <w:lang w:val="es-CO" w:eastAsia="es-CO"/>
    </w:rPr>
  </w:style>
  <w:style w:type="character" w:styleId="Refdenotaalpie">
    <w:name w:val="footnote reference"/>
    <w:aliases w:val="Texto de nota al pie"/>
    <w:basedOn w:val="Fuentedeprrafopredeter"/>
    <w:rsid w:val="00502FC1"/>
    <w:rPr>
      <w:rFonts w:cs="Times New Roman"/>
      <w:vertAlign w:val="superscript"/>
    </w:rPr>
  </w:style>
  <w:style w:type="paragraph" w:styleId="Textonotapie">
    <w:name w:val="footnote text"/>
    <w:aliases w:val="Footnote Text Char Char Char Char Char,Footnote Text Char Char Char Char,Footnote reference,FA Fu,FA Fu Car,Footnote Text Char Char Char,texto de nota al pie Car,texto de nota al pie,Footnote Text Char,Footnote referenc"/>
    <w:basedOn w:val="Normal"/>
    <w:link w:val="TextonotapieCar"/>
    <w:rsid w:val="00502FC1"/>
    <w:pPr>
      <w:widowControl w:val="0"/>
      <w:overflowPunct w:val="0"/>
      <w:autoSpaceDE w:val="0"/>
      <w:autoSpaceDN w:val="0"/>
      <w:adjustRightInd w:val="0"/>
      <w:textAlignment w:val="baseline"/>
    </w:pPr>
    <w:rPr>
      <w:rFonts w:ascii="Courier" w:hAnsi="Courier" w:cs="Courier"/>
      <w:sz w:val="20"/>
      <w:szCs w:val="20"/>
      <w:lang w:val="es-ES_tradnl"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texto de nota al pie Car Car1,texto de nota al pie Car1"/>
    <w:basedOn w:val="Fuentedeprrafopredeter"/>
    <w:link w:val="Textonotapie"/>
    <w:rsid w:val="00502FC1"/>
    <w:rPr>
      <w:rFonts w:ascii="Courier" w:hAnsi="Courier" w:cs="Courier"/>
      <w:lang w:val="es-ES_tradnl"/>
    </w:rPr>
  </w:style>
  <w:style w:type="character" w:customStyle="1" w:styleId="TextonotapieCar1">
    <w:name w:val="Texto nota pie Car1"/>
    <w:aliases w:val="Texto nota pie Car Car,Footnote Text Char Char Char Char Char Car,Footnote Text Char Char Char Char Car,Footnote reference Car,FA Fu Car1,FA Fu Car Car,Footnote Text Char Char Char Car,texto de nota al pie Car Car"/>
    <w:basedOn w:val="Fuentedeprrafopredeter"/>
    <w:rsid w:val="009D42FD"/>
    <w:rPr>
      <w:rFonts w:ascii="Arial" w:hAnsi="Arial" w:cs="Arial"/>
    </w:rPr>
  </w:style>
  <w:style w:type="paragraph" w:customStyle="1" w:styleId="Textoindependiente22">
    <w:name w:val="Texto independiente 22"/>
    <w:basedOn w:val="Normal"/>
    <w:rsid w:val="009D42FD"/>
    <w:pPr>
      <w:overflowPunct w:val="0"/>
      <w:autoSpaceDE w:val="0"/>
      <w:autoSpaceDN w:val="0"/>
      <w:adjustRightInd w:val="0"/>
      <w:spacing w:before="20" w:line="360" w:lineRule="auto"/>
      <w:jc w:val="both"/>
      <w:textAlignment w:val="baseline"/>
    </w:pPr>
    <w:rPr>
      <w:rFonts w:ascii="Arial" w:eastAsia="Calibri" w:hAnsi="Arial"/>
      <w:sz w:val="26"/>
      <w:szCs w:val="20"/>
      <w:lang w:val="es-ES_tradnl" w:eastAsia="es-ES"/>
    </w:rPr>
  </w:style>
  <w:style w:type="paragraph" w:customStyle="1" w:styleId="Textoindependiente21">
    <w:name w:val="Texto independiente 21"/>
    <w:basedOn w:val="Normal"/>
    <w:rsid w:val="009D42FD"/>
    <w:pPr>
      <w:spacing w:line="360" w:lineRule="auto"/>
      <w:jc w:val="both"/>
    </w:pPr>
    <w:rPr>
      <w:sz w:val="28"/>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2507</Words>
  <Characters>13789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Crisatina Limas Rodriguez</dc:creator>
  <cp:keywords/>
  <dc:description/>
  <cp:lastModifiedBy>Crisatina Limas Rodriguez</cp:lastModifiedBy>
  <cp:revision>2</cp:revision>
  <dcterms:created xsi:type="dcterms:W3CDTF">2015-01-27T15:05:00Z</dcterms:created>
  <dcterms:modified xsi:type="dcterms:W3CDTF">2015-01-27T15:05:00Z</dcterms:modified>
</cp:coreProperties>
</file>