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998" w:rsidRPr="00B64FA4" w:rsidRDefault="005B6ADD" w:rsidP="00094579">
      <w:pPr>
        <w:spacing w:after="0" w:line="360" w:lineRule="auto"/>
        <w:ind w:right="-62"/>
        <w:jc w:val="center"/>
        <w:rPr>
          <w:rFonts w:ascii="Arial" w:eastAsia="Times New Roman" w:hAnsi="Arial" w:cs="Arial"/>
          <w:b/>
          <w:bCs/>
          <w:sz w:val="24"/>
          <w:szCs w:val="24"/>
          <w:lang w:eastAsia="es-ES"/>
        </w:rPr>
      </w:pPr>
      <w:bookmarkStart w:id="0" w:name="_GoBack"/>
      <w:bookmarkEnd w:id="0"/>
      <w:r>
        <w:rPr>
          <w:rFonts w:ascii="Arial" w:eastAsia="Times New Roman" w:hAnsi="Arial" w:cs="Arial"/>
          <w:b/>
          <w:bCs/>
          <w:sz w:val="24"/>
          <w:szCs w:val="24"/>
          <w:lang w:eastAsia="es-ES"/>
        </w:rPr>
        <w:t xml:space="preserve"> </w:t>
      </w:r>
      <w:r w:rsidR="00F03998">
        <w:rPr>
          <w:rFonts w:ascii="Arial" w:eastAsia="Times New Roman" w:hAnsi="Arial" w:cs="Arial"/>
          <w:b/>
          <w:bCs/>
          <w:sz w:val="24"/>
          <w:szCs w:val="24"/>
          <w:lang w:eastAsia="es-ES"/>
        </w:rPr>
        <w:t>TRIBUNAL SUPERIOR DEL DISTRITO JUDICIAL</w:t>
      </w:r>
    </w:p>
    <w:p w:rsidR="00F03998" w:rsidRPr="00B64FA4" w:rsidRDefault="00F03998" w:rsidP="00094579">
      <w:pPr>
        <w:spacing w:after="0" w:line="360" w:lineRule="auto"/>
        <w:ind w:right="-62"/>
        <w:jc w:val="center"/>
        <w:rPr>
          <w:rFonts w:ascii="Arial" w:eastAsia="Times New Roman" w:hAnsi="Arial" w:cs="Arial"/>
          <w:b/>
          <w:bCs/>
          <w:sz w:val="24"/>
          <w:szCs w:val="24"/>
          <w:lang w:eastAsia="es-ES"/>
        </w:rPr>
      </w:pPr>
      <w:r w:rsidRPr="00B64FA4">
        <w:rPr>
          <w:rFonts w:ascii="Arial" w:eastAsia="Times New Roman" w:hAnsi="Arial" w:cs="Arial"/>
          <w:b/>
          <w:bCs/>
          <w:sz w:val="24"/>
          <w:szCs w:val="24"/>
          <w:lang w:eastAsia="es-ES"/>
        </w:rPr>
        <w:t>SALA LABORAL</w:t>
      </w:r>
    </w:p>
    <w:p w:rsidR="00F03998" w:rsidRPr="009017E7" w:rsidRDefault="00F03998" w:rsidP="00094579">
      <w:pPr>
        <w:spacing w:after="0" w:line="360" w:lineRule="auto"/>
        <w:ind w:right="-65"/>
        <w:rPr>
          <w:rFonts w:ascii="Arial" w:eastAsia="Times New Roman" w:hAnsi="Arial" w:cs="Arial"/>
          <w:b/>
          <w:bCs/>
          <w:sz w:val="28"/>
          <w:szCs w:val="24"/>
          <w:lang w:eastAsia="es-ES"/>
        </w:rPr>
      </w:pPr>
    </w:p>
    <w:p w:rsidR="00F03998" w:rsidRPr="00B64FA4" w:rsidRDefault="00F03998" w:rsidP="00094579">
      <w:pPr>
        <w:spacing w:after="0" w:line="360" w:lineRule="auto"/>
        <w:ind w:right="-65"/>
        <w:jc w:val="center"/>
        <w:rPr>
          <w:rFonts w:ascii="Arial" w:eastAsia="Times New Roman" w:hAnsi="Arial" w:cs="Arial"/>
          <w:b/>
          <w:sz w:val="24"/>
          <w:szCs w:val="24"/>
          <w:lang w:eastAsia="es-ES"/>
        </w:rPr>
      </w:pPr>
      <w:r w:rsidRPr="00B64FA4">
        <w:rPr>
          <w:rFonts w:ascii="Arial" w:eastAsia="Times New Roman" w:hAnsi="Arial" w:cs="Arial"/>
          <w:b/>
          <w:bCs/>
          <w:sz w:val="24"/>
          <w:szCs w:val="24"/>
          <w:lang w:eastAsia="es-ES"/>
        </w:rPr>
        <w:t xml:space="preserve">Magistrada Ponente: </w:t>
      </w:r>
      <w:r w:rsidRPr="00B64FA4">
        <w:rPr>
          <w:rFonts w:ascii="Arial" w:eastAsia="Times New Roman" w:hAnsi="Arial" w:cs="Arial"/>
          <w:b/>
          <w:sz w:val="24"/>
          <w:szCs w:val="24"/>
          <w:lang w:eastAsia="es-ES"/>
        </w:rPr>
        <w:t>Martha Ruth Ospina Gaitán</w:t>
      </w:r>
    </w:p>
    <w:p w:rsidR="00F03998" w:rsidRPr="009017E7" w:rsidRDefault="00F03998" w:rsidP="00094579">
      <w:pPr>
        <w:spacing w:after="0" w:line="360" w:lineRule="auto"/>
        <w:ind w:right="-65"/>
        <w:jc w:val="center"/>
        <w:rPr>
          <w:rFonts w:ascii="Arial" w:eastAsia="Times New Roman" w:hAnsi="Arial" w:cs="Arial"/>
          <w:b/>
          <w:bCs/>
          <w:sz w:val="36"/>
          <w:szCs w:val="24"/>
          <w:lang w:val="es-CO" w:eastAsia="es-ES"/>
        </w:rPr>
      </w:pPr>
    </w:p>
    <w:p w:rsidR="00F03998" w:rsidRDefault="00F03998" w:rsidP="00094579">
      <w:pPr>
        <w:spacing w:after="0" w:line="360" w:lineRule="auto"/>
        <w:ind w:right="-65"/>
        <w:jc w:val="center"/>
        <w:rPr>
          <w:rFonts w:ascii="Arial" w:eastAsia="Times New Roman" w:hAnsi="Arial" w:cs="Arial"/>
          <w:b/>
          <w:iCs/>
          <w:sz w:val="24"/>
          <w:szCs w:val="24"/>
          <w:lang w:val="es-CO" w:eastAsia="es-ES"/>
        </w:rPr>
      </w:pPr>
      <w:r w:rsidRPr="00B64FA4">
        <w:rPr>
          <w:rFonts w:ascii="Arial" w:eastAsia="Times New Roman" w:hAnsi="Arial" w:cs="Arial"/>
          <w:b/>
          <w:bCs/>
          <w:sz w:val="24"/>
          <w:szCs w:val="24"/>
          <w:lang w:val="es-CO" w:eastAsia="es-ES"/>
        </w:rPr>
        <w:t xml:space="preserve">Expediente No: </w:t>
      </w:r>
      <w:r w:rsidR="00B30DD9">
        <w:rPr>
          <w:rFonts w:ascii="Arial" w:eastAsia="Times New Roman" w:hAnsi="Arial" w:cs="Arial"/>
          <w:b/>
          <w:iCs/>
          <w:sz w:val="24"/>
          <w:szCs w:val="24"/>
          <w:lang w:val="es-CO" w:eastAsia="es-ES"/>
        </w:rPr>
        <w:t>11001 31 05 023 2016 00034 01</w:t>
      </w:r>
    </w:p>
    <w:p w:rsidR="001E3F32" w:rsidRPr="001838AB" w:rsidRDefault="001838AB" w:rsidP="00094579">
      <w:pPr>
        <w:spacing w:after="0" w:line="360" w:lineRule="auto"/>
        <w:ind w:right="-65"/>
        <w:jc w:val="center"/>
        <w:rPr>
          <w:rFonts w:ascii="Arial" w:eastAsia="Times New Roman" w:hAnsi="Arial" w:cs="Arial"/>
          <w:bCs/>
          <w:iCs/>
          <w:sz w:val="16"/>
          <w:szCs w:val="24"/>
          <w:lang w:val="es-CO" w:eastAsia="es-ES"/>
        </w:rPr>
      </w:pPr>
      <w:r>
        <w:rPr>
          <w:rFonts w:ascii="Arial" w:eastAsia="Times New Roman" w:hAnsi="Arial" w:cs="Arial"/>
          <w:iCs/>
          <w:sz w:val="16"/>
          <w:szCs w:val="24"/>
          <w:lang w:val="es-CO" w:eastAsia="es-ES"/>
        </w:rPr>
        <w:t xml:space="preserve">Oswaldo Cortés Blandón vs. Programa de las Naciones Unidas para el Desarrollo – PNUD. </w:t>
      </w:r>
    </w:p>
    <w:p w:rsidR="00F03998" w:rsidRPr="009017E7" w:rsidRDefault="00F03998" w:rsidP="00094579">
      <w:pPr>
        <w:spacing w:after="0" w:line="360" w:lineRule="auto"/>
        <w:ind w:right="-65"/>
        <w:jc w:val="center"/>
        <w:rPr>
          <w:rFonts w:ascii="Arial" w:eastAsia="Times New Roman" w:hAnsi="Arial" w:cs="Arial"/>
          <w:bCs/>
          <w:color w:val="000000"/>
          <w:sz w:val="32"/>
          <w:szCs w:val="24"/>
          <w:lang w:val="es-CO" w:eastAsia="es-ES"/>
        </w:rPr>
      </w:pPr>
    </w:p>
    <w:p w:rsidR="00F03998" w:rsidRPr="00C26774" w:rsidRDefault="00F03998" w:rsidP="00094579">
      <w:pPr>
        <w:spacing w:after="0" w:line="360" w:lineRule="auto"/>
        <w:ind w:right="-65"/>
        <w:jc w:val="center"/>
        <w:rPr>
          <w:rFonts w:ascii="Arial" w:eastAsia="Times New Roman" w:hAnsi="Arial" w:cs="Arial"/>
          <w:bCs/>
          <w:color w:val="000000"/>
          <w:sz w:val="24"/>
          <w:szCs w:val="24"/>
          <w:lang w:eastAsia="es-ES"/>
        </w:rPr>
      </w:pPr>
      <w:r w:rsidRPr="00C26774">
        <w:rPr>
          <w:rFonts w:ascii="Arial" w:eastAsia="Times New Roman" w:hAnsi="Arial" w:cs="Arial"/>
          <w:bCs/>
          <w:color w:val="000000"/>
          <w:sz w:val="24"/>
          <w:szCs w:val="24"/>
          <w:lang w:eastAsia="es-ES"/>
        </w:rPr>
        <w:t>Bogotá D.C</w:t>
      </w:r>
      <w:r w:rsidR="00191D62">
        <w:rPr>
          <w:rFonts w:ascii="Arial" w:eastAsia="Times New Roman" w:hAnsi="Arial" w:cs="Arial"/>
          <w:bCs/>
          <w:color w:val="000000"/>
          <w:sz w:val="24"/>
          <w:szCs w:val="24"/>
          <w:lang w:eastAsia="es-ES"/>
        </w:rPr>
        <w:t xml:space="preserve">., </w:t>
      </w:r>
      <w:r w:rsidR="00807E2E">
        <w:rPr>
          <w:rFonts w:ascii="Arial" w:eastAsia="Times New Roman" w:hAnsi="Arial" w:cs="Arial"/>
          <w:bCs/>
          <w:color w:val="000000"/>
          <w:sz w:val="24"/>
          <w:szCs w:val="24"/>
          <w:lang w:eastAsia="es-ES"/>
        </w:rPr>
        <w:t>diez (10) de noviembre de dos mil dieciséis (2016)</w:t>
      </w:r>
    </w:p>
    <w:p w:rsidR="00F03998" w:rsidRPr="009017E7" w:rsidRDefault="00F03998" w:rsidP="002078F0">
      <w:pPr>
        <w:spacing w:after="0" w:line="360" w:lineRule="auto"/>
        <w:ind w:right="-65"/>
        <w:jc w:val="both"/>
        <w:rPr>
          <w:rFonts w:ascii="Arial" w:eastAsia="Times New Roman" w:hAnsi="Arial" w:cs="Arial"/>
          <w:sz w:val="32"/>
          <w:szCs w:val="24"/>
          <w:lang w:val="es-CO" w:eastAsia="es-ES"/>
        </w:rPr>
      </w:pPr>
    </w:p>
    <w:p w:rsidR="00B30DD9" w:rsidRDefault="00F03998" w:rsidP="002078F0">
      <w:pPr>
        <w:tabs>
          <w:tab w:val="left" w:pos="851"/>
          <w:tab w:val="left" w:pos="993"/>
        </w:tabs>
        <w:spacing w:after="0" w:line="360" w:lineRule="auto"/>
        <w:ind w:right="-65" w:firstLine="709"/>
        <w:jc w:val="both"/>
        <w:rPr>
          <w:rFonts w:ascii="Arial" w:eastAsia="Times New Roman" w:hAnsi="Arial" w:cs="Arial"/>
          <w:sz w:val="24"/>
          <w:szCs w:val="24"/>
          <w:lang w:eastAsia="es-ES"/>
        </w:rPr>
      </w:pPr>
      <w:r w:rsidRPr="00C26774">
        <w:rPr>
          <w:rFonts w:ascii="Arial" w:eastAsia="Times New Roman" w:hAnsi="Arial" w:cs="Arial"/>
          <w:sz w:val="24"/>
          <w:szCs w:val="24"/>
          <w:lang w:eastAsia="es-ES"/>
        </w:rPr>
        <w:t xml:space="preserve">Resuelve la Sala </w:t>
      </w:r>
      <w:r w:rsidR="00B30DD9">
        <w:rPr>
          <w:rFonts w:ascii="Arial" w:eastAsia="Times New Roman" w:hAnsi="Arial" w:cs="Arial"/>
          <w:sz w:val="24"/>
          <w:szCs w:val="24"/>
          <w:lang w:eastAsia="es-ES"/>
        </w:rPr>
        <w:t xml:space="preserve">el recurso de apelación presentado por la parte demandante contra el auto proferido </w:t>
      </w:r>
      <w:r w:rsidR="00213C91">
        <w:rPr>
          <w:rFonts w:ascii="Arial" w:eastAsia="Times New Roman" w:hAnsi="Arial" w:cs="Arial"/>
          <w:sz w:val="24"/>
          <w:szCs w:val="24"/>
          <w:lang w:eastAsia="es-ES"/>
        </w:rPr>
        <w:t xml:space="preserve">el 23 de junio de 2016 por el Juzgado 23 Laboral del Circuito de esta ciudad. </w:t>
      </w:r>
    </w:p>
    <w:p w:rsidR="00213C91" w:rsidRPr="009017E7" w:rsidRDefault="00213C91" w:rsidP="002078F0">
      <w:pPr>
        <w:tabs>
          <w:tab w:val="left" w:pos="851"/>
          <w:tab w:val="left" w:pos="993"/>
        </w:tabs>
        <w:spacing w:after="0" w:line="360" w:lineRule="auto"/>
        <w:ind w:right="-65" w:firstLine="709"/>
        <w:jc w:val="both"/>
        <w:rPr>
          <w:rFonts w:ascii="Arial" w:eastAsia="Times New Roman" w:hAnsi="Arial" w:cs="Arial"/>
          <w:b/>
          <w:sz w:val="28"/>
          <w:szCs w:val="24"/>
          <w:lang w:eastAsia="es-ES"/>
        </w:rPr>
      </w:pPr>
    </w:p>
    <w:p w:rsidR="00F03998" w:rsidRPr="009017E7" w:rsidRDefault="00F03998" w:rsidP="002078F0">
      <w:pPr>
        <w:widowControl w:val="0"/>
        <w:spacing w:after="0" w:line="360" w:lineRule="auto"/>
        <w:ind w:firstLine="709"/>
        <w:jc w:val="both"/>
        <w:rPr>
          <w:rFonts w:ascii="Arial" w:hAnsi="Arial" w:cs="Arial"/>
          <w:color w:val="000000" w:themeColor="text1"/>
          <w:sz w:val="24"/>
          <w:szCs w:val="24"/>
        </w:rPr>
      </w:pPr>
      <w:r w:rsidRPr="00807E2E">
        <w:rPr>
          <w:rFonts w:ascii="Arial" w:hAnsi="Arial" w:cs="Arial"/>
          <w:color w:val="000000" w:themeColor="text1"/>
          <w:sz w:val="24"/>
          <w:szCs w:val="24"/>
        </w:rPr>
        <w:t xml:space="preserve">Previa </w:t>
      </w:r>
      <w:r w:rsidRPr="009017E7">
        <w:rPr>
          <w:rFonts w:ascii="Arial" w:hAnsi="Arial" w:cs="Arial"/>
          <w:color w:val="000000" w:themeColor="text1"/>
          <w:sz w:val="24"/>
          <w:szCs w:val="24"/>
        </w:rPr>
        <w:t>deliberación de los magistrados, y conforme a los términos acordados en la sala de decisión, se procede a dictar el siguiente:</w:t>
      </w:r>
    </w:p>
    <w:p w:rsidR="00F03998" w:rsidRPr="009017E7" w:rsidRDefault="00F03998" w:rsidP="002078F0">
      <w:pPr>
        <w:widowControl w:val="0"/>
        <w:spacing w:after="0" w:line="360" w:lineRule="auto"/>
        <w:ind w:firstLine="709"/>
        <w:jc w:val="both"/>
        <w:rPr>
          <w:rFonts w:ascii="Arial" w:hAnsi="Arial" w:cs="Arial"/>
          <w:color w:val="000000" w:themeColor="text1"/>
          <w:sz w:val="24"/>
          <w:szCs w:val="24"/>
        </w:rPr>
      </w:pPr>
    </w:p>
    <w:p w:rsidR="00F03998" w:rsidRPr="009017E7" w:rsidRDefault="00F03998" w:rsidP="002078F0">
      <w:pPr>
        <w:widowControl w:val="0"/>
        <w:spacing w:after="0" w:line="360" w:lineRule="auto"/>
        <w:ind w:firstLine="709"/>
        <w:jc w:val="center"/>
        <w:rPr>
          <w:rFonts w:ascii="Arial" w:hAnsi="Arial" w:cs="Arial"/>
          <w:b/>
          <w:color w:val="000000" w:themeColor="text1"/>
          <w:sz w:val="24"/>
          <w:szCs w:val="24"/>
        </w:rPr>
      </w:pPr>
      <w:r w:rsidRPr="009017E7">
        <w:rPr>
          <w:rFonts w:ascii="Arial" w:hAnsi="Arial" w:cs="Arial"/>
          <w:b/>
          <w:color w:val="000000" w:themeColor="text1"/>
          <w:sz w:val="24"/>
          <w:szCs w:val="24"/>
        </w:rPr>
        <w:t>AUTO</w:t>
      </w:r>
    </w:p>
    <w:p w:rsidR="00F03998" w:rsidRPr="009017E7" w:rsidRDefault="00F03998" w:rsidP="002078F0">
      <w:pPr>
        <w:tabs>
          <w:tab w:val="left" w:pos="851"/>
          <w:tab w:val="left" w:pos="993"/>
        </w:tabs>
        <w:spacing w:after="0" w:line="360" w:lineRule="auto"/>
        <w:ind w:right="-65" w:firstLine="709"/>
        <w:jc w:val="center"/>
        <w:rPr>
          <w:rFonts w:ascii="Arial" w:eastAsia="Times New Roman" w:hAnsi="Arial" w:cs="Arial"/>
          <w:b/>
          <w:sz w:val="24"/>
          <w:szCs w:val="24"/>
          <w:lang w:eastAsia="es-ES"/>
        </w:rPr>
      </w:pPr>
    </w:p>
    <w:p w:rsidR="00AD008D" w:rsidRPr="00807E2E" w:rsidRDefault="005C42FB" w:rsidP="002078F0">
      <w:pPr>
        <w:pStyle w:val="Prrafodelista"/>
        <w:numPr>
          <w:ilvl w:val="0"/>
          <w:numId w:val="1"/>
        </w:numPr>
        <w:tabs>
          <w:tab w:val="left" w:pos="851"/>
          <w:tab w:val="left" w:pos="993"/>
        </w:tabs>
        <w:spacing w:after="0" w:line="360" w:lineRule="auto"/>
        <w:ind w:left="0" w:right="-62" w:firstLine="709"/>
        <w:jc w:val="both"/>
        <w:rPr>
          <w:rFonts w:ascii="Arial" w:eastAsia="Times New Roman" w:hAnsi="Arial" w:cs="Arial"/>
          <w:sz w:val="24"/>
          <w:szCs w:val="24"/>
          <w:lang w:eastAsia="es-ES"/>
        </w:rPr>
      </w:pPr>
      <w:r w:rsidRPr="009017E7">
        <w:rPr>
          <w:rFonts w:ascii="Arial" w:eastAsia="Times New Roman" w:hAnsi="Arial" w:cs="Arial"/>
          <w:sz w:val="24"/>
          <w:szCs w:val="24"/>
          <w:lang w:eastAsia="es-ES"/>
        </w:rPr>
        <w:t>Oswaldo Cortés Blandón demandó a</w:t>
      </w:r>
      <w:r w:rsidR="00ED1779" w:rsidRPr="009017E7">
        <w:rPr>
          <w:rFonts w:ascii="Arial" w:eastAsia="Times New Roman" w:hAnsi="Arial" w:cs="Arial"/>
          <w:sz w:val="24"/>
          <w:szCs w:val="24"/>
          <w:lang w:eastAsia="es-ES"/>
        </w:rPr>
        <w:t xml:space="preserve">l Programa de las Naciones Unidades para el Desarrollo PNUD, con miras a obtener la declaratoria de </w:t>
      </w:r>
      <w:r w:rsidR="00094579" w:rsidRPr="009017E7">
        <w:rPr>
          <w:rFonts w:ascii="Arial" w:eastAsia="Times New Roman" w:hAnsi="Arial" w:cs="Arial"/>
          <w:sz w:val="24"/>
          <w:szCs w:val="24"/>
          <w:lang w:eastAsia="es-ES"/>
        </w:rPr>
        <w:t>dos</w:t>
      </w:r>
      <w:r w:rsidR="00ED1779" w:rsidRPr="009017E7">
        <w:rPr>
          <w:rFonts w:ascii="Arial" w:eastAsia="Times New Roman" w:hAnsi="Arial" w:cs="Arial"/>
          <w:sz w:val="24"/>
          <w:szCs w:val="24"/>
          <w:lang w:eastAsia="es-ES"/>
        </w:rPr>
        <w:t xml:space="preserve"> contratos de trabajo, uno entre el</w:t>
      </w:r>
      <w:r w:rsidR="00ED1779" w:rsidRPr="00807E2E">
        <w:rPr>
          <w:rFonts w:ascii="Arial" w:eastAsia="Times New Roman" w:hAnsi="Arial" w:cs="Arial"/>
          <w:sz w:val="24"/>
          <w:szCs w:val="24"/>
          <w:lang w:eastAsia="es-ES"/>
        </w:rPr>
        <w:t xml:space="preserve"> 6 de octubre de 2012 y el 31 de enero de 2014, y el otro entre el 8 de mayo y el 31 de</w:t>
      </w:r>
      <w:r w:rsidR="00094579" w:rsidRPr="00807E2E">
        <w:rPr>
          <w:rFonts w:ascii="Arial" w:eastAsia="Times New Roman" w:hAnsi="Arial" w:cs="Arial"/>
          <w:sz w:val="24"/>
          <w:szCs w:val="24"/>
          <w:lang w:eastAsia="es-ES"/>
        </w:rPr>
        <w:t xml:space="preserve"> diciembre de ese mismo año, junto con</w:t>
      </w:r>
      <w:r w:rsidR="00ED1779" w:rsidRPr="00807E2E">
        <w:rPr>
          <w:rFonts w:ascii="Arial" w:eastAsia="Times New Roman" w:hAnsi="Arial" w:cs="Arial"/>
          <w:sz w:val="24"/>
          <w:szCs w:val="24"/>
          <w:lang w:eastAsia="es-ES"/>
        </w:rPr>
        <w:t xml:space="preserve"> </w:t>
      </w:r>
      <w:r w:rsidRPr="00807E2E">
        <w:rPr>
          <w:rFonts w:ascii="Arial" w:eastAsia="Times New Roman" w:hAnsi="Arial" w:cs="Arial"/>
          <w:sz w:val="24"/>
          <w:szCs w:val="24"/>
          <w:lang w:eastAsia="es-ES"/>
        </w:rPr>
        <w:t>el pago de</w:t>
      </w:r>
      <w:r w:rsidR="00ED1779" w:rsidRPr="00807E2E">
        <w:rPr>
          <w:rFonts w:ascii="Arial" w:eastAsia="Times New Roman" w:hAnsi="Arial" w:cs="Arial"/>
          <w:sz w:val="24"/>
          <w:szCs w:val="24"/>
          <w:lang w:eastAsia="es-ES"/>
        </w:rPr>
        <w:t xml:space="preserve"> prima de servicios, vacaciones, auxilio de cesantías, int</w:t>
      </w:r>
      <w:r w:rsidR="00094579" w:rsidRPr="00807E2E">
        <w:rPr>
          <w:rFonts w:ascii="Arial" w:eastAsia="Times New Roman" w:hAnsi="Arial" w:cs="Arial"/>
          <w:sz w:val="24"/>
          <w:szCs w:val="24"/>
          <w:lang w:eastAsia="es-ES"/>
        </w:rPr>
        <w:t xml:space="preserve">ereses sobre las cesantías, </w:t>
      </w:r>
      <w:r w:rsidR="00ED1779" w:rsidRPr="00807E2E">
        <w:rPr>
          <w:rFonts w:ascii="Arial" w:eastAsia="Times New Roman" w:hAnsi="Arial" w:cs="Arial"/>
          <w:sz w:val="24"/>
          <w:szCs w:val="24"/>
          <w:lang w:eastAsia="es-ES"/>
        </w:rPr>
        <w:t>sanción por su no pago, aportes a seguridad soc</w:t>
      </w:r>
      <w:r w:rsidR="00094579" w:rsidRPr="00807E2E">
        <w:rPr>
          <w:rFonts w:ascii="Arial" w:eastAsia="Times New Roman" w:hAnsi="Arial" w:cs="Arial"/>
          <w:sz w:val="24"/>
          <w:szCs w:val="24"/>
          <w:lang w:eastAsia="es-ES"/>
        </w:rPr>
        <w:t>ial en pensiones y en salud,</w:t>
      </w:r>
      <w:r w:rsidR="00ED1779" w:rsidRPr="00807E2E">
        <w:rPr>
          <w:rFonts w:ascii="Arial" w:eastAsia="Times New Roman" w:hAnsi="Arial" w:cs="Arial"/>
          <w:sz w:val="24"/>
          <w:szCs w:val="24"/>
          <w:lang w:eastAsia="es-ES"/>
        </w:rPr>
        <w:t xml:space="preserve"> indemnizac</w:t>
      </w:r>
      <w:r w:rsidR="00094579" w:rsidRPr="00807E2E">
        <w:rPr>
          <w:rFonts w:ascii="Arial" w:eastAsia="Times New Roman" w:hAnsi="Arial" w:cs="Arial"/>
          <w:sz w:val="24"/>
          <w:szCs w:val="24"/>
          <w:lang w:eastAsia="es-ES"/>
        </w:rPr>
        <w:t>iones moratorias de</w:t>
      </w:r>
      <w:r w:rsidR="00ED1779" w:rsidRPr="00807E2E">
        <w:rPr>
          <w:rFonts w:ascii="Arial" w:eastAsia="Times New Roman" w:hAnsi="Arial" w:cs="Arial"/>
          <w:sz w:val="24"/>
          <w:szCs w:val="24"/>
          <w:lang w:eastAsia="es-ES"/>
        </w:rPr>
        <w:t xml:space="preserve"> los artículos 99 de la Ley 50 de 1990 y 65 del CST., la indexación, y costas (</w:t>
      </w:r>
      <w:proofErr w:type="spellStart"/>
      <w:r w:rsidR="00ED1779" w:rsidRPr="00807E2E">
        <w:rPr>
          <w:rFonts w:ascii="Arial" w:eastAsia="Times New Roman" w:hAnsi="Arial" w:cs="Arial"/>
          <w:sz w:val="24"/>
          <w:szCs w:val="24"/>
          <w:lang w:eastAsia="es-ES"/>
        </w:rPr>
        <w:t>fls</w:t>
      </w:r>
      <w:proofErr w:type="spellEnd"/>
      <w:r w:rsidR="00ED1779" w:rsidRPr="00807E2E">
        <w:rPr>
          <w:rFonts w:ascii="Arial" w:eastAsia="Times New Roman" w:hAnsi="Arial" w:cs="Arial"/>
          <w:sz w:val="24"/>
          <w:szCs w:val="24"/>
          <w:lang w:eastAsia="es-ES"/>
        </w:rPr>
        <w:t xml:space="preserve">. </w:t>
      </w:r>
      <w:r w:rsidRPr="00807E2E">
        <w:rPr>
          <w:rFonts w:ascii="Arial" w:eastAsia="Times New Roman" w:hAnsi="Arial" w:cs="Arial"/>
          <w:sz w:val="24"/>
          <w:szCs w:val="24"/>
          <w:lang w:eastAsia="es-ES"/>
        </w:rPr>
        <w:t xml:space="preserve">2 a 11). </w:t>
      </w:r>
    </w:p>
    <w:p w:rsidR="00AD008D" w:rsidRPr="00807E2E" w:rsidRDefault="00AD008D" w:rsidP="002078F0">
      <w:pPr>
        <w:pStyle w:val="Prrafodelista"/>
        <w:tabs>
          <w:tab w:val="left" w:pos="851"/>
          <w:tab w:val="left" w:pos="993"/>
        </w:tabs>
        <w:spacing w:after="0" w:line="360" w:lineRule="auto"/>
        <w:ind w:left="709" w:right="-62"/>
        <w:jc w:val="both"/>
        <w:rPr>
          <w:rFonts w:ascii="Arial" w:eastAsia="Times New Roman" w:hAnsi="Arial" w:cs="Arial"/>
          <w:sz w:val="24"/>
          <w:szCs w:val="24"/>
          <w:lang w:eastAsia="es-ES"/>
        </w:rPr>
      </w:pPr>
    </w:p>
    <w:p w:rsidR="005C42FB" w:rsidRPr="002078F0" w:rsidRDefault="002078F0" w:rsidP="00F0582B">
      <w:pPr>
        <w:pStyle w:val="Prrafodelista"/>
        <w:numPr>
          <w:ilvl w:val="0"/>
          <w:numId w:val="1"/>
        </w:numPr>
        <w:tabs>
          <w:tab w:val="left" w:pos="851"/>
          <w:tab w:val="left" w:pos="993"/>
        </w:tabs>
        <w:spacing w:after="0" w:line="360" w:lineRule="auto"/>
        <w:ind w:left="0" w:right="-65" w:firstLine="709"/>
        <w:jc w:val="both"/>
        <w:rPr>
          <w:rFonts w:ascii="Arial" w:eastAsia="Times New Roman" w:hAnsi="Arial" w:cs="Arial"/>
          <w:sz w:val="24"/>
          <w:szCs w:val="24"/>
          <w:lang w:eastAsia="es-ES"/>
        </w:rPr>
      </w:pPr>
      <w:r w:rsidRPr="00807E2E">
        <w:rPr>
          <w:rFonts w:ascii="Arial" w:eastAsia="Times New Roman" w:hAnsi="Arial" w:cs="Arial"/>
          <w:sz w:val="24"/>
          <w:szCs w:val="24"/>
          <w:lang w:eastAsia="es-ES"/>
        </w:rPr>
        <w:t xml:space="preserve">Por reparto, correspondió </w:t>
      </w:r>
      <w:r w:rsidR="00094579" w:rsidRPr="00807E2E">
        <w:rPr>
          <w:rFonts w:ascii="Arial" w:eastAsia="Times New Roman" w:hAnsi="Arial" w:cs="Arial"/>
          <w:sz w:val="24"/>
          <w:szCs w:val="24"/>
          <w:lang w:eastAsia="es-ES"/>
        </w:rPr>
        <w:t xml:space="preserve">el conocimiento de este asunto </w:t>
      </w:r>
      <w:r w:rsidRPr="00807E2E">
        <w:rPr>
          <w:rFonts w:ascii="Arial" w:eastAsia="Times New Roman" w:hAnsi="Arial" w:cs="Arial"/>
          <w:sz w:val="24"/>
          <w:szCs w:val="24"/>
          <w:lang w:eastAsia="es-ES"/>
        </w:rPr>
        <w:t>al Juzgado 23 Laboral del Ci</w:t>
      </w:r>
      <w:r w:rsidR="00094579" w:rsidRPr="00807E2E">
        <w:rPr>
          <w:rFonts w:ascii="Arial" w:eastAsia="Times New Roman" w:hAnsi="Arial" w:cs="Arial"/>
          <w:sz w:val="24"/>
          <w:szCs w:val="24"/>
          <w:lang w:eastAsia="es-ES"/>
        </w:rPr>
        <w:t>rcuito de esta ciudad, quien mediant</w:t>
      </w:r>
      <w:r w:rsidR="00094579">
        <w:rPr>
          <w:rFonts w:ascii="Arial" w:eastAsia="Times New Roman" w:hAnsi="Arial" w:cs="Arial"/>
          <w:sz w:val="24"/>
          <w:szCs w:val="24"/>
          <w:lang w:eastAsia="es-ES"/>
        </w:rPr>
        <w:t>e</w:t>
      </w:r>
      <w:r>
        <w:rPr>
          <w:rFonts w:ascii="Arial" w:eastAsia="Times New Roman" w:hAnsi="Arial" w:cs="Arial"/>
          <w:sz w:val="24"/>
          <w:szCs w:val="24"/>
          <w:lang w:eastAsia="es-ES"/>
        </w:rPr>
        <w:t xml:space="preserve"> auto de 25 de abril de 2016, y previo a estudiar la viabilidad de admitir la demanda, decidió enviar oficio al </w:t>
      </w:r>
      <w:r>
        <w:rPr>
          <w:rFonts w:ascii="Arial" w:eastAsia="Times New Roman" w:hAnsi="Arial" w:cs="Arial"/>
          <w:sz w:val="24"/>
          <w:szCs w:val="24"/>
          <w:lang w:eastAsia="es-ES"/>
        </w:rPr>
        <w:lastRenderedPageBreak/>
        <w:t xml:space="preserve">Ministerio de Relaciones Exteriores </w:t>
      </w:r>
      <w:r w:rsidRPr="002078F0">
        <w:rPr>
          <w:rFonts w:ascii="Arial" w:eastAsia="Times New Roman" w:hAnsi="Arial" w:cs="Arial"/>
          <w:i/>
          <w:sz w:val="20"/>
          <w:szCs w:val="20"/>
          <w:lang w:eastAsia="es-ES"/>
        </w:rPr>
        <w:t>«para que se sirva certificar si conforme a la cláusula de inmunidad pactada a favor del PNUD está se encuentra acompañada de mecanismos adecuados y apropiados para el restablecimiento de derechos  de trabajadores afectados con la relación laboral, es decir, si tiene establecido algún mecanismo a través del cual se pueden solucionar las controversias laborales surgidas en nuestro país (…)»</w:t>
      </w:r>
      <w:r>
        <w:rPr>
          <w:rFonts w:ascii="Arial" w:eastAsia="Times New Roman" w:hAnsi="Arial" w:cs="Arial"/>
          <w:i/>
          <w:sz w:val="20"/>
          <w:szCs w:val="20"/>
          <w:lang w:eastAsia="es-ES"/>
        </w:rPr>
        <w:t xml:space="preserve"> </w:t>
      </w:r>
      <w:r>
        <w:rPr>
          <w:rFonts w:ascii="Arial" w:eastAsia="Times New Roman" w:hAnsi="Arial" w:cs="Arial"/>
          <w:sz w:val="24"/>
          <w:szCs w:val="20"/>
          <w:lang w:eastAsia="es-ES"/>
        </w:rPr>
        <w:t>(</w:t>
      </w:r>
      <w:proofErr w:type="spellStart"/>
      <w:r>
        <w:rPr>
          <w:rFonts w:ascii="Arial" w:eastAsia="Times New Roman" w:hAnsi="Arial" w:cs="Arial"/>
          <w:sz w:val="24"/>
          <w:szCs w:val="20"/>
          <w:lang w:eastAsia="es-ES"/>
        </w:rPr>
        <w:t>fl</w:t>
      </w:r>
      <w:proofErr w:type="spellEnd"/>
      <w:r>
        <w:rPr>
          <w:rFonts w:ascii="Arial" w:eastAsia="Times New Roman" w:hAnsi="Arial" w:cs="Arial"/>
          <w:sz w:val="24"/>
          <w:szCs w:val="20"/>
          <w:lang w:eastAsia="es-ES"/>
        </w:rPr>
        <w:t xml:space="preserve">. 25). </w:t>
      </w:r>
    </w:p>
    <w:p w:rsidR="002078F0" w:rsidRPr="00807E2E" w:rsidRDefault="002078F0" w:rsidP="00F0582B">
      <w:pPr>
        <w:pStyle w:val="Prrafodelista"/>
        <w:spacing w:after="0" w:line="360" w:lineRule="auto"/>
        <w:rPr>
          <w:rFonts w:ascii="Arial" w:eastAsia="Times New Roman" w:hAnsi="Arial" w:cs="Arial"/>
          <w:sz w:val="24"/>
          <w:szCs w:val="24"/>
          <w:lang w:eastAsia="es-ES"/>
        </w:rPr>
      </w:pPr>
    </w:p>
    <w:p w:rsidR="002078F0" w:rsidRPr="00807E2E" w:rsidRDefault="00F0582B" w:rsidP="007C74D3">
      <w:pPr>
        <w:pStyle w:val="Prrafodelista"/>
        <w:numPr>
          <w:ilvl w:val="0"/>
          <w:numId w:val="1"/>
        </w:numPr>
        <w:tabs>
          <w:tab w:val="left" w:pos="851"/>
          <w:tab w:val="left" w:pos="993"/>
        </w:tabs>
        <w:spacing w:after="0" w:line="360" w:lineRule="auto"/>
        <w:ind w:left="0" w:right="-65" w:firstLine="709"/>
        <w:jc w:val="both"/>
        <w:rPr>
          <w:rFonts w:ascii="Arial" w:eastAsia="Times New Roman" w:hAnsi="Arial" w:cs="Arial"/>
          <w:sz w:val="24"/>
          <w:szCs w:val="24"/>
          <w:lang w:eastAsia="es-ES"/>
        </w:rPr>
      </w:pPr>
      <w:r w:rsidRPr="00807E2E">
        <w:rPr>
          <w:rFonts w:ascii="Arial" w:eastAsia="Times New Roman" w:hAnsi="Arial" w:cs="Arial"/>
          <w:sz w:val="24"/>
          <w:szCs w:val="24"/>
          <w:lang w:eastAsia="es-ES"/>
        </w:rPr>
        <w:t>Al expediente llegó una respuesta dada por el doctor Jorge Mauricio Castro Vargas, como Coordinador Grupo Interno de Trabajo de Privilegios e Inmunidades del Ministerio de Relaciones Exteriores (</w:t>
      </w:r>
      <w:proofErr w:type="spellStart"/>
      <w:r w:rsidRPr="00807E2E">
        <w:rPr>
          <w:rFonts w:ascii="Arial" w:eastAsia="Times New Roman" w:hAnsi="Arial" w:cs="Arial"/>
          <w:sz w:val="24"/>
          <w:szCs w:val="24"/>
          <w:lang w:eastAsia="es-ES"/>
        </w:rPr>
        <w:t>fls</w:t>
      </w:r>
      <w:proofErr w:type="spellEnd"/>
      <w:r w:rsidRPr="00807E2E">
        <w:rPr>
          <w:rFonts w:ascii="Arial" w:eastAsia="Times New Roman" w:hAnsi="Arial" w:cs="Arial"/>
          <w:sz w:val="24"/>
          <w:szCs w:val="24"/>
          <w:lang w:eastAsia="es-ES"/>
        </w:rPr>
        <w:t xml:space="preserve">. 27 a 29). </w:t>
      </w:r>
    </w:p>
    <w:p w:rsidR="00F0582B" w:rsidRPr="00807E2E" w:rsidRDefault="00F0582B" w:rsidP="007C74D3">
      <w:pPr>
        <w:pStyle w:val="Prrafodelista"/>
        <w:spacing w:after="0" w:line="360" w:lineRule="auto"/>
        <w:rPr>
          <w:rFonts w:ascii="Arial" w:eastAsia="Times New Roman" w:hAnsi="Arial" w:cs="Arial"/>
          <w:sz w:val="24"/>
          <w:szCs w:val="24"/>
          <w:lang w:eastAsia="es-ES"/>
        </w:rPr>
      </w:pPr>
    </w:p>
    <w:p w:rsidR="005C42FB" w:rsidRDefault="00C72358" w:rsidP="00510577">
      <w:pPr>
        <w:pStyle w:val="Prrafodelista"/>
        <w:numPr>
          <w:ilvl w:val="0"/>
          <w:numId w:val="1"/>
        </w:numPr>
        <w:tabs>
          <w:tab w:val="left" w:pos="851"/>
          <w:tab w:val="left" w:pos="993"/>
        </w:tabs>
        <w:spacing w:after="0" w:line="360" w:lineRule="auto"/>
        <w:ind w:left="0" w:right="-62" w:firstLine="709"/>
        <w:jc w:val="both"/>
        <w:rPr>
          <w:rFonts w:ascii="Arial" w:eastAsia="Times New Roman" w:hAnsi="Arial" w:cs="Arial"/>
          <w:sz w:val="24"/>
          <w:szCs w:val="24"/>
          <w:lang w:eastAsia="es-ES"/>
        </w:rPr>
      </w:pPr>
      <w:r w:rsidRPr="00807E2E">
        <w:rPr>
          <w:rFonts w:ascii="Arial" w:eastAsia="Times New Roman" w:hAnsi="Arial" w:cs="Arial"/>
          <w:sz w:val="24"/>
          <w:szCs w:val="24"/>
          <w:lang w:eastAsia="es-ES"/>
        </w:rPr>
        <w:t>La jueza de conocimiento, mediante auto proferido el 23 de junio de 2016, rechazó la demanda, por</w:t>
      </w:r>
      <w:r>
        <w:rPr>
          <w:rFonts w:ascii="Arial" w:eastAsia="Times New Roman" w:hAnsi="Arial" w:cs="Arial"/>
          <w:sz w:val="24"/>
          <w:szCs w:val="24"/>
          <w:lang w:eastAsia="es-ES"/>
        </w:rPr>
        <w:t xml:space="preserve"> considerar lo siguiente: </w:t>
      </w:r>
      <w:r>
        <w:rPr>
          <w:rFonts w:ascii="Arial" w:eastAsia="Times New Roman" w:hAnsi="Arial" w:cs="Arial"/>
          <w:i/>
          <w:sz w:val="20"/>
          <w:szCs w:val="24"/>
          <w:lang w:eastAsia="es-ES"/>
        </w:rPr>
        <w:t>«</w:t>
      </w:r>
      <w:r w:rsidR="00954B6E">
        <w:rPr>
          <w:rFonts w:ascii="Arial" w:eastAsia="Times New Roman" w:hAnsi="Arial" w:cs="Arial"/>
          <w:i/>
          <w:sz w:val="20"/>
          <w:szCs w:val="24"/>
          <w:lang w:eastAsia="es-ES"/>
        </w:rPr>
        <w:t>(…) el PNUD goza de inmunidad reconocida por el Estado Colombiano mediante la incorporación en nuestro ordenamiento de la ‘Convención sobre los Privilegios e Inmunidades de las Naciones Unidas’, así como por las disposiciones establecidas en el convenio de cooperación celebrado entre el Gobierno colombiano y el Programa (…) todo lo cual pretende dotar a este organismo internacional de las condiciones necesarias que le permitan desarrollar su función institucional en nuestro país, bajo supuestos de neutralidad e independencia, en donde para la solución de los problemas laborales con sus funcionarios, ofrece mecanismos de resolución de conflictos de conformidad con la sección 29 de la Convención sobre Prerrogativas e inmunidades de las Naciones Unidas de 1946, tales como la conciliación o arbitraje, los cuales quedaron firmados en los diferentes contratos que suscriben las personas con dicha organización; como tampoco, se advierte que dicho organismo haya renunciado a la inmunidad, tal como se manifiesta en la certificación allegada por el Ministerio de Relaciones Exteriores en respuesta al oficio librado (…)</w:t>
      </w:r>
      <w:r>
        <w:rPr>
          <w:rFonts w:ascii="Arial" w:eastAsia="Times New Roman" w:hAnsi="Arial" w:cs="Arial"/>
          <w:i/>
          <w:sz w:val="20"/>
          <w:szCs w:val="24"/>
          <w:lang w:eastAsia="es-ES"/>
        </w:rPr>
        <w:t>»</w:t>
      </w:r>
      <w:r w:rsidR="00954B6E">
        <w:rPr>
          <w:rFonts w:ascii="Arial" w:eastAsia="Times New Roman" w:hAnsi="Arial" w:cs="Arial"/>
          <w:i/>
          <w:sz w:val="20"/>
          <w:szCs w:val="24"/>
          <w:lang w:eastAsia="es-ES"/>
        </w:rPr>
        <w:t xml:space="preserve"> </w:t>
      </w:r>
      <w:r w:rsidR="00954B6E" w:rsidRPr="00954B6E">
        <w:rPr>
          <w:rFonts w:ascii="Arial" w:eastAsia="Times New Roman" w:hAnsi="Arial" w:cs="Arial"/>
          <w:sz w:val="24"/>
          <w:szCs w:val="24"/>
          <w:lang w:eastAsia="es-ES"/>
        </w:rPr>
        <w:t>(</w:t>
      </w:r>
      <w:proofErr w:type="spellStart"/>
      <w:r w:rsidR="00954B6E" w:rsidRPr="00954B6E">
        <w:rPr>
          <w:rFonts w:ascii="Arial" w:eastAsia="Times New Roman" w:hAnsi="Arial" w:cs="Arial"/>
          <w:sz w:val="24"/>
          <w:szCs w:val="24"/>
          <w:lang w:eastAsia="es-ES"/>
        </w:rPr>
        <w:t>fl</w:t>
      </w:r>
      <w:proofErr w:type="spellEnd"/>
      <w:r w:rsidR="00954B6E" w:rsidRPr="00954B6E">
        <w:rPr>
          <w:rFonts w:ascii="Arial" w:eastAsia="Times New Roman" w:hAnsi="Arial" w:cs="Arial"/>
          <w:sz w:val="24"/>
          <w:szCs w:val="24"/>
          <w:lang w:eastAsia="es-ES"/>
        </w:rPr>
        <w:t>. 38).</w:t>
      </w:r>
    </w:p>
    <w:p w:rsidR="00954B6E" w:rsidRPr="009017E7" w:rsidRDefault="00954B6E" w:rsidP="00510577">
      <w:pPr>
        <w:pStyle w:val="Prrafodelista"/>
        <w:tabs>
          <w:tab w:val="left" w:pos="851"/>
          <w:tab w:val="left" w:pos="993"/>
        </w:tabs>
        <w:spacing w:after="0" w:line="360" w:lineRule="auto"/>
        <w:ind w:left="0" w:right="-62" w:firstLine="709"/>
        <w:jc w:val="both"/>
        <w:rPr>
          <w:rFonts w:ascii="Arial" w:eastAsia="Times New Roman" w:hAnsi="Arial" w:cs="Arial"/>
          <w:sz w:val="28"/>
          <w:szCs w:val="24"/>
          <w:lang w:eastAsia="es-ES"/>
        </w:rPr>
      </w:pPr>
    </w:p>
    <w:p w:rsidR="005C42FB" w:rsidRPr="00510577" w:rsidRDefault="009423F5" w:rsidP="00510577">
      <w:pPr>
        <w:pStyle w:val="Prrafodelista"/>
        <w:numPr>
          <w:ilvl w:val="0"/>
          <w:numId w:val="1"/>
        </w:numPr>
        <w:tabs>
          <w:tab w:val="left" w:pos="851"/>
          <w:tab w:val="left" w:pos="993"/>
        </w:tabs>
        <w:spacing w:after="0" w:line="360" w:lineRule="auto"/>
        <w:ind w:left="0" w:right="-62" w:firstLine="709"/>
        <w:jc w:val="both"/>
        <w:rPr>
          <w:rFonts w:ascii="Arial" w:eastAsia="Times New Roman" w:hAnsi="Arial" w:cs="Arial"/>
          <w:sz w:val="20"/>
          <w:szCs w:val="20"/>
          <w:lang w:eastAsia="es-ES"/>
        </w:rPr>
      </w:pPr>
      <w:r w:rsidRPr="00510577">
        <w:rPr>
          <w:rFonts w:ascii="Arial" w:eastAsia="Times New Roman" w:hAnsi="Arial" w:cs="Arial"/>
          <w:sz w:val="24"/>
          <w:szCs w:val="24"/>
          <w:lang w:eastAsia="es-ES"/>
        </w:rPr>
        <w:t>Inconforme con la decisión, la parte demandante la apeló. Para sustentar su inconformidad manifestó, en síntesis, que el juzgado desconoció el precedente de la Corte Suprema de Justicia, en casos similares al presente,</w:t>
      </w:r>
      <w:r w:rsidRPr="00510577">
        <w:rPr>
          <w:rFonts w:ascii="Arial" w:eastAsia="Times New Roman" w:hAnsi="Arial" w:cs="Arial"/>
          <w:i/>
          <w:sz w:val="20"/>
          <w:szCs w:val="20"/>
          <w:lang w:eastAsia="es-ES"/>
        </w:rPr>
        <w:t xml:space="preserve"> «sin explicar las razones de su rebeldía frente al precedente, pese a que en el auto 25 de abril de 2016 citó una de las decisiones de la Corte Suprema de Justicia, en un proceso ejecutivo contra el PROGRAMA DE LAS NACIONES UNIDAS PARA EL DESARROLLO PNUD reconociendo la jurisdicción del Estado colombiano para conocer de procesos en contra de organismos internacionales sobre conflictos relacionados directa o indirectamente con un contrato de trabajo, y la competencia de los jueces laborales del circuito para tramitarlos»</w:t>
      </w:r>
      <w:r w:rsidR="00807E2E">
        <w:rPr>
          <w:rFonts w:ascii="Arial" w:eastAsia="Times New Roman" w:hAnsi="Arial" w:cs="Arial"/>
          <w:i/>
          <w:sz w:val="20"/>
          <w:szCs w:val="20"/>
          <w:lang w:eastAsia="es-ES"/>
        </w:rPr>
        <w:t>,</w:t>
      </w:r>
      <w:r w:rsidR="00AB4F76" w:rsidRPr="00510577">
        <w:rPr>
          <w:rFonts w:ascii="Arial" w:eastAsia="Times New Roman" w:hAnsi="Arial" w:cs="Arial"/>
          <w:sz w:val="20"/>
          <w:szCs w:val="20"/>
          <w:lang w:eastAsia="es-ES"/>
        </w:rPr>
        <w:t xml:space="preserve"> </w:t>
      </w:r>
      <w:r w:rsidR="00AB4F76" w:rsidRPr="00510577">
        <w:rPr>
          <w:rFonts w:ascii="Arial" w:eastAsia="Times New Roman" w:hAnsi="Arial" w:cs="Arial"/>
          <w:sz w:val="24"/>
          <w:szCs w:val="20"/>
          <w:lang w:eastAsia="es-ES"/>
        </w:rPr>
        <w:t xml:space="preserve">y </w:t>
      </w:r>
      <w:r w:rsidR="00F4292D">
        <w:rPr>
          <w:rFonts w:ascii="Arial" w:eastAsia="Times New Roman" w:hAnsi="Arial" w:cs="Arial"/>
          <w:sz w:val="24"/>
          <w:szCs w:val="20"/>
          <w:lang w:eastAsia="es-ES"/>
        </w:rPr>
        <w:t>que</w:t>
      </w:r>
      <w:r w:rsidR="00807E2E">
        <w:rPr>
          <w:rFonts w:ascii="Arial" w:eastAsia="Times New Roman" w:hAnsi="Arial" w:cs="Arial"/>
          <w:sz w:val="24"/>
          <w:szCs w:val="20"/>
          <w:lang w:eastAsia="es-ES"/>
        </w:rPr>
        <w:t xml:space="preserve"> </w:t>
      </w:r>
      <w:r w:rsidR="00AB4F76" w:rsidRPr="00510577">
        <w:rPr>
          <w:rFonts w:ascii="Arial" w:eastAsia="Times New Roman" w:hAnsi="Arial" w:cs="Arial"/>
          <w:i/>
          <w:sz w:val="20"/>
          <w:szCs w:val="20"/>
          <w:lang w:eastAsia="es-ES"/>
        </w:rPr>
        <w:t xml:space="preserve">«no verificó si el PROGRAMA DE LAS NACIONES PARA EL DESARROLLO PNUD si en virtud de normas convencionales llámese tratado constitutivo, </w:t>
      </w:r>
      <w:r w:rsidR="00AB4F76" w:rsidRPr="00510577">
        <w:rPr>
          <w:rFonts w:ascii="Arial" w:eastAsia="Times New Roman" w:hAnsi="Arial" w:cs="Arial"/>
          <w:i/>
          <w:sz w:val="20"/>
          <w:szCs w:val="20"/>
          <w:lang w:eastAsia="es-ES"/>
        </w:rPr>
        <w:lastRenderedPageBreak/>
        <w:t>acuerdo de sede o convención, este organismo goza o no de inmunidad diplomática en materia laboral, es decir, no se detuvo a revisar las pruebas que reposan en el expediente, y tampoco la sección 29 de la Convención de Prerrogativas e Inmunidades de las Naciones Unidas de 1946»</w:t>
      </w:r>
      <w:r w:rsidR="008668A8" w:rsidRPr="00510577">
        <w:rPr>
          <w:rFonts w:ascii="Arial" w:eastAsia="Times New Roman" w:hAnsi="Arial" w:cs="Arial"/>
          <w:sz w:val="20"/>
          <w:szCs w:val="20"/>
          <w:lang w:eastAsia="es-ES"/>
        </w:rPr>
        <w:t xml:space="preserve">. </w:t>
      </w:r>
      <w:r w:rsidR="008668A8" w:rsidRPr="00510577">
        <w:rPr>
          <w:rFonts w:ascii="Arial" w:eastAsia="Times New Roman" w:hAnsi="Arial" w:cs="Arial"/>
          <w:sz w:val="24"/>
          <w:szCs w:val="20"/>
          <w:lang w:eastAsia="es-ES"/>
        </w:rPr>
        <w:t xml:space="preserve">Para concluir, expuso, </w:t>
      </w:r>
      <w:r w:rsidR="00E51817">
        <w:rPr>
          <w:rFonts w:ascii="Arial" w:eastAsia="Times New Roman" w:hAnsi="Arial" w:cs="Arial"/>
          <w:sz w:val="24"/>
          <w:szCs w:val="20"/>
          <w:lang w:eastAsia="es-ES"/>
        </w:rPr>
        <w:t xml:space="preserve">por </w:t>
      </w:r>
      <w:r w:rsidR="008668A8" w:rsidRPr="00510577">
        <w:rPr>
          <w:rFonts w:ascii="Arial" w:eastAsia="Times New Roman" w:hAnsi="Arial" w:cs="Arial"/>
          <w:sz w:val="24"/>
          <w:szCs w:val="20"/>
          <w:lang w:eastAsia="es-ES"/>
        </w:rPr>
        <w:t>una parte, que ninguno de los instrumentos referidos por el juzgado ofrece mecanismos de solución de conflictos tales como la conciliación o el arbitraje y, por la otra, que aun cuando se estudiara la Convención de Prerrogativas e Inmunidades de 1946, esta norma no hace referencia expresa al Derecho del Trabajo, sino al Derecho Privado (</w:t>
      </w:r>
      <w:proofErr w:type="spellStart"/>
      <w:r w:rsidR="008668A8" w:rsidRPr="00510577">
        <w:rPr>
          <w:rFonts w:ascii="Arial" w:eastAsia="Times New Roman" w:hAnsi="Arial" w:cs="Arial"/>
          <w:sz w:val="24"/>
          <w:szCs w:val="20"/>
          <w:lang w:eastAsia="es-ES"/>
        </w:rPr>
        <w:t>fls</w:t>
      </w:r>
      <w:proofErr w:type="spellEnd"/>
      <w:r w:rsidR="008668A8" w:rsidRPr="00510577">
        <w:rPr>
          <w:rFonts w:ascii="Arial" w:eastAsia="Times New Roman" w:hAnsi="Arial" w:cs="Arial"/>
          <w:sz w:val="24"/>
          <w:szCs w:val="20"/>
          <w:lang w:eastAsia="es-ES"/>
        </w:rPr>
        <w:t xml:space="preserve">. </w:t>
      </w:r>
      <w:r w:rsidR="00510577" w:rsidRPr="00510577">
        <w:rPr>
          <w:rFonts w:ascii="Arial" w:eastAsia="Times New Roman" w:hAnsi="Arial" w:cs="Arial"/>
          <w:sz w:val="24"/>
          <w:szCs w:val="20"/>
          <w:lang w:eastAsia="es-ES"/>
        </w:rPr>
        <w:t xml:space="preserve">39 a 42). </w:t>
      </w:r>
    </w:p>
    <w:p w:rsidR="005C42FB" w:rsidRPr="009017E7" w:rsidRDefault="005C42FB" w:rsidP="00510577">
      <w:pPr>
        <w:pStyle w:val="Prrafodelista"/>
        <w:tabs>
          <w:tab w:val="left" w:pos="851"/>
          <w:tab w:val="left" w:pos="993"/>
        </w:tabs>
        <w:spacing w:after="0" w:line="360" w:lineRule="auto"/>
        <w:ind w:left="0" w:right="-62" w:firstLine="709"/>
        <w:jc w:val="both"/>
        <w:rPr>
          <w:rFonts w:ascii="Arial" w:eastAsia="Times New Roman" w:hAnsi="Arial" w:cs="Arial"/>
          <w:sz w:val="24"/>
          <w:szCs w:val="24"/>
          <w:lang w:eastAsia="es-ES"/>
        </w:rPr>
      </w:pPr>
    </w:p>
    <w:p w:rsidR="00F03998" w:rsidRPr="00C850D3" w:rsidRDefault="00F03998" w:rsidP="00434129">
      <w:pPr>
        <w:pStyle w:val="Prrafodelista"/>
        <w:numPr>
          <w:ilvl w:val="0"/>
          <w:numId w:val="1"/>
        </w:numPr>
        <w:tabs>
          <w:tab w:val="left" w:pos="851"/>
          <w:tab w:val="left" w:pos="993"/>
        </w:tabs>
        <w:spacing w:after="0" w:line="360" w:lineRule="auto"/>
        <w:ind w:left="0" w:right="-62" w:firstLine="709"/>
        <w:jc w:val="both"/>
        <w:rPr>
          <w:rFonts w:ascii="Arial" w:eastAsia="Times New Roman" w:hAnsi="Arial" w:cs="Arial"/>
          <w:sz w:val="24"/>
          <w:szCs w:val="24"/>
          <w:lang w:eastAsia="es-ES"/>
        </w:rPr>
      </w:pPr>
      <w:r w:rsidRPr="007C74D3">
        <w:rPr>
          <w:rFonts w:ascii="Arial" w:eastAsia="Times New Roman" w:hAnsi="Arial" w:cs="Arial"/>
          <w:b/>
          <w:sz w:val="24"/>
          <w:szCs w:val="24"/>
          <w:lang w:eastAsia="es-ES"/>
        </w:rPr>
        <w:t>Cuestión preliminar</w:t>
      </w:r>
      <w:r w:rsidRPr="007C74D3">
        <w:rPr>
          <w:rFonts w:ascii="Arial" w:eastAsia="Times New Roman" w:hAnsi="Arial" w:cs="Arial"/>
          <w:sz w:val="24"/>
          <w:szCs w:val="24"/>
          <w:lang w:eastAsia="es-ES"/>
        </w:rPr>
        <w:t>. El auto recurrido es susceptible del recurso de ap</w:t>
      </w:r>
      <w:r w:rsidR="007C74D3" w:rsidRPr="007C74D3">
        <w:rPr>
          <w:rFonts w:ascii="Arial" w:eastAsia="Times New Roman" w:hAnsi="Arial" w:cs="Arial"/>
          <w:sz w:val="24"/>
          <w:szCs w:val="24"/>
          <w:lang w:eastAsia="es-ES"/>
        </w:rPr>
        <w:t xml:space="preserve">elación, conforme lo dispone el numeral 1º del </w:t>
      </w:r>
      <w:r w:rsidR="007C74D3">
        <w:rPr>
          <w:rFonts w:ascii="Arial" w:eastAsia="Times New Roman" w:hAnsi="Arial" w:cs="Arial"/>
          <w:sz w:val="24"/>
          <w:szCs w:val="24"/>
          <w:lang w:eastAsia="es-ES"/>
        </w:rPr>
        <w:t>a</w:t>
      </w:r>
      <w:r w:rsidRPr="007C74D3">
        <w:rPr>
          <w:rFonts w:ascii="Arial" w:eastAsia="Times New Roman" w:hAnsi="Arial" w:cs="Arial"/>
          <w:sz w:val="24"/>
          <w:szCs w:val="24"/>
          <w:lang w:eastAsia="es-ES"/>
        </w:rPr>
        <w:t xml:space="preserve">rtículo 65 del Código Sustantivo del Trabajo, reformado por el artículo </w:t>
      </w:r>
      <w:r w:rsidRPr="00C850D3">
        <w:rPr>
          <w:rFonts w:ascii="Arial" w:eastAsia="Times New Roman" w:hAnsi="Arial" w:cs="Arial"/>
          <w:sz w:val="24"/>
          <w:szCs w:val="24"/>
          <w:lang w:eastAsia="es-ES"/>
        </w:rPr>
        <w:t xml:space="preserve">29 de la Ley 712 de 2001. </w:t>
      </w:r>
    </w:p>
    <w:p w:rsidR="00191D62" w:rsidRPr="009017E7" w:rsidRDefault="00191D62" w:rsidP="00434129">
      <w:pPr>
        <w:spacing w:after="0" w:line="360" w:lineRule="auto"/>
        <w:ind w:right="-65" w:firstLine="709"/>
        <w:jc w:val="center"/>
        <w:rPr>
          <w:rFonts w:ascii="Arial" w:eastAsia="Times New Roman" w:hAnsi="Arial" w:cs="Arial"/>
          <w:sz w:val="24"/>
          <w:szCs w:val="24"/>
          <w:lang w:eastAsia="es-ES"/>
        </w:rPr>
      </w:pPr>
    </w:p>
    <w:p w:rsidR="00F03998" w:rsidRPr="009017E7" w:rsidRDefault="00F03998" w:rsidP="00094579">
      <w:pPr>
        <w:spacing w:after="0" w:line="360" w:lineRule="auto"/>
        <w:ind w:right="-65"/>
        <w:jc w:val="center"/>
        <w:rPr>
          <w:rFonts w:ascii="Arial" w:eastAsia="Times New Roman" w:hAnsi="Arial" w:cs="Arial"/>
          <w:sz w:val="24"/>
          <w:szCs w:val="24"/>
          <w:lang w:eastAsia="es-ES"/>
        </w:rPr>
      </w:pPr>
      <w:r w:rsidRPr="009017E7">
        <w:rPr>
          <w:rFonts w:ascii="Arial" w:eastAsia="Times New Roman" w:hAnsi="Arial" w:cs="Arial"/>
          <w:b/>
          <w:bCs/>
          <w:sz w:val="24"/>
          <w:szCs w:val="24"/>
          <w:lang w:val="es-CO" w:eastAsia="es-ES"/>
        </w:rPr>
        <w:t>CONSIDERACIONES</w:t>
      </w:r>
    </w:p>
    <w:p w:rsidR="00F03998" w:rsidRPr="009017E7" w:rsidRDefault="00F03998" w:rsidP="00434129">
      <w:pPr>
        <w:overflowPunct w:val="0"/>
        <w:autoSpaceDE w:val="0"/>
        <w:autoSpaceDN w:val="0"/>
        <w:adjustRightInd w:val="0"/>
        <w:spacing w:after="0" w:line="360" w:lineRule="auto"/>
        <w:ind w:right="-65" w:firstLine="709"/>
        <w:jc w:val="both"/>
        <w:textAlignment w:val="baseline"/>
        <w:rPr>
          <w:rFonts w:ascii="Arial" w:eastAsia="Times New Roman" w:hAnsi="Arial" w:cs="Arial"/>
          <w:b/>
          <w:bCs/>
          <w:sz w:val="24"/>
          <w:szCs w:val="24"/>
          <w:lang w:val="es-ES_tradnl" w:eastAsia="es-ES"/>
        </w:rPr>
      </w:pPr>
    </w:p>
    <w:p w:rsidR="00B47010" w:rsidRPr="009017E7" w:rsidRDefault="00191D62" w:rsidP="00191D62">
      <w:pPr>
        <w:pStyle w:val="Prrafodelista"/>
        <w:numPr>
          <w:ilvl w:val="0"/>
          <w:numId w:val="10"/>
        </w:numPr>
        <w:tabs>
          <w:tab w:val="left" w:pos="600"/>
          <w:tab w:val="left" w:pos="993"/>
          <w:tab w:val="left" w:pos="1560"/>
        </w:tabs>
        <w:spacing w:after="0" w:line="360" w:lineRule="auto"/>
        <w:ind w:right="77"/>
        <w:jc w:val="both"/>
        <w:rPr>
          <w:rFonts w:ascii="Arial" w:eastAsia="Calibri" w:hAnsi="Arial" w:cs="Arial"/>
          <w:b/>
          <w:sz w:val="24"/>
          <w:szCs w:val="24"/>
          <w:lang w:eastAsia="es-ES"/>
        </w:rPr>
      </w:pPr>
      <w:r w:rsidRPr="009017E7">
        <w:rPr>
          <w:rFonts w:ascii="Arial" w:eastAsia="Calibri" w:hAnsi="Arial" w:cs="Arial"/>
          <w:b/>
          <w:sz w:val="24"/>
          <w:szCs w:val="24"/>
          <w:lang w:eastAsia="es-ES"/>
        </w:rPr>
        <w:t xml:space="preserve">Inmunidad de jurisdicción: aspectos generales. </w:t>
      </w:r>
    </w:p>
    <w:p w:rsidR="00191D62" w:rsidRPr="009017E7" w:rsidRDefault="00191D62" w:rsidP="00191D62">
      <w:pPr>
        <w:pStyle w:val="Prrafodelista"/>
        <w:tabs>
          <w:tab w:val="left" w:pos="600"/>
          <w:tab w:val="left" w:pos="993"/>
          <w:tab w:val="left" w:pos="1560"/>
        </w:tabs>
        <w:spacing w:after="0" w:line="360" w:lineRule="auto"/>
        <w:ind w:left="1069" w:right="77"/>
        <w:jc w:val="both"/>
        <w:rPr>
          <w:rFonts w:ascii="Arial" w:eastAsia="Calibri" w:hAnsi="Arial" w:cs="Arial"/>
          <w:sz w:val="24"/>
          <w:szCs w:val="24"/>
          <w:lang w:eastAsia="es-ES"/>
        </w:rPr>
      </w:pPr>
    </w:p>
    <w:p w:rsidR="00EB6582" w:rsidRPr="00807E2E" w:rsidRDefault="006432D5" w:rsidP="008836C4">
      <w:pPr>
        <w:tabs>
          <w:tab w:val="left" w:pos="600"/>
          <w:tab w:val="left" w:pos="993"/>
          <w:tab w:val="left" w:pos="1560"/>
        </w:tabs>
        <w:spacing w:after="0" w:line="360" w:lineRule="auto"/>
        <w:ind w:right="77" w:firstLine="709"/>
        <w:jc w:val="both"/>
        <w:rPr>
          <w:sz w:val="24"/>
          <w:szCs w:val="24"/>
        </w:rPr>
      </w:pPr>
      <w:r w:rsidRPr="009017E7">
        <w:rPr>
          <w:rFonts w:ascii="Arial" w:eastAsia="Calibri" w:hAnsi="Arial" w:cs="Arial"/>
          <w:sz w:val="24"/>
          <w:szCs w:val="24"/>
          <w:lang w:eastAsia="es-ES"/>
        </w:rPr>
        <w:t>Como se sabe, la inmunidad</w:t>
      </w:r>
      <w:r w:rsidRPr="00C850D3">
        <w:rPr>
          <w:rFonts w:ascii="Arial" w:eastAsia="Calibri" w:hAnsi="Arial" w:cs="Arial"/>
          <w:sz w:val="24"/>
          <w:szCs w:val="24"/>
          <w:lang w:eastAsia="es-ES"/>
        </w:rPr>
        <w:t xml:space="preserve"> de jurisdicción constituye un principio de</w:t>
      </w:r>
      <w:r w:rsidR="004F26D8" w:rsidRPr="00C850D3">
        <w:rPr>
          <w:rFonts w:ascii="Arial" w:eastAsia="Calibri" w:hAnsi="Arial" w:cs="Arial"/>
          <w:sz w:val="24"/>
          <w:szCs w:val="24"/>
          <w:lang w:eastAsia="es-ES"/>
        </w:rPr>
        <w:t>l</w:t>
      </w:r>
      <w:r w:rsidRPr="00C850D3">
        <w:rPr>
          <w:rFonts w:ascii="Arial" w:eastAsia="Calibri" w:hAnsi="Arial" w:cs="Arial"/>
          <w:sz w:val="24"/>
          <w:szCs w:val="24"/>
          <w:lang w:eastAsia="es-ES"/>
        </w:rPr>
        <w:t xml:space="preserve"> </w:t>
      </w:r>
      <w:r w:rsidR="004F26D8" w:rsidRPr="00C850D3">
        <w:rPr>
          <w:rFonts w:ascii="Arial" w:eastAsia="Calibri" w:hAnsi="Arial" w:cs="Arial"/>
          <w:sz w:val="24"/>
          <w:szCs w:val="24"/>
          <w:lang w:eastAsia="es-ES"/>
        </w:rPr>
        <w:t>Derecho Internacional,</w:t>
      </w:r>
      <w:r w:rsidR="0066633A" w:rsidRPr="00C850D3">
        <w:rPr>
          <w:rFonts w:ascii="Arial" w:eastAsia="Calibri" w:hAnsi="Arial" w:cs="Arial"/>
          <w:sz w:val="24"/>
          <w:szCs w:val="24"/>
          <w:lang w:eastAsia="es-ES"/>
        </w:rPr>
        <w:t xml:space="preserve"> reconocido por la costumbre</w:t>
      </w:r>
      <w:r w:rsidR="00B7751D" w:rsidRPr="00C850D3">
        <w:rPr>
          <w:rFonts w:ascii="Arial" w:eastAsia="Calibri" w:hAnsi="Arial" w:cs="Arial"/>
          <w:sz w:val="24"/>
          <w:szCs w:val="24"/>
          <w:lang w:eastAsia="es-ES"/>
        </w:rPr>
        <w:t>,</w:t>
      </w:r>
      <w:r w:rsidR="0066633A" w:rsidRPr="00C850D3">
        <w:rPr>
          <w:rFonts w:ascii="Arial" w:eastAsia="Calibri" w:hAnsi="Arial" w:cs="Arial"/>
          <w:sz w:val="24"/>
          <w:szCs w:val="24"/>
          <w:lang w:eastAsia="es-ES"/>
        </w:rPr>
        <w:t xml:space="preserve"> y </w:t>
      </w:r>
      <w:r w:rsidR="004F26D8" w:rsidRPr="00C850D3">
        <w:rPr>
          <w:rFonts w:ascii="Arial" w:eastAsia="Calibri" w:hAnsi="Arial" w:cs="Arial"/>
          <w:sz w:val="24"/>
          <w:szCs w:val="24"/>
          <w:lang w:eastAsia="es-ES"/>
        </w:rPr>
        <w:t xml:space="preserve">por </w:t>
      </w:r>
      <w:r w:rsidR="0066633A" w:rsidRPr="00C850D3">
        <w:rPr>
          <w:rFonts w:ascii="Arial" w:eastAsia="Calibri" w:hAnsi="Arial" w:cs="Arial"/>
          <w:sz w:val="24"/>
          <w:szCs w:val="24"/>
          <w:lang w:eastAsia="es-ES"/>
        </w:rPr>
        <w:t xml:space="preserve">varios instrumentos internacionales, </w:t>
      </w:r>
      <w:r w:rsidRPr="00C850D3">
        <w:rPr>
          <w:rFonts w:ascii="Arial" w:eastAsia="Calibri" w:hAnsi="Arial" w:cs="Arial"/>
          <w:sz w:val="24"/>
          <w:szCs w:val="24"/>
          <w:lang w:eastAsia="es-ES"/>
        </w:rPr>
        <w:t xml:space="preserve">definido por la doctrina </w:t>
      </w:r>
      <w:r w:rsidR="0004266D" w:rsidRPr="00C850D3">
        <w:rPr>
          <w:rFonts w:ascii="Arial" w:eastAsia="Calibri" w:hAnsi="Arial" w:cs="Arial"/>
          <w:sz w:val="24"/>
          <w:szCs w:val="24"/>
          <w:lang w:eastAsia="es-ES"/>
        </w:rPr>
        <w:t>en general</w:t>
      </w:r>
      <w:r w:rsidR="009C54E6" w:rsidRPr="00C850D3">
        <w:rPr>
          <w:rFonts w:ascii="Arial" w:eastAsia="Calibri" w:hAnsi="Arial" w:cs="Arial"/>
          <w:sz w:val="24"/>
          <w:szCs w:val="24"/>
          <w:lang w:eastAsia="es-ES"/>
        </w:rPr>
        <w:t>,</w:t>
      </w:r>
      <w:r w:rsidR="0004266D" w:rsidRPr="00C850D3">
        <w:rPr>
          <w:rFonts w:ascii="Arial" w:eastAsia="Calibri" w:hAnsi="Arial" w:cs="Arial"/>
          <w:sz w:val="24"/>
          <w:szCs w:val="24"/>
          <w:lang w:eastAsia="es-ES"/>
        </w:rPr>
        <w:t xml:space="preserve"> </w:t>
      </w:r>
      <w:r w:rsidRPr="00C850D3">
        <w:rPr>
          <w:rFonts w:ascii="Arial" w:eastAsia="Calibri" w:hAnsi="Arial" w:cs="Arial"/>
          <w:sz w:val="24"/>
          <w:szCs w:val="24"/>
          <w:lang w:eastAsia="es-ES"/>
        </w:rPr>
        <w:t xml:space="preserve">como </w:t>
      </w:r>
      <w:r w:rsidR="0004266D" w:rsidRPr="00C850D3">
        <w:rPr>
          <w:rFonts w:ascii="Arial" w:eastAsia="Calibri" w:hAnsi="Arial" w:cs="Arial"/>
          <w:sz w:val="24"/>
          <w:szCs w:val="24"/>
          <w:lang w:eastAsia="es-ES"/>
        </w:rPr>
        <w:t xml:space="preserve">aquella </w:t>
      </w:r>
      <w:r w:rsidRPr="00C850D3">
        <w:rPr>
          <w:rFonts w:ascii="Arial" w:eastAsia="Calibri" w:hAnsi="Arial" w:cs="Arial"/>
          <w:sz w:val="24"/>
          <w:szCs w:val="24"/>
          <w:lang w:eastAsia="es-ES"/>
        </w:rPr>
        <w:t>exclusión de la posibilidad de que un sujeto específico pueda quedar sometido a la jurisdicción</w:t>
      </w:r>
      <w:r w:rsidR="0004266D" w:rsidRPr="00C850D3">
        <w:rPr>
          <w:rFonts w:ascii="Arial" w:eastAsia="Calibri" w:hAnsi="Arial" w:cs="Arial"/>
          <w:sz w:val="24"/>
          <w:szCs w:val="24"/>
          <w:lang w:eastAsia="es-ES"/>
        </w:rPr>
        <w:t xml:space="preserve"> interna de determinado Estado. </w:t>
      </w:r>
      <w:r w:rsidR="009C54E6" w:rsidRPr="00C850D3">
        <w:rPr>
          <w:rFonts w:ascii="Arial" w:eastAsia="Calibri" w:hAnsi="Arial" w:cs="Arial"/>
          <w:sz w:val="24"/>
          <w:szCs w:val="24"/>
          <w:lang w:eastAsia="es-ES"/>
        </w:rPr>
        <w:t>Es</w:t>
      </w:r>
      <w:r w:rsidR="009C54E6" w:rsidRPr="00807E2E">
        <w:rPr>
          <w:rFonts w:ascii="Arial" w:eastAsia="Calibri" w:hAnsi="Arial" w:cs="Arial"/>
          <w:sz w:val="24"/>
          <w:szCs w:val="24"/>
          <w:lang w:eastAsia="es-ES"/>
        </w:rPr>
        <w:t xml:space="preserve"> decir, </w:t>
      </w:r>
      <w:r w:rsidR="00672800" w:rsidRPr="00807E2E">
        <w:rPr>
          <w:rFonts w:ascii="Arial" w:eastAsia="Calibri" w:hAnsi="Arial" w:cs="Arial"/>
          <w:sz w:val="24"/>
          <w:szCs w:val="24"/>
          <w:lang w:eastAsia="es-ES"/>
        </w:rPr>
        <w:t xml:space="preserve">que está relacionada </w:t>
      </w:r>
      <w:r w:rsidR="0004266D" w:rsidRPr="00807E2E">
        <w:rPr>
          <w:rFonts w:ascii="Arial" w:eastAsia="Calibri" w:hAnsi="Arial" w:cs="Arial"/>
          <w:sz w:val="24"/>
          <w:szCs w:val="24"/>
          <w:lang w:eastAsia="es-ES"/>
        </w:rPr>
        <w:t>con</w:t>
      </w:r>
      <w:r w:rsidR="00A134CD" w:rsidRPr="00807E2E">
        <w:rPr>
          <w:rFonts w:ascii="Arial" w:eastAsia="Calibri" w:hAnsi="Arial" w:cs="Arial"/>
          <w:sz w:val="24"/>
          <w:szCs w:val="24"/>
          <w:lang w:eastAsia="es-ES"/>
        </w:rPr>
        <w:t xml:space="preserve"> aquella</w:t>
      </w:r>
      <w:r w:rsidR="00EB6582" w:rsidRPr="00807E2E">
        <w:rPr>
          <w:rFonts w:ascii="Arial" w:eastAsia="Calibri" w:hAnsi="Arial" w:cs="Arial"/>
          <w:sz w:val="24"/>
          <w:szCs w:val="24"/>
          <w:lang w:eastAsia="es-ES"/>
        </w:rPr>
        <w:t xml:space="preserve"> improcedencia de llevar a un Estado, o sus agentes, o a organizaciones internacionales, ante los tribunales de otro Estado, por hechos ocurridos en </w:t>
      </w:r>
      <w:r w:rsidR="00672800" w:rsidRPr="00807E2E">
        <w:rPr>
          <w:rFonts w:ascii="Arial" w:eastAsia="Calibri" w:hAnsi="Arial" w:cs="Arial"/>
          <w:sz w:val="24"/>
          <w:szCs w:val="24"/>
          <w:lang w:eastAsia="es-ES"/>
        </w:rPr>
        <w:t xml:space="preserve">el </w:t>
      </w:r>
      <w:r w:rsidR="00EB6582" w:rsidRPr="00807E2E">
        <w:rPr>
          <w:rFonts w:ascii="Arial" w:eastAsia="Calibri" w:hAnsi="Arial" w:cs="Arial"/>
          <w:sz w:val="24"/>
          <w:szCs w:val="24"/>
          <w:lang w:eastAsia="es-ES"/>
        </w:rPr>
        <w:t>territorio del segundo</w:t>
      </w:r>
      <w:r w:rsidR="00AA080C" w:rsidRPr="00807E2E">
        <w:rPr>
          <w:rFonts w:ascii="Arial" w:eastAsia="Calibri" w:hAnsi="Arial" w:cs="Arial"/>
          <w:sz w:val="24"/>
          <w:szCs w:val="24"/>
          <w:lang w:eastAsia="es-ES"/>
        </w:rPr>
        <w:t xml:space="preserve">. </w:t>
      </w:r>
    </w:p>
    <w:p w:rsidR="00EB6582" w:rsidRPr="009017E7" w:rsidRDefault="00EB6582" w:rsidP="008836C4">
      <w:pPr>
        <w:tabs>
          <w:tab w:val="left" w:pos="600"/>
          <w:tab w:val="left" w:pos="993"/>
        </w:tabs>
        <w:spacing w:after="0" w:line="360" w:lineRule="auto"/>
        <w:ind w:right="77" w:firstLine="709"/>
        <w:jc w:val="both"/>
        <w:rPr>
          <w:rFonts w:ascii="Arial" w:eastAsia="Calibri" w:hAnsi="Arial" w:cs="Arial"/>
          <w:sz w:val="32"/>
          <w:szCs w:val="24"/>
          <w:lang w:eastAsia="es-ES"/>
        </w:rPr>
      </w:pPr>
    </w:p>
    <w:p w:rsidR="006432D5" w:rsidRPr="00807E2E" w:rsidRDefault="00AA080C" w:rsidP="008836C4">
      <w:pPr>
        <w:tabs>
          <w:tab w:val="left" w:pos="600"/>
          <w:tab w:val="left" w:pos="993"/>
        </w:tabs>
        <w:spacing w:after="0" w:line="360" w:lineRule="auto"/>
        <w:ind w:right="77" w:firstLine="709"/>
        <w:jc w:val="both"/>
        <w:rPr>
          <w:rFonts w:ascii="Arial" w:eastAsia="Calibri" w:hAnsi="Arial" w:cs="Arial"/>
          <w:sz w:val="24"/>
          <w:szCs w:val="24"/>
          <w:lang w:eastAsia="es-ES"/>
        </w:rPr>
      </w:pPr>
      <w:r w:rsidRPr="00807E2E">
        <w:rPr>
          <w:rFonts w:ascii="Arial" w:eastAsia="Calibri" w:hAnsi="Arial" w:cs="Arial"/>
          <w:sz w:val="24"/>
          <w:szCs w:val="24"/>
          <w:lang w:eastAsia="es-ES"/>
        </w:rPr>
        <w:t xml:space="preserve">Frente </w:t>
      </w:r>
      <w:r w:rsidR="009C54E6" w:rsidRPr="00807E2E">
        <w:rPr>
          <w:rFonts w:ascii="Arial" w:eastAsia="Calibri" w:hAnsi="Arial" w:cs="Arial"/>
          <w:sz w:val="24"/>
          <w:szCs w:val="24"/>
          <w:lang w:eastAsia="es-ES"/>
        </w:rPr>
        <w:t>al tema que</w:t>
      </w:r>
      <w:r w:rsidR="009C54E6">
        <w:rPr>
          <w:rFonts w:ascii="Arial" w:eastAsia="Calibri" w:hAnsi="Arial" w:cs="Arial"/>
          <w:sz w:val="24"/>
          <w:szCs w:val="24"/>
          <w:lang w:eastAsia="es-ES"/>
        </w:rPr>
        <w:t xml:space="preserve"> se estudia,</w:t>
      </w:r>
      <w:r>
        <w:rPr>
          <w:rFonts w:ascii="Arial" w:eastAsia="Calibri" w:hAnsi="Arial" w:cs="Arial"/>
          <w:sz w:val="24"/>
          <w:szCs w:val="24"/>
          <w:lang w:eastAsia="es-ES"/>
        </w:rPr>
        <w:t xml:space="preserve"> la Corte Constitucional, entre otras, en sentencia T-883 de 2005, ha considerado</w:t>
      </w:r>
      <w:r w:rsidR="00887AED">
        <w:rPr>
          <w:rFonts w:ascii="Arial" w:eastAsia="Calibri" w:hAnsi="Arial" w:cs="Arial"/>
          <w:sz w:val="24"/>
          <w:szCs w:val="24"/>
          <w:lang w:eastAsia="es-ES"/>
        </w:rPr>
        <w:t>, en síntesis,</w:t>
      </w:r>
      <w:r>
        <w:rPr>
          <w:rFonts w:ascii="Arial" w:eastAsia="Calibri" w:hAnsi="Arial" w:cs="Arial"/>
          <w:sz w:val="24"/>
          <w:szCs w:val="24"/>
          <w:lang w:eastAsia="es-ES"/>
        </w:rPr>
        <w:t xml:space="preserve"> que </w:t>
      </w:r>
      <w:r w:rsidR="00B47010">
        <w:rPr>
          <w:rFonts w:ascii="Arial" w:eastAsia="Calibri" w:hAnsi="Arial" w:cs="Arial"/>
          <w:sz w:val="24"/>
          <w:szCs w:val="24"/>
          <w:lang w:eastAsia="es-ES"/>
        </w:rPr>
        <w:t>la figura en comento</w:t>
      </w:r>
      <w:r w:rsidR="00A134CD">
        <w:rPr>
          <w:rFonts w:ascii="Arial" w:eastAsia="Calibri" w:hAnsi="Arial" w:cs="Arial"/>
          <w:sz w:val="24"/>
          <w:szCs w:val="24"/>
          <w:lang w:eastAsia="es-ES"/>
        </w:rPr>
        <w:t>, en verdad,</w:t>
      </w:r>
      <w:r w:rsidR="00B47010">
        <w:rPr>
          <w:rFonts w:ascii="Arial" w:eastAsia="Calibri" w:hAnsi="Arial" w:cs="Arial"/>
          <w:sz w:val="24"/>
          <w:szCs w:val="24"/>
          <w:lang w:eastAsia="es-ES"/>
        </w:rPr>
        <w:t xml:space="preserve"> </w:t>
      </w:r>
      <w:r>
        <w:rPr>
          <w:rFonts w:ascii="Arial" w:eastAsia="Calibri" w:hAnsi="Arial" w:cs="Arial"/>
          <w:sz w:val="24"/>
          <w:szCs w:val="24"/>
          <w:lang w:eastAsia="es-ES"/>
        </w:rPr>
        <w:t>se trata</w:t>
      </w:r>
      <w:r w:rsidR="00B47010">
        <w:rPr>
          <w:rFonts w:ascii="Arial" w:eastAsia="Calibri" w:hAnsi="Arial" w:cs="Arial"/>
          <w:sz w:val="24"/>
          <w:szCs w:val="24"/>
          <w:lang w:eastAsia="es-ES"/>
        </w:rPr>
        <w:t xml:space="preserve"> </w:t>
      </w:r>
      <w:r w:rsidR="006432D5">
        <w:rPr>
          <w:rFonts w:ascii="Arial" w:eastAsia="Calibri" w:hAnsi="Arial" w:cs="Arial"/>
          <w:sz w:val="24"/>
          <w:szCs w:val="24"/>
          <w:lang w:eastAsia="es-ES"/>
        </w:rPr>
        <w:t>de un principio de carácter procesal</w:t>
      </w:r>
      <w:r w:rsidR="0054135A">
        <w:rPr>
          <w:rFonts w:ascii="Arial" w:eastAsia="Calibri" w:hAnsi="Arial" w:cs="Arial"/>
          <w:sz w:val="24"/>
          <w:szCs w:val="24"/>
          <w:lang w:eastAsia="es-ES"/>
        </w:rPr>
        <w:t>,</w:t>
      </w:r>
      <w:r w:rsidR="006432D5">
        <w:rPr>
          <w:rFonts w:ascii="Arial" w:eastAsia="Calibri" w:hAnsi="Arial" w:cs="Arial"/>
          <w:sz w:val="24"/>
          <w:szCs w:val="24"/>
          <w:lang w:eastAsia="es-ES"/>
        </w:rPr>
        <w:t xml:space="preserve"> que opera como excepción, y reviste </w:t>
      </w:r>
      <w:r w:rsidR="00A134CD">
        <w:rPr>
          <w:rFonts w:ascii="Arial" w:eastAsia="Calibri" w:hAnsi="Arial" w:cs="Arial"/>
          <w:sz w:val="24"/>
          <w:szCs w:val="24"/>
          <w:lang w:eastAsia="es-ES"/>
        </w:rPr>
        <w:t>2</w:t>
      </w:r>
      <w:r w:rsidR="009C54E6">
        <w:rPr>
          <w:rFonts w:ascii="Arial" w:eastAsia="Calibri" w:hAnsi="Arial" w:cs="Arial"/>
          <w:sz w:val="24"/>
          <w:szCs w:val="24"/>
          <w:lang w:eastAsia="es-ES"/>
        </w:rPr>
        <w:t xml:space="preserve"> manifestaciones fundamentales, a saber:</w:t>
      </w:r>
      <w:r w:rsidR="006432D5">
        <w:rPr>
          <w:rFonts w:ascii="Arial" w:eastAsia="Calibri" w:hAnsi="Arial" w:cs="Arial"/>
          <w:sz w:val="24"/>
          <w:szCs w:val="24"/>
          <w:lang w:eastAsia="es-ES"/>
        </w:rPr>
        <w:t xml:space="preserve"> </w:t>
      </w:r>
      <w:r w:rsidR="006432D5" w:rsidRPr="0054135A">
        <w:rPr>
          <w:rFonts w:ascii="Arial" w:eastAsia="Calibri" w:hAnsi="Arial" w:cs="Arial"/>
          <w:b/>
          <w:sz w:val="24"/>
          <w:szCs w:val="24"/>
          <w:lang w:eastAsia="es-ES"/>
        </w:rPr>
        <w:t>(i)</w:t>
      </w:r>
      <w:r w:rsidR="006432D5">
        <w:rPr>
          <w:rFonts w:ascii="Arial" w:eastAsia="Calibri" w:hAnsi="Arial" w:cs="Arial"/>
          <w:sz w:val="24"/>
          <w:szCs w:val="24"/>
          <w:lang w:eastAsia="es-ES"/>
        </w:rPr>
        <w:t xml:space="preserve"> la inmunidad de jurisdicción como tal, que se refiere a la falta de competencia de los jueces nacionales para juzga</w:t>
      </w:r>
      <w:r w:rsidR="001516DC">
        <w:rPr>
          <w:rFonts w:ascii="Arial" w:eastAsia="Calibri" w:hAnsi="Arial" w:cs="Arial"/>
          <w:sz w:val="24"/>
          <w:szCs w:val="24"/>
          <w:lang w:eastAsia="es-ES"/>
        </w:rPr>
        <w:t>r</w:t>
      </w:r>
      <w:r w:rsidR="006432D5">
        <w:rPr>
          <w:rFonts w:ascii="Arial" w:eastAsia="Calibri" w:hAnsi="Arial" w:cs="Arial"/>
          <w:sz w:val="24"/>
          <w:szCs w:val="24"/>
          <w:lang w:eastAsia="es-ES"/>
        </w:rPr>
        <w:t xml:space="preserve"> a determinados sujetos de derecho internacional, que </w:t>
      </w:r>
      <w:r w:rsidR="006432D5">
        <w:rPr>
          <w:rFonts w:ascii="Arial" w:eastAsia="Calibri" w:hAnsi="Arial" w:cs="Arial"/>
          <w:sz w:val="24"/>
          <w:szCs w:val="24"/>
          <w:lang w:eastAsia="es-ES"/>
        </w:rPr>
        <w:lastRenderedPageBreak/>
        <w:t>pueden ser otros Estados</w:t>
      </w:r>
      <w:r w:rsidR="001516DC">
        <w:rPr>
          <w:rFonts w:ascii="Arial" w:eastAsia="Calibri" w:hAnsi="Arial" w:cs="Arial"/>
          <w:sz w:val="24"/>
          <w:szCs w:val="24"/>
          <w:lang w:eastAsia="es-ES"/>
        </w:rPr>
        <w:t>,</w:t>
      </w:r>
      <w:r w:rsidR="006432D5">
        <w:rPr>
          <w:rFonts w:ascii="Arial" w:eastAsia="Calibri" w:hAnsi="Arial" w:cs="Arial"/>
          <w:sz w:val="24"/>
          <w:szCs w:val="24"/>
          <w:lang w:eastAsia="es-ES"/>
        </w:rPr>
        <w:t xml:space="preserve"> u organizaciones internacionales; y </w:t>
      </w:r>
      <w:r w:rsidR="006432D5" w:rsidRPr="0054135A">
        <w:rPr>
          <w:rFonts w:ascii="Arial" w:eastAsia="Calibri" w:hAnsi="Arial" w:cs="Arial"/>
          <w:b/>
          <w:sz w:val="24"/>
          <w:szCs w:val="24"/>
          <w:lang w:eastAsia="es-ES"/>
        </w:rPr>
        <w:t>(ii)</w:t>
      </w:r>
      <w:r w:rsidR="006432D5">
        <w:rPr>
          <w:rFonts w:ascii="Arial" w:eastAsia="Calibri" w:hAnsi="Arial" w:cs="Arial"/>
          <w:sz w:val="24"/>
          <w:szCs w:val="24"/>
          <w:lang w:eastAsia="es-ES"/>
        </w:rPr>
        <w:t xml:space="preserve"> la inmunidad de ejecución, </w:t>
      </w:r>
      <w:r w:rsidR="001516DC" w:rsidRPr="00807E2E">
        <w:rPr>
          <w:rFonts w:ascii="Arial" w:eastAsia="Calibri" w:hAnsi="Arial" w:cs="Arial"/>
          <w:sz w:val="24"/>
          <w:szCs w:val="24"/>
          <w:lang w:eastAsia="es-ES"/>
        </w:rPr>
        <w:t>que</w:t>
      </w:r>
      <w:r w:rsidR="006432D5" w:rsidRPr="00807E2E">
        <w:rPr>
          <w:rFonts w:ascii="Arial" w:eastAsia="Calibri" w:hAnsi="Arial" w:cs="Arial"/>
          <w:sz w:val="24"/>
          <w:szCs w:val="24"/>
          <w:lang w:eastAsia="es-ES"/>
        </w:rPr>
        <w:t xml:space="preserve"> impide que se haga efectiva determinada decisión judicial, en caso de que el procedimiento </w:t>
      </w:r>
      <w:r w:rsidR="001516DC" w:rsidRPr="00807E2E">
        <w:rPr>
          <w:rFonts w:ascii="Arial" w:eastAsia="Calibri" w:hAnsi="Arial" w:cs="Arial"/>
          <w:sz w:val="24"/>
          <w:szCs w:val="24"/>
          <w:lang w:eastAsia="es-ES"/>
        </w:rPr>
        <w:t xml:space="preserve">de declaración del derecho respectivo, </w:t>
      </w:r>
      <w:r w:rsidR="006432D5" w:rsidRPr="00807E2E">
        <w:rPr>
          <w:rFonts w:ascii="Arial" w:eastAsia="Calibri" w:hAnsi="Arial" w:cs="Arial"/>
          <w:sz w:val="24"/>
          <w:szCs w:val="24"/>
          <w:lang w:eastAsia="es-ES"/>
        </w:rPr>
        <w:t>contra el sujeto de derecho internacional</w:t>
      </w:r>
      <w:r w:rsidR="0054135A" w:rsidRPr="00807E2E">
        <w:rPr>
          <w:rFonts w:ascii="Arial" w:eastAsia="Calibri" w:hAnsi="Arial" w:cs="Arial"/>
          <w:sz w:val="24"/>
          <w:szCs w:val="24"/>
          <w:lang w:eastAsia="es-ES"/>
        </w:rPr>
        <w:t>, se hubies</w:t>
      </w:r>
      <w:r w:rsidR="006432D5" w:rsidRPr="00807E2E">
        <w:rPr>
          <w:rFonts w:ascii="Arial" w:eastAsia="Calibri" w:hAnsi="Arial" w:cs="Arial"/>
          <w:sz w:val="24"/>
          <w:szCs w:val="24"/>
          <w:lang w:eastAsia="es-ES"/>
        </w:rPr>
        <w:t>e</w:t>
      </w:r>
      <w:r w:rsidRPr="00807E2E">
        <w:rPr>
          <w:rFonts w:ascii="Arial" w:eastAsia="Calibri" w:hAnsi="Arial" w:cs="Arial"/>
          <w:sz w:val="24"/>
          <w:szCs w:val="24"/>
          <w:lang w:eastAsia="es-ES"/>
        </w:rPr>
        <w:t xml:space="preserve"> llevado a cabo. </w:t>
      </w:r>
    </w:p>
    <w:p w:rsidR="00887AED" w:rsidRPr="00807E2E" w:rsidRDefault="00887AED" w:rsidP="0066633A">
      <w:pPr>
        <w:tabs>
          <w:tab w:val="left" w:pos="600"/>
          <w:tab w:val="left" w:pos="993"/>
        </w:tabs>
        <w:spacing w:after="0" w:line="360" w:lineRule="auto"/>
        <w:ind w:right="77" w:firstLine="709"/>
        <w:jc w:val="both"/>
        <w:rPr>
          <w:rFonts w:ascii="Arial" w:eastAsia="Calibri" w:hAnsi="Arial" w:cs="Arial"/>
          <w:sz w:val="24"/>
          <w:szCs w:val="24"/>
          <w:lang w:eastAsia="es-ES"/>
        </w:rPr>
      </w:pPr>
    </w:p>
    <w:p w:rsidR="00887AED" w:rsidRPr="00C850D3" w:rsidRDefault="009C54E6" w:rsidP="0066633A">
      <w:pPr>
        <w:tabs>
          <w:tab w:val="left" w:pos="600"/>
          <w:tab w:val="left" w:pos="993"/>
        </w:tabs>
        <w:spacing w:after="0" w:line="360" w:lineRule="auto"/>
        <w:ind w:right="77" w:firstLine="709"/>
        <w:jc w:val="both"/>
        <w:rPr>
          <w:rFonts w:ascii="Arial" w:eastAsia="Calibri" w:hAnsi="Arial" w:cs="Arial"/>
          <w:sz w:val="24"/>
          <w:szCs w:val="24"/>
          <w:lang w:eastAsia="es-ES"/>
        </w:rPr>
      </w:pPr>
      <w:r w:rsidRPr="00807E2E">
        <w:rPr>
          <w:rFonts w:ascii="Arial" w:eastAsia="Calibri" w:hAnsi="Arial" w:cs="Arial"/>
          <w:sz w:val="24"/>
          <w:szCs w:val="24"/>
          <w:lang w:eastAsia="es-ES"/>
        </w:rPr>
        <w:t>Para resolve</w:t>
      </w:r>
      <w:r w:rsidR="001516DC" w:rsidRPr="00807E2E">
        <w:rPr>
          <w:rFonts w:ascii="Arial" w:eastAsia="Calibri" w:hAnsi="Arial" w:cs="Arial"/>
          <w:sz w:val="24"/>
          <w:szCs w:val="24"/>
          <w:lang w:eastAsia="es-ES"/>
        </w:rPr>
        <w:t>r entonces</w:t>
      </w:r>
      <w:r w:rsidRPr="00807E2E">
        <w:rPr>
          <w:rFonts w:ascii="Arial" w:eastAsia="Calibri" w:hAnsi="Arial" w:cs="Arial"/>
          <w:sz w:val="24"/>
          <w:szCs w:val="24"/>
          <w:lang w:eastAsia="es-ES"/>
        </w:rPr>
        <w:t xml:space="preserve"> la inconformidad planteada por el recurrente, en aras de fijar un criterio al respecto, esta Sala optará, por cuestiones de método, por referirse primero a la inmunidad de jurisdicción de las organizaciones internacionales</w:t>
      </w:r>
      <w:r w:rsidR="001516DC" w:rsidRPr="00807E2E">
        <w:rPr>
          <w:rFonts w:ascii="Arial" w:eastAsia="Calibri" w:hAnsi="Arial" w:cs="Arial"/>
          <w:sz w:val="24"/>
          <w:szCs w:val="24"/>
          <w:lang w:eastAsia="es-ES"/>
        </w:rPr>
        <w:t xml:space="preserve">, </w:t>
      </w:r>
      <w:r w:rsidRPr="00807E2E">
        <w:rPr>
          <w:rFonts w:ascii="Arial" w:eastAsia="Calibri" w:hAnsi="Arial" w:cs="Arial"/>
          <w:sz w:val="24"/>
          <w:szCs w:val="24"/>
          <w:lang w:eastAsia="es-ES"/>
        </w:rPr>
        <w:t xml:space="preserve">su tratamiento jurisprudencial, tanto </w:t>
      </w:r>
      <w:r w:rsidR="00C60186" w:rsidRPr="00807E2E">
        <w:rPr>
          <w:rFonts w:ascii="Arial" w:eastAsia="Calibri" w:hAnsi="Arial" w:cs="Arial"/>
          <w:sz w:val="24"/>
          <w:szCs w:val="24"/>
          <w:lang w:eastAsia="es-ES"/>
        </w:rPr>
        <w:t xml:space="preserve">de la </w:t>
      </w:r>
      <w:r w:rsidRPr="00807E2E">
        <w:rPr>
          <w:rFonts w:ascii="Arial" w:eastAsia="Calibri" w:hAnsi="Arial" w:cs="Arial"/>
          <w:sz w:val="24"/>
          <w:szCs w:val="24"/>
          <w:lang w:eastAsia="es-ES"/>
        </w:rPr>
        <w:t xml:space="preserve">ordinaria laboral como </w:t>
      </w:r>
      <w:r w:rsidR="00C60186" w:rsidRPr="00807E2E">
        <w:rPr>
          <w:rFonts w:ascii="Arial" w:eastAsia="Calibri" w:hAnsi="Arial" w:cs="Arial"/>
          <w:sz w:val="24"/>
          <w:szCs w:val="24"/>
          <w:lang w:eastAsia="es-ES"/>
        </w:rPr>
        <w:t xml:space="preserve">de la </w:t>
      </w:r>
      <w:r w:rsidRPr="00807E2E">
        <w:rPr>
          <w:rFonts w:ascii="Arial" w:eastAsia="Calibri" w:hAnsi="Arial" w:cs="Arial"/>
          <w:sz w:val="24"/>
          <w:szCs w:val="24"/>
          <w:lang w:eastAsia="es-ES"/>
        </w:rPr>
        <w:t xml:space="preserve">constitucional, </w:t>
      </w:r>
      <w:r w:rsidR="001516DC" w:rsidRPr="00807E2E">
        <w:rPr>
          <w:rFonts w:ascii="Arial" w:eastAsia="Calibri" w:hAnsi="Arial" w:cs="Arial"/>
          <w:sz w:val="24"/>
          <w:szCs w:val="24"/>
          <w:lang w:eastAsia="es-ES"/>
        </w:rPr>
        <w:t xml:space="preserve">así como la naturaleza jurídica de la entidad demandada, </w:t>
      </w:r>
      <w:r w:rsidR="00507CE2" w:rsidRPr="00807E2E">
        <w:rPr>
          <w:rFonts w:ascii="Arial" w:eastAsia="Calibri" w:hAnsi="Arial" w:cs="Arial"/>
          <w:sz w:val="24"/>
          <w:szCs w:val="24"/>
          <w:lang w:eastAsia="es-ES"/>
        </w:rPr>
        <w:t>para posteriormente establecer</w:t>
      </w:r>
      <w:r w:rsidR="00C60186" w:rsidRPr="00807E2E">
        <w:rPr>
          <w:rFonts w:ascii="Arial" w:eastAsia="Calibri" w:hAnsi="Arial" w:cs="Arial"/>
          <w:sz w:val="24"/>
          <w:szCs w:val="24"/>
          <w:lang w:eastAsia="es-ES"/>
        </w:rPr>
        <w:t>,</w:t>
      </w:r>
      <w:r w:rsidR="00507CE2" w:rsidRPr="00807E2E">
        <w:rPr>
          <w:rFonts w:ascii="Arial" w:eastAsia="Calibri" w:hAnsi="Arial" w:cs="Arial"/>
          <w:sz w:val="24"/>
          <w:szCs w:val="24"/>
          <w:lang w:eastAsia="es-ES"/>
        </w:rPr>
        <w:t xml:space="preserve"> si </w:t>
      </w:r>
      <w:r w:rsidR="0076475B" w:rsidRPr="00807E2E">
        <w:rPr>
          <w:rFonts w:ascii="Arial" w:eastAsia="Calibri" w:hAnsi="Arial" w:cs="Arial"/>
          <w:sz w:val="24"/>
          <w:szCs w:val="24"/>
          <w:lang w:eastAsia="es-ES"/>
        </w:rPr>
        <w:t>esta especialidad</w:t>
      </w:r>
      <w:r w:rsidR="00507CE2" w:rsidRPr="00807E2E">
        <w:rPr>
          <w:rFonts w:ascii="Arial" w:eastAsia="Calibri" w:hAnsi="Arial" w:cs="Arial"/>
          <w:sz w:val="24"/>
          <w:szCs w:val="24"/>
          <w:lang w:eastAsia="es-ES"/>
        </w:rPr>
        <w:t xml:space="preserve"> de </w:t>
      </w:r>
      <w:r w:rsidR="00C60186" w:rsidRPr="00807E2E">
        <w:rPr>
          <w:rFonts w:ascii="Arial" w:eastAsia="Calibri" w:hAnsi="Arial" w:cs="Arial"/>
          <w:sz w:val="24"/>
          <w:szCs w:val="24"/>
          <w:lang w:eastAsia="es-ES"/>
        </w:rPr>
        <w:t>la jurisdicción ordinaria</w:t>
      </w:r>
      <w:r w:rsidR="00507CE2" w:rsidRPr="00807E2E">
        <w:rPr>
          <w:rFonts w:ascii="Arial" w:eastAsia="Calibri" w:hAnsi="Arial" w:cs="Arial"/>
          <w:sz w:val="24"/>
          <w:szCs w:val="24"/>
          <w:lang w:eastAsia="es-ES"/>
        </w:rPr>
        <w:t xml:space="preserve">, debe </w:t>
      </w:r>
      <w:r w:rsidR="00507CE2" w:rsidRPr="00C850D3">
        <w:rPr>
          <w:rFonts w:ascii="Arial" w:eastAsia="Calibri" w:hAnsi="Arial" w:cs="Arial"/>
          <w:sz w:val="24"/>
          <w:szCs w:val="24"/>
          <w:lang w:eastAsia="es-ES"/>
        </w:rPr>
        <w:t xml:space="preserve">continuar </w:t>
      </w:r>
      <w:r w:rsidR="0076475B" w:rsidRPr="00C850D3">
        <w:rPr>
          <w:rFonts w:ascii="Arial" w:eastAsia="Calibri" w:hAnsi="Arial" w:cs="Arial"/>
          <w:sz w:val="24"/>
          <w:szCs w:val="24"/>
          <w:lang w:eastAsia="es-ES"/>
        </w:rPr>
        <w:t xml:space="preserve">o no, </w:t>
      </w:r>
      <w:r w:rsidR="00507CE2" w:rsidRPr="00C850D3">
        <w:rPr>
          <w:rFonts w:ascii="Arial" w:eastAsia="Calibri" w:hAnsi="Arial" w:cs="Arial"/>
          <w:sz w:val="24"/>
          <w:szCs w:val="24"/>
          <w:lang w:eastAsia="es-ES"/>
        </w:rPr>
        <w:t>con</w:t>
      </w:r>
      <w:r w:rsidR="00F4292D" w:rsidRPr="00C850D3">
        <w:rPr>
          <w:rFonts w:ascii="Arial" w:eastAsia="Calibri" w:hAnsi="Arial" w:cs="Arial"/>
          <w:sz w:val="24"/>
          <w:szCs w:val="24"/>
          <w:lang w:eastAsia="es-ES"/>
        </w:rPr>
        <w:t xml:space="preserve"> el conocimiento del proceso.</w:t>
      </w:r>
    </w:p>
    <w:p w:rsidR="00887AED" w:rsidRPr="009017E7" w:rsidRDefault="00887AED" w:rsidP="0066633A">
      <w:pPr>
        <w:tabs>
          <w:tab w:val="left" w:pos="600"/>
          <w:tab w:val="left" w:pos="993"/>
        </w:tabs>
        <w:spacing w:after="0" w:line="360" w:lineRule="auto"/>
        <w:ind w:right="77" w:firstLine="709"/>
        <w:jc w:val="both"/>
        <w:rPr>
          <w:rFonts w:ascii="Arial" w:eastAsia="Calibri" w:hAnsi="Arial" w:cs="Arial"/>
          <w:sz w:val="28"/>
          <w:szCs w:val="24"/>
          <w:lang w:eastAsia="es-ES"/>
        </w:rPr>
      </w:pPr>
    </w:p>
    <w:p w:rsidR="0004266D" w:rsidRPr="00C850D3" w:rsidRDefault="00B47010" w:rsidP="00191D62">
      <w:pPr>
        <w:pStyle w:val="Prrafodelista"/>
        <w:numPr>
          <w:ilvl w:val="0"/>
          <w:numId w:val="10"/>
        </w:numPr>
        <w:tabs>
          <w:tab w:val="left" w:pos="600"/>
          <w:tab w:val="left" w:pos="993"/>
        </w:tabs>
        <w:spacing w:after="0" w:line="360" w:lineRule="auto"/>
        <w:ind w:right="77"/>
        <w:jc w:val="both"/>
        <w:rPr>
          <w:rFonts w:ascii="Arial" w:eastAsia="Calibri" w:hAnsi="Arial" w:cs="Arial"/>
          <w:b/>
          <w:sz w:val="24"/>
          <w:szCs w:val="24"/>
          <w:lang w:eastAsia="es-ES"/>
        </w:rPr>
      </w:pPr>
      <w:r w:rsidRPr="00C850D3">
        <w:rPr>
          <w:rFonts w:ascii="Arial" w:eastAsia="Calibri" w:hAnsi="Arial" w:cs="Arial"/>
          <w:b/>
          <w:sz w:val="24"/>
          <w:szCs w:val="24"/>
          <w:lang w:eastAsia="es-ES"/>
        </w:rPr>
        <w:t xml:space="preserve">Inmunidad de jurisdicción: Organizaciones Internacionales OI. </w:t>
      </w:r>
    </w:p>
    <w:p w:rsidR="00B47010" w:rsidRPr="009017E7" w:rsidRDefault="00B47010" w:rsidP="00B47010">
      <w:pPr>
        <w:tabs>
          <w:tab w:val="left" w:pos="600"/>
          <w:tab w:val="left" w:pos="993"/>
        </w:tabs>
        <w:spacing w:after="0" w:line="360" w:lineRule="auto"/>
        <w:ind w:right="77"/>
        <w:jc w:val="both"/>
        <w:rPr>
          <w:rFonts w:ascii="Arial" w:eastAsia="Calibri" w:hAnsi="Arial" w:cs="Arial"/>
          <w:sz w:val="28"/>
          <w:szCs w:val="24"/>
          <w:lang w:eastAsia="es-ES"/>
        </w:rPr>
      </w:pPr>
    </w:p>
    <w:p w:rsidR="00580610" w:rsidRPr="00C850D3" w:rsidRDefault="00B47010" w:rsidP="00F03998">
      <w:pPr>
        <w:tabs>
          <w:tab w:val="left" w:pos="600"/>
          <w:tab w:val="left" w:pos="993"/>
        </w:tabs>
        <w:spacing w:after="0" w:line="360" w:lineRule="auto"/>
        <w:ind w:right="77" w:firstLine="709"/>
        <w:jc w:val="both"/>
        <w:rPr>
          <w:rFonts w:ascii="Arial" w:eastAsia="Calibri" w:hAnsi="Arial" w:cs="Arial"/>
          <w:sz w:val="24"/>
          <w:szCs w:val="24"/>
          <w:lang w:eastAsia="es-ES"/>
        </w:rPr>
      </w:pPr>
      <w:r w:rsidRPr="00C850D3">
        <w:rPr>
          <w:rFonts w:ascii="Arial" w:eastAsia="Calibri" w:hAnsi="Arial" w:cs="Arial"/>
          <w:sz w:val="24"/>
          <w:szCs w:val="24"/>
          <w:lang w:eastAsia="es-ES"/>
        </w:rPr>
        <w:t>En</w:t>
      </w:r>
      <w:r w:rsidR="00580610" w:rsidRPr="00C850D3">
        <w:rPr>
          <w:rFonts w:ascii="Arial" w:eastAsia="Calibri" w:hAnsi="Arial" w:cs="Arial"/>
          <w:sz w:val="24"/>
          <w:szCs w:val="24"/>
          <w:lang w:eastAsia="es-ES"/>
        </w:rPr>
        <w:t xml:space="preserve"> el ámbito del </w:t>
      </w:r>
      <w:r w:rsidRPr="00C850D3">
        <w:rPr>
          <w:rFonts w:ascii="Arial" w:eastAsia="Calibri" w:hAnsi="Arial" w:cs="Arial"/>
          <w:sz w:val="24"/>
          <w:szCs w:val="24"/>
          <w:lang w:eastAsia="es-ES"/>
        </w:rPr>
        <w:t>Derecho Internacional</w:t>
      </w:r>
      <w:r w:rsidR="00580610" w:rsidRPr="00C850D3">
        <w:rPr>
          <w:rFonts w:ascii="Arial" w:eastAsia="Calibri" w:hAnsi="Arial" w:cs="Arial"/>
          <w:sz w:val="24"/>
          <w:szCs w:val="24"/>
          <w:lang w:eastAsia="es-ES"/>
        </w:rPr>
        <w:t xml:space="preserve">, las organizaciones internacionales constituyen formas </w:t>
      </w:r>
      <w:r w:rsidRPr="00C850D3">
        <w:rPr>
          <w:rFonts w:ascii="Arial" w:eastAsia="Calibri" w:hAnsi="Arial" w:cs="Arial"/>
          <w:sz w:val="24"/>
          <w:szCs w:val="24"/>
          <w:lang w:eastAsia="es-ES"/>
        </w:rPr>
        <w:t xml:space="preserve">de </w:t>
      </w:r>
      <w:r w:rsidR="00580610" w:rsidRPr="00C850D3">
        <w:rPr>
          <w:rFonts w:ascii="Arial" w:eastAsia="Calibri" w:hAnsi="Arial" w:cs="Arial"/>
          <w:sz w:val="24"/>
          <w:szCs w:val="24"/>
          <w:lang w:eastAsia="es-ES"/>
        </w:rPr>
        <w:t>institucionalidad de cooperación entre los Estados, que se establecen con el fin de alcanzar ciertos objetivos</w:t>
      </w:r>
      <w:r w:rsidR="00C60186" w:rsidRPr="00C850D3">
        <w:rPr>
          <w:rFonts w:ascii="Arial" w:eastAsia="Calibri" w:hAnsi="Arial" w:cs="Arial"/>
          <w:sz w:val="24"/>
          <w:szCs w:val="24"/>
          <w:lang w:eastAsia="es-ES"/>
        </w:rPr>
        <w:t xml:space="preserve"> comunes, razón por la cual aquellos </w:t>
      </w:r>
      <w:r w:rsidR="00580610" w:rsidRPr="00C850D3">
        <w:rPr>
          <w:rFonts w:ascii="Arial" w:eastAsia="Calibri" w:hAnsi="Arial" w:cs="Arial"/>
          <w:sz w:val="24"/>
          <w:szCs w:val="24"/>
          <w:lang w:eastAsia="es-ES"/>
        </w:rPr>
        <w:t>pueden crear, mediante un acuerdo multilateral, entidades internacionales, con personalidad jurídica propia y dotadas de órganos</w:t>
      </w:r>
      <w:r w:rsidRPr="00C850D3">
        <w:rPr>
          <w:rFonts w:ascii="Arial" w:eastAsia="Calibri" w:hAnsi="Arial" w:cs="Arial"/>
          <w:sz w:val="24"/>
          <w:szCs w:val="24"/>
          <w:lang w:eastAsia="es-ES"/>
        </w:rPr>
        <w:t xml:space="preserve"> permanentes, a las que atribuya</w:t>
      </w:r>
      <w:r w:rsidR="00580610" w:rsidRPr="00C850D3">
        <w:rPr>
          <w:rFonts w:ascii="Arial" w:eastAsia="Calibri" w:hAnsi="Arial" w:cs="Arial"/>
          <w:sz w:val="24"/>
          <w:szCs w:val="24"/>
          <w:lang w:eastAsia="es-ES"/>
        </w:rPr>
        <w:t xml:space="preserve">n ciertas competencias o poderes jurídicos, </w:t>
      </w:r>
      <w:r w:rsidR="00E8001E" w:rsidRPr="00C850D3">
        <w:rPr>
          <w:rFonts w:ascii="Arial" w:eastAsia="Calibri" w:hAnsi="Arial" w:cs="Arial"/>
          <w:sz w:val="24"/>
          <w:szCs w:val="24"/>
          <w:lang w:eastAsia="es-ES"/>
        </w:rPr>
        <w:t>con el fin de dotarlas de las herramientas necesarias para la consecuci</w:t>
      </w:r>
      <w:r w:rsidR="00571CFD" w:rsidRPr="00C850D3">
        <w:rPr>
          <w:rFonts w:ascii="Arial" w:eastAsia="Calibri" w:hAnsi="Arial" w:cs="Arial"/>
          <w:sz w:val="24"/>
          <w:szCs w:val="24"/>
          <w:lang w:eastAsia="es-ES"/>
        </w:rPr>
        <w:t xml:space="preserve">ón de los fines perseguidos (Corte Constitucional, sentencia T-883 de 2005). </w:t>
      </w:r>
    </w:p>
    <w:p w:rsidR="001476FC" w:rsidRPr="009017E7" w:rsidRDefault="001476FC" w:rsidP="00F03998">
      <w:pPr>
        <w:tabs>
          <w:tab w:val="left" w:pos="600"/>
          <w:tab w:val="left" w:pos="993"/>
        </w:tabs>
        <w:spacing w:after="0" w:line="360" w:lineRule="auto"/>
        <w:ind w:right="77" w:firstLine="709"/>
        <w:jc w:val="both"/>
        <w:rPr>
          <w:rFonts w:ascii="Arial" w:eastAsia="Calibri" w:hAnsi="Arial" w:cs="Arial"/>
          <w:sz w:val="28"/>
          <w:szCs w:val="24"/>
          <w:lang w:eastAsia="es-ES"/>
        </w:rPr>
      </w:pPr>
    </w:p>
    <w:p w:rsidR="001476FC" w:rsidRDefault="001476FC" w:rsidP="00F03998">
      <w:pPr>
        <w:tabs>
          <w:tab w:val="left" w:pos="600"/>
          <w:tab w:val="left" w:pos="993"/>
        </w:tabs>
        <w:spacing w:after="0" w:line="360" w:lineRule="auto"/>
        <w:ind w:right="77" w:firstLine="709"/>
        <w:jc w:val="both"/>
        <w:rPr>
          <w:rFonts w:ascii="Arial" w:eastAsia="Calibri" w:hAnsi="Arial" w:cs="Arial"/>
          <w:sz w:val="24"/>
          <w:szCs w:val="24"/>
          <w:lang w:eastAsia="es-ES"/>
        </w:rPr>
      </w:pPr>
      <w:r w:rsidRPr="00C850D3">
        <w:rPr>
          <w:rFonts w:ascii="Arial" w:eastAsia="Calibri" w:hAnsi="Arial" w:cs="Arial"/>
          <w:sz w:val="24"/>
          <w:szCs w:val="24"/>
          <w:lang w:eastAsia="es-ES"/>
        </w:rPr>
        <w:t xml:space="preserve">Frente al tema de la inmunidad de jurisdicción de las organizaciones internacionales, debe aclararse aquí, que esta no ostenta el mismo tratamiento que la otorgada a los Estados en estricto sentido. </w:t>
      </w:r>
      <w:r w:rsidR="00275FCC" w:rsidRPr="00C850D3">
        <w:rPr>
          <w:rFonts w:ascii="Arial" w:eastAsia="Calibri" w:hAnsi="Arial" w:cs="Arial"/>
          <w:sz w:val="24"/>
          <w:szCs w:val="24"/>
          <w:lang w:eastAsia="es-ES"/>
        </w:rPr>
        <w:t>Mientras la inmunidad de jurisdicción de los Estados surge de una norma de Derecho Internacional Consuetudinario,</w:t>
      </w:r>
      <w:r w:rsidR="00275FCC">
        <w:rPr>
          <w:rFonts w:ascii="Arial" w:eastAsia="Calibri" w:hAnsi="Arial" w:cs="Arial"/>
          <w:sz w:val="24"/>
          <w:szCs w:val="24"/>
          <w:lang w:eastAsia="es-ES"/>
        </w:rPr>
        <w:t xml:space="preserve"> por el principio de igualdad soberana de cada uno, la inmunidad de los organismos internacionales está establecida por la voluntad de los Estados, o los miembros que la componen, es decir, que surge siempre de la carta o </w:t>
      </w:r>
      <w:r w:rsidR="00275FCC">
        <w:rPr>
          <w:rFonts w:ascii="Arial" w:eastAsia="Calibri" w:hAnsi="Arial" w:cs="Arial"/>
          <w:sz w:val="24"/>
          <w:szCs w:val="24"/>
          <w:lang w:eastAsia="es-ES"/>
        </w:rPr>
        <w:lastRenderedPageBreak/>
        <w:t xml:space="preserve">instrumento constitutivo del organismo, o de las convenciones que existen sobre el tema, o los acuerdos sede, o leyes nacionales. </w:t>
      </w:r>
    </w:p>
    <w:p w:rsidR="001838AB" w:rsidRPr="009017E7" w:rsidRDefault="001838AB" w:rsidP="00F03998">
      <w:pPr>
        <w:tabs>
          <w:tab w:val="left" w:pos="600"/>
          <w:tab w:val="left" w:pos="993"/>
        </w:tabs>
        <w:spacing w:after="0" w:line="360" w:lineRule="auto"/>
        <w:ind w:right="77" w:firstLine="709"/>
        <w:jc w:val="both"/>
        <w:rPr>
          <w:rFonts w:ascii="Arial" w:eastAsia="Calibri" w:hAnsi="Arial" w:cs="Arial"/>
          <w:sz w:val="28"/>
          <w:szCs w:val="24"/>
          <w:lang w:eastAsia="es-ES"/>
        </w:rPr>
      </w:pPr>
    </w:p>
    <w:p w:rsidR="00E11DE9" w:rsidRDefault="00094579" w:rsidP="00672180">
      <w:pPr>
        <w:tabs>
          <w:tab w:val="left" w:pos="600"/>
          <w:tab w:val="left" w:pos="993"/>
        </w:tabs>
        <w:spacing w:after="0" w:line="360" w:lineRule="auto"/>
        <w:ind w:right="77" w:firstLine="709"/>
        <w:jc w:val="both"/>
        <w:rPr>
          <w:rFonts w:ascii="Arial" w:eastAsia="Calibri" w:hAnsi="Arial" w:cs="Arial"/>
          <w:sz w:val="24"/>
          <w:szCs w:val="24"/>
          <w:lang w:eastAsia="es-ES"/>
        </w:rPr>
      </w:pPr>
      <w:r>
        <w:rPr>
          <w:rFonts w:ascii="Arial" w:eastAsia="Calibri" w:hAnsi="Arial" w:cs="Arial"/>
          <w:sz w:val="24"/>
          <w:szCs w:val="24"/>
          <w:lang w:eastAsia="es-ES"/>
        </w:rPr>
        <w:t>En relación con</w:t>
      </w:r>
      <w:r w:rsidR="008F33D0">
        <w:rPr>
          <w:rFonts w:ascii="Arial" w:eastAsia="Calibri" w:hAnsi="Arial" w:cs="Arial"/>
          <w:sz w:val="24"/>
          <w:szCs w:val="24"/>
          <w:lang w:eastAsia="es-ES"/>
        </w:rPr>
        <w:t xml:space="preserve"> </w:t>
      </w:r>
      <w:r w:rsidR="00672180">
        <w:rPr>
          <w:rFonts w:ascii="Arial" w:eastAsia="Calibri" w:hAnsi="Arial" w:cs="Arial"/>
          <w:sz w:val="24"/>
          <w:szCs w:val="24"/>
          <w:lang w:eastAsia="es-ES"/>
        </w:rPr>
        <w:t xml:space="preserve">este </w:t>
      </w:r>
      <w:r w:rsidR="00672180">
        <w:rPr>
          <w:rFonts w:ascii="Arial" w:eastAsia="Calibri" w:hAnsi="Arial" w:cs="Arial"/>
          <w:i/>
          <w:sz w:val="24"/>
          <w:szCs w:val="24"/>
          <w:lang w:eastAsia="es-ES"/>
        </w:rPr>
        <w:t>tipo</w:t>
      </w:r>
      <w:r w:rsidR="00672180">
        <w:rPr>
          <w:rFonts w:ascii="Arial" w:eastAsia="Calibri" w:hAnsi="Arial" w:cs="Arial"/>
          <w:sz w:val="24"/>
          <w:szCs w:val="24"/>
          <w:lang w:eastAsia="es-ES"/>
        </w:rPr>
        <w:t xml:space="preserve"> de inmunidad, </w:t>
      </w:r>
      <w:r w:rsidR="000D25B7">
        <w:rPr>
          <w:rFonts w:ascii="Arial" w:eastAsia="Calibri" w:hAnsi="Arial" w:cs="Arial"/>
          <w:sz w:val="24"/>
          <w:szCs w:val="24"/>
          <w:lang w:eastAsia="es-ES"/>
        </w:rPr>
        <w:t xml:space="preserve">respecto de los actos y hechos de naturaleza contractual laboral que comprometen a nacionales, </w:t>
      </w:r>
      <w:r w:rsidR="000917DB">
        <w:rPr>
          <w:rFonts w:ascii="Arial" w:eastAsia="Calibri" w:hAnsi="Arial" w:cs="Arial"/>
          <w:sz w:val="24"/>
          <w:szCs w:val="24"/>
          <w:lang w:eastAsia="es-ES"/>
        </w:rPr>
        <w:t>la Sala de Casación Laboral de la Corte Suprema de Justicia</w:t>
      </w:r>
      <w:r w:rsidR="00AB2ADD">
        <w:rPr>
          <w:rFonts w:ascii="Arial" w:eastAsia="Calibri" w:hAnsi="Arial" w:cs="Arial"/>
          <w:sz w:val="24"/>
          <w:szCs w:val="24"/>
          <w:lang w:eastAsia="es-ES"/>
        </w:rPr>
        <w:t>, entre otras providencias,</w:t>
      </w:r>
      <w:r w:rsidR="000917DB">
        <w:rPr>
          <w:rFonts w:ascii="Arial" w:eastAsia="Calibri" w:hAnsi="Arial" w:cs="Arial"/>
          <w:sz w:val="24"/>
          <w:szCs w:val="24"/>
          <w:lang w:eastAsia="es-ES"/>
        </w:rPr>
        <w:t xml:space="preserve"> </w:t>
      </w:r>
      <w:r w:rsidR="009773C5">
        <w:rPr>
          <w:rFonts w:ascii="Arial" w:eastAsia="Calibri" w:hAnsi="Arial" w:cs="Arial"/>
          <w:sz w:val="24"/>
          <w:szCs w:val="24"/>
          <w:lang w:eastAsia="es-ES"/>
        </w:rPr>
        <w:t xml:space="preserve">en sentencia STL847 de 27 ene. 2016 rad. 42300, </w:t>
      </w:r>
      <w:r w:rsidR="00AB2ADD">
        <w:rPr>
          <w:rFonts w:ascii="Arial" w:eastAsia="Calibri" w:hAnsi="Arial" w:cs="Arial"/>
          <w:sz w:val="24"/>
          <w:szCs w:val="24"/>
          <w:lang w:eastAsia="es-ES"/>
        </w:rPr>
        <w:t>y en autos AL3295 de 9 abr. 2014</w:t>
      </w:r>
      <w:r w:rsidR="00390D51">
        <w:rPr>
          <w:rFonts w:ascii="Arial" w:eastAsia="Calibri" w:hAnsi="Arial" w:cs="Arial"/>
          <w:sz w:val="24"/>
          <w:szCs w:val="24"/>
          <w:lang w:eastAsia="es-ES"/>
        </w:rPr>
        <w:t xml:space="preserve"> rad. 62861</w:t>
      </w:r>
      <w:r w:rsidR="00AB2ADD">
        <w:rPr>
          <w:rFonts w:ascii="Arial" w:eastAsia="Calibri" w:hAnsi="Arial" w:cs="Arial"/>
          <w:sz w:val="24"/>
          <w:szCs w:val="24"/>
          <w:lang w:eastAsia="es-ES"/>
        </w:rPr>
        <w:t xml:space="preserve">, y AL1685 y AL1432 de 4 y 18 mar. 2015 rads. 6971 y 62862, </w:t>
      </w:r>
      <w:r w:rsidR="008F33D0">
        <w:rPr>
          <w:rFonts w:ascii="Arial" w:eastAsia="Calibri" w:hAnsi="Arial" w:cs="Arial"/>
          <w:sz w:val="24"/>
          <w:szCs w:val="24"/>
          <w:lang w:eastAsia="es-ES"/>
        </w:rPr>
        <w:t>precisó su criterio, y expresó</w:t>
      </w:r>
      <w:r w:rsidR="00DA6393">
        <w:rPr>
          <w:rFonts w:ascii="Arial" w:eastAsia="Calibri" w:hAnsi="Arial" w:cs="Arial"/>
          <w:sz w:val="24"/>
          <w:szCs w:val="24"/>
          <w:lang w:eastAsia="es-ES"/>
        </w:rPr>
        <w:t xml:space="preserve"> que </w:t>
      </w:r>
      <w:r w:rsidR="008F33D0">
        <w:rPr>
          <w:rFonts w:ascii="Arial" w:eastAsia="Calibri" w:hAnsi="Arial" w:cs="Arial"/>
          <w:sz w:val="24"/>
          <w:szCs w:val="24"/>
          <w:lang w:eastAsia="es-ES"/>
        </w:rPr>
        <w:t>dicha figura no emerge</w:t>
      </w:r>
      <w:r w:rsidR="00844E05">
        <w:rPr>
          <w:rFonts w:ascii="Arial" w:eastAsia="Calibri" w:hAnsi="Arial" w:cs="Arial"/>
          <w:sz w:val="24"/>
          <w:szCs w:val="24"/>
          <w:lang w:eastAsia="es-ES"/>
        </w:rPr>
        <w:t xml:space="preserve"> de manera endógena y, por lo mismo, no </w:t>
      </w:r>
      <w:r w:rsidR="00DA6393">
        <w:rPr>
          <w:rFonts w:ascii="Arial" w:eastAsia="Calibri" w:hAnsi="Arial" w:cs="Arial"/>
          <w:sz w:val="24"/>
          <w:szCs w:val="24"/>
          <w:lang w:eastAsia="es-ES"/>
        </w:rPr>
        <w:t>podía entenderse derivada del Derecho Internacional Consuetudinario, sino que se encontraba consagrada, según fuera el caso, en el tratado constitutivo del respectivo organismo, o acuerdo de sede, con el alcance que sus miembros pudieron haber</w:t>
      </w:r>
      <w:r w:rsidR="00672180">
        <w:rPr>
          <w:rFonts w:ascii="Arial" w:eastAsia="Calibri" w:hAnsi="Arial" w:cs="Arial"/>
          <w:sz w:val="24"/>
          <w:szCs w:val="24"/>
          <w:lang w:eastAsia="es-ES"/>
        </w:rPr>
        <w:t>le</w:t>
      </w:r>
      <w:r w:rsidR="00DA6393">
        <w:rPr>
          <w:rFonts w:ascii="Arial" w:eastAsia="Calibri" w:hAnsi="Arial" w:cs="Arial"/>
          <w:sz w:val="24"/>
          <w:szCs w:val="24"/>
          <w:lang w:eastAsia="es-ES"/>
        </w:rPr>
        <w:t xml:space="preserve"> decid</w:t>
      </w:r>
      <w:r w:rsidR="00BE1C88">
        <w:rPr>
          <w:rFonts w:ascii="Arial" w:eastAsia="Calibri" w:hAnsi="Arial" w:cs="Arial"/>
          <w:sz w:val="24"/>
          <w:szCs w:val="24"/>
          <w:lang w:eastAsia="es-ES"/>
        </w:rPr>
        <w:t>ido, sin que ello pudiera conllevar que los Estados elimin</w:t>
      </w:r>
      <w:r w:rsidR="00844E05">
        <w:rPr>
          <w:rFonts w:ascii="Arial" w:eastAsia="Calibri" w:hAnsi="Arial" w:cs="Arial"/>
          <w:sz w:val="24"/>
          <w:szCs w:val="24"/>
          <w:lang w:eastAsia="es-ES"/>
        </w:rPr>
        <w:t xml:space="preserve">aran </w:t>
      </w:r>
      <w:r w:rsidR="00BE1C88">
        <w:rPr>
          <w:rFonts w:ascii="Arial" w:eastAsia="Calibri" w:hAnsi="Arial" w:cs="Arial"/>
          <w:sz w:val="24"/>
          <w:szCs w:val="24"/>
          <w:lang w:eastAsia="es-ES"/>
        </w:rPr>
        <w:t xml:space="preserve">de tajo la </w:t>
      </w:r>
      <w:proofErr w:type="spellStart"/>
      <w:r w:rsidR="00BE1C88">
        <w:rPr>
          <w:rFonts w:ascii="Arial" w:eastAsia="Calibri" w:hAnsi="Arial" w:cs="Arial"/>
          <w:sz w:val="24"/>
          <w:szCs w:val="24"/>
          <w:lang w:eastAsia="es-ES"/>
        </w:rPr>
        <w:t>justiciabilidad</w:t>
      </w:r>
      <w:proofErr w:type="spellEnd"/>
      <w:r w:rsidR="00BE1C88">
        <w:rPr>
          <w:rFonts w:ascii="Arial" w:eastAsia="Calibri" w:hAnsi="Arial" w:cs="Arial"/>
          <w:sz w:val="24"/>
          <w:szCs w:val="24"/>
          <w:lang w:eastAsia="es-ES"/>
        </w:rPr>
        <w:t xml:space="preserve"> de una OI cuando convengan el conceder el beneficio de la inmunidad absoluta a </w:t>
      </w:r>
      <w:r w:rsidR="00672180">
        <w:rPr>
          <w:rFonts w:ascii="Arial" w:eastAsia="Calibri" w:hAnsi="Arial" w:cs="Arial"/>
          <w:sz w:val="24"/>
          <w:szCs w:val="24"/>
          <w:lang w:eastAsia="es-ES"/>
        </w:rPr>
        <w:t>aquellos</w:t>
      </w:r>
      <w:r w:rsidR="00BE1C88">
        <w:rPr>
          <w:rFonts w:ascii="Arial" w:eastAsia="Calibri" w:hAnsi="Arial" w:cs="Arial"/>
          <w:sz w:val="24"/>
          <w:szCs w:val="24"/>
          <w:lang w:eastAsia="es-ES"/>
        </w:rPr>
        <w:t>, toda vez que, si bien es cierto</w:t>
      </w:r>
      <w:r w:rsidR="00844E05">
        <w:rPr>
          <w:rFonts w:ascii="Arial" w:eastAsia="Calibri" w:hAnsi="Arial" w:cs="Arial"/>
          <w:sz w:val="24"/>
          <w:szCs w:val="24"/>
          <w:lang w:eastAsia="es-ES"/>
        </w:rPr>
        <w:t>,</w:t>
      </w:r>
      <w:r w:rsidR="00BE1C88">
        <w:rPr>
          <w:rFonts w:ascii="Arial" w:eastAsia="Calibri" w:hAnsi="Arial" w:cs="Arial"/>
          <w:sz w:val="24"/>
          <w:szCs w:val="24"/>
          <w:lang w:eastAsia="es-ES"/>
        </w:rPr>
        <w:t xml:space="preserve"> estos – </w:t>
      </w:r>
      <w:r w:rsidR="00BE1C88" w:rsidRPr="00844E05">
        <w:rPr>
          <w:rFonts w:ascii="Arial" w:eastAsia="Calibri" w:hAnsi="Arial" w:cs="Arial"/>
          <w:sz w:val="20"/>
          <w:szCs w:val="24"/>
          <w:lang w:eastAsia="es-ES"/>
        </w:rPr>
        <w:t xml:space="preserve">los Estados </w:t>
      </w:r>
      <w:r w:rsidR="00BE1C88">
        <w:rPr>
          <w:rFonts w:ascii="Arial" w:eastAsia="Calibri" w:hAnsi="Arial" w:cs="Arial"/>
          <w:sz w:val="24"/>
          <w:szCs w:val="24"/>
          <w:lang w:eastAsia="es-ES"/>
        </w:rPr>
        <w:t>– fijan y delimitan los alcances de la inmunidad, también lo es</w:t>
      </w:r>
      <w:r w:rsidR="00E11DE9">
        <w:rPr>
          <w:rFonts w:ascii="Arial" w:eastAsia="Calibri" w:hAnsi="Arial" w:cs="Arial"/>
          <w:sz w:val="24"/>
          <w:szCs w:val="24"/>
          <w:lang w:eastAsia="es-ES"/>
        </w:rPr>
        <w:t>,</w:t>
      </w:r>
      <w:r w:rsidR="00BE1C88">
        <w:rPr>
          <w:rFonts w:ascii="Arial" w:eastAsia="Calibri" w:hAnsi="Arial" w:cs="Arial"/>
          <w:sz w:val="24"/>
          <w:szCs w:val="24"/>
          <w:lang w:eastAsia="es-ES"/>
        </w:rPr>
        <w:t xml:space="preserve"> que conforme a diferentes convenciones internacionales de derechos humanos, dicha exención procesal no puede privar al particular afectado de</w:t>
      </w:r>
      <w:r w:rsidR="00E11DE9">
        <w:rPr>
          <w:rFonts w:ascii="Arial" w:eastAsia="Calibri" w:hAnsi="Arial" w:cs="Arial"/>
          <w:sz w:val="24"/>
          <w:szCs w:val="24"/>
          <w:lang w:eastAsia="es-ES"/>
        </w:rPr>
        <w:t>l derecho</w:t>
      </w:r>
      <w:r w:rsidR="00844E05">
        <w:rPr>
          <w:rFonts w:ascii="Arial" w:eastAsia="Calibri" w:hAnsi="Arial" w:cs="Arial"/>
          <w:sz w:val="24"/>
          <w:szCs w:val="24"/>
          <w:lang w:eastAsia="es-ES"/>
        </w:rPr>
        <w:t xml:space="preserve"> de acceder </w:t>
      </w:r>
      <w:r w:rsidR="00BE1C88">
        <w:rPr>
          <w:rFonts w:ascii="Arial" w:eastAsia="Calibri" w:hAnsi="Arial" w:cs="Arial"/>
          <w:sz w:val="24"/>
          <w:szCs w:val="24"/>
          <w:lang w:eastAsia="es-ES"/>
        </w:rPr>
        <w:t xml:space="preserve">a la administración de justicia, razón por la que, es indispensable que la organización internacional cuente con mecanismos apropiados para la resolución de las controversias suscitadas con sus trabajadores, bien sea a través de tribunales propios, o jurisdicción arbitral o internacional con garantías suficientes. </w:t>
      </w:r>
    </w:p>
    <w:p w:rsidR="00807E2E" w:rsidRPr="009017E7" w:rsidRDefault="00807E2E" w:rsidP="00672180">
      <w:pPr>
        <w:tabs>
          <w:tab w:val="left" w:pos="600"/>
          <w:tab w:val="left" w:pos="993"/>
        </w:tabs>
        <w:spacing w:after="0" w:line="360" w:lineRule="auto"/>
        <w:ind w:right="77" w:firstLine="709"/>
        <w:jc w:val="both"/>
        <w:rPr>
          <w:rFonts w:ascii="Arial" w:eastAsia="Calibri" w:hAnsi="Arial" w:cs="Arial"/>
          <w:sz w:val="28"/>
          <w:szCs w:val="24"/>
          <w:lang w:eastAsia="es-ES"/>
        </w:rPr>
      </w:pPr>
    </w:p>
    <w:p w:rsidR="0067452D" w:rsidRPr="00DB6149" w:rsidRDefault="005A1E22" w:rsidP="00672180">
      <w:pPr>
        <w:tabs>
          <w:tab w:val="left" w:pos="600"/>
          <w:tab w:val="left" w:pos="993"/>
        </w:tabs>
        <w:spacing w:after="0" w:line="360" w:lineRule="auto"/>
        <w:ind w:right="77" w:firstLine="709"/>
        <w:jc w:val="both"/>
        <w:rPr>
          <w:rFonts w:ascii="Arial" w:eastAsia="Calibri" w:hAnsi="Arial" w:cs="Arial"/>
          <w:sz w:val="24"/>
          <w:szCs w:val="24"/>
          <w:lang w:eastAsia="es-ES"/>
        </w:rPr>
      </w:pPr>
      <w:r>
        <w:rPr>
          <w:rFonts w:ascii="Arial" w:eastAsia="Calibri" w:hAnsi="Arial" w:cs="Arial"/>
          <w:sz w:val="24"/>
          <w:szCs w:val="24"/>
          <w:lang w:eastAsia="es-ES"/>
        </w:rPr>
        <w:t xml:space="preserve">En otras palabras, la competencia de los tribunales nacionales, a fin de dar cabida a la </w:t>
      </w:r>
      <w:r>
        <w:rPr>
          <w:rFonts w:ascii="Arial" w:eastAsia="Calibri" w:hAnsi="Arial" w:cs="Arial"/>
          <w:i/>
          <w:sz w:val="24"/>
          <w:szCs w:val="24"/>
          <w:lang w:eastAsia="es-ES"/>
        </w:rPr>
        <w:t>inmunidad restringida de jurisdicción</w:t>
      </w:r>
      <w:r>
        <w:rPr>
          <w:rFonts w:ascii="Arial" w:eastAsia="Calibri" w:hAnsi="Arial" w:cs="Arial"/>
          <w:sz w:val="24"/>
          <w:szCs w:val="24"/>
          <w:lang w:eastAsia="es-ES"/>
        </w:rPr>
        <w:t xml:space="preserve"> </w:t>
      </w:r>
      <w:r w:rsidR="004B4968">
        <w:rPr>
          <w:rFonts w:ascii="Arial" w:eastAsia="Calibri" w:hAnsi="Arial" w:cs="Arial"/>
          <w:sz w:val="24"/>
          <w:szCs w:val="24"/>
          <w:lang w:eastAsia="es-ES"/>
        </w:rPr>
        <w:t>nace únicamente cuando la entidad</w:t>
      </w:r>
      <w:r w:rsidR="0033141E">
        <w:rPr>
          <w:rFonts w:ascii="Arial" w:eastAsia="Calibri" w:hAnsi="Arial" w:cs="Arial"/>
          <w:sz w:val="24"/>
          <w:szCs w:val="24"/>
          <w:lang w:eastAsia="es-ES"/>
        </w:rPr>
        <w:t xml:space="preserve"> internacional</w:t>
      </w:r>
      <w:r w:rsidR="004B4968">
        <w:rPr>
          <w:rFonts w:ascii="Arial" w:eastAsia="Calibri" w:hAnsi="Arial" w:cs="Arial"/>
          <w:sz w:val="24"/>
          <w:szCs w:val="24"/>
          <w:lang w:eastAsia="es-ES"/>
        </w:rPr>
        <w:t xml:space="preserve">, a pesar de gozar de inmunidad absoluta según el tratado constitutivo, convención o acuerdo sede, </w:t>
      </w:r>
      <w:r w:rsidR="004B4968" w:rsidRPr="0033141E">
        <w:rPr>
          <w:rFonts w:ascii="Arial" w:eastAsia="Calibri" w:hAnsi="Arial" w:cs="Arial"/>
          <w:b/>
          <w:sz w:val="24"/>
          <w:szCs w:val="24"/>
          <w:lang w:eastAsia="es-ES"/>
        </w:rPr>
        <w:t>no garantiza a sus trabajadores el acceso a in</w:t>
      </w:r>
      <w:r w:rsidR="0033141E">
        <w:rPr>
          <w:rFonts w:ascii="Arial" w:eastAsia="Calibri" w:hAnsi="Arial" w:cs="Arial"/>
          <w:b/>
          <w:sz w:val="24"/>
          <w:szCs w:val="24"/>
          <w:lang w:eastAsia="es-ES"/>
        </w:rPr>
        <w:t xml:space="preserve">strumentos de justicia efectiva. </w:t>
      </w:r>
      <w:r w:rsidR="00390D51">
        <w:rPr>
          <w:rFonts w:ascii="Arial" w:eastAsia="Calibri" w:hAnsi="Arial" w:cs="Arial"/>
          <w:sz w:val="24"/>
          <w:szCs w:val="24"/>
          <w:lang w:eastAsia="es-ES"/>
        </w:rPr>
        <w:t xml:space="preserve"> </w:t>
      </w:r>
      <w:r w:rsidR="00711384">
        <w:rPr>
          <w:rFonts w:ascii="Arial" w:eastAsia="Calibri" w:hAnsi="Arial" w:cs="Arial"/>
          <w:sz w:val="24"/>
          <w:szCs w:val="24"/>
          <w:lang w:eastAsia="es-ES"/>
        </w:rPr>
        <w:t xml:space="preserve">En igual sentido, </w:t>
      </w:r>
      <w:r w:rsidR="00390D51">
        <w:rPr>
          <w:rFonts w:ascii="Arial" w:eastAsia="Calibri" w:hAnsi="Arial" w:cs="Arial"/>
          <w:sz w:val="24"/>
          <w:szCs w:val="24"/>
          <w:lang w:eastAsia="es-ES"/>
        </w:rPr>
        <w:t>el máximo órgano de la jurisdicción ordinaria laboral</w:t>
      </w:r>
      <w:r w:rsidR="00711384">
        <w:rPr>
          <w:rFonts w:ascii="Arial" w:eastAsia="Calibri" w:hAnsi="Arial" w:cs="Arial"/>
          <w:sz w:val="24"/>
          <w:szCs w:val="24"/>
          <w:lang w:eastAsia="es-ES"/>
        </w:rPr>
        <w:t xml:space="preserve"> indicó que corresponde, en todo cas</w:t>
      </w:r>
      <w:r w:rsidR="0033141E">
        <w:rPr>
          <w:rFonts w:ascii="Arial" w:eastAsia="Calibri" w:hAnsi="Arial" w:cs="Arial"/>
          <w:sz w:val="24"/>
          <w:szCs w:val="24"/>
          <w:lang w:eastAsia="es-ES"/>
        </w:rPr>
        <w:t xml:space="preserve">o, al juez laboral, y en atención a las particularidades </w:t>
      </w:r>
      <w:r w:rsidR="00F3697A">
        <w:rPr>
          <w:rFonts w:ascii="Arial" w:eastAsia="Calibri" w:hAnsi="Arial" w:cs="Arial"/>
          <w:sz w:val="24"/>
          <w:szCs w:val="24"/>
          <w:lang w:eastAsia="es-ES"/>
        </w:rPr>
        <w:t>de cada asunto en concreto</w:t>
      </w:r>
      <w:r w:rsidR="0033141E">
        <w:rPr>
          <w:rFonts w:ascii="Arial" w:eastAsia="Calibri" w:hAnsi="Arial" w:cs="Arial"/>
          <w:sz w:val="24"/>
          <w:szCs w:val="24"/>
          <w:lang w:eastAsia="es-ES"/>
        </w:rPr>
        <w:t xml:space="preserve">, </w:t>
      </w:r>
      <w:r w:rsidR="00711384">
        <w:rPr>
          <w:rFonts w:ascii="Arial" w:eastAsia="Calibri" w:hAnsi="Arial" w:cs="Arial"/>
          <w:sz w:val="24"/>
          <w:szCs w:val="24"/>
          <w:lang w:eastAsia="es-ES"/>
        </w:rPr>
        <w:t xml:space="preserve">establecer si la cláusula de inmunidad pactada </w:t>
      </w:r>
      <w:r w:rsidR="0033141E">
        <w:rPr>
          <w:rFonts w:ascii="Arial" w:eastAsia="Calibri" w:hAnsi="Arial" w:cs="Arial"/>
          <w:sz w:val="24"/>
          <w:szCs w:val="24"/>
          <w:lang w:eastAsia="es-ES"/>
        </w:rPr>
        <w:t xml:space="preserve">en favor del ente internacional, </w:t>
      </w:r>
      <w:r w:rsidR="0033141E">
        <w:rPr>
          <w:rFonts w:ascii="Arial" w:eastAsia="Calibri" w:hAnsi="Arial" w:cs="Arial"/>
          <w:sz w:val="24"/>
          <w:szCs w:val="24"/>
          <w:lang w:eastAsia="es-ES"/>
        </w:rPr>
        <w:lastRenderedPageBreak/>
        <w:t>está acompañada</w:t>
      </w:r>
      <w:r w:rsidR="00711384">
        <w:rPr>
          <w:rFonts w:ascii="Arial" w:eastAsia="Calibri" w:hAnsi="Arial" w:cs="Arial"/>
          <w:sz w:val="24"/>
          <w:szCs w:val="24"/>
          <w:lang w:eastAsia="es-ES"/>
        </w:rPr>
        <w:t xml:space="preserve"> </w:t>
      </w:r>
      <w:r w:rsidR="00F3697A">
        <w:rPr>
          <w:rFonts w:ascii="Arial" w:eastAsia="Calibri" w:hAnsi="Arial" w:cs="Arial"/>
          <w:sz w:val="24"/>
          <w:szCs w:val="24"/>
          <w:lang w:eastAsia="es-ES"/>
        </w:rPr>
        <w:t xml:space="preserve">o no, </w:t>
      </w:r>
      <w:r w:rsidR="00711384">
        <w:rPr>
          <w:rFonts w:ascii="Arial" w:eastAsia="Calibri" w:hAnsi="Arial" w:cs="Arial"/>
          <w:sz w:val="24"/>
          <w:szCs w:val="24"/>
          <w:lang w:eastAsia="es-ES"/>
        </w:rPr>
        <w:t xml:space="preserve">de mecanismos adecuados y apropiados para el restablecimiento de los </w:t>
      </w:r>
      <w:r w:rsidR="00711384" w:rsidRPr="00807E2E">
        <w:rPr>
          <w:rFonts w:ascii="Arial" w:eastAsia="Calibri" w:hAnsi="Arial" w:cs="Arial"/>
          <w:sz w:val="24"/>
          <w:szCs w:val="24"/>
          <w:lang w:eastAsia="es-ES"/>
        </w:rPr>
        <w:t>derechos</w:t>
      </w:r>
      <w:r w:rsidR="0086562C" w:rsidRPr="00807E2E">
        <w:rPr>
          <w:rFonts w:ascii="Arial" w:eastAsia="Calibri" w:hAnsi="Arial" w:cs="Arial"/>
          <w:sz w:val="24"/>
          <w:szCs w:val="24"/>
          <w:lang w:eastAsia="es-ES"/>
        </w:rPr>
        <w:t xml:space="preserve"> de los trabajadores afectados, </w:t>
      </w:r>
      <w:r w:rsidR="0067452D" w:rsidRPr="00807E2E">
        <w:rPr>
          <w:rFonts w:ascii="Arial" w:eastAsia="Calibri" w:hAnsi="Arial" w:cs="Arial"/>
          <w:sz w:val="24"/>
          <w:szCs w:val="24"/>
          <w:lang w:eastAsia="es-ES"/>
        </w:rPr>
        <w:t xml:space="preserve">a fin de entrar a ejercer su poder jurisdiccional, en razón a que, en ningún caso, el acuerdo puede hacer </w:t>
      </w:r>
      <w:r w:rsidR="0067452D" w:rsidRPr="00DB6149">
        <w:rPr>
          <w:rFonts w:ascii="Arial" w:eastAsia="Calibri" w:hAnsi="Arial" w:cs="Arial"/>
          <w:sz w:val="24"/>
          <w:szCs w:val="24"/>
          <w:lang w:eastAsia="es-ES"/>
        </w:rPr>
        <w:t>declinar la</w:t>
      </w:r>
      <w:r w:rsidR="0067452D" w:rsidRPr="00DB6149">
        <w:rPr>
          <w:rFonts w:ascii="Arial" w:eastAsia="Calibri" w:hAnsi="Arial" w:cs="Arial"/>
          <w:i/>
          <w:sz w:val="24"/>
          <w:szCs w:val="24"/>
          <w:lang w:eastAsia="es-ES"/>
        </w:rPr>
        <w:t xml:space="preserve"> </w:t>
      </w:r>
      <w:proofErr w:type="spellStart"/>
      <w:r w:rsidR="0067452D" w:rsidRPr="00DB6149">
        <w:rPr>
          <w:rFonts w:ascii="Arial" w:eastAsia="Calibri" w:hAnsi="Arial" w:cs="Arial"/>
          <w:i/>
          <w:sz w:val="24"/>
          <w:szCs w:val="24"/>
          <w:lang w:eastAsia="es-ES"/>
        </w:rPr>
        <w:t>justiciabilidad</w:t>
      </w:r>
      <w:proofErr w:type="spellEnd"/>
      <w:r w:rsidR="0067452D" w:rsidRPr="00DB6149">
        <w:rPr>
          <w:rFonts w:ascii="Arial" w:eastAsia="Calibri" w:hAnsi="Arial" w:cs="Arial"/>
          <w:i/>
          <w:sz w:val="24"/>
          <w:szCs w:val="24"/>
          <w:lang w:eastAsia="es-ES"/>
        </w:rPr>
        <w:t xml:space="preserve"> </w:t>
      </w:r>
      <w:r w:rsidR="0067452D" w:rsidRPr="00DB6149">
        <w:rPr>
          <w:rFonts w:ascii="Arial" w:eastAsia="Calibri" w:hAnsi="Arial" w:cs="Arial"/>
          <w:sz w:val="24"/>
          <w:szCs w:val="24"/>
          <w:lang w:eastAsia="es-ES"/>
        </w:rPr>
        <w:t xml:space="preserve">de una </w:t>
      </w:r>
      <w:r w:rsidR="00F3697A" w:rsidRPr="00DB6149">
        <w:rPr>
          <w:rFonts w:ascii="Arial" w:eastAsia="Calibri" w:hAnsi="Arial" w:cs="Arial"/>
          <w:sz w:val="24"/>
          <w:szCs w:val="24"/>
          <w:lang w:eastAsia="es-ES"/>
        </w:rPr>
        <w:t>OI</w:t>
      </w:r>
      <w:r w:rsidR="0067452D" w:rsidRPr="00DB6149">
        <w:rPr>
          <w:rFonts w:ascii="Arial" w:eastAsia="Calibri" w:hAnsi="Arial" w:cs="Arial"/>
          <w:sz w:val="24"/>
          <w:szCs w:val="24"/>
          <w:lang w:eastAsia="es-ES"/>
        </w:rPr>
        <w:t xml:space="preserve"> en esta especial materia. </w:t>
      </w:r>
    </w:p>
    <w:p w:rsidR="00F4292D" w:rsidRPr="009017E7" w:rsidRDefault="00F4292D" w:rsidP="00F4292D">
      <w:pPr>
        <w:tabs>
          <w:tab w:val="left" w:pos="600"/>
          <w:tab w:val="left" w:pos="993"/>
        </w:tabs>
        <w:spacing w:after="0" w:line="360" w:lineRule="auto"/>
        <w:ind w:right="77" w:firstLine="709"/>
        <w:jc w:val="both"/>
        <w:rPr>
          <w:rFonts w:ascii="Arial" w:eastAsia="Calibri" w:hAnsi="Arial" w:cs="Arial"/>
          <w:sz w:val="28"/>
          <w:szCs w:val="24"/>
          <w:lang w:eastAsia="es-ES"/>
        </w:rPr>
      </w:pPr>
    </w:p>
    <w:p w:rsidR="00191D62" w:rsidRPr="00DB6149" w:rsidRDefault="008B4FFF" w:rsidP="00F4292D">
      <w:pPr>
        <w:pStyle w:val="Prrafodelista"/>
        <w:numPr>
          <w:ilvl w:val="0"/>
          <w:numId w:val="10"/>
        </w:numPr>
        <w:tabs>
          <w:tab w:val="left" w:pos="600"/>
          <w:tab w:val="left" w:pos="1276"/>
        </w:tabs>
        <w:spacing w:after="0" w:line="360" w:lineRule="auto"/>
        <w:ind w:left="0" w:right="77" w:firstLine="709"/>
        <w:jc w:val="both"/>
        <w:rPr>
          <w:rFonts w:ascii="Arial" w:eastAsia="Times New Roman" w:hAnsi="Arial" w:cs="Arial"/>
          <w:b/>
          <w:color w:val="000000"/>
          <w:sz w:val="24"/>
          <w:szCs w:val="24"/>
          <w:lang w:val="es-CO" w:eastAsia="es-CO"/>
        </w:rPr>
      </w:pPr>
      <w:r w:rsidRPr="00DB6149">
        <w:rPr>
          <w:rFonts w:ascii="Arial" w:eastAsia="Times New Roman" w:hAnsi="Arial" w:cs="Arial"/>
          <w:b/>
          <w:color w:val="000000"/>
          <w:sz w:val="24"/>
          <w:szCs w:val="24"/>
          <w:lang w:val="es-CO" w:eastAsia="es-CO"/>
        </w:rPr>
        <w:t>Naturaleza jurídica</w:t>
      </w:r>
      <w:r w:rsidR="00CD39A0" w:rsidRPr="00DB6149">
        <w:rPr>
          <w:rFonts w:ascii="Arial" w:eastAsia="Times New Roman" w:hAnsi="Arial" w:cs="Arial"/>
          <w:b/>
          <w:color w:val="000000"/>
          <w:sz w:val="24"/>
          <w:szCs w:val="24"/>
          <w:lang w:val="es-CO" w:eastAsia="es-CO"/>
        </w:rPr>
        <w:t xml:space="preserve"> e inmunidad de jurisdicción frente a</w:t>
      </w:r>
      <w:r w:rsidRPr="00DB6149">
        <w:rPr>
          <w:rFonts w:ascii="Arial" w:eastAsia="Times New Roman" w:hAnsi="Arial" w:cs="Arial"/>
          <w:b/>
          <w:color w:val="000000"/>
          <w:sz w:val="24"/>
          <w:szCs w:val="24"/>
          <w:lang w:val="es-CO" w:eastAsia="es-CO"/>
        </w:rPr>
        <w:t>l Programa de las Naciones Unid</w:t>
      </w:r>
      <w:r w:rsidR="00CD39A0" w:rsidRPr="00DB6149">
        <w:rPr>
          <w:rFonts w:ascii="Arial" w:eastAsia="Times New Roman" w:hAnsi="Arial" w:cs="Arial"/>
          <w:b/>
          <w:color w:val="000000"/>
          <w:sz w:val="24"/>
          <w:szCs w:val="24"/>
          <w:lang w:val="es-CO" w:eastAsia="es-CO"/>
        </w:rPr>
        <w:t xml:space="preserve">as para el Desarrollo - PNUD. </w:t>
      </w:r>
    </w:p>
    <w:p w:rsidR="00F4292D" w:rsidRPr="009017E7" w:rsidRDefault="00F4292D" w:rsidP="00F4292D">
      <w:pPr>
        <w:pStyle w:val="Prrafodelista"/>
        <w:tabs>
          <w:tab w:val="left" w:pos="600"/>
          <w:tab w:val="left" w:pos="1276"/>
        </w:tabs>
        <w:spacing w:after="0" w:line="360" w:lineRule="auto"/>
        <w:ind w:left="709" w:right="77"/>
        <w:jc w:val="both"/>
        <w:rPr>
          <w:rFonts w:ascii="Arial" w:eastAsia="Times New Roman" w:hAnsi="Arial" w:cs="Arial"/>
          <w:b/>
          <w:color w:val="000000"/>
          <w:sz w:val="32"/>
          <w:szCs w:val="24"/>
          <w:lang w:val="es-CO" w:eastAsia="es-CO"/>
        </w:rPr>
      </w:pPr>
    </w:p>
    <w:p w:rsidR="00CD39A0" w:rsidRPr="00807E2E" w:rsidRDefault="00F3697A" w:rsidP="00CD39A0">
      <w:pPr>
        <w:tabs>
          <w:tab w:val="left" w:pos="600"/>
          <w:tab w:val="left" w:pos="993"/>
        </w:tabs>
        <w:spacing w:after="0" w:line="360" w:lineRule="auto"/>
        <w:ind w:right="77" w:firstLine="709"/>
        <w:jc w:val="both"/>
        <w:rPr>
          <w:rFonts w:ascii="Arial" w:eastAsia="Calibri" w:hAnsi="Arial" w:cs="Arial"/>
          <w:sz w:val="24"/>
          <w:szCs w:val="24"/>
          <w:lang w:eastAsia="es-ES"/>
        </w:rPr>
      </w:pPr>
      <w:r w:rsidRPr="00DB6149">
        <w:rPr>
          <w:rFonts w:ascii="Arial" w:eastAsia="Calibri" w:hAnsi="Arial" w:cs="Arial"/>
          <w:sz w:val="24"/>
          <w:szCs w:val="24"/>
          <w:lang w:eastAsia="es-ES"/>
        </w:rPr>
        <w:t>Como se sabe, l</w:t>
      </w:r>
      <w:r w:rsidR="00CD39A0" w:rsidRPr="00DB6149">
        <w:rPr>
          <w:rFonts w:ascii="Arial" w:eastAsia="Calibri" w:hAnsi="Arial" w:cs="Arial"/>
          <w:sz w:val="24"/>
          <w:szCs w:val="24"/>
          <w:lang w:eastAsia="es-ES"/>
        </w:rPr>
        <w:t>a Organiza</w:t>
      </w:r>
      <w:r w:rsidRPr="00DB6149">
        <w:rPr>
          <w:rFonts w:ascii="Arial" w:eastAsia="Calibri" w:hAnsi="Arial" w:cs="Arial"/>
          <w:sz w:val="24"/>
          <w:szCs w:val="24"/>
          <w:lang w:eastAsia="es-ES"/>
        </w:rPr>
        <w:t>ción de las Naciones Unidas ONU</w:t>
      </w:r>
      <w:r w:rsidR="00CD39A0" w:rsidRPr="00DB6149">
        <w:rPr>
          <w:rFonts w:ascii="Arial" w:eastAsia="Calibri" w:hAnsi="Arial" w:cs="Arial"/>
          <w:sz w:val="24"/>
          <w:szCs w:val="24"/>
          <w:lang w:eastAsia="es-ES"/>
        </w:rPr>
        <w:t xml:space="preserve"> es una entidad de derecho internacional de la que Colombia es miembro fundador, que propende por el mantenimiento de la paz manual, así como por el establecimiento de condiciones</w:t>
      </w:r>
      <w:r w:rsidR="00CD39A0" w:rsidRPr="00807E2E">
        <w:rPr>
          <w:rFonts w:ascii="Arial" w:eastAsia="Calibri" w:hAnsi="Arial" w:cs="Arial"/>
          <w:sz w:val="24"/>
          <w:szCs w:val="24"/>
          <w:lang w:eastAsia="es-ES"/>
        </w:rPr>
        <w:t xml:space="preserve"> de vida dignas para todos los habitantes del planeta, y en cuya carta creadora</w:t>
      </w:r>
      <w:r w:rsidR="00CD39A0" w:rsidRPr="00754707">
        <w:rPr>
          <w:rFonts w:ascii="Arial" w:eastAsia="Calibri" w:hAnsi="Arial" w:cs="Arial"/>
          <w:sz w:val="24"/>
          <w:szCs w:val="24"/>
          <w:lang w:eastAsia="es-ES"/>
        </w:rPr>
        <w:t xml:space="preserve"> firmada el 26 de junio de 1945, se estableció la posibilidad de crear programas y organismos que, de manera especializada, prestaran la asistencia que necesitan los países con dific</w:t>
      </w:r>
      <w:r w:rsidR="00CD39A0">
        <w:rPr>
          <w:rFonts w:ascii="Arial" w:eastAsia="Calibri" w:hAnsi="Arial" w:cs="Arial"/>
          <w:sz w:val="24"/>
          <w:szCs w:val="24"/>
          <w:lang w:eastAsia="es-ES"/>
        </w:rPr>
        <w:t>ultades específicas, entre ellos</w:t>
      </w:r>
      <w:r w:rsidR="00CD39A0" w:rsidRPr="00754707">
        <w:rPr>
          <w:rFonts w:ascii="Arial" w:eastAsia="Calibri" w:hAnsi="Arial" w:cs="Arial"/>
          <w:sz w:val="24"/>
          <w:szCs w:val="24"/>
          <w:lang w:eastAsia="es-ES"/>
        </w:rPr>
        <w:t xml:space="preserve"> el </w:t>
      </w:r>
      <w:r w:rsidR="00CD39A0" w:rsidRPr="00257530">
        <w:rPr>
          <w:rFonts w:ascii="Arial" w:eastAsia="Calibri" w:hAnsi="Arial" w:cs="Arial"/>
          <w:b/>
          <w:sz w:val="24"/>
          <w:szCs w:val="24"/>
          <w:lang w:eastAsia="es-ES"/>
        </w:rPr>
        <w:t>Programa de las Naciones Unidas para el Desarrollo PNUD</w:t>
      </w:r>
      <w:r w:rsidR="00CD39A0" w:rsidRPr="00754707">
        <w:rPr>
          <w:rFonts w:ascii="Arial" w:eastAsia="Calibri" w:hAnsi="Arial" w:cs="Arial"/>
          <w:sz w:val="24"/>
          <w:szCs w:val="24"/>
          <w:lang w:eastAsia="es-ES"/>
        </w:rPr>
        <w:t xml:space="preserve">, que fue creado </w:t>
      </w:r>
      <w:r w:rsidR="00CD39A0" w:rsidRPr="00807E2E">
        <w:rPr>
          <w:rFonts w:ascii="Arial" w:eastAsia="Calibri" w:hAnsi="Arial" w:cs="Arial"/>
          <w:sz w:val="24"/>
          <w:szCs w:val="24"/>
          <w:lang w:eastAsia="es-ES"/>
        </w:rPr>
        <w:t xml:space="preserve">por la Asamblea General de las Naciones Unidas, mediante Resolución No. 2029 de 22 de noviembre de 1965, respecto de quien se pretende llamar como demandado en esta jurisdicción. </w:t>
      </w:r>
    </w:p>
    <w:p w:rsidR="00CD39A0" w:rsidRPr="009017E7" w:rsidRDefault="00CD39A0" w:rsidP="00CD39A0">
      <w:pPr>
        <w:tabs>
          <w:tab w:val="left" w:pos="600"/>
          <w:tab w:val="left" w:pos="993"/>
        </w:tabs>
        <w:spacing w:after="0" w:line="360" w:lineRule="auto"/>
        <w:ind w:right="77" w:firstLine="709"/>
        <w:jc w:val="both"/>
        <w:rPr>
          <w:rFonts w:ascii="Arial" w:eastAsia="Calibri" w:hAnsi="Arial" w:cs="Arial"/>
          <w:szCs w:val="24"/>
          <w:lang w:eastAsia="es-ES"/>
        </w:rPr>
      </w:pPr>
    </w:p>
    <w:p w:rsidR="00CD39A0" w:rsidRDefault="00CD39A0" w:rsidP="00CD39A0">
      <w:pPr>
        <w:tabs>
          <w:tab w:val="left" w:pos="600"/>
          <w:tab w:val="left" w:pos="993"/>
        </w:tabs>
        <w:spacing w:after="0" w:line="360" w:lineRule="auto"/>
        <w:ind w:right="77" w:firstLine="709"/>
        <w:jc w:val="both"/>
        <w:rPr>
          <w:rFonts w:ascii="Arial" w:eastAsia="Calibri" w:hAnsi="Arial" w:cs="Arial"/>
          <w:sz w:val="24"/>
          <w:szCs w:val="24"/>
          <w:lang w:eastAsia="es-ES"/>
        </w:rPr>
      </w:pPr>
      <w:r w:rsidRPr="00807E2E">
        <w:rPr>
          <w:rFonts w:ascii="Arial" w:eastAsia="Calibri" w:hAnsi="Arial" w:cs="Arial"/>
          <w:sz w:val="24"/>
          <w:szCs w:val="24"/>
          <w:lang w:eastAsia="es-ES"/>
        </w:rPr>
        <w:t xml:space="preserve">De acuerdo con el portal </w:t>
      </w:r>
      <w:hyperlink r:id="rId8" w:history="1">
        <w:r w:rsidRPr="00807E2E">
          <w:rPr>
            <w:rStyle w:val="Hipervnculo"/>
            <w:rFonts w:ascii="Arial" w:eastAsia="Calibri" w:hAnsi="Arial" w:cs="Arial"/>
            <w:i/>
            <w:color w:val="000000" w:themeColor="text1"/>
            <w:sz w:val="24"/>
            <w:szCs w:val="24"/>
            <w:u w:val="none"/>
            <w:lang w:eastAsia="es-ES"/>
          </w:rPr>
          <w:t>www.undp.org</w:t>
        </w:r>
      </w:hyperlink>
      <w:r w:rsidRPr="00807E2E">
        <w:rPr>
          <w:rFonts w:ascii="Arial" w:eastAsia="Calibri" w:hAnsi="Arial" w:cs="Arial"/>
          <w:i/>
          <w:color w:val="000000" w:themeColor="text1"/>
          <w:sz w:val="24"/>
          <w:szCs w:val="24"/>
          <w:lang w:eastAsia="es-ES"/>
        </w:rPr>
        <w:t>.,</w:t>
      </w:r>
      <w:r w:rsidRPr="00807E2E">
        <w:rPr>
          <w:rFonts w:ascii="Arial" w:eastAsia="Calibri" w:hAnsi="Arial" w:cs="Arial"/>
          <w:color w:val="000000" w:themeColor="text1"/>
          <w:sz w:val="24"/>
          <w:szCs w:val="24"/>
          <w:lang w:eastAsia="es-ES"/>
        </w:rPr>
        <w:t xml:space="preserve"> </w:t>
      </w:r>
      <w:r w:rsidRPr="00807E2E">
        <w:rPr>
          <w:rFonts w:ascii="Arial" w:eastAsia="Calibri" w:hAnsi="Arial" w:cs="Arial"/>
          <w:sz w:val="24"/>
          <w:szCs w:val="24"/>
          <w:lang w:eastAsia="es-ES"/>
        </w:rPr>
        <w:t xml:space="preserve">el </w:t>
      </w:r>
      <w:r w:rsidR="00DB6149">
        <w:rPr>
          <w:rFonts w:ascii="Arial" w:eastAsia="Calibri" w:hAnsi="Arial" w:cs="Arial"/>
          <w:sz w:val="24"/>
          <w:szCs w:val="24"/>
          <w:lang w:eastAsia="es-ES"/>
        </w:rPr>
        <w:t xml:space="preserve">PNUD </w:t>
      </w:r>
      <w:r w:rsidRPr="00807E2E">
        <w:rPr>
          <w:rFonts w:ascii="Arial" w:eastAsia="Calibri" w:hAnsi="Arial" w:cs="Arial"/>
          <w:sz w:val="24"/>
          <w:szCs w:val="24"/>
          <w:lang w:eastAsia="es-ES"/>
        </w:rPr>
        <w:t>es un organismo de carácter mundial de las Naciones Unidas en materia de desarrollo, que promueve el cambio y conecta a los países con los conocimientos, la experiencia y los recursos necesarios para ayudar a los pueblos a forjar una vida mejor, con presencia en 177 países, que trabaja con los gobiernos y las personas para ayudarles a encontrar sus propias soluciones a l</w:t>
      </w:r>
      <w:r w:rsidR="00DB6149">
        <w:rPr>
          <w:rFonts w:ascii="Arial" w:eastAsia="Calibri" w:hAnsi="Arial" w:cs="Arial"/>
          <w:sz w:val="24"/>
          <w:szCs w:val="24"/>
          <w:lang w:eastAsia="es-ES"/>
        </w:rPr>
        <w:t>os retos mundiales y nacionales.</w:t>
      </w:r>
    </w:p>
    <w:p w:rsidR="009017E7" w:rsidRDefault="009017E7" w:rsidP="00CD39A0">
      <w:pPr>
        <w:tabs>
          <w:tab w:val="left" w:pos="600"/>
          <w:tab w:val="left" w:pos="993"/>
        </w:tabs>
        <w:spacing w:after="0" w:line="360" w:lineRule="auto"/>
        <w:ind w:right="77" w:firstLine="709"/>
        <w:jc w:val="both"/>
        <w:rPr>
          <w:rFonts w:ascii="Arial" w:eastAsia="Calibri" w:hAnsi="Arial" w:cs="Arial"/>
          <w:sz w:val="24"/>
          <w:szCs w:val="24"/>
          <w:lang w:eastAsia="es-ES"/>
        </w:rPr>
      </w:pPr>
    </w:p>
    <w:p w:rsidR="00CD39A0" w:rsidRPr="007A20B7" w:rsidRDefault="00257530" w:rsidP="007A20B7">
      <w:pPr>
        <w:tabs>
          <w:tab w:val="left" w:pos="600"/>
          <w:tab w:val="left" w:pos="993"/>
        </w:tabs>
        <w:spacing w:after="0" w:line="360" w:lineRule="auto"/>
        <w:ind w:right="77" w:firstLine="709"/>
        <w:jc w:val="both"/>
        <w:rPr>
          <w:rFonts w:ascii="Arial" w:eastAsia="Calibri" w:hAnsi="Arial" w:cs="Arial"/>
          <w:sz w:val="24"/>
          <w:szCs w:val="24"/>
          <w:lang w:eastAsia="es-ES"/>
        </w:rPr>
      </w:pPr>
      <w:r>
        <w:rPr>
          <w:rFonts w:ascii="Arial" w:eastAsia="Calibri" w:hAnsi="Arial" w:cs="Arial"/>
          <w:sz w:val="24"/>
          <w:szCs w:val="24"/>
          <w:lang w:eastAsia="es-ES"/>
        </w:rPr>
        <w:t>En lo que atañe a</w:t>
      </w:r>
      <w:r w:rsidR="00CD39A0">
        <w:rPr>
          <w:rFonts w:ascii="Arial" w:eastAsia="Calibri" w:hAnsi="Arial" w:cs="Arial"/>
          <w:sz w:val="24"/>
          <w:szCs w:val="24"/>
          <w:lang w:eastAsia="es-ES"/>
        </w:rPr>
        <w:t xml:space="preserve">l régimen de inmunidades aplicable a este programa, la Corte Constitucional en la sentencia que fue mencionada de 2005, expresó que aquel gozaba de todas las prerrogativas que se establecieron en la </w:t>
      </w:r>
      <w:r w:rsidR="00CD39A0" w:rsidRPr="00855E02">
        <w:rPr>
          <w:rFonts w:ascii="Arial" w:eastAsia="Calibri" w:hAnsi="Arial" w:cs="Arial"/>
          <w:b/>
          <w:sz w:val="24"/>
          <w:szCs w:val="24"/>
          <w:lang w:eastAsia="es-ES"/>
        </w:rPr>
        <w:t>Convención sobre Privilegios e Inmunidades de las Naciones Unidas</w:t>
      </w:r>
      <w:r w:rsidR="00CD39A0">
        <w:rPr>
          <w:rFonts w:ascii="Arial" w:eastAsia="Calibri" w:hAnsi="Arial" w:cs="Arial"/>
          <w:sz w:val="24"/>
          <w:szCs w:val="24"/>
          <w:lang w:eastAsia="es-ES"/>
        </w:rPr>
        <w:t xml:space="preserve">, aprobada por la </w:t>
      </w:r>
      <w:r w:rsidR="00CD39A0">
        <w:rPr>
          <w:rFonts w:ascii="Arial" w:eastAsia="Calibri" w:hAnsi="Arial" w:cs="Arial"/>
          <w:sz w:val="24"/>
          <w:szCs w:val="24"/>
          <w:lang w:eastAsia="es-ES"/>
        </w:rPr>
        <w:lastRenderedPageBreak/>
        <w:t xml:space="preserve">Asamblea General de 13 de febrero de 1946, adoptada en Colombia mediante Ley 62 de 1973, y en vigor a partir del 6 de agosto de 1974 cuando fue depositada en la Secretaría General de la ONU el respectivo documento de adhesión. </w:t>
      </w:r>
      <w:r w:rsidR="007A20B7">
        <w:rPr>
          <w:rFonts w:ascii="Arial" w:eastAsia="Calibri" w:hAnsi="Arial" w:cs="Arial"/>
          <w:sz w:val="24"/>
          <w:szCs w:val="24"/>
          <w:lang w:eastAsia="es-ES"/>
        </w:rPr>
        <w:t xml:space="preserve"> </w:t>
      </w:r>
      <w:r w:rsidR="00454D63">
        <w:rPr>
          <w:rFonts w:ascii="Arial" w:eastAsia="Calibri" w:hAnsi="Arial" w:cs="Arial"/>
          <w:sz w:val="24"/>
          <w:szCs w:val="24"/>
          <w:lang w:eastAsia="es-ES"/>
        </w:rPr>
        <w:t>Esto</w:t>
      </w:r>
      <w:r w:rsidR="00CD39A0">
        <w:rPr>
          <w:rFonts w:ascii="Arial" w:eastAsia="Calibri" w:hAnsi="Arial" w:cs="Arial"/>
          <w:sz w:val="24"/>
          <w:szCs w:val="24"/>
          <w:lang w:eastAsia="es-ES"/>
        </w:rPr>
        <w:t xml:space="preserve"> puede ser corroborado</w:t>
      </w:r>
      <w:r w:rsidR="00454D63">
        <w:rPr>
          <w:rFonts w:ascii="Arial" w:eastAsia="Calibri" w:hAnsi="Arial" w:cs="Arial"/>
          <w:sz w:val="24"/>
          <w:szCs w:val="24"/>
          <w:lang w:eastAsia="es-ES"/>
        </w:rPr>
        <w:t>, desde luego,</w:t>
      </w:r>
      <w:r w:rsidR="00CD39A0">
        <w:rPr>
          <w:rFonts w:ascii="Arial" w:eastAsia="Calibri" w:hAnsi="Arial" w:cs="Arial"/>
          <w:sz w:val="24"/>
          <w:szCs w:val="24"/>
          <w:lang w:eastAsia="es-ES"/>
        </w:rPr>
        <w:t xml:space="preserve"> </w:t>
      </w:r>
      <w:r w:rsidR="00454D63">
        <w:rPr>
          <w:rFonts w:ascii="Arial" w:eastAsia="Calibri" w:hAnsi="Arial" w:cs="Arial"/>
          <w:sz w:val="24"/>
          <w:szCs w:val="24"/>
          <w:lang w:eastAsia="es-ES"/>
        </w:rPr>
        <w:t>con la</w:t>
      </w:r>
      <w:r w:rsidR="00CD39A0">
        <w:rPr>
          <w:rFonts w:ascii="Arial" w:eastAsia="Calibri" w:hAnsi="Arial" w:cs="Arial"/>
          <w:sz w:val="24"/>
          <w:szCs w:val="24"/>
          <w:lang w:eastAsia="es-ES"/>
        </w:rPr>
        <w:t xml:space="preserve"> lectura</w:t>
      </w:r>
      <w:r w:rsidR="008D3B76">
        <w:rPr>
          <w:rFonts w:ascii="Arial" w:eastAsia="Calibri" w:hAnsi="Arial" w:cs="Arial"/>
          <w:sz w:val="24"/>
          <w:szCs w:val="24"/>
          <w:lang w:eastAsia="es-ES"/>
        </w:rPr>
        <w:t xml:space="preserve"> </w:t>
      </w:r>
      <w:r w:rsidR="00454D63">
        <w:rPr>
          <w:rFonts w:ascii="Arial" w:eastAsia="Calibri" w:hAnsi="Arial" w:cs="Arial"/>
          <w:sz w:val="24"/>
          <w:szCs w:val="24"/>
          <w:lang w:eastAsia="es-ES"/>
        </w:rPr>
        <w:t>del</w:t>
      </w:r>
      <w:r w:rsidR="00CD39A0">
        <w:rPr>
          <w:rFonts w:ascii="Arial" w:eastAsia="Calibri" w:hAnsi="Arial" w:cs="Arial"/>
          <w:sz w:val="24"/>
          <w:szCs w:val="24"/>
          <w:lang w:eastAsia="es-ES"/>
        </w:rPr>
        <w:t xml:space="preserve"> artículo IX, según el cual </w:t>
      </w:r>
      <w:r w:rsidR="00CD39A0">
        <w:rPr>
          <w:rFonts w:ascii="Arial" w:eastAsia="Calibri" w:hAnsi="Arial" w:cs="Arial"/>
          <w:i/>
          <w:sz w:val="20"/>
          <w:szCs w:val="24"/>
          <w:lang w:eastAsia="es-ES"/>
        </w:rPr>
        <w:t>«(…) El Gobierno aplicará tanto a las Naciones Unidas y sus órganos, comprendido el PNUD y los órganos subsidiarios de las Naciones Unidas que actúen como organismos de Ejecución del PNUD, como a sus bienes, fondos, y haberes y a sus funcionarios, incluidos el representante residente y otros miembros de la misión del PNUD en el país, las disposiciones de la Convención sobre Prerrogativas e Inmunidades de las Naciones Unidas».</w:t>
      </w:r>
    </w:p>
    <w:p w:rsidR="00CD39A0" w:rsidRPr="00C850D3" w:rsidRDefault="00CD39A0" w:rsidP="00CD39A0">
      <w:pPr>
        <w:tabs>
          <w:tab w:val="left" w:pos="600"/>
          <w:tab w:val="left" w:pos="993"/>
        </w:tabs>
        <w:spacing w:after="0" w:line="360" w:lineRule="auto"/>
        <w:ind w:right="77" w:firstLine="709"/>
        <w:jc w:val="both"/>
        <w:rPr>
          <w:rFonts w:ascii="Arial" w:eastAsia="Calibri" w:hAnsi="Arial" w:cs="Arial"/>
          <w:sz w:val="24"/>
          <w:szCs w:val="24"/>
          <w:lang w:eastAsia="es-ES"/>
        </w:rPr>
      </w:pPr>
    </w:p>
    <w:p w:rsidR="00CD39A0" w:rsidRDefault="00CD39A0" w:rsidP="00466286">
      <w:pPr>
        <w:tabs>
          <w:tab w:val="left" w:pos="600"/>
          <w:tab w:val="left" w:pos="993"/>
        </w:tabs>
        <w:spacing w:after="0" w:line="360" w:lineRule="auto"/>
        <w:ind w:right="77" w:firstLine="709"/>
        <w:jc w:val="both"/>
        <w:rPr>
          <w:rFonts w:ascii="Arial" w:eastAsia="Calibri" w:hAnsi="Arial" w:cs="Arial"/>
          <w:sz w:val="24"/>
          <w:szCs w:val="24"/>
          <w:lang w:eastAsia="es-ES"/>
        </w:rPr>
      </w:pPr>
      <w:r>
        <w:rPr>
          <w:rFonts w:ascii="Arial" w:eastAsia="Calibri" w:hAnsi="Arial" w:cs="Arial"/>
          <w:sz w:val="24"/>
          <w:szCs w:val="24"/>
          <w:lang w:eastAsia="es-ES"/>
        </w:rPr>
        <w:t>Frente al tema de la inmunidad establecida en la mencionada convención, el artículo III, sección 4</w:t>
      </w:r>
      <w:r w:rsidR="00466286">
        <w:rPr>
          <w:rFonts w:ascii="Arial" w:eastAsia="Calibri" w:hAnsi="Arial" w:cs="Arial"/>
          <w:sz w:val="24"/>
          <w:szCs w:val="24"/>
          <w:lang w:eastAsia="es-ES"/>
        </w:rPr>
        <w:t>,</w:t>
      </w:r>
      <w:r>
        <w:rPr>
          <w:rFonts w:ascii="Arial" w:eastAsia="Calibri" w:hAnsi="Arial" w:cs="Arial"/>
          <w:sz w:val="24"/>
          <w:szCs w:val="24"/>
          <w:lang w:eastAsia="es-ES"/>
        </w:rPr>
        <w:t xml:space="preserve"> dispone que </w:t>
      </w:r>
      <w:r>
        <w:rPr>
          <w:rFonts w:ascii="Arial" w:eastAsia="Calibri" w:hAnsi="Arial" w:cs="Arial"/>
          <w:i/>
          <w:sz w:val="20"/>
          <w:szCs w:val="24"/>
          <w:lang w:eastAsia="es-ES"/>
        </w:rPr>
        <w:t>«Las Naciones Unidas, así como sus bienes y haberes en cualquier parte y en poder de cualquier persona, gozarán de inmunidad contra todo procedimiento judicial a excepción de los casos en que renuncie expresamente a esa inmunidad. Se entiende, sin embargo, que esa renuncia no se aplicará a ninguna media judicial ejecutoria».</w:t>
      </w:r>
      <w:r w:rsidR="007A20B7">
        <w:rPr>
          <w:rFonts w:ascii="Arial" w:eastAsia="Calibri" w:hAnsi="Arial" w:cs="Arial"/>
          <w:i/>
          <w:sz w:val="20"/>
          <w:szCs w:val="24"/>
          <w:lang w:eastAsia="es-ES"/>
        </w:rPr>
        <w:t xml:space="preserve"> </w:t>
      </w:r>
      <w:r w:rsidR="00A16E93">
        <w:rPr>
          <w:rFonts w:ascii="Arial" w:eastAsia="Calibri" w:hAnsi="Arial" w:cs="Arial"/>
          <w:sz w:val="24"/>
          <w:szCs w:val="24"/>
          <w:lang w:eastAsia="es-ES"/>
        </w:rPr>
        <w:t>En similar sentido</w:t>
      </w:r>
      <w:r w:rsidR="002D596B">
        <w:rPr>
          <w:rFonts w:ascii="Arial" w:eastAsia="Calibri" w:hAnsi="Arial" w:cs="Arial"/>
          <w:sz w:val="24"/>
          <w:szCs w:val="24"/>
          <w:lang w:eastAsia="es-ES"/>
        </w:rPr>
        <w:t>, el artículo 2º, sección 2, dispone que:</w:t>
      </w:r>
      <w:r w:rsidR="002D596B" w:rsidRPr="002D596B">
        <w:rPr>
          <w:rFonts w:ascii="Arial" w:eastAsia="Calibri" w:hAnsi="Arial" w:cs="Arial"/>
          <w:sz w:val="20"/>
          <w:szCs w:val="20"/>
          <w:lang w:eastAsia="es-ES"/>
        </w:rPr>
        <w:t xml:space="preserve"> </w:t>
      </w:r>
      <w:r w:rsidR="002D596B">
        <w:rPr>
          <w:rFonts w:ascii="Arial" w:eastAsia="Calibri" w:hAnsi="Arial" w:cs="Arial"/>
          <w:sz w:val="20"/>
          <w:szCs w:val="20"/>
          <w:lang w:eastAsia="es-ES"/>
        </w:rPr>
        <w:t>«</w:t>
      </w:r>
      <w:r w:rsidR="002D596B" w:rsidRPr="002D596B">
        <w:rPr>
          <w:rFonts w:ascii="Arial" w:hAnsi="Arial" w:cs="Arial"/>
          <w:i/>
          <w:color w:val="000000"/>
          <w:sz w:val="20"/>
          <w:szCs w:val="20"/>
        </w:rPr>
        <w:t xml:space="preserve">Las Naciones Unidas, así como sus bienes y haberes en cualquier parte y en poder de cualquier persona, </w:t>
      </w:r>
      <w:r w:rsidR="002D596B" w:rsidRPr="002D596B">
        <w:rPr>
          <w:rFonts w:ascii="Arial" w:hAnsi="Arial" w:cs="Arial"/>
          <w:i/>
          <w:color w:val="000000"/>
          <w:sz w:val="20"/>
          <w:szCs w:val="20"/>
          <w:u w:val="single"/>
        </w:rPr>
        <w:t>gozarán de inmunidad contra todo procedimiento judicial</w:t>
      </w:r>
      <w:r w:rsidR="002D596B" w:rsidRPr="002D596B">
        <w:rPr>
          <w:rFonts w:ascii="Arial" w:hAnsi="Arial" w:cs="Arial"/>
          <w:i/>
          <w:color w:val="000000"/>
          <w:sz w:val="20"/>
          <w:szCs w:val="20"/>
        </w:rPr>
        <w:t xml:space="preserve"> a excepción de los casos en que renuncie expresamente a esa inmunidad. Se entiende sin embargo, que esa renuncia no se aplicará a ninguna medida judicial ejecutoria</w:t>
      </w:r>
      <w:r w:rsidR="002D596B">
        <w:rPr>
          <w:rFonts w:ascii="Arial" w:hAnsi="Arial" w:cs="Arial"/>
          <w:i/>
          <w:color w:val="000000"/>
          <w:sz w:val="20"/>
          <w:szCs w:val="20"/>
        </w:rPr>
        <w:t>»</w:t>
      </w:r>
      <w:r w:rsidR="00743CE8">
        <w:rPr>
          <w:rFonts w:ascii="Arial" w:hAnsi="Arial" w:cs="Arial"/>
          <w:i/>
          <w:color w:val="000000"/>
          <w:sz w:val="20"/>
          <w:szCs w:val="20"/>
        </w:rPr>
        <w:t xml:space="preserve">, </w:t>
      </w:r>
      <w:r w:rsidR="00743CE8">
        <w:rPr>
          <w:rFonts w:ascii="Arial" w:hAnsi="Arial" w:cs="Arial"/>
          <w:color w:val="000000"/>
          <w:sz w:val="24"/>
          <w:szCs w:val="20"/>
        </w:rPr>
        <w:t xml:space="preserve">y a continuación en la sección 29, </w:t>
      </w:r>
      <w:r w:rsidR="00466286">
        <w:rPr>
          <w:rFonts w:ascii="Arial" w:hAnsi="Arial" w:cs="Arial"/>
          <w:color w:val="000000"/>
          <w:sz w:val="24"/>
          <w:szCs w:val="20"/>
        </w:rPr>
        <w:t xml:space="preserve">se establece </w:t>
      </w:r>
      <w:r w:rsidR="00743CE8">
        <w:rPr>
          <w:rFonts w:ascii="Arial" w:hAnsi="Arial" w:cs="Arial"/>
          <w:color w:val="000000"/>
          <w:sz w:val="24"/>
          <w:szCs w:val="20"/>
        </w:rPr>
        <w:t>que «</w:t>
      </w:r>
      <w:r w:rsidR="008D3B76" w:rsidRPr="00743CE8">
        <w:rPr>
          <w:rFonts w:ascii="Arial" w:hAnsi="Arial" w:cs="Arial"/>
          <w:i/>
          <w:sz w:val="20"/>
          <w:szCs w:val="20"/>
        </w:rPr>
        <w:t>Las Naciones Unidas tomarán las medidas adecuadas para la solución de: (a) disputas originadas por contratos u otras disputas de derecho privado en las que sean parte las Naciones Unidas; (b) disputas en que esté implicado un funcionario de las Naciones Unidas, que por razón de su cargo oficial disfruta de inmunidad, si el Secretario General n</w:t>
      </w:r>
      <w:r w:rsidR="00743CE8">
        <w:rPr>
          <w:rFonts w:ascii="Arial" w:hAnsi="Arial" w:cs="Arial"/>
          <w:i/>
          <w:sz w:val="20"/>
          <w:szCs w:val="20"/>
        </w:rPr>
        <w:t>o ha renunciado a tal inmunidad».</w:t>
      </w:r>
      <w:r w:rsidR="00466286">
        <w:rPr>
          <w:rFonts w:ascii="Arial" w:eastAsia="Calibri" w:hAnsi="Arial" w:cs="Arial"/>
          <w:i/>
          <w:sz w:val="20"/>
          <w:szCs w:val="24"/>
          <w:lang w:eastAsia="es-ES"/>
        </w:rPr>
        <w:t xml:space="preserve"> </w:t>
      </w:r>
      <w:r w:rsidR="00466286">
        <w:rPr>
          <w:rFonts w:ascii="Arial" w:eastAsia="Calibri" w:hAnsi="Arial" w:cs="Arial"/>
          <w:sz w:val="24"/>
          <w:szCs w:val="24"/>
          <w:lang w:eastAsia="es-ES"/>
        </w:rPr>
        <w:t>De modo</w:t>
      </w:r>
      <w:r w:rsidRPr="00D479B4">
        <w:rPr>
          <w:rFonts w:ascii="Arial" w:eastAsia="Calibri" w:hAnsi="Arial" w:cs="Arial"/>
          <w:sz w:val="24"/>
          <w:szCs w:val="24"/>
          <w:lang w:eastAsia="es-ES"/>
        </w:rPr>
        <w:t xml:space="preserve"> que en virtud </w:t>
      </w:r>
      <w:r w:rsidR="00743CE8">
        <w:rPr>
          <w:rFonts w:ascii="Arial" w:eastAsia="Calibri" w:hAnsi="Arial" w:cs="Arial"/>
          <w:sz w:val="24"/>
          <w:szCs w:val="24"/>
          <w:lang w:eastAsia="es-ES"/>
        </w:rPr>
        <w:t>de dicho instrumento,</w:t>
      </w:r>
      <w:r w:rsidRPr="00D479B4">
        <w:rPr>
          <w:rFonts w:ascii="Arial" w:eastAsia="Calibri" w:hAnsi="Arial" w:cs="Arial"/>
          <w:sz w:val="24"/>
          <w:szCs w:val="24"/>
          <w:lang w:eastAsia="es-ES"/>
        </w:rPr>
        <w:t xml:space="preserve"> es que la entidad </w:t>
      </w:r>
      <w:r w:rsidR="00743CE8">
        <w:rPr>
          <w:rFonts w:ascii="Arial" w:eastAsia="Calibri" w:hAnsi="Arial" w:cs="Arial"/>
          <w:sz w:val="24"/>
          <w:szCs w:val="24"/>
          <w:lang w:eastAsia="es-ES"/>
        </w:rPr>
        <w:t xml:space="preserve">aquí </w:t>
      </w:r>
      <w:r w:rsidRPr="00D479B4">
        <w:rPr>
          <w:rFonts w:ascii="Arial" w:eastAsia="Calibri" w:hAnsi="Arial" w:cs="Arial"/>
          <w:sz w:val="24"/>
          <w:szCs w:val="24"/>
          <w:lang w:eastAsia="es-ES"/>
        </w:rPr>
        <w:t>demandada podría ser catalogada como aquellas de que gozan de inmunidad reconocida por el Estado colombiano mediante la incorporación en el ordenamiento</w:t>
      </w:r>
      <w:r w:rsidR="00686FE3">
        <w:rPr>
          <w:rFonts w:ascii="Arial" w:eastAsia="Calibri" w:hAnsi="Arial" w:cs="Arial"/>
          <w:sz w:val="24"/>
          <w:szCs w:val="24"/>
          <w:lang w:eastAsia="es-ES"/>
        </w:rPr>
        <w:t xml:space="preserve"> jurídico</w:t>
      </w:r>
      <w:r w:rsidRPr="00D479B4">
        <w:rPr>
          <w:rFonts w:ascii="Arial" w:eastAsia="Calibri" w:hAnsi="Arial" w:cs="Arial"/>
          <w:sz w:val="24"/>
          <w:szCs w:val="24"/>
          <w:lang w:eastAsia="es-ES"/>
        </w:rPr>
        <w:t xml:space="preserve"> interno de la mencionada convención.</w:t>
      </w:r>
    </w:p>
    <w:p w:rsidR="009017E7" w:rsidRPr="00466286" w:rsidRDefault="009017E7" w:rsidP="00466286">
      <w:pPr>
        <w:tabs>
          <w:tab w:val="left" w:pos="600"/>
          <w:tab w:val="left" w:pos="993"/>
        </w:tabs>
        <w:spacing w:after="0" w:line="360" w:lineRule="auto"/>
        <w:ind w:right="77" w:firstLine="709"/>
        <w:jc w:val="both"/>
        <w:rPr>
          <w:rFonts w:ascii="Arial" w:eastAsia="Calibri" w:hAnsi="Arial" w:cs="Arial"/>
          <w:i/>
          <w:sz w:val="20"/>
          <w:szCs w:val="24"/>
          <w:lang w:eastAsia="es-ES"/>
        </w:rPr>
      </w:pPr>
    </w:p>
    <w:p w:rsidR="007E380F" w:rsidRPr="00C850D3" w:rsidRDefault="00686FE3" w:rsidP="00F4292D">
      <w:pPr>
        <w:pStyle w:val="Prrafodelista"/>
        <w:numPr>
          <w:ilvl w:val="0"/>
          <w:numId w:val="10"/>
        </w:numPr>
        <w:tabs>
          <w:tab w:val="left" w:pos="600"/>
          <w:tab w:val="left" w:pos="993"/>
        </w:tabs>
        <w:spacing w:after="0" w:line="360" w:lineRule="auto"/>
        <w:ind w:left="0" w:right="79" w:firstLine="709"/>
        <w:jc w:val="both"/>
        <w:rPr>
          <w:rFonts w:ascii="Arial" w:eastAsia="Calibri" w:hAnsi="Arial" w:cs="Arial"/>
          <w:sz w:val="24"/>
          <w:szCs w:val="24"/>
          <w:lang w:eastAsia="es-ES"/>
        </w:rPr>
      </w:pPr>
      <w:r w:rsidRPr="00C850D3">
        <w:rPr>
          <w:rFonts w:ascii="Arial" w:eastAsia="Calibri" w:hAnsi="Arial" w:cs="Arial"/>
          <w:b/>
          <w:sz w:val="24"/>
          <w:szCs w:val="24"/>
          <w:lang w:eastAsia="es-ES"/>
        </w:rPr>
        <w:t>Mecanis</w:t>
      </w:r>
      <w:r w:rsidR="005D41E0">
        <w:rPr>
          <w:rFonts w:ascii="Arial" w:eastAsia="Calibri" w:hAnsi="Arial" w:cs="Arial"/>
          <w:b/>
          <w:sz w:val="24"/>
          <w:szCs w:val="24"/>
          <w:lang w:eastAsia="es-ES"/>
        </w:rPr>
        <w:t>mos de resolución de conflictos</w:t>
      </w:r>
      <w:r w:rsidRPr="00C850D3">
        <w:rPr>
          <w:rFonts w:ascii="Arial" w:eastAsia="Calibri" w:hAnsi="Arial" w:cs="Arial"/>
          <w:b/>
          <w:sz w:val="24"/>
          <w:szCs w:val="24"/>
          <w:lang w:eastAsia="es-ES"/>
        </w:rPr>
        <w:t xml:space="preserve"> con el PNUD. </w:t>
      </w:r>
    </w:p>
    <w:p w:rsidR="00F4292D" w:rsidRDefault="00F4292D" w:rsidP="00F4292D">
      <w:pPr>
        <w:pStyle w:val="Prrafodelista"/>
        <w:tabs>
          <w:tab w:val="left" w:pos="600"/>
          <w:tab w:val="left" w:pos="993"/>
        </w:tabs>
        <w:spacing w:after="0" w:line="360" w:lineRule="auto"/>
        <w:ind w:left="709" w:right="79"/>
        <w:jc w:val="both"/>
        <w:rPr>
          <w:rFonts w:ascii="Arial" w:eastAsia="Calibri" w:hAnsi="Arial" w:cs="Arial"/>
          <w:sz w:val="8"/>
          <w:szCs w:val="24"/>
          <w:lang w:eastAsia="es-ES"/>
        </w:rPr>
      </w:pPr>
    </w:p>
    <w:p w:rsidR="009136DF" w:rsidRPr="00995036" w:rsidRDefault="009136DF" w:rsidP="00F4292D">
      <w:pPr>
        <w:pStyle w:val="Prrafodelista"/>
        <w:tabs>
          <w:tab w:val="left" w:pos="600"/>
          <w:tab w:val="left" w:pos="993"/>
        </w:tabs>
        <w:spacing w:after="0" w:line="360" w:lineRule="auto"/>
        <w:ind w:left="709" w:right="79"/>
        <w:jc w:val="both"/>
        <w:rPr>
          <w:rFonts w:ascii="Arial" w:eastAsia="Calibri" w:hAnsi="Arial" w:cs="Arial"/>
          <w:sz w:val="8"/>
          <w:szCs w:val="24"/>
          <w:lang w:eastAsia="es-ES"/>
        </w:rPr>
      </w:pPr>
    </w:p>
    <w:p w:rsidR="00CD39A0" w:rsidRDefault="000E3D0F" w:rsidP="00F4292D">
      <w:pPr>
        <w:tabs>
          <w:tab w:val="left" w:pos="600"/>
          <w:tab w:val="left" w:pos="993"/>
        </w:tabs>
        <w:spacing w:after="0" w:line="360" w:lineRule="auto"/>
        <w:ind w:right="79" w:firstLine="709"/>
        <w:jc w:val="both"/>
        <w:rPr>
          <w:rFonts w:ascii="Arial" w:eastAsia="Calibri" w:hAnsi="Arial" w:cs="Arial"/>
          <w:sz w:val="20"/>
          <w:szCs w:val="24"/>
          <w:lang w:eastAsia="es-ES"/>
        </w:rPr>
      </w:pPr>
      <w:r w:rsidRPr="00C850D3">
        <w:rPr>
          <w:rFonts w:ascii="Arial" w:eastAsia="Calibri" w:hAnsi="Arial" w:cs="Arial"/>
          <w:sz w:val="24"/>
          <w:szCs w:val="24"/>
          <w:lang w:eastAsia="es-ES"/>
        </w:rPr>
        <w:t>Dispone el artículo</w:t>
      </w:r>
      <w:r>
        <w:rPr>
          <w:rFonts w:ascii="Arial" w:eastAsia="Calibri" w:hAnsi="Arial" w:cs="Arial"/>
          <w:sz w:val="24"/>
          <w:szCs w:val="24"/>
          <w:lang w:eastAsia="es-ES"/>
        </w:rPr>
        <w:t xml:space="preserve"> XII del acuerdo entre Colombia y dicho programa, respecto de la solución de controversias, que </w:t>
      </w:r>
      <w:r>
        <w:rPr>
          <w:rFonts w:ascii="Arial" w:eastAsia="Calibri" w:hAnsi="Arial" w:cs="Arial"/>
          <w:i/>
          <w:sz w:val="20"/>
          <w:szCs w:val="24"/>
          <w:lang w:eastAsia="es-ES"/>
        </w:rPr>
        <w:t xml:space="preserve">«toda controversia entre el PNUD y el Gobierno que surja a causa del presente convenio, o en relación con él, y que no sea resuelta por </w:t>
      </w:r>
      <w:r>
        <w:rPr>
          <w:rFonts w:ascii="Arial" w:eastAsia="Calibri" w:hAnsi="Arial" w:cs="Arial"/>
          <w:i/>
          <w:sz w:val="20"/>
          <w:szCs w:val="24"/>
          <w:lang w:eastAsia="es-ES"/>
        </w:rPr>
        <w:lastRenderedPageBreak/>
        <w:t xml:space="preserve">medio de negociaciones, o por otro medio de solución aceptado de común acuerdo se someterá a arbitraje a solicitud de cualquiera de las </w:t>
      </w:r>
      <w:r w:rsidR="00C46031">
        <w:rPr>
          <w:rFonts w:ascii="Arial" w:eastAsia="Calibri" w:hAnsi="Arial" w:cs="Arial"/>
          <w:i/>
          <w:sz w:val="20"/>
          <w:szCs w:val="24"/>
          <w:lang w:eastAsia="es-ES"/>
        </w:rPr>
        <w:t>partes</w:t>
      </w:r>
      <w:r>
        <w:rPr>
          <w:rFonts w:ascii="Arial" w:eastAsia="Calibri" w:hAnsi="Arial" w:cs="Arial"/>
          <w:i/>
          <w:sz w:val="20"/>
          <w:szCs w:val="24"/>
          <w:lang w:eastAsia="es-ES"/>
        </w:rPr>
        <w:t>»</w:t>
      </w:r>
      <w:r w:rsidR="00C63E4D">
        <w:rPr>
          <w:rFonts w:ascii="Arial" w:eastAsia="Calibri" w:hAnsi="Arial" w:cs="Arial"/>
          <w:sz w:val="20"/>
          <w:szCs w:val="24"/>
          <w:lang w:eastAsia="es-ES"/>
        </w:rPr>
        <w:t xml:space="preserve">. </w:t>
      </w:r>
    </w:p>
    <w:p w:rsidR="00686FE3" w:rsidRPr="00995036" w:rsidRDefault="00686FE3" w:rsidP="00F03998">
      <w:pPr>
        <w:tabs>
          <w:tab w:val="left" w:pos="600"/>
          <w:tab w:val="left" w:pos="993"/>
        </w:tabs>
        <w:spacing w:after="0" w:line="360" w:lineRule="auto"/>
        <w:ind w:right="77" w:firstLine="709"/>
        <w:jc w:val="both"/>
        <w:rPr>
          <w:rFonts w:ascii="Arial" w:eastAsia="Calibri" w:hAnsi="Arial" w:cs="Arial"/>
          <w:sz w:val="20"/>
          <w:szCs w:val="24"/>
          <w:lang w:eastAsia="es-ES"/>
        </w:rPr>
      </w:pPr>
    </w:p>
    <w:p w:rsidR="00AC2EF4" w:rsidRPr="00C850D3" w:rsidRDefault="005A5908" w:rsidP="00691834">
      <w:pPr>
        <w:tabs>
          <w:tab w:val="left" w:pos="600"/>
          <w:tab w:val="left" w:pos="993"/>
        </w:tabs>
        <w:spacing w:after="0" w:line="360" w:lineRule="auto"/>
        <w:ind w:right="77" w:firstLine="709"/>
        <w:jc w:val="both"/>
        <w:rPr>
          <w:rFonts w:ascii="Arial" w:eastAsia="Calibri" w:hAnsi="Arial" w:cs="Arial"/>
          <w:sz w:val="24"/>
          <w:szCs w:val="24"/>
          <w:lang w:eastAsia="es-ES"/>
        </w:rPr>
      </w:pPr>
      <w:r w:rsidRPr="00C850D3">
        <w:rPr>
          <w:rFonts w:ascii="Arial" w:eastAsia="Calibri" w:hAnsi="Arial" w:cs="Arial"/>
          <w:sz w:val="24"/>
          <w:szCs w:val="24"/>
          <w:lang w:eastAsia="es-ES"/>
        </w:rPr>
        <w:t>Si bien, a</w:t>
      </w:r>
      <w:r w:rsidR="00691834" w:rsidRPr="00C850D3">
        <w:rPr>
          <w:rFonts w:ascii="Arial" w:eastAsia="Calibri" w:hAnsi="Arial" w:cs="Arial"/>
          <w:sz w:val="24"/>
          <w:szCs w:val="24"/>
          <w:lang w:eastAsia="es-ES"/>
        </w:rPr>
        <w:t xml:space="preserve"> partir de una lectura desprevenida de la disposición anterior, podría inferirse</w:t>
      </w:r>
      <w:r w:rsidRPr="00C850D3">
        <w:rPr>
          <w:rFonts w:ascii="Arial" w:eastAsia="Calibri" w:hAnsi="Arial" w:cs="Arial"/>
          <w:sz w:val="24"/>
          <w:szCs w:val="24"/>
          <w:lang w:eastAsia="es-ES"/>
        </w:rPr>
        <w:t>, de entrada, que dicho acuerdo en verdad</w:t>
      </w:r>
      <w:r w:rsidR="00691834" w:rsidRPr="00C850D3">
        <w:rPr>
          <w:rFonts w:ascii="Arial" w:eastAsia="Calibri" w:hAnsi="Arial" w:cs="Arial"/>
          <w:sz w:val="24"/>
          <w:szCs w:val="24"/>
          <w:lang w:eastAsia="es-ES"/>
        </w:rPr>
        <w:t xml:space="preserve"> </w:t>
      </w:r>
      <w:r w:rsidR="00AC2EF4" w:rsidRPr="00C850D3">
        <w:rPr>
          <w:rFonts w:ascii="Arial" w:eastAsia="Calibri" w:hAnsi="Arial" w:cs="Arial"/>
          <w:sz w:val="24"/>
          <w:szCs w:val="24"/>
          <w:lang w:eastAsia="es-ES"/>
        </w:rPr>
        <w:t>no contempla formas concretas de solución de controversia entre quien presta sus servicios a dicho programa y el</w:t>
      </w:r>
      <w:r w:rsidR="00AC2EF4">
        <w:rPr>
          <w:rFonts w:ascii="Arial" w:eastAsia="Calibri" w:hAnsi="Arial" w:cs="Arial"/>
          <w:sz w:val="24"/>
          <w:szCs w:val="24"/>
          <w:lang w:eastAsia="es-ES"/>
        </w:rPr>
        <w:t xml:space="preserve"> programa en sí mismo, </w:t>
      </w:r>
      <w:r w:rsidR="0021663A">
        <w:rPr>
          <w:rFonts w:ascii="Arial" w:eastAsia="Calibri" w:hAnsi="Arial" w:cs="Arial"/>
          <w:sz w:val="24"/>
          <w:szCs w:val="24"/>
          <w:lang w:eastAsia="es-ES"/>
        </w:rPr>
        <w:t xml:space="preserve">dado que </w:t>
      </w:r>
      <w:r w:rsidR="00AC2EF4">
        <w:rPr>
          <w:rFonts w:ascii="Arial" w:eastAsia="Calibri" w:hAnsi="Arial" w:cs="Arial"/>
          <w:sz w:val="24"/>
          <w:szCs w:val="24"/>
          <w:lang w:eastAsia="es-ES"/>
        </w:rPr>
        <w:t xml:space="preserve">únicamente se centra a establecer, de manera poco concreta, y que se presta para múltiples interpretaciones, que las controversias que quedaron cubiertas únicamente tienen que ver con aquellas que se presenten </w:t>
      </w:r>
      <w:r w:rsidR="00691834">
        <w:rPr>
          <w:rFonts w:ascii="Arial" w:eastAsia="Calibri" w:hAnsi="Arial" w:cs="Arial"/>
          <w:sz w:val="24"/>
          <w:szCs w:val="24"/>
          <w:lang w:eastAsia="es-ES"/>
        </w:rPr>
        <w:t xml:space="preserve">entre el Estado y el programa, </w:t>
      </w:r>
      <w:r w:rsidR="00F426FE">
        <w:rPr>
          <w:rFonts w:ascii="Arial" w:eastAsia="Calibri" w:hAnsi="Arial" w:cs="Arial"/>
          <w:sz w:val="24"/>
          <w:szCs w:val="24"/>
          <w:lang w:eastAsia="es-ES"/>
        </w:rPr>
        <w:t>por lo que</w:t>
      </w:r>
      <w:r w:rsidR="00691834">
        <w:rPr>
          <w:rFonts w:ascii="Arial" w:eastAsia="Calibri" w:hAnsi="Arial" w:cs="Arial"/>
          <w:sz w:val="24"/>
          <w:szCs w:val="24"/>
          <w:lang w:eastAsia="es-ES"/>
        </w:rPr>
        <w:t xml:space="preserve"> podría ser considerada una primera razón para que la justicia ordinaria laboral nacional </w:t>
      </w:r>
      <w:r w:rsidR="00691834" w:rsidRPr="00C850D3">
        <w:rPr>
          <w:rFonts w:ascii="Arial" w:eastAsia="Calibri" w:hAnsi="Arial" w:cs="Arial"/>
          <w:sz w:val="24"/>
          <w:szCs w:val="24"/>
          <w:lang w:eastAsia="es-ES"/>
        </w:rPr>
        <w:t>pueda entrar a resolver la controversia aqu</w:t>
      </w:r>
      <w:r w:rsidR="00F426FE" w:rsidRPr="00C850D3">
        <w:rPr>
          <w:rFonts w:ascii="Arial" w:eastAsia="Calibri" w:hAnsi="Arial" w:cs="Arial"/>
          <w:sz w:val="24"/>
          <w:szCs w:val="24"/>
          <w:lang w:eastAsia="es-ES"/>
        </w:rPr>
        <w:t>í planteada, no puede echarse de menos que allí también quiso incluirse, cualquier tipo de controversia que se suscitara entre quienes prestaran servicios al pro</w:t>
      </w:r>
      <w:r w:rsidR="0021663A" w:rsidRPr="00C850D3">
        <w:rPr>
          <w:rFonts w:ascii="Arial" w:eastAsia="Calibri" w:hAnsi="Arial" w:cs="Arial"/>
          <w:sz w:val="24"/>
          <w:szCs w:val="24"/>
          <w:lang w:eastAsia="es-ES"/>
        </w:rPr>
        <w:t>grama y el programa en sí mismo</w:t>
      </w:r>
      <w:r w:rsidR="00F426FE" w:rsidRPr="00C850D3">
        <w:rPr>
          <w:rFonts w:ascii="Arial" w:eastAsia="Calibri" w:hAnsi="Arial" w:cs="Arial"/>
          <w:sz w:val="24"/>
          <w:szCs w:val="24"/>
          <w:lang w:eastAsia="es-ES"/>
        </w:rPr>
        <w:t xml:space="preserve"> considerado, </w:t>
      </w:r>
      <w:r w:rsidR="00F426FE" w:rsidRPr="00C850D3">
        <w:rPr>
          <w:rFonts w:ascii="Arial" w:eastAsia="Calibri" w:hAnsi="Arial" w:cs="Arial"/>
          <w:b/>
          <w:sz w:val="24"/>
          <w:szCs w:val="24"/>
          <w:lang w:eastAsia="es-ES"/>
        </w:rPr>
        <w:t>por lo que deben entenderse incorporados todas aquellas disputas que estén relacionadas con la que es objeto de la presente demanda.</w:t>
      </w:r>
      <w:r w:rsidR="00F426FE" w:rsidRPr="00C850D3">
        <w:rPr>
          <w:rFonts w:ascii="Arial" w:eastAsia="Calibri" w:hAnsi="Arial" w:cs="Arial"/>
          <w:sz w:val="24"/>
          <w:szCs w:val="24"/>
          <w:lang w:eastAsia="es-ES"/>
        </w:rPr>
        <w:t xml:space="preserve"> </w:t>
      </w:r>
    </w:p>
    <w:p w:rsidR="00531A67" w:rsidRPr="00995036" w:rsidRDefault="00531A67" w:rsidP="00691834">
      <w:pPr>
        <w:tabs>
          <w:tab w:val="left" w:pos="600"/>
          <w:tab w:val="left" w:pos="993"/>
        </w:tabs>
        <w:spacing w:after="0" w:line="360" w:lineRule="auto"/>
        <w:ind w:right="77" w:firstLine="709"/>
        <w:jc w:val="both"/>
        <w:rPr>
          <w:rFonts w:ascii="Arial" w:eastAsia="Calibri" w:hAnsi="Arial" w:cs="Arial"/>
          <w:sz w:val="20"/>
          <w:szCs w:val="24"/>
          <w:lang w:eastAsia="es-ES"/>
        </w:rPr>
      </w:pPr>
    </w:p>
    <w:p w:rsidR="00531A67" w:rsidRDefault="00531A67" w:rsidP="00531A67">
      <w:pPr>
        <w:tabs>
          <w:tab w:val="left" w:pos="600"/>
          <w:tab w:val="left" w:pos="993"/>
        </w:tabs>
        <w:spacing w:after="0" w:line="360" w:lineRule="auto"/>
        <w:ind w:right="77" w:firstLine="709"/>
        <w:jc w:val="both"/>
        <w:rPr>
          <w:rFonts w:ascii="Arial" w:eastAsia="Calibri" w:hAnsi="Arial" w:cs="Arial"/>
          <w:sz w:val="24"/>
          <w:szCs w:val="24"/>
          <w:lang w:eastAsia="es-ES"/>
        </w:rPr>
      </w:pPr>
      <w:r w:rsidRPr="00C850D3">
        <w:rPr>
          <w:rFonts w:ascii="Arial" w:eastAsia="Calibri" w:hAnsi="Arial" w:cs="Arial"/>
          <w:sz w:val="24"/>
          <w:szCs w:val="24"/>
          <w:lang w:eastAsia="es-ES"/>
        </w:rPr>
        <w:t>Como formas de dar solución a las controversias, el acuerdo estableció no solo el arbitraje, sino las negociaciones generales, y cualquier otro medio de solución que sea aceptado</w:t>
      </w:r>
      <w:r>
        <w:rPr>
          <w:rFonts w:ascii="Arial" w:eastAsia="Calibri" w:hAnsi="Arial" w:cs="Arial"/>
          <w:sz w:val="24"/>
          <w:szCs w:val="24"/>
          <w:lang w:eastAsia="es-ES"/>
        </w:rPr>
        <w:t xml:space="preserve"> de común acuerdo entre las partes, sin restringir tal posibilidad a un solo mecanismo de solución de conflictos, o por</w:t>
      </w:r>
      <w:r w:rsidR="0021663A">
        <w:rPr>
          <w:rFonts w:ascii="Arial" w:eastAsia="Calibri" w:hAnsi="Arial" w:cs="Arial"/>
          <w:sz w:val="24"/>
          <w:szCs w:val="24"/>
          <w:lang w:eastAsia="es-ES"/>
        </w:rPr>
        <w:t xml:space="preserve"> lo menos,</w:t>
      </w:r>
      <w:r>
        <w:rPr>
          <w:rFonts w:ascii="Arial" w:eastAsia="Calibri" w:hAnsi="Arial" w:cs="Arial"/>
          <w:sz w:val="24"/>
          <w:szCs w:val="24"/>
          <w:lang w:eastAsia="es-ES"/>
        </w:rPr>
        <w:t xml:space="preserve"> eso es lo que entiende esta Sala al observar la siguiente expresión </w:t>
      </w:r>
      <w:r w:rsidR="00B512B4">
        <w:rPr>
          <w:rFonts w:ascii="Arial" w:eastAsia="Calibri" w:hAnsi="Arial" w:cs="Arial"/>
          <w:i/>
          <w:sz w:val="20"/>
          <w:szCs w:val="24"/>
          <w:lang w:eastAsia="es-ES"/>
        </w:rPr>
        <w:t>«</w:t>
      </w:r>
      <w:r>
        <w:rPr>
          <w:rFonts w:ascii="Arial" w:eastAsia="Calibri" w:hAnsi="Arial" w:cs="Arial"/>
          <w:i/>
          <w:sz w:val="20"/>
          <w:szCs w:val="24"/>
          <w:lang w:eastAsia="es-ES"/>
        </w:rPr>
        <w:t>y que no sea resuelta por medio de negociaciones, o por otro medio de solución aceptado de común acuerdo se someterá a arbitraje a solicitud de cualquiera de las partes»</w:t>
      </w:r>
      <w:r>
        <w:rPr>
          <w:rFonts w:ascii="Arial" w:eastAsia="Calibri" w:hAnsi="Arial" w:cs="Arial"/>
          <w:sz w:val="20"/>
          <w:szCs w:val="24"/>
          <w:lang w:eastAsia="es-ES"/>
        </w:rPr>
        <w:t xml:space="preserve">. </w:t>
      </w:r>
      <w:r>
        <w:rPr>
          <w:rFonts w:ascii="Arial" w:eastAsia="Calibri" w:hAnsi="Arial" w:cs="Arial"/>
          <w:sz w:val="24"/>
          <w:szCs w:val="24"/>
          <w:lang w:eastAsia="es-ES"/>
        </w:rPr>
        <w:t xml:space="preserve">De </w:t>
      </w:r>
      <w:r w:rsidR="00B512B4">
        <w:rPr>
          <w:rFonts w:ascii="Arial" w:eastAsia="Calibri" w:hAnsi="Arial" w:cs="Arial"/>
          <w:sz w:val="24"/>
          <w:szCs w:val="24"/>
          <w:lang w:eastAsia="es-ES"/>
        </w:rPr>
        <w:t>suerte</w:t>
      </w:r>
      <w:r>
        <w:rPr>
          <w:rFonts w:ascii="Arial" w:eastAsia="Calibri" w:hAnsi="Arial" w:cs="Arial"/>
          <w:sz w:val="24"/>
          <w:szCs w:val="24"/>
          <w:lang w:eastAsia="es-ES"/>
        </w:rPr>
        <w:t xml:space="preserve"> que, al dejarse </w:t>
      </w:r>
      <w:r w:rsidRPr="00C850D3">
        <w:rPr>
          <w:rFonts w:ascii="Arial" w:eastAsia="Calibri" w:hAnsi="Arial" w:cs="Arial"/>
          <w:sz w:val="24"/>
          <w:szCs w:val="24"/>
          <w:lang w:eastAsia="es-ES"/>
        </w:rPr>
        <w:t>abierta la posibilidad de las diferentes formas de arreglar disputas entre los actores que aquí se involucran, la única alternativa que se tendría que considerar sería el irrefutable hecho de que aquellos</w:t>
      </w:r>
      <w:r w:rsidR="00B512B4" w:rsidRPr="00C850D3">
        <w:rPr>
          <w:rFonts w:ascii="Arial" w:eastAsia="Calibri" w:hAnsi="Arial" w:cs="Arial"/>
          <w:sz w:val="24"/>
          <w:szCs w:val="24"/>
          <w:lang w:eastAsia="es-ES"/>
        </w:rPr>
        <w:t xml:space="preserve"> no sean considerados efectivos</w:t>
      </w:r>
      <w:r w:rsidRPr="00C850D3">
        <w:rPr>
          <w:rFonts w:ascii="Arial" w:eastAsia="Calibri" w:hAnsi="Arial" w:cs="Arial"/>
          <w:sz w:val="24"/>
          <w:szCs w:val="24"/>
          <w:lang w:eastAsia="es-ES"/>
        </w:rPr>
        <w:t xml:space="preserve">, o idóneos para resolver una controversia de carácter laboral. </w:t>
      </w:r>
    </w:p>
    <w:p w:rsidR="00EF0674" w:rsidRPr="00C850D3" w:rsidRDefault="00531A67" w:rsidP="00EF0674">
      <w:pPr>
        <w:tabs>
          <w:tab w:val="left" w:pos="600"/>
          <w:tab w:val="left" w:pos="993"/>
        </w:tabs>
        <w:spacing w:after="0" w:line="360" w:lineRule="auto"/>
        <w:ind w:right="77" w:firstLine="709"/>
        <w:jc w:val="both"/>
        <w:rPr>
          <w:rFonts w:ascii="Arial" w:eastAsia="Calibri" w:hAnsi="Arial" w:cs="Arial"/>
          <w:b/>
          <w:sz w:val="24"/>
          <w:szCs w:val="24"/>
          <w:lang w:eastAsia="es-ES"/>
        </w:rPr>
      </w:pPr>
      <w:r w:rsidRPr="00C850D3">
        <w:rPr>
          <w:rFonts w:ascii="Arial" w:eastAsia="Calibri" w:hAnsi="Arial" w:cs="Arial"/>
          <w:sz w:val="24"/>
          <w:szCs w:val="24"/>
          <w:lang w:eastAsia="es-ES"/>
        </w:rPr>
        <w:t>Para esta Sala resulta claro que la justicia estatal formal que todos conocemos no siempre es efectiva, y es aquí en donde acompaña lo expresado por la Corte Constitucional en sentencia C-1195 de 2001</w:t>
      </w:r>
      <w:r w:rsidR="005B3F11" w:rsidRPr="00C850D3">
        <w:rPr>
          <w:rFonts w:ascii="Arial" w:eastAsia="Calibri" w:hAnsi="Arial" w:cs="Arial"/>
          <w:sz w:val="24"/>
          <w:szCs w:val="24"/>
          <w:lang w:eastAsia="es-ES"/>
        </w:rPr>
        <w:t xml:space="preserve">, en donde además se indicó que los mecanismos alternativos de solución de conflictos, como </w:t>
      </w:r>
      <w:r w:rsidR="00767E3D" w:rsidRPr="00C850D3">
        <w:rPr>
          <w:rFonts w:ascii="Arial" w:eastAsia="Calibri" w:hAnsi="Arial" w:cs="Arial"/>
          <w:sz w:val="24"/>
          <w:szCs w:val="24"/>
          <w:lang w:eastAsia="es-ES"/>
        </w:rPr>
        <w:t xml:space="preserve">son </w:t>
      </w:r>
      <w:r w:rsidR="005B3F11" w:rsidRPr="00C850D3">
        <w:rPr>
          <w:rFonts w:ascii="Arial" w:eastAsia="Calibri" w:hAnsi="Arial" w:cs="Arial"/>
          <w:sz w:val="24"/>
          <w:szCs w:val="24"/>
          <w:lang w:eastAsia="es-ES"/>
        </w:rPr>
        <w:t xml:space="preserve">los </w:t>
      </w:r>
      <w:r w:rsidR="005B3F11" w:rsidRPr="00C850D3">
        <w:rPr>
          <w:rFonts w:ascii="Arial" w:eastAsia="Calibri" w:hAnsi="Arial" w:cs="Arial"/>
          <w:sz w:val="24"/>
          <w:szCs w:val="24"/>
          <w:lang w:eastAsia="es-ES"/>
        </w:rPr>
        <w:lastRenderedPageBreak/>
        <w:t>que se acabaron de mencionar, de ninguna manera pueden representar una desconfianza hacia la justicia formal estatal, sino más bien</w:t>
      </w:r>
      <w:r w:rsidR="00767E3D" w:rsidRPr="00C850D3">
        <w:rPr>
          <w:rFonts w:ascii="Arial" w:eastAsia="Calibri" w:hAnsi="Arial" w:cs="Arial"/>
          <w:sz w:val="24"/>
          <w:szCs w:val="24"/>
          <w:lang w:eastAsia="es-ES"/>
        </w:rPr>
        <w:t>,</w:t>
      </w:r>
      <w:r w:rsidR="005B3F11" w:rsidRPr="00C850D3">
        <w:rPr>
          <w:rFonts w:ascii="Arial" w:eastAsia="Calibri" w:hAnsi="Arial" w:cs="Arial"/>
          <w:sz w:val="24"/>
          <w:szCs w:val="24"/>
          <w:lang w:eastAsia="es-ES"/>
        </w:rPr>
        <w:t xml:space="preserve"> un reconocimiento de que procedimientos menos formales y alternativos de justicia </w:t>
      </w:r>
      <w:proofErr w:type="spellStart"/>
      <w:r w:rsidR="005B3F11" w:rsidRPr="00C850D3">
        <w:rPr>
          <w:rFonts w:ascii="Arial" w:eastAsia="Calibri" w:hAnsi="Arial" w:cs="Arial"/>
          <w:sz w:val="24"/>
          <w:szCs w:val="24"/>
          <w:lang w:eastAsia="es-ES"/>
        </w:rPr>
        <w:t>autocomposit</w:t>
      </w:r>
      <w:r w:rsidR="002406A0" w:rsidRPr="00C850D3">
        <w:rPr>
          <w:rFonts w:ascii="Arial" w:eastAsia="Calibri" w:hAnsi="Arial" w:cs="Arial"/>
          <w:sz w:val="24"/>
          <w:szCs w:val="24"/>
          <w:lang w:eastAsia="es-ES"/>
        </w:rPr>
        <w:t>iva</w:t>
      </w:r>
      <w:proofErr w:type="spellEnd"/>
      <w:r w:rsidR="005B3F11" w:rsidRPr="00C850D3">
        <w:rPr>
          <w:rFonts w:ascii="Arial" w:eastAsia="Calibri" w:hAnsi="Arial" w:cs="Arial"/>
          <w:sz w:val="24"/>
          <w:szCs w:val="24"/>
          <w:lang w:eastAsia="es-ES"/>
        </w:rPr>
        <w:t xml:space="preserve"> que, en todo caso, no dejan de ser </w:t>
      </w:r>
      <w:r w:rsidR="005B3F11" w:rsidRPr="00C850D3">
        <w:rPr>
          <w:rFonts w:ascii="Arial" w:eastAsia="Calibri" w:hAnsi="Arial" w:cs="Arial"/>
          <w:b/>
          <w:sz w:val="24"/>
          <w:szCs w:val="24"/>
          <w:lang w:eastAsia="es-ES"/>
        </w:rPr>
        <w:t>manifestaciones de justicia</w:t>
      </w:r>
      <w:r w:rsidR="005B3F11" w:rsidRPr="00C850D3">
        <w:rPr>
          <w:rFonts w:ascii="Arial" w:eastAsia="Calibri" w:hAnsi="Arial" w:cs="Arial"/>
          <w:sz w:val="24"/>
          <w:szCs w:val="24"/>
          <w:lang w:eastAsia="es-ES"/>
        </w:rPr>
        <w:t>, complementan las opciones a las cuales pueden acudir las perso</w:t>
      </w:r>
      <w:r w:rsidR="002406A0" w:rsidRPr="00C850D3">
        <w:rPr>
          <w:rFonts w:ascii="Arial" w:eastAsia="Calibri" w:hAnsi="Arial" w:cs="Arial"/>
          <w:sz w:val="24"/>
          <w:szCs w:val="24"/>
          <w:lang w:eastAsia="es-ES"/>
        </w:rPr>
        <w:t xml:space="preserve">nas para resolver sus disputas, y que mecanismos como la </w:t>
      </w:r>
      <w:r w:rsidR="002406A0" w:rsidRPr="00C850D3">
        <w:rPr>
          <w:rFonts w:ascii="Arial" w:eastAsia="Calibri" w:hAnsi="Arial" w:cs="Arial"/>
          <w:b/>
          <w:sz w:val="24"/>
          <w:szCs w:val="24"/>
          <w:lang w:eastAsia="es-ES"/>
        </w:rPr>
        <w:t>mediación</w:t>
      </w:r>
      <w:r w:rsidR="002406A0" w:rsidRPr="00C850D3">
        <w:rPr>
          <w:rFonts w:ascii="Arial" w:eastAsia="Calibri" w:hAnsi="Arial" w:cs="Arial"/>
          <w:sz w:val="24"/>
          <w:szCs w:val="24"/>
          <w:lang w:eastAsia="es-ES"/>
        </w:rPr>
        <w:t xml:space="preserve"> y la </w:t>
      </w:r>
      <w:r w:rsidR="002406A0" w:rsidRPr="00C850D3">
        <w:rPr>
          <w:rFonts w:ascii="Arial" w:eastAsia="Calibri" w:hAnsi="Arial" w:cs="Arial"/>
          <w:b/>
          <w:sz w:val="24"/>
          <w:szCs w:val="24"/>
          <w:lang w:eastAsia="es-ES"/>
        </w:rPr>
        <w:t>conciliación</w:t>
      </w:r>
      <w:r w:rsidR="002406A0" w:rsidRPr="00C850D3">
        <w:rPr>
          <w:rFonts w:ascii="Arial" w:eastAsia="Calibri" w:hAnsi="Arial" w:cs="Arial"/>
          <w:sz w:val="24"/>
          <w:szCs w:val="24"/>
          <w:lang w:eastAsia="es-ES"/>
        </w:rPr>
        <w:t>, más que medios para la descongestión judicial, son verdaderos instrumentos que garantizan el acceso efectivo a la justicia, y promueven la resolución pacífica de los conflictos.</w:t>
      </w:r>
      <w:r w:rsidR="002406A0" w:rsidRPr="00C850D3">
        <w:rPr>
          <w:rFonts w:ascii="Arial" w:eastAsia="Calibri" w:hAnsi="Arial" w:cs="Arial"/>
          <w:b/>
          <w:sz w:val="24"/>
          <w:szCs w:val="24"/>
          <w:lang w:eastAsia="es-ES"/>
        </w:rPr>
        <w:t xml:space="preserve"> </w:t>
      </w:r>
    </w:p>
    <w:p w:rsidR="00EF0674" w:rsidRPr="00995036" w:rsidRDefault="00EF0674" w:rsidP="00EF0674">
      <w:pPr>
        <w:tabs>
          <w:tab w:val="left" w:pos="600"/>
          <w:tab w:val="left" w:pos="993"/>
        </w:tabs>
        <w:spacing w:after="0" w:line="360" w:lineRule="auto"/>
        <w:ind w:right="77" w:firstLine="709"/>
        <w:jc w:val="both"/>
        <w:rPr>
          <w:rFonts w:ascii="Arial" w:eastAsia="Calibri" w:hAnsi="Arial" w:cs="Arial"/>
          <w:b/>
          <w:sz w:val="20"/>
          <w:szCs w:val="24"/>
          <w:lang w:eastAsia="es-ES"/>
        </w:rPr>
      </w:pPr>
    </w:p>
    <w:p w:rsidR="00C62C00" w:rsidRPr="00C850D3" w:rsidRDefault="00767E3D" w:rsidP="005D41E0">
      <w:pPr>
        <w:tabs>
          <w:tab w:val="left" w:pos="600"/>
          <w:tab w:val="left" w:pos="993"/>
        </w:tabs>
        <w:spacing w:after="0" w:line="360" w:lineRule="auto"/>
        <w:ind w:right="77" w:firstLine="709"/>
        <w:jc w:val="both"/>
        <w:rPr>
          <w:rFonts w:ascii="Arial" w:eastAsia="Calibri" w:hAnsi="Arial" w:cs="Arial"/>
          <w:sz w:val="24"/>
          <w:szCs w:val="24"/>
          <w:lang w:eastAsia="es-ES"/>
        </w:rPr>
      </w:pPr>
      <w:r w:rsidRPr="00C850D3">
        <w:rPr>
          <w:rFonts w:ascii="Arial" w:eastAsia="Calibri" w:hAnsi="Arial" w:cs="Arial"/>
          <w:sz w:val="24"/>
          <w:szCs w:val="24"/>
          <w:lang w:eastAsia="es-ES"/>
        </w:rPr>
        <w:t>Si bien</w:t>
      </w:r>
      <w:r w:rsidR="00EF0674" w:rsidRPr="00C850D3">
        <w:rPr>
          <w:rFonts w:ascii="Arial" w:eastAsia="Calibri" w:hAnsi="Arial" w:cs="Arial"/>
          <w:sz w:val="24"/>
          <w:szCs w:val="24"/>
          <w:lang w:eastAsia="es-ES"/>
        </w:rPr>
        <w:t xml:space="preserve"> cuando la jurisprudencia ordinaria laboral precisó su criterio frente al tema, relacionó algunos ejemplos de mecanismos efectivos de justicia, para lo cual expresó que muestra de ello era el establecimiento de </w:t>
      </w:r>
      <w:r w:rsidR="00EF0674" w:rsidRPr="00C850D3">
        <w:rPr>
          <w:rFonts w:ascii="Arial" w:eastAsia="Calibri" w:hAnsi="Arial" w:cs="Arial"/>
          <w:i/>
          <w:sz w:val="24"/>
          <w:szCs w:val="24"/>
          <w:lang w:eastAsia="es-ES"/>
        </w:rPr>
        <w:t>tribunales administrativos</w:t>
      </w:r>
      <w:r w:rsidR="00EF0674" w:rsidRPr="00C850D3">
        <w:rPr>
          <w:rFonts w:ascii="Arial" w:eastAsia="Calibri" w:hAnsi="Arial" w:cs="Arial"/>
          <w:sz w:val="24"/>
          <w:szCs w:val="24"/>
          <w:lang w:eastAsia="es-ES"/>
        </w:rPr>
        <w:t xml:space="preserve"> por parte de las principales organizaciones internacionales para dirimir conflictos laborales entre sus funcionarios y la organización, verbigracia los </w:t>
      </w:r>
      <w:r w:rsidR="00EF0674" w:rsidRPr="00C850D3">
        <w:rPr>
          <w:rFonts w:ascii="Arial" w:eastAsia="Calibri" w:hAnsi="Arial" w:cs="Arial"/>
          <w:i/>
          <w:sz w:val="24"/>
          <w:szCs w:val="24"/>
          <w:lang w:eastAsia="es-ES"/>
        </w:rPr>
        <w:t>tribunales contencioso</w:t>
      </w:r>
      <w:r w:rsidR="00EF0674">
        <w:rPr>
          <w:rFonts w:ascii="Arial" w:eastAsia="Calibri" w:hAnsi="Arial" w:cs="Arial"/>
          <w:i/>
          <w:sz w:val="24"/>
          <w:szCs w:val="24"/>
          <w:lang w:eastAsia="es-ES"/>
        </w:rPr>
        <w:t xml:space="preserve"> administrativo y de apelaciones de las Naciones Unidas,</w:t>
      </w:r>
      <w:r w:rsidR="000127F1">
        <w:rPr>
          <w:rFonts w:ascii="Arial" w:eastAsia="Calibri" w:hAnsi="Arial" w:cs="Arial"/>
          <w:sz w:val="24"/>
          <w:szCs w:val="24"/>
          <w:lang w:eastAsia="es-ES"/>
        </w:rPr>
        <w:t xml:space="preserve"> de ninguna manera quiso equiparar los mecanismos de justicia efectivos a un órgano jurisdiccional estatal que dirimiera el conflicto con base en unas normas laborales predeterminadas, en razón a que más adelante sostuvo, para concretar su postura, que como mecanismos de justicia efectiva, las organizaciones internacionales también habían recurrido al pacto de cláusulas compromisorias para la arbitración de los conflictos derivados de contratos de servicios, o el establecimiento de procedimientos especiales previos para resolución de controversias, </w:t>
      </w:r>
      <w:r w:rsidR="00C62C00">
        <w:rPr>
          <w:rFonts w:ascii="Arial" w:eastAsia="Calibri" w:hAnsi="Arial" w:cs="Arial"/>
          <w:sz w:val="24"/>
          <w:szCs w:val="24"/>
          <w:lang w:eastAsia="es-ES"/>
        </w:rPr>
        <w:t>dejando entonces de lado cua</w:t>
      </w:r>
      <w:r w:rsidR="00FE26AC">
        <w:rPr>
          <w:rFonts w:ascii="Arial" w:eastAsia="Calibri" w:hAnsi="Arial" w:cs="Arial"/>
          <w:sz w:val="24"/>
          <w:szCs w:val="24"/>
          <w:lang w:eastAsia="es-ES"/>
        </w:rPr>
        <w:t xml:space="preserve">lquier restricción al respecto, con la adaptación de la denominada </w:t>
      </w:r>
      <w:r w:rsidR="00FE26AC" w:rsidRPr="00FE26AC">
        <w:rPr>
          <w:rFonts w:ascii="Arial" w:eastAsia="Calibri" w:hAnsi="Arial" w:cs="Arial"/>
          <w:i/>
          <w:sz w:val="24"/>
          <w:szCs w:val="24"/>
          <w:lang w:eastAsia="es-ES"/>
        </w:rPr>
        <w:t>justicia complementaria.</w:t>
      </w:r>
      <w:r w:rsidR="00FE26AC">
        <w:rPr>
          <w:rFonts w:ascii="Arial" w:eastAsia="Calibri" w:hAnsi="Arial" w:cs="Arial"/>
          <w:sz w:val="24"/>
          <w:szCs w:val="24"/>
          <w:lang w:eastAsia="es-ES"/>
        </w:rPr>
        <w:t xml:space="preserve"> </w:t>
      </w:r>
      <w:r w:rsidR="00C62C00" w:rsidRPr="00C850D3">
        <w:rPr>
          <w:rFonts w:ascii="Arial" w:eastAsia="Calibri" w:hAnsi="Arial" w:cs="Arial"/>
          <w:sz w:val="24"/>
          <w:szCs w:val="24"/>
          <w:lang w:eastAsia="es-ES"/>
        </w:rPr>
        <w:t>De manera que, de acuerdo con el breve análisis realizado hasta este momento, no sería posible acoger las aspiraciones de la parte recurrente, para ordenarle a la jueza de primera instancia darl</w:t>
      </w:r>
      <w:r w:rsidR="00FE26AC" w:rsidRPr="00C850D3">
        <w:rPr>
          <w:rFonts w:ascii="Arial" w:eastAsia="Calibri" w:hAnsi="Arial" w:cs="Arial"/>
          <w:sz w:val="24"/>
          <w:szCs w:val="24"/>
          <w:lang w:eastAsia="es-ES"/>
        </w:rPr>
        <w:t xml:space="preserve">e trámite a la presente demanda, en razón a que, como se dijo, dentro del acuerdo sede entre el PNUD y el Gobierno de Colombia, además de existir mecanismos de solución de conflictos, estos </w:t>
      </w:r>
      <w:r w:rsidR="00404493">
        <w:rPr>
          <w:rFonts w:ascii="Arial" w:eastAsia="Calibri" w:hAnsi="Arial" w:cs="Arial"/>
          <w:sz w:val="24"/>
          <w:szCs w:val="24"/>
          <w:lang w:eastAsia="es-ES"/>
        </w:rPr>
        <w:t xml:space="preserve">pueden ser considerados como </w:t>
      </w:r>
      <w:r w:rsidR="00FE26AC" w:rsidRPr="00C850D3">
        <w:rPr>
          <w:rFonts w:ascii="Arial" w:eastAsia="Calibri" w:hAnsi="Arial" w:cs="Arial"/>
          <w:sz w:val="24"/>
          <w:szCs w:val="24"/>
          <w:lang w:eastAsia="es-ES"/>
        </w:rPr>
        <w:t>id</w:t>
      </w:r>
      <w:r w:rsidR="00404493">
        <w:rPr>
          <w:rFonts w:ascii="Arial" w:eastAsia="Calibri" w:hAnsi="Arial" w:cs="Arial"/>
          <w:sz w:val="24"/>
          <w:szCs w:val="24"/>
          <w:lang w:eastAsia="es-ES"/>
        </w:rPr>
        <w:t>óneos y efectivos.</w:t>
      </w:r>
    </w:p>
    <w:p w:rsidR="001838AB" w:rsidRPr="00404493" w:rsidRDefault="001838AB" w:rsidP="000127F1">
      <w:pPr>
        <w:tabs>
          <w:tab w:val="left" w:pos="600"/>
          <w:tab w:val="left" w:pos="993"/>
        </w:tabs>
        <w:spacing w:after="0" w:line="360" w:lineRule="auto"/>
        <w:ind w:right="77" w:firstLine="709"/>
        <w:jc w:val="both"/>
        <w:rPr>
          <w:rFonts w:ascii="Arial" w:eastAsia="Calibri" w:hAnsi="Arial" w:cs="Arial"/>
          <w:sz w:val="18"/>
          <w:szCs w:val="24"/>
          <w:lang w:eastAsia="es-ES"/>
        </w:rPr>
      </w:pPr>
    </w:p>
    <w:p w:rsidR="00C62C00" w:rsidRPr="00C850D3" w:rsidRDefault="00C62C00" w:rsidP="000127F1">
      <w:pPr>
        <w:tabs>
          <w:tab w:val="left" w:pos="600"/>
          <w:tab w:val="left" w:pos="993"/>
        </w:tabs>
        <w:spacing w:after="0" w:line="360" w:lineRule="auto"/>
        <w:ind w:right="77" w:firstLine="709"/>
        <w:jc w:val="both"/>
        <w:rPr>
          <w:rFonts w:ascii="Arial" w:eastAsia="Calibri" w:hAnsi="Arial" w:cs="Arial"/>
          <w:sz w:val="24"/>
          <w:szCs w:val="24"/>
          <w:lang w:eastAsia="es-ES"/>
        </w:rPr>
      </w:pPr>
      <w:r w:rsidRPr="00C850D3">
        <w:rPr>
          <w:rFonts w:ascii="Arial" w:eastAsia="Calibri" w:hAnsi="Arial" w:cs="Arial"/>
          <w:sz w:val="24"/>
          <w:szCs w:val="24"/>
          <w:lang w:eastAsia="es-ES"/>
        </w:rPr>
        <w:t xml:space="preserve">En este punto, conviene hacer </w:t>
      </w:r>
      <w:r w:rsidR="00477700" w:rsidRPr="00C850D3">
        <w:rPr>
          <w:rFonts w:ascii="Arial" w:eastAsia="Calibri" w:hAnsi="Arial" w:cs="Arial"/>
          <w:sz w:val="24"/>
          <w:szCs w:val="24"/>
          <w:lang w:eastAsia="es-ES"/>
        </w:rPr>
        <w:t>dos</w:t>
      </w:r>
      <w:r w:rsidRPr="00C850D3">
        <w:rPr>
          <w:rFonts w:ascii="Arial" w:eastAsia="Calibri" w:hAnsi="Arial" w:cs="Arial"/>
          <w:sz w:val="24"/>
          <w:szCs w:val="24"/>
          <w:lang w:eastAsia="es-ES"/>
        </w:rPr>
        <w:t xml:space="preserve"> precisiones: </w:t>
      </w:r>
    </w:p>
    <w:p w:rsidR="001838AB" w:rsidRPr="009017E7" w:rsidRDefault="001838AB" w:rsidP="000127F1">
      <w:pPr>
        <w:tabs>
          <w:tab w:val="left" w:pos="600"/>
          <w:tab w:val="left" w:pos="993"/>
        </w:tabs>
        <w:spacing w:after="0" w:line="360" w:lineRule="auto"/>
        <w:ind w:right="77" w:firstLine="709"/>
        <w:jc w:val="both"/>
        <w:rPr>
          <w:rFonts w:ascii="Arial" w:eastAsia="Calibri" w:hAnsi="Arial" w:cs="Arial"/>
          <w:sz w:val="24"/>
          <w:szCs w:val="24"/>
          <w:lang w:eastAsia="es-ES"/>
        </w:rPr>
      </w:pPr>
    </w:p>
    <w:p w:rsidR="008A3E86" w:rsidRPr="00C850D3" w:rsidRDefault="003F4989" w:rsidP="00977F80">
      <w:pPr>
        <w:pStyle w:val="Prrafodelista"/>
        <w:numPr>
          <w:ilvl w:val="0"/>
          <w:numId w:val="8"/>
        </w:numPr>
        <w:tabs>
          <w:tab w:val="left" w:pos="-1440"/>
          <w:tab w:val="left" w:pos="-720"/>
          <w:tab w:val="left" w:pos="600"/>
          <w:tab w:val="left" w:pos="709"/>
          <w:tab w:val="left" w:pos="851"/>
          <w:tab w:val="left" w:pos="1134"/>
          <w:tab w:val="left" w:pos="1276"/>
          <w:tab w:val="left" w:pos="1985"/>
          <w:tab w:val="left" w:pos="2160"/>
        </w:tabs>
        <w:suppressAutoHyphens/>
        <w:spacing w:after="0" w:line="360" w:lineRule="auto"/>
        <w:ind w:left="0" w:right="77" w:firstLine="709"/>
        <w:jc w:val="both"/>
        <w:rPr>
          <w:rFonts w:ascii="Bookman Old Style" w:hAnsi="Bookman Old Style" w:cs="Estrangelo Edessa"/>
          <w:bCs/>
          <w:sz w:val="24"/>
          <w:szCs w:val="24"/>
        </w:rPr>
      </w:pPr>
      <w:r w:rsidRPr="00C850D3">
        <w:rPr>
          <w:rFonts w:ascii="Arial" w:eastAsia="Calibri" w:hAnsi="Arial" w:cs="Arial"/>
          <w:sz w:val="24"/>
          <w:szCs w:val="24"/>
          <w:lang w:eastAsia="es-ES"/>
        </w:rPr>
        <w:t>Si bien</w:t>
      </w:r>
      <w:r w:rsidR="00702903" w:rsidRPr="00C850D3">
        <w:rPr>
          <w:rFonts w:ascii="Arial" w:eastAsia="Calibri" w:hAnsi="Arial" w:cs="Arial"/>
          <w:sz w:val="24"/>
          <w:szCs w:val="24"/>
          <w:lang w:eastAsia="es-ES"/>
        </w:rPr>
        <w:t xml:space="preserve"> es cierto que la jurisprudencia ordinaria laboral en determinadas oportunidades </w:t>
      </w:r>
      <w:r w:rsidR="000A17A4" w:rsidRPr="00C850D3">
        <w:rPr>
          <w:rFonts w:ascii="Arial" w:eastAsia="Calibri" w:hAnsi="Arial" w:cs="Arial"/>
          <w:sz w:val="24"/>
          <w:szCs w:val="24"/>
          <w:lang w:eastAsia="es-ES"/>
        </w:rPr>
        <w:t xml:space="preserve">ha considerado que </w:t>
      </w:r>
      <w:r w:rsidR="00702903" w:rsidRPr="00C850D3">
        <w:rPr>
          <w:rFonts w:ascii="Arial" w:eastAsia="Calibri" w:hAnsi="Arial" w:cs="Arial"/>
          <w:sz w:val="24"/>
          <w:szCs w:val="24"/>
          <w:lang w:eastAsia="es-ES"/>
        </w:rPr>
        <w:t xml:space="preserve">la denominada </w:t>
      </w:r>
      <w:r w:rsidR="00702903" w:rsidRPr="00C850D3">
        <w:rPr>
          <w:rFonts w:ascii="Arial" w:eastAsia="Calibri" w:hAnsi="Arial" w:cs="Arial"/>
          <w:i/>
          <w:sz w:val="24"/>
          <w:szCs w:val="24"/>
          <w:lang w:eastAsia="es-ES"/>
        </w:rPr>
        <w:t xml:space="preserve">inmunidad restringida de jurisdicción </w:t>
      </w:r>
      <w:r w:rsidR="00702903" w:rsidRPr="00C850D3">
        <w:rPr>
          <w:rFonts w:ascii="Arial" w:eastAsia="Calibri" w:hAnsi="Arial" w:cs="Arial"/>
          <w:sz w:val="24"/>
          <w:szCs w:val="24"/>
          <w:lang w:eastAsia="es-ES"/>
        </w:rPr>
        <w:t>en materia laboral, llamada así por la posibilidad de que el juez nacional pueda entrar a reso</w:t>
      </w:r>
      <w:r w:rsidR="000A17A4" w:rsidRPr="00C850D3">
        <w:rPr>
          <w:rFonts w:ascii="Arial" w:eastAsia="Calibri" w:hAnsi="Arial" w:cs="Arial"/>
          <w:sz w:val="24"/>
          <w:szCs w:val="24"/>
          <w:lang w:eastAsia="es-ES"/>
        </w:rPr>
        <w:t xml:space="preserve">lver sobre determinados puntos: (i) </w:t>
      </w:r>
      <w:r w:rsidR="00702903" w:rsidRPr="00C850D3">
        <w:rPr>
          <w:rFonts w:ascii="Arial" w:eastAsia="Calibri" w:hAnsi="Arial" w:cs="Arial"/>
          <w:sz w:val="24"/>
          <w:szCs w:val="24"/>
          <w:lang w:eastAsia="es-ES"/>
        </w:rPr>
        <w:t>se adecúa mejor a los contenidos de la Constitución Política de Colombia que, dicho sea de paso establece que el trabajo es un principio fundante del Estado Social de Derecho, sujeto a la especial protección del Estado, que proclama la vigencia de los principios del derecho internacional aceptados, así como que proscribe el desconocimiento de la libertad, la igualdad, la dignidad humana y los derechos de los trabajadores reconoci</w:t>
      </w:r>
      <w:r w:rsidR="0085524F" w:rsidRPr="00C850D3">
        <w:rPr>
          <w:rFonts w:ascii="Arial" w:eastAsia="Calibri" w:hAnsi="Arial" w:cs="Arial"/>
          <w:sz w:val="24"/>
          <w:szCs w:val="24"/>
          <w:lang w:eastAsia="es-ES"/>
        </w:rPr>
        <w:t>dos constitucional y legalmente, reivindica la prevalencia en el orden interno de los tratados y convenios internacionales, y señala que el Estado promoverá la internacionalización e integración sobre las bases de equidad, reciprocidad y conveniencia nacional</w:t>
      </w:r>
      <w:r w:rsidR="000A17A4" w:rsidRPr="00C850D3">
        <w:rPr>
          <w:rFonts w:ascii="Arial" w:eastAsia="Calibri" w:hAnsi="Arial" w:cs="Arial"/>
          <w:sz w:val="24"/>
          <w:szCs w:val="24"/>
          <w:lang w:eastAsia="es-ES"/>
        </w:rPr>
        <w:t>; (ii) protege el trabajo como derecho fundamental humano, y (iii) otorga un trato equitativo y recíproco a otros Estados en mat</w:t>
      </w:r>
      <w:r w:rsidR="00FA5AFF" w:rsidRPr="00C850D3">
        <w:rPr>
          <w:rFonts w:ascii="Arial" w:eastAsia="Calibri" w:hAnsi="Arial" w:cs="Arial"/>
          <w:sz w:val="24"/>
          <w:szCs w:val="24"/>
          <w:lang w:eastAsia="es-ES"/>
        </w:rPr>
        <w:t xml:space="preserve">eria de inmunidad jurisdiccional y, por lo mismo, morigeró su criterio pero frente la inmunidad de jurisdicción de los Estados, no de las organizaciones internacionales, dentro de la cual se encuentra el de sus órganos especializados y/o programas (AL2343 de 20 abr. 2016 rad. 72569), </w:t>
      </w:r>
      <w:r w:rsidRPr="00C850D3">
        <w:rPr>
          <w:rFonts w:ascii="Arial" w:eastAsia="Calibri" w:hAnsi="Arial" w:cs="Arial"/>
          <w:sz w:val="24"/>
          <w:szCs w:val="24"/>
          <w:lang w:eastAsia="es-ES"/>
        </w:rPr>
        <w:t>no lo es menos que la razón de su decisión estuvo ligada a la costumbre internacional que, como se vio no es fuente directa para el caso qu</w:t>
      </w:r>
      <w:r w:rsidR="00477700" w:rsidRPr="00C850D3">
        <w:rPr>
          <w:rFonts w:ascii="Arial" w:eastAsia="Calibri" w:hAnsi="Arial" w:cs="Arial"/>
          <w:sz w:val="24"/>
          <w:szCs w:val="24"/>
          <w:lang w:eastAsia="es-ES"/>
        </w:rPr>
        <w:t>e se analiza, sino como se dijo el tratado, o acuerdo sede, si estos contienen m</w:t>
      </w:r>
      <w:r w:rsidR="00BC3D38" w:rsidRPr="00C850D3">
        <w:rPr>
          <w:rFonts w:ascii="Arial" w:eastAsia="Calibri" w:hAnsi="Arial" w:cs="Arial"/>
          <w:sz w:val="24"/>
          <w:szCs w:val="24"/>
          <w:lang w:eastAsia="es-ES"/>
        </w:rPr>
        <w:t xml:space="preserve">ecanismos de justicia efectiva, y es aquí en donde se reitera la diferencia que existe con la inmunidad de jurisdicción de los Estados. </w:t>
      </w:r>
    </w:p>
    <w:p w:rsidR="001838AB" w:rsidRPr="008703E1" w:rsidRDefault="001838AB" w:rsidP="00477700">
      <w:pPr>
        <w:pStyle w:val="Prrafodelista"/>
        <w:tabs>
          <w:tab w:val="left" w:pos="-1440"/>
          <w:tab w:val="left" w:pos="-720"/>
          <w:tab w:val="left" w:pos="600"/>
          <w:tab w:val="left" w:pos="709"/>
          <w:tab w:val="left" w:pos="851"/>
          <w:tab w:val="left" w:pos="1134"/>
          <w:tab w:val="left" w:pos="1276"/>
          <w:tab w:val="left" w:pos="1985"/>
          <w:tab w:val="left" w:pos="2160"/>
        </w:tabs>
        <w:suppressAutoHyphens/>
        <w:spacing w:after="0" w:line="360" w:lineRule="auto"/>
        <w:ind w:left="709" w:right="77"/>
        <w:jc w:val="both"/>
        <w:rPr>
          <w:rFonts w:ascii="Arial" w:hAnsi="Arial" w:cs="Arial"/>
          <w:bCs/>
          <w:sz w:val="24"/>
          <w:szCs w:val="24"/>
        </w:rPr>
      </w:pPr>
    </w:p>
    <w:p w:rsidR="00477700" w:rsidRDefault="00477700" w:rsidP="001E3F32">
      <w:pPr>
        <w:pStyle w:val="Prrafodelista"/>
        <w:numPr>
          <w:ilvl w:val="0"/>
          <w:numId w:val="8"/>
        </w:numPr>
        <w:tabs>
          <w:tab w:val="left" w:pos="-1440"/>
          <w:tab w:val="left" w:pos="-720"/>
          <w:tab w:val="left" w:pos="600"/>
          <w:tab w:val="left" w:pos="709"/>
          <w:tab w:val="left" w:pos="851"/>
          <w:tab w:val="left" w:pos="1134"/>
          <w:tab w:val="left" w:pos="1276"/>
          <w:tab w:val="left" w:pos="1985"/>
          <w:tab w:val="left" w:pos="2160"/>
        </w:tabs>
        <w:suppressAutoHyphens/>
        <w:spacing w:after="0" w:line="360" w:lineRule="auto"/>
        <w:ind w:left="0" w:right="77" w:firstLine="709"/>
        <w:jc w:val="both"/>
        <w:rPr>
          <w:rFonts w:ascii="Arial" w:hAnsi="Arial" w:cs="Arial"/>
          <w:bCs/>
          <w:sz w:val="24"/>
          <w:szCs w:val="24"/>
        </w:rPr>
      </w:pPr>
      <w:r w:rsidRPr="00191D62">
        <w:rPr>
          <w:rFonts w:ascii="Arial" w:hAnsi="Arial" w:cs="Arial"/>
          <w:bCs/>
          <w:sz w:val="24"/>
          <w:szCs w:val="24"/>
        </w:rPr>
        <w:t xml:space="preserve">Si bien la sentencia STL847 de 27 ene. 2016 rad. 42300, luego de exponer la tesis que se ha estudiado a la largo de esta providencia, concedió una acción de </w:t>
      </w:r>
      <w:r w:rsidR="00477879" w:rsidRPr="00191D62">
        <w:rPr>
          <w:rFonts w:ascii="Arial" w:hAnsi="Arial" w:cs="Arial"/>
          <w:bCs/>
          <w:sz w:val="24"/>
          <w:szCs w:val="24"/>
        </w:rPr>
        <w:t xml:space="preserve">tutela contra este Tribunal, por hechos similares, la razón de la decisión tuvo que ver únicamente con la motivación insuficiente que tuvo la corporación al resolver sobre el tema puesto en su consideración, al no haber examinado si la cláusula de inmunidad pactada a favor de la entidad aquí convocada, estaba </w:t>
      </w:r>
      <w:r w:rsidR="00477879" w:rsidRPr="00191D62">
        <w:rPr>
          <w:rFonts w:ascii="Arial" w:hAnsi="Arial" w:cs="Arial"/>
          <w:bCs/>
          <w:sz w:val="24"/>
          <w:szCs w:val="24"/>
        </w:rPr>
        <w:lastRenderedPageBreak/>
        <w:t xml:space="preserve">acompañada de mecanismos adecuados y apropiados para el restablecimiento de los derechos de la trabajadora demandante, frente a ejecuciones de índole laboral. </w:t>
      </w:r>
      <w:r w:rsidR="00191D62" w:rsidRPr="00191D62">
        <w:rPr>
          <w:rFonts w:ascii="Arial" w:hAnsi="Arial" w:cs="Arial"/>
          <w:bCs/>
          <w:sz w:val="24"/>
          <w:szCs w:val="24"/>
        </w:rPr>
        <w:t xml:space="preserve"> Es decir, que </w:t>
      </w:r>
      <w:r w:rsidR="00477879" w:rsidRPr="00191D62">
        <w:rPr>
          <w:rFonts w:ascii="Arial" w:hAnsi="Arial" w:cs="Arial"/>
          <w:bCs/>
          <w:sz w:val="24"/>
          <w:szCs w:val="24"/>
        </w:rPr>
        <w:t>en ningún caso estableció que todas las demandas contra el PNUD debía ser admitidas y tramitadas por la cuerda procesal pertinente, sino, se insiste, debía estudiarse el tema en concreto p</w:t>
      </w:r>
      <w:r w:rsidR="00191D62">
        <w:rPr>
          <w:rFonts w:ascii="Arial" w:hAnsi="Arial" w:cs="Arial"/>
          <w:bCs/>
          <w:sz w:val="24"/>
          <w:szCs w:val="24"/>
        </w:rPr>
        <w:t>ara establecer esa posibilidad, y así quedó mejor explicado en el auto ATL2582 de 20 abr. 2016 rad. 42300, mediante el cual la alta corporación ordenó archivar y declarar cerrado el incide</w:t>
      </w:r>
      <w:r w:rsidR="002F4DD6">
        <w:rPr>
          <w:rFonts w:ascii="Arial" w:hAnsi="Arial" w:cs="Arial"/>
          <w:bCs/>
          <w:sz w:val="24"/>
          <w:szCs w:val="24"/>
        </w:rPr>
        <w:t xml:space="preserve">nte de desacato que se había iniciado contra una sala de decisión de esta corporación. </w:t>
      </w:r>
    </w:p>
    <w:p w:rsidR="001E3F32" w:rsidRPr="001838AB" w:rsidRDefault="001E3F32" w:rsidP="001E3F32">
      <w:pPr>
        <w:pStyle w:val="Prrafodelista"/>
        <w:ind w:firstLine="709"/>
        <w:rPr>
          <w:rFonts w:ascii="Arial" w:hAnsi="Arial" w:cs="Arial"/>
          <w:bCs/>
          <w:sz w:val="32"/>
          <w:szCs w:val="24"/>
        </w:rPr>
      </w:pPr>
    </w:p>
    <w:p w:rsidR="001E3F32" w:rsidRDefault="001E3F32" w:rsidP="001E3F32">
      <w:pPr>
        <w:tabs>
          <w:tab w:val="left" w:pos="-1440"/>
          <w:tab w:val="left" w:pos="-720"/>
          <w:tab w:val="left" w:pos="600"/>
          <w:tab w:val="left" w:pos="709"/>
          <w:tab w:val="left" w:pos="851"/>
          <w:tab w:val="left" w:pos="1134"/>
          <w:tab w:val="left" w:pos="1276"/>
          <w:tab w:val="left" w:pos="1985"/>
          <w:tab w:val="left" w:pos="2160"/>
        </w:tabs>
        <w:suppressAutoHyphens/>
        <w:spacing w:after="0" w:line="360" w:lineRule="auto"/>
        <w:ind w:right="77" w:firstLine="709"/>
        <w:jc w:val="both"/>
        <w:rPr>
          <w:rFonts w:ascii="Arial" w:hAnsi="Arial" w:cs="Arial"/>
          <w:bCs/>
          <w:sz w:val="24"/>
          <w:szCs w:val="24"/>
        </w:rPr>
      </w:pPr>
      <w:r>
        <w:rPr>
          <w:rFonts w:ascii="Arial" w:hAnsi="Arial" w:cs="Arial"/>
          <w:bCs/>
          <w:sz w:val="24"/>
          <w:szCs w:val="24"/>
        </w:rPr>
        <w:t xml:space="preserve">De manera que, al compartir esta Sala de decisión </w:t>
      </w:r>
      <w:r w:rsidR="00094579">
        <w:rPr>
          <w:rFonts w:ascii="Arial" w:hAnsi="Arial" w:cs="Arial"/>
          <w:bCs/>
          <w:sz w:val="24"/>
          <w:szCs w:val="24"/>
        </w:rPr>
        <w:t>las conclusiones a las que arribó</w:t>
      </w:r>
      <w:r>
        <w:rPr>
          <w:rFonts w:ascii="Arial" w:hAnsi="Arial" w:cs="Arial"/>
          <w:bCs/>
          <w:sz w:val="24"/>
          <w:szCs w:val="24"/>
        </w:rPr>
        <w:t xml:space="preserve"> la juzgadora de instancia, aun cuando por razones más profundas, habrá de confirmarse el auto apelado.</w:t>
      </w:r>
    </w:p>
    <w:p w:rsidR="001E3F32" w:rsidRPr="001838AB" w:rsidRDefault="001E3F32" w:rsidP="001E3F32">
      <w:pPr>
        <w:tabs>
          <w:tab w:val="left" w:pos="-1440"/>
          <w:tab w:val="left" w:pos="-720"/>
          <w:tab w:val="left" w:pos="600"/>
          <w:tab w:val="left" w:pos="709"/>
          <w:tab w:val="left" w:pos="851"/>
          <w:tab w:val="left" w:pos="1134"/>
          <w:tab w:val="left" w:pos="1276"/>
          <w:tab w:val="left" w:pos="1985"/>
          <w:tab w:val="left" w:pos="2160"/>
        </w:tabs>
        <w:suppressAutoHyphens/>
        <w:spacing w:after="0" w:line="360" w:lineRule="auto"/>
        <w:ind w:right="77" w:firstLine="709"/>
        <w:jc w:val="both"/>
        <w:rPr>
          <w:rFonts w:ascii="Arial" w:hAnsi="Arial" w:cs="Arial"/>
          <w:bCs/>
          <w:sz w:val="32"/>
          <w:szCs w:val="24"/>
        </w:rPr>
      </w:pPr>
    </w:p>
    <w:p w:rsidR="001E3F32" w:rsidRDefault="001E3F32" w:rsidP="001E3F32">
      <w:pPr>
        <w:tabs>
          <w:tab w:val="left" w:pos="-1440"/>
          <w:tab w:val="left" w:pos="-720"/>
          <w:tab w:val="left" w:pos="600"/>
          <w:tab w:val="left" w:pos="709"/>
          <w:tab w:val="left" w:pos="851"/>
          <w:tab w:val="left" w:pos="1134"/>
          <w:tab w:val="left" w:pos="1276"/>
          <w:tab w:val="left" w:pos="1985"/>
          <w:tab w:val="left" w:pos="2160"/>
        </w:tabs>
        <w:suppressAutoHyphens/>
        <w:spacing w:after="0" w:line="360" w:lineRule="auto"/>
        <w:ind w:right="77" w:firstLine="709"/>
        <w:jc w:val="both"/>
        <w:rPr>
          <w:rFonts w:ascii="Arial" w:hAnsi="Arial" w:cs="Arial"/>
          <w:bCs/>
          <w:sz w:val="24"/>
          <w:szCs w:val="24"/>
        </w:rPr>
      </w:pPr>
      <w:r>
        <w:rPr>
          <w:rFonts w:ascii="Arial" w:hAnsi="Arial" w:cs="Arial"/>
          <w:bCs/>
          <w:sz w:val="24"/>
          <w:szCs w:val="24"/>
        </w:rPr>
        <w:t xml:space="preserve">Sin lugar a imponer condena en costas en el recurso. </w:t>
      </w:r>
    </w:p>
    <w:p w:rsidR="001838AB" w:rsidRDefault="001838AB" w:rsidP="001E3F32">
      <w:pPr>
        <w:tabs>
          <w:tab w:val="left" w:pos="-1440"/>
          <w:tab w:val="left" w:pos="-720"/>
          <w:tab w:val="left" w:pos="600"/>
          <w:tab w:val="left" w:pos="709"/>
          <w:tab w:val="left" w:pos="851"/>
          <w:tab w:val="left" w:pos="1134"/>
          <w:tab w:val="left" w:pos="1276"/>
          <w:tab w:val="left" w:pos="1985"/>
          <w:tab w:val="left" w:pos="2160"/>
        </w:tabs>
        <w:suppressAutoHyphens/>
        <w:spacing w:after="0" w:line="360" w:lineRule="auto"/>
        <w:ind w:right="77" w:firstLine="709"/>
        <w:jc w:val="both"/>
        <w:rPr>
          <w:rFonts w:ascii="Arial" w:hAnsi="Arial" w:cs="Arial"/>
          <w:bCs/>
          <w:sz w:val="24"/>
          <w:szCs w:val="24"/>
        </w:rPr>
      </w:pPr>
    </w:p>
    <w:p w:rsidR="00F03998" w:rsidRDefault="00F03998" w:rsidP="00094579">
      <w:pPr>
        <w:tabs>
          <w:tab w:val="left" w:pos="600"/>
          <w:tab w:val="left" w:pos="993"/>
        </w:tabs>
        <w:spacing w:after="0" w:line="360" w:lineRule="auto"/>
        <w:ind w:right="79" w:firstLine="709"/>
        <w:jc w:val="both"/>
        <w:rPr>
          <w:rFonts w:ascii="Arial" w:eastAsia="Calibri" w:hAnsi="Arial" w:cs="Arial"/>
          <w:sz w:val="24"/>
          <w:szCs w:val="24"/>
        </w:rPr>
      </w:pPr>
      <w:r w:rsidRPr="00B55394">
        <w:rPr>
          <w:rFonts w:ascii="Arial" w:eastAsia="Calibri" w:hAnsi="Arial" w:cs="Arial"/>
          <w:sz w:val="24"/>
          <w:szCs w:val="24"/>
        </w:rPr>
        <w:t>En mérito de lo expuesto,</w:t>
      </w:r>
      <w:r w:rsidR="001E3F32">
        <w:rPr>
          <w:rFonts w:ascii="Arial" w:eastAsia="Calibri" w:hAnsi="Arial" w:cs="Arial"/>
          <w:sz w:val="24"/>
          <w:szCs w:val="24"/>
        </w:rPr>
        <w:t xml:space="preserve"> la Sala Quinta</w:t>
      </w:r>
      <w:r w:rsidRPr="00B55394">
        <w:rPr>
          <w:rFonts w:ascii="Arial" w:eastAsia="Calibri" w:hAnsi="Arial" w:cs="Arial"/>
          <w:sz w:val="24"/>
          <w:szCs w:val="24"/>
        </w:rPr>
        <w:t xml:space="preserve"> de Decisión Laboral, del Tribunal Superior del Di</w:t>
      </w:r>
      <w:r>
        <w:rPr>
          <w:rFonts w:ascii="Arial" w:eastAsia="Calibri" w:hAnsi="Arial" w:cs="Arial"/>
          <w:sz w:val="24"/>
          <w:szCs w:val="24"/>
        </w:rPr>
        <w:t>strito Judicial de Bogotá D.C.</w:t>
      </w:r>
    </w:p>
    <w:p w:rsidR="009136DF" w:rsidRPr="00094579" w:rsidRDefault="009136DF" w:rsidP="00094579">
      <w:pPr>
        <w:tabs>
          <w:tab w:val="left" w:pos="600"/>
          <w:tab w:val="left" w:pos="993"/>
        </w:tabs>
        <w:spacing w:after="0" w:line="360" w:lineRule="auto"/>
        <w:ind w:right="79" w:firstLine="709"/>
        <w:jc w:val="both"/>
        <w:rPr>
          <w:rFonts w:ascii="Arial" w:eastAsia="Calibri" w:hAnsi="Arial" w:cs="Arial"/>
          <w:sz w:val="24"/>
          <w:szCs w:val="24"/>
        </w:rPr>
      </w:pPr>
    </w:p>
    <w:p w:rsidR="00F03998" w:rsidRDefault="00F03998" w:rsidP="00094579">
      <w:pPr>
        <w:tabs>
          <w:tab w:val="left" w:pos="993"/>
        </w:tabs>
        <w:spacing w:after="0" w:line="360" w:lineRule="auto"/>
        <w:ind w:right="79"/>
        <w:jc w:val="center"/>
        <w:rPr>
          <w:rFonts w:ascii="Arial" w:eastAsia="Calibri" w:hAnsi="Arial" w:cs="Arial"/>
          <w:b/>
          <w:sz w:val="24"/>
          <w:szCs w:val="24"/>
        </w:rPr>
      </w:pPr>
      <w:r w:rsidRPr="00B55394">
        <w:rPr>
          <w:rFonts w:ascii="Arial" w:eastAsia="Calibri" w:hAnsi="Arial" w:cs="Arial"/>
          <w:b/>
          <w:sz w:val="24"/>
          <w:szCs w:val="24"/>
        </w:rPr>
        <w:t>RESUELVE</w:t>
      </w:r>
    </w:p>
    <w:p w:rsidR="00F03998" w:rsidRPr="001838AB" w:rsidRDefault="00F03998" w:rsidP="007C74D3">
      <w:pPr>
        <w:tabs>
          <w:tab w:val="left" w:pos="993"/>
        </w:tabs>
        <w:spacing w:after="0" w:line="360" w:lineRule="auto"/>
        <w:ind w:right="79" w:firstLine="709"/>
        <w:jc w:val="center"/>
        <w:rPr>
          <w:rFonts w:ascii="Arial" w:eastAsia="Calibri" w:hAnsi="Arial" w:cs="Arial"/>
          <w:b/>
          <w:sz w:val="32"/>
          <w:szCs w:val="24"/>
        </w:rPr>
      </w:pPr>
    </w:p>
    <w:p w:rsidR="007C74D3" w:rsidRPr="005A5908" w:rsidRDefault="00F03998" w:rsidP="007C74D3">
      <w:pPr>
        <w:tabs>
          <w:tab w:val="left" w:pos="993"/>
        </w:tabs>
        <w:spacing w:after="0" w:line="360" w:lineRule="auto"/>
        <w:ind w:right="79" w:firstLine="709"/>
        <w:jc w:val="both"/>
        <w:rPr>
          <w:rFonts w:ascii="Arial" w:eastAsia="Calibri" w:hAnsi="Arial" w:cs="Arial"/>
          <w:sz w:val="24"/>
          <w:szCs w:val="24"/>
          <w:lang w:eastAsia="es-ES"/>
        </w:rPr>
      </w:pPr>
      <w:r w:rsidRPr="00B55394">
        <w:rPr>
          <w:rFonts w:ascii="Arial" w:eastAsia="Calibri" w:hAnsi="Arial" w:cs="Arial"/>
          <w:b/>
          <w:sz w:val="24"/>
          <w:szCs w:val="24"/>
          <w:lang w:eastAsia="es-ES"/>
        </w:rPr>
        <w:t xml:space="preserve">Primero: </w:t>
      </w:r>
      <w:r w:rsidR="005A5908">
        <w:rPr>
          <w:rFonts w:ascii="Arial" w:eastAsia="Calibri" w:hAnsi="Arial" w:cs="Arial"/>
          <w:b/>
          <w:sz w:val="24"/>
          <w:szCs w:val="24"/>
          <w:lang w:eastAsia="es-ES"/>
        </w:rPr>
        <w:t>Confirmar</w:t>
      </w:r>
      <w:r w:rsidR="005A5908">
        <w:rPr>
          <w:rFonts w:ascii="Arial" w:eastAsia="Calibri" w:hAnsi="Arial" w:cs="Arial"/>
          <w:sz w:val="24"/>
          <w:szCs w:val="24"/>
          <w:lang w:eastAsia="es-ES"/>
        </w:rPr>
        <w:t xml:space="preserve"> el auto apelado, pero acorde con lo aquí considerado. </w:t>
      </w:r>
    </w:p>
    <w:p w:rsidR="007C74D3" w:rsidRPr="001838AB" w:rsidRDefault="007C74D3" w:rsidP="007C74D3">
      <w:pPr>
        <w:tabs>
          <w:tab w:val="left" w:pos="993"/>
        </w:tabs>
        <w:spacing w:after="0" w:line="360" w:lineRule="auto"/>
        <w:ind w:right="77" w:firstLine="709"/>
        <w:jc w:val="both"/>
        <w:rPr>
          <w:rFonts w:ascii="Arial" w:eastAsia="Calibri" w:hAnsi="Arial" w:cs="Arial"/>
          <w:b/>
          <w:sz w:val="32"/>
          <w:szCs w:val="24"/>
          <w:lang w:eastAsia="es-ES"/>
        </w:rPr>
      </w:pPr>
    </w:p>
    <w:p w:rsidR="00F03998" w:rsidRPr="002141F8" w:rsidRDefault="00F03998" w:rsidP="007C74D3">
      <w:pPr>
        <w:tabs>
          <w:tab w:val="left" w:pos="993"/>
        </w:tabs>
        <w:spacing w:after="0" w:line="360" w:lineRule="auto"/>
        <w:ind w:right="77" w:firstLine="709"/>
        <w:jc w:val="both"/>
        <w:rPr>
          <w:rFonts w:ascii="Arial" w:eastAsia="Calibri" w:hAnsi="Arial" w:cs="Arial"/>
          <w:sz w:val="24"/>
          <w:szCs w:val="24"/>
          <w:lang w:eastAsia="es-ES"/>
        </w:rPr>
      </w:pPr>
      <w:r w:rsidRPr="00B55394">
        <w:rPr>
          <w:rFonts w:ascii="Arial" w:eastAsia="Calibri" w:hAnsi="Arial" w:cs="Arial"/>
          <w:b/>
          <w:sz w:val="24"/>
          <w:szCs w:val="24"/>
          <w:lang w:eastAsia="es-ES"/>
        </w:rPr>
        <w:t xml:space="preserve">Segundo: </w:t>
      </w:r>
      <w:r>
        <w:rPr>
          <w:rFonts w:ascii="Arial" w:eastAsia="Calibri" w:hAnsi="Arial" w:cs="Arial"/>
          <w:sz w:val="24"/>
          <w:szCs w:val="24"/>
          <w:lang w:eastAsia="es-ES"/>
        </w:rPr>
        <w:t xml:space="preserve">Sin costas en el recurso. </w:t>
      </w:r>
    </w:p>
    <w:p w:rsidR="00F03998" w:rsidRPr="001838AB" w:rsidRDefault="00F03998" w:rsidP="007C74D3">
      <w:pPr>
        <w:tabs>
          <w:tab w:val="left" w:pos="993"/>
        </w:tabs>
        <w:spacing w:after="0" w:line="360" w:lineRule="auto"/>
        <w:ind w:right="77" w:firstLine="709"/>
        <w:jc w:val="both"/>
        <w:rPr>
          <w:rFonts w:ascii="Arial" w:eastAsia="Times New Roman" w:hAnsi="Arial" w:cs="Arial"/>
          <w:sz w:val="24"/>
          <w:szCs w:val="24"/>
          <w:lang w:eastAsia="es-ES"/>
        </w:rPr>
      </w:pPr>
      <w:r w:rsidRPr="001838AB">
        <w:rPr>
          <w:rFonts w:ascii="Arial" w:eastAsia="Times New Roman" w:hAnsi="Arial" w:cs="Arial"/>
          <w:sz w:val="24"/>
          <w:szCs w:val="24"/>
          <w:lang w:eastAsia="es-ES"/>
        </w:rPr>
        <w:t xml:space="preserve"> </w:t>
      </w:r>
    </w:p>
    <w:p w:rsidR="00F4292D" w:rsidRPr="001838AB" w:rsidRDefault="001838AB" w:rsidP="007C74D3">
      <w:pPr>
        <w:tabs>
          <w:tab w:val="left" w:pos="993"/>
        </w:tabs>
        <w:spacing w:after="0" w:line="360" w:lineRule="auto"/>
        <w:ind w:right="77" w:firstLine="709"/>
        <w:jc w:val="both"/>
        <w:rPr>
          <w:rFonts w:ascii="Arial" w:eastAsia="Times New Roman" w:hAnsi="Arial" w:cs="Arial"/>
          <w:sz w:val="24"/>
          <w:szCs w:val="24"/>
          <w:lang w:eastAsia="es-ES"/>
        </w:rPr>
      </w:pPr>
      <w:r w:rsidRPr="001838AB">
        <w:rPr>
          <w:rFonts w:ascii="Arial" w:eastAsia="Times New Roman" w:hAnsi="Arial" w:cs="Arial"/>
          <w:sz w:val="24"/>
          <w:szCs w:val="24"/>
          <w:lang w:eastAsia="es-ES"/>
        </w:rPr>
        <w:t xml:space="preserve">En firme esta providencia, devolver el expediente al juzgado de origen. </w:t>
      </w:r>
    </w:p>
    <w:p w:rsidR="00F03998" w:rsidRPr="00B55394" w:rsidRDefault="00F03998" w:rsidP="007C74D3">
      <w:pPr>
        <w:tabs>
          <w:tab w:val="left" w:pos="993"/>
        </w:tabs>
        <w:spacing w:after="0" w:line="360" w:lineRule="auto"/>
        <w:ind w:right="77" w:firstLine="709"/>
        <w:jc w:val="both"/>
        <w:rPr>
          <w:rFonts w:ascii="Arial" w:eastAsia="Calibri" w:hAnsi="Arial" w:cs="Arial"/>
          <w:b/>
          <w:sz w:val="24"/>
          <w:szCs w:val="24"/>
          <w:lang w:eastAsia="es-ES"/>
        </w:rPr>
      </w:pPr>
      <w:r>
        <w:rPr>
          <w:rFonts w:ascii="Arial" w:eastAsia="Times New Roman" w:hAnsi="Arial" w:cs="Arial"/>
          <w:b/>
          <w:sz w:val="24"/>
          <w:szCs w:val="24"/>
          <w:lang w:eastAsia="es-ES"/>
        </w:rPr>
        <w:t>NOTIFÍQUESE Y CÚMPLASE,</w:t>
      </w:r>
    </w:p>
    <w:p w:rsidR="00F03998" w:rsidRDefault="00F03998" w:rsidP="007C74D3">
      <w:pPr>
        <w:tabs>
          <w:tab w:val="left" w:pos="993"/>
        </w:tabs>
        <w:spacing w:after="0" w:line="360" w:lineRule="auto"/>
        <w:ind w:right="77"/>
        <w:jc w:val="center"/>
        <w:rPr>
          <w:rFonts w:ascii="Arial" w:eastAsia="Times New Roman" w:hAnsi="Arial" w:cs="Arial"/>
          <w:b/>
          <w:sz w:val="24"/>
          <w:szCs w:val="24"/>
          <w:lang w:eastAsia="es-ES"/>
        </w:rPr>
      </w:pPr>
    </w:p>
    <w:p w:rsidR="00F4292D" w:rsidRDefault="00F4292D" w:rsidP="007C74D3">
      <w:pPr>
        <w:tabs>
          <w:tab w:val="left" w:pos="993"/>
        </w:tabs>
        <w:spacing w:after="0" w:line="360" w:lineRule="auto"/>
        <w:ind w:right="77"/>
        <w:jc w:val="center"/>
        <w:rPr>
          <w:rFonts w:ascii="Arial" w:eastAsia="Times New Roman" w:hAnsi="Arial" w:cs="Arial"/>
          <w:b/>
          <w:sz w:val="24"/>
          <w:szCs w:val="24"/>
          <w:lang w:eastAsia="es-ES"/>
        </w:rPr>
      </w:pPr>
    </w:p>
    <w:p w:rsidR="00F4292D" w:rsidRDefault="00F4292D" w:rsidP="007C74D3">
      <w:pPr>
        <w:tabs>
          <w:tab w:val="left" w:pos="993"/>
        </w:tabs>
        <w:spacing w:after="0" w:line="360" w:lineRule="auto"/>
        <w:ind w:right="77"/>
        <w:jc w:val="center"/>
        <w:rPr>
          <w:rFonts w:ascii="Arial" w:eastAsia="Times New Roman" w:hAnsi="Arial" w:cs="Arial"/>
          <w:b/>
          <w:sz w:val="24"/>
          <w:szCs w:val="24"/>
          <w:lang w:eastAsia="es-ES"/>
        </w:rPr>
      </w:pPr>
    </w:p>
    <w:p w:rsidR="00F03998" w:rsidRDefault="00F03998" w:rsidP="00F03998">
      <w:pPr>
        <w:tabs>
          <w:tab w:val="left" w:pos="993"/>
        </w:tabs>
        <w:spacing w:after="0" w:line="360" w:lineRule="auto"/>
        <w:ind w:right="77"/>
        <w:jc w:val="center"/>
        <w:rPr>
          <w:rFonts w:ascii="Arial" w:eastAsia="Times New Roman" w:hAnsi="Arial" w:cs="Arial"/>
          <w:b/>
          <w:sz w:val="24"/>
          <w:szCs w:val="24"/>
          <w:lang w:eastAsia="es-ES"/>
        </w:rPr>
      </w:pPr>
    </w:p>
    <w:p w:rsidR="00F03998" w:rsidRPr="00B55394" w:rsidRDefault="00F03998" w:rsidP="00F03998">
      <w:pPr>
        <w:tabs>
          <w:tab w:val="left" w:pos="993"/>
        </w:tabs>
        <w:spacing w:after="0" w:line="360" w:lineRule="auto"/>
        <w:ind w:right="77"/>
        <w:jc w:val="center"/>
        <w:rPr>
          <w:rFonts w:ascii="Arial" w:eastAsia="Times New Roman" w:hAnsi="Arial" w:cs="Arial"/>
          <w:b/>
          <w:sz w:val="24"/>
          <w:szCs w:val="24"/>
          <w:lang w:eastAsia="es-ES"/>
        </w:rPr>
      </w:pPr>
    </w:p>
    <w:p w:rsidR="00F03998" w:rsidRPr="00B55394" w:rsidRDefault="00F03998" w:rsidP="00F03998">
      <w:pPr>
        <w:tabs>
          <w:tab w:val="left" w:pos="993"/>
        </w:tabs>
        <w:spacing w:after="0" w:line="240" w:lineRule="auto"/>
        <w:ind w:right="77"/>
        <w:jc w:val="center"/>
        <w:rPr>
          <w:rFonts w:ascii="Arial" w:eastAsia="Calibri" w:hAnsi="Arial" w:cs="Arial"/>
          <w:b/>
          <w:sz w:val="24"/>
          <w:szCs w:val="24"/>
        </w:rPr>
      </w:pPr>
      <w:r w:rsidRPr="00B55394">
        <w:rPr>
          <w:rFonts w:ascii="Arial" w:eastAsia="Calibri" w:hAnsi="Arial" w:cs="Arial"/>
          <w:b/>
          <w:sz w:val="24"/>
          <w:szCs w:val="24"/>
        </w:rPr>
        <w:t>MARTHA RUTH OSPINA GAITÁN</w:t>
      </w:r>
    </w:p>
    <w:p w:rsidR="00F03998" w:rsidRPr="00B55394" w:rsidRDefault="00F03998" w:rsidP="00F03998">
      <w:pPr>
        <w:tabs>
          <w:tab w:val="left" w:pos="993"/>
        </w:tabs>
        <w:spacing w:after="0" w:line="240" w:lineRule="auto"/>
        <w:ind w:right="77"/>
        <w:jc w:val="center"/>
        <w:rPr>
          <w:rFonts w:ascii="Arial" w:eastAsia="Calibri" w:hAnsi="Arial" w:cs="Arial"/>
          <w:sz w:val="24"/>
          <w:szCs w:val="24"/>
        </w:rPr>
      </w:pPr>
      <w:r w:rsidRPr="00B55394">
        <w:rPr>
          <w:rFonts w:ascii="Arial" w:eastAsia="Calibri" w:hAnsi="Arial" w:cs="Arial"/>
          <w:sz w:val="24"/>
          <w:szCs w:val="24"/>
        </w:rPr>
        <w:t>Magistrada</w:t>
      </w:r>
    </w:p>
    <w:p w:rsidR="00F03998" w:rsidRPr="00B55394" w:rsidRDefault="00F03998" w:rsidP="00F03998">
      <w:pPr>
        <w:tabs>
          <w:tab w:val="left" w:pos="993"/>
        </w:tabs>
        <w:spacing w:after="0" w:line="240" w:lineRule="auto"/>
        <w:ind w:right="77"/>
        <w:jc w:val="center"/>
        <w:rPr>
          <w:rFonts w:ascii="Arial" w:eastAsia="Calibri" w:hAnsi="Arial" w:cs="Arial"/>
          <w:sz w:val="24"/>
          <w:szCs w:val="24"/>
        </w:rPr>
      </w:pPr>
    </w:p>
    <w:p w:rsidR="00F03998" w:rsidRDefault="00F03998" w:rsidP="00F03998">
      <w:pPr>
        <w:spacing w:after="0" w:line="240" w:lineRule="auto"/>
        <w:rPr>
          <w:rFonts w:ascii="Arial" w:hAnsi="Arial" w:cs="Arial"/>
          <w:sz w:val="24"/>
          <w:szCs w:val="24"/>
        </w:rPr>
      </w:pPr>
    </w:p>
    <w:p w:rsidR="00F03998" w:rsidRDefault="00F03998" w:rsidP="00F03998">
      <w:pPr>
        <w:spacing w:after="0" w:line="240" w:lineRule="auto"/>
        <w:rPr>
          <w:rFonts w:ascii="Arial" w:hAnsi="Arial" w:cs="Arial"/>
          <w:sz w:val="24"/>
          <w:szCs w:val="24"/>
        </w:rPr>
      </w:pPr>
      <w:r w:rsidRPr="00DE647C">
        <w:rPr>
          <w:rFonts w:ascii="Arial" w:hAnsi="Arial" w:cs="Arial"/>
          <w:sz w:val="24"/>
          <w:szCs w:val="24"/>
        </w:rPr>
        <w:tab/>
      </w:r>
      <w:r w:rsidRPr="00DE647C">
        <w:rPr>
          <w:rFonts w:ascii="Arial" w:hAnsi="Arial" w:cs="Arial"/>
          <w:sz w:val="24"/>
          <w:szCs w:val="24"/>
        </w:rPr>
        <w:tab/>
      </w:r>
      <w:r w:rsidRPr="00DE647C">
        <w:rPr>
          <w:rFonts w:ascii="Arial" w:hAnsi="Arial" w:cs="Arial"/>
          <w:sz w:val="24"/>
          <w:szCs w:val="24"/>
        </w:rPr>
        <w:tab/>
      </w:r>
      <w:r w:rsidRPr="00DE647C">
        <w:rPr>
          <w:rFonts w:ascii="Arial" w:hAnsi="Arial" w:cs="Arial"/>
          <w:sz w:val="24"/>
          <w:szCs w:val="24"/>
        </w:rPr>
        <w:tab/>
      </w:r>
    </w:p>
    <w:p w:rsidR="00F03998" w:rsidRDefault="00F03998" w:rsidP="00F03998">
      <w:pPr>
        <w:spacing w:after="0" w:line="240" w:lineRule="auto"/>
        <w:rPr>
          <w:rFonts w:ascii="Arial" w:hAnsi="Arial" w:cs="Arial"/>
          <w:sz w:val="24"/>
          <w:szCs w:val="24"/>
        </w:rPr>
      </w:pPr>
    </w:p>
    <w:p w:rsidR="00F03998" w:rsidRDefault="00F03998" w:rsidP="00F03998">
      <w:pPr>
        <w:spacing w:after="0" w:line="240" w:lineRule="auto"/>
        <w:rPr>
          <w:rFonts w:ascii="Arial" w:hAnsi="Arial" w:cs="Arial"/>
          <w:sz w:val="24"/>
          <w:szCs w:val="24"/>
        </w:rPr>
      </w:pPr>
    </w:p>
    <w:p w:rsidR="00F03998" w:rsidRPr="00DE647C" w:rsidRDefault="00F03998" w:rsidP="00F03998">
      <w:pPr>
        <w:spacing w:after="0" w:line="240" w:lineRule="auto"/>
        <w:rPr>
          <w:rFonts w:ascii="Arial" w:hAnsi="Arial" w:cs="Arial"/>
          <w:sz w:val="24"/>
          <w:szCs w:val="24"/>
        </w:rPr>
      </w:pPr>
    </w:p>
    <w:p w:rsidR="00F03998" w:rsidRDefault="00F03998" w:rsidP="00F03998">
      <w:pPr>
        <w:spacing w:after="0" w:line="240" w:lineRule="auto"/>
        <w:ind w:left="-284" w:right="-517"/>
        <w:jc w:val="both"/>
        <w:rPr>
          <w:rFonts w:ascii="Arial" w:hAnsi="Arial" w:cs="Arial"/>
          <w:sz w:val="24"/>
          <w:szCs w:val="24"/>
        </w:rPr>
      </w:pPr>
    </w:p>
    <w:p w:rsidR="00F03998" w:rsidRPr="00DE647C" w:rsidRDefault="00F03998" w:rsidP="00F03998">
      <w:pPr>
        <w:spacing w:after="0" w:line="240" w:lineRule="auto"/>
        <w:ind w:left="-284" w:right="-517"/>
        <w:jc w:val="both"/>
        <w:rPr>
          <w:rFonts w:ascii="Arial" w:hAnsi="Arial" w:cs="Arial"/>
          <w:sz w:val="24"/>
          <w:szCs w:val="24"/>
        </w:rPr>
      </w:pPr>
      <w:r w:rsidRPr="00DE647C">
        <w:rPr>
          <w:rFonts w:ascii="Arial" w:hAnsi="Arial" w:cs="Arial"/>
          <w:b/>
          <w:sz w:val="24"/>
          <w:szCs w:val="24"/>
        </w:rPr>
        <w:t xml:space="preserve">MARTHA LUDMILA ÁVILA TRIANA             LUIS CARLOS GONZÁLEZ VELÁSQUEZ </w:t>
      </w:r>
    </w:p>
    <w:p w:rsidR="00F03998" w:rsidRPr="00CB0D71" w:rsidRDefault="00F03998" w:rsidP="00F03998">
      <w:pPr>
        <w:spacing w:after="0" w:line="240" w:lineRule="auto"/>
        <w:ind w:left="-284" w:right="-517"/>
        <w:jc w:val="both"/>
      </w:pPr>
      <w:r w:rsidRPr="00DE647C">
        <w:rPr>
          <w:rFonts w:ascii="Arial" w:hAnsi="Arial" w:cs="Arial"/>
          <w:sz w:val="24"/>
          <w:szCs w:val="24"/>
        </w:rPr>
        <w:t xml:space="preserve">                   Magistrada</w:t>
      </w:r>
      <w:r w:rsidRPr="00DE647C">
        <w:rPr>
          <w:rFonts w:ascii="Arial" w:hAnsi="Arial" w:cs="Arial"/>
          <w:sz w:val="24"/>
          <w:szCs w:val="24"/>
        </w:rPr>
        <w:tab/>
        <w:t xml:space="preserve">                           </w:t>
      </w:r>
      <w:r>
        <w:rPr>
          <w:rFonts w:ascii="Arial" w:hAnsi="Arial" w:cs="Arial"/>
          <w:sz w:val="24"/>
          <w:szCs w:val="24"/>
        </w:rPr>
        <w:t xml:space="preserve">                      Magistrado</w:t>
      </w:r>
      <w:r>
        <w:tab/>
      </w:r>
      <w:r>
        <w:tab/>
      </w:r>
      <w:r>
        <w:tab/>
      </w:r>
      <w:r>
        <w:tab/>
      </w:r>
      <w:r>
        <w:tab/>
        <w:t xml:space="preserve">   </w:t>
      </w:r>
    </w:p>
    <w:p w:rsidR="002E1D2D" w:rsidRDefault="002E1D2D"/>
    <w:p w:rsidR="004320CF" w:rsidRDefault="004320CF"/>
    <w:p w:rsidR="004320CF" w:rsidRDefault="004320CF"/>
    <w:sectPr w:rsidR="004320CF" w:rsidSect="009136DF">
      <w:headerReference w:type="default" r:id="rId9"/>
      <w:footerReference w:type="default" r:id="rId10"/>
      <w:headerReference w:type="first" r:id="rId11"/>
      <w:pgSz w:w="12240" w:h="18720" w:code="121"/>
      <w:pgMar w:top="1701" w:right="1134" w:bottom="1701" w:left="2268" w:header="1191" w:footer="1021" w:gutter="1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804" w:rsidRDefault="00110804" w:rsidP="00A175A5">
      <w:pPr>
        <w:spacing w:after="0" w:line="240" w:lineRule="auto"/>
      </w:pPr>
      <w:r>
        <w:separator/>
      </w:r>
    </w:p>
  </w:endnote>
  <w:endnote w:type="continuationSeparator" w:id="0">
    <w:p w:rsidR="00110804" w:rsidRDefault="00110804" w:rsidP="00A1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3080600000000000000"/>
    <w:charset w:val="01"/>
    <w:family w:val="roman"/>
    <w:notTrueType/>
    <w:pitch w:val="variable"/>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836474"/>
      <w:docPartObj>
        <w:docPartGallery w:val="Page Numbers (Bottom of Page)"/>
        <w:docPartUnique/>
      </w:docPartObj>
    </w:sdtPr>
    <w:sdtEndPr>
      <w:rPr>
        <w:rFonts w:ascii="Arial" w:hAnsi="Arial" w:cs="Arial"/>
        <w:sz w:val="18"/>
        <w:szCs w:val="18"/>
      </w:rPr>
    </w:sdtEndPr>
    <w:sdtContent>
      <w:p w:rsidR="00434129" w:rsidRDefault="00434129">
        <w:pPr>
          <w:pStyle w:val="Piedepgina1"/>
          <w:jc w:val="right"/>
        </w:pPr>
      </w:p>
      <w:p w:rsidR="00434129" w:rsidRPr="00614BA8" w:rsidRDefault="00AB26EC">
        <w:pPr>
          <w:pStyle w:val="Piedepgina1"/>
          <w:jc w:val="right"/>
          <w:rPr>
            <w:rFonts w:ascii="Arial" w:hAnsi="Arial" w:cs="Arial"/>
            <w:sz w:val="18"/>
            <w:szCs w:val="18"/>
          </w:rPr>
        </w:pPr>
        <w:r w:rsidRPr="00614BA8">
          <w:rPr>
            <w:rFonts w:ascii="Arial" w:hAnsi="Arial" w:cs="Arial"/>
            <w:sz w:val="18"/>
            <w:szCs w:val="18"/>
          </w:rPr>
          <w:fldChar w:fldCharType="begin"/>
        </w:r>
        <w:r w:rsidR="00434129" w:rsidRPr="00614BA8">
          <w:rPr>
            <w:rFonts w:ascii="Arial" w:hAnsi="Arial" w:cs="Arial"/>
            <w:sz w:val="18"/>
            <w:szCs w:val="18"/>
          </w:rPr>
          <w:instrText xml:space="preserve"> PAGE   \* MERGEFORMAT </w:instrText>
        </w:r>
        <w:r w:rsidRPr="00614BA8">
          <w:rPr>
            <w:rFonts w:ascii="Arial" w:hAnsi="Arial" w:cs="Arial"/>
            <w:sz w:val="18"/>
            <w:szCs w:val="18"/>
          </w:rPr>
          <w:fldChar w:fldCharType="separate"/>
        </w:r>
        <w:r w:rsidR="00AC358D">
          <w:rPr>
            <w:rFonts w:ascii="Arial" w:hAnsi="Arial" w:cs="Arial"/>
            <w:noProof/>
            <w:sz w:val="18"/>
            <w:szCs w:val="18"/>
          </w:rPr>
          <w:t>12</w:t>
        </w:r>
        <w:r w:rsidRPr="00614BA8">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804" w:rsidRDefault="00110804" w:rsidP="00A175A5">
      <w:pPr>
        <w:spacing w:after="0" w:line="240" w:lineRule="auto"/>
      </w:pPr>
      <w:r>
        <w:separator/>
      </w:r>
    </w:p>
  </w:footnote>
  <w:footnote w:type="continuationSeparator" w:id="0">
    <w:p w:rsidR="00110804" w:rsidRDefault="00110804" w:rsidP="00A17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29" w:rsidRPr="00784FBD" w:rsidRDefault="00434129" w:rsidP="00331F2F">
    <w:pPr>
      <w:spacing w:after="0" w:line="240" w:lineRule="auto"/>
      <w:ind w:left="5664" w:right="78"/>
      <w:jc w:val="center"/>
      <w:rPr>
        <w:rFonts w:ascii="Arial" w:hAnsi="Arial" w:cs="Arial"/>
        <w:sz w:val="16"/>
        <w:szCs w:val="16"/>
      </w:rPr>
    </w:pPr>
    <w:proofErr w:type="spellStart"/>
    <w:r>
      <w:rPr>
        <w:rFonts w:ascii="Arial" w:hAnsi="Arial" w:cs="Arial"/>
        <w:sz w:val="16"/>
        <w:szCs w:val="16"/>
      </w:rPr>
      <w:t>Exp</w:t>
    </w:r>
    <w:proofErr w:type="spellEnd"/>
    <w:r>
      <w:rPr>
        <w:rFonts w:ascii="Arial" w:hAnsi="Arial" w:cs="Arial"/>
        <w:sz w:val="16"/>
        <w:szCs w:val="16"/>
      </w:rPr>
      <w:t>. 11001 31 05 023 2016 00034 01</w:t>
    </w:r>
  </w:p>
  <w:p w:rsidR="00434129" w:rsidRPr="00B745CC" w:rsidRDefault="00434129" w:rsidP="00331F2F">
    <w:pPr>
      <w:spacing w:after="0" w:line="240" w:lineRule="auto"/>
      <w:ind w:right="5323"/>
      <w:jc w:val="center"/>
      <w:rPr>
        <w:rFonts w:ascii="Arial" w:hAnsi="Arial" w:cs="Arial"/>
        <w:bCs/>
        <w:sz w:val="20"/>
        <w:szCs w:val="20"/>
      </w:rPr>
    </w:pPr>
    <w:r w:rsidRPr="005A46F5">
      <w:rPr>
        <w:rFonts w:ascii="Monotype Corsiva" w:hAnsi="Monotype Corsiva" w:cs="Monotype Corsiva"/>
        <w:sz w:val="28"/>
        <w:szCs w:val="28"/>
      </w:rPr>
      <w:t>República de Colombia</w:t>
    </w:r>
  </w:p>
  <w:p w:rsidR="00434129" w:rsidRDefault="00434129" w:rsidP="00331F2F">
    <w:pPr>
      <w:pStyle w:val="Encabezado1"/>
      <w:tabs>
        <w:tab w:val="left" w:pos="200"/>
        <w:tab w:val="right" w:pos="8272"/>
      </w:tabs>
      <w:ind w:right="5323"/>
      <w:jc w:val="center"/>
      <w:rPr>
        <w:sz w:val="28"/>
        <w:szCs w:val="28"/>
      </w:rPr>
    </w:pPr>
    <w:r>
      <w:rPr>
        <w:noProof/>
        <w:sz w:val="28"/>
        <w:szCs w:val="28"/>
        <w:lang w:eastAsia="es-ES"/>
      </w:rPr>
      <w:drawing>
        <wp:inline distT="0" distB="0" distL="0" distR="0">
          <wp:extent cx="711200"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685800"/>
                  </a:xfrm>
                  <a:prstGeom prst="rect">
                    <a:avLst/>
                  </a:prstGeom>
                  <a:noFill/>
                  <a:ln>
                    <a:noFill/>
                  </a:ln>
                </pic:spPr>
              </pic:pic>
            </a:graphicData>
          </a:graphic>
        </wp:inline>
      </w:drawing>
    </w:r>
  </w:p>
  <w:p w:rsidR="00434129" w:rsidRPr="00B21559" w:rsidRDefault="00434129" w:rsidP="00331F2F">
    <w:pPr>
      <w:pStyle w:val="Encabezado1"/>
      <w:tabs>
        <w:tab w:val="left" w:pos="200"/>
        <w:tab w:val="right" w:pos="8272"/>
      </w:tabs>
      <w:ind w:right="5323"/>
      <w:jc w:val="center"/>
      <w:rPr>
        <w:sz w:val="28"/>
        <w:szCs w:val="28"/>
      </w:rPr>
    </w:pPr>
    <w:r>
      <w:rPr>
        <w:rFonts w:ascii="Monotype Corsiva" w:hAnsi="Monotype Corsiva" w:cs="Monotype Corsiva"/>
        <w:sz w:val="28"/>
        <w:szCs w:val="28"/>
      </w:rPr>
      <w:t>Tribunal Superior de Bogotá</w:t>
    </w:r>
    <w:r w:rsidRPr="005A46F5">
      <w:rPr>
        <w:rFonts w:ascii="Monotype Corsiva" w:hAnsi="Monotype Corsiva" w:cs="Monotype Corsiva"/>
        <w:sz w:val="28"/>
        <w:szCs w:val="28"/>
      </w:rPr>
      <w:t xml:space="preserve"> D.C.</w:t>
    </w:r>
  </w:p>
  <w:p w:rsidR="00434129" w:rsidRPr="008A2EE9" w:rsidRDefault="00434129" w:rsidP="00331F2F">
    <w:pPr>
      <w:spacing w:after="0" w:line="240" w:lineRule="auto"/>
      <w:ind w:right="5323"/>
      <w:jc w:val="center"/>
    </w:pPr>
    <w:r>
      <w:rPr>
        <w:rFonts w:ascii="Monotype Corsiva" w:hAnsi="Monotype Corsiva" w:cs="Monotype Corsiva"/>
        <w:sz w:val="28"/>
        <w:szCs w:val="28"/>
      </w:rPr>
      <w:t>Sala Laboral</w:t>
    </w:r>
  </w:p>
  <w:p w:rsidR="00434129" w:rsidRDefault="00434129">
    <w:pPr>
      <w:pStyle w:val="Encabezado1"/>
    </w:pPr>
  </w:p>
  <w:p w:rsidR="00434129" w:rsidRPr="00371816" w:rsidRDefault="00434129" w:rsidP="00331F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29" w:rsidRPr="00B745CC" w:rsidRDefault="00434129" w:rsidP="00331F2F">
    <w:pPr>
      <w:spacing w:after="0" w:line="240" w:lineRule="auto"/>
      <w:ind w:right="5323"/>
      <w:jc w:val="center"/>
      <w:rPr>
        <w:rFonts w:ascii="Arial" w:hAnsi="Arial" w:cs="Arial"/>
        <w:bCs/>
        <w:sz w:val="20"/>
        <w:szCs w:val="20"/>
      </w:rPr>
    </w:pPr>
    <w:r w:rsidRPr="005A46F5">
      <w:rPr>
        <w:rFonts w:ascii="Monotype Corsiva" w:hAnsi="Monotype Corsiva" w:cs="Monotype Corsiva"/>
        <w:sz w:val="28"/>
        <w:szCs w:val="28"/>
      </w:rPr>
      <w:t>República de Colombia</w:t>
    </w:r>
  </w:p>
  <w:p w:rsidR="00434129" w:rsidRDefault="00434129" w:rsidP="00331F2F">
    <w:pPr>
      <w:pStyle w:val="Encabezado1"/>
      <w:tabs>
        <w:tab w:val="left" w:pos="200"/>
        <w:tab w:val="right" w:pos="8272"/>
      </w:tabs>
      <w:ind w:right="5323"/>
      <w:jc w:val="center"/>
      <w:rPr>
        <w:sz w:val="28"/>
        <w:szCs w:val="28"/>
      </w:rPr>
    </w:pPr>
    <w:r>
      <w:rPr>
        <w:noProof/>
        <w:sz w:val="28"/>
        <w:szCs w:val="28"/>
        <w:lang w:eastAsia="es-ES"/>
      </w:rPr>
      <w:drawing>
        <wp:inline distT="0" distB="0" distL="0" distR="0">
          <wp:extent cx="711200" cy="685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685800"/>
                  </a:xfrm>
                  <a:prstGeom prst="rect">
                    <a:avLst/>
                  </a:prstGeom>
                  <a:noFill/>
                  <a:ln>
                    <a:noFill/>
                  </a:ln>
                </pic:spPr>
              </pic:pic>
            </a:graphicData>
          </a:graphic>
        </wp:inline>
      </w:drawing>
    </w:r>
  </w:p>
  <w:p w:rsidR="00434129" w:rsidRPr="00B21559" w:rsidRDefault="00434129" w:rsidP="00331F2F">
    <w:pPr>
      <w:pStyle w:val="Encabezado1"/>
      <w:tabs>
        <w:tab w:val="left" w:pos="200"/>
        <w:tab w:val="right" w:pos="8272"/>
      </w:tabs>
      <w:ind w:right="5323"/>
      <w:jc w:val="center"/>
      <w:rPr>
        <w:sz w:val="28"/>
        <w:szCs w:val="28"/>
      </w:rPr>
    </w:pPr>
    <w:r>
      <w:rPr>
        <w:rFonts w:ascii="Monotype Corsiva" w:hAnsi="Monotype Corsiva" w:cs="Monotype Corsiva"/>
        <w:sz w:val="28"/>
        <w:szCs w:val="28"/>
      </w:rPr>
      <w:t>Tribunal Superior de Bogotá</w:t>
    </w:r>
    <w:r w:rsidRPr="005A46F5">
      <w:rPr>
        <w:rFonts w:ascii="Monotype Corsiva" w:hAnsi="Monotype Corsiva" w:cs="Monotype Corsiva"/>
        <w:sz w:val="28"/>
        <w:szCs w:val="28"/>
      </w:rPr>
      <w:t xml:space="preserve"> D.C.</w:t>
    </w:r>
  </w:p>
  <w:p w:rsidR="00434129" w:rsidRPr="008A2EE9" w:rsidRDefault="00434129" w:rsidP="00331F2F">
    <w:pPr>
      <w:spacing w:after="0" w:line="240" w:lineRule="auto"/>
      <w:ind w:right="5323"/>
      <w:jc w:val="center"/>
    </w:pPr>
    <w:r>
      <w:rPr>
        <w:rFonts w:ascii="Monotype Corsiva" w:hAnsi="Monotype Corsiva" w:cs="Monotype Corsiva"/>
        <w:sz w:val="28"/>
        <w:szCs w:val="28"/>
      </w:rPr>
      <w:t>Sala Laboral</w:t>
    </w:r>
  </w:p>
  <w:p w:rsidR="00434129" w:rsidRPr="009136DF" w:rsidRDefault="00434129">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21C17"/>
    <w:multiLevelType w:val="hybridMultilevel"/>
    <w:tmpl w:val="D45C7ED0"/>
    <w:lvl w:ilvl="0" w:tplc="BEE4DBE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2FD41FDD"/>
    <w:multiLevelType w:val="hybridMultilevel"/>
    <w:tmpl w:val="D1182F2C"/>
    <w:lvl w:ilvl="0" w:tplc="B21E951C">
      <w:start w:val="1"/>
      <w:numFmt w:val="lowerLetter"/>
      <w:lvlText w:val="%1."/>
      <w:lvlJc w:val="left"/>
      <w:pPr>
        <w:ind w:left="1069" w:hanging="360"/>
      </w:pPr>
      <w:rPr>
        <w:rFonts w:ascii="Arial" w:eastAsia="Calibri" w:hAnsi="Arial" w:cs="Arial" w:hint="default"/>
        <w:sz w:val="24"/>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30957B8C"/>
    <w:multiLevelType w:val="hybridMultilevel"/>
    <w:tmpl w:val="E2A2F838"/>
    <w:lvl w:ilvl="0" w:tplc="3AC88FC0">
      <w:start w:val="1"/>
      <w:numFmt w:val="decimal"/>
      <w:lvlText w:val="%1."/>
      <w:lvlJc w:val="left"/>
      <w:pPr>
        <w:ind w:left="1069" w:hanging="360"/>
      </w:pPr>
      <w:rPr>
        <w:rFonts w:hint="default"/>
        <w:b/>
        <w:sz w:val="24"/>
        <w:szCs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
    <w:nsid w:val="3BEE54EE"/>
    <w:multiLevelType w:val="multilevel"/>
    <w:tmpl w:val="1188CC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7BE7797"/>
    <w:multiLevelType w:val="multilevel"/>
    <w:tmpl w:val="5AF26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7F07567"/>
    <w:multiLevelType w:val="multilevel"/>
    <w:tmpl w:val="72E40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C4F14C2"/>
    <w:multiLevelType w:val="hybridMultilevel"/>
    <w:tmpl w:val="C4EE7E22"/>
    <w:lvl w:ilvl="0" w:tplc="639027B6">
      <w:start w:val="1"/>
      <w:numFmt w:val="upperRoman"/>
      <w:pStyle w:val="Yo"/>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5E5D5792"/>
    <w:multiLevelType w:val="hybridMultilevel"/>
    <w:tmpl w:val="9D925C1A"/>
    <w:lvl w:ilvl="0" w:tplc="D49AD16A">
      <w:start w:val="1"/>
      <w:numFmt w:val="lowerLetter"/>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nsid w:val="5F352FF5"/>
    <w:multiLevelType w:val="hybridMultilevel"/>
    <w:tmpl w:val="5B44AC16"/>
    <w:lvl w:ilvl="0" w:tplc="61ECEFA6">
      <w:start w:val="1"/>
      <w:numFmt w:val="lowerLetter"/>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9">
    <w:nsid w:val="78AD5E58"/>
    <w:multiLevelType w:val="hybridMultilevel"/>
    <w:tmpl w:val="140A3952"/>
    <w:lvl w:ilvl="0" w:tplc="7546A0F8">
      <w:start w:val="1"/>
      <w:numFmt w:val="lowerLetter"/>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2"/>
  </w:num>
  <w:num w:numId="2">
    <w:abstractNumId w:val="0"/>
  </w:num>
  <w:num w:numId="3">
    <w:abstractNumId w:val="7"/>
  </w:num>
  <w:num w:numId="4">
    <w:abstractNumId w:val="8"/>
  </w:num>
  <w:num w:numId="5">
    <w:abstractNumId w:val="3"/>
  </w:num>
  <w:num w:numId="6">
    <w:abstractNumId w:val="4"/>
  </w:num>
  <w:num w:numId="7">
    <w:abstractNumId w:val="5"/>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998"/>
    <w:rsid w:val="000127F1"/>
    <w:rsid w:val="0004266D"/>
    <w:rsid w:val="00045FF2"/>
    <w:rsid w:val="00066002"/>
    <w:rsid w:val="000773C6"/>
    <w:rsid w:val="00091791"/>
    <w:rsid w:val="000917DB"/>
    <w:rsid w:val="00094579"/>
    <w:rsid w:val="000A17A4"/>
    <w:rsid w:val="000D25B7"/>
    <w:rsid w:val="000D4123"/>
    <w:rsid w:val="000E3D0F"/>
    <w:rsid w:val="00110804"/>
    <w:rsid w:val="00125AFD"/>
    <w:rsid w:val="00143D4E"/>
    <w:rsid w:val="001476FC"/>
    <w:rsid w:val="001516DC"/>
    <w:rsid w:val="0015320B"/>
    <w:rsid w:val="0017258D"/>
    <w:rsid w:val="001838AB"/>
    <w:rsid w:val="00191D62"/>
    <w:rsid w:val="001A7961"/>
    <w:rsid w:val="001D736F"/>
    <w:rsid w:val="001E3F32"/>
    <w:rsid w:val="002078F0"/>
    <w:rsid w:val="00213C91"/>
    <w:rsid w:val="0021663A"/>
    <w:rsid w:val="002406A0"/>
    <w:rsid w:val="00257530"/>
    <w:rsid w:val="002618E3"/>
    <w:rsid w:val="00273C74"/>
    <w:rsid w:val="00275FCC"/>
    <w:rsid w:val="002832C1"/>
    <w:rsid w:val="00290540"/>
    <w:rsid w:val="002A7538"/>
    <w:rsid w:val="002D596B"/>
    <w:rsid w:val="002E1D2D"/>
    <w:rsid w:val="002F4DD6"/>
    <w:rsid w:val="0033141E"/>
    <w:rsid w:val="00331F2F"/>
    <w:rsid w:val="00346037"/>
    <w:rsid w:val="003674BE"/>
    <w:rsid w:val="0038678C"/>
    <w:rsid w:val="00390D51"/>
    <w:rsid w:val="003A0EA8"/>
    <w:rsid w:val="003A3825"/>
    <w:rsid w:val="003C0EFF"/>
    <w:rsid w:val="003E1C9D"/>
    <w:rsid w:val="003F4989"/>
    <w:rsid w:val="00404493"/>
    <w:rsid w:val="004320CF"/>
    <w:rsid w:val="00434129"/>
    <w:rsid w:val="00454D63"/>
    <w:rsid w:val="00466286"/>
    <w:rsid w:val="004755D1"/>
    <w:rsid w:val="00477700"/>
    <w:rsid w:val="00477879"/>
    <w:rsid w:val="00482A60"/>
    <w:rsid w:val="004B4968"/>
    <w:rsid w:val="004F26D8"/>
    <w:rsid w:val="00507CE2"/>
    <w:rsid w:val="00510577"/>
    <w:rsid w:val="005216B2"/>
    <w:rsid w:val="00530C93"/>
    <w:rsid w:val="00531A67"/>
    <w:rsid w:val="00535C0B"/>
    <w:rsid w:val="0054135A"/>
    <w:rsid w:val="00551D9A"/>
    <w:rsid w:val="00567870"/>
    <w:rsid w:val="00571CFD"/>
    <w:rsid w:val="005767DA"/>
    <w:rsid w:val="00580610"/>
    <w:rsid w:val="0058552F"/>
    <w:rsid w:val="005A1E22"/>
    <w:rsid w:val="005A5908"/>
    <w:rsid w:val="005B3F11"/>
    <w:rsid w:val="005B5969"/>
    <w:rsid w:val="005B6ADD"/>
    <w:rsid w:val="005C42FB"/>
    <w:rsid w:val="005C675C"/>
    <w:rsid w:val="005D41E0"/>
    <w:rsid w:val="0060281E"/>
    <w:rsid w:val="00611E69"/>
    <w:rsid w:val="0063769E"/>
    <w:rsid w:val="006432D5"/>
    <w:rsid w:val="006522D3"/>
    <w:rsid w:val="0066633A"/>
    <w:rsid w:val="00672001"/>
    <w:rsid w:val="00672180"/>
    <w:rsid w:val="00672800"/>
    <w:rsid w:val="0067452D"/>
    <w:rsid w:val="00686FE3"/>
    <w:rsid w:val="00691834"/>
    <w:rsid w:val="006977B0"/>
    <w:rsid w:val="006C5513"/>
    <w:rsid w:val="006E50A6"/>
    <w:rsid w:val="007026CD"/>
    <w:rsid w:val="00702903"/>
    <w:rsid w:val="00711384"/>
    <w:rsid w:val="007313EA"/>
    <w:rsid w:val="00743CE8"/>
    <w:rsid w:val="00754707"/>
    <w:rsid w:val="0076475B"/>
    <w:rsid w:val="00764761"/>
    <w:rsid w:val="00767E3D"/>
    <w:rsid w:val="007A20B7"/>
    <w:rsid w:val="007C74D3"/>
    <w:rsid w:val="007E380F"/>
    <w:rsid w:val="007E5E5E"/>
    <w:rsid w:val="00807E2E"/>
    <w:rsid w:val="00813240"/>
    <w:rsid w:val="00813901"/>
    <w:rsid w:val="00844E05"/>
    <w:rsid w:val="0085524F"/>
    <w:rsid w:val="00855E02"/>
    <w:rsid w:val="0086562C"/>
    <w:rsid w:val="008668A8"/>
    <w:rsid w:val="008703E1"/>
    <w:rsid w:val="008836C4"/>
    <w:rsid w:val="00886F23"/>
    <w:rsid w:val="00887AED"/>
    <w:rsid w:val="008A3E86"/>
    <w:rsid w:val="008B4FFF"/>
    <w:rsid w:val="008D3B76"/>
    <w:rsid w:val="008E1D28"/>
    <w:rsid w:val="008F150A"/>
    <w:rsid w:val="008F33D0"/>
    <w:rsid w:val="009017E7"/>
    <w:rsid w:val="009136DF"/>
    <w:rsid w:val="00916978"/>
    <w:rsid w:val="009423F5"/>
    <w:rsid w:val="00954B6E"/>
    <w:rsid w:val="009773C5"/>
    <w:rsid w:val="00995036"/>
    <w:rsid w:val="009C54E6"/>
    <w:rsid w:val="00A134CD"/>
    <w:rsid w:val="00A16E93"/>
    <w:rsid w:val="00A175A5"/>
    <w:rsid w:val="00A2153E"/>
    <w:rsid w:val="00A230F6"/>
    <w:rsid w:val="00A35FEA"/>
    <w:rsid w:val="00A611B3"/>
    <w:rsid w:val="00A63B8D"/>
    <w:rsid w:val="00A73776"/>
    <w:rsid w:val="00A849E5"/>
    <w:rsid w:val="00AA080C"/>
    <w:rsid w:val="00AA49F4"/>
    <w:rsid w:val="00AB26EC"/>
    <w:rsid w:val="00AB2ADD"/>
    <w:rsid w:val="00AB32D6"/>
    <w:rsid w:val="00AB4F76"/>
    <w:rsid w:val="00AC2EF4"/>
    <w:rsid w:val="00AC358D"/>
    <w:rsid w:val="00AD008D"/>
    <w:rsid w:val="00AD6AF3"/>
    <w:rsid w:val="00AE3369"/>
    <w:rsid w:val="00B30DD9"/>
    <w:rsid w:val="00B47010"/>
    <w:rsid w:val="00B512B4"/>
    <w:rsid w:val="00B54953"/>
    <w:rsid w:val="00B65FD3"/>
    <w:rsid w:val="00B7751D"/>
    <w:rsid w:val="00BA6B85"/>
    <w:rsid w:val="00BC3D38"/>
    <w:rsid w:val="00BD2194"/>
    <w:rsid w:val="00BD269B"/>
    <w:rsid w:val="00BE1C88"/>
    <w:rsid w:val="00BE4BE3"/>
    <w:rsid w:val="00BF48E7"/>
    <w:rsid w:val="00C46031"/>
    <w:rsid w:val="00C5287D"/>
    <w:rsid w:val="00C60186"/>
    <w:rsid w:val="00C6211C"/>
    <w:rsid w:val="00C62C00"/>
    <w:rsid w:val="00C63E4D"/>
    <w:rsid w:val="00C72358"/>
    <w:rsid w:val="00C850D3"/>
    <w:rsid w:val="00C92C6E"/>
    <w:rsid w:val="00CB4DC4"/>
    <w:rsid w:val="00CD39A0"/>
    <w:rsid w:val="00D000E5"/>
    <w:rsid w:val="00D17AC4"/>
    <w:rsid w:val="00D251DF"/>
    <w:rsid w:val="00D3672F"/>
    <w:rsid w:val="00D479B4"/>
    <w:rsid w:val="00D52DB9"/>
    <w:rsid w:val="00D72059"/>
    <w:rsid w:val="00D736E4"/>
    <w:rsid w:val="00D769FD"/>
    <w:rsid w:val="00D76B11"/>
    <w:rsid w:val="00D87FAC"/>
    <w:rsid w:val="00DA6393"/>
    <w:rsid w:val="00DB6149"/>
    <w:rsid w:val="00E11DE9"/>
    <w:rsid w:val="00E12BEA"/>
    <w:rsid w:val="00E31F66"/>
    <w:rsid w:val="00E3329C"/>
    <w:rsid w:val="00E51817"/>
    <w:rsid w:val="00E7541C"/>
    <w:rsid w:val="00E8001E"/>
    <w:rsid w:val="00E81AE0"/>
    <w:rsid w:val="00EB6582"/>
    <w:rsid w:val="00ED1779"/>
    <w:rsid w:val="00EE6507"/>
    <w:rsid w:val="00EF0674"/>
    <w:rsid w:val="00F03998"/>
    <w:rsid w:val="00F0582B"/>
    <w:rsid w:val="00F07CE9"/>
    <w:rsid w:val="00F3697A"/>
    <w:rsid w:val="00F426FE"/>
    <w:rsid w:val="00F4292D"/>
    <w:rsid w:val="00F52F46"/>
    <w:rsid w:val="00F57778"/>
    <w:rsid w:val="00F63EE3"/>
    <w:rsid w:val="00FA5AFF"/>
    <w:rsid w:val="00FE26AC"/>
    <w:rsid w:val="00FF55E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970AF38-2E50-45CC-8688-F54AFE17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998"/>
    <w:rPr>
      <w:lang w:val="es-ES"/>
    </w:rPr>
  </w:style>
  <w:style w:type="paragraph" w:styleId="Ttulo3">
    <w:name w:val="heading 3"/>
    <w:basedOn w:val="Normal"/>
    <w:next w:val="Normal"/>
    <w:link w:val="Ttulo3Car"/>
    <w:uiPriority w:val="9"/>
    <w:semiHidden/>
    <w:unhideWhenUsed/>
    <w:qFormat/>
    <w:rsid w:val="004777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Encabezado"/>
    <w:link w:val="EncabezadoCar"/>
    <w:uiPriority w:val="99"/>
    <w:unhideWhenUsed/>
    <w:rsid w:val="00F03998"/>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F03998"/>
    <w:rPr>
      <w:lang w:val="es-ES"/>
    </w:rPr>
  </w:style>
  <w:style w:type="paragraph" w:customStyle="1" w:styleId="Piedepgina1">
    <w:name w:val="Pie de página1"/>
    <w:basedOn w:val="Normal"/>
    <w:next w:val="Piedepgina"/>
    <w:link w:val="PiedepginaCar"/>
    <w:uiPriority w:val="99"/>
    <w:unhideWhenUsed/>
    <w:rsid w:val="00F03998"/>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F03998"/>
    <w:rPr>
      <w:lang w:val="es-ES"/>
    </w:rPr>
  </w:style>
  <w:style w:type="paragraph" w:styleId="Prrafodelista">
    <w:name w:val="List Paragraph"/>
    <w:basedOn w:val="Normal"/>
    <w:uiPriority w:val="34"/>
    <w:qFormat/>
    <w:rsid w:val="00F03998"/>
    <w:pPr>
      <w:ind w:left="720"/>
      <w:contextualSpacing/>
    </w:pPr>
  </w:style>
  <w:style w:type="paragraph" w:styleId="Encabezado">
    <w:name w:val="header"/>
    <w:basedOn w:val="Normal"/>
    <w:link w:val="EncabezadoCar1"/>
    <w:uiPriority w:val="99"/>
    <w:unhideWhenUsed/>
    <w:rsid w:val="00F03998"/>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rsid w:val="00F03998"/>
    <w:rPr>
      <w:lang w:val="es-ES"/>
    </w:rPr>
  </w:style>
  <w:style w:type="paragraph" w:styleId="Piedepgina">
    <w:name w:val="footer"/>
    <w:basedOn w:val="Normal"/>
    <w:link w:val="PiedepginaCar1"/>
    <w:uiPriority w:val="99"/>
    <w:unhideWhenUsed/>
    <w:rsid w:val="00F03998"/>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F03998"/>
    <w:rPr>
      <w:lang w:val="es-ES"/>
    </w:rPr>
  </w:style>
  <w:style w:type="paragraph" w:customStyle="1" w:styleId="cuerpoa">
    <w:name w:val="cuerpoa"/>
    <w:basedOn w:val="Normal"/>
    <w:rsid w:val="0066633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rsid w:val="000917DB"/>
    <w:pPr>
      <w:spacing w:after="0" w:line="360" w:lineRule="auto"/>
      <w:ind w:firstLine="709"/>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rsid w:val="000917DB"/>
    <w:rPr>
      <w:rFonts w:ascii="Calibri" w:eastAsia="Calibri" w:hAnsi="Calibri" w:cs="Times New Roman"/>
      <w:sz w:val="20"/>
      <w:szCs w:val="20"/>
    </w:rPr>
  </w:style>
  <w:style w:type="character" w:styleId="Refdenotaalpie">
    <w:name w:val="footnote reference"/>
    <w:rsid w:val="000917DB"/>
    <w:rPr>
      <w:vertAlign w:val="superscript"/>
    </w:rPr>
  </w:style>
  <w:style w:type="paragraph" w:styleId="NormalWeb">
    <w:name w:val="Normal (Web)"/>
    <w:basedOn w:val="Normal"/>
    <w:uiPriority w:val="99"/>
    <w:rsid w:val="008132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unhideWhenUsed/>
    <w:rsid w:val="006C5513"/>
    <w:pPr>
      <w:spacing w:after="0" w:line="360" w:lineRule="auto"/>
      <w:ind w:firstLine="1418"/>
      <w:jc w:val="both"/>
    </w:pPr>
    <w:rPr>
      <w:rFonts w:ascii="Arial" w:eastAsia="Times New Roman" w:hAnsi="Arial" w:cs="Times New Roman"/>
      <w:sz w:val="28"/>
      <w:szCs w:val="20"/>
      <w:lang w:eastAsia="es-ES"/>
    </w:rPr>
  </w:style>
  <w:style w:type="character" w:customStyle="1" w:styleId="SangradetextonormalCar">
    <w:name w:val="Sangría de texto normal Car"/>
    <w:basedOn w:val="Fuentedeprrafopredeter"/>
    <w:link w:val="Sangradetextonormal"/>
    <w:semiHidden/>
    <w:rsid w:val="006C5513"/>
    <w:rPr>
      <w:rFonts w:ascii="Arial" w:eastAsia="Times New Roman" w:hAnsi="Arial" w:cs="Times New Roman"/>
      <w:sz w:val="28"/>
      <w:szCs w:val="20"/>
      <w:lang w:val="es-ES" w:eastAsia="es-ES"/>
    </w:rPr>
  </w:style>
  <w:style w:type="paragraph" w:styleId="Sangra3detindependiente">
    <w:name w:val="Body Text Indent 3"/>
    <w:basedOn w:val="Normal"/>
    <w:link w:val="Sangra3detindependienteCar"/>
    <w:semiHidden/>
    <w:unhideWhenUsed/>
    <w:rsid w:val="006C5513"/>
    <w:pPr>
      <w:spacing w:after="0" w:line="360" w:lineRule="auto"/>
      <w:ind w:firstLine="708"/>
      <w:jc w:val="both"/>
    </w:pPr>
    <w:rPr>
      <w:rFonts w:ascii="Verdana" w:eastAsia="Times New Roman" w:hAnsi="Verdana" w:cs="Times New Roman"/>
      <w:sz w:val="28"/>
      <w:szCs w:val="20"/>
      <w:lang w:eastAsia="es-ES"/>
    </w:rPr>
  </w:style>
  <w:style w:type="character" w:customStyle="1" w:styleId="Sangra3detindependienteCar">
    <w:name w:val="Sangría 3 de t. independiente Car"/>
    <w:basedOn w:val="Fuentedeprrafopredeter"/>
    <w:link w:val="Sangra3detindependiente"/>
    <w:semiHidden/>
    <w:rsid w:val="006C5513"/>
    <w:rPr>
      <w:rFonts w:ascii="Verdana" w:eastAsia="Times New Roman" w:hAnsi="Verdana" w:cs="Times New Roman"/>
      <w:sz w:val="28"/>
      <w:szCs w:val="20"/>
      <w:lang w:val="es-ES" w:eastAsia="es-ES"/>
    </w:rPr>
  </w:style>
  <w:style w:type="character" w:customStyle="1" w:styleId="apple-converted-space">
    <w:name w:val="apple-converted-space"/>
    <w:basedOn w:val="Fuentedeprrafopredeter"/>
    <w:rsid w:val="002618E3"/>
  </w:style>
  <w:style w:type="character" w:styleId="Hipervnculo">
    <w:name w:val="Hyperlink"/>
    <w:basedOn w:val="Fuentedeprrafopredeter"/>
    <w:uiPriority w:val="99"/>
    <w:unhideWhenUsed/>
    <w:rsid w:val="002618E3"/>
    <w:rPr>
      <w:color w:val="0000FF"/>
      <w:u w:val="single"/>
    </w:rPr>
  </w:style>
  <w:style w:type="paragraph" w:customStyle="1" w:styleId="Yo">
    <w:name w:val="Yo"/>
    <w:basedOn w:val="Ttulo3"/>
    <w:rsid w:val="00477700"/>
    <w:pPr>
      <w:keepLines w:val="0"/>
      <w:widowControl w:val="0"/>
      <w:numPr>
        <w:numId w:val="9"/>
      </w:numPr>
      <w:tabs>
        <w:tab w:val="clear" w:pos="1080"/>
        <w:tab w:val="left" w:pos="-1440"/>
        <w:tab w:val="left" w:pos="-720"/>
      </w:tabs>
      <w:suppressAutoHyphens/>
      <w:spacing w:before="0" w:line="360" w:lineRule="auto"/>
      <w:ind w:left="720" w:hanging="360"/>
      <w:jc w:val="center"/>
    </w:pPr>
    <w:rPr>
      <w:rFonts w:ascii="Bookman Old Style" w:eastAsia="Times New Roman" w:hAnsi="Bookman Old Style" w:cs="Estrangelo Edessa"/>
      <w:b/>
      <w:bCs/>
      <w:color w:val="auto"/>
      <w:sz w:val="28"/>
      <w:szCs w:val="28"/>
      <w:lang w:eastAsia="es-ES"/>
    </w:rPr>
  </w:style>
  <w:style w:type="paragraph" w:styleId="Textoindependiente2">
    <w:name w:val="Body Text 2"/>
    <w:basedOn w:val="Normal"/>
    <w:link w:val="Textoindependiente2Car"/>
    <w:uiPriority w:val="99"/>
    <w:semiHidden/>
    <w:unhideWhenUsed/>
    <w:rsid w:val="00477700"/>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uiPriority w:val="99"/>
    <w:semiHidden/>
    <w:rsid w:val="00477700"/>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semiHidden/>
    <w:rsid w:val="00477700"/>
    <w:rPr>
      <w:rFonts w:asciiTheme="majorHAnsi" w:eastAsiaTheme="majorEastAsia" w:hAnsiTheme="majorHAnsi" w:cstheme="majorBidi"/>
      <w:color w:val="1F4D78" w:themeColor="accent1" w:themeShade="7F"/>
      <w:sz w:val="24"/>
      <w:szCs w:val="24"/>
      <w:lang w:val="es-ES"/>
    </w:rPr>
  </w:style>
  <w:style w:type="paragraph" w:styleId="Textodeglobo">
    <w:name w:val="Balloon Text"/>
    <w:basedOn w:val="Normal"/>
    <w:link w:val="TextodegloboCar"/>
    <w:uiPriority w:val="99"/>
    <w:semiHidden/>
    <w:unhideWhenUsed/>
    <w:rsid w:val="001838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38AB"/>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426353">
      <w:bodyDiv w:val="1"/>
      <w:marLeft w:val="0"/>
      <w:marRight w:val="0"/>
      <w:marTop w:val="0"/>
      <w:marBottom w:val="0"/>
      <w:divBdr>
        <w:top w:val="none" w:sz="0" w:space="0" w:color="auto"/>
        <w:left w:val="none" w:sz="0" w:space="0" w:color="auto"/>
        <w:bottom w:val="none" w:sz="0" w:space="0" w:color="auto"/>
        <w:right w:val="none" w:sz="0" w:space="0" w:color="auto"/>
      </w:divBdr>
    </w:div>
    <w:div w:id="821972550">
      <w:bodyDiv w:val="1"/>
      <w:marLeft w:val="0"/>
      <w:marRight w:val="0"/>
      <w:marTop w:val="0"/>
      <w:marBottom w:val="0"/>
      <w:divBdr>
        <w:top w:val="none" w:sz="0" w:space="0" w:color="auto"/>
        <w:left w:val="none" w:sz="0" w:space="0" w:color="auto"/>
        <w:bottom w:val="none" w:sz="0" w:space="0" w:color="auto"/>
        <w:right w:val="none" w:sz="0" w:space="0" w:color="auto"/>
      </w:divBdr>
    </w:div>
    <w:div w:id="840700038">
      <w:bodyDiv w:val="1"/>
      <w:marLeft w:val="0"/>
      <w:marRight w:val="0"/>
      <w:marTop w:val="0"/>
      <w:marBottom w:val="0"/>
      <w:divBdr>
        <w:top w:val="none" w:sz="0" w:space="0" w:color="auto"/>
        <w:left w:val="none" w:sz="0" w:space="0" w:color="auto"/>
        <w:bottom w:val="none" w:sz="0" w:space="0" w:color="auto"/>
        <w:right w:val="none" w:sz="0" w:space="0" w:color="auto"/>
      </w:divBdr>
    </w:div>
    <w:div w:id="16181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B818D-881A-49FA-989C-6D863EAF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3588</Words>
  <Characters>19739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dc:creator>
  <cp:keywords/>
  <dc:description/>
  <cp:lastModifiedBy>Nayla Johanna Alfonso Mogollon</cp:lastModifiedBy>
  <cp:revision>2</cp:revision>
  <cp:lastPrinted>2016-11-10T12:22:00Z</cp:lastPrinted>
  <dcterms:created xsi:type="dcterms:W3CDTF">2016-12-15T19:33:00Z</dcterms:created>
  <dcterms:modified xsi:type="dcterms:W3CDTF">2016-12-15T19:33:00Z</dcterms:modified>
</cp:coreProperties>
</file>