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9DE48" w14:textId="77777777" w:rsidR="00BD69CE" w:rsidRPr="001458A8" w:rsidRDefault="00BD69CE" w:rsidP="00BD69CE">
      <w:pPr>
        <w:ind w:left="-1701"/>
        <w:jc w:val="center"/>
        <w:rPr>
          <w:rFonts w:ascii="Times New Roman" w:hAnsi="Times New Roman" w:cs="Times New Roman"/>
          <w:color w:val="002060"/>
        </w:rPr>
      </w:pPr>
      <w:r w:rsidRPr="001458A8">
        <w:rPr>
          <w:rFonts w:ascii="Times New Roman" w:hAnsi="Times New Roman" w:cs="Times New Roman"/>
          <w:noProof/>
          <w:color w:val="002060"/>
          <w:lang w:eastAsia="es-ES"/>
        </w:rPr>
        <w:drawing>
          <wp:anchor distT="0" distB="0" distL="114300" distR="114300" simplePos="0" relativeHeight="251659264" behindDoc="0" locked="0" layoutInCell="1" allowOverlap="1" wp14:anchorId="72725BCF" wp14:editId="2838F6A8">
            <wp:simplePos x="0" y="0"/>
            <wp:positionH relativeFrom="page">
              <wp:align>left</wp:align>
            </wp:positionH>
            <wp:positionV relativeFrom="paragraph">
              <wp:posOffset>-899795</wp:posOffset>
            </wp:positionV>
            <wp:extent cx="7780655" cy="30575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0655" cy="3057525"/>
                    </a:xfrm>
                    <a:prstGeom prst="rect">
                      <a:avLst/>
                    </a:prstGeom>
                    <a:noFill/>
                  </pic:spPr>
                </pic:pic>
              </a:graphicData>
            </a:graphic>
            <wp14:sizeRelH relativeFrom="page">
              <wp14:pctWidth>0</wp14:pctWidth>
            </wp14:sizeRelH>
            <wp14:sizeRelV relativeFrom="margin">
              <wp14:pctHeight>0</wp14:pctHeight>
            </wp14:sizeRelV>
          </wp:anchor>
        </w:drawing>
      </w:r>
    </w:p>
    <w:p w14:paraId="78712C3F" w14:textId="77777777" w:rsidR="00BD69CE" w:rsidRPr="001458A8" w:rsidRDefault="00BD69CE" w:rsidP="00BD69CE">
      <w:pPr>
        <w:rPr>
          <w:rFonts w:ascii="Times New Roman" w:hAnsi="Times New Roman" w:cs="Times New Roman"/>
          <w:color w:val="002060"/>
        </w:rPr>
      </w:pPr>
    </w:p>
    <w:p w14:paraId="28BB77A8" w14:textId="77777777" w:rsidR="00BD69CE" w:rsidRPr="001458A8" w:rsidRDefault="00BD69CE" w:rsidP="00BD69CE">
      <w:pPr>
        <w:rPr>
          <w:rFonts w:ascii="Times New Roman" w:hAnsi="Times New Roman" w:cs="Times New Roman"/>
          <w:color w:val="002060"/>
        </w:rPr>
      </w:pPr>
    </w:p>
    <w:p w14:paraId="3AEA2ACB" w14:textId="77777777" w:rsidR="00BD69CE" w:rsidRPr="001458A8" w:rsidRDefault="00BD69CE" w:rsidP="00BD69CE">
      <w:pPr>
        <w:rPr>
          <w:rFonts w:ascii="Times New Roman" w:hAnsi="Times New Roman" w:cs="Times New Roman"/>
          <w:color w:val="002060"/>
        </w:rPr>
      </w:pPr>
    </w:p>
    <w:p w14:paraId="44788184" w14:textId="77777777" w:rsidR="00BD69CE" w:rsidRPr="001458A8" w:rsidRDefault="00BD69CE" w:rsidP="00BD69CE">
      <w:pPr>
        <w:rPr>
          <w:rFonts w:ascii="Times New Roman" w:hAnsi="Times New Roman" w:cs="Times New Roman"/>
          <w:color w:val="002060"/>
        </w:rPr>
      </w:pPr>
    </w:p>
    <w:p w14:paraId="5E0D81A3" w14:textId="77777777" w:rsidR="00BD69CE" w:rsidRPr="001458A8" w:rsidRDefault="00BD69CE" w:rsidP="00BD69CE">
      <w:pPr>
        <w:rPr>
          <w:rFonts w:ascii="Times New Roman" w:hAnsi="Times New Roman" w:cs="Times New Roman"/>
          <w:color w:val="002060"/>
        </w:rPr>
      </w:pPr>
    </w:p>
    <w:p w14:paraId="47333E81" w14:textId="77777777" w:rsidR="00BD69CE" w:rsidRPr="001458A8" w:rsidRDefault="00BD69CE" w:rsidP="00BD69CE">
      <w:pPr>
        <w:rPr>
          <w:rFonts w:ascii="Times New Roman" w:hAnsi="Times New Roman" w:cs="Times New Roman"/>
          <w:color w:val="002060"/>
        </w:rPr>
      </w:pPr>
    </w:p>
    <w:p w14:paraId="13F1B11C" w14:textId="77777777" w:rsidR="00BD69CE" w:rsidRPr="001458A8" w:rsidRDefault="00BD69CE" w:rsidP="00BD69CE">
      <w:pPr>
        <w:rPr>
          <w:rFonts w:ascii="Times New Roman" w:hAnsi="Times New Roman" w:cs="Times New Roman"/>
          <w:b/>
          <w:color w:val="002060"/>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pPr>
    </w:p>
    <w:p w14:paraId="3A243545" w14:textId="77777777" w:rsidR="001D15C1" w:rsidRDefault="001D15C1"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ectPr w:rsidR="001D15C1" w:rsidSect="00C65BAE">
          <w:footerReference w:type="default" r:id="rId9"/>
          <w:pgSz w:w="12242" w:h="19442" w:code="190"/>
          <w:pgMar w:top="1417" w:right="1701" w:bottom="1417" w:left="1701" w:header="708" w:footer="708" w:gutter="0"/>
          <w:cols w:num="2" w:space="708"/>
          <w:docGrid w:linePitch="360"/>
        </w:sectPr>
      </w:pPr>
    </w:p>
    <w:p w14:paraId="1A1C7774"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TRIBUNAL DE BOGOTÁ</w:t>
      </w:r>
    </w:p>
    <w:p w14:paraId="511F5962"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BOLETÍN JURISPRUDENCIAL</w:t>
      </w:r>
    </w:p>
    <w:p w14:paraId="3AB4DFF1"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3</w:t>
      </w:r>
      <w: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1 DE MAYO</w:t>
      </w: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DE 2018 </w:t>
      </w:r>
    </w:p>
    <w:p w14:paraId="47FFE423" w14:textId="77777777" w:rsidR="00E97864" w:rsidRDefault="00BD69C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CONTENIDO DE ESTE BOLETÍN ES DE CARÁCTER INFORMATIVO. SE </w:t>
      </w:r>
    </w:p>
    <w:p w14:paraId="3EDFE669" w14:textId="77777777" w:rsidR="0082621E" w:rsidRDefault="0082621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71FDD" w14:textId="77777777" w:rsidR="00561FF9" w:rsidRDefault="00561FF9"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E3354" w14:textId="77777777" w:rsidR="00AE15A5" w:rsidRPr="00561FF9" w:rsidRDefault="00AE15A5"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419C0" w14:textId="77777777" w:rsidR="00E97864" w:rsidRPr="00561FF9" w:rsidRDefault="00E97864"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TRIBUNAL SUPERIOR DE BOGOTÁ</w:t>
      </w:r>
    </w:p>
    <w:p w14:paraId="168C9486" w14:textId="77777777" w:rsidR="00E97864" w:rsidRPr="00561FF9" w:rsidRDefault="00E97864"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BOLETÍN JURISPRUDENCIAL</w:t>
      </w:r>
    </w:p>
    <w:p w14:paraId="2A2A8DE1" w14:textId="1EAB0957" w:rsidR="00E97864" w:rsidRPr="00561FF9" w:rsidRDefault="00895808" w:rsidP="00895808">
      <w:pPr>
        <w:tabs>
          <w:tab w:val="left" w:pos="2700"/>
          <w:tab w:val="left" w:pos="3945"/>
          <w:tab w:val="center" w:pos="4420"/>
        </w:tabs>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6474C">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67987"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D4288C">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OCTUBRE </w:t>
      </w:r>
      <w:r w:rsidR="00E97864"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20</w:t>
      </w:r>
      <w:r w:rsidR="00654C6C">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p w14:paraId="3D91C93B" w14:textId="77777777" w:rsidR="00E97864" w:rsidRPr="00561FF9" w:rsidRDefault="00E97864"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CONTENIDO DE ESTE BOLETÍN ES DE CARÁCTER INFORMATIVO</w:t>
      </w:r>
      <w:r w:rsidR="00991786"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RECOMIENDA REVISAR DIRECTAMENTE LA PROVIDENCIA O EL VIDEO.</w:t>
      </w:r>
    </w:p>
    <w:p w14:paraId="1CE1A3C5" w14:textId="77777777" w:rsidR="00BD69CE" w:rsidRDefault="00BD69CE"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DOCUMENTO SE ENCUENTRA EN LA PÁGINA DEL TRIBUNAL </w:t>
      </w:r>
      <w:r w:rsidR="00E97864"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SUPERIOR </w:t>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BOGOTÁ</w:t>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p>
    <w:p w14:paraId="17546D0C" w14:textId="77777777" w:rsidR="00561FF9" w:rsidRPr="00561FF9" w:rsidRDefault="00561FF9"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A11FD" w14:textId="199744A3" w:rsidR="001F08DB" w:rsidRDefault="001F08DB" w:rsidP="000047D1">
      <w:pPr>
        <w:tabs>
          <w:tab w:val="left" w:pos="3945"/>
        </w:tabs>
        <w:jc w:val="center"/>
        <w:rPr>
          <w:rStyle w:val="Hipervnculo"/>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ipervnculo"/>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ww.ramajudicial.gov.co/web/tribunal-superior-de-bogota-sala-civil/71</w:t>
      </w:r>
    </w:p>
    <w:p w14:paraId="120D18E3" w14:textId="77777777" w:rsidR="00AE15A5" w:rsidRPr="001458A8" w:rsidRDefault="00AE15A5"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07BB5" w14:textId="1946551E" w:rsidR="00BD69CE" w:rsidRPr="001458A8" w:rsidRDefault="00BD69CE"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r w:rsidR="00A73AF4">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1458A8">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w:t>
      </w:r>
    </w:p>
    <w:p w14:paraId="2B168DEC" w14:textId="77777777" w:rsidR="001D15C1" w:rsidRDefault="001D15C1"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1D15C1" w:rsidSect="00C65BAE">
          <w:type w:val="continuous"/>
          <w:pgSz w:w="12242" w:h="19442" w:code="190"/>
          <w:pgMar w:top="1417" w:right="1701" w:bottom="1417" w:left="1701" w:header="708" w:footer="708" w:gutter="0"/>
          <w:cols w:space="708"/>
          <w:docGrid w:linePitch="360"/>
        </w:sectPr>
      </w:pPr>
    </w:p>
    <w:p w14:paraId="1B4F4EEF" w14:textId="77777777" w:rsidR="008D03E8" w:rsidRDefault="008D03E8"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3E324" w14:textId="77777777" w:rsidR="00904454" w:rsidRPr="00D521BB" w:rsidRDefault="00E26EE7"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1BB">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SALA </w:t>
      </w:r>
      <w:r w:rsidR="00975C1B" w:rsidRPr="00D521BB">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CIVIL</w:t>
      </w:r>
    </w:p>
    <w:p w14:paraId="607DBE62" w14:textId="77777777" w:rsidR="002C0216" w:rsidRDefault="002C0216"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D9B6E" w14:textId="77777777" w:rsidR="00975C1B" w:rsidRDefault="00975C1B"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09F07" w14:textId="77777777" w:rsidR="00637399" w:rsidRPr="006874E4" w:rsidRDefault="00637399"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1C81A" w14:textId="2D5A7F17" w:rsidR="00816FFB" w:rsidRDefault="00D4288C" w:rsidP="00AF7795">
      <w:pPr>
        <w:tabs>
          <w:tab w:val="left" w:pos="3945"/>
        </w:tabs>
        <w:spacing w:after="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AGENCIA COMERCIAL </w:t>
      </w:r>
      <w:r w:rsidR="00270754">
        <w:rPr>
          <w:rFonts w:ascii="Times New Roman" w:hAnsi="Times New Roman" w:cs="Times New Roman"/>
          <w:b/>
          <w:color w:val="002060"/>
          <w:sz w:val="24"/>
          <w:szCs w:val="24"/>
        </w:rPr>
        <w:t xml:space="preserve">PÁG. </w:t>
      </w:r>
      <w:r w:rsidR="00270754" w:rsidRPr="0065430D">
        <w:rPr>
          <w:rFonts w:ascii="Times New Roman" w:hAnsi="Times New Roman" w:cs="Times New Roman"/>
          <w:b/>
          <w:color w:val="002060"/>
          <w:sz w:val="24"/>
          <w:szCs w:val="24"/>
        </w:rPr>
        <w:t>2 –</w:t>
      </w:r>
      <w:r w:rsidR="0065430D" w:rsidRPr="0065430D">
        <w:rPr>
          <w:rFonts w:ascii="Times New Roman" w:hAnsi="Times New Roman" w:cs="Times New Roman"/>
          <w:b/>
          <w:color w:val="002060"/>
          <w:sz w:val="24"/>
          <w:szCs w:val="24"/>
        </w:rPr>
        <w:t>1</w:t>
      </w:r>
      <w:r w:rsidR="001A15EE">
        <w:rPr>
          <w:rFonts w:ascii="Times New Roman" w:hAnsi="Times New Roman" w:cs="Times New Roman"/>
          <w:b/>
          <w:color w:val="002060"/>
          <w:sz w:val="24"/>
          <w:szCs w:val="24"/>
        </w:rPr>
        <w:t>0</w:t>
      </w:r>
      <w:r w:rsidR="000B5673" w:rsidRPr="0065430D">
        <w:rPr>
          <w:rFonts w:ascii="Times New Roman" w:hAnsi="Times New Roman" w:cs="Times New Roman"/>
          <w:b/>
          <w:color w:val="002060"/>
          <w:sz w:val="24"/>
          <w:szCs w:val="24"/>
        </w:rPr>
        <w:t>.</w:t>
      </w:r>
      <w:r w:rsidR="000B5673" w:rsidRPr="00DC4A89">
        <w:rPr>
          <w:rFonts w:ascii="Times New Roman" w:hAnsi="Times New Roman" w:cs="Times New Roman"/>
          <w:b/>
          <w:color w:val="002060"/>
          <w:sz w:val="24"/>
          <w:szCs w:val="24"/>
        </w:rPr>
        <w:t xml:space="preserve"> </w:t>
      </w:r>
    </w:p>
    <w:p w14:paraId="49337BFE" w14:textId="77777777" w:rsidR="00703C73" w:rsidRDefault="00703C73" w:rsidP="00AF7795">
      <w:pPr>
        <w:tabs>
          <w:tab w:val="left" w:pos="3945"/>
        </w:tabs>
        <w:spacing w:after="0" w:line="360" w:lineRule="auto"/>
        <w:jc w:val="both"/>
        <w:rPr>
          <w:rFonts w:ascii="Times New Roman" w:hAnsi="Times New Roman" w:cs="Times New Roman"/>
          <w:b/>
          <w:color w:val="002060"/>
          <w:sz w:val="24"/>
          <w:szCs w:val="24"/>
        </w:rPr>
      </w:pPr>
    </w:p>
    <w:p w14:paraId="57288DA6" w14:textId="79627AE5" w:rsidR="00703C73" w:rsidRPr="00DC4A89" w:rsidRDefault="001A15EE" w:rsidP="00AF7795">
      <w:pPr>
        <w:tabs>
          <w:tab w:val="left" w:pos="3945"/>
        </w:tabs>
        <w:spacing w:after="0" w:line="360" w:lineRule="auto"/>
        <w:jc w:val="both"/>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sz w:val="24"/>
          <w:szCs w:val="24"/>
        </w:rPr>
        <w:t xml:space="preserve">RESPONSABILIDAD CONTRACTUAL </w:t>
      </w:r>
      <w:r w:rsidR="00757F3D" w:rsidRPr="0065430D">
        <w:rPr>
          <w:rFonts w:ascii="Times New Roman" w:hAnsi="Times New Roman" w:cs="Times New Roman"/>
          <w:b/>
          <w:color w:val="002060"/>
          <w:sz w:val="24"/>
          <w:szCs w:val="24"/>
        </w:rPr>
        <w:t xml:space="preserve">PÁG. </w:t>
      </w:r>
      <w:r w:rsidR="0065430D" w:rsidRPr="0065430D">
        <w:rPr>
          <w:rFonts w:ascii="Times New Roman" w:hAnsi="Times New Roman" w:cs="Times New Roman"/>
          <w:b/>
          <w:color w:val="002060"/>
          <w:sz w:val="24"/>
          <w:szCs w:val="24"/>
        </w:rPr>
        <w:t xml:space="preserve">11 - </w:t>
      </w:r>
      <w:r>
        <w:rPr>
          <w:rFonts w:ascii="Times New Roman" w:hAnsi="Times New Roman" w:cs="Times New Roman"/>
          <w:b/>
          <w:color w:val="002060"/>
          <w:sz w:val="24"/>
          <w:szCs w:val="24"/>
        </w:rPr>
        <w:t>18</w:t>
      </w:r>
    </w:p>
    <w:p w14:paraId="49CEF2FE" w14:textId="77777777" w:rsidR="00975C1B" w:rsidRDefault="00975C1B" w:rsidP="00AF7795">
      <w:pPr>
        <w:tabs>
          <w:tab w:val="left" w:pos="3945"/>
        </w:tabs>
        <w:spacing w:after="0" w:line="36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4CE460" w14:textId="77777777" w:rsidR="00975C1B" w:rsidRDefault="00975C1B" w:rsidP="00AF7795">
      <w:pPr>
        <w:tabs>
          <w:tab w:val="left" w:pos="3945"/>
        </w:tabs>
        <w:spacing w:after="0" w:line="36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E1F224" w14:textId="77777777" w:rsidR="00D475C2" w:rsidRDefault="00D475C2"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342EC" w14:textId="77777777" w:rsidR="00237B79" w:rsidRDefault="00237B79" w:rsidP="007E0277">
      <w:pPr>
        <w:tabs>
          <w:tab w:val="left" w:pos="3945"/>
        </w:tabs>
        <w:spacing w:after="0" w:line="240" w:lineRule="auto"/>
        <w:jc w:val="both"/>
        <w:rPr>
          <w:rFonts w:ascii="Times New Roman" w:hAnsi="Times New Roman" w:cs="Times New Roman"/>
          <w:color w:val="002060"/>
        </w:rPr>
      </w:pPr>
    </w:p>
    <w:p w14:paraId="07FB042C" w14:textId="77777777" w:rsidR="00237B79" w:rsidRDefault="00237B79" w:rsidP="007E0277">
      <w:pPr>
        <w:tabs>
          <w:tab w:val="left" w:pos="3945"/>
        </w:tabs>
        <w:spacing w:after="0" w:line="240" w:lineRule="auto"/>
        <w:jc w:val="both"/>
        <w:rPr>
          <w:rFonts w:ascii="Times New Roman" w:hAnsi="Times New Roman" w:cs="Times New Roman"/>
          <w:color w:val="002060"/>
        </w:rPr>
      </w:pPr>
    </w:p>
    <w:p w14:paraId="43DBB472" w14:textId="77777777" w:rsidR="001D15C1" w:rsidRPr="00C05D6A" w:rsidRDefault="001D15C1" w:rsidP="00BD69CE">
      <w:pPr>
        <w:tabs>
          <w:tab w:val="left" w:pos="3945"/>
        </w:tabs>
        <w:jc w:val="center"/>
        <w:rPr>
          <w:rFonts w:ascii="Times New Roman" w:hAnsi="Times New Roman" w:cs="Times New Roman"/>
          <w:b/>
          <w:color w:val="002060"/>
          <w:sz w:val="24"/>
          <w:szCs w:val="24"/>
        </w:rPr>
      </w:pPr>
    </w:p>
    <w:p w14:paraId="5EA6568C" w14:textId="77777777" w:rsidR="00163FD1" w:rsidRPr="00C05D6A" w:rsidRDefault="00163FD1" w:rsidP="00BD69CE">
      <w:pPr>
        <w:tabs>
          <w:tab w:val="left" w:pos="3945"/>
        </w:tabs>
        <w:jc w:val="center"/>
        <w:rPr>
          <w:rFonts w:ascii="Times New Roman" w:hAnsi="Times New Roman" w:cs="Times New Roman"/>
          <w:b/>
          <w:color w:val="002060"/>
          <w:sz w:val="24"/>
          <w:szCs w:val="24"/>
        </w:rPr>
        <w:sectPr w:rsidR="00163FD1" w:rsidRPr="00C05D6A" w:rsidSect="00C65BAE">
          <w:type w:val="continuous"/>
          <w:pgSz w:w="12242" w:h="19442" w:code="190"/>
          <w:pgMar w:top="1417" w:right="1701" w:bottom="1417" w:left="1701" w:header="708" w:footer="708" w:gutter="0"/>
          <w:cols w:space="708"/>
          <w:docGrid w:linePitch="360"/>
        </w:sectPr>
      </w:pPr>
    </w:p>
    <w:p w14:paraId="2E533099" w14:textId="77777777" w:rsidR="007110BB" w:rsidRDefault="000D2132" w:rsidP="008E43B7">
      <w:pPr>
        <w:spacing w:after="0" w:line="240" w:lineRule="auto"/>
        <w:jc w:val="center"/>
        <w:rPr>
          <w:rFonts w:ascii="Times New Roman" w:hAnsi="Times New Roman" w:cs="Times New Roman"/>
          <w:b/>
          <w:color w:val="002060"/>
        </w:rPr>
      </w:pPr>
      <w:r>
        <w:rPr>
          <w:rFonts w:ascii="Times New Roman" w:hAnsi="Times New Roman" w:cs="Times New Roman"/>
          <w:b/>
          <w:color w:val="002060"/>
        </w:rPr>
        <w:lastRenderedPageBreak/>
        <w:t>SALA CIVIL</w:t>
      </w:r>
    </w:p>
    <w:p w14:paraId="487C1B19" w14:textId="4DF7924D" w:rsidR="00000DEE" w:rsidRDefault="00000DEE" w:rsidP="008E43B7">
      <w:pPr>
        <w:spacing w:after="0" w:line="240" w:lineRule="auto"/>
        <w:jc w:val="center"/>
        <w:rPr>
          <w:rFonts w:ascii="Times New Roman" w:hAnsi="Times New Roman" w:cs="Times New Roman"/>
          <w:b/>
          <w:color w:val="002060"/>
        </w:rPr>
      </w:pPr>
    </w:p>
    <w:p w14:paraId="2DB472C2" w14:textId="61BAF1B9" w:rsidR="00D4288C" w:rsidRDefault="00D4288C" w:rsidP="008E43B7">
      <w:pPr>
        <w:spacing w:after="0" w:line="240" w:lineRule="auto"/>
        <w:jc w:val="center"/>
        <w:rPr>
          <w:rFonts w:ascii="Times New Roman" w:hAnsi="Times New Roman" w:cs="Times New Roman"/>
          <w:b/>
          <w:color w:val="002060"/>
        </w:rPr>
      </w:pPr>
      <w:r>
        <w:rPr>
          <w:rFonts w:ascii="Times New Roman" w:hAnsi="Times New Roman" w:cs="Times New Roman"/>
          <w:b/>
          <w:color w:val="002060"/>
        </w:rPr>
        <w:t xml:space="preserve">AGENCIA COMERCIAL </w:t>
      </w:r>
    </w:p>
    <w:p w14:paraId="15E27201" w14:textId="3826F343" w:rsidR="00C738FC" w:rsidRDefault="00C738FC" w:rsidP="008E43B7">
      <w:pPr>
        <w:spacing w:after="0" w:line="240" w:lineRule="auto"/>
        <w:jc w:val="center"/>
        <w:rPr>
          <w:rFonts w:ascii="Times New Roman" w:hAnsi="Times New Roman" w:cs="Times New Roman"/>
          <w:b/>
          <w:color w:val="002060"/>
        </w:rPr>
      </w:pPr>
      <w:proofErr w:type="spellStart"/>
      <w:r>
        <w:rPr>
          <w:rFonts w:ascii="Times New Roman" w:hAnsi="Times New Roman" w:cs="Times New Roman"/>
          <w:b/>
          <w:color w:val="002060"/>
        </w:rPr>
        <w:t>MP</w:t>
      </w:r>
      <w:proofErr w:type="spellEnd"/>
      <w:r>
        <w:rPr>
          <w:rFonts w:ascii="Times New Roman" w:hAnsi="Times New Roman" w:cs="Times New Roman"/>
          <w:b/>
          <w:color w:val="002060"/>
        </w:rPr>
        <w:t xml:space="preserve"> DR</w:t>
      </w:r>
      <w:r w:rsidR="00B26F5E">
        <w:rPr>
          <w:rFonts w:ascii="Times New Roman" w:hAnsi="Times New Roman" w:cs="Times New Roman"/>
          <w:b/>
          <w:color w:val="002060"/>
        </w:rPr>
        <w:t xml:space="preserve">. </w:t>
      </w:r>
      <w:r w:rsidR="00D4288C">
        <w:rPr>
          <w:rFonts w:ascii="Times New Roman" w:hAnsi="Times New Roman" w:cs="Times New Roman"/>
          <w:b/>
          <w:color w:val="002060"/>
        </w:rPr>
        <w:t>MANUEL ALFONSO ZAMUDIO MORA</w:t>
      </w:r>
    </w:p>
    <w:p w14:paraId="2B3C4411" w14:textId="6E6EDC15" w:rsidR="000D2132" w:rsidRPr="00C97A48" w:rsidRDefault="000D2132" w:rsidP="008E43B7">
      <w:pPr>
        <w:spacing w:after="0" w:line="240" w:lineRule="auto"/>
        <w:jc w:val="center"/>
        <w:rPr>
          <w:rFonts w:ascii="Times New Roman" w:hAnsi="Times New Roman" w:cs="Times New Roman"/>
          <w:b/>
          <w:color w:val="002060"/>
        </w:rPr>
      </w:pPr>
      <w:r>
        <w:rPr>
          <w:rFonts w:ascii="Times New Roman" w:hAnsi="Times New Roman" w:cs="Times New Roman"/>
          <w:b/>
          <w:color w:val="002060"/>
        </w:rPr>
        <w:t>RADICADO:</w:t>
      </w:r>
      <w:r w:rsidR="005E2440">
        <w:rPr>
          <w:rFonts w:ascii="Times New Roman" w:hAnsi="Times New Roman" w:cs="Times New Roman"/>
          <w:b/>
          <w:color w:val="002060"/>
        </w:rPr>
        <w:t xml:space="preserve"> </w:t>
      </w:r>
      <w:hyperlink r:id="rId10" w:history="1">
        <w:r w:rsidR="00090C07" w:rsidRPr="00A05F42">
          <w:rPr>
            <w:rStyle w:val="Hipervnculo"/>
            <w:rFonts w:ascii="Times New Roman" w:hAnsi="Times New Roman" w:cs="Times New Roman"/>
            <w:b/>
          </w:rPr>
          <w:t>110013103003201400607 03</w:t>
        </w:r>
      </w:hyperlink>
    </w:p>
    <w:p w14:paraId="420C0064" w14:textId="77777777" w:rsidR="00167593" w:rsidRDefault="00167593" w:rsidP="00167593">
      <w:pPr>
        <w:widowControl w:val="0"/>
        <w:spacing w:after="0" w:line="240" w:lineRule="auto"/>
        <w:jc w:val="center"/>
        <w:rPr>
          <w:rFonts w:ascii="Times New Roman" w:hAnsi="Times New Roman" w:cs="Times New Roman"/>
          <w:b/>
        </w:rPr>
      </w:pPr>
    </w:p>
    <w:p w14:paraId="6177C95A" w14:textId="77777777" w:rsidR="00320A26" w:rsidRDefault="00320A26" w:rsidP="00167593">
      <w:pPr>
        <w:widowControl w:val="0"/>
        <w:spacing w:after="0" w:line="240" w:lineRule="auto"/>
        <w:jc w:val="center"/>
        <w:rPr>
          <w:rFonts w:ascii="Times New Roman" w:hAnsi="Times New Roman" w:cs="Times New Roman"/>
          <w:b/>
        </w:rPr>
      </w:pPr>
    </w:p>
    <w:p w14:paraId="5449A757" w14:textId="77777777" w:rsidR="001A15EE" w:rsidRDefault="001A15EE" w:rsidP="00167593">
      <w:pPr>
        <w:widowControl w:val="0"/>
        <w:spacing w:after="0" w:line="240" w:lineRule="auto"/>
        <w:jc w:val="center"/>
        <w:rPr>
          <w:rFonts w:ascii="Times New Roman" w:hAnsi="Times New Roman" w:cs="Times New Roman"/>
          <w:b/>
        </w:rPr>
        <w:sectPr w:rsidR="001A15EE" w:rsidSect="008045E3">
          <w:pgSz w:w="12242" w:h="19442" w:code="190"/>
          <w:pgMar w:top="1417" w:right="1610" w:bottom="1417" w:left="1701" w:header="708" w:footer="708" w:gutter="0"/>
          <w:cols w:space="708"/>
          <w:docGrid w:linePitch="360"/>
        </w:sectPr>
      </w:pPr>
    </w:p>
    <w:p w14:paraId="4B747768" w14:textId="20EA36EB" w:rsidR="00167593" w:rsidRDefault="001A15EE" w:rsidP="00167593">
      <w:pPr>
        <w:widowControl w:val="0"/>
        <w:spacing w:after="0" w:line="240" w:lineRule="auto"/>
        <w:jc w:val="center"/>
        <w:rPr>
          <w:rFonts w:ascii="Times New Roman" w:hAnsi="Times New Roman" w:cs="Times New Roman"/>
          <w:b/>
        </w:rPr>
      </w:pPr>
      <w:r>
        <w:rPr>
          <w:rFonts w:ascii="Times New Roman" w:hAnsi="Times New Roman" w:cs="Times New Roman"/>
          <w:b/>
        </w:rPr>
        <w:t>ASPECTO FÁCTICO</w:t>
      </w:r>
    </w:p>
    <w:p w14:paraId="4E15B855" w14:textId="5C1BECCB" w:rsidR="00FF3E9C" w:rsidRDefault="00FF3E9C" w:rsidP="00167593">
      <w:pPr>
        <w:widowControl w:val="0"/>
        <w:spacing w:after="0" w:line="240" w:lineRule="auto"/>
        <w:jc w:val="center"/>
        <w:rPr>
          <w:rFonts w:ascii="Times New Roman" w:hAnsi="Times New Roman" w:cs="Times New Roman"/>
          <w:b/>
        </w:rPr>
      </w:pPr>
    </w:p>
    <w:p w14:paraId="5DC2FDB4"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rPr>
        <w:t>1. En el subsanado libelo</w:t>
      </w:r>
      <w:r w:rsidRPr="00090C07">
        <w:rPr>
          <w:rFonts w:ascii="Times New Roman" w:hAnsi="Times New Roman" w:cs="Times New Roman"/>
          <w:bCs/>
          <w:vertAlign w:val="superscript"/>
        </w:rPr>
        <w:footnoteReference w:id="1"/>
      </w:r>
      <w:r w:rsidRPr="00090C07">
        <w:rPr>
          <w:rFonts w:ascii="Times New Roman" w:hAnsi="Times New Roman" w:cs="Times New Roman"/>
          <w:bCs/>
        </w:rPr>
        <w:t xml:space="preserve">,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rPr>
        <w:t xml:space="preserve"> S.A. en Reorganización</w:t>
      </w:r>
      <w:r w:rsidRPr="00090C07">
        <w:rPr>
          <w:rFonts w:ascii="Times New Roman" w:hAnsi="Times New Roman" w:cs="Times New Roman"/>
          <w:bCs/>
          <w:vertAlign w:val="superscript"/>
        </w:rPr>
        <w:footnoteReference w:id="2"/>
      </w:r>
      <w:r w:rsidRPr="00090C07">
        <w:rPr>
          <w:rFonts w:ascii="Times New Roman" w:hAnsi="Times New Roman" w:cs="Times New Roman"/>
          <w:bCs/>
        </w:rPr>
        <w:t xml:space="preserve"> (en adelante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vertAlign w:val="superscript"/>
        </w:rPr>
        <w:footnoteReference w:id="3"/>
      </w:r>
      <w:r w:rsidRPr="00090C07">
        <w:rPr>
          <w:rFonts w:ascii="Times New Roman" w:hAnsi="Times New Roman" w:cs="Times New Roman"/>
          <w:bCs/>
        </w:rPr>
        <w:t>) y Aponte Villamil Zuluaga y Cía. S.A.S. (en adelante Aponte Villamil), para dirimir las “diferencias relativas a la comercialización de aparatos y servicios en la Costa Atlántica [</w:t>
      </w:r>
      <w:proofErr w:type="spellStart"/>
      <w:r w:rsidRPr="00090C07">
        <w:rPr>
          <w:rFonts w:ascii="Times New Roman" w:hAnsi="Times New Roman" w:cs="Times New Roman"/>
          <w:bCs/>
        </w:rPr>
        <w:t>Celcaribe</w:t>
      </w:r>
      <w:proofErr w:type="spellEnd"/>
      <w:r w:rsidRPr="00090C07">
        <w:rPr>
          <w:rFonts w:ascii="Times New Roman" w:hAnsi="Times New Roman" w:cs="Times New Roman"/>
          <w:bCs/>
        </w:rPr>
        <w:t>] y de datos en todo el país”</w:t>
      </w:r>
      <w:r w:rsidRPr="00090C07">
        <w:rPr>
          <w:rFonts w:ascii="Times New Roman" w:hAnsi="Times New Roman" w:cs="Times New Roman"/>
          <w:bCs/>
          <w:vertAlign w:val="superscript"/>
        </w:rPr>
        <w:footnoteReference w:id="4"/>
      </w:r>
      <w:r w:rsidRPr="00090C07">
        <w:rPr>
          <w:rFonts w:ascii="Times New Roman" w:hAnsi="Times New Roman" w:cs="Times New Roman"/>
          <w:bCs/>
        </w:rPr>
        <w:t xml:space="preserve">, demandaron a Claro S.A. (en adelante Claro), cuyas </w:t>
      </w:r>
      <w:r w:rsidRPr="00090C07">
        <w:rPr>
          <w:rFonts w:ascii="Times New Roman" w:hAnsi="Times New Roman" w:cs="Times New Roman"/>
          <w:bCs/>
          <w:lang w:val="es-CO"/>
        </w:rPr>
        <w:t xml:space="preserve">pretensiones dividieron en dos secciones: la primera, declarativas, contenidas en cuatro capítulos, y la segunda, de condena con un capítulo, así: </w:t>
      </w:r>
    </w:p>
    <w:p w14:paraId="1C8BC094"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 xml:space="preserve">1.2. Pretensiones declarativas. </w:t>
      </w:r>
    </w:p>
    <w:p w14:paraId="3867AD9B"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C7BE3DA"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1.2.1. En el primer capítulo sobre “</w:t>
      </w:r>
      <w:r w:rsidRPr="00090C07">
        <w:rPr>
          <w:rFonts w:ascii="Times New Roman" w:hAnsi="Times New Roman" w:cs="Times New Roman"/>
          <w:bCs/>
          <w:i/>
          <w:lang w:val="es-CO"/>
        </w:rPr>
        <w:t>naturaleza y condiciones de ejecución contractual</w:t>
      </w:r>
      <w:r w:rsidRPr="00090C07">
        <w:rPr>
          <w:rFonts w:ascii="Times New Roman" w:hAnsi="Times New Roman" w:cs="Times New Roman"/>
          <w:bCs/>
          <w:lang w:val="es-CO"/>
        </w:rPr>
        <w:t>”, pidió declarar:</w:t>
      </w:r>
    </w:p>
    <w:p w14:paraId="37E12C84"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5475836B"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r>
      <w:r w:rsidRPr="00090C07">
        <w:rPr>
          <w:rFonts w:ascii="Times New Roman" w:hAnsi="Times New Roman" w:cs="Times New Roman"/>
          <w:bCs/>
          <w:i/>
        </w:rPr>
        <w:t>a)</w:t>
      </w:r>
      <w:r w:rsidRPr="00090C07">
        <w:rPr>
          <w:rFonts w:ascii="Times New Roman" w:hAnsi="Times New Roman" w:cs="Times New Roman"/>
          <w:bCs/>
        </w:rPr>
        <w:t xml:space="preserve"> La “celebración, ejecución, terminación y liquidación del contrato celebrado entre Comcel y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rPr>
        <w:t>”,  salvo lo “resuelto” o “reconocido por el Tribunal de Arbitramento constituido para resolver las diferencias entre”</w:t>
      </w:r>
      <w:r w:rsidRPr="00090C07">
        <w:rPr>
          <w:rFonts w:ascii="Times New Roman" w:hAnsi="Times New Roman" w:cs="Times New Roman"/>
          <w:bCs/>
          <w:vertAlign w:val="superscript"/>
        </w:rPr>
        <w:footnoteReference w:id="5"/>
      </w:r>
      <w:r w:rsidRPr="00090C07">
        <w:rPr>
          <w:rFonts w:ascii="Times New Roman" w:hAnsi="Times New Roman" w:cs="Times New Roman"/>
          <w:bCs/>
        </w:rPr>
        <w:t xml:space="preserve"> ellas; b) que entre Comcel, como “agenciado”, y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rPr>
        <w:t xml:space="preserve">, como “agente”, se celebró un convenio de “agencia comercial para promover la prestación del servicio de telefonía móvil celular de la red de Comcel” y la “comercialización de otros productos y servicios de la demandada; c) que, en consecuencia, </w:t>
      </w:r>
      <w:r w:rsidRPr="00090C07">
        <w:rPr>
          <w:rFonts w:ascii="Times New Roman" w:hAnsi="Times New Roman" w:cs="Times New Roman"/>
          <w:bCs/>
          <w:lang w:val="es-CO"/>
        </w:rPr>
        <w:t xml:space="preserve">se reconozca a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la prestación del inciso 1º del artículo 1324 del </w:t>
      </w:r>
      <w:proofErr w:type="spellStart"/>
      <w:r w:rsidRPr="00090C07">
        <w:rPr>
          <w:rFonts w:ascii="Times New Roman" w:hAnsi="Times New Roman" w:cs="Times New Roman"/>
          <w:bCs/>
          <w:lang w:val="es-CO"/>
        </w:rPr>
        <w:t>C.Co</w:t>
      </w:r>
      <w:proofErr w:type="spellEnd"/>
      <w:r w:rsidRPr="00090C07">
        <w:rPr>
          <w:rFonts w:ascii="Times New Roman" w:hAnsi="Times New Roman" w:cs="Times New Roman"/>
          <w:bCs/>
          <w:lang w:val="es-CO"/>
        </w:rPr>
        <w:t xml:space="preserve">.; d) que el contrato fue de adhesión y debe interpretarse con base en los artículos 1624 del C.C., 822 del </w:t>
      </w:r>
      <w:proofErr w:type="spellStart"/>
      <w:r w:rsidRPr="00090C07">
        <w:rPr>
          <w:rFonts w:ascii="Times New Roman" w:hAnsi="Times New Roman" w:cs="Times New Roman"/>
          <w:bCs/>
          <w:lang w:val="es-CO"/>
        </w:rPr>
        <w:t>C.Co</w:t>
      </w:r>
      <w:proofErr w:type="spellEnd"/>
      <w:r w:rsidRPr="00090C07">
        <w:rPr>
          <w:rFonts w:ascii="Times New Roman" w:hAnsi="Times New Roman" w:cs="Times New Roman"/>
          <w:bCs/>
          <w:lang w:val="es-CO"/>
        </w:rPr>
        <w:t xml:space="preserve">., 95 y 333 de la Constitución; e) que la relación contractual se integró por las convenciones celebradas el 16 de enero de 1997, 26 de octubre de 1998, agosto de 2002 y 20 de junio de 2006 entre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y Comcel; </w:t>
      </w:r>
      <w:r w:rsidRPr="00090C07">
        <w:rPr>
          <w:rFonts w:ascii="Times New Roman" w:hAnsi="Times New Roman" w:cs="Times New Roman"/>
          <w:bCs/>
          <w:u w:val="single"/>
          <w:lang w:val="es-CO"/>
        </w:rPr>
        <w:t>el 27 de julio de 1999</w:t>
      </w:r>
      <w:r w:rsidRPr="00090C07">
        <w:rPr>
          <w:rFonts w:ascii="Times New Roman" w:hAnsi="Times New Roman" w:cs="Times New Roman"/>
          <w:bCs/>
          <w:u w:val="single"/>
          <w:vertAlign w:val="superscript"/>
          <w:lang w:val="es-CO"/>
        </w:rPr>
        <w:footnoteReference w:id="6"/>
      </w:r>
      <w:r w:rsidRPr="00090C07">
        <w:rPr>
          <w:rFonts w:ascii="Times New Roman" w:hAnsi="Times New Roman" w:cs="Times New Roman"/>
          <w:bCs/>
          <w:u w:val="single"/>
          <w:lang w:val="es-CO"/>
        </w:rPr>
        <w:t>, 11 de mayo de 2000</w:t>
      </w:r>
      <w:r w:rsidRPr="00090C07">
        <w:rPr>
          <w:rFonts w:ascii="Times New Roman" w:hAnsi="Times New Roman" w:cs="Times New Roman"/>
          <w:bCs/>
          <w:u w:val="single"/>
          <w:vertAlign w:val="superscript"/>
          <w:lang w:val="es-CO"/>
        </w:rPr>
        <w:footnoteReference w:id="7"/>
      </w:r>
      <w:r w:rsidRPr="00090C07">
        <w:rPr>
          <w:rFonts w:ascii="Times New Roman" w:hAnsi="Times New Roman" w:cs="Times New Roman"/>
          <w:bCs/>
          <w:u w:val="single"/>
          <w:lang w:val="es-CO"/>
        </w:rPr>
        <w:t xml:space="preserve">, 13 de abril de 2002, 3 de abril de 2003 por </w:t>
      </w:r>
      <w:proofErr w:type="spellStart"/>
      <w:r w:rsidRPr="00090C07">
        <w:rPr>
          <w:rFonts w:ascii="Times New Roman" w:hAnsi="Times New Roman" w:cs="Times New Roman"/>
          <w:bCs/>
          <w:u w:val="single"/>
          <w:lang w:val="es-CO"/>
        </w:rPr>
        <w:t>Conexcel</w:t>
      </w:r>
      <w:proofErr w:type="spellEnd"/>
      <w:r w:rsidRPr="00090C07">
        <w:rPr>
          <w:rFonts w:ascii="Times New Roman" w:hAnsi="Times New Roman" w:cs="Times New Roman"/>
          <w:bCs/>
          <w:u w:val="single"/>
          <w:lang w:val="es-CO"/>
        </w:rPr>
        <w:t xml:space="preserve"> y Comcel</w:t>
      </w:r>
      <w:r w:rsidRPr="00090C07">
        <w:rPr>
          <w:rFonts w:ascii="Times New Roman" w:hAnsi="Times New Roman" w:cs="Times New Roman"/>
          <w:bCs/>
          <w:lang w:val="es-CO"/>
        </w:rPr>
        <w:t xml:space="preserve"> (antes </w:t>
      </w:r>
      <w:proofErr w:type="spellStart"/>
      <w:r w:rsidRPr="00090C07">
        <w:rPr>
          <w:rFonts w:ascii="Times New Roman" w:hAnsi="Times New Roman" w:cs="Times New Roman"/>
          <w:bCs/>
          <w:lang w:val="es-CO"/>
        </w:rPr>
        <w:t>Celcaribe</w:t>
      </w:r>
      <w:proofErr w:type="spellEnd"/>
      <w:r w:rsidRPr="00090C07">
        <w:rPr>
          <w:rFonts w:ascii="Times New Roman" w:hAnsi="Times New Roman" w:cs="Times New Roman"/>
          <w:bCs/>
          <w:lang w:val="es-CO"/>
        </w:rPr>
        <w:t xml:space="preserve">) y el 5 de octubre de 1999 entre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y </w:t>
      </w:r>
      <w:proofErr w:type="spellStart"/>
      <w:r w:rsidRPr="00090C07">
        <w:rPr>
          <w:rFonts w:ascii="Times New Roman" w:hAnsi="Times New Roman" w:cs="Times New Roman"/>
          <w:bCs/>
          <w:lang w:val="es-CO"/>
        </w:rPr>
        <w:t>Occel</w:t>
      </w:r>
      <w:proofErr w:type="spellEnd"/>
      <w:r w:rsidRPr="00090C07">
        <w:rPr>
          <w:rFonts w:ascii="Times New Roman" w:hAnsi="Times New Roman" w:cs="Times New Roman"/>
          <w:bCs/>
          <w:lang w:val="es-CO"/>
        </w:rPr>
        <w:t xml:space="preserve"> S.A. (luego Comcel, hoy Claro); f) que el vínculo se extendió de 16 de enero de </w:t>
      </w:r>
      <w:smartTag w:uri="urn:schemas-microsoft-com:office:smarttags" w:element="metricconverter">
        <w:smartTagPr>
          <w:attr w:name="ProductID" w:val="1997 a"/>
        </w:smartTagPr>
        <w:r w:rsidRPr="00090C07">
          <w:rPr>
            <w:rFonts w:ascii="Times New Roman" w:hAnsi="Times New Roman" w:cs="Times New Roman"/>
            <w:bCs/>
            <w:lang w:val="es-CO"/>
          </w:rPr>
          <w:t>1997 a</w:t>
        </w:r>
      </w:smartTag>
      <w:r w:rsidRPr="00090C07">
        <w:rPr>
          <w:rFonts w:ascii="Times New Roman" w:hAnsi="Times New Roman" w:cs="Times New Roman"/>
          <w:bCs/>
          <w:lang w:val="es-CO"/>
        </w:rPr>
        <w:t xml:space="preserve"> 13 de enero de 2010, o cuando acá la justicia disponga; g) que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w:t>
      </w:r>
      <w:r w:rsidRPr="00090C07">
        <w:rPr>
          <w:rFonts w:ascii="Times New Roman" w:hAnsi="Times New Roman" w:cs="Times New Roman"/>
          <w:bCs/>
          <w:lang w:val="es-CO"/>
        </w:rPr>
        <w:t xml:space="preserve">terminó de manera unilateral el acuerdo, por causa imputable a su opositora; </w:t>
      </w:r>
    </w:p>
    <w:p w14:paraId="3B3F73F1"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0C4FB6C0"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 xml:space="preserve">h) que Comcel no le pagó, de un lado, el 20% del valor adicional sobre remuneración (con inclusión de comisiones, residual o cualquier otra retribución), sino que sobre el 100% de ellas hizo una imputación irreal; de otro, no se le pagó “ningún anticipo para cubrir cualquier pago, indemnización o bonificación” causados a la culminación del acuerdo y, además, que le cancele el 20% del valor de las comisiones por activaciones, por residual u otras retribuciones, destinadas a cubrir anticipadamente el valor de cualquier prestación, bonificación e indemnización que deba pagar el demandado; (i) que cualquier contabilización interna de Comcel del pago o provisión de anticipos o indemnizaciones, no implicó un mayor valor a pagar, y que cualquier subcuenta auxiliar creada por Comcel (sin limitarse a las subcuentas auxiliares de 2605101210 y 5295050017) hacen parte  de las subcuentas del PUC de comisiones (sin limitarse a las subcuentas  260510 y 529505); j) que conforme al Manual de Procedimiento y las cláusulas 7.4 y 7.5 de los contratos aludidos, Comcel fue quien determinó los criterios de selección y evaluación financiera de los abonados y fijó los criterios de evaluación crediticia para los mismos; k) que los acuerdos comercializados por el agente se celebraron entre el agenciado y los usuarios, según se acordó en las estipulaciones 7.5., 1.11, 1.13 y 1.16; y l) que por el vínculo directo entre Comcel y el suscriptor de los servicios ofrecidos (cláusulas 1.11, 1.13 y 1.16 del contrato), el demandado era el único obligado a asumir las consecuencias derivadas de estos tratos con los suscriptores. </w:t>
      </w:r>
    </w:p>
    <w:p w14:paraId="6922A130"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08EAC8A"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1.2.2. En el segundo capítulo sobre el “</w:t>
      </w:r>
      <w:r w:rsidRPr="00090C07">
        <w:rPr>
          <w:rFonts w:ascii="Times New Roman" w:hAnsi="Times New Roman" w:cs="Times New Roman"/>
          <w:bCs/>
          <w:i/>
          <w:lang w:val="es-CO"/>
        </w:rPr>
        <w:t>incumplimiento contractual</w:t>
      </w:r>
      <w:r w:rsidRPr="00090C07">
        <w:rPr>
          <w:rFonts w:ascii="Times New Roman" w:hAnsi="Times New Roman" w:cs="Times New Roman"/>
          <w:bCs/>
          <w:lang w:val="es-CO"/>
        </w:rPr>
        <w:t>”, pidió declarar</w:t>
      </w:r>
      <w:r w:rsidRPr="00090C07">
        <w:rPr>
          <w:rFonts w:ascii="Times New Roman" w:hAnsi="Times New Roman" w:cs="Times New Roman"/>
          <w:bCs/>
        </w:rPr>
        <w:t xml:space="preserve"> que Comcel incumplió los contratos y normas propias por incurrir en las siguientes acciones u omisiones</w:t>
      </w:r>
      <w:r w:rsidRPr="00090C07">
        <w:rPr>
          <w:rFonts w:ascii="Times New Roman" w:hAnsi="Times New Roman" w:cs="Times New Roman"/>
          <w:bCs/>
          <w:lang w:val="es-CO"/>
        </w:rPr>
        <w:t>:</w:t>
      </w:r>
    </w:p>
    <w:p w14:paraId="2C7E1EDF"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D732AD9"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rPr>
        <w:t xml:space="preserve">a) disfrazar intencionalmente la naturaleza </w:t>
      </w:r>
      <w:r w:rsidRPr="00090C07">
        <w:rPr>
          <w:rFonts w:ascii="Times New Roman" w:hAnsi="Times New Roman" w:cs="Times New Roman"/>
          <w:bCs/>
        </w:rPr>
        <w:lastRenderedPageBreak/>
        <w:t xml:space="preserve">jurídica del contrato; b) presionar para modificar de manera unilateral las condiciones convenidas; c) trasladarle funciones administrativas propias de Comcel; d) </w:t>
      </w:r>
      <w:r w:rsidRPr="00090C07">
        <w:rPr>
          <w:rFonts w:ascii="Times New Roman" w:hAnsi="Times New Roman" w:cs="Times New Roman"/>
          <w:bCs/>
          <w:lang w:val="es-CO"/>
        </w:rPr>
        <w:t>reducir unilateralmente los niveles de retribución (comisiones, bonificaciones e incentivos) fijados a favor del agente, sin tener facultad para ello, pese al rechazo de la demandante; e) no pagar todas las comisiones de activación realizadas durante el contrato; f) dejar de liquidar y cancelar la comisión por residual y no informarle al agente sobre cuál hizo la liquidación, no obstante su obligación; g) estipular, cobrar y aplicar penalizaciones referidas en las cláusulas 7.26.3.1 a 7.26.3.4, 7.30 a 7.32, 2.26.1 a 7.26.8, e inciso 2°, numeral 1° del Anexo A, sin demostrar previamente las hipótesis que las justifican; h) sancionar al agente con descuentos por fraudes imputables a terceros; i) imponer la firma de paz y salvos incondicionales; j) obligarlo a pagar tanto el teléfono como la facturación dejada de pagar por los usuarios; l)  ocultar información sobre cuya base liquidaba la comisión por residual; m) imponer la obligación de digitar las activaciones en tiempos irrazonables durante los periodos de promoción para no pagar las digitadas por fuera del plazo; n) hacer pasar como transigidos temas no discutidos en las actas de transacción; ñ) redactar a su arbitrio el acta de liquidación del contrato e incumplir el pago de los subsidios de arrendamiento; o) no pagar los subsidios de arrendamiento, y p) no allanarse a cancelar en tiempo las hipotecas que gravaron los 17 inmuebles de las demandantes, lo que debió ocurrir una  vez se terminó el contrato entre las partes (</w:t>
      </w:r>
      <w:proofErr w:type="spellStart"/>
      <w:r w:rsidRPr="00090C07">
        <w:rPr>
          <w:rFonts w:ascii="Times New Roman" w:hAnsi="Times New Roman" w:cs="Times New Roman"/>
          <w:bCs/>
          <w:lang w:val="es-CO"/>
        </w:rPr>
        <w:t>fls</w:t>
      </w:r>
      <w:proofErr w:type="spellEnd"/>
      <w:r w:rsidRPr="00090C07">
        <w:rPr>
          <w:rFonts w:ascii="Times New Roman" w:hAnsi="Times New Roman" w:cs="Times New Roman"/>
          <w:bCs/>
          <w:lang w:val="es-CO"/>
        </w:rPr>
        <w:t xml:space="preserve">. 834 - 836, </w:t>
      </w:r>
      <w:proofErr w:type="spellStart"/>
      <w:r w:rsidRPr="00090C07">
        <w:rPr>
          <w:rFonts w:ascii="Times New Roman" w:hAnsi="Times New Roman" w:cs="Times New Roman"/>
          <w:bCs/>
          <w:lang w:val="es-CO"/>
        </w:rPr>
        <w:t>cdno</w:t>
      </w:r>
      <w:proofErr w:type="spellEnd"/>
      <w:r w:rsidRPr="00090C07">
        <w:rPr>
          <w:rFonts w:ascii="Times New Roman" w:hAnsi="Times New Roman" w:cs="Times New Roman"/>
          <w:bCs/>
          <w:lang w:val="es-CO"/>
        </w:rPr>
        <w:t xml:space="preserve">. </w:t>
      </w:r>
      <w:proofErr w:type="spellStart"/>
      <w:r w:rsidRPr="00090C07">
        <w:rPr>
          <w:rFonts w:ascii="Times New Roman" w:hAnsi="Times New Roman" w:cs="Times New Roman"/>
          <w:bCs/>
          <w:lang w:val="es-CO"/>
        </w:rPr>
        <w:t>1B</w:t>
      </w:r>
      <w:proofErr w:type="spellEnd"/>
      <w:r w:rsidRPr="00090C07">
        <w:rPr>
          <w:rFonts w:ascii="Times New Roman" w:hAnsi="Times New Roman" w:cs="Times New Roman"/>
          <w:bCs/>
          <w:lang w:val="es-CO"/>
        </w:rPr>
        <w:t>).</w:t>
      </w:r>
    </w:p>
    <w:p w14:paraId="463FBEDE"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168A2431"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1.2.3. En el tercer capítulo sobre la “</w:t>
      </w:r>
      <w:r w:rsidRPr="00090C07">
        <w:rPr>
          <w:rFonts w:ascii="Times New Roman" w:hAnsi="Times New Roman" w:cs="Times New Roman"/>
          <w:bCs/>
          <w:i/>
          <w:lang w:val="es-CO"/>
        </w:rPr>
        <w:t>terminación unilateral del contrato</w:t>
      </w:r>
      <w:r w:rsidRPr="00090C07">
        <w:rPr>
          <w:rFonts w:ascii="Times New Roman" w:hAnsi="Times New Roman" w:cs="Times New Roman"/>
          <w:bCs/>
          <w:lang w:val="es-CO"/>
        </w:rPr>
        <w:t>”, pidió declarar:</w:t>
      </w:r>
    </w:p>
    <w:p w14:paraId="4C9B2199"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664D474"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 xml:space="preserve">a) Que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terminó el contrato con justa causa; por ende, Comcel debe reconocer y pagar la prestación del inciso 2º del art. 1324 del </w:t>
      </w:r>
      <w:proofErr w:type="spellStart"/>
      <w:r w:rsidRPr="00090C07">
        <w:rPr>
          <w:rFonts w:ascii="Times New Roman" w:hAnsi="Times New Roman" w:cs="Times New Roman"/>
          <w:bCs/>
          <w:lang w:val="es-CO"/>
        </w:rPr>
        <w:t>C.Co</w:t>
      </w:r>
      <w:proofErr w:type="spellEnd"/>
      <w:r w:rsidRPr="00090C07">
        <w:rPr>
          <w:rFonts w:ascii="Times New Roman" w:hAnsi="Times New Roman" w:cs="Times New Roman"/>
          <w:bCs/>
          <w:lang w:val="es-CO"/>
        </w:rPr>
        <w:t xml:space="preserve">.; b) que el agente ejerció el derecho de retención y privilegio en los términos del artículo 1326 </w:t>
      </w:r>
      <w:proofErr w:type="spellStart"/>
      <w:r w:rsidRPr="00090C07">
        <w:rPr>
          <w:rFonts w:ascii="Times New Roman" w:hAnsi="Times New Roman" w:cs="Times New Roman"/>
          <w:bCs/>
          <w:i/>
          <w:lang w:val="es-CO"/>
        </w:rPr>
        <w:t>ibídem</w:t>
      </w:r>
      <w:proofErr w:type="spellEnd"/>
      <w:r w:rsidRPr="00090C07">
        <w:rPr>
          <w:rFonts w:ascii="Times New Roman" w:hAnsi="Times New Roman" w:cs="Times New Roman"/>
          <w:bCs/>
          <w:lang w:val="es-CO"/>
        </w:rPr>
        <w:t xml:space="preserve">; c) que Comcel perdió la facultad de aplicar penalizaciones y descuentos desde el 13 de enero 2010; d) que el acta de liquidación que Comcel elaboró, no puede considerarse definitiva, ni presta mérito ejecutivo, ni puede servir de fundamento para diligenciar los pagarés en blanco, ni hacer efectivas las 17 garantías hipotecarias constituidas para respaldar los saldos pendientes a cargo del agente, por lo que debe cancelarlas y el costo que de ello se derive; y e) que Comcel no tiene </w:t>
      </w:r>
      <w:proofErr w:type="spellStart"/>
      <w:r w:rsidRPr="00090C07">
        <w:rPr>
          <w:rFonts w:ascii="Times New Roman" w:hAnsi="Times New Roman" w:cs="Times New Roman"/>
          <w:bCs/>
          <w:lang w:val="es-CO"/>
        </w:rPr>
        <w:t>cartulares</w:t>
      </w:r>
      <w:proofErr w:type="spellEnd"/>
      <w:r w:rsidRPr="00090C07">
        <w:rPr>
          <w:rFonts w:ascii="Times New Roman" w:hAnsi="Times New Roman" w:cs="Times New Roman"/>
          <w:bCs/>
          <w:lang w:val="es-CO"/>
        </w:rPr>
        <w:t xml:space="preserve"> suscritos por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ni Aponte Villamil y de tenerlos, debe devolverlos por no existir obligación alguna de su parte (</w:t>
      </w:r>
      <w:proofErr w:type="spellStart"/>
      <w:r w:rsidRPr="00090C07">
        <w:rPr>
          <w:rFonts w:ascii="Times New Roman" w:hAnsi="Times New Roman" w:cs="Times New Roman"/>
          <w:bCs/>
          <w:lang w:val="es-CO"/>
        </w:rPr>
        <w:t>fls</w:t>
      </w:r>
      <w:proofErr w:type="spellEnd"/>
      <w:r w:rsidRPr="00090C07">
        <w:rPr>
          <w:rFonts w:ascii="Times New Roman" w:hAnsi="Times New Roman" w:cs="Times New Roman"/>
          <w:bCs/>
          <w:lang w:val="es-CO"/>
        </w:rPr>
        <w:t xml:space="preserve">. 837-838, </w:t>
      </w:r>
      <w:proofErr w:type="spellStart"/>
      <w:r w:rsidRPr="00090C07">
        <w:rPr>
          <w:rFonts w:ascii="Times New Roman" w:hAnsi="Times New Roman" w:cs="Times New Roman"/>
          <w:bCs/>
          <w:lang w:val="es-CO"/>
        </w:rPr>
        <w:t>cdno</w:t>
      </w:r>
      <w:proofErr w:type="spellEnd"/>
      <w:r w:rsidRPr="00090C07">
        <w:rPr>
          <w:rFonts w:ascii="Times New Roman" w:hAnsi="Times New Roman" w:cs="Times New Roman"/>
          <w:bCs/>
          <w:lang w:val="es-CO"/>
        </w:rPr>
        <w:t xml:space="preserve">. </w:t>
      </w:r>
      <w:proofErr w:type="spellStart"/>
      <w:r w:rsidRPr="00090C07">
        <w:rPr>
          <w:rFonts w:ascii="Times New Roman" w:hAnsi="Times New Roman" w:cs="Times New Roman"/>
          <w:bCs/>
          <w:lang w:val="es-CO"/>
        </w:rPr>
        <w:t>1B</w:t>
      </w:r>
      <w:proofErr w:type="spellEnd"/>
      <w:r w:rsidRPr="00090C07">
        <w:rPr>
          <w:rFonts w:ascii="Times New Roman" w:hAnsi="Times New Roman" w:cs="Times New Roman"/>
          <w:bCs/>
          <w:lang w:val="es-CO"/>
        </w:rPr>
        <w:t>)</w:t>
      </w:r>
    </w:p>
    <w:p w14:paraId="1537593C"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07670647"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1.2.4. En el cuarto capítulo sobre el “</w:t>
      </w:r>
      <w:r w:rsidRPr="00090C07">
        <w:rPr>
          <w:rFonts w:ascii="Times New Roman" w:hAnsi="Times New Roman" w:cs="Times New Roman"/>
          <w:bCs/>
          <w:i/>
          <w:lang w:val="es-CO"/>
        </w:rPr>
        <w:t xml:space="preserve">abuso de </w:t>
      </w:r>
      <w:r w:rsidRPr="00090C07">
        <w:rPr>
          <w:rFonts w:ascii="Times New Roman" w:hAnsi="Times New Roman" w:cs="Times New Roman"/>
          <w:bCs/>
          <w:i/>
          <w:lang w:val="es-CO"/>
        </w:rPr>
        <w:t>la posición contractual dominante, de derechos y prerrogativas pactadas a favor de sí mismo por parte de Comcel y a la ineficacia y nulidad –en subsidio- de algunas cláusulas del contrato</w:t>
      </w:r>
      <w:r w:rsidRPr="00090C07">
        <w:rPr>
          <w:rFonts w:ascii="Times New Roman" w:hAnsi="Times New Roman" w:cs="Times New Roman"/>
          <w:bCs/>
          <w:lang w:val="es-CO"/>
        </w:rPr>
        <w:t>”, pidió declarar:</w:t>
      </w:r>
    </w:p>
    <w:p w14:paraId="16687D1B"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419427D6"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rPr>
        <w:t xml:space="preserve">1.2.4.1. Que por </w:t>
      </w:r>
      <w:r w:rsidRPr="00090C07">
        <w:rPr>
          <w:rFonts w:ascii="Times New Roman" w:hAnsi="Times New Roman" w:cs="Times New Roman"/>
          <w:bCs/>
          <w:lang w:val="es-CO"/>
        </w:rPr>
        <w:t xml:space="preserve">la exclusividad pactada,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no podía prestar sus servicios de comercializar telefonía móvil celular y distribución de aparatos telefónicos y atención de postventa a una persona distinta de Comcel, quien asumió una posición dominante durante toda la vigencia del contrato, de la cual abusó en su celebración y ejecución, razón por la cual pide la “ineficacia, nulidad absoluta o invalidez”, de varias cláusulas de todos los contratos atrás señalados y que se repitieron en los demás convenios, anexos, adendas y otrosíes, que sean consecuencia directa o indirecta de las mismas, o resulten conexas, o aparezcan en algún documento suscrito en cualquier época en el mismo sentido. Las estipulaciones son aquellas que:  </w:t>
      </w:r>
    </w:p>
    <w:p w14:paraId="6BC90AF7"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1AB697D9"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 xml:space="preserve">a) Sostengan que el contrato no es de “agencia, sino de “distribución, franquicia o cualquier otra modalidad de distribución diferente”; b) que obliguen a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a mantener indemne a Comcel; c) que impliquen: renuncias a derechos por parte de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compensaciones ilegales por prestaciones e indemnizaciones a favor de Comcel; ausencia de responsabilidad para Comcel por algún perjuicio derivado de la terminación del contrato; caducidades contractuales; exoneraciones de responsabilidad de Comcel; que no habrá pago de comisiones causadas; imputación de dineros pagados dentro del plan CO-</w:t>
      </w:r>
      <w:proofErr w:type="spellStart"/>
      <w:r w:rsidRPr="00090C07">
        <w:rPr>
          <w:rFonts w:ascii="Times New Roman" w:hAnsi="Times New Roman" w:cs="Times New Roman"/>
          <w:bCs/>
          <w:lang w:val="es-CO"/>
        </w:rPr>
        <w:t>OP</w:t>
      </w:r>
      <w:proofErr w:type="spellEnd"/>
      <w:r w:rsidRPr="00090C07">
        <w:rPr>
          <w:rFonts w:ascii="Times New Roman" w:hAnsi="Times New Roman" w:cs="Times New Roman"/>
          <w:bCs/>
          <w:lang w:val="es-CO"/>
        </w:rPr>
        <w:t xml:space="preserve">; renuncias a presentar reclamaciones por parte de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aceptación anticipada de terceros con relación a la cesión de establecimientos; sustituciones integrales de relaciones previas, y d) las relacionadas con “documentos de terminación”. (</w:t>
      </w:r>
      <w:proofErr w:type="spellStart"/>
      <w:r w:rsidRPr="00090C07">
        <w:rPr>
          <w:rFonts w:ascii="Times New Roman" w:hAnsi="Times New Roman" w:cs="Times New Roman"/>
          <w:bCs/>
          <w:lang w:val="es-CO"/>
        </w:rPr>
        <w:t>fls</w:t>
      </w:r>
      <w:proofErr w:type="spellEnd"/>
      <w:r w:rsidRPr="00090C07">
        <w:rPr>
          <w:rFonts w:ascii="Times New Roman" w:hAnsi="Times New Roman" w:cs="Times New Roman"/>
          <w:bCs/>
          <w:lang w:val="es-CO"/>
        </w:rPr>
        <w:t xml:space="preserve">. 839 y 840, </w:t>
      </w:r>
      <w:proofErr w:type="spellStart"/>
      <w:r w:rsidRPr="00090C07">
        <w:rPr>
          <w:rFonts w:ascii="Times New Roman" w:hAnsi="Times New Roman" w:cs="Times New Roman"/>
          <w:bCs/>
          <w:lang w:val="es-CO"/>
        </w:rPr>
        <w:t>cdno</w:t>
      </w:r>
      <w:proofErr w:type="spellEnd"/>
      <w:r w:rsidRPr="00090C07">
        <w:rPr>
          <w:rFonts w:ascii="Times New Roman" w:hAnsi="Times New Roman" w:cs="Times New Roman"/>
          <w:bCs/>
          <w:lang w:val="es-CO"/>
        </w:rPr>
        <w:t xml:space="preserve">. </w:t>
      </w:r>
      <w:proofErr w:type="spellStart"/>
      <w:r w:rsidRPr="00090C07">
        <w:rPr>
          <w:rFonts w:ascii="Times New Roman" w:hAnsi="Times New Roman" w:cs="Times New Roman"/>
          <w:bCs/>
          <w:lang w:val="es-CO"/>
        </w:rPr>
        <w:t>1B</w:t>
      </w:r>
      <w:proofErr w:type="spellEnd"/>
      <w:r w:rsidRPr="00090C07">
        <w:rPr>
          <w:rFonts w:ascii="Times New Roman" w:hAnsi="Times New Roman" w:cs="Times New Roman"/>
          <w:bCs/>
          <w:lang w:val="es-CO"/>
        </w:rPr>
        <w:t xml:space="preserve">).   </w:t>
      </w:r>
    </w:p>
    <w:p w14:paraId="69EC2BE2"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245C64F4" w14:textId="77777777" w:rsidR="00090C07" w:rsidRPr="00090C07" w:rsidRDefault="00090C07" w:rsidP="00090C07">
      <w:pPr>
        <w:widowControl w:val="0"/>
        <w:spacing w:after="0" w:line="240" w:lineRule="auto"/>
        <w:jc w:val="both"/>
        <w:rPr>
          <w:rFonts w:ascii="Times New Roman" w:hAnsi="Times New Roman" w:cs="Times New Roman"/>
          <w:bCs/>
        </w:rPr>
      </w:pPr>
      <w:r w:rsidRPr="00090C07">
        <w:rPr>
          <w:rFonts w:ascii="Times New Roman" w:hAnsi="Times New Roman" w:cs="Times New Roman"/>
          <w:bCs/>
        </w:rPr>
        <w:t>1.2.4.2. Que se declare que las “actas de conciliación, compensación y transacción” no tienen efectos generales y que además fueron incumplidas por Comcel, puesto que hubo descuentos o penalizaciones sobre comisiones al parecer transadas (</w:t>
      </w:r>
      <w:proofErr w:type="spellStart"/>
      <w:r w:rsidRPr="00090C07">
        <w:rPr>
          <w:rFonts w:ascii="Times New Roman" w:hAnsi="Times New Roman" w:cs="Times New Roman"/>
          <w:bCs/>
        </w:rPr>
        <w:t>fl</w:t>
      </w:r>
      <w:proofErr w:type="spellEnd"/>
      <w:r w:rsidRPr="00090C07">
        <w:rPr>
          <w:rFonts w:ascii="Times New Roman" w:hAnsi="Times New Roman" w:cs="Times New Roman"/>
          <w:bCs/>
        </w:rPr>
        <w:t xml:space="preserve">. 840, </w:t>
      </w:r>
      <w:r w:rsidRPr="00090C07">
        <w:rPr>
          <w:rFonts w:ascii="Times New Roman" w:hAnsi="Times New Roman" w:cs="Times New Roman"/>
          <w:bCs/>
          <w:i/>
        </w:rPr>
        <w:t>ib.</w:t>
      </w:r>
      <w:r w:rsidRPr="00090C07">
        <w:rPr>
          <w:rFonts w:ascii="Times New Roman" w:hAnsi="Times New Roman" w:cs="Times New Roman"/>
          <w:bCs/>
        </w:rPr>
        <w:t xml:space="preserve">). </w:t>
      </w:r>
    </w:p>
    <w:p w14:paraId="36580EB3" w14:textId="2ECD5778" w:rsidR="00090C07" w:rsidRDefault="00090C07" w:rsidP="001A15EE">
      <w:pPr>
        <w:widowControl w:val="0"/>
        <w:spacing w:after="0" w:line="240" w:lineRule="auto"/>
        <w:rPr>
          <w:rFonts w:ascii="Times New Roman" w:hAnsi="Times New Roman" w:cs="Times New Roman"/>
          <w:bCs/>
        </w:rPr>
      </w:pPr>
    </w:p>
    <w:p w14:paraId="519C5530" w14:textId="77777777" w:rsidR="001A15EE" w:rsidRPr="001A15EE" w:rsidRDefault="001A15EE" w:rsidP="001A15EE">
      <w:pPr>
        <w:widowControl w:val="0"/>
        <w:spacing w:after="0" w:line="240" w:lineRule="auto"/>
        <w:rPr>
          <w:rFonts w:ascii="Times New Roman" w:hAnsi="Times New Roman" w:cs="Times New Roman"/>
          <w:b/>
          <w:bCs/>
        </w:rPr>
      </w:pPr>
      <w:r w:rsidRPr="001A15EE">
        <w:rPr>
          <w:rFonts w:ascii="Times New Roman" w:hAnsi="Times New Roman" w:cs="Times New Roman"/>
          <w:b/>
          <w:bCs/>
        </w:rPr>
        <w:t>5.</w:t>
      </w:r>
      <w:r w:rsidRPr="001A15EE">
        <w:rPr>
          <w:rFonts w:ascii="Times New Roman" w:hAnsi="Times New Roman" w:cs="Times New Roman"/>
          <w:b/>
          <w:bCs/>
        </w:rPr>
        <w:tab/>
        <w:t>Los recursos de apelación.</w:t>
      </w:r>
    </w:p>
    <w:p w14:paraId="757CF2B8" w14:textId="77777777" w:rsidR="001A15EE" w:rsidRPr="001A15EE" w:rsidRDefault="001A15EE" w:rsidP="001A15EE">
      <w:pPr>
        <w:widowControl w:val="0"/>
        <w:spacing w:after="0" w:line="240" w:lineRule="auto"/>
        <w:rPr>
          <w:rFonts w:ascii="Times New Roman" w:hAnsi="Times New Roman" w:cs="Times New Roman"/>
          <w:bCs/>
        </w:rPr>
      </w:pPr>
    </w:p>
    <w:p w14:paraId="5578665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Con el propósito de que sea revocada la sentencia y se acceda a las pretensiones, las demandantes plantearon los siguientes reparos concretos:</w:t>
      </w:r>
    </w:p>
    <w:p w14:paraId="06FB0E3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85D426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5.1. </w:t>
      </w:r>
      <w:proofErr w:type="spellStart"/>
      <w:r w:rsidRPr="001A15EE">
        <w:rPr>
          <w:rFonts w:ascii="Times New Roman" w:hAnsi="Times New Roman" w:cs="Times New Roman"/>
          <w:b/>
          <w:bCs/>
          <w:lang w:val="es-CO"/>
        </w:rPr>
        <w:t>Conexcel</w:t>
      </w:r>
      <w:proofErr w:type="spellEnd"/>
      <w:r w:rsidRPr="001A15EE">
        <w:rPr>
          <w:rFonts w:ascii="Times New Roman" w:hAnsi="Times New Roman" w:cs="Times New Roman"/>
          <w:b/>
          <w:bCs/>
          <w:lang w:val="es-CO"/>
        </w:rPr>
        <w:t>.</w:t>
      </w:r>
    </w:p>
    <w:p w14:paraId="5CCA1F65"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512350B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(i)</w:t>
      </w:r>
      <w:r w:rsidRPr="001A15EE">
        <w:rPr>
          <w:rFonts w:ascii="Times New Roman" w:hAnsi="Times New Roman" w:cs="Times New Roman"/>
          <w:bCs/>
          <w:lang w:val="es-CO"/>
        </w:rPr>
        <w:t xml:space="preserve"> Se encuentran acreditados los elementos esenciales de un contrato de agencia comercial (que regula el artículo 1317 y ss. del C. de Co.) </w:t>
      </w:r>
      <w:r w:rsidRPr="001A15EE">
        <w:rPr>
          <w:rFonts w:ascii="Times New Roman" w:hAnsi="Times New Roman" w:cs="Times New Roman"/>
          <w:bCs/>
          <w:lang w:val="es-CO"/>
        </w:rPr>
        <w:lastRenderedPageBreak/>
        <w:t xml:space="preserve">para el área de la </w:t>
      </w:r>
      <w:r w:rsidRPr="001A15EE">
        <w:rPr>
          <w:rFonts w:ascii="Times New Roman" w:hAnsi="Times New Roman" w:cs="Times New Roman"/>
          <w:b/>
          <w:bCs/>
          <w:lang w:val="es-CO"/>
        </w:rPr>
        <w:t>Costa Atlántica</w:t>
      </w:r>
      <w:r w:rsidRPr="001A15EE">
        <w:rPr>
          <w:rFonts w:ascii="Times New Roman" w:hAnsi="Times New Roman" w:cs="Times New Roman"/>
          <w:bCs/>
          <w:vertAlign w:val="superscript"/>
          <w:lang w:val="es-CO"/>
        </w:rPr>
        <w:footnoteReference w:id="8"/>
      </w:r>
      <w:r w:rsidRPr="001A15EE">
        <w:rPr>
          <w:rFonts w:ascii="Times New Roman" w:hAnsi="Times New Roman" w:cs="Times New Roman"/>
          <w:bCs/>
          <w:lang w:val="es-CO"/>
        </w:rPr>
        <w:t xml:space="preserve"> (</w:t>
      </w:r>
      <w:r w:rsidRPr="001A15EE">
        <w:rPr>
          <w:rFonts w:ascii="Times New Roman" w:hAnsi="Times New Roman" w:cs="Times New Roman"/>
          <w:b/>
          <w:bCs/>
          <w:lang w:val="es-CO"/>
        </w:rPr>
        <w:t>a)</w:t>
      </w:r>
      <w:r w:rsidRPr="001A15EE">
        <w:rPr>
          <w:rFonts w:ascii="Times New Roman" w:hAnsi="Times New Roman" w:cs="Times New Roman"/>
          <w:bCs/>
          <w:lang w:val="es-CO"/>
        </w:rPr>
        <w:t xml:space="preserve"> se celebró entre comerciantes; </w:t>
      </w:r>
      <w:r w:rsidRPr="001A15EE">
        <w:rPr>
          <w:rFonts w:ascii="Times New Roman" w:hAnsi="Times New Roman" w:cs="Times New Roman"/>
          <w:b/>
          <w:bCs/>
          <w:lang w:val="es-CO"/>
        </w:rPr>
        <w:t>b)</w:t>
      </w:r>
      <w:r w:rsidRPr="001A15EE">
        <w:rPr>
          <w:rFonts w:ascii="Times New Roman" w:hAnsi="Times New Roman" w:cs="Times New Roman"/>
          <w:bCs/>
          <w:lang w:val="es-CO"/>
        </w:rPr>
        <w:t xml:space="preserve"> hubo independencia del agente comercial; </w:t>
      </w:r>
      <w:r w:rsidRPr="001A15EE">
        <w:rPr>
          <w:rFonts w:ascii="Times New Roman" w:hAnsi="Times New Roman" w:cs="Times New Roman"/>
          <w:b/>
          <w:bCs/>
          <w:lang w:val="es-CO"/>
        </w:rPr>
        <w:t>c)</w:t>
      </w:r>
      <w:r w:rsidRPr="001A15EE">
        <w:rPr>
          <w:rFonts w:ascii="Times New Roman" w:hAnsi="Times New Roman" w:cs="Times New Roman"/>
          <w:bCs/>
          <w:lang w:val="es-CO"/>
        </w:rPr>
        <w:t xml:space="preserve"> existió estabilidad o permanencia del vínculo negocial, </w:t>
      </w:r>
      <w:r w:rsidRPr="001A15EE">
        <w:rPr>
          <w:rFonts w:ascii="Times New Roman" w:hAnsi="Times New Roman" w:cs="Times New Roman"/>
          <w:b/>
          <w:bCs/>
          <w:lang w:val="es-CO"/>
        </w:rPr>
        <w:t>d)</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Celcaribe</w:t>
      </w:r>
      <w:proofErr w:type="spellEnd"/>
      <w:r w:rsidRPr="001A15EE">
        <w:rPr>
          <w:rFonts w:ascii="Times New Roman" w:hAnsi="Times New Roman" w:cs="Times New Roman"/>
          <w:bCs/>
          <w:lang w:val="es-CO"/>
        </w:rPr>
        <w:t xml:space="preserve">, hoy Comcel -quien se sabe asume una posición propia en el mercado de telefonía móvil celular y, por ende, asume los riesgos- le encargó a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promover y explotar el negocio del primero; </w:t>
      </w:r>
      <w:r w:rsidRPr="001A15EE">
        <w:rPr>
          <w:rFonts w:ascii="Times New Roman" w:hAnsi="Times New Roman" w:cs="Times New Roman"/>
          <w:b/>
          <w:bCs/>
          <w:lang w:val="es-CO"/>
        </w:rPr>
        <w:t>e)</w:t>
      </w:r>
      <w:r w:rsidRPr="001A15EE">
        <w:rPr>
          <w:rFonts w:ascii="Times New Roman" w:hAnsi="Times New Roman" w:cs="Times New Roman"/>
          <w:bCs/>
          <w:lang w:val="es-CO"/>
        </w:rPr>
        <w:t xml:space="preserve"> la zona prefijada; </w:t>
      </w:r>
      <w:r w:rsidRPr="001A15EE">
        <w:rPr>
          <w:rFonts w:ascii="Times New Roman" w:hAnsi="Times New Roman" w:cs="Times New Roman"/>
          <w:b/>
          <w:bCs/>
          <w:lang w:val="es-CO"/>
        </w:rPr>
        <w:t>f)</w:t>
      </w:r>
      <w:r w:rsidRPr="001A15EE">
        <w:rPr>
          <w:rFonts w:ascii="Times New Roman" w:hAnsi="Times New Roman" w:cs="Times New Roman"/>
          <w:bCs/>
          <w:lang w:val="es-CO"/>
        </w:rPr>
        <w:t xml:space="preserve"> la remuneración que Comcel le pagó a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y </w:t>
      </w:r>
      <w:r w:rsidRPr="001A15EE">
        <w:rPr>
          <w:rFonts w:ascii="Times New Roman" w:hAnsi="Times New Roman" w:cs="Times New Roman"/>
          <w:b/>
          <w:bCs/>
          <w:lang w:val="es-CO"/>
        </w:rPr>
        <w:t>g)</w:t>
      </w:r>
      <w:r w:rsidRPr="001A15EE">
        <w:rPr>
          <w:rFonts w:ascii="Times New Roman" w:hAnsi="Times New Roman" w:cs="Times New Roman"/>
          <w:bCs/>
          <w:lang w:val="es-CO"/>
        </w:rPr>
        <w:t xml:space="preserve"> la actuación del agente por cuenta del agenciado), con renovación automática hasta 13 de enero de 2010, y así debió declararse con fundamento en el principio del “contrato realidad” y, además, por la “antinomia” (contradicción en el entramado de cláusulas, pues mientras  unas hablaban de “distribución”, otras de la configuración de los elementos de la “agencia comercial”) y falta de contestación de la demanda y de una alegación en contrario, según lo prevé el artículo 95 del CPC, hoy 97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52DB5876"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3DD8F9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Agregó que si 24 laudos arbitrales y dos providencias de este Tribunal (de 24 de agosto y 24 de octubre de 2018</w:t>
      </w:r>
      <w:r w:rsidRPr="001A15EE">
        <w:rPr>
          <w:rFonts w:ascii="Times New Roman" w:hAnsi="Times New Roman" w:cs="Times New Roman"/>
          <w:bCs/>
          <w:vertAlign w:val="superscript"/>
          <w:lang w:val="es-CO"/>
        </w:rPr>
        <w:footnoteReference w:id="9"/>
      </w:r>
      <w:r w:rsidRPr="001A15EE">
        <w:rPr>
          <w:rFonts w:ascii="Times New Roman" w:hAnsi="Times New Roman" w:cs="Times New Roman"/>
          <w:bCs/>
          <w:lang w:val="es-CO"/>
        </w:rPr>
        <w:t>), con soporte en idénticos contratos, concluyeron que existió un “contrato de agencia comercial”, en este escenario debió arribarse a la misma conclusión, so pena de desconocer la igualdad y la confianza legítima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310,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25DB77B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F8B8C3A"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Debió condenarse a Comcel a la prestación mercantil que regula el artículo 1324 del C.C., a partir de la terminación del aludido convenio, 13 de enero de 2010, cuya cuantía ($</w:t>
      </w:r>
      <w:proofErr w:type="spellStart"/>
      <w:r w:rsidRPr="001A15EE">
        <w:rPr>
          <w:rFonts w:ascii="Times New Roman" w:hAnsi="Times New Roman" w:cs="Times New Roman"/>
          <w:bCs/>
          <w:lang w:val="es-CO"/>
        </w:rPr>
        <w:t>5.425’335.428,oo</w:t>
      </w:r>
      <w:proofErr w:type="spellEnd"/>
      <w:r w:rsidRPr="001A15EE">
        <w:rPr>
          <w:rFonts w:ascii="Times New Roman" w:hAnsi="Times New Roman" w:cs="Times New Roman"/>
          <w:bCs/>
          <w:lang w:val="es-CO"/>
        </w:rPr>
        <w:t xml:space="preserve">) demostró con la falta de objeción al </w:t>
      </w:r>
      <w:r w:rsidRPr="001A15EE">
        <w:rPr>
          <w:rFonts w:ascii="Times New Roman" w:hAnsi="Times New Roman" w:cs="Times New Roman"/>
          <w:b/>
          <w:bCs/>
          <w:lang w:val="es-CO"/>
        </w:rPr>
        <w:t>juramento estimatorio</w:t>
      </w:r>
      <w:r w:rsidRPr="001A15EE">
        <w:rPr>
          <w:rFonts w:ascii="Times New Roman" w:hAnsi="Times New Roman" w:cs="Times New Roman"/>
          <w:bCs/>
          <w:lang w:val="es-CO"/>
        </w:rPr>
        <w:t xml:space="preserve">, sin perjuicio del </w:t>
      </w:r>
      <w:r w:rsidRPr="001A15EE">
        <w:rPr>
          <w:rFonts w:ascii="Times New Roman" w:hAnsi="Times New Roman" w:cs="Times New Roman"/>
          <w:b/>
          <w:bCs/>
          <w:lang w:val="es-CO"/>
        </w:rPr>
        <w:t>decreto oficioso de pruebas</w:t>
      </w:r>
      <w:r w:rsidRPr="001A15EE">
        <w:rPr>
          <w:rFonts w:ascii="Times New Roman" w:hAnsi="Times New Roman" w:cs="Times New Roman"/>
          <w:bCs/>
          <w:lang w:val="es-CO"/>
        </w:rPr>
        <w:t xml:space="preserve"> para acreditarla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312,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578F7F7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71A9FF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También debieron reconocerse los intereses </w:t>
      </w:r>
      <w:r w:rsidRPr="001A15EE">
        <w:rPr>
          <w:rFonts w:ascii="Times New Roman" w:hAnsi="Times New Roman" w:cs="Times New Roman"/>
          <w:b/>
          <w:bCs/>
          <w:lang w:val="es-CO"/>
        </w:rPr>
        <w:t>mora</w:t>
      </w:r>
      <w:r w:rsidRPr="001A15EE">
        <w:rPr>
          <w:rFonts w:ascii="Times New Roman" w:hAnsi="Times New Roman" w:cs="Times New Roman"/>
          <w:bCs/>
          <w:lang w:val="es-CO"/>
        </w:rPr>
        <w:t>torios sobre la indemnización en comento a partir de la aludida calenda, conforme lo ordena el artículo 65 de la Ley 45 de 1990, en concordancia con el numeral 1° del artículo 1608 del C.C., lo que para el 8 de septiembre de 2019 ascendía a $</w:t>
      </w:r>
      <w:proofErr w:type="spellStart"/>
      <w:r w:rsidRPr="001A15EE">
        <w:rPr>
          <w:rFonts w:ascii="Times New Roman" w:hAnsi="Times New Roman" w:cs="Times New Roman"/>
          <w:bCs/>
          <w:lang w:val="es-CO"/>
        </w:rPr>
        <w:t>7.949’455.642,oo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313,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1377EAD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iv</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La terminación del referido contrato fue por una </w:t>
      </w:r>
      <w:r w:rsidRPr="001A15EE">
        <w:rPr>
          <w:rFonts w:ascii="Times New Roman" w:hAnsi="Times New Roman" w:cs="Times New Roman"/>
          <w:b/>
          <w:bCs/>
          <w:lang w:val="es-CO"/>
        </w:rPr>
        <w:t xml:space="preserve">justa causa </w:t>
      </w:r>
      <w:r w:rsidRPr="001A15EE">
        <w:rPr>
          <w:rFonts w:ascii="Times New Roman" w:hAnsi="Times New Roman" w:cs="Times New Roman"/>
          <w:bCs/>
          <w:lang w:val="es-CO"/>
        </w:rPr>
        <w:t xml:space="preserve">provocada por Comcel (empresario), conforme lo permite el artículo 1325 del C. de Co., de suerte que debió condenársele (a Comcel) al pago de la </w:t>
      </w:r>
      <w:r w:rsidRPr="001A15EE">
        <w:rPr>
          <w:rFonts w:ascii="Times New Roman" w:hAnsi="Times New Roman" w:cs="Times New Roman"/>
          <w:b/>
          <w:bCs/>
          <w:lang w:val="es-CO"/>
        </w:rPr>
        <w:t>indemnización</w:t>
      </w:r>
      <w:r w:rsidRPr="001A15EE">
        <w:rPr>
          <w:rFonts w:ascii="Times New Roman" w:hAnsi="Times New Roman" w:cs="Times New Roman"/>
          <w:bCs/>
          <w:lang w:val="es-CO"/>
        </w:rPr>
        <w:t xml:space="preserve"> especial que prevé el inciso 2° del artículo 1324, </w:t>
      </w:r>
      <w:r w:rsidRPr="001A15EE">
        <w:rPr>
          <w:rFonts w:ascii="Times New Roman" w:hAnsi="Times New Roman" w:cs="Times New Roman"/>
          <w:bCs/>
          <w:i/>
          <w:lang w:val="es-CO"/>
        </w:rPr>
        <w:t>ib.</w:t>
      </w:r>
      <w:r w:rsidRPr="001A15EE">
        <w:rPr>
          <w:rFonts w:ascii="Times New Roman" w:hAnsi="Times New Roman" w:cs="Times New Roman"/>
          <w:bCs/>
          <w:lang w:val="es-CO"/>
        </w:rPr>
        <w:t xml:space="preserve">, al igual que el lucro cesante y daño emergente sufridos por la demandante, lo que quedó demostrado con el </w:t>
      </w:r>
      <w:r w:rsidRPr="001A15EE">
        <w:rPr>
          <w:rFonts w:ascii="Times New Roman" w:hAnsi="Times New Roman" w:cs="Times New Roman"/>
          <w:b/>
          <w:bCs/>
          <w:lang w:val="es-CO"/>
        </w:rPr>
        <w:t>juramento estimatorio</w:t>
      </w:r>
      <w:r w:rsidRPr="001A15EE">
        <w:rPr>
          <w:rFonts w:ascii="Times New Roman" w:hAnsi="Times New Roman" w:cs="Times New Roman"/>
          <w:bCs/>
          <w:lang w:val="es-CO"/>
        </w:rPr>
        <w:t xml:space="preserve"> que no objetó su </w:t>
      </w:r>
      <w:r w:rsidRPr="001A15EE">
        <w:rPr>
          <w:rFonts w:ascii="Times New Roman" w:hAnsi="Times New Roman" w:cs="Times New Roman"/>
          <w:bCs/>
          <w:lang w:val="es-CO"/>
        </w:rPr>
        <w:t xml:space="preserve">opositora; entre las obligaciones de la demandada, se encuentra el no pago de las comisiones causadas en favor de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por $</w:t>
      </w:r>
      <w:proofErr w:type="spellStart"/>
      <w:r w:rsidRPr="001A15EE">
        <w:rPr>
          <w:rFonts w:ascii="Times New Roman" w:hAnsi="Times New Roman" w:cs="Times New Roman"/>
          <w:bCs/>
          <w:lang w:val="es-CO"/>
        </w:rPr>
        <w:t>971’794.531,oo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284,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las cláusulas penales por $</w:t>
      </w:r>
      <w:proofErr w:type="spellStart"/>
      <w:r w:rsidRPr="001A15EE">
        <w:rPr>
          <w:rFonts w:ascii="Times New Roman" w:hAnsi="Times New Roman" w:cs="Times New Roman"/>
          <w:bCs/>
          <w:lang w:val="es-CO"/>
        </w:rPr>
        <w:t>4.843’421.108,oo</w:t>
      </w:r>
      <w:proofErr w:type="spellEnd"/>
      <w:r w:rsidRPr="001A15EE">
        <w:rPr>
          <w:rFonts w:ascii="Times New Roman" w:hAnsi="Times New Roman" w:cs="Times New Roman"/>
          <w:bCs/>
          <w:lang w:val="es-CO"/>
        </w:rPr>
        <w:t xml:space="preserve"> y la acreditación de la marca por $</w:t>
      </w:r>
      <w:proofErr w:type="spellStart"/>
      <w:r w:rsidRPr="001A15EE">
        <w:rPr>
          <w:rFonts w:ascii="Times New Roman" w:hAnsi="Times New Roman" w:cs="Times New Roman"/>
          <w:bCs/>
          <w:lang w:val="es-CO"/>
        </w:rPr>
        <w:t>656’793.392,oo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315); y los incumplimientos imputables a Comcel, están amparados por la cosa juzgada que tiene el laudo arbitral [de 9 mayo de 2011], por lo que sus pretensiones debieron tener acogida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314).</w:t>
      </w:r>
    </w:p>
    <w:p w14:paraId="7A78728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9CF532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(v)</w:t>
      </w:r>
      <w:r w:rsidRPr="001A15EE">
        <w:rPr>
          <w:rFonts w:ascii="Times New Roman" w:hAnsi="Times New Roman" w:cs="Times New Roman"/>
          <w:bCs/>
          <w:lang w:val="es-CO"/>
        </w:rPr>
        <w:t xml:space="preserve"> En cuanto a la </w:t>
      </w:r>
      <w:r w:rsidRPr="001A15EE">
        <w:rPr>
          <w:rFonts w:ascii="Times New Roman" w:hAnsi="Times New Roman" w:cs="Times New Roman"/>
          <w:b/>
          <w:bCs/>
          <w:lang w:val="es-CO"/>
        </w:rPr>
        <w:t>hipoteca</w:t>
      </w:r>
      <w:r w:rsidRPr="001A15EE">
        <w:rPr>
          <w:rFonts w:ascii="Times New Roman" w:hAnsi="Times New Roman" w:cs="Times New Roman"/>
          <w:bCs/>
          <w:lang w:val="es-CO"/>
        </w:rPr>
        <w:t xml:space="preserve"> abierta sin cuantía determinada que Aponte Villamil constituyó a favor de Comcel para respaldar el cumplimiento del contrato de agencia comercial, sin mediar obligación qué respaldar, debió disponerse su cancelación, máxime ante la falta de contestación del libelo y la ausencia tanto de una excepción de compensación, como de una demanda de reconvención. </w:t>
      </w:r>
    </w:p>
    <w:p w14:paraId="21B5E76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A7ADAA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(vi)</w:t>
      </w:r>
      <w:r w:rsidRPr="001A15EE">
        <w:rPr>
          <w:rFonts w:ascii="Times New Roman" w:hAnsi="Times New Roman" w:cs="Times New Roman"/>
          <w:bCs/>
          <w:lang w:val="es-CO"/>
        </w:rPr>
        <w:t xml:space="preserve"> De acuerdo con los artículos 11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y 29 de la Constitución Política, debe declararse la </w:t>
      </w:r>
      <w:r w:rsidRPr="001A15EE">
        <w:rPr>
          <w:rFonts w:ascii="Times New Roman" w:hAnsi="Times New Roman" w:cs="Times New Roman"/>
          <w:b/>
          <w:bCs/>
          <w:lang w:val="es-CO"/>
        </w:rPr>
        <w:t>nulidad</w:t>
      </w:r>
      <w:r w:rsidRPr="001A15EE">
        <w:rPr>
          <w:rFonts w:ascii="Times New Roman" w:hAnsi="Times New Roman" w:cs="Times New Roman"/>
          <w:bCs/>
          <w:lang w:val="es-CO"/>
        </w:rPr>
        <w:t xml:space="preserve"> de lo actuado por la grave violación al debido proceso que afecta por igual a su contraparte, pues a la fecha no ha sido resuelto el recurso de reposición que Comcel formuló en forma oportuna (1° de septiembre de 2015) contra el auto admisorio de la demanda, herramienta procesal que suspendió la ejecutoria de dicho proveído, hacía que la contestación de su contraparte fuera a tiempo y, por ende, ello impedía citar a la audiencia prevista en el otrora artículo 101 del CPC, nulidad que no fue saneada al punto que fue invocada por la demandada en sus alegaciones finales.</w:t>
      </w:r>
    </w:p>
    <w:p w14:paraId="3622B45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C6C997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Añadió que ante la “nulidad generada, la prueba reina (juramento estimatorio) que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invoca para demostrar la cuantía de sus pretensiones de condena, deviene ineficaz, cuestionó que afecta la relación que debe existir entre el ‘</w:t>
      </w:r>
      <w:r w:rsidRPr="001A15EE">
        <w:rPr>
          <w:rFonts w:ascii="Times New Roman" w:hAnsi="Times New Roman" w:cs="Times New Roman"/>
          <w:bCs/>
          <w:i/>
          <w:lang w:val="es-CO"/>
        </w:rPr>
        <w:t>petitum’</w:t>
      </w:r>
      <w:r w:rsidRPr="001A15EE">
        <w:rPr>
          <w:rFonts w:ascii="Times New Roman" w:hAnsi="Times New Roman" w:cs="Times New Roman"/>
          <w:bCs/>
          <w:lang w:val="es-CO"/>
        </w:rPr>
        <w:t xml:space="preserve"> y la ‘</w:t>
      </w:r>
      <w:r w:rsidRPr="001A15EE">
        <w:rPr>
          <w:rFonts w:ascii="Times New Roman" w:hAnsi="Times New Roman" w:cs="Times New Roman"/>
          <w:bCs/>
          <w:i/>
          <w:lang w:val="es-CO"/>
        </w:rPr>
        <w:t>causa petendi</w:t>
      </w:r>
      <w:r w:rsidRPr="001A15EE">
        <w:rPr>
          <w:rFonts w:ascii="Times New Roman" w:hAnsi="Times New Roman" w:cs="Times New Roman"/>
          <w:bCs/>
          <w:lang w:val="es-CO"/>
        </w:rPr>
        <w:t xml:space="preserve">’ propuestas por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285,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1D481E62"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
          <w:bCs/>
          <w:lang w:val="es-CO"/>
        </w:rPr>
        <w:t>5.2.</w:t>
      </w:r>
      <w:r w:rsidRPr="001A15EE">
        <w:rPr>
          <w:rFonts w:ascii="Times New Roman" w:hAnsi="Times New Roman" w:cs="Times New Roman"/>
          <w:bCs/>
          <w:lang w:val="es-CO"/>
        </w:rPr>
        <w:t xml:space="preserve"> </w:t>
      </w:r>
      <w:r w:rsidRPr="001A15EE">
        <w:rPr>
          <w:rFonts w:ascii="Times New Roman" w:hAnsi="Times New Roman" w:cs="Times New Roman"/>
          <w:b/>
          <w:bCs/>
          <w:lang w:val="es-CO"/>
        </w:rPr>
        <w:t xml:space="preserve">Aponte Villamil. </w:t>
      </w:r>
    </w:p>
    <w:p w14:paraId="72C2594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4E73A0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(i)</w:t>
      </w:r>
      <w:r w:rsidRPr="001A15EE">
        <w:rPr>
          <w:rFonts w:ascii="Times New Roman" w:hAnsi="Times New Roman" w:cs="Times New Roman"/>
          <w:bCs/>
          <w:lang w:val="es-CO"/>
        </w:rPr>
        <w:t xml:space="preserve"> Comcel no contestó la demanda y la primera instancia pretermitió calificar esa conducta en la sentencia como indicio grave, conforme lo prevén los artículos 95 del CPC, 97 y 280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55A90A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0F5B48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Como el representante legal de Comcel confesó en su interrogatorio que eran tres las zonas comerciales en las que operaba: Costa Atlántica, Oriente y Occidente, al haberse resuelto por el Tribunal Arbitral respecto de </w:t>
      </w:r>
      <w:r w:rsidRPr="001A15EE">
        <w:rPr>
          <w:rFonts w:ascii="Times New Roman" w:hAnsi="Times New Roman" w:cs="Times New Roman"/>
          <w:bCs/>
          <w:lang w:val="es-CO"/>
        </w:rPr>
        <w:lastRenderedPageBreak/>
        <w:t>estas últimas que hubo un contrato de agencia comercial, debió en este asunto colegirse lo mismo en torno a la primera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454,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7D1B8F82"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255D60B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t>Sostuvo que el contrato de la Costa Atlántica, por ser vinculante para las partes y con fuerza de cosa juzgada, debió correr la misma suerte que en el laudo arbitral de 9 de mayo de 2011 que encontraron acreditado el convenio de agencia comercial en las zonas de Oriente y Occidente.</w:t>
      </w:r>
    </w:p>
    <w:p w14:paraId="0A543B4E"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5C73C54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Interpretación de las cláusulas del contrato </w:t>
      </w:r>
      <w:r w:rsidRPr="001A15EE">
        <w:rPr>
          <w:rFonts w:ascii="Times New Roman" w:hAnsi="Times New Roman" w:cs="Times New Roman"/>
          <w:bCs/>
          <w:i/>
          <w:lang w:val="es-CO"/>
        </w:rPr>
        <w:t>sub júdice</w:t>
      </w:r>
      <w:r w:rsidRPr="001A15EE">
        <w:rPr>
          <w:rFonts w:ascii="Times New Roman" w:hAnsi="Times New Roman" w:cs="Times New Roman"/>
          <w:bCs/>
          <w:lang w:val="es-CO"/>
        </w:rPr>
        <w:t xml:space="preserve"> por las de los otros convenios celebrados entre las mismas partes sobre la misma materia (artículo 1622 del C.C.).</w:t>
      </w:r>
    </w:p>
    <w:p w14:paraId="6062FEA4"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0CFC3F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Igualmente, trajo a cuento el mismo soporte que su </w:t>
      </w:r>
      <w:proofErr w:type="spellStart"/>
      <w:r w:rsidRPr="001A15EE">
        <w:rPr>
          <w:rFonts w:ascii="Times New Roman" w:hAnsi="Times New Roman" w:cs="Times New Roman"/>
          <w:bCs/>
          <w:lang w:val="es-CO"/>
        </w:rPr>
        <w:t>codemandante</w:t>
      </w:r>
      <w:proofErr w:type="spellEnd"/>
      <w:r w:rsidRPr="001A15EE">
        <w:rPr>
          <w:rFonts w:ascii="Times New Roman" w:hAnsi="Times New Roman" w:cs="Times New Roman"/>
          <w:bCs/>
          <w:lang w:val="es-CO"/>
        </w:rPr>
        <w:t>, esto es, que los elementos del contrato de agencia se configuraron y que debía acudirse al principio de contrato realidad que resolvía la antinomia y la recta calificación de ese negocio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457).</w:t>
      </w:r>
    </w:p>
    <w:p w14:paraId="4D9E24F6"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6FCD4B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Destacó la confesión del representante legal de Comcel al señalar que los dineros provenientes de las actividades y del consumo de tiempo al aire de los clientes activados por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sí entraron al patrimonio de la demandada, quien además asumió los riesgos y determinó las condiciones de selección de los abonados o clientes que la demandante podía vincular a los servicios de telefonía móvil celular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459 y 460,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xml:space="preserve">). </w:t>
      </w:r>
    </w:p>
    <w:p w14:paraId="6C79918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ECFC29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t>Señaló que no fue afortunado el argumento del fallo de primer grado en cuanto reprochó la falta de registro del contrato en el registro mercantil conforme al artículo 1320 de. C. de Co., pues ello solo se exige para efectos de la oponibilidad frente a terceros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460, </w:t>
      </w:r>
      <w:r w:rsidRPr="001A15EE">
        <w:rPr>
          <w:rFonts w:ascii="Times New Roman" w:hAnsi="Times New Roman" w:cs="Times New Roman"/>
          <w:bCs/>
          <w:i/>
          <w:lang w:val="es-CO"/>
        </w:rPr>
        <w:t>ib</w:t>
      </w:r>
      <w:r w:rsidRPr="001A15EE">
        <w:rPr>
          <w:rFonts w:ascii="Times New Roman" w:hAnsi="Times New Roman" w:cs="Times New Roman"/>
          <w:bCs/>
          <w:lang w:val="es-CO"/>
        </w:rPr>
        <w:t>.).</w:t>
      </w:r>
    </w:p>
    <w:p w14:paraId="5369656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D635FD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En cuanto a la </w:t>
      </w:r>
      <w:r w:rsidRPr="001A15EE">
        <w:rPr>
          <w:rFonts w:ascii="Times New Roman" w:hAnsi="Times New Roman" w:cs="Times New Roman"/>
          <w:b/>
          <w:bCs/>
          <w:lang w:val="es-CO"/>
        </w:rPr>
        <w:t>hipoteca</w:t>
      </w:r>
      <w:r w:rsidRPr="001A15EE">
        <w:rPr>
          <w:rFonts w:ascii="Times New Roman" w:hAnsi="Times New Roman" w:cs="Times New Roman"/>
          <w:bCs/>
          <w:lang w:val="es-CO"/>
        </w:rPr>
        <w:t xml:space="preserve"> abierta sin cuantía determinada que Aponte Villamil constituyó a favor de Comcel para respaldar el cumplimiento del contrato de agencia comercial, sin mediar obligación qué respaldar, debió disponerse su cancelación, máxime ante la falta de contestación del libelo y la ausencia tanto de una excepción de compensación, como de una demanda de reconvención. </w:t>
      </w:r>
    </w:p>
    <w:p w14:paraId="3860323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D72440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iv</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La prestación mercantil se demostró con la ausencia de objeción del juramento estimatorio, la cual asciende a $</w:t>
      </w:r>
      <w:proofErr w:type="spellStart"/>
      <w:r w:rsidRPr="001A15EE">
        <w:rPr>
          <w:rFonts w:ascii="Times New Roman" w:hAnsi="Times New Roman" w:cs="Times New Roman"/>
          <w:bCs/>
          <w:lang w:val="es-CO"/>
        </w:rPr>
        <w:t>5.425’335.428,oo</w:t>
      </w:r>
      <w:proofErr w:type="spellEnd"/>
      <w:r w:rsidRPr="001A15EE">
        <w:rPr>
          <w:rFonts w:ascii="Times New Roman" w:hAnsi="Times New Roman" w:cs="Times New Roman"/>
          <w:bCs/>
          <w:lang w:val="es-CO"/>
        </w:rPr>
        <w:t>.</w:t>
      </w:r>
    </w:p>
    <w:p w14:paraId="03A8FCF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4FE491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(v) </w:t>
      </w:r>
      <w:r w:rsidRPr="001A15EE">
        <w:rPr>
          <w:rFonts w:ascii="Times New Roman" w:hAnsi="Times New Roman" w:cs="Times New Roman"/>
          <w:bCs/>
          <w:lang w:val="es-CO"/>
        </w:rPr>
        <w:t xml:space="preserve">Deben reconocerse los intereses moratorios </w:t>
      </w:r>
      <w:r w:rsidRPr="001A15EE">
        <w:rPr>
          <w:rFonts w:ascii="Times New Roman" w:hAnsi="Times New Roman" w:cs="Times New Roman"/>
          <w:bCs/>
          <w:lang w:val="es-CO"/>
        </w:rPr>
        <w:t>sobre la prestación mercantil, pues el representante legal de Comcel confesó que el contrato terminó en el año 2010.</w:t>
      </w:r>
    </w:p>
    <w:p w14:paraId="2A4675E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C271A5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(vi)</w:t>
      </w:r>
      <w:r w:rsidRPr="001A15EE">
        <w:rPr>
          <w:rFonts w:ascii="Times New Roman" w:hAnsi="Times New Roman" w:cs="Times New Roman"/>
          <w:bCs/>
          <w:lang w:val="es-CO"/>
        </w:rPr>
        <w:t xml:space="preserve"> El representante legal de Comcel, al momento de rendir su interrogatorio, faltó a la verdad, pues negó ser cierto que la relación comercial que los unió fue de adhesión, como pretende probarlo con los idénticos contratos que Comcel empleó en el año 1998 con sus agentes/distribuidores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464,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xml:space="preserve">). </w:t>
      </w:r>
    </w:p>
    <w:p w14:paraId="332AE84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01ECAA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vii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en cumplimiento del contrato </w:t>
      </w:r>
      <w:r w:rsidRPr="001A15EE">
        <w:rPr>
          <w:rFonts w:ascii="Times New Roman" w:hAnsi="Times New Roman" w:cs="Times New Roman"/>
          <w:bCs/>
          <w:i/>
          <w:lang w:val="es-CO"/>
        </w:rPr>
        <w:t>sub júdice</w:t>
      </w:r>
      <w:r w:rsidRPr="001A15EE">
        <w:rPr>
          <w:rFonts w:ascii="Times New Roman" w:hAnsi="Times New Roman" w:cs="Times New Roman"/>
          <w:bCs/>
          <w:lang w:val="es-CO"/>
        </w:rPr>
        <w:t xml:space="preserve">, ejecutó actividades de promoción, </w:t>
      </w:r>
      <w:proofErr w:type="spellStart"/>
      <w:r w:rsidRPr="001A15EE">
        <w:rPr>
          <w:rFonts w:ascii="Times New Roman" w:hAnsi="Times New Roman" w:cs="Times New Roman"/>
          <w:bCs/>
          <w:lang w:val="es-CO"/>
        </w:rPr>
        <w:t>aún</w:t>
      </w:r>
      <w:proofErr w:type="spellEnd"/>
      <w:r w:rsidRPr="001A15EE">
        <w:rPr>
          <w:rFonts w:ascii="Times New Roman" w:hAnsi="Times New Roman" w:cs="Times New Roman"/>
          <w:bCs/>
          <w:lang w:val="es-CO"/>
        </w:rPr>
        <w:t xml:space="preserve"> cuando el representante legal de Comcel no negó, pues el anexo C “Plan COP-</w:t>
      </w:r>
      <w:proofErr w:type="spellStart"/>
      <w:r w:rsidRPr="001A15EE">
        <w:rPr>
          <w:rFonts w:ascii="Times New Roman" w:hAnsi="Times New Roman" w:cs="Times New Roman"/>
          <w:bCs/>
          <w:lang w:val="es-CO"/>
        </w:rPr>
        <w:t>OP</w:t>
      </w:r>
      <w:proofErr w:type="spellEnd"/>
      <w:r w:rsidRPr="001A15EE">
        <w:rPr>
          <w:rFonts w:ascii="Times New Roman" w:hAnsi="Times New Roman" w:cs="Times New Roman"/>
          <w:bCs/>
          <w:lang w:val="es-CO"/>
        </w:rPr>
        <w:t xml:space="preserve"> Publicidad) del contrato suscrito daba cuenta de lo contrario en el acápite de “objetivos”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467), con lo cual desvió la atención la verdadera naturaleza del convenio y actuó con temeridad y mala fe, lo que amerita la expedición de copias penales. </w:t>
      </w:r>
    </w:p>
    <w:p w14:paraId="085266F5" w14:textId="77777777" w:rsidR="001A15EE" w:rsidRPr="001A15EE" w:rsidRDefault="001A15EE" w:rsidP="001A15EE">
      <w:pPr>
        <w:widowControl w:val="0"/>
        <w:spacing w:after="0" w:line="240" w:lineRule="auto"/>
        <w:rPr>
          <w:rFonts w:ascii="Times New Roman" w:hAnsi="Times New Roman" w:cs="Times New Roman"/>
          <w:b/>
          <w:bCs/>
        </w:rPr>
      </w:pPr>
    </w:p>
    <w:p w14:paraId="5C446E23" w14:textId="77777777" w:rsidR="001A15EE" w:rsidRPr="001A15EE" w:rsidRDefault="001A15EE" w:rsidP="001A15EE">
      <w:pPr>
        <w:widowControl w:val="0"/>
        <w:spacing w:after="0" w:line="240" w:lineRule="auto"/>
        <w:jc w:val="center"/>
        <w:rPr>
          <w:rFonts w:ascii="Times New Roman" w:hAnsi="Times New Roman" w:cs="Times New Roman"/>
          <w:b/>
          <w:bCs/>
        </w:rPr>
      </w:pPr>
      <w:r w:rsidRPr="001A15EE">
        <w:rPr>
          <w:rFonts w:ascii="Times New Roman" w:hAnsi="Times New Roman" w:cs="Times New Roman"/>
          <w:b/>
          <w:bCs/>
        </w:rPr>
        <w:t>CONSIDERACIONES</w:t>
      </w:r>
    </w:p>
    <w:p w14:paraId="48422A34" w14:textId="77777777" w:rsidR="001A15EE" w:rsidRPr="001A15EE" w:rsidRDefault="001A15EE" w:rsidP="001A15EE">
      <w:pPr>
        <w:widowControl w:val="0"/>
        <w:spacing w:after="0" w:line="240" w:lineRule="auto"/>
        <w:rPr>
          <w:rFonts w:ascii="Times New Roman" w:hAnsi="Times New Roman" w:cs="Times New Roman"/>
          <w:bCs/>
        </w:rPr>
      </w:pPr>
    </w:p>
    <w:p w14:paraId="2D59DF8A"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ab/>
      </w:r>
      <w:r w:rsidRPr="001A15EE">
        <w:rPr>
          <w:rFonts w:ascii="Times New Roman" w:hAnsi="Times New Roman" w:cs="Times New Roman"/>
          <w:b/>
          <w:bCs/>
        </w:rPr>
        <w:t>1</w:t>
      </w:r>
      <w:r w:rsidRPr="001A15EE">
        <w:rPr>
          <w:rFonts w:ascii="Times New Roman" w:hAnsi="Times New Roman" w:cs="Times New Roman"/>
          <w:bCs/>
        </w:rPr>
        <w:t xml:space="preserve">. La Sala encuentra que la actuación se desarrolló normalmente, no hay causal de nulidad que se tenga que declarar, se hallan presentes los presupuestos procesales y este tribunal es competente para decidir el recurso de apelación en los términos y con las limitaciones que establece el artículo 328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y la jurisprudencia de la Sala de Casación Civil de la Corte Suprema de Justicia</w:t>
      </w:r>
      <w:r w:rsidRPr="001A15EE">
        <w:rPr>
          <w:rFonts w:ascii="Times New Roman" w:hAnsi="Times New Roman" w:cs="Times New Roman"/>
          <w:bCs/>
          <w:vertAlign w:val="superscript"/>
        </w:rPr>
        <w:footnoteReference w:id="10"/>
      </w:r>
      <w:r w:rsidRPr="001A15EE">
        <w:rPr>
          <w:rFonts w:ascii="Times New Roman" w:hAnsi="Times New Roman" w:cs="Times New Roman"/>
          <w:bCs/>
        </w:rPr>
        <w:t>.</w:t>
      </w:r>
    </w:p>
    <w:p w14:paraId="6BE17205" w14:textId="77777777" w:rsidR="001A15EE" w:rsidRPr="001A15EE" w:rsidRDefault="001A15EE" w:rsidP="001A15EE">
      <w:pPr>
        <w:widowControl w:val="0"/>
        <w:spacing w:after="0" w:line="240" w:lineRule="auto"/>
        <w:jc w:val="both"/>
        <w:rPr>
          <w:rFonts w:ascii="Times New Roman" w:hAnsi="Times New Roman" w:cs="Times New Roman"/>
          <w:bCs/>
        </w:rPr>
      </w:pPr>
    </w:p>
    <w:p w14:paraId="42E00F3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2. </w:t>
      </w:r>
      <w:r w:rsidRPr="001A15EE">
        <w:rPr>
          <w:rFonts w:ascii="Times New Roman" w:hAnsi="Times New Roman" w:cs="Times New Roman"/>
          <w:bCs/>
          <w:lang w:val="es-CO"/>
        </w:rPr>
        <w:t xml:space="preserve">En el caso que se analiza, quedaron al margen de la discusión los razonamientos que tuvo la primera instancia para, con fundamento en los </w:t>
      </w:r>
      <w:r w:rsidRPr="001A15EE">
        <w:rPr>
          <w:rFonts w:ascii="Times New Roman" w:hAnsi="Times New Roman" w:cs="Times New Roman"/>
          <w:bCs/>
        </w:rPr>
        <w:t xml:space="preserve">efectos de cosa juzgada del laudo arbitral de 9 de mayo de 2011, </w:t>
      </w:r>
      <w:r w:rsidRPr="001A15EE">
        <w:rPr>
          <w:rFonts w:ascii="Times New Roman" w:hAnsi="Times New Roman" w:cs="Times New Roman"/>
          <w:bCs/>
          <w:lang w:val="es-CO"/>
        </w:rPr>
        <w:t xml:space="preserve">relevarse de estudiar las pretensiones tendientes a obtener: </w:t>
      </w:r>
      <w:r w:rsidRPr="001A15EE">
        <w:rPr>
          <w:rFonts w:ascii="Times New Roman" w:hAnsi="Times New Roman" w:cs="Times New Roman"/>
          <w:b/>
          <w:bCs/>
          <w:lang w:val="es-CO"/>
        </w:rPr>
        <w:t>a)</w:t>
      </w:r>
      <w:r w:rsidRPr="001A15EE">
        <w:rPr>
          <w:rFonts w:ascii="Times New Roman" w:hAnsi="Times New Roman" w:cs="Times New Roman"/>
          <w:bCs/>
          <w:lang w:val="es-CO"/>
        </w:rPr>
        <w:t xml:space="preserve"> el </w:t>
      </w:r>
      <w:r w:rsidRPr="001A15EE">
        <w:rPr>
          <w:rFonts w:ascii="Times New Roman" w:hAnsi="Times New Roman" w:cs="Times New Roman"/>
          <w:bCs/>
        </w:rPr>
        <w:t xml:space="preserve">reconocimiento de la cesantía comercial que regula el artículo 1324 del C. de Co., </w:t>
      </w:r>
      <w:r w:rsidRPr="001A15EE">
        <w:rPr>
          <w:rFonts w:ascii="Times New Roman" w:hAnsi="Times New Roman" w:cs="Times New Roman"/>
          <w:b/>
          <w:bCs/>
        </w:rPr>
        <w:t>b)</w:t>
      </w:r>
      <w:r w:rsidRPr="001A15EE">
        <w:rPr>
          <w:rFonts w:ascii="Times New Roman" w:hAnsi="Times New Roman" w:cs="Times New Roman"/>
          <w:bCs/>
        </w:rPr>
        <w:t xml:space="preserve"> el</w:t>
      </w:r>
      <w:r w:rsidRPr="001A15EE">
        <w:rPr>
          <w:rFonts w:ascii="Times New Roman" w:hAnsi="Times New Roman" w:cs="Times New Roman"/>
          <w:b/>
          <w:bCs/>
          <w:i/>
        </w:rPr>
        <w:t xml:space="preserve"> </w:t>
      </w:r>
      <w:r w:rsidRPr="001A15EE">
        <w:rPr>
          <w:rFonts w:ascii="Times New Roman" w:hAnsi="Times New Roman" w:cs="Times New Roman"/>
          <w:bCs/>
        </w:rPr>
        <w:t xml:space="preserve">levantamiento de los gravámenes hipotecarios reclamados y </w:t>
      </w:r>
      <w:r w:rsidRPr="001A15EE">
        <w:rPr>
          <w:rFonts w:ascii="Times New Roman" w:hAnsi="Times New Roman" w:cs="Times New Roman"/>
          <w:b/>
          <w:bCs/>
        </w:rPr>
        <w:t xml:space="preserve">c) </w:t>
      </w:r>
      <w:r w:rsidRPr="001A15EE">
        <w:rPr>
          <w:rFonts w:ascii="Times New Roman" w:hAnsi="Times New Roman" w:cs="Times New Roman"/>
          <w:bCs/>
        </w:rPr>
        <w:t xml:space="preserve">las comisiones o pagos no reconocidos por la demandada, que soportaron en los contratos (provistos de cláusula compromisoria) </w:t>
      </w:r>
      <w:r w:rsidRPr="001A15EE">
        <w:rPr>
          <w:rFonts w:ascii="Times New Roman" w:hAnsi="Times New Roman" w:cs="Times New Roman"/>
          <w:bCs/>
          <w:lang w:val="es-CO"/>
        </w:rPr>
        <w:t>de promoción y comercialización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de</w:t>
      </w:r>
      <w:r w:rsidRPr="001A15EE">
        <w:rPr>
          <w:rFonts w:ascii="Times New Roman" w:hAnsi="Times New Roman" w:cs="Times New Roman"/>
          <w:bCs/>
        </w:rPr>
        <w:t xml:space="preserve"> 16 de enero de 1997, 26 de octubre de 1998 y 5 de octubre de 1999</w:t>
      </w:r>
      <w:r w:rsidRPr="001A15EE">
        <w:rPr>
          <w:rFonts w:ascii="Times New Roman" w:hAnsi="Times New Roman" w:cs="Times New Roman"/>
          <w:bCs/>
          <w:lang w:val="es-CO"/>
        </w:rPr>
        <w:t xml:space="preserve">, en la medida en que, en estrictez, ningún reproche formularon, todo lo cual limita al Tribunal en los términos que establecen el precepto y la jurisprudencia en cita. </w:t>
      </w:r>
    </w:p>
    <w:p w14:paraId="28B3C1D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32106D1"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
          <w:bCs/>
          <w:lang w:val="es-CO"/>
        </w:rPr>
        <w:tab/>
        <w:t xml:space="preserve">3. </w:t>
      </w:r>
      <w:r w:rsidRPr="001A15EE">
        <w:rPr>
          <w:rFonts w:ascii="Times New Roman" w:hAnsi="Times New Roman" w:cs="Times New Roman"/>
          <w:bCs/>
          <w:lang w:val="es-CO"/>
        </w:rPr>
        <w:t xml:space="preserve">Hechas estas precisiones, </w:t>
      </w:r>
      <w:r w:rsidRPr="001A15EE">
        <w:rPr>
          <w:rFonts w:ascii="Times New Roman" w:hAnsi="Times New Roman" w:cs="Times New Roman"/>
          <w:bCs/>
          <w:lang w:val="es-CO"/>
        </w:rPr>
        <w:lastRenderedPageBreak/>
        <w:t>corresponde ahora resolver los reparos concretos formulados por los apelantes</w:t>
      </w:r>
      <w:r w:rsidRPr="001A15EE">
        <w:rPr>
          <w:rFonts w:ascii="Times New Roman" w:hAnsi="Times New Roman" w:cs="Times New Roman"/>
          <w:bCs/>
        </w:rPr>
        <w:t xml:space="preserve">. </w:t>
      </w:r>
    </w:p>
    <w:p w14:paraId="750F36FF" w14:textId="77777777" w:rsidR="001A15EE" w:rsidRPr="001A15EE" w:rsidRDefault="001A15EE" w:rsidP="001A15EE">
      <w:pPr>
        <w:widowControl w:val="0"/>
        <w:spacing w:after="0" w:line="240" w:lineRule="auto"/>
        <w:jc w:val="both"/>
        <w:rPr>
          <w:rFonts w:ascii="Times New Roman" w:hAnsi="Times New Roman" w:cs="Times New Roman"/>
          <w:bCs/>
        </w:rPr>
      </w:pPr>
    </w:p>
    <w:p w14:paraId="63BDC1E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MX"/>
        </w:rPr>
        <w:t xml:space="preserve">Para cumplir con ese propósito, el Tribunal abordará </w:t>
      </w:r>
      <w:r w:rsidRPr="001A15EE">
        <w:rPr>
          <w:rFonts w:ascii="Times New Roman" w:hAnsi="Times New Roman" w:cs="Times New Roman"/>
          <w:b/>
          <w:bCs/>
          <w:lang w:val="es-MX"/>
        </w:rPr>
        <w:t>primero</w:t>
      </w:r>
      <w:r w:rsidRPr="001A15EE">
        <w:rPr>
          <w:rFonts w:ascii="Times New Roman" w:hAnsi="Times New Roman" w:cs="Times New Roman"/>
          <w:bCs/>
          <w:lang w:val="es-MX"/>
        </w:rPr>
        <w:t xml:space="preserve">, por orden lógico, las alegaciones que formuló </w:t>
      </w:r>
      <w:proofErr w:type="spellStart"/>
      <w:r w:rsidRPr="001A15EE">
        <w:rPr>
          <w:rFonts w:ascii="Times New Roman" w:hAnsi="Times New Roman" w:cs="Times New Roman"/>
          <w:bCs/>
          <w:lang w:val="es-MX"/>
        </w:rPr>
        <w:t>Conexcel</w:t>
      </w:r>
      <w:proofErr w:type="spellEnd"/>
      <w:r w:rsidRPr="001A15EE">
        <w:rPr>
          <w:rFonts w:ascii="Times New Roman" w:hAnsi="Times New Roman" w:cs="Times New Roman"/>
          <w:bCs/>
          <w:lang w:val="es-MX"/>
        </w:rPr>
        <w:t xml:space="preserve">, relacionadas con la existencia </w:t>
      </w:r>
      <w:r w:rsidRPr="001A15EE">
        <w:rPr>
          <w:rFonts w:ascii="Times New Roman" w:hAnsi="Times New Roman" w:cs="Times New Roman"/>
          <w:bCs/>
        </w:rPr>
        <w:t xml:space="preserve">de una nulidad constitucional; en </w:t>
      </w:r>
      <w:r w:rsidRPr="001A15EE">
        <w:rPr>
          <w:rFonts w:ascii="Times New Roman" w:hAnsi="Times New Roman" w:cs="Times New Roman"/>
          <w:b/>
          <w:bCs/>
        </w:rPr>
        <w:t>segundo</w:t>
      </w:r>
      <w:r w:rsidRPr="001A15EE">
        <w:rPr>
          <w:rFonts w:ascii="Times New Roman" w:hAnsi="Times New Roman" w:cs="Times New Roman"/>
          <w:bCs/>
        </w:rPr>
        <w:t xml:space="preserve"> lugar, </w:t>
      </w:r>
      <w:proofErr w:type="spellStart"/>
      <w:r w:rsidRPr="001A15EE">
        <w:rPr>
          <w:rFonts w:ascii="Times New Roman" w:hAnsi="Times New Roman" w:cs="Times New Roman"/>
          <w:bCs/>
          <w:lang w:val="es-CO"/>
        </w:rPr>
        <w:t>si</w:t>
      </w:r>
      <w:proofErr w:type="spellEnd"/>
      <w:r w:rsidRPr="001A15EE">
        <w:rPr>
          <w:rFonts w:ascii="Times New Roman" w:hAnsi="Times New Roman" w:cs="Times New Roman"/>
          <w:bCs/>
          <w:lang w:val="es-CO"/>
        </w:rPr>
        <w:t xml:space="preserve"> resulta viable estudiar las pretensiones con soporte en los contratos de promoción y comercialización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xml:space="preserve">) de </w:t>
      </w:r>
      <w:r w:rsidRPr="001A15EE">
        <w:rPr>
          <w:rFonts w:ascii="Times New Roman" w:hAnsi="Times New Roman" w:cs="Times New Roman"/>
          <w:bCs/>
        </w:rPr>
        <w:t xml:space="preserve">27 de julio de 1999, 11 de mayo de 2000, 13 de abril de 2002 y </w:t>
      </w:r>
      <w:r w:rsidRPr="001A15EE">
        <w:rPr>
          <w:rFonts w:ascii="Times New Roman" w:hAnsi="Times New Roman" w:cs="Times New Roman"/>
          <w:bCs/>
          <w:u w:val="single"/>
        </w:rPr>
        <w:t>3 de abril de 2003</w:t>
      </w:r>
      <w:r w:rsidRPr="001A15EE">
        <w:rPr>
          <w:rFonts w:ascii="Times New Roman" w:hAnsi="Times New Roman" w:cs="Times New Roman"/>
          <w:bCs/>
        </w:rPr>
        <w:t xml:space="preserve"> (de la Costa Caribe) y los dos convenios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w:t>
      </w:r>
      <w:r w:rsidRPr="001A15EE">
        <w:rPr>
          <w:rFonts w:ascii="Times New Roman" w:hAnsi="Times New Roman" w:cs="Times New Roman"/>
          <w:bCs/>
          <w:u w:val="single"/>
          <w:lang w:val="es-CO"/>
        </w:rPr>
        <w:t>20 de junio de 2006</w:t>
      </w:r>
      <w:r w:rsidRPr="001A15EE">
        <w:rPr>
          <w:rFonts w:ascii="Times New Roman" w:hAnsi="Times New Roman" w:cs="Times New Roman"/>
          <w:bCs/>
          <w:lang w:val="es-CO"/>
        </w:rPr>
        <w:t xml:space="preserve">; </w:t>
      </w:r>
      <w:r w:rsidRPr="001A15EE">
        <w:rPr>
          <w:rFonts w:ascii="Times New Roman" w:hAnsi="Times New Roman" w:cs="Times New Roman"/>
          <w:b/>
          <w:bCs/>
          <w:lang w:val="es-CO"/>
        </w:rPr>
        <w:t>en tercer término</w:t>
      </w:r>
      <w:r w:rsidRPr="001A15EE">
        <w:rPr>
          <w:rFonts w:ascii="Times New Roman" w:hAnsi="Times New Roman" w:cs="Times New Roman"/>
          <w:bCs/>
          <w:lang w:val="es-CO"/>
        </w:rPr>
        <w:t xml:space="preserve">, si de los negocios jurídicos a estudiar resulta dable señalar que fueron de adhesión, si se probó que la demandada los incumplió, para reconocer las “comisiones, residual”, “anticipos”, al igual que las prestaciones que regula el artículo 1324 del </w:t>
      </w:r>
      <w:proofErr w:type="spellStart"/>
      <w:r w:rsidRPr="001A15EE">
        <w:rPr>
          <w:rFonts w:ascii="Times New Roman" w:hAnsi="Times New Roman" w:cs="Times New Roman"/>
          <w:bCs/>
          <w:lang w:val="es-CO"/>
        </w:rPr>
        <w:t>C.Co</w:t>
      </w:r>
      <w:proofErr w:type="spellEnd"/>
      <w:r w:rsidRPr="001A15EE">
        <w:rPr>
          <w:rFonts w:ascii="Times New Roman" w:hAnsi="Times New Roman" w:cs="Times New Roman"/>
          <w:bCs/>
          <w:lang w:val="es-CO"/>
        </w:rPr>
        <w:t xml:space="preserve">. y, </w:t>
      </w:r>
      <w:r w:rsidRPr="001A15EE">
        <w:rPr>
          <w:rFonts w:ascii="Times New Roman" w:hAnsi="Times New Roman" w:cs="Times New Roman"/>
          <w:b/>
          <w:bCs/>
          <w:lang w:val="es-CO"/>
        </w:rPr>
        <w:t>por último</w:t>
      </w:r>
      <w:r w:rsidRPr="001A15EE">
        <w:rPr>
          <w:rFonts w:ascii="Times New Roman" w:hAnsi="Times New Roman" w:cs="Times New Roman"/>
          <w:bCs/>
          <w:lang w:val="es-CO"/>
        </w:rPr>
        <w:t xml:space="preserve">, si la demandante probó que su opositora abusó de su posición contractual, o si hubo ineficacia y nulidad –en subsidio- de algunas cláusulas de los contratos, por todo lo cual debía declararse que no podía –ni pueden- diligenciarse los pagarés en blanco, ni hacerse efectiva la restante garantía hipotecaria contenida en la Escritura Pública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1023 de 22 de abril de 2003 otorgada en la Notaría 25 de Bogotá, con la aclaratoria de la anterior contenida en la Escritura Pública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1938 otorgada el 17 de julio de 2003 en la Notaría 25 de Bogotá, constituida para respaldar los saldos pendientes a cargo de la parte demandante, ni que el acta de liquidación que Comcel elaboró, no puede considerarse definitiva, ni presta mérito ejecutivo.</w:t>
      </w:r>
    </w:p>
    <w:p w14:paraId="01C3CEA7" w14:textId="77777777" w:rsidR="001A15EE" w:rsidRPr="001A15EE" w:rsidRDefault="001A15EE" w:rsidP="001A15EE">
      <w:pPr>
        <w:widowControl w:val="0"/>
        <w:spacing w:after="0" w:line="240" w:lineRule="auto"/>
        <w:rPr>
          <w:rFonts w:ascii="Times New Roman" w:hAnsi="Times New Roman" w:cs="Times New Roman"/>
          <w:bCs/>
          <w:lang w:val="es-CO"/>
        </w:rPr>
      </w:pPr>
    </w:p>
    <w:p w14:paraId="4FDB7E16" w14:textId="77777777" w:rsidR="001A15EE" w:rsidRPr="001A15EE" w:rsidRDefault="001A15EE" w:rsidP="001A15EE">
      <w:pPr>
        <w:widowControl w:val="0"/>
        <w:numPr>
          <w:ilvl w:val="1"/>
          <w:numId w:val="24"/>
        </w:numPr>
        <w:spacing w:after="0" w:line="240" w:lineRule="auto"/>
        <w:rPr>
          <w:rFonts w:ascii="Times New Roman" w:hAnsi="Times New Roman" w:cs="Times New Roman"/>
          <w:b/>
          <w:bCs/>
        </w:rPr>
      </w:pPr>
      <w:r w:rsidRPr="001A15EE">
        <w:rPr>
          <w:rFonts w:ascii="Times New Roman" w:hAnsi="Times New Roman" w:cs="Times New Roman"/>
          <w:b/>
          <w:bCs/>
        </w:rPr>
        <w:t>De la nulidad constitucional.</w:t>
      </w:r>
    </w:p>
    <w:p w14:paraId="3280EC49" w14:textId="77777777" w:rsidR="001A15EE" w:rsidRPr="001A15EE" w:rsidRDefault="001A15EE" w:rsidP="001A15EE">
      <w:pPr>
        <w:widowControl w:val="0"/>
        <w:spacing w:after="0" w:line="240" w:lineRule="auto"/>
        <w:jc w:val="both"/>
        <w:rPr>
          <w:rFonts w:ascii="Times New Roman" w:hAnsi="Times New Roman" w:cs="Times New Roman"/>
          <w:bCs/>
        </w:rPr>
      </w:pPr>
    </w:p>
    <w:p w14:paraId="16F5724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 pesar de que el recurso de alzada no es el escenario propicio para interponer nulidades, en el caso en estudio no se ha presentado el vicio exhibido por el censor.</w:t>
      </w:r>
    </w:p>
    <w:p w14:paraId="612DEBC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9BA1C6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efecto, aduce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que en la primera instancia se configuró una nulidad por violación al “debido proceso”, en la medida en que el recurso de reposición formulado por su contraparte contra el auto admisorio de la demanda de 15 de enero de 2015, no ha sido resuelto.</w:t>
      </w:r>
    </w:p>
    <w:p w14:paraId="33E0C50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0F48CEA" w14:textId="77777777" w:rsidR="001A15EE" w:rsidRPr="001A15EE" w:rsidRDefault="001A15EE" w:rsidP="001A15EE">
      <w:pPr>
        <w:widowControl w:val="0"/>
        <w:spacing w:after="0" w:line="240" w:lineRule="auto"/>
        <w:jc w:val="both"/>
        <w:rPr>
          <w:rFonts w:ascii="Times New Roman" w:hAnsi="Times New Roman" w:cs="Times New Roman"/>
          <w:bCs/>
          <w:lang w:val="es-ES_tradnl"/>
        </w:rPr>
      </w:pPr>
      <w:r w:rsidRPr="001A15EE">
        <w:rPr>
          <w:rFonts w:ascii="Times New Roman" w:hAnsi="Times New Roman" w:cs="Times New Roman"/>
          <w:bCs/>
          <w:lang w:val="es-CO"/>
        </w:rPr>
        <w:t xml:space="preserve">Sin embargo, pasa por alto que las “irregularidades” a que aludió la apelante en su solicitud de nulidad, no se enmarcan en ninguna de las causales de invalidación que, </w:t>
      </w:r>
      <w:r w:rsidRPr="001A15EE">
        <w:rPr>
          <w:rFonts w:ascii="Times New Roman" w:hAnsi="Times New Roman" w:cs="Times New Roman"/>
          <w:b/>
          <w:bCs/>
          <w:u w:val="single"/>
          <w:lang w:val="es-CO"/>
        </w:rPr>
        <w:t>taxativamente</w:t>
      </w:r>
      <w:r w:rsidRPr="001A15EE">
        <w:rPr>
          <w:rFonts w:ascii="Times New Roman" w:hAnsi="Times New Roman" w:cs="Times New Roman"/>
          <w:bCs/>
          <w:lang w:val="es-CO"/>
        </w:rPr>
        <w:t xml:space="preserve">, previó el ordenamiento jurídico (artículo 133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aserto que, contrario a lo que sostuvo la recurrente, no </w:t>
      </w:r>
      <w:r w:rsidRPr="001A15EE">
        <w:rPr>
          <w:rFonts w:ascii="Times New Roman" w:hAnsi="Times New Roman" w:cs="Times New Roman"/>
          <w:bCs/>
          <w:lang w:val="es-CO"/>
        </w:rPr>
        <w:t xml:space="preserve">sufre mengua ni siquiera en virtud de las previsiones del artículo 29 de la Constitución Política, pues el supuesto de </w:t>
      </w:r>
      <w:r w:rsidRPr="001A15EE">
        <w:rPr>
          <w:rFonts w:ascii="Times New Roman" w:hAnsi="Times New Roman" w:cs="Times New Roman"/>
          <w:bCs/>
          <w:lang w:val="es-ES_tradnl"/>
        </w:rPr>
        <w:t xml:space="preserve">nulidad “supralegal” allí contenido, que constituye la </w:t>
      </w:r>
      <w:r w:rsidRPr="001A15EE">
        <w:rPr>
          <w:rFonts w:ascii="Times New Roman" w:hAnsi="Times New Roman" w:cs="Times New Roman"/>
          <w:b/>
          <w:bCs/>
          <w:u w:val="single"/>
          <w:lang w:val="es-ES_tradnl"/>
        </w:rPr>
        <w:t>única</w:t>
      </w:r>
      <w:r w:rsidRPr="001A15EE">
        <w:rPr>
          <w:rFonts w:ascii="Times New Roman" w:hAnsi="Times New Roman" w:cs="Times New Roman"/>
          <w:bCs/>
          <w:lang w:val="es-ES_tradnl"/>
        </w:rPr>
        <w:t xml:space="preserve"> excepción </w:t>
      </w:r>
      <w:r w:rsidRPr="001A15EE">
        <w:rPr>
          <w:rFonts w:ascii="Times New Roman" w:hAnsi="Times New Roman" w:cs="Times New Roman"/>
          <w:bCs/>
          <w:lang w:val="es-CO"/>
        </w:rPr>
        <w:t xml:space="preserve">a la regla de taxatividad a que ya se hizo mención (artículo 135, ídem), </w:t>
      </w:r>
      <w:r w:rsidRPr="001A15EE">
        <w:rPr>
          <w:rFonts w:ascii="Times New Roman" w:hAnsi="Times New Roman" w:cs="Times New Roman"/>
          <w:bCs/>
          <w:lang w:val="es-ES_tradnl"/>
        </w:rPr>
        <w:t>sólo tiene lugar en aquellos casos en que una decisión judicial se hubiera soportado, fundamentalmente, en una prueba obtenida en forma ilegal</w:t>
      </w:r>
      <w:r w:rsidRPr="001A15EE">
        <w:rPr>
          <w:rFonts w:ascii="Times New Roman" w:hAnsi="Times New Roman" w:cs="Times New Roman"/>
          <w:bCs/>
          <w:vertAlign w:val="superscript"/>
          <w:lang w:val="es-ES_tradnl"/>
        </w:rPr>
        <w:footnoteReference w:id="11"/>
      </w:r>
      <w:r w:rsidRPr="001A15EE">
        <w:rPr>
          <w:rFonts w:ascii="Times New Roman" w:hAnsi="Times New Roman" w:cs="Times New Roman"/>
          <w:bCs/>
          <w:lang w:val="es-ES_tradnl"/>
        </w:rPr>
        <w:t xml:space="preserve">, hipótesis que es por entero ajena a la solicitud de anulación que formuló </w:t>
      </w:r>
      <w:proofErr w:type="spellStart"/>
      <w:r w:rsidRPr="001A15EE">
        <w:rPr>
          <w:rFonts w:ascii="Times New Roman" w:hAnsi="Times New Roman" w:cs="Times New Roman"/>
          <w:bCs/>
          <w:lang w:val="es-ES_tradnl"/>
        </w:rPr>
        <w:t>Conexcel</w:t>
      </w:r>
      <w:proofErr w:type="spellEnd"/>
      <w:r w:rsidRPr="001A15EE">
        <w:rPr>
          <w:rFonts w:ascii="Times New Roman" w:hAnsi="Times New Roman" w:cs="Times New Roman"/>
          <w:bCs/>
          <w:lang w:val="es-ES_tradnl"/>
        </w:rPr>
        <w:t xml:space="preserve">, quien, vuelve y se insiste, no denunció que el fallo de primera instancia se hubiera apoyado en un elemento de juicio de esa naturaleza. </w:t>
      </w:r>
    </w:p>
    <w:p w14:paraId="50CEDD40" w14:textId="77777777" w:rsidR="001A15EE" w:rsidRPr="001A15EE" w:rsidRDefault="001A15EE" w:rsidP="001A15EE">
      <w:pPr>
        <w:widowControl w:val="0"/>
        <w:spacing w:after="0" w:line="240" w:lineRule="auto"/>
        <w:jc w:val="both"/>
        <w:rPr>
          <w:rFonts w:ascii="Times New Roman" w:hAnsi="Times New Roman" w:cs="Times New Roman"/>
          <w:bCs/>
          <w:lang w:val="es-ES_tradnl"/>
        </w:rPr>
      </w:pPr>
    </w:p>
    <w:p w14:paraId="2B0ABDD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ES_tradnl"/>
        </w:rPr>
        <w:t xml:space="preserve">Además, aunque ante el Tribunal </w:t>
      </w:r>
      <w:proofErr w:type="spellStart"/>
      <w:r w:rsidRPr="001A15EE">
        <w:rPr>
          <w:rFonts w:ascii="Times New Roman" w:hAnsi="Times New Roman" w:cs="Times New Roman"/>
          <w:bCs/>
          <w:lang w:val="es-ES_tradnl"/>
        </w:rPr>
        <w:t>Conexcel</w:t>
      </w:r>
      <w:proofErr w:type="spellEnd"/>
      <w:r w:rsidRPr="001A15EE">
        <w:rPr>
          <w:rFonts w:ascii="Times New Roman" w:hAnsi="Times New Roman" w:cs="Times New Roman"/>
          <w:bCs/>
          <w:lang w:val="es-ES_tradnl"/>
        </w:rPr>
        <w:t xml:space="preserve"> evocó tangencialmente los numerales 5° y 6° del artículo 133 del </w:t>
      </w:r>
      <w:proofErr w:type="spellStart"/>
      <w:r w:rsidRPr="001A15EE">
        <w:rPr>
          <w:rFonts w:ascii="Times New Roman" w:hAnsi="Times New Roman" w:cs="Times New Roman"/>
          <w:bCs/>
          <w:lang w:val="es-ES_tradnl"/>
        </w:rPr>
        <w:t>CGP</w:t>
      </w:r>
      <w:proofErr w:type="spellEnd"/>
      <w:r w:rsidRPr="001A15EE">
        <w:rPr>
          <w:rFonts w:ascii="Times New Roman" w:hAnsi="Times New Roman" w:cs="Times New Roman"/>
          <w:bCs/>
          <w:lang w:val="es-ES_tradnl"/>
        </w:rPr>
        <w:t xml:space="preserve">, no puede pasarse por alto que </w:t>
      </w:r>
      <w:proofErr w:type="spellStart"/>
      <w:r w:rsidRPr="001A15EE">
        <w:rPr>
          <w:rFonts w:ascii="Times New Roman" w:hAnsi="Times New Roman" w:cs="Times New Roman"/>
          <w:bCs/>
          <w:lang w:val="es-ES_tradnl"/>
        </w:rPr>
        <w:t>Conexcel</w:t>
      </w:r>
      <w:proofErr w:type="spellEnd"/>
      <w:r w:rsidRPr="001A15EE">
        <w:rPr>
          <w:rFonts w:ascii="Times New Roman" w:hAnsi="Times New Roman" w:cs="Times New Roman"/>
          <w:bCs/>
          <w:lang w:val="es-ES_tradnl"/>
        </w:rPr>
        <w:t xml:space="preserve"> </w:t>
      </w:r>
      <w:r w:rsidRPr="001A15EE">
        <w:rPr>
          <w:rFonts w:ascii="Times New Roman" w:hAnsi="Times New Roman" w:cs="Times New Roman"/>
          <w:bCs/>
          <w:lang w:val="es-CO"/>
        </w:rPr>
        <w:t xml:space="preserve">carece de legitimación para proponerla porque ella debe alegarla </w:t>
      </w:r>
      <w:r w:rsidRPr="001A15EE">
        <w:rPr>
          <w:rFonts w:ascii="Times New Roman" w:hAnsi="Times New Roman" w:cs="Times New Roman"/>
          <w:bCs/>
          <w:u w:val="single"/>
          <w:lang w:val="es-CO"/>
        </w:rPr>
        <w:t>la persona afectada</w:t>
      </w:r>
      <w:r w:rsidRPr="001A15EE">
        <w:rPr>
          <w:rFonts w:ascii="Times New Roman" w:hAnsi="Times New Roman" w:cs="Times New Roman"/>
          <w:bCs/>
          <w:lang w:val="es-CO"/>
        </w:rPr>
        <w:t xml:space="preserve"> (artículo 143 del CPC, hoy 135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en este caso Comcel S.A. </w:t>
      </w:r>
    </w:p>
    <w:p w14:paraId="56218F8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08D52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todo caso, téngase en cuenta que mediante proveído de 14 de enero de 2016,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sí hizo mención a la extemporaneidad de la formulación del aludido medio horizontal al haberse presentado hasta el 1° de septiembre de 2015, cuando debía hacerlo a más tardar el 26 de agosto anterior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964,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 postura que mantuvo incólume en auto de 18 de abril de 2016 al rechazar el incidente que para ese propósito presentó la interesada (Comcel), entre otras razones, porque con ese proceder, la interesada, se itera, Comcel, la saneó en los términos del artículo 144, numeral 4° del CPC, a lo que agregó que en la audiencia de conciliación evacuada el 6 anterior, lo que se pidió el apoderado de la demandada fue una suspensión de mutuo acuerdo y nada más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9,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inc. </w:t>
      </w:r>
      <w:proofErr w:type="spellStart"/>
      <w:r w:rsidRPr="001A15EE">
        <w:rPr>
          <w:rFonts w:ascii="Times New Roman" w:hAnsi="Times New Roman" w:cs="Times New Roman"/>
          <w:bCs/>
          <w:lang w:val="es-CO"/>
        </w:rPr>
        <w:t>nul</w:t>
      </w:r>
      <w:proofErr w:type="spellEnd"/>
      <w:r w:rsidRPr="001A15EE">
        <w:rPr>
          <w:rFonts w:ascii="Times New Roman" w:hAnsi="Times New Roman" w:cs="Times New Roman"/>
          <w:bCs/>
          <w:lang w:val="es-CO"/>
        </w:rPr>
        <w:t>.).</w:t>
      </w:r>
    </w:p>
    <w:p w14:paraId="28A1803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6BF8CE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Es más, en audiencia celebrada el 15 de enero de 2018, la apoderada de la hoy parte recurrente fue quien pidió negar la nulidad invocada por su opositora porque tal pedimento ya había sido “objeto de pronunciamiento por parte del despacho”, pues “la reposición [contra el auto admisorio] </w:t>
      </w:r>
      <w:r w:rsidRPr="001A15EE">
        <w:rPr>
          <w:rFonts w:ascii="Times New Roman" w:hAnsi="Times New Roman" w:cs="Times New Roman"/>
          <w:b/>
          <w:bCs/>
          <w:lang w:val="es-CO"/>
        </w:rPr>
        <w:t>fue promovida fuera de tiempo</w:t>
      </w:r>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1246,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 xml:space="preserve">), de suerte que un planteamiento contrario a esa manifestación, raya con la </w:t>
      </w:r>
      <w:r w:rsidRPr="001A15EE">
        <w:rPr>
          <w:rFonts w:ascii="Times New Roman" w:hAnsi="Times New Roman" w:cs="Times New Roman"/>
          <w:b/>
          <w:bCs/>
          <w:lang w:val="es-CO"/>
        </w:rPr>
        <w:t>lealtad</w:t>
      </w:r>
      <w:r w:rsidRPr="001A15EE">
        <w:rPr>
          <w:rFonts w:ascii="Times New Roman" w:hAnsi="Times New Roman" w:cs="Times New Roman"/>
          <w:bCs/>
          <w:lang w:val="es-CO"/>
        </w:rPr>
        <w:t xml:space="preserve"> a que alude el artículo 78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razón por la cual no prospera el último de sus reparos concretos.</w:t>
      </w:r>
    </w:p>
    <w:p w14:paraId="0D8E319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3126C3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3.2.</w:t>
      </w:r>
      <w:r w:rsidRPr="001A15EE">
        <w:rPr>
          <w:rFonts w:ascii="Times New Roman" w:hAnsi="Times New Roman" w:cs="Times New Roman"/>
          <w:bCs/>
          <w:lang w:val="es-CO"/>
        </w:rPr>
        <w:t xml:space="preserve"> En cuanto a si resulta viable estudiar las pretensiones con soporte en los contratos de promoción y comercialización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xml:space="preserve">) de </w:t>
      </w:r>
      <w:r w:rsidRPr="001A15EE">
        <w:rPr>
          <w:rFonts w:ascii="Times New Roman" w:hAnsi="Times New Roman" w:cs="Times New Roman"/>
          <w:bCs/>
        </w:rPr>
        <w:t xml:space="preserve">27 de julio de 1999, 11 de mayo de 2000, 13 de abril de 2002 y 3 de abril de 2003 (de la Costa Caribe) y los dos </w:t>
      </w:r>
      <w:r w:rsidRPr="001A15EE">
        <w:rPr>
          <w:rFonts w:ascii="Times New Roman" w:hAnsi="Times New Roman" w:cs="Times New Roman"/>
          <w:bCs/>
        </w:rPr>
        <w:lastRenderedPageBreak/>
        <w:t>convenios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20 de junio de 2006, debe decirse lo siguiente:</w:t>
      </w:r>
    </w:p>
    <w:p w14:paraId="14CE507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9F116C8"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T</w:t>
      </w:r>
      <w:proofErr w:type="spellStart"/>
      <w:r w:rsidRPr="001A15EE">
        <w:rPr>
          <w:rFonts w:ascii="Times New Roman" w:hAnsi="Times New Roman" w:cs="Times New Roman"/>
          <w:bCs/>
        </w:rPr>
        <w:t>iene</w:t>
      </w:r>
      <w:proofErr w:type="spellEnd"/>
      <w:r w:rsidRPr="001A15EE">
        <w:rPr>
          <w:rFonts w:ascii="Times New Roman" w:hAnsi="Times New Roman" w:cs="Times New Roman"/>
          <w:bCs/>
        </w:rPr>
        <w:t xml:space="preserve"> que admitirse que los demandantes probaron la existencia de los aludidos contratos, pues de ellos dan cuenta los documentos visibles a folios 223-277,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1, 740-813,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w:t>
      </w:r>
      <w:proofErr w:type="spellStart"/>
      <w:r w:rsidRPr="001A15EE">
        <w:rPr>
          <w:rFonts w:ascii="Times New Roman" w:hAnsi="Times New Roman" w:cs="Times New Roman"/>
          <w:bCs/>
        </w:rPr>
        <w:t>1B</w:t>
      </w:r>
      <w:proofErr w:type="spellEnd"/>
      <w:r w:rsidRPr="001A15EE">
        <w:rPr>
          <w:rFonts w:ascii="Times New Roman" w:hAnsi="Times New Roman" w:cs="Times New Roman"/>
          <w:bCs/>
        </w:rPr>
        <w:t>, los cuales cobraron autenticidad por obra del reconocimiento tácito que se produjo al no haber sido tachado de falso por el demandado (numeral 3º, artículo 252 y 276 del CPC). E igualmente se debe aceptar, que como Comcel no contestó oportunamente la demanda (</w:t>
      </w:r>
      <w:proofErr w:type="spellStart"/>
      <w:r w:rsidRPr="001A15EE">
        <w:rPr>
          <w:rFonts w:ascii="Times New Roman" w:hAnsi="Times New Roman" w:cs="Times New Roman"/>
          <w:bCs/>
        </w:rPr>
        <w:t>fl</w:t>
      </w:r>
      <w:proofErr w:type="spellEnd"/>
      <w:r w:rsidRPr="001A15EE">
        <w:rPr>
          <w:rFonts w:ascii="Times New Roman" w:hAnsi="Times New Roman" w:cs="Times New Roman"/>
          <w:bCs/>
        </w:rPr>
        <w:t xml:space="preserve">. 957,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w:t>
      </w:r>
      <w:proofErr w:type="spellStart"/>
      <w:r w:rsidRPr="001A15EE">
        <w:rPr>
          <w:rFonts w:ascii="Times New Roman" w:hAnsi="Times New Roman" w:cs="Times New Roman"/>
          <w:bCs/>
        </w:rPr>
        <w:t>1B</w:t>
      </w:r>
      <w:proofErr w:type="spellEnd"/>
      <w:r w:rsidRPr="001A15EE">
        <w:rPr>
          <w:rFonts w:ascii="Times New Roman" w:hAnsi="Times New Roman" w:cs="Times New Roman"/>
          <w:bCs/>
        </w:rPr>
        <w:t>), dio lugar a que en su contra se estructurara un indicio grave, por mandato del artículo 95 del Código de Procedimiento Civil.</w:t>
      </w:r>
    </w:p>
    <w:p w14:paraId="4103C9AD" w14:textId="77777777" w:rsidR="001A15EE" w:rsidRPr="001A15EE" w:rsidRDefault="001A15EE" w:rsidP="001A15EE">
      <w:pPr>
        <w:widowControl w:val="0"/>
        <w:spacing w:after="0" w:line="240" w:lineRule="auto"/>
        <w:jc w:val="both"/>
        <w:rPr>
          <w:rFonts w:ascii="Times New Roman" w:hAnsi="Times New Roman" w:cs="Times New Roman"/>
          <w:bCs/>
        </w:rPr>
      </w:pPr>
    </w:p>
    <w:p w14:paraId="495CD594"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 xml:space="preserve">Sin embargo, tal como lo consideró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la parte demandante no allegó al proceso todos los contratos fundamento de las pretensiones, entre ellos, los que se dicen suscritos los días </w:t>
      </w:r>
      <w:r w:rsidRPr="001A15EE">
        <w:rPr>
          <w:rFonts w:ascii="Times New Roman" w:hAnsi="Times New Roman" w:cs="Times New Roman"/>
          <w:bCs/>
        </w:rPr>
        <w:t>27 de julio de 1999, 11 de mayo de 2000 y 13 de abril de 2002, lo que por obvias  razones releva al Tribunal de hacer pronunciamiento alguno, ante la ausencia necesaria de prueba de la existencia de un negocio jurídico vigente, a la par con la de cumplimiento de las obligaciones que le eran propias a una y otra parte.</w:t>
      </w:r>
    </w:p>
    <w:p w14:paraId="097A5F8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6B003A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Los que sí obran en el expediente son los convenios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xml:space="preserve">) de </w:t>
      </w:r>
      <w:r w:rsidRPr="001A15EE">
        <w:rPr>
          <w:rFonts w:ascii="Times New Roman" w:hAnsi="Times New Roman" w:cs="Times New Roman"/>
          <w:b/>
          <w:bCs/>
          <w:lang w:val="es-CO"/>
        </w:rPr>
        <w:t>3 de abril de 2003</w:t>
      </w:r>
      <w:r w:rsidRPr="001A15EE">
        <w:rPr>
          <w:rFonts w:ascii="Times New Roman" w:hAnsi="Times New Roman" w:cs="Times New Roman"/>
          <w:bCs/>
          <w:lang w:val="es-CO"/>
        </w:rPr>
        <w:t xml:space="preserve"> y los </w:t>
      </w:r>
      <w:r w:rsidRPr="001A15EE">
        <w:rPr>
          <w:rFonts w:ascii="Times New Roman" w:hAnsi="Times New Roman" w:cs="Times New Roman"/>
          <w:bCs/>
        </w:rPr>
        <w:t>dos convenios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w:t>
      </w:r>
      <w:r w:rsidRPr="001A15EE">
        <w:rPr>
          <w:rFonts w:ascii="Times New Roman" w:hAnsi="Times New Roman" w:cs="Times New Roman"/>
          <w:b/>
          <w:bCs/>
          <w:lang w:val="es-CO"/>
        </w:rPr>
        <w:t>20 de junio de 2006</w:t>
      </w:r>
      <w:r w:rsidRPr="001A15EE">
        <w:rPr>
          <w:rFonts w:ascii="Times New Roman" w:hAnsi="Times New Roman" w:cs="Times New Roman"/>
          <w:bCs/>
          <w:lang w:val="es-CO"/>
        </w:rPr>
        <w:t>, a los que acomete su estudio la Sala.</w:t>
      </w:r>
    </w:p>
    <w:p w14:paraId="198810C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3F9761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Para ello es importante señalar que la relación negocial entre </w:t>
      </w:r>
      <w:proofErr w:type="spellStart"/>
      <w:r w:rsidRPr="001A15EE">
        <w:rPr>
          <w:rFonts w:ascii="Times New Roman" w:hAnsi="Times New Roman" w:cs="Times New Roman"/>
          <w:bCs/>
          <w:lang w:val="es-CO"/>
        </w:rPr>
        <w:t>Celcaribe</w:t>
      </w:r>
      <w:proofErr w:type="spellEnd"/>
      <w:r w:rsidRPr="001A15EE">
        <w:rPr>
          <w:rFonts w:ascii="Times New Roman" w:hAnsi="Times New Roman" w:cs="Times New Roman"/>
          <w:bCs/>
          <w:lang w:val="es-CO"/>
        </w:rPr>
        <w:t xml:space="preserve"> S.A. (hoy Claro S.A.) y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referente a </w:t>
      </w:r>
      <w:r w:rsidRPr="001A15EE">
        <w:rPr>
          <w:rFonts w:ascii="Times New Roman" w:hAnsi="Times New Roman" w:cs="Times New Roman"/>
          <w:bCs/>
        </w:rPr>
        <w:t xml:space="preserve">la </w:t>
      </w:r>
      <w:r w:rsidRPr="001A15EE">
        <w:rPr>
          <w:rFonts w:ascii="Times New Roman" w:hAnsi="Times New Roman" w:cs="Times New Roman"/>
          <w:b/>
          <w:bCs/>
        </w:rPr>
        <w:t>comercialización de aparatos y servicios</w:t>
      </w:r>
      <w:r w:rsidRPr="001A15EE">
        <w:rPr>
          <w:rFonts w:ascii="Times New Roman" w:hAnsi="Times New Roman" w:cs="Times New Roman"/>
          <w:bCs/>
        </w:rPr>
        <w:t xml:space="preserve"> para </w:t>
      </w:r>
      <w:r w:rsidRPr="001A15EE">
        <w:rPr>
          <w:rFonts w:ascii="Times New Roman" w:hAnsi="Times New Roman" w:cs="Times New Roman"/>
          <w:bCs/>
          <w:lang w:val="es-CO"/>
        </w:rPr>
        <w:t xml:space="preserve">la zona de la </w:t>
      </w:r>
      <w:r w:rsidRPr="001A15EE">
        <w:rPr>
          <w:rFonts w:ascii="Times New Roman" w:hAnsi="Times New Roman" w:cs="Times New Roman"/>
          <w:b/>
          <w:bCs/>
          <w:u w:val="single"/>
          <w:lang w:val="es-CO"/>
        </w:rPr>
        <w:t>Costa Atlántica</w:t>
      </w:r>
      <w:r w:rsidRPr="001A15EE">
        <w:rPr>
          <w:rFonts w:ascii="Times New Roman" w:hAnsi="Times New Roman" w:cs="Times New Roman"/>
          <w:bCs/>
          <w:lang w:val="es-CO"/>
        </w:rPr>
        <w:t xml:space="preserve"> estuvo gobernada por el contrato de </w:t>
      </w:r>
      <w:r w:rsidRPr="001A15EE">
        <w:rPr>
          <w:rFonts w:ascii="Times New Roman" w:hAnsi="Times New Roman" w:cs="Times New Roman"/>
          <w:b/>
          <w:bCs/>
          <w:u w:val="single"/>
          <w:lang w:val="es-CO"/>
        </w:rPr>
        <w:t>3 de abril de 2003</w:t>
      </w:r>
      <w:r w:rsidRPr="001A15EE">
        <w:rPr>
          <w:rFonts w:ascii="Times New Roman" w:hAnsi="Times New Roman" w:cs="Times New Roman"/>
          <w:bCs/>
          <w:lang w:val="es-CO"/>
        </w:rPr>
        <w:t xml:space="preserve">, pues en su cláusula 28 las partes consignaron que ese “nuevo acuerdo total entre las partes con respecto al objeto materia del mismo reemplaza todos los acuerdo anteriores, si los hubiere”. </w:t>
      </w:r>
    </w:p>
    <w:p w14:paraId="64344697"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48500D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 su turno, los otros dos contratos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w:t>
      </w:r>
      <w:r w:rsidRPr="001A15EE">
        <w:rPr>
          <w:rFonts w:ascii="Times New Roman" w:hAnsi="Times New Roman" w:cs="Times New Roman"/>
          <w:b/>
          <w:bCs/>
          <w:lang w:val="es-CO"/>
        </w:rPr>
        <w:t>20 de junio de 2006</w:t>
      </w:r>
      <w:r w:rsidRPr="001A15EE">
        <w:rPr>
          <w:rFonts w:ascii="Times New Roman" w:hAnsi="Times New Roman" w:cs="Times New Roman"/>
          <w:bCs/>
          <w:lang w:val="es-CO"/>
        </w:rPr>
        <w:t xml:space="preserve"> que se aportaron al momento de la subsanación de la demanda, tuvieron como consecuencia dejar sin efecto los convenios anteriores. </w:t>
      </w:r>
    </w:p>
    <w:p w14:paraId="3D7D5CB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D59DB6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Así se colige de las cláusulas 28 y 30 de los contratos de 20 de junio de 2006, según las cuales: “Este nuevo acuerdo total entre las partes con respecto al objeto materia del mismo reemplaza todos los acuerdo anteriores, si los </w:t>
      </w:r>
      <w:r w:rsidRPr="001A15EE">
        <w:rPr>
          <w:rFonts w:ascii="Times New Roman" w:hAnsi="Times New Roman" w:cs="Times New Roman"/>
          <w:bCs/>
          <w:lang w:val="es-CO"/>
        </w:rPr>
        <w:t>hubiere”, lo que permite establecer que los términos de la misma se rigieron para todo el país, a partir de su firma y de manera exclusiva por los acuerdo de 2006.</w:t>
      </w:r>
    </w:p>
    <w:p w14:paraId="4B43B85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004CAD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Esa quizás la razón por la que desde la demanda la parte actora haya dado cuenta que “</w:t>
      </w:r>
      <w:r w:rsidRPr="001A15EE">
        <w:rPr>
          <w:rFonts w:ascii="Times New Roman" w:hAnsi="Times New Roman" w:cs="Times New Roman"/>
          <w:b/>
          <w:bCs/>
          <w:lang w:val="es-CO"/>
        </w:rPr>
        <w:t xml:space="preserve">la denominación otorgada a los documentos suscritos, </w:t>
      </w:r>
      <w:r w:rsidRPr="001A15EE">
        <w:rPr>
          <w:rFonts w:ascii="Times New Roman" w:hAnsi="Times New Roman" w:cs="Times New Roman"/>
          <w:b/>
          <w:bCs/>
          <w:u w:val="single"/>
          <w:lang w:val="es-CO"/>
        </w:rPr>
        <w:t>las partes ejecutaron un solo contrato sin solución de continuidad de agencia comercial</w:t>
      </w:r>
      <w:r w:rsidRPr="001A15EE">
        <w:rPr>
          <w:rFonts w:ascii="Times New Roman" w:hAnsi="Times New Roman" w:cs="Times New Roman"/>
          <w:bCs/>
          <w:lang w:val="es-CO"/>
        </w:rPr>
        <w:t xml:space="preserve">” (hecho 3.4. de la demanda;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826,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w:t>
      </w:r>
    </w:p>
    <w:p w14:paraId="52E641A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672135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rPr>
        <w:t xml:space="preserve">3.3. </w:t>
      </w:r>
      <w:r w:rsidRPr="001A15EE">
        <w:rPr>
          <w:rFonts w:ascii="Times New Roman" w:hAnsi="Times New Roman" w:cs="Times New Roman"/>
          <w:bCs/>
          <w:lang w:val="es-CO"/>
        </w:rPr>
        <w:t xml:space="preserve">Los reparos concretos que las demandantes argumentaron frente al fallo de primera instancia, permiten afirmar que el estudio de la Sala está circunscrito a determinar si de esos negocios jurídicos (de 3 de abril de 2003 y 20 de junio de 2006) resulta dable señalar que fueron de adhesión y si se probó que la demandada los incumplió, para reconocer las “comisiones, residual”, “anticipos”, al igual que las prestaciones que regula el artículo 1324 del </w:t>
      </w:r>
      <w:proofErr w:type="spellStart"/>
      <w:r w:rsidRPr="001A15EE">
        <w:rPr>
          <w:rFonts w:ascii="Times New Roman" w:hAnsi="Times New Roman" w:cs="Times New Roman"/>
          <w:bCs/>
          <w:lang w:val="es-CO"/>
        </w:rPr>
        <w:t>C.Co</w:t>
      </w:r>
      <w:proofErr w:type="spellEnd"/>
      <w:r w:rsidRPr="001A15EE">
        <w:rPr>
          <w:rFonts w:ascii="Times New Roman" w:hAnsi="Times New Roman" w:cs="Times New Roman"/>
          <w:bCs/>
          <w:lang w:val="es-CO"/>
        </w:rPr>
        <w:t>.</w:t>
      </w:r>
    </w:p>
    <w:p w14:paraId="415DC1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4C61F58"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Cs/>
          <w:lang w:val="es-CO"/>
        </w:rPr>
        <w:t xml:space="preserve">La respuesta es negativa, porque con prescindencia de que la Sala pueda considerar que en este caso se configuraron los elementos de la agencia comercial que prevé el artículo 1317 del Código de Comercio, esto es: independencia, autonomía, actuación en nombre y por cuenta del empresario, promoción y estabilidad, lo cierto es que la parte actora no probó, como era de su incumbencia conforme lo regula el artículo 177 del CPC, hoy 167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que los reseñados acuerdos fueron de </w:t>
      </w:r>
      <w:r w:rsidRPr="001A15EE">
        <w:rPr>
          <w:rFonts w:ascii="Times New Roman" w:hAnsi="Times New Roman" w:cs="Times New Roman"/>
          <w:b/>
          <w:bCs/>
          <w:lang w:val="es-CO"/>
        </w:rPr>
        <w:t>adhesión.</w:t>
      </w:r>
    </w:p>
    <w:p w14:paraId="7FAD5A71"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38739B56"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 xml:space="preserve">No olvida la Sala el reparo concreto que al unísono sustentaron las apelantes al pretender deducir para su opositora los efectos que consagran los artículos 95 y 211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por la contestación extemporánea (aunque para soportar la nulidad que atrás se estudió considerara lo contrario) y la ausencia de objeción al juramento estimatorio; sin embargo, ya esta Sala ha considerado que </w:t>
      </w:r>
    </w:p>
    <w:p w14:paraId="461AF680" w14:textId="77777777" w:rsidR="001A15EE" w:rsidRPr="001A15EE" w:rsidRDefault="001A15EE" w:rsidP="001A15EE">
      <w:pPr>
        <w:widowControl w:val="0"/>
        <w:spacing w:after="0" w:line="240" w:lineRule="auto"/>
        <w:jc w:val="both"/>
        <w:rPr>
          <w:rFonts w:ascii="Times New Roman" w:hAnsi="Times New Roman" w:cs="Times New Roman"/>
          <w:bCs/>
        </w:rPr>
      </w:pPr>
    </w:p>
    <w:p w14:paraId="136F788D" w14:textId="77777777" w:rsidR="001A15EE" w:rsidRPr="001A15EE" w:rsidRDefault="001A15EE" w:rsidP="001A15EE">
      <w:pPr>
        <w:widowControl w:val="0"/>
        <w:spacing w:after="0" w:line="240" w:lineRule="auto"/>
        <w:jc w:val="both"/>
        <w:rPr>
          <w:rFonts w:ascii="Times New Roman" w:hAnsi="Times New Roman" w:cs="Times New Roman"/>
          <w:b/>
          <w:bCs/>
          <w:u w:val="single"/>
          <w:lang w:val="es-CO"/>
        </w:rPr>
      </w:pPr>
      <w:r w:rsidRPr="001A15EE">
        <w:rPr>
          <w:rFonts w:ascii="Times New Roman" w:hAnsi="Times New Roman" w:cs="Times New Roman"/>
          <w:bCs/>
        </w:rPr>
        <w:t>“</w:t>
      </w:r>
      <w:r w:rsidRPr="001A15EE">
        <w:rPr>
          <w:rFonts w:ascii="Times New Roman" w:hAnsi="Times New Roman" w:cs="Times New Roman"/>
          <w:bCs/>
          <w:lang w:val="es-CO"/>
        </w:rPr>
        <w:t xml:space="preserve">las conductas </w:t>
      </w:r>
      <w:proofErr w:type="spellStart"/>
      <w:r w:rsidRPr="001A15EE">
        <w:rPr>
          <w:rFonts w:ascii="Times New Roman" w:hAnsi="Times New Roman" w:cs="Times New Roman"/>
          <w:bCs/>
          <w:lang w:val="es-CO"/>
        </w:rPr>
        <w:t>endoprocesales</w:t>
      </w:r>
      <w:proofErr w:type="spellEnd"/>
      <w:r w:rsidRPr="001A15EE">
        <w:rPr>
          <w:rFonts w:ascii="Times New Roman" w:hAnsi="Times New Roman" w:cs="Times New Roman"/>
          <w:bCs/>
          <w:lang w:val="es-CO"/>
        </w:rPr>
        <w:t xml:space="preserve"> que pudieran presentarse al tenor de lo previsto en los artículos 97, 241 y 206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por su omisión </w:t>
      </w:r>
      <w:r w:rsidRPr="001A15EE">
        <w:rPr>
          <w:rFonts w:ascii="Times New Roman" w:hAnsi="Times New Roman" w:cs="Times New Roman"/>
          <w:b/>
          <w:bCs/>
          <w:lang w:val="es-CO"/>
        </w:rPr>
        <w:t>en contestar la “demanda…”, no… objetar el juramento estimatorio</w:t>
      </w:r>
      <w:r w:rsidRPr="001A15EE">
        <w:rPr>
          <w:rFonts w:ascii="Times New Roman" w:hAnsi="Times New Roman" w:cs="Times New Roman"/>
          <w:bCs/>
          <w:lang w:val="es-CO"/>
        </w:rPr>
        <w:t xml:space="preserve"> de ese libelo…, </w:t>
      </w:r>
      <w:r w:rsidRPr="001A15EE">
        <w:rPr>
          <w:rFonts w:ascii="Times New Roman" w:hAnsi="Times New Roman" w:cs="Times New Roman"/>
          <w:b/>
          <w:bCs/>
          <w:lang w:val="es-CO"/>
        </w:rPr>
        <w:t xml:space="preserve">no puede obviarse que el acervo que así surge no necesariamente conduce a un fallo favorable, muy a pesar de la ventaja probativa que se tiene frente al opositor inactivo, </w:t>
      </w:r>
      <w:r w:rsidRPr="001A15EE">
        <w:rPr>
          <w:rFonts w:ascii="Times New Roman" w:hAnsi="Times New Roman" w:cs="Times New Roman"/>
          <w:b/>
          <w:bCs/>
          <w:u w:val="single"/>
          <w:lang w:val="es-CO"/>
        </w:rPr>
        <w:t>por cuanto ese material debe valorarse en consonancia con las reglas de la sana crítica,</w:t>
      </w:r>
      <w:bookmarkStart w:id="0" w:name="10a"/>
      <w:bookmarkEnd w:id="0"/>
      <w:r w:rsidRPr="001A15EE">
        <w:rPr>
          <w:rFonts w:ascii="Times New Roman" w:hAnsi="Times New Roman" w:cs="Times New Roman"/>
          <w:b/>
          <w:bCs/>
          <w:u w:val="single"/>
          <w:lang w:val="es-CO"/>
        </w:rPr>
        <w:t> sopesándolo con las demás probanzas para sentar en el proceso la realidad de los elementos axiológicos de la pretensión.</w:t>
      </w:r>
    </w:p>
    <w:p w14:paraId="367069D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199A59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La anterior orientación, desde luego, es avalada </w:t>
      </w:r>
      <w:r w:rsidRPr="001A15EE">
        <w:rPr>
          <w:rFonts w:ascii="Times New Roman" w:hAnsi="Times New Roman" w:cs="Times New Roman"/>
          <w:bCs/>
          <w:lang w:val="es-CO"/>
        </w:rPr>
        <w:lastRenderedPageBreak/>
        <w:t xml:space="preserve">por la Corte Constitucional al señalar, en el estudio de </w:t>
      </w:r>
      <w:proofErr w:type="spellStart"/>
      <w:r w:rsidRPr="001A15EE">
        <w:rPr>
          <w:rFonts w:ascii="Times New Roman" w:hAnsi="Times New Roman" w:cs="Times New Roman"/>
          <w:bCs/>
          <w:lang w:val="es-CO"/>
        </w:rPr>
        <w:t>exequibilidad</w:t>
      </w:r>
      <w:proofErr w:type="spellEnd"/>
      <w:r w:rsidRPr="001A15EE">
        <w:rPr>
          <w:rFonts w:ascii="Times New Roman" w:hAnsi="Times New Roman" w:cs="Times New Roman"/>
          <w:bCs/>
          <w:lang w:val="es-CO"/>
        </w:rPr>
        <w:t xml:space="preserve"> de las normas que regulan esta clase de prueba indiciaria, que ‘En otras palabras, </w:t>
      </w:r>
      <w:r w:rsidRPr="001A15EE">
        <w:rPr>
          <w:rFonts w:ascii="Times New Roman" w:hAnsi="Times New Roman" w:cs="Times New Roman"/>
          <w:b/>
          <w:bCs/>
          <w:u w:val="single"/>
          <w:lang w:val="es-CO"/>
        </w:rPr>
        <w:t>la mera circunstancia de que no se conteste la demanda</w:t>
      </w:r>
      <w:r w:rsidRPr="001A15EE">
        <w:rPr>
          <w:rFonts w:ascii="Times New Roman" w:hAnsi="Times New Roman" w:cs="Times New Roman"/>
          <w:b/>
          <w:bCs/>
          <w:lang w:val="es-CO"/>
        </w:rPr>
        <w:t xml:space="preserve"> o no se acuda a los interrogatorios decretados como prueba en el proceso, </w:t>
      </w:r>
      <w:r w:rsidRPr="001A15EE">
        <w:rPr>
          <w:rFonts w:ascii="Times New Roman" w:hAnsi="Times New Roman" w:cs="Times New Roman"/>
          <w:b/>
          <w:bCs/>
          <w:u w:val="single"/>
          <w:lang w:val="es-CO"/>
        </w:rPr>
        <w:t>no implica </w:t>
      </w:r>
      <w:r w:rsidRPr="001A15EE">
        <w:rPr>
          <w:rFonts w:ascii="Times New Roman" w:hAnsi="Times New Roman" w:cs="Times New Roman"/>
          <w:b/>
          <w:bCs/>
          <w:i/>
          <w:iCs/>
          <w:u w:val="single"/>
          <w:lang w:val="es-CO"/>
        </w:rPr>
        <w:t>ipso facto</w:t>
      </w:r>
      <w:r w:rsidRPr="001A15EE">
        <w:rPr>
          <w:rFonts w:ascii="Times New Roman" w:hAnsi="Times New Roman" w:cs="Times New Roman"/>
          <w:b/>
          <w:bCs/>
          <w:u w:val="single"/>
          <w:lang w:val="es-CO"/>
        </w:rPr>
        <w:t>, que la presunción o el indicio que esta conducta implica, según la ley, conduzca a que el juez se vea impelido a dictar sentencia desfavorable a los intereses de quien actuó de esa manera’</w:t>
      </w:r>
      <w:r w:rsidRPr="001A15EE">
        <w:rPr>
          <w:rFonts w:ascii="Times New Roman" w:hAnsi="Times New Roman" w:cs="Times New Roman"/>
          <w:bCs/>
          <w:vertAlign w:val="superscript"/>
          <w:lang w:val="es-CO"/>
        </w:rPr>
        <w:footnoteReference w:id="12"/>
      </w:r>
      <w:r w:rsidRPr="001A15EE">
        <w:rPr>
          <w:rFonts w:ascii="Times New Roman" w:hAnsi="Times New Roman" w:cs="Times New Roman"/>
          <w:b/>
          <w:bCs/>
          <w:lang w:val="es-CO"/>
        </w:rPr>
        <w:t>”</w:t>
      </w:r>
      <w:r w:rsidRPr="001A15EE">
        <w:rPr>
          <w:rFonts w:ascii="Times New Roman" w:hAnsi="Times New Roman" w:cs="Times New Roman"/>
          <w:bCs/>
          <w:lang w:val="es-CO"/>
        </w:rPr>
        <w:t xml:space="preserve">. (Sentencia de 6 de febrero de 2018,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201501196 01. </w:t>
      </w:r>
      <w:proofErr w:type="spellStart"/>
      <w:r w:rsidRPr="001A15EE">
        <w:rPr>
          <w:rFonts w:ascii="Times New Roman" w:hAnsi="Times New Roman" w:cs="Times New Roman"/>
          <w:bCs/>
          <w:lang w:val="es-CO"/>
        </w:rPr>
        <w:t>M.P</w:t>
      </w:r>
      <w:proofErr w:type="spellEnd"/>
      <w:r w:rsidRPr="001A15EE">
        <w:rPr>
          <w:rFonts w:ascii="Times New Roman" w:hAnsi="Times New Roman" w:cs="Times New Roman"/>
          <w:bCs/>
          <w:lang w:val="es-CO"/>
        </w:rPr>
        <w:t>. Manuel Alfonso Zamudio Mora).</w:t>
      </w:r>
    </w:p>
    <w:p w14:paraId="4E73549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9804B6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3.3.1.</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Destácase</w:t>
      </w:r>
      <w:proofErr w:type="spellEnd"/>
      <w:r w:rsidRPr="001A15EE">
        <w:rPr>
          <w:rFonts w:ascii="Times New Roman" w:hAnsi="Times New Roman" w:cs="Times New Roman"/>
          <w:bCs/>
          <w:lang w:val="es-CO"/>
        </w:rPr>
        <w:t xml:space="preserve"> que las estipulaciones de los aludidos contratos (de 3 de abril de 2003 y 20 de junio de 2006) no siempre fueron las mismas, al punto que en unos, por ejemplo, tuvieron objetos distintos; en otros eventos se pactó cláusula arbitral y en otros no; otros convenios fueron de “datos” y otros de “servicio y distribución de equipos BlackBerry”; y en otra oportunidad, se acordó para una zona del país (Caribe) y en otras a nivel nacional, de ahí que no por ello todos obedecieron al mismo tipo negocial, o tuvieron el mismo objeto, fines, contenido, etc., de suerte que sin haberse aceptado tal afirmación por el representante legal de la demandada en su interrogatorio, no puede menos que considerarse que, como lo sostuvo la Sala de Casación Civil de la Corte Suprema de Justicia, al “participar en el tráfico de bienes y servicios” los acá contendientes, autorregularon </w:t>
      </w:r>
    </w:p>
    <w:p w14:paraId="09D919D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8C01C4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“sus intereses, en desarrollo de la </w:t>
      </w:r>
      <w:r w:rsidRPr="001A15EE">
        <w:rPr>
          <w:rFonts w:ascii="Times New Roman" w:hAnsi="Times New Roman" w:cs="Times New Roman"/>
          <w:b/>
          <w:bCs/>
          <w:lang w:val="es-CO"/>
        </w:rPr>
        <w:t>autonomía privada</w:t>
      </w:r>
      <w:r w:rsidRPr="001A15EE">
        <w:rPr>
          <w:rFonts w:ascii="Times New Roman" w:hAnsi="Times New Roman" w:cs="Times New Roman"/>
          <w:bCs/>
          <w:lang w:val="es-CO"/>
        </w:rPr>
        <w:t xml:space="preserve">, mediante la celebración específica de negocios jurídicos que, de ordinario, son el fiel reflejo de la inequívoca intención -o querer- que tienen aquellas de vincularse en una determinada operación jurídico-negocial, disciplinada o no expresamente por la ley” y “deba el hermeneuta atenerse más a la intención de aquellos que al tenor literal de tales estipulaciones (arts. 1602 y 1618 del C.C.) (…) Por eso es que la ley señaló como primer criterio en punto a la hermenéutica contractual -siguiendo el señor Bello el referido plan desarrollado por </w:t>
      </w:r>
      <w:proofErr w:type="spellStart"/>
      <w:r w:rsidRPr="001A15EE">
        <w:rPr>
          <w:rFonts w:ascii="Times New Roman" w:hAnsi="Times New Roman" w:cs="Times New Roman"/>
          <w:bCs/>
          <w:lang w:val="es-CO"/>
        </w:rPr>
        <w:t>R.J</w:t>
      </w:r>
      <w:proofErr w:type="spellEnd"/>
      <w:r w:rsidRPr="001A15EE">
        <w:rPr>
          <w:rFonts w:ascii="Times New Roman" w:hAnsi="Times New Roman" w:cs="Times New Roman"/>
          <w:bCs/>
          <w:lang w:val="es-CO"/>
        </w:rPr>
        <w:t>. Pothier-, que la intención de los contratantes prevalece sobre el texto (art. 1618 C.C.)”</w:t>
      </w:r>
      <w:r w:rsidRPr="001A15EE">
        <w:rPr>
          <w:rFonts w:ascii="Times New Roman" w:hAnsi="Times New Roman" w:cs="Times New Roman"/>
          <w:bCs/>
          <w:vertAlign w:val="superscript"/>
          <w:lang w:val="es-CO"/>
        </w:rPr>
        <w:footnoteReference w:id="13"/>
      </w:r>
      <w:r w:rsidRPr="001A15EE">
        <w:rPr>
          <w:rFonts w:ascii="Times New Roman" w:hAnsi="Times New Roman" w:cs="Times New Roman"/>
          <w:bCs/>
          <w:lang w:val="es-CO"/>
        </w:rPr>
        <w:t>.</w:t>
      </w:r>
    </w:p>
    <w:p w14:paraId="2D098FD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2E0AA0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3.3.2.</w:t>
      </w:r>
      <w:r w:rsidRPr="001A15EE">
        <w:rPr>
          <w:rFonts w:ascii="Times New Roman" w:hAnsi="Times New Roman" w:cs="Times New Roman"/>
          <w:bCs/>
          <w:lang w:val="es-CO"/>
        </w:rPr>
        <w:t xml:space="preserve"> La parte actora tampoco acreditó el incumplimiento de Comcel en el pago de las comisiones por activación y residual, bonificaciones e incentivos, o la provisión de anticipos o indemnizaciones.</w:t>
      </w:r>
    </w:p>
    <w:p w14:paraId="5FE70CA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DDE560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rPr>
        <w:t xml:space="preserve">Ello, por cuanto la </w:t>
      </w:r>
      <w:r w:rsidRPr="001A15EE">
        <w:rPr>
          <w:rFonts w:ascii="Times New Roman" w:hAnsi="Times New Roman" w:cs="Times New Roman"/>
          <w:bCs/>
          <w:lang w:val="es-CO"/>
        </w:rPr>
        <w:t>“</w:t>
      </w:r>
      <w:r w:rsidRPr="001A15EE">
        <w:rPr>
          <w:rFonts w:ascii="Times New Roman" w:hAnsi="Times New Roman" w:cs="Times New Roman"/>
          <w:b/>
          <w:bCs/>
          <w:lang w:val="es-CO"/>
        </w:rPr>
        <w:t>experticia financiera</w:t>
      </w:r>
      <w:r w:rsidRPr="001A15EE">
        <w:rPr>
          <w:rFonts w:ascii="Times New Roman" w:hAnsi="Times New Roman" w:cs="Times New Roman"/>
          <w:bCs/>
          <w:lang w:val="es-CO"/>
        </w:rPr>
        <w:t xml:space="preserve">” que </w:t>
      </w:r>
      <w:r w:rsidRPr="001A15EE">
        <w:rPr>
          <w:rFonts w:ascii="Times New Roman" w:hAnsi="Times New Roman" w:cs="Times New Roman"/>
          <w:bCs/>
          <w:lang w:val="es-CO"/>
        </w:rPr>
        <w:t xml:space="preserve">aportó la parte actora obrante a folios 3 a 58 del cuaderno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xml:space="preserve"> (medio de prueba que permite el artículo 165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tendiente a dilucidar esos propósitos, con la que según los recurrentes podrían “ilustrar la envergadura de la operación de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los perjuicios causados por Comcel y las cuantificaciones y metodología de cálculo”, como bien lo sostuvieron sus apoderados en escrito de 29 de enero de 2018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120, ib.), “</w:t>
      </w:r>
      <w:r w:rsidRPr="001A15EE">
        <w:rPr>
          <w:rFonts w:ascii="Times New Roman" w:hAnsi="Times New Roman" w:cs="Times New Roman"/>
          <w:b/>
          <w:bCs/>
          <w:lang w:val="es-CO"/>
        </w:rPr>
        <w:t>no pudieron ser aportadas o solicitadas</w:t>
      </w:r>
      <w:r w:rsidRPr="001A15EE">
        <w:rPr>
          <w:rFonts w:ascii="Times New Roman" w:hAnsi="Times New Roman" w:cs="Times New Roman"/>
          <w:bCs/>
          <w:lang w:val="es-CO"/>
        </w:rPr>
        <w:t xml:space="preserve">” en las “oportunidades probatorias”, lo que depara en que no pueda ser valorada, en tanto toda “decisión judicial debe fundarse en las pruebas regular y </w:t>
      </w:r>
      <w:r w:rsidRPr="001A15EE">
        <w:rPr>
          <w:rFonts w:ascii="Times New Roman" w:hAnsi="Times New Roman" w:cs="Times New Roman"/>
          <w:b/>
          <w:bCs/>
          <w:lang w:val="es-CO"/>
        </w:rPr>
        <w:t>oportunamente allegadas al proceso</w:t>
      </w:r>
      <w:r w:rsidRPr="001A15EE">
        <w:rPr>
          <w:rFonts w:ascii="Times New Roman" w:hAnsi="Times New Roman" w:cs="Times New Roman"/>
          <w:bCs/>
          <w:lang w:val="es-CO"/>
        </w:rPr>
        <w:t xml:space="preserve">” (artículo 164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15969306"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C93102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Aunque pudieran tenerse en cuenta los montos que recogió esa experticia, no existe soporte probatorio de ellos, al punto que la firma que lo elaboró no mencionó siquiera que acudió a los libros de contabilidad de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a través de la exhibición de los mismos prevista para ese tipo de documentos, como medio adecuado para recaudar la prueba.  </w:t>
      </w:r>
    </w:p>
    <w:p w14:paraId="40E003E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  Memórese que los libros y papeles de un comerciante pueden servir como medio de convicción en un asunto como el que nos ocupa, para lo cual es necesaria una exhibición ordenada por el juez, a petición de parte legítima, como se deduce de los artículos 61, 63, </w:t>
      </w:r>
      <w:smartTag w:uri="urn:schemas-microsoft-com:office:smarttags" w:element="metricconverter">
        <w:smartTagPr>
          <w:attr w:name="ProductID" w:val="64 a"/>
        </w:smartTagPr>
        <w:r w:rsidRPr="001A15EE">
          <w:rPr>
            <w:rFonts w:ascii="Times New Roman" w:hAnsi="Times New Roman" w:cs="Times New Roman"/>
            <w:bCs/>
            <w:lang w:val="es-CO"/>
          </w:rPr>
          <w:t>64 a</w:t>
        </w:r>
      </w:smartTag>
      <w:r w:rsidRPr="001A15EE">
        <w:rPr>
          <w:rFonts w:ascii="Times New Roman" w:hAnsi="Times New Roman" w:cs="Times New Roman"/>
          <w:bCs/>
          <w:lang w:val="es-CO"/>
        </w:rPr>
        <w:t xml:space="preserve"> 66 del Código de Comercio y 288 del CPC, hoy 268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Su valoración, en buena medida, depende de que se ajusten a las prescripciones legales (artículos </w:t>
      </w:r>
      <w:smartTag w:uri="urn:schemas-microsoft-com:office:smarttags" w:element="metricconverter">
        <w:smartTagPr>
          <w:attr w:name="ProductID" w:val="48 a"/>
        </w:smartTagPr>
        <w:r w:rsidRPr="001A15EE">
          <w:rPr>
            <w:rFonts w:ascii="Times New Roman" w:hAnsi="Times New Roman" w:cs="Times New Roman"/>
            <w:bCs/>
            <w:lang w:val="es-CO"/>
          </w:rPr>
          <w:t>48 a</w:t>
        </w:r>
      </w:smartTag>
      <w:r w:rsidRPr="001A15EE">
        <w:rPr>
          <w:rFonts w:ascii="Times New Roman" w:hAnsi="Times New Roman" w:cs="Times New Roman"/>
          <w:bCs/>
          <w:lang w:val="es-CO"/>
        </w:rPr>
        <w:t xml:space="preserve"> 60 del Estatuto Mercantil), al punto que el juez, como primer acto, debe hacer constar cuál es su estado general, “con el fin de apreciar si se llevan conforme a la ley, y en consecuencia, reconocerles el valor probatorio correspondiente” (artículo 66, </w:t>
      </w:r>
      <w:r w:rsidRPr="001A15EE">
        <w:rPr>
          <w:rFonts w:ascii="Times New Roman" w:hAnsi="Times New Roman" w:cs="Times New Roman"/>
          <w:bCs/>
          <w:i/>
          <w:lang w:val="es-CO"/>
        </w:rPr>
        <w:t>ib</w:t>
      </w:r>
      <w:r w:rsidRPr="001A15EE">
        <w:rPr>
          <w:rFonts w:ascii="Times New Roman" w:hAnsi="Times New Roman" w:cs="Times New Roman"/>
          <w:bCs/>
          <w:lang w:val="es-CO"/>
        </w:rPr>
        <w:t>.), vicisitud que aquí no hizo presencia.</w:t>
      </w:r>
    </w:p>
    <w:p w14:paraId="6D03B82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2BC58DB"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 xml:space="preserve">Ahora, </w:t>
      </w:r>
      <w:r w:rsidRPr="001A15EE">
        <w:rPr>
          <w:rFonts w:ascii="Times New Roman" w:hAnsi="Times New Roman" w:cs="Times New Roman"/>
          <w:bCs/>
        </w:rPr>
        <w:t xml:space="preserve">en cuanto a los testimonios de Hilda María Prado </w:t>
      </w:r>
      <w:proofErr w:type="spellStart"/>
      <w:r w:rsidRPr="001A15EE">
        <w:rPr>
          <w:rFonts w:ascii="Times New Roman" w:hAnsi="Times New Roman" w:cs="Times New Roman"/>
          <w:bCs/>
        </w:rPr>
        <w:t>Hashe</w:t>
      </w:r>
      <w:proofErr w:type="spellEnd"/>
      <w:r w:rsidRPr="001A15EE">
        <w:rPr>
          <w:rFonts w:ascii="Times New Roman" w:hAnsi="Times New Roman" w:cs="Times New Roman"/>
          <w:bCs/>
        </w:rPr>
        <w:t xml:space="preserve">, Juan </w:t>
      </w:r>
      <w:proofErr w:type="spellStart"/>
      <w:r w:rsidRPr="001A15EE">
        <w:rPr>
          <w:rFonts w:ascii="Times New Roman" w:hAnsi="Times New Roman" w:cs="Times New Roman"/>
          <w:bCs/>
        </w:rPr>
        <w:t>Lúcas</w:t>
      </w:r>
      <w:proofErr w:type="spellEnd"/>
      <w:r w:rsidRPr="001A15EE">
        <w:rPr>
          <w:rFonts w:ascii="Times New Roman" w:hAnsi="Times New Roman" w:cs="Times New Roman"/>
          <w:bCs/>
        </w:rPr>
        <w:t xml:space="preserve"> González, Jaime Garcés Santamaría, Mario Suárez Melo y Jairo Jaramillo, los ahora recurrentes, en la audiencia del artículo 101 del CPC celebrada el 15 de enero de 2018, desistieron de los mismos (</w:t>
      </w:r>
      <w:proofErr w:type="spellStart"/>
      <w:r w:rsidRPr="001A15EE">
        <w:rPr>
          <w:rFonts w:ascii="Times New Roman" w:hAnsi="Times New Roman" w:cs="Times New Roman"/>
          <w:bCs/>
        </w:rPr>
        <w:t>fl</w:t>
      </w:r>
      <w:proofErr w:type="spellEnd"/>
      <w:r w:rsidRPr="001A15EE">
        <w:rPr>
          <w:rFonts w:ascii="Times New Roman" w:hAnsi="Times New Roman" w:cs="Times New Roman"/>
          <w:bCs/>
        </w:rPr>
        <w:t xml:space="preserve">. 1251,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w:t>
      </w:r>
      <w:proofErr w:type="spellStart"/>
      <w:r w:rsidRPr="001A15EE">
        <w:rPr>
          <w:rFonts w:ascii="Times New Roman" w:hAnsi="Times New Roman" w:cs="Times New Roman"/>
          <w:bCs/>
        </w:rPr>
        <w:t>1B</w:t>
      </w:r>
      <w:proofErr w:type="spellEnd"/>
      <w:r w:rsidRPr="001A15EE">
        <w:rPr>
          <w:rFonts w:ascii="Times New Roman" w:hAnsi="Times New Roman" w:cs="Times New Roman"/>
          <w:bCs/>
        </w:rPr>
        <w:t>), cuya ausencia de relatos deja desprovistos de prueba los demás hechos que soportaron buena parte de las restantes pretensiones.</w:t>
      </w:r>
    </w:p>
    <w:p w14:paraId="4EA9954F" w14:textId="77777777" w:rsidR="001A15EE" w:rsidRPr="001A15EE" w:rsidRDefault="001A15EE" w:rsidP="001A15EE">
      <w:pPr>
        <w:widowControl w:val="0"/>
        <w:spacing w:after="0" w:line="240" w:lineRule="auto"/>
        <w:jc w:val="both"/>
        <w:rPr>
          <w:rFonts w:ascii="Times New Roman" w:hAnsi="Times New Roman" w:cs="Times New Roman"/>
          <w:bCs/>
        </w:rPr>
      </w:pPr>
    </w:p>
    <w:p w14:paraId="5AD1EA0A"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 xml:space="preserve">Además, pese a lo fundamental que consideró la parte actora la declaración del abogado Juan Zea, según lo advertido en la audiencia prevista en el artículo 373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tampoco fue posible evacuar su testimonio con miras a acreditar los hechos que fundamentaron las pretensiones, sin que ante este Tribunal </w:t>
      </w:r>
      <w:r w:rsidRPr="001A15EE">
        <w:rPr>
          <w:rFonts w:ascii="Times New Roman" w:hAnsi="Times New Roman" w:cs="Times New Roman"/>
          <w:bCs/>
        </w:rPr>
        <w:lastRenderedPageBreak/>
        <w:t xml:space="preserve">echaran mano de lo previsto en el artículo 327, </w:t>
      </w:r>
      <w:r w:rsidRPr="001A15EE">
        <w:rPr>
          <w:rFonts w:ascii="Times New Roman" w:hAnsi="Times New Roman" w:cs="Times New Roman"/>
          <w:bCs/>
          <w:i/>
        </w:rPr>
        <w:t>ídem</w:t>
      </w:r>
      <w:r w:rsidRPr="001A15EE">
        <w:rPr>
          <w:rFonts w:ascii="Times New Roman" w:hAnsi="Times New Roman" w:cs="Times New Roman"/>
          <w:bCs/>
        </w:rPr>
        <w:t xml:space="preserve">, si es que en realidad consideraba de valía su exposición sobre las circunstancias que rodearon la celebración –y desatención- de los convenios. </w:t>
      </w:r>
    </w:p>
    <w:p w14:paraId="420C6284" w14:textId="77777777" w:rsidR="001A15EE" w:rsidRPr="001A15EE" w:rsidRDefault="001A15EE" w:rsidP="001A15EE">
      <w:pPr>
        <w:widowControl w:val="0"/>
        <w:spacing w:after="0" w:line="240" w:lineRule="auto"/>
        <w:jc w:val="both"/>
        <w:rPr>
          <w:rFonts w:ascii="Times New Roman" w:hAnsi="Times New Roman" w:cs="Times New Roman"/>
          <w:bCs/>
        </w:rPr>
      </w:pPr>
    </w:p>
    <w:p w14:paraId="702C3678"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Cs/>
          <w:lang w:val="es-CO"/>
        </w:rPr>
        <w:t>En estas condiciones, tal como en lo sostuvo esta Sala en un asunto de similares contornos, “para asumir el estudio del incumplimiento en los términos propuestos en la demanda, era necesario que en el proceso se determinara el total de activaciones que hubo en el tiempo de vigencia de los contratos y los afiliados que generaron la comisión residual</w:t>
      </w:r>
      <w:r w:rsidRPr="001A15EE">
        <w:rPr>
          <w:rFonts w:ascii="Times New Roman" w:hAnsi="Times New Roman" w:cs="Times New Roman"/>
          <w:bCs/>
          <w:vertAlign w:val="superscript"/>
          <w:lang w:val="es-CO"/>
        </w:rPr>
        <w:footnoteReference w:id="14"/>
      </w:r>
      <w:r w:rsidRPr="001A15EE">
        <w:rPr>
          <w:rFonts w:ascii="Times New Roman" w:hAnsi="Times New Roman" w:cs="Times New Roman"/>
          <w:bCs/>
          <w:lang w:val="es-CO"/>
        </w:rPr>
        <w:t>, y multiplicar esos resultados con los porcentajes de comisión que se establecieron en los contratos y las modificaciones que anualmente Comcel S.A. realizaba, para después constatar si en su momento se pagaron todas las comisiones o quedaron algunas pendientes, pero esa certeza no se encuentra en el expediente, carga demostrativa que recaía sobre la parte demandante y que –ser reitera- impide la prosperidad de esa pretensión”</w:t>
      </w:r>
      <w:r w:rsidRPr="001A15EE">
        <w:rPr>
          <w:rFonts w:ascii="Times New Roman" w:hAnsi="Times New Roman" w:cs="Times New Roman"/>
          <w:bCs/>
          <w:vertAlign w:val="superscript"/>
          <w:lang w:val="es-CO"/>
        </w:rPr>
        <w:footnoteReference w:id="15"/>
      </w:r>
      <w:r w:rsidRPr="001A15EE">
        <w:rPr>
          <w:rFonts w:ascii="Times New Roman" w:hAnsi="Times New Roman" w:cs="Times New Roman"/>
          <w:bCs/>
          <w:lang w:val="es-CO"/>
        </w:rPr>
        <w:t xml:space="preserve">.  </w:t>
      </w:r>
    </w:p>
    <w:p w14:paraId="6B329599" w14:textId="77777777" w:rsidR="001A15EE" w:rsidRPr="001A15EE" w:rsidRDefault="001A15EE" w:rsidP="001A15EE">
      <w:pPr>
        <w:widowControl w:val="0"/>
        <w:spacing w:after="0" w:line="240" w:lineRule="auto"/>
        <w:jc w:val="both"/>
        <w:rPr>
          <w:rFonts w:ascii="Times New Roman" w:hAnsi="Times New Roman" w:cs="Times New Roman"/>
          <w:bCs/>
        </w:rPr>
      </w:pPr>
    </w:p>
    <w:p w14:paraId="0EA2001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3.3.3.</w:t>
      </w:r>
      <w:r w:rsidRPr="001A15EE">
        <w:rPr>
          <w:rFonts w:ascii="Times New Roman" w:hAnsi="Times New Roman" w:cs="Times New Roman"/>
          <w:bCs/>
          <w:lang w:val="es-CO"/>
        </w:rPr>
        <w:t xml:space="preserve"> En cuanto a la cesantía comercial y la indemnización equitativa establecida en los incisos primero y segundo del artículo 1324 del Código de Comercio, debe decirse que la parte demandante renunció a esas facultades. </w:t>
      </w:r>
    </w:p>
    <w:p w14:paraId="77EAA0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F0D5AF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efecto, la cláusula 4ª del </w:t>
      </w:r>
      <w:r w:rsidRPr="001A15EE">
        <w:rPr>
          <w:rFonts w:ascii="Times New Roman" w:hAnsi="Times New Roman" w:cs="Times New Roman"/>
          <w:b/>
          <w:bCs/>
          <w:lang w:val="es-CO"/>
        </w:rPr>
        <w:t>“anexo F”</w:t>
      </w:r>
      <w:r w:rsidRPr="001A15EE">
        <w:rPr>
          <w:rFonts w:ascii="Times New Roman" w:hAnsi="Times New Roman" w:cs="Times New Roman"/>
          <w:bCs/>
          <w:lang w:val="es-CO"/>
        </w:rPr>
        <w:t xml:space="preserve"> (</w:t>
      </w:r>
      <w:r w:rsidRPr="001A15EE">
        <w:rPr>
          <w:rFonts w:ascii="Times New Roman" w:hAnsi="Times New Roman" w:cs="Times New Roman"/>
          <w:b/>
          <w:bCs/>
          <w:lang w:val="es-CO"/>
        </w:rPr>
        <w:t>acta de conciliación, compensación y transacción</w:t>
      </w:r>
      <w:r w:rsidRPr="001A15EE">
        <w:rPr>
          <w:rFonts w:ascii="Times New Roman" w:hAnsi="Times New Roman" w:cs="Times New Roman"/>
          <w:bCs/>
          <w:lang w:val="es-CO"/>
        </w:rPr>
        <w:t xml:space="preserve">) del contrato de 3 de abril de 2003, da cuenta que las “partes reiteran que la relación jurídica contractual que existió entre ellas…, cualquiera que sea su naturaleza, renuncian expresa, espontánea e irrevocablemente a toda prestación diferente… En particular, si la relación jurídica contractual se tipificare como de agencia comercial, que las partes han excluido expresamente en el contrato celebrado y, que hoy reiteran no se estructuró entre ellas, sin embargo, recíprocamente </w:t>
      </w:r>
      <w:r w:rsidRPr="001A15EE">
        <w:rPr>
          <w:rFonts w:ascii="Times New Roman" w:hAnsi="Times New Roman" w:cs="Times New Roman"/>
          <w:b/>
          <w:bCs/>
          <w:u w:val="single"/>
          <w:lang w:val="es-CO"/>
        </w:rPr>
        <w:t>renuncian a las prestaciones que la ley disciplina al respecto y, en especial, a la consagrada por el artículo 1.314 del C. de Co.</w:t>
      </w:r>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269,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negrillas y subrayas fuera de texto). </w:t>
      </w:r>
    </w:p>
    <w:p w14:paraId="3E688FD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C626B7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En cuanto al contrato de distribución de los productos y la comercialización de los servicios BlackBerry de 20 de junio de 2006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773,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 xml:space="preserve">), debe decirse que en la cláusula segunda igualmente se tuvo como parte integral de ese convenio el </w:t>
      </w:r>
      <w:r w:rsidRPr="001A15EE">
        <w:rPr>
          <w:rFonts w:ascii="Times New Roman" w:hAnsi="Times New Roman" w:cs="Times New Roman"/>
          <w:b/>
          <w:bCs/>
          <w:lang w:val="es-CO"/>
        </w:rPr>
        <w:t>anexo “F”</w:t>
      </w:r>
      <w:r w:rsidRPr="001A15EE">
        <w:rPr>
          <w:rFonts w:ascii="Times New Roman" w:hAnsi="Times New Roman" w:cs="Times New Roman"/>
          <w:bCs/>
          <w:lang w:val="es-CO"/>
        </w:rPr>
        <w:t xml:space="preserve"> (</w:t>
      </w:r>
      <w:r w:rsidRPr="001A15EE">
        <w:rPr>
          <w:rFonts w:ascii="Times New Roman" w:hAnsi="Times New Roman" w:cs="Times New Roman"/>
          <w:b/>
          <w:bCs/>
          <w:lang w:val="es-CO"/>
        </w:rPr>
        <w:t xml:space="preserve">acta de conciliación, compensación y </w:t>
      </w:r>
      <w:r w:rsidRPr="001A15EE">
        <w:rPr>
          <w:rFonts w:ascii="Times New Roman" w:hAnsi="Times New Roman" w:cs="Times New Roman"/>
          <w:b/>
          <w:bCs/>
          <w:lang w:val="es-CO"/>
        </w:rPr>
        <w:t>transacción)</w:t>
      </w:r>
      <w:r w:rsidRPr="001A15EE">
        <w:rPr>
          <w:rFonts w:ascii="Times New Roman" w:hAnsi="Times New Roman" w:cs="Times New Roman"/>
          <w:bCs/>
          <w:lang w:val="es-CO"/>
        </w:rPr>
        <w:t>; sin embargo, inexplicablemente la parte actora no allegó ese documento una vez requerida para que subsanara la demanda, lo que implique que deba asumir las consecuencias por esa conducta procesal, se deduce del artículo 249 del CPC, entonces vigente.</w:t>
      </w:r>
    </w:p>
    <w:p w14:paraId="76C2927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178F8C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Respecto al contrato de servicio de la misma fecha (20 de junio de 2006;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742, </w:t>
      </w:r>
      <w:r w:rsidRPr="001A15EE">
        <w:rPr>
          <w:rFonts w:ascii="Times New Roman" w:hAnsi="Times New Roman" w:cs="Times New Roman"/>
          <w:bCs/>
          <w:i/>
          <w:lang w:val="es-CO"/>
        </w:rPr>
        <w:t>ib</w:t>
      </w:r>
      <w:r w:rsidRPr="001A15EE">
        <w:rPr>
          <w:rFonts w:ascii="Times New Roman" w:hAnsi="Times New Roman" w:cs="Times New Roman"/>
          <w:bCs/>
          <w:lang w:val="es-CO"/>
        </w:rPr>
        <w:t xml:space="preserve">.), en su cláusula 16 las partes acordaron que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“reconoce que el uso de las marcas comerciales de Comcel, la cooperación de Comcel con respecto a la publicidad, la promoción por parte de Comcel de las ventas del contratista y el acceso a la tecnología de Comcel, tiene un impacto positivo, directo y sustancial en sus ingresos”, a lo que añadieron que “Por consiguiente, en pago de ello, el contratista promete expresa e irrevocablemente que, una vez termine este contrato por cualquier causa, procederá inmediatamente a renunciar a cualquier derecho que le pueda otorgar la ley a su favor debido a la terminación de este contrato, incluyendo pero no limitando a los derechos que hace mención al artículo 1324 del Código de Comercio]”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755,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w:t>
      </w:r>
    </w:p>
    <w:p w14:paraId="38EDC52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4B0A270"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 xml:space="preserve">Por manera que en cuanto hace relación a ambas prestaciones (cesantía comercial e indemnización equitativa), la legalidad y eficacia de las aquellas estipulaciones contractuales no merece reproche alguno, en primer lugar, porque el expediente no devela que la incorporación de ese clausulado “estuvo motivada por condicionamientos subjetivos que de alguna manera comprometieron la autonomía de la voluntad y la libertad de disposición de la sociedad demandante [tales como error, fuerza, dolo, etc.]” </w:t>
      </w:r>
      <w:r w:rsidRPr="001A15EE">
        <w:rPr>
          <w:rFonts w:ascii="Times New Roman" w:hAnsi="Times New Roman" w:cs="Times New Roman"/>
          <w:bCs/>
          <w:vertAlign w:val="superscript"/>
          <w:lang w:val="es-CO"/>
        </w:rPr>
        <w:footnoteReference w:id="16"/>
      </w:r>
      <w:r w:rsidRPr="001A15EE">
        <w:rPr>
          <w:rFonts w:ascii="Times New Roman" w:hAnsi="Times New Roman" w:cs="Times New Roman"/>
          <w:bCs/>
          <w:lang w:val="es-CO"/>
        </w:rPr>
        <w:t xml:space="preserve">, todo lo cual con miramiento en el replanteamiento que hizo la Corte Suprema de Justicia en sentencia de 8 de marzo de 2010,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2001 00847 01; citada en </w:t>
      </w:r>
      <w:proofErr w:type="spellStart"/>
      <w:r w:rsidRPr="001A15EE">
        <w:rPr>
          <w:rFonts w:ascii="Times New Roman" w:hAnsi="Times New Roman" w:cs="Times New Roman"/>
          <w:bCs/>
          <w:lang w:val="es-CO"/>
        </w:rPr>
        <w:t>sent</w:t>
      </w:r>
      <w:proofErr w:type="spellEnd"/>
      <w:r w:rsidRPr="001A15EE">
        <w:rPr>
          <w:rFonts w:ascii="Times New Roman" w:hAnsi="Times New Roman" w:cs="Times New Roman"/>
          <w:bCs/>
          <w:lang w:val="es-CO"/>
        </w:rPr>
        <w:t xml:space="preserve">. de 19 de octubre de 2011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2001 00847, al señalar que no veía “</w:t>
      </w:r>
      <w:r w:rsidRPr="001A15EE">
        <w:rPr>
          <w:rFonts w:ascii="Times New Roman" w:hAnsi="Times New Roman" w:cs="Times New Roman"/>
          <w:bCs/>
          <w:u w:val="single"/>
          <w:lang w:val="es-CO"/>
        </w:rPr>
        <w:t>cómo una relación patrimonial de interés circunscrito a las partes de un negocio jurídico, pueda afectar el orden público, social o económico, o al gremio de los agentes, como si uno pudiere comprometer a otro u otros en un negocio jurídico que solo lo ata a él</w:t>
      </w:r>
      <w:r w:rsidRPr="001A15EE">
        <w:rPr>
          <w:rFonts w:ascii="Times New Roman" w:hAnsi="Times New Roman" w:cs="Times New Roman"/>
          <w:bCs/>
          <w:lang w:val="es-CO"/>
        </w:rPr>
        <w:t>” “</w:t>
      </w:r>
      <w:r w:rsidRPr="001A15EE">
        <w:rPr>
          <w:rFonts w:ascii="Times New Roman" w:hAnsi="Times New Roman" w:cs="Times New Roman"/>
          <w:bCs/>
          <w:u w:val="single"/>
          <w:lang w:val="es-CO"/>
        </w:rPr>
        <w:t>y el criterio de la debilidad del agente, es tan relativo que, en algunas ocasiones, es o puede ser más poderoso, económica, jurídica o empresarialmente que el empresario</w:t>
      </w:r>
      <w:r w:rsidRPr="001A15EE">
        <w:rPr>
          <w:rFonts w:ascii="Times New Roman" w:hAnsi="Times New Roman" w:cs="Times New Roman"/>
          <w:bCs/>
          <w:lang w:val="es-CO"/>
        </w:rPr>
        <w:t>”. (Se subraya).</w:t>
      </w:r>
      <w:r w:rsidRPr="001A15EE">
        <w:rPr>
          <w:rFonts w:ascii="Times New Roman" w:hAnsi="Times New Roman" w:cs="Times New Roman"/>
          <w:bCs/>
        </w:rPr>
        <w:t xml:space="preserve"> </w:t>
      </w:r>
    </w:p>
    <w:p w14:paraId="57546A8B" w14:textId="77777777" w:rsidR="001A15EE" w:rsidRPr="001A15EE" w:rsidRDefault="001A15EE" w:rsidP="001A15EE">
      <w:pPr>
        <w:widowControl w:val="0"/>
        <w:spacing w:after="0" w:line="240" w:lineRule="auto"/>
        <w:jc w:val="both"/>
        <w:rPr>
          <w:rFonts w:ascii="Times New Roman" w:hAnsi="Times New Roman" w:cs="Times New Roman"/>
          <w:bCs/>
        </w:rPr>
      </w:pPr>
    </w:p>
    <w:p w14:paraId="5C8837C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lastRenderedPageBreak/>
        <w:t xml:space="preserve">Por las anteriores razones, para el momento en que inició este asunto, la parte actora ya había renunciado a su facultad de reclamar de su contraparte la cesantía comercial e indemnización equitativa de que trata artículo 1324 del Código de Comercio, vicisitud que imponía negar igualmente el reconocimiento de esas prestaciones económicas. </w:t>
      </w:r>
    </w:p>
    <w:p w14:paraId="70CFB8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BD6F19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r>
      <w:r w:rsidRPr="001A15EE">
        <w:rPr>
          <w:rFonts w:ascii="Times New Roman" w:hAnsi="Times New Roman" w:cs="Times New Roman"/>
          <w:b/>
          <w:bCs/>
          <w:lang w:val="es-CO"/>
        </w:rPr>
        <w:t>3.4.</w:t>
      </w:r>
      <w:r w:rsidRPr="001A15EE">
        <w:rPr>
          <w:rFonts w:ascii="Times New Roman" w:hAnsi="Times New Roman" w:cs="Times New Roman"/>
          <w:bCs/>
          <w:lang w:val="es-CO"/>
        </w:rPr>
        <w:t xml:space="preserve"> En cuanto a que la demandada abusó de su posición contractual, o hubo ineficacia y nulidad –en subsidio- de algunas cláusulas de los contratos.</w:t>
      </w:r>
    </w:p>
    <w:p w14:paraId="2FFE615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CE9A88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Ya se vio que la parte actora no demostró que al “participar en el tráfico de bienes y servicios” con Comcel, ésta última le impuso su voluntad para la suscripción de los acuerdos, cuando lo que hizo fue autorregular “sus intereses, en desarrollo de la </w:t>
      </w:r>
      <w:r w:rsidRPr="001A15EE">
        <w:rPr>
          <w:rFonts w:ascii="Times New Roman" w:hAnsi="Times New Roman" w:cs="Times New Roman"/>
          <w:b/>
          <w:bCs/>
          <w:lang w:val="es-CO"/>
        </w:rPr>
        <w:t>autonomía privada</w:t>
      </w:r>
      <w:r w:rsidRPr="001A15EE">
        <w:rPr>
          <w:rFonts w:ascii="Times New Roman" w:hAnsi="Times New Roman" w:cs="Times New Roman"/>
          <w:bCs/>
          <w:lang w:val="es-CO"/>
        </w:rPr>
        <w:t>”, y que más bien esos acuerdos lo que muestran es el genuino propósito de los contratantes, ni que la incorporación de esas cláusulas estuvo motivada por condicionamientos subjetivos que de alguna manera comprometieron esa autonomía de la voluntad y la libertad de disposición de la sociedad demandante, tales como error, fuerza, dolo, etc., lo que impide acoger igualmente esa  pretensión.</w:t>
      </w:r>
    </w:p>
    <w:p w14:paraId="3AF29C3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86059D4"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Por último, destaca la Sala que los apelantes abandonaron la sustentación de los reparos concretos fundados en que: (i) si otros escenarios judiciales concluyeron estar en presencia de un “contrato de agencia </w:t>
      </w:r>
      <w:r w:rsidRPr="001A15EE">
        <w:rPr>
          <w:rFonts w:ascii="Times New Roman" w:hAnsi="Times New Roman" w:cs="Times New Roman"/>
          <w:bCs/>
          <w:lang w:val="es-CO"/>
        </w:rPr>
        <w:t xml:space="preserve">comercial”, aquí debían correr la misma suerte, sin perjuicio del </w:t>
      </w:r>
      <w:r w:rsidRPr="001A15EE">
        <w:rPr>
          <w:rFonts w:ascii="Times New Roman" w:hAnsi="Times New Roman" w:cs="Times New Roman"/>
          <w:b/>
          <w:bCs/>
          <w:lang w:val="es-CO"/>
        </w:rPr>
        <w:t>decreto oficioso de pruebas</w:t>
      </w:r>
      <w:r w:rsidRPr="001A15EE">
        <w:rPr>
          <w:rFonts w:ascii="Times New Roman" w:hAnsi="Times New Roman" w:cs="Times New Roman"/>
          <w:bCs/>
          <w:lang w:val="es-CO"/>
        </w:rPr>
        <w:t xml:space="preserve"> para acreditarlo; (</w:t>
      </w:r>
      <w:proofErr w:type="spellStart"/>
      <w:r w:rsidRPr="001A15EE">
        <w:rPr>
          <w:rFonts w:ascii="Times New Roman" w:hAnsi="Times New Roman" w:cs="Times New Roman"/>
          <w:bCs/>
          <w:lang w:val="es-CO"/>
        </w:rPr>
        <w:t>ii</w:t>
      </w:r>
      <w:proofErr w:type="spellEnd"/>
      <w:r w:rsidRPr="001A15EE">
        <w:rPr>
          <w:rFonts w:ascii="Times New Roman" w:hAnsi="Times New Roman" w:cs="Times New Roman"/>
          <w:bCs/>
          <w:lang w:val="es-CO"/>
        </w:rPr>
        <w:t>) no fue afortunado el argumento del fallo de primer grado en cuanto reprochó la falta de registro del contrato en el registro mercantil conforme al artículo 1320 de. C. de Co., y (</w:t>
      </w:r>
      <w:proofErr w:type="spellStart"/>
      <w:r w:rsidRPr="001A15EE">
        <w:rPr>
          <w:rFonts w:ascii="Times New Roman" w:hAnsi="Times New Roman" w:cs="Times New Roman"/>
          <w:bCs/>
          <w:lang w:val="es-CO"/>
        </w:rPr>
        <w:t>iii</w:t>
      </w:r>
      <w:proofErr w:type="spellEnd"/>
      <w:r w:rsidRPr="001A15EE">
        <w:rPr>
          <w:rFonts w:ascii="Times New Roman" w:hAnsi="Times New Roman" w:cs="Times New Roman"/>
          <w:bCs/>
          <w:lang w:val="es-CO"/>
        </w:rPr>
        <w:t>) que el representante legal de Comcel, al momento de rendir su interrogatorio, faltó a la verdad, pues negó ser cierto que la relación comercial que los unió fue de adhesión</w:t>
      </w:r>
      <w:r w:rsidRPr="001A15EE">
        <w:rPr>
          <w:rFonts w:ascii="Times New Roman" w:hAnsi="Times New Roman" w:cs="Times New Roman"/>
          <w:bCs/>
        </w:rPr>
        <w:t>, cuyos ataques, en todo caso, no fueron suficientes para derruir los fundamentos de la sentencia recurrida, por todo lo dicho en líneas precedentes.</w:t>
      </w:r>
    </w:p>
    <w:p w14:paraId="7362DE0C" w14:textId="77777777" w:rsidR="001A15EE" w:rsidRPr="001A15EE" w:rsidRDefault="001A15EE" w:rsidP="001A15EE">
      <w:pPr>
        <w:widowControl w:val="0"/>
        <w:spacing w:after="0" w:line="240" w:lineRule="auto"/>
        <w:jc w:val="both"/>
        <w:rPr>
          <w:rFonts w:ascii="Times New Roman" w:hAnsi="Times New Roman" w:cs="Times New Roman"/>
          <w:bCs/>
        </w:rPr>
      </w:pPr>
    </w:p>
    <w:p w14:paraId="32ED6FDE" w14:textId="77777777" w:rsidR="001A15EE" w:rsidRPr="001A15EE" w:rsidRDefault="001A15EE" w:rsidP="001A15EE">
      <w:pPr>
        <w:widowControl w:val="0"/>
        <w:spacing w:after="0" w:line="240" w:lineRule="auto"/>
        <w:jc w:val="both"/>
        <w:rPr>
          <w:rFonts w:ascii="Times New Roman" w:hAnsi="Times New Roman" w:cs="Times New Roman"/>
          <w:bCs/>
          <w:lang w:val="es-ES_tradnl"/>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En conclusión, como los demandantes no probaron en los términos del artículo 177 del CPC, hoy 167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los hechos que soportaron sus pretensiones declarativas concernientes a la “naturaleza y condiciones de ejecución contractual”, el “incumplimiento contractual”, la “terminación unilateral del contrato” y el “abuso de la posición contractual dominante, de derechos y prerrogativas pactadas a favor de sí mismo por parte de Comcel y a la ineficacia y nulidad –en subsidio- de algunas cláusulas del contrato” y, por obvias razones, tampoco las pretensiones de condena por depender de las primeras, se impone </w:t>
      </w:r>
      <w:r w:rsidRPr="001A15EE">
        <w:rPr>
          <w:rFonts w:ascii="Times New Roman" w:hAnsi="Times New Roman" w:cs="Times New Roman"/>
          <w:bCs/>
          <w:iCs/>
          <w:lang w:val="es-CO"/>
        </w:rPr>
        <w:t xml:space="preserve">confirmar la sentencia apelada, con la consecuente </w:t>
      </w:r>
      <w:r w:rsidRPr="001A15EE">
        <w:rPr>
          <w:rFonts w:ascii="Times New Roman" w:hAnsi="Times New Roman" w:cs="Times New Roman"/>
          <w:bCs/>
          <w:lang w:val="es-CO"/>
        </w:rPr>
        <w:t xml:space="preserve">condena en costas en esta instancia a cargo de la parte demandante ante la </w:t>
      </w:r>
      <w:proofErr w:type="spellStart"/>
      <w:r w:rsidRPr="001A15EE">
        <w:rPr>
          <w:rFonts w:ascii="Times New Roman" w:hAnsi="Times New Roman" w:cs="Times New Roman"/>
          <w:bCs/>
          <w:lang w:val="es-CO"/>
        </w:rPr>
        <w:t>improsperidad</w:t>
      </w:r>
      <w:proofErr w:type="spellEnd"/>
      <w:r w:rsidRPr="001A15EE">
        <w:rPr>
          <w:rFonts w:ascii="Times New Roman" w:hAnsi="Times New Roman" w:cs="Times New Roman"/>
          <w:bCs/>
          <w:lang w:val="es-CO"/>
        </w:rPr>
        <w:t xml:space="preserve"> de la sustentación (</w:t>
      </w:r>
      <w:proofErr w:type="spellStart"/>
      <w:r w:rsidRPr="001A15EE">
        <w:rPr>
          <w:rFonts w:ascii="Times New Roman" w:hAnsi="Times New Roman" w:cs="Times New Roman"/>
          <w:bCs/>
          <w:lang w:val="es-CO"/>
        </w:rPr>
        <w:t>num</w:t>
      </w:r>
      <w:proofErr w:type="spellEnd"/>
      <w:r w:rsidRPr="001A15EE">
        <w:rPr>
          <w:rFonts w:ascii="Times New Roman" w:hAnsi="Times New Roman" w:cs="Times New Roman"/>
          <w:bCs/>
          <w:lang w:val="es-CO"/>
        </w:rPr>
        <w:t xml:space="preserve">. 5°, art. 365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r w:rsidRPr="001A15EE">
        <w:rPr>
          <w:rFonts w:ascii="Times New Roman" w:hAnsi="Times New Roman" w:cs="Times New Roman"/>
          <w:bCs/>
          <w:lang w:val="es-ES_tradnl"/>
        </w:rPr>
        <w:t xml:space="preserve"> </w:t>
      </w:r>
    </w:p>
    <w:p w14:paraId="16A15E61" w14:textId="1EC32AE9" w:rsidR="001A15EE" w:rsidRDefault="001A15EE" w:rsidP="001A15EE">
      <w:pPr>
        <w:widowControl w:val="0"/>
        <w:spacing w:after="0" w:line="240" w:lineRule="auto"/>
        <w:rPr>
          <w:rFonts w:ascii="Times New Roman" w:hAnsi="Times New Roman" w:cs="Times New Roman"/>
          <w:bCs/>
          <w:lang w:val="es-ES_tradnl"/>
        </w:rPr>
      </w:pPr>
    </w:p>
    <w:p w14:paraId="4051EA76" w14:textId="219C8517" w:rsidR="001A15EE" w:rsidRDefault="001A15EE" w:rsidP="001A15EE">
      <w:pPr>
        <w:widowControl w:val="0"/>
        <w:spacing w:after="0" w:line="240" w:lineRule="auto"/>
        <w:rPr>
          <w:rFonts w:ascii="Times New Roman" w:hAnsi="Times New Roman" w:cs="Times New Roman"/>
          <w:bCs/>
          <w:lang w:val="es-ES_tradnl"/>
        </w:rPr>
      </w:pPr>
    </w:p>
    <w:p w14:paraId="76728DC0" w14:textId="77777777" w:rsidR="001A15EE" w:rsidRDefault="001A15EE" w:rsidP="001A15EE">
      <w:pPr>
        <w:widowControl w:val="0"/>
        <w:spacing w:after="0" w:line="240" w:lineRule="auto"/>
        <w:rPr>
          <w:rFonts w:ascii="Times New Roman" w:hAnsi="Times New Roman" w:cs="Times New Roman"/>
          <w:bCs/>
          <w:lang w:val="es-ES_tradnl"/>
        </w:rPr>
        <w:sectPr w:rsidR="001A15EE" w:rsidSect="001A15EE">
          <w:type w:val="continuous"/>
          <w:pgSz w:w="12242" w:h="19442" w:code="190"/>
          <w:pgMar w:top="1417" w:right="1610" w:bottom="1417" w:left="1701" w:header="708" w:footer="708" w:gutter="0"/>
          <w:cols w:num="2" w:space="708"/>
          <w:docGrid w:linePitch="360"/>
        </w:sectPr>
      </w:pPr>
    </w:p>
    <w:p w14:paraId="0CAA7D21" w14:textId="28A5A9DF" w:rsidR="001A15EE" w:rsidRDefault="001A15EE" w:rsidP="001A15EE">
      <w:pPr>
        <w:widowControl w:val="0"/>
        <w:spacing w:after="0" w:line="240" w:lineRule="auto"/>
        <w:rPr>
          <w:rFonts w:ascii="Times New Roman" w:hAnsi="Times New Roman" w:cs="Times New Roman"/>
          <w:bCs/>
          <w:lang w:val="es-ES_tradnl"/>
        </w:rPr>
      </w:pPr>
    </w:p>
    <w:p w14:paraId="226CD9EE" w14:textId="44F146CB" w:rsidR="001A15EE" w:rsidRDefault="001A15EE" w:rsidP="001A15EE">
      <w:pPr>
        <w:widowControl w:val="0"/>
        <w:spacing w:after="0" w:line="240" w:lineRule="auto"/>
        <w:rPr>
          <w:rFonts w:ascii="Times New Roman" w:hAnsi="Times New Roman" w:cs="Times New Roman"/>
          <w:bCs/>
          <w:lang w:val="es-ES_tradnl"/>
        </w:rPr>
      </w:pPr>
    </w:p>
    <w:p w14:paraId="7735B096" w14:textId="59C94687" w:rsidR="001A15EE" w:rsidRDefault="00A73AF4" w:rsidP="001A15EE">
      <w:pPr>
        <w:widowControl w:val="0"/>
        <w:spacing w:after="0" w:line="240" w:lineRule="auto"/>
        <w:rPr>
          <w:rFonts w:ascii="Times New Roman" w:hAnsi="Times New Roman" w:cs="Times New Roman"/>
          <w:bCs/>
          <w:lang w:val="es-ES_tradnl"/>
        </w:rPr>
      </w:pPr>
      <w:r>
        <w:rPr>
          <w:rFonts w:ascii="Times New Roman" w:hAnsi="Times New Roman" w:cs="Times New Roman"/>
          <w:bCs/>
          <w:lang w:val="es-ES_tradnl"/>
        </w:rPr>
        <w:t>_________________________________________________________________________________</w:t>
      </w:r>
    </w:p>
    <w:p w14:paraId="044FDC16" w14:textId="19A381FC" w:rsidR="001A15EE" w:rsidRDefault="001A15EE" w:rsidP="001A15EE">
      <w:pPr>
        <w:widowControl w:val="0"/>
        <w:spacing w:after="0" w:line="240" w:lineRule="auto"/>
        <w:rPr>
          <w:rFonts w:ascii="Times New Roman" w:hAnsi="Times New Roman" w:cs="Times New Roman"/>
          <w:bCs/>
          <w:lang w:val="es-ES_tradnl"/>
        </w:rPr>
      </w:pPr>
    </w:p>
    <w:p w14:paraId="30BE6B54" w14:textId="77777777" w:rsidR="00A73AF4" w:rsidRDefault="00A73AF4" w:rsidP="001A15EE">
      <w:pPr>
        <w:widowControl w:val="0"/>
        <w:spacing w:after="0" w:line="240" w:lineRule="auto"/>
        <w:rPr>
          <w:rFonts w:ascii="Times New Roman" w:hAnsi="Times New Roman" w:cs="Times New Roman"/>
          <w:bCs/>
          <w:lang w:val="es-ES_tradnl"/>
        </w:rPr>
      </w:pPr>
    </w:p>
    <w:p w14:paraId="4DF91478" w14:textId="679321F9" w:rsidR="001A15EE" w:rsidRDefault="001A15EE" w:rsidP="001A15EE">
      <w:pPr>
        <w:widowControl w:val="0"/>
        <w:spacing w:after="0" w:line="240" w:lineRule="auto"/>
        <w:rPr>
          <w:rFonts w:ascii="Times New Roman" w:hAnsi="Times New Roman" w:cs="Times New Roman"/>
          <w:bCs/>
          <w:lang w:val="es-ES_tradnl"/>
        </w:rPr>
      </w:pPr>
    </w:p>
    <w:p w14:paraId="0077933A" w14:textId="03261FE5" w:rsidR="001A15EE" w:rsidRDefault="001A15EE" w:rsidP="001A15EE">
      <w:pPr>
        <w:spacing w:after="0" w:line="240" w:lineRule="auto"/>
        <w:jc w:val="center"/>
        <w:rPr>
          <w:rFonts w:ascii="Times New Roman" w:hAnsi="Times New Roman" w:cs="Times New Roman"/>
          <w:b/>
          <w:color w:val="002060"/>
        </w:rPr>
      </w:pPr>
      <w:r>
        <w:rPr>
          <w:rFonts w:ascii="Times New Roman" w:hAnsi="Times New Roman" w:cs="Times New Roman"/>
          <w:b/>
          <w:color w:val="002060"/>
        </w:rPr>
        <w:t xml:space="preserve">RESPONSABILIDAD CONTRACTUAL </w:t>
      </w:r>
    </w:p>
    <w:p w14:paraId="0657C2F8" w14:textId="77777777" w:rsidR="001A15EE" w:rsidRDefault="001A15EE" w:rsidP="001A15EE">
      <w:pPr>
        <w:spacing w:after="0" w:line="240" w:lineRule="auto"/>
        <w:jc w:val="center"/>
        <w:rPr>
          <w:rFonts w:ascii="Times New Roman" w:hAnsi="Times New Roman" w:cs="Times New Roman"/>
          <w:b/>
          <w:color w:val="002060"/>
        </w:rPr>
      </w:pPr>
      <w:proofErr w:type="spellStart"/>
      <w:r>
        <w:rPr>
          <w:rFonts w:ascii="Times New Roman" w:hAnsi="Times New Roman" w:cs="Times New Roman"/>
          <w:b/>
          <w:color w:val="002060"/>
        </w:rPr>
        <w:t>MP</w:t>
      </w:r>
      <w:proofErr w:type="spellEnd"/>
      <w:r>
        <w:rPr>
          <w:rFonts w:ascii="Times New Roman" w:hAnsi="Times New Roman" w:cs="Times New Roman"/>
          <w:b/>
          <w:color w:val="002060"/>
        </w:rPr>
        <w:t xml:space="preserve"> DR. MANUEL ALFONSO ZAMUDIO MORA</w:t>
      </w:r>
    </w:p>
    <w:p w14:paraId="6A6429E2" w14:textId="348EA530" w:rsidR="001A15EE" w:rsidRDefault="001A15EE" w:rsidP="001A15EE">
      <w:pPr>
        <w:spacing w:after="0" w:line="240" w:lineRule="auto"/>
        <w:jc w:val="center"/>
        <w:rPr>
          <w:rFonts w:ascii="Times New Roman" w:hAnsi="Times New Roman" w:cs="Times New Roman"/>
          <w:bCs/>
          <w:lang w:val="es-ES_tradnl"/>
        </w:rPr>
      </w:pPr>
      <w:r>
        <w:rPr>
          <w:rFonts w:ascii="Times New Roman" w:hAnsi="Times New Roman" w:cs="Times New Roman"/>
          <w:b/>
          <w:color w:val="002060"/>
        </w:rPr>
        <w:t xml:space="preserve">RADICADO: </w:t>
      </w:r>
      <w:hyperlink r:id="rId11" w:history="1">
        <w:r w:rsidRPr="00A05F42">
          <w:rPr>
            <w:rStyle w:val="Hipervnculo"/>
            <w:rFonts w:ascii="Times New Roman" w:hAnsi="Times New Roman" w:cs="Times New Roman"/>
            <w:b/>
          </w:rPr>
          <w:t>110013103030201800034 01</w:t>
        </w:r>
      </w:hyperlink>
    </w:p>
    <w:p w14:paraId="7D33E71A" w14:textId="4B35BDFD" w:rsidR="001A15EE" w:rsidRDefault="001A15EE" w:rsidP="001A15EE">
      <w:pPr>
        <w:widowControl w:val="0"/>
        <w:spacing w:after="0" w:line="240" w:lineRule="auto"/>
        <w:rPr>
          <w:rFonts w:ascii="Times New Roman" w:hAnsi="Times New Roman" w:cs="Times New Roman"/>
          <w:bCs/>
          <w:lang w:val="es-ES_tradnl"/>
        </w:rPr>
      </w:pPr>
    </w:p>
    <w:p w14:paraId="67C68254" w14:textId="4582AE2D" w:rsidR="001A15EE" w:rsidRDefault="001A15EE" w:rsidP="001A15EE">
      <w:pPr>
        <w:widowControl w:val="0"/>
        <w:spacing w:after="0" w:line="240" w:lineRule="auto"/>
        <w:rPr>
          <w:rFonts w:ascii="Times New Roman" w:hAnsi="Times New Roman" w:cs="Times New Roman"/>
          <w:bCs/>
          <w:lang w:val="es-ES_tradnl"/>
        </w:rPr>
      </w:pPr>
    </w:p>
    <w:p w14:paraId="53718802" w14:textId="77777777" w:rsidR="00A73AF4" w:rsidRDefault="00A73AF4" w:rsidP="001A15EE">
      <w:pPr>
        <w:widowControl w:val="0"/>
        <w:spacing w:after="0" w:line="240" w:lineRule="auto"/>
        <w:jc w:val="center"/>
        <w:rPr>
          <w:rFonts w:ascii="Times New Roman" w:hAnsi="Times New Roman" w:cs="Times New Roman"/>
          <w:b/>
          <w:bCs/>
        </w:rPr>
        <w:sectPr w:rsidR="00A73AF4" w:rsidSect="001A15EE">
          <w:type w:val="continuous"/>
          <w:pgSz w:w="12242" w:h="19442" w:code="190"/>
          <w:pgMar w:top="1417" w:right="1610" w:bottom="1417" w:left="1701" w:header="708" w:footer="708" w:gutter="0"/>
          <w:cols w:space="708"/>
          <w:docGrid w:linePitch="360"/>
        </w:sectPr>
      </w:pPr>
    </w:p>
    <w:p w14:paraId="20CDDEC6" w14:textId="0EA462DE" w:rsidR="001A15EE" w:rsidRPr="001A15EE" w:rsidRDefault="001A15EE" w:rsidP="001A15EE">
      <w:pPr>
        <w:widowControl w:val="0"/>
        <w:spacing w:after="0" w:line="240" w:lineRule="auto"/>
        <w:jc w:val="center"/>
        <w:rPr>
          <w:rFonts w:ascii="Times New Roman" w:hAnsi="Times New Roman" w:cs="Times New Roman"/>
          <w:b/>
          <w:bCs/>
        </w:rPr>
      </w:pPr>
      <w:r>
        <w:rPr>
          <w:rFonts w:ascii="Times New Roman" w:hAnsi="Times New Roman" w:cs="Times New Roman"/>
          <w:b/>
          <w:bCs/>
        </w:rPr>
        <w:t xml:space="preserve">ASPECTO FÁCTICO </w:t>
      </w:r>
    </w:p>
    <w:p w14:paraId="14E802F0" w14:textId="77777777" w:rsidR="001A15EE" w:rsidRPr="001A15EE" w:rsidRDefault="001A15EE" w:rsidP="001A15EE">
      <w:pPr>
        <w:widowControl w:val="0"/>
        <w:spacing w:after="0" w:line="240" w:lineRule="auto"/>
        <w:rPr>
          <w:rFonts w:ascii="Times New Roman" w:hAnsi="Times New Roman" w:cs="Times New Roman"/>
          <w:b/>
          <w:bCs/>
        </w:rPr>
      </w:pPr>
    </w:p>
    <w:p w14:paraId="23C55CB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rPr>
        <w:t xml:space="preserve">1. </w:t>
      </w:r>
      <w:r w:rsidRPr="001A15EE">
        <w:rPr>
          <w:rFonts w:ascii="Times New Roman" w:hAnsi="Times New Roman" w:cs="Times New Roman"/>
          <w:bCs/>
        </w:rPr>
        <w:t>En el reformado libelo</w:t>
      </w:r>
      <w:r w:rsidRPr="001A15EE">
        <w:rPr>
          <w:rFonts w:ascii="Times New Roman" w:hAnsi="Times New Roman" w:cs="Times New Roman"/>
          <w:bCs/>
          <w:vertAlign w:val="superscript"/>
        </w:rPr>
        <w:footnoteReference w:id="17"/>
      </w:r>
      <w:r w:rsidRPr="001A15EE">
        <w:rPr>
          <w:rFonts w:ascii="Times New Roman" w:hAnsi="Times New Roman" w:cs="Times New Roman"/>
          <w:bCs/>
        </w:rPr>
        <w:t>,</w:t>
      </w:r>
      <w:r w:rsidRPr="001A15EE">
        <w:rPr>
          <w:rFonts w:ascii="Times New Roman" w:hAnsi="Times New Roman" w:cs="Times New Roman"/>
          <w:b/>
          <w:bCs/>
        </w:rPr>
        <w:t xml:space="preserve">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 Estudios S.A.S.</w:t>
      </w:r>
      <w:r w:rsidRPr="001A15EE">
        <w:rPr>
          <w:rFonts w:ascii="Times New Roman" w:hAnsi="Times New Roman" w:cs="Times New Roman"/>
          <w:bCs/>
          <w:lang w:val="es-CO"/>
        </w:rPr>
        <w:t xml:space="preserve"> (en adelante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demandó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Point 360 S.A.S. (en adelante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para que se declare el “incumplimiento”</w:t>
      </w:r>
      <w:r w:rsidRPr="001A15EE">
        <w:rPr>
          <w:rFonts w:ascii="Times New Roman" w:hAnsi="Times New Roman" w:cs="Times New Roman"/>
          <w:bCs/>
          <w:vertAlign w:val="superscript"/>
          <w:lang w:val="es-CO"/>
        </w:rPr>
        <w:footnoteReference w:id="18"/>
      </w:r>
      <w:r w:rsidRPr="001A15EE">
        <w:rPr>
          <w:rFonts w:ascii="Times New Roman" w:hAnsi="Times New Roman" w:cs="Times New Roman"/>
          <w:bCs/>
          <w:lang w:val="es-CO"/>
        </w:rPr>
        <w:t xml:space="preserve"> tanto el contrato de obra que celebraron el 18 de julio de 2017, como el “otrosí” de 22 de septiembre siguiente, por negarse a pagar parte del precio pactado y, en consecuencia, se le condene, de manera principal, a cancelarle la suma de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465’841.654,oo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243’343.800,oo</w:t>
      </w:r>
      <w:proofErr w:type="spellEnd"/>
      <w:r w:rsidRPr="001A15EE">
        <w:rPr>
          <w:rFonts w:ascii="Times New Roman" w:hAnsi="Times New Roman" w:cs="Times New Roman"/>
          <w:bCs/>
          <w:lang w:val="es-CO"/>
        </w:rPr>
        <w:t xml:space="preserve"> de saldo por el referido convenio y $</w:t>
      </w:r>
      <w:proofErr w:type="spellStart"/>
      <w:r w:rsidRPr="001A15EE">
        <w:rPr>
          <w:rFonts w:ascii="Times New Roman" w:hAnsi="Times New Roman" w:cs="Times New Roman"/>
          <w:bCs/>
          <w:lang w:val="es-CO"/>
        </w:rPr>
        <w:t>222’497.854,oo</w:t>
      </w:r>
      <w:proofErr w:type="spellEnd"/>
      <w:r w:rsidRPr="001A15EE">
        <w:rPr>
          <w:rFonts w:ascii="Times New Roman" w:hAnsi="Times New Roman" w:cs="Times New Roman"/>
          <w:bCs/>
          <w:lang w:val="es-CO"/>
        </w:rPr>
        <w:t xml:space="preserve"> por las actividades adicionales que recogió la modificación), exigible desde el 31 de octubre </w:t>
      </w:r>
      <w:r w:rsidRPr="001A15EE">
        <w:rPr>
          <w:rFonts w:ascii="Times New Roman" w:hAnsi="Times New Roman" w:cs="Times New Roman"/>
          <w:bCs/>
          <w:lang w:val="es-CO"/>
        </w:rPr>
        <w:t>de 2017, fecha en la cual “venció el plazo para efectuar el pago”, junto con los intereses de mora de acuerdo a la tasa regulada por la Superintendencia Financiera, por retardo causados hasta el momento en que se verifique el pago; en subsidio de la pretensión de condena, ordenar el “pago de los valores del contrato y el otrosí debidamente indexados”</w:t>
      </w:r>
      <w:r w:rsidRPr="001A15EE">
        <w:rPr>
          <w:rFonts w:ascii="Times New Roman" w:hAnsi="Times New Roman" w:cs="Times New Roman"/>
          <w:bCs/>
          <w:vertAlign w:val="superscript"/>
          <w:lang w:val="es-CO"/>
        </w:rPr>
        <w:footnoteReference w:id="19"/>
      </w:r>
      <w:r w:rsidRPr="001A15EE">
        <w:rPr>
          <w:rFonts w:ascii="Times New Roman" w:hAnsi="Times New Roman" w:cs="Times New Roman"/>
          <w:bCs/>
          <w:lang w:val="es-CO"/>
        </w:rPr>
        <w:t>.</w:t>
      </w:r>
    </w:p>
    <w:p w14:paraId="6582ED2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AD03FF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síntesis, las pretensiones se sustentaron en los siguientes hechos: </w:t>
      </w:r>
    </w:p>
    <w:p w14:paraId="5231CD6D"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5BA2B68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ES_tradnl"/>
        </w:rPr>
        <w:t>a)</w:t>
      </w:r>
      <w:r w:rsidRPr="001A15EE">
        <w:rPr>
          <w:rFonts w:ascii="Times New Roman" w:hAnsi="Times New Roman" w:cs="Times New Roman"/>
          <w:bCs/>
          <w:lang w:val="es-ES_tradnl"/>
        </w:rPr>
        <w:t xml:space="preserve"> </w:t>
      </w:r>
      <w:r w:rsidRPr="001A15EE">
        <w:rPr>
          <w:rFonts w:ascii="Times New Roman" w:hAnsi="Times New Roman" w:cs="Times New Roman"/>
          <w:bCs/>
          <w:lang w:val="es-CO"/>
        </w:rPr>
        <w:t xml:space="preserve">el 18 de julio de 2017 las partes </w:t>
      </w:r>
      <w:r w:rsidRPr="001A15EE">
        <w:rPr>
          <w:rFonts w:ascii="Times New Roman" w:hAnsi="Times New Roman" w:cs="Times New Roman"/>
          <w:bCs/>
          <w:lang w:val="es-ES_tradnl"/>
        </w:rPr>
        <w:t xml:space="preserve">celebraron en forma escrita la aludida convención (con miramiento en el “cuadro de cantidades y </w:t>
      </w:r>
      <w:r w:rsidRPr="001A15EE">
        <w:rPr>
          <w:rFonts w:ascii="Times New Roman" w:hAnsi="Times New Roman" w:cs="Times New Roman"/>
          <w:bCs/>
          <w:lang w:val="es-ES_tradnl"/>
        </w:rPr>
        <w:lastRenderedPageBreak/>
        <w:t>precio presentado en el presupuesto” de 30 de junio anterior</w:t>
      </w:r>
      <w:r w:rsidRPr="001A15EE">
        <w:rPr>
          <w:rFonts w:ascii="Times New Roman" w:hAnsi="Times New Roman" w:cs="Times New Roman"/>
          <w:bCs/>
          <w:vertAlign w:val="superscript"/>
          <w:lang w:val="es-ES_tradnl"/>
        </w:rPr>
        <w:footnoteReference w:id="20"/>
      </w:r>
      <w:r w:rsidRPr="001A15EE">
        <w:rPr>
          <w:rFonts w:ascii="Times New Roman" w:hAnsi="Times New Roman" w:cs="Times New Roman"/>
          <w:bCs/>
          <w:lang w:val="es-ES_tradnl"/>
        </w:rPr>
        <w:t>) que tenía por objeto “</w:t>
      </w:r>
      <w:r w:rsidRPr="001A15EE">
        <w:rPr>
          <w:rFonts w:ascii="Times New Roman" w:hAnsi="Times New Roman" w:cs="Times New Roman"/>
          <w:bCs/>
          <w:lang w:val="es-CO"/>
        </w:rPr>
        <w:t xml:space="preserve">el diseño y construcción de un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center</w:t>
      </w:r>
      <w:r w:rsidRPr="001A15EE">
        <w:rPr>
          <w:rFonts w:ascii="Times New Roman" w:hAnsi="Times New Roman" w:cs="Times New Roman"/>
          <w:bCs/>
          <w:lang w:val="es-CO"/>
        </w:rPr>
        <w:t>”, por un valor de $</w:t>
      </w:r>
      <w:proofErr w:type="spellStart"/>
      <w:r w:rsidRPr="001A15EE">
        <w:rPr>
          <w:rFonts w:ascii="Times New Roman" w:hAnsi="Times New Roman" w:cs="Times New Roman"/>
          <w:bCs/>
          <w:lang w:val="es-CO"/>
        </w:rPr>
        <w:t>811’146.000,oo</w:t>
      </w:r>
      <w:proofErr w:type="spellEnd"/>
      <w:r w:rsidRPr="001A15EE">
        <w:rPr>
          <w:rFonts w:ascii="Times New Roman" w:hAnsi="Times New Roman" w:cs="Times New Roman"/>
          <w:bCs/>
          <w:lang w:val="es-CO"/>
        </w:rPr>
        <w:t xml:space="preserve">, que serían cancelados así: </w:t>
      </w:r>
      <w:r w:rsidRPr="001A15EE">
        <w:rPr>
          <w:rFonts w:ascii="Times New Roman" w:hAnsi="Times New Roman" w:cs="Times New Roman"/>
          <w:bCs/>
          <w:i/>
          <w:lang w:val="es-CO"/>
        </w:rPr>
        <w:t>(i)</w:t>
      </w:r>
      <w:r w:rsidRPr="001A15EE">
        <w:rPr>
          <w:rFonts w:ascii="Times New Roman" w:hAnsi="Times New Roman" w:cs="Times New Roman"/>
          <w:bCs/>
          <w:lang w:val="es-CO"/>
        </w:rPr>
        <w:t xml:space="preserve"> un anticipo del 50%, a saber: $</w:t>
      </w:r>
      <w:proofErr w:type="spellStart"/>
      <w:r w:rsidRPr="001A15EE">
        <w:rPr>
          <w:rFonts w:ascii="Times New Roman" w:hAnsi="Times New Roman" w:cs="Times New Roman"/>
          <w:bCs/>
          <w:lang w:val="es-CO"/>
        </w:rPr>
        <w:t>405’573.000,oo</w:t>
      </w:r>
      <w:proofErr w:type="spellEnd"/>
      <w:r w:rsidRPr="001A15EE">
        <w:rPr>
          <w:rFonts w:ascii="Times New Roman" w:hAnsi="Times New Roman" w:cs="Times New Roman"/>
          <w:bCs/>
          <w:lang w:val="es-CO"/>
        </w:rPr>
        <w:t xml:space="preserve">, al momento de la suscripción de ese acuerdo;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otro 20% por valor de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a los 20 días siguientes;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w:t>
      </w:r>
      <w:r w:rsidRPr="001A15EE">
        <w:rPr>
          <w:rFonts w:ascii="Times New Roman" w:hAnsi="Times New Roman" w:cs="Times New Roman"/>
          <w:b/>
          <w:bCs/>
          <w:lang w:val="es-CO"/>
        </w:rPr>
        <w:t>el otro 20% por $</w:t>
      </w:r>
      <w:proofErr w:type="spellStart"/>
      <w:r w:rsidRPr="001A15EE">
        <w:rPr>
          <w:rFonts w:ascii="Times New Roman" w:hAnsi="Times New Roman" w:cs="Times New Roman"/>
          <w:b/>
          <w:bCs/>
          <w:lang w:val="es-CO"/>
        </w:rPr>
        <w:t>162’229.200,oo</w:t>
      </w:r>
      <w:proofErr w:type="spellEnd"/>
      <w:r w:rsidRPr="001A15EE">
        <w:rPr>
          <w:rFonts w:ascii="Times New Roman" w:hAnsi="Times New Roman" w:cs="Times New Roman"/>
          <w:bCs/>
          <w:lang w:val="es-CO"/>
        </w:rPr>
        <w:t xml:space="preserve">, transcurridos 40 días </w:t>
      </w:r>
      <w:r w:rsidRPr="001A15EE">
        <w:rPr>
          <w:rFonts w:ascii="Times New Roman" w:hAnsi="Times New Roman" w:cs="Times New Roman"/>
          <w:b/>
          <w:bCs/>
          <w:lang w:val="es-CO"/>
        </w:rPr>
        <w:t>de iniciada la obra</w:t>
      </w:r>
      <w:r w:rsidRPr="001A15EE">
        <w:rPr>
          <w:rFonts w:ascii="Times New Roman" w:hAnsi="Times New Roman" w:cs="Times New Roman"/>
          <w:bCs/>
          <w:lang w:val="es-CO"/>
        </w:rPr>
        <w:t xml:space="preserve">, y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iv</w:t>
      </w:r>
      <w:proofErr w:type="spellEnd"/>
      <w:r w:rsidRPr="001A15EE">
        <w:rPr>
          <w:rFonts w:ascii="Times New Roman" w:hAnsi="Times New Roman" w:cs="Times New Roman"/>
          <w:bCs/>
          <w:i/>
          <w:lang w:val="es-CO"/>
        </w:rPr>
        <w:t xml:space="preserve">) </w:t>
      </w:r>
      <w:r w:rsidRPr="001A15EE">
        <w:rPr>
          <w:rFonts w:ascii="Times New Roman" w:hAnsi="Times New Roman" w:cs="Times New Roman"/>
          <w:b/>
          <w:bCs/>
          <w:lang w:val="es-CO"/>
        </w:rPr>
        <w:t>el restante 10% por $</w:t>
      </w:r>
      <w:proofErr w:type="spellStart"/>
      <w:r w:rsidRPr="001A15EE">
        <w:rPr>
          <w:rFonts w:ascii="Times New Roman" w:hAnsi="Times New Roman" w:cs="Times New Roman"/>
          <w:b/>
          <w:bCs/>
          <w:lang w:val="es-CO"/>
        </w:rPr>
        <w:t>81’114.600,oo</w:t>
      </w:r>
      <w:proofErr w:type="spellEnd"/>
      <w:r w:rsidRPr="001A15EE">
        <w:rPr>
          <w:rFonts w:ascii="Times New Roman" w:hAnsi="Times New Roman" w:cs="Times New Roman"/>
          <w:b/>
          <w:bCs/>
          <w:lang w:val="es-CO"/>
        </w:rPr>
        <w:t>, contra entrega</w:t>
      </w:r>
      <w:r w:rsidRPr="001A15EE">
        <w:rPr>
          <w:rFonts w:ascii="Times New Roman" w:hAnsi="Times New Roman" w:cs="Times New Roman"/>
          <w:bCs/>
          <w:lang w:val="es-CO"/>
        </w:rPr>
        <w:t>;</w:t>
      </w:r>
      <w:r w:rsidRPr="001A15EE">
        <w:rPr>
          <w:rFonts w:ascii="Times New Roman" w:hAnsi="Times New Roman" w:cs="Times New Roman"/>
          <w:b/>
          <w:bCs/>
          <w:lang w:val="es-CO"/>
        </w:rPr>
        <w:t xml:space="preserve"> b)</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solo pagó los dos primeros valores ($</w:t>
      </w:r>
      <w:proofErr w:type="spellStart"/>
      <w:r w:rsidRPr="001A15EE">
        <w:rPr>
          <w:rFonts w:ascii="Times New Roman" w:hAnsi="Times New Roman" w:cs="Times New Roman"/>
          <w:bCs/>
          <w:lang w:val="es-CO"/>
        </w:rPr>
        <w:t>567’802.200,oo</w:t>
      </w:r>
      <w:proofErr w:type="spellEnd"/>
      <w:r w:rsidRPr="001A15EE">
        <w:rPr>
          <w:rFonts w:ascii="Times New Roman" w:hAnsi="Times New Roman" w:cs="Times New Roman"/>
          <w:bCs/>
          <w:lang w:val="es-CO"/>
        </w:rPr>
        <w:t xml:space="preserve">, es decir, un 70%), de suerte que de lo acordado en el contrato inicial, quedó un (30%) saldo de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243’343.800,oo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c)</w:t>
      </w:r>
      <w:r w:rsidRPr="001A15EE">
        <w:rPr>
          <w:rFonts w:ascii="Times New Roman" w:hAnsi="Times New Roman" w:cs="Times New Roman"/>
          <w:bCs/>
          <w:lang w:val="es-CO"/>
        </w:rPr>
        <w:t xml:space="preserve"> los arreglos comenzaron el 26 de julio de 2017; </w:t>
      </w:r>
      <w:r w:rsidRPr="001A15EE">
        <w:rPr>
          <w:rFonts w:ascii="Times New Roman" w:hAnsi="Times New Roman" w:cs="Times New Roman"/>
          <w:b/>
          <w:bCs/>
          <w:lang w:val="es-CO"/>
        </w:rPr>
        <w:t>d)</w:t>
      </w:r>
      <w:r w:rsidRPr="001A15EE">
        <w:rPr>
          <w:rFonts w:ascii="Times New Roman" w:hAnsi="Times New Roman" w:cs="Times New Roman"/>
          <w:bCs/>
          <w:lang w:val="es-CO"/>
        </w:rPr>
        <w:t xml:space="preserve"> el 23 de agosto siguiente, la demandada (contratante) modificó el convenio al incrementar las cantidades, cambió la especificación de los materiales y equipos, presentó nuevos diseños que ambos contratantes aprobaron y “</w:t>
      </w:r>
      <w:r w:rsidRPr="001A15EE">
        <w:rPr>
          <w:rFonts w:ascii="Times New Roman" w:hAnsi="Times New Roman" w:cs="Times New Roman"/>
          <w:b/>
          <w:bCs/>
          <w:lang w:val="es-CO"/>
        </w:rPr>
        <w:t>se fijó un nuevo plazo de entrega</w:t>
      </w:r>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702); por lo anterior, el 22  de septiembre de 2017 “</w:t>
      </w:r>
      <w:r w:rsidRPr="001A15EE">
        <w:rPr>
          <w:rFonts w:ascii="Times New Roman" w:hAnsi="Times New Roman" w:cs="Times New Roman"/>
          <w:b/>
          <w:bCs/>
          <w:lang w:val="es-CO"/>
        </w:rPr>
        <w:t>se redactó</w:t>
      </w:r>
      <w:r w:rsidRPr="001A15EE">
        <w:rPr>
          <w:rFonts w:ascii="Times New Roman" w:hAnsi="Times New Roman" w:cs="Times New Roman"/>
          <w:bCs/>
          <w:lang w:val="es-CO"/>
        </w:rPr>
        <w:t xml:space="preserve">” un “otrosí” para ampliar las obras adicionales que acordaron en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222’497.854,oo</w:t>
      </w:r>
      <w:proofErr w:type="spellEnd"/>
      <w:r w:rsidRPr="001A15EE">
        <w:rPr>
          <w:rFonts w:ascii="Times New Roman" w:hAnsi="Times New Roman" w:cs="Times New Roman"/>
          <w:bCs/>
          <w:lang w:val="es-CO"/>
        </w:rPr>
        <w:t>, las que “fueron ejecutadas”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107,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w:t>
      </w:r>
      <w:r w:rsidRPr="001A15EE">
        <w:rPr>
          <w:rFonts w:ascii="Times New Roman" w:hAnsi="Times New Roman" w:cs="Times New Roman"/>
          <w:b/>
          <w:bCs/>
          <w:lang w:val="es-CO"/>
        </w:rPr>
        <w:t>e)</w:t>
      </w:r>
      <w:r w:rsidRPr="001A15EE">
        <w:rPr>
          <w:rFonts w:ascii="Times New Roman" w:hAnsi="Times New Roman" w:cs="Times New Roman"/>
          <w:bCs/>
          <w:lang w:val="es-CO"/>
        </w:rPr>
        <w:t xml:space="preserve"> la accionada le adeuda $</w:t>
      </w:r>
      <w:proofErr w:type="spellStart"/>
      <w:r w:rsidRPr="001A15EE">
        <w:rPr>
          <w:rFonts w:ascii="Times New Roman" w:hAnsi="Times New Roman" w:cs="Times New Roman"/>
          <w:bCs/>
          <w:lang w:val="es-CO"/>
        </w:rPr>
        <w:t>461’330.322,oo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 xml:space="preserve">f) </w:t>
      </w:r>
      <w:r w:rsidRPr="001A15EE">
        <w:rPr>
          <w:rFonts w:ascii="Times New Roman" w:hAnsi="Times New Roman" w:cs="Times New Roman"/>
          <w:bCs/>
          <w:lang w:val="es-CO"/>
        </w:rPr>
        <w:t xml:space="preserve">la demandante está en disposición de cumplir con las garantías del contrato y siempre se allanó a cumplir; </w:t>
      </w:r>
      <w:r w:rsidRPr="001A15EE">
        <w:rPr>
          <w:rFonts w:ascii="Times New Roman" w:hAnsi="Times New Roman" w:cs="Times New Roman"/>
          <w:b/>
          <w:bCs/>
          <w:lang w:val="es-CO"/>
        </w:rPr>
        <w:t>g)</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en la hora actual usufructúa las obras realizadas por la actora;</w:t>
      </w:r>
      <w:r w:rsidRPr="001A15EE">
        <w:rPr>
          <w:rFonts w:ascii="Times New Roman" w:hAnsi="Times New Roman" w:cs="Times New Roman"/>
          <w:b/>
          <w:bCs/>
          <w:lang w:val="es-CO"/>
        </w:rPr>
        <w:t xml:space="preserve"> h)</w:t>
      </w:r>
      <w:r w:rsidRPr="001A15EE">
        <w:rPr>
          <w:rFonts w:ascii="Times New Roman" w:hAnsi="Times New Roman" w:cs="Times New Roman"/>
          <w:bCs/>
          <w:lang w:val="es-CO"/>
        </w:rPr>
        <w:t xml:space="preserve"> de manera temeraria su opositora presentó reclamación formal a la aseguradora, con soporte en la póliza exigida para la suscripción del convenio; </w:t>
      </w:r>
      <w:r w:rsidRPr="001A15EE">
        <w:rPr>
          <w:rFonts w:ascii="Times New Roman" w:hAnsi="Times New Roman" w:cs="Times New Roman"/>
          <w:b/>
          <w:bCs/>
          <w:lang w:val="es-CO"/>
        </w:rPr>
        <w:t>i)</w:t>
      </w:r>
      <w:r w:rsidRPr="001A15EE">
        <w:rPr>
          <w:rFonts w:ascii="Times New Roman" w:hAnsi="Times New Roman" w:cs="Times New Roman"/>
          <w:bCs/>
          <w:lang w:val="es-CO"/>
        </w:rPr>
        <w:t xml:space="preserve"> el horario utilizado para la realización de los arreglos, fue de 7:00 p.m. a 7:00 a.m.; </w:t>
      </w:r>
      <w:r w:rsidRPr="001A15EE">
        <w:rPr>
          <w:rFonts w:ascii="Times New Roman" w:hAnsi="Times New Roman" w:cs="Times New Roman"/>
          <w:b/>
          <w:bCs/>
          <w:lang w:val="es-CO"/>
        </w:rPr>
        <w:t>j)</w:t>
      </w:r>
      <w:r w:rsidRPr="001A15EE">
        <w:rPr>
          <w:rFonts w:ascii="Times New Roman" w:hAnsi="Times New Roman" w:cs="Times New Roman"/>
          <w:bCs/>
          <w:lang w:val="es-CO"/>
        </w:rPr>
        <w:t xml:space="preserve"> la obra fue entregada el 31 de octubre de 2017, y </w:t>
      </w:r>
      <w:r w:rsidRPr="001A15EE">
        <w:rPr>
          <w:rFonts w:ascii="Times New Roman" w:hAnsi="Times New Roman" w:cs="Times New Roman"/>
          <w:b/>
          <w:bCs/>
          <w:lang w:val="es-CO"/>
        </w:rPr>
        <w:t>k)</w:t>
      </w:r>
      <w:r w:rsidRPr="001A15EE">
        <w:rPr>
          <w:rFonts w:ascii="Times New Roman" w:hAnsi="Times New Roman" w:cs="Times New Roman"/>
          <w:bCs/>
          <w:lang w:val="es-CO"/>
        </w:rPr>
        <w:t xml:space="preserve"> la demandante cumplió con las normas de propiedad horizontal.</w:t>
      </w:r>
    </w:p>
    <w:p w14:paraId="0C410A0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62B404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2. </w:t>
      </w:r>
      <w:r w:rsidRPr="001A15EE">
        <w:rPr>
          <w:rFonts w:ascii="Times New Roman" w:hAnsi="Times New Roman" w:cs="Times New Roman"/>
          <w:bCs/>
          <w:lang w:val="es-CO"/>
        </w:rPr>
        <w:t>Notificada la demandada del auto admisorio del 8 de febrero de 2018, se opuso a las pretensiones, negó varios hechos como haber aceptado una nueva fecha para la entrega de la obra; en cuanto a la existencia de mayores valores e incremento de cuantía, el actor le remitió un “</w:t>
      </w:r>
      <w:r w:rsidRPr="001A15EE">
        <w:rPr>
          <w:rFonts w:ascii="Times New Roman" w:hAnsi="Times New Roman" w:cs="Times New Roman"/>
          <w:b/>
          <w:bCs/>
          <w:lang w:val="es-CO"/>
        </w:rPr>
        <w:t>otrosí</w:t>
      </w:r>
      <w:r w:rsidRPr="001A15EE">
        <w:rPr>
          <w:rFonts w:ascii="Times New Roman" w:hAnsi="Times New Roman" w:cs="Times New Roman"/>
          <w:bCs/>
          <w:lang w:val="es-CO"/>
        </w:rPr>
        <w:t xml:space="preserve">” que </w:t>
      </w:r>
      <w:r w:rsidRPr="001A15EE">
        <w:rPr>
          <w:rFonts w:ascii="Times New Roman" w:hAnsi="Times New Roman" w:cs="Times New Roman"/>
          <w:b/>
          <w:bCs/>
          <w:lang w:val="es-CO"/>
        </w:rPr>
        <w:t>rechazó</w:t>
      </w:r>
      <w:r w:rsidRPr="001A15EE">
        <w:rPr>
          <w:rFonts w:ascii="Times New Roman" w:hAnsi="Times New Roman" w:cs="Times New Roman"/>
          <w:bCs/>
          <w:lang w:val="es-CO"/>
        </w:rPr>
        <w:t xml:space="preserve">, máxime cuando el tipo de convenio fue </w:t>
      </w:r>
      <w:r w:rsidRPr="001A15EE">
        <w:rPr>
          <w:rFonts w:ascii="Times New Roman" w:hAnsi="Times New Roman" w:cs="Times New Roman"/>
          <w:b/>
          <w:bCs/>
          <w:lang w:val="es-CO"/>
        </w:rPr>
        <w:t>global</w:t>
      </w:r>
      <w:r w:rsidRPr="001A15EE">
        <w:rPr>
          <w:rFonts w:ascii="Times New Roman" w:hAnsi="Times New Roman" w:cs="Times New Roman"/>
          <w:bCs/>
          <w:lang w:val="es-CO"/>
        </w:rPr>
        <w:t>, de suerte que los cambios en los diseños obedecieron a la negligencia, inexperiencia e impericia de la demandante; no existe acta de entrega de la obra o documento del demandado que otorgue prórroga alguna; resaltó que el “otrosí” no se firmó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710);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abandonó la obra y no la terminó y en su libelo confiesa que no la entregó a satisfacción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713), y excepcionó: “contrato no cumplido”, “existencia de incumplimiento de contrato por parte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w:t>
      </w:r>
      <w:proofErr w:type="spellStart"/>
      <w:r w:rsidRPr="001A15EE">
        <w:rPr>
          <w:rFonts w:ascii="Times New Roman" w:hAnsi="Times New Roman" w:cs="Times New Roman"/>
          <w:bCs/>
          <w:i/>
          <w:lang w:val="es-CO"/>
        </w:rPr>
        <w:t>nemo</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auditur</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propriam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turpitudinem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allegans</w:t>
      </w:r>
      <w:proofErr w:type="spellEnd"/>
      <w:r w:rsidRPr="001A15EE">
        <w:rPr>
          <w:rFonts w:ascii="Times New Roman" w:hAnsi="Times New Roman" w:cs="Times New Roman"/>
          <w:bCs/>
          <w:lang w:val="es-CO"/>
        </w:rPr>
        <w:t>” y la “genérica”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w:t>
      </w:r>
      <w:r w:rsidRPr="001A15EE">
        <w:rPr>
          <w:rFonts w:ascii="Times New Roman" w:hAnsi="Times New Roman" w:cs="Times New Roman"/>
          <w:bCs/>
          <w:lang w:val="es-CO"/>
        </w:rPr>
        <w:t>723-737).</w:t>
      </w:r>
    </w:p>
    <w:p w14:paraId="344CEBE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6030B8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Las reseñadas defensas se fundaron, en lo medular, en que fue el demandante principal quien primero incumplió, porque: </w:t>
      </w:r>
      <w:r w:rsidRPr="001A15EE">
        <w:rPr>
          <w:rFonts w:ascii="Times New Roman" w:hAnsi="Times New Roman" w:cs="Times New Roman"/>
          <w:bCs/>
          <w:i/>
          <w:lang w:val="es-CO"/>
        </w:rPr>
        <w:t>(i)</w:t>
      </w:r>
      <w:r w:rsidRPr="001A15EE">
        <w:rPr>
          <w:rFonts w:ascii="Times New Roman" w:hAnsi="Times New Roman" w:cs="Times New Roman"/>
          <w:bCs/>
          <w:lang w:val="es-CO"/>
        </w:rPr>
        <w:t xml:space="preserve"> no entregó la obra dentro del plazo acordado;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hubo mala ejecución, en especial, en el piso de la edificación;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no observó con rigor el cronograma de la obra, y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iv</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no garantizó la calidad de los bienes y servicios prestados.  </w:t>
      </w:r>
    </w:p>
    <w:p w14:paraId="3DDD471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CFD9838"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
          <w:bCs/>
          <w:lang w:val="es-CO"/>
        </w:rPr>
        <w:t>3.</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formuló demanda de reconvención para que se declare que su opositora incumplió el contrato de obra de 18 de julio de 2017 y, en consecuencia, se le condene al pago de la cláusula penal por $</w:t>
      </w:r>
      <w:proofErr w:type="spellStart"/>
      <w:r w:rsidRPr="001A15EE">
        <w:rPr>
          <w:rFonts w:ascii="Times New Roman" w:hAnsi="Times New Roman" w:cs="Times New Roman"/>
          <w:bCs/>
          <w:lang w:val="es-CO"/>
        </w:rPr>
        <w:t>40’557.300,oo</w:t>
      </w:r>
      <w:proofErr w:type="spellEnd"/>
      <w:r w:rsidRPr="001A15EE">
        <w:rPr>
          <w:rFonts w:ascii="Times New Roman" w:hAnsi="Times New Roman" w:cs="Times New Roman"/>
          <w:bCs/>
          <w:lang w:val="es-CO"/>
        </w:rPr>
        <w:t xml:space="preserve">, que corresponde al 5% del valor total del convenio; además, que se declare que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tiene el deber de cumplir a cabalidad la convención. </w:t>
      </w:r>
    </w:p>
    <w:p w14:paraId="57C58C23" w14:textId="77777777" w:rsidR="001A15EE" w:rsidRPr="001A15EE" w:rsidRDefault="001A15EE" w:rsidP="001A15EE">
      <w:pPr>
        <w:widowControl w:val="0"/>
        <w:spacing w:after="0" w:line="240" w:lineRule="auto"/>
        <w:jc w:val="both"/>
        <w:rPr>
          <w:rFonts w:ascii="Times New Roman" w:hAnsi="Times New Roman" w:cs="Times New Roman"/>
          <w:bCs/>
        </w:rPr>
      </w:pPr>
    </w:p>
    <w:p w14:paraId="509DF4D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Como soporte de sus pretensiones, la </w:t>
      </w:r>
      <w:proofErr w:type="spellStart"/>
      <w:r w:rsidRPr="001A15EE">
        <w:rPr>
          <w:rFonts w:ascii="Times New Roman" w:hAnsi="Times New Roman" w:cs="Times New Roman"/>
          <w:bCs/>
          <w:lang w:val="es-CO"/>
        </w:rPr>
        <w:t>reconviniente</w:t>
      </w:r>
      <w:proofErr w:type="spellEnd"/>
      <w:r w:rsidRPr="001A15EE">
        <w:rPr>
          <w:rFonts w:ascii="Times New Roman" w:hAnsi="Times New Roman" w:cs="Times New Roman"/>
          <w:bCs/>
          <w:lang w:val="es-CO"/>
        </w:rPr>
        <w:t xml:space="preserve"> adujo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no le entregó el 100% de la obra civil el 18 de septiembre de 2017; que éste recibió anticipos por $</w:t>
      </w:r>
      <w:proofErr w:type="spellStart"/>
      <w:r w:rsidRPr="001A15EE">
        <w:rPr>
          <w:rFonts w:ascii="Times New Roman" w:hAnsi="Times New Roman" w:cs="Times New Roman"/>
          <w:bCs/>
          <w:lang w:val="es-CO"/>
        </w:rPr>
        <w:t>564’665.000,oo</w:t>
      </w:r>
      <w:proofErr w:type="spellEnd"/>
      <w:r w:rsidRPr="001A15EE">
        <w:rPr>
          <w:rFonts w:ascii="Times New Roman" w:hAnsi="Times New Roman" w:cs="Times New Roman"/>
          <w:bCs/>
          <w:lang w:val="es-CO"/>
        </w:rPr>
        <w:t xml:space="preserve">, quien no le pagó en su integridad a los subcontratistas, lo que generó una contingencia para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en atención a que </w:t>
      </w:r>
      <w:proofErr w:type="spellStart"/>
      <w:r w:rsidRPr="001A15EE">
        <w:rPr>
          <w:rFonts w:ascii="Times New Roman" w:hAnsi="Times New Roman" w:cs="Times New Roman"/>
          <w:bCs/>
          <w:lang w:val="es-CO"/>
        </w:rPr>
        <w:t>Innventa</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Group</w:t>
      </w:r>
      <w:proofErr w:type="spellEnd"/>
      <w:r w:rsidRPr="001A15EE">
        <w:rPr>
          <w:rFonts w:ascii="Times New Roman" w:hAnsi="Times New Roman" w:cs="Times New Roman"/>
          <w:bCs/>
          <w:lang w:val="es-CO"/>
        </w:rPr>
        <w:t xml:space="preserve"> S.A.S. (uno de los subcontratistas de muebles) le cobró dineros que solo le debe su ahora contradictor; las obras eléctricas no cumplieron los requerimientos exigidos por </w:t>
      </w:r>
      <w:proofErr w:type="spellStart"/>
      <w:r w:rsidRPr="001A15EE">
        <w:rPr>
          <w:rFonts w:ascii="Times New Roman" w:hAnsi="Times New Roman" w:cs="Times New Roman"/>
          <w:bCs/>
          <w:lang w:val="es-CO"/>
        </w:rPr>
        <w:t>Codensa</w:t>
      </w:r>
      <w:proofErr w:type="spellEnd"/>
      <w:r w:rsidRPr="001A15EE">
        <w:rPr>
          <w:rFonts w:ascii="Times New Roman" w:hAnsi="Times New Roman" w:cs="Times New Roman"/>
          <w:bCs/>
          <w:lang w:val="es-CO"/>
        </w:rPr>
        <w:t xml:space="preserve"> S.A. para obtener los certificados Retie y </w:t>
      </w:r>
      <w:proofErr w:type="spellStart"/>
      <w:r w:rsidRPr="001A15EE">
        <w:rPr>
          <w:rFonts w:ascii="Times New Roman" w:hAnsi="Times New Roman" w:cs="Times New Roman"/>
          <w:bCs/>
          <w:lang w:val="es-CO"/>
        </w:rPr>
        <w:t>Retilap</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aumentó en forma injustificada los precios de los materiales y bienes necesarios para ejecutar la obra; por su impericia en el desarrollo de la construcción, causó daños al piso inferior (5° del lugar de la obra de propiedad de </w:t>
      </w:r>
      <w:proofErr w:type="spellStart"/>
      <w:r w:rsidRPr="001A15EE">
        <w:rPr>
          <w:rFonts w:ascii="Times New Roman" w:hAnsi="Times New Roman" w:cs="Times New Roman"/>
          <w:bCs/>
          <w:lang w:val="es-CO"/>
        </w:rPr>
        <w:t>Puffer</w:t>
      </w:r>
      <w:proofErr w:type="spellEnd"/>
      <w:r w:rsidRPr="001A15EE">
        <w:rPr>
          <w:rFonts w:ascii="Times New Roman" w:hAnsi="Times New Roman" w:cs="Times New Roman"/>
          <w:bCs/>
          <w:lang w:val="es-CO"/>
        </w:rPr>
        <w:t xml:space="preserve"> Colombia); el diseño arquitectónico no satisfizo las exigencias mínimas para los negocios de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w:t>
      </w:r>
      <w:r w:rsidRPr="001A15EE">
        <w:rPr>
          <w:rFonts w:ascii="Times New Roman" w:hAnsi="Times New Roman" w:cs="Times New Roman"/>
          <w:bCs/>
          <w:lang w:val="es-CO"/>
        </w:rPr>
        <w:t>center; no existe acta de entrega final de obra y, por último, el presupuesto de la obra presenta inconsistencias porque se calculó mal el porcentaje de imprevistos.</w:t>
      </w:r>
    </w:p>
    <w:p w14:paraId="56C73CB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4720DEE"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
          <w:bCs/>
        </w:rPr>
        <w:t>4.</w:t>
      </w:r>
      <w:r w:rsidRPr="001A15EE">
        <w:rPr>
          <w:rFonts w:ascii="Times New Roman" w:hAnsi="Times New Roman" w:cs="Times New Roman"/>
          <w:bCs/>
        </w:rPr>
        <w:t xml:space="preserve">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se opuso a la demanda de reconvención y negó buena parte de los hechos en que se fundamentó.</w:t>
      </w:r>
    </w:p>
    <w:p w14:paraId="3D838414" w14:textId="77777777" w:rsidR="001A15EE" w:rsidRPr="001A15EE" w:rsidRDefault="001A15EE" w:rsidP="001A15EE">
      <w:pPr>
        <w:widowControl w:val="0"/>
        <w:spacing w:after="0" w:line="240" w:lineRule="auto"/>
        <w:rPr>
          <w:rFonts w:ascii="Times New Roman" w:hAnsi="Times New Roman" w:cs="Times New Roman"/>
          <w:bCs/>
          <w:lang w:val="es-CO"/>
        </w:rPr>
      </w:pPr>
    </w:p>
    <w:p w14:paraId="796EC383" w14:textId="77777777" w:rsidR="001A15EE" w:rsidRPr="001A15EE" w:rsidRDefault="001A15EE" w:rsidP="001A15EE">
      <w:pPr>
        <w:widowControl w:val="0"/>
        <w:spacing w:after="0" w:line="240" w:lineRule="auto"/>
        <w:rPr>
          <w:rFonts w:ascii="Times New Roman" w:hAnsi="Times New Roman" w:cs="Times New Roman"/>
          <w:b/>
          <w:bCs/>
        </w:rPr>
      </w:pPr>
      <w:r w:rsidRPr="001A15EE">
        <w:rPr>
          <w:rFonts w:ascii="Times New Roman" w:hAnsi="Times New Roman" w:cs="Times New Roman"/>
          <w:b/>
          <w:bCs/>
        </w:rPr>
        <w:t>5.</w:t>
      </w:r>
      <w:r w:rsidRPr="001A15EE">
        <w:rPr>
          <w:rFonts w:ascii="Times New Roman" w:hAnsi="Times New Roman" w:cs="Times New Roman"/>
          <w:b/>
          <w:bCs/>
        </w:rPr>
        <w:tab/>
        <w:t>Los recursos de apelación.</w:t>
      </w:r>
    </w:p>
    <w:p w14:paraId="294F6709" w14:textId="77777777" w:rsidR="001A15EE" w:rsidRPr="001A15EE" w:rsidRDefault="001A15EE" w:rsidP="001A15EE">
      <w:pPr>
        <w:widowControl w:val="0"/>
        <w:spacing w:after="0" w:line="240" w:lineRule="auto"/>
        <w:rPr>
          <w:rFonts w:ascii="Times New Roman" w:hAnsi="Times New Roman" w:cs="Times New Roman"/>
          <w:bCs/>
        </w:rPr>
      </w:pPr>
    </w:p>
    <w:p w14:paraId="6630943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5.1.</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solicitó revocar la sentencia, porque:</w:t>
      </w:r>
    </w:p>
    <w:p w14:paraId="70B2FAE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D50C34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w:t>
      </w:r>
      <w:r w:rsidRPr="001A15EE">
        <w:rPr>
          <w:rFonts w:ascii="Times New Roman" w:hAnsi="Times New Roman" w:cs="Times New Roman"/>
          <w:bCs/>
          <w:lang w:val="es-CO"/>
        </w:rPr>
        <w:t xml:space="preserve">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concluyó erradamente que “es manifiesto el incumplimiento del contrato” de su parte, “con base en el informe general de auditoría’ suscrito por Javier Izquierdo Barbosa, que no puede ser tenido como dictamen pericial porque no reúne los requisitos previstos en el artículo 226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tampoco son ciertos los supuestos </w:t>
      </w:r>
      <w:r w:rsidRPr="001A15EE">
        <w:rPr>
          <w:rFonts w:ascii="Times New Roman" w:hAnsi="Times New Roman" w:cs="Times New Roman"/>
          <w:bCs/>
          <w:lang w:val="es-CO"/>
        </w:rPr>
        <w:lastRenderedPageBreak/>
        <w:t xml:space="preserve">incumplimientos a que se refiere y no puede sustentar la excepción de contrato no cumplido, cuando las presuntas desatenciones a que se refiere son precisamente situaciones generadas por el incumplimiento inicial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3E60D77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4367AB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b).</w:t>
      </w:r>
      <w:r w:rsidRPr="001A15EE">
        <w:rPr>
          <w:rFonts w:ascii="Times New Roman" w:hAnsi="Times New Roman" w:cs="Times New Roman"/>
          <w:bCs/>
          <w:lang w:val="es-CO"/>
        </w:rPr>
        <w:t xml:space="preserve"> Respecto al testimonio de </w:t>
      </w:r>
      <w:proofErr w:type="spellStart"/>
      <w:r w:rsidRPr="001A15EE">
        <w:rPr>
          <w:rFonts w:ascii="Times New Roman" w:hAnsi="Times New Roman" w:cs="Times New Roman"/>
          <w:bCs/>
          <w:lang w:val="es-CO"/>
        </w:rPr>
        <w:t>Jhon</w:t>
      </w:r>
      <w:proofErr w:type="spellEnd"/>
      <w:r w:rsidRPr="001A15EE">
        <w:rPr>
          <w:rFonts w:ascii="Times New Roman" w:hAnsi="Times New Roman" w:cs="Times New Roman"/>
          <w:bCs/>
          <w:lang w:val="es-CO"/>
        </w:rPr>
        <w:t xml:space="preserve"> Bello Triana, la sentencia apelada: (i) no tuvo en cuenta que se trata de un testigo sospechoso porque es dependiente de la sociedad demandada, (</w:t>
      </w:r>
      <w:proofErr w:type="spellStart"/>
      <w:r w:rsidRPr="001A15EE">
        <w:rPr>
          <w:rFonts w:ascii="Times New Roman" w:hAnsi="Times New Roman" w:cs="Times New Roman"/>
          <w:bCs/>
          <w:lang w:val="es-CO"/>
        </w:rPr>
        <w:t>ii</w:t>
      </w:r>
      <w:proofErr w:type="spellEnd"/>
      <w:r w:rsidRPr="001A15EE">
        <w:rPr>
          <w:rFonts w:ascii="Times New Roman" w:hAnsi="Times New Roman" w:cs="Times New Roman"/>
          <w:bCs/>
          <w:lang w:val="es-CO"/>
        </w:rPr>
        <w:t>) también dejó de analizar la declaración de dicho testigo conjuntamente con el resto de pruebas, particularmente las documentales contenidas en el expediente y la declaración del representante legal del demandante Jorge Ángelo Guerrero Díaz, y (</w:t>
      </w:r>
      <w:proofErr w:type="spellStart"/>
      <w:r w:rsidRPr="001A15EE">
        <w:rPr>
          <w:rFonts w:ascii="Times New Roman" w:hAnsi="Times New Roman" w:cs="Times New Roman"/>
          <w:bCs/>
          <w:lang w:val="es-CO"/>
        </w:rPr>
        <w:t>iii</w:t>
      </w:r>
      <w:proofErr w:type="spellEnd"/>
      <w:r w:rsidRPr="001A15EE">
        <w:rPr>
          <w:rFonts w:ascii="Times New Roman" w:hAnsi="Times New Roman" w:cs="Times New Roman"/>
          <w:bCs/>
          <w:lang w:val="es-CO"/>
        </w:rPr>
        <w:t xml:space="preserve">) tampoco tuvo en cuenta que precisamente los cambios intempestivos en el diseño de la obra y el incumplimiento de las normas técnicas, se debió a la conducta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que inobservó el contrato y generó con ello lo ocurrido con la ejecución del mismo.</w:t>
      </w:r>
    </w:p>
    <w:p w14:paraId="590ECF2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82E74C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c).</w:t>
      </w:r>
      <w:r w:rsidRPr="001A15EE">
        <w:rPr>
          <w:rFonts w:ascii="Times New Roman" w:hAnsi="Times New Roman" w:cs="Times New Roman"/>
          <w:bCs/>
          <w:lang w:val="es-CO"/>
        </w:rPr>
        <w:t xml:space="preserve"> Sobre la declaración de Andrés Hernández, representante legal de </w:t>
      </w:r>
      <w:proofErr w:type="spellStart"/>
      <w:r w:rsidRPr="001A15EE">
        <w:rPr>
          <w:rFonts w:ascii="Times New Roman" w:hAnsi="Times New Roman" w:cs="Times New Roman"/>
          <w:bCs/>
          <w:lang w:val="es-CO"/>
        </w:rPr>
        <w:t>Innventa</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Group</w:t>
      </w:r>
      <w:proofErr w:type="spellEnd"/>
      <w:r w:rsidRPr="001A15EE">
        <w:rPr>
          <w:rFonts w:ascii="Times New Roman" w:hAnsi="Times New Roman" w:cs="Times New Roman"/>
          <w:bCs/>
          <w:lang w:val="es-CO"/>
        </w:rPr>
        <w:t xml:space="preserve"> S.A.S., la sentencia apelada: (i) no tuvo en cuenta que se trata de un testigo sospechoso por su animadversión respecto del demandante y porque es dependiente de la demandada, y (</w:t>
      </w:r>
      <w:proofErr w:type="spellStart"/>
      <w:r w:rsidRPr="001A15EE">
        <w:rPr>
          <w:rFonts w:ascii="Times New Roman" w:hAnsi="Times New Roman" w:cs="Times New Roman"/>
          <w:bCs/>
          <w:lang w:val="es-CO"/>
        </w:rPr>
        <w:t>ii</w:t>
      </w:r>
      <w:proofErr w:type="spellEnd"/>
      <w:r w:rsidRPr="001A15EE">
        <w:rPr>
          <w:rFonts w:ascii="Times New Roman" w:hAnsi="Times New Roman" w:cs="Times New Roman"/>
          <w:bCs/>
          <w:lang w:val="es-CO"/>
        </w:rPr>
        <w:t xml:space="preserve">) que la accionante le pagó lo acordado pero el señor Andrés Hernández no fue en realidad quien suministró los muebles sino Industrias Metálicas </w:t>
      </w:r>
      <w:proofErr w:type="spellStart"/>
      <w:r w:rsidRPr="001A15EE">
        <w:rPr>
          <w:rFonts w:ascii="Times New Roman" w:hAnsi="Times New Roman" w:cs="Times New Roman"/>
          <w:bCs/>
          <w:lang w:val="es-CO"/>
        </w:rPr>
        <w:t>Aya</w:t>
      </w:r>
      <w:proofErr w:type="spellEnd"/>
      <w:r w:rsidRPr="001A15EE">
        <w:rPr>
          <w:rFonts w:ascii="Times New Roman" w:hAnsi="Times New Roman" w:cs="Times New Roman"/>
          <w:bCs/>
          <w:lang w:val="es-CO"/>
        </w:rPr>
        <w:t xml:space="preserve"> Ltda. </w:t>
      </w:r>
    </w:p>
    <w:p w14:paraId="1943773A"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4C4199A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d).</w:t>
      </w:r>
      <w:r w:rsidRPr="001A15EE">
        <w:rPr>
          <w:rFonts w:ascii="Times New Roman" w:hAnsi="Times New Roman" w:cs="Times New Roman"/>
          <w:bCs/>
          <w:lang w:val="es-CO"/>
        </w:rPr>
        <w:t xml:space="preserve"> De acuerdo con los reparos anteriores, no es cierto, como erradamente concluyó la sentencia apelada, que “</w:t>
      </w:r>
      <w:r w:rsidRPr="001A15EE">
        <w:rPr>
          <w:rFonts w:ascii="Times New Roman" w:hAnsi="Times New Roman" w:cs="Times New Roman"/>
          <w:bCs/>
          <w:i/>
          <w:lang w:val="es-CO"/>
        </w:rPr>
        <w:t xml:space="preserve">el demandante no cumplió en su integridad las obligaciones derivadas del contrato de obra civil, concretamente las plasmadas en los literales a, b, c y </w:t>
      </w:r>
      <w:proofErr w:type="spellStart"/>
      <w:r w:rsidRPr="001A15EE">
        <w:rPr>
          <w:rFonts w:ascii="Times New Roman" w:hAnsi="Times New Roman" w:cs="Times New Roman"/>
          <w:bCs/>
          <w:i/>
          <w:lang w:val="es-CO"/>
        </w:rPr>
        <w:t>e</w:t>
      </w:r>
      <w:proofErr w:type="spellEnd"/>
      <w:r w:rsidRPr="001A15EE">
        <w:rPr>
          <w:rFonts w:ascii="Times New Roman" w:hAnsi="Times New Roman" w:cs="Times New Roman"/>
          <w:bCs/>
          <w:i/>
          <w:lang w:val="es-CO"/>
        </w:rPr>
        <w:t xml:space="preserve"> de la cláusula primera”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841).</w:t>
      </w:r>
    </w:p>
    <w:p w14:paraId="0BAF79C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5DE806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e).</w:t>
      </w:r>
      <w:r w:rsidRPr="001A15EE">
        <w:rPr>
          <w:rFonts w:ascii="Times New Roman" w:hAnsi="Times New Roman" w:cs="Times New Roman"/>
          <w:bCs/>
          <w:lang w:val="es-CO"/>
        </w:rPr>
        <w:t xml:space="preserve"> La jueza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erró también al considerar que existió incumplimiento del demandante, a partir de su interrogatorio (que no quiso valorar como declaración a pesar de que así se pidió), porque el otrosí no está firmado. </w:t>
      </w:r>
    </w:p>
    <w:p w14:paraId="23F1F95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4F66DD9"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Cs/>
          <w:lang w:val="es-CO"/>
        </w:rPr>
        <w:t>La sentencia concluyó “</w:t>
      </w:r>
      <w:r w:rsidRPr="001A15EE">
        <w:rPr>
          <w:rFonts w:ascii="Times New Roman" w:hAnsi="Times New Roman" w:cs="Times New Roman"/>
          <w:bCs/>
          <w:i/>
          <w:lang w:val="es-CO"/>
        </w:rPr>
        <w:t>y aunque intentó justificar su incumplimiento en que el contratante varió las condiciones iniciales del contrato, lo cierto es que en el expediente no consta por escrito que el negocio jurídico hubiese sido modificado. Nótese que el otrosí al que se aludió en la demanda y en su reforma, respecto del cual insistió el interrogado, no se encuentra suscrito por ninguna de las partes (</w:t>
      </w:r>
      <w:proofErr w:type="spellStart"/>
      <w:r w:rsidRPr="001A15EE">
        <w:rPr>
          <w:rFonts w:ascii="Times New Roman" w:hAnsi="Times New Roman" w:cs="Times New Roman"/>
          <w:bCs/>
          <w:i/>
          <w:lang w:val="es-CO"/>
        </w:rPr>
        <w:t>fl</w:t>
      </w:r>
      <w:proofErr w:type="spellEnd"/>
      <w:r w:rsidRPr="001A15EE">
        <w:rPr>
          <w:rFonts w:ascii="Times New Roman" w:hAnsi="Times New Roman" w:cs="Times New Roman"/>
          <w:bCs/>
          <w:i/>
          <w:lang w:val="es-CO"/>
        </w:rPr>
        <w:t xml:space="preserve">. 12 y 13) y, por ende, no tiene la vocación de producir efecto legal alguno’’, </w:t>
      </w:r>
      <w:r w:rsidRPr="001A15EE">
        <w:rPr>
          <w:rFonts w:ascii="Times New Roman" w:hAnsi="Times New Roman" w:cs="Times New Roman"/>
          <w:b/>
          <w:bCs/>
          <w:lang w:val="es-CO"/>
        </w:rPr>
        <w:t>pero este argumento -</w:t>
      </w:r>
      <w:r w:rsidRPr="001A15EE">
        <w:rPr>
          <w:rFonts w:ascii="Times New Roman" w:hAnsi="Times New Roman" w:cs="Times New Roman"/>
          <w:bCs/>
          <w:lang w:val="es-CO"/>
        </w:rPr>
        <w:t xml:space="preserve"> que resulta basilar de la sentencia recurrida -</w:t>
      </w:r>
      <w:r w:rsidRPr="001A15EE">
        <w:rPr>
          <w:rFonts w:ascii="Times New Roman" w:hAnsi="Times New Roman" w:cs="Times New Roman"/>
          <w:b/>
          <w:bCs/>
          <w:lang w:val="es-CO"/>
        </w:rPr>
        <w:t xml:space="preserve">omite erradamente que según la </w:t>
      </w:r>
      <w:r w:rsidRPr="001A15EE">
        <w:rPr>
          <w:rFonts w:ascii="Times New Roman" w:hAnsi="Times New Roman" w:cs="Times New Roman"/>
          <w:b/>
          <w:bCs/>
          <w:lang w:val="es-CO"/>
        </w:rPr>
        <w:t xml:space="preserve">legislación colombiana la regla general de perfeccionamiento de los contratos es la consensualidad, y más cuando se trata de contratos entre comerciantes, </w:t>
      </w:r>
      <w:r w:rsidRPr="001A15EE">
        <w:rPr>
          <w:rFonts w:ascii="Times New Roman" w:hAnsi="Times New Roman" w:cs="Times New Roman"/>
          <w:bCs/>
          <w:lang w:val="es-CO"/>
        </w:rPr>
        <w:t xml:space="preserve">como en este caso, </w:t>
      </w:r>
      <w:r w:rsidRPr="001A15EE">
        <w:rPr>
          <w:rFonts w:ascii="Times New Roman" w:hAnsi="Times New Roman" w:cs="Times New Roman"/>
          <w:b/>
          <w:bCs/>
          <w:lang w:val="es-CO"/>
        </w:rPr>
        <w:t>porque así lo establecen expresamente los artículos 824 del Código de Comercio y 1500 y 1502 del Código Civil.</w:t>
      </w:r>
    </w:p>
    <w:p w14:paraId="4CE0D401"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683210B7" w14:textId="77777777" w:rsidR="001A15EE" w:rsidRPr="001A15EE" w:rsidRDefault="001A15EE" w:rsidP="001A15EE">
      <w:pPr>
        <w:widowControl w:val="0"/>
        <w:spacing w:after="0" w:line="240" w:lineRule="auto"/>
        <w:jc w:val="both"/>
        <w:rPr>
          <w:rFonts w:ascii="Times New Roman" w:hAnsi="Times New Roman" w:cs="Times New Roman"/>
          <w:bCs/>
          <w:i/>
          <w:lang w:val="es-CO"/>
        </w:rPr>
      </w:pPr>
      <w:r w:rsidRPr="001A15EE">
        <w:rPr>
          <w:rFonts w:ascii="Times New Roman" w:hAnsi="Times New Roman" w:cs="Times New Roman"/>
          <w:bCs/>
          <w:lang w:val="es-CO"/>
        </w:rPr>
        <w:t xml:space="preserve"> Entonces, la circunstancia de que el “otrosí” no esté firmado, no implica que no tenga lo que la jueza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erradamente denomina “</w:t>
      </w:r>
      <w:r w:rsidRPr="001A15EE">
        <w:rPr>
          <w:rFonts w:ascii="Times New Roman" w:hAnsi="Times New Roman" w:cs="Times New Roman"/>
          <w:bCs/>
          <w:i/>
          <w:lang w:val="es-CO"/>
        </w:rPr>
        <w:t>vocación de producir efecto legal alguno”.</w:t>
      </w:r>
    </w:p>
    <w:p w14:paraId="63B81AF7" w14:textId="77777777" w:rsidR="001A15EE" w:rsidRPr="001A15EE" w:rsidRDefault="001A15EE" w:rsidP="001A15EE">
      <w:pPr>
        <w:widowControl w:val="0"/>
        <w:spacing w:after="0" w:line="240" w:lineRule="auto"/>
        <w:jc w:val="both"/>
        <w:rPr>
          <w:rFonts w:ascii="Times New Roman" w:hAnsi="Times New Roman" w:cs="Times New Roman"/>
          <w:b/>
          <w:bCs/>
          <w:i/>
          <w:lang w:val="es-CO"/>
        </w:rPr>
      </w:pPr>
    </w:p>
    <w:p w14:paraId="28EF517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f).</w:t>
      </w:r>
      <w:r w:rsidRPr="001A15EE">
        <w:rPr>
          <w:rFonts w:ascii="Times New Roman" w:hAnsi="Times New Roman" w:cs="Times New Roman"/>
          <w:bCs/>
          <w:lang w:val="es-CO"/>
        </w:rPr>
        <w:t xml:space="preserve"> La primera instancia simplemente se negó a valorar la prueba documental aportada por el demandante, se limita a calificarla como </w:t>
      </w:r>
      <w:r w:rsidRPr="001A15EE">
        <w:rPr>
          <w:rFonts w:ascii="Times New Roman" w:hAnsi="Times New Roman" w:cs="Times New Roman"/>
          <w:bCs/>
          <w:i/>
          <w:lang w:val="es-CO"/>
        </w:rPr>
        <w:t>"abundante’’</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842).</w:t>
      </w:r>
    </w:p>
    <w:p w14:paraId="0014427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44727C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g).</w:t>
      </w:r>
      <w:r w:rsidRPr="001A15EE">
        <w:rPr>
          <w:rFonts w:ascii="Times New Roman" w:hAnsi="Times New Roman" w:cs="Times New Roman"/>
          <w:bCs/>
          <w:lang w:val="es-CO"/>
        </w:rPr>
        <w:t xml:space="preserve"> En relación con el audio que aportó el actor, omitió la sentencia apelada que precisamente demuestra que fue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la que introdujo cambios intempestivos en el contrato que luego no quiso reconocer, amén de que incurre en una notoria contradicción porque, aunque la sentencia reconoce que “</w:t>
      </w:r>
      <w:r w:rsidRPr="001A15EE">
        <w:rPr>
          <w:rFonts w:ascii="Times New Roman" w:hAnsi="Times New Roman" w:cs="Times New Roman"/>
          <w:bCs/>
          <w:i/>
          <w:lang w:val="es-CO"/>
        </w:rPr>
        <w:t xml:space="preserve">convienen efectuar un pago, pero este nunca se dio”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842), </w:t>
      </w:r>
      <w:r w:rsidRPr="001A15EE">
        <w:rPr>
          <w:rFonts w:ascii="Times New Roman" w:hAnsi="Times New Roman" w:cs="Times New Roman"/>
          <w:b/>
          <w:bCs/>
          <w:lang w:val="es-CO"/>
        </w:rPr>
        <w:t>lo que precisamente prueba, una vez más, es el incumplimiento de la demandada que originó las vicisitudes que tuvo la obra</w:t>
      </w:r>
      <w:r w:rsidRPr="001A15EE">
        <w:rPr>
          <w:rFonts w:ascii="Times New Roman" w:hAnsi="Times New Roman" w:cs="Times New Roman"/>
          <w:bCs/>
          <w:lang w:val="es-CO"/>
        </w:rPr>
        <w:t xml:space="preserve">, mas no el incumplimiento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w:t>
      </w:r>
    </w:p>
    <w:p w14:paraId="58CDAE8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5AD18C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5.2.</w:t>
      </w:r>
      <w:r w:rsidRPr="001A15EE">
        <w:rPr>
          <w:rFonts w:ascii="Times New Roman" w:hAnsi="Times New Roman" w:cs="Times New Roman"/>
          <w:bCs/>
          <w:lang w:val="es-CO"/>
        </w:rPr>
        <w:t xml:space="preserve"> Por su parte,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censuró el fallo porque no se pronunció sobre sus excepciones de mérito; además, por cuanto “si se tuvo como incumplido a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w:t>
      </w:r>
      <w:r w:rsidRPr="001A15EE">
        <w:rPr>
          <w:rFonts w:ascii="Times New Roman" w:hAnsi="Times New Roman" w:cs="Times New Roman"/>
          <w:bCs/>
          <w:lang w:val="es-CO"/>
        </w:rPr>
        <w:t xml:space="preserve">que ejecutó la obra ¿por qué se tuvo por incumplido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que se abstuvo de pagar, debido al incumplimiento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Con otras palabras, sostuvo que quedó en “tablas” la actuación procesal, sin que el fallo explicara en qué consistió su desatención. </w:t>
      </w:r>
    </w:p>
    <w:p w14:paraId="3C9B884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5C879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Añadió que hubo un indebido análisis del contrato civil de obra, en punto a las obligaciones de resultado a cargo de su opositor y que si se consideró incumplido a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debió entonces condenársele al pago de la cláusula penal, cuyo silencio pide en esta instancia superar (</w:t>
      </w:r>
      <w:proofErr w:type="spellStart"/>
      <w:r w:rsidRPr="001A15EE">
        <w:rPr>
          <w:rFonts w:ascii="Times New Roman" w:hAnsi="Times New Roman" w:cs="Times New Roman"/>
          <w:bCs/>
        </w:rPr>
        <w:t>fl</w:t>
      </w:r>
      <w:proofErr w:type="spellEnd"/>
      <w:r w:rsidRPr="001A15EE">
        <w:rPr>
          <w:rFonts w:ascii="Times New Roman" w:hAnsi="Times New Roman" w:cs="Times New Roman"/>
          <w:bCs/>
        </w:rPr>
        <w:t xml:space="preserve">. 849). </w:t>
      </w:r>
    </w:p>
    <w:p w14:paraId="66E8AA5D" w14:textId="77777777" w:rsidR="001A15EE" w:rsidRPr="001A15EE" w:rsidRDefault="001A15EE" w:rsidP="001A15EE">
      <w:pPr>
        <w:widowControl w:val="0"/>
        <w:spacing w:after="0" w:line="240" w:lineRule="auto"/>
        <w:rPr>
          <w:rFonts w:ascii="Times New Roman" w:hAnsi="Times New Roman" w:cs="Times New Roman"/>
          <w:bCs/>
          <w:lang w:val="es-CO"/>
        </w:rPr>
      </w:pPr>
    </w:p>
    <w:p w14:paraId="06DC8D5A" w14:textId="77777777" w:rsidR="001A15EE" w:rsidRPr="001A15EE" w:rsidRDefault="001A15EE" w:rsidP="001A15EE">
      <w:pPr>
        <w:widowControl w:val="0"/>
        <w:spacing w:after="0" w:line="240" w:lineRule="auto"/>
        <w:jc w:val="center"/>
        <w:rPr>
          <w:rFonts w:ascii="Times New Roman" w:hAnsi="Times New Roman" w:cs="Times New Roman"/>
          <w:b/>
          <w:bCs/>
        </w:rPr>
      </w:pPr>
      <w:r w:rsidRPr="001A15EE">
        <w:rPr>
          <w:rFonts w:ascii="Times New Roman" w:hAnsi="Times New Roman" w:cs="Times New Roman"/>
          <w:b/>
          <w:bCs/>
        </w:rPr>
        <w:t>CONSIDERACIONES</w:t>
      </w:r>
    </w:p>
    <w:p w14:paraId="562767D2" w14:textId="77777777" w:rsidR="001A15EE" w:rsidRPr="001A15EE" w:rsidRDefault="001A15EE" w:rsidP="001A15EE">
      <w:pPr>
        <w:widowControl w:val="0"/>
        <w:spacing w:after="0" w:line="240" w:lineRule="auto"/>
        <w:rPr>
          <w:rFonts w:ascii="Times New Roman" w:hAnsi="Times New Roman" w:cs="Times New Roman"/>
          <w:bCs/>
        </w:rPr>
      </w:pPr>
    </w:p>
    <w:p w14:paraId="40C6D0FC"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ab/>
        <w:t xml:space="preserve">La Sala encuentra que la actuación se desarrolló normalmente, no hay causal de nulidad que se tenga que declarar, se hallan presentes los presupuestos procesales y este tribunal es competente para decidir el recurso de apelación en los términos y con las limitaciones que establece el artículo 328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y la jurisprudencia de la Sala de Casación Civil de la Corte Suprema de Justicia</w:t>
      </w:r>
      <w:r w:rsidRPr="001A15EE">
        <w:rPr>
          <w:rFonts w:ascii="Times New Roman" w:hAnsi="Times New Roman" w:cs="Times New Roman"/>
          <w:bCs/>
          <w:vertAlign w:val="superscript"/>
        </w:rPr>
        <w:footnoteReference w:id="21"/>
      </w:r>
      <w:r w:rsidRPr="001A15EE">
        <w:rPr>
          <w:rFonts w:ascii="Times New Roman" w:hAnsi="Times New Roman" w:cs="Times New Roman"/>
          <w:bCs/>
        </w:rPr>
        <w:t>.</w:t>
      </w:r>
    </w:p>
    <w:p w14:paraId="264C2A64" w14:textId="77777777" w:rsidR="001A15EE" w:rsidRPr="001A15EE" w:rsidRDefault="001A15EE" w:rsidP="001A15EE">
      <w:pPr>
        <w:widowControl w:val="0"/>
        <w:spacing w:after="0" w:line="240" w:lineRule="auto"/>
        <w:jc w:val="both"/>
        <w:rPr>
          <w:rFonts w:ascii="Times New Roman" w:hAnsi="Times New Roman" w:cs="Times New Roman"/>
          <w:bCs/>
        </w:rPr>
      </w:pPr>
    </w:p>
    <w:p w14:paraId="530305C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rPr>
        <w:lastRenderedPageBreak/>
        <w:tab/>
      </w:r>
      <w:r w:rsidRPr="001A15EE">
        <w:rPr>
          <w:rFonts w:ascii="Times New Roman" w:hAnsi="Times New Roman" w:cs="Times New Roman"/>
          <w:bCs/>
        </w:rPr>
        <w:tab/>
      </w:r>
      <w:r w:rsidRPr="001A15EE">
        <w:rPr>
          <w:rFonts w:ascii="Times New Roman" w:hAnsi="Times New Roman" w:cs="Times New Roman"/>
          <w:bCs/>
          <w:lang w:val="es-CO"/>
        </w:rPr>
        <w:t xml:space="preserve">El problema jurídico consiste en establecer si los aquí litigantes, con sus demandas (principal y de reconvención), lograron demostrar los elementos de la responsabilidad contractual, a saber: (a) la existencia del convenio de obra y su otrosí –perfilados cada uno por los derechos y obligaciones que habrían adquirido y contraído las partes-; (b) el incumplimiento del respectivo deber de prestación por parte del obligado y, parejamente, la atención cabal y oportuna de los que le correspondían a la demandante; (c) el daño que se le habría generado por efecto de la infracción contractual; (d) la culpa del deudor, por lo general presumida en estas materias contractuales, tanto más si existe mora y, claro está, (e) la relación de causalidad entre el daño y la culpa, como lo ha puntualizado la jurisprudencia de la Corte Suprema de Justicia en varios pronunciamientos (CSJ, sentencias. de 9 de marzo de 2001,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5659; 27 de julio de 2007,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2001-00718-01, y 3 de agosto de 2012,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2003-00526-01). </w:t>
      </w:r>
    </w:p>
    <w:p w14:paraId="3602BAF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1CBEE6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La respuesta para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es afirmativa, con alcance parcial, y para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negativa, por lo siguiente:</w:t>
      </w:r>
    </w:p>
    <w:p w14:paraId="27868AC4" w14:textId="77777777" w:rsidR="001A15EE" w:rsidRPr="001A15EE" w:rsidRDefault="001A15EE" w:rsidP="001A15EE">
      <w:pPr>
        <w:widowControl w:val="0"/>
        <w:spacing w:after="0" w:line="240" w:lineRule="auto"/>
        <w:rPr>
          <w:rFonts w:ascii="Times New Roman" w:hAnsi="Times New Roman" w:cs="Times New Roman"/>
          <w:bCs/>
          <w:lang w:val="es-CO"/>
        </w:rPr>
      </w:pPr>
    </w:p>
    <w:p w14:paraId="6F863966" w14:textId="77777777" w:rsidR="001A15EE" w:rsidRPr="001A15EE" w:rsidRDefault="001A15EE" w:rsidP="001A15EE">
      <w:pPr>
        <w:widowControl w:val="0"/>
        <w:numPr>
          <w:ilvl w:val="0"/>
          <w:numId w:val="25"/>
        </w:numPr>
        <w:spacing w:after="0" w:line="240" w:lineRule="auto"/>
        <w:rPr>
          <w:rFonts w:ascii="Times New Roman" w:hAnsi="Times New Roman" w:cs="Times New Roman"/>
          <w:b/>
          <w:bCs/>
          <w:lang w:val="es-CO"/>
        </w:rPr>
      </w:pPr>
      <w:r w:rsidRPr="001A15EE">
        <w:rPr>
          <w:rFonts w:ascii="Times New Roman" w:hAnsi="Times New Roman" w:cs="Times New Roman"/>
          <w:b/>
          <w:bCs/>
          <w:lang w:val="es-CO"/>
        </w:rPr>
        <w:t xml:space="preserve">De la apelación de </w:t>
      </w:r>
      <w:proofErr w:type="spellStart"/>
      <w:r w:rsidRPr="001A15EE">
        <w:rPr>
          <w:rFonts w:ascii="Times New Roman" w:hAnsi="Times New Roman" w:cs="Times New Roman"/>
          <w:b/>
          <w:bCs/>
          <w:lang w:val="es-CO"/>
        </w:rPr>
        <w:t>Aga</w:t>
      </w:r>
      <w:proofErr w:type="spellEnd"/>
      <w:r w:rsidRPr="001A15EE">
        <w:rPr>
          <w:rFonts w:ascii="Times New Roman" w:hAnsi="Times New Roman" w:cs="Times New Roman"/>
          <w:b/>
          <w:bCs/>
          <w:lang w:val="es-CO"/>
        </w:rPr>
        <w:t xml:space="preserve"> (demandante principal).</w:t>
      </w:r>
    </w:p>
    <w:p w14:paraId="0B54E0BD" w14:textId="77777777" w:rsidR="001A15EE" w:rsidRPr="001A15EE" w:rsidRDefault="001A15EE" w:rsidP="001A15EE">
      <w:pPr>
        <w:widowControl w:val="0"/>
        <w:spacing w:after="0" w:line="240" w:lineRule="auto"/>
        <w:rPr>
          <w:rFonts w:ascii="Times New Roman" w:hAnsi="Times New Roman" w:cs="Times New Roman"/>
          <w:bCs/>
          <w:lang w:val="es-CO"/>
        </w:rPr>
      </w:pPr>
    </w:p>
    <w:p w14:paraId="523E6EAD"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
          <w:bCs/>
          <w:lang w:val="es-CO"/>
        </w:rPr>
        <w:tab/>
        <w:t>(i) De la demostración de las actividades adicionales plasmadas en el borrador de “otrosí”.</w:t>
      </w:r>
    </w:p>
    <w:p w14:paraId="4028CFA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 </w:t>
      </w:r>
      <w:r w:rsidRPr="001A15EE">
        <w:rPr>
          <w:rFonts w:ascii="Times New Roman" w:hAnsi="Times New Roman" w:cs="Times New Roman"/>
          <w:bCs/>
          <w:lang w:val="es-CO"/>
        </w:rPr>
        <w:tab/>
      </w:r>
      <w:r w:rsidRPr="001A15EE">
        <w:rPr>
          <w:rFonts w:ascii="Times New Roman" w:hAnsi="Times New Roman" w:cs="Times New Roman"/>
          <w:bCs/>
          <w:lang w:val="es-CO"/>
        </w:rPr>
        <w:tab/>
      </w:r>
    </w:p>
    <w:p w14:paraId="78B2BCE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El negocio primigenio, es un contrato civil de obra, llave en mano, ajustado entre las partes el 18 de julio de 2017 para el “diseño y construcción de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center</w:t>
      </w:r>
      <w:r w:rsidRPr="001A15EE">
        <w:rPr>
          <w:rFonts w:ascii="Times New Roman" w:hAnsi="Times New Roman" w:cs="Times New Roman"/>
          <w:bCs/>
          <w:lang w:val="es-CO"/>
        </w:rPr>
        <w:t xml:space="preserve">” </w:t>
      </w:r>
      <w:r w:rsidRPr="001A15EE">
        <w:rPr>
          <w:rFonts w:ascii="Times New Roman" w:hAnsi="Times New Roman" w:cs="Times New Roman"/>
          <w:bCs/>
          <w:i/>
          <w:lang w:val="es-CO"/>
        </w:rPr>
        <w:t>“por el sistema de precios global fijo”</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2-11), respecto del cual las partes no discutieron su celebración.</w:t>
      </w:r>
    </w:p>
    <w:p w14:paraId="7C05496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1DDAE7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Como se desprende del escrito de reforma al libelo, el negocio jurídico </w:t>
      </w:r>
      <w:r w:rsidRPr="001A15EE">
        <w:rPr>
          <w:rFonts w:ascii="Times New Roman" w:hAnsi="Times New Roman" w:cs="Times New Roman"/>
          <w:b/>
          <w:bCs/>
          <w:lang w:val="es-CO"/>
        </w:rPr>
        <w:t>adicional</w:t>
      </w:r>
      <w:r w:rsidRPr="001A15EE">
        <w:rPr>
          <w:rFonts w:ascii="Times New Roman" w:hAnsi="Times New Roman" w:cs="Times New Roman"/>
          <w:bCs/>
          <w:lang w:val="es-CO"/>
        </w:rPr>
        <w:t xml:space="preserve"> que, según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celebró con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que recogió el “otrosí”, fue incumplido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y de ahí la reparación del daño que reclama. </w:t>
      </w:r>
    </w:p>
    <w:p w14:paraId="607BC28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6E3B70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Aunque en el escrito de subsanación de la demanda,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suprimió la pretensión condenatoria fundada en ese “</w:t>
      </w:r>
      <w:r w:rsidRPr="001A15EE">
        <w:rPr>
          <w:rFonts w:ascii="Times New Roman" w:hAnsi="Times New Roman" w:cs="Times New Roman"/>
          <w:b/>
          <w:bCs/>
          <w:lang w:val="es-CO"/>
        </w:rPr>
        <w:t>otrosí</w:t>
      </w:r>
      <w:r w:rsidRPr="001A15EE">
        <w:rPr>
          <w:rFonts w:ascii="Times New Roman" w:hAnsi="Times New Roman" w:cs="Times New Roman"/>
          <w:bCs/>
          <w:lang w:val="es-CO"/>
        </w:rPr>
        <w:t xml:space="preserve">” que, en su sentir, fue redactado para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el 22 de septiembre de 2017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12 y 13) para ampliar las actividades (por ende, su valor) y el plazo, lo cierto es que en la reforma del libelo de nuevo incluyó ese propósito, sin que en las oportunidades probatorias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haya demostrado la aceptación de esa adición por </w:t>
      </w:r>
      <w:r w:rsidRPr="001A15EE">
        <w:rPr>
          <w:rFonts w:ascii="Times New Roman" w:hAnsi="Times New Roman" w:cs="Times New Roman"/>
          <w:bCs/>
          <w:lang w:val="es-CO"/>
        </w:rPr>
        <w:t xml:space="preserve">parte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68F046A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4D4463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Como primera medida, debe decirse que según la cláusula 7ª del contrato de obra, las partes acordaron que para la realización de “</w:t>
      </w:r>
      <w:r w:rsidRPr="001A15EE">
        <w:rPr>
          <w:rFonts w:ascii="Times New Roman" w:hAnsi="Times New Roman" w:cs="Times New Roman"/>
          <w:b/>
          <w:bCs/>
          <w:u w:val="single"/>
          <w:lang w:val="es-CO"/>
        </w:rPr>
        <w:t>obras adicionales</w:t>
      </w:r>
      <w:r w:rsidRPr="001A15EE">
        <w:rPr>
          <w:rFonts w:ascii="Times New Roman" w:hAnsi="Times New Roman" w:cs="Times New Roman"/>
          <w:b/>
          <w:bCs/>
          <w:lang w:val="es-CO"/>
        </w:rPr>
        <w:t xml:space="preserve"> y complementarias</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no podrá iniciar</w:t>
      </w:r>
      <w:r w:rsidRPr="001A15EE">
        <w:rPr>
          <w:rFonts w:ascii="Times New Roman" w:hAnsi="Times New Roman" w:cs="Times New Roman"/>
          <w:bCs/>
          <w:lang w:val="es-CO"/>
        </w:rPr>
        <w:t>” su “</w:t>
      </w:r>
      <w:r w:rsidRPr="001A15EE">
        <w:rPr>
          <w:rFonts w:ascii="Times New Roman" w:hAnsi="Times New Roman" w:cs="Times New Roman"/>
          <w:b/>
          <w:bCs/>
          <w:lang w:val="es-CO"/>
        </w:rPr>
        <w:t>ejecución… hasta que</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le informe por escrito</w:t>
      </w:r>
      <w:r w:rsidRPr="001A15EE">
        <w:rPr>
          <w:rFonts w:ascii="Times New Roman" w:hAnsi="Times New Roman" w:cs="Times New Roman"/>
          <w:b/>
          <w:bCs/>
          <w:lang w:val="es-CO"/>
        </w:rPr>
        <w:t xml:space="preserve"> que el respectivo análisis de precios unitarios presentado</w:t>
      </w:r>
      <w:r w:rsidRPr="001A15EE">
        <w:rPr>
          <w:rFonts w:ascii="Times New Roman" w:hAnsi="Times New Roman" w:cs="Times New Roman"/>
          <w:bCs/>
          <w:lang w:val="es-CO"/>
        </w:rPr>
        <w:t xml:space="preserve">” por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ha sido aprobado</w:t>
      </w:r>
      <w:r w:rsidRPr="001A15EE">
        <w:rPr>
          <w:rFonts w:ascii="Times New Roman" w:hAnsi="Times New Roman" w:cs="Times New Roman"/>
          <w:bCs/>
          <w:lang w:val="es-CO"/>
        </w:rPr>
        <w:t>”, sin que pueda pasarse por alto esa solemnidad convencional, conforme lo regula el artículo 824 del C. de Co.</w:t>
      </w:r>
    </w:p>
    <w:p w14:paraId="3E96B75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704A57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Con abstracción de lo anterior, lo cierto es que la demandante no demostró que la voluntad de su opositora fue la de pagar otros 70.000 dólares ($</w:t>
      </w:r>
      <w:proofErr w:type="spellStart"/>
      <w:r w:rsidRPr="001A15EE">
        <w:rPr>
          <w:rFonts w:ascii="Times New Roman" w:hAnsi="Times New Roman" w:cs="Times New Roman"/>
          <w:bCs/>
          <w:lang w:val="es-CO"/>
        </w:rPr>
        <w:t>210’000.000,oo</w:t>
      </w:r>
      <w:proofErr w:type="spellEnd"/>
      <w:r w:rsidRPr="001A15EE">
        <w:rPr>
          <w:rFonts w:ascii="Times New Roman" w:hAnsi="Times New Roman" w:cs="Times New Roman"/>
          <w:bCs/>
          <w:lang w:val="es-CO"/>
        </w:rPr>
        <w:t xml:space="preserve"> en aquél entonces) por las </w:t>
      </w:r>
      <w:r w:rsidRPr="001A15EE">
        <w:rPr>
          <w:rFonts w:ascii="Times New Roman" w:hAnsi="Times New Roman" w:cs="Times New Roman"/>
          <w:b/>
          <w:bCs/>
          <w:u w:val="single"/>
          <w:lang w:val="es-CO"/>
        </w:rPr>
        <w:t>actividades adicionales</w:t>
      </w:r>
      <w:r w:rsidRPr="001A15EE">
        <w:rPr>
          <w:rFonts w:ascii="Times New Roman" w:hAnsi="Times New Roman" w:cs="Times New Roman"/>
          <w:bCs/>
          <w:lang w:val="es-CO"/>
        </w:rPr>
        <w:t xml:space="preserve"> (23 estaciones más con dimensiones distintas a la iniciales), según afirmó el representante legal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en su interrogatorio (min. 49:15, </w:t>
      </w:r>
      <w:proofErr w:type="spellStart"/>
      <w:r w:rsidRPr="001A15EE">
        <w:rPr>
          <w:rFonts w:ascii="Times New Roman" w:hAnsi="Times New Roman" w:cs="Times New Roman"/>
          <w:bCs/>
          <w:lang w:val="es-CO"/>
        </w:rPr>
        <w:t>aud</w:t>
      </w:r>
      <w:proofErr w:type="spellEnd"/>
      <w:r w:rsidRPr="001A15EE">
        <w:rPr>
          <w:rFonts w:ascii="Times New Roman" w:hAnsi="Times New Roman" w:cs="Times New Roman"/>
          <w:bCs/>
          <w:lang w:val="es-CO"/>
        </w:rPr>
        <w:t xml:space="preserve">. 5 de marzo de 2019), pues de la traducción (que con soporte en el artículo 251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dispuso en forma oficiosa la juzgadora de primer grado) de lo conversado en la reunión del 10 de octubre de 2017, no se logra extraer esa puntual intención de las partes (representantes legales -principal y suplente-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señores Mirza </w:t>
      </w:r>
      <w:proofErr w:type="spellStart"/>
      <w:r w:rsidRPr="001A15EE">
        <w:rPr>
          <w:rFonts w:ascii="Times New Roman" w:hAnsi="Times New Roman" w:cs="Times New Roman"/>
          <w:bCs/>
          <w:lang w:val="es-CO"/>
        </w:rPr>
        <w:t>Asif</w:t>
      </w:r>
      <w:proofErr w:type="spellEnd"/>
      <w:r w:rsidRPr="001A15EE">
        <w:rPr>
          <w:rFonts w:ascii="Times New Roman" w:hAnsi="Times New Roman" w:cs="Times New Roman"/>
          <w:bCs/>
          <w:lang w:val="es-CO"/>
        </w:rPr>
        <w:t xml:space="preserve"> Jalil y Inés Harley Bohórquez Corredor, respectivamente).</w:t>
      </w:r>
    </w:p>
    <w:p w14:paraId="484D127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FCAFEB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La anterior deficiencia probatoria en punto al “otrosí”, impide analizar si hubo o no el incumplimiento del respectivo deber de prestación por parte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y, parejamente, la atención cabal y oportuna de los que le correspondían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por lo menos en cuanto a </w:t>
      </w:r>
      <w:r w:rsidRPr="001A15EE">
        <w:rPr>
          <w:rFonts w:ascii="Times New Roman" w:hAnsi="Times New Roman" w:cs="Times New Roman"/>
          <w:b/>
          <w:bCs/>
          <w:lang w:val="es-CO"/>
        </w:rPr>
        <w:t>actividades adicionales</w:t>
      </w:r>
      <w:r w:rsidRPr="001A15EE">
        <w:rPr>
          <w:rFonts w:ascii="Times New Roman" w:hAnsi="Times New Roman" w:cs="Times New Roman"/>
          <w:bCs/>
          <w:lang w:val="es-CO"/>
        </w:rPr>
        <w:t xml:space="preserve"> se refiere. </w:t>
      </w:r>
    </w:p>
    <w:p w14:paraId="399B240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FC2D19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En consecuencia, se impone confirmar la decisión de la juzgadora de primera instancia, respecto de la pretensión tendiente a declarar la existencia de obligaciones del “otrosí” de 22 de septiembre de 2017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703).</w:t>
      </w:r>
    </w:p>
    <w:p w14:paraId="3FEEDFD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A0E73C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w:t>
      </w:r>
      <w:proofErr w:type="spellStart"/>
      <w:r w:rsidRPr="001A15EE">
        <w:rPr>
          <w:rFonts w:ascii="Times New Roman" w:hAnsi="Times New Roman" w:cs="Times New Roman"/>
          <w:b/>
          <w:bCs/>
          <w:lang w:val="es-CO"/>
        </w:rPr>
        <w:t>ii</w:t>
      </w:r>
      <w:proofErr w:type="spellEnd"/>
      <w:r w:rsidRPr="001A15EE">
        <w:rPr>
          <w:rFonts w:ascii="Times New Roman" w:hAnsi="Times New Roman" w:cs="Times New Roman"/>
          <w:b/>
          <w:bCs/>
          <w:lang w:val="es-CO"/>
        </w:rPr>
        <w:t xml:space="preserve">) </w:t>
      </w:r>
      <w:r w:rsidRPr="001A15EE">
        <w:rPr>
          <w:rFonts w:ascii="Times New Roman" w:hAnsi="Times New Roman" w:cs="Times New Roman"/>
          <w:bCs/>
          <w:lang w:val="es-CO"/>
        </w:rPr>
        <w:t xml:space="preserve">No ocurre lo mismo en lo atinente al </w:t>
      </w:r>
      <w:r w:rsidRPr="001A15EE">
        <w:rPr>
          <w:rFonts w:ascii="Times New Roman" w:hAnsi="Times New Roman" w:cs="Times New Roman"/>
          <w:b/>
          <w:bCs/>
          <w:lang w:val="es-CO"/>
        </w:rPr>
        <w:t xml:space="preserve">contrato de obra </w:t>
      </w:r>
      <w:r w:rsidRPr="001A15EE">
        <w:rPr>
          <w:rFonts w:ascii="Times New Roman" w:hAnsi="Times New Roman" w:cs="Times New Roman"/>
          <w:bCs/>
          <w:lang w:val="es-CO"/>
        </w:rPr>
        <w:t xml:space="preserve">de 18 de julio de 2017 que las partes firmaron y que asintieron en forma pacífica en su existencia en el devenir procesal (hecho 4° de la demanda reformada y su contestación;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701 y 709), negocio jurídico respecto del cual han de hacerse las siguientes precisiones:</w:t>
      </w:r>
    </w:p>
    <w:p w14:paraId="277D75D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31F52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En la etapa precontractual, el 30 de junio de 2017 las partes acordaron cuáles serían las actividades de “diseño” y “construcción” a realizar en el piso 6° de la Autopista Norte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97-50 de Bogotá, entre las </w:t>
      </w:r>
      <w:r w:rsidRPr="001A15EE">
        <w:rPr>
          <w:rFonts w:ascii="Times New Roman" w:hAnsi="Times New Roman" w:cs="Times New Roman"/>
          <w:bCs/>
          <w:lang w:val="es-CO"/>
        </w:rPr>
        <w:lastRenderedPageBreak/>
        <w:t>que se destacan: “preliminares”, “</w:t>
      </w:r>
      <w:r w:rsidRPr="001A15EE">
        <w:rPr>
          <w:rFonts w:ascii="Times New Roman" w:hAnsi="Times New Roman" w:cs="Times New Roman"/>
          <w:b/>
          <w:bCs/>
          <w:u w:val="single"/>
          <w:lang w:val="es-CO"/>
        </w:rPr>
        <w:t>piso</w:t>
      </w:r>
      <w:r w:rsidRPr="001A15EE">
        <w:rPr>
          <w:rFonts w:ascii="Times New Roman" w:hAnsi="Times New Roman" w:cs="Times New Roman"/>
          <w:bCs/>
          <w:lang w:val="es-CO"/>
        </w:rPr>
        <w:t xml:space="preserve">”, “mampostería y pañetes”, “muros en </w:t>
      </w:r>
      <w:proofErr w:type="spellStart"/>
      <w:r w:rsidRPr="001A15EE">
        <w:rPr>
          <w:rFonts w:ascii="Times New Roman" w:hAnsi="Times New Roman" w:cs="Times New Roman"/>
          <w:bCs/>
          <w:i/>
          <w:lang w:val="es-CO"/>
        </w:rPr>
        <w:t>drywall</w:t>
      </w:r>
      <w:proofErr w:type="spellEnd"/>
      <w:r w:rsidRPr="001A15EE">
        <w:rPr>
          <w:rFonts w:ascii="Times New Roman" w:hAnsi="Times New Roman" w:cs="Times New Roman"/>
          <w:bCs/>
          <w:lang w:val="es-CO"/>
        </w:rPr>
        <w:t>”, “acabados de pared y piso”, “</w:t>
      </w:r>
      <w:r w:rsidRPr="001A15EE">
        <w:rPr>
          <w:rFonts w:ascii="Times New Roman" w:hAnsi="Times New Roman" w:cs="Times New Roman"/>
          <w:b/>
          <w:bCs/>
          <w:lang w:val="es-CO"/>
        </w:rPr>
        <w:t>instalaciones</w:t>
      </w:r>
      <w:r w:rsidRPr="001A15EE">
        <w:rPr>
          <w:rFonts w:ascii="Times New Roman" w:hAnsi="Times New Roman" w:cs="Times New Roman"/>
          <w:bCs/>
          <w:lang w:val="es-CO"/>
        </w:rPr>
        <w:t xml:space="preserve"> hidrosanitarias” y “</w:t>
      </w:r>
      <w:r w:rsidRPr="001A15EE">
        <w:rPr>
          <w:rFonts w:ascii="Times New Roman" w:hAnsi="Times New Roman" w:cs="Times New Roman"/>
          <w:b/>
          <w:bCs/>
          <w:lang w:val="es-CO"/>
        </w:rPr>
        <w:t>eléctricas</w:t>
      </w:r>
      <w:r w:rsidRPr="001A15EE">
        <w:rPr>
          <w:rFonts w:ascii="Times New Roman" w:hAnsi="Times New Roman" w:cs="Times New Roman"/>
          <w:bCs/>
          <w:lang w:val="es-CO"/>
        </w:rPr>
        <w:t>”</w:t>
      </w:r>
      <w:r w:rsidRPr="001A15EE">
        <w:rPr>
          <w:rFonts w:ascii="Times New Roman" w:hAnsi="Times New Roman" w:cs="Times New Roman"/>
          <w:b/>
          <w:bCs/>
          <w:i/>
          <w:iCs/>
          <w:lang w:val="es-CO"/>
        </w:rPr>
        <w:t>, “</w:t>
      </w:r>
      <w:r w:rsidRPr="001A15EE">
        <w:rPr>
          <w:rFonts w:ascii="Times New Roman" w:hAnsi="Times New Roman" w:cs="Times New Roman"/>
          <w:b/>
          <w:bCs/>
          <w:lang w:val="es-CO"/>
        </w:rPr>
        <w:t>red de cableado estructurado para voz y datos</w:t>
      </w:r>
      <w:r w:rsidRPr="001A15EE">
        <w:rPr>
          <w:rFonts w:ascii="Times New Roman" w:hAnsi="Times New Roman" w:cs="Times New Roman"/>
          <w:bCs/>
          <w:lang w:val="es-CO"/>
        </w:rPr>
        <w:t>”, “carpinterías metálica y de madera”, “vidrios”, “puertas”, “pintura”, “accesorios”, “aire acondicionado”, “electrodomésticos” y “gastos”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57-59,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con miras a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colocara en funcionamiento </w:t>
      </w:r>
      <w:r w:rsidRPr="001A15EE">
        <w:rPr>
          <w:rFonts w:ascii="Times New Roman" w:hAnsi="Times New Roman" w:cs="Times New Roman"/>
          <w:b/>
          <w:bCs/>
          <w:u w:val="single"/>
          <w:lang w:val="es-CO"/>
        </w:rPr>
        <w:t>161 estaciones</w:t>
      </w:r>
      <w:r w:rsidRPr="001A15EE">
        <w:rPr>
          <w:rFonts w:ascii="Times New Roman" w:hAnsi="Times New Roman" w:cs="Times New Roman"/>
          <w:bCs/>
          <w:lang w:val="es-CO"/>
        </w:rPr>
        <w:t xml:space="preserve"> para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center</w:t>
      </w:r>
      <w:r w:rsidRPr="001A15EE">
        <w:rPr>
          <w:rFonts w:ascii="Times New Roman" w:hAnsi="Times New Roman" w:cs="Times New Roman"/>
          <w:bCs/>
          <w:lang w:val="es-CO"/>
        </w:rPr>
        <w:t>, por un valor de $</w:t>
      </w:r>
      <w:proofErr w:type="spellStart"/>
      <w:r w:rsidRPr="001A15EE">
        <w:rPr>
          <w:rFonts w:ascii="Times New Roman" w:hAnsi="Times New Roman" w:cs="Times New Roman"/>
          <w:bCs/>
          <w:lang w:val="es-CO"/>
        </w:rPr>
        <w:t>811’146.000,oo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4 y 59).</w:t>
      </w:r>
    </w:p>
    <w:p w14:paraId="33AB550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EE9D76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De suerte que con miramiento en esa propuesta, fue que las partes acordaron que el objeto del convenio de 18 de julio de 2017, que en principio </w:t>
      </w:r>
      <w:r w:rsidRPr="001A15EE">
        <w:rPr>
          <w:rFonts w:ascii="Times New Roman" w:hAnsi="Times New Roman" w:cs="Times New Roman"/>
          <w:b/>
          <w:bCs/>
          <w:lang w:val="es-CO"/>
        </w:rPr>
        <w:t xml:space="preserve">duraría </w:t>
      </w:r>
      <w:r w:rsidRPr="001A15EE">
        <w:rPr>
          <w:rFonts w:ascii="Times New Roman" w:hAnsi="Times New Roman" w:cs="Times New Roman"/>
          <w:b/>
          <w:bCs/>
          <w:u w:val="single"/>
          <w:lang w:val="es-CO"/>
        </w:rPr>
        <w:t>dos meses</w:t>
      </w:r>
      <w:r w:rsidRPr="001A15EE">
        <w:rPr>
          <w:rFonts w:ascii="Times New Roman" w:hAnsi="Times New Roman" w:cs="Times New Roman"/>
          <w:bCs/>
          <w:lang w:val="es-CO"/>
        </w:rPr>
        <w:t xml:space="preserve"> (cláusula 8ª;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6), sería desarrollar las obligaciones allí definidas (cláusula 1ª;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 para cuyo efecto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también se obligó a “pagar el valor del contrato, de acuerdo con los términos establecidos” allí mismo “establecidos” (literal c) de la cláusula 3ª;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 es decir, que la forma de pago se haría así: </w:t>
      </w:r>
      <w:r w:rsidRPr="001A15EE">
        <w:rPr>
          <w:rFonts w:ascii="Times New Roman" w:hAnsi="Times New Roman" w:cs="Times New Roman"/>
          <w:b/>
          <w:bCs/>
          <w:lang w:val="es-CO"/>
        </w:rPr>
        <w:t>a)</w:t>
      </w:r>
      <w:r w:rsidRPr="001A15EE">
        <w:rPr>
          <w:rFonts w:ascii="Times New Roman" w:hAnsi="Times New Roman" w:cs="Times New Roman"/>
          <w:bCs/>
          <w:lang w:val="es-CO"/>
        </w:rPr>
        <w:t xml:space="preserve"> un anticipo del 50% del valor pactado equivalente a $</w:t>
      </w:r>
      <w:proofErr w:type="spellStart"/>
      <w:r w:rsidRPr="001A15EE">
        <w:rPr>
          <w:rFonts w:ascii="Times New Roman" w:hAnsi="Times New Roman" w:cs="Times New Roman"/>
          <w:bCs/>
          <w:lang w:val="es-CO"/>
        </w:rPr>
        <w:t>405’573.000,oo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b)</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a los 20 días siguientes</w:t>
      </w:r>
      <w:r w:rsidRPr="001A15EE">
        <w:rPr>
          <w:rFonts w:ascii="Times New Roman" w:hAnsi="Times New Roman" w:cs="Times New Roman"/>
          <w:bCs/>
          <w:lang w:val="es-CO"/>
        </w:rPr>
        <w:t xml:space="preserve">; </w:t>
      </w:r>
      <w:r w:rsidRPr="001A15EE">
        <w:rPr>
          <w:rFonts w:ascii="Times New Roman" w:hAnsi="Times New Roman" w:cs="Times New Roman"/>
          <w:b/>
          <w:bCs/>
          <w:lang w:val="es-CO"/>
        </w:rPr>
        <w:t>c)</w:t>
      </w:r>
      <w:r w:rsidRPr="001A15EE">
        <w:rPr>
          <w:rFonts w:ascii="Times New Roman" w:hAnsi="Times New Roman" w:cs="Times New Roman"/>
          <w:bCs/>
          <w:lang w:val="es-CO"/>
        </w:rPr>
        <w:t xml:space="preserve">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162’229.200,oo</w:t>
      </w:r>
      <w:proofErr w:type="spellEnd"/>
      <w:r w:rsidRPr="001A15EE">
        <w:rPr>
          <w:rFonts w:ascii="Times New Roman" w:hAnsi="Times New Roman" w:cs="Times New Roman"/>
          <w:b/>
          <w:bCs/>
          <w:lang w:val="es-CO"/>
        </w:rPr>
        <w:t xml:space="preserve">, </w:t>
      </w:r>
      <w:r w:rsidRPr="001A15EE">
        <w:rPr>
          <w:rFonts w:ascii="Times New Roman" w:hAnsi="Times New Roman" w:cs="Times New Roman"/>
          <w:b/>
          <w:bCs/>
          <w:u w:val="single"/>
          <w:lang w:val="es-CO"/>
        </w:rPr>
        <w:t>transcurridos 40 días de iniciada la obra</w:t>
      </w:r>
      <w:r w:rsidRPr="001A15EE">
        <w:rPr>
          <w:rFonts w:ascii="Times New Roman" w:hAnsi="Times New Roman" w:cs="Times New Roman"/>
          <w:bCs/>
          <w:lang w:val="es-CO"/>
        </w:rPr>
        <w:t>, y d</w:t>
      </w:r>
      <w:r w:rsidRPr="001A15EE">
        <w:rPr>
          <w:rFonts w:ascii="Times New Roman" w:hAnsi="Times New Roman" w:cs="Times New Roman"/>
          <w:bCs/>
          <w:i/>
          <w:lang w:val="es-CO"/>
        </w:rPr>
        <w:t xml:space="preserve">)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81’114.600,oo</w:t>
      </w:r>
      <w:proofErr w:type="spellEnd"/>
      <w:r w:rsidRPr="001A15EE">
        <w:rPr>
          <w:rFonts w:ascii="Times New Roman" w:hAnsi="Times New Roman" w:cs="Times New Roman"/>
          <w:bCs/>
          <w:lang w:val="es-CO"/>
        </w:rPr>
        <w:t>, contra entrega.</w:t>
      </w:r>
    </w:p>
    <w:p w14:paraId="7BF9F09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E8FF76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Las partes son contestes en señalar que únicamente los dos primeros pagos fueron los realizados ($</w:t>
      </w:r>
      <w:proofErr w:type="spellStart"/>
      <w:r w:rsidRPr="001A15EE">
        <w:rPr>
          <w:rFonts w:ascii="Times New Roman" w:hAnsi="Times New Roman" w:cs="Times New Roman"/>
          <w:bCs/>
          <w:lang w:val="es-CO"/>
        </w:rPr>
        <w:t>567’802.200,oo</w:t>
      </w:r>
      <w:proofErr w:type="spellEnd"/>
      <w:r w:rsidRPr="001A15EE">
        <w:rPr>
          <w:rFonts w:ascii="Times New Roman" w:hAnsi="Times New Roman" w:cs="Times New Roman"/>
          <w:bCs/>
          <w:lang w:val="es-CO"/>
        </w:rPr>
        <w:t>), previo descuento de los deducibles acordados por costos financieros en el parágrafo 2° de la cláusula 6ª del convenio ($</w:t>
      </w:r>
      <w:proofErr w:type="spellStart"/>
      <w:r w:rsidRPr="001A15EE">
        <w:rPr>
          <w:rFonts w:ascii="Times New Roman" w:hAnsi="Times New Roman" w:cs="Times New Roman"/>
          <w:bCs/>
          <w:lang w:val="es-CO"/>
        </w:rPr>
        <w:t>565’566.237,oo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709), por lo que lo dejado de pagar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fueron los dos últimos pagos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y</w:t>
      </w:r>
      <w:r w:rsidRPr="001A15EE">
        <w:rPr>
          <w:rFonts w:ascii="Times New Roman" w:hAnsi="Times New Roman" w:cs="Times New Roman"/>
          <w:b/>
          <w:bCs/>
          <w:lang w:val="es-CO"/>
        </w:rPr>
        <w:t xml:space="preserve">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81’114.600,oo</w:t>
      </w:r>
      <w:proofErr w:type="spellEnd"/>
      <w:r w:rsidRPr="001A15EE">
        <w:rPr>
          <w:rFonts w:ascii="Times New Roman" w:hAnsi="Times New Roman" w:cs="Times New Roman"/>
          <w:bCs/>
          <w:lang w:val="es-CO"/>
        </w:rPr>
        <w:t xml:space="preserve">) que suman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243’343.800,oo</w:t>
      </w:r>
      <w:proofErr w:type="spellEnd"/>
      <w:r w:rsidRPr="001A15EE">
        <w:rPr>
          <w:rFonts w:ascii="Times New Roman" w:hAnsi="Times New Roman" w:cs="Times New Roman"/>
          <w:bCs/>
          <w:lang w:val="es-CO"/>
        </w:rPr>
        <w:t>.</w:t>
      </w:r>
    </w:p>
    <w:p w14:paraId="3413BBF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41F6C8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
          <w:bCs/>
          <w:lang w:val="es-CO"/>
        </w:rPr>
        <w:tab/>
      </w:r>
      <w:r w:rsidRPr="001A15EE">
        <w:rPr>
          <w:rFonts w:ascii="Times New Roman" w:hAnsi="Times New Roman" w:cs="Times New Roman"/>
          <w:bCs/>
          <w:lang w:val="es-CO"/>
        </w:rPr>
        <w:t>Dilucidado lo anterior, corresponde analizar, en el plano de las obligaciones, quién fue el que primero incumplió.</w:t>
      </w:r>
    </w:p>
    <w:p w14:paraId="7493DA9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736122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al aceptar el hecho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6 del libelo reformado, tuvo por cierto que el </w:t>
      </w:r>
      <w:r w:rsidRPr="001A15EE">
        <w:rPr>
          <w:rFonts w:ascii="Times New Roman" w:hAnsi="Times New Roman" w:cs="Times New Roman"/>
          <w:b/>
          <w:bCs/>
          <w:lang w:val="es-CO"/>
        </w:rPr>
        <w:t>26 de julio de 2017</w:t>
      </w:r>
      <w:r w:rsidRPr="001A15EE">
        <w:rPr>
          <w:rFonts w:ascii="Times New Roman" w:hAnsi="Times New Roman" w:cs="Times New Roman"/>
          <w:bCs/>
          <w:lang w:val="es-CO"/>
        </w:rPr>
        <w:t xml:space="preserve"> su opositor comenzó la “obra…, como consta en el acta de inicio”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702), no obstante que aún no había recibido en su cuenta la transferencia del anticipo del 50% por $</w:t>
      </w:r>
      <w:proofErr w:type="spellStart"/>
      <w:r w:rsidRPr="001A15EE">
        <w:rPr>
          <w:rFonts w:ascii="Times New Roman" w:hAnsi="Times New Roman" w:cs="Times New Roman"/>
          <w:bCs/>
          <w:lang w:val="es-CO"/>
        </w:rPr>
        <w:t>405’573.000,oo</w:t>
      </w:r>
      <w:proofErr w:type="spellEnd"/>
      <w:r w:rsidRPr="001A15EE">
        <w:rPr>
          <w:rFonts w:ascii="Times New Roman" w:hAnsi="Times New Roman" w:cs="Times New Roman"/>
          <w:bCs/>
          <w:lang w:val="es-CO"/>
        </w:rPr>
        <w:t>.</w:t>
      </w:r>
    </w:p>
    <w:p w14:paraId="20630B4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2B57E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b) </w:t>
      </w:r>
      <w:r w:rsidRPr="001A15EE">
        <w:rPr>
          <w:rFonts w:ascii="Times New Roman" w:hAnsi="Times New Roman" w:cs="Times New Roman"/>
          <w:bCs/>
          <w:lang w:val="es-CO"/>
        </w:rPr>
        <w:t xml:space="preserve">Si se analizan las pruebas allegadas a la actuación, se tiene que desde el </w:t>
      </w:r>
      <w:r w:rsidRPr="001A15EE">
        <w:rPr>
          <w:rFonts w:ascii="Times New Roman" w:hAnsi="Times New Roman" w:cs="Times New Roman"/>
          <w:b/>
          <w:bCs/>
          <w:lang w:val="es-CO"/>
        </w:rPr>
        <w:t>segundo pago</w:t>
      </w:r>
      <w:r w:rsidRPr="001A15EE">
        <w:rPr>
          <w:rFonts w:ascii="Times New Roman" w:hAnsi="Times New Roman" w:cs="Times New Roman"/>
          <w:bCs/>
          <w:lang w:val="es-CO"/>
        </w:rPr>
        <w:t xml:space="preserve"> al que se comprometió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por valor de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incumplió, pues según la cláusula 6ª del contrato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 debía hacerlo </w:t>
      </w:r>
      <w:r w:rsidRPr="001A15EE">
        <w:rPr>
          <w:rFonts w:ascii="Times New Roman" w:hAnsi="Times New Roman" w:cs="Times New Roman"/>
          <w:b/>
          <w:bCs/>
          <w:u w:val="single"/>
          <w:lang w:val="es-CO"/>
        </w:rPr>
        <w:t>a los 20 días siguientes</w:t>
      </w:r>
      <w:r w:rsidRPr="001A15EE">
        <w:rPr>
          <w:rFonts w:ascii="Times New Roman" w:hAnsi="Times New Roman" w:cs="Times New Roman"/>
          <w:bCs/>
          <w:lang w:val="es-CO"/>
        </w:rPr>
        <w:t xml:space="preserve"> de haber recibido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el anticipo, lo que ocurrió el 27 de julio de 2017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101), es decir, debió desembolsarse el </w:t>
      </w:r>
      <w:r w:rsidRPr="001A15EE">
        <w:rPr>
          <w:rFonts w:ascii="Times New Roman" w:hAnsi="Times New Roman" w:cs="Times New Roman"/>
          <w:b/>
          <w:bCs/>
          <w:lang w:val="es-CO"/>
        </w:rPr>
        <w:t>16 de agosto siguiente</w:t>
      </w:r>
      <w:r w:rsidRPr="001A15EE">
        <w:rPr>
          <w:rFonts w:ascii="Times New Roman" w:hAnsi="Times New Roman" w:cs="Times New Roman"/>
          <w:bCs/>
          <w:lang w:val="es-CO"/>
        </w:rPr>
        <w:t xml:space="preserve">; sin embargo, ello tan solo tuvo lugar los días </w:t>
      </w:r>
      <w:r w:rsidRPr="001A15EE">
        <w:rPr>
          <w:rFonts w:ascii="Times New Roman" w:hAnsi="Times New Roman" w:cs="Times New Roman"/>
          <w:b/>
          <w:bCs/>
          <w:lang w:val="es-CO"/>
        </w:rPr>
        <w:t xml:space="preserve">15 y </w:t>
      </w:r>
      <w:r w:rsidRPr="001A15EE">
        <w:rPr>
          <w:rFonts w:ascii="Times New Roman" w:hAnsi="Times New Roman" w:cs="Times New Roman"/>
          <w:b/>
          <w:bCs/>
          <w:lang w:val="es-CO"/>
        </w:rPr>
        <w:t xml:space="preserve">20 de septiembre </w:t>
      </w:r>
      <w:r w:rsidRPr="001A15EE">
        <w:rPr>
          <w:rFonts w:ascii="Times New Roman" w:hAnsi="Times New Roman" w:cs="Times New Roman"/>
          <w:bCs/>
          <w:lang w:val="es-CO"/>
        </w:rPr>
        <w:t>(</w:t>
      </w:r>
      <w:r w:rsidRPr="001A15EE">
        <w:rPr>
          <w:rFonts w:ascii="Times New Roman" w:hAnsi="Times New Roman" w:cs="Times New Roman"/>
          <w:b/>
          <w:bCs/>
          <w:lang w:val="es-CO"/>
        </w:rPr>
        <w:t>casi un mes después</w:t>
      </w:r>
      <w:r w:rsidRPr="001A15EE">
        <w:rPr>
          <w:rFonts w:ascii="Times New Roman" w:hAnsi="Times New Roman" w:cs="Times New Roman"/>
          <w:bCs/>
          <w:lang w:val="es-CO"/>
        </w:rPr>
        <w:t xml:space="preserve">), cuando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transfirió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en forma fraccionada $</w:t>
      </w:r>
      <w:proofErr w:type="spellStart"/>
      <w:r w:rsidRPr="001A15EE">
        <w:rPr>
          <w:rFonts w:ascii="Times New Roman" w:hAnsi="Times New Roman" w:cs="Times New Roman"/>
          <w:bCs/>
          <w:lang w:val="es-CO"/>
        </w:rPr>
        <w:t>58’119.600,oo</w:t>
      </w:r>
      <w:proofErr w:type="spellEnd"/>
      <w:r w:rsidRPr="001A15EE">
        <w:rPr>
          <w:rFonts w:ascii="Times New Roman" w:hAnsi="Times New Roman" w:cs="Times New Roman"/>
          <w:bCs/>
          <w:lang w:val="es-CO"/>
        </w:rPr>
        <w:t xml:space="preserve"> y $100’586.834, respectivamente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104).</w:t>
      </w:r>
    </w:p>
    <w:p w14:paraId="57C1478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CE153D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c)</w:t>
      </w:r>
      <w:r w:rsidRPr="001A15EE">
        <w:rPr>
          <w:rFonts w:ascii="Times New Roman" w:hAnsi="Times New Roman" w:cs="Times New Roman"/>
          <w:bCs/>
          <w:lang w:val="es-CO"/>
        </w:rPr>
        <w:t xml:space="preserve"> Según la cláusula 6ª del contrato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 el tercer pago debió darse el </w:t>
      </w:r>
      <w:r w:rsidRPr="001A15EE">
        <w:rPr>
          <w:rFonts w:ascii="Times New Roman" w:hAnsi="Times New Roman" w:cs="Times New Roman"/>
          <w:b/>
          <w:bCs/>
          <w:lang w:val="es-CO"/>
        </w:rPr>
        <w:t>4 de septiembre de 2017</w:t>
      </w:r>
      <w:r w:rsidRPr="001A15EE">
        <w:rPr>
          <w:rFonts w:ascii="Times New Roman" w:hAnsi="Times New Roman" w:cs="Times New Roman"/>
          <w:bCs/>
          <w:lang w:val="es-CO"/>
        </w:rPr>
        <w:t xml:space="preserve"> (20 días después de la segunda erogación); no obstante, ni ese ni el cuarto estipendio se verificaron, como se verá a espacio.</w:t>
      </w:r>
    </w:p>
    <w:p w14:paraId="5B5A447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10219A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d) </w:t>
      </w:r>
      <w:r w:rsidRPr="001A15EE">
        <w:rPr>
          <w:rFonts w:ascii="Times New Roman" w:hAnsi="Times New Roman" w:cs="Times New Roman"/>
          <w:bCs/>
          <w:lang w:val="es-CO"/>
        </w:rPr>
        <w:t xml:space="preserve">Esas tardanzas en los pagos explican la razón por la que hasta el </w:t>
      </w:r>
      <w:r w:rsidRPr="001A15EE">
        <w:rPr>
          <w:rFonts w:ascii="Times New Roman" w:hAnsi="Times New Roman" w:cs="Times New Roman"/>
          <w:b/>
          <w:bCs/>
          <w:lang w:val="es-CO"/>
        </w:rPr>
        <w:t>2 de octubre de 2017</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hizo su primera entrega, consistente en: una “cocineta”, una “sala de entretenimiento”, la zona 1 y los “baños de damas y hombres del costado occidental”, lo que recibió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47), avance de actividades que hasta ese corte no objetó su representante legal, señora Inés </w:t>
      </w:r>
      <w:proofErr w:type="spellStart"/>
      <w:r w:rsidRPr="001A15EE">
        <w:rPr>
          <w:rFonts w:ascii="Times New Roman" w:hAnsi="Times New Roman" w:cs="Times New Roman"/>
          <w:bCs/>
          <w:lang w:val="es-CO"/>
        </w:rPr>
        <w:t>Herley</w:t>
      </w:r>
      <w:proofErr w:type="spellEnd"/>
      <w:r w:rsidRPr="001A15EE">
        <w:rPr>
          <w:rFonts w:ascii="Times New Roman" w:hAnsi="Times New Roman" w:cs="Times New Roman"/>
          <w:bCs/>
          <w:lang w:val="es-CO"/>
        </w:rPr>
        <w:t xml:space="preserve"> Bohórquez Corredor.</w:t>
      </w:r>
    </w:p>
    <w:p w14:paraId="389FA00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ECBA78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e) </w:t>
      </w:r>
      <w:r w:rsidRPr="001A15EE">
        <w:rPr>
          <w:rFonts w:ascii="Times New Roman" w:hAnsi="Times New Roman" w:cs="Times New Roman"/>
          <w:bCs/>
          <w:lang w:val="es-CO"/>
        </w:rPr>
        <w:t xml:space="preserve">En la reunión del </w:t>
      </w:r>
      <w:r w:rsidRPr="001A15EE">
        <w:rPr>
          <w:rFonts w:ascii="Times New Roman" w:hAnsi="Times New Roman" w:cs="Times New Roman"/>
          <w:b/>
          <w:bCs/>
          <w:lang w:val="es-CO"/>
        </w:rPr>
        <w:t>10 de octubre de 2017</w:t>
      </w:r>
      <w:r w:rsidRPr="001A15EE">
        <w:rPr>
          <w:rFonts w:ascii="Times New Roman" w:hAnsi="Times New Roman" w:cs="Times New Roman"/>
          <w:bCs/>
          <w:lang w:val="es-CO"/>
        </w:rPr>
        <w:t xml:space="preserve"> a la que acudieron los representantes legales (principal y suplente)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señores Mirza </w:t>
      </w:r>
      <w:proofErr w:type="spellStart"/>
      <w:r w:rsidRPr="001A15EE">
        <w:rPr>
          <w:rFonts w:ascii="Times New Roman" w:hAnsi="Times New Roman" w:cs="Times New Roman"/>
          <w:bCs/>
          <w:lang w:val="es-CO"/>
        </w:rPr>
        <w:t>Asif</w:t>
      </w:r>
      <w:proofErr w:type="spellEnd"/>
      <w:r w:rsidRPr="001A15EE">
        <w:rPr>
          <w:rFonts w:ascii="Times New Roman" w:hAnsi="Times New Roman" w:cs="Times New Roman"/>
          <w:bCs/>
          <w:lang w:val="es-CO"/>
        </w:rPr>
        <w:t xml:space="preserve"> Jalil e Inés Harley Bohórquez Corredor, respectivamente, el representante legal de </w:t>
      </w:r>
      <w:proofErr w:type="spellStart"/>
      <w:r w:rsidRPr="001A15EE">
        <w:rPr>
          <w:rFonts w:ascii="Times New Roman" w:hAnsi="Times New Roman" w:cs="Times New Roman"/>
          <w:bCs/>
        </w:rPr>
        <w:t>Aga</w:t>
      </w:r>
      <w:proofErr w:type="spellEnd"/>
      <w:r w:rsidRPr="001A15EE">
        <w:rPr>
          <w:rFonts w:ascii="Times New Roman" w:hAnsi="Times New Roman" w:cs="Times New Roman"/>
          <w:bCs/>
          <w:lang w:val="es-CO"/>
        </w:rPr>
        <w:t xml:space="preserve"> y Roberto Alonso, arquitecto residente de obra, los primeros no refutaron la afirmación de este último, cuando les expuso lo atinente a la culminación del </w:t>
      </w:r>
      <w:r w:rsidRPr="001A15EE">
        <w:rPr>
          <w:rFonts w:ascii="Times New Roman" w:hAnsi="Times New Roman" w:cs="Times New Roman"/>
          <w:b/>
          <w:bCs/>
          <w:lang w:val="es-CO"/>
        </w:rPr>
        <w:t>100%</w:t>
      </w:r>
      <w:r w:rsidRPr="001A15EE">
        <w:rPr>
          <w:rFonts w:ascii="Times New Roman" w:hAnsi="Times New Roman" w:cs="Times New Roman"/>
          <w:bCs/>
          <w:lang w:val="es-CO"/>
        </w:rPr>
        <w:t xml:space="preserve"> de los trabajos preliminares (cerramiento, demolición, desmonte de objetos); pisos, mampostería, muros, </w:t>
      </w:r>
      <w:proofErr w:type="spellStart"/>
      <w:r w:rsidRPr="001A15EE">
        <w:rPr>
          <w:rFonts w:ascii="Times New Roman" w:hAnsi="Times New Roman" w:cs="Times New Roman"/>
          <w:bCs/>
          <w:i/>
          <w:lang w:val="es-CO"/>
        </w:rPr>
        <w:t>drywall</w:t>
      </w:r>
      <w:proofErr w:type="spellEnd"/>
      <w:r w:rsidRPr="001A15EE">
        <w:rPr>
          <w:rFonts w:ascii="Times New Roman" w:hAnsi="Times New Roman" w:cs="Times New Roman"/>
          <w:bCs/>
          <w:lang w:val="es-CO"/>
        </w:rPr>
        <w:t xml:space="preserve">, instalaciones eléctricas e hidráulicas; lo concerniente a que el tendido del cable culminó con el cableado correcto en un </w:t>
      </w:r>
      <w:r w:rsidRPr="001A15EE">
        <w:rPr>
          <w:rFonts w:ascii="Times New Roman" w:hAnsi="Times New Roman" w:cs="Times New Roman"/>
          <w:b/>
          <w:bCs/>
          <w:lang w:val="es-CO"/>
        </w:rPr>
        <w:t>75%</w:t>
      </w:r>
      <w:r w:rsidRPr="001A15EE">
        <w:rPr>
          <w:rFonts w:ascii="Times New Roman" w:hAnsi="Times New Roman" w:cs="Times New Roman"/>
          <w:bCs/>
          <w:lang w:val="es-CO"/>
        </w:rPr>
        <w:t xml:space="preserve"> y el restante lo sería una vez instalados los cubículos que excedieran los </w:t>
      </w:r>
      <w:r w:rsidRPr="001A15EE">
        <w:rPr>
          <w:rFonts w:ascii="Times New Roman" w:hAnsi="Times New Roman" w:cs="Times New Roman"/>
          <w:b/>
          <w:bCs/>
          <w:lang w:val="es-CO"/>
        </w:rPr>
        <w:t>128</w:t>
      </w:r>
      <w:r w:rsidRPr="001A15EE">
        <w:rPr>
          <w:rFonts w:ascii="Times New Roman" w:hAnsi="Times New Roman" w:cs="Times New Roman"/>
          <w:bCs/>
          <w:lang w:val="es-CO"/>
        </w:rPr>
        <w:t xml:space="preserve"> disponibles (de los </w:t>
      </w:r>
      <w:r w:rsidRPr="001A15EE">
        <w:rPr>
          <w:rFonts w:ascii="Times New Roman" w:hAnsi="Times New Roman" w:cs="Times New Roman"/>
          <w:b/>
          <w:bCs/>
          <w:lang w:val="es-CO"/>
        </w:rPr>
        <w:t>161</w:t>
      </w:r>
      <w:r w:rsidRPr="001A15EE">
        <w:rPr>
          <w:rFonts w:ascii="Times New Roman" w:hAnsi="Times New Roman" w:cs="Times New Roman"/>
          <w:bCs/>
          <w:lang w:val="es-CO"/>
        </w:rPr>
        <w:t xml:space="preserve"> inicialmente convenidos), pero </w:t>
      </w:r>
      <w:proofErr w:type="spellStart"/>
      <w:r w:rsidRPr="001A15EE">
        <w:rPr>
          <w:rFonts w:ascii="Times New Roman" w:hAnsi="Times New Roman" w:cs="Times New Roman"/>
          <w:bCs/>
          <w:lang w:val="es-CO"/>
        </w:rPr>
        <w:t>sobretodo</w:t>
      </w:r>
      <w:proofErr w:type="spellEnd"/>
      <w:r w:rsidRPr="001A15EE">
        <w:rPr>
          <w:rFonts w:ascii="Times New Roman" w:hAnsi="Times New Roman" w:cs="Times New Roman"/>
          <w:bCs/>
          <w:lang w:val="es-CO"/>
        </w:rPr>
        <w:t>, que para poder atender las estaciones adicionales requeridas para supervisores, era indispensable que la demandada se pusiera al día por lo menos con el tercer pago ($</w:t>
      </w:r>
      <w:proofErr w:type="spellStart"/>
      <w:r w:rsidRPr="001A15EE">
        <w:rPr>
          <w:rFonts w:ascii="Times New Roman" w:hAnsi="Times New Roman" w:cs="Times New Roman"/>
          <w:bCs/>
          <w:lang w:val="es-CO"/>
        </w:rPr>
        <w:t>162’229.000,oo</w:t>
      </w:r>
      <w:proofErr w:type="spellEnd"/>
      <w:r w:rsidRPr="001A15EE">
        <w:rPr>
          <w:rFonts w:ascii="Times New Roman" w:hAnsi="Times New Roman" w:cs="Times New Roman"/>
          <w:bCs/>
          <w:lang w:val="es-CO"/>
        </w:rPr>
        <w:t xml:space="preserve">), para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a su vez cancelarle a sus subcontratistas, de suerte que el señor </w:t>
      </w:r>
      <w:proofErr w:type="spellStart"/>
      <w:r w:rsidRPr="001A15EE">
        <w:rPr>
          <w:rFonts w:ascii="Times New Roman" w:hAnsi="Times New Roman" w:cs="Times New Roman"/>
          <w:bCs/>
          <w:lang w:val="es-CO"/>
        </w:rPr>
        <w:t>Asif</w:t>
      </w:r>
      <w:proofErr w:type="spellEnd"/>
      <w:r w:rsidRPr="001A15EE">
        <w:rPr>
          <w:rFonts w:ascii="Times New Roman" w:hAnsi="Times New Roman" w:cs="Times New Roman"/>
          <w:bCs/>
          <w:lang w:val="es-CO"/>
        </w:rPr>
        <w:t xml:space="preserve"> Jalil, si es que en realidad se encontraba inconforme con el avance del proyecto o el trabajo realizado hasta ese momento, no tenía entonces por qué ofrecerse a girar ese monto para el 24 o 25 de octubre de 2017, pero jamás cumplió.</w:t>
      </w:r>
    </w:p>
    <w:p w14:paraId="45E7B91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5B4A4A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f) </w:t>
      </w:r>
      <w:r w:rsidRPr="001A15EE">
        <w:rPr>
          <w:rFonts w:ascii="Times New Roman" w:hAnsi="Times New Roman" w:cs="Times New Roman"/>
          <w:bCs/>
          <w:lang w:val="es-CO"/>
        </w:rPr>
        <w:t>Pese a la falta del tercer pago por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que, como se dijo, estaba previsto para el </w:t>
      </w:r>
      <w:r w:rsidRPr="001A15EE">
        <w:rPr>
          <w:rFonts w:ascii="Times New Roman" w:hAnsi="Times New Roman" w:cs="Times New Roman"/>
          <w:b/>
          <w:bCs/>
          <w:lang w:val="es-CO"/>
        </w:rPr>
        <w:t>4 de septiembre de 2017</w:t>
      </w:r>
      <w:r w:rsidRPr="001A15EE">
        <w:rPr>
          <w:rFonts w:ascii="Times New Roman" w:hAnsi="Times New Roman" w:cs="Times New Roman"/>
          <w:bCs/>
          <w:lang w:val="es-CO"/>
        </w:rPr>
        <w:t xml:space="preserve">, obra a folios 48 y 49 el acta de entrega de </w:t>
      </w:r>
      <w:r w:rsidRPr="001A15EE">
        <w:rPr>
          <w:rFonts w:ascii="Times New Roman" w:hAnsi="Times New Roman" w:cs="Times New Roman"/>
          <w:b/>
          <w:bCs/>
          <w:lang w:val="es-CO"/>
        </w:rPr>
        <w:t xml:space="preserve">31 de octubre siguiente </w:t>
      </w:r>
      <w:r w:rsidRPr="001A15EE">
        <w:rPr>
          <w:rFonts w:ascii="Times New Roman" w:hAnsi="Times New Roman" w:cs="Times New Roman"/>
          <w:bCs/>
          <w:lang w:val="es-CO"/>
        </w:rPr>
        <w:t xml:space="preserve">que involucró las restantes </w:t>
      </w:r>
      <w:r w:rsidRPr="001A15EE">
        <w:rPr>
          <w:rFonts w:ascii="Times New Roman" w:hAnsi="Times New Roman" w:cs="Times New Roman"/>
          <w:b/>
          <w:bCs/>
          <w:lang w:val="es-CO"/>
        </w:rPr>
        <w:t>zonas 2 y 3</w:t>
      </w:r>
      <w:r w:rsidRPr="001A15EE">
        <w:rPr>
          <w:rFonts w:ascii="Times New Roman" w:hAnsi="Times New Roman" w:cs="Times New Roman"/>
          <w:bCs/>
          <w:lang w:val="es-CO"/>
        </w:rPr>
        <w:t xml:space="preserve"> (superficies de trabajo), baños de damas costado oriental, oficinas del Director, Contabilidad y Recursos Humanos, Sala de Juntas y Recepción, también recibidas por la representante legal de la sociedad demandada, señora Inés Harley Bohórquez Corredor, en la que se precisó que las “</w:t>
      </w:r>
      <w:r w:rsidRPr="001A15EE">
        <w:rPr>
          <w:rFonts w:ascii="Times New Roman" w:hAnsi="Times New Roman" w:cs="Times New Roman"/>
          <w:b/>
          <w:bCs/>
          <w:lang w:val="es-CO"/>
        </w:rPr>
        <w:t>garantías</w:t>
      </w:r>
      <w:r w:rsidRPr="001A15EE">
        <w:rPr>
          <w:rFonts w:ascii="Times New Roman" w:hAnsi="Times New Roman" w:cs="Times New Roman"/>
          <w:bCs/>
          <w:lang w:val="es-CO"/>
        </w:rPr>
        <w:t xml:space="preserve"> de los </w:t>
      </w:r>
      <w:r w:rsidRPr="001A15EE">
        <w:rPr>
          <w:rFonts w:ascii="Times New Roman" w:hAnsi="Times New Roman" w:cs="Times New Roman"/>
          <w:bCs/>
          <w:lang w:val="es-CO"/>
        </w:rPr>
        <w:lastRenderedPageBreak/>
        <w:t xml:space="preserve">electrodomésticos como televisores, neveras, microondas, serán entregados contra el pago final del contrato y adicionales, así como también hará entrega de los controles de televisores, avance de actividades que hasta ese momento tampoco cuestionó la representante legal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señora Bohórquez Corredor.</w:t>
      </w:r>
    </w:p>
    <w:p w14:paraId="5E1CCFA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2578D6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t>g)</w:t>
      </w:r>
      <w:r w:rsidRPr="001A15EE">
        <w:rPr>
          <w:rFonts w:ascii="Times New Roman" w:hAnsi="Times New Roman" w:cs="Times New Roman"/>
          <w:bCs/>
          <w:lang w:val="es-CO"/>
        </w:rPr>
        <w:t xml:space="preserve"> Y es que en cuanto a todas las actividades convenidas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(de cerramiento, demolición de pisos, desmontes de muebles, reparación de placa del entrepiso, pañetes, muros en </w:t>
      </w:r>
      <w:proofErr w:type="spellStart"/>
      <w:r w:rsidRPr="001A15EE">
        <w:rPr>
          <w:rFonts w:ascii="Times New Roman" w:hAnsi="Times New Roman" w:cs="Times New Roman"/>
          <w:bCs/>
          <w:i/>
          <w:lang w:val="es-CO"/>
        </w:rPr>
        <w:t>drywall</w:t>
      </w:r>
      <w:proofErr w:type="spellEnd"/>
      <w:r w:rsidRPr="001A15EE">
        <w:rPr>
          <w:rFonts w:ascii="Times New Roman" w:hAnsi="Times New Roman" w:cs="Times New Roman"/>
          <w:bCs/>
          <w:lang w:val="es-CO"/>
        </w:rPr>
        <w:t>, “acabados de pared y piso”, “</w:t>
      </w:r>
      <w:r w:rsidRPr="001A15EE">
        <w:rPr>
          <w:rFonts w:ascii="Times New Roman" w:hAnsi="Times New Roman" w:cs="Times New Roman"/>
          <w:b/>
          <w:bCs/>
          <w:lang w:val="es-CO"/>
        </w:rPr>
        <w:t>instalaciones</w:t>
      </w:r>
      <w:r w:rsidRPr="001A15EE">
        <w:rPr>
          <w:rFonts w:ascii="Times New Roman" w:hAnsi="Times New Roman" w:cs="Times New Roman"/>
          <w:bCs/>
          <w:lang w:val="es-CO"/>
        </w:rPr>
        <w:t xml:space="preserve"> hidrosanitarias” y “</w:t>
      </w:r>
      <w:r w:rsidRPr="001A15EE">
        <w:rPr>
          <w:rFonts w:ascii="Times New Roman" w:hAnsi="Times New Roman" w:cs="Times New Roman"/>
          <w:b/>
          <w:bCs/>
          <w:lang w:val="es-CO"/>
        </w:rPr>
        <w:t>eléctricas</w:t>
      </w:r>
      <w:r w:rsidRPr="001A15EE">
        <w:rPr>
          <w:rFonts w:ascii="Times New Roman" w:hAnsi="Times New Roman" w:cs="Times New Roman"/>
          <w:bCs/>
          <w:lang w:val="es-CO"/>
        </w:rPr>
        <w:t>”</w:t>
      </w:r>
      <w:r w:rsidRPr="001A15EE">
        <w:rPr>
          <w:rFonts w:ascii="Times New Roman" w:hAnsi="Times New Roman" w:cs="Times New Roman"/>
          <w:b/>
          <w:bCs/>
          <w:i/>
          <w:iCs/>
          <w:lang w:val="es-CO"/>
        </w:rPr>
        <w:t>, “</w:t>
      </w:r>
      <w:r w:rsidRPr="001A15EE">
        <w:rPr>
          <w:rFonts w:ascii="Times New Roman" w:hAnsi="Times New Roman" w:cs="Times New Roman"/>
          <w:b/>
          <w:bCs/>
          <w:lang w:val="es-CO"/>
        </w:rPr>
        <w:t>red de cableado estructurado para voz y datos</w:t>
      </w:r>
      <w:r w:rsidRPr="001A15EE">
        <w:rPr>
          <w:rFonts w:ascii="Times New Roman" w:hAnsi="Times New Roman" w:cs="Times New Roman"/>
          <w:bCs/>
          <w:lang w:val="es-CO"/>
        </w:rPr>
        <w:t xml:space="preserve">”, “carpinterías metálica y de madera”, “vidrios”, “puertas”, “pintura”, “accesorios”, “aire acondicionado”, “electrodomésticos” y “gastos”), fue el propio arquitecto Javier Izquierdo Barbosa -quien rindió su informe de auditoría a pedido de la demandada,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el encargado de relatar que “</w:t>
      </w:r>
      <w:r w:rsidRPr="001A15EE">
        <w:rPr>
          <w:rFonts w:ascii="Times New Roman" w:hAnsi="Times New Roman" w:cs="Times New Roman"/>
          <w:b/>
          <w:bCs/>
          <w:u w:val="single"/>
          <w:lang w:val="es-CO"/>
        </w:rPr>
        <w:t>prácticamente el 100% de las actividades las realizó</w:t>
      </w:r>
      <w:r w:rsidRPr="001A15EE">
        <w:rPr>
          <w:rFonts w:ascii="Times New Roman" w:hAnsi="Times New Roman" w:cs="Times New Roman"/>
          <w:bCs/>
          <w:lang w:val="es-CO"/>
        </w:rPr>
        <w:t xml:space="preserve">” el demandante (min. 26:45, </w:t>
      </w:r>
      <w:proofErr w:type="spellStart"/>
      <w:r w:rsidRPr="001A15EE">
        <w:rPr>
          <w:rFonts w:ascii="Times New Roman" w:hAnsi="Times New Roman" w:cs="Times New Roman"/>
          <w:bCs/>
          <w:lang w:val="es-CO"/>
        </w:rPr>
        <w:t>aud</w:t>
      </w:r>
      <w:proofErr w:type="spellEnd"/>
      <w:r w:rsidRPr="001A15EE">
        <w:rPr>
          <w:rFonts w:ascii="Times New Roman" w:hAnsi="Times New Roman" w:cs="Times New Roman"/>
          <w:bCs/>
          <w:lang w:val="es-CO"/>
        </w:rPr>
        <w:t>. 21 de agosto de 2019).</w:t>
      </w:r>
    </w:p>
    <w:p w14:paraId="43D9017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71AD40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Incluso, en cuanto a las “</w:t>
      </w:r>
      <w:r w:rsidRPr="001A15EE">
        <w:rPr>
          <w:rFonts w:ascii="Times New Roman" w:hAnsi="Times New Roman" w:cs="Times New Roman"/>
          <w:b/>
          <w:bCs/>
          <w:lang w:val="es-CO"/>
        </w:rPr>
        <w:t>tomas eléctricas reguladas</w:t>
      </w:r>
      <w:r w:rsidRPr="001A15EE">
        <w:rPr>
          <w:rFonts w:ascii="Times New Roman" w:hAnsi="Times New Roman" w:cs="Times New Roman"/>
          <w:bCs/>
          <w:lang w:val="es-CO"/>
        </w:rPr>
        <w:t>”, sostuvo que aunque se “</w:t>
      </w:r>
      <w:r w:rsidRPr="001A15EE">
        <w:rPr>
          <w:rFonts w:ascii="Times New Roman" w:hAnsi="Times New Roman" w:cs="Times New Roman"/>
          <w:b/>
          <w:bCs/>
          <w:u w:val="single"/>
          <w:lang w:val="es-CO"/>
        </w:rPr>
        <w:t>cotizaron 180</w:t>
      </w:r>
      <w:r w:rsidRPr="001A15EE">
        <w:rPr>
          <w:rFonts w:ascii="Times New Roman" w:hAnsi="Times New Roman" w:cs="Times New Roman"/>
          <w:bCs/>
          <w:lang w:val="es-CO"/>
        </w:rPr>
        <w:t>” por cuenta de la demandante, fueron “</w:t>
      </w:r>
      <w:r w:rsidRPr="001A15EE">
        <w:rPr>
          <w:rFonts w:ascii="Times New Roman" w:hAnsi="Times New Roman" w:cs="Times New Roman"/>
          <w:b/>
          <w:bCs/>
          <w:u w:val="single"/>
          <w:lang w:val="es-CO"/>
        </w:rPr>
        <w:t>400 realmente</w:t>
      </w:r>
      <w:r w:rsidRPr="001A15EE">
        <w:rPr>
          <w:rFonts w:ascii="Times New Roman" w:hAnsi="Times New Roman" w:cs="Times New Roman"/>
          <w:b/>
          <w:bCs/>
          <w:lang w:val="es-CO"/>
        </w:rPr>
        <w:t xml:space="preserve"> </w:t>
      </w:r>
      <w:r w:rsidRPr="001A15EE">
        <w:rPr>
          <w:rFonts w:ascii="Times New Roman" w:hAnsi="Times New Roman" w:cs="Times New Roman"/>
          <w:bCs/>
          <w:lang w:val="es-CO"/>
        </w:rPr>
        <w:t>[las que]</w:t>
      </w:r>
      <w:r w:rsidRPr="001A15EE">
        <w:rPr>
          <w:rFonts w:ascii="Times New Roman" w:hAnsi="Times New Roman" w:cs="Times New Roman"/>
          <w:b/>
          <w:bCs/>
          <w:lang w:val="es-CO"/>
        </w:rPr>
        <w:t xml:space="preserve"> </w:t>
      </w:r>
      <w:r w:rsidRPr="001A15EE">
        <w:rPr>
          <w:rFonts w:ascii="Times New Roman" w:hAnsi="Times New Roman" w:cs="Times New Roman"/>
          <w:b/>
          <w:bCs/>
          <w:u w:val="single"/>
          <w:lang w:val="es-CO"/>
        </w:rPr>
        <w:t>se instalaron</w:t>
      </w:r>
      <w:r w:rsidRPr="001A15EE">
        <w:rPr>
          <w:rFonts w:ascii="Times New Roman" w:hAnsi="Times New Roman" w:cs="Times New Roman"/>
          <w:bCs/>
          <w:lang w:val="es-CO"/>
        </w:rPr>
        <w:t>” (min.</w:t>
      </w:r>
      <w:r w:rsidRPr="001A15EE">
        <w:rPr>
          <w:rFonts w:ascii="Times New Roman" w:hAnsi="Times New Roman" w:cs="Times New Roman"/>
          <w:b/>
          <w:bCs/>
          <w:lang w:val="es-CO"/>
        </w:rPr>
        <w:t xml:space="preserve"> </w:t>
      </w:r>
      <w:r w:rsidRPr="001A15EE">
        <w:rPr>
          <w:rFonts w:ascii="Times New Roman" w:hAnsi="Times New Roman" w:cs="Times New Roman"/>
          <w:bCs/>
          <w:lang w:val="es-CO"/>
        </w:rPr>
        <w:t>50:46); que de “</w:t>
      </w:r>
      <w:r w:rsidRPr="001A15EE">
        <w:rPr>
          <w:rFonts w:ascii="Times New Roman" w:hAnsi="Times New Roman" w:cs="Times New Roman"/>
          <w:b/>
          <w:bCs/>
          <w:lang w:val="es-CO"/>
        </w:rPr>
        <w:t>carpintería metálica lo cotizado fue por $</w:t>
      </w:r>
      <w:proofErr w:type="spellStart"/>
      <w:r w:rsidRPr="001A15EE">
        <w:rPr>
          <w:rFonts w:ascii="Times New Roman" w:hAnsi="Times New Roman" w:cs="Times New Roman"/>
          <w:b/>
          <w:bCs/>
          <w:lang w:val="es-CO"/>
        </w:rPr>
        <w:t>14’000.000,oo</w:t>
      </w:r>
      <w:proofErr w:type="spellEnd"/>
      <w:r w:rsidRPr="001A15EE">
        <w:rPr>
          <w:rFonts w:ascii="Times New Roman" w:hAnsi="Times New Roman" w:cs="Times New Roman"/>
          <w:b/>
          <w:bCs/>
          <w:lang w:val="es-CO"/>
        </w:rPr>
        <w:t>, pero</w:t>
      </w:r>
      <w:r w:rsidRPr="001A15EE">
        <w:rPr>
          <w:rFonts w:ascii="Times New Roman" w:hAnsi="Times New Roman" w:cs="Times New Roman"/>
          <w:bCs/>
          <w:lang w:val="es-CO"/>
        </w:rPr>
        <w:t>” según su experiencia, “</w:t>
      </w:r>
      <w:r w:rsidRPr="001A15EE">
        <w:rPr>
          <w:rFonts w:ascii="Times New Roman" w:hAnsi="Times New Roman" w:cs="Times New Roman"/>
          <w:b/>
          <w:bCs/>
          <w:lang w:val="es-CO"/>
        </w:rPr>
        <w:t xml:space="preserve">debió serlo por </w:t>
      </w:r>
      <w:r w:rsidRPr="001A15EE">
        <w:rPr>
          <w:rFonts w:ascii="Times New Roman" w:hAnsi="Times New Roman" w:cs="Times New Roman"/>
          <w:bCs/>
          <w:lang w:val="es-CO"/>
        </w:rPr>
        <w:t>[un valor mayor, es decir, por]</w:t>
      </w:r>
      <w:r w:rsidRPr="001A15EE">
        <w:rPr>
          <w:rFonts w:ascii="Times New Roman" w:hAnsi="Times New Roman" w:cs="Times New Roman"/>
          <w:b/>
          <w:bCs/>
          <w:lang w:val="es-CO"/>
        </w:rPr>
        <w:t xml:space="preserve"> $</w:t>
      </w:r>
      <w:proofErr w:type="spellStart"/>
      <w:r w:rsidRPr="001A15EE">
        <w:rPr>
          <w:rFonts w:ascii="Times New Roman" w:hAnsi="Times New Roman" w:cs="Times New Roman"/>
          <w:b/>
          <w:bCs/>
          <w:lang w:val="es-CO"/>
        </w:rPr>
        <w:t>21’000.000,oo</w:t>
      </w:r>
      <w:proofErr w:type="spellEnd"/>
      <w:r w:rsidRPr="001A15EE">
        <w:rPr>
          <w:rFonts w:ascii="Times New Roman" w:hAnsi="Times New Roman" w:cs="Times New Roman"/>
          <w:bCs/>
          <w:lang w:val="es-CO"/>
        </w:rPr>
        <w:t xml:space="preserve">”, es decir, que los supuestos errores matemáticos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fundados en que los precios unitarios cotizados fueron superiores (en</w:t>
      </w:r>
      <w:r w:rsidRPr="001A15EE">
        <w:rPr>
          <w:rFonts w:ascii="Times New Roman" w:hAnsi="Times New Roman" w:cs="Times New Roman"/>
          <w:b/>
          <w:bCs/>
          <w:lang w:val="es-CO"/>
        </w:rPr>
        <w:t xml:space="preserve"> $</w:t>
      </w:r>
      <w:proofErr w:type="spellStart"/>
      <w:r w:rsidRPr="001A15EE">
        <w:rPr>
          <w:rFonts w:ascii="Times New Roman" w:hAnsi="Times New Roman" w:cs="Times New Roman"/>
          <w:bCs/>
          <w:lang w:val="es-CO"/>
        </w:rPr>
        <w:t>13’000.000,oo</w:t>
      </w:r>
      <w:proofErr w:type="spellEnd"/>
      <w:r w:rsidRPr="001A15EE">
        <w:rPr>
          <w:rFonts w:ascii="Times New Roman" w:hAnsi="Times New Roman" w:cs="Times New Roman"/>
          <w:bCs/>
          <w:lang w:val="es-CO"/>
        </w:rPr>
        <w:t>) al valor comercial para Bogotá, no surgirían relevantes para considerar que ello implicaba un incumplimiento contractual de la demandante, tanto más cuando el mencionado profesional terminó por afirmar que “</w:t>
      </w:r>
      <w:r w:rsidRPr="001A15EE">
        <w:rPr>
          <w:rFonts w:ascii="Times New Roman" w:hAnsi="Times New Roman" w:cs="Times New Roman"/>
          <w:b/>
          <w:bCs/>
          <w:lang w:val="es-CO"/>
        </w:rPr>
        <w:t xml:space="preserve">el contratista </w:t>
      </w:r>
      <w:r w:rsidRPr="001A15EE">
        <w:rPr>
          <w:rFonts w:ascii="Times New Roman" w:hAnsi="Times New Roman" w:cs="Times New Roman"/>
          <w:b/>
          <w:bCs/>
          <w:u w:val="single"/>
          <w:lang w:val="es-CO"/>
        </w:rPr>
        <w:t>tiene la potestad de colocar los precios que quiera</w:t>
      </w:r>
      <w:r w:rsidRPr="001A15EE">
        <w:rPr>
          <w:rFonts w:ascii="Times New Roman" w:hAnsi="Times New Roman" w:cs="Times New Roman"/>
          <w:bCs/>
          <w:lang w:val="es-CO"/>
        </w:rPr>
        <w:t xml:space="preserve">”; a lo que se suma que nada en el proceso indica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no pudiera ponderar lo cotizado en el presupuesto de 30 de junio de 2017, antes de firmar el contrato de obra del 18 de julio siguiente.</w:t>
      </w:r>
    </w:p>
    <w:p w14:paraId="5B45E70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3BD4F4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iii</w:t>
      </w:r>
      <w:proofErr w:type="spellEnd"/>
      <w:r w:rsidRPr="001A15EE">
        <w:rPr>
          <w:rFonts w:ascii="Times New Roman" w:hAnsi="Times New Roman" w:cs="Times New Roman"/>
          <w:b/>
          <w:bCs/>
          <w:lang w:val="es-CO"/>
        </w:rPr>
        <w:t xml:space="preserve">) </w:t>
      </w:r>
      <w:r w:rsidRPr="001A15EE">
        <w:rPr>
          <w:rFonts w:ascii="Times New Roman" w:hAnsi="Times New Roman" w:cs="Times New Roman"/>
          <w:bCs/>
          <w:lang w:val="es-CO"/>
        </w:rPr>
        <w:t xml:space="preserve">No olvida la Sala que las defensas de la demandada de “contrato no cumplido”, “existencia de incumplimiento de contrato por parte de la sociedad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w:t>
      </w:r>
      <w:proofErr w:type="spellStart"/>
      <w:r w:rsidRPr="001A15EE">
        <w:rPr>
          <w:rFonts w:ascii="Times New Roman" w:hAnsi="Times New Roman" w:cs="Times New Roman"/>
          <w:bCs/>
          <w:i/>
          <w:lang w:val="es-CO"/>
        </w:rPr>
        <w:t>nemo</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auditur</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propriam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turpitudinem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allegans</w:t>
      </w:r>
      <w:proofErr w:type="spellEnd"/>
      <w:r w:rsidRPr="001A15EE">
        <w:rPr>
          <w:rFonts w:ascii="Times New Roman" w:hAnsi="Times New Roman" w:cs="Times New Roman"/>
          <w:bCs/>
          <w:lang w:val="es-CO"/>
        </w:rPr>
        <w:t>” y la “</w:t>
      </w:r>
      <w:r w:rsidRPr="001A15EE">
        <w:rPr>
          <w:rFonts w:ascii="Times New Roman" w:hAnsi="Times New Roman" w:cs="Times New Roman"/>
          <w:bCs/>
          <w:i/>
          <w:lang w:val="es-CO"/>
        </w:rPr>
        <w:t>genérica</w:t>
      </w:r>
      <w:r w:rsidRPr="001A15EE">
        <w:rPr>
          <w:rFonts w:ascii="Times New Roman" w:hAnsi="Times New Roman" w:cs="Times New Roman"/>
          <w:bCs/>
          <w:lang w:val="es-CO"/>
        </w:rPr>
        <w:t xml:space="preserve">”, en criterio de la Sala ameritan su análisis conjunto, pues en lo medular, se basan en que el demandante no entregó la obra dentro del plazo acordado, es decir, que no observó el cronograma de la obra; que el </w:t>
      </w:r>
      <w:r w:rsidRPr="001A15EE">
        <w:rPr>
          <w:rFonts w:ascii="Times New Roman" w:hAnsi="Times New Roman" w:cs="Times New Roman"/>
          <w:b/>
          <w:bCs/>
          <w:lang w:val="es-CO"/>
        </w:rPr>
        <w:t>piso</w:t>
      </w:r>
      <w:r w:rsidRPr="001A15EE">
        <w:rPr>
          <w:rFonts w:ascii="Times New Roman" w:hAnsi="Times New Roman" w:cs="Times New Roman"/>
          <w:bCs/>
          <w:lang w:val="es-CO"/>
        </w:rPr>
        <w:t xml:space="preserve"> del inmueble se encontró </w:t>
      </w:r>
      <w:r w:rsidRPr="001A15EE">
        <w:rPr>
          <w:rFonts w:ascii="Times New Roman" w:hAnsi="Times New Roman" w:cs="Times New Roman"/>
          <w:b/>
          <w:bCs/>
          <w:lang w:val="es-CO"/>
        </w:rPr>
        <w:t>fisurado</w:t>
      </w:r>
      <w:r w:rsidRPr="001A15EE">
        <w:rPr>
          <w:rFonts w:ascii="Times New Roman" w:hAnsi="Times New Roman" w:cs="Times New Roman"/>
          <w:bCs/>
          <w:lang w:val="es-CO"/>
        </w:rPr>
        <w:t xml:space="preserve"> en un 100%, que el cableado eléctrico instalado implicaba un riesgo de incendio y que cableado de “estructurado para voz y datos” no fue UTP de categoría 6.</w:t>
      </w:r>
    </w:p>
    <w:p w14:paraId="3096950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BDF352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Puestas así las cosas, ha de resaltarse lo siguiente:</w:t>
      </w:r>
    </w:p>
    <w:p w14:paraId="5D06372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27F099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a) </w:t>
      </w:r>
      <w:r w:rsidRPr="001A15EE">
        <w:rPr>
          <w:rFonts w:ascii="Times New Roman" w:hAnsi="Times New Roman" w:cs="Times New Roman"/>
          <w:bCs/>
          <w:lang w:val="es-CO"/>
        </w:rPr>
        <w:t xml:space="preserve">Como se vio, la demandada principal no demostró haber pagado en los tiempos acordados, sin que pueda obviarse que en los contratos bilaterales ninguno de los contratantes está en mora por dejar de cumplir sus obligaciones, mientras el otro no atienda las propias en la manera y en la época previstas (artículo 1609 del C.C.), por lo que la defensa de “contrato no cumplido”, no está llamada a prosperar. </w:t>
      </w:r>
    </w:p>
    <w:p w14:paraId="6EA0D78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b) </w:t>
      </w:r>
      <w:r w:rsidRPr="001A15EE">
        <w:rPr>
          <w:rFonts w:ascii="Times New Roman" w:hAnsi="Times New Roman" w:cs="Times New Roman"/>
          <w:bCs/>
          <w:lang w:val="es-CO"/>
        </w:rPr>
        <w:t xml:space="preserve">El profesional Izquierdo Barbosa no descartó que ello solía ocurrir por los asentamientos; en cuanto al cableado eléctrico instalado, la demandada afirmó que ello implicaba un riesgo de incendio, vicisitud que, pese a las diferencias que tuvo con la demandante, descartó el ingeniero eléctrico </w:t>
      </w:r>
      <w:proofErr w:type="spellStart"/>
      <w:r w:rsidRPr="001A15EE">
        <w:rPr>
          <w:rFonts w:ascii="Times New Roman" w:hAnsi="Times New Roman" w:cs="Times New Roman"/>
          <w:bCs/>
          <w:lang w:val="es-CO"/>
        </w:rPr>
        <w:t>Jhon</w:t>
      </w:r>
      <w:proofErr w:type="spellEnd"/>
      <w:r w:rsidRPr="001A15EE">
        <w:rPr>
          <w:rFonts w:ascii="Times New Roman" w:hAnsi="Times New Roman" w:cs="Times New Roman"/>
          <w:bCs/>
          <w:lang w:val="es-CO"/>
        </w:rPr>
        <w:t xml:space="preserve"> Bello Triana</w:t>
      </w:r>
      <w:r w:rsidRPr="001A15EE">
        <w:rPr>
          <w:rFonts w:ascii="Times New Roman" w:hAnsi="Times New Roman" w:cs="Times New Roman"/>
          <w:b/>
          <w:bCs/>
          <w:lang w:val="es-CO"/>
        </w:rPr>
        <w:t xml:space="preserve"> </w:t>
      </w:r>
      <w:r w:rsidRPr="001A15EE">
        <w:rPr>
          <w:rFonts w:ascii="Times New Roman" w:hAnsi="Times New Roman" w:cs="Times New Roman"/>
          <w:bCs/>
          <w:lang w:val="es-CO"/>
        </w:rPr>
        <w:t>al señalar que si bien el cableado no era de baja emisión de humos y sin </w:t>
      </w:r>
      <w:r w:rsidRPr="001A15EE">
        <w:rPr>
          <w:rFonts w:ascii="Times New Roman" w:hAnsi="Times New Roman" w:cs="Times New Roman"/>
          <w:b/>
          <w:bCs/>
          <w:i/>
          <w:iCs/>
          <w:lang w:val="es-CO"/>
        </w:rPr>
        <w:t>halógenos</w:t>
      </w:r>
      <w:r w:rsidRPr="001A15EE">
        <w:rPr>
          <w:rFonts w:ascii="Times New Roman" w:hAnsi="Times New Roman" w:cs="Times New Roman"/>
          <w:bCs/>
          <w:lang w:val="es-CO"/>
        </w:rPr>
        <w:t> (</w:t>
      </w:r>
      <w:proofErr w:type="spellStart"/>
      <w:r w:rsidRPr="001A15EE">
        <w:rPr>
          <w:rFonts w:ascii="Times New Roman" w:hAnsi="Times New Roman" w:cs="Times New Roman"/>
          <w:b/>
          <w:bCs/>
          <w:i/>
          <w:iCs/>
          <w:lang w:val="es-CO"/>
        </w:rPr>
        <w:t>LSZH</w:t>
      </w:r>
      <w:proofErr w:type="spellEnd"/>
      <w:r w:rsidRPr="001A15EE">
        <w:rPr>
          <w:rFonts w:ascii="Times New Roman" w:hAnsi="Times New Roman" w:cs="Times New Roman"/>
          <w:bCs/>
          <w:lang w:val="es-CO"/>
        </w:rPr>
        <w:t xml:space="preserve">), no había riesgo para el contratante; y en lo tocante al cableado de “estructurado para voz y datos”, adujo la demandada que debía ser UTP categoría </w:t>
      </w:r>
      <w:r w:rsidRPr="001A15EE">
        <w:rPr>
          <w:rFonts w:ascii="Times New Roman" w:hAnsi="Times New Roman" w:cs="Times New Roman"/>
          <w:b/>
          <w:bCs/>
          <w:lang w:val="es-CO"/>
        </w:rPr>
        <w:t>6</w:t>
      </w:r>
      <w:r w:rsidRPr="001A15EE">
        <w:rPr>
          <w:rFonts w:ascii="Times New Roman" w:hAnsi="Times New Roman" w:cs="Times New Roman"/>
          <w:bCs/>
          <w:lang w:val="es-CO"/>
        </w:rPr>
        <w:t xml:space="preserve">, el que al final de cuentas fue el que vino a ser instalado por orientación reiterada del eléctrico Bello Triana, cuando sostuvo que la categoría </w:t>
      </w:r>
      <w:r w:rsidRPr="001A15EE">
        <w:rPr>
          <w:rFonts w:ascii="Times New Roman" w:hAnsi="Times New Roman" w:cs="Times New Roman"/>
          <w:b/>
          <w:bCs/>
          <w:lang w:val="es-CO"/>
        </w:rPr>
        <w:t>6</w:t>
      </w:r>
      <w:r w:rsidRPr="001A15EE">
        <w:rPr>
          <w:rFonts w:ascii="Times New Roman" w:hAnsi="Times New Roman" w:cs="Times New Roman"/>
          <w:bCs/>
          <w:lang w:val="es-CO"/>
        </w:rPr>
        <w:t xml:space="preserve"> del cable UTP se instaló con la marca “</w:t>
      </w:r>
      <w:proofErr w:type="spellStart"/>
      <w:r w:rsidRPr="001A15EE">
        <w:rPr>
          <w:rFonts w:ascii="Times New Roman" w:hAnsi="Times New Roman" w:cs="Times New Roman"/>
          <w:bCs/>
          <w:lang w:val="es-CO"/>
        </w:rPr>
        <w:t>ANP</w:t>
      </w:r>
      <w:proofErr w:type="spellEnd"/>
      <w:r w:rsidRPr="001A15EE">
        <w:rPr>
          <w:rFonts w:ascii="Times New Roman" w:hAnsi="Times New Roman" w:cs="Times New Roman"/>
          <w:bCs/>
          <w:lang w:val="es-CO"/>
        </w:rPr>
        <w:t>”, lo que igualmente corroboró el arquitecto Izquierdo Barbosa.</w:t>
      </w:r>
    </w:p>
    <w:p w14:paraId="2B7A1E4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6E9675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c) </w:t>
      </w:r>
      <w:r w:rsidRPr="001A15EE">
        <w:rPr>
          <w:rFonts w:ascii="Times New Roman" w:hAnsi="Times New Roman" w:cs="Times New Roman"/>
          <w:bCs/>
          <w:lang w:val="es-CO"/>
        </w:rPr>
        <w:t xml:space="preserve">Aunque el testigo Andrés Hernández Medina, subcontratista a través de su sociedad </w:t>
      </w:r>
      <w:proofErr w:type="spellStart"/>
      <w:r w:rsidRPr="001A15EE">
        <w:rPr>
          <w:rFonts w:ascii="Times New Roman" w:hAnsi="Times New Roman" w:cs="Times New Roman"/>
          <w:bCs/>
          <w:lang w:val="es-CO"/>
        </w:rPr>
        <w:t>Innventa</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Group</w:t>
      </w:r>
      <w:proofErr w:type="spellEnd"/>
      <w:r w:rsidRPr="001A15EE">
        <w:rPr>
          <w:rFonts w:ascii="Times New Roman" w:hAnsi="Times New Roman" w:cs="Times New Roman"/>
          <w:bCs/>
          <w:lang w:val="es-CO"/>
        </w:rPr>
        <w:t xml:space="preserve"> S.A.S., sostuvo que el señor Guerrero Díaz, representante legal de la demandante principal, no hizo el plano ni el diseño para cumplir con las expectativas de negocio de la contratante en lo que a los muebles se refiere, no puede obviarse que en la audiencia le fue puesto de presente el correo de 4 de agosto de 2017 que le remitió el segundo, con lo que terminó por señalar que la razón de ese correo fue por estar “trabajando en el plano arquitectónico, de acuerdo a la verificación de medidas, así como en la programación de fechas de entrega” (min. 3:09:54), de suerte que no luce verosímil la ausencia de orientación por parte de su contratante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w:t>
      </w:r>
    </w:p>
    <w:p w14:paraId="432E0F4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90D0A1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d) </w:t>
      </w:r>
      <w:r w:rsidRPr="001A15EE">
        <w:rPr>
          <w:rFonts w:ascii="Times New Roman" w:hAnsi="Times New Roman" w:cs="Times New Roman"/>
          <w:bCs/>
          <w:lang w:val="es-CO"/>
        </w:rPr>
        <w:t xml:space="preserve">En lo tocante a </w:t>
      </w:r>
      <w:proofErr w:type="spellStart"/>
      <w:r w:rsidRPr="001A15EE">
        <w:rPr>
          <w:rFonts w:ascii="Times New Roman" w:hAnsi="Times New Roman" w:cs="Times New Roman"/>
          <w:bCs/>
          <w:lang w:val="es-CO"/>
        </w:rPr>
        <w:t>Jhon</w:t>
      </w:r>
      <w:proofErr w:type="spellEnd"/>
      <w:r w:rsidRPr="001A15EE">
        <w:rPr>
          <w:rFonts w:ascii="Times New Roman" w:hAnsi="Times New Roman" w:cs="Times New Roman"/>
          <w:bCs/>
          <w:lang w:val="es-CO"/>
        </w:rPr>
        <w:t xml:space="preserve"> Bello Triana, si bien precisó que el cable eléctrico no podría tener el certificado Retie por no estar libre de </w:t>
      </w:r>
      <w:r w:rsidRPr="001A15EE">
        <w:rPr>
          <w:rFonts w:ascii="Times New Roman" w:hAnsi="Times New Roman" w:cs="Times New Roman"/>
          <w:bCs/>
          <w:i/>
          <w:iCs/>
          <w:lang w:val="es-CO"/>
        </w:rPr>
        <w:t>halógenos</w:t>
      </w:r>
      <w:r w:rsidRPr="001A15EE">
        <w:rPr>
          <w:rFonts w:ascii="Times New Roman" w:hAnsi="Times New Roman" w:cs="Times New Roman"/>
          <w:bCs/>
          <w:lang w:val="es-CO"/>
        </w:rPr>
        <w:t xml:space="preserve">, la Sala no puede pasar por alto que su versión, al igual que la anterior (quien anunció haber formulado varias acciones administrativas y judiciales en su contra), merecen especial escrutinio, dado el “sufrimiento” que aquél eléctrico dijo en audiencia padecer con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ante la imposibilidad de lograr el cobro de lo convenido, impago que en cierta medida no le resulta ajeno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64499C8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707B8E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e)</w:t>
      </w:r>
      <w:r w:rsidRPr="001A15EE">
        <w:rPr>
          <w:rFonts w:ascii="Times New Roman" w:hAnsi="Times New Roman" w:cs="Times New Roman"/>
          <w:bCs/>
          <w:lang w:val="es-CO"/>
        </w:rPr>
        <w:t xml:space="preserve"> En las dos únicas actas de entrega (de 2 y 31 de octubre de 2017) que obran en el proceso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46 a 49), el representante legal de la demandante dejó constancia que para corregir “</w:t>
      </w:r>
      <w:r w:rsidRPr="001A15EE">
        <w:rPr>
          <w:rFonts w:ascii="Times New Roman" w:hAnsi="Times New Roman" w:cs="Times New Roman"/>
          <w:b/>
          <w:bCs/>
          <w:lang w:val="es-CO"/>
        </w:rPr>
        <w:t>cualquier servicio</w:t>
      </w:r>
      <w:r w:rsidRPr="001A15EE">
        <w:rPr>
          <w:rFonts w:ascii="Times New Roman" w:hAnsi="Times New Roman" w:cs="Times New Roman"/>
          <w:bCs/>
          <w:lang w:val="es-CO"/>
        </w:rPr>
        <w:t xml:space="preserve">”, era necesario “detallar el origen de los inconvenientes mediante cita concertada entre contratante y contratista, e intervenir los desperfectos que se puedan presentar”, cuyas garantías serían efectuadas por el personal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so pena de perderse, sin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acreditara requerimiento alguno para solucionar alguna de las deficiencias que en este juicio mencionó.</w:t>
      </w:r>
    </w:p>
    <w:p w14:paraId="7E4D03B4"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B93FA6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f) </w:t>
      </w:r>
      <w:r w:rsidRPr="001A15EE">
        <w:rPr>
          <w:rFonts w:ascii="Times New Roman" w:hAnsi="Times New Roman" w:cs="Times New Roman"/>
          <w:bCs/>
          <w:lang w:val="es-CO"/>
        </w:rPr>
        <w:t xml:space="preserve">Ahora bien, aun cuando para dilucidar las razones que llevaron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 rehusarse al pago de lo que estaba pendiente y, a partir de allí, dilucidar si estaba relevada de </w:t>
      </w:r>
      <w:r w:rsidRPr="001A15EE">
        <w:rPr>
          <w:rFonts w:ascii="Times New Roman" w:hAnsi="Times New Roman" w:cs="Times New Roman"/>
          <w:b/>
          <w:bCs/>
          <w:lang w:val="es-CO"/>
        </w:rPr>
        <w:t>cumplir con lo pactado</w:t>
      </w:r>
      <w:r w:rsidRPr="001A15EE">
        <w:rPr>
          <w:rFonts w:ascii="Times New Roman" w:hAnsi="Times New Roman" w:cs="Times New Roman"/>
          <w:bCs/>
          <w:lang w:val="es-CO"/>
        </w:rPr>
        <w:t>,</w:t>
      </w:r>
      <w:r w:rsidRPr="001A15EE">
        <w:rPr>
          <w:rFonts w:ascii="Times New Roman" w:hAnsi="Times New Roman" w:cs="Times New Roman"/>
          <w:b/>
          <w:bCs/>
          <w:lang w:val="es-CO"/>
        </w:rPr>
        <w:t xml:space="preserve"> </w:t>
      </w:r>
      <w:r w:rsidRPr="001A15EE">
        <w:rPr>
          <w:rFonts w:ascii="Times New Roman" w:hAnsi="Times New Roman" w:cs="Times New Roman"/>
          <w:bCs/>
          <w:lang w:val="es-CO"/>
        </w:rPr>
        <w:t xml:space="preserve">mientras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no cumpliera por su parte, o que se allanó a cumplir en la forma y tiempo debidos (artículo 1609 del C.C.), pudo acudir la representante legal de aquélla a la audiencia inicial o la de juzgamiento programadas para el 5 de marzo y 21 de agosto de 2019, pero como así no obró so pretexto de encontrarse en el exterior (sin pedir siquiera la utilización de medios técnicos -artículos 103 y 199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debe asumir las consecuencias de esa conducta procesal conforme  al inciso 2°, numeral 2° del citado artículo 372, en concordancia con la confesión presunta que regula el inciso 2° del artículo 205, </w:t>
      </w:r>
      <w:proofErr w:type="spellStart"/>
      <w:r w:rsidRPr="001A15EE">
        <w:rPr>
          <w:rFonts w:ascii="Times New Roman" w:hAnsi="Times New Roman" w:cs="Times New Roman"/>
          <w:bCs/>
          <w:i/>
          <w:lang w:val="es-CO"/>
        </w:rPr>
        <w:t>ibídem</w:t>
      </w:r>
      <w:proofErr w:type="spellEnd"/>
      <w:r w:rsidRPr="001A15EE">
        <w:rPr>
          <w:rFonts w:ascii="Times New Roman" w:hAnsi="Times New Roman" w:cs="Times New Roman"/>
          <w:bCs/>
          <w:i/>
          <w:lang w:val="es-CO"/>
        </w:rPr>
        <w:t xml:space="preserve">, </w:t>
      </w:r>
      <w:r w:rsidRPr="001A15EE">
        <w:rPr>
          <w:rFonts w:ascii="Times New Roman" w:hAnsi="Times New Roman" w:cs="Times New Roman"/>
          <w:bCs/>
          <w:lang w:val="es-CO"/>
        </w:rPr>
        <w:t xml:space="preserve">para los hechos décimo segundo y décimo cuarto según la demanda reformada, según el cual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“se ha allanado a cumplir sus obligaciones contractuales, hasta donde se lo ha permitido su capacidad económica” y con “la entrega en el tiempo estipulado”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702).</w:t>
      </w:r>
    </w:p>
    <w:p w14:paraId="26FA8F3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5563C8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De manera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pese a la “</w:t>
      </w:r>
      <w:r w:rsidRPr="001A15EE">
        <w:rPr>
          <w:rFonts w:ascii="Times New Roman" w:hAnsi="Times New Roman" w:cs="Times New Roman"/>
          <w:b/>
          <w:bCs/>
          <w:lang w:val="es-CO"/>
        </w:rPr>
        <w:t xml:space="preserve">omisión previa de su contendor respecto de una prestación que éste debía acatar de manera </w:t>
      </w:r>
      <w:proofErr w:type="spellStart"/>
      <w:r w:rsidRPr="001A15EE">
        <w:rPr>
          <w:rFonts w:ascii="Times New Roman" w:hAnsi="Times New Roman" w:cs="Times New Roman"/>
          <w:b/>
          <w:bCs/>
          <w:lang w:val="es-CO"/>
        </w:rPr>
        <w:t>preliminar”</w:t>
      </w:r>
      <w:r w:rsidRPr="001A15EE">
        <w:rPr>
          <w:rFonts w:ascii="Times New Roman" w:hAnsi="Times New Roman" w:cs="Times New Roman"/>
          <w:bCs/>
          <w:vertAlign w:val="superscript"/>
          <w:lang w:val="es-CO"/>
        </w:rPr>
        <w:t>1</w:t>
      </w:r>
      <w:proofErr w:type="spellEnd"/>
      <w:r w:rsidRPr="001A15EE">
        <w:rPr>
          <w:rFonts w:ascii="Times New Roman" w:hAnsi="Times New Roman" w:cs="Times New Roman"/>
          <w:bCs/>
          <w:lang w:val="es-CO"/>
        </w:rPr>
        <w:t xml:space="preserve">, esto es, honrar los dos últimos pagos por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243’343.800,oo</w:t>
      </w:r>
      <w:proofErr w:type="spellEnd"/>
      <w:r w:rsidRPr="001A15EE">
        <w:rPr>
          <w:rFonts w:ascii="Times New Roman" w:hAnsi="Times New Roman" w:cs="Times New Roman"/>
          <w:bCs/>
          <w:lang w:val="es-CO"/>
        </w:rPr>
        <w:t xml:space="preserve">, contrario a lo que sostuvo la primera instancia, siempre estuvo presto a cumplir. </w:t>
      </w:r>
    </w:p>
    <w:p w14:paraId="085CDC5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D7CB7C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 propósito de la argumentación del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en la pasada audiencia, es verdad que dentro de la autonomía de la voluntad de las partes, éstas pueden fijar el orden en que deben ejecutarse sus obligaciones recíprocas; sin embargo, la excepción de contrato no cumplido solo se abre paso “</w:t>
      </w:r>
      <w:r w:rsidRPr="001A15EE">
        <w:rPr>
          <w:rFonts w:ascii="Times New Roman" w:hAnsi="Times New Roman" w:cs="Times New Roman"/>
          <w:b/>
          <w:bCs/>
          <w:u w:val="single"/>
          <w:lang w:val="es-CO"/>
        </w:rPr>
        <w:t xml:space="preserve">en la medida en que la parte </w:t>
      </w:r>
      <w:proofErr w:type="spellStart"/>
      <w:r w:rsidRPr="001A15EE">
        <w:rPr>
          <w:rFonts w:ascii="Times New Roman" w:hAnsi="Times New Roman" w:cs="Times New Roman"/>
          <w:b/>
          <w:bCs/>
          <w:u w:val="single"/>
          <w:lang w:val="es-CO"/>
        </w:rPr>
        <w:t>excepcionante</w:t>
      </w:r>
      <w:proofErr w:type="spellEnd"/>
      <w:r w:rsidRPr="001A15EE">
        <w:rPr>
          <w:rFonts w:ascii="Times New Roman" w:hAnsi="Times New Roman" w:cs="Times New Roman"/>
          <w:b/>
          <w:bCs/>
          <w:u w:val="single"/>
          <w:lang w:val="es-CO"/>
        </w:rPr>
        <w:t xml:space="preserve"> no se encuentre obligada a cumplir primero con sus obligaciones</w:t>
      </w:r>
      <w:r w:rsidRPr="001A15EE">
        <w:rPr>
          <w:rFonts w:ascii="Times New Roman" w:hAnsi="Times New Roman" w:cs="Times New Roman"/>
          <w:bCs/>
          <w:lang w:val="es-CO"/>
        </w:rPr>
        <w:t xml:space="preserve">, de acuerdo con lo estipulado o con la naturaleza de la convención, punto sobre el que ha dicho </w:t>
      </w:r>
      <w:smartTag w:uri="urn:schemas-microsoft-com:office:smarttags" w:element="PersonName">
        <w:smartTagPr>
          <w:attr w:name="ProductID" w:val="la Corte"/>
        </w:smartTagPr>
        <w:r w:rsidRPr="001A15EE">
          <w:rPr>
            <w:rFonts w:ascii="Times New Roman" w:hAnsi="Times New Roman" w:cs="Times New Roman"/>
            <w:bCs/>
            <w:lang w:val="es-CO"/>
          </w:rPr>
          <w:t>la Corte</w:t>
        </w:r>
      </w:smartTag>
      <w:r w:rsidRPr="001A15EE">
        <w:rPr>
          <w:rFonts w:ascii="Times New Roman" w:hAnsi="Times New Roman" w:cs="Times New Roman"/>
          <w:bCs/>
          <w:lang w:val="es-CO"/>
        </w:rPr>
        <w:t xml:space="preserve"> que ‘el principio básico sobre el cual </w:t>
      </w:r>
      <w:r w:rsidRPr="001A15EE">
        <w:rPr>
          <w:rFonts w:ascii="Times New Roman" w:hAnsi="Times New Roman" w:cs="Times New Roman"/>
          <w:bCs/>
          <w:lang w:val="es-CO"/>
        </w:rPr>
        <w:t xml:space="preserve">reposa la </w:t>
      </w:r>
      <w:proofErr w:type="spellStart"/>
      <w:r w:rsidRPr="001A15EE">
        <w:rPr>
          <w:rFonts w:ascii="Times New Roman" w:hAnsi="Times New Roman" w:cs="Times New Roman"/>
          <w:bCs/>
          <w:i/>
          <w:lang w:val="es-CO"/>
        </w:rPr>
        <w:t>exceptio</w:t>
      </w:r>
      <w:proofErr w:type="spellEnd"/>
      <w:r w:rsidRPr="001A15EE">
        <w:rPr>
          <w:rFonts w:ascii="Times New Roman" w:hAnsi="Times New Roman" w:cs="Times New Roman"/>
          <w:bCs/>
          <w:i/>
          <w:lang w:val="es-CO"/>
        </w:rPr>
        <w:t xml:space="preserve"> non </w:t>
      </w:r>
      <w:proofErr w:type="spellStart"/>
      <w:r w:rsidRPr="001A15EE">
        <w:rPr>
          <w:rFonts w:ascii="Times New Roman" w:hAnsi="Times New Roman" w:cs="Times New Roman"/>
          <w:bCs/>
          <w:i/>
          <w:lang w:val="es-CO"/>
        </w:rPr>
        <w:t>adimpleti</w:t>
      </w:r>
      <w:proofErr w:type="spellEnd"/>
      <w:r w:rsidRPr="001A15EE">
        <w:rPr>
          <w:rFonts w:ascii="Times New Roman" w:hAnsi="Times New Roman" w:cs="Times New Roman"/>
          <w:bCs/>
          <w:i/>
          <w:lang w:val="es-CO"/>
        </w:rPr>
        <w:t>  contractus</w:t>
      </w:r>
      <w:r w:rsidRPr="001A15EE">
        <w:rPr>
          <w:rFonts w:ascii="Times New Roman" w:hAnsi="Times New Roman" w:cs="Times New Roman"/>
          <w:bCs/>
          <w:lang w:val="es-CO"/>
        </w:rPr>
        <w:t>, es la equidad. Por consiguiente, para que tenga cabida la excepción de inejecución, se requiere en primer lugar, que exista entre las partes una relación bilateral obligatoria, en la que la parte perseguida sea efectivamente deudora de una prestación emanada de esa relación, y al mismo tiempo acreedora de una contraprestación no efectuada aún por la otra. En segundo lugar, se requiere que el contratante a quien se demanda la ejecución, no se halle forzado por el contrato a satisfacer primero su obligación”. (</w:t>
      </w:r>
      <w:proofErr w:type="spellStart"/>
      <w:r w:rsidRPr="001A15EE">
        <w:rPr>
          <w:rFonts w:ascii="Times New Roman" w:hAnsi="Times New Roman" w:cs="Times New Roman"/>
          <w:bCs/>
          <w:lang w:val="es-CO"/>
        </w:rPr>
        <w:t>G.J</w:t>
      </w:r>
      <w:proofErr w:type="spellEnd"/>
      <w:r w:rsidRPr="001A15EE">
        <w:rPr>
          <w:rFonts w:ascii="Times New Roman" w:hAnsi="Times New Roman" w:cs="Times New Roman"/>
          <w:bCs/>
          <w:lang w:val="es-CO"/>
        </w:rPr>
        <w:t>. Tomo CXLVII, pág. 163)”</w:t>
      </w:r>
      <w:r w:rsidRPr="001A15EE">
        <w:rPr>
          <w:rFonts w:ascii="Times New Roman" w:hAnsi="Times New Roman" w:cs="Times New Roman"/>
          <w:bCs/>
          <w:vertAlign w:val="superscript"/>
          <w:lang w:val="es-CO"/>
        </w:rPr>
        <w:footnoteReference w:id="22"/>
      </w:r>
      <w:r w:rsidRPr="001A15EE">
        <w:rPr>
          <w:rFonts w:ascii="Times New Roman" w:hAnsi="Times New Roman" w:cs="Times New Roman"/>
          <w:bCs/>
          <w:lang w:val="es-CO"/>
        </w:rPr>
        <w:t>.</w:t>
      </w:r>
    </w:p>
    <w:p w14:paraId="64A47CB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551E79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Tampoco ofrece discusión que la </w:t>
      </w:r>
      <w:r w:rsidRPr="001A15EE">
        <w:rPr>
          <w:rFonts w:ascii="Times New Roman" w:hAnsi="Times New Roman" w:cs="Times New Roman"/>
          <w:b/>
          <w:bCs/>
          <w:lang w:val="es-CO"/>
        </w:rPr>
        <w:t>culpa</w:t>
      </w:r>
      <w:r w:rsidRPr="001A15EE">
        <w:rPr>
          <w:rFonts w:ascii="Times New Roman" w:hAnsi="Times New Roman" w:cs="Times New Roman"/>
          <w:bCs/>
          <w:lang w:val="es-CO"/>
        </w:rPr>
        <w:t xml:space="preserve"> del deudor se encuentra acreditada, tras presumirse en esta materia contractual cuando existe mora</w:t>
      </w:r>
      <w:r w:rsidRPr="001A15EE">
        <w:rPr>
          <w:rFonts w:ascii="Times New Roman" w:hAnsi="Times New Roman" w:cs="Times New Roman"/>
          <w:bCs/>
          <w:vertAlign w:val="superscript"/>
          <w:lang w:val="es-CO"/>
        </w:rPr>
        <w:footnoteReference w:id="23"/>
      </w:r>
      <w:r w:rsidRPr="001A15EE">
        <w:rPr>
          <w:rFonts w:ascii="Times New Roman" w:hAnsi="Times New Roman" w:cs="Times New Roman"/>
          <w:bCs/>
          <w:lang w:val="es-CO"/>
        </w:rPr>
        <w:t xml:space="preserve">, al igual que el </w:t>
      </w:r>
      <w:r w:rsidRPr="001A15EE">
        <w:rPr>
          <w:rFonts w:ascii="Times New Roman" w:hAnsi="Times New Roman" w:cs="Times New Roman"/>
          <w:b/>
          <w:bCs/>
          <w:lang w:val="es-CO"/>
        </w:rPr>
        <w:t>daño</w:t>
      </w:r>
      <w:r w:rsidRPr="001A15EE">
        <w:rPr>
          <w:rFonts w:ascii="Times New Roman" w:hAnsi="Times New Roman" w:cs="Times New Roman"/>
          <w:bCs/>
          <w:lang w:val="es-CO"/>
        </w:rPr>
        <w:t xml:space="preserve"> que se le generó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por efecto de la infracción contractual y su relación de causalidad, por lo que las defensas de la demandada principal denominadas “contrato no cumplido”, “existencia de incumplimiento de contrato por parte de la sociedad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y “</w:t>
      </w:r>
      <w:proofErr w:type="spellStart"/>
      <w:r w:rsidRPr="001A15EE">
        <w:rPr>
          <w:rFonts w:ascii="Times New Roman" w:hAnsi="Times New Roman" w:cs="Times New Roman"/>
          <w:bCs/>
          <w:i/>
          <w:lang w:val="es-CO"/>
        </w:rPr>
        <w:t>nemo</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auditur</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propriam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turpitudinem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allegans</w:t>
      </w:r>
      <w:proofErr w:type="spellEnd"/>
      <w:r w:rsidRPr="001A15EE">
        <w:rPr>
          <w:rFonts w:ascii="Times New Roman" w:hAnsi="Times New Roman" w:cs="Times New Roman"/>
          <w:bCs/>
          <w:lang w:val="es-CO"/>
        </w:rPr>
        <w:t xml:space="preserve">”, tampoco están llamadas a prosperar. </w:t>
      </w:r>
    </w:p>
    <w:p w14:paraId="022DE3D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58AAF7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punto a la “excepción” genérica hace referencia a la facultad oficiosa del juez de acoger alguna excepción de mérito (artículo 282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sin que en esta oportunidad la Sala halle acreditada alguna circunstancia que pudiera dar lugar a un pronunciamiento de ese carácter.</w:t>
      </w:r>
    </w:p>
    <w:p w14:paraId="2479FB1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6A36FA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En conclusión, a voces del artículo 2056 del Código Civil, hay lugar a que quien encargó la obra y demás actividades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ha de reembolsar al artífice o constructor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los costos y el valor del trabajo hecho, todo de acuerdo con los términos contractuales (con exclusión del proyecto de “otrosí”), salvo lo atinente al servicio de vigilancia por $</w:t>
      </w:r>
      <w:proofErr w:type="spellStart"/>
      <w:r w:rsidRPr="001A15EE">
        <w:rPr>
          <w:rFonts w:ascii="Times New Roman" w:hAnsi="Times New Roman" w:cs="Times New Roman"/>
          <w:bCs/>
          <w:lang w:val="es-CO"/>
        </w:rPr>
        <w:t>7’600.000,oo</w:t>
      </w:r>
      <w:proofErr w:type="spellEnd"/>
      <w:r w:rsidRPr="001A15EE">
        <w:rPr>
          <w:rFonts w:ascii="Times New Roman" w:hAnsi="Times New Roman" w:cs="Times New Roman"/>
          <w:bCs/>
          <w:lang w:val="es-CO"/>
        </w:rPr>
        <w:t xml:space="preserve">, si se tiene en cuenta que el representante legal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en la reunión del 10 de octubre de 2017, afirmó que ese componente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59) debía descontársele por no haberse utilizado. </w:t>
      </w:r>
    </w:p>
    <w:p w14:paraId="770078D8" w14:textId="77777777" w:rsidR="001A15EE" w:rsidRPr="001A15EE" w:rsidRDefault="001A15EE" w:rsidP="001A15EE">
      <w:pPr>
        <w:widowControl w:val="0"/>
        <w:spacing w:after="0" w:line="240" w:lineRule="auto"/>
        <w:rPr>
          <w:rFonts w:ascii="Times New Roman" w:hAnsi="Times New Roman" w:cs="Times New Roman"/>
          <w:bCs/>
          <w:lang w:val="es-CO"/>
        </w:rPr>
      </w:pPr>
    </w:p>
    <w:p w14:paraId="6828E270" w14:textId="77777777" w:rsidR="001A15EE" w:rsidRPr="001A15EE" w:rsidRDefault="001A15EE" w:rsidP="001A15EE">
      <w:pPr>
        <w:widowControl w:val="0"/>
        <w:spacing w:after="0" w:line="240" w:lineRule="auto"/>
        <w:rPr>
          <w:rFonts w:ascii="Times New Roman" w:hAnsi="Times New Roman" w:cs="Times New Roman"/>
          <w:b/>
          <w:bCs/>
          <w:iCs/>
          <w:lang w:val="es-CO"/>
        </w:rPr>
      </w:pPr>
      <w:r w:rsidRPr="001A15EE">
        <w:rPr>
          <w:rFonts w:ascii="Times New Roman" w:hAnsi="Times New Roman" w:cs="Times New Roman"/>
          <w:b/>
          <w:bCs/>
          <w:iCs/>
          <w:lang w:val="es-CO"/>
        </w:rPr>
        <w:t>(</w:t>
      </w:r>
      <w:proofErr w:type="spellStart"/>
      <w:r w:rsidRPr="001A15EE">
        <w:rPr>
          <w:rFonts w:ascii="Times New Roman" w:hAnsi="Times New Roman" w:cs="Times New Roman"/>
          <w:b/>
          <w:bCs/>
          <w:iCs/>
          <w:lang w:val="es-CO"/>
        </w:rPr>
        <w:t>iv</w:t>
      </w:r>
      <w:proofErr w:type="spellEnd"/>
      <w:r w:rsidRPr="001A15EE">
        <w:rPr>
          <w:rFonts w:ascii="Times New Roman" w:hAnsi="Times New Roman" w:cs="Times New Roman"/>
          <w:b/>
          <w:bCs/>
          <w:iCs/>
          <w:lang w:val="es-CO"/>
        </w:rPr>
        <w:t>). La condena.</w:t>
      </w:r>
    </w:p>
    <w:p w14:paraId="0383D927" w14:textId="77777777" w:rsidR="001A15EE" w:rsidRPr="001A15EE" w:rsidRDefault="001A15EE" w:rsidP="001A15EE">
      <w:pPr>
        <w:widowControl w:val="0"/>
        <w:spacing w:after="0" w:line="240" w:lineRule="auto"/>
        <w:rPr>
          <w:rFonts w:ascii="Times New Roman" w:hAnsi="Times New Roman" w:cs="Times New Roman"/>
          <w:bCs/>
          <w:iCs/>
          <w:lang w:val="es-CO"/>
        </w:rPr>
      </w:pPr>
    </w:p>
    <w:p w14:paraId="742E674F" w14:textId="77777777" w:rsidR="001A15EE" w:rsidRPr="001A15EE" w:rsidRDefault="001A15EE" w:rsidP="001A15EE">
      <w:pPr>
        <w:widowControl w:val="0"/>
        <w:spacing w:after="0" w:line="240" w:lineRule="auto"/>
        <w:jc w:val="both"/>
        <w:rPr>
          <w:rFonts w:ascii="Times New Roman" w:hAnsi="Times New Roman" w:cs="Times New Roman"/>
          <w:bCs/>
          <w:iCs/>
          <w:lang w:val="es-CO"/>
        </w:rPr>
      </w:pPr>
      <w:r w:rsidRPr="001A15EE">
        <w:rPr>
          <w:rFonts w:ascii="Times New Roman" w:hAnsi="Times New Roman" w:cs="Times New Roman"/>
          <w:bCs/>
          <w:iCs/>
          <w:lang w:val="es-CO"/>
        </w:rPr>
        <w:t xml:space="preserve">Así las cosas, ante la prosperidad parcial de la acción de responsabilidad contractual, impulsada a través de la primera pretensión condenatoria, se reconocerá a la demandante la suma de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235’743.800,oo</w:t>
      </w:r>
      <w:proofErr w:type="spellEnd"/>
      <w:r w:rsidRPr="001A15EE">
        <w:rPr>
          <w:rFonts w:ascii="Times New Roman" w:hAnsi="Times New Roman" w:cs="Times New Roman"/>
          <w:bCs/>
          <w:lang w:val="es-CO"/>
        </w:rPr>
        <w:t xml:space="preserve">, </w:t>
      </w:r>
      <w:r w:rsidRPr="001A15EE">
        <w:rPr>
          <w:rFonts w:ascii="Times New Roman" w:hAnsi="Times New Roman" w:cs="Times New Roman"/>
          <w:bCs/>
          <w:iCs/>
          <w:lang w:val="es-CO"/>
        </w:rPr>
        <w:t>correspondientes a lo que la demandada</w:t>
      </w:r>
      <w:r w:rsidRPr="001A15EE">
        <w:rPr>
          <w:rFonts w:ascii="Times New Roman" w:hAnsi="Times New Roman" w:cs="Times New Roman"/>
          <w:bCs/>
          <w:lang w:val="es-CO"/>
        </w:rPr>
        <w:t xml:space="preserve"> dejó de pagar por las actividades acordadas en el contrato de 18 de julio de 2017 ($</w:t>
      </w:r>
      <w:proofErr w:type="spellStart"/>
      <w:r w:rsidRPr="001A15EE">
        <w:rPr>
          <w:rFonts w:ascii="Times New Roman" w:hAnsi="Times New Roman" w:cs="Times New Roman"/>
          <w:bCs/>
          <w:lang w:val="es-CO"/>
        </w:rPr>
        <w:t>243’343.800,oo</w:t>
      </w:r>
      <w:proofErr w:type="spellEnd"/>
      <w:r w:rsidRPr="001A15EE">
        <w:rPr>
          <w:rFonts w:ascii="Times New Roman" w:hAnsi="Times New Roman" w:cs="Times New Roman"/>
          <w:bCs/>
          <w:lang w:val="es-CO"/>
        </w:rPr>
        <w:t xml:space="preserve">), menos lo previsto por concepto del servicio de vigilancia </w:t>
      </w:r>
      <w:r w:rsidRPr="001A15EE">
        <w:rPr>
          <w:rFonts w:ascii="Times New Roman" w:hAnsi="Times New Roman" w:cs="Times New Roman"/>
          <w:bCs/>
          <w:lang w:val="es-CO"/>
        </w:rPr>
        <w:lastRenderedPageBreak/>
        <w:t>que no se usó ($</w:t>
      </w:r>
      <w:proofErr w:type="spellStart"/>
      <w:r w:rsidRPr="001A15EE">
        <w:rPr>
          <w:rFonts w:ascii="Times New Roman" w:hAnsi="Times New Roman" w:cs="Times New Roman"/>
          <w:bCs/>
          <w:lang w:val="es-CO"/>
        </w:rPr>
        <w:t>7’600.000,oo</w:t>
      </w:r>
      <w:proofErr w:type="spellEnd"/>
      <w:r w:rsidRPr="001A15EE">
        <w:rPr>
          <w:rFonts w:ascii="Times New Roman" w:hAnsi="Times New Roman" w:cs="Times New Roman"/>
          <w:bCs/>
          <w:lang w:val="es-CO"/>
        </w:rPr>
        <w:t xml:space="preserve">), </w:t>
      </w:r>
      <w:r w:rsidRPr="001A15EE">
        <w:rPr>
          <w:rFonts w:ascii="Times New Roman" w:hAnsi="Times New Roman" w:cs="Times New Roman"/>
          <w:bCs/>
          <w:iCs/>
          <w:lang w:val="es-CO"/>
        </w:rPr>
        <w:t xml:space="preserve">junto con los intereses comerciales moratorios liquidados a la tasa máxima permitida de acuerdo con el artículo 884 del C. de Co., a partir del 31 de octubre de 2017 y hasta que se verifique el pago total de la misma. </w:t>
      </w:r>
    </w:p>
    <w:p w14:paraId="4705E802" w14:textId="77777777" w:rsidR="00A73AF4" w:rsidRDefault="00A73AF4" w:rsidP="001A15EE">
      <w:pPr>
        <w:widowControl w:val="0"/>
        <w:spacing w:after="0" w:line="240" w:lineRule="auto"/>
        <w:jc w:val="both"/>
        <w:rPr>
          <w:rFonts w:ascii="Times New Roman" w:hAnsi="Times New Roman" w:cs="Times New Roman"/>
          <w:b/>
          <w:bCs/>
          <w:lang w:val="es-CO"/>
        </w:rPr>
      </w:pPr>
    </w:p>
    <w:p w14:paraId="333E401B" w14:textId="64AFCADA"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2. De la apelación de </w:t>
      </w:r>
      <w:proofErr w:type="spellStart"/>
      <w:r w:rsidRPr="001A15EE">
        <w:rPr>
          <w:rFonts w:ascii="Times New Roman" w:hAnsi="Times New Roman" w:cs="Times New Roman"/>
          <w:b/>
          <w:bCs/>
          <w:lang w:val="es-CO"/>
        </w:rPr>
        <w:t>Contact</w:t>
      </w:r>
      <w:proofErr w:type="spellEnd"/>
      <w:r w:rsidRPr="001A15EE">
        <w:rPr>
          <w:rFonts w:ascii="Times New Roman" w:hAnsi="Times New Roman" w:cs="Times New Roman"/>
          <w:b/>
          <w:bCs/>
          <w:lang w:val="es-CO"/>
        </w:rPr>
        <w:t xml:space="preserve"> (demandante en reconvención).</w:t>
      </w:r>
    </w:p>
    <w:p w14:paraId="762E0FC4"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01FC8B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Como se anticipó, ha de acotarse que el éxito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estaba supeditado a demostrar que atendió o estuvo pronta a atender los compromisos que adquirió, lo cual no aconteció, ante el reconocimiento de que no pagó a plenitud lo acordado por los trabajos a realizar, omisión que no se justifica, so pretexto de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debía acatar unas actividades de manera preliminar, cuando la primera no cumplió con los pagos en el tiempo acordados, mientras que la segunda demostró que siempre estuvo dispuesta a solucionar cualquier defecto advertido. </w:t>
      </w:r>
    </w:p>
    <w:p w14:paraId="3E64E24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F49EC6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Aunque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Point señaló que el contrato de obra en estudio tiene obligaciones de </w:t>
      </w:r>
      <w:r w:rsidRPr="001A15EE">
        <w:rPr>
          <w:rFonts w:ascii="Times New Roman" w:hAnsi="Times New Roman" w:cs="Times New Roman"/>
          <w:b/>
          <w:bCs/>
          <w:lang w:val="es-CO"/>
        </w:rPr>
        <w:t>resultado</w:t>
      </w:r>
      <w:r w:rsidRPr="001A15EE">
        <w:rPr>
          <w:rFonts w:ascii="Times New Roman" w:hAnsi="Times New Roman" w:cs="Times New Roman"/>
          <w:bCs/>
          <w:lang w:val="es-CO"/>
        </w:rPr>
        <w:t xml:space="preserve">, sin que su opositora le hubiere hecho “entrega a satisfacción” (min. 14:08, </w:t>
      </w:r>
      <w:proofErr w:type="spellStart"/>
      <w:r w:rsidRPr="001A15EE">
        <w:rPr>
          <w:rFonts w:ascii="Times New Roman" w:hAnsi="Times New Roman" w:cs="Times New Roman"/>
          <w:bCs/>
          <w:lang w:val="es-CO"/>
        </w:rPr>
        <w:t>aud</w:t>
      </w:r>
      <w:proofErr w:type="spellEnd"/>
      <w:r w:rsidRPr="001A15EE">
        <w:rPr>
          <w:rFonts w:ascii="Times New Roman" w:hAnsi="Times New Roman" w:cs="Times New Roman"/>
          <w:bCs/>
          <w:lang w:val="es-CO"/>
        </w:rPr>
        <w:t xml:space="preserve">. 10/03/2020) y que por ello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Estudios incumplió, pasa por alto que el objeto de la cláusula primera del aludido convenio en efecto implicó un preciso resultado, el mismo que recibió el 31 de octubre de 2017 su empleada, Inés Harley Bohórquez Corredor, sin que en este asunto se advierta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Point hubiere acudido a la “comisión” acordada para inspeccionar todas las construcciones e instruyera sobre los trabajos de reparación y conservación que dentro de la autonomía de la voluntad consignaron en la cláusula décima tercera de esa convención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6,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como para inferir la insatisfacción a que hizo alusión la recurrente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11FE014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883076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Tampoco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explicó la razón por la cual obvió requerir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si es que en realidad consideraba que debía cumplir con las garantías ofrecidas, máxime cuando, como se dijo, a ninguna audiencia acudió.</w:t>
      </w:r>
    </w:p>
    <w:p w14:paraId="35C0171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r>
    </w:p>
    <w:p w14:paraId="2542C64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Memórese la “</w:t>
      </w:r>
      <w:r w:rsidRPr="001A15EE">
        <w:rPr>
          <w:rFonts w:ascii="Times New Roman" w:hAnsi="Times New Roman" w:cs="Times New Roman"/>
          <w:b/>
          <w:bCs/>
          <w:lang w:val="es-CO"/>
        </w:rPr>
        <w:t>importancia de que las partes estén presentes en esta etapa procesal, pues</w:t>
      </w:r>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su inasistencia a la audiencia inicial</w:t>
      </w:r>
      <w:r w:rsidRPr="001A15EE">
        <w:rPr>
          <w:rFonts w:ascii="Times New Roman" w:hAnsi="Times New Roman" w:cs="Times New Roman"/>
          <w:bCs/>
          <w:lang w:val="es-CO"/>
        </w:rPr>
        <w:t xml:space="preserve"> o única </w:t>
      </w:r>
      <w:r w:rsidRPr="001A15EE">
        <w:rPr>
          <w:rFonts w:ascii="Times New Roman" w:hAnsi="Times New Roman" w:cs="Times New Roman"/>
          <w:b/>
          <w:bCs/>
          <w:lang w:val="es-CO"/>
        </w:rPr>
        <w:t>del Código General del Proceso</w:t>
      </w:r>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no sólo genera las</w:t>
      </w:r>
      <w:r w:rsidRPr="001A15EE">
        <w:rPr>
          <w:rFonts w:ascii="Times New Roman" w:hAnsi="Times New Roman" w:cs="Times New Roman"/>
          <w:bCs/>
          <w:u w:val="single"/>
          <w:lang w:val="es-CO"/>
        </w:rPr>
        <w:t xml:space="preserve"> </w:t>
      </w:r>
      <w:r w:rsidRPr="001A15EE">
        <w:rPr>
          <w:rFonts w:ascii="Times New Roman" w:hAnsi="Times New Roman" w:cs="Times New Roman"/>
          <w:b/>
          <w:bCs/>
          <w:u w:val="single"/>
          <w:lang w:val="es-CO"/>
        </w:rPr>
        <w:t>consecuencias procesales</w:t>
      </w:r>
      <w:r w:rsidRPr="001A15EE">
        <w:rPr>
          <w:rFonts w:ascii="Times New Roman" w:hAnsi="Times New Roman" w:cs="Times New Roman"/>
          <w:bCs/>
          <w:lang w:val="es-CO"/>
        </w:rPr>
        <w:t xml:space="preserve"> y pecuniarias adversas previstas en los numerales 2° y 3° del parágrafo 2° de la norma aludida (numeral 4° del artículo 372…, </w:t>
      </w:r>
      <w:r w:rsidRPr="001A15EE">
        <w:rPr>
          <w:rFonts w:ascii="Times New Roman" w:hAnsi="Times New Roman" w:cs="Times New Roman"/>
          <w:b/>
          <w:bCs/>
          <w:u w:val="single"/>
          <w:lang w:val="es-CO"/>
        </w:rPr>
        <w:t>sino que</w:t>
      </w:r>
      <w:r w:rsidRPr="001A15EE">
        <w:rPr>
          <w:rFonts w:ascii="Times New Roman" w:hAnsi="Times New Roman" w:cs="Times New Roman"/>
          <w:bCs/>
          <w:u w:val="single"/>
          <w:lang w:val="es-CO"/>
        </w:rPr>
        <w:t xml:space="preserve"> </w:t>
      </w:r>
      <w:r w:rsidRPr="001A15EE">
        <w:rPr>
          <w:rFonts w:ascii="Times New Roman" w:hAnsi="Times New Roman" w:cs="Times New Roman"/>
          <w:b/>
          <w:bCs/>
          <w:u w:val="single"/>
          <w:lang w:val="es-CO"/>
        </w:rPr>
        <w:t>afectará el ejercicio de la acción sustancial</w:t>
      </w:r>
      <w:r w:rsidRPr="001A15EE">
        <w:rPr>
          <w:rFonts w:ascii="Times New Roman" w:hAnsi="Times New Roman" w:cs="Times New Roman"/>
          <w:bCs/>
          <w:lang w:val="es-CO"/>
        </w:rPr>
        <w:t xml:space="preserve">” Sentencia de 10 de marzo de 2020,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2010-00053-01, </w:t>
      </w:r>
      <w:proofErr w:type="spellStart"/>
      <w:r w:rsidRPr="001A15EE">
        <w:rPr>
          <w:rFonts w:ascii="Times New Roman" w:hAnsi="Times New Roman" w:cs="Times New Roman"/>
          <w:bCs/>
          <w:lang w:val="es-CO"/>
        </w:rPr>
        <w:t>SC780</w:t>
      </w:r>
      <w:proofErr w:type="spellEnd"/>
      <w:r w:rsidRPr="001A15EE">
        <w:rPr>
          <w:rFonts w:ascii="Times New Roman" w:hAnsi="Times New Roman" w:cs="Times New Roman"/>
          <w:bCs/>
          <w:lang w:val="es-CO"/>
        </w:rPr>
        <w:t xml:space="preserve">-2020. </w:t>
      </w:r>
      <w:proofErr w:type="spellStart"/>
      <w:r w:rsidRPr="001A15EE">
        <w:rPr>
          <w:rFonts w:ascii="Times New Roman" w:hAnsi="Times New Roman" w:cs="Times New Roman"/>
          <w:bCs/>
          <w:lang w:val="es-CO"/>
        </w:rPr>
        <w:t>M.P</w:t>
      </w:r>
      <w:proofErr w:type="spellEnd"/>
      <w:r w:rsidRPr="001A15EE">
        <w:rPr>
          <w:rFonts w:ascii="Times New Roman" w:hAnsi="Times New Roman" w:cs="Times New Roman"/>
          <w:bCs/>
          <w:lang w:val="es-CO"/>
        </w:rPr>
        <w:t xml:space="preserve">. Ariel </w:t>
      </w:r>
      <w:r w:rsidRPr="001A15EE">
        <w:rPr>
          <w:rFonts w:ascii="Times New Roman" w:hAnsi="Times New Roman" w:cs="Times New Roman"/>
          <w:bCs/>
          <w:lang w:val="es-CO"/>
        </w:rPr>
        <w:t>Salazar Ramírez; se resalta).</w:t>
      </w:r>
    </w:p>
    <w:p w14:paraId="0DBDE52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90D65C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Por eso no podía concluir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incumplió en su integridad las obligaciones derivadas del contrato de obra civil, concretamente las plasmadas en los literales a), b), c) y e) de la cláusula primera, precisamente ante la ausencia de pago de lo pactado y la no disposición tendiente a solucionar las inconsistencias que se dijeron fueron presentadas en la obra. </w:t>
      </w:r>
    </w:p>
    <w:p w14:paraId="220593B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B010EA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resumen, colige el Tribunal que las pruebas recaudadas en la actuación, lejos de evidenciar los incumplimientos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le endilgó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por la falta de entrega del 100% de la obra objeto de convenio (hecho 5°;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2), denotan es una constante y generalizada intención de ésta por cumplir con sus obligaciones contractuales, y de allanar el camino para el cumplimiento de los compromisos de su contraparte, conforme lo precisa el artículo 871 del Código de Comercio, a cuyo tenor, los contratos “obligarán no sólo a lo pactado expresamente en ellos, sino a todo lo que corresponda a la naturaleza de los mismos, según la ley, la costumbre o la equidad natural”.</w:t>
      </w:r>
    </w:p>
    <w:p w14:paraId="029BEC7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2CB7C3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Lo anterior, sumado a que ninguna de las excepciones invocadas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estaba llamada a prosperar, impone la revocatoria parcial del fallo apelado, para acoger, en lo medular, la demanda principal. </w:t>
      </w:r>
    </w:p>
    <w:p w14:paraId="4369A59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702B7F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Así las cosas, se revocará parcialmente la sentencia recurrida, pues se confirmará la denegación de la demanda de reconvención; se desestimarán las defensas formuladas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y, en su lugar, se atenderá la demanda principal en cuanto se declarará el incumplimiento del contrato de obra de 18 de julio de 2017 por parte de la referida sociedad, exclusión hecha de la declaración de la existencia de las obligaciones del “otrosí” y, por obvias razones, las pretensiones condenatorias tercera y cuarta; se condenará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 pagar, dentro de los 10 días siguientes a la ejecutoria de esta sentencia,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235’743.800,oo</w:t>
      </w:r>
      <w:proofErr w:type="spellEnd"/>
      <w:r w:rsidRPr="001A15EE">
        <w:rPr>
          <w:rFonts w:ascii="Times New Roman" w:hAnsi="Times New Roman" w:cs="Times New Roman"/>
          <w:bCs/>
          <w:lang w:val="es-CO"/>
        </w:rPr>
        <w:t>, suma que aquélla dejó de erogar por las actividades acordadas en el contrato de 18 de julio de 2017, más</w:t>
      </w:r>
      <w:r w:rsidRPr="001A15EE">
        <w:rPr>
          <w:rFonts w:ascii="Times New Roman" w:hAnsi="Times New Roman" w:cs="Times New Roman"/>
          <w:bCs/>
          <w:iCs/>
          <w:lang w:val="es-CO"/>
        </w:rPr>
        <w:t xml:space="preserve"> los intereses comerciales moratorios liquidados a la tasa máxima permitida, a partir del 31 de octubre de 2017 y hasta la fecha de pago de la aludida suma de capital</w:t>
      </w:r>
      <w:r w:rsidRPr="001A15EE">
        <w:rPr>
          <w:rFonts w:ascii="Times New Roman" w:hAnsi="Times New Roman" w:cs="Times New Roman"/>
          <w:bCs/>
          <w:lang w:val="es-CO"/>
        </w:rPr>
        <w:t xml:space="preserve">. Como es de rigor, se condenará a la contratante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al pago de las costas judiciales causadas en ambas instancias, de conformidad con el artículo 365 (</w:t>
      </w:r>
      <w:proofErr w:type="spellStart"/>
      <w:r w:rsidRPr="001A15EE">
        <w:rPr>
          <w:rFonts w:ascii="Times New Roman" w:hAnsi="Times New Roman" w:cs="Times New Roman"/>
          <w:bCs/>
          <w:lang w:val="es-CO"/>
        </w:rPr>
        <w:t>num</w:t>
      </w:r>
      <w:proofErr w:type="spellEnd"/>
      <w:r w:rsidRPr="001A15EE">
        <w:rPr>
          <w:rFonts w:ascii="Times New Roman" w:hAnsi="Times New Roman" w:cs="Times New Roman"/>
          <w:bCs/>
          <w:lang w:val="es-CO"/>
        </w:rPr>
        <w:t xml:space="preserve">. 1º)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4160D023" w14:textId="3A1D95BF" w:rsidR="001A15EE" w:rsidRPr="001A15EE" w:rsidRDefault="001A15EE" w:rsidP="001A15EE">
      <w:pPr>
        <w:widowControl w:val="0"/>
        <w:spacing w:after="0" w:line="240" w:lineRule="auto"/>
        <w:rPr>
          <w:rFonts w:ascii="Times New Roman" w:hAnsi="Times New Roman" w:cs="Times New Roman"/>
          <w:bCs/>
          <w:lang w:val="es-CO"/>
        </w:rPr>
      </w:pPr>
    </w:p>
    <w:p w14:paraId="31A010C3" w14:textId="77777777" w:rsidR="00A73AF4" w:rsidRDefault="00A73AF4" w:rsidP="001A15EE">
      <w:pPr>
        <w:widowControl w:val="0"/>
        <w:spacing w:after="0" w:line="240" w:lineRule="auto"/>
        <w:rPr>
          <w:rFonts w:ascii="Times New Roman" w:hAnsi="Times New Roman" w:cs="Times New Roman"/>
          <w:bCs/>
          <w:lang w:val="es-ES_tradnl"/>
        </w:rPr>
        <w:sectPr w:rsidR="00A73AF4" w:rsidSect="00A73AF4">
          <w:type w:val="continuous"/>
          <w:pgSz w:w="12242" w:h="19442" w:code="190"/>
          <w:pgMar w:top="1417" w:right="1610" w:bottom="1417" w:left="1701" w:header="708" w:footer="708" w:gutter="0"/>
          <w:cols w:num="2" w:space="708"/>
          <w:docGrid w:linePitch="360"/>
        </w:sectPr>
      </w:pPr>
    </w:p>
    <w:p w14:paraId="1C06A1B9" w14:textId="457B98C1" w:rsidR="001A15EE" w:rsidRDefault="001A15EE" w:rsidP="001A15EE">
      <w:pPr>
        <w:widowControl w:val="0"/>
        <w:spacing w:after="0" w:line="240" w:lineRule="auto"/>
        <w:rPr>
          <w:rFonts w:ascii="Times New Roman" w:hAnsi="Times New Roman" w:cs="Times New Roman"/>
          <w:bCs/>
          <w:lang w:val="es-ES_tradnl"/>
        </w:rPr>
      </w:pPr>
    </w:p>
    <w:p w14:paraId="7DA7D37A" w14:textId="77777777" w:rsidR="001A15EE" w:rsidRPr="001A15EE" w:rsidRDefault="001A15EE" w:rsidP="001A15EE">
      <w:pPr>
        <w:widowControl w:val="0"/>
        <w:spacing w:after="0" w:line="240" w:lineRule="auto"/>
        <w:rPr>
          <w:rFonts w:ascii="Times New Roman" w:hAnsi="Times New Roman" w:cs="Times New Roman"/>
          <w:bCs/>
          <w:lang w:val="es-ES_tradnl"/>
        </w:rPr>
      </w:pPr>
    </w:p>
    <w:sectPr w:rsidR="001A15EE" w:rsidRPr="001A15EE" w:rsidSect="001A15EE">
      <w:type w:val="continuous"/>
      <w:pgSz w:w="12242" w:h="19442" w:code="190"/>
      <w:pgMar w:top="1417" w:right="161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57F1F" w14:textId="77777777" w:rsidR="00574B17" w:rsidRDefault="00574B17">
      <w:pPr>
        <w:spacing w:after="0" w:line="240" w:lineRule="auto"/>
      </w:pPr>
      <w:r>
        <w:separator/>
      </w:r>
    </w:p>
  </w:endnote>
  <w:endnote w:type="continuationSeparator" w:id="0">
    <w:p w14:paraId="1C2013B5" w14:textId="77777777" w:rsidR="00574B17" w:rsidRDefault="0057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256423"/>
      <w:docPartObj>
        <w:docPartGallery w:val="Page Numbers (Bottom of Page)"/>
        <w:docPartUnique/>
      </w:docPartObj>
    </w:sdtPr>
    <w:sdtEndPr/>
    <w:sdtContent>
      <w:p w14:paraId="67A525D3" w14:textId="77777777" w:rsidR="001A15EE" w:rsidRDefault="001A15EE">
        <w:pPr>
          <w:pStyle w:val="Piedepgina"/>
          <w:jc w:val="right"/>
        </w:pPr>
        <w:r>
          <w:fldChar w:fldCharType="begin"/>
        </w:r>
        <w:r>
          <w:instrText>PAGE   \* MERGEFORMAT</w:instrText>
        </w:r>
        <w:r>
          <w:fldChar w:fldCharType="separate"/>
        </w:r>
        <w:r>
          <w:rPr>
            <w:noProof/>
          </w:rPr>
          <w:t>25</w:t>
        </w:r>
        <w:r>
          <w:fldChar w:fldCharType="end"/>
        </w:r>
      </w:p>
    </w:sdtContent>
  </w:sdt>
  <w:p w14:paraId="45A8FF98" w14:textId="77777777" w:rsidR="001A15EE" w:rsidRDefault="001A15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40256" w14:textId="77777777" w:rsidR="00574B17" w:rsidRDefault="00574B17">
      <w:pPr>
        <w:spacing w:after="0" w:line="240" w:lineRule="auto"/>
      </w:pPr>
      <w:r>
        <w:separator/>
      </w:r>
    </w:p>
  </w:footnote>
  <w:footnote w:type="continuationSeparator" w:id="0">
    <w:p w14:paraId="0F5A2D22" w14:textId="77777777" w:rsidR="00574B17" w:rsidRDefault="00574B17">
      <w:pPr>
        <w:spacing w:after="0" w:line="240" w:lineRule="auto"/>
      </w:pPr>
      <w:r>
        <w:continuationSeparator/>
      </w:r>
    </w:p>
  </w:footnote>
  <w:footnote w:id="1">
    <w:p w14:paraId="0799B50B" w14:textId="77777777" w:rsidR="001A15EE" w:rsidRPr="00452111" w:rsidRDefault="001A15EE" w:rsidP="00090C07">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folios 824-856,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1A</w:t>
      </w:r>
      <w:proofErr w:type="spellEnd"/>
      <w:r w:rsidRPr="00452111">
        <w:rPr>
          <w:rFonts w:ascii="Garamond" w:hAnsi="Garamond"/>
          <w:sz w:val="22"/>
          <w:szCs w:val="22"/>
        </w:rPr>
        <w:t xml:space="preserve">. </w:t>
      </w:r>
    </w:p>
  </w:footnote>
  <w:footnote w:id="2">
    <w:p w14:paraId="2EC316A7" w14:textId="77777777" w:rsidR="001A15EE" w:rsidRPr="00452111" w:rsidRDefault="001A15EE" w:rsidP="00090C07">
      <w:pPr>
        <w:pStyle w:val="Textonotapie"/>
        <w:jc w:val="both"/>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A partir del 23 de septiembre de 2014, según se deduce del auto de la Superintendencia de Insolvencia de la </w:t>
      </w:r>
      <w:proofErr w:type="spellStart"/>
      <w:r w:rsidRPr="00452111">
        <w:rPr>
          <w:rFonts w:ascii="Garamond" w:hAnsi="Garamond"/>
          <w:sz w:val="22"/>
          <w:szCs w:val="22"/>
          <w:lang w:val="es-CO"/>
        </w:rPr>
        <w:t>Supersociedades</w:t>
      </w:r>
      <w:proofErr w:type="spellEnd"/>
      <w:r w:rsidRPr="00452111">
        <w:rPr>
          <w:rFonts w:ascii="Garamond" w:hAnsi="Garamond"/>
          <w:sz w:val="22"/>
          <w:szCs w:val="22"/>
          <w:lang w:val="es-CO"/>
        </w:rPr>
        <w:t xml:space="preserve">, obrante a folios 73-75, </w:t>
      </w:r>
      <w:proofErr w:type="spellStart"/>
      <w:r w:rsidRPr="00452111">
        <w:rPr>
          <w:rFonts w:ascii="Garamond" w:hAnsi="Garamond"/>
          <w:sz w:val="22"/>
          <w:szCs w:val="22"/>
          <w:lang w:val="es-CO"/>
        </w:rPr>
        <w:t>cdno</w:t>
      </w:r>
      <w:proofErr w:type="spellEnd"/>
      <w:r w:rsidRPr="00452111">
        <w:rPr>
          <w:rFonts w:ascii="Garamond" w:hAnsi="Garamond"/>
          <w:sz w:val="22"/>
          <w:szCs w:val="22"/>
          <w:lang w:val="es-CO"/>
        </w:rPr>
        <w:t xml:space="preserve">. </w:t>
      </w:r>
      <w:proofErr w:type="spellStart"/>
      <w:r w:rsidRPr="00452111">
        <w:rPr>
          <w:rFonts w:ascii="Garamond" w:hAnsi="Garamond"/>
          <w:sz w:val="22"/>
          <w:szCs w:val="22"/>
          <w:lang w:val="es-CO"/>
        </w:rPr>
        <w:t>1C</w:t>
      </w:r>
      <w:proofErr w:type="spellEnd"/>
      <w:r w:rsidRPr="00452111">
        <w:rPr>
          <w:rFonts w:ascii="Garamond" w:hAnsi="Garamond"/>
          <w:sz w:val="22"/>
          <w:szCs w:val="22"/>
          <w:lang w:val="es-CO"/>
        </w:rPr>
        <w:t>.</w:t>
      </w:r>
    </w:p>
  </w:footnote>
  <w:footnote w:id="3">
    <w:p w14:paraId="0D48CC3A" w14:textId="77777777" w:rsidR="001A15EE" w:rsidRPr="00452111" w:rsidRDefault="001A15EE" w:rsidP="00090C07">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Antes </w:t>
      </w:r>
      <w:proofErr w:type="spellStart"/>
      <w:r w:rsidRPr="00452111">
        <w:rPr>
          <w:rFonts w:ascii="Garamond" w:hAnsi="Garamond"/>
          <w:sz w:val="22"/>
          <w:szCs w:val="22"/>
        </w:rPr>
        <w:t>Conexcel</w:t>
      </w:r>
      <w:proofErr w:type="spellEnd"/>
      <w:r w:rsidRPr="00452111">
        <w:rPr>
          <w:rFonts w:ascii="Garamond" w:hAnsi="Garamond"/>
          <w:sz w:val="22"/>
          <w:szCs w:val="22"/>
        </w:rPr>
        <w:t xml:space="preserve"> </w:t>
      </w:r>
      <w:proofErr w:type="spellStart"/>
      <w:r w:rsidRPr="00452111">
        <w:rPr>
          <w:rFonts w:ascii="Garamond" w:hAnsi="Garamond"/>
          <w:sz w:val="22"/>
          <w:szCs w:val="22"/>
        </w:rPr>
        <w:t>Boulevar</w:t>
      </w:r>
      <w:proofErr w:type="spellEnd"/>
      <w:r w:rsidRPr="00452111">
        <w:rPr>
          <w:rFonts w:ascii="Garamond" w:hAnsi="Garamond"/>
          <w:sz w:val="22"/>
          <w:szCs w:val="22"/>
        </w:rPr>
        <w:t xml:space="preserve"> Ltda. (</w:t>
      </w:r>
      <w:proofErr w:type="spellStart"/>
      <w:r w:rsidRPr="00452111">
        <w:rPr>
          <w:rFonts w:ascii="Garamond" w:hAnsi="Garamond"/>
          <w:sz w:val="22"/>
          <w:szCs w:val="22"/>
        </w:rPr>
        <w:t>fl</w:t>
      </w:r>
      <w:proofErr w:type="spellEnd"/>
      <w:r w:rsidRPr="00452111">
        <w:rPr>
          <w:rFonts w:ascii="Garamond" w:hAnsi="Garamond"/>
          <w:sz w:val="22"/>
          <w:szCs w:val="22"/>
        </w:rPr>
        <w:t xml:space="preserve">. 699, </w:t>
      </w:r>
      <w:proofErr w:type="spellStart"/>
      <w:r w:rsidRPr="00452111">
        <w:rPr>
          <w:rFonts w:ascii="Garamond" w:hAnsi="Garamond"/>
          <w:sz w:val="22"/>
          <w:szCs w:val="22"/>
        </w:rPr>
        <w:t>cdno</w:t>
      </w:r>
      <w:proofErr w:type="spellEnd"/>
      <w:r w:rsidRPr="00452111">
        <w:rPr>
          <w:rFonts w:ascii="Garamond" w:hAnsi="Garamond"/>
          <w:sz w:val="22"/>
          <w:szCs w:val="22"/>
        </w:rPr>
        <w:t>. 1).</w:t>
      </w:r>
    </w:p>
  </w:footnote>
  <w:footnote w:id="4">
    <w:p w14:paraId="3CCF9274" w14:textId="77777777" w:rsidR="001A15EE" w:rsidRPr="00452111" w:rsidRDefault="001A15EE" w:rsidP="00090C07">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 824,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1A</w:t>
      </w:r>
      <w:proofErr w:type="spellEnd"/>
      <w:r w:rsidRPr="00452111">
        <w:rPr>
          <w:rFonts w:ascii="Garamond" w:hAnsi="Garamond"/>
          <w:sz w:val="22"/>
          <w:szCs w:val="22"/>
        </w:rPr>
        <w:t>.</w:t>
      </w:r>
    </w:p>
  </w:footnote>
  <w:footnote w:id="5">
    <w:p w14:paraId="02324DA0" w14:textId="77777777" w:rsidR="001A15EE" w:rsidRPr="00452111" w:rsidRDefault="001A15EE" w:rsidP="00090C07">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Se trata del laudo de 9 de mayo de 2011 y su complementación de 1° de junio siguiente, proferido por los árbitros Sergio Rodríguez Azuero, Luis Fernando Alvarado Ortiz y Nicolás Gamboa Morales; folio 831,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1A</w:t>
      </w:r>
      <w:proofErr w:type="spellEnd"/>
      <w:r w:rsidRPr="00452111">
        <w:rPr>
          <w:rFonts w:ascii="Garamond" w:hAnsi="Garamond"/>
          <w:i/>
          <w:sz w:val="22"/>
          <w:szCs w:val="22"/>
        </w:rPr>
        <w:t>.</w:t>
      </w:r>
    </w:p>
  </w:footnote>
  <w:footnote w:id="6">
    <w:p w14:paraId="5ED8B2AA" w14:textId="77777777" w:rsidR="001A15EE" w:rsidRPr="00452111" w:rsidRDefault="001A15EE" w:rsidP="00090C07">
      <w:pPr>
        <w:pStyle w:val="Textonotapie"/>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proofErr w:type="spellStart"/>
      <w:r w:rsidRPr="00452111">
        <w:rPr>
          <w:rFonts w:ascii="Garamond" w:hAnsi="Garamond"/>
          <w:sz w:val="22"/>
          <w:szCs w:val="22"/>
          <w:lang w:val="es-CO"/>
        </w:rPr>
        <w:t>Fl</w:t>
      </w:r>
      <w:proofErr w:type="spellEnd"/>
      <w:r w:rsidRPr="00452111">
        <w:rPr>
          <w:rFonts w:ascii="Garamond" w:hAnsi="Garamond"/>
          <w:sz w:val="22"/>
          <w:szCs w:val="22"/>
          <w:lang w:val="es-CO"/>
        </w:rPr>
        <w:t xml:space="preserve">. 136, </w:t>
      </w:r>
      <w:proofErr w:type="spellStart"/>
      <w:r w:rsidRPr="00452111">
        <w:rPr>
          <w:rFonts w:ascii="Garamond" w:hAnsi="Garamond"/>
          <w:sz w:val="22"/>
          <w:szCs w:val="22"/>
          <w:lang w:val="es-CO"/>
        </w:rPr>
        <w:t>cdno</w:t>
      </w:r>
      <w:proofErr w:type="spellEnd"/>
      <w:r w:rsidRPr="00452111">
        <w:rPr>
          <w:rFonts w:ascii="Garamond" w:hAnsi="Garamond"/>
          <w:sz w:val="22"/>
          <w:szCs w:val="22"/>
          <w:lang w:val="es-CO"/>
        </w:rPr>
        <w:t>. 1.</w:t>
      </w:r>
    </w:p>
  </w:footnote>
  <w:footnote w:id="7">
    <w:p w14:paraId="3A4AFECC" w14:textId="77777777" w:rsidR="001A15EE" w:rsidRPr="00452111" w:rsidRDefault="001A15EE" w:rsidP="00090C07">
      <w:pPr>
        <w:pStyle w:val="Textonotapie"/>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Ver folio 196, </w:t>
      </w:r>
      <w:proofErr w:type="spellStart"/>
      <w:r w:rsidRPr="00452111">
        <w:rPr>
          <w:rFonts w:ascii="Garamond" w:hAnsi="Garamond"/>
          <w:sz w:val="22"/>
          <w:szCs w:val="22"/>
          <w:lang w:val="es-CO"/>
        </w:rPr>
        <w:t>cdno</w:t>
      </w:r>
      <w:proofErr w:type="spellEnd"/>
      <w:r w:rsidRPr="00452111">
        <w:rPr>
          <w:rFonts w:ascii="Garamond" w:hAnsi="Garamond"/>
          <w:sz w:val="22"/>
          <w:szCs w:val="22"/>
          <w:lang w:val="es-CO"/>
        </w:rPr>
        <w:t>. 1.</w:t>
      </w:r>
    </w:p>
  </w:footnote>
  <w:footnote w:id="8">
    <w:p w14:paraId="59E954B7"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Dice la parte actora que el contrato para esa </w:t>
      </w:r>
      <w:r w:rsidRPr="00452111">
        <w:rPr>
          <w:rFonts w:ascii="Garamond" w:hAnsi="Garamond"/>
          <w:b/>
          <w:sz w:val="22"/>
          <w:szCs w:val="22"/>
        </w:rPr>
        <w:t>zona costera</w:t>
      </w:r>
      <w:r w:rsidRPr="00452111">
        <w:rPr>
          <w:rFonts w:ascii="Garamond" w:hAnsi="Garamond"/>
          <w:sz w:val="22"/>
          <w:szCs w:val="22"/>
        </w:rPr>
        <w:t xml:space="preserve"> compartía las mismas cláusulas diseñadas por las partes para las zonas de </w:t>
      </w:r>
      <w:r w:rsidRPr="00452111">
        <w:rPr>
          <w:rFonts w:ascii="Garamond" w:hAnsi="Garamond"/>
          <w:b/>
          <w:sz w:val="22"/>
          <w:szCs w:val="22"/>
        </w:rPr>
        <w:t>Oriente</w:t>
      </w:r>
      <w:r w:rsidRPr="00452111">
        <w:rPr>
          <w:rFonts w:ascii="Garamond" w:hAnsi="Garamond"/>
          <w:sz w:val="22"/>
          <w:szCs w:val="22"/>
        </w:rPr>
        <w:t xml:space="preserve"> y </w:t>
      </w:r>
      <w:r w:rsidRPr="00452111">
        <w:rPr>
          <w:rFonts w:ascii="Garamond" w:hAnsi="Garamond"/>
          <w:b/>
          <w:sz w:val="22"/>
          <w:szCs w:val="22"/>
        </w:rPr>
        <w:t xml:space="preserve">Occidente </w:t>
      </w:r>
      <w:r w:rsidRPr="00452111">
        <w:rPr>
          <w:rFonts w:ascii="Garamond" w:hAnsi="Garamond"/>
          <w:sz w:val="22"/>
          <w:szCs w:val="22"/>
        </w:rPr>
        <w:t>respecto de las cuales la justicia arbitral concluyó la existencia de</w:t>
      </w:r>
      <w:r w:rsidRPr="00452111">
        <w:rPr>
          <w:rFonts w:ascii="Garamond" w:hAnsi="Garamond"/>
          <w:b/>
          <w:sz w:val="22"/>
          <w:szCs w:val="22"/>
        </w:rPr>
        <w:t xml:space="preserve"> contrato de agencia comercial </w:t>
      </w:r>
      <w:r w:rsidRPr="00452111">
        <w:rPr>
          <w:rFonts w:ascii="Garamond" w:hAnsi="Garamond"/>
          <w:sz w:val="22"/>
          <w:szCs w:val="22"/>
        </w:rPr>
        <w:t>(</w:t>
      </w:r>
      <w:proofErr w:type="spellStart"/>
      <w:r w:rsidRPr="00452111">
        <w:rPr>
          <w:rFonts w:ascii="Garamond" w:hAnsi="Garamond"/>
          <w:sz w:val="22"/>
          <w:szCs w:val="22"/>
        </w:rPr>
        <w:t>fl</w:t>
      </w:r>
      <w:proofErr w:type="spellEnd"/>
      <w:r w:rsidRPr="00452111">
        <w:rPr>
          <w:rFonts w:ascii="Garamond" w:hAnsi="Garamond"/>
          <w:sz w:val="22"/>
          <w:szCs w:val="22"/>
        </w:rPr>
        <w:t xml:space="preserve">. 308,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1C</w:t>
      </w:r>
      <w:proofErr w:type="spellEnd"/>
      <w:r w:rsidRPr="00452111">
        <w:rPr>
          <w:rFonts w:ascii="Garamond" w:hAnsi="Garamond"/>
          <w:sz w:val="22"/>
          <w:szCs w:val="22"/>
        </w:rPr>
        <w:t>).</w:t>
      </w:r>
    </w:p>
  </w:footnote>
  <w:footnote w:id="9">
    <w:p w14:paraId="6763CBBE"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Con ponencia de los Magistrados Óscar Humberto Ramírez Cardona y Julia María Botero </w:t>
      </w:r>
      <w:proofErr w:type="spellStart"/>
      <w:r w:rsidRPr="00452111">
        <w:rPr>
          <w:rFonts w:ascii="Garamond" w:hAnsi="Garamond"/>
          <w:sz w:val="22"/>
          <w:szCs w:val="22"/>
        </w:rPr>
        <w:t>Larrate</w:t>
      </w:r>
      <w:proofErr w:type="spellEnd"/>
      <w:r w:rsidRPr="00452111">
        <w:rPr>
          <w:rFonts w:ascii="Garamond" w:hAnsi="Garamond"/>
          <w:sz w:val="22"/>
          <w:szCs w:val="22"/>
        </w:rPr>
        <w:t>, respectivamente.</w:t>
      </w:r>
    </w:p>
  </w:footnote>
  <w:footnote w:id="10">
    <w:p w14:paraId="7A8C1B00" w14:textId="77777777" w:rsidR="001A15EE" w:rsidRPr="00452111" w:rsidRDefault="001A15EE" w:rsidP="001A15EE">
      <w:pPr>
        <w:spacing w:after="0" w:line="240" w:lineRule="auto"/>
        <w:jc w:val="both"/>
        <w:rPr>
          <w:rFonts w:ascii="Garamond" w:hAnsi="Garamond"/>
          <w:i/>
        </w:rPr>
      </w:pPr>
      <w:r w:rsidRPr="00452111">
        <w:rPr>
          <w:rStyle w:val="Refdenotaalpie"/>
          <w:rFonts w:ascii="Garamond" w:hAnsi="Garamond"/>
        </w:rPr>
        <w:footnoteRef/>
      </w:r>
      <w:r w:rsidRPr="00452111">
        <w:rPr>
          <w:rFonts w:ascii="Garamond" w:hAnsi="Garamond"/>
        </w:rPr>
        <w:t xml:space="preserve"> “</w:t>
      </w:r>
      <w:r w:rsidRPr="00452111">
        <w:rPr>
          <w:rFonts w:ascii="Garamond" w:hAnsi="Garamond"/>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452111">
        <w:rPr>
          <w:rFonts w:ascii="Garamond" w:hAnsi="Garamond"/>
        </w:rPr>
        <w:t xml:space="preserve">CSJ, sentencia del 1° de agosto de 2014, expediente </w:t>
      </w:r>
      <w:proofErr w:type="spellStart"/>
      <w:r w:rsidRPr="00452111">
        <w:rPr>
          <w:rFonts w:ascii="Garamond" w:hAnsi="Garamond"/>
        </w:rPr>
        <w:t>SC10223</w:t>
      </w:r>
      <w:proofErr w:type="spellEnd"/>
      <w:r w:rsidRPr="00452111">
        <w:rPr>
          <w:rFonts w:ascii="Garamond" w:hAnsi="Garamond"/>
        </w:rPr>
        <w:t xml:space="preserve">-2014, </w:t>
      </w:r>
      <w:proofErr w:type="spellStart"/>
      <w:r w:rsidRPr="00452111">
        <w:rPr>
          <w:rFonts w:ascii="Garamond" w:hAnsi="Garamond"/>
        </w:rPr>
        <w:t>M.P</w:t>
      </w:r>
      <w:proofErr w:type="spellEnd"/>
      <w:r w:rsidRPr="00452111">
        <w:rPr>
          <w:rFonts w:ascii="Garamond" w:hAnsi="Garamond"/>
        </w:rPr>
        <w:t>. Luis Armando Tolosa Villabona).</w:t>
      </w:r>
    </w:p>
  </w:footnote>
  <w:footnote w:id="11">
    <w:p w14:paraId="6BF4CD2D"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Corte Constitucional, sentencia </w:t>
      </w:r>
      <w:r w:rsidRPr="00452111">
        <w:rPr>
          <w:rFonts w:ascii="Garamond" w:hAnsi="Garamond"/>
          <w:spacing w:val="-3"/>
          <w:sz w:val="22"/>
          <w:szCs w:val="22"/>
        </w:rPr>
        <w:t>C - 491 de 1995</w:t>
      </w:r>
    </w:p>
  </w:footnote>
  <w:footnote w:id="12">
    <w:p w14:paraId="2970330E" w14:textId="77777777" w:rsidR="001A15EE" w:rsidRPr="00452111" w:rsidRDefault="001A15EE" w:rsidP="001A15EE">
      <w:pPr>
        <w:pStyle w:val="Textonotapie"/>
        <w:rPr>
          <w:rFonts w:ascii="Garamond" w:hAnsi="Garamond"/>
          <w:sz w:val="22"/>
          <w:szCs w:val="22"/>
          <w:lang w:val="es-ES_tradnl"/>
        </w:rPr>
      </w:pPr>
      <w:r w:rsidRPr="00452111">
        <w:rPr>
          <w:rStyle w:val="Refdenotaalpie"/>
          <w:rFonts w:ascii="Garamond" w:hAnsi="Garamond"/>
          <w:sz w:val="22"/>
          <w:szCs w:val="22"/>
        </w:rPr>
        <w:footnoteRef/>
      </w:r>
      <w:r w:rsidRPr="00452111">
        <w:rPr>
          <w:rFonts w:ascii="Garamond" w:hAnsi="Garamond"/>
          <w:sz w:val="22"/>
          <w:szCs w:val="22"/>
        </w:rPr>
        <w:t xml:space="preserve"> Sentencia C-102 de 8 de febrero de 2005. </w:t>
      </w:r>
    </w:p>
  </w:footnote>
  <w:footnote w:id="13">
    <w:p w14:paraId="506375BA" w14:textId="77777777" w:rsidR="001A15EE" w:rsidRPr="00452111" w:rsidRDefault="001A15EE" w:rsidP="001A15EE">
      <w:pPr>
        <w:jc w:val="both"/>
        <w:rPr>
          <w:rFonts w:ascii="Garamond" w:hAnsi="Garamond"/>
        </w:rPr>
      </w:pPr>
      <w:r w:rsidRPr="00452111">
        <w:rPr>
          <w:rStyle w:val="Refdenotaalpie"/>
          <w:rFonts w:ascii="Garamond" w:hAnsi="Garamond"/>
        </w:rPr>
        <w:footnoteRef/>
      </w:r>
      <w:r w:rsidRPr="00452111">
        <w:rPr>
          <w:rFonts w:ascii="Garamond" w:hAnsi="Garamond"/>
        </w:rPr>
        <w:t xml:space="preserve"> </w:t>
      </w:r>
      <w:proofErr w:type="spellStart"/>
      <w:r w:rsidRPr="00452111">
        <w:rPr>
          <w:rFonts w:ascii="Garamond" w:hAnsi="Garamond"/>
        </w:rPr>
        <w:t>C.S.J</w:t>
      </w:r>
      <w:proofErr w:type="spellEnd"/>
      <w:r w:rsidRPr="00452111">
        <w:rPr>
          <w:rFonts w:ascii="Garamond" w:hAnsi="Garamond"/>
        </w:rPr>
        <w:t xml:space="preserve">. sentencia de 14 de agosto de 2000. </w:t>
      </w:r>
      <w:proofErr w:type="spellStart"/>
      <w:r w:rsidRPr="00452111">
        <w:rPr>
          <w:rFonts w:ascii="Garamond" w:hAnsi="Garamond"/>
        </w:rPr>
        <w:t>Exp</w:t>
      </w:r>
      <w:proofErr w:type="spellEnd"/>
      <w:r w:rsidRPr="00452111">
        <w:rPr>
          <w:rFonts w:ascii="Garamond" w:hAnsi="Garamond"/>
        </w:rPr>
        <w:t>. 5577.</w:t>
      </w:r>
    </w:p>
  </w:footnote>
  <w:footnote w:id="14">
    <w:p w14:paraId="12A85204"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Retribución a favor del distribuidor que corresponde a un porcentaje sobre los ingresos que generen efectivamente comisión y que hubieren sido efectivamente recaudados por Comcel por el uso del servicio por parte del suscriptor o abonado correspondiente, el cual se denominara RESIDUAL. </w:t>
      </w:r>
    </w:p>
  </w:footnote>
  <w:footnote w:id="15">
    <w:p w14:paraId="5E5F1714" w14:textId="77777777" w:rsidR="001A15EE" w:rsidRPr="00452111" w:rsidRDefault="001A15EE" w:rsidP="001A15EE">
      <w:pPr>
        <w:pStyle w:val="Textonotapie"/>
        <w:jc w:val="both"/>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proofErr w:type="spellStart"/>
      <w:r w:rsidRPr="00452111">
        <w:rPr>
          <w:rFonts w:ascii="Garamond" w:hAnsi="Garamond"/>
          <w:sz w:val="22"/>
          <w:szCs w:val="22"/>
          <w:lang w:val="es-CO"/>
        </w:rPr>
        <w:t>TSB</w:t>
      </w:r>
      <w:proofErr w:type="spellEnd"/>
      <w:r w:rsidRPr="00452111">
        <w:rPr>
          <w:rFonts w:ascii="Garamond" w:hAnsi="Garamond"/>
          <w:sz w:val="22"/>
          <w:szCs w:val="22"/>
          <w:lang w:val="es-CO"/>
        </w:rPr>
        <w:t xml:space="preserve">. Sala Civil, fallo de 20 de junio de 2019, </w:t>
      </w:r>
      <w:proofErr w:type="spellStart"/>
      <w:r w:rsidRPr="00452111">
        <w:rPr>
          <w:rFonts w:ascii="Garamond" w:hAnsi="Garamond"/>
          <w:sz w:val="22"/>
          <w:szCs w:val="22"/>
          <w:lang w:val="es-CO"/>
        </w:rPr>
        <w:t>exp</w:t>
      </w:r>
      <w:proofErr w:type="spellEnd"/>
      <w:r w:rsidRPr="00452111">
        <w:rPr>
          <w:rFonts w:ascii="Garamond" w:hAnsi="Garamond"/>
          <w:sz w:val="22"/>
          <w:szCs w:val="22"/>
          <w:lang w:val="es-CO"/>
        </w:rPr>
        <w:t xml:space="preserve">. 44 2015 00415 01. </w:t>
      </w:r>
      <w:proofErr w:type="spellStart"/>
      <w:r w:rsidRPr="00452111">
        <w:rPr>
          <w:rFonts w:ascii="Garamond" w:hAnsi="Garamond"/>
          <w:sz w:val="22"/>
          <w:szCs w:val="22"/>
          <w:lang w:val="es-CO"/>
        </w:rPr>
        <w:t>M.P</w:t>
      </w:r>
      <w:proofErr w:type="spellEnd"/>
      <w:r w:rsidRPr="00452111">
        <w:rPr>
          <w:rFonts w:ascii="Garamond" w:hAnsi="Garamond"/>
          <w:sz w:val="22"/>
          <w:szCs w:val="22"/>
          <w:lang w:val="es-CO"/>
        </w:rPr>
        <w:t xml:space="preserve">. Germán Valenzuela Valbuena. </w:t>
      </w:r>
    </w:p>
  </w:footnote>
  <w:footnote w:id="16">
    <w:p w14:paraId="010539E1" w14:textId="77777777" w:rsidR="001A15EE" w:rsidRPr="00951D51" w:rsidRDefault="001A15EE" w:rsidP="001A15EE">
      <w:pPr>
        <w:pStyle w:val="Textonotapie"/>
        <w:jc w:val="both"/>
        <w:rPr>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proofErr w:type="spellStart"/>
      <w:r w:rsidRPr="00452111">
        <w:rPr>
          <w:rFonts w:ascii="Garamond" w:hAnsi="Garamond"/>
          <w:sz w:val="22"/>
          <w:szCs w:val="22"/>
          <w:lang w:val="es-CO"/>
        </w:rPr>
        <w:t>TSB</w:t>
      </w:r>
      <w:proofErr w:type="spellEnd"/>
      <w:r w:rsidRPr="00452111">
        <w:rPr>
          <w:rFonts w:ascii="Garamond" w:hAnsi="Garamond"/>
          <w:sz w:val="22"/>
          <w:szCs w:val="22"/>
          <w:lang w:val="es-CO"/>
        </w:rPr>
        <w:t xml:space="preserve">. Sala Civil, fallo de 20 de junio de 2019, </w:t>
      </w:r>
      <w:proofErr w:type="spellStart"/>
      <w:r w:rsidRPr="00452111">
        <w:rPr>
          <w:rFonts w:ascii="Garamond" w:hAnsi="Garamond"/>
          <w:sz w:val="22"/>
          <w:szCs w:val="22"/>
          <w:lang w:val="es-CO"/>
        </w:rPr>
        <w:t>exp</w:t>
      </w:r>
      <w:proofErr w:type="spellEnd"/>
      <w:r w:rsidRPr="00452111">
        <w:rPr>
          <w:rFonts w:ascii="Garamond" w:hAnsi="Garamond"/>
          <w:sz w:val="22"/>
          <w:szCs w:val="22"/>
          <w:lang w:val="es-CO"/>
        </w:rPr>
        <w:t xml:space="preserve">. 44 2015 00415 01. </w:t>
      </w:r>
      <w:proofErr w:type="spellStart"/>
      <w:r w:rsidRPr="00452111">
        <w:rPr>
          <w:rFonts w:ascii="Garamond" w:hAnsi="Garamond"/>
          <w:sz w:val="22"/>
          <w:szCs w:val="22"/>
          <w:lang w:val="es-CO"/>
        </w:rPr>
        <w:t>M.P</w:t>
      </w:r>
      <w:proofErr w:type="spellEnd"/>
      <w:r w:rsidRPr="00452111">
        <w:rPr>
          <w:rFonts w:ascii="Garamond" w:hAnsi="Garamond"/>
          <w:sz w:val="22"/>
          <w:szCs w:val="22"/>
          <w:lang w:val="es-CO"/>
        </w:rPr>
        <w:t>. Germán Valenzuela Valbuena.</w:t>
      </w:r>
    </w:p>
  </w:footnote>
  <w:footnote w:id="17">
    <w:p w14:paraId="4E5899AE" w14:textId="77777777" w:rsidR="001A15EE" w:rsidRPr="001D1CE8" w:rsidRDefault="001A15EE" w:rsidP="001A15EE">
      <w:pPr>
        <w:pStyle w:val="Textonotapie"/>
        <w:rPr>
          <w:rFonts w:ascii="Garamond" w:hAnsi="Garamond"/>
          <w:color w:val="000000" w:themeColor="text1"/>
          <w:sz w:val="22"/>
          <w:szCs w:val="22"/>
        </w:rPr>
      </w:pPr>
      <w:r w:rsidRPr="001D1CE8">
        <w:rPr>
          <w:rStyle w:val="Refdenotaalpie"/>
          <w:rFonts w:ascii="Garamond" w:hAnsi="Garamond"/>
          <w:color w:val="000000" w:themeColor="text1"/>
          <w:sz w:val="22"/>
          <w:szCs w:val="22"/>
        </w:rPr>
        <w:footnoteRef/>
      </w:r>
      <w:r w:rsidRPr="001D1CE8">
        <w:rPr>
          <w:rFonts w:ascii="Garamond" w:hAnsi="Garamond"/>
          <w:color w:val="000000" w:themeColor="text1"/>
          <w:sz w:val="22"/>
          <w:szCs w:val="22"/>
        </w:rPr>
        <w:t xml:space="preserve"> Ver folios 701 y ss., </w:t>
      </w:r>
      <w:proofErr w:type="spellStart"/>
      <w:r w:rsidRPr="001D1CE8">
        <w:rPr>
          <w:rFonts w:ascii="Garamond" w:hAnsi="Garamond"/>
          <w:color w:val="000000" w:themeColor="text1"/>
          <w:sz w:val="22"/>
          <w:szCs w:val="22"/>
        </w:rPr>
        <w:t>cdno</w:t>
      </w:r>
      <w:proofErr w:type="spellEnd"/>
      <w:r w:rsidRPr="001D1CE8">
        <w:rPr>
          <w:rFonts w:ascii="Garamond" w:hAnsi="Garamond"/>
          <w:color w:val="000000" w:themeColor="text1"/>
          <w:sz w:val="22"/>
          <w:szCs w:val="22"/>
        </w:rPr>
        <w:t xml:space="preserve">. 1, tomo V. </w:t>
      </w:r>
    </w:p>
  </w:footnote>
  <w:footnote w:id="18">
    <w:p w14:paraId="380C9A54" w14:textId="77777777" w:rsidR="001A15EE" w:rsidRPr="001D1CE8" w:rsidRDefault="001A15EE" w:rsidP="001A15EE">
      <w:pPr>
        <w:pStyle w:val="Textonotapie"/>
        <w:rPr>
          <w:rFonts w:ascii="Garamond" w:hAnsi="Garamond"/>
          <w:sz w:val="22"/>
          <w:szCs w:val="22"/>
        </w:rPr>
      </w:pPr>
      <w:r w:rsidRPr="001D1CE8">
        <w:rPr>
          <w:rStyle w:val="Refdenotaalpie"/>
          <w:rFonts w:ascii="Garamond" w:hAnsi="Garamond"/>
          <w:sz w:val="22"/>
          <w:szCs w:val="22"/>
        </w:rPr>
        <w:footnoteRef/>
      </w:r>
      <w:r w:rsidRPr="001D1CE8">
        <w:rPr>
          <w:rFonts w:ascii="Garamond" w:hAnsi="Garamond"/>
          <w:sz w:val="22"/>
          <w:szCs w:val="22"/>
        </w:rPr>
        <w:t xml:space="preserve"> Ver folio 703, </w:t>
      </w:r>
      <w:r w:rsidRPr="001D1CE8">
        <w:rPr>
          <w:rFonts w:ascii="Garamond" w:hAnsi="Garamond"/>
          <w:i/>
          <w:sz w:val="22"/>
          <w:szCs w:val="22"/>
        </w:rPr>
        <w:t>ib</w:t>
      </w:r>
      <w:r w:rsidRPr="001D1CE8">
        <w:rPr>
          <w:rFonts w:ascii="Garamond" w:hAnsi="Garamond"/>
          <w:sz w:val="22"/>
          <w:szCs w:val="22"/>
        </w:rPr>
        <w:t>.</w:t>
      </w:r>
    </w:p>
  </w:footnote>
  <w:footnote w:id="19">
    <w:p w14:paraId="5689547E" w14:textId="77777777" w:rsidR="001A15EE" w:rsidRPr="001D1CE8" w:rsidRDefault="001A15EE" w:rsidP="001A15EE">
      <w:pPr>
        <w:pStyle w:val="Textonotapie"/>
        <w:rPr>
          <w:rFonts w:ascii="Garamond" w:hAnsi="Garamond"/>
          <w:sz w:val="22"/>
          <w:szCs w:val="22"/>
        </w:rPr>
      </w:pPr>
      <w:r w:rsidRPr="001D1CE8">
        <w:rPr>
          <w:rStyle w:val="Refdenotaalpie"/>
          <w:rFonts w:ascii="Garamond" w:hAnsi="Garamond"/>
          <w:sz w:val="22"/>
          <w:szCs w:val="22"/>
        </w:rPr>
        <w:footnoteRef/>
      </w:r>
      <w:r w:rsidRPr="001D1CE8">
        <w:rPr>
          <w:rFonts w:ascii="Garamond" w:hAnsi="Garamond"/>
          <w:sz w:val="22"/>
          <w:szCs w:val="22"/>
        </w:rPr>
        <w:t xml:space="preserve"> Ver folio 704, </w:t>
      </w:r>
      <w:r w:rsidRPr="001D1CE8">
        <w:rPr>
          <w:rFonts w:ascii="Garamond" w:hAnsi="Garamond"/>
          <w:i/>
          <w:sz w:val="22"/>
          <w:szCs w:val="22"/>
        </w:rPr>
        <w:t>ib</w:t>
      </w:r>
      <w:r w:rsidRPr="001D1CE8">
        <w:rPr>
          <w:rFonts w:ascii="Garamond" w:hAnsi="Garamond"/>
          <w:sz w:val="22"/>
          <w:szCs w:val="22"/>
        </w:rPr>
        <w:t>.</w:t>
      </w:r>
    </w:p>
  </w:footnote>
  <w:footnote w:id="20">
    <w:p w14:paraId="6D7B46A7" w14:textId="77777777" w:rsidR="001A15EE" w:rsidRPr="001D1CE8" w:rsidRDefault="001A15EE" w:rsidP="001A15EE">
      <w:pPr>
        <w:pStyle w:val="Textonotapie"/>
        <w:rPr>
          <w:rFonts w:ascii="Garamond" w:hAnsi="Garamond"/>
          <w:color w:val="000000" w:themeColor="text1"/>
          <w:sz w:val="22"/>
          <w:szCs w:val="22"/>
        </w:rPr>
      </w:pPr>
      <w:r w:rsidRPr="001D1CE8">
        <w:rPr>
          <w:rStyle w:val="Refdenotaalpie"/>
          <w:rFonts w:ascii="Garamond" w:hAnsi="Garamond"/>
          <w:color w:val="000000" w:themeColor="text1"/>
          <w:sz w:val="22"/>
          <w:szCs w:val="22"/>
        </w:rPr>
        <w:footnoteRef/>
      </w:r>
      <w:r w:rsidRPr="001D1CE8">
        <w:rPr>
          <w:rFonts w:ascii="Garamond" w:hAnsi="Garamond"/>
          <w:color w:val="000000" w:themeColor="text1"/>
          <w:sz w:val="22"/>
          <w:szCs w:val="22"/>
        </w:rPr>
        <w:t xml:space="preserve"> Según se deduce de la cláusula primera del contrato de 18 de julio de 2018; </w:t>
      </w:r>
      <w:proofErr w:type="spellStart"/>
      <w:r w:rsidRPr="001D1CE8">
        <w:rPr>
          <w:rFonts w:ascii="Garamond" w:hAnsi="Garamond"/>
          <w:color w:val="000000" w:themeColor="text1"/>
          <w:sz w:val="22"/>
          <w:szCs w:val="22"/>
        </w:rPr>
        <w:t>fl</w:t>
      </w:r>
      <w:proofErr w:type="spellEnd"/>
      <w:r w:rsidRPr="001D1CE8">
        <w:rPr>
          <w:rFonts w:ascii="Garamond" w:hAnsi="Garamond"/>
          <w:color w:val="000000" w:themeColor="text1"/>
          <w:sz w:val="22"/>
          <w:szCs w:val="22"/>
        </w:rPr>
        <w:t xml:space="preserve">. 92, </w:t>
      </w:r>
      <w:proofErr w:type="spellStart"/>
      <w:r w:rsidRPr="001D1CE8">
        <w:rPr>
          <w:rFonts w:ascii="Garamond" w:hAnsi="Garamond"/>
          <w:color w:val="000000" w:themeColor="text1"/>
          <w:sz w:val="22"/>
          <w:szCs w:val="22"/>
        </w:rPr>
        <w:t>cdno</w:t>
      </w:r>
      <w:proofErr w:type="spellEnd"/>
      <w:r w:rsidRPr="001D1CE8">
        <w:rPr>
          <w:rFonts w:ascii="Garamond" w:hAnsi="Garamond"/>
          <w:color w:val="000000" w:themeColor="text1"/>
          <w:sz w:val="22"/>
          <w:szCs w:val="22"/>
        </w:rPr>
        <w:t>. 1.</w:t>
      </w:r>
    </w:p>
  </w:footnote>
  <w:footnote w:id="21">
    <w:p w14:paraId="2D526F8D" w14:textId="77777777" w:rsidR="001A15EE" w:rsidRPr="001D1CE8" w:rsidRDefault="001A15EE" w:rsidP="001A15EE">
      <w:pPr>
        <w:spacing w:after="0" w:line="240" w:lineRule="auto"/>
        <w:jc w:val="both"/>
        <w:rPr>
          <w:rFonts w:ascii="Garamond" w:hAnsi="Garamond"/>
          <w:i/>
          <w:color w:val="000000" w:themeColor="text1"/>
        </w:rPr>
      </w:pPr>
      <w:r w:rsidRPr="001D1CE8">
        <w:rPr>
          <w:rStyle w:val="Refdenotaalpie"/>
          <w:rFonts w:ascii="Garamond" w:hAnsi="Garamond"/>
          <w:color w:val="000000" w:themeColor="text1"/>
        </w:rPr>
        <w:footnoteRef/>
      </w:r>
      <w:r w:rsidRPr="001D1CE8">
        <w:rPr>
          <w:rFonts w:ascii="Garamond" w:hAnsi="Garamond"/>
          <w:color w:val="000000" w:themeColor="text1"/>
        </w:rPr>
        <w:t xml:space="preserve"> “</w:t>
      </w:r>
      <w:r w:rsidRPr="001D1CE8">
        <w:rPr>
          <w:rFonts w:ascii="Garamond" w:hAnsi="Garamond"/>
          <w:color w:val="000000" w:themeColor="text1"/>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1D1CE8">
        <w:rPr>
          <w:rFonts w:ascii="Garamond" w:hAnsi="Garamond"/>
          <w:color w:val="000000" w:themeColor="text1"/>
        </w:rPr>
        <w:t xml:space="preserve">CSJ, sentencia del 1° de agosto de 2014, expediente </w:t>
      </w:r>
      <w:proofErr w:type="spellStart"/>
      <w:r w:rsidRPr="001D1CE8">
        <w:rPr>
          <w:rFonts w:ascii="Garamond" w:hAnsi="Garamond"/>
          <w:color w:val="000000" w:themeColor="text1"/>
        </w:rPr>
        <w:t>SC10223</w:t>
      </w:r>
      <w:proofErr w:type="spellEnd"/>
      <w:r w:rsidRPr="001D1CE8">
        <w:rPr>
          <w:rFonts w:ascii="Garamond" w:hAnsi="Garamond"/>
          <w:color w:val="000000" w:themeColor="text1"/>
        </w:rPr>
        <w:t xml:space="preserve">-2014, </w:t>
      </w:r>
      <w:proofErr w:type="spellStart"/>
      <w:r w:rsidRPr="001D1CE8">
        <w:rPr>
          <w:rFonts w:ascii="Garamond" w:hAnsi="Garamond"/>
          <w:color w:val="000000" w:themeColor="text1"/>
        </w:rPr>
        <w:t>M.P</w:t>
      </w:r>
      <w:proofErr w:type="spellEnd"/>
      <w:r w:rsidRPr="001D1CE8">
        <w:rPr>
          <w:rFonts w:ascii="Garamond" w:hAnsi="Garamond"/>
          <w:color w:val="000000" w:themeColor="text1"/>
        </w:rPr>
        <w:t>. Luis Armando Tolosa Villabona).</w:t>
      </w:r>
    </w:p>
  </w:footnote>
  <w:footnote w:id="22">
    <w:p w14:paraId="4E8E49DD" w14:textId="77777777" w:rsidR="001A15EE" w:rsidRPr="001D1CE8" w:rsidRDefault="001A15EE" w:rsidP="001A15EE">
      <w:pPr>
        <w:spacing w:after="0" w:line="240" w:lineRule="auto"/>
        <w:jc w:val="both"/>
        <w:rPr>
          <w:rFonts w:ascii="Garamond" w:hAnsi="Garamond"/>
        </w:rPr>
      </w:pPr>
      <w:r w:rsidRPr="001D1CE8">
        <w:rPr>
          <w:rStyle w:val="Refdenotaalpie"/>
          <w:rFonts w:ascii="Garamond" w:hAnsi="Garamond"/>
        </w:rPr>
        <w:footnoteRef/>
      </w:r>
      <w:r w:rsidRPr="001D1CE8">
        <w:rPr>
          <w:rFonts w:ascii="Garamond" w:hAnsi="Garamond"/>
        </w:rPr>
        <w:t xml:space="preserve">  CORTE SUPREMA DE JUSTICIA, SALA DE </w:t>
      </w:r>
      <w:proofErr w:type="spellStart"/>
      <w:r w:rsidRPr="001D1CE8">
        <w:rPr>
          <w:rFonts w:ascii="Garamond" w:hAnsi="Garamond"/>
        </w:rPr>
        <w:t>CASACION</w:t>
      </w:r>
      <w:proofErr w:type="spellEnd"/>
      <w:r w:rsidRPr="001D1CE8">
        <w:rPr>
          <w:rFonts w:ascii="Garamond" w:hAnsi="Garamond"/>
        </w:rPr>
        <w:t xml:space="preserve"> CIVIL, Sentencia de 16 de mayo de 2002, </w:t>
      </w:r>
      <w:proofErr w:type="spellStart"/>
      <w:r w:rsidRPr="001D1CE8">
        <w:rPr>
          <w:rFonts w:ascii="Garamond" w:hAnsi="Garamond"/>
        </w:rPr>
        <w:t>Exp</w:t>
      </w:r>
      <w:proofErr w:type="spellEnd"/>
      <w:r w:rsidRPr="001D1CE8">
        <w:rPr>
          <w:rFonts w:ascii="Garamond" w:hAnsi="Garamond"/>
        </w:rPr>
        <w:t xml:space="preserve">. 6877. </w:t>
      </w:r>
      <w:proofErr w:type="spellStart"/>
      <w:r w:rsidRPr="001D1CE8">
        <w:rPr>
          <w:rFonts w:ascii="Garamond" w:hAnsi="Garamond"/>
        </w:rPr>
        <w:t>M.P</w:t>
      </w:r>
      <w:proofErr w:type="spellEnd"/>
      <w:r w:rsidRPr="001D1CE8">
        <w:rPr>
          <w:rFonts w:ascii="Garamond" w:hAnsi="Garamond"/>
        </w:rPr>
        <w:t>. Jorge Santos Ballesteros.</w:t>
      </w:r>
    </w:p>
  </w:footnote>
  <w:footnote w:id="23">
    <w:p w14:paraId="43B494BA" w14:textId="77777777" w:rsidR="001A15EE" w:rsidRPr="00612393" w:rsidRDefault="001A15EE" w:rsidP="001A15EE">
      <w:pPr>
        <w:spacing w:after="0" w:line="240" w:lineRule="auto"/>
        <w:jc w:val="both"/>
        <w:rPr>
          <w:rFonts w:ascii="Garamond" w:hAnsi="Garamond"/>
          <w:color w:val="000000" w:themeColor="text1"/>
        </w:rPr>
      </w:pPr>
      <w:r w:rsidRPr="001D1CE8">
        <w:rPr>
          <w:rStyle w:val="Refdenotaalpie"/>
          <w:rFonts w:ascii="Garamond" w:hAnsi="Garamond"/>
          <w:color w:val="000000" w:themeColor="text1"/>
        </w:rPr>
        <w:footnoteRef/>
      </w:r>
      <w:r w:rsidRPr="001D1CE8">
        <w:rPr>
          <w:rFonts w:ascii="Garamond" w:hAnsi="Garamond"/>
          <w:color w:val="000000" w:themeColor="text1"/>
        </w:rPr>
        <w:t xml:space="preserve"> </w:t>
      </w:r>
      <w:r w:rsidRPr="001D1CE8">
        <w:rPr>
          <w:rFonts w:ascii="Garamond" w:hAnsi="Garamond" w:cs="Arial"/>
          <w:bCs/>
          <w:color w:val="000000" w:themeColor="text1"/>
          <w:spacing w:val="-3"/>
        </w:rPr>
        <w:t xml:space="preserve">CSJ, Cas. </w:t>
      </w:r>
      <w:proofErr w:type="spellStart"/>
      <w:r w:rsidRPr="001D1CE8">
        <w:rPr>
          <w:rFonts w:ascii="Garamond" w:hAnsi="Garamond" w:cs="Arial"/>
          <w:bCs/>
          <w:color w:val="000000" w:themeColor="text1"/>
          <w:spacing w:val="-3"/>
        </w:rPr>
        <w:t>Civ</w:t>
      </w:r>
      <w:proofErr w:type="spellEnd"/>
      <w:r w:rsidRPr="001D1CE8">
        <w:rPr>
          <w:rFonts w:ascii="Garamond" w:hAnsi="Garamond" w:cs="Arial"/>
          <w:bCs/>
          <w:color w:val="000000" w:themeColor="text1"/>
          <w:spacing w:val="-3"/>
        </w:rPr>
        <w:t xml:space="preserve">. Sentencia de 3 de agosto de 2012, </w:t>
      </w:r>
      <w:proofErr w:type="spellStart"/>
      <w:r w:rsidRPr="001D1CE8">
        <w:rPr>
          <w:rFonts w:ascii="Garamond" w:hAnsi="Garamond" w:cs="Arial"/>
          <w:bCs/>
          <w:color w:val="000000" w:themeColor="text1"/>
          <w:spacing w:val="-3"/>
        </w:rPr>
        <w:t>exp</w:t>
      </w:r>
      <w:proofErr w:type="spellEnd"/>
      <w:r w:rsidRPr="001D1CE8">
        <w:rPr>
          <w:rFonts w:ascii="Garamond" w:hAnsi="Garamond" w:cs="Arial"/>
          <w:bCs/>
          <w:color w:val="000000" w:themeColor="text1"/>
          <w:spacing w:val="-3"/>
        </w:rPr>
        <w:t>. 11001311030092003-00526-01.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B02C08C"/>
    <w:lvl w:ilvl="0">
      <w:start w:val="1"/>
      <w:numFmt w:val="decimal"/>
      <w:pStyle w:val="Listaconnmeros"/>
      <w:lvlText w:val="%1."/>
      <w:lvlJc w:val="left"/>
      <w:pPr>
        <w:tabs>
          <w:tab w:val="num" w:pos="360"/>
        </w:tabs>
        <w:ind w:left="360" w:hanging="360"/>
      </w:pPr>
    </w:lvl>
  </w:abstractNum>
  <w:abstractNum w:abstractNumId="1" w15:restartNumberingAfterBreak="0">
    <w:nsid w:val="07F57E73"/>
    <w:multiLevelType w:val="hybridMultilevel"/>
    <w:tmpl w:val="ADBA38F0"/>
    <w:lvl w:ilvl="0" w:tplc="41967352">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3C6878"/>
    <w:multiLevelType w:val="multilevel"/>
    <w:tmpl w:val="25F6B15C"/>
    <w:lvl w:ilvl="0">
      <w:start w:val="1"/>
      <w:numFmt w:val="decimal"/>
      <w:lvlText w:val="%1."/>
      <w:lvlJc w:val="left"/>
      <w:pPr>
        <w:ind w:left="927"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18B2F27"/>
    <w:multiLevelType w:val="hybridMultilevel"/>
    <w:tmpl w:val="7A56CB1A"/>
    <w:lvl w:ilvl="0" w:tplc="365CB8F8">
      <w:start w:val="1"/>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92971"/>
    <w:multiLevelType w:val="hybridMultilevel"/>
    <w:tmpl w:val="867E1168"/>
    <w:lvl w:ilvl="0" w:tplc="034A669A">
      <w:start w:val="2"/>
      <w:numFmt w:val="bullet"/>
      <w:lvlText w:val="-"/>
      <w:lvlJc w:val="left"/>
      <w:pPr>
        <w:ind w:left="720" w:hanging="360"/>
      </w:pPr>
      <w:rPr>
        <w:rFonts w:ascii="Verdana" w:eastAsia="Times New Roman" w:hAnsi="Verdana"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2D4938"/>
    <w:multiLevelType w:val="multilevel"/>
    <w:tmpl w:val="39C233C2"/>
    <w:lvl w:ilvl="0">
      <w:start w:val="2"/>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20160" w:hanging="2520"/>
      </w:pPr>
      <w:rPr>
        <w:rFonts w:hint="default"/>
      </w:rPr>
    </w:lvl>
    <w:lvl w:ilvl="8">
      <w:start w:val="1"/>
      <w:numFmt w:val="decimal"/>
      <w:lvlText w:val="%1.%2.%3.%4.%5.%6.%7.%8.%9"/>
      <w:lvlJc w:val="left"/>
      <w:pPr>
        <w:ind w:left="22680" w:hanging="2520"/>
      </w:pPr>
      <w:rPr>
        <w:rFonts w:hint="default"/>
      </w:rPr>
    </w:lvl>
  </w:abstractNum>
  <w:abstractNum w:abstractNumId="6" w15:restartNumberingAfterBreak="0">
    <w:nsid w:val="19EA5282"/>
    <w:multiLevelType w:val="multilevel"/>
    <w:tmpl w:val="1BE2F93C"/>
    <w:lvl w:ilvl="0">
      <w:start w:val="2"/>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20160" w:hanging="2520"/>
      </w:pPr>
      <w:rPr>
        <w:rFonts w:hint="default"/>
      </w:rPr>
    </w:lvl>
    <w:lvl w:ilvl="8">
      <w:start w:val="1"/>
      <w:numFmt w:val="decimal"/>
      <w:lvlText w:val="%1.%2.%3.%4.%5.%6.%7.%8.%9"/>
      <w:lvlJc w:val="left"/>
      <w:pPr>
        <w:ind w:left="22680" w:hanging="2520"/>
      </w:pPr>
      <w:rPr>
        <w:rFonts w:hint="default"/>
      </w:rPr>
    </w:lvl>
  </w:abstractNum>
  <w:abstractNum w:abstractNumId="7" w15:restartNumberingAfterBreak="0">
    <w:nsid w:val="257E0114"/>
    <w:multiLevelType w:val="hybridMultilevel"/>
    <w:tmpl w:val="0E88C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5F0"/>
    <w:multiLevelType w:val="hybridMultilevel"/>
    <w:tmpl w:val="DA92A0A2"/>
    <w:lvl w:ilvl="0" w:tplc="42205B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9212F0"/>
    <w:multiLevelType w:val="multilevel"/>
    <w:tmpl w:val="BA40D34C"/>
    <w:lvl w:ilvl="0">
      <w:start w:val="1"/>
      <w:numFmt w:val="decimal"/>
      <w:lvlText w:val="%1."/>
      <w:lvlJc w:val="left"/>
      <w:pPr>
        <w:ind w:left="2062" w:hanging="360"/>
      </w:pPr>
      <w:rPr>
        <w:rFonts w:cs="Times New Roman" w:hint="default"/>
        <w:i w:val="0"/>
      </w:rPr>
    </w:lvl>
    <w:lvl w:ilvl="1">
      <w:start w:val="1"/>
      <w:numFmt w:val="decimal"/>
      <w:isLgl/>
      <w:lvlText w:val="%1.%2"/>
      <w:lvlJc w:val="left"/>
      <w:pPr>
        <w:ind w:left="2422" w:hanging="720"/>
      </w:pPr>
      <w:rPr>
        <w:rFonts w:hint="default"/>
        <w:b w:val="0"/>
        <w:i w:val="0"/>
      </w:rPr>
    </w:lvl>
    <w:lvl w:ilvl="2">
      <w:start w:val="1"/>
      <w:numFmt w:val="decimal"/>
      <w:isLgl/>
      <w:lvlText w:val="%1.%2.%3"/>
      <w:lvlJc w:val="left"/>
      <w:pPr>
        <w:ind w:left="2782" w:hanging="108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3142" w:hanging="1440"/>
      </w:pPr>
      <w:rPr>
        <w:rFonts w:hint="default"/>
      </w:rPr>
    </w:lvl>
    <w:lvl w:ilvl="5">
      <w:start w:val="1"/>
      <w:numFmt w:val="decimal"/>
      <w:isLgl/>
      <w:lvlText w:val="%1.%2.%3.%4.%5.%6"/>
      <w:lvlJc w:val="left"/>
      <w:pPr>
        <w:ind w:left="3502" w:hanging="1800"/>
      </w:pPr>
      <w:rPr>
        <w:rFonts w:hint="default"/>
      </w:rPr>
    </w:lvl>
    <w:lvl w:ilvl="6">
      <w:start w:val="1"/>
      <w:numFmt w:val="decimal"/>
      <w:isLgl/>
      <w:lvlText w:val="%1.%2.%3.%4.%5.%6.%7"/>
      <w:lvlJc w:val="left"/>
      <w:pPr>
        <w:ind w:left="3862" w:hanging="2160"/>
      </w:pPr>
      <w:rPr>
        <w:rFonts w:hint="default"/>
      </w:rPr>
    </w:lvl>
    <w:lvl w:ilvl="7">
      <w:start w:val="1"/>
      <w:numFmt w:val="decimal"/>
      <w:isLgl/>
      <w:lvlText w:val="%1.%2.%3.%4.%5.%6.%7.%8"/>
      <w:lvlJc w:val="left"/>
      <w:pPr>
        <w:ind w:left="4222" w:hanging="2520"/>
      </w:pPr>
      <w:rPr>
        <w:rFonts w:hint="default"/>
      </w:rPr>
    </w:lvl>
    <w:lvl w:ilvl="8">
      <w:start w:val="1"/>
      <w:numFmt w:val="decimal"/>
      <w:isLgl/>
      <w:lvlText w:val="%1.%2.%3.%4.%5.%6.%7.%8.%9"/>
      <w:lvlJc w:val="left"/>
      <w:pPr>
        <w:ind w:left="4222" w:hanging="2520"/>
      </w:pPr>
      <w:rPr>
        <w:rFonts w:hint="default"/>
      </w:rPr>
    </w:lvl>
  </w:abstractNum>
  <w:abstractNum w:abstractNumId="10" w15:restartNumberingAfterBreak="0">
    <w:nsid w:val="354E25E2"/>
    <w:multiLevelType w:val="multilevel"/>
    <w:tmpl w:val="186C2D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1" w15:restartNumberingAfterBreak="0">
    <w:nsid w:val="3DEE14AF"/>
    <w:multiLevelType w:val="multilevel"/>
    <w:tmpl w:val="C1A09F3C"/>
    <w:lvl w:ilvl="0">
      <w:start w:val="1"/>
      <w:numFmt w:val="decimal"/>
      <w:lvlText w:val="%1."/>
      <w:lvlJc w:val="left"/>
      <w:pPr>
        <w:ind w:left="1065" w:hanging="360"/>
      </w:pPr>
      <w:rPr>
        <w:rFonts w:hint="default"/>
        <w:b/>
      </w:rPr>
    </w:lvl>
    <w:lvl w:ilvl="1">
      <w:start w:val="2"/>
      <w:numFmt w:val="decimal"/>
      <w:isLgl/>
      <w:lvlText w:val="%1.%2."/>
      <w:lvlJc w:val="left"/>
      <w:pPr>
        <w:ind w:left="1605" w:hanging="900"/>
      </w:pPr>
      <w:rPr>
        <w:rFonts w:eastAsia="Times New Roman" w:cstheme="minorBidi" w:hint="default"/>
        <w:b/>
      </w:rPr>
    </w:lvl>
    <w:lvl w:ilvl="2">
      <w:start w:val="1"/>
      <w:numFmt w:val="decimal"/>
      <w:isLgl/>
      <w:lvlText w:val="%1.%2.%3."/>
      <w:lvlJc w:val="left"/>
      <w:pPr>
        <w:ind w:left="1785" w:hanging="1080"/>
      </w:pPr>
      <w:rPr>
        <w:rFonts w:eastAsia="Times New Roman" w:cstheme="minorBidi" w:hint="default"/>
        <w:b/>
      </w:rPr>
    </w:lvl>
    <w:lvl w:ilvl="3">
      <w:start w:val="5"/>
      <w:numFmt w:val="decimal"/>
      <w:isLgl/>
      <w:lvlText w:val="%1.%2.%3.%4."/>
      <w:lvlJc w:val="left"/>
      <w:pPr>
        <w:ind w:left="1785" w:hanging="1080"/>
      </w:pPr>
      <w:rPr>
        <w:rFonts w:eastAsia="Times New Roman" w:cstheme="minorBidi" w:hint="default"/>
        <w:b/>
      </w:rPr>
    </w:lvl>
    <w:lvl w:ilvl="4">
      <w:start w:val="1"/>
      <w:numFmt w:val="decimal"/>
      <w:isLgl/>
      <w:lvlText w:val="%1.%2.%3.%4.%5."/>
      <w:lvlJc w:val="left"/>
      <w:pPr>
        <w:ind w:left="2145" w:hanging="1440"/>
      </w:pPr>
      <w:rPr>
        <w:rFonts w:eastAsia="Times New Roman" w:cstheme="minorBidi" w:hint="default"/>
        <w:b/>
      </w:rPr>
    </w:lvl>
    <w:lvl w:ilvl="5">
      <w:start w:val="1"/>
      <w:numFmt w:val="decimal"/>
      <w:isLgl/>
      <w:lvlText w:val="%1.%2.%3.%4.%5.%6."/>
      <w:lvlJc w:val="left"/>
      <w:pPr>
        <w:ind w:left="2505" w:hanging="1800"/>
      </w:pPr>
      <w:rPr>
        <w:rFonts w:eastAsia="Times New Roman" w:cstheme="minorBidi" w:hint="default"/>
        <w:b/>
      </w:rPr>
    </w:lvl>
    <w:lvl w:ilvl="6">
      <w:start w:val="1"/>
      <w:numFmt w:val="decimal"/>
      <w:isLgl/>
      <w:lvlText w:val="%1.%2.%3.%4.%5.%6.%7."/>
      <w:lvlJc w:val="left"/>
      <w:pPr>
        <w:ind w:left="2865" w:hanging="2160"/>
      </w:pPr>
      <w:rPr>
        <w:rFonts w:eastAsia="Times New Roman" w:cstheme="minorBidi" w:hint="default"/>
        <w:b/>
      </w:rPr>
    </w:lvl>
    <w:lvl w:ilvl="7">
      <w:start w:val="1"/>
      <w:numFmt w:val="decimal"/>
      <w:isLgl/>
      <w:lvlText w:val="%1.%2.%3.%4.%5.%6.%7.%8."/>
      <w:lvlJc w:val="left"/>
      <w:pPr>
        <w:ind w:left="2865" w:hanging="2160"/>
      </w:pPr>
      <w:rPr>
        <w:rFonts w:eastAsia="Times New Roman" w:cstheme="minorBidi" w:hint="default"/>
        <w:b/>
      </w:rPr>
    </w:lvl>
    <w:lvl w:ilvl="8">
      <w:start w:val="1"/>
      <w:numFmt w:val="decimal"/>
      <w:isLgl/>
      <w:lvlText w:val="%1.%2.%3.%4.%5.%6.%7.%8.%9."/>
      <w:lvlJc w:val="left"/>
      <w:pPr>
        <w:ind w:left="3225" w:hanging="2520"/>
      </w:pPr>
      <w:rPr>
        <w:rFonts w:eastAsia="Times New Roman" w:cstheme="minorBidi" w:hint="default"/>
        <w:b/>
      </w:rPr>
    </w:lvl>
  </w:abstractNum>
  <w:abstractNum w:abstractNumId="12" w15:restartNumberingAfterBreak="0">
    <w:nsid w:val="41EA6634"/>
    <w:multiLevelType w:val="hybridMultilevel"/>
    <w:tmpl w:val="353A7C50"/>
    <w:lvl w:ilvl="0" w:tplc="240A0001">
      <w:start w:val="1"/>
      <w:numFmt w:val="bullet"/>
      <w:lvlText w:val=""/>
      <w:lvlJc w:val="left"/>
      <w:pPr>
        <w:ind w:left="3555" w:hanging="360"/>
      </w:pPr>
      <w:rPr>
        <w:rFonts w:ascii="Symbol" w:hAnsi="Symbol" w:hint="default"/>
      </w:rPr>
    </w:lvl>
    <w:lvl w:ilvl="1" w:tplc="240A0003" w:tentative="1">
      <w:start w:val="1"/>
      <w:numFmt w:val="bullet"/>
      <w:lvlText w:val="o"/>
      <w:lvlJc w:val="left"/>
      <w:pPr>
        <w:ind w:left="4275" w:hanging="360"/>
      </w:pPr>
      <w:rPr>
        <w:rFonts w:ascii="Courier New" w:hAnsi="Courier New" w:cs="Courier New" w:hint="default"/>
      </w:rPr>
    </w:lvl>
    <w:lvl w:ilvl="2" w:tplc="240A0005" w:tentative="1">
      <w:start w:val="1"/>
      <w:numFmt w:val="bullet"/>
      <w:lvlText w:val=""/>
      <w:lvlJc w:val="left"/>
      <w:pPr>
        <w:ind w:left="4995" w:hanging="360"/>
      </w:pPr>
      <w:rPr>
        <w:rFonts w:ascii="Wingdings" w:hAnsi="Wingdings" w:hint="default"/>
      </w:rPr>
    </w:lvl>
    <w:lvl w:ilvl="3" w:tplc="240A0001" w:tentative="1">
      <w:start w:val="1"/>
      <w:numFmt w:val="bullet"/>
      <w:lvlText w:val=""/>
      <w:lvlJc w:val="left"/>
      <w:pPr>
        <w:ind w:left="5715" w:hanging="360"/>
      </w:pPr>
      <w:rPr>
        <w:rFonts w:ascii="Symbol" w:hAnsi="Symbol" w:hint="default"/>
      </w:rPr>
    </w:lvl>
    <w:lvl w:ilvl="4" w:tplc="240A0003" w:tentative="1">
      <w:start w:val="1"/>
      <w:numFmt w:val="bullet"/>
      <w:lvlText w:val="o"/>
      <w:lvlJc w:val="left"/>
      <w:pPr>
        <w:ind w:left="6435" w:hanging="360"/>
      </w:pPr>
      <w:rPr>
        <w:rFonts w:ascii="Courier New" w:hAnsi="Courier New" w:cs="Courier New" w:hint="default"/>
      </w:rPr>
    </w:lvl>
    <w:lvl w:ilvl="5" w:tplc="240A0005" w:tentative="1">
      <w:start w:val="1"/>
      <w:numFmt w:val="bullet"/>
      <w:lvlText w:val=""/>
      <w:lvlJc w:val="left"/>
      <w:pPr>
        <w:ind w:left="7155" w:hanging="360"/>
      </w:pPr>
      <w:rPr>
        <w:rFonts w:ascii="Wingdings" w:hAnsi="Wingdings" w:hint="default"/>
      </w:rPr>
    </w:lvl>
    <w:lvl w:ilvl="6" w:tplc="240A0001" w:tentative="1">
      <w:start w:val="1"/>
      <w:numFmt w:val="bullet"/>
      <w:lvlText w:val=""/>
      <w:lvlJc w:val="left"/>
      <w:pPr>
        <w:ind w:left="7875" w:hanging="360"/>
      </w:pPr>
      <w:rPr>
        <w:rFonts w:ascii="Symbol" w:hAnsi="Symbol" w:hint="default"/>
      </w:rPr>
    </w:lvl>
    <w:lvl w:ilvl="7" w:tplc="240A0003" w:tentative="1">
      <w:start w:val="1"/>
      <w:numFmt w:val="bullet"/>
      <w:lvlText w:val="o"/>
      <w:lvlJc w:val="left"/>
      <w:pPr>
        <w:ind w:left="8595" w:hanging="360"/>
      </w:pPr>
      <w:rPr>
        <w:rFonts w:ascii="Courier New" w:hAnsi="Courier New" w:cs="Courier New" w:hint="default"/>
      </w:rPr>
    </w:lvl>
    <w:lvl w:ilvl="8" w:tplc="240A0005" w:tentative="1">
      <w:start w:val="1"/>
      <w:numFmt w:val="bullet"/>
      <w:lvlText w:val=""/>
      <w:lvlJc w:val="left"/>
      <w:pPr>
        <w:ind w:left="9315" w:hanging="360"/>
      </w:pPr>
      <w:rPr>
        <w:rFonts w:ascii="Wingdings" w:hAnsi="Wingdings" w:hint="default"/>
      </w:rPr>
    </w:lvl>
  </w:abstractNum>
  <w:abstractNum w:abstractNumId="13" w15:restartNumberingAfterBreak="0">
    <w:nsid w:val="4A793886"/>
    <w:multiLevelType w:val="hybridMultilevel"/>
    <w:tmpl w:val="4292552A"/>
    <w:lvl w:ilvl="0" w:tplc="240A0001">
      <w:start w:val="1"/>
      <w:numFmt w:val="bullet"/>
      <w:lvlText w:val=""/>
      <w:lvlJc w:val="left"/>
      <w:pPr>
        <w:ind w:left="2505" w:hanging="360"/>
      </w:pPr>
      <w:rPr>
        <w:rFonts w:ascii="Symbol" w:hAnsi="Symbol" w:hint="default"/>
      </w:rPr>
    </w:lvl>
    <w:lvl w:ilvl="1" w:tplc="240A0003" w:tentative="1">
      <w:start w:val="1"/>
      <w:numFmt w:val="bullet"/>
      <w:lvlText w:val="o"/>
      <w:lvlJc w:val="left"/>
      <w:pPr>
        <w:ind w:left="3225" w:hanging="360"/>
      </w:pPr>
      <w:rPr>
        <w:rFonts w:ascii="Courier New" w:hAnsi="Courier New" w:cs="Courier New" w:hint="default"/>
      </w:rPr>
    </w:lvl>
    <w:lvl w:ilvl="2" w:tplc="240A0005" w:tentative="1">
      <w:start w:val="1"/>
      <w:numFmt w:val="bullet"/>
      <w:lvlText w:val=""/>
      <w:lvlJc w:val="left"/>
      <w:pPr>
        <w:ind w:left="3945" w:hanging="360"/>
      </w:pPr>
      <w:rPr>
        <w:rFonts w:ascii="Wingdings" w:hAnsi="Wingdings" w:hint="default"/>
      </w:rPr>
    </w:lvl>
    <w:lvl w:ilvl="3" w:tplc="240A0001" w:tentative="1">
      <w:start w:val="1"/>
      <w:numFmt w:val="bullet"/>
      <w:lvlText w:val=""/>
      <w:lvlJc w:val="left"/>
      <w:pPr>
        <w:ind w:left="4665" w:hanging="360"/>
      </w:pPr>
      <w:rPr>
        <w:rFonts w:ascii="Symbol" w:hAnsi="Symbol" w:hint="default"/>
      </w:rPr>
    </w:lvl>
    <w:lvl w:ilvl="4" w:tplc="240A0003" w:tentative="1">
      <w:start w:val="1"/>
      <w:numFmt w:val="bullet"/>
      <w:lvlText w:val="o"/>
      <w:lvlJc w:val="left"/>
      <w:pPr>
        <w:ind w:left="5385" w:hanging="360"/>
      </w:pPr>
      <w:rPr>
        <w:rFonts w:ascii="Courier New" w:hAnsi="Courier New" w:cs="Courier New" w:hint="default"/>
      </w:rPr>
    </w:lvl>
    <w:lvl w:ilvl="5" w:tplc="240A0005" w:tentative="1">
      <w:start w:val="1"/>
      <w:numFmt w:val="bullet"/>
      <w:lvlText w:val=""/>
      <w:lvlJc w:val="left"/>
      <w:pPr>
        <w:ind w:left="6105" w:hanging="360"/>
      </w:pPr>
      <w:rPr>
        <w:rFonts w:ascii="Wingdings" w:hAnsi="Wingdings" w:hint="default"/>
      </w:rPr>
    </w:lvl>
    <w:lvl w:ilvl="6" w:tplc="240A0001" w:tentative="1">
      <w:start w:val="1"/>
      <w:numFmt w:val="bullet"/>
      <w:lvlText w:val=""/>
      <w:lvlJc w:val="left"/>
      <w:pPr>
        <w:ind w:left="6825" w:hanging="360"/>
      </w:pPr>
      <w:rPr>
        <w:rFonts w:ascii="Symbol" w:hAnsi="Symbol" w:hint="default"/>
      </w:rPr>
    </w:lvl>
    <w:lvl w:ilvl="7" w:tplc="240A0003" w:tentative="1">
      <w:start w:val="1"/>
      <w:numFmt w:val="bullet"/>
      <w:lvlText w:val="o"/>
      <w:lvlJc w:val="left"/>
      <w:pPr>
        <w:ind w:left="7545" w:hanging="360"/>
      </w:pPr>
      <w:rPr>
        <w:rFonts w:ascii="Courier New" w:hAnsi="Courier New" w:cs="Courier New" w:hint="default"/>
      </w:rPr>
    </w:lvl>
    <w:lvl w:ilvl="8" w:tplc="240A0005" w:tentative="1">
      <w:start w:val="1"/>
      <w:numFmt w:val="bullet"/>
      <w:lvlText w:val=""/>
      <w:lvlJc w:val="left"/>
      <w:pPr>
        <w:ind w:left="8265" w:hanging="360"/>
      </w:pPr>
      <w:rPr>
        <w:rFonts w:ascii="Wingdings" w:hAnsi="Wingdings" w:hint="default"/>
      </w:rPr>
    </w:lvl>
  </w:abstractNum>
  <w:abstractNum w:abstractNumId="14" w15:restartNumberingAfterBreak="0">
    <w:nsid w:val="4B4723F7"/>
    <w:multiLevelType w:val="multilevel"/>
    <w:tmpl w:val="ADFAF342"/>
    <w:lvl w:ilvl="0">
      <w:start w:val="1"/>
      <w:numFmt w:val="decimal"/>
      <w:lvlText w:val="%1."/>
      <w:lvlJc w:val="left"/>
      <w:pPr>
        <w:ind w:left="786" w:hanging="360"/>
      </w:pPr>
      <w:rPr>
        <w:rFonts w:hint="default"/>
        <w:b w:val="0"/>
        <w:color w:val="auto"/>
      </w:rPr>
    </w:lvl>
    <w:lvl w:ilvl="1">
      <w:start w:val="1"/>
      <w:numFmt w:val="decimal"/>
      <w:isLgl/>
      <w:lvlText w:val="%1.%2"/>
      <w:lvlJc w:val="left"/>
      <w:pPr>
        <w:ind w:left="1146" w:hanging="720"/>
      </w:pPr>
      <w:rPr>
        <w:rFonts w:hint="default"/>
        <w:b w:val="0"/>
        <w:i w:val="0"/>
        <w:color w:val="auto"/>
        <w:lang w:val="es-ES_tradnl"/>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5" w15:restartNumberingAfterBreak="0">
    <w:nsid w:val="4B4E2605"/>
    <w:multiLevelType w:val="multilevel"/>
    <w:tmpl w:val="7B224974"/>
    <w:lvl w:ilvl="0">
      <w:start w:val="2"/>
      <w:numFmt w:val="decimal"/>
      <w:lvlText w:val="%1"/>
      <w:lvlJc w:val="left"/>
      <w:pPr>
        <w:ind w:left="390" w:hanging="390"/>
      </w:pPr>
      <w:rPr>
        <w:rFonts w:cs="Arial" w:hint="default"/>
        <w:i w:val="0"/>
      </w:rPr>
    </w:lvl>
    <w:lvl w:ilvl="1">
      <w:start w:val="1"/>
      <w:numFmt w:val="decimal"/>
      <w:lvlText w:val="%1.%2"/>
      <w:lvlJc w:val="left"/>
      <w:pPr>
        <w:ind w:left="1080" w:hanging="720"/>
      </w:pPr>
      <w:rPr>
        <w:rFonts w:cs="Arial" w:hint="default"/>
        <w:i w:val="0"/>
      </w:rPr>
    </w:lvl>
    <w:lvl w:ilvl="2">
      <w:start w:val="1"/>
      <w:numFmt w:val="decimal"/>
      <w:lvlText w:val="%1.%2.%3"/>
      <w:lvlJc w:val="left"/>
      <w:pPr>
        <w:ind w:left="1800" w:hanging="1080"/>
      </w:pPr>
      <w:rPr>
        <w:rFonts w:cs="Arial" w:hint="default"/>
        <w:i w:val="0"/>
      </w:rPr>
    </w:lvl>
    <w:lvl w:ilvl="3">
      <w:start w:val="1"/>
      <w:numFmt w:val="decimal"/>
      <w:lvlText w:val="%1.%2.%3.%4"/>
      <w:lvlJc w:val="left"/>
      <w:pPr>
        <w:ind w:left="2160" w:hanging="1080"/>
      </w:pPr>
      <w:rPr>
        <w:rFonts w:cs="Arial" w:hint="default"/>
        <w:i w:val="0"/>
      </w:rPr>
    </w:lvl>
    <w:lvl w:ilvl="4">
      <w:start w:val="1"/>
      <w:numFmt w:val="decimal"/>
      <w:lvlText w:val="%1.%2.%3.%4.%5"/>
      <w:lvlJc w:val="left"/>
      <w:pPr>
        <w:ind w:left="2880" w:hanging="1440"/>
      </w:pPr>
      <w:rPr>
        <w:rFonts w:cs="Arial" w:hint="default"/>
        <w:i w:val="0"/>
      </w:rPr>
    </w:lvl>
    <w:lvl w:ilvl="5">
      <w:start w:val="1"/>
      <w:numFmt w:val="decimal"/>
      <w:lvlText w:val="%1.%2.%3.%4.%5.%6"/>
      <w:lvlJc w:val="left"/>
      <w:pPr>
        <w:ind w:left="3600" w:hanging="1800"/>
      </w:pPr>
      <w:rPr>
        <w:rFonts w:cs="Arial" w:hint="default"/>
        <w:i w:val="0"/>
      </w:rPr>
    </w:lvl>
    <w:lvl w:ilvl="6">
      <w:start w:val="1"/>
      <w:numFmt w:val="decimal"/>
      <w:lvlText w:val="%1.%2.%3.%4.%5.%6.%7"/>
      <w:lvlJc w:val="left"/>
      <w:pPr>
        <w:ind w:left="4320" w:hanging="2160"/>
      </w:pPr>
      <w:rPr>
        <w:rFonts w:cs="Arial" w:hint="default"/>
        <w:i w:val="0"/>
      </w:rPr>
    </w:lvl>
    <w:lvl w:ilvl="7">
      <w:start w:val="1"/>
      <w:numFmt w:val="decimal"/>
      <w:lvlText w:val="%1.%2.%3.%4.%5.%6.%7.%8"/>
      <w:lvlJc w:val="left"/>
      <w:pPr>
        <w:ind w:left="5040" w:hanging="2520"/>
      </w:pPr>
      <w:rPr>
        <w:rFonts w:cs="Arial" w:hint="default"/>
        <w:i w:val="0"/>
      </w:rPr>
    </w:lvl>
    <w:lvl w:ilvl="8">
      <w:start w:val="1"/>
      <w:numFmt w:val="decimal"/>
      <w:lvlText w:val="%1.%2.%3.%4.%5.%6.%7.%8.%9"/>
      <w:lvlJc w:val="left"/>
      <w:pPr>
        <w:ind w:left="5400" w:hanging="2520"/>
      </w:pPr>
      <w:rPr>
        <w:rFonts w:cs="Arial" w:hint="default"/>
        <w:i w:val="0"/>
      </w:rPr>
    </w:lvl>
  </w:abstractNum>
  <w:abstractNum w:abstractNumId="16" w15:restartNumberingAfterBreak="0">
    <w:nsid w:val="51E16ACF"/>
    <w:multiLevelType w:val="hybridMultilevel"/>
    <w:tmpl w:val="EC449EA2"/>
    <w:lvl w:ilvl="0" w:tplc="EFA08DC2">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2FC61BA"/>
    <w:multiLevelType w:val="multilevel"/>
    <w:tmpl w:val="D5A6E11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18" w15:restartNumberingAfterBreak="0">
    <w:nsid w:val="537B690D"/>
    <w:multiLevelType w:val="multilevel"/>
    <w:tmpl w:val="50764F80"/>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Arial" w:hint="default"/>
        <w:b w:val="0"/>
        <w:i w:val="0"/>
      </w:rPr>
    </w:lvl>
    <w:lvl w:ilvl="2">
      <w:start w:val="1"/>
      <w:numFmt w:val="decimal"/>
      <w:isLgl/>
      <w:lvlText w:val="%1.%2.%3"/>
      <w:lvlJc w:val="left"/>
      <w:pPr>
        <w:ind w:left="1440" w:hanging="1080"/>
      </w:pPr>
      <w:rPr>
        <w:rFonts w:cs="Arial" w:hint="default"/>
        <w:b w:val="0"/>
      </w:rPr>
    </w:lvl>
    <w:lvl w:ilvl="3">
      <w:start w:val="1"/>
      <w:numFmt w:val="decimal"/>
      <w:isLgl/>
      <w:lvlText w:val="%1.%2.%3.%4"/>
      <w:lvlJc w:val="left"/>
      <w:pPr>
        <w:ind w:left="1800" w:hanging="1440"/>
      </w:pPr>
      <w:rPr>
        <w:rFonts w:cs="Arial" w:hint="default"/>
        <w:b w:val="0"/>
      </w:rPr>
    </w:lvl>
    <w:lvl w:ilvl="4">
      <w:start w:val="1"/>
      <w:numFmt w:val="decimal"/>
      <w:isLgl/>
      <w:lvlText w:val="%1.%2.%3.%4.%5"/>
      <w:lvlJc w:val="left"/>
      <w:pPr>
        <w:ind w:left="1800" w:hanging="1440"/>
      </w:pPr>
      <w:rPr>
        <w:rFonts w:cs="Arial" w:hint="default"/>
        <w:b w:val="0"/>
      </w:rPr>
    </w:lvl>
    <w:lvl w:ilvl="5">
      <w:start w:val="1"/>
      <w:numFmt w:val="decimal"/>
      <w:isLgl/>
      <w:lvlText w:val="%1.%2.%3.%4.%5.%6"/>
      <w:lvlJc w:val="left"/>
      <w:pPr>
        <w:ind w:left="2160" w:hanging="1800"/>
      </w:pPr>
      <w:rPr>
        <w:rFonts w:cs="Arial" w:hint="default"/>
        <w:b w:val="0"/>
      </w:rPr>
    </w:lvl>
    <w:lvl w:ilvl="6">
      <w:start w:val="1"/>
      <w:numFmt w:val="decimal"/>
      <w:isLgl/>
      <w:lvlText w:val="%1.%2.%3.%4.%5.%6.%7"/>
      <w:lvlJc w:val="left"/>
      <w:pPr>
        <w:ind w:left="2520" w:hanging="2160"/>
      </w:pPr>
      <w:rPr>
        <w:rFonts w:cs="Arial" w:hint="default"/>
        <w:b w:val="0"/>
      </w:rPr>
    </w:lvl>
    <w:lvl w:ilvl="7">
      <w:start w:val="1"/>
      <w:numFmt w:val="decimal"/>
      <w:isLgl/>
      <w:lvlText w:val="%1.%2.%3.%4.%5.%6.%7.%8"/>
      <w:lvlJc w:val="left"/>
      <w:pPr>
        <w:ind w:left="2880" w:hanging="2520"/>
      </w:pPr>
      <w:rPr>
        <w:rFonts w:cs="Arial" w:hint="default"/>
        <w:b w:val="0"/>
      </w:rPr>
    </w:lvl>
    <w:lvl w:ilvl="8">
      <w:start w:val="1"/>
      <w:numFmt w:val="decimal"/>
      <w:isLgl/>
      <w:lvlText w:val="%1.%2.%3.%4.%5.%6.%7.%8.%9"/>
      <w:lvlJc w:val="left"/>
      <w:pPr>
        <w:ind w:left="3240" w:hanging="2880"/>
      </w:pPr>
      <w:rPr>
        <w:rFonts w:cs="Arial" w:hint="default"/>
        <w:b w:val="0"/>
      </w:rPr>
    </w:lvl>
  </w:abstractNum>
  <w:abstractNum w:abstractNumId="19" w15:restartNumberingAfterBreak="0">
    <w:nsid w:val="57AF186A"/>
    <w:multiLevelType w:val="hybridMultilevel"/>
    <w:tmpl w:val="89B8E25C"/>
    <w:lvl w:ilvl="0" w:tplc="9FCCC2A4">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D5A523C"/>
    <w:multiLevelType w:val="multilevel"/>
    <w:tmpl w:val="243C637E"/>
    <w:lvl w:ilvl="0">
      <w:start w:val="1"/>
      <w:numFmt w:val="decimal"/>
      <w:lvlText w:val="%1."/>
      <w:lvlJc w:val="left"/>
      <w:pPr>
        <w:ind w:left="2345" w:hanging="360"/>
      </w:pPr>
      <w:rPr>
        <w:rFonts w:hint="default"/>
        <w:b w:val="0"/>
        <w:i w:val="0"/>
        <w:sz w:val="24"/>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2" w15:restartNumberingAfterBreak="0">
    <w:nsid w:val="6D8D1805"/>
    <w:multiLevelType w:val="multilevel"/>
    <w:tmpl w:val="C82A6984"/>
    <w:lvl w:ilvl="0">
      <w:start w:val="1"/>
      <w:numFmt w:val="decimal"/>
      <w:lvlText w:val="%1."/>
      <w:lvlJc w:val="left"/>
      <w:pPr>
        <w:ind w:left="765" w:hanging="405"/>
      </w:pPr>
      <w:rPr>
        <w:rFonts w:cs="Times New Roman" w:hint="default"/>
        <w:b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75434A25"/>
    <w:multiLevelType w:val="hybridMultilevel"/>
    <w:tmpl w:val="02B05756"/>
    <w:lvl w:ilvl="0" w:tplc="240A0001">
      <w:start w:val="1"/>
      <w:numFmt w:val="bullet"/>
      <w:lvlText w:val=""/>
      <w:lvlJc w:val="left"/>
      <w:pPr>
        <w:ind w:left="2505" w:hanging="360"/>
      </w:pPr>
      <w:rPr>
        <w:rFonts w:ascii="Symbol" w:hAnsi="Symbol" w:hint="default"/>
      </w:rPr>
    </w:lvl>
    <w:lvl w:ilvl="1" w:tplc="240A0003" w:tentative="1">
      <w:start w:val="1"/>
      <w:numFmt w:val="bullet"/>
      <w:lvlText w:val="o"/>
      <w:lvlJc w:val="left"/>
      <w:pPr>
        <w:ind w:left="3225" w:hanging="360"/>
      </w:pPr>
      <w:rPr>
        <w:rFonts w:ascii="Courier New" w:hAnsi="Courier New" w:cs="Courier New" w:hint="default"/>
      </w:rPr>
    </w:lvl>
    <w:lvl w:ilvl="2" w:tplc="240A0005" w:tentative="1">
      <w:start w:val="1"/>
      <w:numFmt w:val="bullet"/>
      <w:lvlText w:val=""/>
      <w:lvlJc w:val="left"/>
      <w:pPr>
        <w:ind w:left="3945" w:hanging="360"/>
      </w:pPr>
      <w:rPr>
        <w:rFonts w:ascii="Wingdings" w:hAnsi="Wingdings" w:hint="default"/>
      </w:rPr>
    </w:lvl>
    <w:lvl w:ilvl="3" w:tplc="240A0001" w:tentative="1">
      <w:start w:val="1"/>
      <w:numFmt w:val="bullet"/>
      <w:lvlText w:val=""/>
      <w:lvlJc w:val="left"/>
      <w:pPr>
        <w:ind w:left="4665" w:hanging="360"/>
      </w:pPr>
      <w:rPr>
        <w:rFonts w:ascii="Symbol" w:hAnsi="Symbol" w:hint="default"/>
      </w:rPr>
    </w:lvl>
    <w:lvl w:ilvl="4" w:tplc="240A0003" w:tentative="1">
      <w:start w:val="1"/>
      <w:numFmt w:val="bullet"/>
      <w:lvlText w:val="o"/>
      <w:lvlJc w:val="left"/>
      <w:pPr>
        <w:ind w:left="5385" w:hanging="360"/>
      </w:pPr>
      <w:rPr>
        <w:rFonts w:ascii="Courier New" w:hAnsi="Courier New" w:cs="Courier New" w:hint="default"/>
      </w:rPr>
    </w:lvl>
    <w:lvl w:ilvl="5" w:tplc="240A0005" w:tentative="1">
      <w:start w:val="1"/>
      <w:numFmt w:val="bullet"/>
      <w:lvlText w:val=""/>
      <w:lvlJc w:val="left"/>
      <w:pPr>
        <w:ind w:left="6105" w:hanging="360"/>
      </w:pPr>
      <w:rPr>
        <w:rFonts w:ascii="Wingdings" w:hAnsi="Wingdings" w:hint="default"/>
      </w:rPr>
    </w:lvl>
    <w:lvl w:ilvl="6" w:tplc="240A0001" w:tentative="1">
      <w:start w:val="1"/>
      <w:numFmt w:val="bullet"/>
      <w:lvlText w:val=""/>
      <w:lvlJc w:val="left"/>
      <w:pPr>
        <w:ind w:left="6825" w:hanging="360"/>
      </w:pPr>
      <w:rPr>
        <w:rFonts w:ascii="Symbol" w:hAnsi="Symbol" w:hint="default"/>
      </w:rPr>
    </w:lvl>
    <w:lvl w:ilvl="7" w:tplc="240A0003" w:tentative="1">
      <w:start w:val="1"/>
      <w:numFmt w:val="bullet"/>
      <w:lvlText w:val="o"/>
      <w:lvlJc w:val="left"/>
      <w:pPr>
        <w:ind w:left="7545" w:hanging="360"/>
      </w:pPr>
      <w:rPr>
        <w:rFonts w:ascii="Courier New" w:hAnsi="Courier New" w:cs="Courier New" w:hint="default"/>
      </w:rPr>
    </w:lvl>
    <w:lvl w:ilvl="8" w:tplc="240A0005" w:tentative="1">
      <w:start w:val="1"/>
      <w:numFmt w:val="bullet"/>
      <w:lvlText w:val=""/>
      <w:lvlJc w:val="left"/>
      <w:pPr>
        <w:ind w:left="8265" w:hanging="360"/>
      </w:pPr>
      <w:rPr>
        <w:rFonts w:ascii="Wingdings" w:hAnsi="Wingdings" w:hint="default"/>
      </w:rPr>
    </w:lvl>
  </w:abstractNum>
  <w:abstractNum w:abstractNumId="24" w15:restartNumberingAfterBreak="0">
    <w:nsid w:val="7D0462A8"/>
    <w:multiLevelType w:val="hybridMultilevel"/>
    <w:tmpl w:val="5E80C656"/>
    <w:lvl w:ilvl="0" w:tplc="AE101EB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0"/>
  </w:num>
  <w:num w:numId="2">
    <w:abstractNumId w:val="0"/>
  </w:num>
  <w:num w:numId="3">
    <w:abstractNumId w:val="8"/>
  </w:num>
  <w:num w:numId="4">
    <w:abstractNumId w:val="10"/>
  </w:num>
  <w:num w:numId="5">
    <w:abstractNumId w:val="21"/>
  </w:num>
  <w:num w:numId="6">
    <w:abstractNumId w:val="22"/>
  </w:num>
  <w:num w:numId="7">
    <w:abstractNumId w:val="16"/>
  </w:num>
  <w:num w:numId="8">
    <w:abstractNumId w:val="19"/>
  </w:num>
  <w:num w:numId="9">
    <w:abstractNumId w:val="14"/>
  </w:num>
  <w:num w:numId="10">
    <w:abstractNumId w:val="1"/>
  </w:num>
  <w:num w:numId="11">
    <w:abstractNumId w:val="18"/>
  </w:num>
  <w:num w:numId="12">
    <w:abstractNumId w:val="3"/>
  </w:num>
  <w:num w:numId="13">
    <w:abstractNumId w:val="7"/>
  </w:num>
  <w:num w:numId="14">
    <w:abstractNumId w:val="2"/>
  </w:num>
  <w:num w:numId="15">
    <w:abstractNumId w:val="9"/>
  </w:num>
  <w:num w:numId="16">
    <w:abstractNumId w:val="1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4"/>
  </w:num>
  <w:num w:numId="21">
    <w:abstractNumId w:val="23"/>
  </w:num>
  <w:num w:numId="22">
    <w:abstractNumId w:val="13"/>
  </w:num>
  <w:num w:numId="23">
    <w:abstractNumId w:val="12"/>
  </w:num>
  <w:num w:numId="24">
    <w:abstractNumId w:val="17"/>
  </w:num>
  <w:num w:numId="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CE"/>
    <w:rsid w:val="00000AB9"/>
    <w:rsid w:val="00000BF7"/>
    <w:rsid w:val="00000DEE"/>
    <w:rsid w:val="000014B0"/>
    <w:rsid w:val="00001C7B"/>
    <w:rsid w:val="000026BB"/>
    <w:rsid w:val="000028E4"/>
    <w:rsid w:val="00002F43"/>
    <w:rsid w:val="00003109"/>
    <w:rsid w:val="000034F7"/>
    <w:rsid w:val="00003961"/>
    <w:rsid w:val="00003C57"/>
    <w:rsid w:val="000047D1"/>
    <w:rsid w:val="000048A5"/>
    <w:rsid w:val="0000645C"/>
    <w:rsid w:val="00006A95"/>
    <w:rsid w:val="00006EAB"/>
    <w:rsid w:val="00007031"/>
    <w:rsid w:val="00007102"/>
    <w:rsid w:val="0001037E"/>
    <w:rsid w:val="00010BE6"/>
    <w:rsid w:val="00010E5E"/>
    <w:rsid w:val="000120C2"/>
    <w:rsid w:val="00013660"/>
    <w:rsid w:val="00014774"/>
    <w:rsid w:val="000150CF"/>
    <w:rsid w:val="000154B9"/>
    <w:rsid w:val="0001696D"/>
    <w:rsid w:val="00020542"/>
    <w:rsid w:val="00020AE8"/>
    <w:rsid w:val="00020EDD"/>
    <w:rsid w:val="00022507"/>
    <w:rsid w:val="00022A14"/>
    <w:rsid w:val="0002374A"/>
    <w:rsid w:val="000269B2"/>
    <w:rsid w:val="00026A6E"/>
    <w:rsid w:val="0002745F"/>
    <w:rsid w:val="000275C5"/>
    <w:rsid w:val="000276B6"/>
    <w:rsid w:val="000278FC"/>
    <w:rsid w:val="00027F7D"/>
    <w:rsid w:val="0003036A"/>
    <w:rsid w:val="00030479"/>
    <w:rsid w:val="000319AE"/>
    <w:rsid w:val="00031BA4"/>
    <w:rsid w:val="00033615"/>
    <w:rsid w:val="000340BE"/>
    <w:rsid w:val="00034A52"/>
    <w:rsid w:val="00035B10"/>
    <w:rsid w:val="00036DBD"/>
    <w:rsid w:val="000374C0"/>
    <w:rsid w:val="00040135"/>
    <w:rsid w:val="00040CB3"/>
    <w:rsid w:val="00041C70"/>
    <w:rsid w:val="00041DF0"/>
    <w:rsid w:val="00042C9F"/>
    <w:rsid w:val="00043164"/>
    <w:rsid w:val="00043A9A"/>
    <w:rsid w:val="00043CE4"/>
    <w:rsid w:val="00043D4B"/>
    <w:rsid w:val="0004565A"/>
    <w:rsid w:val="00045975"/>
    <w:rsid w:val="00046C6A"/>
    <w:rsid w:val="00047217"/>
    <w:rsid w:val="0004793D"/>
    <w:rsid w:val="00051917"/>
    <w:rsid w:val="00051A49"/>
    <w:rsid w:val="000538B9"/>
    <w:rsid w:val="000554BE"/>
    <w:rsid w:val="000555B6"/>
    <w:rsid w:val="00055AC2"/>
    <w:rsid w:val="0005630B"/>
    <w:rsid w:val="000570F0"/>
    <w:rsid w:val="0005716D"/>
    <w:rsid w:val="00057293"/>
    <w:rsid w:val="00057443"/>
    <w:rsid w:val="00057ECF"/>
    <w:rsid w:val="000605E0"/>
    <w:rsid w:val="00061F36"/>
    <w:rsid w:val="000624DB"/>
    <w:rsid w:val="00062668"/>
    <w:rsid w:val="00062EE7"/>
    <w:rsid w:val="000638B1"/>
    <w:rsid w:val="00063C11"/>
    <w:rsid w:val="0006599B"/>
    <w:rsid w:val="000659DC"/>
    <w:rsid w:val="000667EB"/>
    <w:rsid w:val="00066DC3"/>
    <w:rsid w:val="00066EB0"/>
    <w:rsid w:val="0006726F"/>
    <w:rsid w:val="0006728F"/>
    <w:rsid w:val="00067460"/>
    <w:rsid w:val="000676E6"/>
    <w:rsid w:val="00067906"/>
    <w:rsid w:val="000713CA"/>
    <w:rsid w:val="0007160F"/>
    <w:rsid w:val="0007189D"/>
    <w:rsid w:val="00071F57"/>
    <w:rsid w:val="00072A74"/>
    <w:rsid w:val="00073B3B"/>
    <w:rsid w:val="000741BC"/>
    <w:rsid w:val="000756C1"/>
    <w:rsid w:val="00075E78"/>
    <w:rsid w:val="000779EB"/>
    <w:rsid w:val="00077A0F"/>
    <w:rsid w:val="00080044"/>
    <w:rsid w:val="000801A8"/>
    <w:rsid w:val="0008021C"/>
    <w:rsid w:val="00082E64"/>
    <w:rsid w:val="00083F12"/>
    <w:rsid w:val="000841CA"/>
    <w:rsid w:val="00084A0F"/>
    <w:rsid w:val="00084B1D"/>
    <w:rsid w:val="00087BA0"/>
    <w:rsid w:val="0009034C"/>
    <w:rsid w:val="000903D4"/>
    <w:rsid w:val="00090C07"/>
    <w:rsid w:val="00091517"/>
    <w:rsid w:val="00092140"/>
    <w:rsid w:val="00092793"/>
    <w:rsid w:val="000951EA"/>
    <w:rsid w:val="000957A5"/>
    <w:rsid w:val="00096284"/>
    <w:rsid w:val="00096B40"/>
    <w:rsid w:val="000975AB"/>
    <w:rsid w:val="00097E69"/>
    <w:rsid w:val="000A03CB"/>
    <w:rsid w:val="000A1187"/>
    <w:rsid w:val="000A186A"/>
    <w:rsid w:val="000A18D7"/>
    <w:rsid w:val="000A1BB1"/>
    <w:rsid w:val="000A1D0E"/>
    <w:rsid w:val="000A24A7"/>
    <w:rsid w:val="000A3578"/>
    <w:rsid w:val="000A6803"/>
    <w:rsid w:val="000A6BFB"/>
    <w:rsid w:val="000A7CD7"/>
    <w:rsid w:val="000B01D8"/>
    <w:rsid w:val="000B0C7C"/>
    <w:rsid w:val="000B0F44"/>
    <w:rsid w:val="000B288E"/>
    <w:rsid w:val="000B3BF5"/>
    <w:rsid w:val="000B445C"/>
    <w:rsid w:val="000B4AC0"/>
    <w:rsid w:val="000B501D"/>
    <w:rsid w:val="000B527C"/>
    <w:rsid w:val="000B5673"/>
    <w:rsid w:val="000B6010"/>
    <w:rsid w:val="000B7604"/>
    <w:rsid w:val="000B7842"/>
    <w:rsid w:val="000C0109"/>
    <w:rsid w:val="000C0DEE"/>
    <w:rsid w:val="000C235E"/>
    <w:rsid w:val="000C4B2C"/>
    <w:rsid w:val="000C58B9"/>
    <w:rsid w:val="000C5A2B"/>
    <w:rsid w:val="000C5A5C"/>
    <w:rsid w:val="000C61A7"/>
    <w:rsid w:val="000C6976"/>
    <w:rsid w:val="000C6E44"/>
    <w:rsid w:val="000C713A"/>
    <w:rsid w:val="000C7E03"/>
    <w:rsid w:val="000C7F81"/>
    <w:rsid w:val="000D1411"/>
    <w:rsid w:val="000D2132"/>
    <w:rsid w:val="000D2AAE"/>
    <w:rsid w:val="000D2D9F"/>
    <w:rsid w:val="000D2E31"/>
    <w:rsid w:val="000D31A6"/>
    <w:rsid w:val="000D32DE"/>
    <w:rsid w:val="000D39AB"/>
    <w:rsid w:val="000D3C08"/>
    <w:rsid w:val="000D46F5"/>
    <w:rsid w:val="000D49C5"/>
    <w:rsid w:val="000D5CD9"/>
    <w:rsid w:val="000D610E"/>
    <w:rsid w:val="000D68E1"/>
    <w:rsid w:val="000D6A63"/>
    <w:rsid w:val="000D6A9F"/>
    <w:rsid w:val="000E0174"/>
    <w:rsid w:val="000E0333"/>
    <w:rsid w:val="000E1615"/>
    <w:rsid w:val="000E17DD"/>
    <w:rsid w:val="000E2B34"/>
    <w:rsid w:val="000E2E87"/>
    <w:rsid w:val="000E3161"/>
    <w:rsid w:val="000E46B8"/>
    <w:rsid w:val="000E4C76"/>
    <w:rsid w:val="000E4FE2"/>
    <w:rsid w:val="000E6409"/>
    <w:rsid w:val="000E687C"/>
    <w:rsid w:val="000E751A"/>
    <w:rsid w:val="000E7CA6"/>
    <w:rsid w:val="000F079A"/>
    <w:rsid w:val="000F0B90"/>
    <w:rsid w:val="000F1363"/>
    <w:rsid w:val="000F252A"/>
    <w:rsid w:val="000F2751"/>
    <w:rsid w:val="000F2B1B"/>
    <w:rsid w:val="000F37F8"/>
    <w:rsid w:val="000F3C88"/>
    <w:rsid w:val="000F41D4"/>
    <w:rsid w:val="000F45C5"/>
    <w:rsid w:val="000F543D"/>
    <w:rsid w:val="000F6871"/>
    <w:rsid w:val="000F6AC0"/>
    <w:rsid w:val="000F7177"/>
    <w:rsid w:val="000F7DCF"/>
    <w:rsid w:val="001000B5"/>
    <w:rsid w:val="0010042C"/>
    <w:rsid w:val="00100A8C"/>
    <w:rsid w:val="00100FA2"/>
    <w:rsid w:val="00102670"/>
    <w:rsid w:val="00102CCC"/>
    <w:rsid w:val="00103022"/>
    <w:rsid w:val="00103B7B"/>
    <w:rsid w:val="00103D87"/>
    <w:rsid w:val="00104C7D"/>
    <w:rsid w:val="0010567B"/>
    <w:rsid w:val="00105830"/>
    <w:rsid w:val="00105A6B"/>
    <w:rsid w:val="00106FB9"/>
    <w:rsid w:val="001078F4"/>
    <w:rsid w:val="00107A07"/>
    <w:rsid w:val="00107C80"/>
    <w:rsid w:val="00107D6F"/>
    <w:rsid w:val="00107FD9"/>
    <w:rsid w:val="00113871"/>
    <w:rsid w:val="0011435F"/>
    <w:rsid w:val="001147CA"/>
    <w:rsid w:val="00115185"/>
    <w:rsid w:val="00115F9D"/>
    <w:rsid w:val="0012082D"/>
    <w:rsid w:val="00120F79"/>
    <w:rsid w:val="00122A38"/>
    <w:rsid w:val="001231EC"/>
    <w:rsid w:val="00123A16"/>
    <w:rsid w:val="00123A83"/>
    <w:rsid w:val="00125E99"/>
    <w:rsid w:val="0012701E"/>
    <w:rsid w:val="0012746F"/>
    <w:rsid w:val="00127D7B"/>
    <w:rsid w:val="00127DC4"/>
    <w:rsid w:val="00127FA3"/>
    <w:rsid w:val="0013035B"/>
    <w:rsid w:val="0013095B"/>
    <w:rsid w:val="0013183F"/>
    <w:rsid w:val="001328CB"/>
    <w:rsid w:val="00132FD2"/>
    <w:rsid w:val="00133FB2"/>
    <w:rsid w:val="00134E1B"/>
    <w:rsid w:val="0013629E"/>
    <w:rsid w:val="00136437"/>
    <w:rsid w:val="00136864"/>
    <w:rsid w:val="00136DC1"/>
    <w:rsid w:val="001370F9"/>
    <w:rsid w:val="00140214"/>
    <w:rsid w:val="001404B3"/>
    <w:rsid w:val="0014077C"/>
    <w:rsid w:val="001409B4"/>
    <w:rsid w:val="001421CB"/>
    <w:rsid w:val="001425E5"/>
    <w:rsid w:val="0014324E"/>
    <w:rsid w:val="0014456A"/>
    <w:rsid w:val="0014471E"/>
    <w:rsid w:val="00147721"/>
    <w:rsid w:val="00147871"/>
    <w:rsid w:val="00147BAE"/>
    <w:rsid w:val="00150A8D"/>
    <w:rsid w:val="00151124"/>
    <w:rsid w:val="00152C9D"/>
    <w:rsid w:val="00153BAE"/>
    <w:rsid w:val="00154B22"/>
    <w:rsid w:val="00155B17"/>
    <w:rsid w:val="00156DAB"/>
    <w:rsid w:val="001573BE"/>
    <w:rsid w:val="0016004C"/>
    <w:rsid w:val="00160592"/>
    <w:rsid w:val="0016133D"/>
    <w:rsid w:val="00162699"/>
    <w:rsid w:val="00162A1A"/>
    <w:rsid w:val="00162DBF"/>
    <w:rsid w:val="001630FD"/>
    <w:rsid w:val="0016382E"/>
    <w:rsid w:val="00163DF6"/>
    <w:rsid w:val="00163FD1"/>
    <w:rsid w:val="001649EA"/>
    <w:rsid w:val="0016517C"/>
    <w:rsid w:val="00165948"/>
    <w:rsid w:val="00165E2A"/>
    <w:rsid w:val="0016615E"/>
    <w:rsid w:val="00166682"/>
    <w:rsid w:val="00167593"/>
    <w:rsid w:val="00167CB7"/>
    <w:rsid w:val="00170C2F"/>
    <w:rsid w:val="00171400"/>
    <w:rsid w:val="00171D79"/>
    <w:rsid w:val="0017294B"/>
    <w:rsid w:val="00172C3B"/>
    <w:rsid w:val="00173216"/>
    <w:rsid w:val="00173756"/>
    <w:rsid w:val="00175017"/>
    <w:rsid w:val="001755B2"/>
    <w:rsid w:val="00175CAE"/>
    <w:rsid w:val="00177055"/>
    <w:rsid w:val="00177624"/>
    <w:rsid w:val="00177B94"/>
    <w:rsid w:val="00181F36"/>
    <w:rsid w:val="001827EE"/>
    <w:rsid w:val="001838CE"/>
    <w:rsid w:val="00184A44"/>
    <w:rsid w:val="00184C1B"/>
    <w:rsid w:val="00186C4C"/>
    <w:rsid w:val="00187BB4"/>
    <w:rsid w:val="00190BE4"/>
    <w:rsid w:val="00190CB0"/>
    <w:rsid w:val="00191D2A"/>
    <w:rsid w:val="00191D5D"/>
    <w:rsid w:val="00192CEB"/>
    <w:rsid w:val="0019311E"/>
    <w:rsid w:val="00193537"/>
    <w:rsid w:val="001945A3"/>
    <w:rsid w:val="0019537E"/>
    <w:rsid w:val="0019539C"/>
    <w:rsid w:val="00195A7F"/>
    <w:rsid w:val="00195B3F"/>
    <w:rsid w:val="00195BBF"/>
    <w:rsid w:val="001964B1"/>
    <w:rsid w:val="001967DB"/>
    <w:rsid w:val="00196D9E"/>
    <w:rsid w:val="001979E0"/>
    <w:rsid w:val="00197A0C"/>
    <w:rsid w:val="00197BCC"/>
    <w:rsid w:val="001A0294"/>
    <w:rsid w:val="001A0EC6"/>
    <w:rsid w:val="001A14EA"/>
    <w:rsid w:val="001A15EE"/>
    <w:rsid w:val="001A1F3A"/>
    <w:rsid w:val="001A20E9"/>
    <w:rsid w:val="001A22AA"/>
    <w:rsid w:val="001A2697"/>
    <w:rsid w:val="001A26B8"/>
    <w:rsid w:val="001A352D"/>
    <w:rsid w:val="001A380A"/>
    <w:rsid w:val="001A3B08"/>
    <w:rsid w:val="001A4B93"/>
    <w:rsid w:val="001A4BC7"/>
    <w:rsid w:val="001A4E10"/>
    <w:rsid w:val="001A66F9"/>
    <w:rsid w:val="001B0C41"/>
    <w:rsid w:val="001B0F46"/>
    <w:rsid w:val="001B215F"/>
    <w:rsid w:val="001B2731"/>
    <w:rsid w:val="001B4F15"/>
    <w:rsid w:val="001B6D34"/>
    <w:rsid w:val="001C4056"/>
    <w:rsid w:val="001C4849"/>
    <w:rsid w:val="001C494C"/>
    <w:rsid w:val="001C5C7B"/>
    <w:rsid w:val="001C5E9B"/>
    <w:rsid w:val="001C5FC6"/>
    <w:rsid w:val="001C6D18"/>
    <w:rsid w:val="001D03F2"/>
    <w:rsid w:val="001D0C58"/>
    <w:rsid w:val="001D1484"/>
    <w:rsid w:val="001D15C1"/>
    <w:rsid w:val="001D22C0"/>
    <w:rsid w:val="001D2857"/>
    <w:rsid w:val="001D2CB7"/>
    <w:rsid w:val="001D2E70"/>
    <w:rsid w:val="001D3BB2"/>
    <w:rsid w:val="001D44BF"/>
    <w:rsid w:val="001D452D"/>
    <w:rsid w:val="001D45F6"/>
    <w:rsid w:val="001D4B33"/>
    <w:rsid w:val="001D51BF"/>
    <w:rsid w:val="001D5E2A"/>
    <w:rsid w:val="001D6CB7"/>
    <w:rsid w:val="001D7063"/>
    <w:rsid w:val="001D7DE5"/>
    <w:rsid w:val="001D7E6C"/>
    <w:rsid w:val="001E025F"/>
    <w:rsid w:val="001E033E"/>
    <w:rsid w:val="001E0829"/>
    <w:rsid w:val="001E0A51"/>
    <w:rsid w:val="001E10A5"/>
    <w:rsid w:val="001E139D"/>
    <w:rsid w:val="001E1AED"/>
    <w:rsid w:val="001E22EA"/>
    <w:rsid w:val="001E3917"/>
    <w:rsid w:val="001E4650"/>
    <w:rsid w:val="001E56AA"/>
    <w:rsid w:val="001E58B2"/>
    <w:rsid w:val="001E6327"/>
    <w:rsid w:val="001E75DF"/>
    <w:rsid w:val="001E7635"/>
    <w:rsid w:val="001E7C27"/>
    <w:rsid w:val="001E7F0C"/>
    <w:rsid w:val="001F08DB"/>
    <w:rsid w:val="001F197D"/>
    <w:rsid w:val="001F2422"/>
    <w:rsid w:val="001F25B4"/>
    <w:rsid w:val="001F2D7D"/>
    <w:rsid w:val="001F6B3D"/>
    <w:rsid w:val="001F6BF8"/>
    <w:rsid w:val="001F793D"/>
    <w:rsid w:val="001F7B46"/>
    <w:rsid w:val="001F7D86"/>
    <w:rsid w:val="001F7DE7"/>
    <w:rsid w:val="00200D07"/>
    <w:rsid w:val="002010BB"/>
    <w:rsid w:val="002026EE"/>
    <w:rsid w:val="002034CC"/>
    <w:rsid w:val="002035D9"/>
    <w:rsid w:val="00203A9F"/>
    <w:rsid w:val="002042A9"/>
    <w:rsid w:val="00204A54"/>
    <w:rsid w:val="002056A4"/>
    <w:rsid w:val="00205CB0"/>
    <w:rsid w:val="00205D5A"/>
    <w:rsid w:val="00206C9F"/>
    <w:rsid w:val="00206EBC"/>
    <w:rsid w:val="00207B44"/>
    <w:rsid w:val="00210841"/>
    <w:rsid w:val="002108C5"/>
    <w:rsid w:val="00210EE0"/>
    <w:rsid w:val="00211F6A"/>
    <w:rsid w:val="00212036"/>
    <w:rsid w:val="00212FD7"/>
    <w:rsid w:val="00213471"/>
    <w:rsid w:val="002134EE"/>
    <w:rsid w:val="00213CAC"/>
    <w:rsid w:val="002143BD"/>
    <w:rsid w:val="002160E4"/>
    <w:rsid w:val="002160FC"/>
    <w:rsid w:val="0022049A"/>
    <w:rsid w:val="002216A0"/>
    <w:rsid w:val="002233B2"/>
    <w:rsid w:val="00223D27"/>
    <w:rsid w:val="00224699"/>
    <w:rsid w:val="002246B4"/>
    <w:rsid w:val="00224BCF"/>
    <w:rsid w:val="00224F1B"/>
    <w:rsid w:val="002259AA"/>
    <w:rsid w:val="00226E1B"/>
    <w:rsid w:val="002308DD"/>
    <w:rsid w:val="00230DAF"/>
    <w:rsid w:val="002311E3"/>
    <w:rsid w:val="002317D4"/>
    <w:rsid w:val="00232640"/>
    <w:rsid w:val="00232DB4"/>
    <w:rsid w:val="002331BA"/>
    <w:rsid w:val="00233BDE"/>
    <w:rsid w:val="00233D3C"/>
    <w:rsid w:val="002343A8"/>
    <w:rsid w:val="0023477E"/>
    <w:rsid w:val="00234B79"/>
    <w:rsid w:val="00234F24"/>
    <w:rsid w:val="0023506D"/>
    <w:rsid w:val="00236AFC"/>
    <w:rsid w:val="00237B79"/>
    <w:rsid w:val="002410CC"/>
    <w:rsid w:val="0024217B"/>
    <w:rsid w:val="00242FC9"/>
    <w:rsid w:val="002434B2"/>
    <w:rsid w:val="002434DA"/>
    <w:rsid w:val="00243FEF"/>
    <w:rsid w:val="00244F72"/>
    <w:rsid w:val="00245586"/>
    <w:rsid w:val="00245653"/>
    <w:rsid w:val="0024584B"/>
    <w:rsid w:val="00246B4A"/>
    <w:rsid w:val="00247CFC"/>
    <w:rsid w:val="0025076A"/>
    <w:rsid w:val="002515A0"/>
    <w:rsid w:val="00251A42"/>
    <w:rsid w:val="0025251A"/>
    <w:rsid w:val="002540D0"/>
    <w:rsid w:val="002541C2"/>
    <w:rsid w:val="0025435E"/>
    <w:rsid w:val="002545DA"/>
    <w:rsid w:val="002547EB"/>
    <w:rsid w:val="002547FF"/>
    <w:rsid w:val="0025491B"/>
    <w:rsid w:val="00254C45"/>
    <w:rsid w:val="00256083"/>
    <w:rsid w:val="002560FA"/>
    <w:rsid w:val="00256D45"/>
    <w:rsid w:val="00256FE1"/>
    <w:rsid w:val="0025733F"/>
    <w:rsid w:val="00257564"/>
    <w:rsid w:val="00257D87"/>
    <w:rsid w:val="002602BD"/>
    <w:rsid w:val="0026070E"/>
    <w:rsid w:val="002607A0"/>
    <w:rsid w:val="002611B5"/>
    <w:rsid w:val="00262781"/>
    <w:rsid w:val="002634A2"/>
    <w:rsid w:val="00263722"/>
    <w:rsid w:val="002645C2"/>
    <w:rsid w:val="00264683"/>
    <w:rsid w:val="0026528D"/>
    <w:rsid w:val="0026581B"/>
    <w:rsid w:val="00265A9E"/>
    <w:rsid w:val="00265F1C"/>
    <w:rsid w:val="0026715C"/>
    <w:rsid w:val="0026729C"/>
    <w:rsid w:val="00270234"/>
    <w:rsid w:val="00270754"/>
    <w:rsid w:val="00271915"/>
    <w:rsid w:val="0027317D"/>
    <w:rsid w:val="002738C8"/>
    <w:rsid w:val="00274923"/>
    <w:rsid w:val="00274F39"/>
    <w:rsid w:val="00275BFA"/>
    <w:rsid w:val="00275C04"/>
    <w:rsid w:val="00275C23"/>
    <w:rsid w:val="002764FE"/>
    <w:rsid w:val="002805F6"/>
    <w:rsid w:val="002807C5"/>
    <w:rsid w:val="0028083F"/>
    <w:rsid w:val="00280FC7"/>
    <w:rsid w:val="00281A45"/>
    <w:rsid w:val="00281B97"/>
    <w:rsid w:val="00283ACE"/>
    <w:rsid w:val="00283F45"/>
    <w:rsid w:val="002849B0"/>
    <w:rsid w:val="00285165"/>
    <w:rsid w:val="00287AEB"/>
    <w:rsid w:val="00290B2D"/>
    <w:rsid w:val="0029124D"/>
    <w:rsid w:val="00293BB8"/>
    <w:rsid w:val="0029410B"/>
    <w:rsid w:val="00294CF7"/>
    <w:rsid w:val="00295CF0"/>
    <w:rsid w:val="00295F41"/>
    <w:rsid w:val="0029687F"/>
    <w:rsid w:val="00296BC2"/>
    <w:rsid w:val="00296C4D"/>
    <w:rsid w:val="002A13E3"/>
    <w:rsid w:val="002A153D"/>
    <w:rsid w:val="002A1BB0"/>
    <w:rsid w:val="002A2C6D"/>
    <w:rsid w:val="002A47FB"/>
    <w:rsid w:val="002A4EBE"/>
    <w:rsid w:val="002A5BD7"/>
    <w:rsid w:val="002A619B"/>
    <w:rsid w:val="002A64FC"/>
    <w:rsid w:val="002A6E23"/>
    <w:rsid w:val="002A6F36"/>
    <w:rsid w:val="002A7AAC"/>
    <w:rsid w:val="002A7E38"/>
    <w:rsid w:val="002B0043"/>
    <w:rsid w:val="002B07F4"/>
    <w:rsid w:val="002B0ACE"/>
    <w:rsid w:val="002B203D"/>
    <w:rsid w:val="002B28B6"/>
    <w:rsid w:val="002B464A"/>
    <w:rsid w:val="002B4961"/>
    <w:rsid w:val="002B73E4"/>
    <w:rsid w:val="002C0216"/>
    <w:rsid w:val="002C180E"/>
    <w:rsid w:val="002C19F8"/>
    <w:rsid w:val="002C29EC"/>
    <w:rsid w:val="002C2DF5"/>
    <w:rsid w:val="002C3D53"/>
    <w:rsid w:val="002C4038"/>
    <w:rsid w:val="002C4CB9"/>
    <w:rsid w:val="002C6521"/>
    <w:rsid w:val="002C6BFC"/>
    <w:rsid w:val="002D021B"/>
    <w:rsid w:val="002D0D61"/>
    <w:rsid w:val="002D1136"/>
    <w:rsid w:val="002D17A0"/>
    <w:rsid w:val="002D3098"/>
    <w:rsid w:val="002D33B4"/>
    <w:rsid w:val="002D3819"/>
    <w:rsid w:val="002D55D4"/>
    <w:rsid w:val="002D60B8"/>
    <w:rsid w:val="002D6149"/>
    <w:rsid w:val="002D69F2"/>
    <w:rsid w:val="002D6DE8"/>
    <w:rsid w:val="002D709E"/>
    <w:rsid w:val="002D796D"/>
    <w:rsid w:val="002E0706"/>
    <w:rsid w:val="002E1624"/>
    <w:rsid w:val="002E21D0"/>
    <w:rsid w:val="002E2D9D"/>
    <w:rsid w:val="002E345C"/>
    <w:rsid w:val="002E3D69"/>
    <w:rsid w:val="002E4847"/>
    <w:rsid w:val="002E619E"/>
    <w:rsid w:val="002E77FB"/>
    <w:rsid w:val="002E7820"/>
    <w:rsid w:val="002E78F1"/>
    <w:rsid w:val="002E7A50"/>
    <w:rsid w:val="002F0154"/>
    <w:rsid w:val="002F0275"/>
    <w:rsid w:val="002F0A27"/>
    <w:rsid w:val="002F0AD0"/>
    <w:rsid w:val="002F1C04"/>
    <w:rsid w:val="002F2102"/>
    <w:rsid w:val="002F22AF"/>
    <w:rsid w:val="002F2348"/>
    <w:rsid w:val="002F279A"/>
    <w:rsid w:val="002F36CC"/>
    <w:rsid w:val="002F3DAA"/>
    <w:rsid w:val="002F5351"/>
    <w:rsid w:val="002F7E86"/>
    <w:rsid w:val="003000B4"/>
    <w:rsid w:val="0030038B"/>
    <w:rsid w:val="00302665"/>
    <w:rsid w:val="0030384B"/>
    <w:rsid w:val="00303C53"/>
    <w:rsid w:val="00303F15"/>
    <w:rsid w:val="00304498"/>
    <w:rsid w:val="00304BFD"/>
    <w:rsid w:val="00304CDB"/>
    <w:rsid w:val="00305014"/>
    <w:rsid w:val="00306B9A"/>
    <w:rsid w:val="00306E8E"/>
    <w:rsid w:val="0030704F"/>
    <w:rsid w:val="003070E2"/>
    <w:rsid w:val="003076F4"/>
    <w:rsid w:val="00307B92"/>
    <w:rsid w:val="00307E3C"/>
    <w:rsid w:val="00310389"/>
    <w:rsid w:val="00311077"/>
    <w:rsid w:val="0031178C"/>
    <w:rsid w:val="00313DE8"/>
    <w:rsid w:val="003142BD"/>
    <w:rsid w:val="00315AFC"/>
    <w:rsid w:val="00315CEF"/>
    <w:rsid w:val="00315EDE"/>
    <w:rsid w:val="00316636"/>
    <w:rsid w:val="00316732"/>
    <w:rsid w:val="0031696E"/>
    <w:rsid w:val="00317039"/>
    <w:rsid w:val="0031748D"/>
    <w:rsid w:val="00317C51"/>
    <w:rsid w:val="00317E7A"/>
    <w:rsid w:val="003203E2"/>
    <w:rsid w:val="003209BF"/>
    <w:rsid w:val="00320A26"/>
    <w:rsid w:val="00322673"/>
    <w:rsid w:val="0032336E"/>
    <w:rsid w:val="00324DB6"/>
    <w:rsid w:val="00324DB7"/>
    <w:rsid w:val="00324E95"/>
    <w:rsid w:val="0032500A"/>
    <w:rsid w:val="00325506"/>
    <w:rsid w:val="003261FE"/>
    <w:rsid w:val="003267BE"/>
    <w:rsid w:val="003270E5"/>
    <w:rsid w:val="003275C0"/>
    <w:rsid w:val="0032765D"/>
    <w:rsid w:val="00330432"/>
    <w:rsid w:val="003320D1"/>
    <w:rsid w:val="00332957"/>
    <w:rsid w:val="00333820"/>
    <w:rsid w:val="00333F06"/>
    <w:rsid w:val="00334AF9"/>
    <w:rsid w:val="00334E21"/>
    <w:rsid w:val="003355A9"/>
    <w:rsid w:val="00336256"/>
    <w:rsid w:val="00336466"/>
    <w:rsid w:val="00340DFE"/>
    <w:rsid w:val="00340EA3"/>
    <w:rsid w:val="00340FBB"/>
    <w:rsid w:val="0034138C"/>
    <w:rsid w:val="00341F60"/>
    <w:rsid w:val="00342878"/>
    <w:rsid w:val="003442EC"/>
    <w:rsid w:val="003448EB"/>
    <w:rsid w:val="00345CDF"/>
    <w:rsid w:val="00345CF8"/>
    <w:rsid w:val="00345DBC"/>
    <w:rsid w:val="00347AE4"/>
    <w:rsid w:val="00350057"/>
    <w:rsid w:val="0035023B"/>
    <w:rsid w:val="00351F67"/>
    <w:rsid w:val="00351FAA"/>
    <w:rsid w:val="00353796"/>
    <w:rsid w:val="00354777"/>
    <w:rsid w:val="00356EC1"/>
    <w:rsid w:val="0035736E"/>
    <w:rsid w:val="0035781B"/>
    <w:rsid w:val="00357BF6"/>
    <w:rsid w:val="003609E9"/>
    <w:rsid w:val="003626A0"/>
    <w:rsid w:val="003628B1"/>
    <w:rsid w:val="00362DCA"/>
    <w:rsid w:val="003650E7"/>
    <w:rsid w:val="003653F9"/>
    <w:rsid w:val="00365E21"/>
    <w:rsid w:val="00366BCF"/>
    <w:rsid w:val="00367276"/>
    <w:rsid w:val="00367A0C"/>
    <w:rsid w:val="0037181F"/>
    <w:rsid w:val="00371CC7"/>
    <w:rsid w:val="003720D4"/>
    <w:rsid w:val="00372D20"/>
    <w:rsid w:val="00373C80"/>
    <w:rsid w:val="00373FB1"/>
    <w:rsid w:val="00374254"/>
    <w:rsid w:val="00374DC9"/>
    <w:rsid w:val="00375CC5"/>
    <w:rsid w:val="00375FCE"/>
    <w:rsid w:val="00376471"/>
    <w:rsid w:val="003765A2"/>
    <w:rsid w:val="00377941"/>
    <w:rsid w:val="0038000F"/>
    <w:rsid w:val="0038043D"/>
    <w:rsid w:val="003809EE"/>
    <w:rsid w:val="00381992"/>
    <w:rsid w:val="0038272F"/>
    <w:rsid w:val="003849A5"/>
    <w:rsid w:val="0038531F"/>
    <w:rsid w:val="00385BBA"/>
    <w:rsid w:val="0038661A"/>
    <w:rsid w:val="00387BD9"/>
    <w:rsid w:val="0039056F"/>
    <w:rsid w:val="0039095F"/>
    <w:rsid w:val="0039109A"/>
    <w:rsid w:val="00391240"/>
    <w:rsid w:val="003918B7"/>
    <w:rsid w:val="00391D3D"/>
    <w:rsid w:val="00394163"/>
    <w:rsid w:val="00395054"/>
    <w:rsid w:val="00395B39"/>
    <w:rsid w:val="00396250"/>
    <w:rsid w:val="00397E59"/>
    <w:rsid w:val="00397F90"/>
    <w:rsid w:val="003A1CF3"/>
    <w:rsid w:val="003A2EBC"/>
    <w:rsid w:val="003A3342"/>
    <w:rsid w:val="003A3BBF"/>
    <w:rsid w:val="003A45C8"/>
    <w:rsid w:val="003A6491"/>
    <w:rsid w:val="003A67BB"/>
    <w:rsid w:val="003A712F"/>
    <w:rsid w:val="003A7DDB"/>
    <w:rsid w:val="003B0442"/>
    <w:rsid w:val="003B1B56"/>
    <w:rsid w:val="003B388C"/>
    <w:rsid w:val="003B39EC"/>
    <w:rsid w:val="003B4716"/>
    <w:rsid w:val="003B5369"/>
    <w:rsid w:val="003B5A40"/>
    <w:rsid w:val="003B61F7"/>
    <w:rsid w:val="003B6468"/>
    <w:rsid w:val="003B73C9"/>
    <w:rsid w:val="003B7420"/>
    <w:rsid w:val="003B74A4"/>
    <w:rsid w:val="003B7E19"/>
    <w:rsid w:val="003C00B1"/>
    <w:rsid w:val="003C142D"/>
    <w:rsid w:val="003C2802"/>
    <w:rsid w:val="003C4E10"/>
    <w:rsid w:val="003C5225"/>
    <w:rsid w:val="003C6CFE"/>
    <w:rsid w:val="003D0038"/>
    <w:rsid w:val="003D1B05"/>
    <w:rsid w:val="003D1D04"/>
    <w:rsid w:val="003D33BD"/>
    <w:rsid w:val="003D3C1B"/>
    <w:rsid w:val="003D3CCE"/>
    <w:rsid w:val="003D473C"/>
    <w:rsid w:val="003D5F26"/>
    <w:rsid w:val="003D78FE"/>
    <w:rsid w:val="003D7C42"/>
    <w:rsid w:val="003E043D"/>
    <w:rsid w:val="003E0A31"/>
    <w:rsid w:val="003E18D7"/>
    <w:rsid w:val="003E28DA"/>
    <w:rsid w:val="003E3257"/>
    <w:rsid w:val="003E3361"/>
    <w:rsid w:val="003E33A1"/>
    <w:rsid w:val="003E3585"/>
    <w:rsid w:val="003E3854"/>
    <w:rsid w:val="003E3B59"/>
    <w:rsid w:val="003E40F3"/>
    <w:rsid w:val="003E479A"/>
    <w:rsid w:val="003E4B35"/>
    <w:rsid w:val="003E556D"/>
    <w:rsid w:val="003E5E89"/>
    <w:rsid w:val="003E6E6D"/>
    <w:rsid w:val="003E7F0E"/>
    <w:rsid w:val="003F0227"/>
    <w:rsid w:val="003F0958"/>
    <w:rsid w:val="003F11F4"/>
    <w:rsid w:val="003F14AA"/>
    <w:rsid w:val="003F18AA"/>
    <w:rsid w:val="003F1CFF"/>
    <w:rsid w:val="003F2085"/>
    <w:rsid w:val="003F4F18"/>
    <w:rsid w:val="003F648F"/>
    <w:rsid w:val="003F6F7D"/>
    <w:rsid w:val="003F7D04"/>
    <w:rsid w:val="004001F3"/>
    <w:rsid w:val="004007F6"/>
    <w:rsid w:val="004017EF"/>
    <w:rsid w:val="00402732"/>
    <w:rsid w:val="0040315D"/>
    <w:rsid w:val="004042AA"/>
    <w:rsid w:val="00405436"/>
    <w:rsid w:val="0040627D"/>
    <w:rsid w:val="0041163D"/>
    <w:rsid w:val="00411F68"/>
    <w:rsid w:val="0041379F"/>
    <w:rsid w:val="00413C1E"/>
    <w:rsid w:val="00415008"/>
    <w:rsid w:val="004151FA"/>
    <w:rsid w:val="004152E1"/>
    <w:rsid w:val="00416127"/>
    <w:rsid w:val="0041613D"/>
    <w:rsid w:val="00416FAC"/>
    <w:rsid w:val="00417C5D"/>
    <w:rsid w:val="00420C21"/>
    <w:rsid w:val="00421027"/>
    <w:rsid w:val="00421620"/>
    <w:rsid w:val="00422346"/>
    <w:rsid w:val="00422B13"/>
    <w:rsid w:val="004238E8"/>
    <w:rsid w:val="00423EF5"/>
    <w:rsid w:val="00426C17"/>
    <w:rsid w:val="00426CBA"/>
    <w:rsid w:val="00427ACA"/>
    <w:rsid w:val="00427E9A"/>
    <w:rsid w:val="00427EEF"/>
    <w:rsid w:val="00430819"/>
    <w:rsid w:val="004308DC"/>
    <w:rsid w:val="00432273"/>
    <w:rsid w:val="0043241B"/>
    <w:rsid w:val="00432708"/>
    <w:rsid w:val="0043335D"/>
    <w:rsid w:val="00434746"/>
    <w:rsid w:val="00436011"/>
    <w:rsid w:val="004400F6"/>
    <w:rsid w:val="0044090B"/>
    <w:rsid w:val="0044223E"/>
    <w:rsid w:val="00442541"/>
    <w:rsid w:val="00443B3D"/>
    <w:rsid w:val="004442FD"/>
    <w:rsid w:val="004453D0"/>
    <w:rsid w:val="00445B98"/>
    <w:rsid w:val="00445D60"/>
    <w:rsid w:val="00445F6C"/>
    <w:rsid w:val="004476B5"/>
    <w:rsid w:val="0045076A"/>
    <w:rsid w:val="00451676"/>
    <w:rsid w:val="00451995"/>
    <w:rsid w:val="00451BE5"/>
    <w:rsid w:val="00451D21"/>
    <w:rsid w:val="00452725"/>
    <w:rsid w:val="0045357A"/>
    <w:rsid w:val="004538E0"/>
    <w:rsid w:val="00453D23"/>
    <w:rsid w:val="004540F8"/>
    <w:rsid w:val="00454111"/>
    <w:rsid w:val="00454327"/>
    <w:rsid w:val="00454723"/>
    <w:rsid w:val="00455188"/>
    <w:rsid w:val="004577A4"/>
    <w:rsid w:val="00457987"/>
    <w:rsid w:val="00457BEF"/>
    <w:rsid w:val="004601C7"/>
    <w:rsid w:val="0046239E"/>
    <w:rsid w:val="00462C07"/>
    <w:rsid w:val="00462D54"/>
    <w:rsid w:val="004646E1"/>
    <w:rsid w:val="0046474C"/>
    <w:rsid w:val="0046549F"/>
    <w:rsid w:val="00466516"/>
    <w:rsid w:val="004672EB"/>
    <w:rsid w:val="00470B6A"/>
    <w:rsid w:val="00470F05"/>
    <w:rsid w:val="004713DA"/>
    <w:rsid w:val="00471714"/>
    <w:rsid w:val="00472553"/>
    <w:rsid w:val="0047435D"/>
    <w:rsid w:val="004745FF"/>
    <w:rsid w:val="00476563"/>
    <w:rsid w:val="00476D48"/>
    <w:rsid w:val="00476E23"/>
    <w:rsid w:val="004774EB"/>
    <w:rsid w:val="00480140"/>
    <w:rsid w:val="004801D2"/>
    <w:rsid w:val="00480C38"/>
    <w:rsid w:val="00480EF2"/>
    <w:rsid w:val="00480F97"/>
    <w:rsid w:val="00482132"/>
    <w:rsid w:val="004828F8"/>
    <w:rsid w:val="004846C6"/>
    <w:rsid w:val="0048577E"/>
    <w:rsid w:val="00485A4F"/>
    <w:rsid w:val="004863C5"/>
    <w:rsid w:val="004864EF"/>
    <w:rsid w:val="00487BFE"/>
    <w:rsid w:val="0049038B"/>
    <w:rsid w:val="0049164B"/>
    <w:rsid w:val="00492AA3"/>
    <w:rsid w:val="0049311E"/>
    <w:rsid w:val="00493427"/>
    <w:rsid w:val="004941C1"/>
    <w:rsid w:val="00495160"/>
    <w:rsid w:val="0049682E"/>
    <w:rsid w:val="00496B11"/>
    <w:rsid w:val="004A0249"/>
    <w:rsid w:val="004A0D8F"/>
    <w:rsid w:val="004A13D6"/>
    <w:rsid w:val="004A1D13"/>
    <w:rsid w:val="004A3F3D"/>
    <w:rsid w:val="004A42C6"/>
    <w:rsid w:val="004A5545"/>
    <w:rsid w:val="004A586B"/>
    <w:rsid w:val="004A652B"/>
    <w:rsid w:val="004A724D"/>
    <w:rsid w:val="004B1135"/>
    <w:rsid w:val="004B1950"/>
    <w:rsid w:val="004B25D8"/>
    <w:rsid w:val="004B263E"/>
    <w:rsid w:val="004B2F0F"/>
    <w:rsid w:val="004B36D4"/>
    <w:rsid w:val="004B37DA"/>
    <w:rsid w:val="004B4138"/>
    <w:rsid w:val="004B4ABB"/>
    <w:rsid w:val="004B605A"/>
    <w:rsid w:val="004B64D2"/>
    <w:rsid w:val="004B6A4E"/>
    <w:rsid w:val="004C0E44"/>
    <w:rsid w:val="004C22EF"/>
    <w:rsid w:val="004C2912"/>
    <w:rsid w:val="004C4112"/>
    <w:rsid w:val="004C475F"/>
    <w:rsid w:val="004C48B7"/>
    <w:rsid w:val="004C4CFC"/>
    <w:rsid w:val="004C5057"/>
    <w:rsid w:val="004C5262"/>
    <w:rsid w:val="004C57DA"/>
    <w:rsid w:val="004C593C"/>
    <w:rsid w:val="004C6272"/>
    <w:rsid w:val="004C674E"/>
    <w:rsid w:val="004D0877"/>
    <w:rsid w:val="004D0983"/>
    <w:rsid w:val="004D0B51"/>
    <w:rsid w:val="004D1316"/>
    <w:rsid w:val="004D14E5"/>
    <w:rsid w:val="004D17C9"/>
    <w:rsid w:val="004D181C"/>
    <w:rsid w:val="004D1A55"/>
    <w:rsid w:val="004D1B77"/>
    <w:rsid w:val="004D205F"/>
    <w:rsid w:val="004D20C0"/>
    <w:rsid w:val="004D225F"/>
    <w:rsid w:val="004D27DC"/>
    <w:rsid w:val="004D4245"/>
    <w:rsid w:val="004D72A0"/>
    <w:rsid w:val="004D7FA3"/>
    <w:rsid w:val="004E2043"/>
    <w:rsid w:val="004E276F"/>
    <w:rsid w:val="004E2D21"/>
    <w:rsid w:val="004E35D4"/>
    <w:rsid w:val="004E3EF4"/>
    <w:rsid w:val="004E4257"/>
    <w:rsid w:val="004E4990"/>
    <w:rsid w:val="004E58ED"/>
    <w:rsid w:val="004E6277"/>
    <w:rsid w:val="004E64A0"/>
    <w:rsid w:val="004E6D36"/>
    <w:rsid w:val="004E708D"/>
    <w:rsid w:val="004E7E7E"/>
    <w:rsid w:val="004F015A"/>
    <w:rsid w:val="004F1355"/>
    <w:rsid w:val="004F21D2"/>
    <w:rsid w:val="004F2CF1"/>
    <w:rsid w:val="004F2E30"/>
    <w:rsid w:val="004F4817"/>
    <w:rsid w:val="004F4998"/>
    <w:rsid w:val="004F58E5"/>
    <w:rsid w:val="004F635F"/>
    <w:rsid w:val="004F6388"/>
    <w:rsid w:val="004F68B3"/>
    <w:rsid w:val="004F6A51"/>
    <w:rsid w:val="004F6BFA"/>
    <w:rsid w:val="004F7201"/>
    <w:rsid w:val="004F732F"/>
    <w:rsid w:val="004F77CF"/>
    <w:rsid w:val="005016B6"/>
    <w:rsid w:val="00501D7A"/>
    <w:rsid w:val="0050329B"/>
    <w:rsid w:val="00504FC5"/>
    <w:rsid w:val="00505247"/>
    <w:rsid w:val="00507F11"/>
    <w:rsid w:val="00510285"/>
    <w:rsid w:val="00510F45"/>
    <w:rsid w:val="00511957"/>
    <w:rsid w:val="00511A29"/>
    <w:rsid w:val="005128DF"/>
    <w:rsid w:val="00512C0F"/>
    <w:rsid w:val="00512CC6"/>
    <w:rsid w:val="00514001"/>
    <w:rsid w:val="005143D9"/>
    <w:rsid w:val="0051456B"/>
    <w:rsid w:val="00515273"/>
    <w:rsid w:val="00515B75"/>
    <w:rsid w:val="00515E1D"/>
    <w:rsid w:val="00516AE9"/>
    <w:rsid w:val="00517867"/>
    <w:rsid w:val="00521144"/>
    <w:rsid w:val="0052149E"/>
    <w:rsid w:val="0052190D"/>
    <w:rsid w:val="005221EA"/>
    <w:rsid w:val="00522960"/>
    <w:rsid w:val="00522C4C"/>
    <w:rsid w:val="00523BA1"/>
    <w:rsid w:val="005241BA"/>
    <w:rsid w:val="00526FC9"/>
    <w:rsid w:val="00530C5B"/>
    <w:rsid w:val="005325AF"/>
    <w:rsid w:val="005336A2"/>
    <w:rsid w:val="00533D07"/>
    <w:rsid w:val="00534B3C"/>
    <w:rsid w:val="00534EA2"/>
    <w:rsid w:val="005354AC"/>
    <w:rsid w:val="00536787"/>
    <w:rsid w:val="00536978"/>
    <w:rsid w:val="00537893"/>
    <w:rsid w:val="00540115"/>
    <w:rsid w:val="005411D5"/>
    <w:rsid w:val="0054157F"/>
    <w:rsid w:val="0054322C"/>
    <w:rsid w:val="00543B41"/>
    <w:rsid w:val="00543D81"/>
    <w:rsid w:val="00544AB1"/>
    <w:rsid w:val="00544C87"/>
    <w:rsid w:val="00544EDA"/>
    <w:rsid w:val="00544F6E"/>
    <w:rsid w:val="0055101F"/>
    <w:rsid w:val="00551440"/>
    <w:rsid w:val="005521A7"/>
    <w:rsid w:val="00552363"/>
    <w:rsid w:val="005524D7"/>
    <w:rsid w:val="0055271F"/>
    <w:rsid w:val="005545D0"/>
    <w:rsid w:val="00555897"/>
    <w:rsid w:val="00557B05"/>
    <w:rsid w:val="00557DD6"/>
    <w:rsid w:val="00560527"/>
    <w:rsid w:val="00560E21"/>
    <w:rsid w:val="00560E2E"/>
    <w:rsid w:val="00560E6D"/>
    <w:rsid w:val="00561FF9"/>
    <w:rsid w:val="005620C7"/>
    <w:rsid w:val="0056255F"/>
    <w:rsid w:val="0056266C"/>
    <w:rsid w:val="00562B56"/>
    <w:rsid w:val="00562CC7"/>
    <w:rsid w:val="005639FB"/>
    <w:rsid w:val="005649C1"/>
    <w:rsid w:val="005653DA"/>
    <w:rsid w:val="00565E99"/>
    <w:rsid w:val="005663B5"/>
    <w:rsid w:val="0056642E"/>
    <w:rsid w:val="00567260"/>
    <w:rsid w:val="0056756A"/>
    <w:rsid w:val="00567987"/>
    <w:rsid w:val="00567C9D"/>
    <w:rsid w:val="00567F0E"/>
    <w:rsid w:val="0057001A"/>
    <w:rsid w:val="0057079A"/>
    <w:rsid w:val="00570B95"/>
    <w:rsid w:val="00571223"/>
    <w:rsid w:val="00571EB3"/>
    <w:rsid w:val="00572AEE"/>
    <w:rsid w:val="0057392C"/>
    <w:rsid w:val="00574AA9"/>
    <w:rsid w:val="00574B17"/>
    <w:rsid w:val="00574CE7"/>
    <w:rsid w:val="00575780"/>
    <w:rsid w:val="0057596D"/>
    <w:rsid w:val="00575E78"/>
    <w:rsid w:val="00576379"/>
    <w:rsid w:val="005769AA"/>
    <w:rsid w:val="005769BD"/>
    <w:rsid w:val="00580360"/>
    <w:rsid w:val="005805EC"/>
    <w:rsid w:val="00580A32"/>
    <w:rsid w:val="00581577"/>
    <w:rsid w:val="00581BF7"/>
    <w:rsid w:val="00581F4E"/>
    <w:rsid w:val="00582633"/>
    <w:rsid w:val="00582726"/>
    <w:rsid w:val="0058280B"/>
    <w:rsid w:val="0058319D"/>
    <w:rsid w:val="00583C0B"/>
    <w:rsid w:val="00584887"/>
    <w:rsid w:val="005849AD"/>
    <w:rsid w:val="00584EEA"/>
    <w:rsid w:val="00586F38"/>
    <w:rsid w:val="005875E5"/>
    <w:rsid w:val="005904ED"/>
    <w:rsid w:val="005906EE"/>
    <w:rsid w:val="00591B12"/>
    <w:rsid w:val="0059200A"/>
    <w:rsid w:val="0059236D"/>
    <w:rsid w:val="0059272B"/>
    <w:rsid w:val="00593141"/>
    <w:rsid w:val="005954D0"/>
    <w:rsid w:val="00595574"/>
    <w:rsid w:val="0059605B"/>
    <w:rsid w:val="00596AC3"/>
    <w:rsid w:val="00597BCD"/>
    <w:rsid w:val="005A0702"/>
    <w:rsid w:val="005A18B6"/>
    <w:rsid w:val="005A2176"/>
    <w:rsid w:val="005A225C"/>
    <w:rsid w:val="005A35FA"/>
    <w:rsid w:val="005A3878"/>
    <w:rsid w:val="005A3E29"/>
    <w:rsid w:val="005A62D6"/>
    <w:rsid w:val="005A66E3"/>
    <w:rsid w:val="005A7C85"/>
    <w:rsid w:val="005A7D68"/>
    <w:rsid w:val="005B04E3"/>
    <w:rsid w:val="005B148A"/>
    <w:rsid w:val="005B239B"/>
    <w:rsid w:val="005B271B"/>
    <w:rsid w:val="005B2B21"/>
    <w:rsid w:val="005B3428"/>
    <w:rsid w:val="005B36F6"/>
    <w:rsid w:val="005B3A15"/>
    <w:rsid w:val="005B4FC6"/>
    <w:rsid w:val="005B5CAE"/>
    <w:rsid w:val="005B5ECE"/>
    <w:rsid w:val="005B69C9"/>
    <w:rsid w:val="005B759F"/>
    <w:rsid w:val="005B79A9"/>
    <w:rsid w:val="005B7ACB"/>
    <w:rsid w:val="005B7C79"/>
    <w:rsid w:val="005C11DD"/>
    <w:rsid w:val="005C2184"/>
    <w:rsid w:val="005C35F0"/>
    <w:rsid w:val="005C4735"/>
    <w:rsid w:val="005C620A"/>
    <w:rsid w:val="005C6C16"/>
    <w:rsid w:val="005C7480"/>
    <w:rsid w:val="005D0C9C"/>
    <w:rsid w:val="005D19B9"/>
    <w:rsid w:val="005D1A99"/>
    <w:rsid w:val="005D1D82"/>
    <w:rsid w:val="005D252C"/>
    <w:rsid w:val="005D2787"/>
    <w:rsid w:val="005D3884"/>
    <w:rsid w:val="005D4B2E"/>
    <w:rsid w:val="005D539B"/>
    <w:rsid w:val="005D58AF"/>
    <w:rsid w:val="005D6D84"/>
    <w:rsid w:val="005E1C7C"/>
    <w:rsid w:val="005E208F"/>
    <w:rsid w:val="005E20F7"/>
    <w:rsid w:val="005E21D9"/>
    <w:rsid w:val="005E2440"/>
    <w:rsid w:val="005E55AD"/>
    <w:rsid w:val="005E5A14"/>
    <w:rsid w:val="005E614F"/>
    <w:rsid w:val="005E6308"/>
    <w:rsid w:val="005E63C1"/>
    <w:rsid w:val="005E6453"/>
    <w:rsid w:val="005E6583"/>
    <w:rsid w:val="005E65E5"/>
    <w:rsid w:val="005E6740"/>
    <w:rsid w:val="005E6E55"/>
    <w:rsid w:val="005F03FD"/>
    <w:rsid w:val="005F054A"/>
    <w:rsid w:val="005F0BA7"/>
    <w:rsid w:val="005F16CA"/>
    <w:rsid w:val="005F1CD3"/>
    <w:rsid w:val="005F1E06"/>
    <w:rsid w:val="005F455B"/>
    <w:rsid w:val="005F4CB2"/>
    <w:rsid w:val="005F4D7A"/>
    <w:rsid w:val="005F4E32"/>
    <w:rsid w:val="005F621C"/>
    <w:rsid w:val="005F6577"/>
    <w:rsid w:val="005F697F"/>
    <w:rsid w:val="005F76BD"/>
    <w:rsid w:val="005F7E3A"/>
    <w:rsid w:val="00600BDE"/>
    <w:rsid w:val="00600D06"/>
    <w:rsid w:val="006012D0"/>
    <w:rsid w:val="0060137D"/>
    <w:rsid w:val="00603981"/>
    <w:rsid w:val="00603E73"/>
    <w:rsid w:val="0060436F"/>
    <w:rsid w:val="00604AE1"/>
    <w:rsid w:val="00605431"/>
    <w:rsid w:val="006058B3"/>
    <w:rsid w:val="0060628D"/>
    <w:rsid w:val="006062AD"/>
    <w:rsid w:val="00606F3B"/>
    <w:rsid w:val="00606FB1"/>
    <w:rsid w:val="0060711C"/>
    <w:rsid w:val="006102DF"/>
    <w:rsid w:val="00610304"/>
    <w:rsid w:val="006105CA"/>
    <w:rsid w:val="006112CE"/>
    <w:rsid w:val="006119F2"/>
    <w:rsid w:val="00612697"/>
    <w:rsid w:val="00613018"/>
    <w:rsid w:val="00615274"/>
    <w:rsid w:val="00615CCF"/>
    <w:rsid w:val="00616884"/>
    <w:rsid w:val="00616969"/>
    <w:rsid w:val="00616A34"/>
    <w:rsid w:val="00616C95"/>
    <w:rsid w:val="0061783F"/>
    <w:rsid w:val="006206B8"/>
    <w:rsid w:val="00623CB7"/>
    <w:rsid w:val="00626CAA"/>
    <w:rsid w:val="00627FE9"/>
    <w:rsid w:val="00632AD5"/>
    <w:rsid w:val="006333A8"/>
    <w:rsid w:val="00633B65"/>
    <w:rsid w:val="00633C42"/>
    <w:rsid w:val="00633DE6"/>
    <w:rsid w:val="006347A1"/>
    <w:rsid w:val="00634F30"/>
    <w:rsid w:val="0063521D"/>
    <w:rsid w:val="00635514"/>
    <w:rsid w:val="00635520"/>
    <w:rsid w:val="00636F6C"/>
    <w:rsid w:val="00637399"/>
    <w:rsid w:val="00637959"/>
    <w:rsid w:val="00640FD5"/>
    <w:rsid w:val="006415F2"/>
    <w:rsid w:val="006418C2"/>
    <w:rsid w:val="006427EA"/>
    <w:rsid w:val="00642B9F"/>
    <w:rsid w:val="00642E0A"/>
    <w:rsid w:val="00642FF6"/>
    <w:rsid w:val="00643760"/>
    <w:rsid w:val="00643BC7"/>
    <w:rsid w:val="00645216"/>
    <w:rsid w:val="006454ED"/>
    <w:rsid w:val="006460A4"/>
    <w:rsid w:val="00646247"/>
    <w:rsid w:val="006469F7"/>
    <w:rsid w:val="00646DDA"/>
    <w:rsid w:val="006505E9"/>
    <w:rsid w:val="00650A6B"/>
    <w:rsid w:val="0065230E"/>
    <w:rsid w:val="00653651"/>
    <w:rsid w:val="0065430D"/>
    <w:rsid w:val="00654989"/>
    <w:rsid w:val="00654C6C"/>
    <w:rsid w:val="006556C2"/>
    <w:rsid w:val="00655CB8"/>
    <w:rsid w:val="00656556"/>
    <w:rsid w:val="00656F75"/>
    <w:rsid w:val="00660412"/>
    <w:rsid w:val="00660521"/>
    <w:rsid w:val="00660B5D"/>
    <w:rsid w:val="00661078"/>
    <w:rsid w:val="0066188A"/>
    <w:rsid w:val="0066277A"/>
    <w:rsid w:val="00662C85"/>
    <w:rsid w:val="0066313E"/>
    <w:rsid w:val="00663738"/>
    <w:rsid w:val="006650A0"/>
    <w:rsid w:val="00665E46"/>
    <w:rsid w:val="00666464"/>
    <w:rsid w:val="00666B2B"/>
    <w:rsid w:val="00670C4A"/>
    <w:rsid w:val="00670E05"/>
    <w:rsid w:val="006710C6"/>
    <w:rsid w:val="00671130"/>
    <w:rsid w:val="00671BFE"/>
    <w:rsid w:val="006729C8"/>
    <w:rsid w:val="00673C07"/>
    <w:rsid w:val="00675348"/>
    <w:rsid w:val="00676856"/>
    <w:rsid w:val="00677C60"/>
    <w:rsid w:val="00680F20"/>
    <w:rsid w:val="00681178"/>
    <w:rsid w:val="00682498"/>
    <w:rsid w:val="006826CB"/>
    <w:rsid w:val="00682995"/>
    <w:rsid w:val="006834E9"/>
    <w:rsid w:val="00683C53"/>
    <w:rsid w:val="00683E58"/>
    <w:rsid w:val="00683F59"/>
    <w:rsid w:val="0068610E"/>
    <w:rsid w:val="0068632D"/>
    <w:rsid w:val="006874E4"/>
    <w:rsid w:val="00687989"/>
    <w:rsid w:val="00687A32"/>
    <w:rsid w:val="00687C20"/>
    <w:rsid w:val="0069045C"/>
    <w:rsid w:val="006907C1"/>
    <w:rsid w:val="00690AF9"/>
    <w:rsid w:val="006921A5"/>
    <w:rsid w:val="006926CD"/>
    <w:rsid w:val="00692A51"/>
    <w:rsid w:val="00692D0B"/>
    <w:rsid w:val="00693807"/>
    <w:rsid w:val="00693BF9"/>
    <w:rsid w:val="0069521C"/>
    <w:rsid w:val="006A017F"/>
    <w:rsid w:val="006A0445"/>
    <w:rsid w:val="006A2A66"/>
    <w:rsid w:val="006A3145"/>
    <w:rsid w:val="006A398D"/>
    <w:rsid w:val="006A4BD0"/>
    <w:rsid w:val="006A5D4C"/>
    <w:rsid w:val="006A6CA0"/>
    <w:rsid w:val="006A7A73"/>
    <w:rsid w:val="006A7AD6"/>
    <w:rsid w:val="006A7E03"/>
    <w:rsid w:val="006B0712"/>
    <w:rsid w:val="006B0A1A"/>
    <w:rsid w:val="006B0B22"/>
    <w:rsid w:val="006B12A7"/>
    <w:rsid w:val="006B2154"/>
    <w:rsid w:val="006B3449"/>
    <w:rsid w:val="006B3F46"/>
    <w:rsid w:val="006B4B7C"/>
    <w:rsid w:val="006B605E"/>
    <w:rsid w:val="006B69B0"/>
    <w:rsid w:val="006B6C12"/>
    <w:rsid w:val="006C0B3E"/>
    <w:rsid w:val="006C0C6E"/>
    <w:rsid w:val="006C17E4"/>
    <w:rsid w:val="006C40A2"/>
    <w:rsid w:val="006C5082"/>
    <w:rsid w:val="006C5BE0"/>
    <w:rsid w:val="006C6971"/>
    <w:rsid w:val="006C77B6"/>
    <w:rsid w:val="006D1B58"/>
    <w:rsid w:val="006D21E4"/>
    <w:rsid w:val="006D24F6"/>
    <w:rsid w:val="006D2F29"/>
    <w:rsid w:val="006D34F1"/>
    <w:rsid w:val="006D4993"/>
    <w:rsid w:val="006D4EF2"/>
    <w:rsid w:val="006D593A"/>
    <w:rsid w:val="006D61C6"/>
    <w:rsid w:val="006E0E4C"/>
    <w:rsid w:val="006E0FCF"/>
    <w:rsid w:val="006E4F80"/>
    <w:rsid w:val="006E5584"/>
    <w:rsid w:val="006E6227"/>
    <w:rsid w:val="006E6967"/>
    <w:rsid w:val="006F04F7"/>
    <w:rsid w:val="006F155D"/>
    <w:rsid w:val="006F1E19"/>
    <w:rsid w:val="006F2CAA"/>
    <w:rsid w:val="006F3CD1"/>
    <w:rsid w:val="006F414E"/>
    <w:rsid w:val="006F5D94"/>
    <w:rsid w:val="006F6113"/>
    <w:rsid w:val="006F69F3"/>
    <w:rsid w:val="006F7ADE"/>
    <w:rsid w:val="006F7FA2"/>
    <w:rsid w:val="00700950"/>
    <w:rsid w:val="007014F6"/>
    <w:rsid w:val="007015CA"/>
    <w:rsid w:val="00702076"/>
    <w:rsid w:val="00703413"/>
    <w:rsid w:val="0070397A"/>
    <w:rsid w:val="00703B02"/>
    <w:rsid w:val="00703C73"/>
    <w:rsid w:val="00704076"/>
    <w:rsid w:val="007045D8"/>
    <w:rsid w:val="0070523C"/>
    <w:rsid w:val="00706485"/>
    <w:rsid w:val="00706E70"/>
    <w:rsid w:val="00706EEC"/>
    <w:rsid w:val="00707576"/>
    <w:rsid w:val="00707DEE"/>
    <w:rsid w:val="007102F3"/>
    <w:rsid w:val="00710355"/>
    <w:rsid w:val="007110BB"/>
    <w:rsid w:val="00711646"/>
    <w:rsid w:val="0071184D"/>
    <w:rsid w:val="007123D3"/>
    <w:rsid w:val="007124A7"/>
    <w:rsid w:val="00712918"/>
    <w:rsid w:val="00713399"/>
    <w:rsid w:val="00713891"/>
    <w:rsid w:val="00713FF0"/>
    <w:rsid w:val="007152F7"/>
    <w:rsid w:val="00715A08"/>
    <w:rsid w:val="00715CBF"/>
    <w:rsid w:val="0071693D"/>
    <w:rsid w:val="00716A41"/>
    <w:rsid w:val="00716EF3"/>
    <w:rsid w:val="007175B2"/>
    <w:rsid w:val="007204D8"/>
    <w:rsid w:val="0072054B"/>
    <w:rsid w:val="00722C20"/>
    <w:rsid w:val="007241E8"/>
    <w:rsid w:val="00724728"/>
    <w:rsid w:val="00725402"/>
    <w:rsid w:val="00726EC6"/>
    <w:rsid w:val="00727079"/>
    <w:rsid w:val="007270F9"/>
    <w:rsid w:val="007276B4"/>
    <w:rsid w:val="0073027F"/>
    <w:rsid w:val="00730CAD"/>
    <w:rsid w:val="00731664"/>
    <w:rsid w:val="007319A9"/>
    <w:rsid w:val="007319E9"/>
    <w:rsid w:val="00733516"/>
    <w:rsid w:val="00734926"/>
    <w:rsid w:val="00734D64"/>
    <w:rsid w:val="00735B04"/>
    <w:rsid w:val="00736264"/>
    <w:rsid w:val="0073688D"/>
    <w:rsid w:val="00745946"/>
    <w:rsid w:val="00747A3B"/>
    <w:rsid w:val="0075018E"/>
    <w:rsid w:val="0075033D"/>
    <w:rsid w:val="00751715"/>
    <w:rsid w:val="00751871"/>
    <w:rsid w:val="00751CA7"/>
    <w:rsid w:val="007522FC"/>
    <w:rsid w:val="007528C0"/>
    <w:rsid w:val="00752D20"/>
    <w:rsid w:val="00753A1F"/>
    <w:rsid w:val="00753E84"/>
    <w:rsid w:val="007546DF"/>
    <w:rsid w:val="007547D8"/>
    <w:rsid w:val="00754859"/>
    <w:rsid w:val="00754F62"/>
    <w:rsid w:val="00755191"/>
    <w:rsid w:val="0075578E"/>
    <w:rsid w:val="00755E72"/>
    <w:rsid w:val="007569AF"/>
    <w:rsid w:val="007570DD"/>
    <w:rsid w:val="00757145"/>
    <w:rsid w:val="00757760"/>
    <w:rsid w:val="007577EF"/>
    <w:rsid w:val="00757F3D"/>
    <w:rsid w:val="007600BE"/>
    <w:rsid w:val="0076083C"/>
    <w:rsid w:val="00760906"/>
    <w:rsid w:val="00760ECF"/>
    <w:rsid w:val="007618DA"/>
    <w:rsid w:val="007619C0"/>
    <w:rsid w:val="00761BAA"/>
    <w:rsid w:val="00764B09"/>
    <w:rsid w:val="00764C4C"/>
    <w:rsid w:val="00765BA8"/>
    <w:rsid w:val="00765CCE"/>
    <w:rsid w:val="00766A10"/>
    <w:rsid w:val="00766A1E"/>
    <w:rsid w:val="00766C12"/>
    <w:rsid w:val="007700D2"/>
    <w:rsid w:val="007733DA"/>
    <w:rsid w:val="007753AC"/>
    <w:rsid w:val="00775FC5"/>
    <w:rsid w:val="00776839"/>
    <w:rsid w:val="00780365"/>
    <w:rsid w:val="00782398"/>
    <w:rsid w:val="007826AE"/>
    <w:rsid w:val="00782CC8"/>
    <w:rsid w:val="0078307F"/>
    <w:rsid w:val="007831E8"/>
    <w:rsid w:val="00785674"/>
    <w:rsid w:val="0078569F"/>
    <w:rsid w:val="00785D1F"/>
    <w:rsid w:val="0078600A"/>
    <w:rsid w:val="00786318"/>
    <w:rsid w:val="007863D7"/>
    <w:rsid w:val="00786878"/>
    <w:rsid w:val="00787015"/>
    <w:rsid w:val="007877CF"/>
    <w:rsid w:val="00791076"/>
    <w:rsid w:val="00791675"/>
    <w:rsid w:val="00791B2B"/>
    <w:rsid w:val="00792AB3"/>
    <w:rsid w:val="00792FE7"/>
    <w:rsid w:val="007934E3"/>
    <w:rsid w:val="007945C5"/>
    <w:rsid w:val="0079549C"/>
    <w:rsid w:val="00795690"/>
    <w:rsid w:val="007961B4"/>
    <w:rsid w:val="00796208"/>
    <w:rsid w:val="00796557"/>
    <w:rsid w:val="00796723"/>
    <w:rsid w:val="00796B77"/>
    <w:rsid w:val="00796B81"/>
    <w:rsid w:val="0079718B"/>
    <w:rsid w:val="007976EF"/>
    <w:rsid w:val="007978D6"/>
    <w:rsid w:val="007A0EC7"/>
    <w:rsid w:val="007A1463"/>
    <w:rsid w:val="007A1E85"/>
    <w:rsid w:val="007A20B2"/>
    <w:rsid w:val="007A25FB"/>
    <w:rsid w:val="007A2644"/>
    <w:rsid w:val="007A2D06"/>
    <w:rsid w:val="007A346D"/>
    <w:rsid w:val="007A5721"/>
    <w:rsid w:val="007A5ADC"/>
    <w:rsid w:val="007A5C73"/>
    <w:rsid w:val="007A6ED6"/>
    <w:rsid w:val="007B0105"/>
    <w:rsid w:val="007B02DF"/>
    <w:rsid w:val="007B0725"/>
    <w:rsid w:val="007B1AD8"/>
    <w:rsid w:val="007B1B61"/>
    <w:rsid w:val="007B1F05"/>
    <w:rsid w:val="007B2895"/>
    <w:rsid w:val="007B2971"/>
    <w:rsid w:val="007B2AD3"/>
    <w:rsid w:val="007B35D9"/>
    <w:rsid w:val="007B3859"/>
    <w:rsid w:val="007B397E"/>
    <w:rsid w:val="007B3DB9"/>
    <w:rsid w:val="007B40A5"/>
    <w:rsid w:val="007B44D8"/>
    <w:rsid w:val="007B4A6C"/>
    <w:rsid w:val="007B4C8D"/>
    <w:rsid w:val="007B5AEF"/>
    <w:rsid w:val="007B644A"/>
    <w:rsid w:val="007B6644"/>
    <w:rsid w:val="007B694A"/>
    <w:rsid w:val="007B7A49"/>
    <w:rsid w:val="007B7AFA"/>
    <w:rsid w:val="007C25E5"/>
    <w:rsid w:val="007C4877"/>
    <w:rsid w:val="007C5CCD"/>
    <w:rsid w:val="007C75E6"/>
    <w:rsid w:val="007C7EFC"/>
    <w:rsid w:val="007D17FF"/>
    <w:rsid w:val="007D1AC4"/>
    <w:rsid w:val="007D293A"/>
    <w:rsid w:val="007D3F94"/>
    <w:rsid w:val="007D42C5"/>
    <w:rsid w:val="007D4D60"/>
    <w:rsid w:val="007D5908"/>
    <w:rsid w:val="007D5DF7"/>
    <w:rsid w:val="007D6965"/>
    <w:rsid w:val="007D69BD"/>
    <w:rsid w:val="007D6A32"/>
    <w:rsid w:val="007D79C3"/>
    <w:rsid w:val="007D7B63"/>
    <w:rsid w:val="007E0277"/>
    <w:rsid w:val="007E149A"/>
    <w:rsid w:val="007E2505"/>
    <w:rsid w:val="007E2E7E"/>
    <w:rsid w:val="007E4205"/>
    <w:rsid w:val="007E4DE9"/>
    <w:rsid w:val="007E5668"/>
    <w:rsid w:val="007E6052"/>
    <w:rsid w:val="007E708A"/>
    <w:rsid w:val="007E7426"/>
    <w:rsid w:val="007F09F3"/>
    <w:rsid w:val="007F110B"/>
    <w:rsid w:val="007F1259"/>
    <w:rsid w:val="007F16A5"/>
    <w:rsid w:val="007F1B3A"/>
    <w:rsid w:val="007F1BF2"/>
    <w:rsid w:val="007F2990"/>
    <w:rsid w:val="007F2F03"/>
    <w:rsid w:val="007F3CE8"/>
    <w:rsid w:val="007F50A8"/>
    <w:rsid w:val="007F6040"/>
    <w:rsid w:val="007F7727"/>
    <w:rsid w:val="007F79B3"/>
    <w:rsid w:val="0080127D"/>
    <w:rsid w:val="00801FCE"/>
    <w:rsid w:val="00802886"/>
    <w:rsid w:val="00802C0F"/>
    <w:rsid w:val="0080351A"/>
    <w:rsid w:val="008045E3"/>
    <w:rsid w:val="00806147"/>
    <w:rsid w:val="00806761"/>
    <w:rsid w:val="00806B17"/>
    <w:rsid w:val="0081022E"/>
    <w:rsid w:val="00810B51"/>
    <w:rsid w:val="0081132B"/>
    <w:rsid w:val="0081173B"/>
    <w:rsid w:val="00812444"/>
    <w:rsid w:val="00812464"/>
    <w:rsid w:val="008124FD"/>
    <w:rsid w:val="0081290C"/>
    <w:rsid w:val="00812DCD"/>
    <w:rsid w:val="00814A8B"/>
    <w:rsid w:val="00814B56"/>
    <w:rsid w:val="00816FFB"/>
    <w:rsid w:val="0081733C"/>
    <w:rsid w:val="00817B4F"/>
    <w:rsid w:val="00817F49"/>
    <w:rsid w:val="00820739"/>
    <w:rsid w:val="008207F3"/>
    <w:rsid w:val="0082095A"/>
    <w:rsid w:val="00820B63"/>
    <w:rsid w:val="00820ED9"/>
    <w:rsid w:val="0082188B"/>
    <w:rsid w:val="00821F6D"/>
    <w:rsid w:val="008221C7"/>
    <w:rsid w:val="008223F3"/>
    <w:rsid w:val="008227F6"/>
    <w:rsid w:val="00822D29"/>
    <w:rsid w:val="00823AE9"/>
    <w:rsid w:val="00824265"/>
    <w:rsid w:val="008244A0"/>
    <w:rsid w:val="00824F2F"/>
    <w:rsid w:val="008257BD"/>
    <w:rsid w:val="00825E68"/>
    <w:rsid w:val="0082621E"/>
    <w:rsid w:val="00826DAC"/>
    <w:rsid w:val="00827273"/>
    <w:rsid w:val="0082795C"/>
    <w:rsid w:val="00831CDE"/>
    <w:rsid w:val="00832310"/>
    <w:rsid w:val="0083237F"/>
    <w:rsid w:val="008323E1"/>
    <w:rsid w:val="008332C8"/>
    <w:rsid w:val="008335B8"/>
    <w:rsid w:val="00833BB5"/>
    <w:rsid w:val="00833DEE"/>
    <w:rsid w:val="00834854"/>
    <w:rsid w:val="0083608B"/>
    <w:rsid w:val="00836113"/>
    <w:rsid w:val="008363E5"/>
    <w:rsid w:val="008364DE"/>
    <w:rsid w:val="0084014B"/>
    <w:rsid w:val="008403A3"/>
    <w:rsid w:val="00840BEF"/>
    <w:rsid w:val="00842495"/>
    <w:rsid w:val="00842873"/>
    <w:rsid w:val="00842ECC"/>
    <w:rsid w:val="008434DF"/>
    <w:rsid w:val="008454C4"/>
    <w:rsid w:val="00846794"/>
    <w:rsid w:val="00846958"/>
    <w:rsid w:val="00846D86"/>
    <w:rsid w:val="00847E35"/>
    <w:rsid w:val="00847EC7"/>
    <w:rsid w:val="00850ED0"/>
    <w:rsid w:val="00853492"/>
    <w:rsid w:val="00854C28"/>
    <w:rsid w:val="00855514"/>
    <w:rsid w:val="00855A92"/>
    <w:rsid w:val="00855CAD"/>
    <w:rsid w:val="0085631D"/>
    <w:rsid w:val="008565DF"/>
    <w:rsid w:val="00856E0F"/>
    <w:rsid w:val="0086028D"/>
    <w:rsid w:val="00860AA1"/>
    <w:rsid w:val="00860C0F"/>
    <w:rsid w:val="00860DBF"/>
    <w:rsid w:val="008629D1"/>
    <w:rsid w:val="00864E58"/>
    <w:rsid w:val="0086503A"/>
    <w:rsid w:val="00865681"/>
    <w:rsid w:val="00865CAD"/>
    <w:rsid w:val="008665F4"/>
    <w:rsid w:val="00871223"/>
    <w:rsid w:val="00874922"/>
    <w:rsid w:val="008756ED"/>
    <w:rsid w:val="00875AC7"/>
    <w:rsid w:val="00876512"/>
    <w:rsid w:val="00876C46"/>
    <w:rsid w:val="0087745F"/>
    <w:rsid w:val="00877C33"/>
    <w:rsid w:val="00880B12"/>
    <w:rsid w:val="00880D8D"/>
    <w:rsid w:val="00880DEF"/>
    <w:rsid w:val="00880EB7"/>
    <w:rsid w:val="00881EFB"/>
    <w:rsid w:val="00882049"/>
    <w:rsid w:val="008836B7"/>
    <w:rsid w:val="00885038"/>
    <w:rsid w:val="00885778"/>
    <w:rsid w:val="00885919"/>
    <w:rsid w:val="00886661"/>
    <w:rsid w:val="00886F55"/>
    <w:rsid w:val="008873FF"/>
    <w:rsid w:val="008902A5"/>
    <w:rsid w:val="00890F84"/>
    <w:rsid w:val="00891277"/>
    <w:rsid w:val="008915C0"/>
    <w:rsid w:val="00892CB0"/>
    <w:rsid w:val="00892DC2"/>
    <w:rsid w:val="008937F8"/>
    <w:rsid w:val="00895808"/>
    <w:rsid w:val="00895EB9"/>
    <w:rsid w:val="00897403"/>
    <w:rsid w:val="008A0AF0"/>
    <w:rsid w:val="008A1257"/>
    <w:rsid w:val="008A2215"/>
    <w:rsid w:val="008A41EC"/>
    <w:rsid w:val="008A45A8"/>
    <w:rsid w:val="008A796C"/>
    <w:rsid w:val="008B200B"/>
    <w:rsid w:val="008B3770"/>
    <w:rsid w:val="008B42A6"/>
    <w:rsid w:val="008B4595"/>
    <w:rsid w:val="008B4D0A"/>
    <w:rsid w:val="008B6964"/>
    <w:rsid w:val="008C1732"/>
    <w:rsid w:val="008C3E48"/>
    <w:rsid w:val="008C422B"/>
    <w:rsid w:val="008C4526"/>
    <w:rsid w:val="008C45C4"/>
    <w:rsid w:val="008C4E89"/>
    <w:rsid w:val="008C634F"/>
    <w:rsid w:val="008C7C7C"/>
    <w:rsid w:val="008C7D99"/>
    <w:rsid w:val="008D03E8"/>
    <w:rsid w:val="008D16F3"/>
    <w:rsid w:val="008D18B6"/>
    <w:rsid w:val="008D38F5"/>
    <w:rsid w:val="008D3C1A"/>
    <w:rsid w:val="008D3CCF"/>
    <w:rsid w:val="008D466D"/>
    <w:rsid w:val="008D66A4"/>
    <w:rsid w:val="008D6815"/>
    <w:rsid w:val="008D6967"/>
    <w:rsid w:val="008D7C87"/>
    <w:rsid w:val="008E025F"/>
    <w:rsid w:val="008E0D38"/>
    <w:rsid w:val="008E13A7"/>
    <w:rsid w:val="008E2A16"/>
    <w:rsid w:val="008E2BA7"/>
    <w:rsid w:val="008E3343"/>
    <w:rsid w:val="008E43B7"/>
    <w:rsid w:val="008E46FF"/>
    <w:rsid w:val="008E5995"/>
    <w:rsid w:val="008E6CFF"/>
    <w:rsid w:val="008E7408"/>
    <w:rsid w:val="008E7CC1"/>
    <w:rsid w:val="008F08C8"/>
    <w:rsid w:val="008F0DC4"/>
    <w:rsid w:val="008F164F"/>
    <w:rsid w:val="008F1ECE"/>
    <w:rsid w:val="008F1F99"/>
    <w:rsid w:val="008F2686"/>
    <w:rsid w:val="008F2CD1"/>
    <w:rsid w:val="008F4417"/>
    <w:rsid w:val="008F672D"/>
    <w:rsid w:val="008F689A"/>
    <w:rsid w:val="008F6DB3"/>
    <w:rsid w:val="00900968"/>
    <w:rsid w:val="009034CA"/>
    <w:rsid w:val="00903CDD"/>
    <w:rsid w:val="00904454"/>
    <w:rsid w:val="00904D60"/>
    <w:rsid w:val="0090602E"/>
    <w:rsid w:val="009103AE"/>
    <w:rsid w:val="00910830"/>
    <w:rsid w:val="0091175B"/>
    <w:rsid w:val="0091199B"/>
    <w:rsid w:val="00911A57"/>
    <w:rsid w:val="00911E0D"/>
    <w:rsid w:val="00911F16"/>
    <w:rsid w:val="009120C3"/>
    <w:rsid w:val="00912A05"/>
    <w:rsid w:val="00912F90"/>
    <w:rsid w:val="00913067"/>
    <w:rsid w:val="00913893"/>
    <w:rsid w:val="00913B42"/>
    <w:rsid w:val="00913B6B"/>
    <w:rsid w:val="009151CA"/>
    <w:rsid w:val="00915DC6"/>
    <w:rsid w:val="00915E22"/>
    <w:rsid w:val="00916E89"/>
    <w:rsid w:val="0092034E"/>
    <w:rsid w:val="00920B86"/>
    <w:rsid w:val="0092179D"/>
    <w:rsid w:val="00921858"/>
    <w:rsid w:val="0092203E"/>
    <w:rsid w:val="00922C79"/>
    <w:rsid w:val="00923377"/>
    <w:rsid w:val="00923DB5"/>
    <w:rsid w:val="009247C3"/>
    <w:rsid w:val="009248A6"/>
    <w:rsid w:val="00926201"/>
    <w:rsid w:val="009276C7"/>
    <w:rsid w:val="00927919"/>
    <w:rsid w:val="00927BD6"/>
    <w:rsid w:val="00930AD1"/>
    <w:rsid w:val="00931AFA"/>
    <w:rsid w:val="00931D62"/>
    <w:rsid w:val="00932163"/>
    <w:rsid w:val="009332C3"/>
    <w:rsid w:val="009335A6"/>
    <w:rsid w:val="009345AF"/>
    <w:rsid w:val="00934EC3"/>
    <w:rsid w:val="0093653F"/>
    <w:rsid w:val="00936C77"/>
    <w:rsid w:val="00937AA3"/>
    <w:rsid w:val="00940C3A"/>
    <w:rsid w:val="00940EF6"/>
    <w:rsid w:val="00941855"/>
    <w:rsid w:val="00942777"/>
    <w:rsid w:val="00944A54"/>
    <w:rsid w:val="00945238"/>
    <w:rsid w:val="0094564B"/>
    <w:rsid w:val="009471A6"/>
    <w:rsid w:val="00947571"/>
    <w:rsid w:val="00947756"/>
    <w:rsid w:val="00947A36"/>
    <w:rsid w:val="00950B9C"/>
    <w:rsid w:val="0095187C"/>
    <w:rsid w:val="00951931"/>
    <w:rsid w:val="009525D6"/>
    <w:rsid w:val="009527D8"/>
    <w:rsid w:val="00954772"/>
    <w:rsid w:val="00954862"/>
    <w:rsid w:val="00955388"/>
    <w:rsid w:val="0095540C"/>
    <w:rsid w:val="00955777"/>
    <w:rsid w:val="009570A2"/>
    <w:rsid w:val="009571D0"/>
    <w:rsid w:val="00957905"/>
    <w:rsid w:val="009579B0"/>
    <w:rsid w:val="009604A1"/>
    <w:rsid w:val="0096056C"/>
    <w:rsid w:val="00960A10"/>
    <w:rsid w:val="009616EC"/>
    <w:rsid w:val="0096190F"/>
    <w:rsid w:val="0096221E"/>
    <w:rsid w:val="00962FC0"/>
    <w:rsid w:val="0096323D"/>
    <w:rsid w:val="00963E9A"/>
    <w:rsid w:val="00963F7A"/>
    <w:rsid w:val="009650B5"/>
    <w:rsid w:val="00966265"/>
    <w:rsid w:val="00966374"/>
    <w:rsid w:val="00966E54"/>
    <w:rsid w:val="00967684"/>
    <w:rsid w:val="00970011"/>
    <w:rsid w:val="0097043C"/>
    <w:rsid w:val="00973C8F"/>
    <w:rsid w:val="00973DA2"/>
    <w:rsid w:val="00974FA7"/>
    <w:rsid w:val="009753BD"/>
    <w:rsid w:val="009753EA"/>
    <w:rsid w:val="00975C1B"/>
    <w:rsid w:val="00975DEB"/>
    <w:rsid w:val="00975F6B"/>
    <w:rsid w:val="009760A8"/>
    <w:rsid w:val="009766EA"/>
    <w:rsid w:val="00976DDC"/>
    <w:rsid w:val="009770F9"/>
    <w:rsid w:val="00980847"/>
    <w:rsid w:val="00981F33"/>
    <w:rsid w:val="00982F63"/>
    <w:rsid w:val="00985467"/>
    <w:rsid w:val="00987C0C"/>
    <w:rsid w:val="0099028F"/>
    <w:rsid w:val="0099130B"/>
    <w:rsid w:val="0099137C"/>
    <w:rsid w:val="0099159F"/>
    <w:rsid w:val="00991786"/>
    <w:rsid w:val="0099183B"/>
    <w:rsid w:val="009921CB"/>
    <w:rsid w:val="009929A3"/>
    <w:rsid w:val="00993C6D"/>
    <w:rsid w:val="00993CC4"/>
    <w:rsid w:val="009940BB"/>
    <w:rsid w:val="0099467C"/>
    <w:rsid w:val="00996EF5"/>
    <w:rsid w:val="0099771D"/>
    <w:rsid w:val="009977F7"/>
    <w:rsid w:val="009A044F"/>
    <w:rsid w:val="009A167E"/>
    <w:rsid w:val="009A2087"/>
    <w:rsid w:val="009A2BCB"/>
    <w:rsid w:val="009A4801"/>
    <w:rsid w:val="009A49E3"/>
    <w:rsid w:val="009A4A96"/>
    <w:rsid w:val="009A4F5E"/>
    <w:rsid w:val="009A531C"/>
    <w:rsid w:val="009A5396"/>
    <w:rsid w:val="009A6B6D"/>
    <w:rsid w:val="009A6D8B"/>
    <w:rsid w:val="009B0AD3"/>
    <w:rsid w:val="009B1065"/>
    <w:rsid w:val="009B16E8"/>
    <w:rsid w:val="009B1B37"/>
    <w:rsid w:val="009B1DEE"/>
    <w:rsid w:val="009B292A"/>
    <w:rsid w:val="009B2DD9"/>
    <w:rsid w:val="009B4E5B"/>
    <w:rsid w:val="009B58B2"/>
    <w:rsid w:val="009B593E"/>
    <w:rsid w:val="009B5B36"/>
    <w:rsid w:val="009B628C"/>
    <w:rsid w:val="009B6B1E"/>
    <w:rsid w:val="009C01EC"/>
    <w:rsid w:val="009C08F6"/>
    <w:rsid w:val="009C0CA4"/>
    <w:rsid w:val="009C1009"/>
    <w:rsid w:val="009C139F"/>
    <w:rsid w:val="009C14AE"/>
    <w:rsid w:val="009C19A2"/>
    <w:rsid w:val="009C1C6F"/>
    <w:rsid w:val="009C228F"/>
    <w:rsid w:val="009C2C8C"/>
    <w:rsid w:val="009C3E34"/>
    <w:rsid w:val="009C3F16"/>
    <w:rsid w:val="009C3F3F"/>
    <w:rsid w:val="009C46CB"/>
    <w:rsid w:val="009C55AF"/>
    <w:rsid w:val="009C63BF"/>
    <w:rsid w:val="009C786A"/>
    <w:rsid w:val="009D08EC"/>
    <w:rsid w:val="009D2287"/>
    <w:rsid w:val="009D2EC2"/>
    <w:rsid w:val="009D3AA0"/>
    <w:rsid w:val="009D5A8C"/>
    <w:rsid w:val="009D675F"/>
    <w:rsid w:val="009D67AA"/>
    <w:rsid w:val="009D69C4"/>
    <w:rsid w:val="009D71C3"/>
    <w:rsid w:val="009D734B"/>
    <w:rsid w:val="009E0FEF"/>
    <w:rsid w:val="009E19CF"/>
    <w:rsid w:val="009E1E3B"/>
    <w:rsid w:val="009E30BE"/>
    <w:rsid w:val="009E31EF"/>
    <w:rsid w:val="009E373F"/>
    <w:rsid w:val="009E426F"/>
    <w:rsid w:val="009E4D98"/>
    <w:rsid w:val="009E504A"/>
    <w:rsid w:val="009E5823"/>
    <w:rsid w:val="009F00B1"/>
    <w:rsid w:val="009F1DC1"/>
    <w:rsid w:val="009F20E1"/>
    <w:rsid w:val="009F490D"/>
    <w:rsid w:val="009F5497"/>
    <w:rsid w:val="009F7498"/>
    <w:rsid w:val="00A004F4"/>
    <w:rsid w:val="00A0072E"/>
    <w:rsid w:val="00A0139A"/>
    <w:rsid w:val="00A01E5A"/>
    <w:rsid w:val="00A01F4B"/>
    <w:rsid w:val="00A020C4"/>
    <w:rsid w:val="00A0302B"/>
    <w:rsid w:val="00A038D1"/>
    <w:rsid w:val="00A03AAF"/>
    <w:rsid w:val="00A0434A"/>
    <w:rsid w:val="00A04915"/>
    <w:rsid w:val="00A04B74"/>
    <w:rsid w:val="00A057E9"/>
    <w:rsid w:val="00A059AC"/>
    <w:rsid w:val="00A05CCD"/>
    <w:rsid w:val="00A05E89"/>
    <w:rsid w:val="00A05F42"/>
    <w:rsid w:val="00A06303"/>
    <w:rsid w:val="00A0684B"/>
    <w:rsid w:val="00A06F3C"/>
    <w:rsid w:val="00A1032D"/>
    <w:rsid w:val="00A10335"/>
    <w:rsid w:val="00A106EF"/>
    <w:rsid w:val="00A11F92"/>
    <w:rsid w:val="00A1537E"/>
    <w:rsid w:val="00A15978"/>
    <w:rsid w:val="00A15C75"/>
    <w:rsid w:val="00A16A53"/>
    <w:rsid w:val="00A16D71"/>
    <w:rsid w:val="00A1753F"/>
    <w:rsid w:val="00A2235A"/>
    <w:rsid w:val="00A22CAF"/>
    <w:rsid w:val="00A23FC7"/>
    <w:rsid w:val="00A241B0"/>
    <w:rsid w:val="00A260EE"/>
    <w:rsid w:val="00A26D2B"/>
    <w:rsid w:val="00A30199"/>
    <w:rsid w:val="00A311A4"/>
    <w:rsid w:val="00A31BEF"/>
    <w:rsid w:val="00A31CDA"/>
    <w:rsid w:val="00A328BF"/>
    <w:rsid w:val="00A33F23"/>
    <w:rsid w:val="00A34D38"/>
    <w:rsid w:val="00A374DD"/>
    <w:rsid w:val="00A37593"/>
    <w:rsid w:val="00A412B7"/>
    <w:rsid w:val="00A43534"/>
    <w:rsid w:val="00A43984"/>
    <w:rsid w:val="00A46356"/>
    <w:rsid w:val="00A46A83"/>
    <w:rsid w:val="00A46C26"/>
    <w:rsid w:val="00A46F11"/>
    <w:rsid w:val="00A47A5D"/>
    <w:rsid w:val="00A47B8E"/>
    <w:rsid w:val="00A500B6"/>
    <w:rsid w:val="00A5073F"/>
    <w:rsid w:val="00A5132B"/>
    <w:rsid w:val="00A513DB"/>
    <w:rsid w:val="00A519B8"/>
    <w:rsid w:val="00A5315C"/>
    <w:rsid w:val="00A53B29"/>
    <w:rsid w:val="00A5407D"/>
    <w:rsid w:val="00A5468A"/>
    <w:rsid w:val="00A56D8D"/>
    <w:rsid w:val="00A571CE"/>
    <w:rsid w:val="00A57B5C"/>
    <w:rsid w:val="00A6068A"/>
    <w:rsid w:val="00A60DF7"/>
    <w:rsid w:val="00A62F05"/>
    <w:rsid w:val="00A63809"/>
    <w:rsid w:val="00A63DCA"/>
    <w:rsid w:val="00A63E10"/>
    <w:rsid w:val="00A658D6"/>
    <w:rsid w:val="00A6655D"/>
    <w:rsid w:val="00A667FB"/>
    <w:rsid w:val="00A672AD"/>
    <w:rsid w:val="00A7236E"/>
    <w:rsid w:val="00A72F72"/>
    <w:rsid w:val="00A73182"/>
    <w:rsid w:val="00A73545"/>
    <w:rsid w:val="00A73AF4"/>
    <w:rsid w:val="00A73E96"/>
    <w:rsid w:val="00A7440A"/>
    <w:rsid w:val="00A755F2"/>
    <w:rsid w:val="00A7605F"/>
    <w:rsid w:val="00A7713B"/>
    <w:rsid w:val="00A81613"/>
    <w:rsid w:val="00A81625"/>
    <w:rsid w:val="00A81B92"/>
    <w:rsid w:val="00A82314"/>
    <w:rsid w:val="00A82651"/>
    <w:rsid w:val="00A831A9"/>
    <w:rsid w:val="00A842D9"/>
    <w:rsid w:val="00A847B2"/>
    <w:rsid w:val="00A84A29"/>
    <w:rsid w:val="00A85611"/>
    <w:rsid w:val="00A873AA"/>
    <w:rsid w:val="00A90334"/>
    <w:rsid w:val="00A90B1D"/>
    <w:rsid w:val="00A923DB"/>
    <w:rsid w:val="00A92DBF"/>
    <w:rsid w:val="00A94205"/>
    <w:rsid w:val="00A94ED5"/>
    <w:rsid w:val="00A950E9"/>
    <w:rsid w:val="00A953AC"/>
    <w:rsid w:val="00A963F1"/>
    <w:rsid w:val="00A970FB"/>
    <w:rsid w:val="00A97344"/>
    <w:rsid w:val="00AA0E3F"/>
    <w:rsid w:val="00AA18E3"/>
    <w:rsid w:val="00AA23D6"/>
    <w:rsid w:val="00AA2521"/>
    <w:rsid w:val="00AA3200"/>
    <w:rsid w:val="00AA34CF"/>
    <w:rsid w:val="00AA43A9"/>
    <w:rsid w:val="00AA4DCE"/>
    <w:rsid w:val="00AA53D6"/>
    <w:rsid w:val="00AA581A"/>
    <w:rsid w:val="00AA5C3A"/>
    <w:rsid w:val="00AA67A0"/>
    <w:rsid w:val="00AA75C8"/>
    <w:rsid w:val="00AA7A82"/>
    <w:rsid w:val="00AB05CD"/>
    <w:rsid w:val="00AB42AD"/>
    <w:rsid w:val="00AB45F8"/>
    <w:rsid w:val="00AB4975"/>
    <w:rsid w:val="00AB4D35"/>
    <w:rsid w:val="00AB4F0F"/>
    <w:rsid w:val="00AB50A4"/>
    <w:rsid w:val="00AB5111"/>
    <w:rsid w:val="00AB584A"/>
    <w:rsid w:val="00AB7EA5"/>
    <w:rsid w:val="00AB7ECE"/>
    <w:rsid w:val="00AC11AC"/>
    <w:rsid w:val="00AC12B1"/>
    <w:rsid w:val="00AC2D8C"/>
    <w:rsid w:val="00AC2DB3"/>
    <w:rsid w:val="00AC3CD0"/>
    <w:rsid w:val="00AC56FE"/>
    <w:rsid w:val="00AC58F9"/>
    <w:rsid w:val="00AC6E5E"/>
    <w:rsid w:val="00AC6F76"/>
    <w:rsid w:val="00AC713F"/>
    <w:rsid w:val="00AD02AC"/>
    <w:rsid w:val="00AD078E"/>
    <w:rsid w:val="00AD13B9"/>
    <w:rsid w:val="00AD1CBB"/>
    <w:rsid w:val="00AD1CCA"/>
    <w:rsid w:val="00AD1D1A"/>
    <w:rsid w:val="00AD23CE"/>
    <w:rsid w:val="00AD4657"/>
    <w:rsid w:val="00AD47B4"/>
    <w:rsid w:val="00AD4ADC"/>
    <w:rsid w:val="00AD5776"/>
    <w:rsid w:val="00AD6867"/>
    <w:rsid w:val="00AD7F03"/>
    <w:rsid w:val="00AE038A"/>
    <w:rsid w:val="00AE0601"/>
    <w:rsid w:val="00AE15A5"/>
    <w:rsid w:val="00AE1B43"/>
    <w:rsid w:val="00AE20BF"/>
    <w:rsid w:val="00AE221C"/>
    <w:rsid w:val="00AE29CB"/>
    <w:rsid w:val="00AE35C8"/>
    <w:rsid w:val="00AE5778"/>
    <w:rsid w:val="00AE57E0"/>
    <w:rsid w:val="00AE5DE5"/>
    <w:rsid w:val="00AE788C"/>
    <w:rsid w:val="00AF05D5"/>
    <w:rsid w:val="00AF10E4"/>
    <w:rsid w:val="00AF1852"/>
    <w:rsid w:val="00AF36EE"/>
    <w:rsid w:val="00AF3CF9"/>
    <w:rsid w:val="00AF409E"/>
    <w:rsid w:val="00AF48EF"/>
    <w:rsid w:val="00AF49F5"/>
    <w:rsid w:val="00AF4B7F"/>
    <w:rsid w:val="00AF54CC"/>
    <w:rsid w:val="00AF7304"/>
    <w:rsid w:val="00AF7795"/>
    <w:rsid w:val="00AF784A"/>
    <w:rsid w:val="00AF7BC9"/>
    <w:rsid w:val="00B0058F"/>
    <w:rsid w:val="00B0069E"/>
    <w:rsid w:val="00B01854"/>
    <w:rsid w:val="00B02D53"/>
    <w:rsid w:val="00B03124"/>
    <w:rsid w:val="00B0379A"/>
    <w:rsid w:val="00B057C3"/>
    <w:rsid w:val="00B0584E"/>
    <w:rsid w:val="00B05B86"/>
    <w:rsid w:val="00B06B89"/>
    <w:rsid w:val="00B10260"/>
    <w:rsid w:val="00B1067D"/>
    <w:rsid w:val="00B10F25"/>
    <w:rsid w:val="00B11152"/>
    <w:rsid w:val="00B1127C"/>
    <w:rsid w:val="00B112E0"/>
    <w:rsid w:val="00B11E65"/>
    <w:rsid w:val="00B127BD"/>
    <w:rsid w:val="00B12AEF"/>
    <w:rsid w:val="00B12BF0"/>
    <w:rsid w:val="00B15349"/>
    <w:rsid w:val="00B1561D"/>
    <w:rsid w:val="00B16A75"/>
    <w:rsid w:val="00B178E8"/>
    <w:rsid w:val="00B17AFA"/>
    <w:rsid w:val="00B20099"/>
    <w:rsid w:val="00B202F4"/>
    <w:rsid w:val="00B21706"/>
    <w:rsid w:val="00B21BD5"/>
    <w:rsid w:val="00B23512"/>
    <w:rsid w:val="00B235C1"/>
    <w:rsid w:val="00B23669"/>
    <w:rsid w:val="00B2388E"/>
    <w:rsid w:val="00B2441F"/>
    <w:rsid w:val="00B2525F"/>
    <w:rsid w:val="00B254C9"/>
    <w:rsid w:val="00B25521"/>
    <w:rsid w:val="00B25CC5"/>
    <w:rsid w:val="00B262B6"/>
    <w:rsid w:val="00B26F5E"/>
    <w:rsid w:val="00B27A0E"/>
    <w:rsid w:val="00B27C87"/>
    <w:rsid w:val="00B309D5"/>
    <w:rsid w:val="00B30F06"/>
    <w:rsid w:val="00B30F1F"/>
    <w:rsid w:val="00B31A1B"/>
    <w:rsid w:val="00B320F3"/>
    <w:rsid w:val="00B3261D"/>
    <w:rsid w:val="00B339FF"/>
    <w:rsid w:val="00B3402C"/>
    <w:rsid w:val="00B34E7C"/>
    <w:rsid w:val="00B36965"/>
    <w:rsid w:val="00B3726B"/>
    <w:rsid w:val="00B40530"/>
    <w:rsid w:val="00B4097D"/>
    <w:rsid w:val="00B40DA4"/>
    <w:rsid w:val="00B41B47"/>
    <w:rsid w:val="00B41D8C"/>
    <w:rsid w:val="00B4248F"/>
    <w:rsid w:val="00B44104"/>
    <w:rsid w:val="00B44B17"/>
    <w:rsid w:val="00B44E35"/>
    <w:rsid w:val="00B451B7"/>
    <w:rsid w:val="00B453B9"/>
    <w:rsid w:val="00B45954"/>
    <w:rsid w:val="00B45BFE"/>
    <w:rsid w:val="00B46C4E"/>
    <w:rsid w:val="00B50002"/>
    <w:rsid w:val="00B50248"/>
    <w:rsid w:val="00B509DF"/>
    <w:rsid w:val="00B50E3E"/>
    <w:rsid w:val="00B50FA6"/>
    <w:rsid w:val="00B51ED6"/>
    <w:rsid w:val="00B5245E"/>
    <w:rsid w:val="00B539D6"/>
    <w:rsid w:val="00B53A52"/>
    <w:rsid w:val="00B54732"/>
    <w:rsid w:val="00B56907"/>
    <w:rsid w:val="00B60512"/>
    <w:rsid w:val="00B61819"/>
    <w:rsid w:val="00B61B27"/>
    <w:rsid w:val="00B61B50"/>
    <w:rsid w:val="00B625C6"/>
    <w:rsid w:val="00B62F01"/>
    <w:rsid w:val="00B63A2F"/>
    <w:rsid w:val="00B65E88"/>
    <w:rsid w:val="00B70CF4"/>
    <w:rsid w:val="00B71FB5"/>
    <w:rsid w:val="00B71FC9"/>
    <w:rsid w:val="00B727AE"/>
    <w:rsid w:val="00B73288"/>
    <w:rsid w:val="00B742F4"/>
    <w:rsid w:val="00B74CB6"/>
    <w:rsid w:val="00B76409"/>
    <w:rsid w:val="00B80883"/>
    <w:rsid w:val="00B8099D"/>
    <w:rsid w:val="00B8266C"/>
    <w:rsid w:val="00B83496"/>
    <w:rsid w:val="00B83FE4"/>
    <w:rsid w:val="00B849DF"/>
    <w:rsid w:val="00B85E47"/>
    <w:rsid w:val="00B8668D"/>
    <w:rsid w:val="00B90283"/>
    <w:rsid w:val="00B903A6"/>
    <w:rsid w:val="00B920CD"/>
    <w:rsid w:val="00B92A13"/>
    <w:rsid w:val="00B94C32"/>
    <w:rsid w:val="00B95555"/>
    <w:rsid w:val="00B964D9"/>
    <w:rsid w:val="00B96B45"/>
    <w:rsid w:val="00B97139"/>
    <w:rsid w:val="00B97DE7"/>
    <w:rsid w:val="00BA1562"/>
    <w:rsid w:val="00BA26B0"/>
    <w:rsid w:val="00BA2CF8"/>
    <w:rsid w:val="00BA3588"/>
    <w:rsid w:val="00BA4010"/>
    <w:rsid w:val="00BA475B"/>
    <w:rsid w:val="00BA590C"/>
    <w:rsid w:val="00BA6627"/>
    <w:rsid w:val="00BA79A5"/>
    <w:rsid w:val="00BA7B97"/>
    <w:rsid w:val="00BA7E13"/>
    <w:rsid w:val="00BB03EF"/>
    <w:rsid w:val="00BB1050"/>
    <w:rsid w:val="00BB1296"/>
    <w:rsid w:val="00BB277C"/>
    <w:rsid w:val="00BB3218"/>
    <w:rsid w:val="00BB4928"/>
    <w:rsid w:val="00BB4EC7"/>
    <w:rsid w:val="00BB7656"/>
    <w:rsid w:val="00BB7AAC"/>
    <w:rsid w:val="00BC0E2C"/>
    <w:rsid w:val="00BC1626"/>
    <w:rsid w:val="00BC1ADF"/>
    <w:rsid w:val="00BC2408"/>
    <w:rsid w:val="00BC29EE"/>
    <w:rsid w:val="00BC2ACB"/>
    <w:rsid w:val="00BC2F39"/>
    <w:rsid w:val="00BC3BF6"/>
    <w:rsid w:val="00BC4715"/>
    <w:rsid w:val="00BC57B8"/>
    <w:rsid w:val="00BC5A20"/>
    <w:rsid w:val="00BC787E"/>
    <w:rsid w:val="00BC7927"/>
    <w:rsid w:val="00BD1FC2"/>
    <w:rsid w:val="00BD25C4"/>
    <w:rsid w:val="00BD2AA5"/>
    <w:rsid w:val="00BD2C62"/>
    <w:rsid w:val="00BD5B75"/>
    <w:rsid w:val="00BD5F0A"/>
    <w:rsid w:val="00BD69CE"/>
    <w:rsid w:val="00BE113B"/>
    <w:rsid w:val="00BE196D"/>
    <w:rsid w:val="00BE389A"/>
    <w:rsid w:val="00BE4395"/>
    <w:rsid w:val="00BE453F"/>
    <w:rsid w:val="00BE5599"/>
    <w:rsid w:val="00BE5837"/>
    <w:rsid w:val="00BE6104"/>
    <w:rsid w:val="00BE68B2"/>
    <w:rsid w:val="00BE69F6"/>
    <w:rsid w:val="00BE6E44"/>
    <w:rsid w:val="00BE78BE"/>
    <w:rsid w:val="00BF099D"/>
    <w:rsid w:val="00BF1663"/>
    <w:rsid w:val="00BF1F19"/>
    <w:rsid w:val="00BF22FD"/>
    <w:rsid w:val="00BF3FA0"/>
    <w:rsid w:val="00BF4290"/>
    <w:rsid w:val="00BF510D"/>
    <w:rsid w:val="00BF513B"/>
    <w:rsid w:val="00BF5F73"/>
    <w:rsid w:val="00BF63A9"/>
    <w:rsid w:val="00BF68C4"/>
    <w:rsid w:val="00BF742E"/>
    <w:rsid w:val="00BF760E"/>
    <w:rsid w:val="00C007F6"/>
    <w:rsid w:val="00C00A6B"/>
    <w:rsid w:val="00C01625"/>
    <w:rsid w:val="00C037B4"/>
    <w:rsid w:val="00C03AB2"/>
    <w:rsid w:val="00C0507D"/>
    <w:rsid w:val="00C05D6A"/>
    <w:rsid w:val="00C05EE9"/>
    <w:rsid w:val="00C066E5"/>
    <w:rsid w:val="00C071CD"/>
    <w:rsid w:val="00C07319"/>
    <w:rsid w:val="00C10379"/>
    <w:rsid w:val="00C10AE2"/>
    <w:rsid w:val="00C10EBF"/>
    <w:rsid w:val="00C11808"/>
    <w:rsid w:val="00C122DE"/>
    <w:rsid w:val="00C12BF1"/>
    <w:rsid w:val="00C1307E"/>
    <w:rsid w:val="00C133EC"/>
    <w:rsid w:val="00C134A6"/>
    <w:rsid w:val="00C1392E"/>
    <w:rsid w:val="00C1420B"/>
    <w:rsid w:val="00C156AD"/>
    <w:rsid w:val="00C16905"/>
    <w:rsid w:val="00C171CD"/>
    <w:rsid w:val="00C17335"/>
    <w:rsid w:val="00C17783"/>
    <w:rsid w:val="00C20298"/>
    <w:rsid w:val="00C208AF"/>
    <w:rsid w:val="00C213F1"/>
    <w:rsid w:val="00C21CCF"/>
    <w:rsid w:val="00C23E78"/>
    <w:rsid w:val="00C24007"/>
    <w:rsid w:val="00C261D9"/>
    <w:rsid w:val="00C266B6"/>
    <w:rsid w:val="00C267E4"/>
    <w:rsid w:val="00C27575"/>
    <w:rsid w:val="00C30454"/>
    <w:rsid w:val="00C32071"/>
    <w:rsid w:val="00C32E47"/>
    <w:rsid w:val="00C32F79"/>
    <w:rsid w:val="00C364F6"/>
    <w:rsid w:val="00C366C6"/>
    <w:rsid w:val="00C37474"/>
    <w:rsid w:val="00C37BFC"/>
    <w:rsid w:val="00C40623"/>
    <w:rsid w:val="00C4062C"/>
    <w:rsid w:val="00C419D8"/>
    <w:rsid w:val="00C42BEA"/>
    <w:rsid w:val="00C4457C"/>
    <w:rsid w:val="00C446A3"/>
    <w:rsid w:val="00C4514D"/>
    <w:rsid w:val="00C451BB"/>
    <w:rsid w:val="00C45A34"/>
    <w:rsid w:val="00C45BBD"/>
    <w:rsid w:val="00C476ED"/>
    <w:rsid w:val="00C47793"/>
    <w:rsid w:val="00C50FCD"/>
    <w:rsid w:val="00C51B1D"/>
    <w:rsid w:val="00C51B52"/>
    <w:rsid w:val="00C528C4"/>
    <w:rsid w:val="00C529D9"/>
    <w:rsid w:val="00C534A8"/>
    <w:rsid w:val="00C53D2C"/>
    <w:rsid w:val="00C56A3E"/>
    <w:rsid w:val="00C56B05"/>
    <w:rsid w:val="00C57AAE"/>
    <w:rsid w:val="00C57E80"/>
    <w:rsid w:val="00C6039D"/>
    <w:rsid w:val="00C61196"/>
    <w:rsid w:val="00C6159D"/>
    <w:rsid w:val="00C618B6"/>
    <w:rsid w:val="00C6262A"/>
    <w:rsid w:val="00C63EB6"/>
    <w:rsid w:val="00C6453A"/>
    <w:rsid w:val="00C64CE2"/>
    <w:rsid w:val="00C650F0"/>
    <w:rsid w:val="00C65BAE"/>
    <w:rsid w:val="00C6611B"/>
    <w:rsid w:val="00C71315"/>
    <w:rsid w:val="00C71702"/>
    <w:rsid w:val="00C7189B"/>
    <w:rsid w:val="00C7233C"/>
    <w:rsid w:val="00C72FB0"/>
    <w:rsid w:val="00C73353"/>
    <w:rsid w:val="00C73480"/>
    <w:rsid w:val="00C738FC"/>
    <w:rsid w:val="00C73A59"/>
    <w:rsid w:val="00C73B77"/>
    <w:rsid w:val="00C74669"/>
    <w:rsid w:val="00C761A2"/>
    <w:rsid w:val="00C76EA8"/>
    <w:rsid w:val="00C77F73"/>
    <w:rsid w:val="00C77F8E"/>
    <w:rsid w:val="00C82641"/>
    <w:rsid w:val="00C82CF7"/>
    <w:rsid w:val="00C840D2"/>
    <w:rsid w:val="00C84F73"/>
    <w:rsid w:val="00C8523B"/>
    <w:rsid w:val="00C86C10"/>
    <w:rsid w:val="00C87B50"/>
    <w:rsid w:val="00C90525"/>
    <w:rsid w:val="00C90A2A"/>
    <w:rsid w:val="00C90AB6"/>
    <w:rsid w:val="00C92543"/>
    <w:rsid w:val="00C92F4A"/>
    <w:rsid w:val="00C93A7B"/>
    <w:rsid w:val="00C93E62"/>
    <w:rsid w:val="00C94519"/>
    <w:rsid w:val="00C95567"/>
    <w:rsid w:val="00C96727"/>
    <w:rsid w:val="00C96DCF"/>
    <w:rsid w:val="00C96F13"/>
    <w:rsid w:val="00C97A48"/>
    <w:rsid w:val="00CA3921"/>
    <w:rsid w:val="00CA465D"/>
    <w:rsid w:val="00CA5176"/>
    <w:rsid w:val="00CA53B2"/>
    <w:rsid w:val="00CA5C24"/>
    <w:rsid w:val="00CA635F"/>
    <w:rsid w:val="00CA73E4"/>
    <w:rsid w:val="00CA77EA"/>
    <w:rsid w:val="00CB0432"/>
    <w:rsid w:val="00CB09F2"/>
    <w:rsid w:val="00CB1D21"/>
    <w:rsid w:val="00CB29B5"/>
    <w:rsid w:val="00CB3288"/>
    <w:rsid w:val="00CB342D"/>
    <w:rsid w:val="00CB352D"/>
    <w:rsid w:val="00CB37FA"/>
    <w:rsid w:val="00CB382C"/>
    <w:rsid w:val="00CB485B"/>
    <w:rsid w:val="00CB5F29"/>
    <w:rsid w:val="00CB63CA"/>
    <w:rsid w:val="00CB6B1B"/>
    <w:rsid w:val="00CB7206"/>
    <w:rsid w:val="00CC00E3"/>
    <w:rsid w:val="00CC04B1"/>
    <w:rsid w:val="00CC1297"/>
    <w:rsid w:val="00CC18DB"/>
    <w:rsid w:val="00CC1F7F"/>
    <w:rsid w:val="00CC2C02"/>
    <w:rsid w:val="00CC37AF"/>
    <w:rsid w:val="00CC3C9C"/>
    <w:rsid w:val="00CC3F78"/>
    <w:rsid w:val="00CC4D05"/>
    <w:rsid w:val="00CC5BD5"/>
    <w:rsid w:val="00CC5E37"/>
    <w:rsid w:val="00CC5FEE"/>
    <w:rsid w:val="00CC6CDB"/>
    <w:rsid w:val="00CC6F3F"/>
    <w:rsid w:val="00CD0131"/>
    <w:rsid w:val="00CD1793"/>
    <w:rsid w:val="00CD275E"/>
    <w:rsid w:val="00CD28B9"/>
    <w:rsid w:val="00CD2EAE"/>
    <w:rsid w:val="00CD4D60"/>
    <w:rsid w:val="00CD6D4F"/>
    <w:rsid w:val="00CD7DE7"/>
    <w:rsid w:val="00CE044E"/>
    <w:rsid w:val="00CE093B"/>
    <w:rsid w:val="00CE0C10"/>
    <w:rsid w:val="00CE1D70"/>
    <w:rsid w:val="00CE3880"/>
    <w:rsid w:val="00CE4944"/>
    <w:rsid w:val="00CE5665"/>
    <w:rsid w:val="00CE79DF"/>
    <w:rsid w:val="00CF05D5"/>
    <w:rsid w:val="00CF072B"/>
    <w:rsid w:val="00CF1771"/>
    <w:rsid w:val="00CF1777"/>
    <w:rsid w:val="00CF1FA4"/>
    <w:rsid w:val="00CF3B1B"/>
    <w:rsid w:val="00CF3D57"/>
    <w:rsid w:val="00CF484F"/>
    <w:rsid w:val="00CF5472"/>
    <w:rsid w:val="00CF58F1"/>
    <w:rsid w:val="00CF593F"/>
    <w:rsid w:val="00CF5F2C"/>
    <w:rsid w:val="00CF62A2"/>
    <w:rsid w:val="00CF7D7C"/>
    <w:rsid w:val="00D00096"/>
    <w:rsid w:val="00D00887"/>
    <w:rsid w:val="00D00897"/>
    <w:rsid w:val="00D021A7"/>
    <w:rsid w:val="00D03F4B"/>
    <w:rsid w:val="00D059B8"/>
    <w:rsid w:val="00D0727A"/>
    <w:rsid w:val="00D118A6"/>
    <w:rsid w:val="00D118BB"/>
    <w:rsid w:val="00D12C1C"/>
    <w:rsid w:val="00D13CFE"/>
    <w:rsid w:val="00D13E05"/>
    <w:rsid w:val="00D145C1"/>
    <w:rsid w:val="00D14FFC"/>
    <w:rsid w:val="00D161EE"/>
    <w:rsid w:val="00D169A8"/>
    <w:rsid w:val="00D17407"/>
    <w:rsid w:val="00D20C66"/>
    <w:rsid w:val="00D217EE"/>
    <w:rsid w:val="00D25320"/>
    <w:rsid w:val="00D25C7F"/>
    <w:rsid w:val="00D2720C"/>
    <w:rsid w:val="00D305DD"/>
    <w:rsid w:val="00D31214"/>
    <w:rsid w:val="00D31F5E"/>
    <w:rsid w:val="00D32AAC"/>
    <w:rsid w:val="00D33CD7"/>
    <w:rsid w:val="00D34159"/>
    <w:rsid w:val="00D343B7"/>
    <w:rsid w:val="00D34B9B"/>
    <w:rsid w:val="00D356B0"/>
    <w:rsid w:val="00D369AE"/>
    <w:rsid w:val="00D36F13"/>
    <w:rsid w:val="00D3762D"/>
    <w:rsid w:val="00D37C5D"/>
    <w:rsid w:val="00D40820"/>
    <w:rsid w:val="00D41970"/>
    <w:rsid w:val="00D41C75"/>
    <w:rsid w:val="00D420E1"/>
    <w:rsid w:val="00D4288C"/>
    <w:rsid w:val="00D42975"/>
    <w:rsid w:val="00D43072"/>
    <w:rsid w:val="00D4452F"/>
    <w:rsid w:val="00D44C57"/>
    <w:rsid w:val="00D45FEA"/>
    <w:rsid w:val="00D4610C"/>
    <w:rsid w:val="00D46EAA"/>
    <w:rsid w:val="00D475C2"/>
    <w:rsid w:val="00D476C1"/>
    <w:rsid w:val="00D5185B"/>
    <w:rsid w:val="00D51A9E"/>
    <w:rsid w:val="00D51F64"/>
    <w:rsid w:val="00D521BB"/>
    <w:rsid w:val="00D52DB9"/>
    <w:rsid w:val="00D53232"/>
    <w:rsid w:val="00D534B4"/>
    <w:rsid w:val="00D53C16"/>
    <w:rsid w:val="00D540D1"/>
    <w:rsid w:val="00D543E0"/>
    <w:rsid w:val="00D55481"/>
    <w:rsid w:val="00D5569C"/>
    <w:rsid w:val="00D56F50"/>
    <w:rsid w:val="00D60FBC"/>
    <w:rsid w:val="00D616BE"/>
    <w:rsid w:val="00D617B2"/>
    <w:rsid w:val="00D62A2E"/>
    <w:rsid w:val="00D650AC"/>
    <w:rsid w:val="00D709DD"/>
    <w:rsid w:val="00D71496"/>
    <w:rsid w:val="00D71FD9"/>
    <w:rsid w:val="00D73888"/>
    <w:rsid w:val="00D749EF"/>
    <w:rsid w:val="00D75561"/>
    <w:rsid w:val="00D76952"/>
    <w:rsid w:val="00D7762F"/>
    <w:rsid w:val="00D8242A"/>
    <w:rsid w:val="00D82B2F"/>
    <w:rsid w:val="00D82DAE"/>
    <w:rsid w:val="00D83BCB"/>
    <w:rsid w:val="00D8470C"/>
    <w:rsid w:val="00D85497"/>
    <w:rsid w:val="00D85AF6"/>
    <w:rsid w:val="00D872DD"/>
    <w:rsid w:val="00D87B00"/>
    <w:rsid w:val="00D87DB0"/>
    <w:rsid w:val="00D93F92"/>
    <w:rsid w:val="00D943C3"/>
    <w:rsid w:val="00D94E5B"/>
    <w:rsid w:val="00D96D02"/>
    <w:rsid w:val="00D97062"/>
    <w:rsid w:val="00D9787C"/>
    <w:rsid w:val="00D97D6A"/>
    <w:rsid w:val="00DA11AA"/>
    <w:rsid w:val="00DA2CE2"/>
    <w:rsid w:val="00DA4E73"/>
    <w:rsid w:val="00DA5065"/>
    <w:rsid w:val="00DA5578"/>
    <w:rsid w:val="00DA5C23"/>
    <w:rsid w:val="00DA613A"/>
    <w:rsid w:val="00DA7974"/>
    <w:rsid w:val="00DB1473"/>
    <w:rsid w:val="00DB1A41"/>
    <w:rsid w:val="00DB1C24"/>
    <w:rsid w:val="00DB2348"/>
    <w:rsid w:val="00DB2B6B"/>
    <w:rsid w:val="00DB2CC1"/>
    <w:rsid w:val="00DB4607"/>
    <w:rsid w:val="00DB5F4C"/>
    <w:rsid w:val="00DB60E8"/>
    <w:rsid w:val="00DB729C"/>
    <w:rsid w:val="00DB7D93"/>
    <w:rsid w:val="00DB7F34"/>
    <w:rsid w:val="00DC0008"/>
    <w:rsid w:val="00DC04F0"/>
    <w:rsid w:val="00DC2E31"/>
    <w:rsid w:val="00DC4352"/>
    <w:rsid w:val="00DC4A89"/>
    <w:rsid w:val="00DC4AC9"/>
    <w:rsid w:val="00DC4C66"/>
    <w:rsid w:val="00DC52E8"/>
    <w:rsid w:val="00DC6AD4"/>
    <w:rsid w:val="00DC7075"/>
    <w:rsid w:val="00DC78CF"/>
    <w:rsid w:val="00DC7EF8"/>
    <w:rsid w:val="00DD01BA"/>
    <w:rsid w:val="00DD0615"/>
    <w:rsid w:val="00DD0E9F"/>
    <w:rsid w:val="00DD12D7"/>
    <w:rsid w:val="00DD18A0"/>
    <w:rsid w:val="00DD235C"/>
    <w:rsid w:val="00DD2C0D"/>
    <w:rsid w:val="00DD4848"/>
    <w:rsid w:val="00DD496E"/>
    <w:rsid w:val="00DD49BC"/>
    <w:rsid w:val="00DD4A29"/>
    <w:rsid w:val="00DD5088"/>
    <w:rsid w:val="00DD637B"/>
    <w:rsid w:val="00DD72E6"/>
    <w:rsid w:val="00DD7834"/>
    <w:rsid w:val="00DE007E"/>
    <w:rsid w:val="00DE2AA5"/>
    <w:rsid w:val="00DE2C95"/>
    <w:rsid w:val="00DE385C"/>
    <w:rsid w:val="00DE4388"/>
    <w:rsid w:val="00DE44A2"/>
    <w:rsid w:val="00DE472B"/>
    <w:rsid w:val="00DE5912"/>
    <w:rsid w:val="00DE6963"/>
    <w:rsid w:val="00DE6C56"/>
    <w:rsid w:val="00DE7801"/>
    <w:rsid w:val="00DE7D87"/>
    <w:rsid w:val="00DF0E6B"/>
    <w:rsid w:val="00DF14E5"/>
    <w:rsid w:val="00DF1FCB"/>
    <w:rsid w:val="00DF3BAE"/>
    <w:rsid w:val="00DF3DE1"/>
    <w:rsid w:val="00DF3DF5"/>
    <w:rsid w:val="00DF4A31"/>
    <w:rsid w:val="00DF4F0C"/>
    <w:rsid w:val="00DF6741"/>
    <w:rsid w:val="00DF6D08"/>
    <w:rsid w:val="00DF7A0F"/>
    <w:rsid w:val="00DF7CDA"/>
    <w:rsid w:val="00E02209"/>
    <w:rsid w:val="00E02D5A"/>
    <w:rsid w:val="00E03039"/>
    <w:rsid w:val="00E03215"/>
    <w:rsid w:val="00E04288"/>
    <w:rsid w:val="00E0469E"/>
    <w:rsid w:val="00E04EF2"/>
    <w:rsid w:val="00E057E6"/>
    <w:rsid w:val="00E07865"/>
    <w:rsid w:val="00E07E23"/>
    <w:rsid w:val="00E10377"/>
    <w:rsid w:val="00E10764"/>
    <w:rsid w:val="00E10776"/>
    <w:rsid w:val="00E1082F"/>
    <w:rsid w:val="00E10C32"/>
    <w:rsid w:val="00E10D1B"/>
    <w:rsid w:val="00E1163F"/>
    <w:rsid w:val="00E122FC"/>
    <w:rsid w:val="00E13283"/>
    <w:rsid w:val="00E1505B"/>
    <w:rsid w:val="00E15E54"/>
    <w:rsid w:val="00E162B8"/>
    <w:rsid w:val="00E1631C"/>
    <w:rsid w:val="00E16D77"/>
    <w:rsid w:val="00E17AA4"/>
    <w:rsid w:val="00E20DAF"/>
    <w:rsid w:val="00E20E4F"/>
    <w:rsid w:val="00E2163C"/>
    <w:rsid w:val="00E21E18"/>
    <w:rsid w:val="00E22973"/>
    <w:rsid w:val="00E22B92"/>
    <w:rsid w:val="00E23FE5"/>
    <w:rsid w:val="00E24044"/>
    <w:rsid w:val="00E242E8"/>
    <w:rsid w:val="00E25969"/>
    <w:rsid w:val="00E25AB9"/>
    <w:rsid w:val="00E26EE7"/>
    <w:rsid w:val="00E2702D"/>
    <w:rsid w:val="00E2769D"/>
    <w:rsid w:val="00E30171"/>
    <w:rsid w:val="00E30A0B"/>
    <w:rsid w:val="00E30D13"/>
    <w:rsid w:val="00E30EBC"/>
    <w:rsid w:val="00E310A7"/>
    <w:rsid w:val="00E31A1A"/>
    <w:rsid w:val="00E34CB8"/>
    <w:rsid w:val="00E35C1E"/>
    <w:rsid w:val="00E35E1D"/>
    <w:rsid w:val="00E361AE"/>
    <w:rsid w:val="00E36236"/>
    <w:rsid w:val="00E36F05"/>
    <w:rsid w:val="00E375BD"/>
    <w:rsid w:val="00E4142E"/>
    <w:rsid w:val="00E41980"/>
    <w:rsid w:val="00E425FA"/>
    <w:rsid w:val="00E43921"/>
    <w:rsid w:val="00E43938"/>
    <w:rsid w:val="00E43EB6"/>
    <w:rsid w:val="00E43FC0"/>
    <w:rsid w:val="00E458B8"/>
    <w:rsid w:val="00E4655D"/>
    <w:rsid w:val="00E46A09"/>
    <w:rsid w:val="00E46D4F"/>
    <w:rsid w:val="00E50240"/>
    <w:rsid w:val="00E50E6B"/>
    <w:rsid w:val="00E51696"/>
    <w:rsid w:val="00E528CB"/>
    <w:rsid w:val="00E539E3"/>
    <w:rsid w:val="00E54026"/>
    <w:rsid w:val="00E557E0"/>
    <w:rsid w:val="00E561A5"/>
    <w:rsid w:val="00E57C21"/>
    <w:rsid w:val="00E57E07"/>
    <w:rsid w:val="00E60725"/>
    <w:rsid w:val="00E60F52"/>
    <w:rsid w:val="00E61B24"/>
    <w:rsid w:val="00E61DBF"/>
    <w:rsid w:val="00E61FC1"/>
    <w:rsid w:val="00E633BB"/>
    <w:rsid w:val="00E645D7"/>
    <w:rsid w:val="00E64A3E"/>
    <w:rsid w:val="00E65302"/>
    <w:rsid w:val="00E653BA"/>
    <w:rsid w:val="00E6556F"/>
    <w:rsid w:val="00E65784"/>
    <w:rsid w:val="00E665A0"/>
    <w:rsid w:val="00E673EA"/>
    <w:rsid w:val="00E67F5D"/>
    <w:rsid w:val="00E706DF"/>
    <w:rsid w:val="00E70772"/>
    <w:rsid w:val="00E70DF9"/>
    <w:rsid w:val="00E7100E"/>
    <w:rsid w:val="00E7169F"/>
    <w:rsid w:val="00E718E0"/>
    <w:rsid w:val="00E71BC0"/>
    <w:rsid w:val="00E71D66"/>
    <w:rsid w:val="00E7201F"/>
    <w:rsid w:val="00E730EF"/>
    <w:rsid w:val="00E742EF"/>
    <w:rsid w:val="00E7462A"/>
    <w:rsid w:val="00E755D9"/>
    <w:rsid w:val="00E7598D"/>
    <w:rsid w:val="00E762CC"/>
    <w:rsid w:val="00E76A35"/>
    <w:rsid w:val="00E77F92"/>
    <w:rsid w:val="00E807F9"/>
    <w:rsid w:val="00E81126"/>
    <w:rsid w:val="00E8139E"/>
    <w:rsid w:val="00E823EC"/>
    <w:rsid w:val="00E82AA0"/>
    <w:rsid w:val="00E83257"/>
    <w:rsid w:val="00E838B5"/>
    <w:rsid w:val="00E83B19"/>
    <w:rsid w:val="00E8433C"/>
    <w:rsid w:val="00E843DB"/>
    <w:rsid w:val="00E84627"/>
    <w:rsid w:val="00E85F0C"/>
    <w:rsid w:val="00E8770E"/>
    <w:rsid w:val="00E90E6A"/>
    <w:rsid w:val="00E92DAF"/>
    <w:rsid w:val="00E93036"/>
    <w:rsid w:val="00E935B9"/>
    <w:rsid w:val="00E93696"/>
    <w:rsid w:val="00E95187"/>
    <w:rsid w:val="00E95C60"/>
    <w:rsid w:val="00E964CC"/>
    <w:rsid w:val="00E97864"/>
    <w:rsid w:val="00EA029D"/>
    <w:rsid w:val="00EA0479"/>
    <w:rsid w:val="00EA114E"/>
    <w:rsid w:val="00EA271C"/>
    <w:rsid w:val="00EA2C9B"/>
    <w:rsid w:val="00EA4A4B"/>
    <w:rsid w:val="00EA576F"/>
    <w:rsid w:val="00EA6478"/>
    <w:rsid w:val="00EB0A58"/>
    <w:rsid w:val="00EB1362"/>
    <w:rsid w:val="00EB2839"/>
    <w:rsid w:val="00EB35D2"/>
    <w:rsid w:val="00EB3B0B"/>
    <w:rsid w:val="00EB4910"/>
    <w:rsid w:val="00EB5FF4"/>
    <w:rsid w:val="00EB68F7"/>
    <w:rsid w:val="00EB6BBD"/>
    <w:rsid w:val="00EB6EBB"/>
    <w:rsid w:val="00EB7D94"/>
    <w:rsid w:val="00EC2A74"/>
    <w:rsid w:val="00EC3F01"/>
    <w:rsid w:val="00EC472F"/>
    <w:rsid w:val="00EC5F5D"/>
    <w:rsid w:val="00EC6019"/>
    <w:rsid w:val="00EC60BD"/>
    <w:rsid w:val="00EC6390"/>
    <w:rsid w:val="00EC686C"/>
    <w:rsid w:val="00EC7757"/>
    <w:rsid w:val="00EC782C"/>
    <w:rsid w:val="00EC7C43"/>
    <w:rsid w:val="00ED076B"/>
    <w:rsid w:val="00ED0EE8"/>
    <w:rsid w:val="00ED34E6"/>
    <w:rsid w:val="00ED3779"/>
    <w:rsid w:val="00ED4B60"/>
    <w:rsid w:val="00ED56FD"/>
    <w:rsid w:val="00ED71E2"/>
    <w:rsid w:val="00ED7790"/>
    <w:rsid w:val="00ED7C69"/>
    <w:rsid w:val="00EE0F81"/>
    <w:rsid w:val="00EE1AD9"/>
    <w:rsid w:val="00EE24A0"/>
    <w:rsid w:val="00EE29A0"/>
    <w:rsid w:val="00EE2C1D"/>
    <w:rsid w:val="00EE320A"/>
    <w:rsid w:val="00EE3812"/>
    <w:rsid w:val="00EE41A0"/>
    <w:rsid w:val="00EE6D40"/>
    <w:rsid w:val="00EE6DD1"/>
    <w:rsid w:val="00EE70E4"/>
    <w:rsid w:val="00EF1075"/>
    <w:rsid w:val="00EF1A1A"/>
    <w:rsid w:val="00EF2E8E"/>
    <w:rsid w:val="00EF3A6A"/>
    <w:rsid w:val="00EF4B55"/>
    <w:rsid w:val="00EF4C10"/>
    <w:rsid w:val="00EF5033"/>
    <w:rsid w:val="00EF5045"/>
    <w:rsid w:val="00EF54D1"/>
    <w:rsid w:val="00EF5F0F"/>
    <w:rsid w:val="00F01E5E"/>
    <w:rsid w:val="00F0420E"/>
    <w:rsid w:val="00F04617"/>
    <w:rsid w:val="00F0534F"/>
    <w:rsid w:val="00F05DFB"/>
    <w:rsid w:val="00F05FA3"/>
    <w:rsid w:val="00F0632A"/>
    <w:rsid w:val="00F06ED4"/>
    <w:rsid w:val="00F07373"/>
    <w:rsid w:val="00F10B7A"/>
    <w:rsid w:val="00F10E47"/>
    <w:rsid w:val="00F10F1F"/>
    <w:rsid w:val="00F1172C"/>
    <w:rsid w:val="00F11B07"/>
    <w:rsid w:val="00F11D1D"/>
    <w:rsid w:val="00F12B33"/>
    <w:rsid w:val="00F12C35"/>
    <w:rsid w:val="00F12F7D"/>
    <w:rsid w:val="00F13E7A"/>
    <w:rsid w:val="00F14305"/>
    <w:rsid w:val="00F148F5"/>
    <w:rsid w:val="00F1490C"/>
    <w:rsid w:val="00F149EA"/>
    <w:rsid w:val="00F15A29"/>
    <w:rsid w:val="00F16100"/>
    <w:rsid w:val="00F17281"/>
    <w:rsid w:val="00F2052D"/>
    <w:rsid w:val="00F20A77"/>
    <w:rsid w:val="00F21082"/>
    <w:rsid w:val="00F21BC8"/>
    <w:rsid w:val="00F22083"/>
    <w:rsid w:val="00F22813"/>
    <w:rsid w:val="00F23518"/>
    <w:rsid w:val="00F2386A"/>
    <w:rsid w:val="00F2476C"/>
    <w:rsid w:val="00F24D60"/>
    <w:rsid w:val="00F27039"/>
    <w:rsid w:val="00F271F3"/>
    <w:rsid w:val="00F273FC"/>
    <w:rsid w:val="00F27B3F"/>
    <w:rsid w:val="00F306AB"/>
    <w:rsid w:val="00F3081A"/>
    <w:rsid w:val="00F31CBE"/>
    <w:rsid w:val="00F324CF"/>
    <w:rsid w:val="00F336F8"/>
    <w:rsid w:val="00F35008"/>
    <w:rsid w:val="00F350EB"/>
    <w:rsid w:val="00F35C89"/>
    <w:rsid w:val="00F35E7F"/>
    <w:rsid w:val="00F3656F"/>
    <w:rsid w:val="00F37C28"/>
    <w:rsid w:val="00F40330"/>
    <w:rsid w:val="00F40C2B"/>
    <w:rsid w:val="00F40E7C"/>
    <w:rsid w:val="00F420C9"/>
    <w:rsid w:val="00F427B0"/>
    <w:rsid w:val="00F42899"/>
    <w:rsid w:val="00F42C5E"/>
    <w:rsid w:val="00F42C61"/>
    <w:rsid w:val="00F42CC4"/>
    <w:rsid w:val="00F43B16"/>
    <w:rsid w:val="00F43FB5"/>
    <w:rsid w:val="00F446DF"/>
    <w:rsid w:val="00F448BE"/>
    <w:rsid w:val="00F458DA"/>
    <w:rsid w:val="00F45A49"/>
    <w:rsid w:val="00F45B6E"/>
    <w:rsid w:val="00F475B9"/>
    <w:rsid w:val="00F502A0"/>
    <w:rsid w:val="00F50B65"/>
    <w:rsid w:val="00F51C4D"/>
    <w:rsid w:val="00F524ED"/>
    <w:rsid w:val="00F53787"/>
    <w:rsid w:val="00F53AAE"/>
    <w:rsid w:val="00F54073"/>
    <w:rsid w:val="00F544F6"/>
    <w:rsid w:val="00F56077"/>
    <w:rsid w:val="00F5693D"/>
    <w:rsid w:val="00F56AAC"/>
    <w:rsid w:val="00F56BD0"/>
    <w:rsid w:val="00F60707"/>
    <w:rsid w:val="00F60FF3"/>
    <w:rsid w:val="00F610BF"/>
    <w:rsid w:val="00F61D7A"/>
    <w:rsid w:val="00F6426E"/>
    <w:rsid w:val="00F64309"/>
    <w:rsid w:val="00F64FCF"/>
    <w:rsid w:val="00F6531B"/>
    <w:rsid w:val="00F665C9"/>
    <w:rsid w:val="00F66916"/>
    <w:rsid w:val="00F6768B"/>
    <w:rsid w:val="00F7063E"/>
    <w:rsid w:val="00F7141A"/>
    <w:rsid w:val="00F7152D"/>
    <w:rsid w:val="00F738AB"/>
    <w:rsid w:val="00F74449"/>
    <w:rsid w:val="00F758FA"/>
    <w:rsid w:val="00F760A7"/>
    <w:rsid w:val="00F76F16"/>
    <w:rsid w:val="00F80D7B"/>
    <w:rsid w:val="00F81E25"/>
    <w:rsid w:val="00F82002"/>
    <w:rsid w:val="00F8240C"/>
    <w:rsid w:val="00F833D9"/>
    <w:rsid w:val="00F835F8"/>
    <w:rsid w:val="00F8364A"/>
    <w:rsid w:val="00F85186"/>
    <w:rsid w:val="00F856CE"/>
    <w:rsid w:val="00F8655A"/>
    <w:rsid w:val="00F86DDF"/>
    <w:rsid w:val="00F87AE5"/>
    <w:rsid w:val="00F910A0"/>
    <w:rsid w:val="00F910D6"/>
    <w:rsid w:val="00F91EFC"/>
    <w:rsid w:val="00F9252E"/>
    <w:rsid w:val="00F93854"/>
    <w:rsid w:val="00F94F75"/>
    <w:rsid w:val="00F957A9"/>
    <w:rsid w:val="00F96050"/>
    <w:rsid w:val="00F9700A"/>
    <w:rsid w:val="00F97431"/>
    <w:rsid w:val="00F97C26"/>
    <w:rsid w:val="00F97EDA"/>
    <w:rsid w:val="00FA02C2"/>
    <w:rsid w:val="00FA1503"/>
    <w:rsid w:val="00FA1D94"/>
    <w:rsid w:val="00FA1FC7"/>
    <w:rsid w:val="00FA271D"/>
    <w:rsid w:val="00FA2897"/>
    <w:rsid w:val="00FA306B"/>
    <w:rsid w:val="00FA4940"/>
    <w:rsid w:val="00FA6090"/>
    <w:rsid w:val="00FA60C0"/>
    <w:rsid w:val="00FA643A"/>
    <w:rsid w:val="00FA655A"/>
    <w:rsid w:val="00FA7281"/>
    <w:rsid w:val="00FB1307"/>
    <w:rsid w:val="00FB1E8A"/>
    <w:rsid w:val="00FB2036"/>
    <w:rsid w:val="00FB29E6"/>
    <w:rsid w:val="00FB2B3C"/>
    <w:rsid w:val="00FB3625"/>
    <w:rsid w:val="00FB381D"/>
    <w:rsid w:val="00FB387A"/>
    <w:rsid w:val="00FB3E14"/>
    <w:rsid w:val="00FB5502"/>
    <w:rsid w:val="00FB66D7"/>
    <w:rsid w:val="00FC2021"/>
    <w:rsid w:val="00FC22A3"/>
    <w:rsid w:val="00FC26CC"/>
    <w:rsid w:val="00FC3819"/>
    <w:rsid w:val="00FC61B1"/>
    <w:rsid w:val="00FC61F6"/>
    <w:rsid w:val="00FC7A6F"/>
    <w:rsid w:val="00FD1258"/>
    <w:rsid w:val="00FD216F"/>
    <w:rsid w:val="00FD2432"/>
    <w:rsid w:val="00FD31A4"/>
    <w:rsid w:val="00FD3F54"/>
    <w:rsid w:val="00FD5095"/>
    <w:rsid w:val="00FD54FB"/>
    <w:rsid w:val="00FD5D02"/>
    <w:rsid w:val="00FD74B4"/>
    <w:rsid w:val="00FE043F"/>
    <w:rsid w:val="00FE096A"/>
    <w:rsid w:val="00FE1A43"/>
    <w:rsid w:val="00FE1FEA"/>
    <w:rsid w:val="00FE22C7"/>
    <w:rsid w:val="00FE2859"/>
    <w:rsid w:val="00FE31CE"/>
    <w:rsid w:val="00FE446E"/>
    <w:rsid w:val="00FE7702"/>
    <w:rsid w:val="00FE788D"/>
    <w:rsid w:val="00FF0A29"/>
    <w:rsid w:val="00FF0F32"/>
    <w:rsid w:val="00FF147F"/>
    <w:rsid w:val="00FF1725"/>
    <w:rsid w:val="00FF1F04"/>
    <w:rsid w:val="00FF241C"/>
    <w:rsid w:val="00FF25ED"/>
    <w:rsid w:val="00FF2C26"/>
    <w:rsid w:val="00FF2DEC"/>
    <w:rsid w:val="00FF3221"/>
    <w:rsid w:val="00FF375A"/>
    <w:rsid w:val="00FF381B"/>
    <w:rsid w:val="00FF391F"/>
    <w:rsid w:val="00FF3E9C"/>
    <w:rsid w:val="00FF4774"/>
    <w:rsid w:val="00FF4B97"/>
    <w:rsid w:val="00FF4FA7"/>
    <w:rsid w:val="00FF640C"/>
    <w:rsid w:val="00FF65C5"/>
    <w:rsid w:val="00FF6A51"/>
    <w:rsid w:val="00FF7726"/>
    <w:rsid w:val="00FF7B7E"/>
    <w:rsid w:val="00FF7EF5"/>
    <w:rsid w:val="00FF7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EA2FCEC"/>
  <w15:chartTrackingRefBased/>
  <w15:docId w15:val="{D93A0930-EFA4-49D4-A6DB-F7CE9738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E"/>
    <w:pPr>
      <w:spacing w:line="256" w:lineRule="auto"/>
    </w:pPr>
  </w:style>
  <w:style w:type="paragraph" w:styleId="Ttulo1">
    <w:name w:val="heading 1"/>
    <w:basedOn w:val="Normal"/>
    <w:next w:val="Normal"/>
    <w:link w:val="Ttulo1Car"/>
    <w:qFormat/>
    <w:rsid w:val="004B113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3">
    <w:name w:val="heading 3"/>
    <w:basedOn w:val="Normal"/>
    <w:next w:val="Normal"/>
    <w:link w:val="Ttulo3Car"/>
    <w:uiPriority w:val="9"/>
    <w:semiHidden/>
    <w:unhideWhenUsed/>
    <w:qFormat/>
    <w:rsid w:val="00824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170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69CE"/>
    <w:rPr>
      <w:color w:val="0000FF"/>
      <w:u w:val="single"/>
    </w:rPr>
  </w:style>
  <w:style w:type="paragraph" w:styleId="Sinespaciado">
    <w:name w:val="No Spacing"/>
    <w:uiPriority w:val="1"/>
    <w:qFormat/>
    <w:rsid w:val="00BD69CE"/>
    <w:pPr>
      <w:spacing w:after="0" w:line="240" w:lineRule="auto"/>
    </w:pPr>
  </w:style>
  <w:style w:type="paragraph" w:styleId="Prrafodelista">
    <w:name w:val="List Paragraph"/>
    <w:basedOn w:val="Normal"/>
    <w:link w:val="PrrafodelistaCar"/>
    <w:uiPriority w:val="34"/>
    <w:qFormat/>
    <w:rsid w:val="00BD69CE"/>
    <w:pPr>
      <w:ind w:left="720"/>
      <w:contextualSpacing/>
    </w:pPr>
    <w:rPr>
      <w:rFonts w:ascii="Calibri" w:eastAsia="Calibri" w:hAnsi="Calibri" w:cs="Times New Roman"/>
    </w:rPr>
  </w:style>
  <w:style w:type="paragraph" w:styleId="Textoindependiente">
    <w:name w:val="Body Text"/>
    <w:basedOn w:val="Normal"/>
    <w:link w:val="TextoindependienteCar"/>
    <w:rsid w:val="00BD69CE"/>
    <w:pPr>
      <w:widowControl w:val="0"/>
      <w:suppressAutoHyphens/>
      <w:autoSpaceDE w:val="0"/>
      <w:autoSpaceDN w:val="0"/>
      <w:spacing w:after="0" w:line="360" w:lineRule="auto"/>
      <w:jc w:val="both"/>
    </w:pPr>
    <w:rPr>
      <w:rFonts w:ascii="Courier New" w:eastAsia="Times New Roman" w:hAnsi="Courier New" w:cs="Courier New"/>
      <w:spacing w:val="-3"/>
      <w:sz w:val="24"/>
      <w:szCs w:val="24"/>
      <w:lang w:val="es-ES_tradnl" w:eastAsia="es-ES"/>
    </w:rPr>
  </w:style>
  <w:style w:type="character" w:customStyle="1" w:styleId="TextoindependienteCar">
    <w:name w:val="Texto independiente Car"/>
    <w:basedOn w:val="Fuentedeprrafopredeter"/>
    <w:link w:val="Textoindependiente"/>
    <w:rsid w:val="00BD69CE"/>
    <w:rPr>
      <w:rFonts w:ascii="Courier New" w:eastAsia="Times New Roman" w:hAnsi="Courier New" w:cs="Courier New"/>
      <w:spacing w:val="-3"/>
      <w:sz w:val="24"/>
      <w:szCs w:val="24"/>
      <w:lang w:val="es-ES_tradnl" w:eastAsia="es-ES"/>
    </w:rPr>
  </w:style>
  <w:style w:type="paragraph" w:customStyle="1" w:styleId="Textopredeterminado">
    <w:name w:val="Texto predeterminado"/>
    <w:basedOn w:val="Normal"/>
    <w:rsid w:val="00BD69CE"/>
    <w:pPr>
      <w:widowControl w:val="0"/>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Piedepgina">
    <w:name w:val="footer"/>
    <w:basedOn w:val="Normal"/>
    <w:link w:val="PiedepginaCar"/>
    <w:unhideWhenUsed/>
    <w:rsid w:val="00BD6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9CE"/>
  </w:style>
  <w:style w:type="paragraph" w:styleId="Textodeglobo">
    <w:name w:val="Balloon Text"/>
    <w:basedOn w:val="Normal"/>
    <w:link w:val="TextodegloboCar"/>
    <w:unhideWhenUsed/>
    <w:rsid w:val="00824F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24F2F"/>
    <w:rPr>
      <w:rFonts w:ascii="Segoe UI" w:hAnsi="Segoe UI" w:cs="Segoe UI"/>
      <w:sz w:val="18"/>
      <w:szCs w:val="18"/>
    </w:rPr>
  </w:style>
  <w:style w:type="paragraph" w:styleId="Textoindependiente2">
    <w:name w:val="Body Text 2"/>
    <w:basedOn w:val="Normal"/>
    <w:link w:val="Textoindependiente2Car"/>
    <w:unhideWhenUsed/>
    <w:rsid w:val="00367276"/>
    <w:pPr>
      <w:spacing w:after="120" w:line="480" w:lineRule="auto"/>
    </w:pPr>
  </w:style>
  <w:style w:type="character" w:customStyle="1" w:styleId="Textoindependiente2Car">
    <w:name w:val="Texto independiente 2 Car"/>
    <w:basedOn w:val="Fuentedeprrafopredeter"/>
    <w:link w:val="Textoindependiente2"/>
    <w:rsid w:val="00367276"/>
  </w:style>
  <w:style w:type="paragraph" w:styleId="Textonotapie">
    <w:name w:val="footnote text"/>
    <w:aliases w:val="Footnote Text Char Char Char Char Char,Footnote Text Char Char Char Char,Footnote reference,FA Fu,texto de nota al pie,Footnote Text Char Char Char,texto de nota al pie Car,Footnote Text,texto de nota al pi,ft,f,Footnote Te,Car,Car1, Car"/>
    <w:basedOn w:val="Normal"/>
    <w:link w:val="TextonotapieCar"/>
    <w:uiPriority w:val="99"/>
    <w:qFormat/>
    <w:rsid w:val="007D590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1,Footnote Text Char Char Char Car,texto de nota al pie Car Car,Footnote Text Car,ft Car,f Car"/>
    <w:basedOn w:val="Fuentedeprrafopredeter"/>
    <w:link w:val="Textonotapie"/>
    <w:uiPriority w:val="99"/>
    <w:rsid w:val="007D5908"/>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 Car Car2 Car Car Car Car Car Car Car, Car Car2 Car Car Car Car Car Car Car Car Car Car Car Car Car Car, Car Car2 Car Car Car Car Car Car Car Car,Pie de Página,4_G"/>
    <w:qFormat/>
    <w:rsid w:val="007D5908"/>
    <w:rPr>
      <w:vertAlign w:val="superscript"/>
    </w:rPr>
  </w:style>
  <w:style w:type="paragraph" w:customStyle="1" w:styleId="Default">
    <w:name w:val="Default"/>
    <w:rsid w:val="00A1753F"/>
    <w:pPr>
      <w:autoSpaceDE w:val="0"/>
      <w:autoSpaceDN w:val="0"/>
      <w:adjustRightInd w:val="0"/>
      <w:spacing w:after="0" w:line="240" w:lineRule="auto"/>
    </w:pPr>
    <w:rPr>
      <w:rFonts w:ascii="Times New Roman" w:eastAsia="Calibri" w:hAnsi="Times New Roman" w:cs="Times New Roman"/>
      <w:iCs/>
      <w:color w:val="000000"/>
      <w:sz w:val="24"/>
      <w:szCs w:val="24"/>
    </w:rPr>
  </w:style>
  <w:style w:type="paragraph" w:customStyle="1" w:styleId="Estilo">
    <w:name w:val="Estilo"/>
    <w:rsid w:val="00656556"/>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eastAsia="es-ES"/>
    </w:rPr>
  </w:style>
  <w:style w:type="paragraph" w:styleId="NormalWeb">
    <w:name w:val="Normal (Web)"/>
    <w:basedOn w:val="Normal"/>
    <w:uiPriority w:val="99"/>
    <w:unhideWhenUsed/>
    <w:rsid w:val="002A7AA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detexto">
    <w:name w:val="C. de texto"/>
    <w:basedOn w:val="Normal"/>
    <w:link w:val="CdetextoCar"/>
    <w:qFormat/>
    <w:rsid w:val="005E6583"/>
    <w:pPr>
      <w:tabs>
        <w:tab w:val="left" w:pos="2127"/>
      </w:tabs>
      <w:autoSpaceDE w:val="0"/>
      <w:autoSpaceDN w:val="0"/>
      <w:adjustRightInd w:val="0"/>
      <w:spacing w:before="120" w:after="0" w:line="312" w:lineRule="auto"/>
      <w:jc w:val="both"/>
    </w:pPr>
    <w:rPr>
      <w:rFonts w:ascii="Franklin Gothic Book" w:eastAsia="Times New Roman" w:hAnsi="Franklin Gothic Book" w:cs="Arial"/>
      <w:sz w:val="24"/>
      <w:szCs w:val="24"/>
      <w:lang w:eastAsia="es-ES"/>
    </w:rPr>
  </w:style>
  <w:style w:type="character" w:customStyle="1" w:styleId="CdetextoCar">
    <w:name w:val="C. de texto Car"/>
    <w:link w:val="Cdetexto"/>
    <w:locked/>
    <w:rsid w:val="005E6583"/>
    <w:rPr>
      <w:rFonts w:ascii="Franklin Gothic Book" w:eastAsia="Times New Roman" w:hAnsi="Franklin Gothic Book" w:cs="Arial"/>
      <w:sz w:val="24"/>
      <w:szCs w:val="24"/>
      <w:lang w:eastAsia="es-ES"/>
    </w:rPr>
  </w:style>
  <w:style w:type="paragraph" w:customStyle="1" w:styleId="Textoindependiente22">
    <w:name w:val="Texto independiente 22"/>
    <w:basedOn w:val="Normal"/>
    <w:link w:val="BodyText2Car1"/>
    <w:uiPriority w:val="99"/>
    <w:rsid w:val="008244A0"/>
    <w:pPr>
      <w:overflowPunct w:val="0"/>
      <w:autoSpaceDE w:val="0"/>
      <w:autoSpaceDN w:val="0"/>
      <w:adjustRightInd w:val="0"/>
      <w:spacing w:after="0" w:line="360" w:lineRule="auto"/>
      <w:ind w:firstLine="709"/>
      <w:jc w:val="both"/>
      <w:textAlignment w:val="baseline"/>
    </w:pPr>
    <w:rPr>
      <w:rFonts w:ascii="Arial Narrow" w:eastAsia="Times New Roman" w:hAnsi="Arial Narrow" w:cs="Times New Roman"/>
      <w:sz w:val="30"/>
      <w:szCs w:val="20"/>
      <w:lang w:val="es-CO" w:eastAsia="es-ES"/>
    </w:rPr>
  </w:style>
  <w:style w:type="character" w:customStyle="1" w:styleId="BodyText2Car1">
    <w:name w:val="Body Text 2 Car1"/>
    <w:basedOn w:val="Fuentedeprrafopredeter"/>
    <w:link w:val="Textoindependiente22"/>
    <w:uiPriority w:val="99"/>
    <w:rsid w:val="008244A0"/>
    <w:rPr>
      <w:rFonts w:ascii="Arial Narrow" w:eastAsia="Times New Roman" w:hAnsi="Arial Narrow" w:cs="Times New Roman"/>
      <w:sz w:val="30"/>
      <w:szCs w:val="20"/>
      <w:lang w:val="es-CO" w:eastAsia="es-ES"/>
    </w:rPr>
  </w:style>
  <w:style w:type="paragraph" w:customStyle="1" w:styleId="Yo">
    <w:name w:val="Yo"/>
    <w:basedOn w:val="Ttulo3"/>
    <w:rsid w:val="008244A0"/>
    <w:pPr>
      <w:keepLines w:val="0"/>
      <w:widowControl w:val="0"/>
      <w:numPr>
        <w:numId w:val="1"/>
      </w:numPr>
      <w:tabs>
        <w:tab w:val="clear" w:pos="1080"/>
        <w:tab w:val="left" w:pos="-1440"/>
        <w:tab w:val="left" w:pos="-720"/>
        <w:tab w:val="num" w:pos="360"/>
      </w:tabs>
      <w:suppressAutoHyphens/>
      <w:spacing w:before="0" w:line="360" w:lineRule="auto"/>
      <w:ind w:left="720" w:firstLine="0"/>
      <w:jc w:val="center"/>
    </w:pPr>
    <w:rPr>
      <w:rFonts w:ascii="Bookman Old Style" w:eastAsia="Times New Roman" w:hAnsi="Bookman Old Style" w:cs="Estrangelo Edessa"/>
      <w:b/>
      <w:bCs/>
      <w:color w:val="auto"/>
      <w:sz w:val="28"/>
      <w:szCs w:val="28"/>
      <w:lang w:eastAsia="es-ES"/>
    </w:rPr>
  </w:style>
  <w:style w:type="character" w:customStyle="1" w:styleId="Ttulo3Car">
    <w:name w:val="Título 3 Car"/>
    <w:basedOn w:val="Fuentedeprrafopredeter"/>
    <w:link w:val="Ttulo3"/>
    <w:uiPriority w:val="9"/>
    <w:semiHidden/>
    <w:rsid w:val="008244A0"/>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qFormat/>
    <w:rsid w:val="00882049"/>
    <w:pPr>
      <w:autoSpaceDE w:val="0"/>
      <w:autoSpaceDN w:val="0"/>
      <w:adjustRightInd w:val="0"/>
      <w:spacing w:after="0" w:line="360" w:lineRule="auto"/>
      <w:jc w:val="center"/>
    </w:pPr>
    <w:rPr>
      <w:rFonts w:ascii="Arial" w:eastAsia="Times New Roman" w:hAnsi="Arial" w:cs="Times New Roman"/>
      <w:b/>
      <w:iCs/>
      <w:color w:val="2D2D2D"/>
      <w:sz w:val="28"/>
      <w:szCs w:val="20"/>
      <w:lang w:val="es-ES_tradnl" w:eastAsia="es-ES"/>
    </w:rPr>
  </w:style>
  <w:style w:type="character" w:customStyle="1" w:styleId="apple-converted-space">
    <w:name w:val="apple-converted-space"/>
    <w:basedOn w:val="Fuentedeprrafopredeter"/>
    <w:rsid w:val="007A5ADC"/>
  </w:style>
  <w:style w:type="paragraph" w:customStyle="1" w:styleId="estilo8">
    <w:name w:val="estilo8"/>
    <w:basedOn w:val="Normal"/>
    <w:rsid w:val="00731664"/>
    <w:pPr>
      <w:spacing w:before="100" w:beforeAutospacing="1" w:after="100" w:afterAutospacing="1" w:line="240" w:lineRule="auto"/>
    </w:pPr>
    <w:rPr>
      <w:rFonts w:ascii="Arial" w:eastAsia="Times New Roman" w:hAnsi="Arial" w:cs="Arial"/>
      <w:sz w:val="24"/>
      <w:szCs w:val="24"/>
      <w:lang w:eastAsia="es-ES"/>
    </w:rPr>
  </w:style>
  <w:style w:type="character" w:customStyle="1" w:styleId="FontStyle15">
    <w:name w:val="Font Style15"/>
    <w:uiPriority w:val="99"/>
    <w:rsid w:val="004863C5"/>
    <w:rPr>
      <w:rFonts w:ascii="Bookman Old Style" w:hAnsi="Bookman Old Style" w:cs="Bookman Old Style" w:hint="default"/>
      <w:sz w:val="22"/>
      <w:szCs w:val="22"/>
    </w:rPr>
  </w:style>
  <w:style w:type="character" w:customStyle="1" w:styleId="FontStyle13">
    <w:name w:val="Font Style13"/>
    <w:uiPriority w:val="99"/>
    <w:rsid w:val="004863C5"/>
    <w:rPr>
      <w:rFonts w:ascii="Bookman Old Style" w:hAnsi="Bookman Old Style" w:cs="Bookman Old Style"/>
      <w:i/>
      <w:iCs/>
      <w:sz w:val="22"/>
      <w:szCs w:val="22"/>
    </w:rPr>
  </w:style>
  <w:style w:type="character" w:customStyle="1" w:styleId="FontStyle36">
    <w:name w:val="Font Style36"/>
    <w:uiPriority w:val="99"/>
    <w:rsid w:val="004863C5"/>
    <w:rPr>
      <w:rFonts w:ascii="Times New Roman" w:hAnsi="Times New Roman" w:cs="Times New Roman"/>
      <w:sz w:val="28"/>
      <w:szCs w:val="28"/>
    </w:rPr>
  </w:style>
  <w:style w:type="paragraph" w:customStyle="1" w:styleId="Textoindependiente1">
    <w:name w:val="Texto independiente1"/>
    <w:uiPriority w:val="99"/>
    <w:rsid w:val="004863C5"/>
    <w:pPr>
      <w:suppressAutoHyphens/>
      <w:spacing w:after="0" w:line="480" w:lineRule="auto"/>
      <w:jc w:val="both"/>
    </w:pPr>
    <w:rPr>
      <w:rFonts w:ascii="Courier New" w:eastAsia="Times New Roman" w:hAnsi="Courier New" w:cs="Courier New"/>
      <w:color w:val="000000"/>
      <w:sz w:val="24"/>
      <w:szCs w:val="24"/>
      <w:lang w:val="es-ES_tradnl" w:eastAsia="es-CO"/>
    </w:rPr>
  </w:style>
  <w:style w:type="paragraph" w:styleId="Sangradetextonormal">
    <w:name w:val="Body Text Indent"/>
    <w:basedOn w:val="Normal"/>
    <w:link w:val="SangradetextonormalCar"/>
    <w:uiPriority w:val="99"/>
    <w:semiHidden/>
    <w:unhideWhenUsed/>
    <w:rsid w:val="00A0434A"/>
    <w:pPr>
      <w:spacing w:after="120"/>
      <w:ind w:left="283"/>
    </w:pPr>
  </w:style>
  <w:style w:type="character" w:customStyle="1" w:styleId="SangradetextonormalCar">
    <w:name w:val="Sangría de texto normal Car"/>
    <w:basedOn w:val="Fuentedeprrafopredeter"/>
    <w:link w:val="Sangradetextonormal"/>
    <w:uiPriority w:val="99"/>
    <w:semiHidden/>
    <w:rsid w:val="00A0434A"/>
  </w:style>
  <w:style w:type="paragraph" w:customStyle="1" w:styleId="Predeterminado">
    <w:name w:val="Predeterminado"/>
    <w:rsid w:val="00FD1258"/>
    <w:pPr>
      <w:suppressAutoHyphens/>
      <w:spacing w:after="0" w:line="100" w:lineRule="atLeast"/>
    </w:pPr>
    <w:rPr>
      <w:rFonts w:ascii="Times New Roman" w:eastAsia="Times New Roman" w:hAnsi="Times New Roman" w:cs="Times New Roman"/>
      <w:sz w:val="24"/>
      <w:szCs w:val="24"/>
      <w:lang w:eastAsia="es-ES"/>
    </w:rPr>
  </w:style>
  <w:style w:type="paragraph" w:customStyle="1" w:styleId="a">
    <w:basedOn w:val="Normal"/>
    <w:next w:val="Ttulo"/>
    <w:link w:val="TtuloCar"/>
    <w:qFormat/>
    <w:rsid w:val="00967684"/>
    <w:pPr>
      <w:spacing w:after="0" w:line="240" w:lineRule="auto"/>
      <w:jc w:val="center"/>
    </w:pPr>
    <w:rPr>
      <w:b/>
      <w:bCs/>
      <w:sz w:val="26"/>
      <w:szCs w:val="24"/>
      <w:lang w:eastAsia="es-ES"/>
    </w:rPr>
  </w:style>
  <w:style w:type="character" w:customStyle="1" w:styleId="TtuloCar">
    <w:name w:val="Título Car"/>
    <w:link w:val="a"/>
    <w:rsid w:val="00967684"/>
    <w:rPr>
      <w:b/>
      <w:bCs/>
      <w:sz w:val="26"/>
      <w:szCs w:val="24"/>
      <w:lang w:val="es-ES" w:eastAsia="es-ES"/>
    </w:rPr>
  </w:style>
  <w:style w:type="paragraph" w:styleId="Listaconnmeros">
    <w:name w:val="List Number"/>
    <w:basedOn w:val="Normal"/>
    <w:rsid w:val="00967684"/>
    <w:pPr>
      <w:numPr>
        <w:numId w:val="2"/>
      </w:numPr>
      <w:spacing w:after="0" w:line="240" w:lineRule="auto"/>
      <w:contextualSpacing/>
    </w:pPr>
    <w:rPr>
      <w:rFonts w:ascii="Times New Roman" w:eastAsia="MS Mincho" w:hAnsi="Times New Roman" w:cs="Times New Roman"/>
      <w:sz w:val="26"/>
      <w:szCs w:val="26"/>
      <w:lang w:eastAsia="es-ES"/>
    </w:rPr>
  </w:style>
  <w:style w:type="paragraph" w:styleId="Ttulo">
    <w:name w:val="Title"/>
    <w:basedOn w:val="Normal"/>
    <w:next w:val="Normal"/>
    <w:link w:val="TtuloCar1"/>
    <w:uiPriority w:val="10"/>
    <w:qFormat/>
    <w:rsid w:val="009676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9676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semiHidden/>
    <w:rsid w:val="00317039"/>
    <w:rPr>
      <w:rFonts w:asciiTheme="majorHAnsi" w:eastAsiaTheme="majorEastAsia" w:hAnsiTheme="majorHAnsi" w:cstheme="majorBidi"/>
      <w:i/>
      <w:iCs/>
      <w:color w:val="2E74B5" w:themeColor="accent1" w:themeShade="BF"/>
    </w:rPr>
  </w:style>
  <w:style w:type="character" w:customStyle="1" w:styleId="CitaIntraCSJCar">
    <w:name w:val="Cita Intra CSJ Car"/>
    <w:link w:val="CitaIntraCSJ"/>
    <w:rsid w:val="00014774"/>
    <w:rPr>
      <w:rFonts w:ascii="Bookman Old Style" w:eastAsia="Calibri" w:hAnsi="Bookman Old Style"/>
      <w:bCs/>
      <w:i/>
      <w:sz w:val="24"/>
      <w:szCs w:val="24"/>
    </w:rPr>
  </w:style>
  <w:style w:type="paragraph" w:customStyle="1" w:styleId="CitaIntraCSJ">
    <w:name w:val="Cita Intra CSJ"/>
    <w:basedOn w:val="Normal"/>
    <w:link w:val="CitaIntraCSJCar"/>
    <w:qFormat/>
    <w:rsid w:val="00014774"/>
    <w:pPr>
      <w:spacing w:after="0" w:line="360" w:lineRule="auto"/>
      <w:ind w:firstLine="709"/>
      <w:jc w:val="both"/>
    </w:pPr>
    <w:rPr>
      <w:rFonts w:ascii="Bookman Old Style" w:eastAsia="Calibri" w:hAnsi="Bookman Old Style"/>
      <w:bCs/>
      <w:i/>
      <w:sz w:val="24"/>
      <w:szCs w:val="24"/>
    </w:rPr>
  </w:style>
  <w:style w:type="table" w:styleId="Tablaconcuadrcula">
    <w:name w:val="Table Grid"/>
    <w:basedOn w:val="Tablanormal"/>
    <w:rsid w:val="007F79B3"/>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B1135"/>
    <w:rPr>
      <w:rFonts w:ascii="Cambria" w:eastAsia="Times New Roman" w:hAnsi="Cambria" w:cs="Times New Roman"/>
      <w:b/>
      <w:bCs/>
      <w:kern w:val="32"/>
      <w:sz w:val="32"/>
      <w:szCs w:val="32"/>
      <w:lang w:eastAsia="es-ES"/>
    </w:rPr>
  </w:style>
  <w:style w:type="character" w:styleId="Nmerodepgina">
    <w:name w:val="page number"/>
    <w:basedOn w:val="Fuentedeprrafopredeter"/>
    <w:rsid w:val="004B1135"/>
  </w:style>
  <w:style w:type="paragraph" w:styleId="Sangra2detindependiente">
    <w:name w:val="Body Text Indent 2"/>
    <w:basedOn w:val="Normal"/>
    <w:link w:val="Sangra2detindependienteCar"/>
    <w:rsid w:val="004B1135"/>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4B113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4B113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B1135"/>
    <w:rPr>
      <w:rFonts w:ascii="Times New Roman" w:eastAsia="Times New Roman" w:hAnsi="Times New Roman" w:cs="Times New Roman"/>
      <w:sz w:val="24"/>
      <w:szCs w:val="24"/>
      <w:lang w:eastAsia="es-ES"/>
    </w:rPr>
  </w:style>
  <w:style w:type="paragraph" w:styleId="TtuloTDC">
    <w:name w:val="TOC Heading"/>
    <w:basedOn w:val="Ttulo1"/>
    <w:next w:val="Normal"/>
    <w:uiPriority w:val="39"/>
    <w:semiHidden/>
    <w:unhideWhenUsed/>
    <w:qFormat/>
    <w:rsid w:val="004B1135"/>
    <w:pPr>
      <w:keepLines/>
      <w:spacing w:before="480" w:after="0" w:line="276" w:lineRule="auto"/>
      <w:outlineLvl w:val="9"/>
    </w:pPr>
    <w:rPr>
      <w:color w:val="365F91"/>
      <w:kern w:val="0"/>
      <w:sz w:val="28"/>
      <w:szCs w:val="28"/>
      <w:lang w:val="es-CO" w:eastAsia="es-CO"/>
    </w:rPr>
  </w:style>
  <w:style w:type="paragraph" w:styleId="TDC1">
    <w:name w:val="toc 1"/>
    <w:basedOn w:val="Normal"/>
    <w:next w:val="Normal"/>
    <w:autoRedefine/>
    <w:uiPriority w:val="39"/>
    <w:rsid w:val="004B1135"/>
    <w:pPr>
      <w:spacing w:after="0" w:line="240" w:lineRule="auto"/>
    </w:pPr>
    <w:rPr>
      <w:rFonts w:ascii="Times New Roman" w:eastAsia="Times New Roman" w:hAnsi="Times New Roman" w:cs="Times New Roman"/>
      <w:sz w:val="24"/>
      <w:szCs w:val="24"/>
      <w:lang w:eastAsia="es-ES"/>
    </w:rPr>
  </w:style>
  <w:style w:type="character" w:customStyle="1" w:styleId="NormalCSJCar">
    <w:name w:val="Normal CSJ Car"/>
    <w:link w:val="NormalCSJ"/>
    <w:rsid w:val="004B1135"/>
    <w:rPr>
      <w:rFonts w:ascii="Bookman Old Style" w:eastAsia="Calibri" w:hAnsi="Bookman Old Style"/>
      <w:sz w:val="28"/>
      <w:szCs w:val="28"/>
    </w:rPr>
  </w:style>
  <w:style w:type="paragraph" w:customStyle="1" w:styleId="NormalCSJ">
    <w:name w:val="Normal CSJ"/>
    <w:basedOn w:val="Normal"/>
    <w:link w:val="NormalCSJCar"/>
    <w:qFormat/>
    <w:rsid w:val="004B1135"/>
    <w:pPr>
      <w:spacing w:after="0" w:line="360" w:lineRule="auto"/>
      <w:ind w:firstLine="709"/>
      <w:jc w:val="both"/>
    </w:pPr>
    <w:rPr>
      <w:rFonts w:ascii="Bookman Old Style" w:eastAsia="Calibri" w:hAnsi="Bookman Old Style"/>
      <w:sz w:val="28"/>
      <w:szCs w:val="28"/>
    </w:rPr>
  </w:style>
  <w:style w:type="character" w:styleId="Textoennegrita">
    <w:name w:val="Strong"/>
    <w:basedOn w:val="Fuentedeprrafopredeter"/>
    <w:uiPriority w:val="22"/>
    <w:qFormat/>
    <w:rsid w:val="004B1135"/>
    <w:rPr>
      <w:b/>
      <w:bCs/>
    </w:rPr>
  </w:style>
  <w:style w:type="paragraph" w:styleId="Saludo">
    <w:name w:val="Salutation"/>
    <w:basedOn w:val="Normal"/>
    <w:next w:val="Normal"/>
    <w:link w:val="SaludoCar"/>
    <w:rsid w:val="001573BE"/>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1573BE"/>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54111"/>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8"/>
      <w:szCs w:val="20"/>
      <w:lang w:val="es-ES_tradnl" w:eastAsia="es-ES"/>
    </w:rPr>
  </w:style>
  <w:style w:type="paragraph" w:customStyle="1" w:styleId="bodytext21">
    <w:name w:val="bodytext21"/>
    <w:basedOn w:val="Normal"/>
    <w:rsid w:val="00634F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Style69">
    <w:name w:val="Font Style69"/>
    <w:uiPriority w:val="99"/>
    <w:rsid w:val="00634F30"/>
    <w:rPr>
      <w:rFonts w:ascii="Arial" w:hAnsi="Arial" w:cs="Arial"/>
      <w:sz w:val="20"/>
      <w:szCs w:val="20"/>
    </w:rPr>
  </w:style>
  <w:style w:type="paragraph" w:customStyle="1" w:styleId="CitaExtraCSJ">
    <w:name w:val="Cita Extra CSJ"/>
    <w:basedOn w:val="Textoindependiente"/>
    <w:link w:val="CitaExtraCSJCar"/>
    <w:qFormat/>
    <w:rsid w:val="00BE6104"/>
    <w:pPr>
      <w:widowControl/>
      <w:suppressAutoHyphens w:val="0"/>
      <w:autoSpaceDE/>
      <w:autoSpaceDN/>
      <w:spacing w:line="276" w:lineRule="auto"/>
      <w:ind w:left="680"/>
    </w:pPr>
    <w:rPr>
      <w:rFonts w:ascii="Bookman Old Style" w:hAnsi="Bookman Old Style" w:cs="Times New Roman"/>
      <w:i/>
      <w:spacing w:val="0"/>
      <w:szCs w:val="28"/>
    </w:rPr>
  </w:style>
  <w:style w:type="character" w:customStyle="1" w:styleId="CitaExtraCSJCar">
    <w:name w:val="Cita Extra CSJ Car"/>
    <w:link w:val="CitaExtraCSJ"/>
    <w:rsid w:val="00BE6104"/>
    <w:rPr>
      <w:rFonts w:ascii="Bookman Old Style" w:eastAsia="Times New Roman" w:hAnsi="Bookman Old Style" w:cs="Times New Roman"/>
      <w:i/>
      <w:sz w:val="24"/>
      <w:szCs w:val="28"/>
      <w:lang w:val="es-ES_tradnl" w:eastAsia="es-ES"/>
    </w:rPr>
  </w:style>
  <w:style w:type="paragraph" w:customStyle="1" w:styleId="ParrafoCSJ">
    <w:name w:val="Parrafo # CSJ"/>
    <w:basedOn w:val="Ttulo3"/>
    <w:next w:val="NormalCSJ"/>
    <w:link w:val="ParrafoCSJCar"/>
    <w:qFormat/>
    <w:rsid w:val="00BE6104"/>
    <w:pPr>
      <w:spacing w:before="0" w:line="360" w:lineRule="auto"/>
      <w:ind w:firstLine="709"/>
      <w:jc w:val="both"/>
    </w:pPr>
    <w:rPr>
      <w:rFonts w:ascii="Bookman Old Style" w:eastAsia="Times New Roman" w:hAnsi="Bookman Old Style" w:cs="Times New Roman"/>
      <w:color w:val="auto"/>
      <w:sz w:val="28"/>
      <w:lang w:val="es-MX" w:eastAsia="es-ES"/>
    </w:rPr>
  </w:style>
  <w:style w:type="character" w:customStyle="1" w:styleId="ParrafoCSJCar">
    <w:name w:val="Parrafo # CSJ Car"/>
    <w:link w:val="ParrafoCSJ"/>
    <w:rsid w:val="00BE6104"/>
    <w:rPr>
      <w:rFonts w:ascii="Bookman Old Style" w:eastAsia="Times New Roman" w:hAnsi="Bookman Old Style" w:cs="Times New Roman"/>
      <w:sz w:val="28"/>
      <w:szCs w:val="24"/>
      <w:lang w:val="es-MX" w:eastAsia="es-ES"/>
    </w:rPr>
  </w:style>
  <w:style w:type="paragraph" w:customStyle="1" w:styleId="Cuerpo">
    <w:name w:val="Cuerpo"/>
    <w:rsid w:val="009B0AD3"/>
    <w:pPr>
      <w:spacing w:after="0" w:line="240" w:lineRule="auto"/>
    </w:pPr>
    <w:rPr>
      <w:rFonts w:ascii="Times New Roman" w:eastAsia="Arial Unicode MS" w:hAnsi="Times New Roman" w:cs="Arial Unicode MS"/>
      <w:color w:val="000000"/>
      <w:sz w:val="24"/>
      <w:szCs w:val="24"/>
      <w:u w:color="000000"/>
      <w:lang w:val="es-ES_tradnl" w:eastAsia="es-ES"/>
    </w:rPr>
  </w:style>
  <w:style w:type="paragraph" w:customStyle="1" w:styleId="Prrafodelista1">
    <w:name w:val="Párrafo de lista1"/>
    <w:rsid w:val="009B0AD3"/>
    <w:pPr>
      <w:spacing w:after="0" w:line="240" w:lineRule="auto"/>
      <w:ind w:left="720"/>
    </w:pPr>
    <w:rPr>
      <w:rFonts w:ascii="Times New Roman" w:eastAsia="Arial Unicode MS" w:hAnsi="Times New Roman" w:cs="Arial Unicode MS"/>
      <w:color w:val="000000"/>
      <w:sz w:val="24"/>
      <w:szCs w:val="24"/>
      <w:u w:color="000000"/>
      <w:lang w:val="es-ES_tradnl" w:eastAsia="es-ES"/>
    </w:rPr>
  </w:style>
  <w:style w:type="paragraph" w:customStyle="1" w:styleId="Textonotapie1">
    <w:name w:val="Texto nota pie1"/>
    <w:rsid w:val="009B0AD3"/>
    <w:pPr>
      <w:spacing w:after="0" w:line="240" w:lineRule="auto"/>
    </w:pPr>
    <w:rPr>
      <w:rFonts w:ascii="Times New Roman" w:eastAsia="Times New Roman" w:hAnsi="Times New Roman" w:cs="Times New Roman"/>
      <w:color w:val="000000"/>
      <w:sz w:val="20"/>
      <w:szCs w:val="20"/>
      <w:u w:color="000000"/>
      <w:lang w:val="es-ES_tradnl" w:eastAsia="es-ES"/>
    </w:rPr>
  </w:style>
  <w:style w:type="character" w:customStyle="1" w:styleId="Ninguno">
    <w:name w:val="Ninguno"/>
    <w:autoRedefine/>
    <w:rsid w:val="009B0AD3"/>
    <w:rPr>
      <w:lang w:val="es-ES_tradnl"/>
    </w:rPr>
  </w:style>
  <w:style w:type="character" w:customStyle="1" w:styleId="Refdenotaalpie1">
    <w:name w:val="Ref. de nota al pie1"/>
    <w:rsid w:val="009B0AD3"/>
    <w:rPr>
      <w:vertAlign w:val="superscript"/>
      <w:lang w:val="es-ES_tradnl"/>
    </w:rPr>
  </w:style>
  <w:style w:type="paragraph" w:styleId="Textoindependiente3">
    <w:name w:val="Body Text 3"/>
    <w:basedOn w:val="Normal"/>
    <w:link w:val="Textoindependiente3Car"/>
    <w:uiPriority w:val="99"/>
    <w:semiHidden/>
    <w:unhideWhenUsed/>
    <w:rsid w:val="00970011"/>
    <w:pPr>
      <w:spacing w:after="120"/>
    </w:pPr>
    <w:rPr>
      <w:sz w:val="16"/>
      <w:szCs w:val="16"/>
    </w:rPr>
  </w:style>
  <w:style w:type="character" w:customStyle="1" w:styleId="Textoindependiente3Car">
    <w:name w:val="Texto independiente 3 Car"/>
    <w:basedOn w:val="Fuentedeprrafopredeter"/>
    <w:link w:val="Textoindependiente3"/>
    <w:rsid w:val="00970011"/>
    <w:rPr>
      <w:sz w:val="16"/>
      <w:szCs w:val="16"/>
    </w:rPr>
  </w:style>
  <w:style w:type="paragraph" w:customStyle="1" w:styleId="Normal12pt">
    <w:name w:val="Normal + 12 pt"/>
    <w:aliases w:val="Negro,Justificado,Primera línea:  1,25 cm,Interlineado:  1...,...,Interlineado:  1,5 líne......,Normal + Arial Narrow,5 líne...,Normal + Arial,Escala de caracteres 110%,5 lí......,12 pt,Interlineado:  1... ...,5 líneas,Normal + 14 pt"/>
    <w:basedOn w:val="Textoindependiente2"/>
    <w:rsid w:val="00970011"/>
    <w:pPr>
      <w:spacing w:after="0" w:line="360" w:lineRule="auto"/>
      <w:jc w:val="both"/>
    </w:pPr>
    <w:rPr>
      <w:rFonts w:ascii="Arial" w:eastAsia="Batang" w:hAnsi="Arial" w:cs="Arial"/>
      <w:sz w:val="24"/>
      <w:szCs w:val="24"/>
      <w:lang w:eastAsia="es-ES"/>
    </w:rPr>
  </w:style>
  <w:style w:type="character" w:customStyle="1" w:styleId="PrrafodelistaCar">
    <w:name w:val="Párrafo de lista Car"/>
    <w:link w:val="Prrafodelista"/>
    <w:uiPriority w:val="34"/>
    <w:rsid w:val="00D71FD9"/>
    <w:rPr>
      <w:rFonts w:ascii="Calibri" w:eastAsia="Calibri" w:hAnsi="Calibri" w:cs="Times New Roman"/>
    </w:rPr>
  </w:style>
  <w:style w:type="paragraph" w:customStyle="1" w:styleId="Pa12">
    <w:name w:val="Pa12"/>
    <w:basedOn w:val="Default"/>
    <w:next w:val="Default"/>
    <w:uiPriority w:val="99"/>
    <w:rsid w:val="00D71FD9"/>
    <w:pPr>
      <w:spacing w:line="241" w:lineRule="atLeast"/>
    </w:pPr>
    <w:rPr>
      <w:rFonts w:ascii="Times New Roman MT Std" w:eastAsia="Times New Roman" w:hAnsi="Times New Roman MT Std" w:cstheme="minorBidi"/>
      <w:iCs w:val="0"/>
      <w:color w:val="auto"/>
      <w:lang w:val="es-CO"/>
    </w:rPr>
  </w:style>
  <w:style w:type="character" w:styleId="Mencinsinresolver">
    <w:name w:val="Unresolved Mention"/>
    <w:basedOn w:val="Fuentedeprrafopredeter"/>
    <w:uiPriority w:val="99"/>
    <w:semiHidden/>
    <w:unhideWhenUsed/>
    <w:rsid w:val="00A05F42"/>
    <w:rPr>
      <w:color w:val="605E5C"/>
      <w:shd w:val="clear" w:color="auto" w:fill="E1DFDD"/>
    </w:rPr>
  </w:style>
  <w:style w:type="character" w:styleId="Hipervnculovisitado">
    <w:name w:val="FollowedHyperlink"/>
    <w:basedOn w:val="Fuentedeprrafopredeter"/>
    <w:uiPriority w:val="99"/>
    <w:semiHidden/>
    <w:unhideWhenUsed/>
    <w:rsid w:val="00895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29173">
      <w:bodyDiv w:val="1"/>
      <w:marLeft w:val="0"/>
      <w:marRight w:val="0"/>
      <w:marTop w:val="0"/>
      <w:marBottom w:val="0"/>
      <w:divBdr>
        <w:top w:val="none" w:sz="0" w:space="0" w:color="auto"/>
        <w:left w:val="none" w:sz="0" w:space="0" w:color="auto"/>
        <w:bottom w:val="none" w:sz="0" w:space="0" w:color="auto"/>
        <w:right w:val="none" w:sz="0" w:space="0" w:color="auto"/>
      </w:divBdr>
    </w:div>
    <w:div w:id="20439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SCIA%20BOLETIN%20DE%20OCTUBRE\110013103030201800034%2001%20REVOCA%20PARCIAL.docx" TargetMode="External"/><Relationship Id="rId5" Type="http://schemas.openxmlformats.org/officeDocument/2006/relationships/webSettings" Target="webSettings.xml"/><Relationship Id="rId10" Type="http://schemas.openxmlformats.org/officeDocument/2006/relationships/hyperlink" Target="file:///H:\SCIA%20BOLETIN%20DE%20OCTUBRE\110013103003201400607%2003%20CONFIRMA%20AGENCIA%20COMERCIAL.doc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6BC8-3F46-4AE7-970C-909F3671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11776</Words>
  <Characters>64770</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Bustos Fonseca</dc:creator>
  <cp:keywords/>
  <dc:description/>
  <cp:lastModifiedBy>Carlos  Bustos Fonseca</cp:lastModifiedBy>
  <cp:revision>2</cp:revision>
  <cp:lastPrinted>2018-06-14T13:35:00Z</cp:lastPrinted>
  <dcterms:created xsi:type="dcterms:W3CDTF">2020-10-01T16:55:00Z</dcterms:created>
  <dcterms:modified xsi:type="dcterms:W3CDTF">2020-10-01T16:55:00Z</dcterms:modified>
</cp:coreProperties>
</file>