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0AD81352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047850">
        <w:rPr>
          <w:rFonts w:ascii="Bookman Old Style" w:hAnsi="Bookman Old Style" w:cs="Times New Roman"/>
          <w:sz w:val="26"/>
          <w:szCs w:val="26"/>
        </w:rPr>
        <w:t>DOCE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(1</w:t>
      </w:r>
      <w:r w:rsidR="00047850">
        <w:rPr>
          <w:rFonts w:ascii="Bookman Old Style" w:hAnsi="Bookman Old Style" w:cs="Times New Roman"/>
          <w:sz w:val="26"/>
          <w:szCs w:val="26"/>
        </w:rPr>
        <w:t>2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047850">
        <w:rPr>
          <w:rFonts w:ascii="Bookman Old Style" w:hAnsi="Bookman Old Style" w:cs="Times New Roman"/>
          <w:sz w:val="26"/>
          <w:szCs w:val="26"/>
        </w:rPr>
        <w:t>AGOSTO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047850">
        <w:rPr>
          <w:rFonts w:ascii="Bookman Old Style" w:hAnsi="Bookman Old Style" w:cs="Times New Roman"/>
          <w:snapToGrid w:val="0"/>
          <w:sz w:val="26"/>
          <w:szCs w:val="26"/>
        </w:rPr>
        <w:t>JORGE EDUARDO FERREIRA VARGAS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DA6B2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047850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11000122030000202000113200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047850">
        <w:rPr>
          <w:rFonts w:ascii="Bookman Old Style" w:hAnsi="Bookman Old Style"/>
          <w:sz w:val="26"/>
          <w:szCs w:val="26"/>
        </w:rPr>
        <w:t xml:space="preserve">CONJUNTO RESIDENCIAL LOS LAGARTOS TERCER DESARROLLO P.H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047850">
        <w:rPr>
          <w:rFonts w:ascii="Bookman Old Style" w:hAnsi="Bookman Old Style"/>
          <w:sz w:val="26"/>
          <w:szCs w:val="26"/>
        </w:rPr>
        <w:t>JUZGADO 36 CIVIL DEL CIRCUITO DE BOGOTA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047850" w:rsidRPr="00047850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MARTHA LUCIA GOMEZ RIVERO –CLAUDIA MARCELA GOMEZ ,ANDREA PAOLA BETANCOURT HERNANDEZ</w:t>
      </w:r>
      <w:r w:rsidR="00047850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11A52C69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04785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04785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4E1B790D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04785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04785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07C51F8E" w:rsidR="00263ECF" w:rsidRPr="005C702A" w:rsidRDefault="00047850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12CAB" w14:textId="77777777" w:rsidR="0016306D" w:rsidRDefault="0016306D" w:rsidP="00263ECF">
      <w:pPr>
        <w:spacing w:after="0" w:line="240" w:lineRule="auto"/>
      </w:pPr>
      <w:r>
        <w:separator/>
      </w:r>
    </w:p>
  </w:endnote>
  <w:endnote w:type="continuationSeparator" w:id="0">
    <w:p w14:paraId="143F5135" w14:textId="77777777" w:rsidR="0016306D" w:rsidRDefault="0016306D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2F4BD" w14:textId="77777777" w:rsidR="0016306D" w:rsidRDefault="0016306D" w:rsidP="00263ECF">
      <w:pPr>
        <w:spacing w:after="0" w:line="240" w:lineRule="auto"/>
      </w:pPr>
      <w:r>
        <w:separator/>
      </w:r>
    </w:p>
  </w:footnote>
  <w:footnote w:type="continuationSeparator" w:id="0">
    <w:p w14:paraId="77477683" w14:textId="77777777" w:rsidR="0016306D" w:rsidRDefault="0016306D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16306D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47850"/>
    <w:rsid w:val="0007789F"/>
    <w:rsid w:val="0016306D"/>
    <w:rsid w:val="00263ECF"/>
    <w:rsid w:val="002E24A5"/>
    <w:rsid w:val="003020DA"/>
    <w:rsid w:val="00344F84"/>
    <w:rsid w:val="00345DD7"/>
    <w:rsid w:val="005C702A"/>
    <w:rsid w:val="00691D23"/>
    <w:rsid w:val="007344D5"/>
    <w:rsid w:val="007E2510"/>
    <w:rsid w:val="00881E3B"/>
    <w:rsid w:val="008F0786"/>
    <w:rsid w:val="0096610A"/>
    <w:rsid w:val="00A57840"/>
    <w:rsid w:val="00BC4B64"/>
    <w:rsid w:val="00D12E0B"/>
    <w:rsid w:val="00D12F57"/>
    <w:rsid w:val="00D50D13"/>
    <w:rsid w:val="00DA6B26"/>
    <w:rsid w:val="00DE4A84"/>
    <w:rsid w:val="00E13084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2020-09-16T23:17:00Z</dcterms:created>
  <dcterms:modified xsi:type="dcterms:W3CDTF">2020-09-16T23:17:00Z</dcterms:modified>
</cp:coreProperties>
</file>