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C15" w:rsidRDefault="000A3C15" w:rsidP="000A3C15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48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:rsidR="000A3C15" w:rsidRPr="00400D06" w:rsidRDefault="000A3C15" w:rsidP="000A3C15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0A3C15" w:rsidRPr="00400D06" w:rsidRDefault="000A3C15" w:rsidP="000A3C15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0A3C15" w:rsidRPr="00400D06" w:rsidRDefault="000A3C15" w:rsidP="000A3C15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0A3C15" w:rsidRPr="00400D06" w:rsidRDefault="000A3C15" w:rsidP="000A3C15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0A3C15" w:rsidRPr="00400D06" w:rsidRDefault="000A3C15" w:rsidP="000A3C15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0A3C15" w:rsidRPr="00400D06" w:rsidRDefault="000A3C15" w:rsidP="000A3C15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10 de diciembre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0A3C15" w:rsidRDefault="000A3C15" w:rsidP="000A3C15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0A3C15" w:rsidRDefault="000A3C15" w:rsidP="000A3C1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0A3C15" w:rsidRDefault="000A3C15" w:rsidP="000A3C15">
      <w:pPr>
        <w:pStyle w:val="Prrafodelista"/>
        <w:ind w:left="391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Radicado: 110012203 000 2020 01884 00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Accionante: Obed Rentería Mendoza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Accionado: Superintendencia de Industria y Comercio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Radicado: 110012203 000 2020 01887 00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Accionante: Martha Elena Ochoa de Romero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Accionado: Juzgado Tercero Civil del Circuito de Ejecución de Sentencias de Bogotá</w:t>
            </w: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0A3C15">
              <w:rPr>
                <w:rFonts w:ascii="Garamond" w:hAnsi="Garamond" w:cs="Tahoma"/>
                <w:sz w:val="28"/>
                <w:szCs w:val="28"/>
              </w:rPr>
              <w:t>110013103 005 2020 00347 01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0A3C15">
              <w:rPr>
                <w:rFonts w:ascii="Garamond" w:hAnsi="Garamond" w:cs="Tahoma"/>
                <w:sz w:val="28"/>
                <w:szCs w:val="28"/>
              </w:rPr>
              <w:t>Nelly Parra Espitia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Accionado: Nueva EPS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0A3C15">
              <w:rPr>
                <w:rFonts w:ascii="Garamond" w:hAnsi="Garamond" w:cs="Tahoma"/>
                <w:sz w:val="28"/>
                <w:szCs w:val="28"/>
              </w:rPr>
              <w:t>110013103 032 2020 00320 01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0A3C15">
              <w:t xml:space="preserve"> </w:t>
            </w: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Luis Ángel Junco Alarcón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Accionado: Juzgado 14 Civil Municipal de Ejecución de Sentencias de Bogotá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0A3C15">
              <w:rPr>
                <w:rFonts w:ascii="Garamond" w:hAnsi="Garamond" w:cs="Tahoma"/>
                <w:sz w:val="28"/>
                <w:szCs w:val="28"/>
              </w:rPr>
              <w:t>110013103 020 2020 00291 01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ab/>
              <w:t xml:space="preserve">Henry Monroy Farfán 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Accionado: Policía Nacional y otros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0A3C15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0A3C15" w:rsidRP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0A3C15" w:rsidRDefault="000A3C15" w:rsidP="000A3C15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0A3C15" w:rsidRDefault="000A3C15" w:rsidP="000A3C15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1.2. Procesos civiles </w:t>
      </w:r>
    </w:p>
    <w:p w:rsidR="000A3C15" w:rsidRDefault="000A3C15" w:rsidP="000A3C15">
      <w:pPr>
        <w:widowControl w:val="0"/>
        <w:jc w:val="both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0A3C15" w:rsidRDefault="000A3C15" w:rsidP="000A3C15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Pr="006F7F31" w:rsidRDefault="000A3C15" w:rsidP="00196A4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110013199 001 2019 85974 01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sz w:val="28"/>
                <w:szCs w:val="28"/>
              </w:rPr>
              <w:t>Mauricio Rafael Vega Pérez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Bayport Colombia S.A.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Pr="006F7F31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Default="000A3C15" w:rsidP="00196A4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110013199 003 2019 00239 02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Luis Ángel Mindiola Martínez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Seguros de Vida Suramericana S.A.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0A3C15" w:rsidRPr="006F7F31" w:rsidRDefault="000A3C15" w:rsidP="00196A4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0A3C15" w:rsidRPr="00B72A33" w:rsidTr="00196A4E">
        <w:trPr>
          <w:trHeight w:val="1736"/>
        </w:trPr>
        <w:tc>
          <w:tcPr>
            <w:tcW w:w="8722" w:type="dxa"/>
            <w:shd w:val="clear" w:color="auto" w:fill="auto"/>
          </w:tcPr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2843BE">
              <w:rPr>
                <w:rFonts w:ascii="Garamond" w:hAnsi="Garamond" w:cs="Tahoma"/>
                <w:sz w:val="28"/>
                <w:szCs w:val="28"/>
              </w:rPr>
              <w:t>110013103 037 2011 00479 01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Ordinario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2843BE">
              <w:rPr>
                <w:rFonts w:ascii="Garamond" w:hAnsi="Garamond" w:cs="Tahoma"/>
                <w:bCs/>
                <w:sz w:val="28"/>
                <w:szCs w:val="28"/>
              </w:rPr>
              <w:t>Jorge López Gracia</w:t>
            </w:r>
            <w:r w:rsidR="00AD1652">
              <w:rPr>
                <w:rFonts w:ascii="Garamond" w:hAnsi="Garamond" w:cs="Tahoma"/>
                <w:bCs/>
                <w:sz w:val="28"/>
                <w:szCs w:val="28"/>
              </w:rPr>
              <w:t xml:space="preserve"> y otros</w:t>
            </w:r>
            <w:r w:rsidRPr="002843BE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2843BE">
              <w:rPr>
                <w:rFonts w:ascii="Garamond" w:hAnsi="Garamond" w:cs="Tahoma"/>
                <w:bCs/>
                <w:sz w:val="28"/>
                <w:szCs w:val="28"/>
              </w:rPr>
              <w:t>Raúl Martínez Fandiño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  <w:p w:rsidR="000A3C15" w:rsidRDefault="000A3C15" w:rsidP="00196A4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0A3C15" w:rsidRDefault="000A3C15" w:rsidP="00196A4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0A3C15" w:rsidRDefault="000A3C15" w:rsidP="000A3C15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0A3C15" w:rsidRPr="00400D06" w:rsidRDefault="000A3C15" w:rsidP="000A3C15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0A3C15" w:rsidRPr="00400D06" w:rsidRDefault="000A3C15" w:rsidP="000A3C15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0A3C15" w:rsidRDefault="000A3C15" w:rsidP="000A3C15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9 de diciembre de 2020.</w:t>
      </w:r>
    </w:p>
    <w:p w:rsidR="000A3C15" w:rsidRPr="00400D06" w:rsidRDefault="000A3C15" w:rsidP="000A3C15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0A3C15" w:rsidRPr="00400D06" w:rsidRDefault="000A3C15" w:rsidP="000A3C15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CB17DD" w:rsidRPr="000A3C15" w:rsidRDefault="000A3C15" w:rsidP="000A3C15">
      <w:pPr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sectPr w:rsidR="00CB17DD" w:rsidRPr="000A3C15" w:rsidSect="002B07D8">
      <w:pgSz w:w="12242" w:h="18734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3C96" w:rsidRDefault="00D13C96" w:rsidP="002B07D8">
      <w:r>
        <w:separator/>
      </w:r>
    </w:p>
  </w:endnote>
  <w:endnote w:type="continuationSeparator" w:id="0">
    <w:p w:rsidR="00D13C96" w:rsidRDefault="00D13C96" w:rsidP="002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3C96" w:rsidRDefault="00D13C96" w:rsidP="002B07D8">
      <w:r>
        <w:separator/>
      </w:r>
    </w:p>
  </w:footnote>
  <w:footnote w:type="continuationSeparator" w:id="0">
    <w:p w:rsidR="00D13C96" w:rsidRDefault="00D13C96" w:rsidP="002B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74A78"/>
    <w:multiLevelType w:val="multilevel"/>
    <w:tmpl w:val="63D8D0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67F44263"/>
    <w:multiLevelType w:val="multilevel"/>
    <w:tmpl w:val="44503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D8"/>
    <w:rsid w:val="000734F4"/>
    <w:rsid w:val="000A3C15"/>
    <w:rsid w:val="002B07D8"/>
    <w:rsid w:val="00AD1652"/>
    <w:rsid w:val="00CB17DD"/>
    <w:rsid w:val="00D13C96"/>
    <w:rsid w:val="00F7429C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2223A"/>
  <w15:chartTrackingRefBased/>
  <w15:docId w15:val="{7B0D7FAE-DB16-48ED-A9B8-058BFF31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7D8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B07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0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2B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dcterms:created xsi:type="dcterms:W3CDTF">2020-12-09T20:44:00Z</dcterms:created>
  <dcterms:modified xsi:type="dcterms:W3CDTF">2020-12-09T21:08:00Z</dcterms:modified>
</cp:coreProperties>
</file>