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2C80A" w14:textId="77777777" w:rsidR="00BD2C53" w:rsidRPr="00FC1F98" w:rsidRDefault="00BD2C53" w:rsidP="004F36CF">
      <w:pPr>
        <w:tabs>
          <w:tab w:val="center" w:pos="4420"/>
          <w:tab w:val="left" w:pos="7335"/>
        </w:tabs>
        <w:spacing w:line="276" w:lineRule="auto"/>
        <w:ind w:hanging="2"/>
        <w:jc w:val="center"/>
        <w:rPr>
          <w:rFonts w:ascii="Arial" w:eastAsia="Arial" w:hAnsi="Arial"/>
        </w:rPr>
      </w:pPr>
      <w:r w:rsidRPr="00FC1F98">
        <w:rPr>
          <w:rFonts w:ascii="Arial" w:eastAsia="Arial" w:hAnsi="Arial"/>
          <w:b/>
        </w:rPr>
        <w:t>CONSEJO DE ESTADO</w:t>
      </w:r>
      <w:r w:rsidRPr="00FC1F98">
        <w:rPr>
          <w:rFonts w:ascii="Arial" w:eastAsia="Arial" w:hAnsi="Arial"/>
        </w:rPr>
        <w:t xml:space="preserve"> </w:t>
      </w:r>
    </w:p>
    <w:p w14:paraId="76C0F0E9" w14:textId="77777777" w:rsidR="00BD2C53" w:rsidRPr="00FC1F98" w:rsidRDefault="00BD2C53" w:rsidP="004F36CF">
      <w:pPr>
        <w:spacing w:line="276" w:lineRule="auto"/>
        <w:ind w:hanging="2"/>
        <w:jc w:val="center"/>
        <w:rPr>
          <w:rFonts w:ascii="Arial" w:eastAsia="Arial" w:hAnsi="Arial"/>
        </w:rPr>
      </w:pPr>
      <w:r w:rsidRPr="00FC1F98">
        <w:rPr>
          <w:rFonts w:ascii="Arial" w:eastAsia="Arial" w:hAnsi="Arial"/>
          <w:b/>
        </w:rPr>
        <w:t>SALA DE LO CONTENCIOSO ADMINISTRATIVO</w:t>
      </w:r>
      <w:r w:rsidRPr="00FC1F98">
        <w:rPr>
          <w:rFonts w:ascii="Arial" w:eastAsia="Arial" w:hAnsi="Arial"/>
        </w:rPr>
        <w:t xml:space="preserve"> </w:t>
      </w:r>
    </w:p>
    <w:p w14:paraId="62E70D35" w14:textId="77777777" w:rsidR="00BD2C53" w:rsidRPr="00FC1F98" w:rsidRDefault="00BD2C53" w:rsidP="004F36CF">
      <w:pPr>
        <w:spacing w:line="276" w:lineRule="auto"/>
        <w:ind w:hanging="2"/>
        <w:jc w:val="center"/>
        <w:rPr>
          <w:rFonts w:ascii="Arial" w:eastAsia="Arial" w:hAnsi="Arial"/>
        </w:rPr>
      </w:pPr>
      <w:r w:rsidRPr="00FC1F98">
        <w:rPr>
          <w:rFonts w:ascii="Arial" w:eastAsia="Arial" w:hAnsi="Arial"/>
          <w:b/>
        </w:rPr>
        <w:t>SECCIÓN QUINTA</w:t>
      </w:r>
    </w:p>
    <w:p w14:paraId="54F2A01D" w14:textId="77777777" w:rsidR="00BD2C53" w:rsidRPr="00FC1F98" w:rsidRDefault="00BD2C53" w:rsidP="004F36CF">
      <w:pPr>
        <w:spacing w:line="276" w:lineRule="auto"/>
        <w:ind w:hanging="2"/>
        <w:jc w:val="center"/>
        <w:rPr>
          <w:rFonts w:ascii="Arial" w:eastAsia="Arial" w:hAnsi="Arial"/>
        </w:rPr>
      </w:pPr>
      <w:r w:rsidRPr="00FC1F98">
        <w:rPr>
          <w:rFonts w:ascii="Arial" w:eastAsia="Arial" w:hAnsi="Arial"/>
        </w:rPr>
        <w:t xml:space="preserve"> </w:t>
      </w:r>
    </w:p>
    <w:p w14:paraId="7AF56E05" w14:textId="77777777" w:rsidR="00BD2C53" w:rsidRPr="00FC1F98" w:rsidRDefault="00BD2C53" w:rsidP="004F36CF">
      <w:pPr>
        <w:spacing w:line="276" w:lineRule="auto"/>
        <w:ind w:hanging="2"/>
        <w:jc w:val="center"/>
        <w:rPr>
          <w:rFonts w:ascii="Arial" w:eastAsia="Arial" w:hAnsi="Arial"/>
        </w:rPr>
      </w:pPr>
      <w:r w:rsidRPr="00FC1F98">
        <w:rPr>
          <w:rFonts w:ascii="Arial" w:eastAsia="Arial" w:hAnsi="Arial"/>
          <w:b/>
        </w:rPr>
        <w:t xml:space="preserve">Magistrada ponente: LUCY JEANNETTE BERMÚDEZ </w:t>
      </w:r>
      <w:proofErr w:type="spellStart"/>
      <w:r w:rsidRPr="00FC1F98">
        <w:rPr>
          <w:rFonts w:ascii="Arial" w:eastAsia="Arial" w:hAnsi="Arial"/>
          <w:b/>
        </w:rPr>
        <w:t>BERMÚDEZ</w:t>
      </w:r>
      <w:proofErr w:type="spellEnd"/>
    </w:p>
    <w:p w14:paraId="348AAED4" w14:textId="77777777" w:rsidR="00BD2C53" w:rsidRPr="00FC1F98" w:rsidRDefault="00BD2C53" w:rsidP="004F36CF">
      <w:pPr>
        <w:tabs>
          <w:tab w:val="center" w:pos="4420"/>
          <w:tab w:val="left" w:pos="6135"/>
        </w:tabs>
        <w:spacing w:line="276" w:lineRule="auto"/>
        <w:ind w:hanging="2"/>
        <w:jc w:val="center"/>
        <w:rPr>
          <w:rFonts w:ascii="Arial" w:eastAsia="Arial" w:hAnsi="Arial"/>
        </w:rPr>
      </w:pPr>
      <w:r w:rsidRPr="00FC1F98">
        <w:rPr>
          <w:rFonts w:ascii="Arial" w:eastAsia="Arial" w:hAnsi="Arial"/>
        </w:rPr>
        <w:t xml:space="preserve"> </w:t>
      </w:r>
    </w:p>
    <w:p w14:paraId="4761BBFA" w14:textId="12FB4127" w:rsidR="00BD2C53" w:rsidRPr="00FC1F98" w:rsidRDefault="00D96390" w:rsidP="004F36CF">
      <w:pPr>
        <w:tabs>
          <w:tab w:val="center" w:pos="4420"/>
          <w:tab w:val="left" w:pos="6135"/>
        </w:tabs>
        <w:spacing w:line="276" w:lineRule="auto"/>
        <w:ind w:hanging="2"/>
        <w:rPr>
          <w:rFonts w:ascii="Arial" w:eastAsia="Arial" w:hAnsi="Arial"/>
        </w:rPr>
      </w:pPr>
      <w:r w:rsidRPr="00FC1F98">
        <w:rPr>
          <w:rFonts w:ascii="Arial" w:eastAsia="Arial" w:hAnsi="Arial"/>
        </w:rPr>
        <w:t xml:space="preserve">Bogotá D.C., </w:t>
      </w:r>
      <w:r w:rsidR="00B856D3" w:rsidRPr="00FC1F98">
        <w:rPr>
          <w:rFonts w:ascii="Arial" w:eastAsia="Arial" w:hAnsi="Arial"/>
        </w:rPr>
        <w:t>dieciocho</w:t>
      </w:r>
      <w:r w:rsidR="00AA19E5" w:rsidRPr="00FC1F98">
        <w:rPr>
          <w:rFonts w:ascii="Arial" w:eastAsia="Arial" w:hAnsi="Arial"/>
        </w:rPr>
        <w:t xml:space="preserve"> </w:t>
      </w:r>
      <w:r w:rsidR="00D1480C" w:rsidRPr="00FC1F98">
        <w:rPr>
          <w:rFonts w:ascii="Arial" w:eastAsia="Arial" w:hAnsi="Arial"/>
        </w:rPr>
        <w:t>(</w:t>
      </w:r>
      <w:r w:rsidR="00B856D3" w:rsidRPr="00FC1F98">
        <w:rPr>
          <w:rFonts w:ascii="Arial" w:eastAsia="Arial" w:hAnsi="Arial"/>
        </w:rPr>
        <w:t>18</w:t>
      </w:r>
      <w:r w:rsidR="0022373A" w:rsidRPr="00FC1F98">
        <w:rPr>
          <w:rFonts w:ascii="Arial" w:eastAsia="Arial" w:hAnsi="Arial"/>
        </w:rPr>
        <w:t>)</w:t>
      </w:r>
      <w:r w:rsidRPr="00FC1F98">
        <w:rPr>
          <w:rFonts w:ascii="Arial" w:eastAsia="Arial" w:hAnsi="Arial"/>
        </w:rPr>
        <w:t xml:space="preserve"> de </w:t>
      </w:r>
      <w:r w:rsidR="00B856D3" w:rsidRPr="00FC1F98">
        <w:rPr>
          <w:rFonts w:ascii="Arial" w:eastAsia="Arial" w:hAnsi="Arial"/>
        </w:rPr>
        <w:t>marzo</w:t>
      </w:r>
      <w:r w:rsidRPr="00FC1F98">
        <w:rPr>
          <w:rFonts w:ascii="Arial" w:eastAsia="Arial" w:hAnsi="Arial"/>
        </w:rPr>
        <w:t xml:space="preserve"> de dos mil veint</w:t>
      </w:r>
      <w:r w:rsidR="00B56B8B" w:rsidRPr="00FC1F98">
        <w:rPr>
          <w:rFonts w:ascii="Arial" w:eastAsia="Arial" w:hAnsi="Arial"/>
        </w:rPr>
        <w:t>iuno</w:t>
      </w:r>
      <w:r w:rsidRPr="00FC1F98">
        <w:rPr>
          <w:rFonts w:ascii="Arial" w:eastAsia="Arial" w:hAnsi="Arial"/>
        </w:rPr>
        <w:t xml:space="preserve"> (202</w:t>
      </w:r>
      <w:r w:rsidR="00BF2082" w:rsidRPr="00FC1F98">
        <w:rPr>
          <w:rFonts w:ascii="Arial" w:eastAsia="Arial" w:hAnsi="Arial"/>
        </w:rPr>
        <w:t>1</w:t>
      </w:r>
      <w:r w:rsidRPr="00FC1F98">
        <w:rPr>
          <w:rFonts w:ascii="Arial" w:eastAsia="Arial" w:hAnsi="Arial"/>
        </w:rPr>
        <w:t>)</w:t>
      </w:r>
    </w:p>
    <w:p w14:paraId="0B75522C" w14:textId="77777777" w:rsidR="00BD2C53" w:rsidRPr="00FC1F98" w:rsidRDefault="00BD2C53" w:rsidP="004F36CF">
      <w:pPr>
        <w:spacing w:line="276" w:lineRule="auto"/>
        <w:ind w:hanging="2"/>
        <w:rPr>
          <w:rFonts w:ascii="Arial" w:eastAsia="Arial" w:hAnsi="Arial"/>
        </w:rPr>
      </w:pPr>
      <w:r w:rsidRPr="00FC1F98">
        <w:rPr>
          <w:rFonts w:ascii="Arial" w:eastAsia="Arial" w:hAnsi="Arial"/>
        </w:rPr>
        <w:t xml:space="preserve"> </w:t>
      </w:r>
    </w:p>
    <w:tbl>
      <w:tblPr>
        <w:tblW w:w="0" w:type="auto"/>
        <w:tblLook w:val="04A0" w:firstRow="1" w:lastRow="0" w:firstColumn="1" w:lastColumn="0" w:noHBand="0" w:noVBand="1"/>
      </w:tblPr>
      <w:tblGrid>
        <w:gridCol w:w="1809"/>
        <w:gridCol w:w="6861"/>
      </w:tblGrid>
      <w:tr w:rsidR="00BD2C53" w:rsidRPr="00FC1F98" w14:paraId="3C1FE3FC" w14:textId="77777777" w:rsidTr="007213D8">
        <w:tc>
          <w:tcPr>
            <w:tcW w:w="1809" w:type="dxa"/>
            <w:shd w:val="clear" w:color="auto" w:fill="auto"/>
          </w:tcPr>
          <w:p w14:paraId="2EDE0820" w14:textId="77777777" w:rsidR="00BD2C53" w:rsidRPr="00FC1F98" w:rsidRDefault="00BD2C53" w:rsidP="004F36CF">
            <w:pPr>
              <w:tabs>
                <w:tab w:val="center" w:pos="4420"/>
                <w:tab w:val="left" w:pos="6135"/>
              </w:tabs>
              <w:spacing w:line="276" w:lineRule="auto"/>
              <w:rPr>
                <w:rFonts w:ascii="Arial" w:eastAsia="Times New Roman" w:hAnsi="Arial"/>
                <w:color w:val="000000"/>
                <w:lang w:val="es-CO"/>
              </w:rPr>
            </w:pPr>
            <w:r w:rsidRPr="00FC1F98">
              <w:rPr>
                <w:rFonts w:ascii="Arial" w:eastAsia="Times New Roman" w:hAnsi="Arial"/>
                <w:b/>
                <w:color w:val="000000"/>
              </w:rPr>
              <w:t>Referencia:</w:t>
            </w:r>
          </w:p>
        </w:tc>
        <w:tc>
          <w:tcPr>
            <w:tcW w:w="6887" w:type="dxa"/>
            <w:shd w:val="clear" w:color="auto" w:fill="auto"/>
            <w:vAlign w:val="center"/>
          </w:tcPr>
          <w:p w14:paraId="16EA7890" w14:textId="77777777" w:rsidR="00BD2C53" w:rsidRPr="00FC1F98" w:rsidRDefault="00BD2C53" w:rsidP="004F36CF">
            <w:pPr>
              <w:tabs>
                <w:tab w:val="center" w:pos="4420"/>
                <w:tab w:val="left" w:pos="6135"/>
              </w:tabs>
              <w:spacing w:line="276" w:lineRule="auto"/>
              <w:rPr>
                <w:rFonts w:ascii="Arial" w:eastAsia="Times New Roman" w:hAnsi="Arial"/>
                <w:color w:val="000000"/>
                <w:lang w:val="es-CO"/>
              </w:rPr>
            </w:pPr>
            <w:r w:rsidRPr="00FC1F98">
              <w:rPr>
                <w:rFonts w:ascii="Arial" w:eastAsia="Times New Roman" w:hAnsi="Arial"/>
                <w:color w:val="000000"/>
                <w:lang w:val="es-CO"/>
              </w:rPr>
              <w:t>ACCIÓN DE TUTELA</w:t>
            </w:r>
          </w:p>
        </w:tc>
      </w:tr>
      <w:tr w:rsidR="00BD2C53" w:rsidRPr="00FC1F98" w14:paraId="0DD1F5E7" w14:textId="77777777" w:rsidTr="007213D8">
        <w:tc>
          <w:tcPr>
            <w:tcW w:w="1809" w:type="dxa"/>
            <w:shd w:val="clear" w:color="auto" w:fill="auto"/>
          </w:tcPr>
          <w:p w14:paraId="2E7A12D0" w14:textId="77777777" w:rsidR="00BD2C53" w:rsidRPr="00FC1F98" w:rsidRDefault="00BD2C53" w:rsidP="004F36CF">
            <w:pPr>
              <w:tabs>
                <w:tab w:val="center" w:pos="4420"/>
                <w:tab w:val="left" w:pos="6135"/>
              </w:tabs>
              <w:spacing w:line="276" w:lineRule="auto"/>
              <w:rPr>
                <w:rFonts w:ascii="Arial" w:eastAsia="Times New Roman" w:hAnsi="Arial"/>
                <w:color w:val="000000"/>
                <w:lang w:val="es-CO"/>
              </w:rPr>
            </w:pPr>
            <w:bookmarkStart w:id="0" w:name="_Hlk61511177"/>
            <w:bookmarkStart w:id="1" w:name="_Hlk66368092"/>
            <w:r w:rsidRPr="00FC1F98">
              <w:rPr>
                <w:rFonts w:ascii="Arial" w:eastAsia="Times New Roman" w:hAnsi="Arial"/>
                <w:b/>
                <w:color w:val="000000"/>
              </w:rPr>
              <w:t>Radicación:</w:t>
            </w:r>
          </w:p>
        </w:tc>
        <w:tc>
          <w:tcPr>
            <w:tcW w:w="6887" w:type="dxa"/>
            <w:shd w:val="clear" w:color="auto" w:fill="auto"/>
            <w:vAlign w:val="center"/>
          </w:tcPr>
          <w:p w14:paraId="1C308E5B" w14:textId="526D7375" w:rsidR="00BD2C53" w:rsidRPr="00FC1F98" w:rsidRDefault="00B56B8B" w:rsidP="004F36CF">
            <w:pPr>
              <w:tabs>
                <w:tab w:val="center" w:pos="4420"/>
                <w:tab w:val="left" w:pos="6135"/>
              </w:tabs>
              <w:spacing w:line="276" w:lineRule="auto"/>
              <w:rPr>
                <w:rFonts w:ascii="Arial" w:eastAsia="Times New Roman" w:hAnsi="Arial"/>
                <w:color w:val="000000"/>
                <w:lang w:val="es-CO"/>
              </w:rPr>
            </w:pPr>
            <w:bookmarkStart w:id="2" w:name="_Hlk64959557"/>
            <w:r w:rsidRPr="00FC1F98">
              <w:rPr>
                <w:rFonts w:ascii="Arial" w:eastAsia="Times New Roman" w:hAnsi="Arial"/>
                <w:color w:val="000000"/>
              </w:rPr>
              <w:t>11001-03-15-000-202</w:t>
            </w:r>
            <w:r w:rsidR="00B856D3" w:rsidRPr="00FC1F98">
              <w:rPr>
                <w:rFonts w:ascii="Arial" w:eastAsia="Times New Roman" w:hAnsi="Arial"/>
                <w:color w:val="000000"/>
              </w:rPr>
              <w:t>0</w:t>
            </w:r>
            <w:r w:rsidRPr="00FC1F98">
              <w:rPr>
                <w:rFonts w:ascii="Arial" w:eastAsia="Times New Roman" w:hAnsi="Arial"/>
                <w:color w:val="000000"/>
              </w:rPr>
              <w:t>-0</w:t>
            </w:r>
            <w:r w:rsidR="00B856D3" w:rsidRPr="00FC1F98">
              <w:rPr>
                <w:rFonts w:ascii="Arial" w:eastAsia="Times New Roman" w:hAnsi="Arial"/>
                <w:color w:val="000000"/>
              </w:rPr>
              <w:t>5</w:t>
            </w:r>
            <w:r w:rsidR="00232DF1" w:rsidRPr="00FC1F98">
              <w:rPr>
                <w:rFonts w:ascii="Arial" w:eastAsia="Times New Roman" w:hAnsi="Arial"/>
                <w:color w:val="000000"/>
              </w:rPr>
              <w:t>279</w:t>
            </w:r>
            <w:r w:rsidRPr="00FC1F98">
              <w:rPr>
                <w:rFonts w:ascii="Arial" w:eastAsia="Times New Roman" w:hAnsi="Arial"/>
                <w:color w:val="000000"/>
              </w:rPr>
              <w:t>-00</w:t>
            </w:r>
            <w:bookmarkEnd w:id="2"/>
          </w:p>
        </w:tc>
      </w:tr>
      <w:tr w:rsidR="00BD2C53" w:rsidRPr="00FC1F98" w14:paraId="19400BA0" w14:textId="77777777" w:rsidTr="007213D8">
        <w:tc>
          <w:tcPr>
            <w:tcW w:w="1809" w:type="dxa"/>
            <w:shd w:val="clear" w:color="auto" w:fill="auto"/>
          </w:tcPr>
          <w:p w14:paraId="4AD36546" w14:textId="63C868D5" w:rsidR="00BD2C53" w:rsidRPr="00FC1F98" w:rsidRDefault="00BD2C53" w:rsidP="004F36CF">
            <w:pPr>
              <w:tabs>
                <w:tab w:val="center" w:pos="4420"/>
                <w:tab w:val="left" w:pos="6135"/>
              </w:tabs>
              <w:spacing w:line="276" w:lineRule="auto"/>
              <w:rPr>
                <w:rFonts w:ascii="Arial" w:eastAsia="Times New Roman" w:hAnsi="Arial"/>
                <w:color w:val="000000"/>
                <w:lang w:val="es-CO"/>
              </w:rPr>
            </w:pPr>
            <w:bookmarkStart w:id="3" w:name="_Hlk61511210"/>
            <w:bookmarkEnd w:id="0"/>
            <w:r w:rsidRPr="00FC1F98">
              <w:rPr>
                <w:rFonts w:ascii="Arial" w:eastAsia="Times New Roman" w:hAnsi="Arial"/>
                <w:b/>
                <w:color w:val="000000"/>
              </w:rPr>
              <w:t>Demandante:</w:t>
            </w:r>
          </w:p>
        </w:tc>
        <w:tc>
          <w:tcPr>
            <w:tcW w:w="6887" w:type="dxa"/>
            <w:shd w:val="clear" w:color="auto" w:fill="auto"/>
            <w:vAlign w:val="center"/>
          </w:tcPr>
          <w:p w14:paraId="2AE11DC6" w14:textId="420F65FD" w:rsidR="00BD2C53" w:rsidRPr="00FC1F98" w:rsidRDefault="00232DF1" w:rsidP="004F36CF">
            <w:pPr>
              <w:tabs>
                <w:tab w:val="center" w:pos="4420"/>
                <w:tab w:val="left" w:pos="6135"/>
              </w:tabs>
              <w:spacing w:line="276" w:lineRule="auto"/>
              <w:rPr>
                <w:rFonts w:ascii="Arial" w:eastAsia="Times New Roman" w:hAnsi="Arial"/>
                <w:color w:val="000000"/>
                <w:lang w:val="es-CO"/>
              </w:rPr>
            </w:pPr>
            <w:r w:rsidRPr="00FC1F98">
              <w:rPr>
                <w:rFonts w:ascii="Arial" w:hAnsi="Arial"/>
                <w:color w:val="000000"/>
              </w:rPr>
              <w:t>JOSÉ RICARDO CEPEDA CORREDOR</w:t>
            </w:r>
          </w:p>
        </w:tc>
      </w:tr>
      <w:bookmarkEnd w:id="1"/>
      <w:bookmarkEnd w:id="3"/>
      <w:tr w:rsidR="00BD2C53" w:rsidRPr="00FC1F98" w14:paraId="204E4B09" w14:textId="77777777" w:rsidTr="007213D8">
        <w:tc>
          <w:tcPr>
            <w:tcW w:w="1809" w:type="dxa"/>
            <w:shd w:val="clear" w:color="auto" w:fill="auto"/>
          </w:tcPr>
          <w:p w14:paraId="490AB2AB" w14:textId="37AFA9E1" w:rsidR="00BD2C53" w:rsidRPr="00FC1F98" w:rsidRDefault="00BD2C53" w:rsidP="004F36CF">
            <w:pPr>
              <w:tabs>
                <w:tab w:val="center" w:pos="4420"/>
                <w:tab w:val="left" w:pos="6135"/>
              </w:tabs>
              <w:spacing w:line="276" w:lineRule="auto"/>
              <w:rPr>
                <w:rFonts w:ascii="Arial" w:eastAsia="Times New Roman" w:hAnsi="Arial"/>
                <w:color w:val="000000"/>
                <w:lang w:val="es-CO"/>
              </w:rPr>
            </w:pPr>
            <w:r w:rsidRPr="00FC1F98">
              <w:rPr>
                <w:rFonts w:ascii="Arial" w:eastAsia="Times New Roman" w:hAnsi="Arial"/>
                <w:b/>
                <w:color w:val="000000"/>
              </w:rPr>
              <w:t>Demandado</w:t>
            </w:r>
            <w:r w:rsidR="007D631B" w:rsidRPr="00FC1F98">
              <w:rPr>
                <w:rFonts w:ascii="Arial" w:eastAsia="Times New Roman" w:hAnsi="Arial"/>
                <w:b/>
                <w:color w:val="000000"/>
              </w:rPr>
              <w:t>s</w:t>
            </w:r>
            <w:r w:rsidRPr="00FC1F98">
              <w:rPr>
                <w:rFonts w:ascii="Arial" w:eastAsia="Times New Roman" w:hAnsi="Arial"/>
                <w:b/>
                <w:color w:val="000000"/>
              </w:rPr>
              <w:t>:</w:t>
            </w:r>
          </w:p>
        </w:tc>
        <w:tc>
          <w:tcPr>
            <w:tcW w:w="6887" w:type="dxa"/>
            <w:shd w:val="clear" w:color="auto" w:fill="auto"/>
            <w:vAlign w:val="center"/>
          </w:tcPr>
          <w:p w14:paraId="4893A69F" w14:textId="10687DAA" w:rsidR="00396EA8" w:rsidRPr="0046491E" w:rsidRDefault="00B856D3" w:rsidP="004F36CF">
            <w:pPr>
              <w:tabs>
                <w:tab w:val="center" w:pos="4420"/>
                <w:tab w:val="left" w:pos="6135"/>
              </w:tabs>
              <w:spacing w:line="276" w:lineRule="auto"/>
              <w:rPr>
                <w:rFonts w:ascii="Arial" w:eastAsia="Times New Roman" w:hAnsi="Arial"/>
                <w:color w:val="000000"/>
                <w:lang w:val="es-CO"/>
              </w:rPr>
            </w:pPr>
            <w:r w:rsidRPr="0046491E">
              <w:rPr>
                <w:rFonts w:ascii="Arial" w:hAnsi="Arial"/>
                <w:color w:val="000000"/>
                <w:lang w:val="es-ES_tradnl"/>
              </w:rPr>
              <w:t xml:space="preserve">TRIBUNAL ADMINISTRATIVO DE </w:t>
            </w:r>
            <w:r w:rsidR="00232DF1" w:rsidRPr="0046491E">
              <w:rPr>
                <w:rFonts w:ascii="Arial" w:hAnsi="Arial"/>
                <w:color w:val="000000"/>
                <w:lang w:val="es-ES_tradnl"/>
              </w:rPr>
              <w:t>BOYACÁ</w:t>
            </w:r>
            <w:r w:rsidRPr="0046491E">
              <w:rPr>
                <w:rFonts w:ascii="Arial" w:hAnsi="Arial"/>
                <w:color w:val="000000"/>
                <w:lang w:val="es-ES_tradnl"/>
              </w:rPr>
              <w:t xml:space="preserve"> y OTRO</w:t>
            </w:r>
            <w:r w:rsidRPr="0046491E">
              <w:rPr>
                <w:rFonts w:ascii="Arial" w:eastAsia="Times New Roman" w:hAnsi="Arial"/>
                <w:color w:val="000000"/>
                <w:lang w:val="es-CO"/>
              </w:rPr>
              <w:t xml:space="preserve"> </w:t>
            </w:r>
          </w:p>
          <w:p w14:paraId="3DD144EF" w14:textId="0AA07420" w:rsidR="00B856D3" w:rsidRPr="0046491E" w:rsidRDefault="00B856D3" w:rsidP="004F36CF">
            <w:pPr>
              <w:tabs>
                <w:tab w:val="center" w:pos="4420"/>
                <w:tab w:val="left" w:pos="6135"/>
              </w:tabs>
              <w:spacing w:line="276" w:lineRule="auto"/>
              <w:rPr>
                <w:rFonts w:ascii="Arial" w:eastAsia="Times New Roman" w:hAnsi="Arial"/>
                <w:color w:val="000000"/>
                <w:lang w:val="es-CO"/>
              </w:rPr>
            </w:pPr>
          </w:p>
        </w:tc>
      </w:tr>
      <w:tr w:rsidR="00BD2C53" w:rsidRPr="00FC1F98" w14:paraId="4FADCFDF" w14:textId="77777777" w:rsidTr="00553176">
        <w:trPr>
          <w:trHeight w:val="131"/>
        </w:trPr>
        <w:tc>
          <w:tcPr>
            <w:tcW w:w="1809" w:type="dxa"/>
            <w:shd w:val="clear" w:color="auto" w:fill="auto"/>
          </w:tcPr>
          <w:p w14:paraId="76A1534F" w14:textId="77777777" w:rsidR="00BD2C53" w:rsidRPr="00FC1F98" w:rsidRDefault="00BD2C53" w:rsidP="004F36CF">
            <w:pPr>
              <w:tabs>
                <w:tab w:val="center" w:pos="4420"/>
                <w:tab w:val="left" w:pos="6135"/>
              </w:tabs>
              <w:spacing w:line="276" w:lineRule="auto"/>
              <w:rPr>
                <w:rFonts w:ascii="Arial" w:eastAsia="Times New Roman" w:hAnsi="Arial"/>
                <w:color w:val="000000"/>
                <w:lang w:val="es-CO"/>
              </w:rPr>
            </w:pPr>
            <w:r w:rsidRPr="00FC1F98">
              <w:rPr>
                <w:rFonts w:ascii="Arial" w:eastAsia="Times New Roman" w:hAnsi="Arial"/>
                <w:b/>
                <w:color w:val="000000"/>
              </w:rPr>
              <w:t>Tema:</w:t>
            </w:r>
          </w:p>
        </w:tc>
        <w:tc>
          <w:tcPr>
            <w:tcW w:w="6887" w:type="dxa"/>
            <w:shd w:val="clear" w:color="auto" w:fill="auto"/>
            <w:vAlign w:val="center"/>
          </w:tcPr>
          <w:p w14:paraId="26060300" w14:textId="5E73E16C" w:rsidR="00BD2C53" w:rsidRPr="00C70FE7" w:rsidRDefault="00AA19E5" w:rsidP="004F36CF">
            <w:pPr>
              <w:tabs>
                <w:tab w:val="center" w:pos="4420"/>
                <w:tab w:val="left" w:pos="6135"/>
              </w:tabs>
              <w:spacing w:line="276" w:lineRule="auto"/>
              <w:rPr>
                <w:rFonts w:ascii="Arial" w:eastAsia="Times New Roman" w:hAnsi="Arial"/>
                <w:color w:val="000000"/>
                <w:lang w:val="es-CO"/>
              </w:rPr>
            </w:pPr>
            <w:r w:rsidRPr="0046491E">
              <w:rPr>
                <w:rFonts w:ascii="Arial" w:eastAsia="Times New Roman" w:hAnsi="Arial"/>
                <w:color w:val="000000"/>
                <w:lang w:val="es-CO"/>
              </w:rPr>
              <w:t xml:space="preserve">Tutela contra providencia judicial </w:t>
            </w:r>
            <w:r w:rsidR="00657DDE" w:rsidRPr="0046491E">
              <w:rPr>
                <w:rFonts w:ascii="Arial" w:eastAsia="Times New Roman" w:hAnsi="Arial"/>
                <w:color w:val="000000"/>
                <w:lang w:val="es-CO"/>
              </w:rPr>
              <w:t>–</w:t>
            </w:r>
            <w:r w:rsidRPr="0046491E">
              <w:rPr>
                <w:rFonts w:ascii="Arial" w:eastAsia="Times New Roman" w:hAnsi="Arial"/>
                <w:color w:val="000000"/>
                <w:lang w:val="es-CO"/>
              </w:rPr>
              <w:t xml:space="preserve"> </w:t>
            </w:r>
            <w:r w:rsidR="00144F48" w:rsidRPr="0046491E">
              <w:rPr>
                <w:rFonts w:ascii="Arial" w:eastAsia="Times New Roman" w:hAnsi="Arial"/>
                <w:color w:val="000000"/>
                <w:lang w:val="es-CO"/>
              </w:rPr>
              <w:t xml:space="preserve">Niega - Defectos </w:t>
            </w:r>
            <w:r w:rsidR="00092927" w:rsidRPr="0046491E">
              <w:rPr>
                <w:rFonts w:ascii="Arial" w:eastAsia="Times New Roman" w:hAnsi="Arial"/>
                <w:color w:val="000000"/>
                <w:lang w:val="es-CO"/>
              </w:rPr>
              <w:t>f</w:t>
            </w:r>
            <w:r w:rsidR="00FC1F98" w:rsidRPr="00C70FE7">
              <w:rPr>
                <w:rFonts w:ascii="Arial" w:eastAsia="Times New Roman" w:hAnsi="Arial"/>
                <w:color w:val="000000"/>
                <w:lang w:val="es-CO"/>
              </w:rPr>
              <w:t>á</w:t>
            </w:r>
            <w:r w:rsidR="00FC1F98" w:rsidRPr="0046491E">
              <w:rPr>
                <w:rFonts w:ascii="Arial" w:eastAsia="Times New Roman" w:hAnsi="Arial"/>
                <w:color w:val="000000"/>
                <w:lang w:val="es-CO"/>
              </w:rPr>
              <w:t>c</w:t>
            </w:r>
            <w:r w:rsidR="00092927" w:rsidRPr="0046491E">
              <w:rPr>
                <w:rFonts w:ascii="Arial" w:eastAsia="Times New Roman" w:hAnsi="Arial"/>
                <w:color w:val="000000"/>
                <w:lang w:val="es-CO"/>
              </w:rPr>
              <w:t xml:space="preserve">tico, </w:t>
            </w:r>
            <w:r w:rsidR="00144F48" w:rsidRPr="00C70FE7">
              <w:rPr>
                <w:rFonts w:ascii="Arial" w:eastAsia="Times New Roman" w:hAnsi="Arial"/>
                <w:color w:val="000000"/>
                <w:lang w:val="es-CO"/>
              </w:rPr>
              <w:t>sustantivo</w:t>
            </w:r>
            <w:r w:rsidR="00092927" w:rsidRPr="00C70FE7">
              <w:rPr>
                <w:rFonts w:ascii="Arial" w:eastAsia="Times New Roman" w:hAnsi="Arial"/>
                <w:color w:val="000000"/>
                <w:lang w:val="es-CO"/>
              </w:rPr>
              <w:t xml:space="preserve"> </w:t>
            </w:r>
            <w:r w:rsidR="00144F48" w:rsidRPr="00C70FE7">
              <w:rPr>
                <w:rFonts w:ascii="Arial" w:eastAsia="Times New Roman" w:hAnsi="Arial"/>
                <w:color w:val="000000"/>
                <w:lang w:val="es-CO"/>
              </w:rPr>
              <w:t xml:space="preserve">y desconocimiento del precedente. </w:t>
            </w:r>
          </w:p>
        </w:tc>
      </w:tr>
    </w:tbl>
    <w:p w14:paraId="2A9860CB" w14:textId="77777777" w:rsidR="00BD5590" w:rsidRPr="00FC1F98" w:rsidRDefault="00BD5590" w:rsidP="004F36CF">
      <w:pPr>
        <w:tabs>
          <w:tab w:val="left" w:pos="3645"/>
        </w:tabs>
        <w:spacing w:line="276" w:lineRule="auto"/>
        <w:rPr>
          <w:rFonts w:ascii="Arial" w:eastAsia="Arial" w:hAnsi="Arial"/>
          <w:b/>
          <w:lang w:val="es-CO"/>
        </w:rPr>
      </w:pPr>
    </w:p>
    <w:p w14:paraId="32C60E95" w14:textId="43E8019A" w:rsidR="00BD2C53" w:rsidRPr="00FC1F98" w:rsidRDefault="00906060" w:rsidP="004F36CF">
      <w:pPr>
        <w:pBdr>
          <w:bottom w:val="single" w:sz="12" w:space="1" w:color="auto"/>
        </w:pBdr>
        <w:tabs>
          <w:tab w:val="left" w:pos="3645"/>
        </w:tabs>
        <w:spacing w:line="276" w:lineRule="auto"/>
        <w:ind w:hanging="2"/>
        <w:rPr>
          <w:rFonts w:ascii="Arial" w:eastAsia="Arial" w:hAnsi="Arial"/>
          <w:b/>
        </w:rPr>
      </w:pPr>
      <w:r w:rsidRPr="00FC1F98">
        <w:rPr>
          <w:rFonts w:ascii="Arial" w:eastAsia="Arial" w:hAnsi="Arial"/>
          <w:b/>
        </w:rPr>
        <w:t xml:space="preserve">SENTENCIA </w:t>
      </w:r>
      <w:r w:rsidR="00E1395A" w:rsidRPr="00FC1F98">
        <w:rPr>
          <w:rFonts w:ascii="Arial" w:eastAsia="Arial" w:hAnsi="Arial"/>
          <w:b/>
        </w:rPr>
        <w:t>DE PRIMERA INSTANCIA</w:t>
      </w:r>
    </w:p>
    <w:p w14:paraId="732A44DD" w14:textId="77777777" w:rsidR="00BD2C53" w:rsidRPr="00FC1F98" w:rsidRDefault="00BD2C53" w:rsidP="00843B73">
      <w:pPr>
        <w:spacing w:line="276" w:lineRule="auto"/>
        <w:rPr>
          <w:rFonts w:ascii="Arial" w:hAnsi="Arial"/>
          <w:b/>
        </w:rPr>
      </w:pPr>
    </w:p>
    <w:p w14:paraId="727C7579" w14:textId="68DBFBD9" w:rsidR="00E1395A" w:rsidRPr="00FC1F98" w:rsidRDefault="00E1395A" w:rsidP="00D51912">
      <w:pPr>
        <w:tabs>
          <w:tab w:val="left" w:pos="2760"/>
        </w:tabs>
        <w:spacing w:line="276" w:lineRule="auto"/>
        <w:rPr>
          <w:rFonts w:ascii="Arial" w:hAnsi="Arial"/>
          <w:color w:val="000000" w:themeColor="text1"/>
          <w:lang w:val="es-ES_tradnl" w:eastAsia="es-ES"/>
        </w:rPr>
      </w:pPr>
      <w:r w:rsidRPr="00FC1F98">
        <w:rPr>
          <w:rFonts w:ascii="Arial" w:hAnsi="Arial"/>
          <w:color w:val="000000" w:themeColor="text1"/>
          <w:lang w:val="es-ES_tradnl" w:eastAsia="es-ES"/>
        </w:rPr>
        <w:t>Procede la Sala a resolver la acción de tutela de la referencia, de conformidad con lo dispuesto por el artículo 86 de la Constitución Política y los Decretos 2591 de 1991 y 1069 de 2015</w:t>
      </w:r>
      <w:r w:rsidRPr="00FC1F98">
        <w:rPr>
          <w:rStyle w:val="Refdenotaalpie"/>
          <w:rFonts w:ascii="Arial" w:hAnsi="Arial"/>
          <w:color w:val="000000" w:themeColor="text1"/>
          <w:lang w:val="es-ES_tradnl" w:eastAsia="es-ES"/>
        </w:rPr>
        <w:footnoteReference w:id="1"/>
      </w:r>
      <w:r w:rsidRPr="00FC1F98">
        <w:rPr>
          <w:rFonts w:ascii="Arial" w:hAnsi="Arial"/>
          <w:color w:val="000000" w:themeColor="text1"/>
          <w:lang w:val="es-ES_tradnl" w:eastAsia="es-ES"/>
        </w:rPr>
        <w:t>.</w:t>
      </w:r>
    </w:p>
    <w:p w14:paraId="22AD0E7E" w14:textId="77777777" w:rsidR="00E1395A" w:rsidRPr="00FC1F98" w:rsidRDefault="00E1395A" w:rsidP="00A57035">
      <w:pPr>
        <w:tabs>
          <w:tab w:val="left" w:pos="2760"/>
        </w:tabs>
        <w:spacing w:line="276" w:lineRule="auto"/>
        <w:rPr>
          <w:rFonts w:ascii="Arial" w:hAnsi="Arial"/>
          <w:color w:val="000000" w:themeColor="text1"/>
          <w:lang w:val="es-ES_tradnl" w:eastAsia="es-ES"/>
        </w:rPr>
      </w:pPr>
    </w:p>
    <w:p w14:paraId="178149CB" w14:textId="109E0B1A" w:rsidR="00E1395A" w:rsidRPr="00FC1F98" w:rsidRDefault="00E1395A" w:rsidP="00A57035">
      <w:pPr>
        <w:pStyle w:val="Prrafodelista"/>
        <w:numPr>
          <w:ilvl w:val="0"/>
          <w:numId w:val="5"/>
        </w:numPr>
        <w:tabs>
          <w:tab w:val="left" w:pos="2760"/>
        </w:tabs>
        <w:spacing w:line="276" w:lineRule="auto"/>
        <w:jc w:val="center"/>
        <w:rPr>
          <w:rFonts w:ascii="Arial" w:hAnsi="Arial"/>
          <w:b/>
          <w:bCs/>
          <w:color w:val="000000" w:themeColor="text1"/>
          <w:lang w:val="es-ES_tradnl" w:eastAsia="es-ES"/>
        </w:rPr>
      </w:pPr>
      <w:r w:rsidRPr="00FC1F98">
        <w:rPr>
          <w:rFonts w:ascii="Arial" w:hAnsi="Arial"/>
          <w:b/>
          <w:bCs/>
          <w:color w:val="000000" w:themeColor="text1"/>
          <w:lang w:val="es-ES_tradnl" w:eastAsia="es-ES"/>
        </w:rPr>
        <w:t>ANTECEDENTES</w:t>
      </w:r>
    </w:p>
    <w:p w14:paraId="1A1C9680" w14:textId="77777777" w:rsidR="00E1395A" w:rsidRPr="00FC1F98" w:rsidRDefault="00E1395A" w:rsidP="00A57035">
      <w:pPr>
        <w:pStyle w:val="Prrafodelista"/>
        <w:tabs>
          <w:tab w:val="left" w:pos="2760"/>
        </w:tabs>
        <w:spacing w:line="276" w:lineRule="auto"/>
        <w:ind w:left="1080"/>
        <w:rPr>
          <w:rFonts w:ascii="Arial" w:hAnsi="Arial"/>
          <w:b/>
          <w:bCs/>
          <w:color w:val="000000" w:themeColor="text1"/>
          <w:lang w:val="es-ES_tradnl" w:eastAsia="es-ES"/>
        </w:rPr>
      </w:pPr>
    </w:p>
    <w:p w14:paraId="79F674E0" w14:textId="16D88B09" w:rsidR="00E1395A" w:rsidRPr="00FC1F98" w:rsidRDefault="00E1395A" w:rsidP="00A57035">
      <w:pPr>
        <w:pStyle w:val="Prrafodelista"/>
        <w:numPr>
          <w:ilvl w:val="0"/>
          <w:numId w:val="6"/>
        </w:numPr>
        <w:tabs>
          <w:tab w:val="left" w:pos="567"/>
        </w:tabs>
        <w:spacing w:line="276" w:lineRule="auto"/>
        <w:ind w:left="0" w:firstLine="0"/>
        <w:rPr>
          <w:rFonts w:ascii="Arial" w:hAnsi="Arial"/>
          <w:b/>
          <w:bCs/>
          <w:color w:val="000000" w:themeColor="text1"/>
          <w:lang w:val="es-ES_tradnl" w:eastAsia="es-ES"/>
        </w:rPr>
      </w:pPr>
      <w:r w:rsidRPr="00FC1F98">
        <w:rPr>
          <w:rFonts w:ascii="Arial" w:hAnsi="Arial"/>
          <w:b/>
          <w:bCs/>
          <w:color w:val="000000" w:themeColor="text1"/>
          <w:lang w:val="es-ES_tradnl" w:eastAsia="es-ES"/>
        </w:rPr>
        <w:t>La tutela</w:t>
      </w:r>
    </w:p>
    <w:p w14:paraId="0C5A95CA" w14:textId="0A311EBC" w:rsidR="00E1395A" w:rsidRPr="00FC1F98" w:rsidRDefault="00E1395A" w:rsidP="00A57035">
      <w:pPr>
        <w:pStyle w:val="Prrafodelista"/>
        <w:spacing w:line="276" w:lineRule="auto"/>
        <w:ind w:left="0"/>
        <w:rPr>
          <w:rFonts w:ascii="Arial" w:hAnsi="Arial"/>
          <w:b/>
          <w:bCs/>
          <w:color w:val="000000" w:themeColor="text1"/>
          <w:lang w:val="es-ES_tradnl" w:eastAsia="es-ES"/>
        </w:rPr>
      </w:pPr>
    </w:p>
    <w:p w14:paraId="2A8F50CF" w14:textId="55D1CAF4" w:rsidR="00D56FFA" w:rsidRPr="00FC1F98" w:rsidRDefault="00D56FFA" w:rsidP="00D56FFA">
      <w:pPr>
        <w:tabs>
          <w:tab w:val="left" w:pos="2760"/>
        </w:tabs>
        <w:spacing w:line="276" w:lineRule="auto"/>
        <w:ind w:hanging="2"/>
        <w:rPr>
          <w:rFonts w:ascii="Arial" w:eastAsia="Arial" w:hAnsi="Arial"/>
          <w:i/>
          <w:iCs/>
          <w:color w:val="000000" w:themeColor="text1"/>
        </w:rPr>
      </w:pPr>
      <w:r w:rsidRPr="00FC1F98">
        <w:rPr>
          <w:rFonts w:ascii="Arial" w:eastAsia="Arial" w:hAnsi="Arial"/>
          <w:color w:val="000000" w:themeColor="text1"/>
        </w:rPr>
        <w:t xml:space="preserve">El señor </w:t>
      </w:r>
      <w:r w:rsidRPr="00FC1F98">
        <w:rPr>
          <w:rFonts w:ascii="Arial" w:hAnsi="Arial"/>
          <w:b/>
          <w:color w:val="000000" w:themeColor="text1"/>
        </w:rPr>
        <w:t>José Ricardo Cepeda Corredor</w:t>
      </w:r>
      <w:r w:rsidRPr="00FC1F98">
        <w:rPr>
          <w:rFonts w:ascii="Arial" w:eastAsia="Arial" w:hAnsi="Arial"/>
          <w:color w:val="000000" w:themeColor="text1"/>
        </w:rPr>
        <w:t>, actuando en nombre propio, presentó acción de tutela</w:t>
      </w:r>
      <w:r w:rsidRPr="00FC1F98">
        <w:rPr>
          <w:rStyle w:val="Refdenotaalpie"/>
          <w:rFonts w:ascii="Arial" w:eastAsia="Arial" w:hAnsi="Arial"/>
        </w:rPr>
        <w:footnoteReference w:id="2"/>
      </w:r>
      <w:r w:rsidRPr="00FC1F98">
        <w:rPr>
          <w:rFonts w:ascii="Arial" w:eastAsia="Arial" w:hAnsi="Arial"/>
          <w:color w:val="000000" w:themeColor="text1"/>
        </w:rPr>
        <w:t>, contra el Tribunal Administrativo de Boyacá, Sala de Decisión N</w:t>
      </w:r>
      <w:r w:rsidR="009D62B1" w:rsidRPr="00FC1F98">
        <w:rPr>
          <w:rFonts w:ascii="Arial" w:eastAsia="Arial" w:hAnsi="Arial"/>
          <w:color w:val="000000" w:themeColor="text1"/>
        </w:rPr>
        <w:t>o</w:t>
      </w:r>
      <w:r w:rsidRPr="00FC1F98">
        <w:rPr>
          <w:rFonts w:ascii="Arial" w:eastAsia="Arial" w:hAnsi="Arial"/>
          <w:color w:val="000000" w:themeColor="text1"/>
        </w:rPr>
        <w:t>. 4</w:t>
      </w:r>
      <w:r w:rsidR="009D0EE3" w:rsidRPr="00FC1F98">
        <w:rPr>
          <w:rFonts w:ascii="Arial" w:eastAsia="Arial" w:hAnsi="Arial"/>
          <w:color w:val="000000" w:themeColor="text1"/>
        </w:rPr>
        <w:t>,</w:t>
      </w:r>
      <w:r w:rsidRPr="00FC1F98">
        <w:rPr>
          <w:rFonts w:ascii="Arial" w:eastAsia="Arial" w:hAnsi="Arial"/>
          <w:color w:val="000000" w:themeColor="text1"/>
        </w:rPr>
        <w:t xml:space="preserve"> con el fin de que le sean amparados sus derechos fundamentales al debido proceso, de acceso a la administración de justicia, de defensa,</w:t>
      </w:r>
      <w:r w:rsidR="009D62B1" w:rsidRPr="00FC1F98">
        <w:rPr>
          <w:rFonts w:ascii="Arial" w:eastAsia="Arial" w:hAnsi="Arial"/>
          <w:color w:val="000000" w:themeColor="text1"/>
        </w:rPr>
        <w:t xml:space="preserve"> a la</w:t>
      </w:r>
      <w:r w:rsidRPr="00FC1F98">
        <w:rPr>
          <w:rFonts w:ascii="Arial" w:eastAsia="Arial" w:hAnsi="Arial"/>
          <w:color w:val="000000" w:themeColor="text1"/>
        </w:rPr>
        <w:t xml:space="preserve"> igualdad, a la vivienda digna, al mínimo vital y </w:t>
      </w:r>
      <w:r w:rsidR="009D62B1" w:rsidRPr="00FC1F98">
        <w:rPr>
          <w:rFonts w:ascii="Arial" w:eastAsia="Arial" w:hAnsi="Arial"/>
          <w:color w:val="000000" w:themeColor="text1"/>
        </w:rPr>
        <w:t xml:space="preserve">a </w:t>
      </w:r>
      <w:r w:rsidRPr="00FC1F98">
        <w:rPr>
          <w:rFonts w:ascii="Arial" w:eastAsia="Arial" w:hAnsi="Arial"/>
          <w:color w:val="000000" w:themeColor="text1"/>
        </w:rPr>
        <w:t xml:space="preserve">la protección </w:t>
      </w:r>
      <w:r w:rsidR="009D62B1" w:rsidRPr="00FC1F98">
        <w:rPr>
          <w:rFonts w:ascii="Arial" w:eastAsia="Arial" w:hAnsi="Arial"/>
          <w:color w:val="000000" w:themeColor="text1"/>
        </w:rPr>
        <w:t>de</w:t>
      </w:r>
      <w:r w:rsidRPr="00FC1F98">
        <w:rPr>
          <w:rFonts w:ascii="Arial" w:eastAsia="Arial" w:hAnsi="Arial"/>
          <w:color w:val="000000" w:themeColor="text1"/>
        </w:rPr>
        <w:t xml:space="preserve"> la “</w:t>
      </w:r>
      <w:r w:rsidRPr="00FC1F98">
        <w:rPr>
          <w:rFonts w:ascii="Arial" w:eastAsia="Arial" w:hAnsi="Arial"/>
          <w:i/>
          <w:iCs/>
          <w:color w:val="000000" w:themeColor="text1"/>
        </w:rPr>
        <w:t>tercera edad”.</w:t>
      </w:r>
    </w:p>
    <w:p w14:paraId="74AC53CA" w14:textId="12176B8A" w:rsidR="00D56FFA" w:rsidRPr="00FC1F98" w:rsidRDefault="00D56FFA" w:rsidP="00D56FFA">
      <w:pPr>
        <w:tabs>
          <w:tab w:val="left" w:pos="2760"/>
        </w:tabs>
        <w:spacing w:line="276" w:lineRule="auto"/>
        <w:ind w:hanging="2"/>
        <w:rPr>
          <w:rFonts w:ascii="Arial" w:eastAsia="Arial" w:hAnsi="Arial"/>
          <w:i/>
          <w:iCs/>
          <w:color w:val="000000" w:themeColor="text1"/>
        </w:rPr>
      </w:pPr>
    </w:p>
    <w:p w14:paraId="62B186B4" w14:textId="4E32F6D4" w:rsidR="00D56FFA" w:rsidRPr="00FC1F98" w:rsidRDefault="00D56FFA" w:rsidP="00D56FFA">
      <w:pPr>
        <w:spacing w:line="276" w:lineRule="auto"/>
        <w:rPr>
          <w:rFonts w:ascii="Arial" w:hAnsi="Arial"/>
        </w:rPr>
      </w:pPr>
      <w:r w:rsidRPr="00FC1F98">
        <w:rPr>
          <w:rFonts w:ascii="Arial" w:hAnsi="Arial"/>
        </w:rPr>
        <w:t>En sentir del accionante, las mencionadas garantías constitucionales fueron vulneradas con ocasión de la sentencia de 10 de noviembre de 2020 por medio de la cual, la autoridad judicial accionada revocó la providencia de 11 de diciembre de 2018</w:t>
      </w:r>
      <w:r w:rsidR="00950002" w:rsidRPr="00FC1F98">
        <w:rPr>
          <w:rFonts w:ascii="Arial" w:hAnsi="Arial"/>
        </w:rPr>
        <w:t xml:space="preserve"> y</w:t>
      </w:r>
      <w:r w:rsidRPr="00FC1F98">
        <w:rPr>
          <w:rFonts w:ascii="Arial" w:hAnsi="Arial"/>
        </w:rPr>
        <w:t>,</w:t>
      </w:r>
      <w:r w:rsidR="00950002" w:rsidRPr="00FC1F98">
        <w:rPr>
          <w:rFonts w:ascii="Arial" w:hAnsi="Arial"/>
        </w:rPr>
        <w:t xml:space="preserve"> en su lugar declaró la caducidad de la acción,</w:t>
      </w:r>
      <w:r w:rsidRPr="00FC1F98">
        <w:rPr>
          <w:rFonts w:ascii="Arial" w:hAnsi="Arial"/>
        </w:rPr>
        <w:t xml:space="preserve"> con la que el Juzgado Segundo Administrativo Oral del Circuito Judicial de Duitama accedió a las pretensiones planteadas al interior del medio de control de reparación directa de radicado </w:t>
      </w:r>
      <w:r w:rsidR="00092927" w:rsidRPr="00FC1F98">
        <w:rPr>
          <w:rFonts w:ascii="Arial" w:hAnsi="Arial"/>
        </w:rPr>
        <w:t>15693</w:t>
      </w:r>
      <w:r w:rsidRPr="00FC1F98">
        <w:rPr>
          <w:rFonts w:ascii="Arial" w:hAnsi="Arial"/>
        </w:rPr>
        <w:t xml:space="preserve">-33-31-002-2011-00237-01, formulado por los señores José </w:t>
      </w:r>
      <w:r w:rsidRPr="00FC1F98">
        <w:rPr>
          <w:rFonts w:ascii="Arial" w:hAnsi="Arial"/>
        </w:rPr>
        <w:lastRenderedPageBreak/>
        <w:t xml:space="preserve">Ricardo Cepeda Corredor, César Augusto Cepeda Corredor, José Neftalí Cepeda Ramírez y Paulina Corredor Cepeda contra el Ministerio de Minas y Energía, Ministerio de Ambiente y Desarrollo Sostenible, Ministerio de Vivienda, Ciudad y Territorio, Corporación Autónoma Regional de Boyacá – Corpoboyacá, Instituto Colombiano de Geología y Minería – </w:t>
      </w:r>
      <w:proofErr w:type="spellStart"/>
      <w:r w:rsidR="003A041C" w:rsidRPr="00FC1F98">
        <w:rPr>
          <w:rFonts w:ascii="Arial" w:hAnsi="Arial"/>
        </w:rPr>
        <w:t>Ingeominas</w:t>
      </w:r>
      <w:proofErr w:type="spellEnd"/>
      <w:r w:rsidRPr="00FC1F98">
        <w:rPr>
          <w:rFonts w:ascii="Arial" w:hAnsi="Arial"/>
        </w:rPr>
        <w:t>, Departamento de Boyacá, Municipio de Paipa, Cooperativa Agrominera Multiactiva de Paipa Ltda. – Coagromin, Juan de Dios Ochoa Castiblanco y Elsa Nubia Mateus Jiménez.</w:t>
      </w:r>
    </w:p>
    <w:p w14:paraId="19C46ECD" w14:textId="4F8996CF" w:rsidR="00F04776" w:rsidRPr="00FC1F98" w:rsidRDefault="00F04776" w:rsidP="00D56FFA">
      <w:pPr>
        <w:spacing w:line="276" w:lineRule="auto"/>
        <w:rPr>
          <w:rFonts w:ascii="Arial" w:hAnsi="Arial"/>
          <w:color w:val="000000"/>
          <w:lang w:eastAsia="es-ES"/>
        </w:rPr>
      </w:pPr>
    </w:p>
    <w:p w14:paraId="1DDF4BCB" w14:textId="073A8C9D" w:rsidR="00F30910" w:rsidRPr="00FC1F98" w:rsidRDefault="00F30910" w:rsidP="00792240">
      <w:pPr>
        <w:pStyle w:val="Prrafodelista"/>
        <w:numPr>
          <w:ilvl w:val="0"/>
          <w:numId w:val="6"/>
        </w:numPr>
        <w:tabs>
          <w:tab w:val="left" w:pos="567"/>
        </w:tabs>
        <w:spacing w:line="276" w:lineRule="auto"/>
        <w:ind w:left="0" w:firstLine="0"/>
        <w:rPr>
          <w:rFonts w:ascii="Arial" w:eastAsia="Times New Roman" w:hAnsi="Arial"/>
          <w:b/>
          <w:bCs/>
          <w:color w:val="000000"/>
        </w:rPr>
      </w:pPr>
      <w:r w:rsidRPr="00FC1F98">
        <w:rPr>
          <w:rFonts w:ascii="Arial" w:eastAsia="Times New Roman" w:hAnsi="Arial"/>
          <w:b/>
          <w:bCs/>
          <w:color w:val="000000"/>
        </w:rPr>
        <w:t>Hechos</w:t>
      </w:r>
    </w:p>
    <w:p w14:paraId="6C311B3B" w14:textId="77777777" w:rsidR="00BD200A" w:rsidRPr="00FC1F98" w:rsidRDefault="00BD200A" w:rsidP="00792240">
      <w:pPr>
        <w:pStyle w:val="Prrafodelista"/>
        <w:tabs>
          <w:tab w:val="left" w:pos="567"/>
        </w:tabs>
        <w:spacing w:line="276" w:lineRule="auto"/>
        <w:ind w:left="0"/>
        <w:rPr>
          <w:rFonts w:ascii="Arial" w:eastAsia="Times New Roman" w:hAnsi="Arial"/>
          <w:b/>
          <w:bCs/>
          <w:color w:val="000000"/>
        </w:rPr>
      </w:pPr>
    </w:p>
    <w:p w14:paraId="53FCF199" w14:textId="23253C30" w:rsidR="00F30910" w:rsidRPr="00FC1F98" w:rsidRDefault="00F30910" w:rsidP="00792240">
      <w:pPr>
        <w:pStyle w:val="Prrafodelista"/>
        <w:tabs>
          <w:tab w:val="left" w:pos="567"/>
        </w:tabs>
        <w:spacing w:line="276" w:lineRule="auto"/>
        <w:ind w:left="0"/>
        <w:rPr>
          <w:rFonts w:ascii="Arial" w:eastAsia="Times New Roman" w:hAnsi="Arial"/>
          <w:color w:val="000000"/>
        </w:rPr>
      </w:pPr>
      <w:r w:rsidRPr="00FC1F98">
        <w:rPr>
          <w:rFonts w:ascii="Arial" w:eastAsia="Times New Roman" w:hAnsi="Arial"/>
          <w:color w:val="000000"/>
        </w:rPr>
        <w:t>Los supuestos fácticos de la presente solicitud, en síntesis, son los siguientes</w:t>
      </w:r>
      <w:r w:rsidR="004A7592" w:rsidRPr="00FC1F98">
        <w:rPr>
          <w:rStyle w:val="Refdenotaalpie"/>
          <w:rFonts w:ascii="Arial" w:eastAsia="Times New Roman" w:hAnsi="Arial"/>
          <w:color w:val="000000"/>
        </w:rPr>
        <w:footnoteReference w:id="3"/>
      </w:r>
      <w:r w:rsidRPr="00FC1F98">
        <w:rPr>
          <w:rFonts w:ascii="Arial" w:eastAsia="Times New Roman" w:hAnsi="Arial"/>
          <w:color w:val="000000"/>
        </w:rPr>
        <w:t>:</w:t>
      </w:r>
    </w:p>
    <w:p w14:paraId="099676A5" w14:textId="6C524246" w:rsidR="00F30910" w:rsidRPr="00FC1F98" w:rsidRDefault="00F30910" w:rsidP="00792240">
      <w:pPr>
        <w:pStyle w:val="Prrafodelista"/>
        <w:tabs>
          <w:tab w:val="left" w:pos="567"/>
        </w:tabs>
        <w:spacing w:line="276" w:lineRule="auto"/>
        <w:ind w:left="0"/>
        <w:rPr>
          <w:rFonts w:ascii="Arial" w:eastAsia="Times New Roman" w:hAnsi="Arial"/>
          <w:color w:val="000000"/>
        </w:rPr>
      </w:pPr>
    </w:p>
    <w:p w14:paraId="7F1F4317" w14:textId="468ADD64" w:rsidR="004A7592" w:rsidRPr="00FC1F98" w:rsidRDefault="002B7BA2" w:rsidP="00792240">
      <w:pPr>
        <w:pStyle w:val="Prrafodelista"/>
        <w:numPr>
          <w:ilvl w:val="1"/>
          <w:numId w:val="6"/>
        </w:numPr>
        <w:tabs>
          <w:tab w:val="left" w:pos="567"/>
        </w:tabs>
        <w:spacing w:line="276" w:lineRule="auto"/>
        <w:ind w:left="0" w:firstLine="0"/>
        <w:rPr>
          <w:rFonts w:ascii="Arial" w:eastAsia="Times New Roman" w:hAnsi="Arial"/>
          <w:color w:val="000000"/>
        </w:rPr>
      </w:pPr>
      <w:bookmarkStart w:id="4" w:name="_Hlk66357296"/>
      <w:r w:rsidRPr="00FC1F98">
        <w:rPr>
          <w:rFonts w:ascii="Arial" w:hAnsi="Arial"/>
        </w:rPr>
        <w:t>Los señores</w:t>
      </w:r>
      <w:r w:rsidR="00BE4BC1" w:rsidRPr="00FC1F98">
        <w:rPr>
          <w:rFonts w:ascii="Arial" w:hAnsi="Arial"/>
        </w:rPr>
        <w:t xml:space="preserve"> José Ricardo Cepeda Corredor </w:t>
      </w:r>
      <w:r w:rsidR="00E51C0E" w:rsidRPr="00FC1F98">
        <w:rPr>
          <w:rFonts w:ascii="Arial" w:hAnsi="Arial"/>
        </w:rPr>
        <w:t>y C</w:t>
      </w:r>
      <w:r w:rsidRPr="00FC1F98">
        <w:rPr>
          <w:rFonts w:ascii="Arial" w:hAnsi="Arial"/>
        </w:rPr>
        <w:t>é</w:t>
      </w:r>
      <w:r w:rsidR="00E51C0E" w:rsidRPr="00FC1F98">
        <w:rPr>
          <w:rFonts w:ascii="Arial" w:hAnsi="Arial"/>
        </w:rPr>
        <w:t xml:space="preserve">sar Augusto </w:t>
      </w:r>
      <w:r w:rsidRPr="00FC1F98">
        <w:rPr>
          <w:rFonts w:ascii="Arial" w:hAnsi="Arial"/>
        </w:rPr>
        <w:t xml:space="preserve">Cepeda </w:t>
      </w:r>
      <w:r w:rsidR="00E51C0E" w:rsidRPr="00FC1F98">
        <w:rPr>
          <w:rFonts w:ascii="Arial" w:hAnsi="Arial"/>
        </w:rPr>
        <w:t xml:space="preserve">Corredor son propietarios del inmueble Villa </w:t>
      </w:r>
      <w:r w:rsidR="00E51C0E" w:rsidRPr="00C630EE">
        <w:rPr>
          <w:rFonts w:ascii="Arial" w:hAnsi="Arial"/>
        </w:rPr>
        <w:t>Fernanda, ubicada en la vereda El Volcán del Municipio de Paipa</w:t>
      </w:r>
      <w:r w:rsidR="00F67E63" w:rsidRPr="00C630EE">
        <w:rPr>
          <w:rFonts w:ascii="Arial" w:hAnsi="Arial"/>
        </w:rPr>
        <w:t>, el cual adquirieron mediante escritura pública 477 de 30 de mayo de 20</w:t>
      </w:r>
      <w:r w:rsidR="00C630EE">
        <w:rPr>
          <w:rFonts w:ascii="Arial" w:hAnsi="Arial"/>
        </w:rPr>
        <w:t>0</w:t>
      </w:r>
      <w:r w:rsidR="00F67E63" w:rsidRPr="00C630EE">
        <w:rPr>
          <w:rFonts w:ascii="Arial" w:hAnsi="Arial"/>
        </w:rPr>
        <w:t>1 con folio de matrícula No. 074-70061</w:t>
      </w:r>
      <w:r w:rsidR="00AE0E4B" w:rsidRPr="00C630EE">
        <w:rPr>
          <w:rStyle w:val="Refdenotaalpie"/>
          <w:rFonts w:ascii="Arial" w:hAnsi="Arial"/>
        </w:rPr>
        <w:footnoteReference w:id="4"/>
      </w:r>
      <w:r w:rsidR="00E51C0E" w:rsidRPr="00C630EE">
        <w:rPr>
          <w:rFonts w:ascii="Arial" w:hAnsi="Arial"/>
        </w:rPr>
        <w:t>.</w:t>
      </w:r>
    </w:p>
    <w:p w14:paraId="6514EA7C" w14:textId="77777777" w:rsidR="00E51C0E" w:rsidRPr="00FC1F98" w:rsidRDefault="00E51C0E" w:rsidP="00E51C0E">
      <w:pPr>
        <w:pStyle w:val="Prrafodelista"/>
        <w:tabs>
          <w:tab w:val="left" w:pos="567"/>
        </w:tabs>
        <w:spacing w:line="276" w:lineRule="auto"/>
        <w:ind w:left="0"/>
        <w:rPr>
          <w:rFonts w:ascii="Arial" w:eastAsia="Times New Roman" w:hAnsi="Arial"/>
          <w:color w:val="000000"/>
        </w:rPr>
      </w:pPr>
    </w:p>
    <w:p w14:paraId="6FF31547" w14:textId="506AF189" w:rsidR="008E734F" w:rsidRPr="00FC1F98" w:rsidRDefault="009D62B1" w:rsidP="00792240">
      <w:pPr>
        <w:pStyle w:val="Prrafodelista"/>
        <w:numPr>
          <w:ilvl w:val="1"/>
          <w:numId w:val="6"/>
        </w:numPr>
        <w:tabs>
          <w:tab w:val="left" w:pos="567"/>
        </w:tabs>
        <w:spacing w:line="276" w:lineRule="auto"/>
        <w:ind w:left="0" w:firstLine="0"/>
        <w:rPr>
          <w:rFonts w:ascii="Arial" w:eastAsia="Times New Roman" w:hAnsi="Arial"/>
          <w:color w:val="000000"/>
        </w:rPr>
      </w:pPr>
      <w:r w:rsidRPr="00FC1F98">
        <w:rPr>
          <w:rFonts w:ascii="Arial" w:eastAsia="Times New Roman" w:hAnsi="Arial"/>
          <w:color w:val="000000"/>
        </w:rPr>
        <w:t>C</w:t>
      </w:r>
      <w:r w:rsidR="00E51C0E" w:rsidRPr="00FC1F98">
        <w:rPr>
          <w:rFonts w:ascii="Arial" w:eastAsia="Times New Roman" w:hAnsi="Arial"/>
          <w:color w:val="000000"/>
        </w:rPr>
        <w:t xml:space="preserve">onstruyeron una casa en el terreno para sus padres Neftalí Cepeda Ramírez y Paulina Corredor </w:t>
      </w:r>
      <w:r w:rsidR="002B7BA2" w:rsidRPr="00FC1F98">
        <w:rPr>
          <w:rFonts w:ascii="Arial" w:eastAsia="Times New Roman" w:hAnsi="Arial"/>
          <w:color w:val="000000"/>
        </w:rPr>
        <w:t>d</w:t>
      </w:r>
      <w:r w:rsidR="00E51C0E" w:rsidRPr="00FC1F98">
        <w:rPr>
          <w:rFonts w:ascii="Arial" w:eastAsia="Times New Roman" w:hAnsi="Arial"/>
          <w:color w:val="000000"/>
        </w:rPr>
        <w:t>e Cepeda</w:t>
      </w:r>
      <w:r w:rsidR="00092927" w:rsidRPr="00FC1F98">
        <w:rPr>
          <w:rFonts w:ascii="Arial" w:eastAsia="Times New Roman" w:hAnsi="Arial"/>
          <w:color w:val="000000"/>
        </w:rPr>
        <w:t>,</w:t>
      </w:r>
      <w:r w:rsidR="00E51C0E" w:rsidRPr="00FC1F98">
        <w:rPr>
          <w:rFonts w:ascii="Arial" w:eastAsia="Times New Roman" w:hAnsi="Arial"/>
          <w:color w:val="000000"/>
        </w:rPr>
        <w:t xml:space="preserve"> cuya zona está clasificada como </w:t>
      </w:r>
      <w:r w:rsidR="008E734F" w:rsidRPr="00FC1F98">
        <w:rPr>
          <w:rFonts w:ascii="Arial" w:eastAsia="Times New Roman" w:hAnsi="Arial"/>
          <w:color w:val="000000"/>
        </w:rPr>
        <w:t>minería restringida conforme al POT del municipio de Paipa (Acuerdo 030 de 2000).</w:t>
      </w:r>
    </w:p>
    <w:p w14:paraId="5B843A3E" w14:textId="77777777" w:rsidR="008E734F" w:rsidRPr="00FC1F98" w:rsidRDefault="008E734F" w:rsidP="008E734F">
      <w:pPr>
        <w:pStyle w:val="Prrafodelista"/>
        <w:rPr>
          <w:rFonts w:ascii="Arial" w:eastAsia="Times New Roman" w:hAnsi="Arial"/>
          <w:color w:val="000000"/>
        </w:rPr>
      </w:pPr>
    </w:p>
    <w:p w14:paraId="1DB589AD" w14:textId="42FFB5CB" w:rsidR="002B061F" w:rsidRPr="00FC1F98" w:rsidRDefault="00793DEF" w:rsidP="00793DEF">
      <w:pPr>
        <w:pStyle w:val="Prrafodelista"/>
        <w:tabs>
          <w:tab w:val="left" w:pos="567"/>
        </w:tabs>
        <w:spacing w:line="276" w:lineRule="auto"/>
        <w:ind w:left="0"/>
        <w:rPr>
          <w:rFonts w:ascii="Arial" w:eastAsia="Times New Roman" w:hAnsi="Arial"/>
          <w:color w:val="000000"/>
        </w:rPr>
      </w:pPr>
      <w:r w:rsidRPr="00FC1F98">
        <w:rPr>
          <w:rFonts w:ascii="Arial" w:eastAsia="Times New Roman" w:hAnsi="Arial"/>
          <w:color w:val="000000"/>
        </w:rPr>
        <w:t xml:space="preserve">2.3. </w:t>
      </w:r>
      <w:r w:rsidR="008E734F" w:rsidRPr="00FC1F98">
        <w:rPr>
          <w:rFonts w:ascii="Arial" w:eastAsia="Times New Roman" w:hAnsi="Arial"/>
          <w:color w:val="000000"/>
        </w:rPr>
        <w:t xml:space="preserve">No obstante, la </w:t>
      </w:r>
      <w:r w:rsidR="00785F1C" w:rsidRPr="00FC1F98">
        <w:rPr>
          <w:rFonts w:ascii="Arial" w:eastAsia="Times New Roman" w:hAnsi="Arial"/>
          <w:color w:val="000000"/>
        </w:rPr>
        <w:t xml:space="preserve">Cooperativa Agrominera Multiactiva de Paipa </w:t>
      </w:r>
      <w:r w:rsidR="00DC5705" w:rsidRPr="00FC1F98">
        <w:rPr>
          <w:rFonts w:ascii="Arial" w:eastAsia="Times New Roman" w:hAnsi="Arial"/>
          <w:color w:val="000000"/>
        </w:rPr>
        <w:t>Ltda.</w:t>
      </w:r>
      <w:r w:rsidR="008E734F" w:rsidRPr="00FC1F98">
        <w:rPr>
          <w:rFonts w:ascii="Arial" w:eastAsia="Times New Roman" w:hAnsi="Arial"/>
          <w:color w:val="000000"/>
        </w:rPr>
        <w:t xml:space="preserve"> </w:t>
      </w:r>
      <w:r w:rsidR="00785F1C" w:rsidRPr="00FC1F98">
        <w:rPr>
          <w:rFonts w:ascii="Arial" w:eastAsia="Times New Roman" w:hAnsi="Arial"/>
          <w:color w:val="000000"/>
        </w:rPr>
        <w:t>-</w:t>
      </w:r>
      <w:r w:rsidR="008E734F" w:rsidRPr="00FC1F98">
        <w:rPr>
          <w:rFonts w:ascii="Arial" w:eastAsia="Times New Roman" w:hAnsi="Arial"/>
          <w:color w:val="000000"/>
        </w:rPr>
        <w:t>C</w:t>
      </w:r>
      <w:r w:rsidR="00FC3AF7" w:rsidRPr="00FC1F98">
        <w:rPr>
          <w:rFonts w:ascii="Arial" w:eastAsia="Times New Roman" w:hAnsi="Arial"/>
          <w:color w:val="000000"/>
        </w:rPr>
        <w:t>oagromin</w:t>
      </w:r>
      <w:r w:rsidR="00785F1C" w:rsidRPr="00FC1F98">
        <w:rPr>
          <w:rFonts w:ascii="Arial" w:eastAsia="Times New Roman" w:hAnsi="Arial"/>
          <w:color w:val="000000"/>
        </w:rPr>
        <w:t xml:space="preserve">- </w:t>
      </w:r>
      <w:r w:rsidR="008E734F" w:rsidRPr="00FC1F98">
        <w:rPr>
          <w:rFonts w:ascii="Arial" w:eastAsia="Times New Roman" w:hAnsi="Arial"/>
          <w:color w:val="000000"/>
        </w:rPr>
        <w:t>explota carbón mineral en la zona facultad</w:t>
      </w:r>
      <w:r w:rsidR="00FC6DEA" w:rsidRPr="00FC1F98">
        <w:rPr>
          <w:rFonts w:ascii="Arial" w:eastAsia="Times New Roman" w:hAnsi="Arial"/>
          <w:color w:val="000000"/>
        </w:rPr>
        <w:t>a</w:t>
      </w:r>
      <w:r w:rsidR="008E734F" w:rsidRPr="00FC1F98">
        <w:rPr>
          <w:rFonts w:ascii="Arial" w:eastAsia="Times New Roman" w:hAnsi="Arial"/>
          <w:color w:val="000000"/>
        </w:rPr>
        <w:t xml:space="preserve"> por el contrato No. 01-005-9</w:t>
      </w:r>
      <w:r w:rsidR="00FC6DEA" w:rsidRPr="00FC1F98">
        <w:rPr>
          <w:rFonts w:ascii="Arial" w:eastAsia="Times New Roman" w:hAnsi="Arial"/>
          <w:color w:val="000000"/>
        </w:rPr>
        <w:t>6</w:t>
      </w:r>
      <w:r w:rsidR="008E734F" w:rsidRPr="00FC1F98">
        <w:rPr>
          <w:rFonts w:ascii="Arial" w:eastAsia="Times New Roman" w:hAnsi="Arial"/>
          <w:color w:val="000000"/>
        </w:rPr>
        <w:t>,</w:t>
      </w:r>
      <w:r w:rsidR="00FC6DEA" w:rsidRPr="00FC1F98">
        <w:rPr>
          <w:rFonts w:ascii="Arial" w:eastAsia="Times New Roman" w:hAnsi="Arial"/>
          <w:color w:val="000000"/>
        </w:rPr>
        <w:t xml:space="preserve"> suscrito por ést</w:t>
      </w:r>
      <w:r w:rsidR="002B061F" w:rsidRPr="00FC1F98">
        <w:rPr>
          <w:rFonts w:ascii="Arial" w:eastAsia="Times New Roman" w:hAnsi="Arial"/>
          <w:color w:val="000000"/>
        </w:rPr>
        <w:t>a</w:t>
      </w:r>
      <w:r w:rsidR="00FC6DEA" w:rsidRPr="00FC1F98">
        <w:rPr>
          <w:rFonts w:ascii="Arial" w:eastAsia="Times New Roman" w:hAnsi="Arial"/>
          <w:color w:val="000000"/>
        </w:rPr>
        <w:t xml:space="preserve"> y la Empresa Colombiana de Carbón </w:t>
      </w:r>
      <w:proofErr w:type="spellStart"/>
      <w:r w:rsidR="00FC6DEA" w:rsidRPr="00FC1F98">
        <w:rPr>
          <w:rFonts w:ascii="Arial" w:eastAsia="Times New Roman" w:hAnsi="Arial"/>
          <w:color w:val="000000"/>
        </w:rPr>
        <w:t>Ltda</w:t>
      </w:r>
      <w:proofErr w:type="spellEnd"/>
      <w:r w:rsidR="00FC6DEA" w:rsidRPr="00FC1F98">
        <w:rPr>
          <w:rFonts w:ascii="Arial" w:eastAsia="Times New Roman" w:hAnsi="Arial"/>
          <w:color w:val="000000"/>
        </w:rPr>
        <w:t xml:space="preserve"> -</w:t>
      </w:r>
      <w:proofErr w:type="spellStart"/>
      <w:r w:rsidR="00FC6DEA" w:rsidRPr="00FC1F98">
        <w:rPr>
          <w:rFonts w:ascii="Arial" w:eastAsia="Times New Roman" w:hAnsi="Arial"/>
          <w:color w:val="000000"/>
        </w:rPr>
        <w:t>Ecocarbón</w:t>
      </w:r>
      <w:proofErr w:type="spellEnd"/>
      <w:r w:rsidR="00FC6DEA" w:rsidRPr="00FC1F98">
        <w:rPr>
          <w:rFonts w:ascii="Arial" w:eastAsia="Times New Roman" w:hAnsi="Arial"/>
          <w:color w:val="000000"/>
        </w:rPr>
        <w:t>-</w:t>
      </w:r>
      <w:r w:rsidR="00DC5705" w:rsidRPr="00FC1F98">
        <w:rPr>
          <w:rFonts w:ascii="Arial" w:eastAsia="Times New Roman" w:hAnsi="Arial"/>
          <w:color w:val="000000"/>
        </w:rPr>
        <w:t>.</w:t>
      </w:r>
    </w:p>
    <w:p w14:paraId="7186C029" w14:textId="77777777" w:rsidR="002B061F" w:rsidRPr="00FC1F98" w:rsidRDefault="002B061F" w:rsidP="00793DEF">
      <w:pPr>
        <w:pStyle w:val="Prrafodelista"/>
        <w:tabs>
          <w:tab w:val="left" w:pos="567"/>
        </w:tabs>
        <w:spacing w:line="276" w:lineRule="auto"/>
        <w:ind w:left="0"/>
        <w:rPr>
          <w:rFonts w:ascii="Arial" w:eastAsia="Times New Roman" w:hAnsi="Arial"/>
          <w:color w:val="000000"/>
        </w:rPr>
      </w:pPr>
    </w:p>
    <w:p w14:paraId="7C772370" w14:textId="04878B86" w:rsidR="00E51C0E" w:rsidRPr="00FC1F98" w:rsidRDefault="002B061F" w:rsidP="00793DEF">
      <w:pPr>
        <w:pStyle w:val="Prrafodelista"/>
        <w:tabs>
          <w:tab w:val="left" w:pos="567"/>
        </w:tabs>
        <w:spacing w:line="276" w:lineRule="auto"/>
        <w:ind w:left="0"/>
        <w:rPr>
          <w:rFonts w:ascii="Arial" w:eastAsia="Times New Roman" w:hAnsi="Arial"/>
          <w:color w:val="000000"/>
        </w:rPr>
      </w:pPr>
      <w:r w:rsidRPr="00FC1F98">
        <w:rPr>
          <w:rFonts w:ascii="Arial" w:eastAsia="Times New Roman" w:hAnsi="Arial"/>
          <w:color w:val="000000"/>
        </w:rPr>
        <w:t>2.4. A su vez, Coagromin</w:t>
      </w:r>
      <w:r w:rsidR="00FC6DEA" w:rsidRPr="00FC1F98">
        <w:rPr>
          <w:rFonts w:ascii="Arial" w:eastAsia="Times New Roman" w:hAnsi="Arial"/>
          <w:color w:val="000000"/>
        </w:rPr>
        <w:t xml:space="preserve"> cedió los derechos de área a </w:t>
      </w:r>
      <w:r w:rsidR="008E734F" w:rsidRPr="00FC1F98">
        <w:rPr>
          <w:rFonts w:ascii="Arial" w:eastAsia="Times New Roman" w:hAnsi="Arial"/>
          <w:color w:val="000000"/>
        </w:rPr>
        <w:t xml:space="preserve">los señores Juan </w:t>
      </w:r>
      <w:r w:rsidR="002B7BA2" w:rsidRPr="00FC1F98">
        <w:rPr>
          <w:rFonts w:ascii="Arial" w:eastAsia="Times New Roman" w:hAnsi="Arial"/>
          <w:color w:val="000000"/>
        </w:rPr>
        <w:t>d</w:t>
      </w:r>
      <w:r w:rsidR="008E734F" w:rsidRPr="00FC1F98">
        <w:rPr>
          <w:rFonts w:ascii="Arial" w:eastAsia="Times New Roman" w:hAnsi="Arial"/>
          <w:color w:val="000000"/>
        </w:rPr>
        <w:t>e Dios Ochoa Castiblanco, Elsa Nubia Mateus Jiménez</w:t>
      </w:r>
      <w:r w:rsidRPr="00FC1F98">
        <w:rPr>
          <w:rFonts w:ascii="Arial" w:eastAsia="Times New Roman" w:hAnsi="Arial"/>
          <w:color w:val="000000"/>
        </w:rPr>
        <w:t xml:space="preserve">, Eleuterio Mateus </w:t>
      </w:r>
      <w:proofErr w:type="spellStart"/>
      <w:r w:rsidRPr="00FC1F98">
        <w:rPr>
          <w:rFonts w:ascii="Arial" w:eastAsia="Times New Roman" w:hAnsi="Arial"/>
          <w:color w:val="000000"/>
        </w:rPr>
        <w:t>Mateus</w:t>
      </w:r>
      <w:proofErr w:type="spellEnd"/>
      <w:r w:rsidRPr="00FC1F98">
        <w:rPr>
          <w:rFonts w:ascii="Arial" w:eastAsia="Times New Roman" w:hAnsi="Arial"/>
          <w:color w:val="000000"/>
        </w:rPr>
        <w:t xml:space="preserve">, Luis Guillermo Mateus </w:t>
      </w:r>
      <w:proofErr w:type="spellStart"/>
      <w:r w:rsidRPr="00FC1F98">
        <w:rPr>
          <w:rFonts w:ascii="Arial" w:eastAsia="Times New Roman" w:hAnsi="Arial"/>
          <w:color w:val="000000"/>
        </w:rPr>
        <w:t>Mateus</w:t>
      </w:r>
      <w:proofErr w:type="spellEnd"/>
      <w:r w:rsidRPr="00FC1F98">
        <w:rPr>
          <w:rFonts w:ascii="Arial" w:eastAsia="Times New Roman" w:hAnsi="Arial"/>
          <w:color w:val="000000"/>
        </w:rPr>
        <w:t>, Alirio Pérez Medina, Alfonso Pérez Medina, Jaime Enrique Garzón Rodríguez, José Euclides Rincón, Luis Enrique Cruz</w:t>
      </w:r>
      <w:r w:rsidR="00F22DEF" w:rsidRPr="00FC1F98">
        <w:rPr>
          <w:rFonts w:ascii="Arial" w:eastAsia="Times New Roman" w:hAnsi="Arial"/>
          <w:color w:val="000000"/>
        </w:rPr>
        <w:t xml:space="preserve"> y</w:t>
      </w:r>
      <w:r w:rsidRPr="00FC1F98">
        <w:rPr>
          <w:rFonts w:ascii="Arial" w:eastAsia="Times New Roman" w:hAnsi="Arial"/>
          <w:color w:val="000000"/>
        </w:rPr>
        <w:t xml:space="preserve">, </w:t>
      </w:r>
      <w:r w:rsidR="00F22DEF" w:rsidRPr="00FC1F98">
        <w:rPr>
          <w:rFonts w:ascii="Arial" w:eastAsia="Times New Roman" w:hAnsi="Arial"/>
          <w:color w:val="000000"/>
        </w:rPr>
        <w:t xml:space="preserve">a </w:t>
      </w:r>
      <w:r w:rsidRPr="00FC1F98">
        <w:rPr>
          <w:rFonts w:ascii="Arial" w:eastAsia="Times New Roman" w:hAnsi="Arial"/>
          <w:color w:val="000000"/>
        </w:rPr>
        <w:t>Romelia Barón Cruz</w:t>
      </w:r>
      <w:r w:rsidR="00950002" w:rsidRPr="00FC1F98">
        <w:rPr>
          <w:rFonts w:ascii="Arial" w:eastAsia="Times New Roman" w:hAnsi="Arial"/>
          <w:color w:val="000000"/>
        </w:rPr>
        <w:t>,</w:t>
      </w:r>
      <w:r w:rsidR="008E734F" w:rsidRPr="00FC1F98">
        <w:rPr>
          <w:rFonts w:ascii="Arial" w:eastAsia="Times New Roman" w:hAnsi="Arial"/>
          <w:color w:val="000000"/>
        </w:rPr>
        <w:t xml:space="preserve"> </w:t>
      </w:r>
      <w:r w:rsidR="009F17C9" w:rsidRPr="00FC1F98">
        <w:rPr>
          <w:rFonts w:ascii="Arial" w:eastAsia="Times New Roman" w:hAnsi="Arial"/>
          <w:color w:val="000000"/>
        </w:rPr>
        <w:t>para lo propio</w:t>
      </w:r>
      <w:r w:rsidR="00B25060" w:rsidRPr="00FC1F98">
        <w:rPr>
          <w:rFonts w:ascii="Arial" w:eastAsia="Times New Roman" w:hAnsi="Arial"/>
          <w:color w:val="000000"/>
        </w:rPr>
        <w:t xml:space="preserve"> en un</w:t>
      </w:r>
      <w:r w:rsidRPr="00FC1F98">
        <w:rPr>
          <w:rFonts w:ascii="Arial" w:eastAsia="Times New Roman" w:hAnsi="Arial"/>
          <w:color w:val="000000"/>
        </w:rPr>
        <w:t xml:space="preserve"> </w:t>
      </w:r>
      <w:r w:rsidR="00B25060" w:rsidRPr="00FC1F98">
        <w:rPr>
          <w:rFonts w:ascii="Arial" w:eastAsia="Times New Roman" w:hAnsi="Arial"/>
          <w:color w:val="000000"/>
        </w:rPr>
        <w:t xml:space="preserve">aérea </w:t>
      </w:r>
      <w:r w:rsidRPr="00FC1F98">
        <w:rPr>
          <w:rFonts w:ascii="Arial" w:eastAsia="Times New Roman" w:hAnsi="Arial"/>
          <w:color w:val="000000"/>
        </w:rPr>
        <w:t>ubicada en la jurisdicción del municipio de Paipa,</w:t>
      </w:r>
      <w:r w:rsidR="00DC5705" w:rsidRPr="00FC1F98">
        <w:rPr>
          <w:rFonts w:ascii="Arial" w:eastAsia="Times New Roman" w:hAnsi="Arial"/>
          <w:color w:val="000000"/>
        </w:rPr>
        <w:t xml:space="preserve"> </w:t>
      </w:r>
      <w:r w:rsidRPr="00FC1F98">
        <w:rPr>
          <w:rFonts w:ascii="Arial" w:eastAsia="Times New Roman" w:hAnsi="Arial"/>
          <w:color w:val="000000"/>
        </w:rPr>
        <w:t>en</w:t>
      </w:r>
      <w:r w:rsidR="00DC5705" w:rsidRPr="00FC1F98">
        <w:rPr>
          <w:rFonts w:ascii="Arial" w:eastAsia="Times New Roman" w:hAnsi="Arial"/>
          <w:color w:val="000000"/>
        </w:rPr>
        <w:t xml:space="preserve"> </w:t>
      </w:r>
      <w:r w:rsidRPr="00FC1F98">
        <w:rPr>
          <w:rFonts w:ascii="Arial" w:eastAsia="Times New Roman" w:hAnsi="Arial"/>
          <w:color w:val="000000"/>
        </w:rPr>
        <w:t>la vereda el Volcán</w:t>
      </w:r>
      <w:r w:rsidR="00785F1C" w:rsidRPr="00FC1F98">
        <w:rPr>
          <w:rStyle w:val="Refdenotaalpie"/>
          <w:rFonts w:ascii="Arial" w:eastAsia="Times New Roman" w:hAnsi="Arial"/>
          <w:color w:val="000000"/>
        </w:rPr>
        <w:footnoteReference w:id="5"/>
      </w:r>
      <w:r w:rsidR="00DC5705" w:rsidRPr="00FC1F98">
        <w:rPr>
          <w:rFonts w:ascii="Arial" w:eastAsia="Times New Roman" w:hAnsi="Arial"/>
          <w:color w:val="000000"/>
        </w:rPr>
        <w:t>.</w:t>
      </w:r>
    </w:p>
    <w:p w14:paraId="4ACC9DA3" w14:textId="77777777" w:rsidR="008E734F" w:rsidRPr="00FC1F98" w:rsidRDefault="008E734F" w:rsidP="008E734F">
      <w:pPr>
        <w:pStyle w:val="Prrafodelista"/>
        <w:rPr>
          <w:rFonts w:ascii="Arial" w:eastAsia="Times New Roman" w:hAnsi="Arial"/>
          <w:color w:val="000000"/>
        </w:rPr>
      </w:pPr>
    </w:p>
    <w:p w14:paraId="206DD6CE" w14:textId="3DF02662" w:rsidR="008E734F" w:rsidRPr="00FC1F98" w:rsidRDefault="00EB5D1D" w:rsidP="00EB5D1D">
      <w:pPr>
        <w:tabs>
          <w:tab w:val="left" w:pos="567"/>
        </w:tabs>
        <w:spacing w:line="276" w:lineRule="auto"/>
        <w:rPr>
          <w:rFonts w:ascii="Arial" w:eastAsia="Times New Roman" w:hAnsi="Arial"/>
          <w:color w:val="000000"/>
        </w:rPr>
      </w:pPr>
      <w:r w:rsidRPr="00FC1F98">
        <w:rPr>
          <w:rFonts w:ascii="Arial" w:eastAsia="Times New Roman" w:hAnsi="Arial"/>
          <w:color w:val="000000"/>
        </w:rPr>
        <w:t>2.</w:t>
      </w:r>
      <w:r w:rsidR="002B061F" w:rsidRPr="00FC1F98">
        <w:rPr>
          <w:rFonts w:ascii="Arial" w:eastAsia="Times New Roman" w:hAnsi="Arial"/>
          <w:color w:val="000000"/>
        </w:rPr>
        <w:t>5</w:t>
      </w:r>
      <w:r w:rsidRPr="00FC1F98">
        <w:rPr>
          <w:rFonts w:ascii="Arial" w:eastAsia="Times New Roman" w:hAnsi="Arial"/>
          <w:color w:val="000000"/>
        </w:rPr>
        <w:t xml:space="preserve">. </w:t>
      </w:r>
      <w:r w:rsidR="009D62B1" w:rsidRPr="00FC1F98">
        <w:rPr>
          <w:rFonts w:ascii="Arial" w:eastAsia="Times New Roman" w:hAnsi="Arial"/>
          <w:color w:val="000000"/>
        </w:rPr>
        <w:t>E</w:t>
      </w:r>
      <w:r w:rsidR="008E734F" w:rsidRPr="00FC1F98">
        <w:rPr>
          <w:rFonts w:ascii="Arial" w:eastAsia="Times New Roman" w:hAnsi="Arial"/>
          <w:color w:val="000000"/>
        </w:rPr>
        <w:t>l abandono de los túneles</w:t>
      </w:r>
      <w:r w:rsidR="00092927" w:rsidRPr="00FC1F98">
        <w:rPr>
          <w:rFonts w:ascii="Arial" w:eastAsia="Times New Roman" w:hAnsi="Arial"/>
          <w:color w:val="000000"/>
        </w:rPr>
        <w:t>,</w:t>
      </w:r>
      <w:r w:rsidR="008E734F" w:rsidRPr="00FC1F98">
        <w:rPr>
          <w:rFonts w:ascii="Arial" w:eastAsia="Times New Roman" w:hAnsi="Arial"/>
          <w:color w:val="000000"/>
        </w:rPr>
        <w:t xml:space="preserve"> después de </w:t>
      </w:r>
      <w:r w:rsidR="004C7A90" w:rsidRPr="00FC1F98">
        <w:rPr>
          <w:rFonts w:ascii="Arial" w:eastAsia="Times New Roman" w:hAnsi="Arial"/>
          <w:i/>
          <w:iCs/>
          <w:color w:val="000000"/>
        </w:rPr>
        <w:t>“</w:t>
      </w:r>
      <w:r w:rsidR="008E734F" w:rsidRPr="00FC1F98">
        <w:rPr>
          <w:rFonts w:ascii="Arial" w:eastAsia="Times New Roman" w:hAnsi="Arial"/>
          <w:i/>
          <w:iCs/>
          <w:color w:val="000000"/>
        </w:rPr>
        <w:t>descolumnados</w:t>
      </w:r>
      <w:r w:rsidR="004C7A90" w:rsidRPr="00FC1F98">
        <w:rPr>
          <w:rFonts w:ascii="Arial" w:eastAsia="Times New Roman" w:hAnsi="Arial"/>
          <w:i/>
          <w:iCs/>
          <w:color w:val="000000"/>
        </w:rPr>
        <w:t>”</w:t>
      </w:r>
      <w:r w:rsidR="004C7A90" w:rsidRPr="00FC1F98">
        <w:rPr>
          <w:rFonts w:ascii="Arial" w:eastAsia="Times New Roman" w:hAnsi="Arial"/>
          <w:color w:val="000000"/>
        </w:rPr>
        <w:t xml:space="preserve"> </w:t>
      </w:r>
      <w:r w:rsidR="008E734F" w:rsidRPr="00FC1F98">
        <w:rPr>
          <w:rFonts w:ascii="Arial" w:eastAsia="Times New Roman" w:hAnsi="Arial"/>
          <w:color w:val="000000"/>
        </w:rPr>
        <w:t>para extraer el carbón</w:t>
      </w:r>
      <w:r w:rsidR="002B7BA2" w:rsidRPr="00FC1F98">
        <w:rPr>
          <w:rFonts w:ascii="Arial" w:eastAsia="Times New Roman" w:hAnsi="Arial"/>
          <w:color w:val="000000"/>
        </w:rPr>
        <w:t>,</w:t>
      </w:r>
      <w:r w:rsidR="008E734F" w:rsidRPr="00FC1F98">
        <w:rPr>
          <w:rFonts w:ascii="Arial" w:eastAsia="Times New Roman" w:hAnsi="Arial"/>
          <w:color w:val="000000"/>
        </w:rPr>
        <w:t xml:space="preserve"> produjo asentamientos internos que generan hundimientos y agrietamientos en dicho terreno, situación evidenciada en febrero de 2010 con la afectación de la vivienda</w:t>
      </w:r>
      <w:r w:rsidR="009D62B1" w:rsidRPr="00FC1F98">
        <w:rPr>
          <w:rFonts w:ascii="Arial" w:eastAsia="Times New Roman" w:hAnsi="Arial"/>
          <w:color w:val="000000"/>
        </w:rPr>
        <w:t>,</w:t>
      </w:r>
      <w:r w:rsidR="008E734F" w:rsidRPr="00FC1F98">
        <w:rPr>
          <w:rFonts w:ascii="Arial" w:eastAsia="Times New Roman" w:hAnsi="Arial"/>
          <w:color w:val="000000"/>
        </w:rPr>
        <w:t xml:space="preserve"> los pastos y </w:t>
      </w:r>
      <w:r w:rsidR="009D62B1" w:rsidRPr="00FC1F98">
        <w:rPr>
          <w:rFonts w:ascii="Arial" w:eastAsia="Times New Roman" w:hAnsi="Arial"/>
          <w:color w:val="000000"/>
        </w:rPr>
        <w:t xml:space="preserve">los </w:t>
      </w:r>
      <w:r w:rsidR="008E734F" w:rsidRPr="00FC1F98">
        <w:rPr>
          <w:rFonts w:ascii="Arial" w:eastAsia="Times New Roman" w:hAnsi="Arial"/>
          <w:color w:val="000000"/>
        </w:rPr>
        <w:t>cultivos con los que solventa</w:t>
      </w:r>
      <w:r w:rsidR="009D62B1" w:rsidRPr="00FC1F98">
        <w:rPr>
          <w:rFonts w:ascii="Arial" w:eastAsia="Times New Roman" w:hAnsi="Arial"/>
          <w:color w:val="000000"/>
        </w:rPr>
        <w:t>n su</w:t>
      </w:r>
      <w:r w:rsidR="008E734F" w:rsidRPr="00FC1F98">
        <w:rPr>
          <w:rFonts w:ascii="Arial" w:eastAsia="Times New Roman" w:hAnsi="Arial"/>
          <w:color w:val="000000"/>
        </w:rPr>
        <w:t xml:space="preserve"> mínimo vital.</w:t>
      </w:r>
    </w:p>
    <w:p w14:paraId="7170D79C" w14:textId="110C610E" w:rsidR="004A7592" w:rsidRPr="00FC1F98" w:rsidRDefault="004A7592" w:rsidP="004A7592">
      <w:pPr>
        <w:pStyle w:val="Prrafodelista"/>
        <w:tabs>
          <w:tab w:val="left" w:pos="567"/>
        </w:tabs>
        <w:spacing w:line="276" w:lineRule="auto"/>
        <w:ind w:left="0"/>
        <w:rPr>
          <w:rFonts w:ascii="Arial" w:eastAsia="Times New Roman" w:hAnsi="Arial"/>
          <w:color w:val="000000"/>
        </w:rPr>
      </w:pPr>
    </w:p>
    <w:p w14:paraId="47E5410B" w14:textId="129A9D60" w:rsidR="002C703C" w:rsidRPr="00FC1F98" w:rsidRDefault="008E734F" w:rsidP="00C71760">
      <w:pPr>
        <w:pStyle w:val="Prrafodelista"/>
        <w:tabs>
          <w:tab w:val="left" w:pos="567"/>
        </w:tabs>
        <w:spacing w:line="276" w:lineRule="auto"/>
        <w:ind w:left="0"/>
        <w:rPr>
          <w:rFonts w:ascii="Arial" w:eastAsia="Times New Roman" w:hAnsi="Arial"/>
        </w:rPr>
      </w:pPr>
      <w:r w:rsidRPr="00FC1F98">
        <w:rPr>
          <w:rFonts w:ascii="Arial" w:eastAsia="Times New Roman" w:hAnsi="Arial"/>
          <w:color w:val="000000"/>
        </w:rPr>
        <w:lastRenderedPageBreak/>
        <w:t>2.</w:t>
      </w:r>
      <w:r w:rsidR="002B061F" w:rsidRPr="00FC1F98">
        <w:rPr>
          <w:rFonts w:ascii="Arial" w:eastAsia="Times New Roman" w:hAnsi="Arial"/>
          <w:color w:val="000000"/>
        </w:rPr>
        <w:t>6</w:t>
      </w:r>
      <w:r w:rsidR="0052542D" w:rsidRPr="00FC1F98">
        <w:rPr>
          <w:rFonts w:ascii="Arial" w:eastAsia="Times New Roman" w:hAnsi="Arial"/>
          <w:color w:val="000000"/>
        </w:rPr>
        <w:t xml:space="preserve">. </w:t>
      </w:r>
      <w:r w:rsidRPr="00FC1F98">
        <w:rPr>
          <w:rFonts w:ascii="Arial" w:eastAsia="Times New Roman" w:hAnsi="Arial"/>
          <w:color w:val="000000"/>
        </w:rPr>
        <w:t xml:space="preserve">Con ocasión de los daños acaecidos, </w:t>
      </w:r>
      <w:r w:rsidR="00C71760" w:rsidRPr="00FC1F98">
        <w:rPr>
          <w:rFonts w:ascii="Arial" w:eastAsia="Times New Roman" w:hAnsi="Arial"/>
          <w:color w:val="000000"/>
        </w:rPr>
        <w:t xml:space="preserve">el </w:t>
      </w:r>
      <w:r w:rsidR="00C71760" w:rsidRPr="00C630EE">
        <w:rPr>
          <w:rFonts w:ascii="Arial" w:eastAsia="Times New Roman" w:hAnsi="Arial"/>
          <w:color w:val="000000"/>
        </w:rPr>
        <w:t>actor y otros</w:t>
      </w:r>
      <w:r w:rsidR="0046491E" w:rsidRPr="00C630EE">
        <w:rPr>
          <w:rFonts w:ascii="Arial" w:eastAsia="Times New Roman" w:hAnsi="Arial"/>
          <w:color w:val="000000"/>
        </w:rPr>
        <w:t>, el 18 de agosto de 2011</w:t>
      </w:r>
      <w:r w:rsidR="00C71760" w:rsidRPr="00FC1F98">
        <w:rPr>
          <w:rFonts w:ascii="Arial" w:eastAsia="Times New Roman" w:hAnsi="Arial"/>
          <w:color w:val="000000"/>
        </w:rPr>
        <w:t xml:space="preserve"> </w:t>
      </w:r>
      <w:r w:rsidRPr="00FC1F98">
        <w:rPr>
          <w:rFonts w:ascii="Arial" w:eastAsia="Times New Roman" w:hAnsi="Arial"/>
          <w:color w:val="000000"/>
        </w:rPr>
        <w:t>interpus</w:t>
      </w:r>
      <w:r w:rsidR="00C71760" w:rsidRPr="00FC1F98">
        <w:rPr>
          <w:rFonts w:ascii="Arial" w:eastAsia="Times New Roman" w:hAnsi="Arial"/>
          <w:color w:val="000000"/>
        </w:rPr>
        <w:t>ieron</w:t>
      </w:r>
      <w:r w:rsidRPr="00FC1F98">
        <w:rPr>
          <w:rFonts w:ascii="Arial" w:eastAsia="Times New Roman" w:hAnsi="Arial"/>
          <w:color w:val="000000"/>
        </w:rPr>
        <w:t xml:space="preserve"> demanda de reparación directa con radicado 15693-33-31-002-2011-00237-01 contra</w:t>
      </w:r>
      <w:r w:rsidR="00DA1DB5" w:rsidRPr="00FC1F98">
        <w:rPr>
          <w:rFonts w:ascii="Arial" w:eastAsia="Times New Roman" w:hAnsi="Arial"/>
          <w:color w:val="000000"/>
        </w:rPr>
        <w:t xml:space="preserve"> el Municipio de Paipa y otros</w:t>
      </w:r>
      <w:r w:rsidR="00092927" w:rsidRPr="00FC1F98">
        <w:rPr>
          <w:rStyle w:val="Refdenotaalpie"/>
          <w:rFonts w:ascii="Arial" w:eastAsia="Times New Roman" w:hAnsi="Arial"/>
          <w:color w:val="000000"/>
        </w:rPr>
        <w:footnoteReference w:id="6"/>
      </w:r>
      <w:r w:rsidR="00C71760" w:rsidRPr="00FC1F98">
        <w:rPr>
          <w:rFonts w:ascii="Arial" w:eastAsia="Times New Roman" w:hAnsi="Arial"/>
          <w:color w:val="000000"/>
        </w:rPr>
        <w:t>, que fue conocida en primera instancia por el</w:t>
      </w:r>
      <w:r w:rsidRPr="00FC1F98">
        <w:rPr>
          <w:rFonts w:ascii="Arial" w:eastAsia="Times New Roman" w:hAnsi="Arial"/>
        </w:rPr>
        <w:t xml:space="preserve"> Juzgado </w:t>
      </w:r>
      <w:r w:rsidR="00610115" w:rsidRPr="00FC1F98">
        <w:rPr>
          <w:rFonts w:ascii="Arial" w:eastAsia="Times New Roman" w:hAnsi="Arial"/>
        </w:rPr>
        <w:t>Segundo Administrativo Oral del Circuito Judicial de Duitama</w:t>
      </w:r>
      <w:r w:rsidR="00C71760" w:rsidRPr="00FC1F98">
        <w:rPr>
          <w:rFonts w:ascii="Arial" w:eastAsia="Times New Roman" w:hAnsi="Arial"/>
        </w:rPr>
        <w:t xml:space="preserve"> </w:t>
      </w:r>
      <w:r w:rsidR="009D62B1" w:rsidRPr="00FC1F98">
        <w:rPr>
          <w:rFonts w:ascii="Arial" w:eastAsia="Times New Roman" w:hAnsi="Arial"/>
        </w:rPr>
        <w:t>que</w:t>
      </w:r>
      <w:r w:rsidR="00C71760" w:rsidRPr="00FC1F98">
        <w:rPr>
          <w:rFonts w:ascii="Arial" w:eastAsia="Times New Roman" w:hAnsi="Arial"/>
        </w:rPr>
        <w:t xml:space="preserve">, </w:t>
      </w:r>
      <w:r w:rsidRPr="00FC1F98">
        <w:rPr>
          <w:rFonts w:ascii="Arial" w:eastAsia="Times New Roman" w:hAnsi="Arial"/>
        </w:rPr>
        <w:t xml:space="preserve">mediante providencia de </w:t>
      </w:r>
      <w:r w:rsidR="00610115" w:rsidRPr="00FC1F98">
        <w:rPr>
          <w:rFonts w:ascii="Arial" w:eastAsia="Times New Roman" w:hAnsi="Arial"/>
        </w:rPr>
        <w:t>11 de diciembre de 2018</w:t>
      </w:r>
      <w:r w:rsidR="0052542D" w:rsidRPr="00FC1F98">
        <w:rPr>
          <w:rStyle w:val="Refdenotaalpie"/>
          <w:rFonts w:ascii="Arial" w:eastAsia="Times New Roman" w:hAnsi="Arial"/>
        </w:rPr>
        <w:footnoteReference w:id="7"/>
      </w:r>
      <w:r w:rsidRPr="00FC1F98">
        <w:rPr>
          <w:rFonts w:ascii="Arial" w:eastAsia="Times New Roman" w:hAnsi="Arial"/>
        </w:rPr>
        <w:t>,</w:t>
      </w:r>
      <w:r w:rsidR="00C71760" w:rsidRPr="00FC1F98">
        <w:rPr>
          <w:rFonts w:ascii="Arial" w:eastAsia="Times New Roman" w:hAnsi="Arial"/>
        </w:rPr>
        <w:t xml:space="preserve"> </w:t>
      </w:r>
      <w:r w:rsidR="002C703C" w:rsidRPr="00FC1F98">
        <w:rPr>
          <w:rFonts w:ascii="Arial" w:eastAsia="Times New Roman" w:hAnsi="Arial"/>
        </w:rPr>
        <w:t>acced</w:t>
      </w:r>
      <w:r w:rsidR="00A6785A" w:rsidRPr="00FC1F98">
        <w:rPr>
          <w:rFonts w:ascii="Arial" w:eastAsia="Times New Roman" w:hAnsi="Arial"/>
        </w:rPr>
        <w:t>ió</w:t>
      </w:r>
      <w:r w:rsidR="002C703C" w:rsidRPr="00FC1F98">
        <w:rPr>
          <w:rFonts w:ascii="Arial" w:eastAsia="Times New Roman" w:hAnsi="Arial"/>
        </w:rPr>
        <w:t xml:space="preserve"> de </w:t>
      </w:r>
      <w:r w:rsidR="00610115" w:rsidRPr="00FC1F98">
        <w:rPr>
          <w:rFonts w:ascii="Arial" w:eastAsia="Times New Roman" w:hAnsi="Arial"/>
        </w:rPr>
        <w:t>manera</w:t>
      </w:r>
      <w:r w:rsidR="002C703C" w:rsidRPr="00FC1F98">
        <w:rPr>
          <w:rFonts w:ascii="Arial" w:eastAsia="Times New Roman" w:hAnsi="Arial"/>
        </w:rPr>
        <w:t xml:space="preserve"> parcial a </w:t>
      </w:r>
      <w:r w:rsidRPr="00FC1F98">
        <w:rPr>
          <w:rFonts w:ascii="Arial" w:eastAsia="Times New Roman" w:hAnsi="Arial"/>
        </w:rPr>
        <w:t>las súplicas de la demanda</w:t>
      </w:r>
      <w:r w:rsidR="00A84955" w:rsidRPr="00FC1F98">
        <w:rPr>
          <w:rFonts w:ascii="Arial" w:eastAsia="Times New Roman" w:hAnsi="Arial"/>
        </w:rPr>
        <w:t>.</w:t>
      </w:r>
    </w:p>
    <w:bookmarkEnd w:id="4"/>
    <w:p w14:paraId="4908D242" w14:textId="68564443" w:rsidR="002C703C" w:rsidRPr="00FC1F98" w:rsidRDefault="002C703C" w:rsidP="008E734F">
      <w:pPr>
        <w:pStyle w:val="Default"/>
        <w:spacing w:line="276" w:lineRule="auto"/>
        <w:ind w:hanging="2"/>
        <w:jc w:val="both"/>
        <w:rPr>
          <w:rFonts w:eastAsia="Times New Roman"/>
          <w:lang w:val="es-ES"/>
        </w:rPr>
      </w:pPr>
    </w:p>
    <w:p w14:paraId="35DD63D2" w14:textId="6FA36214" w:rsidR="00A84955" w:rsidRPr="00FC1F98" w:rsidRDefault="00DF1605" w:rsidP="00A84955">
      <w:pPr>
        <w:pStyle w:val="Default"/>
        <w:spacing w:line="276" w:lineRule="auto"/>
        <w:ind w:hanging="2"/>
        <w:jc w:val="both"/>
        <w:rPr>
          <w:rFonts w:eastAsia="Times New Roman"/>
        </w:rPr>
      </w:pPr>
      <w:r w:rsidRPr="00FC1F98">
        <w:rPr>
          <w:rFonts w:eastAsia="Times New Roman"/>
        </w:rPr>
        <w:t>2.</w:t>
      </w:r>
      <w:r w:rsidR="002B061F" w:rsidRPr="00FC1F98">
        <w:rPr>
          <w:rFonts w:eastAsia="Times New Roman"/>
        </w:rPr>
        <w:t>6</w:t>
      </w:r>
      <w:r w:rsidRPr="00FC1F98">
        <w:rPr>
          <w:rFonts w:eastAsia="Times New Roman"/>
        </w:rPr>
        <w:t xml:space="preserve">.1. </w:t>
      </w:r>
      <w:r w:rsidR="00A84955" w:rsidRPr="00FC1F98">
        <w:rPr>
          <w:rFonts w:eastAsia="Times New Roman"/>
        </w:rPr>
        <w:t xml:space="preserve">Dentro del estudio, el juzgado señaló que teniendo en cuenta el artículo 86 (modificado por el 31 de la Ley 446 de 1998) y el 136 del CCA, </w:t>
      </w:r>
      <w:r w:rsidR="00A84955" w:rsidRPr="00FC1F98">
        <w:rPr>
          <w:rFonts w:eastAsia="Times New Roman"/>
          <w:i/>
          <w:iCs/>
        </w:rPr>
        <w:t>“la acción no se encontraba caducada por cuanto la presunta acción u omisión ha sido continuada”.</w:t>
      </w:r>
    </w:p>
    <w:p w14:paraId="5085BE2B" w14:textId="77777777" w:rsidR="00A84955" w:rsidRPr="00FC1F98" w:rsidRDefault="00A84955" w:rsidP="008E734F">
      <w:pPr>
        <w:pStyle w:val="Default"/>
        <w:spacing w:line="276" w:lineRule="auto"/>
        <w:ind w:hanging="2"/>
        <w:jc w:val="both"/>
        <w:rPr>
          <w:rFonts w:eastAsia="Times New Roman"/>
        </w:rPr>
      </w:pPr>
    </w:p>
    <w:p w14:paraId="251A9171" w14:textId="0A0CD2F6" w:rsidR="008243FE" w:rsidRPr="00FC1F98" w:rsidRDefault="00DF1605" w:rsidP="008E734F">
      <w:pPr>
        <w:pStyle w:val="Default"/>
        <w:spacing w:line="276" w:lineRule="auto"/>
        <w:ind w:hanging="2"/>
        <w:jc w:val="both"/>
        <w:rPr>
          <w:rFonts w:eastAsia="Times New Roman"/>
        </w:rPr>
      </w:pPr>
      <w:r w:rsidRPr="00FC1F98">
        <w:rPr>
          <w:rFonts w:eastAsia="Times New Roman"/>
        </w:rPr>
        <w:t>2.</w:t>
      </w:r>
      <w:r w:rsidR="002B061F" w:rsidRPr="00FC1F98">
        <w:rPr>
          <w:rFonts w:eastAsia="Times New Roman"/>
        </w:rPr>
        <w:t>6</w:t>
      </w:r>
      <w:r w:rsidRPr="00FC1F98">
        <w:rPr>
          <w:rFonts w:eastAsia="Times New Roman"/>
        </w:rPr>
        <w:t xml:space="preserve">.2. </w:t>
      </w:r>
      <w:r w:rsidR="00DA1DB5" w:rsidRPr="00FC1F98">
        <w:rPr>
          <w:rFonts w:eastAsia="Times New Roman"/>
        </w:rPr>
        <w:t>Declaró</w:t>
      </w:r>
      <w:r w:rsidR="008243FE" w:rsidRPr="00FC1F98">
        <w:rPr>
          <w:rFonts w:eastAsia="Times New Roman"/>
        </w:rPr>
        <w:t xml:space="preserve"> </w:t>
      </w:r>
      <w:r w:rsidR="00950002" w:rsidRPr="00FC1F98">
        <w:rPr>
          <w:rFonts w:eastAsia="Times New Roman"/>
        </w:rPr>
        <w:t xml:space="preserve">i) </w:t>
      </w:r>
      <w:r w:rsidR="00DA1DB5" w:rsidRPr="00FC1F98">
        <w:rPr>
          <w:rFonts w:eastAsia="Times New Roman"/>
        </w:rPr>
        <w:t>probada de oficio, la falta de legitimación de la causa por pasiva de la Nación</w:t>
      </w:r>
      <w:r w:rsidR="00950002" w:rsidRPr="00FC1F98">
        <w:rPr>
          <w:rFonts w:eastAsia="Times New Roman"/>
        </w:rPr>
        <w:t xml:space="preserve"> -</w:t>
      </w:r>
      <w:r w:rsidR="00DA1DB5" w:rsidRPr="00FC1F98">
        <w:rPr>
          <w:rFonts w:eastAsia="Times New Roman"/>
        </w:rPr>
        <w:t xml:space="preserve"> Ministerio de Minas y Energía, de Agricultura, de Desarrollo y Ambiente Sostenible, Autoridad de Licencias Ambientales y del Departamento de Boyacá </w:t>
      </w:r>
      <w:r w:rsidR="008243FE" w:rsidRPr="00FC1F98">
        <w:rPr>
          <w:rFonts w:eastAsia="Times New Roman"/>
        </w:rPr>
        <w:t>y;</w:t>
      </w:r>
      <w:r w:rsidR="00DA1DB5" w:rsidRPr="00FC1F98">
        <w:rPr>
          <w:rFonts w:eastAsia="Times New Roman"/>
        </w:rPr>
        <w:t xml:space="preserve"> </w:t>
      </w:r>
      <w:proofErr w:type="spellStart"/>
      <w:r w:rsidR="00950002" w:rsidRPr="00FC1F98">
        <w:rPr>
          <w:rFonts w:eastAsia="Times New Roman"/>
        </w:rPr>
        <w:t>ii</w:t>
      </w:r>
      <w:proofErr w:type="spellEnd"/>
      <w:r w:rsidR="00950002" w:rsidRPr="00FC1F98">
        <w:rPr>
          <w:rFonts w:eastAsia="Times New Roman"/>
        </w:rPr>
        <w:t xml:space="preserve">) </w:t>
      </w:r>
      <w:r w:rsidR="00DA1DB5" w:rsidRPr="00FC1F98">
        <w:rPr>
          <w:rFonts w:eastAsia="Times New Roman"/>
        </w:rPr>
        <w:t>no probada la falta de legitimación referida y la ausencia de elementos que estructuren la responsabilidad del estado frente a la Corporación Autónoma Regional de Boyacá – C</w:t>
      </w:r>
      <w:r w:rsidR="003D2CE6" w:rsidRPr="00FC1F98">
        <w:rPr>
          <w:rFonts w:eastAsia="Times New Roman"/>
        </w:rPr>
        <w:t>orpoboyacá</w:t>
      </w:r>
      <w:r w:rsidR="008243FE" w:rsidRPr="00FC1F98">
        <w:rPr>
          <w:rFonts w:eastAsia="Times New Roman"/>
        </w:rPr>
        <w:t xml:space="preserve">; tampoco las </w:t>
      </w:r>
      <w:r w:rsidR="00DA1DB5" w:rsidRPr="00FC1F98">
        <w:rPr>
          <w:rFonts w:eastAsia="Times New Roman"/>
        </w:rPr>
        <w:t>objeciones por error grave formulados contra el dictamen pericial</w:t>
      </w:r>
    </w:p>
    <w:p w14:paraId="4D7CEA4D" w14:textId="77777777" w:rsidR="008243FE" w:rsidRPr="00FC1F98" w:rsidRDefault="008243FE" w:rsidP="008E734F">
      <w:pPr>
        <w:pStyle w:val="Default"/>
        <w:spacing w:line="276" w:lineRule="auto"/>
        <w:ind w:hanging="2"/>
        <w:jc w:val="both"/>
        <w:rPr>
          <w:rFonts w:eastAsia="Times New Roman"/>
        </w:rPr>
      </w:pPr>
    </w:p>
    <w:p w14:paraId="7D2DE0B5" w14:textId="145A9B8D" w:rsidR="008E734F" w:rsidRPr="00FC1F98" w:rsidRDefault="00DF1605" w:rsidP="008E734F">
      <w:pPr>
        <w:pStyle w:val="Default"/>
        <w:spacing w:line="276" w:lineRule="auto"/>
        <w:ind w:hanging="2"/>
        <w:jc w:val="both"/>
        <w:rPr>
          <w:rFonts w:eastAsia="Times New Roman"/>
        </w:rPr>
      </w:pPr>
      <w:r w:rsidRPr="00FC1F98">
        <w:rPr>
          <w:rFonts w:eastAsia="Times New Roman"/>
        </w:rPr>
        <w:t>2.</w:t>
      </w:r>
      <w:r w:rsidR="002B061F" w:rsidRPr="00FC1F98">
        <w:rPr>
          <w:rFonts w:eastAsia="Times New Roman"/>
        </w:rPr>
        <w:t>6</w:t>
      </w:r>
      <w:r w:rsidRPr="00FC1F98">
        <w:rPr>
          <w:rFonts w:eastAsia="Times New Roman"/>
        </w:rPr>
        <w:t xml:space="preserve">.3. </w:t>
      </w:r>
      <w:r w:rsidR="00DA57F2" w:rsidRPr="00FC1F98">
        <w:rPr>
          <w:rFonts w:eastAsia="Times New Roman"/>
        </w:rPr>
        <w:t xml:space="preserve">Encontró </w:t>
      </w:r>
      <w:r w:rsidR="00DA1DB5" w:rsidRPr="00FC1F98">
        <w:rPr>
          <w:rFonts w:eastAsia="Times New Roman"/>
        </w:rPr>
        <w:t xml:space="preserve">administrativa y extracontractualmente responsables en forma solidaria al Instituto Colombiano de </w:t>
      </w:r>
      <w:r w:rsidR="008243FE" w:rsidRPr="00FC1F98">
        <w:rPr>
          <w:rFonts w:eastAsia="Times New Roman"/>
        </w:rPr>
        <w:t>Geología</w:t>
      </w:r>
      <w:r w:rsidR="00DA1DB5" w:rsidRPr="00FC1F98">
        <w:rPr>
          <w:rFonts w:eastAsia="Times New Roman"/>
        </w:rPr>
        <w:t xml:space="preserve"> y </w:t>
      </w:r>
      <w:r w:rsidR="008243FE" w:rsidRPr="00FC1F98">
        <w:rPr>
          <w:rFonts w:eastAsia="Times New Roman"/>
        </w:rPr>
        <w:t>Minería</w:t>
      </w:r>
      <w:r w:rsidR="008243FE" w:rsidRPr="00FC1F98">
        <w:rPr>
          <w:rStyle w:val="Refdenotaalpie"/>
          <w:rFonts w:eastAsia="Times New Roman"/>
        </w:rPr>
        <w:footnoteReference w:id="8"/>
      </w:r>
      <w:r w:rsidR="008243FE" w:rsidRPr="00FC1F98">
        <w:rPr>
          <w:rFonts w:eastAsia="Times New Roman"/>
        </w:rPr>
        <w:t xml:space="preserve"> -</w:t>
      </w:r>
      <w:proofErr w:type="spellStart"/>
      <w:r w:rsidR="008243FE" w:rsidRPr="00FC1F98">
        <w:rPr>
          <w:rFonts w:eastAsia="Times New Roman"/>
        </w:rPr>
        <w:t>I</w:t>
      </w:r>
      <w:r w:rsidR="00B27B43" w:rsidRPr="00FC1F98">
        <w:rPr>
          <w:rFonts w:eastAsia="Times New Roman"/>
        </w:rPr>
        <w:t>ngeominas</w:t>
      </w:r>
      <w:proofErr w:type="spellEnd"/>
      <w:r w:rsidR="008243FE" w:rsidRPr="00FC1F98">
        <w:rPr>
          <w:rFonts w:eastAsia="Times New Roman"/>
        </w:rPr>
        <w:t>-; a la Corporación Autónoma Regional de Boyacá – C</w:t>
      </w:r>
      <w:r w:rsidR="003A041C" w:rsidRPr="00FC1F98">
        <w:rPr>
          <w:rFonts w:eastAsia="Times New Roman"/>
        </w:rPr>
        <w:t>orpoboyacá</w:t>
      </w:r>
      <w:r w:rsidR="008243FE" w:rsidRPr="00FC1F98">
        <w:rPr>
          <w:rFonts w:eastAsia="Times New Roman"/>
        </w:rPr>
        <w:t>-; al municipio de Paipa y a los señores Juan de Dios Ochoa Castiblanco, y Elsa Nubia Mateus Jiménez del daño antijurídico causado a los señores José Ricardo y César Augusto Cepeda Corredor, con ocasión de las fallas del servicio que determinaron la afectación del inmueble de su propiedad y, como consecuencia, los condenó en abstracto al pago de los perjuicios a título de daño emergente a favor de los demandantes.</w:t>
      </w:r>
      <w:r w:rsidR="00A6785A" w:rsidRPr="00FC1F98">
        <w:rPr>
          <w:rFonts w:eastAsia="Times New Roman"/>
        </w:rPr>
        <w:t xml:space="preserve"> Por último, negó las demás pretensiones de la demanda</w:t>
      </w:r>
      <w:r w:rsidR="008E734F" w:rsidRPr="00FC1F98">
        <w:rPr>
          <w:rFonts w:eastAsia="Times New Roman"/>
        </w:rPr>
        <w:t>”</w:t>
      </w:r>
    </w:p>
    <w:p w14:paraId="437C60CB" w14:textId="159A25AA" w:rsidR="00503B6D" w:rsidRPr="00FC1F98" w:rsidRDefault="00503B6D" w:rsidP="008E734F">
      <w:pPr>
        <w:pStyle w:val="Default"/>
        <w:spacing w:line="276" w:lineRule="auto"/>
        <w:ind w:hanging="2"/>
        <w:jc w:val="both"/>
        <w:rPr>
          <w:rFonts w:eastAsia="Times New Roman"/>
        </w:rPr>
      </w:pPr>
    </w:p>
    <w:p w14:paraId="5F0D170E" w14:textId="049E2C1C" w:rsidR="00017288" w:rsidRPr="00FC1F98" w:rsidRDefault="00503B6D" w:rsidP="004A7592">
      <w:pPr>
        <w:pStyle w:val="Prrafodelista"/>
        <w:tabs>
          <w:tab w:val="left" w:pos="567"/>
        </w:tabs>
        <w:spacing w:line="276" w:lineRule="auto"/>
        <w:ind w:left="0"/>
        <w:rPr>
          <w:rFonts w:ascii="Arial" w:eastAsia="Times New Roman" w:hAnsi="Arial"/>
          <w:color w:val="000000"/>
        </w:rPr>
      </w:pPr>
      <w:bookmarkStart w:id="5" w:name="_Hlk66802012"/>
      <w:r w:rsidRPr="00FC1F98">
        <w:rPr>
          <w:rFonts w:ascii="Arial" w:eastAsia="Times New Roman" w:hAnsi="Arial"/>
          <w:color w:val="000000"/>
        </w:rPr>
        <w:t>2.</w:t>
      </w:r>
      <w:r w:rsidR="002B061F" w:rsidRPr="00FC1F98">
        <w:rPr>
          <w:rFonts w:ascii="Arial" w:eastAsia="Times New Roman" w:hAnsi="Arial"/>
          <w:color w:val="000000"/>
        </w:rPr>
        <w:t>7</w:t>
      </w:r>
      <w:r w:rsidRPr="00FC1F98">
        <w:rPr>
          <w:rFonts w:ascii="Arial" w:eastAsia="Times New Roman" w:hAnsi="Arial"/>
          <w:color w:val="000000"/>
        </w:rPr>
        <w:t xml:space="preserve">. </w:t>
      </w:r>
      <w:r w:rsidR="008E734F" w:rsidRPr="00FC1F98">
        <w:rPr>
          <w:rFonts w:ascii="Arial" w:eastAsia="Times New Roman" w:hAnsi="Arial"/>
          <w:color w:val="000000"/>
        </w:rPr>
        <w:t xml:space="preserve">Con ocasión del recurso de alzada interpuesto por los señores, </w:t>
      </w:r>
      <w:r w:rsidR="00A6785A" w:rsidRPr="00FC1F98">
        <w:rPr>
          <w:rFonts w:ascii="Arial" w:eastAsia="Times New Roman" w:hAnsi="Arial"/>
          <w:color w:val="000000"/>
        </w:rPr>
        <w:t xml:space="preserve">Juan de Dios Ochoa Castiblanco, y Elsa Nubia Mateus Jiménez, </w:t>
      </w:r>
      <w:r w:rsidR="008E734F" w:rsidRPr="00FC1F98">
        <w:rPr>
          <w:rFonts w:ascii="Arial" w:eastAsia="Times New Roman" w:hAnsi="Arial"/>
          <w:color w:val="000000"/>
        </w:rPr>
        <w:t xml:space="preserve">el Tribunal </w:t>
      </w:r>
      <w:r w:rsidR="00DA1DB5" w:rsidRPr="00FC1F98">
        <w:rPr>
          <w:rFonts w:ascii="Arial" w:eastAsia="Times New Roman" w:hAnsi="Arial"/>
          <w:color w:val="000000"/>
        </w:rPr>
        <w:t xml:space="preserve">Administrativo de Boyacá, Sala de Decisión No. 4, </w:t>
      </w:r>
      <w:r w:rsidR="00AD4E9B" w:rsidRPr="00FC1F98">
        <w:rPr>
          <w:rFonts w:ascii="Arial" w:eastAsia="Times New Roman" w:hAnsi="Arial"/>
          <w:color w:val="000000"/>
        </w:rPr>
        <w:t>mediante providencia de 10 de noviembre de 2020</w:t>
      </w:r>
      <w:r w:rsidR="00AD4E9B" w:rsidRPr="00FC1F98">
        <w:rPr>
          <w:rStyle w:val="Refdenotaalpie"/>
          <w:rFonts w:ascii="Arial" w:eastAsia="Times New Roman" w:hAnsi="Arial"/>
          <w:color w:val="000000"/>
        </w:rPr>
        <w:footnoteReference w:id="9"/>
      </w:r>
      <w:r w:rsidR="00AD4E9B" w:rsidRPr="00FC1F98">
        <w:rPr>
          <w:rFonts w:ascii="Arial" w:eastAsia="Times New Roman" w:hAnsi="Arial"/>
          <w:color w:val="000000"/>
        </w:rPr>
        <w:t xml:space="preserve">, </w:t>
      </w:r>
      <w:r w:rsidR="00610115" w:rsidRPr="00FC1F98">
        <w:rPr>
          <w:rFonts w:ascii="Arial" w:eastAsia="Times New Roman" w:hAnsi="Arial"/>
          <w:color w:val="000000"/>
        </w:rPr>
        <w:t>resolvió</w:t>
      </w:r>
      <w:r w:rsidR="00017288" w:rsidRPr="00FC1F98">
        <w:rPr>
          <w:rFonts w:ascii="Arial" w:eastAsia="Times New Roman" w:hAnsi="Arial"/>
          <w:color w:val="000000"/>
        </w:rPr>
        <w:t>:</w:t>
      </w:r>
    </w:p>
    <w:p w14:paraId="7D0B9C84" w14:textId="7C7831EB" w:rsidR="00017288" w:rsidRPr="00FC1F98" w:rsidRDefault="00017288" w:rsidP="004A7592">
      <w:pPr>
        <w:pStyle w:val="Prrafodelista"/>
        <w:tabs>
          <w:tab w:val="left" w:pos="567"/>
        </w:tabs>
        <w:spacing w:line="276" w:lineRule="auto"/>
        <w:ind w:left="0"/>
        <w:rPr>
          <w:rFonts w:ascii="Arial" w:eastAsia="Times New Roman" w:hAnsi="Arial"/>
          <w:color w:val="000000"/>
        </w:rPr>
      </w:pPr>
    </w:p>
    <w:p w14:paraId="150FD27D" w14:textId="17366B21" w:rsidR="00C0308D" w:rsidRPr="00FC1F98" w:rsidRDefault="00017288" w:rsidP="00017288">
      <w:pPr>
        <w:pStyle w:val="Prrafodelista"/>
        <w:tabs>
          <w:tab w:val="left" w:pos="567"/>
        </w:tabs>
        <w:ind w:left="567"/>
        <w:rPr>
          <w:rFonts w:ascii="Arial" w:eastAsia="Times New Roman" w:hAnsi="Arial"/>
          <w:color w:val="000000"/>
          <w:sz w:val="22"/>
          <w:szCs w:val="22"/>
        </w:rPr>
      </w:pPr>
      <w:r w:rsidRPr="00FC1F98">
        <w:rPr>
          <w:rFonts w:ascii="Arial" w:eastAsia="Times New Roman" w:hAnsi="Arial"/>
          <w:color w:val="000000"/>
          <w:sz w:val="22"/>
          <w:szCs w:val="22"/>
        </w:rPr>
        <w:t>“</w:t>
      </w:r>
      <w:r w:rsidRPr="00FC1F98">
        <w:rPr>
          <w:rFonts w:ascii="Arial" w:eastAsia="Times New Roman" w:hAnsi="Arial"/>
          <w:b/>
          <w:bCs/>
          <w:color w:val="000000"/>
          <w:sz w:val="22"/>
          <w:szCs w:val="22"/>
        </w:rPr>
        <w:t>PRIMERO: REVOCAR</w:t>
      </w:r>
      <w:r w:rsidRPr="00FC1F98">
        <w:rPr>
          <w:rFonts w:ascii="Arial" w:eastAsia="Times New Roman" w:hAnsi="Arial"/>
          <w:color w:val="000000"/>
          <w:sz w:val="22"/>
          <w:szCs w:val="22"/>
        </w:rPr>
        <w:t xml:space="preserve"> la sentencia proferida el 11 de diciembre de 2018 por el Juzgado Segundo </w:t>
      </w:r>
      <w:r w:rsidR="00C0308D" w:rsidRPr="00FC1F98">
        <w:rPr>
          <w:rFonts w:ascii="Arial" w:eastAsia="Times New Roman" w:hAnsi="Arial"/>
          <w:color w:val="000000"/>
          <w:sz w:val="22"/>
          <w:szCs w:val="22"/>
        </w:rPr>
        <w:t xml:space="preserve">Administrativo Oral del Circuito Judicial de Duitama. En su lugar se dispone: </w:t>
      </w:r>
    </w:p>
    <w:p w14:paraId="1DB897DF" w14:textId="77777777" w:rsidR="00C0308D" w:rsidRPr="00FC1F98" w:rsidRDefault="00C0308D" w:rsidP="00017288">
      <w:pPr>
        <w:pStyle w:val="Prrafodelista"/>
        <w:tabs>
          <w:tab w:val="left" w:pos="567"/>
        </w:tabs>
        <w:ind w:left="567"/>
        <w:rPr>
          <w:rFonts w:ascii="Arial" w:eastAsia="Times New Roman" w:hAnsi="Arial"/>
          <w:b/>
          <w:bCs/>
          <w:color w:val="000000"/>
          <w:sz w:val="22"/>
          <w:szCs w:val="22"/>
        </w:rPr>
      </w:pPr>
    </w:p>
    <w:p w14:paraId="2A1FF8F6" w14:textId="68EF26C1" w:rsidR="00017288" w:rsidRPr="00FC1F98" w:rsidRDefault="00C0308D" w:rsidP="00C0308D">
      <w:pPr>
        <w:pStyle w:val="Prrafodelista"/>
        <w:numPr>
          <w:ilvl w:val="0"/>
          <w:numId w:val="18"/>
        </w:numPr>
        <w:tabs>
          <w:tab w:val="left" w:pos="567"/>
        </w:tabs>
        <w:rPr>
          <w:rFonts w:ascii="Arial" w:eastAsia="Times New Roman" w:hAnsi="Arial"/>
          <w:b/>
          <w:bCs/>
          <w:color w:val="000000"/>
          <w:sz w:val="22"/>
          <w:szCs w:val="22"/>
        </w:rPr>
      </w:pPr>
      <w:r w:rsidRPr="00FC1F98">
        <w:rPr>
          <w:rFonts w:ascii="Arial" w:eastAsia="Times New Roman" w:hAnsi="Arial"/>
          <w:b/>
          <w:bCs/>
          <w:color w:val="000000"/>
          <w:sz w:val="22"/>
          <w:szCs w:val="22"/>
        </w:rPr>
        <w:lastRenderedPageBreak/>
        <w:t xml:space="preserve">DECLARAR </w:t>
      </w:r>
      <w:r w:rsidRPr="00FC1F98">
        <w:rPr>
          <w:rFonts w:ascii="Arial" w:eastAsia="Times New Roman" w:hAnsi="Arial"/>
          <w:color w:val="000000"/>
          <w:sz w:val="22"/>
          <w:szCs w:val="22"/>
        </w:rPr>
        <w:t>probada de oficio la excepción de caducidad, de conformidad con las razones indicadas en precedencia.</w:t>
      </w:r>
    </w:p>
    <w:p w14:paraId="39AE9873" w14:textId="77777777" w:rsidR="00C0308D" w:rsidRPr="00FC1F98" w:rsidRDefault="00C0308D" w:rsidP="00C0308D">
      <w:pPr>
        <w:pStyle w:val="Prrafodelista"/>
        <w:tabs>
          <w:tab w:val="left" w:pos="567"/>
        </w:tabs>
        <w:ind w:left="927"/>
        <w:rPr>
          <w:rFonts w:ascii="Arial" w:eastAsia="Times New Roman" w:hAnsi="Arial"/>
          <w:b/>
          <w:bCs/>
          <w:color w:val="000000"/>
          <w:sz w:val="22"/>
          <w:szCs w:val="22"/>
        </w:rPr>
      </w:pPr>
    </w:p>
    <w:p w14:paraId="31E0E726" w14:textId="4B79E94E" w:rsidR="00C0308D" w:rsidRPr="00FC1F98" w:rsidRDefault="00C0308D" w:rsidP="00C0308D">
      <w:pPr>
        <w:pStyle w:val="Prrafodelista"/>
        <w:numPr>
          <w:ilvl w:val="0"/>
          <w:numId w:val="18"/>
        </w:numPr>
        <w:tabs>
          <w:tab w:val="left" w:pos="567"/>
        </w:tabs>
        <w:rPr>
          <w:rFonts w:ascii="Arial" w:eastAsia="Times New Roman" w:hAnsi="Arial"/>
          <w:color w:val="000000"/>
          <w:sz w:val="22"/>
          <w:szCs w:val="22"/>
        </w:rPr>
      </w:pPr>
      <w:r w:rsidRPr="00FC1F98">
        <w:rPr>
          <w:rFonts w:ascii="Arial" w:eastAsia="Times New Roman" w:hAnsi="Arial"/>
          <w:color w:val="000000"/>
          <w:sz w:val="22"/>
          <w:szCs w:val="22"/>
        </w:rPr>
        <w:t xml:space="preserve">Como consecuencia de lo anterior, </w:t>
      </w:r>
      <w:r w:rsidRPr="00FC1F98">
        <w:rPr>
          <w:rFonts w:ascii="Arial" w:eastAsia="Times New Roman" w:hAnsi="Arial"/>
          <w:b/>
          <w:bCs/>
          <w:color w:val="000000"/>
          <w:sz w:val="22"/>
          <w:szCs w:val="22"/>
        </w:rPr>
        <w:t>NEGAR</w:t>
      </w:r>
      <w:r w:rsidRPr="00FC1F98">
        <w:rPr>
          <w:rFonts w:ascii="Arial" w:eastAsia="Times New Roman" w:hAnsi="Arial"/>
          <w:color w:val="000000"/>
          <w:sz w:val="22"/>
          <w:szCs w:val="22"/>
        </w:rPr>
        <w:t xml:space="preserve"> las pretensiones de la demanda.</w:t>
      </w:r>
    </w:p>
    <w:p w14:paraId="325081DB" w14:textId="77777777" w:rsidR="00C0308D" w:rsidRPr="00FC1F98" w:rsidRDefault="00C0308D" w:rsidP="00C0308D">
      <w:pPr>
        <w:pStyle w:val="Prrafodelista"/>
        <w:rPr>
          <w:rFonts w:ascii="Arial" w:eastAsia="Times New Roman" w:hAnsi="Arial"/>
          <w:color w:val="000000"/>
          <w:sz w:val="22"/>
          <w:szCs w:val="22"/>
        </w:rPr>
      </w:pPr>
    </w:p>
    <w:p w14:paraId="1EF82FDA" w14:textId="60D047D4" w:rsidR="00C0308D" w:rsidRPr="00FC1F98" w:rsidRDefault="00C0308D" w:rsidP="00C0308D">
      <w:pPr>
        <w:tabs>
          <w:tab w:val="left" w:pos="567"/>
        </w:tabs>
        <w:ind w:left="567"/>
        <w:rPr>
          <w:rFonts w:ascii="Arial" w:eastAsia="Times New Roman" w:hAnsi="Arial"/>
          <w:color w:val="000000"/>
          <w:sz w:val="22"/>
          <w:szCs w:val="22"/>
        </w:rPr>
      </w:pPr>
      <w:r w:rsidRPr="00FC1F98">
        <w:rPr>
          <w:rFonts w:ascii="Arial" w:eastAsia="Times New Roman" w:hAnsi="Arial"/>
          <w:color w:val="000000"/>
          <w:sz w:val="22"/>
          <w:szCs w:val="22"/>
        </w:rPr>
        <w:t>(…)”</w:t>
      </w:r>
    </w:p>
    <w:p w14:paraId="5AFDBC42" w14:textId="77777777" w:rsidR="00017288" w:rsidRPr="00FC1F98" w:rsidRDefault="00017288" w:rsidP="004A7592">
      <w:pPr>
        <w:pStyle w:val="Prrafodelista"/>
        <w:tabs>
          <w:tab w:val="left" w:pos="567"/>
        </w:tabs>
        <w:spacing w:line="276" w:lineRule="auto"/>
        <w:ind w:left="0"/>
        <w:rPr>
          <w:rFonts w:ascii="Arial" w:eastAsia="Times New Roman" w:hAnsi="Arial"/>
          <w:color w:val="000000"/>
        </w:rPr>
      </w:pPr>
    </w:p>
    <w:p w14:paraId="6D596476" w14:textId="6D478C81" w:rsidR="004A7592" w:rsidRPr="00C630EE" w:rsidRDefault="00982DB6" w:rsidP="004A7592">
      <w:pPr>
        <w:pStyle w:val="Prrafodelista"/>
        <w:tabs>
          <w:tab w:val="left" w:pos="567"/>
        </w:tabs>
        <w:spacing w:line="276" w:lineRule="auto"/>
        <w:ind w:left="0"/>
        <w:rPr>
          <w:rFonts w:ascii="Arial" w:eastAsia="Times New Roman" w:hAnsi="Arial"/>
          <w:color w:val="000000"/>
        </w:rPr>
      </w:pPr>
      <w:r w:rsidRPr="00FC1F98">
        <w:rPr>
          <w:rFonts w:ascii="Arial" w:eastAsia="Times New Roman" w:hAnsi="Arial"/>
          <w:color w:val="000000"/>
        </w:rPr>
        <w:t>2.</w:t>
      </w:r>
      <w:r w:rsidR="002B061F" w:rsidRPr="00FC1F98">
        <w:rPr>
          <w:rFonts w:ascii="Arial" w:eastAsia="Times New Roman" w:hAnsi="Arial"/>
          <w:color w:val="000000"/>
        </w:rPr>
        <w:t>8</w:t>
      </w:r>
      <w:r w:rsidRPr="00FC1F98">
        <w:rPr>
          <w:rFonts w:ascii="Arial" w:eastAsia="Times New Roman" w:hAnsi="Arial"/>
          <w:color w:val="000000"/>
        </w:rPr>
        <w:t xml:space="preserve">. </w:t>
      </w:r>
      <w:r w:rsidR="00C0308D" w:rsidRPr="00FC1F98">
        <w:rPr>
          <w:rFonts w:ascii="Arial" w:eastAsia="Times New Roman" w:hAnsi="Arial"/>
          <w:color w:val="000000"/>
        </w:rPr>
        <w:t xml:space="preserve">La anterior </w:t>
      </w:r>
      <w:r w:rsidR="00C0308D" w:rsidRPr="00C630EE">
        <w:rPr>
          <w:rFonts w:ascii="Arial" w:eastAsia="Times New Roman" w:hAnsi="Arial"/>
          <w:color w:val="000000"/>
        </w:rPr>
        <w:t>decisión, a</w:t>
      </w:r>
      <w:r w:rsidR="00DF1605" w:rsidRPr="00C630EE">
        <w:rPr>
          <w:rFonts w:ascii="Arial" w:eastAsia="Times New Roman" w:hAnsi="Arial"/>
          <w:color w:val="000000"/>
        </w:rPr>
        <w:t xml:space="preserve">l considerar que había operado </w:t>
      </w:r>
      <w:r w:rsidR="003D2CE6" w:rsidRPr="00C630EE">
        <w:rPr>
          <w:rFonts w:ascii="Arial" w:eastAsia="Times New Roman" w:hAnsi="Arial"/>
          <w:color w:val="000000"/>
        </w:rPr>
        <w:t>dicho</w:t>
      </w:r>
      <w:r w:rsidR="00DF1605" w:rsidRPr="00C630EE">
        <w:rPr>
          <w:rFonts w:ascii="Arial" w:eastAsia="Times New Roman" w:hAnsi="Arial"/>
          <w:color w:val="000000"/>
        </w:rPr>
        <w:t xml:space="preserve"> fenómeno por cuanto el actor presentó la demanda por fuera del término establecido en el artículo </w:t>
      </w:r>
      <w:r w:rsidR="00C70FE7" w:rsidRPr="00C630EE">
        <w:rPr>
          <w:rFonts w:ascii="Arial" w:eastAsia="Times New Roman" w:hAnsi="Arial"/>
          <w:color w:val="000000"/>
        </w:rPr>
        <w:t>136 numeral 8° del CCA</w:t>
      </w:r>
      <w:r w:rsidR="008748CC" w:rsidRPr="00C630EE">
        <w:rPr>
          <w:rStyle w:val="Refdenotaalpie"/>
          <w:rFonts w:ascii="Arial" w:eastAsia="Times New Roman" w:hAnsi="Arial"/>
          <w:color w:val="000000"/>
        </w:rPr>
        <w:footnoteReference w:id="10"/>
      </w:r>
      <w:r w:rsidR="00B27B43" w:rsidRPr="00C630EE">
        <w:rPr>
          <w:rFonts w:ascii="Arial" w:eastAsia="Times New Roman" w:hAnsi="Arial"/>
          <w:color w:val="000000"/>
        </w:rPr>
        <w:t>.</w:t>
      </w:r>
    </w:p>
    <w:p w14:paraId="322B0BC1" w14:textId="4CA85266" w:rsidR="00FC1F98" w:rsidRPr="00C630EE" w:rsidRDefault="00FC1F98" w:rsidP="004A7592">
      <w:pPr>
        <w:pStyle w:val="Prrafodelista"/>
        <w:tabs>
          <w:tab w:val="left" w:pos="567"/>
        </w:tabs>
        <w:spacing w:line="276" w:lineRule="auto"/>
        <w:ind w:left="0"/>
        <w:rPr>
          <w:rFonts w:ascii="Arial" w:eastAsia="Times New Roman" w:hAnsi="Arial"/>
          <w:color w:val="000000"/>
        </w:rPr>
      </w:pPr>
    </w:p>
    <w:bookmarkEnd w:id="5"/>
    <w:p w14:paraId="7E99F2BA" w14:textId="19C8D0BB" w:rsidR="00982DB6" w:rsidRPr="00FC1F98" w:rsidRDefault="00982DB6" w:rsidP="00982DB6">
      <w:pPr>
        <w:pStyle w:val="Sinespaciado"/>
        <w:spacing w:line="276" w:lineRule="auto"/>
        <w:rPr>
          <w:rFonts w:ascii="Arial" w:hAnsi="Arial"/>
          <w:bCs/>
        </w:rPr>
      </w:pPr>
      <w:r w:rsidRPr="00C630EE">
        <w:rPr>
          <w:rFonts w:ascii="Arial" w:hAnsi="Arial"/>
          <w:bCs/>
        </w:rPr>
        <w:t>2.</w:t>
      </w:r>
      <w:r w:rsidR="00FC1F98" w:rsidRPr="00C630EE">
        <w:rPr>
          <w:rFonts w:ascii="Arial" w:hAnsi="Arial"/>
          <w:bCs/>
        </w:rPr>
        <w:t>9</w:t>
      </w:r>
      <w:r w:rsidRPr="00C630EE">
        <w:rPr>
          <w:rFonts w:ascii="Arial" w:hAnsi="Arial"/>
          <w:bCs/>
        </w:rPr>
        <w:t>. La providencia fue notificada</w:t>
      </w:r>
      <w:r w:rsidRPr="00FC1F98">
        <w:rPr>
          <w:rFonts w:ascii="Arial" w:hAnsi="Arial"/>
          <w:bCs/>
        </w:rPr>
        <w:t xml:space="preserve"> a las partes por medio de correo electrónico</w:t>
      </w:r>
      <w:r w:rsidRPr="00FC1F98">
        <w:rPr>
          <w:rStyle w:val="Refdenotaalpie"/>
          <w:rFonts w:ascii="Arial" w:eastAsia="Times New Roman" w:hAnsi="Arial"/>
          <w:color w:val="000000"/>
        </w:rPr>
        <w:footnoteReference w:id="11"/>
      </w:r>
      <w:r w:rsidRPr="00FC1F98">
        <w:rPr>
          <w:rFonts w:ascii="Arial" w:hAnsi="Arial"/>
          <w:bCs/>
        </w:rPr>
        <w:t xml:space="preserve"> el 18 </w:t>
      </w:r>
      <w:r w:rsidRPr="00FC1F98">
        <w:rPr>
          <w:rFonts w:ascii="Arial" w:eastAsia="Times New Roman" w:hAnsi="Arial"/>
          <w:color w:val="000000"/>
        </w:rPr>
        <w:t>noviembre de 2020</w:t>
      </w:r>
      <w:r w:rsidRPr="00FC1F98">
        <w:rPr>
          <w:rFonts w:ascii="Arial" w:hAnsi="Arial"/>
          <w:bCs/>
        </w:rPr>
        <w:t>.</w:t>
      </w:r>
    </w:p>
    <w:p w14:paraId="00D57C59" w14:textId="77777777" w:rsidR="003D2CE6" w:rsidRPr="00FC1F98" w:rsidRDefault="003D2CE6" w:rsidP="004A7592">
      <w:pPr>
        <w:pStyle w:val="Prrafodelista"/>
        <w:tabs>
          <w:tab w:val="left" w:pos="567"/>
        </w:tabs>
        <w:spacing w:line="276" w:lineRule="auto"/>
        <w:ind w:left="0"/>
        <w:rPr>
          <w:rFonts w:ascii="Arial" w:eastAsia="Times New Roman" w:hAnsi="Arial"/>
          <w:color w:val="000000"/>
        </w:rPr>
      </w:pPr>
    </w:p>
    <w:p w14:paraId="7E5F4086" w14:textId="2FD7A29B" w:rsidR="003D2CE6" w:rsidRPr="00FC1F98" w:rsidRDefault="003D2CE6" w:rsidP="004A7592">
      <w:pPr>
        <w:pStyle w:val="Prrafodelista"/>
        <w:tabs>
          <w:tab w:val="left" w:pos="567"/>
        </w:tabs>
        <w:spacing w:line="276" w:lineRule="auto"/>
        <w:ind w:left="0"/>
        <w:rPr>
          <w:rFonts w:ascii="Arial" w:eastAsia="Times New Roman" w:hAnsi="Arial"/>
          <w:b/>
          <w:bCs/>
          <w:color w:val="000000"/>
        </w:rPr>
      </w:pPr>
      <w:r w:rsidRPr="00FC1F98">
        <w:rPr>
          <w:rFonts w:ascii="Arial" w:eastAsia="Times New Roman" w:hAnsi="Arial"/>
          <w:b/>
          <w:bCs/>
          <w:color w:val="000000"/>
        </w:rPr>
        <w:t>3. Sustento de la vulneración</w:t>
      </w:r>
    </w:p>
    <w:p w14:paraId="1C136CDC" w14:textId="77777777" w:rsidR="009E4F50" w:rsidRPr="00FC1F98" w:rsidRDefault="009E4F50" w:rsidP="00D51912">
      <w:pPr>
        <w:pStyle w:val="Prrafodelista"/>
        <w:tabs>
          <w:tab w:val="left" w:pos="567"/>
          <w:tab w:val="left" w:pos="2760"/>
        </w:tabs>
        <w:spacing w:line="276" w:lineRule="auto"/>
        <w:ind w:left="0"/>
        <w:rPr>
          <w:rFonts w:ascii="Arial" w:eastAsia="Times New Roman" w:hAnsi="Arial"/>
          <w:color w:val="000000"/>
          <w:lang w:val="es-CO"/>
        </w:rPr>
      </w:pPr>
    </w:p>
    <w:p w14:paraId="69F04E48" w14:textId="0004A87F" w:rsidR="004A7592" w:rsidRPr="00FC1F98" w:rsidRDefault="009E4F50" w:rsidP="004A7592">
      <w:pPr>
        <w:spacing w:line="276" w:lineRule="auto"/>
      </w:pPr>
      <w:bookmarkStart w:id="6" w:name="_Hlk66285883"/>
      <w:r w:rsidRPr="00FC1F98">
        <w:rPr>
          <w:rFonts w:ascii="Arial" w:eastAsia="Times New Roman" w:hAnsi="Arial"/>
          <w:color w:val="000000"/>
          <w:lang w:val="es-CO"/>
        </w:rPr>
        <w:t xml:space="preserve">Señaló la parte actora que el asunto de discusión </w:t>
      </w:r>
      <w:r w:rsidR="00092927" w:rsidRPr="00FC1F98">
        <w:rPr>
          <w:rFonts w:ascii="Arial" w:eastAsia="Times New Roman" w:hAnsi="Arial"/>
          <w:color w:val="000000"/>
          <w:lang w:val="es-CO"/>
        </w:rPr>
        <w:t>es</w:t>
      </w:r>
      <w:r w:rsidRPr="00FC1F98">
        <w:rPr>
          <w:rFonts w:ascii="Arial" w:eastAsia="Times New Roman" w:hAnsi="Arial"/>
          <w:color w:val="000000"/>
          <w:lang w:val="es-CO"/>
        </w:rPr>
        <w:t xml:space="preserve"> relevante constitucionalmente ante la existencia de un tracto sucesivo por fracturación del subsuelo</w:t>
      </w:r>
      <w:r w:rsidR="00B25E26" w:rsidRPr="00FC1F98">
        <w:rPr>
          <w:rFonts w:ascii="Arial" w:eastAsia="Times New Roman" w:hAnsi="Arial"/>
          <w:color w:val="000000"/>
          <w:lang w:val="es-CO"/>
        </w:rPr>
        <w:t>,</w:t>
      </w:r>
      <w:r w:rsidRPr="00FC1F98">
        <w:rPr>
          <w:rFonts w:ascii="Arial" w:eastAsia="Times New Roman" w:hAnsi="Arial"/>
          <w:color w:val="000000"/>
          <w:lang w:val="es-CO"/>
        </w:rPr>
        <w:t xml:space="preserve"> agrietamiento del suelo y su entorno ambiental</w:t>
      </w:r>
      <w:r w:rsidR="00B25E26" w:rsidRPr="00FC1F98">
        <w:rPr>
          <w:rFonts w:ascii="Arial" w:eastAsia="Times New Roman" w:hAnsi="Arial"/>
          <w:color w:val="000000"/>
          <w:lang w:val="es-CO"/>
        </w:rPr>
        <w:t>,</w:t>
      </w:r>
      <w:r w:rsidRPr="00FC1F98">
        <w:rPr>
          <w:rFonts w:ascii="Arial" w:eastAsia="Times New Roman" w:hAnsi="Arial"/>
          <w:color w:val="000000"/>
          <w:lang w:val="es-CO"/>
        </w:rPr>
        <w:t xml:space="preserve"> originado por la irracional e ilegal explotación minera de carbón que</w:t>
      </w:r>
      <w:r w:rsidR="00B25E26" w:rsidRPr="00FC1F98">
        <w:rPr>
          <w:rFonts w:ascii="Arial" w:eastAsia="Times New Roman" w:hAnsi="Arial"/>
          <w:color w:val="000000"/>
          <w:lang w:val="es-CO"/>
        </w:rPr>
        <w:t>,</w:t>
      </w:r>
      <w:r w:rsidRPr="00FC1F98">
        <w:rPr>
          <w:rFonts w:ascii="Arial" w:eastAsia="Times New Roman" w:hAnsi="Arial"/>
          <w:color w:val="000000"/>
          <w:lang w:val="es-CO"/>
        </w:rPr>
        <w:t xml:space="preserve"> de suyo</w:t>
      </w:r>
      <w:r w:rsidR="00B25E26" w:rsidRPr="00FC1F98">
        <w:rPr>
          <w:rFonts w:ascii="Arial" w:eastAsia="Times New Roman" w:hAnsi="Arial"/>
          <w:color w:val="000000"/>
          <w:lang w:val="es-CO"/>
        </w:rPr>
        <w:t>,</w:t>
      </w:r>
      <w:r w:rsidRPr="00FC1F98">
        <w:rPr>
          <w:rFonts w:ascii="Arial" w:eastAsia="Times New Roman" w:hAnsi="Arial"/>
          <w:color w:val="000000"/>
          <w:lang w:val="es-CO"/>
        </w:rPr>
        <w:t xml:space="preserve"> implica la vulneración de múltiples derechos fundamentale</w:t>
      </w:r>
      <w:r w:rsidR="008E110A" w:rsidRPr="00FC1F98">
        <w:rPr>
          <w:rFonts w:ascii="Arial" w:eastAsia="Times New Roman" w:hAnsi="Arial"/>
          <w:color w:val="000000"/>
          <w:lang w:val="es-CO"/>
        </w:rPr>
        <w:t>s cuya protección recae en cabeza del</w:t>
      </w:r>
      <w:r w:rsidR="006E14BE" w:rsidRPr="00FC1F98">
        <w:rPr>
          <w:rFonts w:ascii="Arial" w:eastAsia="Times New Roman" w:hAnsi="Arial"/>
          <w:color w:val="000000"/>
          <w:lang w:val="es-CO"/>
        </w:rPr>
        <w:t xml:space="preserve"> E</w:t>
      </w:r>
      <w:r w:rsidR="008E110A" w:rsidRPr="00FC1F98">
        <w:rPr>
          <w:rFonts w:ascii="Arial" w:eastAsia="Times New Roman" w:hAnsi="Arial"/>
          <w:color w:val="000000"/>
          <w:lang w:val="es-CO"/>
        </w:rPr>
        <w:t>stado</w:t>
      </w:r>
      <w:r w:rsidR="00B25E26" w:rsidRPr="00FC1F98">
        <w:rPr>
          <w:rFonts w:ascii="Arial" w:eastAsia="Times New Roman" w:hAnsi="Arial"/>
          <w:color w:val="000000"/>
          <w:lang w:val="es-CO"/>
        </w:rPr>
        <w:t xml:space="preserve"> por ser el garante de</w:t>
      </w:r>
      <w:r w:rsidR="008E110A" w:rsidRPr="00FC1F98">
        <w:rPr>
          <w:rFonts w:ascii="Arial" w:eastAsia="Times New Roman" w:hAnsi="Arial"/>
          <w:color w:val="000000"/>
          <w:lang w:val="es-CO"/>
        </w:rPr>
        <w:t xml:space="preserve"> la </w:t>
      </w:r>
      <w:r w:rsidR="004A7592" w:rsidRPr="00FC1F98">
        <w:rPr>
          <w:rFonts w:ascii="Arial" w:eastAsia="Times New Roman" w:hAnsi="Arial"/>
          <w:color w:val="000000"/>
          <w:lang w:val="es-CO"/>
        </w:rPr>
        <w:t>guarda</w:t>
      </w:r>
      <w:r w:rsidR="008E110A" w:rsidRPr="00FC1F98">
        <w:rPr>
          <w:rFonts w:ascii="Arial" w:eastAsia="Times New Roman" w:hAnsi="Arial"/>
          <w:color w:val="000000"/>
          <w:lang w:val="es-CO"/>
        </w:rPr>
        <w:t xml:space="preserve"> del medio ambiente</w:t>
      </w:r>
      <w:r w:rsidR="00934092" w:rsidRPr="00FC1F98">
        <w:rPr>
          <w:rFonts w:ascii="Arial" w:eastAsia="Times New Roman" w:hAnsi="Arial"/>
          <w:color w:val="000000"/>
          <w:lang w:val="es-CO"/>
        </w:rPr>
        <w:t xml:space="preserve">, a través de los </w:t>
      </w:r>
      <w:r w:rsidR="00E0722F" w:rsidRPr="00FC1F98">
        <w:rPr>
          <w:rFonts w:ascii="Arial" w:eastAsia="Times New Roman" w:hAnsi="Arial"/>
          <w:color w:val="000000"/>
          <w:lang w:val="es-CO"/>
        </w:rPr>
        <w:t>M</w:t>
      </w:r>
      <w:r w:rsidR="00934092" w:rsidRPr="00FC1F98">
        <w:rPr>
          <w:rFonts w:ascii="Arial" w:eastAsia="Times New Roman" w:hAnsi="Arial"/>
          <w:color w:val="000000"/>
          <w:lang w:val="es-CO"/>
        </w:rPr>
        <w:t xml:space="preserve">inisterios de </w:t>
      </w:r>
      <w:r w:rsidR="00A84BFE" w:rsidRPr="00FC1F98">
        <w:rPr>
          <w:rFonts w:ascii="Arial" w:eastAsia="Times New Roman" w:hAnsi="Arial"/>
          <w:color w:val="000000"/>
          <w:lang w:val="es-CO"/>
        </w:rPr>
        <w:t>M</w:t>
      </w:r>
      <w:r w:rsidR="00934092" w:rsidRPr="00FC1F98">
        <w:rPr>
          <w:rFonts w:ascii="Arial" w:eastAsia="Times New Roman" w:hAnsi="Arial"/>
          <w:color w:val="000000"/>
          <w:lang w:val="es-CO"/>
        </w:rPr>
        <w:t xml:space="preserve">inas y </w:t>
      </w:r>
      <w:r w:rsidR="00A84BFE" w:rsidRPr="00FC1F98">
        <w:rPr>
          <w:rFonts w:ascii="Arial" w:eastAsia="Times New Roman" w:hAnsi="Arial"/>
          <w:color w:val="000000"/>
          <w:lang w:val="es-CO"/>
        </w:rPr>
        <w:t>E</w:t>
      </w:r>
      <w:r w:rsidR="00934092" w:rsidRPr="00FC1F98">
        <w:rPr>
          <w:rFonts w:ascii="Arial" w:eastAsia="Times New Roman" w:hAnsi="Arial"/>
          <w:color w:val="000000"/>
          <w:lang w:val="es-CO"/>
        </w:rPr>
        <w:t>nergía</w:t>
      </w:r>
      <w:r w:rsidR="00A84BFE" w:rsidRPr="00FC1F98">
        <w:rPr>
          <w:rFonts w:ascii="Arial" w:eastAsia="Times New Roman" w:hAnsi="Arial"/>
          <w:color w:val="000000"/>
          <w:lang w:val="es-CO"/>
        </w:rPr>
        <w:t>;</w:t>
      </w:r>
      <w:r w:rsidR="00934092" w:rsidRPr="00FC1F98">
        <w:rPr>
          <w:rFonts w:ascii="Arial" w:eastAsia="Times New Roman" w:hAnsi="Arial"/>
          <w:color w:val="000000"/>
          <w:lang w:val="es-CO"/>
        </w:rPr>
        <w:t xml:space="preserve"> de Ambiente y Desarrollo</w:t>
      </w:r>
      <w:r w:rsidR="004A7592" w:rsidRPr="00FC1F98">
        <w:rPr>
          <w:rFonts w:ascii="Arial" w:eastAsia="Times New Roman" w:hAnsi="Arial"/>
          <w:color w:val="000000"/>
          <w:lang w:val="es-CO"/>
        </w:rPr>
        <w:t xml:space="preserve"> Sostenible</w:t>
      </w:r>
      <w:r w:rsidR="00934092" w:rsidRPr="00FC1F98">
        <w:rPr>
          <w:rFonts w:ascii="Arial" w:eastAsia="Times New Roman" w:hAnsi="Arial"/>
          <w:color w:val="000000"/>
          <w:lang w:val="es-CO"/>
        </w:rPr>
        <w:t xml:space="preserve"> </w:t>
      </w:r>
      <w:r w:rsidR="00A84BFE" w:rsidRPr="00FC1F98">
        <w:rPr>
          <w:rFonts w:ascii="Arial" w:eastAsia="Times New Roman" w:hAnsi="Arial"/>
          <w:color w:val="000000"/>
          <w:lang w:val="es-CO"/>
        </w:rPr>
        <w:t xml:space="preserve">y; de </w:t>
      </w:r>
      <w:r w:rsidR="004A7592" w:rsidRPr="00FC1F98">
        <w:rPr>
          <w:rFonts w:ascii="Arial" w:eastAsia="Times New Roman" w:hAnsi="Arial"/>
          <w:color w:val="000000"/>
          <w:lang w:val="es-CO"/>
        </w:rPr>
        <w:t>Vivienda, Ciudad y Territorio.</w:t>
      </w:r>
    </w:p>
    <w:p w14:paraId="227C4861" w14:textId="14F17427" w:rsidR="00934092" w:rsidRPr="00FC1F98" w:rsidRDefault="00934092" w:rsidP="00D51912">
      <w:pPr>
        <w:pStyle w:val="Prrafodelista"/>
        <w:tabs>
          <w:tab w:val="left" w:pos="567"/>
          <w:tab w:val="left" w:pos="2760"/>
        </w:tabs>
        <w:spacing w:line="276" w:lineRule="auto"/>
        <w:ind w:left="0"/>
        <w:rPr>
          <w:rFonts w:ascii="Arial" w:eastAsia="Times New Roman" w:hAnsi="Arial"/>
          <w:color w:val="000000"/>
          <w:lang w:val="es-CO"/>
        </w:rPr>
      </w:pPr>
    </w:p>
    <w:p w14:paraId="72E9F108" w14:textId="6C4B6D59" w:rsidR="00934092" w:rsidRPr="00FC1F98" w:rsidRDefault="00E0722F" w:rsidP="00934092">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lang w:val="es-CO"/>
        </w:rPr>
        <w:t xml:space="preserve">Mencionó </w:t>
      </w:r>
      <w:r w:rsidR="00934092" w:rsidRPr="00FC1F98">
        <w:rPr>
          <w:rFonts w:ascii="Arial" w:eastAsia="Times New Roman" w:hAnsi="Arial"/>
          <w:lang w:val="es-CO"/>
        </w:rPr>
        <w:t xml:space="preserve">que en el </w:t>
      </w:r>
      <w:r w:rsidR="00934092" w:rsidRPr="00FC1F98">
        <w:rPr>
          <w:rFonts w:ascii="Arial" w:eastAsia="Times New Roman" w:hAnsi="Arial"/>
          <w:i/>
          <w:iCs/>
          <w:lang w:val="es-CO"/>
        </w:rPr>
        <w:t>sub lite</w:t>
      </w:r>
      <w:r w:rsidR="00934092" w:rsidRPr="00FC1F98">
        <w:rPr>
          <w:rFonts w:ascii="Arial" w:eastAsia="Times New Roman" w:hAnsi="Arial"/>
          <w:lang w:val="es-CO"/>
        </w:rPr>
        <w:t xml:space="preserve"> era aplicable el Decreto Ley 2811 de 1974</w:t>
      </w:r>
      <w:r w:rsidR="00464815" w:rsidRPr="00FC1F98">
        <w:rPr>
          <w:rStyle w:val="Refdenotaalpie"/>
          <w:rFonts w:ascii="Arial" w:eastAsia="Times New Roman" w:hAnsi="Arial"/>
          <w:lang w:val="es-CO"/>
        </w:rPr>
        <w:footnoteReference w:id="12"/>
      </w:r>
      <w:r w:rsidR="00934092" w:rsidRPr="00FC1F98">
        <w:rPr>
          <w:rFonts w:ascii="Arial" w:eastAsia="Times New Roman" w:hAnsi="Arial"/>
          <w:lang w:val="es-CO"/>
        </w:rPr>
        <w:t xml:space="preserve"> y, las Leyes 388 de 1997</w:t>
      </w:r>
      <w:r w:rsidR="00464815" w:rsidRPr="00FC1F98">
        <w:rPr>
          <w:rStyle w:val="Refdenotaalpie"/>
          <w:rFonts w:ascii="Arial" w:eastAsia="Times New Roman" w:hAnsi="Arial"/>
          <w:lang w:val="es-CO"/>
        </w:rPr>
        <w:footnoteReference w:id="13"/>
      </w:r>
      <w:r w:rsidR="00934092" w:rsidRPr="00FC1F98">
        <w:rPr>
          <w:rFonts w:ascii="Arial" w:eastAsia="Times New Roman" w:hAnsi="Arial"/>
          <w:lang w:val="es-CO"/>
        </w:rPr>
        <w:t xml:space="preserve"> y 99 de 1993</w:t>
      </w:r>
      <w:r w:rsidR="00464815" w:rsidRPr="00FC1F98">
        <w:rPr>
          <w:rStyle w:val="Refdenotaalpie"/>
          <w:rFonts w:ascii="Arial" w:eastAsia="Times New Roman" w:hAnsi="Arial"/>
          <w:lang w:val="es-CO"/>
        </w:rPr>
        <w:footnoteReference w:id="14"/>
      </w:r>
      <w:r w:rsidR="00934092" w:rsidRPr="00FC1F98">
        <w:rPr>
          <w:rFonts w:ascii="Arial" w:eastAsia="Times New Roman" w:hAnsi="Arial"/>
          <w:lang w:val="es-CO"/>
        </w:rPr>
        <w:t xml:space="preserve"> y las normas afines vigentes, relativas a</w:t>
      </w:r>
      <w:r w:rsidR="00950002" w:rsidRPr="00FC1F98">
        <w:rPr>
          <w:rFonts w:ascii="Arial" w:eastAsia="Times New Roman" w:hAnsi="Arial"/>
          <w:lang w:val="es-CO"/>
        </w:rPr>
        <w:t>: i)</w:t>
      </w:r>
      <w:r w:rsidR="00934092" w:rsidRPr="00FC1F98">
        <w:rPr>
          <w:rFonts w:ascii="Arial" w:eastAsia="Times New Roman" w:hAnsi="Arial"/>
          <w:lang w:val="es-CO"/>
        </w:rPr>
        <w:t xml:space="preserve"> los aspectos de: títulos de propiedad privada y mineros; </w:t>
      </w:r>
      <w:proofErr w:type="spellStart"/>
      <w:r w:rsidR="000E1264" w:rsidRPr="00FC1F98">
        <w:rPr>
          <w:rFonts w:ascii="Arial" w:eastAsia="Times New Roman" w:hAnsi="Arial"/>
          <w:lang w:val="es-CO"/>
        </w:rPr>
        <w:t>ii</w:t>
      </w:r>
      <w:proofErr w:type="spellEnd"/>
      <w:r w:rsidR="000E1264" w:rsidRPr="00FC1F98">
        <w:rPr>
          <w:rFonts w:ascii="Arial" w:eastAsia="Times New Roman" w:hAnsi="Arial"/>
          <w:lang w:val="es-CO"/>
        </w:rPr>
        <w:t xml:space="preserve">) </w:t>
      </w:r>
      <w:r w:rsidR="00934092" w:rsidRPr="00FC1F98">
        <w:rPr>
          <w:rFonts w:ascii="Arial" w:eastAsia="Times New Roman" w:hAnsi="Arial"/>
          <w:lang w:val="es-CO"/>
        </w:rPr>
        <w:t xml:space="preserve">registros, permisos y licencias mineras; </w:t>
      </w:r>
      <w:proofErr w:type="spellStart"/>
      <w:r w:rsidR="000E1264" w:rsidRPr="00FC1F98">
        <w:rPr>
          <w:rFonts w:ascii="Arial" w:eastAsia="Times New Roman" w:hAnsi="Arial"/>
          <w:lang w:val="es-CO"/>
        </w:rPr>
        <w:t>ii</w:t>
      </w:r>
      <w:r w:rsidR="00934092" w:rsidRPr="00FC1F98">
        <w:rPr>
          <w:rFonts w:ascii="Arial" w:eastAsia="Times New Roman" w:hAnsi="Arial"/>
          <w:lang w:val="es-CO"/>
        </w:rPr>
        <w:t>i</w:t>
      </w:r>
      <w:proofErr w:type="spellEnd"/>
      <w:r w:rsidR="000E1264" w:rsidRPr="00FC1F98">
        <w:rPr>
          <w:rFonts w:ascii="Arial" w:eastAsia="Times New Roman" w:hAnsi="Arial"/>
          <w:lang w:val="es-CO"/>
        </w:rPr>
        <w:t>) li</w:t>
      </w:r>
      <w:r w:rsidR="00934092" w:rsidRPr="00FC1F98">
        <w:rPr>
          <w:rFonts w:ascii="Arial" w:eastAsia="Times New Roman" w:hAnsi="Arial"/>
          <w:lang w:val="es-CO"/>
        </w:rPr>
        <w:t xml:space="preserve">cencias y planes de manejo ambiental </w:t>
      </w:r>
      <w:r w:rsidR="000E1264" w:rsidRPr="00FC1F98">
        <w:rPr>
          <w:rFonts w:ascii="Arial" w:eastAsia="Times New Roman" w:hAnsi="Arial"/>
          <w:lang w:val="es-CO"/>
        </w:rPr>
        <w:t xml:space="preserve">y; </w:t>
      </w:r>
      <w:proofErr w:type="spellStart"/>
      <w:r w:rsidR="000E1264" w:rsidRPr="00FC1F98">
        <w:rPr>
          <w:rFonts w:ascii="Arial" w:eastAsia="Times New Roman" w:hAnsi="Arial"/>
          <w:lang w:val="es-CO"/>
        </w:rPr>
        <w:t>iv</w:t>
      </w:r>
      <w:proofErr w:type="spellEnd"/>
      <w:r w:rsidR="000E1264" w:rsidRPr="00FC1F98">
        <w:rPr>
          <w:rFonts w:ascii="Arial" w:eastAsia="Times New Roman" w:hAnsi="Arial"/>
          <w:lang w:val="es-CO"/>
        </w:rPr>
        <w:t xml:space="preserve">) </w:t>
      </w:r>
      <w:r w:rsidR="00934092" w:rsidRPr="00FC1F98">
        <w:rPr>
          <w:rFonts w:ascii="Arial" w:eastAsia="Times New Roman" w:hAnsi="Arial"/>
          <w:lang w:val="es-CO"/>
        </w:rPr>
        <w:t>planes de monitoreo y</w:t>
      </w:r>
      <w:r w:rsidR="00092927" w:rsidRPr="00FC1F98">
        <w:rPr>
          <w:rFonts w:ascii="Arial" w:eastAsia="Times New Roman" w:hAnsi="Arial"/>
          <w:lang w:val="es-CO"/>
        </w:rPr>
        <w:t xml:space="preserve"> </w:t>
      </w:r>
      <w:r w:rsidR="00934092" w:rsidRPr="00FC1F98">
        <w:rPr>
          <w:rFonts w:ascii="Arial" w:eastAsia="Times New Roman" w:hAnsi="Arial"/>
          <w:lang w:val="es-CO"/>
        </w:rPr>
        <w:t>de trabajo e inversiones y adopción de términos y guías. E</w:t>
      </w:r>
      <w:r w:rsidR="00092927" w:rsidRPr="00FC1F98">
        <w:rPr>
          <w:rFonts w:ascii="Arial" w:eastAsia="Times New Roman" w:hAnsi="Arial"/>
          <w:lang w:val="es-CO"/>
        </w:rPr>
        <w:t>n</w:t>
      </w:r>
      <w:r w:rsidR="00934092" w:rsidRPr="00FC1F98">
        <w:rPr>
          <w:rFonts w:ascii="Arial" w:eastAsia="Times New Roman" w:hAnsi="Arial"/>
          <w:lang w:val="es-CO"/>
        </w:rPr>
        <w:t xml:space="preserve"> este aspecto citó la sentencia de radicado 76001-23-31-000-1994-00736-01, de 19 de junio de 2008, de la Sección Tercera del Consejo de Estado, con ponencia de la magistrada Miryam Guerrero de Escobar, en relación con las obligaciones a cargo del Estado y el título de imputación de falla en el servicio.</w:t>
      </w:r>
    </w:p>
    <w:p w14:paraId="0E01B784" w14:textId="77777777" w:rsidR="00934092" w:rsidRPr="00FC1F98" w:rsidRDefault="00934092" w:rsidP="00D51912">
      <w:pPr>
        <w:pStyle w:val="Prrafodelista"/>
        <w:tabs>
          <w:tab w:val="left" w:pos="567"/>
          <w:tab w:val="left" w:pos="2760"/>
        </w:tabs>
        <w:spacing w:line="276" w:lineRule="auto"/>
        <w:ind w:left="0"/>
        <w:rPr>
          <w:rFonts w:ascii="Arial" w:eastAsia="Times New Roman" w:hAnsi="Arial"/>
          <w:color w:val="000000"/>
          <w:lang w:val="es-CO"/>
        </w:rPr>
      </w:pPr>
    </w:p>
    <w:p w14:paraId="5210C3EB" w14:textId="4DD032B5" w:rsidR="00E0722F" w:rsidRPr="00FC1F98" w:rsidRDefault="00E0722F" w:rsidP="00E0722F">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color w:val="000000"/>
          <w:lang w:val="es-CO"/>
        </w:rPr>
        <w:lastRenderedPageBreak/>
        <w:t xml:space="preserve">El </w:t>
      </w:r>
      <w:r w:rsidRPr="00FC1F98">
        <w:rPr>
          <w:rFonts w:ascii="Arial" w:eastAsia="Times New Roman" w:hAnsi="Arial"/>
          <w:lang w:val="es-CO"/>
        </w:rPr>
        <w:t>tutelante estimó que la autoridad judicial accionada, con la expedición de la providencia cuestionada, vulneró sus derechos fundamentales e incurrió en defecto orgánico, procedimental absoluto, fáctico, sustantivo, error inducido, decisión sin motivación, desconocimiento del precedente y, violación directa de la Constitución cuyo sustento lo expuso de la siguiente manera:</w:t>
      </w:r>
    </w:p>
    <w:p w14:paraId="4736173B" w14:textId="0126053C" w:rsidR="001949F6" w:rsidRPr="00FC1F98" w:rsidRDefault="001949F6" w:rsidP="00E0722F">
      <w:pPr>
        <w:pStyle w:val="Prrafodelista"/>
        <w:tabs>
          <w:tab w:val="left" w:pos="567"/>
          <w:tab w:val="left" w:pos="2760"/>
        </w:tabs>
        <w:spacing w:line="276" w:lineRule="auto"/>
        <w:ind w:left="0"/>
        <w:rPr>
          <w:rFonts w:ascii="Arial" w:eastAsia="Times New Roman" w:hAnsi="Arial"/>
          <w:lang w:val="es-CO"/>
        </w:rPr>
      </w:pPr>
    </w:p>
    <w:p w14:paraId="2AA37743" w14:textId="1AD0F3F5" w:rsidR="001949F6" w:rsidRPr="00C630EE" w:rsidRDefault="001949F6" w:rsidP="00E0722F">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lang w:val="es-CO"/>
        </w:rPr>
        <w:t xml:space="preserve">Se aclara que, aunque el actor citó todos los defectos señalados, sustentó únicamente los que a </w:t>
      </w:r>
      <w:r w:rsidRPr="00C630EE">
        <w:rPr>
          <w:rFonts w:ascii="Arial" w:eastAsia="Times New Roman" w:hAnsi="Arial"/>
          <w:lang w:val="es-CO"/>
        </w:rPr>
        <w:t>continuación se exponen y de la siguiente manera:</w:t>
      </w:r>
    </w:p>
    <w:p w14:paraId="5249A2B1" w14:textId="131DED0F" w:rsidR="00651FBA" w:rsidRPr="00C630EE" w:rsidRDefault="00651FBA" w:rsidP="00D51912">
      <w:pPr>
        <w:pStyle w:val="Prrafodelista"/>
        <w:tabs>
          <w:tab w:val="left" w:pos="567"/>
          <w:tab w:val="left" w:pos="2760"/>
        </w:tabs>
        <w:spacing w:line="276" w:lineRule="auto"/>
        <w:ind w:left="0"/>
        <w:rPr>
          <w:rFonts w:ascii="Arial" w:eastAsia="Times New Roman" w:hAnsi="Arial"/>
          <w:lang w:val="es-CO"/>
        </w:rPr>
      </w:pPr>
    </w:p>
    <w:p w14:paraId="1E4A6B3E" w14:textId="0FF13B26" w:rsidR="00EB1A6F" w:rsidRPr="00FC1F98" w:rsidRDefault="00651FBA" w:rsidP="00D51912">
      <w:pPr>
        <w:pStyle w:val="Prrafodelista"/>
        <w:tabs>
          <w:tab w:val="left" w:pos="567"/>
          <w:tab w:val="left" w:pos="2760"/>
        </w:tabs>
        <w:spacing w:line="276" w:lineRule="auto"/>
        <w:ind w:left="0"/>
        <w:rPr>
          <w:rFonts w:ascii="Arial" w:eastAsia="Times New Roman" w:hAnsi="Arial"/>
          <w:lang w:val="es-CO"/>
        </w:rPr>
      </w:pPr>
      <w:r w:rsidRPr="00C630EE">
        <w:rPr>
          <w:rFonts w:ascii="Arial" w:eastAsia="Times New Roman" w:hAnsi="Arial"/>
          <w:b/>
          <w:bCs/>
          <w:lang w:val="es-CO"/>
        </w:rPr>
        <w:t xml:space="preserve">Defecto </w:t>
      </w:r>
      <w:r w:rsidR="00E0722F" w:rsidRPr="00C630EE">
        <w:rPr>
          <w:rFonts w:ascii="Arial" w:eastAsia="Times New Roman" w:hAnsi="Arial"/>
          <w:b/>
          <w:bCs/>
          <w:lang w:val="es-CO"/>
        </w:rPr>
        <w:t>o</w:t>
      </w:r>
      <w:r w:rsidR="00EB1A6F" w:rsidRPr="00C630EE">
        <w:rPr>
          <w:rFonts w:ascii="Arial" w:eastAsia="Times New Roman" w:hAnsi="Arial"/>
          <w:b/>
          <w:bCs/>
          <w:lang w:val="es-CO"/>
        </w:rPr>
        <w:t>rgánico</w:t>
      </w:r>
      <w:r w:rsidR="00EB1A6F" w:rsidRPr="00C630EE">
        <w:rPr>
          <w:rFonts w:ascii="Arial" w:eastAsia="Times New Roman" w:hAnsi="Arial"/>
          <w:lang w:val="es-CO"/>
        </w:rPr>
        <w:t xml:space="preserve">: </w:t>
      </w:r>
      <w:r w:rsidR="003E2F4B" w:rsidRPr="00C630EE">
        <w:rPr>
          <w:rFonts w:ascii="Arial" w:eastAsia="Times New Roman" w:hAnsi="Arial"/>
          <w:lang w:val="es-CO"/>
        </w:rPr>
        <w:t>Si bien la parte actora lo denominó de esta forma, lo cierto e</w:t>
      </w:r>
      <w:r w:rsidR="009A7D2A">
        <w:rPr>
          <w:rFonts w:ascii="Arial" w:eastAsia="Times New Roman" w:hAnsi="Arial"/>
          <w:lang w:val="es-CO"/>
        </w:rPr>
        <w:t>s</w:t>
      </w:r>
      <w:r w:rsidR="003E2F4B" w:rsidRPr="00C630EE">
        <w:rPr>
          <w:rFonts w:ascii="Arial" w:eastAsia="Times New Roman" w:hAnsi="Arial"/>
          <w:lang w:val="es-CO"/>
        </w:rPr>
        <w:t xml:space="preserve"> que de sus argumentos la Sala infiere que se trata de un defecto</w:t>
      </w:r>
      <w:r w:rsidR="00EB1A6F" w:rsidRPr="00C630EE">
        <w:rPr>
          <w:rFonts w:ascii="Arial" w:eastAsia="Times New Roman" w:hAnsi="Arial"/>
          <w:lang w:val="es-CO"/>
        </w:rPr>
        <w:t xml:space="preserve"> </w:t>
      </w:r>
      <w:r w:rsidRPr="00C630EE">
        <w:rPr>
          <w:rFonts w:ascii="Arial" w:eastAsia="Times New Roman" w:hAnsi="Arial"/>
          <w:b/>
          <w:bCs/>
          <w:lang w:val="es-CO"/>
        </w:rPr>
        <w:t>fáctico</w:t>
      </w:r>
      <w:r w:rsidR="003E2F4B" w:rsidRPr="00C630EE">
        <w:rPr>
          <w:rFonts w:ascii="Arial" w:eastAsia="Times New Roman" w:hAnsi="Arial"/>
          <w:bCs/>
          <w:lang w:val="es-CO"/>
        </w:rPr>
        <w:t xml:space="preserve">, en atención a que </w:t>
      </w:r>
      <w:r w:rsidRPr="00C630EE">
        <w:rPr>
          <w:rFonts w:ascii="Arial" w:eastAsia="Times New Roman" w:hAnsi="Arial"/>
          <w:lang w:val="es-CO"/>
        </w:rPr>
        <w:t>aseveró que el Tribunal no t</w:t>
      </w:r>
      <w:r w:rsidR="003E2F4B" w:rsidRPr="00C630EE">
        <w:rPr>
          <w:rFonts w:ascii="Arial" w:eastAsia="Times New Roman" w:hAnsi="Arial"/>
          <w:lang w:val="es-CO"/>
        </w:rPr>
        <w:t>enía</w:t>
      </w:r>
      <w:r w:rsidRPr="00C630EE">
        <w:rPr>
          <w:rFonts w:ascii="Arial" w:eastAsia="Times New Roman" w:hAnsi="Arial"/>
          <w:lang w:val="es-CO"/>
        </w:rPr>
        <w:t xml:space="preserve"> respaldo probatorio para </w:t>
      </w:r>
      <w:r w:rsidR="002F5999" w:rsidRPr="00C630EE">
        <w:rPr>
          <w:rFonts w:ascii="Arial" w:eastAsia="Times New Roman" w:hAnsi="Arial"/>
          <w:lang w:val="es-CO"/>
        </w:rPr>
        <w:t>haber decretado de manera oficiosa la caducidad de la</w:t>
      </w:r>
      <w:r w:rsidR="002F5999" w:rsidRPr="00FC1F98">
        <w:rPr>
          <w:rFonts w:ascii="Arial" w:eastAsia="Times New Roman" w:hAnsi="Arial"/>
          <w:lang w:val="es-CO"/>
        </w:rPr>
        <w:t xml:space="preserve"> acción</w:t>
      </w:r>
      <w:r w:rsidR="005C22F4" w:rsidRPr="00FC1F98">
        <w:rPr>
          <w:rFonts w:ascii="Arial" w:eastAsia="Times New Roman" w:hAnsi="Arial"/>
          <w:lang w:val="es-CO"/>
        </w:rPr>
        <w:t>;</w:t>
      </w:r>
      <w:r w:rsidR="002F5999" w:rsidRPr="00FC1F98">
        <w:rPr>
          <w:rFonts w:ascii="Arial" w:eastAsia="Times New Roman" w:hAnsi="Arial"/>
          <w:lang w:val="es-CO"/>
        </w:rPr>
        <w:t xml:space="preserve"> contrario a ello, las pruebas del plenario son pertinentes, conducentes, eficaces y oportunas para demostrar el tracto sucesivo</w:t>
      </w:r>
      <w:r w:rsidR="005C22F4" w:rsidRPr="00FC1F98">
        <w:rPr>
          <w:rFonts w:ascii="Arial" w:eastAsia="Times New Roman" w:hAnsi="Arial"/>
          <w:lang w:val="es-CO"/>
        </w:rPr>
        <w:t xml:space="preserve"> del daño</w:t>
      </w:r>
      <w:r w:rsidR="001A42B7" w:rsidRPr="00FC1F98">
        <w:rPr>
          <w:rFonts w:ascii="Arial" w:eastAsia="Times New Roman" w:hAnsi="Arial"/>
          <w:lang w:val="es-CO"/>
        </w:rPr>
        <w:t xml:space="preserve">, </w:t>
      </w:r>
      <w:r w:rsidR="00B25E26" w:rsidRPr="00FC1F98">
        <w:rPr>
          <w:rFonts w:ascii="Arial" w:eastAsia="Times New Roman" w:hAnsi="Arial"/>
          <w:lang w:val="es-CO"/>
        </w:rPr>
        <w:t>por tanto, la norma a tener</w:t>
      </w:r>
      <w:r w:rsidR="001A42B7" w:rsidRPr="00FC1F98">
        <w:rPr>
          <w:rFonts w:ascii="Arial" w:eastAsia="Times New Roman" w:hAnsi="Arial"/>
          <w:lang w:val="es-CO"/>
        </w:rPr>
        <w:t xml:space="preserve"> en cuenta </w:t>
      </w:r>
      <w:r w:rsidR="00575732" w:rsidRPr="00FC1F98">
        <w:rPr>
          <w:rFonts w:ascii="Arial" w:eastAsia="Times New Roman" w:hAnsi="Arial"/>
          <w:lang w:val="es-CO"/>
        </w:rPr>
        <w:t>para efectos de computar</w:t>
      </w:r>
      <w:r w:rsidR="001A42B7" w:rsidRPr="00FC1F98">
        <w:rPr>
          <w:rFonts w:ascii="Arial" w:eastAsia="Times New Roman" w:hAnsi="Arial"/>
          <w:lang w:val="es-CO"/>
        </w:rPr>
        <w:t xml:space="preserve"> el</w:t>
      </w:r>
      <w:r w:rsidR="00EB1A6F" w:rsidRPr="00FC1F98">
        <w:rPr>
          <w:rFonts w:ascii="Arial" w:eastAsia="Times New Roman" w:hAnsi="Arial"/>
          <w:lang w:val="es-CO"/>
        </w:rPr>
        <w:t xml:space="preserve"> término</w:t>
      </w:r>
      <w:r w:rsidR="00575732" w:rsidRPr="00FC1F98">
        <w:rPr>
          <w:rFonts w:ascii="Arial" w:eastAsia="Times New Roman" w:hAnsi="Arial"/>
          <w:lang w:val="es-CO"/>
        </w:rPr>
        <w:t xml:space="preserve"> de la caducidad del medio de control</w:t>
      </w:r>
      <w:r w:rsidR="001A42B7" w:rsidRPr="00FC1F98">
        <w:rPr>
          <w:rFonts w:ascii="Arial" w:eastAsia="Times New Roman" w:hAnsi="Arial"/>
          <w:lang w:val="es-CO"/>
        </w:rPr>
        <w:t>,</w:t>
      </w:r>
      <w:r w:rsidR="00EB1A6F" w:rsidRPr="00FC1F98">
        <w:rPr>
          <w:rFonts w:ascii="Arial" w:eastAsia="Times New Roman" w:hAnsi="Arial"/>
          <w:lang w:val="es-CO"/>
        </w:rPr>
        <w:t xml:space="preserve"> </w:t>
      </w:r>
      <w:r w:rsidR="00575732" w:rsidRPr="00FC1F98">
        <w:rPr>
          <w:rFonts w:ascii="Arial" w:eastAsia="Times New Roman" w:hAnsi="Arial"/>
          <w:lang w:val="es-CO"/>
        </w:rPr>
        <w:t xml:space="preserve">es </w:t>
      </w:r>
      <w:r w:rsidR="00EB1A6F" w:rsidRPr="00FC1F98">
        <w:rPr>
          <w:rFonts w:ascii="Arial" w:eastAsia="Times New Roman" w:hAnsi="Arial"/>
          <w:lang w:val="es-CO"/>
        </w:rPr>
        <w:t>el artículo 10 de la Ley 1333 de 2009</w:t>
      </w:r>
      <w:r w:rsidR="00575732" w:rsidRPr="00FC1F98">
        <w:rPr>
          <w:rFonts w:ascii="Arial" w:eastAsia="Times New Roman" w:hAnsi="Arial"/>
          <w:lang w:val="es-CO"/>
        </w:rPr>
        <w:t xml:space="preserve"> que establece un plazo</w:t>
      </w:r>
      <w:r w:rsidR="00EB1A6F" w:rsidRPr="00FC1F98">
        <w:rPr>
          <w:rFonts w:ascii="Arial" w:eastAsia="Times New Roman" w:hAnsi="Arial"/>
          <w:lang w:val="es-CO"/>
        </w:rPr>
        <w:t xml:space="preserve"> de 20 años por tratarse de una acción sancionatoria ambiental (daños provocados por la explotación minera). </w:t>
      </w:r>
    </w:p>
    <w:p w14:paraId="44D792EA" w14:textId="77777777" w:rsidR="00EB1A6F" w:rsidRPr="00FC1F98" w:rsidRDefault="00EB1A6F" w:rsidP="00D51912">
      <w:pPr>
        <w:pStyle w:val="Prrafodelista"/>
        <w:tabs>
          <w:tab w:val="left" w:pos="567"/>
          <w:tab w:val="left" w:pos="2760"/>
        </w:tabs>
        <w:spacing w:line="276" w:lineRule="auto"/>
        <w:ind w:left="0"/>
        <w:rPr>
          <w:rFonts w:ascii="Arial" w:eastAsia="Times New Roman" w:hAnsi="Arial"/>
          <w:lang w:val="es-CO"/>
        </w:rPr>
      </w:pPr>
    </w:p>
    <w:p w14:paraId="6115AE49" w14:textId="77777777" w:rsidR="00D375EC" w:rsidRPr="00FC1F98" w:rsidRDefault="00D375EC" w:rsidP="00D51912">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lang w:val="es-CO"/>
        </w:rPr>
        <w:t xml:space="preserve">Citó como precedente en este asunto, </w:t>
      </w:r>
      <w:r w:rsidR="00EB1A6F" w:rsidRPr="00FC1F98">
        <w:rPr>
          <w:rFonts w:ascii="Arial" w:eastAsia="Times New Roman" w:hAnsi="Arial"/>
          <w:lang w:val="es-CO"/>
        </w:rPr>
        <w:t>la sentencia T-342 de 2016</w:t>
      </w:r>
      <w:r w:rsidR="00EB1A6F" w:rsidRPr="00FC1F98">
        <w:rPr>
          <w:rStyle w:val="Refdenotaalpie"/>
          <w:rFonts w:ascii="Arial" w:eastAsia="Times New Roman" w:hAnsi="Arial"/>
          <w:lang w:val="es-CO"/>
        </w:rPr>
        <w:footnoteReference w:id="15"/>
      </w:r>
      <w:r w:rsidR="00EB1A6F" w:rsidRPr="00FC1F98">
        <w:rPr>
          <w:rFonts w:ascii="Arial" w:eastAsia="Times New Roman" w:hAnsi="Arial"/>
          <w:lang w:val="es-CO"/>
        </w:rPr>
        <w:t xml:space="preserve"> </w:t>
      </w:r>
      <w:r w:rsidR="0088695A" w:rsidRPr="00FC1F98">
        <w:rPr>
          <w:rFonts w:ascii="Arial" w:eastAsia="Times New Roman" w:hAnsi="Arial"/>
          <w:lang w:val="es-CO"/>
        </w:rPr>
        <w:t>de la que transcribió:</w:t>
      </w:r>
    </w:p>
    <w:p w14:paraId="0B97D42C" w14:textId="77777777" w:rsidR="00D375EC" w:rsidRPr="00FC1F98" w:rsidRDefault="00D375EC" w:rsidP="00D51912">
      <w:pPr>
        <w:pStyle w:val="Prrafodelista"/>
        <w:tabs>
          <w:tab w:val="left" w:pos="567"/>
          <w:tab w:val="left" w:pos="2760"/>
        </w:tabs>
        <w:spacing w:line="276" w:lineRule="auto"/>
        <w:ind w:left="0"/>
        <w:rPr>
          <w:rFonts w:ascii="Arial" w:eastAsia="Times New Roman" w:hAnsi="Arial"/>
          <w:lang w:val="es-CO"/>
        </w:rPr>
      </w:pPr>
    </w:p>
    <w:p w14:paraId="14707B12" w14:textId="35180E7A" w:rsidR="0088695A" w:rsidRPr="00FC1F98" w:rsidRDefault="00EB1A6F" w:rsidP="00D375EC">
      <w:pPr>
        <w:pStyle w:val="Prrafodelista"/>
        <w:tabs>
          <w:tab w:val="left" w:pos="567"/>
          <w:tab w:val="left" w:pos="2760"/>
        </w:tabs>
        <w:ind w:left="567"/>
        <w:rPr>
          <w:rFonts w:ascii="Arial" w:eastAsia="Times New Roman" w:hAnsi="Arial"/>
          <w:sz w:val="22"/>
          <w:szCs w:val="22"/>
          <w:lang w:val="es-CO"/>
        </w:rPr>
      </w:pPr>
      <w:r w:rsidRPr="00FC1F98">
        <w:rPr>
          <w:rFonts w:ascii="Arial" w:eastAsia="Times New Roman" w:hAnsi="Arial"/>
          <w:sz w:val="22"/>
          <w:szCs w:val="22"/>
          <w:lang w:val="es-CO"/>
        </w:rPr>
        <w:t>“</w:t>
      </w:r>
      <w:r w:rsidR="00ED1758" w:rsidRPr="00FC1F98">
        <w:rPr>
          <w:rFonts w:ascii="Arial" w:eastAsia="Times New Roman" w:hAnsi="Arial"/>
          <w:sz w:val="22"/>
          <w:szCs w:val="22"/>
          <w:lang w:val="es-CO"/>
        </w:rPr>
        <w:t>…</w:t>
      </w:r>
      <w:r w:rsidR="00ED1758" w:rsidRPr="00FC1F98">
        <w:rPr>
          <w:rFonts w:ascii="Arial" w:eastAsia="Times New Roman" w:hAnsi="Arial"/>
          <w:i/>
          <w:iCs/>
          <w:sz w:val="22"/>
          <w:szCs w:val="22"/>
          <w:lang w:val="es-CO"/>
        </w:rPr>
        <w:t>al ser el daño, el fundamento de la acción de reparación directa, hace posible que el t</w:t>
      </w:r>
      <w:r w:rsidR="00330230" w:rsidRPr="00FC1F98">
        <w:rPr>
          <w:rFonts w:ascii="Arial" w:eastAsia="Times New Roman" w:hAnsi="Arial"/>
          <w:i/>
          <w:iCs/>
          <w:sz w:val="22"/>
          <w:szCs w:val="22"/>
          <w:lang w:val="es-CO"/>
        </w:rPr>
        <w:t>é</w:t>
      </w:r>
      <w:r w:rsidR="00ED1758" w:rsidRPr="00FC1F98">
        <w:rPr>
          <w:rFonts w:ascii="Arial" w:eastAsia="Times New Roman" w:hAnsi="Arial"/>
          <w:i/>
          <w:iCs/>
          <w:sz w:val="22"/>
          <w:szCs w:val="22"/>
          <w:lang w:val="es-CO"/>
        </w:rPr>
        <w:t>rmino de caducidad se contabilice a partir del momento en que se conozca o se manifieste, pues no en todos los casos, la ocurrencia del hecho, omisión u operación administrativa coinciden con la consolidación del mismo</w:t>
      </w:r>
      <w:r w:rsidR="00ED1758" w:rsidRPr="00FC1F98">
        <w:rPr>
          <w:rFonts w:ascii="Arial" w:eastAsia="Times New Roman" w:hAnsi="Arial"/>
          <w:sz w:val="22"/>
          <w:szCs w:val="22"/>
          <w:lang w:val="es-CO"/>
        </w:rPr>
        <w:t xml:space="preserve">. Lo anterior porque hay casos, en que el perjuicio “se produce o se manifiesta en un momento posterior o se trata de daños permanentes, de tracto sucesivo o se agravan con el tiempo surgen </w:t>
      </w:r>
      <w:r w:rsidR="0088695A" w:rsidRPr="00FC1F98">
        <w:rPr>
          <w:rFonts w:ascii="Arial" w:eastAsia="Times New Roman" w:hAnsi="Arial"/>
          <w:sz w:val="22"/>
          <w:szCs w:val="22"/>
          <w:lang w:val="es-CO"/>
        </w:rPr>
        <w:t>dificultades</w:t>
      </w:r>
      <w:r w:rsidR="00ED1758" w:rsidRPr="00FC1F98">
        <w:rPr>
          <w:rFonts w:ascii="Arial" w:eastAsia="Times New Roman" w:hAnsi="Arial"/>
          <w:sz w:val="22"/>
          <w:szCs w:val="22"/>
          <w:lang w:val="es-CO"/>
        </w:rPr>
        <w:t xml:space="preserve"> para su determinación</w:t>
      </w:r>
      <w:r w:rsidR="0088695A" w:rsidRPr="00FC1F98">
        <w:rPr>
          <w:rFonts w:ascii="Arial" w:eastAsia="Times New Roman" w:hAnsi="Arial"/>
          <w:sz w:val="22"/>
          <w:szCs w:val="22"/>
          <w:lang w:val="es-CO"/>
        </w:rPr>
        <w:t>.</w:t>
      </w:r>
    </w:p>
    <w:p w14:paraId="17223285" w14:textId="77777777" w:rsidR="0088695A" w:rsidRPr="00FC1F98" w:rsidRDefault="0088695A" w:rsidP="00D375EC">
      <w:pPr>
        <w:pStyle w:val="Prrafodelista"/>
        <w:tabs>
          <w:tab w:val="left" w:pos="567"/>
          <w:tab w:val="left" w:pos="2760"/>
        </w:tabs>
        <w:ind w:left="567"/>
        <w:rPr>
          <w:rFonts w:ascii="Arial" w:eastAsia="Times New Roman" w:hAnsi="Arial"/>
          <w:sz w:val="22"/>
          <w:szCs w:val="22"/>
          <w:lang w:val="es-CO"/>
        </w:rPr>
      </w:pPr>
    </w:p>
    <w:p w14:paraId="2A182593" w14:textId="11FDA909" w:rsidR="00651FBA" w:rsidRPr="00FC1F98" w:rsidRDefault="0088695A" w:rsidP="00D375EC">
      <w:pPr>
        <w:pStyle w:val="Prrafodelista"/>
        <w:tabs>
          <w:tab w:val="left" w:pos="567"/>
          <w:tab w:val="left" w:pos="2760"/>
        </w:tabs>
        <w:ind w:left="567"/>
        <w:rPr>
          <w:rFonts w:ascii="Arial" w:eastAsia="Times New Roman" w:hAnsi="Arial"/>
          <w:i/>
          <w:iCs/>
          <w:sz w:val="22"/>
          <w:szCs w:val="22"/>
          <w:lang w:val="es-CO"/>
        </w:rPr>
      </w:pPr>
      <w:r w:rsidRPr="00FC1F98">
        <w:rPr>
          <w:rFonts w:ascii="Arial" w:eastAsia="Times New Roman" w:hAnsi="Arial"/>
          <w:sz w:val="22"/>
          <w:szCs w:val="22"/>
          <w:lang w:val="es-CO"/>
        </w:rPr>
        <w:t xml:space="preserve">Por otra </w:t>
      </w:r>
      <w:proofErr w:type="gramStart"/>
      <w:r w:rsidRPr="00FC1F98">
        <w:rPr>
          <w:rFonts w:ascii="Arial" w:eastAsia="Times New Roman" w:hAnsi="Arial"/>
          <w:sz w:val="22"/>
          <w:szCs w:val="22"/>
          <w:lang w:val="es-CO"/>
        </w:rPr>
        <w:t>parte</w:t>
      </w:r>
      <w:proofErr w:type="gramEnd"/>
      <w:r w:rsidRPr="00FC1F98">
        <w:rPr>
          <w:rFonts w:ascii="Arial" w:eastAsia="Times New Roman" w:hAnsi="Arial"/>
          <w:sz w:val="22"/>
          <w:szCs w:val="22"/>
          <w:lang w:val="es-CO"/>
        </w:rPr>
        <w:t xml:space="preserve"> se ha determinado que c</w:t>
      </w:r>
      <w:r w:rsidR="00ED1758" w:rsidRPr="00FC1F98">
        <w:rPr>
          <w:rFonts w:ascii="Arial" w:eastAsia="Times New Roman" w:hAnsi="Arial"/>
          <w:i/>
          <w:iCs/>
          <w:sz w:val="22"/>
          <w:szCs w:val="22"/>
          <w:lang w:val="es-CO"/>
        </w:rPr>
        <w:t>uando el daño es continuado o de tracto sucesivo, el cómputo del término de caducidad de la acción de reparación directa inicia una vez aquel ha finalizado, a menos de que el afectado lo hubiera conocido tiempo después caso en el cual aplica la regla mencionada del conocimiento del daño</w:t>
      </w:r>
      <w:r w:rsidRPr="00FC1F98">
        <w:rPr>
          <w:rFonts w:ascii="Arial" w:eastAsia="Times New Roman" w:hAnsi="Arial"/>
          <w:i/>
          <w:iCs/>
          <w:sz w:val="22"/>
          <w:szCs w:val="22"/>
          <w:lang w:val="es-CO"/>
        </w:rPr>
        <w:t>…</w:t>
      </w:r>
      <w:r w:rsidR="004A7592" w:rsidRPr="00FC1F98">
        <w:rPr>
          <w:rFonts w:ascii="Arial" w:eastAsia="Times New Roman" w:hAnsi="Arial"/>
          <w:i/>
          <w:iCs/>
          <w:sz w:val="22"/>
          <w:szCs w:val="22"/>
          <w:lang w:val="es-CO"/>
        </w:rPr>
        <w:t>”</w:t>
      </w:r>
    </w:p>
    <w:p w14:paraId="4B4A800E" w14:textId="77777777" w:rsidR="001949F6" w:rsidRPr="00FC1F98" w:rsidRDefault="001949F6" w:rsidP="00D375EC">
      <w:pPr>
        <w:pStyle w:val="Prrafodelista"/>
        <w:tabs>
          <w:tab w:val="left" w:pos="567"/>
          <w:tab w:val="left" w:pos="2760"/>
        </w:tabs>
        <w:ind w:left="567"/>
        <w:rPr>
          <w:rFonts w:ascii="Arial" w:eastAsia="Times New Roman" w:hAnsi="Arial"/>
          <w:i/>
          <w:iCs/>
          <w:sz w:val="22"/>
          <w:szCs w:val="22"/>
          <w:lang w:val="es-CO"/>
        </w:rPr>
      </w:pPr>
    </w:p>
    <w:p w14:paraId="5193913C" w14:textId="129A8BB5" w:rsidR="00D375EC" w:rsidRPr="00FC1F98" w:rsidRDefault="00D375EC" w:rsidP="00D51912">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b/>
          <w:bCs/>
          <w:lang w:val="es-CO"/>
        </w:rPr>
        <w:t>Error inducido</w:t>
      </w:r>
      <w:r w:rsidRPr="00FC1F98">
        <w:rPr>
          <w:rFonts w:ascii="Arial" w:eastAsia="Times New Roman" w:hAnsi="Arial"/>
          <w:lang w:val="es-CO"/>
        </w:rPr>
        <w:t xml:space="preserve">: consideró que la autoridad judicial fue engañada por la parte demandada en el ordinario en tanto propusieron la excepción de caducidad en </w:t>
      </w:r>
      <w:r w:rsidR="0076502B" w:rsidRPr="00FC1F98">
        <w:rPr>
          <w:rFonts w:ascii="Arial" w:eastAsia="Times New Roman" w:hAnsi="Arial"/>
          <w:lang w:val="es-CO"/>
        </w:rPr>
        <w:t>desconocimiento de los efectos del daño de</w:t>
      </w:r>
      <w:r w:rsidRPr="00FC1F98">
        <w:rPr>
          <w:rFonts w:ascii="Arial" w:eastAsia="Times New Roman" w:hAnsi="Arial"/>
          <w:lang w:val="es-CO"/>
        </w:rPr>
        <w:t>tracto sucesivo cuya normativa aplicable es la citada con anterioridad, pues ello es así ya que la extracción de carbón mineral es una actividad de altísimo riesgo.</w:t>
      </w:r>
    </w:p>
    <w:p w14:paraId="05AD3379" w14:textId="609C6C17" w:rsidR="00D375EC" w:rsidRPr="00FC1F98" w:rsidRDefault="00D375EC" w:rsidP="00D51912">
      <w:pPr>
        <w:pStyle w:val="Prrafodelista"/>
        <w:tabs>
          <w:tab w:val="left" w:pos="567"/>
          <w:tab w:val="left" w:pos="2760"/>
        </w:tabs>
        <w:spacing w:line="276" w:lineRule="auto"/>
        <w:ind w:left="0"/>
        <w:rPr>
          <w:rFonts w:ascii="Arial" w:eastAsia="Times New Roman" w:hAnsi="Arial"/>
          <w:lang w:val="es-CO"/>
        </w:rPr>
      </w:pPr>
    </w:p>
    <w:p w14:paraId="64BD29D2" w14:textId="4C875FBA" w:rsidR="00D375EC" w:rsidRPr="00FC1F98" w:rsidRDefault="00D375EC" w:rsidP="00D51912">
      <w:pPr>
        <w:pStyle w:val="Prrafodelista"/>
        <w:tabs>
          <w:tab w:val="left" w:pos="567"/>
          <w:tab w:val="left" w:pos="2760"/>
        </w:tabs>
        <w:spacing w:line="276" w:lineRule="auto"/>
        <w:ind w:left="0"/>
        <w:rPr>
          <w:rFonts w:ascii="Arial" w:eastAsia="Times New Roman" w:hAnsi="Arial"/>
          <w:lang w:val="es-CO"/>
        </w:rPr>
      </w:pPr>
      <w:r w:rsidRPr="00FC1F98">
        <w:rPr>
          <w:rFonts w:ascii="Arial" w:eastAsia="Times New Roman" w:hAnsi="Arial"/>
          <w:b/>
          <w:bCs/>
          <w:lang w:val="es-CO"/>
        </w:rPr>
        <w:t xml:space="preserve">Desconocimiento de precedente judicial: </w:t>
      </w:r>
      <w:r w:rsidRPr="00FC1F98">
        <w:rPr>
          <w:rFonts w:ascii="Arial" w:eastAsia="Times New Roman" w:hAnsi="Arial"/>
          <w:lang w:val="es-CO"/>
        </w:rPr>
        <w:t xml:space="preserve">insistió que en el asunto objeto de debate aplicaba la norma en referencia al </w:t>
      </w:r>
      <w:r w:rsidR="001A334F" w:rsidRPr="00FC1F98">
        <w:rPr>
          <w:rFonts w:ascii="Arial" w:eastAsia="Times New Roman" w:hAnsi="Arial"/>
          <w:lang w:val="es-CO"/>
        </w:rPr>
        <w:t xml:space="preserve">ser un asunto de tracto sucesivo, de conformidad con el criterio zanjado por la </w:t>
      </w:r>
      <w:r w:rsidRPr="00FC1F98">
        <w:rPr>
          <w:rFonts w:ascii="Arial" w:eastAsia="Times New Roman" w:hAnsi="Arial"/>
          <w:lang w:val="es-CO"/>
        </w:rPr>
        <w:t>sentencia T-342 de 2016</w:t>
      </w:r>
      <w:r w:rsidR="001A334F" w:rsidRPr="00FC1F98">
        <w:rPr>
          <w:rFonts w:ascii="Arial" w:eastAsia="Times New Roman" w:hAnsi="Arial"/>
          <w:lang w:val="es-CO"/>
        </w:rPr>
        <w:t xml:space="preserve"> de la Corte </w:t>
      </w:r>
      <w:r w:rsidR="001A334F" w:rsidRPr="00FC1F98">
        <w:rPr>
          <w:rFonts w:ascii="Arial" w:eastAsia="Times New Roman" w:hAnsi="Arial"/>
          <w:lang w:val="es-CO"/>
        </w:rPr>
        <w:lastRenderedPageBreak/>
        <w:t>Constitucional,</w:t>
      </w:r>
      <w:r w:rsidRPr="00FC1F98">
        <w:rPr>
          <w:rFonts w:ascii="Arial" w:eastAsia="Times New Roman" w:hAnsi="Arial"/>
          <w:lang w:val="es-CO"/>
        </w:rPr>
        <w:t xml:space="preserve"> con ponencia del magistrado Gabriel Eduardo Mendoza Martelo</w:t>
      </w:r>
      <w:r w:rsidR="001A334F" w:rsidRPr="00FC1F98">
        <w:rPr>
          <w:rFonts w:ascii="Arial" w:eastAsia="Times New Roman" w:hAnsi="Arial"/>
          <w:lang w:val="es-CO"/>
        </w:rPr>
        <w:t>, misma referida en el titulado como orgánico de la que ya se transcribió lo atinente.</w:t>
      </w:r>
    </w:p>
    <w:p w14:paraId="0B5FC176" w14:textId="007036A5" w:rsidR="002F5999" w:rsidRPr="00FC1F98" w:rsidRDefault="002F5999" w:rsidP="00D51912">
      <w:pPr>
        <w:pStyle w:val="Prrafodelista"/>
        <w:tabs>
          <w:tab w:val="left" w:pos="567"/>
          <w:tab w:val="left" w:pos="2760"/>
        </w:tabs>
        <w:spacing w:line="276" w:lineRule="auto"/>
        <w:ind w:left="0"/>
        <w:rPr>
          <w:rFonts w:ascii="Arial" w:eastAsia="Times New Roman" w:hAnsi="Arial"/>
          <w:lang w:val="es-CO"/>
        </w:rPr>
      </w:pPr>
    </w:p>
    <w:p w14:paraId="2C4ABC01" w14:textId="0B9041B8" w:rsidR="00802C3B" w:rsidRPr="00C70FE7" w:rsidRDefault="00802C3B" w:rsidP="00802C3B">
      <w:pPr>
        <w:widowControl w:val="0"/>
        <w:spacing w:line="276" w:lineRule="auto"/>
        <w:contextualSpacing/>
        <w:rPr>
          <w:rFonts w:ascii="Arial" w:hAnsi="Arial"/>
          <w:bCs/>
          <w:lang w:val="es-ES_tradnl"/>
        </w:rPr>
      </w:pPr>
      <w:r w:rsidRPr="00FC1F98">
        <w:rPr>
          <w:rFonts w:ascii="Arial" w:hAnsi="Arial"/>
          <w:bCs/>
          <w:lang w:val="es-ES_tradnl"/>
        </w:rPr>
        <w:t xml:space="preserve">Alegó como desatendidas las decisiones que el mismo Tribunal </w:t>
      </w:r>
      <w:r w:rsidR="00871595" w:rsidRPr="00FC1F98">
        <w:rPr>
          <w:rFonts w:ascii="Arial" w:hAnsi="Arial"/>
          <w:bCs/>
          <w:lang w:val="es-ES_tradnl"/>
        </w:rPr>
        <w:t>profirió</w:t>
      </w:r>
      <w:r w:rsidRPr="00FC1F98">
        <w:rPr>
          <w:rFonts w:ascii="Arial" w:hAnsi="Arial"/>
          <w:bCs/>
          <w:lang w:val="es-ES_tradnl"/>
        </w:rPr>
        <w:t xml:space="preserve"> </w:t>
      </w:r>
      <w:r w:rsidR="00871595" w:rsidRPr="00FC1F98">
        <w:rPr>
          <w:rFonts w:ascii="Arial" w:hAnsi="Arial"/>
          <w:bCs/>
          <w:lang w:val="es-ES_tradnl"/>
        </w:rPr>
        <w:t xml:space="preserve">frente a </w:t>
      </w:r>
      <w:r w:rsidRPr="00C70FE7">
        <w:rPr>
          <w:rFonts w:ascii="Arial" w:hAnsi="Arial"/>
          <w:bCs/>
          <w:lang w:val="es-ES_tradnl"/>
        </w:rPr>
        <w:t xml:space="preserve">otros casos con similitud fáctica, en las que, por </w:t>
      </w:r>
      <w:r w:rsidR="00871595" w:rsidRPr="00C70FE7">
        <w:rPr>
          <w:rFonts w:ascii="Arial" w:hAnsi="Arial"/>
          <w:bCs/>
          <w:lang w:val="es-ES_tradnl"/>
        </w:rPr>
        <w:t xml:space="preserve">los daños </w:t>
      </w:r>
      <w:r w:rsidRPr="00C70FE7">
        <w:rPr>
          <w:rFonts w:ascii="Arial" w:hAnsi="Arial"/>
          <w:bCs/>
          <w:lang w:val="es-ES_tradnl"/>
        </w:rPr>
        <w:t>originados con la extracción de carbón mineral,</w:t>
      </w:r>
      <w:r w:rsidR="00871595" w:rsidRPr="00C70FE7">
        <w:rPr>
          <w:rFonts w:ascii="Arial" w:hAnsi="Arial"/>
          <w:bCs/>
          <w:lang w:val="es-ES_tradnl"/>
        </w:rPr>
        <w:t xml:space="preserve"> acaecidos en el sector donde está ubicado su inmueble</w:t>
      </w:r>
      <w:r w:rsidR="00680C37" w:rsidRPr="00C70FE7">
        <w:rPr>
          <w:rFonts w:ascii="Arial" w:hAnsi="Arial"/>
          <w:bCs/>
          <w:lang w:val="es-ES_tradnl"/>
        </w:rPr>
        <w:t>,</w:t>
      </w:r>
      <w:r w:rsidRPr="00C70FE7">
        <w:rPr>
          <w:rFonts w:ascii="Arial" w:hAnsi="Arial"/>
          <w:bCs/>
          <w:lang w:val="es-ES_tradnl"/>
        </w:rPr>
        <w:t xml:space="preserve"> se determinó la responsabilidad administrativa de las autoridades demandadas en el medio de control de reparación directa originario de la presente acción. Citó las siguientes proferidas por el Tribunal Administrativo de Boyacá:</w:t>
      </w:r>
    </w:p>
    <w:p w14:paraId="46778C56" w14:textId="734F8945" w:rsidR="00802C3B" w:rsidRPr="00C70FE7" w:rsidRDefault="00802C3B" w:rsidP="00802C3B">
      <w:pPr>
        <w:widowControl w:val="0"/>
        <w:spacing w:line="276" w:lineRule="auto"/>
        <w:contextualSpacing/>
        <w:rPr>
          <w:rFonts w:ascii="Arial" w:hAnsi="Arial"/>
          <w:bCs/>
          <w:lang w:val="es-ES_tradnl"/>
        </w:rPr>
      </w:pPr>
    </w:p>
    <w:p w14:paraId="5EF9F881" w14:textId="36BF6619" w:rsidR="00802C3B" w:rsidRPr="00C70FE7" w:rsidRDefault="00802C3B" w:rsidP="00802C3B">
      <w:pPr>
        <w:pStyle w:val="Prrafodelista"/>
        <w:tabs>
          <w:tab w:val="left" w:pos="567"/>
          <w:tab w:val="left" w:pos="2760"/>
        </w:tabs>
        <w:spacing w:line="276" w:lineRule="auto"/>
        <w:ind w:left="0"/>
        <w:rPr>
          <w:rFonts w:ascii="Arial" w:eastAsia="Times New Roman" w:hAnsi="Arial"/>
          <w:lang w:val="es-CO"/>
        </w:rPr>
      </w:pPr>
      <w:r w:rsidRPr="00C70FE7">
        <w:rPr>
          <w:rFonts w:ascii="Arial" w:eastAsia="Times New Roman" w:hAnsi="Arial"/>
          <w:lang w:val="es-CO"/>
        </w:rPr>
        <w:t>a) 1569-33331-002-2007-00226-00, de 10 de octubre de 2016, demandantes Sixta Tulia Parra y otros b) 1569-33331-002-2007-00089-00, de 11 de noviembre de 2020, demandantes Clementina Del Carmen Pérez y otros y, c) 1569-33331-002-2007-00064-01, de 25 de noviembre de 2020, demandantes Dioselina Corredor de Sichacá y otros.</w:t>
      </w:r>
    </w:p>
    <w:p w14:paraId="4D520797" w14:textId="77777777" w:rsidR="00802C3B" w:rsidRPr="00C70FE7" w:rsidRDefault="00802C3B" w:rsidP="00802C3B">
      <w:pPr>
        <w:widowControl w:val="0"/>
        <w:spacing w:line="276" w:lineRule="auto"/>
        <w:contextualSpacing/>
        <w:rPr>
          <w:rFonts w:ascii="Arial" w:eastAsia="Times New Roman" w:hAnsi="Arial"/>
          <w:lang w:val="es-CO"/>
        </w:rPr>
      </w:pPr>
    </w:p>
    <w:p w14:paraId="50FC39C7" w14:textId="79C8F2F1" w:rsidR="001A334F" w:rsidRPr="00C70FE7" w:rsidRDefault="00173886" w:rsidP="00D51912">
      <w:pPr>
        <w:pStyle w:val="Prrafodelista"/>
        <w:tabs>
          <w:tab w:val="left" w:pos="567"/>
          <w:tab w:val="left" w:pos="2760"/>
        </w:tabs>
        <w:spacing w:line="276" w:lineRule="auto"/>
        <w:ind w:left="0"/>
        <w:rPr>
          <w:rFonts w:ascii="Arial" w:eastAsia="Times New Roman" w:hAnsi="Arial"/>
          <w:lang w:val="es-CO"/>
        </w:rPr>
      </w:pPr>
      <w:r w:rsidRPr="00C70FE7">
        <w:rPr>
          <w:rFonts w:ascii="Arial" w:eastAsia="Times New Roman" w:hAnsi="Arial"/>
          <w:lang w:val="es-CO"/>
        </w:rPr>
        <w:t>A</w:t>
      </w:r>
      <w:r w:rsidR="000E1264" w:rsidRPr="00C70FE7">
        <w:rPr>
          <w:rFonts w:ascii="Arial" w:eastAsia="Times New Roman" w:hAnsi="Arial"/>
          <w:lang w:val="es-CO"/>
        </w:rPr>
        <w:t>dujo</w:t>
      </w:r>
      <w:r w:rsidRPr="00C70FE7">
        <w:rPr>
          <w:rFonts w:ascii="Arial" w:eastAsia="Times New Roman" w:hAnsi="Arial"/>
          <w:lang w:val="es-CO"/>
        </w:rPr>
        <w:t xml:space="preserve"> que </w:t>
      </w:r>
      <w:r w:rsidR="00E473D5" w:rsidRPr="00C70FE7">
        <w:rPr>
          <w:rFonts w:ascii="Arial" w:eastAsia="Times New Roman" w:hAnsi="Arial"/>
          <w:lang w:val="es-CO"/>
        </w:rPr>
        <w:t xml:space="preserve">uno de los </w:t>
      </w:r>
      <w:r w:rsidRPr="00C70FE7">
        <w:rPr>
          <w:rFonts w:ascii="Arial" w:eastAsia="Times New Roman" w:hAnsi="Arial"/>
          <w:lang w:val="es-CO"/>
        </w:rPr>
        <w:t>Magistrado</w:t>
      </w:r>
      <w:r w:rsidR="00E473D5" w:rsidRPr="00C70FE7">
        <w:rPr>
          <w:rFonts w:ascii="Arial" w:eastAsia="Times New Roman" w:hAnsi="Arial"/>
          <w:lang w:val="es-CO"/>
        </w:rPr>
        <w:t>s</w:t>
      </w:r>
      <w:r w:rsidR="00E473D5" w:rsidRPr="00C70FE7">
        <w:rPr>
          <w:rStyle w:val="Refdenotaalpie"/>
          <w:rFonts w:ascii="Arial" w:eastAsia="Times New Roman" w:hAnsi="Arial"/>
          <w:lang w:val="es-CO"/>
        </w:rPr>
        <w:footnoteReference w:id="16"/>
      </w:r>
      <w:r w:rsidR="00E473D5" w:rsidRPr="00C70FE7">
        <w:rPr>
          <w:rFonts w:ascii="Arial" w:eastAsia="Times New Roman" w:hAnsi="Arial"/>
          <w:lang w:val="es-CO"/>
        </w:rPr>
        <w:t xml:space="preserve"> </w:t>
      </w:r>
      <w:r w:rsidRPr="00C70FE7">
        <w:rPr>
          <w:rFonts w:ascii="Arial" w:eastAsia="Times New Roman" w:hAnsi="Arial"/>
          <w:lang w:val="es-CO"/>
        </w:rPr>
        <w:t>fue ponente de la decisión atacada</w:t>
      </w:r>
      <w:r w:rsidR="00A131AC" w:rsidRPr="00C70FE7">
        <w:rPr>
          <w:rFonts w:ascii="Arial" w:eastAsia="Times New Roman" w:hAnsi="Arial"/>
          <w:lang w:val="es-CO"/>
        </w:rPr>
        <w:t>,</w:t>
      </w:r>
      <w:r w:rsidRPr="00C70FE7">
        <w:rPr>
          <w:rFonts w:ascii="Arial" w:eastAsia="Times New Roman" w:hAnsi="Arial"/>
          <w:lang w:val="es-CO"/>
        </w:rPr>
        <w:t xml:space="preserve"> en esta oportunidad </w:t>
      </w:r>
      <w:r w:rsidR="00A131AC" w:rsidRPr="00C70FE7">
        <w:rPr>
          <w:rFonts w:ascii="Arial" w:eastAsia="Times New Roman" w:hAnsi="Arial"/>
          <w:lang w:val="es-CO"/>
        </w:rPr>
        <w:t xml:space="preserve">con un criterio distinto, </w:t>
      </w:r>
      <w:r w:rsidRPr="00C70FE7">
        <w:rPr>
          <w:rFonts w:ascii="Arial" w:eastAsia="Times New Roman" w:hAnsi="Arial"/>
          <w:lang w:val="es-CO"/>
        </w:rPr>
        <w:t xml:space="preserve">pese a haber participado en la </w:t>
      </w:r>
      <w:r w:rsidR="00A131AC" w:rsidRPr="00C70FE7">
        <w:rPr>
          <w:rFonts w:ascii="Arial" w:eastAsia="Times New Roman" w:hAnsi="Arial"/>
          <w:lang w:val="es-CO"/>
        </w:rPr>
        <w:t>providencia</w:t>
      </w:r>
      <w:r w:rsidRPr="00C70FE7">
        <w:rPr>
          <w:rFonts w:ascii="Arial" w:eastAsia="Times New Roman" w:hAnsi="Arial"/>
          <w:lang w:val="es-CO"/>
        </w:rPr>
        <w:t xml:space="preserve"> de radicado 1569-33331-002-2007-00064-01, sin presentar reparo alguno sobre el asunto allí discutido pues no </w:t>
      </w:r>
      <w:r w:rsidR="00A131AC" w:rsidRPr="00C70FE7">
        <w:rPr>
          <w:rFonts w:ascii="Arial" w:eastAsia="Times New Roman" w:hAnsi="Arial"/>
          <w:lang w:val="es-CO"/>
        </w:rPr>
        <w:t>se evidencia salvamento de voto de aquél.</w:t>
      </w:r>
    </w:p>
    <w:p w14:paraId="2442992B" w14:textId="29FACB7B" w:rsidR="00A131AC" w:rsidRPr="00C70FE7" w:rsidRDefault="00A131AC" w:rsidP="00D51912">
      <w:pPr>
        <w:pStyle w:val="Prrafodelista"/>
        <w:tabs>
          <w:tab w:val="left" w:pos="567"/>
          <w:tab w:val="left" w:pos="2760"/>
        </w:tabs>
        <w:spacing w:line="276" w:lineRule="auto"/>
        <w:ind w:left="0"/>
        <w:rPr>
          <w:rFonts w:ascii="Arial" w:eastAsia="Times New Roman" w:hAnsi="Arial"/>
          <w:lang w:val="es-CO"/>
        </w:rPr>
      </w:pPr>
    </w:p>
    <w:p w14:paraId="1E46A8AF" w14:textId="43FC24B0" w:rsidR="00E473D5" w:rsidRPr="00FC1F98" w:rsidRDefault="00A131AC" w:rsidP="00D51912">
      <w:pPr>
        <w:pStyle w:val="Prrafodelista"/>
        <w:tabs>
          <w:tab w:val="left" w:pos="567"/>
          <w:tab w:val="left" w:pos="2760"/>
        </w:tabs>
        <w:spacing w:line="276" w:lineRule="auto"/>
        <w:ind w:left="0"/>
        <w:rPr>
          <w:rFonts w:ascii="Arial" w:eastAsia="Times New Roman" w:hAnsi="Arial"/>
          <w:lang w:val="es-CO"/>
        </w:rPr>
      </w:pPr>
      <w:r w:rsidRPr="00C70FE7">
        <w:rPr>
          <w:rFonts w:ascii="Arial" w:eastAsia="Times New Roman" w:hAnsi="Arial"/>
          <w:b/>
          <w:bCs/>
          <w:lang w:val="es-CO"/>
        </w:rPr>
        <w:t>Violación directa de la constitución</w:t>
      </w:r>
      <w:r w:rsidRPr="00C70FE7">
        <w:rPr>
          <w:rFonts w:ascii="Arial" w:eastAsia="Times New Roman" w:hAnsi="Arial"/>
          <w:lang w:val="es-CO"/>
        </w:rPr>
        <w:t xml:space="preserve">: alegó como infringidos sus derechos </w:t>
      </w:r>
      <w:r w:rsidR="00680C37" w:rsidRPr="00C70FE7">
        <w:rPr>
          <w:rFonts w:ascii="Arial" w:eastAsia="Arial" w:hAnsi="Arial"/>
          <w:color w:val="000000" w:themeColor="text1"/>
        </w:rPr>
        <w:t>fundamentales al debido proceso, de acceso a la administración de justicia, de defensa, a la igualdad, a la vivienda digna, al mínimo vital y a la protección de la “</w:t>
      </w:r>
      <w:r w:rsidR="00680C37" w:rsidRPr="00C70FE7">
        <w:rPr>
          <w:rFonts w:ascii="Arial" w:eastAsia="Arial" w:hAnsi="Arial"/>
          <w:i/>
          <w:iCs/>
          <w:color w:val="000000" w:themeColor="text1"/>
        </w:rPr>
        <w:t>tercera edad”</w:t>
      </w:r>
      <w:r w:rsidR="00E473D5" w:rsidRPr="00C70FE7">
        <w:rPr>
          <w:rFonts w:ascii="Arial" w:eastAsia="Times New Roman" w:hAnsi="Arial"/>
          <w:i/>
          <w:iCs/>
          <w:lang w:val="es-CO"/>
        </w:rPr>
        <w:t>,</w:t>
      </w:r>
      <w:r w:rsidRPr="00C70FE7">
        <w:rPr>
          <w:rFonts w:ascii="Arial" w:eastAsia="Times New Roman" w:hAnsi="Arial"/>
          <w:lang w:val="es-CO"/>
        </w:rPr>
        <w:t xml:space="preserve"> con ocasión de l</w:t>
      </w:r>
      <w:r w:rsidR="00E473D5" w:rsidRPr="00C70FE7">
        <w:rPr>
          <w:rFonts w:ascii="Arial" w:eastAsia="Times New Roman" w:hAnsi="Arial"/>
          <w:lang w:val="es-CO"/>
        </w:rPr>
        <w:t>a providencia de 10 de noviembre de 2020 proferida por el</w:t>
      </w:r>
      <w:r w:rsidR="00E473D5" w:rsidRPr="00FC1F98">
        <w:rPr>
          <w:rFonts w:ascii="Arial" w:eastAsia="Times New Roman" w:hAnsi="Arial"/>
          <w:lang w:val="es-CO"/>
        </w:rPr>
        <w:t xml:space="preserve"> Tribunal Administrativo </w:t>
      </w:r>
      <w:r w:rsidR="00E473D5" w:rsidRPr="00FC1F98">
        <w:rPr>
          <w:rFonts w:ascii="Arial" w:eastAsia="Times New Roman" w:hAnsi="Arial"/>
          <w:color w:val="000000"/>
        </w:rPr>
        <w:t xml:space="preserve">de Boyacá mediante la cual, declaró de oficio la caducidad de la acción, en desconocimiento de los daños de tracto sucesivo originados con la explotación </w:t>
      </w:r>
      <w:r w:rsidR="006B3CB9" w:rsidRPr="00FC1F98">
        <w:rPr>
          <w:rFonts w:ascii="Arial" w:eastAsia="Times New Roman" w:hAnsi="Arial"/>
          <w:color w:val="000000"/>
        </w:rPr>
        <w:t>minera.</w:t>
      </w:r>
    </w:p>
    <w:bookmarkEnd w:id="6"/>
    <w:p w14:paraId="5FC505FC" w14:textId="24838FBB" w:rsidR="00301C7A" w:rsidRPr="00FC1F98" w:rsidRDefault="00301C7A" w:rsidP="00D51912">
      <w:pPr>
        <w:pStyle w:val="Prrafodelista"/>
        <w:tabs>
          <w:tab w:val="left" w:pos="567"/>
          <w:tab w:val="left" w:pos="2760"/>
        </w:tabs>
        <w:spacing w:line="276" w:lineRule="auto"/>
        <w:ind w:left="0"/>
        <w:rPr>
          <w:rFonts w:ascii="Arial" w:eastAsia="Times New Roman" w:hAnsi="Arial"/>
          <w:lang w:val="es-CO"/>
        </w:rPr>
      </w:pPr>
    </w:p>
    <w:p w14:paraId="1C4509A3" w14:textId="12CD0E58" w:rsidR="00BD200A" w:rsidRPr="00FC1F98" w:rsidRDefault="00346AF3" w:rsidP="00346AF3">
      <w:pPr>
        <w:tabs>
          <w:tab w:val="left" w:pos="567"/>
          <w:tab w:val="left" w:pos="2760"/>
        </w:tabs>
        <w:spacing w:line="276" w:lineRule="auto"/>
        <w:rPr>
          <w:rFonts w:ascii="Arial" w:eastAsia="Times New Roman" w:hAnsi="Arial"/>
          <w:b/>
          <w:bCs/>
          <w:color w:val="000000"/>
        </w:rPr>
      </w:pPr>
      <w:r w:rsidRPr="00FC1F98">
        <w:rPr>
          <w:rFonts w:ascii="Arial" w:eastAsia="Times New Roman" w:hAnsi="Arial"/>
          <w:b/>
          <w:bCs/>
          <w:color w:val="000000"/>
        </w:rPr>
        <w:t xml:space="preserve">4. </w:t>
      </w:r>
      <w:r w:rsidR="00D01748" w:rsidRPr="00FC1F98">
        <w:rPr>
          <w:rFonts w:ascii="Arial" w:eastAsia="Times New Roman" w:hAnsi="Arial"/>
          <w:b/>
          <w:bCs/>
          <w:color w:val="000000"/>
        </w:rPr>
        <w:t xml:space="preserve">Pretensión constitucional </w:t>
      </w:r>
    </w:p>
    <w:p w14:paraId="68667A99" w14:textId="3E7A396A" w:rsidR="00D01748" w:rsidRPr="00FC1F98" w:rsidRDefault="00D01748" w:rsidP="00A57035">
      <w:pPr>
        <w:pStyle w:val="Prrafodelista"/>
        <w:tabs>
          <w:tab w:val="left" w:pos="567"/>
          <w:tab w:val="left" w:pos="2760"/>
        </w:tabs>
        <w:spacing w:line="276" w:lineRule="auto"/>
        <w:ind w:left="0"/>
        <w:rPr>
          <w:rFonts w:ascii="Arial" w:eastAsia="Times New Roman" w:hAnsi="Arial"/>
          <w:b/>
          <w:bCs/>
          <w:color w:val="000000"/>
        </w:rPr>
      </w:pPr>
    </w:p>
    <w:p w14:paraId="71F97EAE" w14:textId="13B69310" w:rsidR="00D01748" w:rsidRPr="00FC1F98" w:rsidRDefault="00D01748" w:rsidP="00D51912">
      <w:pPr>
        <w:pStyle w:val="Prrafodelista"/>
        <w:tabs>
          <w:tab w:val="left" w:pos="567"/>
          <w:tab w:val="left" w:pos="2760"/>
        </w:tabs>
        <w:spacing w:line="276" w:lineRule="auto"/>
        <w:ind w:left="0"/>
        <w:rPr>
          <w:rFonts w:ascii="Arial" w:eastAsia="Times New Roman" w:hAnsi="Arial"/>
          <w:color w:val="000000"/>
        </w:rPr>
      </w:pPr>
      <w:r w:rsidRPr="00FC1F98">
        <w:rPr>
          <w:rFonts w:ascii="Arial" w:eastAsia="Times New Roman" w:hAnsi="Arial"/>
          <w:color w:val="000000"/>
        </w:rPr>
        <w:t xml:space="preserve">En concreto la parte actora solicitó: </w:t>
      </w:r>
    </w:p>
    <w:p w14:paraId="5E34986A" w14:textId="22C7FEEA" w:rsidR="009D36DD" w:rsidRPr="00FC1F98" w:rsidRDefault="009D36DD" w:rsidP="00FC1805">
      <w:pPr>
        <w:pStyle w:val="Prrafodelista"/>
        <w:tabs>
          <w:tab w:val="left" w:pos="567"/>
          <w:tab w:val="left" w:pos="2760"/>
        </w:tabs>
        <w:spacing w:line="276" w:lineRule="auto"/>
        <w:ind w:left="567"/>
        <w:rPr>
          <w:rFonts w:ascii="Arial" w:eastAsia="Times New Roman" w:hAnsi="Arial"/>
          <w:color w:val="000000"/>
        </w:rPr>
      </w:pPr>
    </w:p>
    <w:p w14:paraId="6D8B19C4" w14:textId="1099AB38" w:rsidR="009D36DD" w:rsidRPr="00FC1F98" w:rsidRDefault="00FC1805" w:rsidP="004A7592">
      <w:pPr>
        <w:pStyle w:val="Prrafodelista"/>
        <w:tabs>
          <w:tab w:val="left" w:pos="567"/>
          <w:tab w:val="left" w:pos="2760"/>
        </w:tabs>
        <w:ind w:left="567"/>
        <w:rPr>
          <w:rFonts w:ascii="Arial" w:eastAsia="Times New Roman" w:hAnsi="Arial"/>
          <w:color w:val="000000"/>
          <w:sz w:val="22"/>
          <w:szCs w:val="22"/>
        </w:rPr>
      </w:pPr>
      <w:r w:rsidRPr="00FC1F98">
        <w:rPr>
          <w:rFonts w:ascii="Arial" w:eastAsia="Times New Roman" w:hAnsi="Arial"/>
          <w:b/>
          <w:bCs/>
          <w:color w:val="000000"/>
        </w:rPr>
        <w:t>“</w:t>
      </w:r>
      <w:r w:rsidR="009D36DD" w:rsidRPr="00FC1F98">
        <w:rPr>
          <w:rFonts w:ascii="Arial" w:eastAsia="Times New Roman" w:hAnsi="Arial"/>
          <w:b/>
          <w:bCs/>
          <w:color w:val="000000"/>
          <w:sz w:val="22"/>
          <w:szCs w:val="22"/>
        </w:rPr>
        <w:t>PRIMERA.-</w:t>
      </w:r>
      <w:r w:rsidR="009D36DD" w:rsidRPr="00FC1F98">
        <w:rPr>
          <w:rFonts w:ascii="Arial" w:eastAsia="Times New Roman" w:hAnsi="Arial"/>
          <w:color w:val="000000"/>
          <w:sz w:val="22"/>
          <w:szCs w:val="22"/>
        </w:rPr>
        <w:t xml:space="preserve"> TUTELAR en favor de JOSE RICARDO CEPEDA CORREDOR los DERECHOS FUNDAMENTALES al DEBIDO PROCESO; LEGALIDAD; FAVORAVILIDAD; “PRO HOMINE”; ACCESO A LA ADMISNITACIÓN DE JUSTICIA; EL ACCESO A LA GARANTÍA DEL DERECHO A LA DEFENSA EN CONDICIONES DE IGUALDAD, razonada, equitativa, proporcionada y justa; DERECHO A LA PROTECCIÓN DEL SUBSUELO , SUELO, PAISAJE Y MEDIO AMBIENTE DE NUESTRA PROPIEDAD PRIVADA; A LA VIVIENDA DIGNA; AL MINIMO VITAL MÓVIL, DE SUBSISTENCIA DERIVADO DEL TRABAJO POR EXPLOTACIÓN DEL INMUEBLE RURAL; A LA PROTECCIÓN DE LA TERCERA EDAD; ASICOMO LOS DEMÁS DERECHOS FUNDAMENTALES AFINES QUE OFICIOSAMENTE EL H. CONSEJO DE ESTADO SE SIRVA DETERMINAR respecto de la vulneración contenida en la SENTENCIA DE SEGUNDA INSTANCIA </w:t>
      </w:r>
      <w:r w:rsidR="009D36DD" w:rsidRPr="00FC1F98">
        <w:rPr>
          <w:rFonts w:ascii="Arial" w:eastAsia="Times New Roman" w:hAnsi="Arial"/>
          <w:color w:val="000000"/>
          <w:sz w:val="22"/>
          <w:szCs w:val="22"/>
        </w:rPr>
        <w:lastRenderedPageBreak/>
        <w:t xml:space="preserve">de fecha 10 de noviembre de 2020 emitida por la SALA DE DECISIÓN No. 4 del H. TRIBUNAL ADMINISTATIVO DE BOYACÁ… donde </w:t>
      </w:r>
      <w:r w:rsidR="009D36DD" w:rsidRPr="00FC1F98">
        <w:rPr>
          <w:rFonts w:ascii="Arial" w:eastAsia="Times New Roman" w:hAnsi="Arial"/>
          <w:color w:val="000000"/>
          <w:sz w:val="22"/>
          <w:szCs w:val="22"/>
          <w:u w:val="single"/>
        </w:rPr>
        <w:t xml:space="preserve">OFICIOSAMENTE O DE OFICIO DETERMINARON LA CADUCIDAD DE LA ACCIÓN DESCONOCIENDO TRACTO SUCESIVO AMBIENTAL ORIGINADO POR LA IRRACIONAL E ILEGAL EXPLOTACIÓN DE LA MINERÍA DE CARBON QUE PROVOCA LA FRACTURACIÓN DEL SUBSUELO AFECTANDO EL SUELO Y </w:t>
      </w:r>
      <w:r w:rsidR="009D36DD" w:rsidRPr="00FC1F98">
        <w:rPr>
          <w:rFonts w:ascii="Arial" w:eastAsia="Times New Roman" w:hAnsi="Arial"/>
          <w:i/>
          <w:iCs/>
          <w:color w:val="000000"/>
          <w:sz w:val="22"/>
          <w:szCs w:val="22"/>
          <w:u w:val="single"/>
        </w:rPr>
        <w:t>(sic)</w:t>
      </w:r>
      <w:r w:rsidR="009D36DD" w:rsidRPr="00FC1F98">
        <w:rPr>
          <w:rFonts w:ascii="Arial" w:eastAsia="Times New Roman" w:hAnsi="Arial"/>
          <w:color w:val="000000"/>
          <w:sz w:val="22"/>
          <w:szCs w:val="22"/>
          <w:u w:val="single"/>
        </w:rPr>
        <w:t xml:space="preserve"> ENTORNO MEDIO AMBIENTAL POR DEFECTOS DE PROCEDIBILIDAD EN EL MATERIAL PROBATORIO CONDICENTE, PERTINENTE, EFICÁZ Y OPORTUNO E INEXPLICABLEMENTE CONTRADICIENDO SUS PROPIOS PRECEDENTES JURISPRUDENCIALES, PRONCIPIOS Y DERECHOS FUNDAMENTALES</w:t>
      </w:r>
      <w:r w:rsidR="009D36DD" w:rsidRPr="00FC1F98">
        <w:rPr>
          <w:rFonts w:ascii="Arial" w:eastAsia="Times New Roman" w:hAnsi="Arial"/>
          <w:color w:val="000000"/>
          <w:sz w:val="22"/>
          <w:szCs w:val="22"/>
        </w:rPr>
        <w:t>.</w:t>
      </w:r>
    </w:p>
    <w:p w14:paraId="52C22D41" w14:textId="7E4EF026" w:rsidR="009D36DD" w:rsidRPr="00FC1F98" w:rsidRDefault="009D36DD" w:rsidP="004A7592">
      <w:pPr>
        <w:pStyle w:val="Prrafodelista"/>
        <w:tabs>
          <w:tab w:val="left" w:pos="567"/>
          <w:tab w:val="left" w:pos="2760"/>
        </w:tabs>
        <w:ind w:left="567"/>
        <w:rPr>
          <w:rFonts w:ascii="Arial" w:eastAsia="Times New Roman" w:hAnsi="Arial"/>
          <w:color w:val="000000"/>
          <w:sz w:val="22"/>
          <w:szCs w:val="22"/>
        </w:rPr>
      </w:pPr>
    </w:p>
    <w:p w14:paraId="355FE455" w14:textId="228CB040" w:rsidR="009D36DD" w:rsidRPr="00FC1F98" w:rsidRDefault="009D36DD" w:rsidP="004A7592">
      <w:pPr>
        <w:pStyle w:val="Prrafodelista"/>
        <w:tabs>
          <w:tab w:val="left" w:pos="567"/>
          <w:tab w:val="left" w:pos="2760"/>
        </w:tabs>
        <w:ind w:left="567"/>
        <w:rPr>
          <w:rFonts w:ascii="Arial" w:eastAsia="Times New Roman" w:hAnsi="Arial"/>
          <w:color w:val="000000"/>
          <w:sz w:val="22"/>
          <w:szCs w:val="22"/>
        </w:rPr>
      </w:pPr>
      <w:proofErr w:type="gramStart"/>
      <w:r w:rsidRPr="00FC1F98">
        <w:rPr>
          <w:rFonts w:ascii="Arial" w:eastAsia="Times New Roman" w:hAnsi="Arial"/>
          <w:b/>
          <w:bCs/>
          <w:color w:val="000000"/>
          <w:sz w:val="22"/>
          <w:szCs w:val="22"/>
        </w:rPr>
        <w:t>SEGUNDA.-</w:t>
      </w:r>
      <w:proofErr w:type="gramEnd"/>
      <w:r w:rsidRPr="00FC1F98">
        <w:rPr>
          <w:rFonts w:ascii="Arial" w:eastAsia="Times New Roman" w:hAnsi="Arial"/>
          <w:color w:val="000000"/>
          <w:sz w:val="22"/>
          <w:szCs w:val="22"/>
        </w:rPr>
        <w:t xml:space="preserve"> En consecuencia de haber determinado la protección de los derechos fundamentales en la </w:t>
      </w:r>
      <w:r w:rsidR="00FC1805" w:rsidRPr="00FC1F98">
        <w:rPr>
          <w:rFonts w:ascii="Arial" w:eastAsia="Times New Roman" w:hAnsi="Arial"/>
          <w:color w:val="000000"/>
          <w:sz w:val="22"/>
          <w:szCs w:val="22"/>
        </w:rPr>
        <w:t>declaración</w:t>
      </w:r>
      <w:r w:rsidRPr="00FC1F98">
        <w:rPr>
          <w:rFonts w:ascii="Arial" w:eastAsia="Times New Roman" w:hAnsi="Arial"/>
          <w:color w:val="000000"/>
          <w:sz w:val="22"/>
          <w:szCs w:val="22"/>
        </w:rPr>
        <w:t xml:space="preserve"> anterior, el H. CONSEJO DE ESTADO se servirá: </w:t>
      </w:r>
    </w:p>
    <w:p w14:paraId="04DBBCCF" w14:textId="7CE6FC0E" w:rsidR="009D36DD" w:rsidRPr="00FC1F98" w:rsidRDefault="009D36DD" w:rsidP="004A7592">
      <w:pPr>
        <w:pStyle w:val="Prrafodelista"/>
        <w:tabs>
          <w:tab w:val="left" w:pos="567"/>
          <w:tab w:val="left" w:pos="2760"/>
        </w:tabs>
        <w:ind w:left="567"/>
        <w:rPr>
          <w:rFonts w:ascii="Arial" w:eastAsia="Times New Roman" w:hAnsi="Arial"/>
          <w:color w:val="000000"/>
          <w:sz w:val="22"/>
          <w:szCs w:val="22"/>
        </w:rPr>
      </w:pPr>
    </w:p>
    <w:p w14:paraId="4460A164" w14:textId="0421B47B" w:rsidR="009D36DD" w:rsidRPr="00FC1F98" w:rsidRDefault="009D36DD" w:rsidP="004A7592">
      <w:pPr>
        <w:pStyle w:val="Prrafodelista"/>
        <w:numPr>
          <w:ilvl w:val="0"/>
          <w:numId w:val="11"/>
        </w:numPr>
        <w:tabs>
          <w:tab w:val="left" w:pos="567"/>
          <w:tab w:val="left" w:pos="2760"/>
        </w:tabs>
        <w:ind w:left="567"/>
        <w:rPr>
          <w:rFonts w:ascii="Arial" w:eastAsia="Times New Roman" w:hAnsi="Arial"/>
          <w:color w:val="000000"/>
          <w:sz w:val="22"/>
          <w:szCs w:val="22"/>
        </w:rPr>
      </w:pPr>
      <w:r w:rsidRPr="00FC1F98">
        <w:rPr>
          <w:rFonts w:ascii="Arial" w:eastAsia="Times New Roman" w:hAnsi="Arial"/>
          <w:color w:val="000000"/>
          <w:sz w:val="22"/>
          <w:szCs w:val="22"/>
        </w:rPr>
        <w:t>DEJAR SIN NING</w:t>
      </w:r>
      <w:r w:rsidR="00330230" w:rsidRPr="00FC1F98">
        <w:rPr>
          <w:rFonts w:ascii="Arial" w:eastAsia="Times New Roman" w:hAnsi="Arial"/>
          <w:color w:val="000000"/>
          <w:sz w:val="22"/>
          <w:szCs w:val="22"/>
        </w:rPr>
        <w:t>Ú</w:t>
      </w:r>
      <w:r w:rsidRPr="00FC1F98">
        <w:rPr>
          <w:rFonts w:ascii="Arial" w:eastAsia="Times New Roman" w:hAnsi="Arial"/>
          <w:color w:val="000000"/>
          <w:sz w:val="22"/>
          <w:szCs w:val="22"/>
        </w:rPr>
        <w:t>N VALOR JUR</w:t>
      </w:r>
      <w:r w:rsidR="00330230" w:rsidRPr="00FC1F98">
        <w:rPr>
          <w:rFonts w:ascii="Arial" w:eastAsia="Times New Roman" w:hAnsi="Arial"/>
          <w:color w:val="000000"/>
          <w:sz w:val="22"/>
          <w:szCs w:val="22"/>
        </w:rPr>
        <w:t>Í</w:t>
      </w:r>
      <w:r w:rsidRPr="00FC1F98">
        <w:rPr>
          <w:rFonts w:ascii="Arial" w:eastAsia="Times New Roman" w:hAnsi="Arial"/>
          <w:color w:val="000000"/>
          <w:sz w:val="22"/>
          <w:szCs w:val="22"/>
        </w:rPr>
        <w:t>DICO LA SENTENCIA DE SEGUNDA INSTANCIA EMITIDA POR EL H. TRIBUNAL ADMINISTRATIVO DE BOYACÁ de fecha 10 de noviembre de 2020 dentro de la ACCIÓN DE REPARACIÓN DIRECTA No. 156933331002 – 201100237 – 00 y en su defecto: ACCEDER A INSTAURAR LAS PRETENSIONES DE LA DEMANDA, tomando las determinaciones pertinentes.</w:t>
      </w:r>
    </w:p>
    <w:p w14:paraId="768FE0E3" w14:textId="769121E5" w:rsidR="009D36DD" w:rsidRPr="00FC1F98" w:rsidRDefault="009D36DD" w:rsidP="004A7592">
      <w:pPr>
        <w:pStyle w:val="Prrafodelista"/>
        <w:numPr>
          <w:ilvl w:val="0"/>
          <w:numId w:val="11"/>
        </w:numPr>
        <w:tabs>
          <w:tab w:val="left" w:pos="567"/>
          <w:tab w:val="left" w:pos="2760"/>
        </w:tabs>
        <w:ind w:left="567"/>
        <w:rPr>
          <w:rFonts w:ascii="Arial" w:eastAsia="Times New Roman" w:hAnsi="Arial"/>
          <w:color w:val="000000"/>
          <w:sz w:val="22"/>
          <w:szCs w:val="22"/>
        </w:rPr>
      </w:pPr>
      <w:r w:rsidRPr="00FC1F98">
        <w:rPr>
          <w:rFonts w:ascii="Arial" w:eastAsia="Times New Roman" w:hAnsi="Arial"/>
          <w:color w:val="000000"/>
          <w:sz w:val="22"/>
          <w:szCs w:val="22"/>
        </w:rPr>
        <w:t>Todas las demás determinaciones que el H. CONSEJO DE ESTADO disponga para la protección de los derechos fundamentales del suscrito JOSE RICARDO CEPEDA CORREDOR</w:t>
      </w:r>
      <w:r w:rsidR="00CB0DD8" w:rsidRPr="00FC1F98">
        <w:rPr>
          <w:rFonts w:ascii="Arial" w:eastAsia="Times New Roman" w:hAnsi="Arial"/>
          <w:color w:val="000000"/>
          <w:sz w:val="22"/>
          <w:szCs w:val="22"/>
        </w:rPr>
        <w:t>. (sic)</w:t>
      </w:r>
      <w:r w:rsidRPr="00FC1F98">
        <w:rPr>
          <w:rFonts w:ascii="Arial" w:eastAsia="Times New Roman" w:hAnsi="Arial"/>
          <w:color w:val="000000"/>
          <w:sz w:val="22"/>
          <w:szCs w:val="22"/>
        </w:rPr>
        <w:t>”</w:t>
      </w:r>
    </w:p>
    <w:p w14:paraId="78FC24AB" w14:textId="77777777" w:rsidR="005E29CF" w:rsidRPr="00FC1F98" w:rsidRDefault="005E29CF" w:rsidP="005E29CF">
      <w:pPr>
        <w:pStyle w:val="Prrafodelista"/>
        <w:tabs>
          <w:tab w:val="left" w:pos="567"/>
          <w:tab w:val="left" w:pos="2760"/>
        </w:tabs>
        <w:spacing w:line="276" w:lineRule="auto"/>
        <w:ind w:left="0"/>
        <w:rPr>
          <w:rFonts w:ascii="Arial" w:eastAsia="Times New Roman" w:hAnsi="Arial"/>
          <w:color w:val="000000"/>
        </w:rPr>
      </w:pPr>
    </w:p>
    <w:p w14:paraId="4DFFF2FC" w14:textId="38586688" w:rsidR="00A63AFB" w:rsidRPr="00FC1F98" w:rsidRDefault="005E29CF" w:rsidP="005E29CF">
      <w:pPr>
        <w:pStyle w:val="Prrafodelista"/>
        <w:tabs>
          <w:tab w:val="left" w:pos="567"/>
          <w:tab w:val="left" w:pos="2760"/>
        </w:tabs>
        <w:spacing w:line="276" w:lineRule="auto"/>
        <w:ind w:left="0"/>
        <w:rPr>
          <w:rFonts w:ascii="Arial" w:eastAsia="Times New Roman" w:hAnsi="Arial"/>
          <w:b/>
          <w:bCs/>
          <w:color w:val="000000"/>
        </w:rPr>
      </w:pPr>
      <w:r w:rsidRPr="00FC1F98">
        <w:rPr>
          <w:rFonts w:ascii="Arial" w:eastAsia="Times New Roman" w:hAnsi="Arial"/>
          <w:b/>
          <w:bCs/>
          <w:color w:val="000000"/>
        </w:rPr>
        <w:t>5.</w:t>
      </w:r>
      <w:r w:rsidRPr="00FC1F98">
        <w:rPr>
          <w:rFonts w:ascii="Arial" w:eastAsia="Times New Roman" w:hAnsi="Arial"/>
          <w:color w:val="000000"/>
        </w:rPr>
        <w:t xml:space="preserve"> </w:t>
      </w:r>
      <w:r w:rsidR="00A63AFB" w:rsidRPr="00FC1F98">
        <w:rPr>
          <w:rFonts w:ascii="Arial" w:eastAsia="Times New Roman" w:hAnsi="Arial"/>
          <w:b/>
          <w:bCs/>
          <w:color w:val="000000"/>
        </w:rPr>
        <w:t>Trámite de la acción</w:t>
      </w:r>
    </w:p>
    <w:p w14:paraId="428565F7" w14:textId="77777777" w:rsidR="00A63AFB" w:rsidRPr="00FC1F98" w:rsidRDefault="00A63AFB" w:rsidP="00A57035">
      <w:pPr>
        <w:pStyle w:val="Prrafodelista"/>
        <w:tabs>
          <w:tab w:val="left" w:pos="567"/>
          <w:tab w:val="left" w:pos="2760"/>
        </w:tabs>
        <w:spacing w:line="276" w:lineRule="auto"/>
        <w:ind w:left="0"/>
        <w:rPr>
          <w:rFonts w:ascii="Arial" w:eastAsia="Times New Roman" w:hAnsi="Arial"/>
          <w:b/>
          <w:bCs/>
          <w:color w:val="000000"/>
          <w:sz w:val="22"/>
          <w:szCs w:val="22"/>
        </w:rPr>
      </w:pPr>
    </w:p>
    <w:p w14:paraId="48865296" w14:textId="62828975" w:rsidR="006C6795" w:rsidRPr="00FC1F98" w:rsidRDefault="00A63AFB" w:rsidP="006C6795">
      <w:pPr>
        <w:tabs>
          <w:tab w:val="left" w:pos="2760"/>
        </w:tabs>
        <w:spacing w:line="276" w:lineRule="auto"/>
        <w:ind w:hanging="2"/>
        <w:rPr>
          <w:rFonts w:ascii="Arial" w:hAnsi="Arial"/>
        </w:rPr>
      </w:pPr>
      <w:r w:rsidRPr="00FC1F98">
        <w:rPr>
          <w:rFonts w:ascii="Arial" w:eastAsia="Times New Roman" w:hAnsi="Arial"/>
          <w:color w:val="000000"/>
        </w:rPr>
        <w:t>La magistrada ponente mediante auto de 1</w:t>
      </w:r>
      <w:r w:rsidR="009D0EE3" w:rsidRPr="00FC1F98">
        <w:rPr>
          <w:rFonts w:ascii="Arial" w:eastAsia="Times New Roman" w:hAnsi="Arial"/>
          <w:color w:val="000000"/>
        </w:rPr>
        <w:t>8 de enero de 2021</w:t>
      </w:r>
      <w:r w:rsidRPr="00FC1F98">
        <w:rPr>
          <w:rStyle w:val="Refdenotaalpie"/>
          <w:rFonts w:ascii="Arial" w:eastAsia="Times New Roman" w:hAnsi="Arial"/>
          <w:color w:val="000000"/>
        </w:rPr>
        <w:footnoteReference w:id="17"/>
      </w:r>
      <w:r w:rsidR="00DF49FB" w:rsidRPr="00FC1F98">
        <w:rPr>
          <w:rFonts w:ascii="Arial" w:eastAsia="Times New Roman" w:hAnsi="Arial"/>
          <w:color w:val="000000"/>
        </w:rPr>
        <w:t>,</w:t>
      </w:r>
      <w:r w:rsidRPr="00FC1F98">
        <w:rPr>
          <w:rFonts w:ascii="Arial" w:eastAsia="Times New Roman" w:hAnsi="Arial"/>
          <w:color w:val="000000"/>
        </w:rPr>
        <w:t xml:space="preserve"> </w:t>
      </w:r>
      <w:r w:rsidR="006A256C" w:rsidRPr="00FC1F98">
        <w:rPr>
          <w:rFonts w:ascii="Arial" w:eastAsia="Times New Roman" w:hAnsi="Arial"/>
          <w:color w:val="000000"/>
          <w:lang w:val="es-CO"/>
        </w:rPr>
        <w:t>admitió la tutela de la referencia y</w:t>
      </w:r>
      <w:r w:rsidR="000305DB" w:rsidRPr="00FC1F98">
        <w:rPr>
          <w:rFonts w:ascii="Arial" w:eastAsia="Times New Roman" w:hAnsi="Arial"/>
          <w:color w:val="000000"/>
          <w:lang w:val="es-CO"/>
        </w:rPr>
        <w:t>,</w:t>
      </w:r>
      <w:r w:rsidR="006A256C" w:rsidRPr="00FC1F98">
        <w:rPr>
          <w:rFonts w:ascii="Arial" w:eastAsia="Times New Roman" w:hAnsi="Arial"/>
          <w:color w:val="000000"/>
          <w:lang w:val="es-CO"/>
        </w:rPr>
        <w:t xml:space="preserve"> en consecuencia, ordenó notificar</w:t>
      </w:r>
      <w:r w:rsidR="0071100D" w:rsidRPr="00FC1F98">
        <w:rPr>
          <w:rFonts w:ascii="Arial" w:eastAsia="Times New Roman" w:hAnsi="Arial"/>
          <w:color w:val="000000"/>
          <w:lang w:val="es-CO"/>
        </w:rPr>
        <w:t xml:space="preserve"> como parte demandada</w:t>
      </w:r>
      <w:r w:rsidR="0071100D" w:rsidRPr="00FC1F98">
        <w:rPr>
          <w:rFonts w:ascii="Arial" w:hAnsi="Arial"/>
          <w:color w:val="000000" w:themeColor="text1"/>
          <w:lang w:val="es-ES_tradnl" w:eastAsia="es-ES"/>
        </w:rPr>
        <w:t xml:space="preserve"> </w:t>
      </w:r>
      <w:r w:rsidR="006C6795" w:rsidRPr="00FC1F98">
        <w:rPr>
          <w:rFonts w:ascii="Arial" w:eastAsia="Arial" w:hAnsi="Arial"/>
          <w:color w:val="000000" w:themeColor="text1"/>
        </w:rPr>
        <w:t xml:space="preserve">al </w:t>
      </w:r>
      <w:r w:rsidR="006C6795" w:rsidRPr="00FC1F98">
        <w:rPr>
          <w:rFonts w:ascii="Arial" w:hAnsi="Arial"/>
        </w:rPr>
        <w:t>Tribunal Administrativo de Boyacá.</w:t>
      </w:r>
    </w:p>
    <w:p w14:paraId="7EC95BA9" w14:textId="77777777" w:rsidR="006C6795" w:rsidRPr="00FC1F98" w:rsidRDefault="006C6795" w:rsidP="006C6795">
      <w:pPr>
        <w:tabs>
          <w:tab w:val="left" w:pos="2760"/>
        </w:tabs>
        <w:spacing w:line="276" w:lineRule="auto"/>
        <w:ind w:hanging="2"/>
        <w:rPr>
          <w:rFonts w:ascii="Arial" w:hAnsi="Arial"/>
        </w:rPr>
      </w:pPr>
    </w:p>
    <w:p w14:paraId="578BAEC7" w14:textId="3476E55D" w:rsidR="006C6795" w:rsidRDefault="006C6795" w:rsidP="006C6795">
      <w:pPr>
        <w:tabs>
          <w:tab w:val="left" w:pos="2760"/>
        </w:tabs>
        <w:spacing w:line="276" w:lineRule="auto"/>
        <w:ind w:hanging="2"/>
        <w:rPr>
          <w:rFonts w:ascii="Arial" w:hAnsi="Arial"/>
        </w:rPr>
      </w:pPr>
      <w:r w:rsidRPr="00C70FE7">
        <w:rPr>
          <w:rFonts w:ascii="Arial" w:eastAsia="Arial" w:hAnsi="Arial"/>
          <w:lang w:val="es-ES_tradnl"/>
        </w:rPr>
        <w:t>Como</w:t>
      </w:r>
      <w:r w:rsidRPr="00C70FE7">
        <w:rPr>
          <w:rFonts w:ascii="Arial" w:hAnsi="Arial"/>
        </w:rPr>
        <w:t xml:space="preserve"> terceros con interés</w:t>
      </w:r>
      <w:r w:rsidR="00680C37" w:rsidRPr="00C70FE7">
        <w:rPr>
          <w:rFonts w:ascii="Arial" w:hAnsi="Arial"/>
        </w:rPr>
        <w:t>: i)</w:t>
      </w:r>
      <w:r w:rsidRPr="00C70FE7">
        <w:rPr>
          <w:rFonts w:ascii="Arial" w:hAnsi="Arial"/>
        </w:rPr>
        <w:t xml:space="preserve"> al Juzgado Segundo Administrativo Oral del Circuito Judicial de Duitama, en su calidad de juez de primera instancia del proceso ordinario, a los señores, César Augusto Cepeda Corredor, José Neftalí Cepeda Ramírez y Paulina Corredor </w:t>
      </w:r>
      <w:r w:rsidR="00330230" w:rsidRPr="00C70FE7">
        <w:rPr>
          <w:rFonts w:ascii="Arial" w:hAnsi="Arial"/>
        </w:rPr>
        <w:t>d</w:t>
      </w:r>
      <w:r w:rsidR="003C187A" w:rsidRPr="00C70FE7">
        <w:rPr>
          <w:rFonts w:ascii="Arial" w:hAnsi="Arial"/>
        </w:rPr>
        <w:t xml:space="preserve">e </w:t>
      </w:r>
      <w:r w:rsidRPr="00C70FE7">
        <w:rPr>
          <w:rFonts w:ascii="Arial" w:hAnsi="Arial"/>
        </w:rPr>
        <w:t>Cepeda</w:t>
      </w:r>
      <w:r w:rsidR="003C187A" w:rsidRPr="00C70FE7">
        <w:rPr>
          <w:rStyle w:val="Refdenotaalpie"/>
          <w:rFonts w:ascii="Arial" w:hAnsi="Arial"/>
        </w:rPr>
        <w:footnoteReference w:id="18"/>
      </w:r>
      <w:r w:rsidRPr="00C70FE7">
        <w:rPr>
          <w:rFonts w:ascii="Arial" w:hAnsi="Arial"/>
        </w:rPr>
        <w:t xml:space="preserve"> por conformar el extremo accionante del medio de control de reparación directa</w:t>
      </w:r>
      <w:r w:rsidR="00680C37" w:rsidRPr="00C70FE7">
        <w:rPr>
          <w:rFonts w:ascii="Arial" w:hAnsi="Arial"/>
        </w:rPr>
        <w:t xml:space="preserve">; </w:t>
      </w:r>
      <w:proofErr w:type="spellStart"/>
      <w:r w:rsidR="00680C37" w:rsidRPr="00C70FE7">
        <w:rPr>
          <w:rFonts w:ascii="Arial" w:hAnsi="Arial"/>
        </w:rPr>
        <w:t>ii</w:t>
      </w:r>
      <w:proofErr w:type="spellEnd"/>
      <w:r w:rsidR="00680C37" w:rsidRPr="00C70FE7">
        <w:rPr>
          <w:rFonts w:ascii="Arial" w:hAnsi="Arial"/>
        </w:rPr>
        <w:t xml:space="preserve">) al </w:t>
      </w:r>
      <w:r w:rsidRPr="00C70FE7">
        <w:rPr>
          <w:rFonts w:ascii="Arial" w:hAnsi="Arial"/>
        </w:rPr>
        <w:t xml:space="preserve">Ministerio de Minas y Energía, Ministerio de Ambiente y Desarrollo Sostenible, Ministerio de Vivienda, Ciudad y Territorio, Corporación Autónoma Regional de Boyacá – Corpoboyacá, Instituto Colombiano de Geología y Minería – </w:t>
      </w:r>
      <w:proofErr w:type="spellStart"/>
      <w:r w:rsidRPr="00C70FE7">
        <w:rPr>
          <w:rFonts w:ascii="Arial" w:hAnsi="Arial"/>
        </w:rPr>
        <w:t>I</w:t>
      </w:r>
      <w:r w:rsidR="00B27B43" w:rsidRPr="00C70FE7">
        <w:rPr>
          <w:rFonts w:ascii="Arial" w:hAnsi="Arial"/>
        </w:rPr>
        <w:t>ngeominas</w:t>
      </w:r>
      <w:proofErr w:type="spellEnd"/>
      <w:r w:rsidRPr="00C70FE7">
        <w:rPr>
          <w:rFonts w:ascii="Arial" w:hAnsi="Arial"/>
        </w:rPr>
        <w:t xml:space="preserve">, Departamento de Boyacá, Municipio de Paipa, Cooperativa Agrominera Multiactiva de Paipa Ltda. – Coagromin, Juan de Dios Ochoa Castiblanco y Elsa Nubia Mateus Jiménez como extremo </w:t>
      </w:r>
      <w:r w:rsidR="00C82A69" w:rsidRPr="00C70FE7">
        <w:rPr>
          <w:rFonts w:ascii="Arial" w:hAnsi="Arial"/>
        </w:rPr>
        <w:t>demandado</w:t>
      </w:r>
      <w:r w:rsidRPr="00C70FE7">
        <w:rPr>
          <w:rFonts w:ascii="Arial" w:hAnsi="Arial"/>
        </w:rPr>
        <w:t xml:space="preserve"> en el mismo proceso</w:t>
      </w:r>
      <w:r w:rsidR="00680C37" w:rsidRPr="00C70FE7">
        <w:rPr>
          <w:rFonts w:ascii="Arial" w:hAnsi="Arial"/>
        </w:rPr>
        <w:t xml:space="preserve">; y </w:t>
      </w:r>
      <w:proofErr w:type="spellStart"/>
      <w:r w:rsidR="00D67CF9" w:rsidRPr="00C70FE7">
        <w:rPr>
          <w:rFonts w:ascii="Arial" w:hAnsi="Arial"/>
        </w:rPr>
        <w:t>i</w:t>
      </w:r>
      <w:r w:rsidR="00680C37" w:rsidRPr="00C70FE7">
        <w:rPr>
          <w:rFonts w:ascii="Arial" w:hAnsi="Arial"/>
        </w:rPr>
        <w:t>ii</w:t>
      </w:r>
      <w:proofErr w:type="spellEnd"/>
      <w:r w:rsidR="00680C37" w:rsidRPr="00C70FE7">
        <w:rPr>
          <w:rFonts w:ascii="Arial" w:hAnsi="Arial"/>
        </w:rPr>
        <w:t>) a l</w:t>
      </w:r>
      <w:r w:rsidRPr="00C70FE7">
        <w:rPr>
          <w:rFonts w:ascii="Arial" w:hAnsi="Arial"/>
        </w:rPr>
        <w:t xml:space="preserve">os señores Eleuterio Mateus </w:t>
      </w:r>
      <w:proofErr w:type="spellStart"/>
      <w:r w:rsidRPr="00C70FE7">
        <w:rPr>
          <w:rFonts w:ascii="Arial" w:hAnsi="Arial"/>
        </w:rPr>
        <w:t>Mateus</w:t>
      </w:r>
      <w:proofErr w:type="spellEnd"/>
      <w:r w:rsidRPr="00C70FE7">
        <w:rPr>
          <w:rFonts w:ascii="Arial" w:hAnsi="Arial"/>
        </w:rPr>
        <w:t xml:space="preserve">, Luis Guillermo Mateus </w:t>
      </w:r>
      <w:proofErr w:type="spellStart"/>
      <w:r w:rsidRPr="00C70FE7">
        <w:rPr>
          <w:rFonts w:ascii="Arial" w:hAnsi="Arial"/>
        </w:rPr>
        <w:t>Mateus</w:t>
      </w:r>
      <w:proofErr w:type="spellEnd"/>
      <w:r w:rsidRPr="00C70FE7">
        <w:rPr>
          <w:rFonts w:ascii="Arial" w:hAnsi="Arial"/>
        </w:rPr>
        <w:t xml:space="preserve">, Jaime Enrique Garzón Rodríguez, Alirio Pérez Medina, Alfonso Pérez Medina, </w:t>
      </w:r>
      <w:r w:rsidR="00D117EB" w:rsidRPr="00C70FE7">
        <w:rPr>
          <w:rFonts w:ascii="Arial" w:hAnsi="Arial"/>
        </w:rPr>
        <w:t xml:space="preserve">José Euclides Rincón, </w:t>
      </w:r>
      <w:r w:rsidRPr="00C70FE7">
        <w:rPr>
          <w:rFonts w:ascii="Arial" w:hAnsi="Arial"/>
        </w:rPr>
        <w:t>Luis Enrique Cruz</w:t>
      </w:r>
      <w:r w:rsidR="0052542D" w:rsidRPr="00C70FE7">
        <w:rPr>
          <w:rStyle w:val="Refdenotaalpie"/>
          <w:rFonts w:ascii="Arial" w:hAnsi="Arial"/>
        </w:rPr>
        <w:footnoteReference w:id="19"/>
      </w:r>
      <w:r w:rsidRPr="00C70FE7">
        <w:rPr>
          <w:rFonts w:ascii="Arial" w:hAnsi="Arial"/>
        </w:rPr>
        <w:t xml:space="preserve"> </w:t>
      </w:r>
      <w:r w:rsidRPr="00C70FE7">
        <w:rPr>
          <w:rFonts w:ascii="Arial" w:hAnsi="Arial"/>
        </w:rPr>
        <w:lastRenderedPageBreak/>
        <w:t>y Romelia Barón Ruiz</w:t>
      </w:r>
      <w:r w:rsidR="00462397" w:rsidRPr="00C70FE7">
        <w:rPr>
          <w:rFonts w:ascii="Arial" w:hAnsi="Arial"/>
        </w:rPr>
        <w:t>,</w:t>
      </w:r>
      <w:r w:rsidRPr="00C70FE7">
        <w:rPr>
          <w:rFonts w:ascii="Arial" w:hAnsi="Arial"/>
        </w:rPr>
        <w:t xml:space="preserve"> </w:t>
      </w:r>
      <w:r w:rsidR="00462397" w:rsidRPr="00C70FE7">
        <w:rPr>
          <w:rFonts w:ascii="Arial" w:hAnsi="Arial"/>
        </w:rPr>
        <w:t>por haber participado como c</w:t>
      </w:r>
      <w:r w:rsidR="00DC5705" w:rsidRPr="00C70FE7">
        <w:rPr>
          <w:rFonts w:ascii="Arial" w:hAnsi="Arial"/>
        </w:rPr>
        <w:t>esionarios</w:t>
      </w:r>
      <w:r w:rsidR="00DC5705" w:rsidRPr="00FC1F98">
        <w:rPr>
          <w:rFonts w:ascii="Arial" w:hAnsi="Arial"/>
        </w:rPr>
        <w:t xml:space="preserve"> del contrato No. </w:t>
      </w:r>
      <w:r w:rsidR="00E37B1D" w:rsidRPr="00FC1F98">
        <w:rPr>
          <w:rFonts w:ascii="Arial" w:eastAsia="Times New Roman" w:hAnsi="Arial"/>
          <w:color w:val="000000"/>
        </w:rPr>
        <w:t>01-005-96</w:t>
      </w:r>
      <w:r w:rsidR="00215393" w:rsidRPr="00FC1F98">
        <w:rPr>
          <w:rStyle w:val="Refdenotaalpie"/>
          <w:rFonts w:ascii="Arial" w:hAnsi="Arial"/>
        </w:rPr>
        <w:footnoteReference w:id="20"/>
      </w:r>
      <w:r w:rsidRPr="00FC1F98">
        <w:rPr>
          <w:rFonts w:ascii="Arial" w:hAnsi="Arial"/>
        </w:rPr>
        <w:t>.</w:t>
      </w:r>
    </w:p>
    <w:p w14:paraId="504A0257" w14:textId="77777777" w:rsidR="009A7D2A" w:rsidRPr="00FC1F98" w:rsidRDefault="009A7D2A" w:rsidP="006C6795">
      <w:pPr>
        <w:tabs>
          <w:tab w:val="left" w:pos="2760"/>
        </w:tabs>
        <w:spacing w:line="276" w:lineRule="auto"/>
        <w:ind w:hanging="2"/>
        <w:rPr>
          <w:rFonts w:ascii="Arial" w:hAnsi="Arial"/>
        </w:rPr>
      </w:pPr>
    </w:p>
    <w:p w14:paraId="65F2A44F" w14:textId="6F9FFCB7" w:rsidR="006C6795" w:rsidRPr="00FC1F98" w:rsidRDefault="006C6795" w:rsidP="006C6795">
      <w:pPr>
        <w:tabs>
          <w:tab w:val="left" w:pos="2760"/>
        </w:tabs>
        <w:spacing w:line="276" w:lineRule="auto"/>
        <w:ind w:hanging="2"/>
        <w:rPr>
          <w:rFonts w:ascii="Arial" w:hAnsi="Arial"/>
        </w:rPr>
      </w:pPr>
      <w:r w:rsidRPr="00FC1F98">
        <w:rPr>
          <w:rFonts w:ascii="Arial" w:hAnsi="Arial"/>
        </w:rPr>
        <w:t xml:space="preserve">Adicionalmente, denegó la solicitud de la medida provisional </w:t>
      </w:r>
      <w:r w:rsidR="00F171A1" w:rsidRPr="00FC1F98">
        <w:rPr>
          <w:rFonts w:ascii="Arial" w:hAnsi="Arial"/>
        </w:rPr>
        <w:t xml:space="preserve">propuesta por </w:t>
      </w:r>
      <w:r w:rsidR="006C0B3E" w:rsidRPr="00FC1F98">
        <w:rPr>
          <w:rFonts w:ascii="Arial" w:hAnsi="Arial"/>
        </w:rPr>
        <w:t>el</w:t>
      </w:r>
      <w:r w:rsidRPr="00FC1F98">
        <w:rPr>
          <w:rFonts w:ascii="Arial" w:hAnsi="Arial"/>
        </w:rPr>
        <w:t xml:space="preserve"> accionante</w:t>
      </w:r>
      <w:r w:rsidR="006C0B3E" w:rsidRPr="00FC1F98">
        <w:rPr>
          <w:rFonts w:ascii="Arial" w:hAnsi="Arial"/>
        </w:rPr>
        <w:t>, por falta de sustento y elementos de juicio que permitieran evidenciar una flagrante vulneración de los derechos invocados, además porque la pretensión guardaba relación con aquella principal de la presente acción constitucional.</w:t>
      </w:r>
    </w:p>
    <w:p w14:paraId="7C759720" w14:textId="054908CF" w:rsidR="001E7D72" w:rsidRPr="00FC1F98" w:rsidRDefault="001E7D72" w:rsidP="00A57035">
      <w:pPr>
        <w:pStyle w:val="Prrafodelista"/>
        <w:tabs>
          <w:tab w:val="left" w:pos="567"/>
        </w:tabs>
        <w:spacing w:line="276" w:lineRule="auto"/>
        <w:ind w:left="0"/>
        <w:rPr>
          <w:rFonts w:ascii="Arial" w:eastAsia="Times New Roman" w:hAnsi="Arial"/>
          <w:color w:val="000000"/>
          <w:lang w:val="es-ES_tradnl"/>
        </w:rPr>
      </w:pPr>
    </w:p>
    <w:p w14:paraId="146E3052" w14:textId="0C119E66" w:rsidR="001E7D72" w:rsidRPr="00FC1F98" w:rsidRDefault="005E29CF" w:rsidP="005E29CF">
      <w:pPr>
        <w:pStyle w:val="Prrafodelista"/>
        <w:tabs>
          <w:tab w:val="left" w:pos="567"/>
        </w:tabs>
        <w:spacing w:line="276" w:lineRule="auto"/>
        <w:ind w:left="0"/>
        <w:rPr>
          <w:rFonts w:ascii="Arial" w:eastAsia="Times New Roman" w:hAnsi="Arial"/>
          <w:b/>
          <w:bCs/>
          <w:color w:val="000000"/>
          <w:lang w:val="es-CO"/>
        </w:rPr>
      </w:pPr>
      <w:bookmarkStart w:id="7" w:name="_Hlk66868704"/>
      <w:r w:rsidRPr="00FC1F98">
        <w:rPr>
          <w:rFonts w:ascii="Arial" w:eastAsia="Times New Roman" w:hAnsi="Arial"/>
          <w:b/>
          <w:bCs/>
          <w:color w:val="000000"/>
          <w:lang w:val="es-CO"/>
        </w:rPr>
        <w:t xml:space="preserve">6. </w:t>
      </w:r>
      <w:r w:rsidR="001E7D72" w:rsidRPr="00FC1F98">
        <w:rPr>
          <w:rFonts w:ascii="Arial" w:eastAsia="Times New Roman" w:hAnsi="Arial"/>
          <w:b/>
          <w:bCs/>
          <w:color w:val="000000"/>
          <w:lang w:val="es-CO"/>
        </w:rPr>
        <w:t>Intervenciones</w:t>
      </w:r>
    </w:p>
    <w:p w14:paraId="0A146022" w14:textId="4AB89BA4" w:rsidR="001E7D72" w:rsidRPr="00FC1F98" w:rsidRDefault="001E7D72" w:rsidP="00A817BA">
      <w:pPr>
        <w:pStyle w:val="Prrafodelista"/>
        <w:tabs>
          <w:tab w:val="left" w:pos="567"/>
        </w:tabs>
        <w:spacing w:line="276" w:lineRule="auto"/>
        <w:ind w:left="0"/>
        <w:rPr>
          <w:rFonts w:ascii="Arial" w:eastAsia="Times New Roman" w:hAnsi="Arial"/>
          <w:b/>
          <w:bCs/>
          <w:color w:val="000000"/>
          <w:lang w:val="es-CO"/>
        </w:rPr>
      </w:pPr>
    </w:p>
    <w:p w14:paraId="2737D1A0" w14:textId="0BA21270" w:rsidR="001E7D72" w:rsidRPr="00FC1F98" w:rsidRDefault="001E7D72" w:rsidP="000E3D91">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Una vez surtidas las notificaciones</w:t>
      </w:r>
      <w:r w:rsidR="003C187A" w:rsidRPr="00FC1F98">
        <w:rPr>
          <w:rFonts w:ascii="Arial" w:eastAsia="Times New Roman" w:hAnsi="Arial"/>
          <w:color w:val="000000"/>
          <w:lang w:val="es-CO"/>
        </w:rPr>
        <w:t xml:space="preserve"> correspondientes</w:t>
      </w:r>
      <w:r w:rsidRPr="00FC1F98">
        <w:rPr>
          <w:rFonts w:ascii="Arial" w:eastAsia="Times New Roman" w:hAnsi="Arial"/>
          <w:color w:val="000000"/>
          <w:lang w:val="es-CO"/>
        </w:rPr>
        <w:t xml:space="preserve"> se present</w:t>
      </w:r>
      <w:r w:rsidR="003C187A" w:rsidRPr="00FC1F98">
        <w:rPr>
          <w:rFonts w:ascii="Arial" w:eastAsia="Times New Roman" w:hAnsi="Arial"/>
          <w:color w:val="000000"/>
          <w:lang w:val="es-CO"/>
        </w:rPr>
        <w:t>aron las siguientes intervenciones:</w:t>
      </w:r>
    </w:p>
    <w:bookmarkEnd w:id="7"/>
    <w:p w14:paraId="63A9FD82" w14:textId="0B6F49DF" w:rsidR="004162C3" w:rsidRPr="00FC1F98" w:rsidRDefault="004162C3" w:rsidP="000E3D91">
      <w:pPr>
        <w:pStyle w:val="Prrafodelista"/>
        <w:tabs>
          <w:tab w:val="left" w:pos="567"/>
        </w:tabs>
        <w:spacing w:line="276" w:lineRule="auto"/>
        <w:ind w:left="0"/>
        <w:rPr>
          <w:rFonts w:ascii="Arial" w:eastAsia="Times New Roman" w:hAnsi="Arial"/>
          <w:color w:val="000000"/>
          <w:lang w:val="es-CO"/>
        </w:rPr>
      </w:pPr>
    </w:p>
    <w:p w14:paraId="37ADBC84" w14:textId="5276CCFD" w:rsidR="004162C3" w:rsidRPr="00FC1F98" w:rsidRDefault="005E29CF" w:rsidP="000E3D91">
      <w:pPr>
        <w:pStyle w:val="Prrafodelista"/>
        <w:tabs>
          <w:tab w:val="left" w:pos="567"/>
        </w:tabs>
        <w:spacing w:line="276" w:lineRule="auto"/>
        <w:ind w:left="0"/>
        <w:rPr>
          <w:rFonts w:ascii="Arial" w:eastAsia="Times New Roman" w:hAnsi="Arial"/>
          <w:i/>
          <w:iCs/>
          <w:color w:val="000000"/>
          <w:lang w:val="es-CO"/>
        </w:rPr>
      </w:pPr>
      <w:r w:rsidRPr="00FC1F98">
        <w:rPr>
          <w:rFonts w:ascii="Arial" w:eastAsia="Times New Roman" w:hAnsi="Arial"/>
        </w:rPr>
        <w:t>6</w:t>
      </w:r>
      <w:r w:rsidR="004162C3" w:rsidRPr="00FC1F98">
        <w:rPr>
          <w:rFonts w:ascii="Arial" w:eastAsia="Times New Roman" w:hAnsi="Arial"/>
        </w:rPr>
        <w:t>.1.</w:t>
      </w:r>
      <w:r w:rsidR="004162C3" w:rsidRPr="00FC1F98">
        <w:rPr>
          <w:rFonts w:ascii="Arial" w:eastAsia="Times New Roman" w:hAnsi="Arial"/>
          <w:b/>
          <w:bCs/>
        </w:rPr>
        <w:t xml:space="preserve"> El Tribunal Administrativo </w:t>
      </w:r>
      <w:r w:rsidR="00B56316" w:rsidRPr="00FC1F98">
        <w:rPr>
          <w:rFonts w:ascii="Arial" w:eastAsia="Times New Roman" w:hAnsi="Arial"/>
          <w:b/>
          <w:bCs/>
        </w:rPr>
        <w:t>d</w:t>
      </w:r>
      <w:r w:rsidR="004162C3" w:rsidRPr="00FC1F98">
        <w:rPr>
          <w:rFonts w:ascii="Arial" w:eastAsia="Times New Roman" w:hAnsi="Arial"/>
          <w:b/>
          <w:bCs/>
        </w:rPr>
        <w:t>e Boyacá</w:t>
      </w:r>
      <w:r w:rsidR="004162C3" w:rsidRPr="00FC1F98">
        <w:rPr>
          <w:rStyle w:val="Refdenotaalpie"/>
          <w:rFonts w:ascii="Arial" w:eastAsia="Times New Roman" w:hAnsi="Arial"/>
        </w:rPr>
        <w:footnoteReference w:id="21"/>
      </w:r>
      <w:r w:rsidR="00B56316" w:rsidRPr="00FC1F98">
        <w:rPr>
          <w:rFonts w:ascii="Arial" w:eastAsia="Times New Roman" w:hAnsi="Arial"/>
        </w:rPr>
        <w:t xml:space="preserve">, aseveró </w:t>
      </w:r>
      <w:r w:rsidR="00255A89" w:rsidRPr="00FC1F98">
        <w:rPr>
          <w:rFonts w:ascii="Arial" w:eastAsia="Times New Roman" w:hAnsi="Arial"/>
          <w:color w:val="000000"/>
          <w:lang w:val="es-CO"/>
        </w:rPr>
        <w:t xml:space="preserve">que lo pretendido por el actor es emplear la acción constitucional como una tercera instancia, por lo que se desdibuja la relevancia constitucional en el </w:t>
      </w:r>
      <w:r w:rsidR="00255A89" w:rsidRPr="00FC1F98">
        <w:rPr>
          <w:rFonts w:ascii="Arial" w:eastAsia="Times New Roman" w:hAnsi="Arial"/>
          <w:i/>
          <w:iCs/>
          <w:color w:val="000000"/>
          <w:lang w:val="es-CO"/>
        </w:rPr>
        <w:t>sub judice.</w:t>
      </w:r>
    </w:p>
    <w:p w14:paraId="60937AA4" w14:textId="14D4D6CC" w:rsidR="00255A89" w:rsidRPr="00FC1F98" w:rsidRDefault="00255A89" w:rsidP="000E3D91">
      <w:pPr>
        <w:pStyle w:val="Prrafodelista"/>
        <w:tabs>
          <w:tab w:val="left" w:pos="567"/>
        </w:tabs>
        <w:spacing w:line="276" w:lineRule="auto"/>
        <w:ind w:left="0"/>
        <w:rPr>
          <w:rFonts w:ascii="Arial" w:eastAsia="Times New Roman" w:hAnsi="Arial"/>
          <w:i/>
          <w:iCs/>
          <w:color w:val="000000"/>
          <w:lang w:val="es-CO"/>
        </w:rPr>
      </w:pPr>
    </w:p>
    <w:p w14:paraId="447B80E8" w14:textId="0B1A5376" w:rsidR="00B56316" w:rsidRPr="00FC1F98" w:rsidRDefault="00EC4638" w:rsidP="000E3D91">
      <w:pPr>
        <w:pStyle w:val="Prrafodelista"/>
        <w:tabs>
          <w:tab w:val="left" w:pos="567"/>
        </w:tabs>
        <w:spacing w:line="276" w:lineRule="auto"/>
        <w:ind w:left="0"/>
        <w:rPr>
          <w:rFonts w:ascii="Arial" w:eastAsia="Times New Roman" w:hAnsi="Arial"/>
          <w:color w:val="000000"/>
          <w:lang w:val="es-CO"/>
        </w:rPr>
      </w:pPr>
      <w:bookmarkStart w:id="8" w:name="_Hlk66347464"/>
      <w:r w:rsidRPr="00FC1F98">
        <w:rPr>
          <w:rFonts w:ascii="Arial" w:eastAsia="Times New Roman" w:hAnsi="Arial"/>
          <w:color w:val="000000"/>
          <w:lang w:val="es-CO"/>
        </w:rPr>
        <w:t xml:space="preserve">Presentó sus esbozos frente a cada defecto de la siguiente forma: </w:t>
      </w:r>
      <w:r w:rsidR="00ED6C97" w:rsidRPr="00FC1F98">
        <w:rPr>
          <w:rFonts w:ascii="Arial" w:eastAsia="Times New Roman" w:hAnsi="Arial"/>
          <w:color w:val="000000"/>
          <w:lang w:val="es-CO"/>
        </w:rPr>
        <w:t xml:space="preserve">a) </w:t>
      </w:r>
      <w:r w:rsidRPr="00FC1F98">
        <w:rPr>
          <w:rFonts w:ascii="Arial" w:eastAsia="Times New Roman" w:hAnsi="Arial"/>
          <w:b/>
          <w:bCs/>
          <w:color w:val="000000"/>
          <w:lang w:val="es-CO"/>
        </w:rPr>
        <w:t>orgánico</w:t>
      </w:r>
      <w:r w:rsidRPr="00FC1F98">
        <w:rPr>
          <w:rFonts w:ascii="Arial" w:eastAsia="Times New Roman" w:hAnsi="Arial"/>
          <w:color w:val="000000"/>
          <w:lang w:val="es-CO"/>
        </w:rPr>
        <w:t>,  a</w:t>
      </w:r>
      <w:r w:rsidR="00255A89" w:rsidRPr="00FC1F98">
        <w:rPr>
          <w:rFonts w:ascii="Arial" w:eastAsia="Times New Roman" w:hAnsi="Arial"/>
          <w:color w:val="000000"/>
          <w:lang w:val="es-CO"/>
        </w:rPr>
        <w:t xml:space="preserve">legó que la norma aplicable al asunto objeto de debate es </w:t>
      </w:r>
      <w:r w:rsidRPr="00FC1F98">
        <w:rPr>
          <w:rFonts w:ascii="Arial" w:eastAsia="Times New Roman" w:hAnsi="Arial"/>
          <w:color w:val="000000"/>
          <w:lang w:val="es-CO"/>
        </w:rPr>
        <w:t>la Ley 1437 de 2011 -C</w:t>
      </w:r>
      <w:r w:rsidR="00255A89" w:rsidRPr="00FC1F98">
        <w:rPr>
          <w:rFonts w:ascii="Arial" w:eastAsia="Times New Roman" w:hAnsi="Arial"/>
          <w:color w:val="000000"/>
          <w:lang w:val="es-CO"/>
        </w:rPr>
        <w:t>PACA</w:t>
      </w:r>
      <w:r w:rsidRPr="00FC1F98">
        <w:rPr>
          <w:rFonts w:ascii="Arial" w:eastAsia="Times New Roman" w:hAnsi="Arial"/>
          <w:color w:val="000000"/>
          <w:lang w:val="es-CO"/>
        </w:rPr>
        <w:t>-</w:t>
      </w:r>
      <w:r w:rsidR="00255A89" w:rsidRPr="00FC1F98">
        <w:rPr>
          <w:rFonts w:ascii="Arial" w:eastAsia="Times New Roman" w:hAnsi="Arial"/>
          <w:color w:val="000000"/>
          <w:lang w:val="es-CO"/>
        </w:rPr>
        <w:t xml:space="preserve"> y no la 1333 de 2009</w:t>
      </w:r>
      <w:r w:rsidRPr="00FC1F98">
        <w:rPr>
          <w:rFonts w:ascii="Arial" w:eastAsia="Times New Roman" w:hAnsi="Arial"/>
          <w:color w:val="000000"/>
          <w:lang w:val="es-CO"/>
        </w:rPr>
        <w:t xml:space="preserve"> como lo señala el actor al enmarcar este reparo dentro del defecto titulado como orgánico que también lo menciona como fáctico y que en últimas sería sustantivo, el cual, en todo caso, no se configura, habida cuenta que la sentencia atacada obedece a un proceso de reparación directa y no a la acción sancionatoria ambiental, cuya caducidad se computó de acuerdo con el artículo 164 numeral 2.º literal i) del CPACA</w:t>
      </w:r>
      <w:r w:rsidR="006D71C7">
        <w:rPr>
          <w:rStyle w:val="Refdenotaalpie"/>
          <w:rFonts w:ascii="Arial" w:eastAsia="Times New Roman" w:hAnsi="Arial"/>
          <w:color w:val="000000"/>
          <w:lang w:val="es-CO"/>
        </w:rPr>
        <w:footnoteReference w:id="22"/>
      </w:r>
      <w:r w:rsidR="00ED6C97" w:rsidRPr="00FC1F98">
        <w:rPr>
          <w:rFonts w:ascii="Arial" w:eastAsia="Times New Roman" w:hAnsi="Arial"/>
          <w:color w:val="000000"/>
          <w:lang w:val="es-CO"/>
        </w:rPr>
        <w:t xml:space="preserve">, b) </w:t>
      </w:r>
      <w:r w:rsidRPr="00FC1F98">
        <w:rPr>
          <w:rFonts w:ascii="Arial" w:eastAsia="Times New Roman" w:hAnsi="Arial"/>
          <w:b/>
          <w:bCs/>
          <w:color w:val="000000"/>
          <w:lang w:val="es-CO"/>
        </w:rPr>
        <w:t>f</w:t>
      </w:r>
      <w:r w:rsidR="00330230" w:rsidRPr="00FC1F98">
        <w:rPr>
          <w:rFonts w:ascii="Arial" w:eastAsia="Times New Roman" w:hAnsi="Arial"/>
          <w:b/>
          <w:bCs/>
          <w:color w:val="000000"/>
          <w:lang w:val="es-CO"/>
        </w:rPr>
        <w:t>á</w:t>
      </w:r>
      <w:r w:rsidRPr="00FC1F98">
        <w:rPr>
          <w:rFonts w:ascii="Arial" w:eastAsia="Times New Roman" w:hAnsi="Arial"/>
          <w:b/>
          <w:bCs/>
          <w:color w:val="000000"/>
          <w:lang w:val="es-CO"/>
        </w:rPr>
        <w:t>ctico</w:t>
      </w:r>
      <w:r w:rsidRPr="00FC1F98">
        <w:rPr>
          <w:rFonts w:ascii="Arial" w:eastAsia="Times New Roman" w:hAnsi="Arial"/>
          <w:color w:val="000000"/>
          <w:lang w:val="es-CO"/>
        </w:rPr>
        <w:t>, dijo que carecía de sustento por cuanto el actor no especific</w:t>
      </w:r>
      <w:r w:rsidR="00ED6C97" w:rsidRPr="00FC1F98">
        <w:rPr>
          <w:rFonts w:ascii="Arial" w:eastAsia="Times New Roman" w:hAnsi="Arial"/>
          <w:color w:val="000000"/>
          <w:lang w:val="es-CO"/>
        </w:rPr>
        <w:t>ó</w:t>
      </w:r>
      <w:r w:rsidRPr="00FC1F98">
        <w:rPr>
          <w:rFonts w:ascii="Arial" w:eastAsia="Times New Roman" w:hAnsi="Arial"/>
          <w:color w:val="000000"/>
          <w:lang w:val="es-CO"/>
        </w:rPr>
        <w:t xml:space="preserve"> cómo se configuró ni de cuáles pruebas se omitió su valoración o requerían un análisis diferente</w:t>
      </w:r>
      <w:r w:rsidR="00ED6C97" w:rsidRPr="00FC1F98">
        <w:rPr>
          <w:rFonts w:ascii="Arial" w:eastAsia="Times New Roman" w:hAnsi="Arial"/>
          <w:color w:val="000000"/>
          <w:lang w:val="es-CO"/>
        </w:rPr>
        <w:t xml:space="preserve">. Agregó que tampoco cuestionó los hitos temporales tenidos en cuenta para el cómputo de la caducidad, el cual fue analizado desde la perspectiva del daño instantáneo y continuado y que en ambos casos resultó extemporáneo el ejercicio del medio de control, c) </w:t>
      </w:r>
      <w:r w:rsidR="00ED6C97" w:rsidRPr="00FC1F98">
        <w:rPr>
          <w:rFonts w:ascii="Arial" w:eastAsia="Times New Roman" w:hAnsi="Arial"/>
          <w:b/>
          <w:bCs/>
          <w:color w:val="000000"/>
          <w:lang w:val="es-CO"/>
        </w:rPr>
        <w:t>precedente judicial,</w:t>
      </w:r>
      <w:r w:rsidR="00ED6C97" w:rsidRPr="00FC1F98">
        <w:rPr>
          <w:rFonts w:ascii="Arial" w:eastAsia="Times New Roman" w:hAnsi="Arial"/>
          <w:color w:val="000000"/>
          <w:lang w:val="es-CO"/>
        </w:rPr>
        <w:t xml:space="preserve"> no se desconoció, contrario a ello, se analizó en la providencia acusada, las demandas presentadas por las mismas causas (precedente horizontal) pero que distinto al caso del actor, fueron presentadas dentro del término, por lo que frente a esas sí procedió su admisión</w:t>
      </w:r>
      <w:r w:rsidR="00B56316" w:rsidRPr="00FC1F98">
        <w:rPr>
          <w:rFonts w:ascii="Arial" w:eastAsia="Times New Roman" w:hAnsi="Arial"/>
          <w:color w:val="000000"/>
          <w:lang w:val="es-CO"/>
        </w:rPr>
        <w:t xml:space="preserve">, d) </w:t>
      </w:r>
      <w:r w:rsidR="00B56316" w:rsidRPr="00FC1F98">
        <w:rPr>
          <w:rFonts w:ascii="Arial" w:eastAsia="Times New Roman" w:hAnsi="Arial"/>
          <w:b/>
          <w:bCs/>
          <w:color w:val="000000"/>
          <w:lang w:val="es-CO"/>
        </w:rPr>
        <w:t xml:space="preserve">violación directa de la </w:t>
      </w:r>
      <w:r w:rsidR="00330230" w:rsidRPr="00FC1F98">
        <w:rPr>
          <w:rFonts w:ascii="Arial" w:eastAsia="Times New Roman" w:hAnsi="Arial"/>
          <w:b/>
          <w:bCs/>
          <w:color w:val="000000"/>
          <w:lang w:val="es-CO"/>
        </w:rPr>
        <w:t>C</w:t>
      </w:r>
      <w:r w:rsidR="00B56316" w:rsidRPr="00FC1F98">
        <w:rPr>
          <w:rFonts w:ascii="Arial" w:eastAsia="Times New Roman" w:hAnsi="Arial"/>
          <w:b/>
          <w:bCs/>
          <w:color w:val="000000"/>
          <w:lang w:val="es-CO"/>
        </w:rPr>
        <w:t>onstitución</w:t>
      </w:r>
      <w:r w:rsidR="00B56316" w:rsidRPr="00FC1F98">
        <w:rPr>
          <w:rFonts w:ascii="Arial" w:eastAsia="Times New Roman" w:hAnsi="Arial"/>
          <w:color w:val="000000"/>
          <w:lang w:val="es-CO"/>
        </w:rPr>
        <w:t>, acotó que la declaratoria de caducidad por sí sola no comporta una vulneración al debido proceso ni el yerro alegado pues el actor contó con un tiempo amplio para ejercer el medio de control y no lo hizo.</w:t>
      </w:r>
    </w:p>
    <w:bookmarkEnd w:id="8"/>
    <w:p w14:paraId="6B7DD794" w14:textId="55C42CF2" w:rsidR="00255A89" w:rsidRPr="00FC1F98" w:rsidRDefault="00255A89" w:rsidP="000E3D91">
      <w:pPr>
        <w:pStyle w:val="Prrafodelista"/>
        <w:tabs>
          <w:tab w:val="left" w:pos="567"/>
        </w:tabs>
        <w:spacing w:line="276" w:lineRule="auto"/>
        <w:ind w:left="0"/>
        <w:rPr>
          <w:rFonts w:ascii="Arial" w:eastAsia="Times New Roman" w:hAnsi="Arial"/>
          <w:color w:val="000000"/>
          <w:lang w:val="es-CO"/>
        </w:rPr>
      </w:pPr>
    </w:p>
    <w:p w14:paraId="70597A4B" w14:textId="7311B66B" w:rsidR="004162C3" w:rsidRPr="00FC1F98" w:rsidRDefault="005E29CF" w:rsidP="004162C3">
      <w:pPr>
        <w:tabs>
          <w:tab w:val="left" w:pos="567"/>
        </w:tabs>
        <w:spacing w:line="276" w:lineRule="auto"/>
        <w:rPr>
          <w:rFonts w:ascii="Arial" w:eastAsia="Times New Roman" w:hAnsi="Arial"/>
        </w:rPr>
      </w:pPr>
      <w:r w:rsidRPr="00FC1F98">
        <w:rPr>
          <w:rFonts w:ascii="Arial" w:eastAsia="Times New Roman" w:hAnsi="Arial"/>
        </w:rPr>
        <w:lastRenderedPageBreak/>
        <w:t>6</w:t>
      </w:r>
      <w:r w:rsidR="004162C3" w:rsidRPr="00FC1F98">
        <w:rPr>
          <w:rFonts w:ascii="Arial" w:eastAsia="Times New Roman" w:hAnsi="Arial"/>
        </w:rPr>
        <w:t>.2.</w:t>
      </w:r>
      <w:r w:rsidR="004162C3" w:rsidRPr="00FC1F98">
        <w:rPr>
          <w:rFonts w:ascii="Arial" w:eastAsia="Times New Roman" w:hAnsi="Arial"/>
          <w:b/>
          <w:bCs/>
        </w:rPr>
        <w:t xml:space="preserve"> El Juzgado Segundo Administrativo Oral del Circuito Judicial de Duitama</w:t>
      </w:r>
      <w:r w:rsidR="00B56316" w:rsidRPr="00FC1F98">
        <w:rPr>
          <w:rFonts w:ascii="Arial" w:eastAsia="Times New Roman" w:hAnsi="Arial"/>
        </w:rPr>
        <w:t>, a través de la</w:t>
      </w:r>
      <w:r w:rsidR="004162C3" w:rsidRPr="00FC1F98">
        <w:rPr>
          <w:rFonts w:ascii="Arial" w:hAnsi="Arial"/>
        </w:rPr>
        <w:t xml:space="preserve"> juez directora del despacho</w:t>
      </w:r>
      <w:r w:rsidR="004162C3" w:rsidRPr="00FC1F98">
        <w:rPr>
          <w:rStyle w:val="Refdenotaalpie"/>
          <w:rFonts w:ascii="Arial" w:eastAsia="Times New Roman" w:hAnsi="Arial"/>
        </w:rPr>
        <w:footnoteReference w:id="23"/>
      </w:r>
      <w:r w:rsidR="00B56316" w:rsidRPr="00FC1F98">
        <w:rPr>
          <w:rFonts w:ascii="Arial" w:eastAsia="Times New Roman" w:hAnsi="Arial"/>
        </w:rPr>
        <w:t xml:space="preserve"> </w:t>
      </w:r>
      <w:r w:rsidR="004162C3" w:rsidRPr="00FC1F98">
        <w:rPr>
          <w:rFonts w:ascii="Arial" w:eastAsia="Times New Roman" w:hAnsi="Arial"/>
        </w:rPr>
        <w:t>señaló que la sentencia proferida por esa agencia, dentro del proceso de reparación directa originario de la presente acción, se sustentó en razones fácticas y jurídicas y, con fundamento en las normas y la jurisprudencia que regulaba la materia. Adicionó que de igual forma se abstenía de pronunciarse respecto de las pretensiones de la demanda en tanto los reparos no se dirigían contra ese despacho.</w:t>
      </w:r>
    </w:p>
    <w:p w14:paraId="33B57C31" w14:textId="77777777" w:rsidR="004162C3" w:rsidRPr="00FC1F98" w:rsidRDefault="004162C3" w:rsidP="004162C3">
      <w:pPr>
        <w:tabs>
          <w:tab w:val="left" w:pos="567"/>
        </w:tabs>
        <w:spacing w:line="276" w:lineRule="auto"/>
        <w:rPr>
          <w:rFonts w:ascii="Arial" w:eastAsia="Times New Roman" w:hAnsi="Arial"/>
        </w:rPr>
      </w:pPr>
    </w:p>
    <w:p w14:paraId="546A41D6" w14:textId="77777777" w:rsidR="004162C3" w:rsidRPr="00FC1F98" w:rsidRDefault="004162C3" w:rsidP="004162C3">
      <w:pPr>
        <w:tabs>
          <w:tab w:val="left" w:pos="567"/>
        </w:tabs>
        <w:spacing w:line="276" w:lineRule="auto"/>
        <w:rPr>
          <w:rFonts w:ascii="Arial" w:eastAsia="Times New Roman" w:hAnsi="Arial"/>
        </w:rPr>
      </w:pPr>
      <w:r w:rsidRPr="00FC1F98">
        <w:rPr>
          <w:rFonts w:ascii="Arial" w:eastAsia="Times New Roman" w:hAnsi="Arial"/>
        </w:rPr>
        <w:t>También allegó como prueba, el expediente digitalizado del proceso que convoca la atención de la Sala.</w:t>
      </w:r>
    </w:p>
    <w:p w14:paraId="3EC1F80A" w14:textId="77777777" w:rsidR="001D7135" w:rsidRPr="00FC1F98" w:rsidRDefault="001D7135" w:rsidP="001D7135">
      <w:pPr>
        <w:tabs>
          <w:tab w:val="left" w:pos="567"/>
        </w:tabs>
        <w:spacing w:line="276" w:lineRule="auto"/>
        <w:rPr>
          <w:sz w:val="22"/>
          <w:szCs w:val="22"/>
        </w:rPr>
      </w:pPr>
    </w:p>
    <w:p w14:paraId="1027BCE6" w14:textId="47426B1D" w:rsidR="00C52C5D" w:rsidRPr="00FC1F98" w:rsidRDefault="005E29CF" w:rsidP="00335313">
      <w:pPr>
        <w:tabs>
          <w:tab w:val="left" w:pos="567"/>
        </w:tabs>
        <w:spacing w:line="276" w:lineRule="auto"/>
        <w:rPr>
          <w:rFonts w:ascii="Arial" w:eastAsia="Times New Roman" w:hAnsi="Arial"/>
        </w:rPr>
      </w:pPr>
      <w:r w:rsidRPr="00FC1F98">
        <w:rPr>
          <w:rFonts w:ascii="Arial" w:eastAsia="Times New Roman" w:hAnsi="Arial"/>
        </w:rPr>
        <w:t>6</w:t>
      </w:r>
      <w:r w:rsidR="00335313" w:rsidRPr="00FC1F98">
        <w:rPr>
          <w:rFonts w:ascii="Arial" w:eastAsia="Times New Roman" w:hAnsi="Arial"/>
        </w:rPr>
        <w:t>.</w:t>
      </w:r>
      <w:r w:rsidR="004162C3" w:rsidRPr="00FC1F98">
        <w:rPr>
          <w:rFonts w:ascii="Arial" w:eastAsia="Times New Roman" w:hAnsi="Arial"/>
        </w:rPr>
        <w:t>3</w:t>
      </w:r>
      <w:r w:rsidR="00335313" w:rsidRPr="00FC1F98">
        <w:rPr>
          <w:rFonts w:ascii="Arial" w:eastAsia="Times New Roman" w:hAnsi="Arial"/>
        </w:rPr>
        <w:t>.</w:t>
      </w:r>
      <w:r w:rsidR="00335313" w:rsidRPr="00FC1F98">
        <w:rPr>
          <w:rFonts w:ascii="Arial" w:eastAsia="Times New Roman" w:hAnsi="Arial"/>
          <w:b/>
          <w:bCs/>
        </w:rPr>
        <w:t xml:space="preserve"> La </w:t>
      </w:r>
      <w:r w:rsidR="00F7347C" w:rsidRPr="00FC1F98">
        <w:rPr>
          <w:rFonts w:ascii="Arial" w:eastAsia="Times New Roman" w:hAnsi="Arial"/>
          <w:b/>
          <w:bCs/>
        </w:rPr>
        <w:t>Corporación Autónoma Regional de Boyacá</w:t>
      </w:r>
      <w:r w:rsidR="00F7347C" w:rsidRPr="00FC1F98">
        <w:rPr>
          <w:rFonts w:ascii="Arial" w:eastAsia="Times New Roman" w:hAnsi="Arial"/>
        </w:rPr>
        <w:t xml:space="preserve"> -Corpoboyacá-, a través del secretario General y Jurídico</w:t>
      </w:r>
      <w:r w:rsidR="005C22F4" w:rsidRPr="00FC1F98">
        <w:rPr>
          <w:rFonts w:ascii="Arial" w:eastAsia="Times New Roman" w:hAnsi="Arial"/>
        </w:rPr>
        <w:t>,</w:t>
      </w:r>
      <w:r w:rsidR="00F7347C" w:rsidRPr="00FC1F98">
        <w:rPr>
          <w:rStyle w:val="Refdenotaalpie"/>
          <w:rFonts w:ascii="Arial" w:eastAsia="Times New Roman" w:hAnsi="Arial"/>
        </w:rPr>
        <w:footnoteReference w:id="24"/>
      </w:r>
      <w:r w:rsidR="00F7347C" w:rsidRPr="00FC1F98">
        <w:rPr>
          <w:rFonts w:ascii="Arial" w:eastAsia="Times New Roman" w:hAnsi="Arial"/>
        </w:rPr>
        <w:t xml:space="preserve"> </w:t>
      </w:r>
      <w:r w:rsidR="00C52C5D" w:rsidRPr="00FC1F98">
        <w:rPr>
          <w:rFonts w:ascii="Arial" w:eastAsia="Times New Roman" w:hAnsi="Arial"/>
        </w:rPr>
        <w:t xml:space="preserve">señaló que en el proceso de reparación directa operó el fenómeno de la caducidad, en tanto, el término se debe contar a partir del primer documento que da cuenta de la causación del daño, esto es, el de 12 de enero de 2005 dirigido por señor Juan </w:t>
      </w:r>
      <w:r w:rsidR="00330230" w:rsidRPr="00FC1F98">
        <w:rPr>
          <w:rFonts w:ascii="Arial" w:eastAsia="Times New Roman" w:hAnsi="Arial"/>
        </w:rPr>
        <w:t>d</w:t>
      </w:r>
      <w:r w:rsidR="00C52C5D" w:rsidRPr="00FC1F98">
        <w:rPr>
          <w:rFonts w:ascii="Arial" w:eastAsia="Times New Roman" w:hAnsi="Arial"/>
        </w:rPr>
        <w:t xml:space="preserve">e Dios Ochoa Castiblanco a </w:t>
      </w:r>
      <w:proofErr w:type="spellStart"/>
      <w:r w:rsidR="00C52C5D" w:rsidRPr="00FC1F98">
        <w:rPr>
          <w:rFonts w:ascii="Arial" w:eastAsia="Times New Roman" w:hAnsi="Arial"/>
        </w:rPr>
        <w:t>I</w:t>
      </w:r>
      <w:r w:rsidR="00B27B43" w:rsidRPr="00FC1F98">
        <w:rPr>
          <w:rFonts w:ascii="Arial" w:eastAsia="Times New Roman" w:hAnsi="Arial"/>
        </w:rPr>
        <w:t>ngeominas</w:t>
      </w:r>
      <w:proofErr w:type="spellEnd"/>
      <w:r w:rsidR="00C153C4" w:rsidRPr="00FC1F98">
        <w:rPr>
          <w:rFonts w:ascii="Arial" w:eastAsia="Times New Roman" w:hAnsi="Arial"/>
        </w:rPr>
        <w:t xml:space="preserve"> y, adicionalmente, el de 27 de enero del mismo año en el que dos residentes del sector elevaron una queja ante esa misma entidad. </w:t>
      </w:r>
    </w:p>
    <w:p w14:paraId="2E87DBCE" w14:textId="77777777" w:rsidR="00C52C5D" w:rsidRPr="00FC1F98" w:rsidRDefault="00C52C5D" w:rsidP="00335313">
      <w:pPr>
        <w:tabs>
          <w:tab w:val="left" w:pos="567"/>
        </w:tabs>
        <w:spacing w:line="276" w:lineRule="auto"/>
        <w:rPr>
          <w:rFonts w:ascii="Arial" w:eastAsia="Times New Roman" w:hAnsi="Arial"/>
        </w:rPr>
      </w:pPr>
    </w:p>
    <w:p w14:paraId="1C4BD197" w14:textId="3A80DDAF" w:rsidR="00C153C4" w:rsidRPr="00FC1F98" w:rsidRDefault="00C153C4" w:rsidP="00335313">
      <w:pPr>
        <w:tabs>
          <w:tab w:val="left" w:pos="567"/>
        </w:tabs>
        <w:spacing w:line="276" w:lineRule="auto"/>
        <w:rPr>
          <w:rFonts w:ascii="Arial" w:eastAsia="Times New Roman" w:hAnsi="Arial"/>
        </w:rPr>
      </w:pPr>
      <w:r w:rsidRPr="00FC1F98">
        <w:rPr>
          <w:rFonts w:ascii="Arial" w:eastAsia="Times New Roman" w:hAnsi="Arial"/>
        </w:rPr>
        <w:t>Que a</w:t>
      </w:r>
      <w:r w:rsidR="006E14BE" w:rsidRPr="00FC1F98">
        <w:rPr>
          <w:rFonts w:ascii="Arial" w:eastAsia="Times New Roman" w:hAnsi="Arial"/>
        </w:rPr>
        <w:t>ú</w:t>
      </w:r>
      <w:r w:rsidRPr="00FC1F98">
        <w:rPr>
          <w:rFonts w:ascii="Arial" w:eastAsia="Times New Roman" w:hAnsi="Arial"/>
        </w:rPr>
        <w:t>n</w:t>
      </w:r>
      <w:r w:rsidR="006E14BE" w:rsidRPr="00FC1F98">
        <w:rPr>
          <w:rFonts w:ascii="Arial" w:eastAsia="Times New Roman" w:hAnsi="Arial"/>
        </w:rPr>
        <w:t>,</w:t>
      </w:r>
      <w:r w:rsidRPr="00FC1F98">
        <w:rPr>
          <w:rFonts w:ascii="Arial" w:eastAsia="Times New Roman" w:hAnsi="Arial"/>
        </w:rPr>
        <w:t xml:space="preserve"> si en </w:t>
      </w:r>
      <w:r w:rsidR="00423408" w:rsidRPr="00FC1F98">
        <w:rPr>
          <w:rFonts w:ascii="Arial" w:eastAsia="Times New Roman" w:hAnsi="Arial"/>
        </w:rPr>
        <w:t>gracia</w:t>
      </w:r>
      <w:r w:rsidRPr="00FC1F98">
        <w:rPr>
          <w:rFonts w:ascii="Arial" w:eastAsia="Times New Roman" w:hAnsi="Arial"/>
        </w:rPr>
        <w:t xml:space="preserve"> de discusión se aceptara que el cómputo debe iniciar desde el 2007 y 2008, cuando las autoridades actuaron ordenando la suspensión de las actividades mineras, tampoco podría formularse la demanda 6 años después de la presentación los hundimientos y subsidencias en el terreno</w:t>
      </w:r>
      <w:r w:rsidR="00234760" w:rsidRPr="00FC1F98">
        <w:rPr>
          <w:rFonts w:ascii="Arial" w:eastAsia="Times New Roman" w:hAnsi="Arial"/>
        </w:rPr>
        <w:t xml:space="preserve">, </w:t>
      </w:r>
      <w:r w:rsidRPr="00FC1F98">
        <w:rPr>
          <w:rFonts w:ascii="Arial" w:eastAsia="Times New Roman" w:hAnsi="Arial"/>
        </w:rPr>
        <w:t>las grietas en la vivienda de propiedad de los actores, ni aproximadamente 3 años después de</w:t>
      </w:r>
      <w:r w:rsidR="00234760" w:rsidRPr="00FC1F98">
        <w:rPr>
          <w:rFonts w:ascii="Arial" w:eastAsia="Times New Roman" w:hAnsi="Arial"/>
        </w:rPr>
        <w:t xml:space="preserve"> </w:t>
      </w:r>
      <w:r w:rsidRPr="00FC1F98">
        <w:rPr>
          <w:rFonts w:ascii="Arial" w:eastAsia="Times New Roman" w:hAnsi="Arial"/>
        </w:rPr>
        <w:t>que cesó la acción vulnerante</w:t>
      </w:r>
      <w:r w:rsidR="00234760" w:rsidRPr="00FC1F98">
        <w:rPr>
          <w:rFonts w:ascii="Arial" w:eastAsia="Times New Roman" w:hAnsi="Arial"/>
        </w:rPr>
        <w:t>.</w:t>
      </w:r>
    </w:p>
    <w:p w14:paraId="3AC897BB" w14:textId="3C71BB4C" w:rsidR="00234760" w:rsidRPr="00FC1F98" w:rsidRDefault="00234760" w:rsidP="00335313">
      <w:pPr>
        <w:tabs>
          <w:tab w:val="left" w:pos="567"/>
        </w:tabs>
        <w:spacing w:line="276" w:lineRule="auto"/>
        <w:rPr>
          <w:rFonts w:ascii="Arial" w:eastAsia="Times New Roman" w:hAnsi="Arial"/>
        </w:rPr>
      </w:pPr>
    </w:p>
    <w:p w14:paraId="722B2EB2" w14:textId="156E8E0D" w:rsidR="00234760" w:rsidRPr="00FC1F98" w:rsidRDefault="00423408" w:rsidP="00335313">
      <w:pPr>
        <w:tabs>
          <w:tab w:val="left" w:pos="567"/>
        </w:tabs>
        <w:spacing w:line="276" w:lineRule="auto"/>
        <w:rPr>
          <w:rFonts w:ascii="Arial" w:eastAsia="Times New Roman" w:hAnsi="Arial"/>
        </w:rPr>
      </w:pPr>
      <w:r w:rsidRPr="00FC1F98">
        <w:rPr>
          <w:rFonts w:ascii="Arial" w:eastAsia="Times New Roman" w:hAnsi="Arial"/>
        </w:rPr>
        <w:t xml:space="preserve">Pidió que se negara la presente </w:t>
      </w:r>
      <w:r w:rsidR="00234760" w:rsidRPr="00FC1F98">
        <w:rPr>
          <w:rFonts w:ascii="Arial" w:eastAsia="Times New Roman" w:hAnsi="Arial"/>
        </w:rPr>
        <w:t xml:space="preserve">acción constitucional, </w:t>
      </w:r>
      <w:r w:rsidRPr="00FC1F98">
        <w:rPr>
          <w:rFonts w:ascii="Arial" w:eastAsia="Times New Roman" w:hAnsi="Arial"/>
        </w:rPr>
        <w:t xml:space="preserve">habida cuenta que </w:t>
      </w:r>
      <w:r w:rsidR="00234760" w:rsidRPr="00FC1F98">
        <w:rPr>
          <w:rFonts w:ascii="Arial" w:eastAsia="Times New Roman" w:hAnsi="Arial"/>
        </w:rPr>
        <w:t xml:space="preserve">no se configuran los requisitos de procedencia de la acción, en tanto, lo que se evidencia es una inconformidad del accionante respecto de la valoración probatoria adelantada por el Tribunal Administrativo de Boyacá. </w:t>
      </w:r>
    </w:p>
    <w:p w14:paraId="37674E6A" w14:textId="1138084F" w:rsidR="00234760" w:rsidRPr="00FC1F98" w:rsidRDefault="00234760" w:rsidP="00335313">
      <w:pPr>
        <w:tabs>
          <w:tab w:val="left" w:pos="567"/>
        </w:tabs>
        <w:spacing w:line="276" w:lineRule="auto"/>
        <w:rPr>
          <w:rFonts w:ascii="Arial" w:eastAsia="Times New Roman" w:hAnsi="Arial"/>
        </w:rPr>
      </w:pPr>
    </w:p>
    <w:p w14:paraId="7567BBD0" w14:textId="5DD7B1FD" w:rsidR="00423408" w:rsidRPr="00FC1F98" w:rsidRDefault="00423408" w:rsidP="00335313">
      <w:pPr>
        <w:tabs>
          <w:tab w:val="left" w:pos="567"/>
        </w:tabs>
        <w:spacing w:line="276" w:lineRule="auto"/>
        <w:rPr>
          <w:rFonts w:ascii="Arial" w:eastAsia="Times New Roman" w:hAnsi="Arial"/>
        </w:rPr>
      </w:pPr>
      <w:r w:rsidRPr="00FC1F98">
        <w:rPr>
          <w:rFonts w:ascii="Arial" w:eastAsia="Times New Roman" w:hAnsi="Arial"/>
        </w:rPr>
        <w:t>De otra parte, aseveró que n</w:t>
      </w:r>
      <w:r w:rsidR="00335313" w:rsidRPr="00FC1F98">
        <w:rPr>
          <w:rFonts w:ascii="Arial" w:eastAsia="Times New Roman" w:hAnsi="Arial"/>
        </w:rPr>
        <w:t>o le es dable responder administrativa y extracontractualmente por el supuesto daño antijurídico invocado por el demandante, en tanto, su actuar se enmarcó dentro de los mandatos legales, por lo que no era cierto que hubiese incurrido en falla en el servicio por incumplimiento del contenido obligacional que le correspondía como Autoridad Ambiental.</w:t>
      </w:r>
      <w:r w:rsidRPr="00FC1F98">
        <w:rPr>
          <w:rFonts w:ascii="Arial" w:eastAsia="Times New Roman" w:hAnsi="Arial"/>
        </w:rPr>
        <w:t xml:space="preserve"> </w:t>
      </w:r>
    </w:p>
    <w:p w14:paraId="36D42940" w14:textId="043F5D23" w:rsidR="001179EE" w:rsidRPr="00FC1F98" w:rsidRDefault="001179EE" w:rsidP="00335313">
      <w:pPr>
        <w:tabs>
          <w:tab w:val="left" w:pos="567"/>
        </w:tabs>
        <w:spacing w:line="276" w:lineRule="auto"/>
        <w:rPr>
          <w:rFonts w:ascii="Arial" w:eastAsia="Times New Roman" w:hAnsi="Arial"/>
        </w:rPr>
      </w:pPr>
    </w:p>
    <w:p w14:paraId="0DE4B5E0" w14:textId="391ED8A7" w:rsidR="001179EE" w:rsidRPr="00FC1F98" w:rsidRDefault="001179EE" w:rsidP="00335313">
      <w:pPr>
        <w:tabs>
          <w:tab w:val="left" w:pos="567"/>
        </w:tabs>
        <w:spacing w:line="276" w:lineRule="auto"/>
        <w:rPr>
          <w:rFonts w:ascii="Arial" w:eastAsia="Times New Roman" w:hAnsi="Arial"/>
        </w:rPr>
      </w:pPr>
      <w:r w:rsidRPr="00FC1F98">
        <w:rPr>
          <w:rFonts w:ascii="Arial" w:eastAsia="Times New Roman" w:hAnsi="Arial"/>
        </w:rPr>
        <w:t xml:space="preserve">Aclaró que </w:t>
      </w:r>
      <w:r w:rsidRPr="00FC1F98">
        <w:rPr>
          <w:rFonts w:ascii="Arial" w:eastAsia="Times New Roman" w:hAnsi="Arial"/>
          <w:color w:val="000000"/>
        </w:rPr>
        <w:t xml:space="preserve">su competencia relativa </w:t>
      </w:r>
      <w:r w:rsidRPr="00FC1F98">
        <w:rPr>
          <w:rFonts w:ascii="Arial" w:eastAsiaTheme="minorHAnsi" w:hAnsi="Arial"/>
          <w:lang w:val="es-CO"/>
        </w:rPr>
        <w:t xml:space="preserve">a la explotación de carbón llevada a cabo en la vereda </w:t>
      </w:r>
      <w:r w:rsidRPr="00FC1F98">
        <w:rPr>
          <w:rFonts w:ascii="Arial" w:eastAsiaTheme="minorHAnsi" w:hAnsi="Arial"/>
          <w:i/>
          <w:iCs/>
          <w:lang w:val="es-CO"/>
        </w:rPr>
        <w:t xml:space="preserve">"El Volcán" </w:t>
      </w:r>
      <w:r w:rsidRPr="00FC1F98">
        <w:rPr>
          <w:rFonts w:ascii="Arial" w:eastAsiaTheme="minorHAnsi" w:hAnsi="Arial"/>
          <w:lang w:val="es-CO"/>
        </w:rPr>
        <w:t xml:space="preserve">del municipio de Paipa, en virtud del </w:t>
      </w:r>
      <w:r w:rsidR="00330230" w:rsidRPr="00FC1F98">
        <w:rPr>
          <w:rFonts w:ascii="Arial" w:eastAsiaTheme="minorHAnsi" w:hAnsi="Arial"/>
          <w:lang w:val="es-CO"/>
        </w:rPr>
        <w:t>c</w:t>
      </w:r>
      <w:r w:rsidRPr="00FC1F98">
        <w:rPr>
          <w:rFonts w:ascii="Arial" w:eastAsiaTheme="minorHAnsi" w:hAnsi="Arial"/>
          <w:lang w:val="es-CO"/>
        </w:rPr>
        <w:t>ontrato de pequeña explotación carbonífera No. 01-005-95 es la de control y vigilancia frente al deterioro ambiental del uso del suelo y de los demás recursos naturales renovables (superficie), así, en caso d</w:t>
      </w:r>
      <w:proofErr w:type="spellStart"/>
      <w:r w:rsidRPr="00FC1F98">
        <w:rPr>
          <w:rFonts w:ascii="Arial" w:eastAsia="Times New Roman" w:hAnsi="Arial"/>
        </w:rPr>
        <w:t>e</w:t>
      </w:r>
      <w:proofErr w:type="spellEnd"/>
      <w:r w:rsidRPr="00FC1F98">
        <w:rPr>
          <w:rFonts w:ascii="Arial" w:eastAsia="Times New Roman" w:hAnsi="Arial"/>
        </w:rPr>
        <w:t xml:space="preserve"> llegarse a probar la existencia de las </w:t>
      </w:r>
      <w:r w:rsidRPr="00FC1F98">
        <w:rPr>
          <w:rFonts w:ascii="Arial" w:eastAsia="Times New Roman" w:hAnsi="Arial"/>
        </w:rPr>
        <w:lastRenderedPageBreak/>
        <w:t xml:space="preserve">afectaciones señaladas por el accionante, la responsabilidad recae sobre los titulares mineros e </w:t>
      </w:r>
      <w:proofErr w:type="spellStart"/>
      <w:r w:rsidRPr="00FC1F98">
        <w:rPr>
          <w:rFonts w:ascii="Arial" w:eastAsia="Times New Roman" w:hAnsi="Arial"/>
        </w:rPr>
        <w:t>I</w:t>
      </w:r>
      <w:r w:rsidR="00B27B43" w:rsidRPr="00FC1F98">
        <w:rPr>
          <w:rFonts w:ascii="Arial" w:eastAsia="Times New Roman" w:hAnsi="Arial"/>
        </w:rPr>
        <w:t>ngeominas</w:t>
      </w:r>
      <w:proofErr w:type="spellEnd"/>
      <w:r w:rsidRPr="00FC1F98">
        <w:rPr>
          <w:rFonts w:ascii="Arial" w:eastAsia="Times New Roman" w:hAnsi="Arial"/>
        </w:rPr>
        <w:t>, este último, como ente encargado de vigilar que las actividades mineras subterráneas se ejecutaran dentro de los parámetros técnicos requeridos</w:t>
      </w:r>
    </w:p>
    <w:p w14:paraId="7937B48D" w14:textId="77777777" w:rsidR="00423408" w:rsidRPr="00FC1F98" w:rsidRDefault="00423408" w:rsidP="00423408">
      <w:pPr>
        <w:tabs>
          <w:tab w:val="left" w:pos="567"/>
        </w:tabs>
        <w:spacing w:line="276" w:lineRule="auto"/>
        <w:rPr>
          <w:rFonts w:ascii="Arial" w:eastAsia="Times New Roman" w:hAnsi="Arial"/>
        </w:rPr>
      </w:pPr>
    </w:p>
    <w:p w14:paraId="74E70C20" w14:textId="4E7586D9" w:rsidR="00737568" w:rsidRPr="00FC1F98" w:rsidRDefault="005E29CF" w:rsidP="00E67677">
      <w:pPr>
        <w:pStyle w:val="Prrafodelista"/>
        <w:tabs>
          <w:tab w:val="left" w:pos="567"/>
        </w:tabs>
        <w:spacing w:line="276" w:lineRule="auto"/>
        <w:ind w:left="0"/>
        <w:rPr>
          <w:rFonts w:ascii="Arial" w:hAnsi="Arial"/>
        </w:rPr>
      </w:pPr>
      <w:r w:rsidRPr="00FC1F98">
        <w:rPr>
          <w:rFonts w:ascii="Arial" w:eastAsia="Times New Roman" w:hAnsi="Arial"/>
          <w:color w:val="000000"/>
          <w:lang w:val="es-CO"/>
        </w:rPr>
        <w:t>6</w:t>
      </w:r>
      <w:r w:rsidR="00E67677" w:rsidRPr="00FC1F98">
        <w:rPr>
          <w:rFonts w:ascii="Arial" w:eastAsia="Times New Roman" w:hAnsi="Arial"/>
          <w:color w:val="000000"/>
          <w:lang w:val="es-CO"/>
        </w:rPr>
        <w:t>.</w:t>
      </w:r>
      <w:r w:rsidR="00480661" w:rsidRPr="00FC1F98">
        <w:rPr>
          <w:rFonts w:ascii="Arial" w:eastAsia="Times New Roman" w:hAnsi="Arial"/>
          <w:color w:val="000000"/>
          <w:lang w:val="es-CO"/>
        </w:rPr>
        <w:t>4</w:t>
      </w:r>
      <w:r w:rsidR="00E67677" w:rsidRPr="00FC1F98">
        <w:rPr>
          <w:rFonts w:ascii="Arial" w:eastAsia="Times New Roman" w:hAnsi="Arial"/>
          <w:color w:val="000000"/>
          <w:lang w:val="es-CO"/>
        </w:rPr>
        <w:t xml:space="preserve">. </w:t>
      </w:r>
      <w:r w:rsidR="00160C24" w:rsidRPr="00FC1F98">
        <w:rPr>
          <w:rFonts w:ascii="Arial" w:eastAsia="Times New Roman" w:hAnsi="Arial"/>
          <w:b/>
          <w:bCs/>
          <w:color w:val="000000"/>
          <w:lang w:val="es-CO"/>
        </w:rPr>
        <w:t xml:space="preserve">El </w:t>
      </w:r>
      <w:r w:rsidR="002C47EB" w:rsidRPr="00FC1F98">
        <w:rPr>
          <w:rFonts w:ascii="Arial" w:hAnsi="Arial"/>
          <w:b/>
          <w:bCs/>
        </w:rPr>
        <w:t>Municipio de Paipa</w:t>
      </w:r>
      <w:r w:rsidR="002C47EB" w:rsidRPr="00FC1F98">
        <w:rPr>
          <w:rFonts w:ascii="Arial" w:hAnsi="Arial"/>
        </w:rPr>
        <w:t xml:space="preserve"> por intermedio de la jefe </w:t>
      </w:r>
      <w:r w:rsidR="00330230" w:rsidRPr="00FC1F98">
        <w:rPr>
          <w:rFonts w:ascii="Arial" w:hAnsi="Arial"/>
        </w:rPr>
        <w:t xml:space="preserve">de la </w:t>
      </w:r>
      <w:r w:rsidR="00160C24" w:rsidRPr="00FC1F98">
        <w:rPr>
          <w:rFonts w:ascii="Arial" w:hAnsi="Arial"/>
        </w:rPr>
        <w:t>Oficina Asesora Jurídica del</w:t>
      </w:r>
      <w:r w:rsidR="00330230" w:rsidRPr="00FC1F98">
        <w:rPr>
          <w:rFonts w:ascii="Arial" w:hAnsi="Arial"/>
        </w:rPr>
        <w:t xml:space="preserve"> municipio de Paipa</w:t>
      </w:r>
      <w:r w:rsidR="001F795B" w:rsidRPr="00FC1F98">
        <w:rPr>
          <w:rStyle w:val="Refdenotaalpie"/>
          <w:rFonts w:ascii="Arial" w:hAnsi="Arial"/>
        </w:rPr>
        <w:footnoteReference w:id="25"/>
      </w:r>
      <w:r w:rsidR="002C47EB" w:rsidRPr="00FC1F98">
        <w:rPr>
          <w:rFonts w:ascii="Arial" w:hAnsi="Arial"/>
        </w:rPr>
        <w:t xml:space="preserve">, </w:t>
      </w:r>
      <w:r w:rsidR="00B90F6A" w:rsidRPr="00FC1F98">
        <w:rPr>
          <w:rFonts w:ascii="Arial" w:hAnsi="Arial"/>
        </w:rPr>
        <w:t xml:space="preserve">solicitó negar el amparo deprecado por el actor, al considerar como </w:t>
      </w:r>
      <w:r w:rsidR="001F795B" w:rsidRPr="00FC1F98">
        <w:rPr>
          <w:rFonts w:ascii="Arial" w:hAnsi="Arial"/>
        </w:rPr>
        <w:t xml:space="preserve">improcedente la </w:t>
      </w:r>
      <w:r w:rsidR="00B90F6A" w:rsidRPr="00FC1F98">
        <w:rPr>
          <w:rFonts w:ascii="Arial" w:hAnsi="Arial"/>
        </w:rPr>
        <w:t xml:space="preserve">presente </w:t>
      </w:r>
      <w:r w:rsidR="001F795B" w:rsidRPr="00FC1F98">
        <w:rPr>
          <w:rFonts w:ascii="Arial" w:hAnsi="Arial"/>
        </w:rPr>
        <w:t>acción por cuanto, a su juicio, en la decisión emitida por el Tribunal no se concretó ningún defecto vulnerador de los derechos del señor José Ricardo Cepeda Corredor</w:t>
      </w:r>
      <w:r w:rsidR="00737568" w:rsidRPr="00FC1F98">
        <w:rPr>
          <w:rFonts w:ascii="Arial" w:hAnsi="Arial"/>
        </w:rPr>
        <w:t>.</w:t>
      </w:r>
    </w:p>
    <w:p w14:paraId="64889317" w14:textId="77777777" w:rsidR="00737568" w:rsidRPr="00FC1F98" w:rsidRDefault="00737568" w:rsidP="00E67677">
      <w:pPr>
        <w:pStyle w:val="Prrafodelista"/>
        <w:tabs>
          <w:tab w:val="left" w:pos="567"/>
        </w:tabs>
        <w:spacing w:line="276" w:lineRule="auto"/>
        <w:ind w:left="0"/>
        <w:rPr>
          <w:rFonts w:ascii="Arial" w:hAnsi="Arial"/>
        </w:rPr>
      </w:pPr>
    </w:p>
    <w:p w14:paraId="675F097A" w14:textId="08FB3E13" w:rsidR="007213D8" w:rsidRPr="00FC1F98" w:rsidRDefault="00737568" w:rsidP="00E67677">
      <w:pPr>
        <w:pStyle w:val="Prrafodelista"/>
        <w:tabs>
          <w:tab w:val="left" w:pos="567"/>
        </w:tabs>
        <w:spacing w:line="276" w:lineRule="auto"/>
        <w:ind w:left="0"/>
        <w:rPr>
          <w:rFonts w:ascii="Arial" w:hAnsi="Arial"/>
        </w:rPr>
      </w:pPr>
      <w:r w:rsidRPr="00FC1F98">
        <w:rPr>
          <w:rFonts w:ascii="Arial" w:hAnsi="Arial"/>
        </w:rPr>
        <w:t>Q</w:t>
      </w:r>
      <w:r w:rsidR="001F795B" w:rsidRPr="00FC1F98">
        <w:rPr>
          <w:rFonts w:ascii="Arial" w:hAnsi="Arial"/>
        </w:rPr>
        <w:t>ue contrario a ello, la misma se profirió</w:t>
      </w:r>
      <w:r w:rsidR="00D441AE" w:rsidRPr="00FC1F98">
        <w:rPr>
          <w:rFonts w:ascii="Arial" w:hAnsi="Arial"/>
        </w:rPr>
        <w:t>: i)</w:t>
      </w:r>
      <w:r w:rsidR="00B90F6A" w:rsidRPr="00FC1F98">
        <w:rPr>
          <w:rFonts w:ascii="Arial" w:hAnsi="Arial"/>
        </w:rPr>
        <w:t xml:space="preserve"> a</w:t>
      </w:r>
      <w:r w:rsidR="001F795B" w:rsidRPr="00FC1F98">
        <w:rPr>
          <w:rFonts w:ascii="Arial" w:hAnsi="Arial"/>
        </w:rPr>
        <w:t>justada a derecho conforme a lo previsto en e</w:t>
      </w:r>
      <w:r w:rsidR="00D441AE" w:rsidRPr="00FC1F98">
        <w:rPr>
          <w:rFonts w:ascii="Arial" w:hAnsi="Arial"/>
        </w:rPr>
        <w:t>l</w:t>
      </w:r>
      <w:r w:rsidR="001F795B" w:rsidRPr="00FC1F98">
        <w:rPr>
          <w:rFonts w:ascii="Arial" w:hAnsi="Arial"/>
        </w:rPr>
        <w:t xml:space="preserve"> numeral 8 del artículo 136 del CCA</w:t>
      </w:r>
      <w:r w:rsidR="001F795B" w:rsidRPr="00FC1F98">
        <w:rPr>
          <w:rStyle w:val="Refdenotaalpie"/>
          <w:rFonts w:ascii="Arial" w:hAnsi="Arial"/>
        </w:rPr>
        <w:footnoteReference w:id="26"/>
      </w:r>
      <w:r w:rsidR="00D441AE" w:rsidRPr="00FC1F98">
        <w:rPr>
          <w:rFonts w:ascii="Arial" w:hAnsi="Arial"/>
        </w:rPr>
        <w:t xml:space="preserve"> y el criterio jurisprudencial del Consejo de Estado - Sección Tercera, Auto No. 2019-01882 (65831), de 13 de agosto de 2020, con ponencia del Magistrado Dr. José Roberto Sáchica Méndez-referente a la caducidad; con la que además</w:t>
      </w:r>
      <w:r w:rsidR="001F795B" w:rsidRPr="00FC1F98">
        <w:rPr>
          <w:rFonts w:ascii="Arial" w:hAnsi="Arial"/>
        </w:rPr>
        <w:t xml:space="preserve"> se garantiza </w:t>
      </w:r>
      <w:r w:rsidR="00D441AE" w:rsidRPr="00FC1F98">
        <w:rPr>
          <w:rFonts w:ascii="Arial" w:hAnsi="Arial"/>
        </w:rPr>
        <w:t xml:space="preserve">el principio de </w:t>
      </w:r>
      <w:r w:rsidR="001F795B" w:rsidRPr="00FC1F98">
        <w:rPr>
          <w:rFonts w:ascii="Arial" w:hAnsi="Arial"/>
        </w:rPr>
        <w:t>la seguridad jurídica</w:t>
      </w:r>
      <w:r w:rsidR="00B90F6A" w:rsidRPr="00FC1F98">
        <w:rPr>
          <w:rFonts w:ascii="Arial" w:hAnsi="Arial"/>
        </w:rPr>
        <w:t xml:space="preserve"> y, </w:t>
      </w:r>
      <w:proofErr w:type="spellStart"/>
      <w:r w:rsidR="00D441AE" w:rsidRPr="00FC1F98">
        <w:rPr>
          <w:rFonts w:ascii="Arial" w:hAnsi="Arial"/>
        </w:rPr>
        <w:t>ii</w:t>
      </w:r>
      <w:proofErr w:type="spellEnd"/>
      <w:r w:rsidR="00D441AE" w:rsidRPr="00FC1F98">
        <w:rPr>
          <w:rFonts w:ascii="Arial" w:hAnsi="Arial"/>
        </w:rPr>
        <w:t xml:space="preserve">) </w:t>
      </w:r>
      <w:r w:rsidR="00B90F6A" w:rsidRPr="00FC1F98">
        <w:rPr>
          <w:rFonts w:ascii="Arial" w:hAnsi="Arial"/>
        </w:rPr>
        <w:t>c</w:t>
      </w:r>
      <w:r w:rsidR="00D441AE" w:rsidRPr="00FC1F98">
        <w:rPr>
          <w:rFonts w:ascii="Arial" w:hAnsi="Arial"/>
        </w:rPr>
        <w:t>on un análisis exhaustivo de todas las pruebas arrimadas al proceso</w:t>
      </w:r>
      <w:r w:rsidR="00B90F6A" w:rsidRPr="00FC1F98">
        <w:rPr>
          <w:rFonts w:ascii="Arial" w:hAnsi="Arial"/>
        </w:rPr>
        <w:t xml:space="preserve"> - </w:t>
      </w:r>
      <w:r w:rsidR="00D441AE" w:rsidRPr="00FC1F98">
        <w:rPr>
          <w:rFonts w:ascii="Arial" w:hAnsi="Arial"/>
        </w:rPr>
        <w:t>documentos, interrogatorios</w:t>
      </w:r>
      <w:r w:rsidR="00B90F6A" w:rsidRPr="00FC1F98">
        <w:rPr>
          <w:rFonts w:ascii="Arial" w:hAnsi="Arial"/>
        </w:rPr>
        <w:t xml:space="preserve"> y dictamen pericial-</w:t>
      </w:r>
      <w:r w:rsidR="00330230" w:rsidRPr="00FC1F98">
        <w:rPr>
          <w:rFonts w:ascii="Arial" w:hAnsi="Arial"/>
        </w:rPr>
        <w:t>.</w:t>
      </w:r>
    </w:p>
    <w:p w14:paraId="3FF35F7D" w14:textId="76A30E6E" w:rsidR="004162C3" w:rsidRPr="00FC1F98" w:rsidRDefault="004162C3" w:rsidP="00E67677">
      <w:pPr>
        <w:pStyle w:val="Prrafodelista"/>
        <w:tabs>
          <w:tab w:val="left" w:pos="567"/>
        </w:tabs>
        <w:spacing w:line="276" w:lineRule="auto"/>
        <w:ind w:left="0"/>
        <w:rPr>
          <w:rFonts w:ascii="Arial" w:hAnsi="Arial"/>
        </w:rPr>
      </w:pPr>
    </w:p>
    <w:p w14:paraId="4E81A785" w14:textId="110BBA2A" w:rsidR="004162C3" w:rsidRPr="00FC1F98" w:rsidRDefault="005E29CF" w:rsidP="004162C3">
      <w:pPr>
        <w:tabs>
          <w:tab w:val="left" w:pos="567"/>
        </w:tabs>
        <w:spacing w:line="276" w:lineRule="auto"/>
        <w:rPr>
          <w:rFonts w:ascii="Arial" w:eastAsia="Times New Roman" w:hAnsi="Arial"/>
        </w:rPr>
      </w:pPr>
      <w:r w:rsidRPr="00FC1F98">
        <w:rPr>
          <w:rFonts w:ascii="Arial" w:eastAsia="Times New Roman" w:hAnsi="Arial"/>
        </w:rPr>
        <w:t>6</w:t>
      </w:r>
      <w:r w:rsidR="004162C3" w:rsidRPr="00FC1F98">
        <w:rPr>
          <w:rFonts w:ascii="Arial" w:eastAsia="Times New Roman" w:hAnsi="Arial"/>
        </w:rPr>
        <w:t xml:space="preserve">.5. </w:t>
      </w:r>
      <w:r w:rsidR="004162C3" w:rsidRPr="00FC1F98">
        <w:rPr>
          <w:rFonts w:ascii="Arial" w:eastAsia="Times New Roman" w:hAnsi="Arial"/>
          <w:b/>
          <w:bCs/>
        </w:rPr>
        <w:t>El Ministerio de Vivienda, Ciudad y Territorio</w:t>
      </w:r>
      <w:r w:rsidR="004162C3" w:rsidRPr="00FC1F98">
        <w:rPr>
          <w:rFonts w:ascii="Arial" w:eastAsia="Times New Roman" w:hAnsi="Arial"/>
        </w:rPr>
        <w:t>, a través de apoderado judicial</w:t>
      </w:r>
      <w:r w:rsidR="004162C3" w:rsidRPr="00FC1F98">
        <w:rPr>
          <w:rStyle w:val="Refdenotaalpie"/>
          <w:rFonts w:ascii="Arial" w:eastAsia="Times New Roman" w:hAnsi="Arial"/>
        </w:rPr>
        <w:footnoteReference w:id="27"/>
      </w:r>
      <w:r w:rsidR="004162C3" w:rsidRPr="00FC1F98">
        <w:rPr>
          <w:rFonts w:ascii="Arial" w:eastAsia="Times New Roman" w:hAnsi="Arial"/>
        </w:rPr>
        <w:t xml:space="preserve">, arguyó que se oponía a la prosperidad de las pretensiones invocadas por la parte actora por cuanto la acción constitucional no se ha suscitado con ocasión a un subsidio de vivienda emitido por la entidad. </w:t>
      </w:r>
    </w:p>
    <w:p w14:paraId="5F048A28" w14:textId="77777777" w:rsidR="004162C3" w:rsidRPr="00FC1F98" w:rsidRDefault="004162C3" w:rsidP="004162C3">
      <w:pPr>
        <w:tabs>
          <w:tab w:val="left" w:pos="567"/>
        </w:tabs>
        <w:spacing w:line="276" w:lineRule="auto"/>
        <w:rPr>
          <w:rFonts w:ascii="Arial" w:eastAsia="Times New Roman" w:hAnsi="Arial"/>
        </w:rPr>
      </w:pPr>
    </w:p>
    <w:p w14:paraId="4C350F80" w14:textId="567D1D8E" w:rsidR="004162C3" w:rsidRPr="00FC1F98" w:rsidRDefault="004162C3" w:rsidP="004162C3">
      <w:pPr>
        <w:tabs>
          <w:tab w:val="left" w:pos="567"/>
        </w:tabs>
        <w:spacing w:line="276" w:lineRule="auto"/>
        <w:rPr>
          <w:rFonts w:ascii="Arial" w:eastAsia="Times New Roman" w:hAnsi="Arial"/>
        </w:rPr>
      </w:pPr>
      <w:r w:rsidRPr="00FC1F98">
        <w:rPr>
          <w:rFonts w:ascii="Arial" w:eastAsia="Times New Roman" w:hAnsi="Arial"/>
        </w:rPr>
        <w:t xml:space="preserve">Indicó que dentro de sus competencias no se encuentra la de regular los temas relacionados con la administración de justicia y tampoco la de </w:t>
      </w:r>
      <w:proofErr w:type="spellStart"/>
      <w:r w:rsidRPr="00FC1F98">
        <w:rPr>
          <w:rFonts w:ascii="Arial" w:eastAsia="Times New Roman" w:hAnsi="Arial"/>
        </w:rPr>
        <w:t>coercionar</w:t>
      </w:r>
      <w:proofErr w:type="spellEnd"/>
      <w:r w:rsidRPr="00FC1F98">
        <w:rPr>
          <w:rFonts w:ascii="Arial" w:eastAsia="Times New Roman" w:hAnsi="Arial"/>
        </w:rPr>
        <w:t xml:space="preserve"> a los despachos judiciales a cambiar una decisión. Puntualizó que, además, no tiene conocimiento de los hechos que rodearon las acciones impetradas por el tutelante.</w:t>
      </w:r>
    </w:p>
    <w:p w14:paraId="2AA07BB7" w14:textId="77777777" w:rsidR="004162C3" w:rsidRPr="00FC1F98" w:rsidRDefault="004162C3" w:rsidP="004162C3">
      <w:pPr>
        <w:tabs>
          <w:tab w:val="left" w:pos="567"/>
        </w:tabs>
        <w:spacing w:line="276" w:lineRule="auto"/>
        <w:rPr>
          <w:rFonts w:ascii="Arial" w:eastAsia="Times New Roman" w:hAnsi="Arial"/>
        </w:rPr>
      </w:pPr>
    </w:p>
    <w:p w14:paraId="69B6E9A1" w14:textId="43D808DE" w:rsidR="004162C3" w:rsidRPr="00FC1F98" w:rsidRDefault="004162C3" w:rsidP="004162C3">
      <w:pPr>
        <w:tabs>
          <w:tab w:val="left" w:pos="567"/>
        </w:tabs>
        <w:spacing w:line="276" w:lineRule="auto"/>
        <w:rPr>
          <w:rFonts w:ascii="Arial" w:eastAsia="Times New Roman" w:hAnsi="Arial"/>
        </w:rPr>
      </w:pPr>
      <w:r w:rsidRPr="00FC1F98">
        <w:rPr>
          <w:rFonts w:ascii="Arial" w:eastAsia="Times New Roman" w:hAnsi="Arial"/>
        </w:rPr>
        <w:t xml:space="preserve">Propuso la excepción de la </w:t>
      </w:r>
      <w:r w:rsidRPr="00FC1F98">
        <w:rPr>
          <w:rFonts w:ascii="Arial" w:eastAsia="Times New Roman" w:hAnsi="Arial"/>
          <w:u w:val="single"/>
        </w:rPr>
        <w:t>falta de legitimación en la causa por pasiva</w:t>
      </w:r>
      <w:r w:rsidRPr="00FC1F98">
        <w:rPr>
          <w:rFonts w:ascii="Arial" w:eastAsia="Times New Roman" w:hAnsi="Arial"/>
        </w:rPr>
        <w:t>, porque no está llamada a satisfacer las pretensiones de la parte actora, habida cuenta que los asuntos que se discuten no se enmarcan dentro de sus funciones y competencias</w:t>
      </w:r>
      <w:r w:rsidRPr="00FC1F98">
        <w:rPr>
          <w:rStyle w:val="Refdenotaalpie"/>
          <w:rFonts w:ascii="Arial" w:eastAsia="Times New Roman" w:hAnsi="Arial"/>
        </w:rPr>
        <w:footnoteReference w:id="28"/>
      </w:r>
      <w:r w:rsidRPr="00FC1F98">
        <w:rPr>
          <w:rFonts w:ascii="Arial" w:eastAsia="Times New Roman" w:hAnsi="Arial"/>
        </w:rPr>
        <w:t>. Indicó que no hay una relación sustancial con el asunto objeto de debate</w:t>
      </w:r>
      <w:r w:rsidRPr="00FC1F98">
        <w:rPr>
          <w:rStyle w:val="Refdenotaalpie"/>
          <w:rFonts w:ascii="Arial" w:eastAsia="Times New Roman" w:hAnsi="Arial"/>
        </w:rPr>
        <w:footnoteReference w:id="29"/>
      </w:r>
      <w:r w:rsidRPr="00FC1F98">
        <w:rPr>
          <w:rFonts w:ascii="Arial" w:eastAsia="Times New Roman" w:hAnsi="Arial"/>
        </w:rPr>
        <w:t xml:space="preserve"> y tampoco ha conculcado los derechos invocados por el </w:t>
      </w:r>
      <w:r w:rsidR="003053C6" w:rsidRPr="00FC1F98">
        <w:rPr>
          <w:rFonts w:ascii="Arial" w:eastAsia="Times New Roman" w:hAnsi="Arial"/>
        </w:rPr>
        <w:t>actor</w:t>
      </w:r>
      <w:r w:rsidRPr="00FC1F98">
        <w:rPr>
          <w:rFonts w:ascii="Arial" w:eastAsia="Times New Roman" w:hAnsi="Arial"/>
        </w:rPr>
        <w:t>.</w:t>
      </w:r>
    </w:p>
    <w:p w14:paraId="686D91DD" w14:textId="77777777" w:rsidR="004162C3" w:rsidRPr="00FC1F98" w:rsidRDefault="004162C3" w:rsidP="00E67677">
      <w:pPr>
        <w:pStyle w:val="Prrafodelista"/>
        <w:tabs>
          <w:tab w:val="left" w:pos="567"/>
        </w:tabs>
        <w:spacing w:line="276" w:lineRule="auto"/>
        <w:ind w:left="0"/>
        <w:rPr>
          <w:rFonts w:ascii="Arial" w:hAnsi="Arial"/>
        </w:rPr>
      </w:pPr>
    </w:p>
    <w:p w14:paraId="2C57ED31" w14:textId="1591D3B8" w:rsidR="00F02508" w:rsidRPr="00FC1F98" w:rsidRDefault="005E29CF" w:rsidP="00480661">
      <w:pPr>
        <w:pStyle w:val="Prrafodelista"/>
        <w:tabs>
          <w:tab w:val="left" w:pos="567"/>
        </w:tabs>
        <w:spacing w:line="276" w:lineRule="auto"/>
        <w:ind w:left="0"/>
        <w:rPr>
          <w:rFonts w:ascii="Arial" w:eastAsia="Times New Roman" w:hAnsi="Arial"/>
        </w:rPr>
      </w:pPr>
      <w:r w:rsidRPr="00FC1F98">
        <w:rPr>
          <w:rFonts w:ascii="Arial" w:eastAsia="Times New Roman" w:hAnsi="Arial"/>
          <w:color w:val="000000"/>
        </w:rPr>
        <w:t>6</w:t>
      </w:r>
      <w:r w:rsidR="00480661" w:rsidRPr="00FC1F98">
        <w:rPr>
          <w:rFonts w:ascii="Arial" w:eastAsia="Times New Roman" w:hAnsi="Arial"/>
          <w:color w:val="000000"/>
        </w:rPr>
        <w:t>.</w:t>
      </w:r>
      <w:r w:rsidR="004162C3" w:rsidRPr="00FC1F98">
        <w:rPr>
          <w:rFonts w:ascii="Arial" w:eastAsia="Times New Roman" w:hAnsi="Arial"/>
          <w:color w:val="000000"/>
        </w:rPr>
        <w:t>6</w:t>
      </w:r>
      <w:r w:rsidR="00480661" w:rsidRPr="00FC1F98">
        <w:rPr>
          <w:rFonts w:ascii="Arial" w:eastAsia="Times New Roman" w:hAnsi="Arial"/>
          <w:color w:val="000000"/>
        </w:rPr>
        <w:t>.</w:t>
      </w:r>
      <w:r w:rsidR="00480661" w:rsidRPr="00FC1F98">
        <w:rPr>
          <w:rFonts w:ascii="Arial" w:eastAsia="Times New Roman" w:hAnsi="Arial"/>
          <w:b/>
          <w:bCs/>
          <w:color w:val="000000"/>
        </w:rPr>
        <w:t xml:space="preserve"> </w:t>
      </w:r>
      <w:r w:rsidR="00F02508" w:rsidRPr="00FC1F98">
        <w:rPr>
          <w:rFonts w:ascii="Arial" w:eastAsia="Times New Roman" w:hAnsi="Arial"/>
          <w:b/>
          <w:bCs/>
          <w:color w:val="000000"/>
        </w:rPr>
        <w:t>El Ministerio de Minas y Energía,</w:t>
      </w:r>
      <w:r w:rsidR="00F02508" w:rsidRPr="00FC1F98">
        <w:rPr>
          <w:rFonts w:ascii="Arial" w:eastAsia="Times New Roman" w:hAnsi="Arial"/>
          <w:color w:val="000000"/>
        </w:rPr>
        <w:t xml:space="preserve"> por intermedio de apoderada judicial</w:t>
      </w:r>
      <w:r w:rsidR="00F02508" w:rsidRPr="00FC1F98">
        <w:rPr>
          <w:rStyle w:val="Refdenotaalpie"/>
          <w:rFonts w:ascii="Arial" w:eastAsia="Times New Roman" w:hAnsi="Arial"/>
          <w:color w:val="000000"/>
        </w:rPr>
        <w:footnoteReference w:id="30"/>
      </w:r>
      <w:r w:rsidR="00F02508" w:rsidRPr="00FC1F98">
        <w:rPr>
          <w:rFonts w:ascii="Arial" w:eastAsia="Times New Roman" w:hAnsi="Arial"/>
          <w:color w:val="000000"/>
        </w:rPr>
        <w:t>, aseveró que, e</w:t>
      </w:r>
      <w:r w:rsidR="00F02508" w:rsidRPr="00FC1F98">
        <w:rPr>
          <w:rFonts w:ascii="Arial" w:eastAsia="Times New Roman" w:hAnsi="Arial"/>
        </w:rPr>
        <w:t xml:space="preserve">n atención a las disposiciones, constitucionales legales y reglamentarias, era procedente la excepción de </w:t>
      </w:r>
      <w:r w:rsidR="00F02508" w:rsidRPr="00FC1F98">
        <w:rPr>
          <w:rFonts w:ascii="Arial" w:eastAsia="Times New Roman" w:hAnsi="Arial"/>
          <w:u w:val="single"/>
        </w:rPr>
        <w:t xml:space="preserve">falta de legitimación en la causa </w:t>
      </w:r>
      <w:r w:rsidR="00F02508" w:rsidRPr="00FC1F98">
        <w:rPr>
          <w:rFonts w:ascii="Arial" w:eastAsia="Times New Roman" w:hAnsi="Arial"/>
          <w:u w:val="single"/>
        </w:rPr>
        <w:lastRenderedPageBreak/>
        <w:t>por pasiva</w:t>
      </w:r>
      <w:r w:rsidR="00F02508" w:rsidRPr="00FC1F98">
        <w:rPr>
          <w:rStyle w:val="Refdenotaalpie"/>
          <w:rFonts w:ascii="Arial" w:eastAsia="Times New Roman" w:hAnsi="Arial"/>
        </w:rPr>
        <w:footnoteReference w:id="31"/>
      </w:r>
      <w:r w:rsidR="00F02508" w:rsidRPr="00FC1F98">
        <w:rPr>
          <w:rFonts w:ascii="Arial" w:eastAsia="Times New Roman" w:hAnsi="Arial"/>
        </w:rPr>
        <w:t>, comoquiera que dentro de lo de su competencia, no tiene funciones</w:t>
      </w:r>
      <w:r w:rsidR="00F02508" w:rsidRPr="00FC1F98">
        <w:rPr>
          <w:rStyle w:val="Refdenotaalpie"/>
          <w:rFonts w:ascii="Arial" w:eastAsia="Times New Roman" w:hAnsi="Arial"/>
        </w:rPr>
        <w:footnoteReference w:id="32"/>
      </w:r>
      <w:r w:rsidR="00F02508" w:rsidRPr="00FC1F98">
        <w:rPr>
          <w:rFonts w:ascii="Arial" w:eastAsia="Times New Roman" w:hAnsi="Arial"/>
        </w:rPr>
        <w:t xml:space="preserve"> relacionadas con el alcance pretendido por la parte actora, pues la misma se erige contra la providencia proferida por el Tribunal, respecto del cual no funge como superior funcional o jerárquico ni tiene ninguna injerencia.</w:t>
      </w:r>
    </w:p>
    <w:p w14:paraId="443340D3" w14:textId="77777777" w:rsidR="00F02508" w:rsidRPr="00FC1F98" w:rsidRDefault="00F02508" w:rsidP="00F02508">
      <w:pPr>
        <w:tabs>
          <w:tab w:val="left" w:pos="567"/>
        </w:tabs>
        <w:spacing w:line="276" w:lineRule="auto"/>
        <w:rPr>
          <w:rFonts w:ascii="Arial" w:eastAsia="Times New Roman" w:hAnsi="Arial"/>
        </w:rPr>
      </w:pPr>
    </w:p>
    <w:p w14:paraId="7D4AB830" w14:textId="584E7AD1" w:rsidR="00F02508" w:rsidRPr="00FC1F98" w:rsidRDefault="00F02508" w:rsidP="00F02508">
      <w:pPr>
        <w:tabs>
          <w:tab w:val="left" w:pos="567"/>
        </w:tabs>
        <w:spacing w:line="276" w:lineRule="auto"/>
        <w:rPr>
          <w:rFonts w:ascii="Arial" w:eastAsia="Times New Roman" w:hAnsi="Arial"/>
        </w:rPr>
      </w:pPr>
      <w:r w:rsidRPr="00FC1F98">
        <w:rPr>
          <w:rFonts w:ascii="Arial" w:eastAsia="Times New Roman" w:hAnsi="Arial"/>
        </w:rPr>
        <w:t xml:space="preserve">Precisó en cada uno de los defectos alegados lo siguiente: a) </w:t>
      </w:r>
      <w:r w:rsidRPr="00FC1F98">
        <w:rPr>
          <w:rFonts w:ascii="Arial" w:eastAsia="Times New Roman" w:hAnsi="Arial"/>
          <w:b/>
          <w:bCs/>
        </w:rPr>
        <w:t>orgánico</w:t>
      </w:r>
      <w:r w:rsidRPr="00FC1F98">
        <w:rPr>
          <w:rFonts w:ascii="Arial" w:eastAsia="Times New Roman" w:hAnsi="Arial"/>
        </w:rPr>
        <w:t xml:space="preserve">, el actor explicó realmente el fáctico cuya evaluación deberá hacerse de cara al análisis que hizo el </w:t>
      </w:r>
      <w:r w:rsidRPr="00FC1F98">
        <w:rPr>
          <w:rFonts w:ascii="Arial" w:eastAsia="Times New Roman" w:hAnsi="Arial"/>
          <w:i/>
          <w:iCs/>
        </w:rPr>
        <w:t>ad quem</w:t>
      </w:r>
      <w:r w:rsidRPr="00FC1F98">
        <w:rPr>
          <w:rFonts w:ascii="Arial" w:eastAsia="Times New Roman" w:hAnsi="Arial"/>
        </w:rPr>
        <w:t xml:space="preserve"> en la providencia objeto de debate; acuñó que la</w:t>
      </w:r>
      <w:r w:rsidRPr="00FC1F98">
        <w:t xml:space="preserve"> </w:t>
      </w:r>
      <w:r w:rsidRPr="00FC1F98">
        <w:rPr>
          <w:rFonts w:ascii="Arial" w:eastAsia="Times New Roman" w:hAnsi="Arial"/>
        </w:rPr>
        <w:t xml:space="preserve">valoración conforme a la sana crítica no constituye defecto, b) </w:t>
      </w:r>
      <w:r w:rsidRPr="00FC1F98">
        <w:rPr>
          <w:rFonts w:ascii="Arial" w:eastAsia="Times New Roman" w:hAnsi="Arial"/>
          <w:b/>
          <w:bCs/>
        </w:rPr>
        <w:t>error inducido</w:t>
      </w:r>
      <w:r w:rsidRPr="00FC1F98">
        <w:rPr>
          <w:rFonts w:ascii="Arial" w:eastAsia="Times New Roman" w:hAnsi="Arial"/>
        </w:rPr>
        <w:t>, se cita una norma que refiere a la caducidad de la acción sancionatoria ambiental (artículo 10 de la Ley 1333 de 2009)</w:t>
      </w:r>
      <w:r w:rsidRPr="00FC1F98">
        <w:t xml:space="preserve"> </w:t>
      </w:r>
      <w:r w:rsidRPr="00FC1F98">
        <w:rPr>
          <w:rFonts w:ascii="Arial" w:eastAsia="Times New Roman" w:hAnsi="Arial"/>
        </w:rPr>
        <w:t xml:space="preserve">que no es aplicable para contabilizar la caducidad del medio de control de reparación directa (artículo 136 del Decreto 01 de 1984 - CCA) y, no existió actuación engañosa en tanto, la excepción de caducidad fue declarada de oficio y no por petición de las partes, c) </w:t>
      </w:r>
      <w:r w:rsidRPr="00FC1F98">
        <w:rPr>
          <w:rFonts w:ascii="Arial" w:eastAsia="Times New Roman" w:hAnsi="Arial"/>
          <w:b/>
          <w:bCs/>
        </w:rPr>
        <w:t>desconocimiento de precedente judicial</w:t>
      </w:r>
      <w:r w:rsidRPr="00FC1F98">
        <w:rPr>
          <w:rFonts w:ascii="Arial" w:eastAsia="Times New Roman" w:hAnsi="Arial"/>
        </w:rPr>
        <w:t xml:space="preserve">, para que éste se constituya, debe compartir los supuestos fácticos y jurídicos y, el problema jurídico a resolver, d) </w:t>
      </w:r>
      <w:r w:rsidRPr="00FC1F98">
        <w:rPr>
          <w:rFonts w:ascii="Arial" w:eastAsia="Times New Roman" w:hAnsi="Arial"/>
          <w:b/>
          <w:bCs/>
        </w:rPr>
        <w:t xml:space="preserve">violación directa de la </w:t>
      </w:r>
      <w:r w:rsidR="003053C6" w:rsidRPr="00FC1F98">
        <w:rPr>
          <w:rFonts w:ascii="Arial" w:eastAsia="Times New Roman" w:hAnsi="Arial"/>
          <w:b/>
          <w:bCs/>
        </w:rPr>
        <w:t>C</w:t>
      </w:r>
      <w:r w:rsidRPr="00FC1F98">
        <w:rPr>
          <w:rFonts w:ascii="Arial" w:eastAsia="Times New Roman" w:hAnsi="Arial"/>
          <w:b/>
          <w:bCs/>
        </w:rPr>
        <w:t>onstitución</w:t>
      </w:r>
      <w:r w:rsidRPr="00FC1F98">
        <w:rPr>
          <w:rFonts w:ascii="Arial" w:eastAsia="Times New Roman" w:hAnsi="Arial"/>
        </w:rPr>
        <w:t>, el accionante se limitó a afirmar la presunta vulneración de derechos, sin precisar la forma en la que los mismos se vulneraron ni probar cómo se concreta la violación de la Constitución.</w:t>
      </w:r>
    </w:p>
    <w:p w14:paraId="36890BF7" w14:textId="77777777" w:rsidR="00F02508" w:rsidRPr="00FC1F98" w:rsidRDefault="00F02508" w:rsidP="00F02508">
      <w:pPr>
        <w:tabs>
          <w:tab w:val="left" w:pos="567"/>
        </w:tabs>
        <w:spacing w:line="276" w:lineRule="auto"/>
        <w:rPr>
          <w:rFonts w:ascii="Arial" w:eastAsia="Times New Roman" w:hAnsi="Arial"/>
        </w:rPr>
      </w:pPr>
    </w:p>
    <w:p w14:paraId="429CC664" w14:textId="36E78958" w:rsidR="00F02508" w:rsidRPr="00FC1F98" w:rsidRDefault="00F02508" w:rsidP="00F02508">
      <w:pPr>
        <w:tabs>
          <w:tab w:val="left" w:pos="567"/>
        </w:tabs>
        <w:spacing w:line="276" w:lineRule="auto"/>
        <w:rPr>
          <w:rFonts w:ascii="Arial" w:eastAsia="Times New Roman" w:hAnsi="Arial"/>
        </w:rPr>
      </w:pPr>
      <w:r w:rsidRPr="00FC1F98">
        <w:rPr>
          <w:rFonts w:ascii="Arial" w:eastAsia="Times New Roman" w:hAnsi="Arial"/>
        </w:rPr>
        <w:t>Explicó que de conformidad con lo previsto en el artículo 136 numeral 8° del CCA el t</w:t>
      </w:r>
      <w:r w:rsidR="003053C6" w:rsidRPr="00FC1F98">
        <w:rPr>
          <w:rFonts w:ascii="Arial" w:eastAsia="Times New Roman" w:hAnsi="Arial"/>
        </w:rPr>
        <w:t>é</w:t>
      </w:r>
      <w:r w:rsidRPr="00FC1F98">
        <w:rPr>
          <w:rFonts w:ascii="Arial" w:eastAsia="Times New Roman" w:hAnsi="Arial"/>
        </w:rPr>
        <w:t xml:space="preserve">rmino de caducidad de la acción de reparación directa es de dos años contados a partir del hecho dañoso, pero que no se debe pasar por alto, que tal evento, ha sido modulado por la jurisprudencia, con ocasión de las circunstancias fácticas que lo rodean, debiéndose contabilizar a partir del momento que se conoce la lesión, esto, de conformidad con el criterio señalado por la Sección Tercera del Consejo de Estado, expediente 2018-00748 (63452), de 30 de mayo de 2019, consistente en que: </w:t>
      </w:r>
      <w:r w:rsidRPr="00FC1F98">
        <w:rPr>
          <w:rFonts w:ascii="Arial" w:eastAsia="Times New Roman" w:hAnsi="Arial"/>
          <w:i/>
          <w:iCs/>
          <w:sz w:val="22"/>
          <w:szCs w:val="22"/>
        </w:rPr>
        <w:t>“el término de caducidad debe contabilizarse desde el acaecimiento del daño o su conocimiento, sin que sea relevante para el efecto que el daño se agrave con el tiempo después de la ocurrencia del hecho”.</w:t>
      </w:r>
      <w:r w:rsidRPr="00FC1F98">
        <w:rPr>
          <w:rFonts w:ascii="Arial" w:eastAsia="Times New Roman" w:hAnsi="Arial"/>
        </w:rPr>
        <w:t xml:space="preserve"> </w:t>
      </w:r>
    </w:p>
    <w:p w14:paraId="1373C4FF" w14:textId="77777777" w:rsidR="00F02508" w:rsidRPr="00FC1F98" w:rsidRDefault="00F02508" w:rsidP="00F02508">
      <w:pPr>
        <w:tabs>
          <w:tab w:val="left" w:pos="567"/>
        </w:tabs>
        <w:spacing w:line="276" w:lineRule="auto"/>
        <w:rPr>
          <w:rFonts w:ascii="Arial" w:eastAsia="Times New Roman" w:hAnsi="Arial"/>
        </w:rPr>
      </w:pPr>
    </w:p>
    <w:p w14:paraId="5B5915DE" w14:textId="07B6DD03" w:rsidR="00F02508" w:rsidRPr="00FC1F98" w:rsidRDefault="00F02508" w:rsidP="00F02508">
      <w:pPr>
        <w:tabs>
          <w:tab w:val="left" w:pos="567"/>
        </w:tabs>
        <w:spacing w:line="276" w:lineRule="auto"/>
        <w:rPr>
          <w:sz w:val="22"/>
          <w:szCs w:val="22"/>
        </w:rPr>
      </w:pPr>
      <w:r w:rsidRPr="00FC1F98">
        <w:rPr>
          <w:rFonts w:ascii="Arial" w:eastAsia="Times New Roman" w:hAnsi="Arial"/>
        </w:rPr>
        <w:t>Concluyó que tal como lo decidió el Tribunal, en el asunto de marras, el término debe contabilizarse a partir del acaecimiento del hecho u omisión pese a la prolongación</w:t>
      </w:r>
      <w:r w:rsidR="0070040C" w:rsidRPr="00FC1F98">
        <w:rPr>
          <w:rFonts w:ascii="Arial" w:eastAsia="Times New Roman" w:hAnsi="Arial"/>
        </w:rPr>
        <w:t xml:space="preserve"> en</w:t>
      </w:r>
      <w:r w:rsidRPr="00FC1F98">
        <w:rPr>
          <w:rFonts w:ascii="Arial" w:eastAsia="Times New Roman" w:hAnsi="Arial"/>
        </w:rPr>
        <w:t xml:space="preserve"> el tiempo, de lo contrario, se atentaría contra la seguridad jurídica.</w:t>
      </w:r>
    </w:p>
    <w:p w14:paraId="1D28520A" w14:textId="345FD86E" w:rsidR="00D441AE" w:rsidRPr="00FC1F98" w:rsidRDefault="00D441AE" w:rsidP="00E67677">
      <w:pPr>
        <w:pStyle w:val="Prrafodelista"/>
        <w:tabs>
          <w:tab w:val="left" w:pos="567"/>
        </w:tabs>
        <w:spacing w:line="276" w:lineRule="auto"/>
        <w:ind w:left="0"/>
        <w:rPr>
          <w:rFonts w:ascii="Arial" w:hAnsi="Arial"/>
        </w:rPr>
      </w:pPr>
    </w:p>
    <w:p w14:paraId="26D9C4C1" w14:textId="796F886E" w:rsidR="0026186C" w:rsidRPr="00FC1F98" w:rsidRDefault="005E29CF" w:rsidP="0026186C">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6</w:t>
      </w:r>
      <w:r w:rsidR="003E3BDE" w:rsidRPr="00FC1F98">
        <w:rPr>
          <w:rFonts w:ascii="Arial" w:eastAsia="Times New Roman" w:hAnsi="Arial"/>
          <w:color w:val="000000"/>
          <w:lang w:val="es-CO"/>
        </w:rPr>
        <w:t>.</w:t>
      </w:r>
      <w:r w:rsidR="004162C3" w:rsidRPr="00FC1F98">
        <w:rPr>
          <w:rFonts w:ascii="Arial" w:eastAsia="Times New Roman" w:hAnsi="Arial"/>
          <w:color w:val="000000"/>
          <w:lang w:val="es-CO"/>
        </w:rPr>
        <w:t>7</w:t>
      </w:r>
      <w:r w:rsidR="003E3BDE" w:rsidRPr="00FC1F98">
        <w:rPr>
          <w:rFonts w:ascii="Arial" w:eastAsia="Times New Roman" w:hAnsi="Arial"/>
          <w:color w:val="000000"/>
          <w:lang w:val="es-CO"/>
        </w:rPr>
        <w:t>.</w:t>
      </w:r>
      <w:r w:rsidR="003E3BDE" w:rsidRPr="00FC1F98">
        <w:rPr>
          <w:rFonts w:ascii="Arial" w:eastAsia="Times New Roman" w:hAnsi="Arial"/>
          <w:b/>
          <w:bCs/>
          <w:color w:val="000000"/>
          <w:lang w:val="es-CO"/>
        </w:rPr>
        <w:t xml:space="preserve"> </w:t>
      </w:r>
      <w:r w:rsidR="0026186C" w:rsidRPr="00FC1F98">
        <w:rPr>
          <w:rFonts w:ascii="Arial" w:eastAsia="Times New Roman" w:hAnsi="Arial"/>
          <w:b/>
          <w:bCs/>
          <w:color w:val="000000"/>
          <w:lang w:val="es-CO"/>
        </w:rPr>
        <w:t>El Ministerio de Ambiente y Desarrollo Sostenible,</w:t>
      </w:r>
      <w:r w:rsidR="0026186C" w:rsidRPr="00FC1F98">
        <w:rPr>
          <w:rFonts w:ascii="Arial" w:eastAsia="Times New Roman" w:hAnsi="Arial"/>
          <w:color w:val="000000"/>
          <w:lang w:val="es-CO"/>
        </w:rPr>
        <w:t xml:space="preserve"> por intermedio de apoderado judicial</w:t>
      </w:r>
      <w:r w:rsidR="0026186C" w:rsidRPr="00FC1F98">
        <w:rPr>
          <w:rStyle w:val="Refdenotaalpie"/>
          <w:rFonts w:ascii="Arial" w:eastAsia="Times New Roman" w:hAnsi="Arial"/>
          <w:color w:val="000000"/>
          <w:lang w:val="es-CO"/>
        </w:rPr>
        <w:footnoteReference w:id="33"/>
      </w:r>
      <w:r w:rsidR="0026186C" w:rsidRPr="00FC1F98">
        <w:rPr>
          <w:rFonts w:ascii="Arial" w:eastAsia="Times New Roman" w:hAnsi="Arial"/>
          <w:color w:val="000000"/>
          <w:lang w:val="es-CO"/>
        </w:rPr>
        <w:t xml:space="preserve">, propuso la excepción de </w:t>
      </w:r>
      <w:r w:rsidR="0026186C" w:rsidRPr="00FC1F98">
        <w:rPr>
          <w:rFonts w:ascii="Arial" w:eastAsia="Times New Roman" w:hAnsi="Arial"/>
          <w:color w:val="000000"/>
          <w:u w:val="single"/>
          <w:lang w:val="es-CO"/>
        </w:rPr>
        <w:t xml:space="preserve">falta de legitimación en la causa por </w:t>
      </w:r>
      <w:r w:rsidR="0026186C" w:rsidRPr="00FC1F98">
        <w:rPr>
          <w:rFonts w:ascii="Arial" w:eastAsia="Times New Roman" w:hAnsi="Arial"/>
          <w:color w:val="000000"/>
          <w:u w:val="single"/>
          <w:lang w:val="es-CO"/>
        </w:rPr>
        <w:lastRenderedPageBreak/>
        <w:t>pasiva</w:t>
      </w:r>
      <w:r w:rsidR="0026186C" w:rsidRPr="00FC1F98">
        <w:rPr>
          <w:rStyle w:val="Refdenotaalpie"/>
          <w:rFonts w:ascii="Arial" w:eastAsia="Times New Roman" w:hAnsi="Arial"/>
          <w:color w:val="000000"/>
          <w:lang w:val="es-CO"/>
        </w:rPr>
        <w:footnoteReference w:id="34"/>
      </w:r>
      <w:r w:rsidR="0026186C" w:rsidRPr="00FC1F98">
        <w:rPr>
          <w:rFonts w:ascii="Arial" w:eastAsia="Times New Roman" w:hAnsi="Arial"/>
          <w:color w:val="000000"/>
          <w:lang w:val="es-CO"/>
        </w:rPr>
        <w:t>, en la que señaló que no debe responder por las consecuencias derivadas del posible incumplimiento de las obligaciones que legalmente tiene asignadas otras entidades del Estado.</w:t>
      </w:r>
      <w:r w:rsidR="0026186C" w:rsidRPr="00FC1F98">
        <w:rPr>
          <w:rStyle w:val="Refdenotaalpie"/>
          <w:rFonts w:ascii="Arial" w:eastAsia="Times New Roman" w:hAnsi="Arial"/>
          <w:color w:val="000000"/>
          <w:lang w:val="es-CO"/>
        </w:rPr>
        <w:footnoteReference w:id="35"/>
      </w:r>
      <w:r w:rsidR="0026186C" w:rsidRPr="00FC1F98">
        <w:rPr>
          <w:rFonts w:ascii="Arial" w:eastAsia="Times New Roman" w:hAnsi="Arial"/>
          <w:color w:val="000000"/>
          <w:lang w:val="es-CO"/>
        </w:rPr>
        <w:t xml:space="preserve"> </w:t>
      </w:r>
    </w:p>
    <w:p w14:paraId="0B5DD684" w14:textId="77777777" w:rsidR="0026186C" w:rsidRPr="00FC1F98" w:rsidRDefault="0026186C" w:rsidP="0026186C">
      <w:pPr>
        <w:pStyle w:val="Prrafodelista"/>
        <w:tabs>
          <w:tab w:val="left" w:pos="567"/>
        </w:tabs>
        <w:spacing w:line="276" w:lineRule="auto"/>
        <w:ind w:left="0"/>
        <w:rPr>
          <w:rFonts w:ascii="Arial" w:eastAsia="Times New Roman" w:hAnsi="Arial"/>
          <w:color w:val="000000"/>
          <w:lang w:val="es-CO"/>
        </w:rPr>
      </w:pPr>
    </w:p>
    <w:p w14:paraId="29FB347C" w14:textId="77777777" w:rsidR="0026186C" w:rsidRPr="00FC1F98" w:rsidRDefault="0026186C" w:rsidP="0026186C">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Explicó que se atenía a las resultas del proceso, pero que el tema que se discute es ajeno a las funciones y objetivos de ese departamento</w:t>
      </w:r>
      <w:r w:rsidRPr="00FC1F98">
        <w:rPr>
          <w:rStyle w:val="Refdenotaalpie"/>
          <w:rFonts w:ascii="Arial" w:eastAsia="Times New Roman" w:hAnsi="Arial"/>
          <w:color w:val="000000"/>
          <w:lang w:val="es-CO"/>
        </w:rPr>
        <w:footnoteReference w:id="36"/>
      </w:r>
      <w:r w:rsidRPr="00FC1F98">
        <w:rPr>
          <w:rFonts w:ascii="Arial" w:eastAsia="Times New Roman" w:hAnsi="Arial"/>
          <w:color w:val="000000"/>
          <w:lang w:val="es-CO"/>
        </w:rPr>
        <w:t xml:space="preserve">, como entidad rectora de la gestión ambiental, le corresponde definir las políticas y regulaciones a las que queda sometida la recuperación, conservación, protección, ordenamiento, manejo, uso y aprovechamiento de los recursos naturales renovables y el medio ambiente y, en ese orden, se oponía a las pretensiones del tutelante. </w:t>
      </w:r>
    </w:p>
    <w:p w14:paraId="25194B2C" w14:textId="77777777" w:rsidR="0026186C" w:rsidRPr="00FC1F98" w:rsidRDefault="0026186C" w:rsidP="0026186C">
      <w:pPr>
        <w:pStyle w:val="Prrafodelista"/>
        <w:tabs>
          <w:tab w:val="left" w:pos="567"/>
        </w:tabs>
        <w:spacing w:line="276" w:lineRule="auto"/>
        <w:ind w:left="0"/>
        <w:rPr>
          <w:rFonts w:ascii="Arial" w:eastAsia="Times New Roman" w:hAnsi="Arial"/>
          <w:color w:val="000000"/>
          <w:lang w:val="es-CO"/>
        </w:rPr>
      </w:pPr>
    </w:p>
    <w:p w14:paraId="56658D75" w14:textId="4BDA32D7" w:rsidR="0026186C" w:rsidRPr="00FC1F98" w:rsidRDefault="0026186C" w:rsidP="0026186C">
      <w:pPr>
        <w:pStyle w:val="Prrafodelista"/>
        <w:tabs>
          <w:tab w:val="left" w:pos="567"/>
        </w:tabs>
        <w:spacing w:line="276" w:lineRule="auto"/>
        <w:ind w:left="0"/>
        <w:rPr>
          <w:rFonts w:ascii="Arial" w:eastAsia="Times New Roman" w:hAnsi="Arial"/>
          <w:color w:val="000000"/>
          <w:lang w:val="es-CO"/>
        </w:rPr>
      </w:pPr>
      <w:proofErr w:type="gramStart"/>
      <w:r w:rsidRPr="00FC1F98">
        <w:rPr>
          <w:rFonts w:ascii="Arial" w:eastAsia="Times New Roman" w:hAnsi="Arial"/>
        </w:rPr>
        <w:t>Que</w:t>
      </w:r>
      <w:proofErr w:type="gramEnd"/>
      <w:r w:rsidRPr="00FC1F98">
        <w:rPr>
          <w:rFonts w:ascii="Arial" w:eastAsia="Times New Roman" w:hAnsi="Arial"/>
        </w:rPr>
        <w:t xml:space="preserve"> por lo discurrido, no hay una relación sustancial con el asunto objeto de debate y tampoco ha conculcado los derechos invocados por </w:t>
      </w:r>
      <w:r w:rsidR="003053C6" w:rsidRPr="00FC1F98">
        <w:rPr>
          <w:rFonts w:ascii="Arial" w:eastAsia="Times New Roman" w:hAnsi="Arial"/>
        </w:rPr>
        <w:t>el actor</w:t>
      </w:r>
      <w:r w:rsidRPr="00FC1F98">
        <w:rPr>
          <w:rFonts w:ascii="Arial" w:eastAsia="Times New Roman" w:hAnsi="Arial"/>
        </w:rPr>
        <w:t>, por lo que solicitó que se denegara la presente acción, pues hay ausencia de daño y responsabilidad</w:t>
      </w:r>
      <w:r w:rsidRPr="00FC1F98">
        <w:rPr>
          <w:rStyle w:val="Refdenotaalpie"/>
          <w:rFonts w:ascii="Arial" w:eastAsia="Times New Roman" w:hAnsi="Arial"/>
        </w:rPr>
        <w:footnoteReference w:id="37"/>
      </w:r>
      <w:r w:rsidRPr="00FC1F98">
        <w:rPr>
          <w:rFonts w:ascii="Arial" w:eastAsia="Times New Roman" w:hAnsi="Arial"/>
        </w:rPr>
        <w:t xml:space="preserve"> habida cuenta que no hay pruebas que demuestren acciones u omisiones de su parte.</w:t>
      </w:r>
    </w:p>
    <w:p w14:paraId="07F04027" w14:textId="77777777" w:rsidR="0026186C" w:rsidRPr="00FC1F98" w:rsidRDefault="0026186C" w:rsidP="00E26035">
      <w:pPr>
        <w:pStyle w:val="Prrafodelista"/>
        <w:tabs>
          <w:tab w:val="left" w:pos="567"/>
        </w:tabs>
        <w:spacing w:line="276" w:lineRule="auto"/>
        <w:ind w:left="0"/>
        <w:rPr>
          <w:rFonts w:ascii="Arial" w:eastAsia="Times New Roman" w:hAnsi="Arial"/>
          <w:color w:val="000000"/>
          <w:lang w:val="es-CO"/>
        </w:rPr>
      </w:pPr>
    </w:p>
    <w:p w14:paraId="6500BB5A" w14:textId="7D281135" w:rsidR="003E3BDE" w:rsidRPr="00FC1F98" w:rsidRDefault="005E29CF" w:rsidP="00E26035">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6</w:t>
      </w:r>
      <w:r w:rsidR="0026186C" w:rsidRPr="00FC1F98">
        <w:rPr>
          <w:rFonts w:ascii="Arial" w:eastAsia="Times New Roman" w:hAnsi="Arial"/>
          <w:color w:val="000000"/>
          <w:lang w:val="es-CO"/>
        </w:rPr>
        <w:t>.8.</w:t>
      </w:r>
      <w:r w:rsidR="0026186C" w:rsidRPr="00FC1F98">
        <w:rPr>
          <w:rFonts w:ascii="Arial" w:eastAsia="Times New Roman" w:hAnsi="Arial"/>
          <w:b/>
          <w:bCs/>
          <w:color w:val="000000"/>
          <w:lang w:val="es-CO"/>
        </w:rPr>
        <w:t xml:space="preserve"> </w:t>
      </w:r>
      <w:r w:rsidR="003E3BDE" w:rsidRPr="00FC1F98">
        <w:rPr>
          <w:rFonts w:ascii="Arial" w:eastAsia="Times New Roman" w:hAnsi="Arial"/>
          <w:b/>
          <w:bCs/>
          <w:color w:val="000000"/>
          <w:lang w:val="es-CO"/>
        </w:rPr>
        <w:t>El Servicio Geológico Colombiano</w:t>
      </w:r>
      <w:r w:rsidR="003E3BDE" w:rsidRPr="00FC1F98">
        <w:rPr>
          <w:rFonts w:ascii="Arial" w:eastAsia="Times New Roman" w:hAnsi="Arial"/>
          <w:color w:val="000000"/>
          <w:lang w:val="es-CO"/>
        </w:rPr>
        <w:t>, por medio de la</w:t>
      </w:r>
      <w:r w:rsidR="003E3BDE" w:rsidRPr="00FC1F98">
        <w:rPr>
          <w:rFonts w:ascii="Arial" w:eastAsia="Times New Roman" w:hAnsi="Arial"/>
          <w:b/>
          <w:bCs/>
          <w:color w:val="000000"/>
          <w:lang w:val="es-CO"/>
        </w:rPr>
        <w:t xml:space="preserve"> </w:t>
      </w:r>
      <w:r w:rsidR="0070040C" w:rsidRPr="00FC1F98">
        <w:rPr>
          <w:rFonts w:ascii="Arial" w:eastAsia="Times New Roman" w:hAnsi="Arial"/>
          <w:color w:val="000000"/>
          <w:lang w:val="es-CO"/>
        </w:rPr>
        <w:t>j</w:t>
      </w:r>
      <w:r w:rsidR="003E3BDE" w:rsidRPr="00FC1F98">
        <w:rPr>
          <w:rFonts w:ascii="Arial" w:eastAsia="Times New Roman" w:hAnsi="Arial"/>
          <w:color w:val="000000"/>
          <w:lang w:val="es-CO"/>
        </w:rPr>
        <w:t>efe Oficina Asesora Jurídica</w:t>
      </w:r>
      <w:r w:rsidR="00B354FB" w:rsidRPr="00FC1F98">
        <w:rPr>
          <w:rStyle w:val="Refdenotaalpie"/>
          <w:rFonts w:ascii="Arial" w:eastAsia="Times New Roman" w:hAnsi="Arial"/>
          <w:color w:val="000000"/>
          <w:lang w:val="es-CO"/>
        </w:rPr>
        <w:footnoteReference w:id="38"/>
      </w:r>
      <w:r w:rsidR="003E3BDE" w:rsidRPr="00FC1F98">
        <w:rPr>
          <w:rFonts w:ascii="Arial" w:eastAsia="Times New Roman" w:hAnsi="Arial"/>
          <w:color w:val="000000"/>
          <w:lang w:val="es-CO"/>
        </w:rPr>
        <w:t xml:space="preserve"> solicitó que se excluyera de la acción en referencia por </w:t>
      </w:r>
      <w:r w:rsidR="003E3BDE" w:rsidRPr="00FC1F98">
        <w:rPr>
          <w:rFonts w:ascii="Arial" w:eastAsia="Times New Roman" w:hAnsi="Arial"/>
          <w:color w:val="000000"/>
          <w:u w:val="single"/>
          <w:lang w:val="es-CO"/>
        </w:rPr>
        <w:t>falta de legitimación en la causa por pasiva</w:t>
      </w:r>
      <w:r w:rsidR="0012334B" w:rsidRPr="00FC1F98">
        <w:rPr>
          <w:rStyle w:val="Refdenotaalpie"/>
          <w:rFonts w:ascii="Arial" w:eastAsia="Times New Roman" w:hAnsi="Arial"/>
          <w:color w:val="000000"/>
          <w:lang w:val="es-CO"/>
        </w:rPr>
        <w:footnoteReference w:id="39"/>
      </w:r>
      <w:r w:rsidR="003E3BDE" w:rsidRPr="00FC1F98">
        <w:rPr>
          <w:rFonts w:ascii="Arial" w:eastAsia="Times New Roman" w:hAnsi="Arial"/>
          <w:color w:val="000000"/>
          <w:lang w:val="es-CO"/>
        </w:rPr>
        <w:t xml:space="preserve">, </w:t>
      </w:r>
      <w:r w:rsidR="00E26035" w:rsidRPr="00FC1F98">
        <w:rPr>
          <w:rFonts w:ascii="Arial" w:eastAsia="Times New Roman" w:hAnsi="Arial"/>
          <w:color w:val="000000"/>
          <w:lang w:val="es-CO"/>
        </w:rPr>
        <w:t>para lo cual, indicó que conforme a la naturaleza, objeto y funciones</w:t>
      </w:r>
      <w:r w:rsidR="00E26035" w:rsidRPr="00FC1F98">
        <w:rPr>
          <w:rStyle w:val="Refdenotaalpie"/>
          <w:rFonts w:ascii="Arial" w:eastAsia="Times New Roman" w:hAnsi="Arial"/>
          <w:color w:val="000000"/>
          <w:lang w:val="es-CO"/>
        </w:rPr>
        <w:footnoteReference w:id="40"/>
      </w:r>
      <w:r w:rsidR="00E26035" w:rsidRPr="00FC1F98">
        <w:rPr>
          <w:rFonts w:ascii="Arial" w:eastAsia="Times New Roman" w:hAnsi="Arial"/>
          <w:color w:val="000000"/>
          <w:lang w:val="es-CO"/>
        </w:rPr>
        <w:t>, no se hayan las relativas a la autoridad minera que permitan satisfacer las pretensiones incoadas por el señor José Ricardo Cepeda Corredor.</w:t>
      </w:r>
      <w:r w:rsidR="0099302A" w:rsidRPr="00FC1F98">
        <w:rPr>
          <w:rFonts w:ascii="Arial" w:eastAsia="Times New Roman" w:hAnsi="Arial"/>
          <w:color w:val="000000"/>
          <w:lang w:val="es-CO"/>
        </w:rPr>
        <w:t xml:space="preserve"> Precisó que las funciones de tipo minero, a partir del 2 de junio de 2012, son ejercidas por la Agencia Nacional de Minería en atención al Decreto Ley 4143 de 2011</w:t>
      </w:r>
      <w:r w:rsidR="00CC1DBE" w:rsidRPr="00FC1F98">
        <w:rPr>
          <w:rFonts w:ascii="Arial" w:eastAsia="Times New Roman" w:hAnsi="Arial"/>
          <w:color w:val="000000"/>
          <w:lang w:val="es-CO"/>
        </w:rPr>
        <w:t>.</w:t>
      </w:r>
    </w:p>
    <w:p w14:paraId="33853271" w14:textId="17ECD6CB" w:rsidR="0012334B" w:rsidRPr="00FC1F98" w:rsidRDefault="0012334B" w:rsidP="00E26035">
      <w:pPr>
        <w:pStyle w:val="Prrafodelista"/>
        <w:tabs>
          <w:tab w:val="left" w:pos="567"/>
        </w:tabs>
        <w:spacing w:line="276" w:lineRule="auto"/>
        <w:ind w:left="0"/>
        <w:rPr>
          <w:rFonts w:ascii="Arial" w:eastAsia="Times New Roman" w:hAnsi="Arial"/>
          <w:color w:val="000000"/>
          <w:lang w:val="es-CO"/>
        </w:rPr>
      </w:pPr>
    </w:p>
    <w:p w14:paraId="73F8F6FF" w14:textId="3EC4663A" w:rsidR="0012334B" w:rsidRPr="00FC1F98" w:rsidRDefault="0012334B" w:rsidP="00E26035">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 xml:space="preserve">Como pretensión residual, pidió que se negaran las </w:t>
      </w:r>
      <w:r w:rsidR="003053C6" w:rsidRPr="00FC1F98">
        <w:rPr>
          <w:rFonts w:ascii="Arial" w:eastAsia="Times New Roman" w:hAnsi="Arial"/>
          <w:color w:val="000000"/>
          <w:lang w:val="es-CO"/>
        </w:rPr>
        <w:t>pretensiones</w:t>
      </w:r>
      <w:r w:rsidRPr="00FC1F98">
        <w:rPr>
          <w:rFonts w:ascii="Arial" w:eastAsia="Times New Roman" w:hAnsi="Arial"/>
          <w:color w:val="000000"/>
          <w:lang w:val="es-CO"/>
        </w:rPr>
        <w:t xml:space="preserve"> de la demanda, en lo atinente a esa agencia, en tanto, no se demuestra en el plenario la vulneración de los derechos aludidos por la parte actora, pues no participó en ninguno de los hechos originarios de la demanda, máxime que de acuerdo a sus funciones no tiene a su cargo las relativas a los asuntos mineros. </w:t>
      </w:r>
    </w:p>
    <w:p w14:paraId="666575C9" w14:textId="5D64998D" w:rsidR="004162C3" w:rsidRPr="00FC1F98" w:rsidRDefault="004162C3" w:rsidP="00E26035">
      <w:pPr>
        <w:pStyle w:val="Prrafodelista"/>
        <w:tabs>
          <w:tab w:val="left" w:pos="567"/>
        </w:tabs>
        <w:spacing w:line="276" w:lineRule="auto"/>
        <w:ind w:left="0"/>
        <w:rPr>
          <w:rFonts w:ascii="Arial" w:eastAsia="Times New Roman" w:hAnsi="Arial"/>
          <w:color w:val="000000"/>
          <w:lang w:val="es-CO"/>
        </w:rPr>
      </w:pPr>
    </w:p>
    <w:p w14:paraId="2E0F2F43" w14:textId="12660427" w:rsidR="002356F8" w:rsidRPr="00FC1F98" w:rsidRDefault="005E29CF" w:rsidP="002356F8">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lastRenderedPageBreak/>
        <w:t>6</w:t>
      </w:r>
      <w:r w:rsidR="00B56316" w:rsidRPr="00FC1F98">
        <w:rPr>
          <w:rFonts w:ascii="Arial" w:eastAsia="Times New Roman" w:hAnsi="Arial"/>
          <w:color w:val="000000"/>
          <w:lang w:val="es-CO"/>
        </w:rPr>
        <w:t xml:space="preserve">.9. Los señores </w:t>
      </w:r>
      <w:r w:rsidR="00B56316" w:rsidRPr="00FC1F98">
        <w:rPr>
          <w:rFonts w:ascii="Arial" w:eastAsia="Times New Roman" w:hAnsi="Arial"/>
          <w:b/>
          <w:bCs/>
          <w:color w:val="000000"/>
          <w:lang w:val="es-CO"/>
        </w:rPr>
        <w:t>Juan de Dios Ochoa y Elsa Nubia Mateus</w:t>
      </w:r>
      <w:r w:rsidR="00B56316" w:rsidRPr="00FC1F98">
        <w:rPr>
          <w:rFonts w:ascii="Arial" w:eastAsia="Times New Roman" w:hAnsi="Arial"/>
          <w:color w:val="000000"/>
          <w:lang w:val="es-CO"/>
        </w:rPr>
        <w:t>, a través de apoderado judicial</w:t>
      </w:r>
      <w:r w:rsidR="00B56316" w:rsidRPr="00FC1F98">
        <w:rPr>
          <w:rStyle w:val="Refdenotaalpie"/>
          <w:rFonts w:ascii="Arial" w:eastAsia="Times New Roman" w:hAnsi="Arial"/>
          <w:color w:val="000000"/>
          <w:lang w:val="es-CO"/>
        </w:rPr>
        <w:footnoteReference w:id="41"/>
      </w:r>
      <w:r w:rsidR="00B56316" w:rsidRPr="00FC1F98">
        <w:rPr>
          <w:rFonts w:ascii="Arial" w:eastAsia="Times New Roman" w:hAnsi="Arial"/>
          <w:color w:val="000000"/>
          <w:lang w:val="es-CO"/>
        </w:rPr>
        <w:t xml:space="preserve">, </w:t>
      </w:r>
      <w:r w:rsidR="00EB7C9E" w:rsidRPr="00FC1F98">
        <w:rPr>
          <w:rFonts w:ascii="Arial" w:eastAsia="Times New Roman" w:hAnsi="Arial"/>
          <w:color w:val="000000"/>
          <w:lang w:val="es-CO"/>
        </w:rPr>
        <w:t>pretende</w:t>
      </w:r>
      <w:r w:rsidR="002F2255" w:rsidRPr="00FC1F98">
        <w:rPr>
          <w:rFonts w:ascii="Arial" w:eastAsia="Times New Roman" w:hAnsi="Arial"/>
          <w:color w:val="000000"/>
          <w:lang w:val="es-CO"/>
        </w:rPr>
        <w:t>n</w:t>
      </w:r>
      <w:r w:rsidR="00EB7C9E" w:rsidRPr="00FC1F98">
        <w:rPr>
          <w:rFonts w:ascii="Arial" w:eastAsia="Times New Roman" w:hAnsi="Arial"/>
          <w:color w:val="000000"/>
          <w:lang w:val="es-CO"/>
        </w:rPr>
        <w:t xml:space="preserve"> la negativa de las s</w:t>
      </w:r>
      <w:r w:rsidR="003053C6" w:rsidRPr="00FC1F98">
        <w:rPr>
          <w:rFonts w:ascii="Arial" w:eastAsia="Times New Roman" w:hAnsi="Arial"/>
          <w:color w:val="000000"/>
          <w:lang w:val="es-CO"/>
        </w:rPr>
        <w:t>ú</w:t>
      </w:r>
      <w:r w:rsidR="00EB7C9E" w:rsidRPr="00FC1F98">
        <w:rPr>
          <w:rFonts w:ascii="Arial" w:eastAsia="Times New Roman" w:hAnsi="Arial"/>
          <w:color w:val="000000"/>
          <w:lang w:val="es-CO"/>
        </w:rPr>
        <w:t>plicas incoadas por el actor,</w:t>
      </w:r>
      <w:r w:rsidR="002356F8" w:rsidRPr="00FC1F98">
        <w:rPr>
          <w:rFonts w:ascii="Arial" w:eastAsia="Times New Roman" w:hAnsi="Arial"/>
          <w:color w:val="000000"/>
          <w:lang w:val="es-CO"/>
        </w:rPr>
        <w:t xml:space="preserve"> en tanto, la finalidad del señor José Ricardo Cepeda Corredor es emplear la acción constitucional como una tercera instancia, acotó que el artículo 10 de la Ley 1333 de 2009 enmarca la caducidad de la acción sancionatoria ambiental, la cual no fue objeto de debate en el ordinario.</w:t>
      </w:r>
    </w:p>
    <w:p w14:paraId="302E10D8" w14:textId="77777777" w:rsidR="002356F8" w:rsidRPr="00FC1F98" w:rsidRDefault="002356F8" w:rsidP="002356F8">
      <w:pPr>
        <w:pStyle w:val="Prrafodelista"/>
        <w:tabs>
          <w:tab w:val="left" w:pos="567"/>
        </w:tabs>
        <w:spacing w:line="276" w:lineRule="auto"/>
        <w:ind w:left="0"/>
        <w:rPr>
          <w:rFonts w:ascii="Arial" w:eastAsia="Times New Roman" w:hAnsi="Arial"/>
          <w:color w:val="000000"/>
          <w:lang w:val="es-CO"/>
        </w:rPr>
      </w:pPr>
    </w:p>
    <w:p w14:paraId="63820E9B" w14:textId="06B32C4D" w:rsidR="002356F8" w:rsidRPr="00FC1F98" w:rsidRDefault="002356F8" w:rsidP="002356F8">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 xml:space="preserve">Hizo referencia a cada uno de los defectos alegados así: a) </w:t>
      </w:r>
      <w:r w:rsidRPr="00FC1F98">
        <w:rPr>
          <w:rFonts w:ascii="Arial" w:eastAsia="Times New Roman" w:hAnsi="Arial"/>
          <w:b/>
          <w:bCs/>
          <w:color w:val="000000"/>
          <w:lang w:val="es-CO"/>
        </w:rPr>
        <w:t>fáctico</w:t>
      </w:r>
      <w:r w:rsidRPr="00FC1F98">
        <w:rPr>
          <w:rFonts w:ascii="Arial" w:eastAsia="Times New Roman" w:hAnsi="Arial"/>
          <w:color w:val="000000"/>
          <w:lang w:val="es-CO"/>
        </w:rPr>
        <w:t>,</w:t>
      </w:r>
      <w:r w:rsidRPr="00FC1F98">
        <w:rPr>
          <w:rFonts w:ascii="Arial" w:eastAsia="Times New Roman" w:hAnsi="Arial"/>
          <w:b/>
          <w:bCs/>
          <w:color w:val="000000"/>
          <w:lang w:val="es-CO"/>
        </w:rPr>
        <w:t xml:space="preserve"> </w:t>
      </w:r>
      <w:r w:rsidRPr="00FC1F98">
        <w:rPr>
          <w:rFonts w:ascii="Arial" w:eastAsia="Times New Roman" w:hAnsi="Arial"/>
          <w:color w:val="000000"/>
          <w:lang w:val="es-CO"/>
        </w:rPr>
        <w:t>adujo falta de carga argumentativa, ya que no hubo especificidad de las pruebas no valoradas o analizadas de forma arbitraria y su incidencia en la decisión cuestionada, b)</w:t>
      </w:r>
      <w:r w:rsidRPr="00FC1F98">
        <w:rPr>
          <w:rFonts w:ascii="Arial" w:eastAsia="Times New Roman" w:hAnsi="Arial"/>
          <w:b/>
          <w:bCs/>
          <w:color w:val="000000"/>
          <w:lang w:val="es-CO"/>
        </w:rPr>
        <w:t xml:space="preserve"> error inducido</w:t>
      </w:r>
      <w:r w:rsidRPr="00FC1F98">
        <w:rPr>
          <w:rFonts w:ascii="Arial" w:eastAsia="Times New Roman" w:hAnsi="Arial"/>
          <w:color w:val="000000"/>
          <w:lang w:val="es-CO"/>
        </w:rPr>
        <w:t xml:space="preserve">, calificó de incoherente la norma citada por el actor en ese defecto (artículo 10 ibidem) c) </w:t>
      </w:r>
      <w:r w:rsidRPr="00FC1F98">
        <w:rPr>
          <w:rFonts w:ascii="Arial" w:eastAsia="Times New Roman" w:hAnsi="Arial"/>
          <w:b/>
          <w:bCs/>
          <w:color w:val="000000"/>
          <w:lang w:val="es-CO"/>
        </w:rPr>
        <w:t>desconocimiento de precedente judicial</w:t>
      </w:r>
      <w:r w:rsidRPr="00FC1F98">
        <w:rPr>
          <w:rFonts w:ascii="Arial" w:eastAsia="Times New Roman" w:hAnsi="Arial"/>
          <w:color w:val="000000"/>
          <w:lang w:val="es-CO"/>
        </w:rPr>
        <w:t xml:space="preserve">, </w:t>
      </w:r>
      <w:r w:rsidR="003A38A3" w:rsidRPr="00FC1F98">
        <w:rPr>
          <w:rFonts w:ascii="Arial" w:eastAsia="Times New Roman" w:hAnsi="Arial"/>
          <w:color w:val="000000"/>
          <w:lang w:val="es-CO"/>
        </w:rPr>
        <w:t xml:space="preserve">afirmó que </w:t>
      </w:r>
      <w:r w:rsidRPr="00FC1F98">
        <w:rPr>
          <w:rFonts w:ascii="Arial" w:eastAsia="Times New Roman" w:hAnsi="Arial"/>
          <w:color w:val="000000"/>
          <w:lang w:val="es-CO"/>
        </w:rPr>
        <w:t>l</w:t>
      </w:r>
      <w:r w:rsidR="003A38A3" w:rsidRPr="00FC1F98">
        <w:rPr>
          <w:rFonts w:ascii="Arial" w:eastAsia="Times New Roman" w:hAnsi="Arial"/>
          <w:color w:val="000000"/>
          <w:lang w:val="es-CO"/>
        </w:rPr>
        <w:t>o</w:t>
      </w:r>
      <w:r w:rsidRPr="00FC1F98">
        <w:rPr>
          <w:rFonts w:ascii="Arial" w:eastAsia="Times New Roman" w:hAnsi="Arial"/>
          <w:color w:val="000000"/>
          <w:lang w:val="es-CO"/>
        </w:rPr>
        <w:t>s procesos de reparación directa referidos en la demanda</w:t>
      </w:r>
      <w:r w:rsidR="003A38A3" w:rsidRPr="00FC1F98">
        <w:rPr>
          <w:rFonts w:ascii="Arial" w:eastAsia="Times New Roman" w:hAnsi="Arial"/>
          <w:color w:val="000000"/>
          <w:lang w:val="es-CO"/>
        </w:rPr>
        <w:t xml:space="preserve"> tutelar </w:t>
      </w:r>
      <w:r w:rsidRPr="00FC1F98">
        <w:rPr>
          <w:rFonts w:ascii="Arial" w:eastAsia="Times New Roman" w:hAnsi="Arial"/>
          <w:color w:val="000000"/>
          <w:lang w:val="es-CO"/>
        </w:rPr>
        <w:t>fueron analizados en el providencia atacada</w:t>
      </w:r>
      <w:r w:rsidR="008D25B0" w:rsidRPr="00FC1F98">
        <w:rPr>
          <w:rFonts w:ascii="Arial" w:eastAsia="Times New Roman" w:hAnsi="Arial"/>
          <w:color w:val="000000"/>
          <w:lang w:val="es-CO"/>
        </w:rPr>
        <w:t xml:space="preserve"> y</w:t>
      </w:r>
      <w:r w:rsidRPr="00FC1F98">
        <w:rPr>
          <w:rFonts w:ascii="Arial" w:eastAsia="Times New Roman" w:hAnsi="Arial"/>
          <w:color w:val="000000"/>
          <w:lang w:val="es-CO"/>
        </w:rPr>
        <w:t xml:space="preserve">, d) </w:t>
      </w:r>
      <w:r w:rsidRPr="00FC1F98">
        <w:rPr>
          <w:rFonts w:ascii="Arial" w:eastAsia="Times New Roman" w:hAnsi="Arial"/>
          <w:b/>
          <w:bCs/>
          <w:color w:val="000000"/>
          <w:lang w:val="es-CO"/>
        </w:rPr>
        <w:t xml:space="preserve">violación directa de la </w:t>
      </w:r>
      <w:r w:rsidR="003053C6" w:rsidRPr="00FC1F98">
        <w:rPr>
          <w:rFonts w:ascii="Arial" w:eastAsia="Times New Roman" w:hAnsi="Arial"/>
          <w:b/>
          <w:bCs/>
          <w:color w:val="000000"/>
          <w:lang w:val="es-CO"/>
        </w:rPr>
        <w:t>C</w:t>
      </w:r>
      <w:r w:rsidRPr="00FC1F98">
        <w:rPr>
          <w:rFonts w:ascii="Arial" w:eastAsia="Times New Roman" w:hAnsi="Arial"/>
          <w:b/>
          <w:bCs/>
          <w:color w:val="000000"/>
          <w:lang w:val="es-CO"/>
        </w:rPr>
        <w:t>onstitución</w:t>
      </w:r>
      <w:r w:rsidRPr="00FC1F98">
        <w:rPr>
          <w:rFonts w:ascii="Arial" w:eastAsia="Times New Roman" w:hAnsi="Arial"/>
          <w:color w:val="000000"/>
          <w:lang w:val="es-CO"/>
        </w:rPr>
        <w:t xml:space="preserve">, </w:t>
      </w:r>
      <w:r w:rsidR="003A38A3" w:rsidRPr="00FC1F98">
        <w:rPr>
          <w:rFonts w:ascii="Arial" w:eastAsia="Times New Roman" w:hAnsi="Arial"/>
          <w:color w:val="000000"/>
          <w:lang w:val="es-CO"/>
        </w:rPr>
        <w:t xml:space="preserve">aludió </w:t>
      </w:r>
      <w:r w:rsidRPr="00FC1F98">
        <w:rPr>
          <w:rFonts w:ascii="Arial" w:eastAsia="Times New Roman" w:hAnsi="Arial"/>
          <w:color w:val="000000"/>
          <w:lang w:val="es-CO"/>
        </w:rPr>
        <w:t>falta de carga argumentativa</w:t>
      </w:r>
      <w:r w:rsidR="003A38A3" w:rsidRPr="00FC1F98">
        <w:rPr>
          <w:rFonts w:ascii="Arial" w:eastAsia="Times New Roman" w:hAnsi="Arial"/>
          <w:color w:val="000000"/>
          <w:lang w:val="es-CO"/>
        </w:rPr>
        <w:t xml:space="preserve"> y la no demostración del yerro deprecado</w:t>
      </w:r>
      <w:r w:rsidRPr="00FC1F98">
        <w:rPr>
          <w:rFonts w:ascii="Arial" w:eastAsia="Times New Roman" w:hAnsi="Arial"/>
          <w:color w:val="000000"/>
          <w:lang w:val="es-CO"/>
        </w:rPr>
        <w:t>.</w:t>
      </w:r>
    </w:p>
    <w:p w14:paraId="73F7C632" w14:textId="037B66E7" w:rsidR="003A38A3" w:rsidRPr="00FC1F98" w:rsidRDefault="003A38A3" w:rsidP="002356F8">
      <w:pPr>
        <w:pStyle w:val="Prrafodelista"/>
        <w:tabs>
          <w:tab w:val="left" w:pos="567"/>
        </w:tabs>
        <w:spacing w:line="276" w:lineRule="auto"/>
        <w:ind w:left="0"/>
        <w:rPr>
          <w:rFonts w:ascii="Arial" w:eastAsia="Times New Roman" w:hAnsi="Arial"/>
          <w:color w:val="000000"/>
          <w:lang w:val="es-CO"/>
        </w:rPr>
      </w:pPr>
    </w:p>
    <w:p w14:paraId="4893949E" w14:textId="60DEF96C" w:rsidR="002356F8" w:rsidRPr="00FC1F98" w:rsidRDefault="003A38A3" w:rsidP="002356F8">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Concluyó que el tribunal en su decisión, tuvo en cuenta varias hipótesis como también las pruebas del plenario para determinar la caducidad conforme a las reglas de la sana crítica, con un estudio juicioso y pormenorizado (cita varias páginas del proveído).</w:t>
      </w:r>
    </w:p>
    <w:p w14:paraId="6513A110" w14:textId="3D16D42E" w:rsidR="00E300EF" w:rsidRPr="00FC1F98" w:rsidRDefault="00E300EF" w:rsidP="002356F8">
      <w:pPr>
        <w:pStyle w:val="Prrafodelista"/>
        <w:tabs>
          <w:tab w:val="left" w:pos="567"/>
        </w:tabs>
        <w:spacing w:line="276" w:lineRule="auto"/>
        <w:ind w:left="0"/>
        <w:rPr>
          <w:rFonts w:ascii="Arial" w:eastAsia="Times New Roman" w:hAnsi="Arial"/>
          <w:color w:val="000000"/>
          <w:lang w:val="es-CO"/>
        </w:rPr>
      </w:pPr>
    </w:p>
    <w:p w14:paraId="2FD6BBBC" w14:textId="712F477F" w:rsidR="00E300EF" w:rsidRPr="00FC1F98" w:rsidRDefault="005E29CF" w:rsidP="002356F8">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6</w:t>
      </w:r>
      <w:r w:rsidR="00E300EF" w:rsidRPr="00FC1F98">
        <w:rPr>
          <w:rFonts w:ascii="Arial" w:eastAsia="Times New Roman" w:hAnsi="Arial"/>
          <w:color w:val="000000"/>
          <w:lang w:val="es-CO"/>
        </w:rPr>
        <w:t xml:space="preserve">.10. </w:t>
      </w:r>
      <w:r w:rsidR="00E300EF" w:rsidRPr="00FC1F98">
        <w:rPr>
          <w:rFonts w:ascii="Arial" w:eastAsia="Times New Roman" w:hAnsi="Arial"/>
          <w:b/>
          <w:bCs/>
          <w:color w:val="000000"/>
          <w:lang w:val="es-CO"/>
        </w:rPr>
        <w:t>Los demás sujetos procesales,</w:t>
      </w:r>
      <w:r w:rsidR="00E300EF" w:rsidRPr="00FC1F98">
        <w:rPr>
          <w:rFonts w:ascii="Arial" w:eastAsia="Times New Roman" w:hAnsi="Arial"/>
          <w:color w:val="000000"/>
          <w:lang w:val="es-CO"/>
        </w:rPr>
        <w:t xml:space="preserve"> a pesar de haber sido notificados en debida forma guardaron silencio</w:t>
      </w:r>
      <w:r w:rsidR="00E300EF" w:rsidRPr="00FC1F98">
        <w:rPr>
          <w:rStyle w:val="Refdenotaalpie"/>
          <w:rFonts w:ascii="Arial" w:eastAsia="Times New Roman" w:hAnsi="Arial"/>
          <w:color w:val="000000"/>
          <w:lang w:val="es-CO"/>
        </w:rPr>
        <w:footnoteReference w:id="42"/>
      </w:r>
      <w:r w:rsidR="00E300EF" w:rsidRPr="00FC1F98">
        <w:rPr>
          <w:rFonts w:ascii="Arial" w:eastAsia="Times New Roman" w:hAnsi="Arial"/>
          <w:color w:val="000000"/>
          <w:lang w:val="es-CO"/>
        </w:rPr>
        <w:t>.</w:t>
      </w:r>
    </w:p>
    <w:p w14:paraId="211ECCC0" w14:textId="77777777" w:rsidR="003F5C4E" w:rsidRPr="00FC1F98" w:rsidRDefault="003F5C4E" w:rsidP="002356F8">
      <w:pPr>
        <w:pStyle w:val="Prrafodelista"/>
        <w:tabs>
          <w:tab w:val="left" w:pos="567"/>
        </w:tabs>
        <w:spacing w:line="276" w:lineRule="auto"/>
        <w:ind w:left="0"/>
        <w:rPr>
          <w:rFonts w:ascii="Arial" w:eastAsia="Times New Roman" w:hAnsi="Arial"/>
          <w:smallCaps/>
          <w:color w:val="000000"/>
          <w:lang w:val="es-CO"/>
        </w:rPr>
      </w:pPr>
    </w:p>
    <w:p w14:paraId="218022CF" w14:textId="3CC968BE" w:rsidR="0017188E" w:rsidRPr="00FC1F98" w:rsidRDefault="007213D8" w:rsidP="00A57035">
      <w:pPr>
        <w:pStyle w:val="Prrafodelista"/>
        <w:numPr>
          <w:ilvl w:val="0"/>
          <w:numId w:val="5"/>
        </w:numPr>
        <w:tabs>
          <w:tab w:val="left" w:pos="567"/>
        </w:tabs>
        <w:spacing w:line="276" w:lineRule="auto"/>
        <w:jc w:val="center"/>
        <w:rPr>
          <w:rFonts w:ascii="Arial" w:eastAsia="Times New Roman" w:hAnsi="Arial"/>
          <w:b/>
          <w:bCs/>
          <w:color w:val="000000"/>
          <w:lang w:val="es-CO"/>
        </w:rPr>
      </w:pPr>
      <w:r w:rsidRPr="00FC1F98">
        <w:rPr>
          <w:rFonts w:ascii="Arial" w:eastAsia="Times New Roman" w:hAnsi="Arial"/>
          <w:b/>
          <w:bCs/>
          <w:color w:val="000000"/>
        </w:rPr>
        <w:t>CONSIDERACIONES DE LA SALA</w:t>
      </w:r>
    </w:p>
    <w:p w14:paraId="43B15B04" w14:textId="192A173C" w:rsidR="007213D8" w:rsidRPr="00FC1F98" w:rsidRDefault="007213D8" w:rsidP="00A57035">
      <w:pPr>
        <w:tabs>
          <w:tab w:val="left" w:pos="567"/>
        </w:tabs>
        <w:spacing w:line="276" w:lineRule="auto"/>
        <w:rPr>
          <w:rFonts w:ascii="Arial" w:eastAsia="Times New Roman" w:hAnsi="Arial"/>
          <w:b/>
          <w:bCs/>
          <w:color w:val="000000"/>
          <w:lang w:val="es-CO"/>
        </w:rPr>
      </w:pPr>
    </w:p>
    <w:p w14:paraId="7ECA230C" w14:textId="2B3F2F84" w:rsidR="007213D8" w:rsidRPr="00FC1F98" w:rsidRDefault="007213D8" w:rsidP="00A57035">
      <w:pPr>
        <w:pStyle w:val="Prrafodelista"/>
        <w:numPr>
          <w:ilvl w:val="0"/>
          <w:numId w:val="7"/>
        </w:numPr>
        <w:tabs>
          <w:tab w:val="left" w:pos="567"/>
        </w:tabs>
        <w:spacing w:line="276" w:lineRule="auto"/>
        <w:ind w:left="0" w:firstLine="0"/>
        <w:rPr>
          <w:rFonts w:ascii="Arial" w:eastAsia="Times New Roman" w:hAnsi="Arial"/>
          <w:b/>
          <w:bCs/>
          <w:color w:val="000000"/>
          <w:lang w:val="es-CO"/>
        </w:rPr>
      </w:pPr>
      <w:r w:rsidRPr="00FC1F98">
        <w:rPr>
          <w:rFonts w:ascii="Arial" w:eastAsia="Times New Roman" w:hAnsi="Arial"/>
          <w:b/>
          <w:bCs/>
          <w:color w:val="000000"/>
          <w:lang w:val="es-CO"/>
        </w:rPr>
        <w:t xml:space="preserve"> Competencia</w:t>
      </w:r>
    </w:p>
    <w:p w14:paraId="320EB5EB" w14:textId="7965BF7A" w:rsidR="007213D8" w:rsidRPr="00FC1F98" w:rsidRDefault="007213D8" w:rsidP="00A57035">
      <w:pPr>
        <w:pStyle w:val="Prrafodelista"/>
        <w:tabs>
          <w:tab w:val="left" w:pos="567"/>
        </w:tabs>
        <w:spacing w:line="276" w:lineRule="auto"/>
        <w:ind w:left="0"/>
        <w:rPr>
          <w:rFonts w:ascii="Arial" w:eastAsia="Times New Roman" w:hAnsi="Arial"/>
          <w:b/>
          <w:bCs/>
          <w:color w:val="000000"/>
          <w:lang w:val="es-CO"/>
        </w:rPr>
      </w:pPr>
    </w:p>
    <w:p w14:paraId="4F6F939F" w14:textId="40595C1F" w:rsidR="007213D8" w:rsidRDefault="007213D8" w:rsidP="00A57035">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 xml:space="preserve">Esta Sala es competente para asumir </w:t>
      </w:r>
      <w:r w:rsidR="00C44A14" w:rsidRPr="00FC1F98">
        <w:rPr>
          <w:rFonts w:ascii="Arial" w:eastAsia="Times New Roman" w:hAnsi="Arial"/>
          <w:color w:val="000000"/>
          <w:lang w:val="es-CO"/>
        </w:rPr>
        <w:t xml:space="preserve">el conocimiento de </w:t>
      </w:r>
      <w:r w:rsidRPr="00FC1F98">
        <w:rPr>
          <w:rFonts w:ascii="Arial" w:eastAsia="Times New Roman" w:hAnsi="Arial"/>
          <w:color w:val="000000"/>
          <w:lang w:val="es-CO"/>
        </w:rPr>
        <w:t xml:space="preserve">la acción de tutela </w:t>
      </w:r>
      <w:r w:rsidR="00C44A14" w:rsidRPr="00FC1F98">
        <w:rPr>
          <w:rFonts w:ascii="Arial" w:eastAsia="Times New Roman" w:hAnsi="Arial"/>
          <w:color w:val="000000"/>
          <w:lang w:val="es-CO"/>
        </w:rPr>
        <w:t>de la referencia</w:t>
      </w:r>
      <w:r w:rsidRPr="00FC1F98">
        <w:rPr>
          <w:rFonts w:ascii="Arial" w:eastAsia="Times New Roman" w:hAnsi="Arial"/>
          <w:color w:val="000000"/>
          <w:lang w:val="es-CO"/>
        </w:rPr>
        <w:t>, según lo establecido por el Decreto No. 2591 de 1991, en concordancia con el Decreto No. 1069 de 2015 modificado por el Decreto No. 1983 de 2017 y el Acuerdo 080 de 2019.</w:t>
      </w:r>
    </w:p>
    <w:p w14:paraId="3F2FF9C9" w14:textId="2E8E7CC5" w:rsidR="00944529" w:rsidRDefault="00944529" w:rsidP="00A57035">
      <w:pPr>
        <w:pStyle w:val="Prrafodelista"/>
        <w:tabs>
          <w:tab w:val="left" w:pos="567"/>
        </w:tabs>
        <w:spacing w:line="276" w:lineRule="auto"/>
        <w:ind w:left="0"/>
        <w:rPr>
          <w:rFonts w:ascii="Arial" w:eastAsia="Times New Roman" w:hAnsi="Arial"/>
          <w:color w:val="000000"/>
          <w:lang w:val="es-CO"/>
        </w:rPr>
      </w:pPr>
    </w:p>
    <w:p w14:paraId="2B5568DC" w14:textId="06A48ADB" w:rsidR="00944529" w:rsidRDefault="00944529" w:rsidP="00A57035">
      <w:pPr>
        <w:pStyle w:val="Prrafodelista"/>
        <w:tabs>
          <w:tab w:val="left" w:pos="567"/>
        </w:tabs>
        <w:spacing w:line="276" w:lineRule="auto"/>
        <w:ind w:left="0"/>
        <w:rPr>
          <w:rFonts w:ascii="Arial" w:eastAsia="Times New Roman" w:hAnsi="Arial"/>
          <w:color w:val="000000"/>
          <w:lang w:val="es-CO"/>
        </w:rPr>
      </w:pPr>
    </w:p>
    <w:p w14:paraId="716F993F" w14:textId="6156EDBC" w:rsidR="00944529" w:rsidRDefault="00944529" w:rsidP="00A57035">
      <w:pPr>
        <w:pStyle w:val="Prrafodelista"/>
        <w:tabs>
          <w:tab w:val="left" w:pos="567"/>
        </w:tabs>
        <w:spacing w:line="276" w:lineRule="auto"/>
        <w:ind w:left="0"/>
        <w:rPr>
          <w:rFonts w:ascii="Arial" w:eastAsia="Times New Roman" w:hAnsi="Arial"/>
          <w:color w:val="000000"/>
          <w:lang w:val="es-CO"/>
        </w:rPr>
      </w:pPr>
    </w:p>
    <w:p w14:paraId="5EEB3C35" w14:textId="77777777" w:rsidR="00944529" w:rsidRPr="00FC1F98" w:rsidRDefault="00944529" w:rsidP="00A57035">
      <w:pPr>
        <w:pStyle w:val="Prrafodelista"/>
        <w:tabs>
          <w:tab w:val="left" w:pos="567"/>
        </w:tabs>
        <w:spacing w:line="276" w:lineRule="auto"/>
        <w:ind w:left="0"/>
        <w:rPr>
          <w:rFonts w:ascii="Arial" w:eastAsia="Times New Roman" w:hAnsi="Arial"/>
          <w:color w:val="000000"/>
          <w:lang w:val="es-CO"/>
        </w:rPr>
      </w:pPr>
    </w:p>
    <w:p w14:paraId="4694D5DB" w14:textId="77777777" w:rsidR="00EC0671" w:rsidRPr="00FC1F98" w:rsidRDefault="00EC0671" w:rsidP="00A57035">
      <w:pPr>
        <w:pStyle w:val="Prrafodelista"/>
        <w:tabs>
          <w:tab w:val="left" w:pos="567"/>
        </w:tabs>
        <w:spacing w:line="276" w:lineRule="auto"/>
        <w:ind w:left="0"/>
        <w:rPr>
          <w:rFonts w:ascii="Arial" w:eastAsia="Times New Roman" w:hAnsi="Arial"/>
          <w:color w:val="000000"/>
          <w:lang w:val="es-CO"/>
        </w:rPr>
      </w:pPr>
    </w:p>
    <w:p w14:paraId="0AB6A732" w14:textId="01147317" w:rsidR="00120C7D" w:rsidRPr="00FC1F98" w:rsidRDefault="00120C7D" w:rsidP="00120C7D">
      <w:pPr>
        <w:pStyle w:val="Prrafodelista"/>
        <w:numPr>
          <w:ilvl w:val="0"/>
          <w:numId w:val="7"/>
        </w:numPr>
        <w:tabs>
          <w:tab w:val="left" w:pos="567"/>
        </w:tabs>
        <w:spacing w:line="276" w:lineRule="auto"/>
        <w:ind w:left="0" w:firstLine="0"/>
        <w:rPr>
          <w:rFonts w:ascii="Arial" w:eastAsia="Times New Roman" w:hAnsi="Arial"/>
          <w:b/>
          <w:bCs/>
          <w:color w:val="000000"/>
          <w:lang w:val="es-CO"/>
        </w:rPr>
      </w:pPr>
      <w:r w:rsidRPr="00FC1F98">
        <w:rPr>
          <w:rFonts w:ascii="Arial" w:eastAsia="Times New Roman" w:hAnsi="Arial"/>
          <w:b/>
          <w:bCs/>
          <w:color w:val="000000"/>
          <w:lang w:val="es-CO"/>
        </w:rPr>
        <w:lastRenderedPageBreak/>
        <w:t xml:space="preserve"> Cuestión previa</w:t>
      </w:r>
    </w:p>
    <w:p w14:paraId="088FEA4A" w14:textId="59A6D6E6" w:rsidR="00120C7D" w:rsidRPr="00FC1F98" w:rsidRDefault="00120C7D" w:rsidP="00120C7D">
      <w:pPr>
        <w:tabs>
          <w:tab w:val="left" w:pos="567"/>
        </w:tabs>
        <w:spacing w:line="276" w:lineRule="auto"/>
        <w:rPr>
          <w:rFonts w:ascii="Arial" w:eastAsia="Times New Roman" w:hAnsi="Arial"/>
          <w:b/>
          <w:bCs/>
          <w:color w:val="000000"/>
          <w:lang w:val="es-CO"/>
        </w:rPr>
      </w:pPr>
    </w:p>
    <w:p w14:paraId="708F0CB2" w14:textId="1112809D" w:rsidR="00120C7D" w:rsidRPr="00FC1F98" w:rsidRDefault="000031FF" w:rsidP="000031FF">
      <w:pPr>
        <w:pStyle w:val="Prrafodelista"/>
        <w:numPr>
          <w:ilvl w:val="1"/>
          <w:numId w:val="7"/>
        </w:numPr>
        <w:tabs>
          <w:tab w:val="left" w:pos="567"/>
        </w:tabs>
        <w:spacing w:line="276" w:lineRule="auto"/>
        <w:ind w:left="0" w:firstLine="0"/>
        <w:rPr>
          <w:rFonts w:ascii="Arial" w:eastAsia="Times New Roman" w:hAnsi="Arial"/>
          <w:b/>
          <w:bCs/>
          <w:color w:val="000000"/>
          <w:lang w:val="es-CO"/>
        </w:rPr>
      </w:pPr>
      <w:r w:rsidRPr="00FC1F98">
        <w:rPr>
          <w:rFonts w:ascii="Arial" w:eastAsia="Times New Roman" w:hAnsi="Arial"/>
          <w:b/>
          <w:bCs/>
          <w:color w:val="000000"/>
          <w:lang w:val="es-CO"/>
        </w:rPr>
        <w:t xml:space="preserve">Legitimación en la causa por </w:t>
      </w:r>
      <w:r w:rsidR="00002AA7" w:rsidRPr="00FC1F98">
        <w:rPr>
          <w:rFonts w:ascii="Arial" w:eastAsia="Times New Roman" w:hAnsi="Arial"/>
          <w:b/>
          <w:bCs/>
          <w:color w:val="000000"/>
          <w:lang w:val="es-CO"/>
        </w:rPr>
        <w:t>pasiva</w:t>
      </w:r>
    </w:p>
    <w:p w14:paraId="0123EC5D" w14:textId="52CB00AA" w:rsidR="00D45EA0" w:rsidRPr="00FC1F98" w:rsidRDefault="00D45EA0" w:rsidP="00A57035">
      <w:pPr>
        <w:pStyle w:val="Prrafodelista"/>
        <w:tabs>
          <w:tab w:val="left" w:pos="567"/>
        </w:tabs>
        <w:spacing w:line="276" w:lineRule="auto"/>
        <w:ind w:left="0"/>
        <w:rPr>
          <w:rFonts w:ascii="Arial" w:eastAsia="Times New Roman" w:hAnsi="Arial"/>
          <w:color w:val="000000"/>
          <w:lang w:val="es-CO"/>
        </w:rPr>
      </w:pPr>
    </w:p>
    <w:p w14:paraId="695B90F7" w14:textId="1EBD43DA" w:rsidR="00CC1DBE" w:rsidRPr="00FC1F98" w:rsidRDefault="000031FF" w:rsidP="000031FF">
      <w:pPr>
        <w:pStyle w:val="Prrafodelista"/>
        <w:tabs>
          <w:tab w:val="left" w:pos="567"/>
        </w:tabs>
        <w:spacing w:line="276" w:lineRule="auto"/>
        <w:ind w:left="0"/>
        <w:rPr>
          <w:rFonts w:ascii="Arial" w:eastAsia="Times New Roman" w:hAnsi="Arial"/>
          <w:color w:val="000000"/>
        </w:rPr>
      </w:pPr>
      <w:r w:rsidRPr="00FC1F98">
        <w:rPr>
          <w:rFonts w:ascii="Arial" w:eastAsia="Times New Roman" w:hAnsi="Arial"/>
          <w:color w:val="000000"/>
          <w:lang w:val="es-CO"/>
        </w:rPr>
        <w:t xml:space="preserve">La Sala advierte que </w:t>
      </w:r>
      <w:r w:rsidR="001A12EB" w:rsidRPr="00FC1F98">
        <w:rPr>
          <w:rFonts w:ascii="Arial" w:eastAsia="Times New Roman" w:hAnsi="Arial"/>
          <w:color w:val="000000"/>
          <w:lang w:val="es-CO"/>
        </w:rPr>
        <w:t xml:space="preserve">los ministerios de </w:t>
      </w:r>
      <w:bookmarkStart w:id="9" w:name="_Hlk66270999"/>
      <w:r w:rsidR="001A12EB" w:rsidRPr="00FC1F98">
        <w:rPr>
          <w:rFonts w:ascii="Arial" w:eastAsia="Times New Roman" w:hAnsi="Arial"/>
          <w:color w:val="000000"/>
          <w:lang w:val="es-CO"/>
        </w:rPr>
        <w:t>Vivienda, Ciudad y Territorio</w:t>
      </w:r>
      <w:r w:rsidR="00F35607" w:rsidRPr="00FC1F98">
        <w:rPr>
          <w:rFonts w:ascii="Arial" w:eastAsia="Times New Roman" w:hAnsi="Arial"/>
          <w:color w:val="000000"/>
          <w:lang w:val="es-CO"/>
        </w:rPr>
        <w:t xml:space="preserve"> y</w:t>
      </w:r>
      <w:r w:rsidR="001A12EB" w:rsidRPr="00FC1F98">
        <w:rPr>
          <w:rFonts w:ascii="Arial" w:eastAsia="Times New Roman" w:hAnsi="Arial"/>
          <w:color w:val="000000"/>
          <w:lang w:val="es-CO"/>
        </w:rPr>
        <w:t xml:space="preserve">; </w:t>
      </w:r>
      <w:r w:rsidR="00F35607" w:rsidRPr="00FC1F98">
        <w:rPr>
          <w:rFonts w:ascii="Arial" w:eastAsia="Times New Roman" w:hAnsi="Arial"/>
          <w:color w:val="000000"/>
          <w:lang w:val="es-CO"/>
        </w:rPr>
        <w:t xml:space="preserve">de </w:t>
      </w:r>
      <w:r w:rsidR="00CC1DBE" w:rsidRPr="00FC1F98">
        <w:rPr>
          <w:rFonts w:ascii="Arial" w:eastAsia="Times New Roman" w:hAnsi="Arial"/>
          <w:color w:val="000000"/>
          <w:lang w:val="es-CO"/>
        </w:rPr>
        <w:t>Ambiente y Desarrollo Sostenible;</w:t>
      </w:r>
      <w:bookmarkEnd w:id="9"/>
      <w:r w:rsidR="00CC1DBE" w:rsidRPr="00FC1F98">
        <w:rPr>
          <w:rFonts w:ascii="Arial" w:eastAsia="Times New Roman" w:hAnsi="Arial"/>
          <w:color w:val="000000"/>
          <w:lang w:val="es-CO"/>
        </w:rPr>
        <w:t xml:space="preserve"> </w:t>
      </w:r>
      <w:r w:rsidR="00002AA7" w:rsidRPr="00FC1F98">
        <w:rPr>
          <w:rFonts w:ascii="Arial" w:eastAsia="Times New Roman" w:hAnsi="Arial"/>
          <w:color w:val="000000"/>
          <w:lang w:val="es-CO"/>
        </w:rPr>
        <w:t xml:space="preserve">así como </w:t>
      </w:r>
      <w:r w:rsidR="001A12EB" w:rsidRPr="00FC1F98">
        <w:rPr>
          <w:rFonts w:ascii="Arial" w:eastAsia="Times New Roman" w:hAnsi="Arial"/>
          <w:color w:val="000000"/>
        </w:rPr>
        <w:t>el Servicio Geológico Colombiano</w:t>
      </w:r>
      <w:r w:rsidR="00CC1DBE" w:rsidRPr="00FC1F98">
        <w:rPr>
          <w:rFonts w:ascii="Arial" w:eastAsia="Times New Roman" w:hAnsi="Arial"/>
          <w:color w:val="000000"/>
        </w:rPr>
        <w:t xml:space="preserve"> coinciden en </w:t>
      </w:r>
      <w:r w:rsidR="00F35607" w:rsidRPr="00FC1F98">
        <w:rPr>
          <w:rFonts w:ascii="Arial" w:eastAsia="Times New Roman" w:hAnsi="Arial"/>
          <w:color w:val="000000"/>
        </w:rPr>
        <w:t xml:space="preserve">la </w:t>
      </w:r>
      <w:r w:rsidR="00CC1DBE" w:rsidRPr="00FC1F98">
        <w:rPr>
          <w:rFonts w:ascii="Arial" w:eastAsia="Times New Roman" w:hAnsi="Arial"/>
          <w:color w:val="000000"/>
        </w:rPr>
        <w:t xml:space="preserve">proposición de la excepción de la referencia, en suma, al considerar que dentro de su naturaleza, funciones y objetivos abrogadas por la ley no tienen </w:t>
      </w:r>
      <w:r w:rsidR="00CC1DBE" w:rsidRPr="00FC1F98">
        <w:rPr>
          <w:rFonts w:ascii="Arial" w:eastAsia="Times New Roman" w:hAnsi="Arial"/>
        </w:rPr>
        <w:t>una relación sustancial con el asunto objeto de debate</w:t>
      </w:r>
      <w:r w:rsidR="005C22F4" w:rsidRPr="00FC1F98">
        <w:rPr>
          <w:rFonts w:ascii="Arial" w:eastAsia="Times New Roman" w:hAnsi="Arial"/>
        </w:rPr>
        <w:t>,</w:t>
      </w:r>
      <w:r w:rsidR="00CC1DBE" w:rsidRPr="00FC1F98">
        <w:rPr>
          <w:rFonts w:ascii="Arial" w:eastAsia="Times New Roman" w:hAnsi="Arial"/>
        </w:rPr>
        <w:t xml:space="preserve"> y tampoco ha</w:t>
      </w:r>
      <w:r w:rsidR="00120ECF" w:rsidRPr="00FC1F98">
        <w:rPr>
          <w:rFonts w:ascii="Arial" w:eastAsia="Times New Roman" w:hAnsi="Arial"/>
        </w:rPr>
        <w:t>n</w:t>
      </w:r>
      <w:r w:rsidR="00CC1DBE" w:rsidRPr="00FC1F98">
        <w:rPr>
          <w:rFonts w:ascii="Arial" w:eastAsia="Times New Roman" w:hAnsi="Arial"/>
        </w:rPr>
        <w:t xml:space="preserve"> conculcado los derechos invocados por el tutelante, por lo que</w:t>
      </w:r>
      <w:r w:rsidR="00CC1DBE" w:rsidRPr="00FC1F98">
        <w:rPr>
          <w:rFonts w:ascii="Arial" w:eastAsia="Times New Roman" w:hAnsi="Arial"/>
          <w:color w:val="000000"/>
          <w:lang w:val="es-CO"/>
        </w:rPr>
        <w:t xml:space="preserve"> no debe</w:t>
      </w:r>
      <w:r w:rsidR="00120ECF" w:rsidRPr="00FC1F98">
        <w:rPr>
          <w:rFonts w:ascii="Arial" w:eastAsia="Times New Roman" w:hAnsi="Arial"/>
          <w:color w:val="000000"/>
          <w:lang w:val="es-CO"/>
        </w:rPr>
        <w:t>n</w:t>
      </w:r>
      <w:r w:rsidR="00CC1DBE" w:rsidRPr="00FC1F98">
        <w:rPr>
          <w:rFonts w:ascii="Arial" w:eastAsia="Times New Roman" w:hAnsi="Arial"/>
          <w:color w:val="000000"/>
          <w:lang w:val="es-CO"/>
        </w:rPr>
        <w:t xml:space="preserve"> responder por las consecuencias derivadas del posible incumplimiento de las obligaciones que legalmente tiene</w:t>
      </w:r>
      <w:r w:rsidR="00120ECF" w:rsidRPr="00FC1F98">
        <w:rPr>
          <w:rFonts w:ascii="Arial" w:eastAsia="Times New Roman" w:hAnsi="Arial"/>
          <w:color w:val="000000"/>
          <w:lang w:val="es-CO"/>
        </w:rPr>
        <w:t>n</w:t>
      </w:r>
      <w:r w:rsidR="00CC1DBE" w:rsidRPr="00FC1F98">
        <w:rPr>
          <w:rFonts w:ascii="Arial" w:eastAsia="Times New Roman" w:hAnsi="Arial"/>
          <w:color w:val="000000"/>
          <w:lang w:val="es-CO"/>
        </w:rPr>
        <w:t xml:space="preserve"> asignadas otras entidades del Estado.</w:t>
      </w:r>
    </w:p>
    <w:p w14:paraId="2AEDAA67" w14:textId="77777777" w:rsidR="00CC1DBE" w:rsidRPr="00FC1F98" w:rsidRDefault="00CC1DBE" w:rsidP="000031FF">
      <w:pPr>
        <w:pStyle w:val="Prrafodelista"/>
        <w:tabs>
          <w:tab w:val="left" w:pos="567"/>
        </w:tabs>
        <w:spacing w:line="276" w:lineRule="auto"/>
        <w:ind w:left="0"/>
        <w:rPr>
          <w:rFonts w:ascii="Arial" w:eastAsia="Times New Roman" w:hAnsi="Arial"/>
          <w:color w:val="000000"/>
        </w:rPr>
      </w:pPr>
    </w:p>
    <w:p w14:paraId="5582F414" w14:textId="5DE0CE8C" w:rsidR="00CC1DBE" w:rsidRPr="00FC1F98" w:rsidRDefault="00F35607" w:rsidP="00CC1DBE">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rPr>
        <w:t xml:space="preserve">Por su parte, </w:t>
      </w:r>
      <w:r w:rsidR="00CC1DBE" w:rsidRPr="00FC1F98">
        <w:rPr>
          <w:rFonts w:ascii="Arial" w:eastAsia="Times New Roman" w:hAnsi="Arial"/>
          <w:color w:val="000000"/>
        </w:rPr>
        <w:t>el</w:t>
      </w:r>
      <w:r w:rsidR="00CC1DBE" w:rsidRPr="00FC1F98">
        <w:rPr>
          <w:rFonts w:ascii="Arial" w:eastAsia="Times New Roman" w:hAnsi="Arial"/>
          <w:color w:val="000000"/>
          <w:lang w:val="es-CO"/>
        </w:rPr>
        <w:t xml:space="preserve"> </w:t>
      </w:r>
      <w:r w:rsidR="00CC1DBE" w:rsidRPr="00FC1F98">
        <w:rPr>
          <w:rFonts w:ascii="Arial" w:eastAsia="Times New Roman" w:hAnsi="Arial"/>
          <w:b/>
          <w:bCs/>
          <w:color w:val="000000"/>
          <w:lang w:val="es-CO"/>
        </w:rPr>
        <w:t>Ministerio de Minas y Energía</w:t>
      </w:r>
      <w:r w:rsidRPr="00FC1F98">
        <w:rPr>
          <w:rFonts w:ascii="Arial" w:eastAsia="Times New Roman" w:hAnsi="Arial"/>
          <w:color w:val="000000"/>
          <w:lang w:val="es-CO"/>
        </w:rPr>
        <w:t xml:space="preserve">, que también </w:t>
      </w:r>
      <w:r w:rsidRPr="00FC1F98">
        <w:rPr>
          <w:rFonts w:ascii="Arial" w:eastAsia="Times New Roman" w:hAnsi="Arial"/>
          <w:color w:val="000000"/>
        </w:rPr>
        <w:t>propuso la excepción en cita</w:t>
      </w:r>
      <w:r w:rsidR="002F2255" w:rsidRPr="00FC1F98">
        <w:rPr>
          <w:rFonts w:ascii="Arial" w:eastAsia="Times New Roman" w:hAnsi="Arial"/>
          <w:color w:val="000000"/>
        </w:rPr>
        <w:t>,</w:t>
      </w:r>
      <w:r w:rsidR="00002AA7" w:rsidRPr="00FC1F98">
        <w:rPr>
          <w:rFonts w:ascii="Arial" w:eastAsia="Times New Roman" w:hAnsi="Arial"/>
          <w:color w:val="000000"/>
        </w:rPr>
        <w:t xml:space="preserve"> </w:t>
      </w:r>
      <w:r w:rsidR="00CC1DBE" w:rsidRPr="00FC1F98">
        <w:rPr>
          <w:rFonts w:ascii="Arial" w:eastAsia="Times New Roman" w:hAnsi="Arial"/>
          <w:color w:val="000000"/>
          <w:lang w:val="es-CO"/>
        </w:rPr>
        <w:t xml:space="preserve">puntualizó </w:t>
      </w:r>
      <w:proofErr w:type="gramStart"/>
      <w:r w:rsidR="00CC1DBE" w:rsidRPr="00FC1F98">
        <w:rPr>
          <w:rFonts w:ascii="Arial" w:eastAsia="Times New Roman" w:hAnsi="Arial"/>
          <w:color w:val="000000"/>
          <w:lang w:val="es-CO"/>
        </w:rPr>
        <w:t>que</w:t>
      </w:r>
      <w:proofErr w:type="gramEnd"/>
      <w:r w:rsidR="00CC1DBE" w:rsidRPr="00FC1F98">
        <w:rPr>
          <w:rFonts w:ascii="Arial" w:eastAsia="Times New Roman" w:hAnsi="Arial"/>
          <w:color w:val="000000"/>
          <w:lang w:val="es-CO"/>
        </w:rPr>
        <w:t xml:space="preserve"> </w:t>
      </w:r>
      <w:r w:rsidR="00CC1DBE" w:rsidRPr="00FC1F98">
        <w:rPr>
          <w:rFonts w:ascii="Arial" w:eastAsia="Times New Roman" w:hAnsi="Arial"/>
        </w:rPr>
        <w:t>dentro de su competencia, no tiene funciones relacionadas con el alcance pretendido por la parte actora, pues la misma se erige contra la providencia proferida por el Tribunal, respecto del cual no funge como superior funcional o jerárquico ni tiene ninguna injerencia.</w:t>
      </w:r>
    </w:p>
    <w:p w14:paraId="26D445B9" w14:textId="1BDA8CEB" w:rsidR="00CC1DBE" w:rsidRPr="00FC1F98" w:rsidRDefault="00CC1DBE" w:rsidP="000031FF">
      <w:pPr>
        <w:pStyle w:val="Prrafodelista"/>
        <w:tabs>
          <w:tab w:val="left" w:pos="567"/>
        </w:tabs>
        <w:spacing w:line="276" w:lineRule="auto"/>
        <w:ind w:left="0"/>
        <w:rPr>
          <w:rFonts w:ascii="Arial" w:eastAsia="Times New Roman" w:hAnsi="Arial"/>
          <w:color w:val="000000"/>
        </w:rPr>
      </w:pPr>
    </w:p>
    <w:p w14:paraId="6DBF6C28" w14:textId="162A86BC" w:rsidR="00706A67" w:rsidRPr="00FC1F98" w:rsidRDefault="00F35607" w:rsidP="002F2255">
      <w:pPr>
        <w:pStyle w:val="Prrafodelista"/>
        <w:tabs>
          <w:tab w:val="left" w:pos="567"/>
        </w:tabs>
        <w:spacing w:line="276" w:lineRule="auto"/>
        <w:ind w:left="0"/>
        <w:rPr>
          <w:rFonts w:ascii="Arial" w:eastAsia="Times New Roman" w:hAnsi="Arial"/>
          <w:color w:val="000000"/>
          <w:lang w:val="es-CO"/>
        </w:rPr>
      </w:pPr>
      <w:r w:rsidRPr="00FC1F98">
        <w:rPr>
          <w:rFonts w:ascii="Arial" w:eastAsia="Times New Roman" w:hAnsi="Arial"/>
          <w:color w:val="000000"/>
          <w:lang w:val="es-CO"/>
        </w:rPr>
        <w:t xml:space="preserve">Al respecto, precisa la Sala que, </w:t>
      </w:r>
      <w:r w:rsidR="002F2255" w:rsidRPr="00FC1F98">
        <w:rPr>
          <w:rFonts w:ascii="Arial" w:eastAsia="Times New Roman" w:hAnsi="Arial"/>
          <w:color w:val="000000"/>
          <w:lang w:val="es-CO"/>
        </w:rPr>
        <w:t>la solicitud deprecada por las distintas entidades anteriormente mencionadas, no tiene vocación de prosperidad, en la medida en que su</w:t>
      </w:r>
      <w:r w:rsidR="003053C6" w:rsidRPr="00FC1F98">
        <w:rPr>
          <w:rFonts w:ascii="Arial" w:eastAsia="Times New Roman" w:hAnsi="Arial"/>
          <w:color w:val="000000"/>
          <w:lang w:val="es-CO"/>
        </w:rPr>
        <w:t>s</w:t>
      </w:r>
      <w:r w:rsidR="002F2255" w:rsidRPr="00FC1F98">
        <w:rPr>
          <w:rFonts w:ascii="Arial" w:eastAsia="Times New Roman" w:hAnsi="Arial"/>
          <w:color w:val="000000"/>
          <w:lang w:val="es-CO"/>
        </w:rPr>
        <w:t xml:space="preserve"> vinculaci</w:t>
      </w:r>
      <w:r w:rsidR="003053C6" w:rsidRPr="00FC1F98">
        <w:rPr>
          <w:rFonts w:ascii="Arial" w:eastAsia="Times New Roman" w:hAnsi="Arial"/>
          <w:color w:val="000000"/>
          <w:lang w:val="es-CO"/>
        </w:rPr>
        <w:t>ones</w:t>
      </w:r>
      <w:r w:rsidR="002F2255" w:rsidRPr="00FC1F98">
        <w:rPr>
          <w:rFonts w:ascii="Arial" w:eastAsia="Times New Roman" w:hAnsi="Arial"/>
          <w:color w:val="000000"/>
          <w:lang w:val="es-CO"/>
        </w:rPr>
        <w:t xml:space="preserve"> se ll</w:t>
      </w:r>
      <w:r w:rsidR="001402E3" w:rsidRPr="00FC1F98">
        <w:rPr>
          <w:rFonts w:ascii="Arial" w:eastAsia="Times New Roman" w:hAnsi="Arial"/>
          <w:color w:val="000000"/>
          <w:lang w:val="es-CO"/>
        </w:rPr>
        <w:t>e</w:t>
      </w:r>
      <w:r w:rsidR="002F2255" w:rsidRPr="00FC1F98">
        <w:rPr>
          <w:rFonts w:ascii="Arial" w:eastAsia="Times New Roman" w:hAnsi="Arial"/>
          <w:color w:val="000000"/>
          <w:lang w:val="es-CO"/>
        </w:rPr>
        <w:t>v</w:t>
      </w:r>
      <w:r w:rsidR="003053C6" w:rsidRPr="00FC1F98">
        <w:rPr>
          <w:rFonts w:ascii="Arial" w:eastAsia="Times New Roman" w:hAnsi="Arial"/>
          <w:color w:val="000000"/>
          <w:lang w:val="es-CO"/>
        </w:rPr>
        <w:t xml:space="preserve">aron </w:t>
      </w:r>
      <w:r w:rsidR="002F2255" w:rsidRPr="00FC1F98">
        <w:rPr>
          <w:rFonts w:ascii="Arial" w:eastAsia="Times New Roman" w:hAnsi="Arial"/>
          <w:color w:val="000000"/>
          <w:lang w:val="es-CO"/>
        </w:rPr>
        <w:t xml:space="preserve">a cabo a cabo en calidad de terceros con </w:t>
      </w:r>
      <w:r w:rsidR="001402E3" w:rsidRPr="00FC1F98">
        <w:rPr>
          <w:rFonts w:ascii="Arial" w:eastAsia="Times New Roman" w:hAnsi="Arial"/>
          <w:color w:val="000000"/>
          <w:lang w:val="es-CO"/>
        </w:rPr>
        <w:t>interés</w:t>
      </w:r>
      <w:r w:rsidR="002F2255" w:rsidRPr="00FC1F98">
        <w:rPr>
          <w:rFonts w:ascii="Arial" w:eastAsia="Times New Roman" w:hAnsi="Arial"/>
          <w:color w:val="000000"/>
          <w:lang w:val="es-CO"/>
        </w:rPr>
        <w:t xml:space="preserve"> en las resultas del proceso, por cuanto, fueron parte del extremo demandado, en el proceso de reparación directa con radicado </w:t>
      </w:r>
      <w:r w:rsidR="002F2255" w:rsidRPr="00FC1F98">
        <w:rPr>
          <w:rFonts w:ascii="Arial" w:hAnsi="Arial"/>
        </w:rPr>
        <w:t>15693-33-31-002-2011-00237-00/01</w:t>
      </w:r>
      <w:r w:rsidR="002F2255" w:rsidRPr="00FC1F98">
        <w:rPr>
          <w:rFonts w:ascii="Arial" w:eastAsia="Times New Roman" w:hAnsi="Arial"/>
          <w:color w:val="000000"/>
          <w:lang w:val="es-CO"/>
        </w:rPr>
        <w:t>, ordinario en el que se profirieron las providencias que son objeto de debate en la presente acción constitucional</w:t>
      </w:r>
      <w:r w:rsidR="003053C6" w:rsidRPr="00FC1F98">
        <w:rPr>
          <w:rFonts w:ascii="Arial" w:eastAsia="Times New Roman" w:hAnsi="Arial"/>
          <w:color w:val="000000"/>
          <w:lang w:val="es-CO"/>
        </w:rPr>
        <w:t>, por lo que dicha petición será negada</w:t>
      </w:r>
      <w:r w:rsidR="002F2255" w:rsidRPr="00FC1F98">
        <w:rPr>
          <w:rFonts w:ascii="Arial" w:eastAsia="Times New Roman" w:hAnsi="Arial"/>
          <w:color w:val="000000"/>
          <w:lang w:val="es-CO"/>
        </w:rPr>
        <w:t>.</w:t>
      </w:r>
    </w:p>
    <w:p w14:paraId="011174F5" w14:textId="0A05B6E6" w:rsidR="00583597" w:rsidRPr="00FC1F98" w:rsidRDefault="00583597" w:rsidP="00706A67">
      <w:pPr>
        <w:pStyle w:val="Prrafodelista"/>
        <w:tabs>
          <w:tab w:val="left" w:pos="567"/>
        </w:tabs>
        <w:spacing w:line="276" w:lineRule="auto"/>
        <w:ind w:left="0"/>
        <w:rPr>
          <w:rFonts w:ascii="Arial" w:eastAsia="Times New Roman" w:hAnsi="Arial"/>
          <w:color w:val="000000"/>
          <w:lang w:val="es-CO"/>
        </w:rPr>
      </w:pPr>
    </w:p>
    <w:p w14:paraId="1971FD0F" w14:textId="5AC661D4" w:rsidR="009A054B" w:rsidRPr="00FC1F98" w:rsidRDefault="009A054B" w:rsidP="009A054B">
      <w:pPr>
        <w:pStyle w:val="Textocomentario"/>
        <w:spacing w:line="276" w:lineRule="auto"/>
        <w:rPr>
          <w:rFonts w:ascii="Arial" w:hAnsi="Arial"/>
          <w:b/>
          <w:bCs/>
          <w:noProof/>
          <w:sz w:val="24"/>
          <w:szCs w:val="24"/>
          <w:lang w:val="es-ES_tradnl"/>
        </w:rPr>
      </w:pPr>
      <w:r w:rsidRPr="00FC1F98">
        <w:rPr>
          <w:rFonts w:ascii="Arial" w:hAnsi="Arial"/>
          <w:b/>
          <w:bCs/>
          <w:noProof/>
          <w:sz w:val="24"/>
          <w:szCs w:val="24"/>
          <w:lang w:val="es-ES_tradnl"/>
        </w:rPr>
        <w:t>3. Problema Jurídico</w:t>
      </w:r>
    </w:p>
    <w:p w14:paraId="18464031" w14:textId="77777777" w:rsidR="009A054B" w:rsidRPr="00FC1F98" w:rsidRDefault="009A054B" w:rsidP="00706A67">
      <w:pPr>
        <w:pStyle w:val="Prrafodelista"/>
        <w:tabs>
          <w:tab w:val="left" w:pos="567"/>
        </w:tabs>
        <w:spacing w:line="276" w:lineRule="auto"/>
        <w:ind w:left="0"/>
        <w:rPr>
          <w:rFonts w:ascii="Arial" w:eastAsia="Times New Roman" w:hAnsi="Arial"/>
          <w:color w:val="000000"/>
          <w:lang w:val="es-CO"/>
        </w:rPr>
      </w:pPr>
    </w:p>
    <w:p w14:paraId="402B6851" w14:textId="3CC602F1" w:rsidR="009A054B" w:rsidRPr="00FC1F98" w:rsidRDefault="009A054B" w:rsidP="009A054B">
      <w:pPr>
        <w:shd w:val="clear" w:color="auto" w:fill="FFFFFF"/>
        <w:spacing w:line="276" w:lineRule="auto"/>
        <w:rPr>
          <w:rFonts w:ascii="Arial" w:hAnsi="Arial"/>
          <w:noProof/>
          <w:color w:val="201F1E"/>
        </w:rPr>
      </w:pPr>
      <w:r w:rsidRPr="00FC1F98">
        <w:rPr>
          <w:rFonts w:ascii="Arial" w:hAnsi="Arial"/>
          <w:noProof/>
          <w:color w:val="201F1E"/>
        </w:rPr>
        <w:t xml:space="preserve">De conformidad con los antecedentes expuestos y la solicitud de amparo constitucional, a la Sala le compete absolver los siguientes interrogantes: i) </w:t>
      </w:r>
      <w:r w:rsidR="00120ECF" w:rsidRPr="00FC1F98">
        <w:rPr>
          <w:rFonts w:ascii="Arial" w:hAnsi="Arial"/>
          <w:noProof/>
          <w:color w:val="201F1E"/>
        </w:rPr>
        <w:t>¿</w:t>
      </w:r>
      <w:r w:rsidRPr="00FC1F98">
        <w:rPr>
          <w:rFonts w:ascii="Arial" w:hAnsi="Arial"/>
          <w:noProof/>
          <w:color w:val="201F1E"/>
        </w:rPr>
        <w:t>se superan los requisitos adjetivos de procedencia de la acción de tutela contra las providencias judiciales</w:t>
      </w:r>
      <w:r w:rsidR="00120ECF" w:rsidRPr="00FC1F98">
        <w:rPr>
          <w:rFonts w:ascii="Arial" w:hAnsi="Arial"/>
          <w:noProof/>
          <w:color w:val="201F1E"/>
        </w:rPr>
        <w:t>?</w:t>
      </w:r>
      <w:r w:rsidRPr="00FC1F98">
        <w:rPr>
          <w:rFonts w:ascii="Arial" w:hAnsi="Arial"/>
          <w:noProof/>
          <w:color w:val="201F1E"/>
        </w:rPr>
        <w:t xml:space="preserve">; y ii) </w:t>
      </w:r>
      <w:r w:rsidR="005C22F4" w:rsidRPr="00FC1F98">
        <w:rPr>
          <w:rFonts w:ascii="Arial" w:hAnsi="Arial"/>
          <w:noProof/>
          <w:color w:val="201F1E"/>
        </w:rPr>
        <w:t>¿</w:t>
      </w:r>
      <w:r w:rsidRPr="00FC1F98">
        <w:rPr>
          <w:rFonts w:ascii="Arial" w:hAnsi="Arial"/>
          <w:noProof/>
          <w:color w:val="201F1E"/>
        </w:rPr>
        <w:t>los defectos endilgados por la parte accionante se configuraron</w:t>
      </w:r>
      <w:r w:rsidR="005C22F4" w:rsidRPr="00FC1F98">
        <w:rPr>
          <w:rFonts w:ascii="Arial" w:hAnsi="Arial"/>
          <w:noProof/>
          <w:color w:val="201F1E"/>
        </w:rPr>
        <w:t>?</w:t>
      </w:r>
      <w:r w:rsidRPr="00FC1F98">
        <w:rPr>
          <w:rFonts w:ascii="Arial" w:hAnsi="Arial"/>
          <w:noProof/>
          <w:color w:val="201F1E"/>
        </w:rPr>
        <w:t>.</w:t>
      </w:r>
    </w:p>
    <w:p w14:paraId="5C4DC9E9" w14:textId="77777777" w:rsidR="009A054B" w:rsidRPr="00FC1F98" w:rsidRDefault="009A054B" w:rsidP="009A054B">
      <w:pPr>
        <w:shd w:val="clear" w:color="auto" w:fill="FFFFFF"/>
        <w:spacing w:line="276" w:lineRule="auto"/>
        <w:rPr>
          <w:rFonts w:ascii="Arial" w:hAnsi="Arial"/>
          <w:noProof/>
          <w:color w:val="201F1E"/>
        </w:rPr>
      </w:pPr>
    </w:p>
    <w:p w14:paraId="2F47CB5C" w14:textId="0171A136" w:rsidR="009A054B" w:rsidRDefault="009A054B" w:rsidP="009A054B">
      <w:pPr>
        <w:spacing w:line="276" w:lineRule="auto"/>
        <w:contextualSpacing/>
        <w:rPr>
          <w:rFonts w:ascii="Arial" w:hAnsi="Arial"/>
        </w:rPr>
      </w:pPr>
      <w:r w:rsidRPr="00FC1F98">
        <w:rPr>
          <w:rFonts w:ascii="Arial" w:hAnsi="Arial"/>
        </w:rPr>
        <w:t xml:space="preserve">Para abordar los problemas jurídicos que subyacen al caso concreto, se analizarán los siguientes aspectos: i) </w:t>
      </w:r>
      <w:r w:rsidR="00120ECF" w:rsidRPr="00FC1F98">
        <w:rPr>
          <w:rFonts w:ascii="Arial" w:hAnsi="Arial"/>
        </w:rPr>
        <w:t xml:space="preserve">el </w:t>
      </w:r>
      <w:r w:rsidRPr="00FC1F98">
        <w:rPr>
          <w:rFonts w:ascii="Arial" w:hAnsi="Arial"/>
        </w:rPr>
        <w:t xml:space="preserve">criterio de la Sección sobre la procedencia excepcional de la acción de tutela contra providencia judicial; </w:t>
      </w:r>
      <w:proofErr w:type="spellStart"/>
      <w:r w:rsidRPr="00FC1F98">
        <w:rPr>
          <w:rFonts w:ascii="Arial" w:hAnsi="Arial"/>
        </w:rPr>
        <w:t>ii</w:t>
      </w:r>
      <w:proofErr w:type="spellEnd"/>
      <w:r w:rsidRPr="00FC1F98">
        <w:rPr>
          <w:rFonts w:ascii="Arial" w:hAnsi="Arial"/>
        </w:rPr>
        <w:t xml:space="preserve">) </w:t>
      </w:r>
      <w:r w:rsidR="00120ECF" w:rsidRPr="00FC1F98">
        <w:rPr>
          <w:rFonts w:ascii="Arial" w:hAnsi="Arial"/>
        </w:rPr>
        <w:t xml:space="preserve">el </w:t>
      </w:r>
      <w:r w:rsidRPr="00FC1F98">
        <w:rPr>
          <w:rFonts w:ascii="Arial" w:hAnsi="Arial"/>
        </w:rPr>
        <w:t xml:space="preserve">estudio de los requisitos adjetivos de procedibilidad; </w:t>
      </w:r>
      <w:proofErr w:type="spellStart"/>
      <w:r w:rsidRPr="00FC1F98">
        <w:rPr>
          <w:rFonts w:ascii="Arial" w:hAnsi="Arial"/>
        </w:rPr>
        <w:t>iii</w:t>
      </w:r>
      <w:proofErr w:type="spellEnd"/>
      <w:r w:rsidRPr="00FC1F98">
        <w:rPr>
          <w:rFonts w:ascii="Arial" w:hAnsi="Arial"/>
        </w:rPr>
        <w:t xml:space="preserve">) </w:t>
      </w:r>
      <w:r w:rsidR="00120ECF" w:rsidRPr="00FC1F98">
        <w:rPr>
          <w:rFonts w:ascii="Arial" w:hAnsi="Arial"/>
        </w:rPr>
        <w:t xml:space="preserve">el </w:t>
      </w:r>
      <w:r w:rsidRPr="00FC1F98">
        <w:rPr>
          <w:rFonts w:ascii="Arial" w:hAnsi="Arial"/>
        </w:rPr>
        <w:t xml:space="preserve">análisis de los cargos formulados; y </w:t>
      </w:r>
      <w:proofErr w:type="spellStart"/>
      <w:r w:rsidRPr="00FC1F98">
        <w:rPr>
          <w:rFonts w:ascii="Arial" w:hAnsi="Arial"/>
        </w:rPr>
        <w:t>iv</w:t>
      </w:r>
      <w:proofErr w:type="spellEnd"/>
      <w:r w:rsidRPr="00FC1F98">
        <w:rPr>
          <w:rFonts w:ascii="Arial" w:hAnsi="Arial"/>
        </w:rPr>
        <w:t xml:space="preserve">) </w:t>
      </w:r>
      <w:r w:rsidR="00120ECF" w:rsidRPr="00FC1F98">
        <w:rPr>
          <w:rFonts w:ascii="Arial" w:hAnsi="Arial"/>
        </w:rPr>
        <w:t xml:space="preserve">el </w:t>
      </w:r>
      <w:r w:rsidRPr="00FC1F98">
        <w:rPr>
          <w:rFonts w:ascii="Arial" w:hAnsi="Arial"/>
        </w:rPr>
        <w:t>caso concreto.</w:t>
      </w:r>
    </w:p>
    <w:p w14:paraId="7F4253EE" w14:textId="2E9ABDF6" w:rsidR="00944529" w:rsidRDefault="00944529" w:rsidP="009A054B">
      <w:pPr>
        <w:spacing w:line="276" w:lineRule="auto"/>
        <w:contextualSpacing/>
        <w:rPr>
          <w:rFonts w:ascii="Arial" w:hAnsi="Arial"/>
        </w:rPr>
      </w:pPr>
    </w:p>
    <w:p w14:paraId="017645FC" w14:textId="31679031" w:rsidR="00944529" w:rsidRDefault="00944529" w:rsidP="009A054B">
      <w:pPr>
        <w:spacing w:line="276" w:lineRule="auto"/>
        <w:contextualSpacing/>
        <w:rPr>
          <w:rFonts w:ascii="Arial" w:hAnsi="Arial"/>
        </w:rPr>
      </w:pPr>
    </w:p>
    <w:p w14:paraId="6D1371C1" w14:textId="1DFFE92C" w:rsidR="00944529" w:rsidRDefault="00944529" w:rsidP="009A054B">
      <w:pPr>
        <w:spacing w:line="276" w:lineRule="auto"/>
        <w:contextualSpacing/>
        <w:rPr>
          <w:rFonts w:ascii="Arial" w:hAnsi="Arial"/>
        </w:rPr>
      </w:pPr>
    </w:p>
    <w:p w14:paraId="7DA0F600" w14:textId="77777777" w:rsidR="00944529" w:rsidRPr="00FC1F98" w:rsidRDefault="00944529" w:rsidP="009A054B">
      <w:pPr>
        <w:spacing w:line="276" w:lineRule="auto"/>
        <w:contextualSpacing/>
        <w:rPr>
          <w:rFonts w:ascii="Arial" w:hAnsi="Arial"/>
        </w:rPr>
      </w:pPr>
    </w:p>
    <w:p w14:paraId="6C0412C6" w14:textId="77777777" w:rsidR="00EC0671" w:rsidRPr="00FC1F98" w:rsidRDefault="00EC0671" w:rsidP="009A054B">
      <w:pPr>
        <w:spacing w:line="276" w:lineRule="auto"/>
        <w:contextualSpacing/>
        <w:rPr>
          <w:rFonts w:ascii="Arial" w:hAnsi="Arial"/>
        </w:rPr>
      </w:pPr>
    </w:p>
    <w:p w14:paraId="7956A27F" w14:textId="35F0DE51" w:rsidR="009A054B" w:rsidRPr="00FC1F98" w:rsidRDefault="009A054B" w:rsidP="009A054B">
      <w:pPr>
        <w:spacing w:line="276" w:lineRule="auto"/>
        <w:ind w:right="51"/>
        <w:contextualSpacing/>
        <w:rPr>
          <w:rFonts w:ascii="Arial" w:hAnsi="Arial"/>
          <w:bCs/>
        </w:rPr>
      </w:pPr>
      <w:r w:rsidRPr="00FC1F98">
        <w:rPr>
          <w:rFonts w:ascii="Arial" w:hAnsi="Arial"/>
          <w:b/>
          <w:bCs/>
        </w:rPr>
        <w:lastRenderedPageBreak/>
        <w:t xml:space="preserve">3.1. </w:t>
      </w:r>
      <w:r w:rsidRPr="00FC1F98">
        <w:rPr>
          <w:rFonts w:ascii="Arial" w:hAnsi="Arial"/>
          <w:b/>
        </w:rPr>
        <w:t>La procedencia de la acción de tutela contra providencias judiciales</w:t>
      </w:r>
    </w:p>
    <w:p w14:paraId="0BA4E03F" w14:textId="77777777" w:rsidR="009A054B" w:rsidRPr="00FC1F98" w:rsidRDefault="009A054B" w:rsidP="009A054B">
      <w:pPr>
        <w:overflowPunct w:val="0"/>
        <w:autoSpaceDE w:val="0"/>
        <w:autoSpaceDN w:val="0"/>
        <w:adjustRightInd w:val="0"/>
        <w:spacing w:line="276" w:lineRule="auto"/>
        <w:ind w:left="708" w:right="51" w:hanging="708"/>
        <w:contextualSpacing/>
        <w:textAlignment w:val="baseline"/>
        <w:rPr>
          <w:rFonts w:ascii="Arial" w:hAnsi="Arial"/>
          <w:b/>
        </w:rPr>
      </w:pPr>
    </w:p>
    <w:p w14:paraId="4F3B78F9" w14:textId="77777777" w:rsidR="009A054B" w:rsidRPr="00FC1F98" w:rsidRDefault="009A054B" w:rsidP="009A054B">
      <w:pPr>
        <w:overflowPunct w:val="0"/>
        <w:autoSpaceDE w:val="0"/>
        <w:autoSpaceDN w:val="0"/>
        <w:adjustRightInd w:val="0"/>
        <w:spacing w:line="276" w:lineRule="auto"/>
        <w:contextualSpacing/>
        <w:textAlignment w:val="baseline"/>
        <w:rPr>
          <w:rFonts w:ascii="Arial" w:hAnsi="Arial"/>
        </w:rPr>
      </w:pPr>
      <w:r w:rsidRPr="00FC1F98">
        <w:rPr>
          <w:rFonts w:ascii="Arial" w:hAnsi="Arial"/>
        </w:rPr>
        <w:t>De conformidad con el precedente jurisprudencial proferido por la Sala Plena de lo Contencioso Administrativo, en sentencia del 31 de julio de 2012</w:t>
      </w:r>
      <w:bookmarkStart w:id="10" w:name="_Ref460499102"/>
      <w:r w:rsidRPr="00FC1F98">
        <w:rPr>
          <w:rFonts w:ascii="Arial" w:hAnsi="Arial"/>
          <w:vertAlign w:val="superscript"/>
        </w:rPr>
        <w:footnoteReference w:id="43"/>
      </w:r>
      <w:bookmarkEnd w:id="10"/>
      <w:r w:rsidRPr="00FC1F98">
        <w:rPr>
          <w:rFonts w:ascii="Arial" w:hAnsi="Arial"/>
        </w:rPr>
        <w:t>, mediante el cual se unificó la diversidad de criterios que la Corporación tenía sobre la procedencia de la acción de tutela contra providencias judiciales</w:t>
      </w:r>
      <w:r w:rsidRPr="00FC1F98">
        <w:rPr>
          <w:rFonts w:ascii="Arial" w:hAnsi="Arial"/>
          <w:vertAlign w:val="superscript"/>
        </w:rPr>
        <w:footnoteReference w:id="44"/>
      </w:r>
      <w:r w:rsidRPr="00FC1F98">
        <w:rPr>
          <w:rFonts w:ascii="Arial" w:hAnsi="Arial"/>
        </w:rPr>
        <w:t>, conforme al cual, después de un recuento de los criterios expuestos por cada Sección, decidió modificarlos y unificarlos para declarar expresamente, en la parte resolutiva de la providencia, que la acción de tutela contra providencias judiciales, es procedente.</w:t>
      </w:r>
      <w:r w:rsidRPr="00FC1F98">
        <w:rPr>
          <w:rFonts w:ascii="Arial" w:hAnsi="Arial"/>
          <w:vertAlign w:val="superscript"/>
        </w:rPr>
        <w:footnoteReference w:id="45"/>
      </w:r>
      <w:r w:rsidRPr="00FC1F98">
        <w:rPr>
          <w:rFonts w:ascii="Arial" w:hAnsi="Arial"/>
        </w:rPr>
        <w:t>Para ello es necesario estudiar las acciones de tutela que se presenten contra providencia judicial y analizar si ellas vulneran algún derecho fundamental, observando al efecto los parámetros fijados hasta el momento por la jurisprudencia, como expresamente lo indica la decisión de unificación.</w:t>
      </w:r>
    </w:p>
    <w:p w14:paraId="379CC91E" w14:textId="77777777" w:rsidR="009A054B" w:rsidRPr="00FC1F98" w:rsidRDefault="009A054B" w:rsidP="009A054B">
      <w:pPr>
        <w:overflowPunct w:val="0"/>
        <w:autoSpaceDE w:val="0"/>
        <w:autoSpaceDN w:val="0"/>
        <w:adjustRightInd w:val="0"/>
        <w:spacing w:line="276" w:lineRule="auto"/>
        <w:contextualSpacing/>
        <w:textAlignment w:val="baseline"/>
        <w:rPr>
          <w:rFonts w:ascii="Arial" w:hAnsi="Arial"/>
        </w:rPr>
      </w:pPr>
    </w:p>
    <w:p w14:paraId="14DC4384" w14:textId="77777777" w:rsidR="009A054B" w:rsidRPr="00FC1F98" w:rsidRDefault="009A054B" w:rsidP="009A054B">
      <w:pPr>
        <w:spacing w:line="276" w:lineRule="auto"/>
        <w:rPr>
          <w:rFonts w:ascii="Arial" w:hAnsi="Arial"/>
          <w:i/>
        </w:rPr>
      </w:pPr>
      <w:r w:rsidRPr="00FC1F98">
        <w:rPr>
          <w:rFonts w:ascii="Arial" w:hAnsi="Arial"/>
        </w:rPr>
        <w:t>Así, es importante precisar bajo qué parámetro se hará ese estudio, pues la sentencia de unificación simplemente se refirió a los «</w:t>
      </w:r>
      <w:r w:rsidRPr="00FC1F98">
        <w:rPr>
          <w:rFonts w:ascii="Arial" w:hAnsi="Arial"/>
          <w:i/>
        </w:rPr>
        <w:t xml:space="preserve">…fijados hasta el momento jurisprudencialmente…». </w:t>
      </w:r>
    </w:p>
    <w:p w14:paraId="6116DA98" w14:textId="77777777" w:rsidR="009A054B" w:rsidRPr="00FC1F98" w:rsidRDefault="009A054B" w:rsidP="009A054B">
      <w:pPr>
        <w:overflowPunct w:val="0"/>
        <w:autoSpaceDE w:val="0"/>
        <w:autoSpaceDN w:val="0"/>
        <w:adjustRightInd w:val="0"/>
        <w:spacing w:line="276" w:lineRule="auto"/>
        <w:contextualSpacing/>
        <w:textAlignment w:val="baseline"/>
        <w:rPr>
          <w:rFonts w:ascii="Arial" w:hAnsi="Arial"/>
          <w:i/>
        </w:rPr>
      </w:pPr>
    </w:p>
    <w:p w14:paraId="44CCE989" w14:textId="77777777" w:rsidR="009A054B" w:rsidRPr="00FC1F98" w:rsidRDefault="009A054B" w:rsidP="009A054B">
      <w:pPr>
        <w:spacing w:line="276" w:lineRule="auto"/>
        <w:rPr>
          <w:rFonts w:ascii="Arial" w:hAnsi="Arial"/>
        </w:rPr>
      </w:pPr>
      <w:r w:rsidRPr="00FC1F98">
        <w:rPr>
          <w:rFonts w:ascii="Arial" w:hAnsi="Arial"/>
        </w:rPr>
        <w:t>Es claro que la tutela es un mecanismo residual y excepcional para la protección de derechos fundamentales como lo señala el artículo 86 constitucional y, por ende, la procedencia de esta acción constitucional contra providencia judicial no puede ser ajena a esas características.</w:t>
      </w:r>
    </w:p>
    <w:p w14:paraId="04281154" w14:textId="77777777" w:rsidR="009A054B" w:rsidRPr="00FC1F98" w:rsidRDefault="009A054B" w:rsidP="009A054B">
      <w:pPr>
        <w:spacing w:line="276" w:lineRule="auto"/>
        <w:rPr>
          <w:rFonts w:ascii="Arial" w:hAnsi="Arial"/>
        </w:rPr>
      </w:pPr>
    </w:p>
    <w:p w14:paraId="102D6DDA" w14:textId="77777777" w:rsidR="009A054B" w:rsidRPr="00FC1F98" w:rsidRDefault="009A054B" w:rsidP="009A054B">
      <w:pPr>
        <w:spacing w:line="276" w:lineRule="auto"/>
        <w:rPr>
          <w:rFonts w:ascii="Arial" w:hAnsi="Arial"/>
        </w:rPr>
      </w:pPr>
      <w:r w:rsidRPr="00FC1F98">
        <w:rPr>
          <w:rFonts w:ascii="Arial" w:hAnsi="Arial"/>
        </w:rPr>
        <w:t>Al efecto, en virtud de la sentencia de unificación del 5 de agosto de 2014</w:t>
      </w:r>
      <w:r w:rsidRPr="00FC1F98">
        <w:rPr>
          <w:rStyle w:val="Refdenotaalpie"/>
          <w:rFonts w:ascii="Arial" w:hAnsi="Arial"/>
        </w:rPr>
        <w:footnoteReference w:id="46"/>
      </w:r>
      <w:r w:rsidRPr="00FC1F98">
        <w:rPr>
          <w:rFonts w:ascii="Arial" w:hAnsi="Arial"/>
        </w:rPr>
        <w:t>, la Sala Plena de lo Contencioso Administrativo adoptó los criterios referidos, en forma amplia, por la Corte Constitucional</w:t>
      </w:r>
      <w:r w:rsidRPr="00FC1F98">
        <w:rPr>
          <w:rFonts w:ascii="Arial" w:hAnsi="Arial"/>
          <w:vertAlign w:val="superscript"/>
        </w:rPr>
        <w:footnoteReference w:id="47"/>
      </w:r>
      <w:r w:rsidRPr="00FC1F98">
        <w:rPr>
          <w:rFonts w:ascii="Arial" w:hAnsi="Arial"/>
        </w:rPr>
        <w:t xml:space="preserve"> para determinar la procedencia de acción constitucional contra providencia judicial, identificando unos requisitos generales y otros específicos sin distinguir cuáles dan origen a que se conceda o niegue el derecho al amparo (procedencia sustantiva) y cuáles impiden efectivamente adentrarnos en el fondo del asunto (procedencia adjetiva).</w:t>
      </w:r>
    </w:p>
    <w:p w14:paraId="39DC0FB9" w14:textId="77777777" w:rsidR="009A054B" w:rsidRPr="00FC1F98" w:rsidRDefault="009A054B" w:rsidP="009A054B">
      <w:pPr>
        <w:spacing w:line="276" w:lineRule="auto"/>
        <w:rPr>
          <w:rFonts w:ascii="Arial" w:hAnsi="Arial"/>
        </w:rPr>
      </w:pPr>
    </w:p>
    <w:p w14:paraId="4A5409A4" w14:textId="77777777" w:rsidR="009A054B" w:rsidRPr="00FC1F98" w:rsidRDefault="009A054B" w:rsidP="009A054B">
      <w:pPr>
        <w:overflowPunct w:val="0"/>
        <w:autoSpaceDE w:val="0"/>
        <w:autoSpaceDN w:val="0"/>
        <w:adjustRightInd w:val="0"/>
        <w:spacing w:line="276" w:lineRule="auto"/>
        <w:contextualSpacing/>
        <w:textAlignment w:val="baseline"/>
        <w:rPr>
          <w:rFonts w:ascii="Arial" w:hAnsi="Arial"/>
        </w:rPr>
      </w:pPr>
      <w:r w:rsidRPr="00FC1F98">
        <w:rPr>
          <w:rFonts w:ascii="Arial" w:hAnsi="Arial"/>
        </w:rPr>
        <w:t>A partir de esa decisión, se dejó en claro que la acción de tutela se puede interponer contra decisiones judiciales, incluidas las de las Altas Cortes, específicamente, las del Consejo de Estado, autos o sentencias, que desconozcan derechos fundamentales, asunto que en cada caso deberá probarse y, en donde el actor tendrá la carga de argumentar las razones de la violación.</w:t>
      </w:r>
    </w:p>
    <w:p w14:paraId="266C030D" w14:textId="77777777" w:rsidR="009A054B" w:rsidRPr="00FC1F98" w:rsidRDefault="009A054B" w:rsidP="009A054B">
      <w:pPr>
        <w:spacing w:line="276" w:lineRule="auto"/>
        <w:rPr>
          <w:rFonts w:ascii="Arial" w:hAnsi="Arial"/>
        </w:rPr>
      </w:pPr>
      <w:r w:rsidRPr="00FC1F98">
        <w:rPr>
          <w:rFonts w:ascii="Arial" w:hAnsi="Arial"/>
        </w:rPr>
        <w:lastRenderedPageBreak/>
        <w:t xml:space="preserve">En tales condiciones, debe verificarse en primer término que la solicitud de amparo cumpla unos presupuestos generales de procedibilidad, a saber: </w:t>
      </w:r>
      <w:r w:rsidRPr="00FC1F98">
        <w:rPr>
          <w:rFonts w:ascii="Arial" w:hAnsi="Arial"/>
          <w:b/>
        </w:rPr>
        <w:t>i)</w:t>
      </w:r>
      <w:r w:rsidRPr="00FC1F98">
        <w:rPr>
          <w:rFonts w:ascii="Arial" w:hAnsi="Arial"/>
        </w:rPr>
        <w:t xml:space="preserve"> que no se trate de tutela contra tutela;</w:t>
      </w:r>
      <w:r w:rsidRPr="00FC1F98">
        <w:rPr>
          <w:rFonts w:ascii="Arial" w:hAnsi="Arial"/>
          <w:b/>
        </w:rPr>
        <w:t xml:space="preserve"> </w:t>
      </w:r>
      <w:proofErr w:type="spellStart"/>
      <w:r w:rsidRPr="00FC1F98">
        <w:rPr>
          <w:rFonts w:ascii="Arial" w:hAnsi="Arial"/>
          <w:b/>
        </w:rPr>
        <w:t>ii</w:t>
      </w:r>
      <w:proofErr w:type="spellEnd"/>
      <w:r w:rsidRPr="00FC1F98">
        <w:rPr>
          <w:rFonts w:ascii="Arial" w:hAnsi="Arial"/>
          <w:b/>
        </w:rPr>
        <w:t xml:space="preserve">) </w:t>
      </w:r>
      <w:r w:rsidRPr="00FC1F98">
        <w:rPr>
          <w:rFonts w:ascii="Arial" w:hAnsi="Arial"/>
        </w:rPr>
        <w:t xml:space="preserve">inmediatez y </w:t>
      </w:r>
      <w:proofErr w:type="spellStart"/>
      <w:r w:rsidRPr="00FC1F98">
        <w:rPr>
          <w:rFonts w:ascii="Arial" w:hAnsi="Arial"/>
          <w:b/>
        </w:rPr>
        <w:t>iii</w:t>
      </w:r>
      <w:proofErr w:type="spellEnd"/>
      <w:r w:rsidRPr="00FC1F98">
        <w:rPr>
          <w:rFonts w:ascii="Arial" w:hAnsi="Arial"/>
          <w:b/>
        </w:rPr>
        <w:t>)</w:t>
      </w:r>
      <w:r w:rsidRPr="00FC1F98">
        <w:rPr>
          <w:rFonts w:ascii="Arial" w:hAnsi="Arial"/>
        </w:rPr>
        <w:t xml:space="preserve"> subsidiariedad, es decir, agotamiento de los requisitos ordinarios y extraordinarios, siempre y cuando ellos sean idóneos y eficaces para la protección del derecho que se dice vulnerado. </w:t>
      </w:r>
    </w:p>
    <w:p w14:paraId="18BDC392" w14:textId="77777777" w:rsidR="009A054B" w:rsidRPr="00FC1F98" w:rsidRDefault="009A054B" w:rsidP="009A054B">
      <w:pPr>
        <w:spacing w:line="276" w:lineRule="auto"/>
        <w:rPr>
          <w:rFonts w:ascii="Arial" w:hAnsi="Arial"/>
        </w:rPr>
      </w:pPr>
    </w:p>
    <w:p w14:paraId="43047435" w14:textId="77777777" w:rsidR="009A054B" w:rsidRPr="00FC1F98" w:rsidRDefault="009A054B" w:rsidP="009A054B">
      <w:pPr>
        <w:spacing w:line="276" w:lineRule="auto"/>
        <w:rPr>
          <w:rFonts w:ascii="Arial" w:hAnsi="Arial"/>
        </w:rPr>
      </w:pPr>
      <w:r w:rsidRPr="00FC1F98">
        <w:rPr>
          <w:rFonts w:ascii="Arial" w:hAnsi="Arial"/>
        </w:rPr>
        <w:t>Cuando no se cumpla con uno de esos supuestos, la Sección declarará improcedente el amparo solicitado y no entrará a analizar el fondo del asunto.</w:t>
      </w:r>
    </w:p>
    <w:p w14:paraId="1CEAE9A0" w14:textId="77777777" w:rsidR="009A054B" w:rsidRPr="00FC1F98" w:rsidRDefault="009A054B" w:rsidP="009A054B">
      <w:pPr>
        <w:tabs>
          <w:tab w:val="left" w:pos="6585"/>
        </w:tabs>
        <w:spacing w:line="276" w:lineRule="auto"/>
        <w:rPr>
          <w:rFonts w:ascii="Arial" w:hAnsi="Arial"/>
        </w:rPr>
      </w:pPr>
    </w:p>
    <w:p w14:paraId="7B1166D4" w14:textId="77777777" w:rsidR="009A054B" w:rsidRPr="00FC1F98" w:rsidRDefault="009A054B" w:rsidP="009A054B">
      <w:pPr>
        <w:spacing w:line="276" w:lineRule="auto"/>
        <w:rPr>
          <w:rFonts w:ascii="Arial" w:hAnsi="Arial"/>
        </w:rPr>
      </w:pPr>
      <w:r w:rsidRPr="00FC1F98">
        <w:rPr>
          <w:rFonts w:ascii="Arial" w:hAnsi="Arial"/>
        </w:rPr>
        <w:t>En caso contrario, en el evento en que el asunto supere dichos requisitos</w:t>
      </w:r>
      <w:r w:rsidRPr="00FC1F98">
        <w:rPr>
          <w:rFonts w:ascii="Arial" w:hAnsi="Arial"/>
          <w:lang w:eastAsia="es-ES"/>
        </w:rPr>
        <w:t xml:space="preserve">, sería posible realizar el estudio de la procedibilidad sustantiva, es decir, </w:t>
      </w:r>
      <w:r w:rsidRPr="00FC1F98">
        <w:rPr>
          <w:rFonts w:ascii="Arial" w:hAnsi="Arial"/>
        </w:rPr>
        <w:t>adentrarse en la materia objeto del amparo, a partir de los argumentos expuestos en la solicitud y de los derechos fundamentales que se afirmen vulnerados.</w:t>
      </w:r>
    </w:p>
    <w:p w14:paraId="65A2CCB2" w14:textId="77777777" w:rsidR="009A054B" w:rsidRPr="00FC1F98" w:rsidRDefault="009A054B" w:rsidP="009A054B">
      <w:pPr>
        <w:spacing w:line="276" w:lineRule="auto"/>
        <w:rPr>
          <w:rFonts w:ascii="Arial" w:hAnsi="Arial"/>
        </w:rPr>
      </w:pPr>
    </w:p>
    <w:p w14:paraId="3193C845" w14:textId="77777777" w:rsidR="009A054B" w:rsidRPr="00FC1F98" w:rsidRDefault="009A054B" w:rsidP="009A054B">
      <w:pPr>
        <w:spacing w:line="276" w:lineRule="auto"/>
        <w:rPr>
          <w:rFonts w:ascii="Arial" w:hAnsi="Arial"/>
        </w:rPr>
      </w:pPr>
      <w:r w:rsidRPr="00FC1F98">
        <w:rPr>
          <w:rFonts w:ascii="Arial" w:hAnsi="Arial"/>
        </w:rPr>
        <w:t xml:space="preserve">Al respecto, resulta del caso reiterar que esta acción constitucional no puede ser considerada como una </w:t>
      </w:r>
      <w:r w:rsidRPr="00FC1F98">
        <w:rPr>
          <w:rFonts w:ascii="Arial" w:hAnsi="Arial"/>
          <w:i/>
        </w:rPr>
        <w:t>«tercera instancia»</w:t>
      </w:r>
      <w:r w:rsidRPr="00FC1F98">
        <w:rPr>
          <w:rFonts w:ascii="Arial" w:hAnsi="Arial"/>
        </w:rPr>
        <w:t xml:space="preserve"> que se emplee, por ejemplo, para revivir términos, interpretaciones o valoraciones probatorias que son propias del juez natural. </w:t>
      </w:r>
    </w:p>
    <w:p w14:paraId="0D76BF5C" w14:textId="77777777" w:rsidR="009A054B" w:rsidRPr="00FC1F98" w:rsidRDefault="009A054B" w:rsidP="009A054B">
      <w:pPr>
        <w:spacing w:line="276" w:lineRule="auto"/>
        <w:rPr>
          <w:rFonts w:ascii="Arial" w:hAnsi="Arial"/>
        </w:rPr>
      </w:pPr>
    </w:p>
    <w:p w14:paraId="1F97DA0E" w14:textId="2806DBD4" w:rsidR="009A054B" w:rsidRPr="00FC1F98" w:rsidRDefault="009A054B" w:rsidP="009A054B">
      <w:pPr>
        <w:spacing w:line="276" w:lineRule="auto"/>
        <w:contextualSpacing/>
        <w:rPr>
          <w:rFonts w:ascii="Arial" w:hAnsi="Arial"/>
        </w:rPr>
      </w:pPr>
      <w:r w:rsidRPr="00FC1F98">
        <w:rPr>
          <w:rFonts w:ascii="Arial" w:hAnsi="Arial"/>
        </w:rPr>
        <w:t xml:space="preserve">En tal sentido, la acción de tutela será procedente cuando se hayan verificado: </w:t>
      </w:r>
      <w:r w:rsidRPr="00FC1F98">
        <w:rPr>
          <w:rFonts w:ascii="Arial" w:hAnsi="Arial"/>
          <w:i/>
        </w:rPr>
        <w:t>i)</w:t>
      </w:r>
      <w:r w:rsidRPr="00FC1F98">
        <w:rPr>
          <w:rFonts w:ascii="Arial" w:hAnsi="Arial"/>
        </w:rPr>
        <w:t xml:space="preserve"> la concurrencia de los requisitos adjetivos de procedencia contra providencias judiciales; </w:t>
      </w:r>
      <w:proofErr w:type="spellStart"/>
      <w:r w:rsidRPr="00FC1F98">
        <w:rPr>
          <w:rFonts w:ascii="Arial" w:hAnsi="Arial"/>
          <w:i/>
        </w:rPr>
        <w:t>ii</w:t>
      </w:r>
      <w:proofErr w:type="spellEnd"/>
      <w:r w:rsidRPr="00FC1F98">
        <w:rPr>
          <w:rFonts w:ascii="Arial" w:hAnsi="Arial"/>
          <w:i/>
        </w:rPr>
        <w:t xml:space="preserve">) </w:t>
      </w:r>
      <w:r w:rsidRPr="00FC1F98">
        <w:rPr>
          <w:rFonts w:ascii="Arial" w:hAnsi="Arial"/>
        </w:rPr>
        <w:t xml:space="preserve">la configuración de alguno de estos requisitos específicos mencionados -siempre y cuando hayan sido alegados por el interesado en el proceso ordinario-; y que </w:t>
      </w:r>
      <w:proofErr w:type="spellStart"/>
      <w:r w:rsidRPr="00FC1F98">
        <w:rPr>
          <w:rFonts w:ascii="Arial" w:hAnsi="Arial"/>
          <w:i/>
        </w:rPr>
        <w:t>iii</w:t>
      </w:r>
      <w:proofErr w:type="spellEnd"/>
      <w:r w:rsidRPr="00FC1F98">
        <w:rPr>
          <w:rFonts w:ascii="Arial" w:hAnsi="Arial"/>
          <w:i/>
        </w:rPr>
        <w:t>)</w:t>
      </w:r>
      <w:r w:rsidRPr="00FC1F98">
        <w:rPr>
          <w:rFonts w:ascii="Arial" w:hAnsi="Arial"/>
        </w:rPr>
        <w:t xml:space="preserve"> el vicio o defecto sea de tal trascendencia que implique la amenaza o la afectación de derechos fundamentales.</w:t>
      </w:r>
      <w:r w:rsidRPr="00FC1F98">
        <w:rPr>
          <w:rStyle w:val="Refdenotaalpie"/>
          <w:rFonts w:ascii="Arial" w:hAnsi="Arial"/>
        </w:rPr>
        <w:footnoteReference w:id="48"/>
      </w:r>
    </w:p>
    <w:p w14:paraId="2A2C0CF6" w14:textId="76FA1500" w:rsidR="009A054B" w:rsidRPr="00FC1F98" w:rsidRDefault="009A054B" w:rsidP="009A054B">
      <w:pPr>
        <w:spacing w:line="276" w:lineRule="auto"/>
        <w:contextualSpacing/>
        <w:rPr>
          <w:rFonts w:ascii="Arial" w:hAnsi="Arial"/>
        </w:rPr>
      </w:pPr>
    </w:p>
    <w:p w14:paraId="1480B004" w14:textId="284B1F54" w:rsidR="009A054B" w:rsidRPr="00FC1F98" w:rsidRDefault="009A054B" w:rsidP="009A054B">
      <w:pPr>
        <w:pStyle w:val="Prrafodelista"/>
        <w:spacing w:line="276" w:lineRule="auto"/>
        <w:ind w:left="0"/>
        <w:rPr>
          <w:rFonts w:ascii="Arial" w:eastAsia="Arial" w:hAnsi="Arial"/>
          <w:b/>
        </w:rPr>
      </w:pPr>
      <w:r w:rsidRPr="00FC1F98">
        <w:rPr>
          <w:rFonts w:ascii="Arial" w:hAnsi="Arial"/>
          <w:b/>
          <w:bCs/>
          <w:lang w:val="es-ES_tradnl"/>
        </w:rPr>
        <w:t>3.2.</w:t>
      </w:r>
      <w:r w:rsidRPr="00FC1F98">
        <w:rPr>
          <w:rFonts w:ascii="Arial" w:hAnsi="Arial"/>
          <w:lang w:val="es-ES_tradnl"/>
        </w:rPr>
        <w:t xml:space="preserve"> </w:t>
      </w:r>
      <w:r w:rsidRPr="00FC1F98">
        <w:rPr>
          <w:rFonts w:ascii="Arial" w:eastAsia="Arial" w:hAnsi="Arial"/>
          <w:b/>
          <w:lang w:val="es-ES_tradnl"/>
        </w:rPr>
        <w:t>Examen de los requisitos de procedencia adjetiva</w:t>
      </w:r>
    </w:p>
    <w:p w14:paraId="27ED4852" w14:textId="77777777" w:rsidR="009A054B" w:rsidRPr="00FC1F98" w:rsidRDefault="009A054B" w:rsidP="009A054B">
      <w:pPr>
        <w:spacing w:line="276" w:lineRule="auto"/>
        <w:ind w:left="1" w:hanging="3"/>
        <w:rPr>
          <w:rFonts w:ascii="Arial" w:eastAsia="Arial" w:hAnsi="Arial"/>
        </w:rPr>
      </w:pPr>
    </w:p>
    <w:p w14:paraId="54FC3479" w14:textId="6FF9A837" w:rsidR="009A054B" w:rsidRPr="00FC1F98" w:rsidRDefault="009A054B" w:rsidP="009A054B">
      <w:pPr>
        <w:spacing w:line="276" w:lineRule="auto"/>
        <w:rPr>
          <w:rFonts w:ascii="Arial" w:eastAsia="Arial" w:hAnsi="Arial"/>
          <w:b/>
        </w:rPr>
      </w:pPr>
      <w:r w:rsidRPr="00FC1F98">
        <w:rPr>
          <w:rFonts w:ascii="Arial" w:eastAsia="Arial" w:hAnsi="Arial"/>
          <w:b/>
        </w:rPr>
        <w:t>3.2.1. Tutela contra tutela</w:t>
      </w:r>
    </w:p>
    <w:p w14:paraId="6A75F91F" w14:textId="77777777" w:rsidR="009A054B" w:rsidRPr="00FC1F98" w:rsidRDefault="009A054B" w:rsidP="009A054B">
      <w:pPr>
        <w:spacing w:line="276" w:lineRule="auto"/>
        <w:rPr>
          <w:rFonts w:ascii="Arial" w:eastAsia="Arial" w:hAnsi="Arial"/>
          <w:b/>
        </w:rPr>
      </w:pPr>
    </w:p>
    <w:p w14:paraId="79F88709" w14:textId="4B8C570C" w:rsidR="009A054B" w:rsidRPr="00FC1F98" w:rsidRDefault="009A054B" w:rsidP="009A054B">
      <w:pPr>
        <w:spacing w:line="276" w:lineRule="auto"/>
        <w:ind w:left="1" w:hanging="3"/>
        <w:rPr>
          <w:rFonts w:ascii="Arial" w:hAnsi="Arial"/>
        </w:rPr>
      </w:pPr>
      <w:r w:rsidRPr="00FC1F98">
        <w:rPr>
          <w:rFonts w:ascii="Arial" w:eastAsia="Arial" w:hAnsi="Arial"/>
        </w:rPr>
        <w:t>La Sala no encuentra reparo alguno frente a este requisito, pues a través de la presente acción constitucional se cuestiona la decisión adoptada por el</w:t>
      </w:r>
      <w:r w:rsidRPr="00FC1F98">
        <w:rPr>
          <w:rFonts w:ascii="Arial" w:hAnsi="Arial"/>
        </w:rPr>
        <w:t xml:space="preserve"> Tribunal Administrativo de Boyacá,</w:t>
      </w:r>
      <w:r w:rsidR="00AD4E9B" w:rsidRPr="00FC1F98">
        <w:rPr>
          <w:rFonts w:ascii="Arial" w:hAnsi="Arial"/>
        </w:rPr>
        <w:t xml:space="preserve"> Sala de Decisión No. 4,</w:t>
      </w:r>
      <w:r w:rsidRPr="00FC1F98">
        <w:rPr>
          <w:rFonts w:ascii="Arial" w:hAnsi="Arial"/>
        </w:rPr>
        <w:t xml:space="preserve"> calendada del 10 de noviembre de 2020, </w:t>
      </w:r>
      <w:r w:rsidR="00AD4E9B" w:rsidRPr="00FC1F98">
        <w:rPr>
          <w:rFonts w:ascii="Arial" w:hAnsi="Arial"/>
        </w:rPr>
        <w:t xml:space="preserve">por medio de la cual, la autoridad judicial accionada revocó la providencia de 11 de diciembre de 2018, con la que el Juzgado Segundo Administrativo Oral del Circuito Judicial de Duitama accedió a las pretensiones planteadas al interior del medio de control de reparación directa de radicado 15693-33-31-002-2011-00237-01, </w:t>
      </w:r>
      <w:r w:rsidRPr="00FC1F98">
        <w:rPr>
          <w:rFonts w:ascii="Arial" w:hAnsi="Arial"/>
        </w:rPr>
        <w:t xml:space="preserve">promovido por el señor José Ricardo Cepeda Corredor </w:t>
      </w:r>
      <w:r w:rsidR="00AD4E9B" w:rsidRPr="00FC1F98">
        <w:rPr>
          <w:rFonts w:ascii="Arial" w:hAnsi="Arial"/>
        </w:rPr>
        <w:t>y otros</w:t>
      </w:r>
      <w:r w:rsidR="00AD4E9B" w:rsidRPr="00FC1F98">
        <w:rPr>
          <w:rStyle w:val="Refdenotaalpie"/>
          <w:rFonts w:ascii="Arial" w:hAnsi="Arial"/>
        </w:rPr>
        <w:footnoteReference w:id="49"/>
      </w:r>
      <w:r w:rsidR="00AD4E9B" w:rsidRPr="00FC1F98">
        <w:rPr>
          <w:rFonts w:ascii="Arial" w:hAnsi="Arial"/>
        </w:rPr>
        <w:t xml:space="preserve"> contra el Municipio de Paipa y otros</w:t>
      </w:r>
      <w:r w:rsidRPr="00FC1F98">
        <w:rPr>
          <w:rStyle w:val="Refdenotaalpie"/>
          <w:rFonts w:ascii="Arial" w:hAnsi="Arial"/>
        </w:rPr>
        <w:footnoteReference w:id="50"/>
      </w:r>
      <w:r w:rsidRPr="00FC1F98">
        <w:rPr>
          <w:rFonts w:ascii="Arial" w:hAnsi="Arial"/>
        </w:rPr>
        <w:t>.</w:t>
      </w:r>
    </w:p>
    <w:p w14:paraId="5710C11D" w14:textId="6C740988" w:rsidR="00AD4E9B" w:rsidRPr="00FC1F98" w:rsidRDefault="00AD4E9B" w:rsidP="00AD4E9B">
      <w:pPr>
        <w:spacing w:line="276" w:lineRule="auto"/>
        <w:rPr>
          <w:rFonts w:ascii="Arial" w:eastAsia="Arial" w:hAnsi="Arial"/>
          <w:b/>
        </w:rPr>
      </w:pPr>
      <w:r w:rsidRPr="00FC1F98">
        <w:rPr>
          <w:rFonts w:ascii="Arial" w:eastAsia="Arial" w:hAnsi="Arial"/>
          <w:b/>
        </w:rPr>
        <w:lastRenderedPageBreak/>
        <w:t>3.2.2. Inmediatez</w:t>
      </w:r>
    </w:p>
    <w:p w14:paraId="38CD5226" w14:textId="77777777" w:rsidR="00AD4E9B" w:rsidRPr="00FC1F98" w:rsidRDefault="00AD4E9B" w:rsidP="00AD4E9B">
      <w:pPr>
        <w:spacing w:line="276" w:lineRule="auto"/>
        <w:rPr>
          <w:rFonts w:ascii="Arial" w:eastAsia="Arial" w:hAnsi="Arial"/>
          <w:b/>
        </w:rPr>
      </w:pPr>
    </w:p>
    <w:p w14:paraId="37D542C3" w14:textId="128A1938" w:rsidR="00AD4E9B" w:rsidRPr="00FC1F98" w:rsidRDefault="00AD4E9B" w:rsidP="00AD4E9B">
      <w:pPr>
        <w:pStyle w:val="Sinespaciado"/>
        <w:spacing w:line="276" w:lineRule="auto"/>
        <w:rPr>
          <w:rFonts w:ascii="Arial" w:hAnsi="Arial"/>
          <w:bCs/>
        </w:rPr>
      </w:pPr>
      <w:r w:rsidRPr="00FC1F98">
        <w:rPr>
          <w:rFonts w:ascii="Arial" w:hAnsi="Arial"/>
          <w:bCs/>
        </w:rPr>
        <w:t xml:space="preserve">En lo que concierne a la oportunidad para la interposición de la acción de tutela, se tiene que la decisión reprochada data del </w:t>
      </w:r>
      <w:r w:rsidRPr="00FC1F98">
        <w:rPr>
          <w:rFonts w:ascii="Arial" w:hAnsi="Arial"/>
          <w:b/>
        </w:rPr>
        <w:t>10 de noviembre de 2020</w:t>
      </w:r>
      <w:r w:rsidRPr="00FC1F98">
        <w:rPr>
          <w:rFonts w:ascii="Arial" w:hAnsi="Arial"/>
          <w:bCs/>
        </w:rPr>
        <w:t xml:space="preserve">, que </w:t>
      </w:r>
      <w:r w:rsidR="00120ECF" w:rsidRPr="00FC1F98">
        <w:rPr>
          <w:rFonts w:ascii="Arial" w:hAnsi="Arial"/>
          <w:bCs/>
        </w:rPr>
        <w:t xml:space="preserve">esta </w:t>
      </w:r>
      <w:r w:rsidRPr="00FC1F98">
        <w:rPr>
          <w:rFonts w:ascii="Arial" w:hAnsi="Arial"/>
          <w:bCs/>
        </w:rPr>
        <w:t xml:space="preserve">fue notificada a las partes </w:t>
      </w:r>
      <w:r w:rsidR="0017399E" w:rsidRPr="00FC1F98">
        <w:rPr>
          <w:rFonts w:ascii="Arial" w:hAnsi="Arial"/>
          <w:bCs/>
        </w:rPr>
        <w:t>por medio de</w:t>
      </w:r>
      <w:r w:rsidRPr="00FC1F98">
        <w:rPr>
          <w:rFonts w:ascii="Arial" w:hAnsi="Arial"/>
          <w:bCs/>
        </w:rPr>
        <w:t xml:space="preserve"> correo electrónico</w:t>
      </w:r>
      <w:r w:rsidR="0017399E" w:rsidRPr="00FC1F98">
        <w:rPr>
          <w:rStyle w:val="Refdenotaalpie"/>
          <w:rFonts w:ascii="Arial" w:eastAsia="Times New Roman" w:hAnsi="Arial"/>
          <w:color w:val="000000"/>
        </w:rPr>
        <w:footnoteReference w:id="51"/>
      </w:r>
      <w:r w:rsidRPr="00FC1F98">
        <w:rPr>
          <w:rFonts w:ascii="Arial" w:hAnsi="Arial"/>
          <w:bCs/>
        </w:rPr>
        <w:t xml:space="preserve"> el </w:t>
      </w:r>
      <w:r w:rsidR="0017399E" w:rsidRPr="00FC1F98">
        <w:rPr>
          <w:rFonts w:ascii="Arial" w:hAnsi="Arial"/>
          <w:bCs/>
        </w:rPr>
        <w:t>18</w:t>
      </w:r>
      <w:r w:rsidRPr="00FC1F98">
        <w:rPr>
          <w:rFonts w:ascii="Arial" w:hAnsi="Arial"/>
          <w:bCs/>
        </w:rPr>
        <w:t xml:space="preserve"> del</w:t>
      </w:r>
      <w:r w:rsidR="0017399E" w:rsidRPr="00FC1F98">
        <w:rPr>
          <w:rFonts w:ascii="Arial" w:hAnsi="Arial"/>
          <w:bCs/>
        </w:rPr>
        <w:t xml:space="preserve"> mismo mes </w:t>
      </w:r>
      <w:r w:rsidRPr="00FC1F98">
        <w:rPr>
          <w:rFonts w:ascii="Arial" w:hAnsi="Arial"/>
          <w:bCs/>
        </w:rPr>
        <w:t>y año</w:t>
      </w:r>
      <w:r w:rsidR="0017399E" w:rsidRPr="00FC1F98">
        <w:rPr>
          <w:rFonts w:ascii="Arial" w:hAnsi="Arial"/>
          <w:bCs/>
        </w:rPr>
        <w:t>,</w:t>
      </w:r>
      <w:r w:rsidRPr="00FC1F98">
        <w:rPr>
          <w:rFonts w:ascii="Arial" w:hAnsi="Arial"/>
          <w:bCs/>
        </w:rPr>
        <w:t xml:space="preserve"> en consecuencia, se tiene que tal decisión cobró ejecutoria el </w:t>
      </w:r>
      <w:r w:rsidR="0017399E" w:rsidRPr="00FC1F98">
        <w:rPr>
          <w:rFonts w:ascii="Arial" w:hAnsi="Arial"/>
          <w:b/>
        </w:rPr>
        <w:t>23</w:t>
      </w:r>
      <w:r w:rsidRPr="00FC1F98">
        <w:rPr>
          <w:rFonts w:ascii="Arial" w:hAnsi="Arial"/>
          <w:b/>
        </w:rPr>
        <w:t xml:space="preserve"> de </w:t>
      </w:r>
      <w:r w:rsidR="0017399E" w:rsidRPr="00FC1F98">
        <w:rPr>
          <w:rFonts w:ascii="Arial" w:hAnsi="Arial"/>
          <w:b/>
        </w:rPr>
        <w:t xml:space="preserve">noviembre </w:t>
      </w:r>
      <w:r w:rsidRPr="00FC1F98">
        <w:rPr>
          <w:rFonts w:ascii="Arial" w:hAnsi="Arial"/>
          <w:b/>
        </w:rPr>
        <w:t>de 2020</w:t>
      </w:r>
      <w:r w:rsidRPr="00FC1F98">
        <w:rPr>
          <w:rFonts w:ascii="Arial" w:hAnsi="Arial"/>
          <w:bCs/>
        </w:rPr>
        <w:t>, conforme lo dispone el artículo 302 del Código General del Proceso</w:t>
      </w:r>
      <w:r w:rsidRPr="00FC1F98">
        <w:rPr>
          <w:rStyle w:val="Refdenotaalpie"/>
          <w:rFonts w:ascii="Arial" w:hAnsi="Arial"/>
          <w:bCs/>
        </w:rPr>
        <w:footnoteReference w:id="52"/>
      </w:r>
      <w:r w:rsidRPr="00FC1F98">
        <w:rPr>
          <w:rFonts w:ascii="Arial" w:hAnsi="Arial"/>
          <w:bCs/>
        </w:rPr>
        <w:t>.</w:t>
      </w:r>
    </w:p>
    <w:p w14:paraId="0B6F0D35" w14:textId="77777777" w:rsidR="00AD4E9B" w:rsidRPr="00FC1F98" w:rsidRDefault="00AD4E9B" w:rsidP="00AD4E9B">
      <w:pPr>
        <w:pStyle w:val="Sinespaciado"/>
        <w:spacing w:line="276" w:lineRule="auto"/>
        <w:rPr>
          <w:rFonts w:ascii="Arial" w:hAnsi="Arial"/>
          <w:bCs/>
        </w:rPr>
      </w:pPr>
    </w:p>
    <w:p w14:paraId="3E5A5FFA" w14:textId="30333371" w:rsidR="00AD4E9B" w:rsidRPr="00FC1F98" w:rsidRDefault="00AD4E9B" w:rsidP="00AD4E9B">
      <w:pPr>
        <w:pStyle w:val="Sinespaciado"/>
        <w:spacing w:line="276" w:lineRule="auto"/>
        <w:rPr>
          <w:rFonts w:ascii="Arial" w:hAnsi="Arial"/>
          <w:bCs/>
        </w:rPr>
      </w:pPr>
      <w:r w:rsidRPr="00FC1F98">
        <w:rPr>
          <w:rFonts w:ascii="Arial" w:hAnsi="Arial"/>
          <w:bCs/>
        </w:rPr>
        <w:t xml:space="preserve">Ahora bien, dado que el escrito de amparo fue presentado </w:t>
      </w:r>
      <w:r w:rsidR="00E01DD3" w:rsidRPr="00FC1F98">
        <w:rPr>
          <w:rFonts w:ascii="Arial" w:hAnsi="Arial"/>
          <w:bCs/>
        </w:rPr>
        <w:t>a través de</w:t>
      </w:r>
      <w:r w:rsidRPr="00FC1F98">
        <w:rPr>
          <w:rFonts w:ascii="Arial" w:hAnsi="Arial"/>
          <w:bCs/>
        </w:rPr>
        <w:t xml:space="preserve"> correo electrónico el día </w:t>
      </w:r>
      <w:r w:rsidRPr="00FC1F98">
        <w:rPr>
          <w:rFonts w:ascii="Arial" w:hAnsi="Arial"/>
          <w:b/>
        </w:rPr>
        <w:t>14 de diciembre de 2020</w:t>
      </w:r>
      <w:r w:rsidRPr="00FC1F98">
        <w:rPr>
          <w:rFonts w:ascii="Arial" w:hAnsi="Arial"/>
          <w:bCs/>
        </w:rPr>
        <w:t>, se concluye que se satisface el requisito de inmediatez por cuanto no han transcurrido más de seis meses, computados a partir del día siguiente de la ejecutoria de la providencia.</w:t>
      </w:r>
    </w:p>
    <w:p w14:paraId="3749403B" w14:textId="1031EA88" w:rsidR="00E01DD3" w:rsidRPr="00FC1F98" w:rsidRDefault="00E01DD3" w:rsidP="00AD4E9B">
      <w:pPr>
        <w:pStyle w:val="Sinespaciado"/>
        <w:spacing w:line="276" w:lineRule="auto"/>
        <w:rPr>
          <w:rFonts w:ascii="Arial" w:hAnsi="Arial"/>
          <w:bCs/>
        </w:rPr>
      </w:pPr>
    </w:p>
    <w:p w14:paraId="08A470AE" w14:textId="6FD48AEE" w:rsidR="00E01DD3" w:rsidRPr="00FC1F98" w:rsidRDefault="00E01DD3" w:rsidP="00E01DD3">
      <w:pPr>
        <w:pStyle w:val="Sinespaciado"/>
        <w:spacing w:line="276" w:lineRule="auto"/>
        <w:rPr>
          <w:rFonts w:ascii="Arial" w:hAnsi="Arial"/>
          <w:b/>
        </w:rPr>
      </w:pPr>
      <w:r w:rsidRPr="00FC1F98">
        <w:rPr>
          <w:rFonts w:ascii="Arial" w:hAnsi="Arial"/>
          <w:b/>
        </w:rPr>
        <w:t>3.2.3. Subsidiariedad</w:t>
      </w:r>
    </w:p>
    <w:p w14:paraId="27836FB8" w14:textId="77777777" w:rsidR="00E01DD3" w:rsidRPr="00FC1F98" w:rsidRDefault="00E01DD3" w:rsidP="00E01DD3">
      <w:pPr>
        <w:pStyle w:val="Sinespaciado"/>
        <w:spacing w:line="276" w:lineRule="auto"/>
        <w:rPr>
          <w:rFonts w:ascii="Arial" w:hAnsi="Arial"/>
          <w:b/>
        </w:rPr>
      </w:pPr>
    </w:p>
    <w:p w14:paraId="7861BBA2" w14:textId="3626E743" w:rsidR="00E01DD3" w:rsidRPr="00FC1F98" w:rsidRDefault="00E01DD3" w:rsidP="00E01DD3">
      <w:pPr>
        <w:spacing w:line="276" w:lineRule="auto"/>
        <w:rPr>
          <w:rFonts w:ascii="Arial" w:hAnsi="Arial"/>
          <w:color w:val="000000"/>
          <w:lang w:val="es-MX"/>
        </w:rPr>
      </w:pPr>
      <w:r w:rsidRPr="00FC1F98">
        <w:rPr>
          <w:rFonts w:ascii="Arial" w:hAnsi="Arial"/>
          <w:color w:val="000000"/>
        </w:rPr>
        <w:t xml:space="preserve">Finalmente, </w:t>
      </w:r>
      <w:r w:rsidRPr="00FC1F98">
        <w:rPr>
          <w:rFonts w:ascii="Arial" w:hAnsi="Arial"/>
          <w:bCs/>
          <w:color w:val="000000"/>
        </w:rPr>
        <w:t xml:space="preserve">la Sala encuentra que se supera este requisito, pues la </w:t>
      </w:r>
      <w:r w:rsidRPr="00FC1F98">
        <w:rPr>
          <w:rFonts w:ascii="Arial" w:hAnsi="Arial"/>
          <w:color w:val="000000"/>
          <w:lang w:val="es-MX"/>
        </w:rPr>
        <w:t>parte actora</w:t>
      </w:r>
      <w:r w:rsidRPr="00FC1F98">
        <w:rPr>
          <w:rFonts w:ascii="Arial" w:hAnsi="Arial"/>
          <w:color w:val="000000"/>
        </w:rPr>
        <w:t xml:space="preserve"> </w:t>
      </w:r>
      <w:r w:rsidRPr="00FC1F98">
        <w:rPr>
          <w:rFonts w:ascii="Arial" w:hAnsi="Arial"/>
          <w:color w:val="000000"/>
          <w:lang w:val="es-MX"/>
        </w:rPr>
        <w:t>no dispone de otros medios de defensa judicial ordinarios para cuestionar la decisión de segunda instancia proferida por el Tribunal Administrativo de Boyacá.</w:t>
      </w:r>
    </w:p>
    <w:p w14:paraId="6D8C924E" w14:textId="77777777" w:rsidR="00E01DD3" w:rsidRPr="00FC1F98" w:rsidRDefault="00E01DD3" w:rsidP="00E01DD3">
      <w:pPr>
        <w:spacing w:line="276" w:lineRule="auto"/>
        <w:rPr>
          <w:rFonts w:ascii="Arial" w:hAnsi="Arial"/>
          <w:color w:val="000000"/>
          <w:lang w:val="es-MX"/>
        </w:rPr>
      </w:pPr>
    </w:p>
    <w:p w14:paraId="0DC6D912" w14:textId="2B831CDC" w:rsidR="00A1648F" w:rsidRPr="00FC1F98" w:rsidRDefault="00E01DD3" w:rsidP="00E01DD3">
      <w:pPr>
        <w:spacing w:line="276" w:lineRule="auto"/>
        <w:rPr>
          <w:rFonts w:ascii="Arial" w:hAnsi="Arial"/>
          <w:color w:val="000000"/>
        </w:rPr>
      </w:pPr>
      <w:r w:rsidRPr="00FC1F98">
        <w:rPr>
          <w:rFonts w:ascii="Arial" w:hAnsi="Arial"/>
          <w:color w:val="000000"/>
          <w:lang w:val="es-MX"/>
        </w:rPr>
        <w:t xml:space="preserve">En cuanto a los mecanismos extraordinarios </w:t>
      </w:r>
      <w:r w:rsidRPr="00FC1F98">
        <w:rPr>
          <w:rFonts w:ascii="Arial" w:hAnsi="Arial"/>
          <w:color w:val="000000"/>
        </w:rPr>
        <w:t>establecidos, no proceden en el caso concreto, por no cumplirse con los presupuestos de los artículos 248 y 257 de la Ley 1437 de 2011.</w:t>
      </w:r>
    </w:p>
    <w:p w14:paraId="0B502817" w14:textId="1D1EAA50" w:rsidR="00F82BAF" w:rsidRPr="00FC1F98" w:rsidRDefault="00F82BAF">
      <w:pPr>
        <w:pStyle w:val="Prrafodelista"/>
        <w:spacing w:line="276" w:lineRule="auto"/>
        <w:ind w:left="0"/>
        <w:rPr>
          <w:rFonts w:ascii="Arial" w:hAnsi="Arial"/>
        </w:rPr>
      </w:pPr>
    </w:p>
    <w:p w14:paraId="3A917D4E" w14:textId="68672AEC" w:rsidR="004825BA" w:rsidRPr="00FC1F98" w:rsidRDefault="000360D6" w:rsidP="00E01DD3">
      <w:pPr>
        <w:spacing w:line="276" w:lineRule="auto"/>
        <w:rPr>
          <w:rFonts w:ascii="Arial" w:hAnsi="Arial"/>
          <w:b/>
          <w:lang w:val="es-ES_tradnl"/>
        </w:rPr>
      </w:pPr>
      <w:r w:rsidRPr="00FC1F98">
        <w:rPr>
          <w:rFonts w:ascii="Arial" w:hAnsi="Arial"/>
          <w:b/>
          <w:lang w:val="es-ES_tradnl"/>
        </w:rPr>
        <w:t>3.3</w:t>
      </w:r>
      <w:r w:rsidR="00E01DD3" w:rsidRPr="00FC1F98">
        <w:rPr>
          <w:rFonts w:ascii="Arial" w:hAnsi="Arial"/>
          <w:b/>
          <w:lang w:val="es-ES_tradnl"/>
        </w:rPr>
        <w:t xml:space="preserve">. </w:t>
      </w:r>
      <w:r w:rsidR="00B94AFA" w:rsidRPr="00FC1F98">
        <w:rPr>
          <w:rFonts w:ascii="Arial" w:hAnsi="Arial"/>
          <w:b/>
          <w:lang w:val="es-ES_tradnl"/>
        </w:rPr>
        <w:t xml:space="preserve">Del </w:t>
      </w:r>
      <w:r w:rsidR="00647926" w:rsidRPr="00FC1F98">
        <w:rPr>
          <w:rFonts w:ascii="Arial" w:hAnsi="Arial"/>
          <w:b/>
          <w:lang w:val="es-ES_tradnl"/>
        </w:rPr>
        <w:t>caso concreto</w:t>
      </w:r>
    </w:p>
    <w:p w14:paraId="0BBA8AF9" w14:textId="56652617" w:rsidR="00E01DD3" w:rsidRPr="00FC1F98" w:rsidRDefault="00E01DD3" w:rsidP="00E01DD3">
      <w:pPr>
        <w:spacing w:line="276" w:lineRule="auto"/>
        <w:rPr>
          <w:rFonts w:ascii="Arial" w:hAnsi="Arial"/>
          <w:b/>
          <w:lang w:val="es-ES_tradnl"/>
        </w:rPr>
      </w:pPr>
    </w:p>
    <w:p w14:paraId="01731C5F" w14:textId="230A66F9" w:rsidR="00E01DD3" w:rsidRDefault="00E01DD3" w:rsidP="00E01DD3">
      <w:pPr>
        <w:spacing w:line="276" w:lineRule="auto"/>
        <w:rPr>
          <w:rFonts w:ascii="Arial" w:eastAsia="Times New Roman" w:hAnsi="Arial"/>
          <w:lang w:val="es-CO"/>
        </w:rPr>
      </w:pPr>
      <w:r w:rsidRPr="00FC1F98">
        <w:rPr>
          <w:rFonts w:ascii="Arial" w:eastAsia="Times New Roman" w:hAnsi="Arial"/>
          <w:lang w:val="es-CO"/>
        </w:rPr>
        <w:t xml:space="preserve">En menester precisar que, si bien el actor alegó </w:t>
      </w:r>
      <w:r w:rsidR="000360D6" w:rsidRPr="00FC1F98">
        <w:rPr>
          <w:rFonts w:ascii="Arial" w:eastAsia="Times New Roman" w:hAnsi="Arial"/>
          <w:lang w:val="es-CO"/>
        </w:rPr>
        <w:t>los</w:t>
      </w:r>
      <w:r w:rsidR="00FC7E63" w:rsidRPr="00FC1F98">
        <w:rPr>
          <w:rFonts w:ascii="Arial" w:eastAsia="Times New Roman" w:hAnsi="Arial"/>
          <w:lang w:val="es-CO"/>
        </w:rPr>
        <w:t xml:space="preserve"> </w:t>
      </w:r>
      <w:proofErr w:type="gramStart"/>
      <w:r w:rsidR="00FC7E63" w:rsidRPr="00FC1F98">
        <w:rPr>
          <w:rFonts w:ascii="Arial" w:eastAsia="Times New Roman" w:hAnsi="Arial"/>
          <w:lang w:val="es-CO"/>
        </w:rPr>
        <w:t>defectos</w:t>
      </w:r>
      <w:r w:rsidRPr="00FC1F98">
        <w:rPr>
          <w:rFonts w:ascii="Arial" w:eastAsia="Times New Roman" w:hAnsi="Arial"/>
          <w:lang w:val="es-CO"/>
        </w:rPr>
        <w:t xml:space="preserve"> </w:t>
      </w:r>
      <w:r w:rsidR="000360D6" w:rsidRPr="00FC1F98">
        <w:rPr>
          <w:rFonts w:ascii="Arial" w:eastAsia="Times New Roman" w:hAnsi="Arial"/>
          <w:lang w:val="es-CO"/>
        </w:rPr>
        <w:t>orgánico</w:t>
      </w:r>
      <w:proofErr w:type="gramEnd"/>
      <w:r w:rsidR="000360D6" w:rsidRPr="00FC1F98">
        <w:rPr>
          <w:rFonts w:ascii="Arial" w:eastAsia="Times New Roman" w:hAnsi="Arial"/>
          <w:lang w:val="es-CO"/>
        </w:rPr>
        <w:t xml:space="preserve">, </w:t>
      </w:r>
      <w:r w:rsidRPr="00FC1F98">
        <w:rPr>
          <w:rFonts w:ascii="Arial" w:eastAsia="Times New Roman" w:hAnsi="Arial"/>
          <w:lang w:val="es-CO"/>
        </w:rPr>
        <w:t xml:space="preserve">error inducido, </w:t>
      </w:r>
      <w:r w:rsidR="000360D6" w:rsidRPr="00FC1F98">
        <w:rPr>
          <w:rFonts w:ascii="Arial" w:eastAsia="Times New Roman" w:hAnsi="Arial"/>
          <w:lang w:val="es-CO"/>
        </w:rPr>
        <w:t xml:space="preserve">procedimental absoluto, decisión sin motivación y, </w:t>
      </w:r>
      <w:r w:rsidRPr="00FC1F98">
        <w:rPr>
          <w:rFonts w:ascii="Arial" w:eastAsia="Times New Roman" w:hAnsi="Arial"/>
          <w:lang w:val="es-CO"/>
        </w:rPr>
        <w:t xml:space="preserve">violación directa de la </w:t>
      </w:r>
      <w:r w:rsidR="003053C6" w:rsidRPr="00FC1F98">
        <w:rPr>
          <w:rFonts w:ascii="Arial" w:eastAsia="Times New Roman" w:hAnsi="Arial"/>
          <w:lang w:val="es-CO"/>
        </w:rPr>
        <w:t>C</w:t>
      </w:r>
      <w:r w:rsidRPr="00FC1F98">
        <w:rPr>
          <w:rFonts w:ascii="Arial" w:eastAsia="Times New Roman" w:hAnsi="Arial"/>
          <w:lang w:val="es-CO"/>
        </w:rPr>
        <w:t xml:space="preserve">onstitución, lo cierto es que </w:t>
      </w:r>
      <w:r w:rsidR="008670AE" w:rsidRPr="00FC1F98">
        <w:rPr>
          <w:rFonts w:ascii="Arial" w:eastAsia="Times New Roman" w:hAnsi="Arial"/>
          <w:lang w:val="es-CO"/>
        </w:rPr>
        <w:t xml:space="preserve">tal como se desprende de los argumentos esbozados por el accionante en el escrito de tutela, sus señalamientos se </w:t>
      </w:r>
      <w:r w:rsidRPr="00FC1F98">
        <w:rPr>
          <w:rFonts w:ascii="Arial" w:eastAsia="Times New Roman" w:hAnsi="Arial"/>
          <w:lang w:val="es-CO"/>
        </w:rPr>
        <w:t>concentra</w:t>
      </w:r>
      <w:r w:rsidR="008670AE" w:rsidRPr="00FC1F98">
        <w:rPr>
          <w:rFonts w:ascii="Arial" w:eastAsia="Times New Roman" w:hAnsi="Arial"/>
          <w:lang w:val="es-CO"/>
        </w:rPr>
        <w:t>n</w:t>
      </w:r>
      <w:r w:rsidRPr="00FC1F98">
        <w:rPr>
          <w:rFonts w:ascii="Arial" w:eastAsia="Times New Roman" w:hAnsi="Arial"/>
          <w:lang w:val="es-CO"/>
        </w:rPr>
        <w:t xml:space="preserve"> en la presunta configuración de</w:t>
      </w:r>
      <w:r w:rsidR="000360D6" w:rsidRPr="00FC1F98">
        <w:rPr>
          <w:rFonts w:ascii="Arial" w:eastAsia="Times New Roman" w:hAnsi="Arial"/>
          <w:lang w:val="es-CO"/>
        </w:rPr>
        <w:t xml:space="preserve">l defecto </w:t>
      </w:r>
      <w:r w:rsidR="000360D6" w:rsidRPr="00FC1F98">
        <w:rPr>
          <w:rFonts w:ascii="Arial" w:eastAsia="Times New Roman" w:hAnsi="Arial"/>
          <w:b/>
          <w:bCs/>
          <w:lang w:val="es-CO"/>
        </w:rPr>
        <w:t>fáctico, sustantivo y desconocimiento de precedente judicial</w:t>
      </w:r>
      <w:r w:rsidR="000360D6" w:rsidRPr="00FC1F98">
        <w:rPr>
          <w:rFonts w:ascii="Arial" w:eastAsia="Times New Roman" w:hAnsi="Arial"/>
          <w:lang w:val="es-CO"/>
        </w:rPr>
        <w:t>, en ese orden, procede la Sala al estudio de</w:t>
      </w:r>
      <w:r w:rsidR="00120ECF" w:rsidRPr="00FC1F98">
        <w:rPr>
          <w:rFonts w:ascii="Arial" w:eastAsia="Times New Roman" w:hAnsi="Arial"/>
          <w:lang w:val="es-CO"/>
        </w:rPr>
        <w:t xml:space="preserve"> los cargos en estos términos.</w:t>
      </w:r>
      <w:r w:rsidR="000360D6" w:rsidRPr="00FC1F98">
        <w:rPr>
          <w:rFonts w:ascii="Arial" w:eastAsia="Times New Roman" w:hAnsi="Arial"/>
          <w:lang w:val="es-CO"/>
        </w:rPr>
        <w:t xml:space="preserve"> </w:t>
      </w:r>
    </w:p>
    <w:p w14:paraId="611D136E" w14:textId="337F4CE9" w:rsidR="00944529" w:rsidRDefault="00944529" w:rsidP="00E01DD3">
      <w:pPr>
        <w:spacing w:line="276" w:lineRule="auto"/>
        <w:rPr>
          <w:rFonts w:ascii="Arial" w:eastAsia="Times New Roman" w:hAnsi="Arial"/>
          <w:lang w:val="es-CO"/>
        </w:rPr>
      </w:pPr>
    </w:p>
    <w:p w14:paraId="35B65A57" w14:textId="77777777" w:rsidR="00944529" w:rsidRPr="00FC1F98" w:rsidRDefault="00944529" w:rsidP="00E01DD3">
      <w:pPr>
        <w:spacing w:line="276" w:lineRule="auto"/>
        <w:rPr>
          <w:rFonts w:ascii="Arial" w:eastAsia="Times New Roman" w:hAnsi="Arial"/>
          <w:lang w:val="es-CO"/>
        </w:rPr>
      </w:pPr>
    </w:p>
    <w:p w14:paraId="0A16F917" w14:textId="77777777" w:rsidR="000360D6" w:rsidRPr="00FC1F98" w:rsidRDefault="000360D6" w:rsidP="000360D6">
      <w:pPr>
        <w:pStyle w:val="Prrafodelista"/>
        <w:spacing w:line="276" w:lineRule="auto"/>
        <w:rPr>
          <w:rFonts w:ascii="Arial" w:hAnsi="Arial"/>
          <w:b/>
          <w:lang w:val="es-ES_tradnl"/>
        </w:rPr>
      </w:pPr>
    </w:p>
    <w:p w14:paraId="079CA299" w14:textId="6F01B163" w:rsidR="000360D6" w:rsidRPr="00FC1F98" w:rsidRDefault="000360D6" w:rsidP="008670AE">
      <w:pPr>
        <w:pStyle w:val="Prrafodelista"/>
        <w:numPr>
          <w:ilvl w:val="2"/>
          <w:numId w:val="17"/>
        </w:numPr>
        <w:spacing w:line="276" w:lineRule="auto"/>
        <w:rPr>
          <w:rFonts w:ascii="Arial" w:hAnsi="Arial"/>
          <w:b/>
          <w:lang w:val="es-ES_tradnl"/>
        </w:rPr>
      </w:pPr>
      <w:r w:rsidRPr="00FC1F98">
        <w:rPr>
          <w:rFonts w:ascii="Arial" w:hAnsi="Arial"/>
          <w:b/>
          <w:lang w:val="es-ES_tradnl"/>
        </w:rPr>
        <w:lastRenderedPageBreak/>
        <w:t>Defecto fáctico</w:t>
      </w:r>
    </w:p>
    <w:p w14:paraId="0154ED4D" w14:textId="77777777" w:rsidR="000360D6" w:rsidRPr="00FC1F98" w:rsidRDefault="000360D6" w:rsidP="000360D6">
      <w:pPr>
        <w:pStyle w:val="Sinespaciado"/>
        <w:spacing w:line="276" w:lineRule="auto"/>
        <w:ind w:left="720"/>
        <w:rPr>
          <w:rFonts w:ascii="Arial" w:hAnsi="Arial"/>
        </w:rPr>
      </w:pPr>
    </w:p>
    <w:p w14:paraId="4BD363F2" w14:textId="2E5EAE64" w:rsidR="000360D6" w:rsidRPr="00FC1F98" w:rsidRDefault="000360D6" w:rsidP="000360D6">
      <w:pPr>
        <w:pStyle w:val="Sinespaciado"/>
        <w:spacing w:line="276" w:lineRule="auto"/>
        <w:rPr>
          <w:rFonts w:ascii="Arial" w:hAnsi="Arial"/>
          <w:shd w:val="clear" w:color="auto" w:fill="FFFFFF"/>
        </w:rPr>
      </w:pPr>
      <w:r w:rsidRPr="00FC1F98">
        <w:rPr>
          <w:rFonts w:ascii="Arial" w:hAnsi="Arial"/>
        </w:rPr>
        <w:t xml:space="preserve">Esta </w:t>
      </w:r>
      <w:r w:rsidRPr="00FC1F98">
        <w:rPr>
          <w:rFonts w:ascii="Arial" w:hAnsi="Arial"/>
          <w:shd w:val="clear" w:color="auto" w:fill="FFFFFF"/>
        </w:rPr>
        <w:t>Sala en decisión de 12 de noviembre del 2015</w:t>
      </w:r>
      <w:r w:rsidRPr="00FC1F98">
        <w:rPr>
          <w:rFonts w:ascii="Arial" w:hAnsi="Arial"/>
          <w:shd w:val="clear" w:color="auto" w:fill="FFFFFF"/>
          <w:vertAlign w:val="superscript"/>
        </w:rPr>
        <w:footnoteReference w:id="53"/>
      </w:r>
      <w:r w:rsidRPr="00FC1F98">
        <w:rPr>
          <w:rFonts w:ascii="Arial" w:hAnsi="Arial"/>
          <w:shd w:val="clear" w:color="auto" w:fill="FFFFFF"/>
        </w:rPr>
        <w:t xml:space="preserve"> precisó los alcances y requisitos que deben atenderse al momento de alegarse la ocurrencia de un defecto fáctico en una providencia judicial, los cuales son traídos a colación en la presente decisión:</w:t>
      </w:r>
    </w:p>
    <w:p w14:paraId="07AE0E50" w14:textId="77777777" w:rsidR="000360D6" w:rsidRPr="00FC1F98" w:rsidRDefault="000360D6" w:rsidP="00E74915">
      <w:pPr>
        <w:pStyle w:val="Sinespaciado"/>
        <w:spacing w:line="276" w:lineRule="auto"/>
        <w:ind w:left="612"/>
        <w:rPr>
          <w:rFonts w:ascii="Arial" w:hAnsi="Arial"/>
          <w:shd w:val="clear" w:color="auto" w:fill="FFFFFF"/>
        </w:rPr>
      </w:pPr>
    </w:p>
    <w:p w14:paraId="3B67CCE8" w14:textId="1B06AA5D" w:rsidR="000360D6" w:rsidRPr="00FC1F98" w:rsidRDefault="000360D6" w:rsidP="00E74915">
      <w:pPr>
        <w:pStyle w:val="Sinespaciado"/>
        <w:spacing w:line="276" w:lineRule="auto"/>
        <w:rPr>
          <w:rFonts w:ascii="Arial" w:hAnsi="Arial"/>
        </w:rPr>
      </w:pPr>
      <w:r w:rsidRPr="00FC1F98">
        <w:rPr>
          <w:rFonts w:ascii="Arial" w:hAnsi="Arial"/>
        </w:rPr>
        <w:t xml:space="preserve">Los eventos de configuración del defecto fáctico son: i) omisión de decretar o practicar pruebas indispensables para fallar el asunto; </w:t>
      </w:r>
      <w:proofErr w:type="spellStart"/>
      <w:r w:rsidRPr="00FC1F98">
        <w:rPr>
          <w:rFonts w:ascii="Arial" w:hAnsi="Arial"/>
        </w:rPr>
        <w:t>ii</w:t>
      </w:r>
      <w:proofErr w:type="spellEnd"/>
      <w:r w:rsidRPr="00FC1F98">
        <w:rPr>
          <w:rFonts w:ascii="Arial" w:hAnsi="Arial"/>
        </w:rPr>
        <w:t xml:space="preserve">) desconocimiento del acervo probatorio determinante para identificar la veracidad de los hechos alegados por las partes; </w:t>
      </w:r>
      <w:proofErr w:type="spellStart"/>
      <w:r w:rsidRPr="00FC1F98">
        <w:rPr>
          <w:rFonts w:ascii="Arial" w:hAnsi="Arial"/>
        </w:rPr>
        <w:t>iii</w:t>
      </w:r>
      <w:proofErr w:type="spellEnd"/>
      <w:r w:rsidRPr="00FC1F98">
        <w:rPr>
          <w:rFonts w:ascii="Arial" w:hAnsi="Arial"/>
        </w:rPr>
        <w:t xml:space="preserve">) valoración irracional o arbitraria de las pruebas aportadas; y </w:t>
      </w:r>
      <w:proofErr w:type="spellStart"/>
      <w:r w:rsidRPr="00FC1F98">
        <w:rPr>
          <w:rFonts w:ascii="Arial" w:hAnsi="Arial"/>
        </w:rPr>
        <w:t>iv</w:t>
      </w:r>
      <w:proofErr w:type="spellEnd"/>
      <w:r w:rsidRPr="00FC1F98">
        <w:rPr>
          <w:rFonts w:ascii="Arial" w:hAnsi="Arial"/>
        </w:rPr>
        <w:t xml:space="preserve">) dictar sentencia con fundamento en pruebas obtenidas con violación del debido proceso. </w:t>
      </w:r>
    </w:p>
    <w:p w14:paraId="69C277D7" w14:textId="77777777" w:rsidR="00093A04" w:rsidRPr="00FC1F98" w:rsidRDefault="00093A04" w:rsidP="00E74915">
      <w:pPr>
        <w:pStyle w:val="Sinespaciado"/>
        <w:spacing w:line="276" w:lineRule="auto"/>
        <w:rPr>
          <w:rFonts w:ascii="Arial" w:hAnsi="Arial"/>
        </w:rPr>
      </w:pPr>
    </w:p>
    <w:p w14:paraId="1E4EE9CB" w14:textId="1375026F" w:rsidR="00E74915" w:rsidRPr="00FC1F98" w:rsidRDefault="000360D6" w:rsidP="00E74915">
      <w:pPr>
        <w:pStyle w:val="Sinespaciado"/>
        <w:spacing w:line="276" w:lineRule="auto"/>
        <w:rPr>
          <w:rFonts w:ascii="Arial" w:hAnsi="Arial"/>
        </w:rPr>
      </w:pPr>
      <w:r w:rsidRPr="00FC1F98">
        <w:rPr>
          <w:rFonts w:ascii="Arial" w:hAnsi="Arial"/>
        </w:rPr>
        <w:t>De conformidad con la sentencia de 11 de febrero de 2016</w:t>
      </w:r>
      <w:r w:rsidRPr="00FC1F98">
        <w:rPr>
          <w:rFonts w:ascii="Arial" w:hAnsi="Arial"/>
          <w:vertAlign w:val="superscript"/>
        </w:rPr>
        <w:footnoteReference w:id="54"/>
      </w:r>
      <w:r w:rsidRPr="00FC1F98">
        <w:rPr>
          <w:rFonts w:ascii="Arial" w:hAnsi="Arial"/>
        </w:rPr>
        <w:t>, estos aspectos tienen características que se transcriben a continuación:</w:t>
      </w:r>
    </w:p>
    <w:p w14:paraId="546BC246" w14:textId="77777777" w:rsidR="00E74915" w:rsidRPr="00FC1F98" w:rsidRDefault="00E74915" w:rsidP="00E74915">
      <w:pPr>
        <w:pStyle w:val="Sinespaciado"/>
        <w:spacing w:line="276" w:lineRule="auto"/>
        <w:rPr>
          <w:rFonts w:ascii="Arial" w:hAnsi="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6343"/>
      </w:tblGrid>
      <w:tr w:rsidR="00E74915" w:rsidRPr="00FC1F98" w14:paraId="3ECF7371" w14:textId="77777777" w:rsidTr="008670AE">
        <w:tc>
          <w:tcPr>
            <w:tcW w:w="2213" w:type="dxa"/>
            <w:shd w:val="clear" w:color="auto" w:fill="D9D9D9"/>
          </w:tcPr>
          <w:p w14:paraId="4508D3BE" w14:textId="77777777" w:rsidR="00E74915" w:rsidRPr="00FC1F98" w:rsidRDefault="00E74915" w:rsidP="008670AE">
            <w:pPr>
              <w:pStyle w:val="Sinespaciado"/>
              <w:spacing w:line="276" w:lineRule="auto"/>
              <w:jc w:val="center"/>
              <w:rPr>
                <w:rFonts w:ascii="Arial" w:hAnsi="Arial"/>
                <w:b/>
              </w:rPr>
            </w:pPr>
            <w:r w:rsidRPr="00FC1F98">
              <w:rPr>
                <w:rFonts w:ascii="Arial" w:hAnsi="Arial"/>
                <w:b/>
              </w:rPr>
              <w:t>Evento</w:t>
            </w:r>
          </w:p>
        </w:tc>
        <w:tc>
          <w:tcPr>
            <w:tcW w:w="6463" w:type="dxa"/>
            <w:shd w:val="clear" w:color="auto" w:fill="D9D9D9"/>
          </w:tcPr>
          <w:p w14:paraId="7EAFF178" w14:textId="77777777" w:rsidR="00E74915" w:rsidRPr="00FC1F98" w:rsidRDefault="00E74915" w:rsidP="008670AE">
            <w:pPr>
              <w:pStyle w:val="Sinespaciado"/>
              <w:spacing w:line="276" w:lineRule="auto"/>
              <w:jc w:val="center"/>
              <w:rPr>
                <w:rFonts w:ascii="Arial" w:hAnsi="Arial"/>
                <w:b/>
              </w:rPr>
            </w:pPr>
            <w:r w:rsidRPr="00FC1F98">
              <w:rPr>
                <w:rFonts w:ascii="Arial" w:hAnsi="Arial"/>
                <w:b/>
              </w:rPr>
              <w:t>Características</w:t>
            </w:r>
          </w:p>
        </w:tc>
      </w:tr>
      <w:tr w:rsidR="00E74915" w:rsidRPr="00FC1F98" w14:paraId="53A7E76D" w14:textId="77777777" w:rsidTr="008670AE">
        <w:tc>
          <w:tcPr>
            <w:tcW w:w="2213" w:type="dxa"/>
            <w:shd w:val="clear" w:color="auto" w:fill="auto"/>
            <w:vAlign w:val="center"/>
          </w:tcPr>
          <w:p w14:paraId="378C90CA" w14:textId="77777777" w:rsidR="00E74915" w:rsidRPr="00FC1F98" w:rsidRDefault="00E74915" w:rsidP="008670AE">
            <w:pPr>
              <w:pStyle w:val="Sinespaciado"/>
              <w:spacing w:line="276" w:lineRule="auto"/>
              <w:rPr>
                <w:rFonts w:ascii="Arial" w:hAnsi="Arial"/>
                <w:bCs/>
              </w:rPr>
            </w:pPr>
            <w:r w:rsidRPr="00FC1F98">
              <w:rPr>
                <w:rFonts w:ascii="Arial" w:hAnsi="Arial"/>
                <w:bCs/>
              </w:rPr>
              <w:t>Omisión de decreto y práctica de pruebas indispensables para fallar el asunto</w:t>
            </w:r>
          </w:p>
          <w:p w14:paraId="269B6DF3" w14:textId="77777777" w:rsidR="00E74915" w:rsidRPr="00FC1F98" w:rsidRDefault="00E74915" w:rsidP="008670AE">
            <w:pPr>
              <w:pStyle w:val="Sinespaciado"/>
              <w:spacing w:line="276" w:lineRule="auto"/>
              <w:rPr>
                <w:rFonts w:ascii="Arial" w:hAnsi="Arial"/>
                <w:bCs/>
              </w:rPr>
            </w:pPr>
          </w:p>
        </w:tc>
        <w:tc>
          <w:tcPr>
            <w:tcW w:w="6463" w:type="dxa"/>
            <w:shd w:val="clear" w:color="auto" w:fill="auto"/>
          </w:tcPr>
          <w:p w14:paraId="33D5D194" w14:textId="77777777" w:rsidR="00E74915" w:rsidRPr="00FC1F98" w:rsidRDefault="00E74915" w:rsidP="008670AE">
            <w:pPr>
              <w:pStyle w:val="Sinespaciado"/>
              <w:spacing w:line="276" w:lineRule="auto"/>
              <w:rPr>
                <w:rFonts w:ascii="Arial" w:hAnsi="Arial"/>
                <w:bCs/>
              </w:rPr>
            </w:pPr>
            <w:r w:rsidRPr="00FC1F98">
              <w:rPr>
                <w:rFonts w:ascii="Arial" w:hAnsi="Arial"/>
                <w:bCs/>
              </w:rPr>
              <w:t>Se da cuando la parte, con el fin de probar los hechos que alega, solicitó al juez el decreto de una prueba relevante para resolver el problema jurídico sometido a consideración, y ésta fue negada; ello sin desconocer la facultad del juez ordinario de negar pruebas que no atiendan los requisitos de conducencia, pertinencia e idoneidad. Así las cosas, es importante considerar que no toda negativa a un decreto de pruebas abre la posibilidad a la configuración del defecto, ya que éste procederá cuando se rechace el decreto y práctica de la prueba que, solicitada oportunamente, no cumpla con los parámetros arriba señalados.</w:t>
            </w:r>
          </w:p>
          <w:p w14:paraId="2CD5ED7D" w14:textId="77777777" w:rsidR="00E74915" w:rsidRPr="00FC1F98" w:rsidRDefault="00E74915" w:rsidP="008670AE">
            <w:pPr>
              <w:pStyle w:val="Sinespaciado"/>
              <w:spacing w:line="276" w:lineRule="auto"/>
              <w:rPr>
                <w:rFonts w:ascii="Arial" w:hAnsi="Arial"/>
                <w:bCs/>
              </w:rPr>
            </w:pPr>
          </w:p>
          <w:p w14:paraId="26049C45" w14:textId="77777777" w:rsidR="00E74915" w:rsidRPr="00FC1F98" w:rsidRDefault="00E74915" w:rsidP="008670AE">
            <w:pPr>
              <w:pStyle w:val="Sinespaciado"/>
              <w:spacing w:line="276" w:lineRule="auto"/>
              <w:rPr>
                <w:rFonts w:ascii="Arial" w:hAnsi="Arial"/>
                <w:bCs/>
              </w:rPr>
            </w:pPr>
            <w:r w:rsidRPr="00FC1F98">
              <w:rPr>
                <w:rFonts w:ascii="Arial" w:hAnsi="Arial"/>
                <w:bCs/>
              </w:rPr>
              <w:t>De esta manera, se requiere que la parte:</w:t>
            </w:r>
          </w:p>
          <w:p w14:paraId="19EBBDF6" w14:textId="77777777" w:rsidR="00E74915" w:rsidRPr="00FC1F98" w:rsidRDefault="00E74915" w:rsidP="008670AE">
            <w:pPr>
              <w:pStyle w:val="Sinespaciado"/>
              <w:spacing w:line="276" w:lineRule="auto"/>
              <w:rPr>
                <w:rFonts w:ascii="Arial" w:hAnsi="Arial"/>
                <w:bCs/>
              </w:rPr>
            </w:pPr>
          </w:p>
          <w:p w14:paraId="03E3575E" w14:textId="77777777" w:rsidR="00E74915" w:rsidRPr="00FC1F98" w:rsidRDefault="00E74915" w:rsidP="00E74915">
            <w:pPr>
              <w:pStyle w:val="Sinespaciado"/>
              <w:numPr>
                <w:ilvl w:val="0"/>
                <w:numId w:val="13"/>
              </w:numPr>
              <w:spacing w:line="276" w:lineRule="auto"/>
              <w:rPr>
                <w:rFonts w:ascii="Arial" w:hAnsi="Arial"/>
                <w:bCs/>
              </w:rPr>
            </w:pPr>
            <w:r w:rsidRPr="00FC1F98">
              <w:rPr>
                <w:rFonts w:ascii="Arial" w:hAnsi="Arial"/>
                <w:bCs/>
              </w:rPr>
              <w:t>Identifique el elemento probatorio que solicitó.</w:t>
            </w:r>
          </w:p>
          <w:p w14:paraId="439B7230" w14:textId="77777777" w:rsidR="00E74915" w:rsidRPr="00FC1F98" w:rsidRDefault="00E74915" w:rsidP="00E74915">
            <w:pPr>
              <w:pStyle w:val="Sinespaciado"/>
              <w:numPr>
                <w:ilvl w:val="0"/>
                <w:numId w:val="13"/>
              </w:numPr>
              <w:spacing w:line="276" w:lineRule="auto"/>
              <w:rPr>
                <w:rFonts w:ascii="Arial" w:hAnsi="Arial"/>
                <w:bCs/>
              </w:rPr>
            </w:pPr>
            <w:r w:rsidRPr="00FC1F98">
              <w:rPr>
                <w:rFonts w:ascii="Arial" w:hAnsi="Arial"/>
                <w:bCs/>
              </w:rPr>
              <w:t>Demuestre que lo solicitó en oportunidad legal.</w:t>
            </w:r>
          </w:p>
          <w:p w14:paraId="3D786864" w14:textId="77777777" w:rsidR="00E74915" w:rsidRPr="00FC1F98" w:rsidRDefault="00E74915" w:rsidP="00E74915">
            <w:pPr>
              <w:pStyle w:val="Sinespaciado"/>
              <w:numPr>
                <w:ilvl w:val="0"/>
                <w:numId w:val="13"/>
              </w:numPr>
              <w:spacing w:line="276" w:lineRule="auto"/>
              <w:rPr>
                <w:rFonts w:ascii="Arial" w:hAnsi="Arial"/>
                <w:bCs/>
              </w:rPr>
            </w:pPr>
            <w:r w:rsidRPr="00FC1F98">
              <w:rPr>
                <w:rFonts w:ascii="Arial" w:hAnsi="Arial"/>
                <w:bCs/>
              </w:rPr>
              <w:t>Exponga las razones por la cuales la prueba solicitada era conducente, pertinente o idónea.</w:t>
            </w:r>
          </w:p>
          <w:p w14:paraId="4F498CB5" w14:textId="77777777" w:rsidR="00E74915" w:rsidRPr="00FC1F98" w:rsidRDefault="00E74915" w:rsidP="00E74915">
            <w:pPr>
              <w:pStyle w:val="Sinespaciado"/>
              <w:numPr>
                <w:ilvl w:val="0"/>
                <w:numId w:val="13"/>
              </w:numPr>
              <w:spacing w:line="276" w:lineRule="auto"/>
              <w:rPr>
                <w:rFonts w:ascii="Arial" w:hAnsi="Arial"/>
                <w:bCs/>
              </w:rPr>
            </w:pPr>
            <w:r w:rsidRPr="00FC1F98">
              <w:rPr>
                <w:rFonts w:ascii="Arial" w:hAnsi="Arial"/>
                <w:bCs/>
              </w:rPr>
              <w:t>Señale de manera razonada la razón por la cual, de haberse decretado la prueba, el sentido de la decisión hubiere sido otro.</w:t>
            </w:r>
          </w:p>
        </w:tc>
      </w:tr>
      <w:tr w:rsidR="00E74915" w:rsidRPr="00FC1F98" w14:paraId="334B5A4F" w14:textId="77777777" w:rsidTr="008670AE">
        <w:tc>
          <w:tcPr>
            <w:tcW w:w="2213" w:type="dxa"/>
            <w:shd w:val="clear" w:color="auto" w:fill="auto"/>
            <w:vAlign w:val="center"/>
          </w:tcPr>
          <w:p w14:paraId="6B661B1C" w14:textId="77777777" w:rsidR="00E74915" w:rsidRPr="00FC1F98" w:rsidRDefault="00E74915" w:rsidP="008670AE">
            <w:pPr>
              <w:pStyle w:val="Sinespaciado"/>
              <w:spacing w:line="276" w:lineRule="auto"/>
              <w:rPr>
                <w:rFonts w:ascii="Arial" w:hAnsi="Arial"/>
                <w:bCs/>
              </w:rPr>
            </w:pPr>
            <w:r w:rsidRPr="00FC1F98">
              <w:rPr>
                <w:rFonts w:ascii="Arial" w:hAnsi="Arial"/>
                <w:bCs/>
              </w:rPr>
              <w:lastRenderedPageBreak/>
              <w:t>Desconocimiento del acervo probatorio determinante para identificar la veracidad de los hechos alegados por las partes</w:t>
            </w:r>
          </w:p>
        </w:tc>
        <w:tc>
          <w:tcPr>
            <w:tcW w:w="6463" w:type="dxa"/>
            <w:shd w:val="clear" w:color="auto" w:fill="auto"/>
          </w:tcPr>
          <w:p w14:paraId="472AEB32" w14:textId="77777777" w:rsidR="00E74915" w:rsidRPr="00FC1F98" w:rsidRDefault="00E74915" w:rsidP="008670AE">
            <w:pPr>
              <w:pStyle w:val="Sinespaciado"/>
              <w:spacing w:line="276" w:lineRule="auto"/>
              <w:rPr>
                <w:rFonts w:ascii="Arial" w:hAnsi="Arial"/>
                <w:bCs/>
              </w:rPr>
            </w:pPr>
            <w:r w:rsidRPr="00FC1F98">
              <w:rPr>
                <w:rFonts w:ascii="Arial" w:hAnsi="Arial"/>
                <w:bCs/>
              </w:rPr>
              <w:t>Se presenta cuando, obrando los elementos de convicción en el expediente, y estos resultan decisivos frente a los hechos que se pretenden probar, éstos no son tenidos en cuenta por el fallador ordinario. En este punto, se requiere que, de forma específica, se concrete en el escrito de amparo, cuáles pruebas, aportadas oportuna y legalmente, fueron desconocidas por el juez.</w:t>
            </w:r>
          </w:p>
          <w:p w14:paraId="548DB7E7" w14:textId="77777777" w:rsidR="00E74915" w:rsidRPr="00FC1F98" w:rsidRDefault="00E74915" w:rsidP="008670AE">
            <w:pPr>
              <w:pStyle w:val="Sinespaciado"/>
              <w:spacing w:line="276" w:lineRule="auto"/>
              <w:rPr>
                <w:rFonts w:ascii="Arial" w:hAnsi="Arial"/>
                <w:bCs/>
              </w:rPr>
            </w:pPr>
          </w:p>
          <w:p w14:paraId="5BD4F17B" w14:textId="77777777" w:rsidR="00E74915" w:rsidRPr="00FC1F98" w:rsidRDefault="00E74915" w:rsidP="008670AE">
            <w:pPr>
              <w:pStyle w:val="Sinespaciado"/>
              <w:spacing w:line="276" w:lineRule="auto"/>
              <w:rPr>
                <w:rFonts w:ascii="Arial" w:hAnsi="Arial"/>
                <w:bCs/>
              </w:rPr>
            </w:pPr>
            <w:r w:rsidRPr="00FC1F98">
              <w:rPr>
                <w:rFonts w:ascii="Arial" w:hAnsi="Arial"/>
                <w:bCs/>
              </w:rPr>
              <w:t>Así las cosas, se configura siempre que el interesado:</w:t>
            </w:r>
          </w:p>
          <w:p w14:paraId="1340F05A" w14:textId="77777777" w:rsidR="00E74915" w:rsidRPr="00FC1F98" w:rsidRDefault="00E74915" w:rsidP="008670AE">
            <w:pPr>
              <w:pStyle w:val="Sinespaciado"/>
              <w:spacing w:line="276" w:lineRule="auto"/>
              <w:rPr>
                <w:rFonts w:ascii="Arial" w:hAnsi="Arial"/>
                <w:bCs/>
              </w:rPr>
            </w:pPr>
          </w:p>
          <w:p w14:paraId="3D51590E" w14:textId="77777777" w:rsidR="00E74915" w:rsidRPr="00FC1F98" w:rsidRDefault="00E74915" w:rsidP="00E74915">
            <w:pPr>
              <w:pStyle w:val="Sinespaciado"/>
              <w:numPr>
                <w:ilvl w:val="0"/>
                <w:numId w:val="16"/>
              </w:numPr>
              <w:spacing w:line="276" w:lineRule="auto"/>
              <w:rPr>
                <w:rFonts w:ascii="Arial" w:hAnsi="Arial"/>
                <w:bCs/>
              </w:rPr>
            </w:pPr>
            <w:r w:rsidRPr="00FC1F98">
              <w:rPr>
                <w:rFonts w:ascii="Arial" w:hAnsi="Arial"/>
                <w:bCs/>
              </w:rPr>
              <w:t>Identifique los elementos de prueba no valorados por el juez.</w:t>
            </w:r>
          </w:p>
          <w:p w14:paraId="74D235F0" w14:textId="77777777" w:rsidR="00E74915" w:rsidRPr="00FC1F98" w:rsidRDefault="00E74915" w:rsidP="00E74915">
            <w:pPr>
              <w:pStyle w:val="Sinespaciado"/>
              <w:numPr>
                <w:ilvl w:val="0"/>
                <w:numId w:val="16"/>
              </w:numPr>
              <w:spacing w:line="276" w:lineRule="auto"/>
              <w:rPr>
                <w:rFonts w:ascii="Arial" w:hAnsi="Arial"/>
                <w:bCs/>
              </w:rPr>
            </w:pPr>
            <w:r w:rsidRPr="00FC1F98">
              <w:rPr>
                <w:rFonts w:ascii="Arial" w:hAnsi="Arial"/>
                <w:bCs/>
              </w:rPr>
              <w:t>Demuestre que éstos fueron aportados en forma legal y oportunamente al proceso</w:t>
            </w:r>
          </w:p>
          <w:p w14:paraId="3F6C3FCF" w14:textId="77777777" w:rsidR="00E74915" w:rsidRPr="00FC1F98" w:rsidRDefault="00E74915" w:rsidP="00E74915">
            <w:pPr>
              <w:pStyle w:val="Sinespaciado"/>
              <w:numPr>
                <w:ilvl w:val="0"/>
                <w:numId w:val="16"/>
              </w:numPr>
              <w:spacing w:line="276" w:lineRule="auto"/>
              <w:rPr>
                <w:rFonts w:ascii="Arial" w:hAnsi="Arial"/>
                <w:bCs/>
              </w:rPr>
            </w:pPr>
            <w:r w:rsidRPr="00FC1F98">
              <w:rPr>
                <w:rFonts w:ascii="Arial" w:hAnsi="Arial"/>
                <w:bCs/>
              </w:rPr>
              <w:t>Señale las razones por las cuales eran relevantes para la decisión</w:t>
            </w:r>
          </w:p>
          <w:p w14:paraId="36D8B959" w14:textId="77777777" w:rsidR="00E74915" w:rsidRPr="00FC1F98" w:rsidRDefault="00E74915" w:rsidP="00E74915">
            <w:pPr>
              <w:pStyle w:val="Sinespaciado"/>
              <w:numPr>
                <w:ilvl w:val="0"/>
                <w:numId w:val="16"/>
              </w:numPr>
              <w:spacing w:line="276" w:lineRule="auto"/>
              <w:rPr>
                <w:rFonts w:ascii="Arial" w:hAnsi="Arial"/>
                <w:bCs/>
              </w:rPr>
            </w:pPr>
            <w:r w:rsidRPr="00FC1F98">
              <w:rPr>
                <w:rFonts w:ascii="Arial" w:hAnsi="Arial"/>
                <w:bCs/>
              </w:rPr>
              <w:t>Precise, razonadamente, la incidencia de los mismos para variar el sentido del fallo.</w:t>
            </w:r>
          </w:p>
        </w:tc>
      </w:tr>
      <w:tr w:rsidR="00E74915" w:rsidRPr="00FC1F98" w14:paraId="49583460" w14:textId="77777777" w:rsidTr="008670AE">
        <w:tc>
          <w:tcPr>
            <w:tcW w:w="2213" w:type="dxa"/>
            <w:shd w:val="clear" w:color="auto" w:fill="auto"/>
            <w:vAlign w:val="center"/>
          </w:tcPr>
          <w:p w14:paraId="6CD44D68" w14:textId="77777777" w:rsidR="00E74915" w:rsidRPr="00FC1F98" w:rsidRDefault="00E74915" w:rsidP="008670AE">
            <w:pPr>
              <w:pStyle w:val="Sinespaciado"/>
              <w:spacing w:line="276" w:lineRule="auto"/>
              <w:rPr>
                <w:rFonts w:ascii="Arial" w:hAnsi="Arial"/>
                <w:bCs/>
              </w:rPr>
            </w:pPr>
            <w:r w:rsidRPr="00FC1F98">
              <w:rPr>
                <w:rFonts w:ascii="Arial" w:hAnsi="Arial"/>
                <w:bCs/>
              </w:rPr>
              <w:t>Valoración irracional o arbitraria de las pruebas aportadas</w:t>
            </w:r>
          </w:p>
          <w:p w14:paraId="27AA7E47" w14:textId="77777777" w:rsidR="00E74915" w:rsidRPr="00FC1F98" w:rsidRDefault="00E74915" w:rsidP="008670AE">
            <w:pPr>
              <w:pStyle w:val="Sinespaciado"/>
              <w:spacing w:line="276" w:lineRule="auto"/>
              <w:rPr>
                <w:rFonts w:ascii="Arial" w:hAnsi="Arial"/>
                <w:bCs/>
              </w:rPr>
            </w:pPr>
          </w:p>
        </w:tc>
        <w:tc>
          <w:tcPr>
            <w:tcW w:w="6463" w:type="dxa"/>
            <w:shd w:val="clear" w:color="auto" w:fill="auto"/>
          </w:tcPr>
          <w:p w14:paraId="52BB280F" w14:textId="77777777" w:rsidR="00E74915" w:rsidRPr="00FC1F98" w:rsidRDefault="00E74915" w:rsidP="008670AE">
            <w:pPr>
              <w:pStyle w:val="Sinespaciado"/>
              <w:spacing w:line="276" w:lineRule="auto"/>
              <w:rPr>
                <w:rFonts w:ascii="Arial" w:hAnsi="Arial"/>
                <w:bCs/>
              </w:rPr>
            </w:pPr>
            <w:r w:rsidRPr="00FC1F98">
              <w:rPr>
                <w:rFonts w:ascii="Arial" w:hAnsi="Arial"/>
                <w:bCs/>
              </w:rPr>
              <w:t>Procede cuando, a la luz de los postulados de la sana crítica, la apreciación efectuada por el fallador, resulta manifiestamente equivocada o arbitraria, y por ello, el peso otorgado a la prueba se entiende alterado.</w:t>
            </w:r>
          </w:p>
          <w:p w14:paraId="70FC9F1D" w14:textId="77777777" w:rsidR="00E74915" w:rsidRPr="00FC1F98" w:rsidRDefault="00E74915" w:rsidP="008670AE">
            <w:pPr>
              <w:pStyle w:val="Sinespaciado"/>
              <w:spacing w:line="276" w:lineRule="auto"/>
              <w:rPr>
                <w:rFonts w:ascii="Arial" w:hAnsi="Arial"/>
                <w:bCs/>
              </w:rPr>
            </w:pPr>
          </w:p>
          <w:p w14:paraId="2671094F" w14:textId="77777777" w:rsidR="00E74915" w:rsidRPr="00FC1F98" w:rsidRDefault="00E74915" w:rsidP="008670AE">
            <w:pPr>
              <w:pStyle w:val="Sinespaciado"/>
              <w:spacing w:line="276" w:lineRule="auto"/>
              <w:rPr>
                <w:rFonts w:ascii="Arial" w:hAnsi="Arial"/>
                <w:bCs/>
              </w:rPr>
            </w:pPr>
            <w:r w:rsidRPr="00FC1F98">
              <w:rPr>
                <w:rFonts w:ascii="Arial" w:hAnsi="Arial"/>
                <w:bCs/>
              </w:rPr>
              <w:t>Se requiere entonces que la parte:</w:t>
            </w:r>
          </w:p>
          <w:p w14:paraId="597ED338" w14:textId="77777777" w:rsidR="00E74915" w:rsidRPr="00FC1F98" w:rsidRDefault="00E74915" w:rsidP="008670AE">
            <w:pPr>
              <w:pStyle w:val="Sinespaciado"/>
              <w:spacing w:line="276" w:lineRule="auto"/>
              <w:rPr>
                <w:rFonts w:ascii="Arial" w:hAnsi="Arial"/>
                <w:bCs/>
              </w:rPr>
            </w:pPr>
          </w:p>
          <w:p w14:paraId="7179FC09" w14:textId="77777777" w:rsidR="00E74915" w:rsidRPr="00FC1F98" w:rsidRDefault="00E74915" w:rsidP="00E74915">
            <w:pPr>
              <w:pStyle w:val="Sinespaciado"/>
              <w:numPr>
                <w:ilvl w:val="0"/>
                <w:numId w:val="14"/>
              </w:numPr>
              <w:spacing w:line="276" w:lineRule="auto"/>
              <w:rPr>
                <w:rFonts w:ascii="Arial" w:hAnsi="Arial"/>
                <w:bCs/>
              </w:rPr>
            </w:pPr>
            <w:r w:rsidRPr="00FC1F98">
              <w:rPr>
                <w:rFonts w:ascii="Arial" w:hAnsi="Arial"/>
                <w:bCs/>
              </w:rPr>
              <w:t>Precise cuál o cuáles de las pruebas fueron objeto de indebida valoración por el juez.</w:t>
            </w:r>
          </w:p>
          <w:p w14:paraId="6FC6C64D" w14:textId="77777777" w:rsidR="00E74915" w:rsidRPr="00FC1F98" w:rsidRDefault="00E74915" w:rsidP="00E74915">
            <w:pPr>
              <w:pStyle w:val="Sinespaciado"/>
              <w:numPr>
                <w:ilvl w:val="0"/>
                <w:numId w:val="14"/>
              </w:numPr>
              <w:spacing w:line="276" w:lineRule="auto"/>
              <w:rPr>
                <w:rFonts w:ascii="Arial" w:hAnsi="Arial"/>
                <w:bCs/>
              </w:rPr>
            </w:pPr>
            <w:r w:rsidRPr="00FC1F98">
              <w:rPr>
                <w:rFonts w:ascii="Arial" w:hAnsi="Arial"/>
                <w:bCs/>
              </w:rPr>
              <w:t>Refiera la razón del por qué, en cada caso en particular, la consideración del operador judicial se aleja de las reglas de la lógica, la experiencia y la sana crítica.</w:t>
            </w:r>
          </w:p>
          <w:p w14:paraId="37B25A81" w14:textId="77777777" w:rsidR="00E74915" w:rsidRPr="00FC1F98" w:rsidRDefault="00E74915" w:rsidP="008670AE">
            <w:pPr>
              <w:pStyle w:val="Sinespaciado"/>
              <w:spacing w:line="276" w:lineRule="auto"/>
              <w:rPr>
                <w:rFonts w:ascii="Arial" w:hAnsi="Arial"/>
                <w:bCs/>
              </w:rPr>
            </w:pPr>
            <w:r w:rsidRPr="00FC1F98">
              <w:rPr>
                <w:rFonts w:ascii="Arial" w:hAnsi="Arial"/>
                <w:bCs/>
              </w:rPr>
              <w:t>El segundo de los elementos señalados, resulta de vital importancia, pues es claro que un sencillo desacuerdo en relación con la conclusión a la cual arribó el juez de instancia, en ninguna manera puede ser razón para ordenar el amparo constitucional por este aspecto. Aceptar lo contrario, implicaría una sustitución arbitraria del juez natural.</w:t>
            </w:r>
          </w:p>
          <w:p w14:paraId="5046DB4F" w14:textId="77777777" w:rsidR="00E74915" w:rsidRPr="00FC1F98" w:rsidRDefault="00E74915" w:rsidP="00E74915">
            <w:pPr>
              <w:pStyle w:val="Sinespaciado"/>
              <w:numPr>
                <w:ilvl w:val="0"/>
                <w:numId w:val="15"/>
              </w:numPr>
              <w:spacing w:line="276" w:lineRule="auto"/>
              <w:rPr>
                <w:rFonts w:ascii="Arial" w:hAnsi="Arial"/>
                <w:bCs/>
              </w:rPr>
            </w:pPr>
            <w:r w:rsidRPr="00FC1F98">
              <w:rPr>
                <w:rFonts w:ascii="Arial" w:hAnsi="Arial"/>
                <w:bCs/>
              </w:rPr>
              <w:t>Señale la incidencia de la prueba en el fallo atacado.</w:t>
            </w:r>
          </w:p>
        </w:tc>
      </w:tr>
      <w:tr w:rsidR="00E74915" w:rsidRPr="00FC1F98" w14:paraId="69D58B20" w14:textId="77777777" w:rsidTr="008670AE">
        <w:tc>
          <w:tcPr>
            <w:tcW w:w="2213" w:type="dxa"/>
            <w:shd w:val="clear" w:color="auto" w:fill="auto"/>
            <w:vAlign w:val="center"/>
          </w:tcPr>
          <w:p w14:paraId="57DE1613" w14:textId="77777777" w:rsidR="00E74915" w:rsidRPr="00FC1F98" w:rsidRDefault="00E74915" w:rsidP="008670AE">
            <w:pPr>
              <w:pStyle w:val="Sinespaciado"/>
              <w:spacing w:line="276" w:lineRule="auto"/>
              <w:rPr>
                <w:rFonts w:ascii="Arial" w:hAnsi="Arial"/>
                <w:bCs/>
              </w:rPr>
            </w:pPr>
            <w:r w:rsidRPr="00FC1F98">
              <w:rPr>
                <w:rFonts w:ascii="Arial" w:hAnsi="Arial"/>
                <w:bCs/>
              </w:rPr>
              <w:t xml:space="preserve">Dictar sentencia con fundamento en pruebas obtenidas con </w:t>
            </w:r>
            <w:r w:rsidRPr="00FC1F98">
              <w:rPr>
                <w:rFonts w:ascii="Arial" w:hAnsi="Arial"/>
                <w:bCs/>
              </w:rPr>
              <w:lastRenderedPageBreak/>
              <w:t>violación del debido proceso</w:t>
            </w:r>
          </w:p>
          <w:p w14:paraId="7E01B083" w14:textId="77777777" w:rsidR="00E74915" w:rsidRPr="00FC1F98" w:rsidRDefault="00E74915" w:rsidP="008670AE">
            <w:pPr>
              <w:pStyle w:val="Sinespaciado"/>
              <w:spacing w:line="276" w:lineRule="auto"/>
              <w:rPr>
                <w:rFonts w:ascii="Arial" w:hAnsi="Arial"/>
                <w:bCs/>
              </w:rPr>
            </w:pPr>
          </w:p>
        </w:tc>
        <w:tc>
          <w:tcPr>
            <w:tcW w:w="6463" w:type="dxa"/>
            <w:shd w:val="clear" w:color="auto" w:fill="auto"/>
          </w:tcPr>
          <w:p w14:paraId="21DD9B16" w14:textId="77777777" w:rsidR="00E74915" w:rsidRPr="00FC1F98" w:rsidRDefault="00E74915" w:rsidP="008670AE">
            <w:pPr>
              <w:pStyle w:val="Sinespaciado"/>
              <w:spacing w:line="276" w:lineRule="auto"/>
              <w:rPr>
                <w:rFonts w:ascii="Arial" w:hAnsi="Arial"/>
                <w:bCs/>
              </w:rPr>
            </w:pPr>
            <w:r w:rsidRPr="00FC1F98">
              <w:rPr>
                <w:rFonts w:ascii="Arial" w:hAnsi="Arial"/>
                <w:bCs/>
              </w:rPr>
              <w:lastRenderedPageBreak/>
              <w:t xml:space="preserve">Refiere al supuesto cuando el fallador de instancia decide el asunto con base en pruebas que no observaron los requisitos legales para su producción o introducción al proceso. Así las cosas, el juez no ignora la prueba ni se equivoca en su apreciación, pero yerra al haberla tenido </w:t>
            </w:r>
            <w:r w:rsidRPr="00FC1F98">
              <w:rPr>
                <w:rFonts w:ascii="Arial" w:hAnsi="Arial"/>
                <w:bCs/>
              </w:rPr>
              <w:lastRenderedPageBreak/>
              <w:t>en cuenta para decidir el problema jurídico que le fue planteado, al ser ésta una prueba que desconoce el debido proceso de las partes.</w:t>
            </w:r>
          </w:p>
          <w:p w14:paraId="4D935A75" w14:textId="77777777" w:rsidR="00E74915" w:rsidRPr="00FC1F98" w:rsidRDefault="00E74915" w:rsidP="008670AE">
            <w:pPr>
              <w:pStyle w:val="Sinespaciado"/>
              <w:spacing w:line="276" w:lineRule="auto"/>
              <w:rPr>
                <w:rFonts w:ascii="Arial" w:hAnsi="Arial"/>
                <w:bCs/>
              </w:rPr>
            </w:pPr>
          </w:p>
          <w:p w14:paraId="29020E93" w14:textId="77777777" w:rsidR="00E74915" w:rsidRPr="00FC1F98" w:rsidRDefault="00E74915" w:rsidP="008670AE">
            <w:pPr>
              <w:pStyle w:val="Sinespaciado"/>
              <w:spacing w:line="276" w:lineRule="auto"/>
              <w:rPr>
                <w:rFonts w:ascii="Arial" w:hAnsi="Arial"/>
                <w:bCs/>
              </w:rPr>
            </w:pPr>
            <w:r w:rsidRPr="00FC1F98">
              <w:rPr>
                <w:rFonts w:ascii="Arial" w:hAnsi="Arial"/>
                <w:bCs/>
              </w:rPr>
              <w:t>Para su configuración corresponde que el actor:</w:t>
            </w:r>
          </w:p>
          <w:p w14:paraId="4EF5EF99" w14:textId="77777777" w:rsidR="00E74915" w:rsidRPr="00FC1F98" w:rsidRDefault="00E74915" w:rsidP="00E74915">
            <w:pPr>
              <w:pStyle w:val="Sinespaciado"/>
              <w:numPr>
                <w:ilvl w:val="0"/>
                <w:numId w:val="15"/>
              </w:numPr>
              <w:spacing w:line="276" w:lineRule="auto"/>
              <w:rPr>
                <w:rFonts w:ascii="Arial" w:hAnsi="Arial"/>
                <w:bCs/>
              </w:rPr>
            </w:pPr>
            <w:r w:rsidRPr="00FC1F98">
              <w:rPr>
                <w:rFonts w:ascii="Arial" w:hAnsi="Arial"/>
                <w:bCs/>
              </w:rPr>
              <w:t>Señale con claridad los elementos probatorios aportados con violación al artículo 29 constitucional.</w:t>
            </w:r>
          </w:p>
          <w:p w14:paraId="4BF5A463" w14:textId="77777777" w:rsidR="00E74915" w:rsidRPr="00FC1F98" w:rsidRDefault="00E74915" w:rsidP="00E74915">
            <w:pPr>
              <w:pStyle w:val="Sinespaciado"/>
              <w:numPr>
                <w:ilvl w:val="0"/>
                <w:numId w:val="15"/>
              </w:numPr>
              <w:spacing w:line="276" w:lineRule="auto"/>
              <w:rPr>
                <w:rFonts w:ascii="Arial" w:hAnsi="Arial"/>
                <w:bCs/>
              </w:rPr>
            </w:pPr>
            <w:r w:rsidRPr="00FC1F98">
              <w:rPr>
                <w:rFonts w:ascii="Arial" w:hAnsi="Arial"/>
                <w:bCs/>
              </w:rPr>
              <w:t>Exponga las razones que sustentan dicha vulneración.</w:t>
            </w:r>
          </w:p>
          <w:p w14:paraId="29B041B5" w14:textId="77777777" w:rsidR="00E74915" w:rsidRPr="00FC1F98" w:rsidRDefault="00E74915" w:rsidP="00E74915">
            <w:pPr>
              <w:pStyle w:val="Sinespaciado"/>
              <w:numPr>
                <w:ilvl w:val="0"/>
                <w:numId w:val="15"/>
              </w:numPr>
              <w:spacing w:line="276" w:lineRule="auto"/>
              <w:rPr>
                <w:rFonts w:ascii="Arial" w:hAnsi="Arial"/>
                <w:bCs/>
              </w:rPr>
            </w:pPr>
            <w:r w:rsidRPr="00FC1F98">
              <w:rPr>
                <w:rFonts w:ascii="Arial" w:hAnsi="Arial"/>
                <w:bCs/>
              </w:rPr>
              <w:t>Demuestre que estos elementos de convicción fueron el sustento de la decisión.</w:t>
            </w:r>
          </w:p>
        </w:tc>
      </w:tr>
    </w:tbl>
    <w:p w14:paraId="40474AAE" w14:textId="77777777" w:rsidR="00E74915" w:rsidRPr="00FC1F98" w:rsidRDefault="00E74915" w:rsidP="00E74915">
      <w:pPr>
        <w:pStyle w:val="Sinespaciado"/>
        <w:spacing w:line="276" w:lineRule="auto"/>
        <w:rPr>
          <w:rFonts w:ascii="Arial" w:hAnsi="Arial"/>
        </w:rPr>
      </w:pPr>
    </w:p>
    <w:p w14:paraId="0A08B8F3" w14:textId="77777777" w:rsidR="00E74915" w:rsidRPr="00FC1F98" w:rsidRDefault="00E74915" w:rsidP="00E74915">
      <w:pPr>
        <w:pStyle w:val="Sinespaciado"/>
        <w:spacing w:line="276" w:lineRule="auto"/>
        <w:rPr>
          <w:rFonts w:ascii="Arial" w:hAnsi="Arial"/>
        </w:rPr>
      </w:pPr>
      <w:r w:rsidRPr="00FC1F98">
        <w:rPr>
          <w:rFonts w:ascii="Arial" w:hAnsi="Arial"/>
        </w:rPr>
        <w:t>Conforme con el anterior cuadro, la Sección señaló:</w:t>
      </w:r>
    </w:p>
    <w:p w14:paraId="0BABFD8D" w14:textId="77777777" w:rsidR="00E74915" w:rsidRPr="00FC1F98" w:rsidRDefault="00E74915" w:rsidP="00E74915">
      <w:pPr>
        <w:pStyle w:val="Sinespaciado"/>
        <w:spacing w:line="276" w:lineRule="auto"/>
        <w:ind w:left="567"/>
        <w:rPr>
          <w:rFonts w:ascii="Arial" w:hAnsi="Arial"/>
          <w:sz w:val="22"/>
          <w:szCs w:val="22"/>
        </w:rPr>
      </w:pPr>
    </w:p>
    <w:p w14:paraId="602AB155" w14:textId="77777777" w:rsidR="00E74915" w:rsidRPr="00FC1F98" w:rsidRDefault="00E74915" w:rsidP="00E74915">
      <w:pPr>
        <w:pStyle w:val="Sinespaciado"/>
        <w:spacing w:line="276" w:lineRule="auto"/>
        <w:ind w:left="567"/>
        <w:rPr>
          <w:rFonts w:ascii="Arial" w:hAnsi="Arial"/>
          <w:sz w:val="22"/>
          <w:szCs w:val="22"/>
        </w:rPr>
      </w:pPr>
      <w:r w:rsidRPr="00FC1F98">
        <w:rPr>
          <w:rFonts w:ascii="Arial" w:hAnsi="Arial"/>
          <w:sz w:val="22"/>
          <w:szCs w:val="22"/>
        </w:rPr>
        <w:t>“[…] Como se ve en los elementos señalados, la parte accionante debe precisar mínimamente en su escrito el cargo que plantea, para demostrar no solo la configuración del defecto, sino también, su incidencia en la decisión judicial.</w:t>
      </w:r>
    </w:p>
    <w:p w14:paraId="60E20309" w14:textId="77777777" w:rsidR="00E74915" w:rsidRPr="00FC1F98" w:rsidRDefault="00E74915" w:rsidP="00E74915">
      <w:pPr>
        <w:pStyle w:val="Sinespaciado"/>
        <w:spacing w:line="276" w:lineRule="auto"/>
        <w:ind w:left="567"/>
        <w:rPr>
          <w:rFonts w:ascii="Arial" w:hAnsi="Arial"/>
          <w:sz w:val="22"/>
          <w:szCs w:val="22"/>
        </w:rPr>
      </w:pPr>
    </w:p>
    <w:p w14:paraId="599B6575" w14:textId="77777777" w:rsidR="00E74915" w:rsidRPr="00FC1F98" w:rsidRDefault="00E74915" w:rsidP="00E74915">
      <w:pPr>
        <w:pStyle w:val="Sinespaciado"/>
        <w:spacing w:line="276" w:lineRule="auto"/>
        <w:ind w:left="567"/>
        <w:rPr>
          <w:rFonts w:ascii="Arial" w:hAnsi="Arial"/>
          <w:sz w:val="22"/>
          <w:szCs w:val="22"/>
        </w:rPr>
      </w:pPr>
      <w:r w:rsidRPr="00FC1F98">
        <w:rPr>
          <w:rFonts w:ascii="Arial" w:hAnsi="Arial"/>
          <w:sz w:val="22"/>
          <w:szCs w:val="22"/>
        </w:rPr>
        <w:t>Lo anterior se suma a la exigencia de una carga argumentativa razonable para lograr la prosperidad del cargo, toda vez que, en el caso de una tutela contra una providencia judicial, están en juego valores importantes para el ordenamiento jurídico, como lo son la cosa juzgada, los derechos de terceros, la seguridad, la buena fe y los derivados de los artículos 1º, 2º, 4º, 5º y 6º de la Constitución.</w:t>
      </w:r>
    </w:p>
    <w:p w14:paraId="399016A4" w14:textId="77777777" w:rsidR="00E74915" w:rsidRPr="00FC1F98" w:rsidRDefault="00E74915" w:rsidP="00E74915">
      <w:pPr>
        <w:pStyle w:val="Sinespaciado"/>
        <w:spacing w:line="276" w:lineRule="auto"/>
        <w:ind w:left="567"/>
        <w:rPr>
          <w:rFonts w:ascii="Arial" w:hAnsi="Arial"/>
          <w:sz w:val="22"/>
          <w:szCs w:val="22"/>
        </w:rPr>
      </w:pPr>
    </w:p>
    <w:p w14:paraId="67C162F3" w14:textId="77777777" w:rsidR="00E74915" w:rsidRPr="00FC1F98" w:rsidRDefault="00E74915" w:rsidP="00E74915">
      <w:pPr>
        <w:pStyle w:val="Sinespaciado"/>
        <w:spacing w:line="276" w:lineRule="auto"/>
        <w:ind w:left="567"/>
        <w:rPr>
          <w:rFonts w:ascii="Arial" w:hAnsi="Arial"/>
          <w:sz w:val="22"/>
          <w:szCs w:val="22"/>
        </w:rPr>
      </w:pPr>
      <w:r w:rsidRPr="00FC1F98">
        <w:rPr>
          <w:rFonts w:ascii="Arial" w:hAnsi="Arial"/>
          <w:sz w:val="22"/>
          <w:szCs w:val="22"/>
        </w:rPr>
        <w:t>Así mismo, debe ser cuidadoso el interesado al formular el cargo, en la medida en que los supuestos de hecho hasta aquí mencionados, se excluyen entre sí, de tal manera que no será posible alegar uno y otro respecto de una misma prueba, como suele ocurrir, pues además de ser desacertado, genera confusión al fallador […]”.</w:t>
      </w:r>
    </w:p>
    <w:p w14:paraId="00FDE829" w14:textId="77777777" w:rsidR="00E74915" w:rsidRPr="00FC1F98" w:rsidRDefault="00E74915" w:rsidP="00E74915">
      <w:pPr>
        <w:widowControl w:val="0"/>
        <w:spacing w:line="276" w:lineRule="auto"/>
        <w:contextualSpacing/>
        <w:rPr>
          <w:rFonts w:ascii="Arial" w:hAnsi="Arial"/>
        </w:rPr>
      </w:pPr>
    </w:p>
    <w:p w14:paraId="2A6BDCE2" w14:textId="6BF44AD3" w:rsidR="008670AE" w:rsidRPr="00FC1F98" w:rsidRDefault="00E74915" w:rsidP="00E74915">
      <w:pPr>
        <w:widowControl w:val="0"/>
        <w:spacing w:line="276" w:lineRule="auto"/>
        <w:contextualSpacing/>
        <w:rPr>
          <w:rFonts w:ascii="Arial" w:hAnsi="Arial"/>
        </w:rPr>
      </w:pPr>
      <w:r w:rsidRPr="00FC1F98">
        <w:rPr>
          <w:rFonts w:ascii="Arial" w:hAnsi="Arial"/>
        </w:rPr>
        <w:t>En el escrito de amparo, la parte accionante manifestó que el Tribunal Administrativo de</w:t>
      </w:r>
      <w:r w:rsidR="008670AE" w:rsidRPr="00FC1F98">
        <w:rPr>
          <w:rFonts w:ascii="Arial" w:hAnsi="Arial"/>
        </w:rPr>
        <w:t xml:space="preserve"> Boyacá incurrió en el defecto señalado</w:t>
      </w:r>
      <w:r w:rsidR="008670AE" w:rsidRPr="00FC1F98">
        <w:rPr>
          <w:rFonts w:ascii="Arial" w:hAnsi="Arial"/>
          <w:bCs/>
          <w:lang w:val="es-ES_tradnl"/>
        </w:rPr>
        <w:t>, en tanto, con las pruebas aportadas en el proceso ordinario, era evidente que no operaba el fenómeno de la caducidad, por cuanto, el daño que originó el medio de control es de tracto sucesivo</w:t>
      </w:r>
      <w:r w:rsidR="00443EB6" w:rsidRPr="00FC1F98">
        <w:rPr>
          <w:rFonts w:ascii="Arial" w:hAnsi="Arial"/>
          <w:bCs/>
          <w:lang w:val="es-ES_tradnl"/>
        </w:rPr>
        <w:t>.</w:t>
      </w:r>
    </w:p>
    <w:p w14:paraId="7E66869B" w14:textId="77777777" w:rsidR="008670AE" w:rsidRPr="00FC1F98" w:rsidRDefault="008670AE" w:rsidP="00E74915">
      <w:pPr>
        <w:widowControl w:val="0"/>
        <w:spacing w:line="276" w:lineRule="auto"/>
        <w:contextualSpacing/>
        <w:rPr>
          <w:rFonts w:ascii="Arial" w:hAnsi="Arial"/>
        </w:rPr>
      </w:pPr>
    </w:p>
    <w:p w14:paraId="2971C038" w14:textId="7A3162C7" w:rsidR="00E74915" w:rsidRPr="00FC1F98" w:rsidRDefault="00A92CBC" w:rsidP="00E74915">
      <w:pPr>
        <w:widowControl w:val="0"/>
        <w:spacing w:line="276" w:lineRule="auto"/>
        <w:contextualSpacing/>
        <w:rPr>
          <w:rFonts w:ascii="Arial" w:hAnsi="Arial"/>
          <w:bCs/>
          <w:noProof/>
        </w:rPr>
      </w:pPr>
      <w:r w:rsidRPr="00FC1F98">
        <w:rPr>
          <w:rFonts w:ascii="Arial" w:hAnsi="Arial"/>
          <w:bCs/>
          <w:noProof/>
        </w:rPr>
        <w:t>La</w:t>
      </w:r>
      <w:r w:rsidR="00E74915" w:rsidRPr="00FC1F98">
        <w:rPr>
          <w:rFonts w:ascii="Arial" w:hAnsi="Arial"/>
          <w:bCs/>
          <w:noProof/>
        </w:rPr>
        <w:t xml:space="preserve"> Sala advierte que dicha situación </w:t>
      </w:r>
      <w:r w:rsidR="00E74915" w:rsidRPr="00FC1F98">
        <w:rPr>
          <w:rFonts w:ascii="Arial" w:hAnsi="Arial"/>
          <w:bCs/>
          <w:i/>
          <w:iCs/>
          <w:noProof/>
        </w:rPr>
        <w:t>per se</w:t>
      </w:r>
      <w:r w:rsidR="00E74915" w:rsidRPr="00FC1F98">
        <w:rPr>
          <w:rFonts w:ascii="Arial" w:hAnsi="Arial"/>
          <w:bCs/>
          <w:noProof/>
        </w:rPr>
        <w:t xml:space="preserve"> </w:t>
      </w:r>
      <w:bookmarkStart w:id="11" w:name="_Hlk66367067"/>
      <w:r w:rsidR="00E74915" w:rsidRPr="00FC1F98">
        <w:rPr>
          <w:rFonts w:ascii="Arial" w:hAnsi="Arial"/>
          <w:bCs/>
          <w:noProof/>
        </w:rPr>
        <w:t>no cumple con el requisito de carga argumentativa suficiente para avocar su estudio</w:t>
      </w:r>
      <w:r w:rsidRPr="00FC1F98">
        <w:rPr>
          <w:rFonts w:ascii="Arial" w:hAnsi="Arial"/>
          <w:bCs/>
          <w:noProof/>
        </w:rPr>
        <w:t xml:space="preserve">, </w:t>
      </w:r>
      <w:r w:rsidR="00E74915" w:rsidRPr="00FC1F98">
        <w:rPr>
          <w:rFonts w:ascii="Arial" w:hAnsi="Arial"/>
          <w:bCs/>
          <w:noProof/>
        </w:rPr>
        <w:t xml:space="preserve">en la medida que </w:t>
      </w:r>
      <w:r w:rsidR="00607851" w:rsidRPr="00FC1F98">
        <w:rPr>
          <w:rFonts w:ascii="Arial" w:hAnsi="Arial"/>
          <w:bCs/>
          <w:noProof/>
        </w:rPr>
        <w:t xml:space="preserve">el tutelante </w:t>
      </w:r>
      <w:r w:rsidR="00E74915" w:rsidRPr="00FC1F98">
        <w:rPr>
          <w:rFonts w:ascii="Arial" w:hAnsi="Arial"/>
          <w:bCs/>
          <w:noProof/>
        </w:rPr>
        <w:t xml:space="preserve">no </w:t>
      </w:r>
      <w:r w:rsidRPr="00FC1F98">
        <w:rPr>
          <w:rFonts w:ascii="Arial" w:hAnsi="Arial"/>
          <w:bCs/>
          <w:noProof/>
        </w:rPr>
        <w:t>identificó</w:t>
      </w:r>
      <w:r w:rsidRPr="00FC1F98">
        <w:rPr>
          <w:rFonts w:ascii="Arial" w:hAnsi="Arial"/>
          <w:bCs/>
        </w:rPr>
        <w:t xml:space="preserve"> los elementos de prueba </w:t>
      </w:r>
      <w:r w:rsidR="00607851" w:rsidRPr="00FC1F98">
        <w:rPr>
          <w:rFonts w:ascii="Arial" w:hAnsi="Arial"/>
          <w:bCs/>
        </w:rPr>
        <w:t xml:space="preserve">frente a los que, aportados oportuna y legalmente al proceso ordinario, se omitió su valoración y, menos aún, la explicación de la </w:t>
      </w:r>
      <w:r w:rsidR="00E74915" w:rsidRPr="00FC1F98">
        <w:rPr>
          <w:rFonts w:ascii="Arial" w:hAnsi="Arial"/>
          <w:bCs/>
          <w:noProof/>
        </w:rPr>
        <w:t xml:space="preserve">incidencia que </w:t>
      </w:r>
      <w:r w:rsidRPr="00FC1F98">
        <w:rPr>
          <w:rFonts w:ascii="Arial" w:hAnsi="Arial"/>
          <w:bCs/>
          <w:noProof/>
        </w:rPr>
        <w:t>las mismas pudieran tener</w:t>
      </w:r>
      <w:r w:rsidR="00E74915" w:rsidRPr="00FC1F98">
        <w:rPr>
          <w:rFonts w:ascii="Arial" w:hAnsi="Arial"/>
          <w:bCs/>
          <w:noProof/>
        </w:rPr>
        <w:t xml:space="preserve"> en la decisión del conflicto</w:t>
      </w:r>
      <w:r w:rsidRPr="00FC1F98">
        <w:rPr>
          <w:rFonts w:ascii="Arial" w:hAnsi="Arial"/>
          <w:bCs/>
          <w:noProof/>
        </w:rPr>
        <w:t>.</w:t>
      </w:r>
    </w:p>
    <w:bookmarkEnd w:id="11"/>
    <w:p w14:paraId="53A76753" w14:textId="5833BEE1" w:rsidR="00443EB6" w:rsidRPr="00FC1F98" w:rsidRDefault="00443EB6" w:rsidP="00E74915">
      <w:pPr>
        <w:widowControl w:val="0"/>
        <w:spacing w:line="276" w:lineRule="auto"/>
        <w:contextualSpacing/>
        <w:rPr>
          <w:rFonts w:ascii="Arial" w:hAnsi="Arial"/>
          <w:bCs/>
          <w:noProof/>
        </w:rPr>
      </w:pPr>
    </w:p>
    <w:p w14:paraId="1EDDC7E0" w14:textId="4C166568" w:rsidR="00443EB6" w:rsidRPr="00FC1F98" w:rsidRDefault="00443EB6" w:rsidP="00443EB6">
      <w:pPr>
        <w:spacing w:line="276" w:lineRule="auto"/>
        <w:rPr>
          <w:rFonts w:ascii="Arial" w:eastAsia="Times New Roman" w:hAnsi="Arial"/>
          <w:lang w:val="es-CO"/>
        </w:rPr>
      </w:pPr>
      <w:r w:rsidRPr="00FC1F98">
        <w:rPr>
          <w:rFonts w:ascii="Arial" w:eastAsia="Times New Roman" w:hAnsi="Arial"/>
          <w:lang w:val="es-CO"/>
        </w:rPr>
        <w:t xml:space="preserve">Pues no basta con señalar la presunta valoración indebida de las pruebas o la omisión en su análisis, sino que el actor debe cumplir con la exposición de forma concreta de los elementos probatorios que a su juicio no fueron tenidos en cuenta por la autoridad judicial, carga procesal con la que no cumplió el accionante, por cuanto de forma general únicamente señaló que del análisis de los medios de </w:t>
      </w:r>
      <w:r w:rsidRPr="00FC1F98">
        <w:rPr>
          <w:rFonts w:ascii="Arial" w:eastAsia="Times New Roman" w:hAnsi="Arial"/>
          <w:lang w:val="es-CO"/>
        </w:rPr>
        <w:lastRenderedPageBreak/>
        <w:t>convicción se podía concluir que la demanda de reparación directa que dio origen a la presente acción fue presentada de forma oportuna.</w:t>
      </w:r>
    </w:p>
    <w:p w14:paraId="14B02288" w14:textId="77777777" w:rsidR="00A92CBC" w:rsidRPr="00FC1F98" w:rsidRDefault="00A92CBC" w:rsidP="00E74915">
      <w:pPr>
        <w:widowControl w:val="0"/>
        <w:spacing w:line="276" w:lineRule="auto"/>
        <w:contextualSpacing/>
        <w:rPr>
          <w:rFonts w:ascii="Arial" w:hAnsi="Arial"/>
          <w:bCs/>
          <w:noProof/>
        </w:rPr>
      </w:pPr>
    </w:p>
    <w:p w14:paraId="451977BE" w14:textId="189E18DD" w:rsidR="00A92CBC" w:rsidRPr="00FC1F98" w:rsidRDefault="00E74915" w:rsidP="00607851">
      <w:pPr>
        <w:spacing w:line="276" w:lineRule="auto"/>
        <w:rPr>
          <w:rFonts w:ascii="Arial" w:hAnsi="Arial"/>
          <w:bCs/>
        </w:rPr>
      </w:pPr>
      <w:r w:rsidRPr="00FC1F98">
        <w:rPr>
          <w:rFonts w:ascii="Arial" w:hAnsi="Arial"/>
          <w:bCs/>
        </w:rPr>
        <w:t xml:space="preserve">En este punto, resulta pertinente resaltar que, dada la naturaleza excepcional de la acción de tutela, máxime cuando </w:t>
      </w:r>
      <w:r w:rsidR="00120ECF" w:rsidRPr="00FC1F98">
        <w:rPr>
          <w:rFonts w:ascii="Arial" w:hAnsi="Arial"/>
          <w:bCs/>
        </w:rPr>
        <w:t xml:space="preserve">en esta se </w:t>
      </w:r>
      <w:r w:rsidRPr="00FC1F98">
        <w:rPr>
          <w:rFonts w:ascii="Arial" w:hAnsi="Arial"/>
          <w:bCs/>
        </w:rPr>
        <w:t>cuestiona</w:t>
      </w:r>
      <w:r w:rsidR="00120ECF" w:rsidRPr="00FC1F98">
        <w:rPr>
          <w:rFonts w:ascii="Arial" w:hAnsi="Arial"/>
          <w:bCs/>
        </w:rPr>
        <w:t>n</w:t>
      </w:r>
      <w:r w:rsidRPr="00FC1F98">
        <w:rPr>
          <w:rFonts w:ascii="Arial" w:hAnsi="Arial"/>
          <w:bCs/>
        </w:rPr>
        <w:t xml:space="preserve"> providencias judiciales, no se puede erigir en una tercera instancia y, por ende, el juez constitucional en principio no goza de las mismas prerrogativas que tenía el de la causa </w:t>
      </w:r>
      <w:r w:rsidR="00120ECF" w:rsidRPr="00FC1F98">
        <w:rPr>
          <w:rFonts w:ascii="Arial" w:hAnsi="Arial"/>
          <w:bCs/>
        </w:rPr>
        <w:t xml:space="preserve">ordinaria </w:t>
      </w:r>
      <w:r w:rsidRPr="00FC1F98">
        <w:rPr>
          <w:rFonts w:ascii="Arial" w:hAnsi="Arial"/>
          <w:bCs/>
        </w:rPr>
        <w:t xml:space="preserve">frente a la ponderación de los medios de prueba arrimados al plenario. </w:t>
      </w:r>
    </w:p>
    <w:p w14:paraId="4337D400" w14:textId="77777777" w:rsidR="00E74915" w:rsidRPr="00FC1F98" w:rsidRDefault="00E74915" w:rsidP="00E74915">
      <w:pPr>
        <w:spacing w:line="276" w:lineRule="auto"/>
        <w:rPr>
          <w:rFonts w:ascii="Arial" w:hAnsi="Arial"/>
          <w:bCs/>
        </w:rPr>
      </w:pPr>
    </w:p>
    <w:p w14:paraId="0947B6D1" w14:textId="635BA69C" w:rsidR="00E74915" w:rsidRPr="00FC1F98" w:rsidRDefault="00E74915" w:rsidP="00E74915">
      <w:pPr>
        <w:spacing w:line="276" w:lineRule="auto"/>
        <w:rPr>
          <w:rFonts w:ascii="Arial" w:hAnsi="Arial"/>
          <w:bCs/>
        </w:rPr>
      </w:pPr>
      <w:r w:rsidRPr="00FC1F98">
        <w:rPr>
          <w:rFonts w:ascii="Arial" w:hAnsi="Arial"/>
          <w:bCs/>
        </w:rPr>
        <w:t>Lo anterior, por cuanto se debe</w:t>
      </w:r>
      <w:r w:rsidR="00120ECF" w:rsidRPr="00FC1F98">
        <w:rPr>
          <w:rFonts w:ascii="Arial" w:hAnsi="Arial"/>
          <w:bCs/>
        </w:rPr>
        <w:t>n</w:t>
      </w:r>
      <w:r w:rsidRPr="00FC1F98">
        <w:rPr>
          <w:rFonts w:ascii="Arial" w:hAnsi="Arial"/>
          <w:bCs/>
        </w:rPr>
        <w:t xml:space="preserve"> preservar principios tales como la independencia y la autonomía del juez al momento de proferir sus decisiones, los cuales no pueden ser socavados vía amparo constitucional; salvo que, se reitera, dicho ejercicio este permeado por la discrecionalidad o la arbitrariedad del operario judicial que conoció del asunto, circunstancia que no acaeció en el fallo objeto de cuestionamiento.</w:t>
      </w:r>
    </w:p>
    <w:p w14:paraId="4618068F" w14:textId="22C08586" w:rsidR="000360D6" w:rsidRPr="00FC1F98" w:rsidRDefault="000360D6" w:rsidP="00E01DD3">
      <w:pPr>
        <w:spacing w:line="276" w:lineRule="auto"/>
        <w:rPr>
          <w:rFonts w:ascii="Arial" w:hAnsi="Arial"/>
          <w:noProof/>
          <w:color w:val="201F1E"/>
        </w:rPr>
      </w:pPr>
    </w:p>
    <w:p w14:paraId="4ECF3CE5" w14:textId="2018F9B0" w:rsidR="000360D6" w:rsidRPr="00FC1F98" w:rsidRDefault="008670AE" w:rsidP="008670AE">
      <w:pPr>
        <w:pStyle w:val="Prrafodelista"/>
        <w:numPr>
          <w:ilvl w:val="2"/>
          <w:numId w:val="17"/>
        </w:numPr>
        <w:spacing w:line="276" w:lineRule="auto"/>
        <w:rPr>
          <w:rFonts w:ascii="Arial" w:hAnsi="Arial"/>
          <w:b/>
          <w:lang w:val="es-ES_tradnl"/>
        </w:rPr>
      </w:pPr>
      <w:r w:rsidRPr="00FC1F98">
        <w:rPr>
          <w:rFonts w:ascii="Arial" w:hAnsi="Arial"/>
          <w:b/>
          <w:lang w:val="es-ES_tradnl"/>
        </w:rPr>
        <w:t>Defecto sustantivo</w:t>
      </w:r>
      <w:r w:rsidR="00443EB6" w:rsidRPr="00FC1F98">
        <w:rPr>
          <w:rFonts w:ascii="Arial" w:hAnsi="Arial"/>
          <w:b/>
          <w:lang w:val="es-ES_tradnl"/>
        </w:rPr>
        <w:t xml:space="preserve"> o material</w:t>
      </w:r>
    </w:p>
    <w:p w14:paraId="792F8B8F" w14:textId="58C5243E" w:rsidR="00443EB6" w:rsidRPr="00FC1F98" w:rsidRDefault="00443EB6" w:rsidP="00443EB6">
      <w:pPr>
        <w:spacing w:line="276" w:lineRule="auto"/>
        <w:rPr>
          <w:rFonts w:ascii="Arial" w:hAnsi="Arial"/>
          <w:b/>
          <w:lang w:val="es-ES_tradnl"/>
        </w:rPr>
      </w:pPr>
    </w:p>
    <w:p w14:paraId="56AFCFE3" w14:textId="77777777" w:rsidR="00443EB6" w:rsidRPr="00FC1F98" w:rsidRDefault="00443EB6" w:rsidP="00443EB6">
      <w:pPr>
        <w:spacing w:line="276" w:lineRule="auto"/>
        <w:rPr>
          <w:rFonts w:ascii="Arial" w:hAnsi="Arial"/>
          <w:color w:val="000000"/>
          <w:lang w:eastAsia="es-CO"/>
        </w:rPr>
      </w:pPr>
      <w:r w:rsidRPr="00FC1F98">
        <w:rPr>
          <w:rFonts w:ascii="Arial" w:hAnsi="Arial"/>
          <w:color w:val="000000"/>
          <w:lang w:eastAsia="es-CO"/>
        </w:rPr>
        <w:t>En cuanto al defecto sustantivo, la Corte Constitucional, en sentencia de unificación SU-516 de 2019</w:t>
      </w:r>
      <w:r w:rsidRPr="00FC1F98">
        <w:rPr>
          <w:rFonts w:ascii="Arial" w:hAnsi="Arial"/>
          <w:color w:val="000000"/>
          <w:vertAlign w:val="superscript"/>
          <w:lang w:eastAsia="es-CO"/>
        </w:rPr>
        <w:footnoteReference w:id="55"/>
      </w:r>
      <w:r w:rsidRPr="00FC1F98">
        <w:rPr>
          <w:rFonts w:ascii="Arial" w:hAnsi="Arial"/>
          <w:color w:val="000000"/>
          <w:lang w:eastAsia="es-CO"/>
        </w:rPr>
        <w:t>, reiteró sobre este, lo siguiente:</w:t>
      </w:r>
    </w:p>
    <w:p w14:paraId="31C712CE" w14:textId="77777777" w:rsidR="00443EB6" w:rsidRPr="00FC1F98" w:rsidRDefault="00443EB6" w:rsidP="00443EB6">
      <w:pPr>
        <w:spacing w:line="276" w:lineRule="auto"/>
        <w:rPr>
          <w:rFonts w:ascii="Arial" w:hAnsi="Arial"/>
          <w:color w:val="000000"/>
          <w:lang w:eastAsia="es-CO"/>
        </w:rPr>
      </w:pPr>
    </w:p>
    <w:p w14:paraId="3D292C6C" w14:textId="77777777" w:rsidR="00443EB6" w:rsidRPr="00FC1F98" w:rsidRDefault="00443EB6" w:rsidP="00443EB6">
      <w:pPr>
        <w:ind w:left="567"/>
        <w:rPr>
          <w:rFonts w:ascii="Arial" w:hAnsi="Arial"/>
          <w:color w:val="000000"/>
          <w:lang w:eastAsia="es-CO"/>
        </w:rPr>
      </w:pPr>
      <w:r w:rsidRPr="00FC1F98">
        <w:rPr>
          <w:rFonts w:ascii="Arial" w:hAnsi="Arial"/>
          <w:color w:val="000000"/>
          <w:lang w:eastAsia="es-CO"/>
        </w:rPr>
        <w:t>«La Corte ha señalado que el defecto sustantivo parte del “</w:t>
      </w:r>
      <w:r w:rsidRPr="00FC1F98">
        <w:rPr>
          <w:rFonts w:ascii="Arial" w:hAnsi="Arial"/>
          <w:i/>
          <w:color w:val="000000"/>
          <w:lang w:eastAsia="es-CO"/>
        </w:rPr>
        <w:t>reconocimiento de que la competencia asignada a las autoridades judiciales para interpretar y aplicar las normas jurídicas, fundada en el principio de autonomía e independencia judicial, no es en ningún caso absoluta</w:t>
      </w:r>
      <w:r w:rsidRPr="00FC1F98">
        <w:rPr>
          <w:rFonts w:ascii="Arial" w:hAnsi="Arial"/>
          <w:color w:val="000000"/>
          <w:lang w:eastAsia="es-CO"/>
        </w:rPr>
        <w:t>”</w:t>
      </w:r>
      <w:r w:rsidRPr="00FC1F98">
        <w:rPr>
          <w:rFonts w:ascii="Arial" w:hAnsi="Arial"/>
          <w:color w:val="000000"/>
          <w:vertAlign w:val="superscript"/>
          <w:lang w:eastAsia="es-CO"/>
        </w:rPr>
        <w:footnoteReference w:id="56"/>
      </w:r>
      <w:r w:rsidRPr="00FC1F98">
        <w:rPr>
          <w:rFonts w:ascii="Arial" w:hAnsi="Arial"/>
          <w:color w:val="000000"/>
          <w:lang w:eastAsia="es-CO"/>
        </w:rPr>
        <w:t>. En consecuencia, este defecto se materializa cuando la decisión que toma el juez desborda el marco de acción que la Constitución y la ley le reconocen</w:t>
      </w:r>
      <w:r w:rsidRPr="00FC1F98">
        <w:rPr>
          <w:rFonts w:ascii="Arial" w:hAnsi="Arial"/>
          <w:color w:val="000000"/>
          <w:vertAlign w:val="superscript"/>
          <w:lang w:eastAsia="es-CO"/>
        </w:rPr>
        <w:footnoteReference w:id="57"/>
      </w:r>
      <w:r w:rsidRPr="00FC1F98">
        <w:rPr>
          <w:rFonts w:ascii="Arial" w:hAnsi="Arial"/>
          <w:color w:val="000000"/>
          <w:lang w:eastAsia="es-CO"/>
        </w:rPr>
        <w:t>. La jurisprudencia de este Tribunal, en diferentes decisiones</w:t>
      </w:r>
      <w:r w:rsidRPr="00FC1F98">
        <w:rPr>
          <w:rFonts w:ascii="Arial" w:hAnsi="Arial"/>
          <w:color w:val="000000"/>
          <w:vertAlign w:val="superscript"/>
          <w:lang w:eastAsia="es-CO"/>
        </w:rPr>
        <w:footnoteReference w:id="58"/>
      </w:r>
      <w:r w:rsidRPr="00FC1F98">
        <w:rPr>
          <w:rFonts w:ascii="Arial" w:hAnsi="Arial"/>
          <w:color w:val="000000"/>
          <w:lang w:eastAsia="es-CO"/>
        </w:rPr>
        <w:t>, ha precisado los supuestos que pueden configurar este defecto, a saber:</w:t>
      </w:r>
    </w:p>
    <w:p w14:paraId="6F99FEED" w14:textId="77777777" w:rsidR="00443EB6" w:rsidRPr="00FC1F98" w:rsidRDefault="00443EB6" w:rsidP="00443EB6">
      <w:pPr>
        <w:ind w:left="567"/>
        <w:rPr>
          <w:rFonts w:ascii="Arial" w:hAnsi="Arial"/>
          <w:color w:val="000000"/>
          <w:lang w:eastAsia="es-CO"/>
        </w:rPr>
      </w:pPr>
    </w:p>
    <w:p w14:paraId="01D5C62F"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(i)</w:t>
      </w:r>
      <w:r w:rsidRPr="00FC1F98">
        <w:rPr>
          <w:rFonts w:ascii="Arial" w:hAnsi="Arial"/>
          <w:color w:val="000000"/>
          <w:lang w:eastAsia="es-CO"/>
        </w:rPr>
        <w:t xml:space="preserve"> Cuando existe carencia absoluta de fundamento jurídico. En este caso la decisión se sustenta en una norma inexistente</w:t>
      </w:r>
      <w:r w:rsidRPr="00FC1F98">
        <w:rPr>
          <w:rFonts w:ascii="Arial" w:hAnsi="Arial"/>
          <w:color w:val="000000"/>
          <w:vertAlign w:val="superscript"/>
          <w:lang w:eastAsia="es-CO"/>
        </w:rPr>
        <w:footnoteReference w:id="59"/>
      </w:r>
      <w:r w:rsidRPr="00FC1F98">
        <w:rPr>
          <w:rFonts w:ascii="Arial" w:hAnsi="Arial"/>
          <w:color w:val="000000"/>
          <w:lang w:eastAsia="es-CO"/>
        </w:rPr>
        <w:t>, derogada</w:t>
      </w:r>
      <w:r w:rsidRPr="00FC1F98">
        <w:rPr>
          <w:rFonts w:ascii="Arial" w:hAnsi="Arial"/>
          <w:color w:val="000000"/>
          <w:vertAlign w:val="superscript"/>
          <w:lang w:eastAsia="es-CO"/>
        </w:rPr>
        <w:footnoteReference w:id="60"/>
      </w:r>
      <w:r w:rsidRPr="00FC1F98">
        <w:rPr>
          <w:rFonts w:ascii="Arial" w:hAnsi="Arial"/>
          <w:color w:val="000000"/>
          <w:lang w:eastAsia="es-CO"/>
        </w:rPr>
        <w:t>, o que ha sido declarada inconstitucional</w:t>
      </w:r>
      <w:r w:rsidRPr="00FC1F98">
        <w:rPr>
          <w:rFonts w:ascii="Arial" w:hAnsi="Arial"/>
          <w:color w:val="000000"/>
          <w:vertAlign w:val="superscript"/>
          <w:lang w:eastAsia="es-CO"/>
        </w:rPr>
        <w:footnoteReference w:id="61"/>
      </w:r>
      <w:r w:rsidRPr="00FC1F98">
        <w:rPr>
          <w:rFonts w:ascii="Arial" w:hAnsi="Arial"/>
          <w:color w:val="000000"/>
          <w:lang w:eastAsia="es-CO"/>
        </w:rPr>
        <w:t>.</w:t>
      </w:r>
    </w:p>
    <w:p w14:paraId="0120A4C3" w14:textId="77777777" w:rsidR="00443EB6" w:rsidRPr="00FC1F98" w:rsidRDefault="00443EB6" w:rsidP="00443EB6">
      <w:pPr>
        <w:ind w:left="567"/>
        <w:rPr>
          <w:rFonts w:ascii="Arial" w:hAnsi="Arial"/>
          <w:color w:val="000000"/>
          <w:lang w:eastAsia="es-CO"/>
        </w:rPr>
      </w:pPr>
    </w:p>
    <w:p w14:paraId="5C5D7C58"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w:t>
      </w:r>
      <w:proofErr w:type="spellStart"/>
      <w:r w:rsidRPr="00FC1F98">
        <w:rPr>
          <w:rFonts w:ascii="Arial" w:hAnsi="Arial"/>
          <w:i/>
          <w:color w:val="000000"/>
          <w:lang w:eastAsia="es-CO"/>
        </w:rPr>
        <w:t>ii</w:t>
      </w:r>
      <w:proofErr w:type="spellEnd"/>
      <w:r w:rsidRPr="00FC1F98">
        <w:rPr>
          <w:rFonts w:ascii="Arial" w:hAnsi="Arial"/>
          <w:i/>
          <w:color w:val="000000"/>
          <w:lang w:eastAsia="es-CO"/>
        </w:rPr>
        <w:t>)</w:t>
      </w:r>
      <w:r w:rsidRPr="00FC1F98">
        <w:rPr>
          <w:rFonts w:ascii="Arial" w:hAnsi="Arial"/>
          <w:color w:val="000000"/>
          <w:lang w:eastAsia="es-CO"/>
        </w:rPr>
        <w:t xml:space="preserve"> La decisión judicial tiene como fundamento una norma que no es aplicable por no ser pertinente</w:t>
      </w:r>
      <w:r w:rsidRPr="00FC1F98">
        <w:rPr>
          <w:rFonts w:ascii="Arial" w:hAnsi="Arial"/>
          <w:color w:val="000000"/>
          <w:vertAlign w:val="superscript"/>
          <w:lang w:eastAsia="es-CO"/>
        </w:rPr>
        <w:footnoteReference w:id="62"/>
      </w:r>
      <w:r w:rsidRPr="00FC1F98">
        <w:rPr>
          <w:rFonts w:ascii="Arial" w:hAnsi="Arial"/>
          <w:color w:val="000000"/>
          <w:lang w:eastAsia="es-CO"/>
        </w:rPr>
        <w:t>.</w:t>
      </w:r>
    </w:p>
    <w:p w14:paraId="097832F4" w14:textId="77777777" w:rsidR="00443EB6" w:rsidRPr="00FC1F98" w:rsidRDefault="00443EB6" w:rsidP="00443EB6">
      <w:pPr>
        <w:ind w:left="567"/>
        <w:jc w:val="center"/>
        <w:rPr>
          <w:rFonts w:ascii="Arial" w:hAnsi="Arial"/>
          <w:color w:val="000000"/>
          <w:lang w:eastAsia="es-CO"/>
        </w:rPr>
      </w:pPr>
    </w:p>
    <w:p w14:paraId="63476C17"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lastRenderedPageBreak/>
        <w:t>(</w:t>
      </w:r>
      <w:proofErr w:type="spellStart"/>
      <w:r w:rsidRPr="00FC1F98">
        <w:rPr>
          <w:rFonts w:ascii="Arial" w:hAnsi="Arial"/>
          <w:i/>
          <w:color w:val="000000"/>
          <w:lang w:eastAsia="es-CO"/>
        </w:rPr>
        <w:t>iii</w:t>
      </w:r>
      <w:proofErr w:type="spellEnd"/>
      <w:r w:rsidRPr="00FC1F98">
        <w:rPr>
          <w:rFonts w:ascii="Arial" w:hAnsi="Arial"/>
          <w:i/>
          <w:color w:val="000000"/>
          <w:lang w:eastAsia="es-CO"/>
        </w:rPr>
        <w:t>)</w:t>
      </w:r>
      <w:r w:rsidRPr="00FC1F98">
        <w:rPr>
          <w:rFonts w:ascii="Arial" w:hAnsi="Arial"/>
          <w:color w:val="000000"/>
          <w:lang w:eastAsia="es-CO"/>
        </w:rPr>
        <w:t xml:space="preserve"> A pesar de que la norma en cuestión está vigente y es constitucional, su aplicación no resulta adecuada a la situación fáctica objeto de estudio como, por ejemplo, cuando se le reconocen efectos distintos a los señalados por el legislador</w:t>
      </w:r>
      <w:r w:rsidRPr="00FC1F98">
        <w:rPr>
          <w:rFonts w:ascii="Arial" w:hAnsi="Arial"/>
          <w:color w:val="000000"/>
          <w:vertAlign w:val="superscript"/>
          <w:lang w:eastAsia="es-CO"/>
        </w:rPr>
        <w:footnoteReference w:id="63"/>
      </w:r>
      <w:hyperlink r:id="rId11" w:anchor="_ftn65" w:history="1"/>
      <w:r w:rsidRPr="00FC1F98">
        <w:rPr>
          <w:rFonts w:ascii="Arial" w:hAnsi="Arial"/>
          <w:color w:val="000000"/>
          <w:lang w:eastAsia="es-CO"/>
        </w:rPr>
        <w:t>.</w:t>
      </w:r>
    </w:p>
    <w:p w14:paraId="460AAA10" w14:textId="77777777" w:rsidR="00443EB6" w:rsidRPr="00FC1F98" w:rsidRDefault="00443EB6" w:rsidP="00443EB6">
      <w:pPr>
        <w:ind w:left="567"/>
        <w:rPr>
          <w:rFonts w:ascii="Arial" w:hAnsi="Arial"/>
          <w:color w:val="000000"/>
          <w:lang w:eastAsia="es-CO"/>
        </w:rPr>
      </w:pPr>
    </w:p>
    <w:p w14:paraId="222AFD62"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w:t>
      </w:r>
      <w:proofErr w:type="spellStart"/>
      <w:r w:rsidRPr="00FC1F98">
        <w:rPr>
          <w:rFonts w:ascii="Arial" w:hAnsi="Arial"/>
          <w:i/>
          <w:color w:val="000000"/>
          <w:lang w:eastAsia="es-CO"/>
        </w:rPr>
        <w:t>iv</w:t>
      </w:r>
      <w:proofErr w:type="spellEnd"/>
      <w:r w:rsidRPr="00FC1F98">
        <w:rPr>
          <w:rFonts w:ascii="Arial" w:hAnsi="Arial"/>
          <w:i/>
          <w:color w:val="000000"/>
          <w:lang w:eastAsia="es-CO"/>
        </w:rPr>
        <w:t>)</w:t>
      </w:r>
      <w:r w:rsidRPr="00FC1F98">
        <w:rPr>
          <w:rFonts w:ascii="Arial" w:hAnsi="Arial"/>
          <w:color w:val="000000"/>
          <w:lang w:eastAsia="es-CO"/>
        </w:rPr>
        <w:t xml:space="preserve"> Cuando se aplica una norma cuya interpretación desconoce una sentencia con efectos </w:t>
      </w:r>
      <w:r w:rsidRPr="00FC1F98">
        <w:rPr>
          <w:rFonts w:ascii="Arial" w:hAnsi="Arial"/>
          <w:i/>
          <w:color w:val="000000"/>
          <w:lang w:eastAsia="es-CO"/>
        </w:rPr>
        <w:t>erga omnes</w:t>
      </w:r>
      <w:r w:rsidRPr="00FC1F98">
        <w:rPr>
          <w:rFonts w:ascii="Arial" w:hAnsi="Arial"/>
          <w:color w:val="000000"/>
          <w:lang w:eastAsia="es-CO"/>
        </w:rPr>
        <w:t xml:space="preserve">. En esta hipótesis se aplica una norma cuyo sentido contraría la </w:t>
      </w:r>
      <w:r w:rsidRPr="00FC1F98">
        <w:rPr>
          <w:rFonts w:ascii="Arial" w:hAnsi="Arial"/>
          <w:i/>
          <w:color w:val="000000"/>
          <w:lang w:eastAsia="es-CO"/>
        </w:rPr>
        <w:t xml:space="preserve">ratio </w:t>
      </w:r>
      <w:proofErr w:type="spellStart"/>
      <w:r w:rsidRPr="00FC1F98">
        <w:rPr>
          <w:rFonts w:ascii="Arial" w:hAnsi="Arial"/>
          <w:i/>
          <w:color w:val="000000"/>
          <w:lang w:eastAsia="es-CO"/>
        </w:rPr>
        <w:t>decidendi</w:t>
      </w:r>
      <w:proofErr w:type="spellEnd"/>
      <w:r w:rsidRPr="00FC1F98">
        <w:rPr>
          <w:rFonts w:ascii="Arial" w:hAnsi="Arial"/>
          <w:color w:val="000000"/>
          <w:lang w:eastAsia="es-CO"/>
        </w:rPr>
        <w:t xml:space="preserve"> de una sentencia que irradia sus efectos a todo el ordenamiento jurídico</w:t>
      </w:r>
      <w:r w:rsidRPr="00FC1F98">
        <w:rPr>
          <w:rFonts w:ascii="Arial" w:hAnsi="Arial"/>
          <w:color w:val="000000"/>
          <w:vertAlign w:val="superscript"/>
          <w:lang w:eastAsia="es-CO"/>
        </w:rPr>
        <w:footnoteReference w:id="64"/>
      </w:r>
      <w:r w:rsidRPr="00FC1F98">
        <w:rPr>
          <w:rFonts w:ascii="Arial" w:hAnsi="Arial"/>
          <w:color w:val="000000"/>
          <w:lang w:eastAsia="es-CO"/>
        </w:rPr>
        <w:t>.</w:t>
      </w:r>
    </w:p>
    <w:p w14:paraId="66475CB6" w14:textId="77777777" w:rsidR="00443EB6" w:rsidRPr="00FC1F98" w:rsidRDefault="00443EB6" w:rsidP="00443EB6">
      <w:pPr>
        <w:ind w:left="567"/>
        <w:rPr>
          <w:rFonts w:ascii="Arial" w:hAnsi="Arial"/>
          <w:color w:val="000000"/>
          <w:lang w:eastAsia="es-CO"/>
        </w:rPr>
      </w:pPr>
    </w:p>
    <w:p w14:paraId="5ABC903A"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(v)</w:t>
      </w:r>
      <w:r w:rsidRPr="00FC1F98">
        <w:rPr>
          <w:rFonts w:ascii="Arial" w:hAnsi="Arial"/>
          <w:color w:val="000000"/>
          <w:lang w:eastAsia="es-CO"/>
        </w:rPr>
        <w:t xml:space="preserve"> La disposición aplicada se muestra injustificadamente regresiva</w:t>
      </w:r>
      <w:r w:rsidRPr="00FC1F98">
        <w:rPr>
          <w:rFonts w:ascii="Arial" w:hAnsi="Arial"/>
          <w:color w:val="000000"/>
          <w:vertAlign w:val="superscript"/>
          <w:lang w:eastAsia="es-CO"/>
        </w:rPr>
        <w:footnoteReference w:id="65"/>
      </w:r>
      <w:r w:rsidRPr="00FC1F98">
        <w:rPr>
          <w:rFonts w:ascii="Arial" w:hAnsi="Arial"/>
          <w:b/>
          <w:color w:val="000000"/>
          <w:vertAlign w:val="superscript"/>
          <w:lang w:eastAsia="es-CO"/>
        </w:rPr>
        <w:t xml:space="preserve"> </w:t>
      </w:r>
      <w:r w:rsidRPr="00FC1F98">
        <w:rPr>
          <w:rFonts w:ascii="Arial" w:hAnsi="Arial"/>
          <w:color w:val="000000"/>
          <w:lang w:eastAsia="es-CO"/>
        </w:rPr>
        <w:t>o claramente contraria a la Constitución</w:t>
      </w:r>
      <w:r w:rsidRPr="00FC1F98">
        <w:rPr>
          <w:rFonts w:ascii="Arial" w:hAnsi="Arial"/>
          <w:color w:val="000000"/>
          <w:vertAlign w:val="superscript"/>
          <w:lang w:eastAsia="es-CO"/>
        </w:rPr>
        <w:footnoteReference w:id="66"/>
      </w:r>
      <w:r w:rsidRPr="00FC1F98">
        <w:rPr>
          <w:rFonts w:ascii="Arial" w:hAnsi="Arial"/>
          <w:color w:val="000000"/>
          <w:lang w:eastAsia="es-CO"/>
        </w:rPr>
        <w:t>.</w:t>
      </w:r>
    </w:p>
    <w:p w14:paraId="0EF5E04F" w14:textId="77777777" w:rsidR="00443EB6" w:rsidRPr="00FC1F98" w:rsidRDefault="00443EB6" w:rsidP="00443EB6">
      <w:pPr>
        <w:ind w:left="567"/>
        <w:rPr>
          <w:rFonts w:ascii="Arial" w:hAnsi="Arial"/>
          <w:i/>
          <w:color w:val="000000"/>
          <w:lang w:eastAsia="es-CO"/>
        </w:rPr>
      </w:pPr>
    </w:p>
    <w:p w14:paraId="09AAE502"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(vi)</w:t>
      </w:r>
      <w:r w:rsidRPr="00FC1F98">
        <w:rPr>
          <w:rFonts w:ascii="Arial" w:hAnsi="Arial"/>
          <w:color w:val="000000"/>
          <w:lang w:eastAsia="es-CO"/>
        </w:rPr>
        <w:t xml:space="preserve"> Cuando un poder concedido al juez se utiliza para un fin no previsto en la disposición</w:t>
      </w:r>
      <w:r w:rsidRPr="00FC1F98">
        <w:rPr>
          <w:rFonts w:ascii="Arial" w:hAnsi="Arial"/>
          <w:color w:val="000000"/>
          <w:vertAlign w:val="superscript"/>
          <w:lang w:eastAsia="es-CO"/>
        </w:rPr>
        <w:footnoteReference w:id="67"/>
      </w:r>
      <w:r w:rsidRPr="00FC1F98">
        <w:rPr>
          <w:rFonts w:ascii="Arial" w:hAnsi="Arial"/>
          <w:color w:val="000000"/>
          <w:lang w:eastAsia="es-CO"/>
        </w:rPr>
        <w:t>.</w:t>
      </w:r>
    </w:p>
    <w:p w14:paraId="7C203AF1" w14:textId="77777777" w:rsidR="00443EB6" w:rsidRPr="00FC1F98" w:rsidRDefault="00443EB6" w:rsidP="00443EB6">
      <w:pPr>
        <w:ind w:left="567"/>
        <w:rPr>
          <w:rFonts w:ascii="Arial" w:hAnsi="Arial"/>
          <w:color w:val="000000"/>
          <w:lang w:eastAsia="es-CO"/>
        </w:rPr>
      </w:pPr>
    </w:p>
    <w:p w14:paraId="7B8218BF"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w:t>
      </w:r>
      <w:proofErr w:type="spellStart"/>
      <w:r w:rsidRPr="00FC1F98">
        <w:rPr>
          <w:rFonts w:ascii="Arial" w:hAnsi="Arial"/>
          <w:i/>
          <w:color w:val="000000"/>
          <w:lang w:eastAsia="es-CO"/>
        </w:rPr>
        <w:t>vii</w:t>
      </w:r>
      <w:proofErr w:type="spellEnd"/>
      <w:r w:rsidRPr="00FC1F98">
        <w:rPr>
          <w:rFonts w:ascii="Arial" w:hAnsi="Arial"/>
          <w:i/>
          <w:color w:val="000000"/>
          <w:lang w:eastAsia="es-CO"/>
        </w:rPr>
        <w:t>)</w:t>
      </w:r>
      <w:r w:rsidRPr="00FC1F98">
        <w:rPr>
          <w:rFonts w:ascii="Arial" w:hAnsi="Arial"/>
          <w:color w:val="000000"/>
          <w:lang w:eastAsia="es-CO"/>
        </w:rPr>
        <w:t xml:space="preserve"> La decisión se funda en una interpretación no sistemática del derecho, omitiendo el análisis de otras disposiciones aplicables al caso</w:t>
      </w:r>
      <w:r w:rsidRPr="00FC1F98">
        <w:rPr>
          <w:rFonts w:ascii="Arial" w:hAnsi="Arial"/>
          <w:color w:val="000000"/>
          <w:vertAlign w:val="superscript"/>
          <w:lang w:eastAsia="es-CO"/>
        </w:rPr>
        <w:footnoteReference w:id="68"/>
      </w:r>
      <w:r w:rsidRPr="00FC1F98">
        <w:rPr>
          <w:rFonts w:ascii="Arial" w:hAnsi="Arial"/>
          <w:color w:val="000000"/>
          <w:lang w:eastAsia="es-CO"/>
        </w:rPr>
        <w:t>.</w:t>
      </w:r>
    </w:p>
    <w:p w14:paraId="48FC587D" w14:textId="77777777" w:rsidR="00443EB6" w:rsidRPr="00FC1F98" w:rsidRDefault="00443EB6" w:rsidP="00443EB6">
      <w:pPr>
        <w:ind w:left="567"/>
        <w:rPr>
          <w:rFonts w:ascii="Arial" w:hAnsi="Arial"/>
          <w:color w:val="000000"/>
          <w:lang w:eastAsia="es-CO"/>
        </w:rPr>
      </w:pPr>
    </w:p>
    <w:p w14:paraId="13DB8C0E"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w:t>
      </w:r>
      <w:proofErr w:type="spellStart"/>
      <w:r w:rsidRPr="00FC1F98">
        <w:rPr>
          <w:rFonts w:ascii="Arial" w:hAnsi="Arial"/>
          <w:i/>
          <w:color w:val="000000"/>
          <w:lang w:eastAsia="es-CO"/>
        </w:rPr>
        <w:t>viii</w:t>
      </w:r>
      <w:proofErr w:type="spellEnd"/>
      <w:r w:rsidRPr="00FC1F98">
        <w:rPr>
          <w:rFonts w:ascii="Arial" w:hAnsi="Arial"/>
          <w:i/>
          <w:color w:val="000000"/>
          <w:lang w:eastAsia="es-CO"/>
        </w:rPr>
        <w:t>)</w:t>
      </w:r>
      <w:r w:rsidRPr="00FC1F98">
        <w:rPr>
          <w:rFonts w:ascii="Arial" w:hAnsi="Arial"/>
          <w:color w:val="000000"/>
          <w:lang w:eastAsia="es-CO"/>
        </w:rPr>
        <w:t xml:space="preserve"> El servidor judicial da una insuficiente sustentación o justificación de una actuación que afecta derechos fundamentales</w:t>
      </w:r>
      <w:r w:rsidRPr="00FC1F98">
        <w:rPr>
          <w:rFonts w:ascii="Arial" w:hAnsi="Arial"/>
          <w:color w:val="000000"/>
          <w:vertAlign w:val="superscript"/>
          <w:lang w:eastAsia="es-CO"/>
        </w:rPr>
        <w:footnoteReference w:id="69"/>
      </w:r>
      <w:r w:rsidRPr="00FC1F98">
        <w:rPr>
          <w:rFonts w:ascii="Arial" w:hAnsi="Arial"/>
          <w:color w:val="000000"/>
          <w:lang w:eastAsia="es-CO"/>
        </w:rPr>
        <w:t>.</w:t>
      </w:r>
    </w:p>
    <w:p w14:paraId="6898A3FD" w14:textId="77777777" w:rsidR="00443EB6" w:rsidRPr="00FC1F98" w:rsidRDefault="00443EB6" w:rsidP="00443EB6">
      <w:pPr>
        <w:ind w:left="567"/>
        <w:rPr>
          <w:rFonts w:ascii="Arial" w:hAnsi="Arial"/>
          <w:color w:val="000000"/>
          <w:lang w:eastAsia="es-CO"/>
        </w:rPr>
      </w:pPr>
    </w:p>
    <w:p w14:paraId="42D815E0"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w:t>
      </w:r>
      <w:proofErr w:type="spellStart"/>
      <w:r w:rsidRPr="00FC1F98">
        <w:rPr>
          <w:rFonts w:ascii="Arial" w:hAnsi="Arial"/>
          <w:i/>
          <w:color w:val="000000"/>
          <w:lang w:eastAsia="es-CO"/>
        </w:rPr>
        <w:t>ix</w:t>
      </w:r>
      <w:proofErr w:type="spellEnd"/>
      <w:r w:rsidRPr="00FC1F98">
        <w:rPr>
          <w:rFonts w:ascii="Arial" w:hAnsi="Arial"/>
          <w:i/>
          <w:color w:val="000000"/>
          <w:lang w:eastAsia="es-CO"/>
        </w:rPr>
        <w:t>)</w:t>
      </w:r>
      <w:r w:rsidRPr="00FC1F98">
        <w:rPr>
          <w:rFonts w:ascii="Arial" w:hAnsi="Arial"/>
          <w:color w:val="000000"/>
          <w:lang w:eastAsia="es-CO"/>
        </w:rPr>
        <w:t xml:space="preserve"> Se desconoce el precedente judicial sin ofrecer un mínimo razonable de argumentación</w:t>
      </w:r>
      <w:r w:rsidRPr="00FC1F98">
        <w:rPr>
          <w:rFonts w:ascii="Arial" w:hAnsi="Arial"/>
          <w:color w:val="000000"/>
          <w:vertAlign w:val="superscript"/>
          <w:lang w:eastAsia="es-CO"/>
        </w:rPr>
        <w:footnoteReference w:id="70"/>
      </w:r>
      <w:r w:rsidRPr="00FC1F98">
        <w:rPr>
          <w:rFonts w:ascii="Arial" w:hAnsi="Arial"/>
          <w:color w:val="000000"/>
          <w:lang w:eastAsia="es-CO"/>
        </w:rPr>
        <w:t>.</w:t>
      </w:r>
    </w:p>
    <w:p w14:paraId="76CBFA9A" w14:textId="77777777" w:rsidR="00443EB6" w:rsidRPr="00FC1F98" w:rsidRDefault="00443EB6" w:rsidP="00443EB6">
      <w:pPr>
        <w:ind w:left="567"/>
        <w:rPr>
          <w:rFonts w:ascii="Arial" w:hAnsi="Arial"/>
          <w:color w:val="000000"/>
          <w:lang w:eastAsia="es-CO"/>
        </w:rPr>
      </w:pPr>
    </w:p>
    <w:p w14:paraId="0A59EA0C" w14:textId="77777777" w:rsidR="00443EB6" w:rsidRPr="00FC1F98" w:rsidRDefault="00443EB6" w:rsidP="00443EB6">
      <w:pPr>
        <w:ind w:left="567"/>
        <w:rPr>
          <w:rFonts w:ascii="Arial" w:hAnsi="Arial"/>
          <w:color w:val="000000"/>
          <w:lang w:eastAsia="es-CO"/>
        </w:rPr>
      </w:pPr>
      <w:r w:rsidRPr="00FC1F98">
        <w:rPr>
          <w:rFonts w:ascii="Arial" w:hAnsi="Arial"/>
          <w:i/>
          <w:color w:val="000000"/>
          <w:lang w:eastAsia="es-CO"/>
        </w:rPr>
        <w:t>(x)</w:t>
      </w:r>
      <w:r w:rsidRPr="00FC1F98">
        <w:rPr>
          <w:rFonts w:ascii="Arial" w:hAnsi="Arial"/>
          <w:color w:val="000000"/>
          <w:lang w:eastAsia="es-CO"/>
        </w:rPr>
        <w:t xml:space="preserve"> Cuando el juez se abstiene de aplicar la excepción de inconstitucionalidad</w:t>
      </w:r>
      <w:r w:rsidRPr="00FC1F98">
        <w:rPr>
          <w:rFonts w:ascii="Arial" w:hAnsi="Arial"/>
          <w:color w:val="000000"/>
          <w:vertAlign w:val="superscript"/>
          <w:lang w:eastAsia="es-CO"/>
        </w:rPr>
        <w:footnoteReference w:id="71"/>
      </w:r>
      <w:r w:rsidRPr="00FC1F98">
        <w:rPr>
          <w:rFonts w:ascii="Arial" w:hAnsi="Arial"/>
          <w:color w:val="000000"/>
          <w:lang w:eastAsia="es-CO"/>
        </w:rPr>
        <w:t>. Se trata de la aplicación de normas abiertamente inconstitucionales</w:t>
      </w:r>
      <w:r w:rsidRPr="00FC1F98">
        <w:rPr>
          <w:rFonts w:ascii="Arial" w:hAnsi="Arial"/>
          <w:color w:val="000000"/>
          <w:vertAlign w:val="superscript"/>
          <w:lang w:eastAsia="es-CO"/>
        </w:rPr>
        <w:footnoteReference w:id="72"/>
      </w:r>
      <w:r w:rsidRPr="00FC1F98">
        <w:rPr>
          <w:rFonts w:ascii="Arial" w:hAnsi="Arial"/>
          <w:color w:val="000000"/>
          <w:lang w:eastAsia="es-CO"/>
        </w:rPr>
        <w:t>, o cuando al ser aplicadas al caso concreto se vulneran derechos fundamentales, razón por lo que debe ser igualmente inaplicada</w:t>
      </w:r>
      <w:r w:rsidRPr="00FC1F98">
        <w:rPr>
          <w:rFonts w:ascii="Arial" w:hAnsi="Arial"/>
          <w:color w:val="000000"/>
          <w:vertAlign w:val="superscript"/>
          <w:lang w:eastAsia="es-CO"/>
        </w:rPr>
        <w:footnoteReference w:id="73"/>
      </w:r>
      <w:r w:rsidRPr="00FC1F98">
        <w:rPr>
          <w:rFonts w:ascii="Arial" w:hAnsi="Arial"/>
          <w:color w:val="000000"/>
          <w:lang w:eastAsia="es-CO"/>
        </w:rPr>
        <w:t>.</w:t>
      </w:r>
    </w:p>
    <w:p w14:paraId="36748AD4" w14:textId="77777777" w:rsidR="00443EB6" w:rsidRPr="00FC1F98" w:rsidRDefault="00443EB6" w:rsidP="00443EB6">
      <w:pPr>
        <w:ind w:left="567"/>
        <w:rPr>
          <w:rFonts w:ascii="Arial" w:hAnsi="Arial"/>
          <w:color w:val="000000"/>
          <w:lang w:eastAsia="es-CO"/>
        </w:rPr>
      </w:pPr>
    </w:p>
    <w:p w14:paraId="2FFEB0E5" w14:textId="77777777" w:rsidR="00443EB6" w:rsidRPr="00FC1F98" w:rsidRDefault="00443EB6" w:rsidP="00443EB6">
      <w:pPr>
        <w:ind w:left="567"/>
        <w:rPr>
          <w:rFonts w:ascii="Arial" w:hAnsi="Arial"/>
          <w:color w:val="000000"/>
          <w:lang w:val="fr-FR" w:eastAsia="es-CO"/>
        </w:rPr>
      </w:pPr>
      <w:r w:rsidRPr="00FC1F98">
        <w:rPr>
          <w:rFonts w:ascii="Arial" w:hAnsi="Arial"/>
          <w:i/>
          <w:color w:val="000000"/>
          <w:lang w:eastAsia="es-CO"/>
        </w:rPr>
        <w:t xml:space="preserve">(xi) </w:t>
      </w:r>
      <w:r w:rsidRPr="00FC1F98">
        <w:rPr>
          <w:rFonts w:ascii="Arial" w:hAnsi="Arial"/>
          <w:color w:val="000000"/>
          <w:lang w:eastAsia="es-CO"/>
        </w:rPr>
        <w:t>Cuando la providencia incurre en incongruencia entre los fundamentos jurídicos y la decisión. Esta situación se configura cuando la resolución del juez no corresponde con las motivaciones expuestas en la providencia</w:t>
      </w:r>
      <w:r w:rsidRPr="00FC1F98">
        <w:rPr>
          <w:rFonts w:ascii="Arial" w:hAnsi="Arial"/>
          <w:color w:val="000000"/>
          <w:vertAlign w:val="superscript"/>
          <w:lang w:eastAsia="es-CO"/>
        </w:rPr>
        <w:footnoteReference w:id="74"/>
      </w:r>
      <w:r w:rsidRPr="00FC1F98">
        <w:rPr>
          <w:rFonts w:ascii="Arial" w:hAnsi="Arial"/>
          <w:color w:val="000000"/>
          <w:lang w:val="fr-FR" w:eastAsia="es-CO"/>
        </w:rPr>
        <w:t>.</w:t>
      </w:r>
    </w:p>
    <w:p w14:paraId="58D51EC7" w14:textId="77777777" w:rsidR="00443EB6" w:rsidRPr="00FC1F98" w:rsidRDefault="00443EB6" w:rsidP="00443EB6">
      <w:pPr>
        <w:ind w:left="567"/>
        <w:rPr>
          <w:rFonts w:ascii="Arial" w:hAnsi="Arial"/>
          <w:color w:val="000000"/>
          <w:lang w:val="fr-FR" w:eastAsia="es-CO"/>
        </w:rPr>
      </w:pPr>
    </w:p>
    <w:p w14:paraId="030A8D1E" w14:textId="77777777" w:rsidR="00443EB6" w:rsidRPr="00FC1F98" w:rsidRDefault="00443EB6" w:rsidP="00443EB6">
      <w:pPr>
        <w:ind w:left="567"/>
        <w:rPr>
          <w:rFonts w:ascii="Arial" w:hAnsi="Arial"/>
          <w:color w:val="000000"/>
          <w:lang w:eastAsia="es-CO"/>
        </w:rPr>
      </w:pPr>
      <w:r w:rsidRPr="00FC1F98">
        <w:rPr>
          <w:rFonts w:ascii="Arial" w:hAnsi="Arial"/>
          <w:color w:val="000000"/>
          <w:lang w:eastAsia="es-CO"/>
        </w:rPr>
        <w:t>Adicionalmente, esta Corte ha señalado</w:t>
      </w:r>
      <w:r w:rsidRPr="00FC1F98">
        <w:rPr>
          <w:rFonts w:ascii="Arial" w:hAnsi="Arial"/>
          <w:color w:val="000000"/>
          <w:vertAlign w:val="superscript"/>
          <w:lang w:eastAsia="es-CO"/>
        </w:rPr>
        <w:footnoteReference w:id="75"/>
      </w:r>
      <w:r w:rsidRPr="00FC1F98">
        <w:rPr>
          <w:rFonts w:ascii="Arial" w:hAnsi="Arial"/>
          <w:color w:val="000000"/>
          <w:lang w:eastAsia="es-CO"/>
        </w:rPr>
        <w:t xml:space="preserve"> que una autoridad judicial puede incurrir en un defecto sustantivo por interpretación irrazonable</w:t>
      </w:r>
      <w:r w:rsidRPr="00FC1F98">
        <w:rPr>
          <w:rFonts w:ascii="Arial" w:hAnsi="Arial"/>
          <w:color w:val="000000"/>
          <w:vertAlign w:val="superscript"/>
          <w:lang w:eastAsia="es-CO"/>
        </w:rPr>
        <w:footnoteReference w:id="76"/>
      </w:r>
      <w:r w:rsidRPr="00FC1F98">
        <w:rPr>
          <w:rFonts w:ascii="Arial" w:hAnsi="Arial"/>
          <w:color w:val="000000"/>
          <w:lang w:eastAsia="es-CO"/>
        </w:rPr>
        <w:t xml:space="preserve"> en, al menos, dos hipótesis: </w:t>
      </w:r>
      <w:r w:rsidRPr="00FC1F98">
        <w:rPr>
          <w:rFonts w:ascii="Arial" w:hAnsi="Arial"/>
          <w:i/>
          <w:color w:val="000000"/>
          <w:lang w:eastAsia="es-CO"/>
        </w:rPr>
        <w:t>(i)</w:t>
      </w:r>
      <w:r w:rsidRPr="00FC1F98">
        <w:rPr>
          <w:rFonts w:ascii="Arial" w:hAnsi="Arial"/>
          <w:color w:val="000000"/>
          <w:lang w:eastAsia="es-CO"/>
        </w:rPr>
        <w:t xml:space="preserve"> cuando le otorga a la disposición jurídica un sentido y alcance que esta no tiene (contraevidente –interpretación </w:t>
      </w:r>
      <w:r w:rsidRPr="00FC1F98">
        <w:rPr>
          <w:rFonts w:ascii="Arial" w:hAnsi="Arial"/>
          <w:i/>
          <w:color w:val="000000"/>
          <w:lang w:eastAsia="es-CO"/>
        </w:rPr>
        <w:t xml:space="preserve">contra </w:t>
      </w:r>
      <w:proofErr w:type="spellStart"/>
      <w:r w:rsidRPr="00FC1F98">
        <w:rPr>
          <w:rFonts w:ascii="Arial" w:hAnsi="Arial"/>
          <w:i/>
          <w:color w:val="000000"/>
          <w:lang w:eastAsia="es-CO"/>
        </w:rPr>
        <w:t>legem</w:t>
      </w:r>
      <w:proofErr w:type="spellEnd"/>
      <w:r w:rsidRPr="00FC1F98">
        <w:rPr>
          <w:rFonts w:ascii="Arial" w:hAnsi="Arial"/>
          <w:color w:val="000000"/>
          <w:lang w:eastAsia="es-CO"/>
        </w:rPr>
        <w:t>–), o de manera injustificada para los intereses legítimos de una de las partes</w:t>
      </w:r>
      <w:r w:rsidRPr="00FC1F98">
        <w:rPr>
          <w:rFonts w:ascii="Arial" w:hAnsi="Arial"/>
          <w:color w:val="000000"/>
          <w:vertAlign w:val="superscript"/>
          <w:lang w:eastAsia="es-CO"/>
        </w:rPr>
        <w:footnoteReference w:id="77"/>
      </w:r>
      <w:r w:rsidRPr="00FC1F98">
        <w:rPr>
          <w:rFonts w:ascii="Arial" w:hAnsi="Arial"/>
          <w:color w:val="000000"/>
          <w:lang w:eastAsia="es-CO"/>
        </w:rPr>
        <w:t xml:space="preserve">; y </w:t>
      </w:r>
      <w:r w:rsidRPr="00FC1F98">
        <w:rPr>
          <w:rFonts w:ascii="Arial" w:hAnsi="Arial"/>
          <w:i/>
          <w:color w:val="000000"/>
          <w:lang w:eastAsia="es-CO"/>
        </w:rPr>
        <w:t>(</w:t>
      </w:r>
      <w:proofErr w:type="spellStart"/>
      <w:r w:rsidRPr="00FC1F98">
        <w:rPr>
          <w:rFonts w:ascii="Arial" w:hAnsi="Arial"/>
          <w:i/>
          <w:color w:val="000000"/>
          <w:lang w:eastAsia="es-CO"/>
        </w:rPr>
        <w:t>ii</w:t>
      </w:r>
      <w:proofErr w:type="spellEnd"/>
      <w:r w:rsidRPr="00FC1F98">
        <w:rPr>
          <w:rFonts w:ascii="Arial" w:hAnsi="Arial"/>
          <w:i/>
          <w:color w:val="000000"/>
          <w:lang w:eastAsia="es-CO"/>
        </w:rPr>
        <w:t>)</w:t>
      </w:r>
      <w:r w:rsidRPr="00FC1F98">
        <w:rPr>
          <w:rFonts w:ascii="Arial" w:hAnsi="Arial"/>
          <w:color w:val="000000"/>
          <w:lang w:eastAsia="es-CO"/>
        </w:rPr>
        <w:t xml:space="preserve"> cuando le confiere a la disposición </w:t>
      </w:r>
      <w:proofErr w:type="spellStart"/>
      <w:r w:rsidRPr="00FC1F98">
        <w:rPr>
          <w:rFonts w:ascii="Arial" w:hAnsi="Arial"/>
          <w:color w:val="000000"/>
          <w:lang w:eastAsia="es-CO"/>
        </w:rPr>
        <w:t>infraconstitucional</w:t>
      </w:r>
      <w:proofErr w:type="spellEnd"/>
      <w:r w:rsidRPr="00FC1F98">
        <w:rPr>
          <w:rFonts w:ascii="Arial" w:hAnsi="Arial"/>
          <w:color w:val="000000"/>
          <w:lang w:eastAsia="es-CO"/>
        </w:rPr>
        <w:t xml:space="preserve"> una interpretación que en principio resulta formalmente posible a partir de las varias opciones que ofrece, pero que en realidad contraviene postulados de rango constitucional o conduce a resultados desproporcionados, sacando la decisión del marco de la juridicidad y de la hermenéutica jurídica aceptable</w:t>
      </w:r>
      <w:r w:rsidRPr="00FC1F98">
        <w:rPr>
          <w:rFonts w:ascii="Arial" w:hAnsi="Arial"/>
          <w:color w:val="000000"/>
          <w:vertAlign w:val="superscript"/>
          <w:lang w:eastAsia="es-CO"/>
        </w:rPr>
        <w:footnoteReference w:id="78"/>
      </w:r>
      <w:r w:rsidRPr="00FC1F98">
        <w:rPr>
          <w:rFonts w:ascii="Arial" w:hAnsi="Arial"/>
          <w:color w:val="000000"/>
          <w:lang w:eastAsia="es-CO"/>
        </w:rPr>
        <w:t>»</w:t>
      </w:r>
      <w:r w:rsidRPr="00FC1F98">
        <w:rPr>
          <w:rFonts w:ascii="Arial" w:hAnsi="Arial"/>
          <w:color w:val="000000"/>
          <w:vertAlign w:val="superscript"/>
          <w:lang w:eastAsia="es-CO"/>
        </w:rPr>
        <w:footnoteReference w:id="79"/>
      </w:r>
      <w:r w:rsidRPr="00FC1F98">
        <w:rPr>
          <w:rFonts w:ascii="Arial" w:hAnsi="Arial"/>
          <w:color w:val="000000"/>
          <w:lang w:eastAsia="es-CO"/>
        </w:rPr>
        <w:t>.</w:t>
      </w:r>
    </w:p>
    <w:p w14:paraId="46D45CB0" w14:textId="77777777" w:rsidR="00443EB6" w:rsidRPr="00FC1F98" w:rsidRDefault="00443EB6" w:rsidP="00443EB6">
      <w:pPr>
        <w:spacing w:line="276" w:lineRule="auto"/>
        <w:rPr>
          <w:rFonts w:ascii="Arial" w:hAnsi="Arial"/>
          <w:color w:val="000000"/>
          <w:lang w:eastAsia="es-CO"/>
        </w:rPr>
      </w:pPr>
    </w:p>
    <w:p w14:paraId="47468951" w14:textId="53F430DE" w:rsidR="00BC3F0E" w:rsidRPr="00FC1F98" w:rsidRDefault="00443EB6" w:rsidP="00843B73">
      <w:pPr>
        <w:spacing w:line="276" w:lineRule="auto"/>
        <w:rPr>
          <w:rFonts w:ascii="Arial" w:hAnsi="Arial"/>
          <w:bCs/>
          <w:lang w:val="es-ES_tradnl"/>
        </w:rPr>
      </w:pPr>
      <w:r w:rsidRPr="00FC1F98">
        <w:rPr>
          <w:rFonts w:ascii="Arial" w:hAnsi="Arial"/>
          <w:color w:val="000000"/>
          <w:lang w:eastAsia="es-CO"/>
        </w:rPr>
        <w:t xml:space="preserve">Procede la Sala a analizar el caso concreto, teniendo en cuenta la caracterización dada por la Corte Constitucional a dicho defecto y revisado el fundamento planteado por el tutelante, para lo cual, </w:t>
      </w:r>
      <w:r w:rsidR="00BC3F0E" w:rsidRPr="00FC1F98">
        <w:rPr>
          <w:rFonts w:ascii="Arial" w:hAnsi="Arial"/>
          <w:bCs/>
          <w:lang w:val="es-ES_tradnl"/>
        </w:rPr>
        <w:t>es necesario acudir a la providencia del 10 de noviembre de 2020</w:t>
      </w:r>
      <w:r w:rsidR="00977CAD" w:rsidRPr="00FC1F98">
        <w:rPr>
          <w:rFonts w:ascii="Arial" w:hAnsi="Arial"/>
          <w:bCs/>
          <w:lang w:val="es-ES_tradnl"/>
        </w:rPr>
        <w:t>,</w:t>
      </w:r>
      <w:r w:rsidR="00BC3F0E" w:rsidRPr="00FC1F98">
        <w:rPr>
          <w:rFonts w:ascii="Arial" w:hAnsi="Arial"/>
          <w:bCs/>
          <w:lang w:val="es-ES_tradnl"/>
        </w:rPr>
        <w:t xml:space="preserve"> a través de la cual, el Tribuna</w:t>
      </w:r>
      <w:r w:rsidR="000B5D46" w:rsidRPr="00FC1F98">
        <w:rPr>
          <w:rFonts w:ascii="Arial" w:hAnsi="Arial"/>
          <w:bCs/>
          <w:lang w:val="es-ES_tradnl"/>
        </w:rPr>
        <w:t>l</w:t>
      </w:r>
      <w:r w:rsidR="00BC3F0E" w:rsidRPr="00FC1F98">
        <w:rPr>
          <w:rFonts w:ascii="Arial" w:hAnsi="Arial"/>
          <w:bCs/>
          <w:lang w:val="es-ES_tradnl"/>
        </w:rPr>
        <w:t xml:space="preserve"> Administrativo de Boyacá, Sala de Decisión No. 4, declaró de oficio la caducidad del medio de control de reparación directa, de </w:t>
      </w:r>
      <w:r w:rsidR="002741D1" w:rsidRPr="00FC1F98">
        <w:rPr>
          <w:rFonts w:ascii="Arial" w:hAnsi="Arial"/>
          <w:bCs/>
          <w:lang w:val="es-ES_tradnl"/>
        </w:rPr>
        <w:t>radicado</w:t>
      </w:r>
      <w:r w:rsidR="002741D1" w:rsidRPr="00FC1F98">
        <w:rPr>
          <w:rFonts w:ascii="Arial" w:hAnsi="Arial"/>
        </w:rPr>
        <w:t xml:space="preserve">15693-33-31-002-2011-00237-01 </w:t>
      </w:r>
      <w:r w:rsidR="002741D1" w:rsidRPr="00FC1F98">
        <w:rPr>
          <w:rFonts w:ascii="Arial" w:hAnsi="Arial"/>
          <w:bCs/>
          <w:lang w:val="es-ES_tradnl"/>
        </w:rPr>
        <w:t>y,</w:t>
      </w:r>
      <w:r w:rsidR="00BC3F0E" w:rsidRPr="00FC1F98">
        <w:rPr>
          <w:rFonts w:ascii="Arial" w:hAnsi="Arial"/>
          <w:bCs/>
          <w:lang w:val="es-ES_tradnl"/>
        </w:rPr>
        <w:t xml:space="preserve"> como consecuencia de ello, negó las pretensiones de la demanda.</w:t>
      </w:r>
    </w:p>
    <w:p w14:paraId="2879E5E5" w14:textId="67755C2E" w:rsidR="00BC3F0E" w:rsidRPr="00FC1F98" w:rsidRDefault="00BC3F0E" w:rsidP="00843B73">
      <w:pPr>
        <w:spacing w:line="276" w:lineRule="auto"/>
        <w:rPr>
          <w:rFonts w:ascii="Arial" w:hAnsi="Arial"/>
          <w:bCs/>
          <w:lang w:val="es-ES_tradnl"/>
        </w:rPr>
      </w:pPr>
    </w:p>
    <w:p w14:paraId="7889C19F" w14:textId="4F6C762C" w:rsidR="00A52C93" w:rsidRPr="00FC1F98" w:rsidRDefault="00BC3F0E" w:rsidP="00843B73">
      <w:pPr>
        <w:spacing w:line="276" w:lineRule="auto"/>
        <w:rPr>
          <w:rFonts w:ascii="Arial" w:hAnsi="Arial"/>
          <w:bCs/>
          <w:lang w:val="es-ES_tradnl"/>
        </w:rPr>
      </w:pPr>
      <w:r w:rsidRPr="00FC1F98">
        <w:rPr>
          <w:rFonts w:ascii="Arial" w:hAnsi="Arial"/>
          <w:bCs/>
          <w:lang w:val="es-ES_tradnl"/>
        </w:rPr>
        <w:t>Para fundamentar el yerro de la referida sentencia, el actor consideró que de acuerdo con el artículo 10 de la Ley 1333 de 2009, el t</w:t>
      </w:r>
      <w:r w:rsidR="003053C6" w:rsidRPr="00FC1F98">
        <w:rPr>
          <w:rFonts w:ascii="Arial" w:hAnsi="Arial"/>
          <w:bCs/>
          <w:lang w:val="es-ES_tradnl"/>
        </w:rPr>
        <w:t>é</w:t>
      </w:r>
      <w:r w:rsidRPr="00FC1F98">
        <w:rPr>
          <w:rFonts w:ascii="Arial" w:hAnsi="Arial"/>
          <w:bCs/>
          <w:lang w:val="es-ES_tradnl"/>
        </w:rPr>
        <w:t xml:space="preserve">rmino de caducidad es de 20 años, por tratarse de una acción sancionatoria ambiental (daños provocados por la explotación minera) </w:t>
      </w:r>
      <w:r w:rsidR="002741D1" w:rsidRPr="00FC1F98">
        <w:rPr>
          <w:rFonts w:ascii="Arial" w:hAnsi="Arial"/>
          <w:bCs/>
          <w:lang w:val="es-ES_tradnl"/>
        </w:rPr>
        <w:t>y por cuanto la naturaleza del daño ocasionado es de tracto sucesivo.</w:t>
      </w:r>
    </w:p>
    <w:p w14:paraId="1079B0E6" w14:textId="27842F7D" w:rsidR="00D03442" w:rsidRPr="00FC1F98" w:rsidRDefault="00D03442" w:rsidP="00843B73">
      <w:pPr>
        <w:spacing w:line="276" w:lineRule="auto"/>
        <w:rPr>
          <w:rFonts w:ascii="Arial" w:hAnsi="Arial"/>
          <w:bCs/>
          <w:lang w:val="es-ES_tradnl"/>
        </w:rPr>
      </w:pPr>
    </w:p>
    <w:p w14:paraId="60D92C0D" w14:textId="30D7F2D9" w:rsidR="00C70FE7" w:rsidRPr="00D70A37" w:rsidRDefault="00D03442" w:rsidP="00C70FE7">
      <w:pPr>
        <w:spacing w:line="276" w:lineRule="auto"/>
        <w:rPr>
          <w:rFonts w:ascii="Arial" w:eastAsia="Times New Roman" w:hAnsi="Arial"/>
          <w:highlight w:val="magenta"/>
          <w:lang w:val="es-CO"/>
        </w:rPr>
      </w:pPr>
      <w:r w:rsidRPr="00FC1F98">
        <w:rPr>
          <w:rFonts w:ascii="Arial" w:hAnsi="Arial"/>
          <w:bCs/>
          <w:lang w:val="es-ES_tradnl"/>
        </w:rPr>
        <w:t xml:space="preserve">Para la Sala, lo primero que debe tenerse en cuenta es que el contenido del artículo 10 de la Ley 1333 de 2009 </w:t>
      </w:r>
      <w:r w:rsidRPr="00FC1F98">
        <w:rPr>
          <w:rFonts w:ascii="Arial" w:hAnsi="Arial"/>
          <w:bCs/>
          <w:i/>
          <w:iCs/>
          <w:lang w:val="es-ES_tradnl"/>
        </w:rPr>
        <w:t>“</w:t>
      </w:r>
      <w:r w:rsidRPr="00FC1F98">
        <w:rPr>
          <w:rFonts w:ascii="Arial" w:hAnsi="Arial"/>
          <w:bCs/>
          <w:i/>
          <w:iCs/>
          <w:sz w:val="22"/>
          <w:szCs w:val="22"/>
          <w:lang w:val="es-ES_tradnl"/>
        </w:rPr>
        <w:t>P</w:t>
      </w:r>
      <w:proofErr w:type="spellStart"/>
      <w:r w:rsidRPr="00FC1F98">
        <w:rPr>
          <w:rFonts w:ascii="Arial" w:hAnsi="Arial"/>
          <w:i/>
          <w:iCs/>
          <w:sz w:val="22"/>
          <w:szCs w:val="22"/>
        </w:rPr>
        <w:t>or</w:t>
      </w:r>
      <w:proofErr w:type="spellEnd"/>
      <w:r w:rsidRPr="00FC1F98">
        <w:rPr>
          <w:rFonts w:ascii="Arial" w:hAnsi="Arial"/>
          <w:i/>
          <w:iCs/>
          <w:sz w:val="22"/>
          <w:szCs w:val="22"/>
        </w:rPr>
        <w:t xml:space="preserve"> la cual se establece el procedimiento sancionatorio ambiental y se dictan otras disposiciones”,</w:t>
      </w:r>
      <w:r w:rsidRPr="00FC1F98">
        <w:rPr>
          <w:rFonts w:ascii="Arial" w:hAnsi="Arial"/>
          <w:i/>
          <w:iCs/>
        </w:rPr>
        <w:t xml:space="preserve"> </w:t>
      </w:r>
      <w:r w:rsidRPr="00FC1F98">
        <w:rPr>
          <w:rFonts w:ascii="Arial" w:hAnsi="Arial"/>
        </w:rPr>
        <w:t>si bien estable</w:t>
      </w:r>
      <w:r w:rsidR="00120ECF" w:rsidRPr="00FC1F98">
        <w:rPr>
          <w:rFonts w:ascii="Arial" w:hAnsi="Arial"/>
        </w:rPr>
        <w:t>ce</w:t>
      </w:r>
      <w:r w:rsidRPr="00FC1F98">
        <w:rPr>
          <w:rFonts w:ascii="Arial" w:hAnsi="Arial"/>
        </w:rPr>
        <w:t xml:space="preserve"> el t</w:t>
      </w:r>
      <w:r w:rsidR="003053C6" w:rsidRPr="00FC1F98">
        <w:rPr>
          <w:rFonts w:ascii="Arial" w:hAnsi="Arial"/>
        </w:rPr>
        <w:t>é</w:t>
      </w:r>
      <w:r w:rsidRPr="00FC1F98">
        <w:rPr>
          <w:rFonts w:ascii="Arial" w:hAnsi="Arial"/>
        </w:rPr>
        <w:t xml:space="preserve">rmino de caducidad de 20 años, dicha figura se encuentra prevista en el marco del proceso sancionatorio ambiental, el cual es ajeno al estudio que </w:t>
      </w:r>
      <w:r w:rsidRPr="00C0402F">
        <w:rPr>
          <w:rFonts w:ascii="Arial" w:hAnsi="Arial"/>
        </w:rPr>
        <w:t>debe abordase en el medio de control de reparación directa</w:t>
      </w:r>
      <w:r w:rsidR="00120ECF" w:rsidRPr="00C0402F">
        <w:rPr>
          <w:rFonts w:ascii="Arial" w:hAnsi="Arial"/>
        </w:rPr>
        <w:t>, trámite para el cual,</w:t>
      </w:r>
      <w:r w:rsidR="005C22F4" w:rsidRPr="00C0402F">
        <w:rPr>
          <w:rFonts w:ascii="Arial" w:hAnsi="Arial"/>
        </w:rPr>
        <w:t xml:space="preserve"> </w:t>
      </w:r>
      <w:r w:rsidRPr="00C0402F">
        <w:rPr>
          <w:rFonts w:ascii="Arial" w:hAnsi="Arial"/>
        </w:rPr>
        <w:t xml:space="preserve">la norma aplicable es </w:t>
      </w:r>
      <w:r w:rsidR="00C70FE7" w:rsidRPr="00C0402F">
        <w:rPr>
          <w:rFonts w:ascii="Arial" w:hAnsi="Arial"/>
        </w:rPr>
        <w:t xml:space="preserve">el </w:t>
      </w:r>
      <w:bookmarkStart w:id="12" w:name="_Hlk66956576"/>
      <w:r w:rsidR="00C70FE7" w:rsidRPr="00C0402F">
        <w:rPr>
          <w:rFonts w:ascii="Arial" w:hAnsi="Arial"/>
        </w:rPr>
        <w:t xml:space="preserve">artículo 136 numeral 8° </w:t>
      </w:r>
      <w:bookmarkEnd w:id="12"/>
      <w:r w:rsidR="00C70FE7" w:rsidRPr="00C0402F">
        <w:rPr>
          <w:rFonts w:ascii="Arial" w:hAnsi="Arial"/>
        </w:rPr>
        <w:t xml:space="preserve">del CCA vigente </w:t>
      </w:r>
      <w:r w:rsidR="00C0402F" w:rsidRPr="00C0402F">
        <w:rPr>
          <w:rFonts w:ascii="Arial" w:hAnsi="Arial"/>
        </w:rPr>
        <w:t>en</w:t>
      </w:r>
      <w:r w:rsidR="00C70FE7" w:rsidRPr="00C0402F">
        <w:rPr>
          <w:rFonts w:ascii="Arial" w:hAnsi="Arial"/>
        </w:rPr>
        <w:t xml:space="preserve"> la época en la que se presentó la demanda,</w:t>
      </w:r>
      <w:r w:rsidR="00C0402F" w:rsidRPr="00C0402F">
        <w:rPr>
          <w:rFonts w:ascii="Arial" w:hAnsi="Arial"/>
        </w:rPr>
        <w:t xml:space="preserve"> esto es, </w:t>
      </w:r>
      <w:r w:rsidR="00C70FE7" w:rsidRPr="00C0402F">
        <w:rPr>
          <w:rFonts w:ascii="Arial" w:hAnsi="Arial"/>
        </w:rPr>
        <w:t>el 18 de agosto de 2011,</w:t>
      </w:r>
      <w:r w:rsidR="00C70FE7" w:rsidRPr="00C0402F">
        <w:rPr>
          <w:rStyle w:val="Refdenotaalpie"/>
          <w:rFonts w:ascii="Arial" w:hAnsi="Arial"/>
        </w:rPr>
        <w:footnoteReference w:id="80"/>
      </w:r>
      <w:r w:rsidR="00C70FE7" w:rsidRPr="00C0402F">
        <w:rPr>
          <w:rFonts w:ascii="Arial" w:hAnsi="Arial"/>
        </w:rPr>
        <w:t xml:space="preserve"> que </w:t>
      </w:r>
      <w:r w:rsidR="00C70FE7" w:rsidRPr="00C0402F">
        <w:rPr>
          <w:rFonts w:ascii="Arial" w:eastAsia="Times New Roman" w:hAnsi="Arial"/>
          <w:lang w:val="es-CO"/>
        </w:rPr>
        <w:t>prevé:</w:t>
      </w:r>
    </w:p>
    <w:p w14:paraId="067BC62B" w14:textId="77777777" w:rsidR="00C70FE7" w:rsidRPr="00C0402F" w:rsidRDefault="00C70FE7" w:rsidP="00C70FE7">
      <w:pPr>
        <w:ind w:left="567"/>
        <w:rPr>
          <w:rFonts w:ascii="Arial" w:eastAsia="Times New Roman" w:hAnsi="Arial"/>
          <w:lang w:val="es-CO"/>
        </w:rPr>
      </w:pPr>
    </w:p>
    <w:p w14:paraId="556E121F" w14:textId="6040CAFD" w:rsidR="00C70FE7" w:rsidRPr="00C0402F" w:rsidRDefault="00C70FE7" w:rsidP="00C0402F">
      <w:pPr>
        <w:ind w:left="567"/>
        <w:rPr>
          <w:rFonts w:ascii="Arial" w:eastAsia="Times New Roman" w:hAnsi="Arial"/>
          <w:sz w:val="22"/>
          <w:szCs w:val="22"/>
          <w:lang w:val="es-CO"/>
        </w:rPr>
      </w:pPr>
      <w:r w:rsidRPr="00C0402F">
        <w:rPr>
          <w:rFonts w:ascii="Arial" w:eastAsia="Times New Roman" w:hAnsi="Arial"/>
          <w:sz w:val="22"/>
          <w:szCs w:val="22"/>
          <w:lang w:val="es-CO"/>
        </w:rPr>
        <w:t>“La de reparación directa caducará al vencimiento del plazo de dos (2) años, contados a partir del día siguiente del acaecimiento del hecho, omisión u operación administrativa o de ocurrida la ocupación temporal o permanente del inmueble de propiedad ajena por causa de trabajo público o por cualquiera otra causa”.</w:t>
      </w:r>
    </w:p>
    <w:p w14:paraId="30B83C01" w14:textId="26E2C204" w:rsidR="00937A29" w:rsidRPr="00C0402F" w:rsidRDefault="00937A29" w:rsidP="00C70FE7">
      <w:pPr>
        <w:ind w:left="567"/>
        <w:rPr>
          <w:rFonts w:ascii="Arial" w:eastAsia="Times New Roman" w:hAnsi="Arial"/>
          <w:sz w:val="22"/>
          <w:szCs w:val="22"/>
          <w:lang w:val="es-CO"/>
        </w:rPr>
      </w:pPr>
    </w:p>
    <w:p w14:paraId="6439CA26" w14:textId="42C99C49" w:rsidR="00937A29" w:rsidRPr="00937A29" w:rsidRDefault="00937A29" w:rsidP="00937A29">
      <w:pPr>
        <w:spacing w:line="276" w:lineRule="auto"/>
        <w:rPr>
          <w:rFonts w:ascii="Arial" w:eastAsia="Times New Roman" w:hAnsi="Arial"/>
          <w:lang w:val="es-CO"/>
        </w:rPr>
      </w:pPr>
      <w:r w:rsidRPr="00C0402F">
        <w:rPr>
          <w:rFonts w:ascii="Arial" w:eastAsia="Times New Roman" w:hAnsi="Arial"/>
          <w:lang w:val="es-CO"/>
        </w:rPr>
        <w:lastRenderedPageBreak/>
        <w:t xml:space="preserve">Así las cosas, no puede desconocerse el principio de legalidad, sobre el que se cimenta el ordenamiento jurídico, pues </w:t>
      </w:r>
      <w:r w:rsidR="00C0402F">
        <w:rPr>
          <w:rFonts w:ascii="Arial" w:eastAsia="Times New Roman" w:hAnsi="Arial"/>
          <w:lang w:val="es-CO"/>
        </w:rPr>
        <w:t xml:space="preserve">se reitera que </w:t>
      </w:r>
      <w:r w:rsidRPr="00C0402F">
        <w:rPr>
          <w:rFonts w:ascii="Arial" w:eastAsia="Times New Roman" w:hAnsi="Arial"/>
          <w:lang w:val="es-CO"/>
        </w:rPr>
        <w:t>para la época en la que se interpuso la demanda, la norma aplicable era el Código Contencioso Administrativo, en tratándose de la acción de reparación directa.</w:t>
      </w:r>
    </w:p>
    <w:p w14:paraId="14CEE7FA" w14:textId="60A614FF" w:rsidR="002741D1" w:rsidRPr="00FC1F98" w:rsidRDefault="002741D1" w:rsidP="00843B73">
      <w:pPr>
        <w:spacing w:line="276" w:lineRule="auto"/>
        <w:rPr>
          <w:rFonts w:ascii="Arial" w:hAnsi="Arial"/>
          <w:bCs/>
          <w:lang w:val="es-ES_tradnl"/>
        </w:rPr>
      </w:pPr>
    </w:p>
    <w:p w14:paraId="67B09614" w14:textId="2A52CBDA" w:rsidR="00253892" w:rsidRPr="00FC1F98" w:rsidRDefault="00977CAD" w:rsidP="00843B73">
      <w:pPr>
        <w:spacing w:line="276" w:lineRule="auto"/>
        <w:rPr>
          <w:rFonts w:ascii="Arial" w:hAnsi="Arial"/>
          <w:bCs/>
          <w:lang w:val="es-ES_tradnl"/>
        </w:rPr>
      </w:pPr>
      <w:bookmarkStart w:id="13" w:name="_Hlk66349266"/>
      <w:r w:rsidRPr="00FC1F98">
        <w:rPr>
          <w:rFonts w:ascii="Arial" w:hAnsi="Arial"/>
          <w:bCs/>
          <w:lang w:val="es-ES_tradnl"/>
        </w:rPr>
        <w:t>Ahora, e</w:t>
      </w:r>
      <w:r w:rsidR="00253892" w:rsidRPr="00FC1F98">
        <w:rPr>
          <w:rFonts w:ascii="Arial" w:hAnsi="Arial"/>
          <w:bCs/>
          <w:lang w:val="es-ES_tradnl"/>
        </w:rPr>
        <w:t>l Tribunal, adujo como tesis argumentativa que:</w:t>
      </w:r>
    </w:p>
    <w:p w14:paraId="021DD6EB" w14:textId="77777777" w:rsidR="00253892" w:rsidRPr="00FC1F98" w:rsidRDefault="00253892" w:rsidP="00843B73">
      <w:pPr>
        <w:spacing w:line="276" w:lineRule="auto"/>
        <w:rPr>
          <w:rFonts w:ascii="Arial" w:hAnsi="Arial"/>
          <w:bCs/>
          <w:lang w:val="es-ES_tradnl"/>
        </w:rPr>
      </w:pPr>
    </w:p>
    <w:p w14:paraId="5E8056CC" w14:textId="6DFB95E4" w:rsidR="002741D1" w:rsidRPr="00FC1F98" w:rsidRDefault="00253892" w:rsidP="00783BC8">
      <w:pPr>
        <w:ind w:left="567"/>
        <w:rPr>
          <w:rFonts w:ascii="Arial" w:hAnsi="Arial"/>
          <w:bCs/>
          <w:sz w:val="22"/>
          <w:szCs w:val="22"/>
          <w:lang w:val="es-ES_tradnl"/>
        </w:rPr>
      </w:pPr>
      <w:r w:rsidRPr="00FC1F98">
        <w:rPr>
          <w:rFonts w:ascii="Arial" w:hAnsi="Arial"/>
          <w:bCs/>
          <w:lang w:val="es-ES_tradnl"/>
        </w:rPr>
        <w:t xml:space="preserve"> </w:t>
      </w:r>
      <w:r w:rsidRPr="00FC1F98">
        <w:rPr>
          <w:rFonts w:ascii="Arial" w:hAnsi="Arial"/>
          <w:bCs/>
          <w:sz w:val="22"/>
          <w:szCs w:val="22"/>
          <w:lang w:val="es-ES_tradnl"/>
        </w:rPr>
        <w:t>“</w:t>
      </w:r>
      <w:r w:rsidR="00783BC8" w:rsidRPr="00FC1F98">
        <w:rPr>
          <w:rFonts w:ascii="Arial" w:hAnsi="Arial"/>
          <w:bCs/>
          <w:sz w:val="22"/>
          <w:szCs w:val="22"/>
          <w:lang w:val="es-ES_tradnl"/>
        </w:rPr>
        <w:t>D</w:t>
      </w:r>
      <w:r w:rsidRPr="00FC1F98">
        <w:rPr>
          <w:rFonts w:ascii="Arial" w:hAnsi="Arial"/>
          <w:bCs/>
          <w:sz w:val="22"/>
          <w:szCs w:val="22"/>
          <w:lang w:val="es-ES_tradnl"/>
        </w:rPr>
        <w:t xml:space="preserve">e acuerdo con las pruebas recaudadas en el proceso, la Sala encuentra </w:t>
      </w:r>
      <w:proofErr w:type="gramStart"/>
      <w:r w:rsidRPr="00FC1F98">
        <w:rPr>
          <w:rFonts w:ascii="Arial" w:hAnsi="Arial"/>
          <w:bCs/>
          <w:sz w:val="22"/>
          <w:szCs w:val="22"/>
          <w:lang w:val="es-ES_tradnl"/>
        </w:rPr>
        <w:t>que</w:t>
      </w:r>
      <w:proofErr w:type="gramEnd"/>
      <w:r w:rsidRPr="00FC1F98">
        <w:rPr>
          <w:rFonts w:ascii="Arial" w:hAnsi="Arial"/>
          <w:bCs/>
          <w:sz w:val="22"/>
          <w:szCs w:val="22"/>
          <w:lang w:val="es-ES_tradnl"/>
        </w:rPr>
        <w:t xml:space="preserve"> en este caso, el daño se consolidó en el año 2005 de forma </w:t>
      </w:r>
      <w:r w:rsidR="00783BC8" w:rsidRPr="00FC1F98">
        <w:rPr>
          <w:rFonts w:ascii="Arial" w:hAnsi="Arial"/>
          <w:bCs/>
          <w:sz w:val="22"/>
          <w:szCs w:val="22"/>
          <w:lang w:val="es-ES_tradnl"/>
        </w:rPr>
        <w:t>instantánea</w:t>
      </w:r>
      <w:r w:rsidRPr="00FC1F98">
        <w:rPr>
          <w:rFonts w:ascii="Arial" w:hAnsi="Arial"/>
          <w:bCs/>
          <w:sz w:val="22"/>
          <w:szCs w:val="22"/>
          <w:lang w:val="es-ES_tradnl"/>
        </w:rPr>
        <w:t xml:space="preserve">, aun cuando </w:t>
      </w:r>
      <w:r w:rsidR="00783BC8" w:rsidRPr="00FC1F98">
        <w:rPr>
          <w:rFonts w:ascii="Arial" w:hAnsi="Arial"/>
          <w:bCs/>
          <w:sz w:val="22"/>
          <w:szCs w:val="22"/>
          <w:lang w:val="es-ES_tradnl"/>
        </w:rPr>
        <w:t>s</w:t>
      </w:r>
      <w:r w:rsidRPr="00FC1F98">
        <w:rPr>
          <w:rFonts w:ascii="Arial" w:hAnsi="Arial"/>
          <w:bCs/>
          <w:sz w:val="22"/>
          <w:szCs w:val="22"/>
          <w:lang w:val="es-ES_tradnl"/>
        </w:rPr>
        <w:t xml:space="preserve">us </w:t>
      </w:r>
      <w:r w:rsidR="00783BC8" w:rsidRPr="00FC1F98">
        <w:rPr>
          <w:rFonts w:ascii="Arial" w:hAnsi="Arial"/>
          <w:bCs/>
          <w:sz w:val="22"/>
          <w:szCs w:val="22"/>
          <w:lang w:val="es-ES_tradnl"/>
        </w:rPr>
        <w:t>efectos</w:t>
      </w:r>
      <w:r w:rsidRPr="00FC1F98">
        <w:rPr>
          <w:rFonts w:ascii="Arial" w:hAnsi="Arial"/>
          <w:bCs/>
          <w:sz w:val="22"/>
          <w:szCs w:val="22"/>
          <w:lang w:val="es-ES_tradnl"/>
        </w:rPr>
        <w:t xml:space="preserve"> pe</w:t>
      </w:r>
      <w:r w:rsidR="00D03442" w:rsidRPr="00FC1F98">
        <w:rPr>
          <w:rFonts w:ascii="Arial" w:hAnsi="Arial"/>
          <w:bCs/>
          <w:sz w:val="22"/>
          <w:szCs w:val="22"/>
          <w:lang w:val="es-ES_tradnl"/>
        </w:rPr>
        <w:t>r</w:t>
      </w:r>
      <w:r w:rsidRPr="00FC1F98">
        <w:rPr>
          <w:rFonts w:ascii="Arial" w:hAnsi="Arial"/>
          <w:bCs/>
          <w:sz w:val="22"/>
          <w:szCs w:val="22"/>
          <w:lang w:val="es-ES_tradnl"/>
        </w:rPr>
        <w:t>judiciales se prologaron y</w:t>
      </w:r>
      <w:r w:rsidR="006F7F9B" w:rsidRPr="00FC1F98">
        <w:rPr>
          <w:rFonts w:ascii="Arial" w:hAnsi="Arial"/>
          <w:bCs/>
          <w:sz w:val="22"/>
          <w:szCs w:val="22"/>
          <w:lang w:val="es-ES_tradnl"/>
        </w:rPr>
        <w:t xml:space="preserve"> </w:t>
      </w:r>
      <w:r w:rsidRPr="00FC1F98">
        <w:rPr>
          <w:rFonts w:ascii="Arial" w:hAnsi="Arial"/>
          <w:bCs/>
          <w:sz w:val="22"/>
          <w:szCs w:val="22"/>
          <w:lang w:val="es-ES_tradnl"/>
        </w:rPr>
        <w:t xml:space="preserve">agravaron en el tiempo, por esta razón, la demanda </w:t>
      </w:r>
      <w:r w:rsidR="00783BC8" w:rsidRPr="00FC1F98">
        <w:rPr>
          <w:rFonts w:ascii="Arial" w:hAnsi="Arial"/>
          <w:bCs/>
          <w:sz w:val="22"/>
          <w:szCs w:val="22"/>
          <w:lang w:val="es-ES_tradnl"/>
        </w:rPr>
        <w:t>f</w:t>
      </w:r>
      <w:r w:rsidRPr="00FC1F98">
        <w:rPr>
          <w:rFonts w:ascii="Arial" w:hAnsi="Arial"/>
          <w:bCs/>
          <w:sz w:val="22"/>
          <w:szCs w:val="22"/>
          <w:lang w:val="es-ES_tradnl"/>
        </w:rPr>
        <w:t xml:space="preserve">ue </w:t>
      </w:r>
      <w:r w:rsidR="00783BC8" w:rsidRPr="00FC1F98">
        <w:rPr>
          <w:rFonts w:ascii="Arial" w:hAnsi="Arial"/>
          <w:bCs/>
          <w:sz w:val="22"/>
          <w:szCs w:val="22"/>
          <w:lang w:val="es-ES_tradnl"/>
        </w:rPr>
        <w:t xml:space="preserve">interpuesta </w:t>
      </w:r>
      <w:r w:rsidRPr="00FC1F98">
        <w:rPr>
          <w:rFonts w:ascii="Arial" w:hAnsi="Arial"/>
          <w:bCs/>
          <w:sz w:val="22"/>
          <w:szCs w:val="22"/>
          <w:lang w:val="es-ES_tradnl"/>
        </w:rPr>
        <w:t xml:space="preserve">de </w:t>
      </w:r>
      <w:r w:rsidR="00783BC8" w:rsidRPr="00FC1F98">
        <w:rPr>
          <w:rFonts w:ascii="Arial" w:hAnsi="Arial"/>
          <w:bCs/>
          <w:sz w:val="22"/>
          <w:szCs w:val="22"/>
          <w:lang w:val="es-ES_tradnl"/>
        </w:rPr>
        <w:t>manera</w:t>
      </w:r>
      <w:r w:rsidRPr="00FC1F98">
        <w:rPr>
          <w:rFonts w:ascii="Arial" w:hAnsi="Arial"/>
          <w:bCs/>
          <w:sz w:val="22"/>
          <w:szCs w:val="22"/>
          <w:lang w:val="es-ES_tradnl"/>
        </w:rPr>
        <w:t xml:space="preserve"> </w:t>
      </w:r>
      <w:r w:rsidR="00783BC8" w:rsidRPr="00FC1F98">
        <w:rPr>
          <w:rFonts w:ascii="Arial" w:hAnsi="Arial"/>
          <w:bCs/>
          <w:sz w:val="22"/>
          <w:szCs w:val="22"/>
          <w:lang w:val="es-ES_tradnl"/>
        </w:rPr>
        <w:t>extemporánea</w:t>
      </w:r>
      <w:r w:rsidRPr="00FC1F98">
        <w:rPr>
          <w:rFonts w:ascii="Arial" w:hAnsi="Arial"/>
          <w:bCs/>
          <w:sz w:val="22"/>
          <w:szCs w:val="22"/>
          <w:lang w:val="es-ES_tradnl"/>
        </w:rPr>
        <w:t>.</w:t>
      </w:r>
    </w:p>
    <w:p w14:paraId="510F2817" w14:textId="4D81CCDA" w:rsidR="00253892" w:rsidRPr="00FC1F98" w:rsidRDefault="00253892" w:rsidP="00783BC8">
      <w:pPr>
        <w:ind w:left="567"/>
        <w:rPr>
          <w:rFonts w:ascii="Arial" w:hAnsi="Arial"/>
          <w:bCs/>
          <w:sz w:val="22"/>
          <w:szCs w:val="22"/>
          <w:lang w:val="es-ES_tradnl"/>
        </w:rPr>
      </w:pPr>
    </w:p>
    <w:p w14:paraId="6BFE78D6" w14:textId="1D7B2121" w:rsidR="00D54BEF" w:rsidRPr="00650CCD" w:rsidRDefault="00253892" w:rsidP="00D54BEF">
      <w:pPr>
        <w:ind w:left="567"/>
        <w:rPr>
          <w:rFonts w:ascii="Arial" w:hAnsi="Arial"/>
          <w:bCs/>
          <w:sz w:val="22"/>
          <w:szCs w:val="22"/>
          <w:lang w:val="es-ES_tradnl"/>
        </w:rPr>
      </w:pPr>
      <w:r w:rsidRPr="00FC1F98">
        <w:rPr>
          <w:rFonts w:ascii="Arial" w:hAnsi="Arial"/>
          <w:bCs/>
          <w:sz w:val="22"/>
          <w:szCs w:val="22"/>
          <w:lang w:val="es-ES_tradnl"/>
        </w:rPr>
        <w:t xml:space="preserve">Incluso si se aceptara que el daño es de </w:t>
      </w:r>
      <w:r w:rsidR="00783BC8" w:rsidRPr="00FC1F98">
        <w:rPr>
          <w:rFonts w:ascii="Arial" w:hAnsi="Arial"/>
          <w:bCs/>
          <w:sz w:val="22"/>
          <w:szCs w:val="22"/>
          <w:lang w:val="es-ES_tradnl"/>
        </w:rPr>
        <w:t>carácter</w:t>
      </w:r>
      <w:r w:rsidRPr="00FC1F98">
        <w:rPr>
          <w:rFonts w:ascii="Arial" w:hAnsi="Arial"/>
          <w:bCs/>
          <w:sz w:val="22"/>
          <w:szCs w:val="22"/>
          <w:lang w:val="es-ES_tradnl"/>
        </w:rPr>
        <w:t xml:space="preserve"> </w:t>
      </w:r>
      <w:r w:rsidR="00783BC8" w:rsidRPr="00FC1F98">
        <w:rPr>
          <w:rFonts w:ascii="Arial" w:hAnsi="Arial"/>
          <w:bCs/>
          <w:sz w:val="22"/>
          <w:szCs w:val="22"/>
          <w:lang w:val="es-ES_tradnl"/>
        </w:rPr>
        <w:t>continuado</w:t>
      </w:r>
      <w:r w:rsidRPr="00FC1F98">
        <w:rPr>
          <w:rFonts w:ascii="Arial" w:hAnsi="Arial"/>
          <w:bCs/>
          <w:sz w:val="22"/>
          <w:szCs w:val="22"/>
          <w:lang w:val="es-ES_tradnl"/>
        </w:rPr>
        <w:t xml:space="preserve">, </w:t>
      </w:r>
      <w:r w:rsidR="00783BC8" w:rsidRPr="00FC1F98">
        <w:rPr>
          <w:rFonts w:ascii="Arial" w:hAnsi="Arial"/>
          <w:bCs/>
          <w:sz w:val="22"/>
          <w:szCs w:val="22"/>
          <w:lang w:val="es-ES_tradnl"/>
        </w:rPr>
        <w:t>t</w:t>
      </w:r>
      <w:r w:rsidRPr="00FC1F98">
        <w:rPr>
          <w:rFonts w:ascii="Arial" w:hAnsi="Arial"/>
          <w:bCs/>
          <w:sz w:val="22"/>
          <w:szCs w:val="22"/>
          <w:lang w:val="es-ES_tradnl"/>
        </w:rPr>
        <w:t xml:space="preserve">endría que </w:t>
      </w:r>
      <w:r w:rsidR="00783BC8" w:rsidRPr="00FC1F98">
        <w:rPr>
          <w:rFonts w:ascii="Arial" w:hAnsi="Arial"/>
          <w:bCs/>
          <w:sz w:val="22"/>
          <w:szCs w:val="22"/>
          <w:lang w:val="es-ES_tradnl"/>
        </w:rPr>
        <w:t>concluirse</w:t>
      </w:r>
      <w:r w:rsidRPr="00FC1F98">
        <w:rPr>
          <w:rFonts w:ascii="Arial" w:hAnsi="Arial"/>
          <w:bCs/>
          <w:sz w:val="22"/>
          <w:szCs w:val="22"/>
          <w:lang w:val="es-ES_tradnl"/>
        </w:rPr>
        <w:t xml:space="preserve"> q</w:t>
      </w:r>
      <w:r w:rsidR="00783BC8" w:rsidRPr="00FC1F98">
        <w:rPr>
          <w:rFonts w:ascii="Arial" w:hAnsi="Arial"/>
          <w:bCs/>
          <w:sz w:val="22"/>
          <w:szCs w:val="22"/>
          <w:lang w:val="es-ES_tradnl"/>
        </w:rPr>
        <w:t>u</w:t>
      </w:r>
      <w:r w:rsidRPr="00FC1F98">
        <w:rPr>
          <w:rFonts w:ascii="Arial" w:hAnsi="Arial"/>
          <w:bCs/>
          <w:sz w:val="22"/>
          <w:szCs w:val="22"/>
          <w:lang w:val="es-ES_tradnl"/>
        </w:rPr>
        <w:t xml:space="preserve">e la acción </w:t>
      </w:r>
      <w:r w:rsidR="00783BC8" w:rsidRPr="00FC1F98">
        <w:rPr>
          <w:rFonts w:ascii="Arial" w:hAnsi="Arial"/>
          <w:bCs/>
          <w:sz w:val="22"/>
          <w:szCs w:val="22"/>
          <w:lang w:val="es-ES_tradnl"/>
        </w:rPr>
        <w:t>vulnerante</w:t>
      </w:r>
      <w:r w:rsidRPr="00FC1F98">
        <w:rPr>
          <w:rFonts w:ascii="Arial" w:hAnsi="Arial"/>
          <w:bCs/>
          <w:sz w:val="22"/>
          <w:szCs w:val="22"/>
          <w:lang w:val="es-ES_tradnl"/>
        </w:rPr>
        <w:t xml:space="preserve"> cesó en el año 2008, lo cual implicaría que, al </w:t>
      </w:r>
      <w:r w:rsidR="00783BC8" w:rsidRPr="00FC1F98">
        <w:rPr>
          <w:rFonts w:ascii="Arial" w:hAnsi="Arial"/>
          <w:bCs/>
          <w:sz w:val="22"/>
          <w:szCs w:val="22"/>
          <w:lang w:val="es-ES_tradnl"/>
        </w:rPr>
        <w:t>formularse</w:t>
      </w:r>
      <w:r w:rsidRPr="00FC1F98">
        <w:rPr>
          <w:rFonts w:ascii="Arial" w:hAnsi="Arial"/>
          <w:bCs/>
          <w:sz w:val="22"/>
          <w:szCs w:val="22"/>
          <w:lang w:val="es-ES_tradnl"/>
        </w:rPr>
        <w:t xml:space="preserve"> la demanda, en el (sic) </w:t>
      </w:r>
      <w:r w:rsidRPr="00650CCD">
        <w:rPr>
          <w:rFonts w:ascii="Arial" w:hAnsi="Arial"/>
          <w:bCs/>
          <w:sz w:val="22"/>
          <w:szCs w:val="22"/>
          <w:lang w:val="es-ES_tradnl"/>
        </w:rPr>
        <w:t xml:space="preserve">18 de agosto de 2011, ya </w:t>
      </w:r>
      <w:r w:rsidR="00783BC8" w:rsidRPr="00650CCD">
        <w:rPr>
          <w:rFonts w:ascii="Arial" w:hAnsi="Arial"/>
          <w:bCs/>
          <w:sz w:val="22"/>
          <w:szCs w:val="22"/>
          <w:lang w:val="es-ES_tradnl"/>
        </w:rPr>
        <w:t>había</w:t>
      </w:r>
      <w:r w:rsidRPr="00650CCD">
        <w:rPr>
          <w:rFonts w:ascii="Arial" w:hAnsi="Arial"/>
          <w:bCs/>
          <w:sz w:val="22"/>
          <w:szCs w:val="22"/>
          <w:lang w:val="es-ES_tradnl"/>
        </w:rPr>
        <w:t xml:space="preserve"> fenecido la oportunidad para acudir a la ju</w:t>
      </w:r>
      <w:r w:rsidR="00783BC8" w:rsidRPr="00650CCD">
        <w:rPr>
          <w:rFonts w:ascii="Arial" w:hAnsi="Arial"/>
          <w:bCs/>
          <w:sz w:val="22"/>
          <w:szCs w:val="22"/>
          <w:lang w:val="es-ES_tradnl"/>
        </w:rPr>
        <w:t>r</w:t>
      </w:r>
      <w:r w:rsidRPr="00650CCD">
        <w:rPr>
          <w:rFonts w:ascii="Arial" w:hAnsi="Arial"/>
          <w:bCs/>
          <w:sz w:val="22"/>
          <w:szCs w:val="22"/>
          <w:lang w:val="es-ES_tradnl"/>
        </w:rPr>
        <w:t>isdicción</w:t>
      </w:r>
      <w:r w:rsidR="00783BC8" w:rsidRPr="00650CCD">
        <w:rPr>
          <w:rFonts w:ascii="Arial" w:hAnsi="Arial"/>
          <w:bCs/>
          <w:sz w:val="22"/>
          <w:szCs w:val="22"/>
          <w:lang w:val="es-ES_tradnl"/>
        </w:rPr>
        <w:t>.</w:t>
      </w:r>
      <w:r w:rsidRPr="00650CCD">
        <w:rPr>
          <w:rFonts w:ascii="Arial" w:hAnsi="Arial"/>
          <w:bCs/>
          <w:sz w:val="22"/>
          <w:szCs w:val="22"/>
          <w:lang w:val="es-ES_tradnl"/>
        </w:rPr>
        <w:t>”</w:t>
      </w:r>
    </w:p>
    <w:p w14:paraId="17B2BECA" w14:textId="77777777" w:rsidR="005C22F4" w:rsidRPr="00650CCD" w:rsidRDefault="005C22F4" w:rsidP="00D54BEF">
      <w:pPr>
        <w:ind w:left="567"/>
        <w:rPr>
          <w:rFonts w:ascii="Arial" w:eastAsia="Times New Roman" w:hAnsi="Arial"/>
          <w:sz w:val="22"/>
          <w:szCs w:val="22"/>
          <w:lang w:val="es-CO"/>
        </w:rPr>
      </w:pPr>
    </w:p>
    <w:p w14:paraId="0A3509D0" w14:textId="350B0A33" w:rsidR="00D67CF9" w:rsidRPr="00650CCD" w:rsidRDefault="00C70FE7" w:rsidP="00C70FE7">
      <w:pPr>
        <w:spacing w:line="276" w:lineRule="auto"/>
        <w:rPr>
          <w:rFonts w:ascii="Arial" w:eastAsia="Times New Roman" w:hAnsi="Arial"/>
          <w:lang w:val="es-CO"/>
        </w:rPr>
      </w:pPr>
      <w:r w:rsidRPr="00650CCD">
        <w:rPr>
          <w:rFonts w:ascii="Arial" w:eastAsia="Times New Roman" w:hAnsi="Arial"/>
          <w:lang w:val="es-CO"/>
        </w:rPr>
        <w:t xml:space="preserve">Lo anterior, </w:t>
      </w:r>
      <w:r w:rsidR="003726FE" w:rsidRPr="00650CCD">
        <w:rPr>
          <w:rFonts w:ascii="Arial" w:eastAsia="Times New Roman" w:hAnsi="Arial"/>
          <w:lang w:val="es-CO"/>
        </w:rPr>
        <w:t xml:space="preserve">por cuanto </w:t>
      </w:r>
      <w:r w:rsidRPr="00650CCD">
        <w:rPr>
          <w:rFonts w:ascii="Arial" w:eastAsia="Times New Roman" w:hAnsi="Arial"/>
          <w:lang w:val="es-CO"/>
        </w:rPr>
        <w:t xml:space="preserve">del análisis probatorio que realizó </w:t>
      </w:r>
      <w:r w:rsidR="003726FE" w:rsidRPr="00650CCD">
        <w:rPr>
          <w:rFonts w:ascii="Arial" w:eastAsia="Times New Roman" w:hAnsi="Arial"/>
          <w:lang w:val="es-CO"/>
        </w:rPr>
        <w:t>el Tribuna</w:t>
      </w:r>
      <w:r w:rsidR="00AE6320" w:rsidRPr="00650CCD">
        <w:rPr>
          <w:rFonts w:ascii="Arial" w:eastAsia="Times New Roman" w:hAnsi="Arial"/>
          <w:lang w:val="es-CO"/>
        </w:rPr>
        <w:t>l</w:t>
      </w:r>
      <w:r w:rsidR="003726FE" w:rsidRPr="00650CCD">
        <w:rPr>
          <w:rFonts w:ascii="Arial" w:eastAsia="Times New Roman" w:hAnsi="Arial"/>
          <w:lang w:val="es-CO"/>
        </w:rPr>
        <w:t xml:space="preserve">, </w:t>
      </w:r>
      <w:r w:rsidRPr="00650CCD">
        <w:rPr>
          <w:rFonts w:ascii="Arial" w:eastAsia="Times New Roman" w:hAnsi="Arial"/>
          <w:lang w:val="es-CO"/>
        </w:rPr>
        <w:t xml:space="preserve">encontró acreditado que </w:t>
      </w:r>
      <w:r w:rsidR="003726FE" w:rsidRPr="00650CCD">
        <w:rPr>
          <w:rFonts w:ascii="Arial" w:eastAsia="Times New Roman" w:hAnsi="Arial"/>
          <w:lang w:val="es-CO"/>
        </w:rPr>
        <w:t>las afectaciones a las viviendas y al subsuelo, en la Vereda El Volcán del municipio de Paipa, ocasionadas en virtud de</w:t>
      </w:r>
      <w:r w:rsidR="00AE6320" w:rsidRPr="00650CCD">
        <w:rPr>
          <w:rFonts w:ascii="Arial" w:eastAsia="Times New Roman" w:hAnsi="Arial"/>
          <w:lang w:val="es-CO"/>
        </w:rPr>
        <w:t xml:space="preserve"> la </w:t>
      </w:r>
      <w:r w:rsidR="003726FE" w:rsidRPr="00650CCD">
        <w:rPr>
          <w:rFonts w:ascii="Arial" w:eastAsia="Times New Roman" w:hAnsi="Arial"/>
          <w:lang w:val="es-CO"/>
        </w:rPr>
        <w:t xml:space="preserve">actividad minera adelantada en el sector con ocasión del contrato No. 01-005-96, </w:t>
      </w:r>
      <w:r w:rsidRPr="00650CCD">
        <w:rPr>
          <w:rFonts w:ascii="Arial" w:eastAsia="Times New Roman" w:hAnsi="Arial"/>
          <w:lang w:val="es-CO"/>
        </w:rPr>
        <w:t>tuvo lugar a partir del año 2005 porque advirtió:</w:t>
      </w:r>
    </w:p>
    <w:p w14:paraId="2B42C91D" w14:textId="77777777" w:rsidR="00C70FE7" w:rsidRPr="00650CCD" w:rsidRDefault="00C70FE7" w:rsidP="00C70FE7">
      <w:pPr>
        <w:spacing w:line="276" w:lineRule="auto"/>
        <w:rPr>
          <w:rFonts w:ascii="Arial" w:eastAsia="Times New Roman" w:hAnsi="Arial"/>
          <w:lang w:val="es-CO"/>
        </w:rPr>
      </w:pPr>
    </w:p>
    <w:p w14:paraId="0E0254EE" w14:textId="0A4AE6B8" w:rsidR="00C70FE7" w:rsidRPr="00650CCD" w:rsidRDefault="00C70FE7" w:rsidP="00C70FE7">
      <w:pPr>
        <w:pStyle w:val="Textocomentario"/>
        <w:numPr>
          <w:ilvl w:val="0"/>
          <w:numId w:val="19"/>
        </w:numPr>
        <w:spacing w:line="276" w:lineRule="auto"/>
        <w:rPr>
          <w:rFonts w:ascii="Arial" w:hAnsi="Arial"/>
          <w:sz w:val="24"/>
          <w:szCs w:val="24"/>
        </w:rPr>
      </w:pPr>
      <w:r w:rsidRPr="00650CCD">
        <w:rPr>
          <w:rFonts w:ascii="Arial" w:hAnsi="Arial"/>
          <w:sz w:val="24"/>
          <w:szCs w:val="24"/>
        </w:rPr>
        <w:t>E</w:t>
      </w:r>
      <w:r w:rsidR="003C1E54" w:rsidRPr="00650CCD">
        <w:rPr>
          <w:rFonts w:ascii="Arial" w:hAnsi="Arial"/>
          <w:sz w:val="24"/>
          <w:szCs w:val="24"/>
        </w:rPr>
        <w:t xml:space="preserve">l </w:t>
      </w:r>
      <w:r w:rsidRPr="00650CCD">
        <w:rPr>
          <w:rFonts w:ascii="Arial" w:hAnsi="Arial"/>
          <w:sz w:val="24"/>
          <w:szCs w:val="24"/>
        </w:rPr>
        <w:t xml:space="preserve">12 de enero de 2005, el señor Juan de Dios Ochoa Castiblanco presentó un memorial ante </w:t>
      </w:r>
      <w:r w:rsidR="000556E3" w:rsidRPr="00650CCD">
        <w:rPr>
          <w:rFonts w:ascii="Arial" w:hAnsi="Arial"/>
          <w:sz w:val="24"/>
          <w:szCs w:val="24"/>
        </w:rPr>
        <w:t xml:space="preserve">INGEOMINAS </w:t>
      </w:r>
      <w:r w:rsidRPr="00650CCD">
        <w:rPr>
          <w:rFonts w:ascii="Arial" w:hAnsi="Arial"/>
          <w:sz w:val="24"/>
          <w:szCs w:val="24"/>
        </w:rPr>
        <w:t xml:space="preserve">en el que se </w:t>
      </w:r>
      <w:r w:rsidR="000556E3" w:rsidRPr="00650CCD">
        <w:rPr>
          <w:rFonts w:ascii="Arial" w:hAnsi="Arial"/>
          <w:sz w:val="24"/>
          <w:szCs w:val="24"/>
        </w:rPr>
        <w:t xml:space="preserve">solicitó una visita técnica al área en la que recaía la explotación minera para establecer posibles afectaciones. </w:t>
      </w:r>
    </w:p>
    <w:p w14:paraId="0A80F4AC" w14:textId="598B04ED" w:rsidR="00C70FE7" w:rsidRPr="00650CCD" w:rsidRDefault="00C70FE7" w:rsidP="00C70FE7">
      <w:pPr>
        <w:pStyle w:val="Textocomentario"/>
        <w:numPr>
          <w:ilvl w:val="0"/>
          <w:numId w:val="19"/>
        </w:numPr>
        <w:spacing w:line="276" w:lineRule="auto"/>
        <w:rPr>
          <w:rFonts w:ascii="Arial" w:hAnsi="Arial"/>
          <w:sz w:val="24"/>
          <w:szCs w:val="24"/>
        </w:rPr>
      </w:pPr>
      <w:r w:rsidRPr="00650CCD">
        <w:rPr>
          <w:rFonts w:ascii="Arial" w:hAnsi="Arial"/>
          <w:sz w:val="24"/>
          <w:szCs w:val="24"/>
        </w:rPr>
        <w:t xml:space="preserve">El </w:t>
      </w:r>
      <w:r w:rsidR="000556E3" w:rsidRPr="00650CCD">
        <w:rPr>
          <w:rFonts w:ascii="Arial" w:hAnsi="Arial"/>
          <w:sz w:val="24"/>
          <w:szCs w:val="24"/>
        </w:rPr>
        <w:t>27 de enero de 2005</w:t>
      </w:r>
      <w:r w:rsidRPr="00650CCD">
        <w:rPr>
          <w:rFonts w:ascii="Arial" w:hAnsi="Arial"/>
          <w:sz w:val="24"/>
          <w:szCs w:val="24"/>
        </w:rPr>
        <w:t xml:space="preserve">, </w:t>
      </w:r>
      <w:r w:rsidR="000556E3" w:rsidRPr="00650CCD">
        <w:rPr>
          <w:rFonts w:ascii="Arial" w:hAnsi="Arial"/>
          <w:sz w:val="24"/>
          <w:szCs w:val="24"/>
        </w:rPr>
        <w:t>dos vecinos del sector radicaron</w:t>
      </w:r>
      <w:r w:rsidRPr="00650CCD">
        <w:rPr>
          <w:rFonts w:ascii="Arial" w:hAnsi="Arial"/>
          <w:sz w:val="24"/>
          <w:szCs w:val="24"/>
        </w:rPr>
        <w:t xml:space="preserve"> ante </w:t>
      </w:r>
      <w:r w:rsidR="000556E3" w:rsidRPr="00650CCD">
        <w:rPr>
          <w:rFonts w:ascii="Arial" w:hAnsi="Arial"/>
          <w:sz w:val="24"/>
          <w:szCs w:val="24"/>
        </w:rPr>
        <w:t>INGEOMINAS</w:t>
      </w:r>
      <w:r w:rsidRPr="00650CCD">
        <w:rPr>
          <w:rFonts w:ascii="Arial" w:hAnsi="Arial"/>
          <w:sz w:val="24"/>
          <w:szCs w:val="24"/>
        </w:rPr>
        <w:t>, queja</w:t>
      </w:r>
      <w:r w:rsidR="000556E3" w:rsidRPr="00650CCD">
        <w:rPr>
          <w:rFonts w:ascii="Arial" w:hAnsi="Arial"/>
          <w:sz w:val="24"/>
          <w:szCs w:val="24"/>
        </w:rPr>
        <w:t xml:space="preserve"> por los daños </w:t>
      </w:r>
      <w:r w:rsidR="00AD23C9" w:rsidRPr="00650CCD">
        <w:rPr>
          <w:rFonts w:ascii="Arial" w:hAnsi="Arial"/>
          <w:sz w:val="24"/>
          <w:szCs w:val="24"/>
        </w:rPr>
        <w:t xml:space="preserve">ocasionados </w:t>
      </w:r>
      <w:r w:rsidR="000556E3" w:rsidRPr="00650CCD">
        <w:rPr>
          <w:rFonts w:ascii="Arial" w:hAnsi="Arial"/>
          <w:sz w:val="24"/>
          <w:szCs w:val="24"/>
        </w:rPr>
        <w:t>a sus inmu</w:t>
      </w:r>
      <w:r w:rsidR="00AD23C9" w:rsidRPr="00650CCD">
        <w:rPr>
          <w:rFonts w:ascii="Arial" w:hAnsi="Arial"/>
          <w:sz w:val="24"/>
          <w:szCs w:val="24"/>
        </w:rPr>
        <w:t>ebles por l</w:t>
      </w:r>
      <w:r w:rsidR="003C1E54" w:rsidRPr="00650CCD">
        <w:rPr>
          <w:rFonts w:ascii="Arial" w:hAnsi="Arial"/>
          <w:sz w:val="24"/>
          <w:szCs w:val="24"/>
        </w:rPr>
        <w:t>os</w:t>
      </w:r>
      <w:r w:rsidR="00AD23C9" w:rsidRPr="00650CCD">
        <w:rPr>
          <w:rFonts w:ascii="Arial" w:hAnsi="Arial"/>
          <w:sz w:val="24"/>
          <w:szCs w:val="24"/>
        </w:rPr>
        <w:t xml:space="preserve"> trabajos de explotación minera.</w:t>
      </w:r>
    </w:p>
    <w:p w14:paraId="3D0F07EF" w14:textId="0EFB377E" w:rsidR="00AD23C9" w:rsidRPr="00650CCD" w:rsidRDefault="00AD23C9" w:rsidP="00C70FE7">
      <w:pPr>
        <w:pStyle w:val="Textocomentario"/>
        <w:numPr>
          <w:ilvl w:val="0"/>
          <w:numId w:val="19"/>
        </w:numPr>
        <w:spacing w:line="276" w:lineRule="auto"/>
        <w:rPr>
          <w:rFonts w:ascii="Arial" w:hAnsi="Arial"/>
          <w:sz w:val="24"/>
          <w:szCs w:val="24"/>
        </w:rPr>
      </w:pPr>
      <w:r w:rsidRPr="00650CCD">
        <w:rPr>
          <w:rFonts w:ascii="Arial" w:hAnsi="Arial"/>
          <w:sz w:val="24"/>
          <w:szCs w:val="24"/>
        </w:rPr>
        <w:t>El 17 de octubre INGEOMINAS realizó una visita técnica y mediante informe JFP 06-2006 concluyó que las afectaciones a las viviendas eran producto de la actividad minera desarrollada en el sector</w:t>
      </w:r>
      <w:r w:rsidR="00F57B36">
        <w:rPr>
          <w:rFonts w:ascii="Arial" w:hAnsi="Arial"/>
          <w:sz w:val="24"/>
          <w:szCs w:val="24"/>
        </w:rPr>
        <w:t>.</w:t>
      </w:r>
    </w:p>
    <w:p w14:paraId="54BDA3F0" w14:textId="48309D27" w:rsidR="00AD23C9" w:rsidRPr="008F6F15" w:rsidRDefault="00AD23C9" w:rsidP="00C70FE7">
      <w:pPr>
        <w:pStyle w:val="Textocomentario"/>
        <w:numPr>
          <w:ilvl w:val="0"/>
          <w:numId w:val="19"/>
        </w:numPr>
        <w:spacing w:line="276" w:lineRule="auto"/>
        <w:rPr>
          <w:rFonts w:ascii="Arial" w:hAnsi="Arial"/>
          <w:sz w:val="24"/>
          <w:szCs w:val="24"/>
        </w:rPr>
      </w:pPr>
      <w:r w:rsidRPr="00650CCD">
        <w:rPr>
          <w:rFonts w:ascii="Arial" w:hAnsi="Arial"/>
          <w:sz w:val="24"/>
          <w:szCs w:val="24"/>
        </w:rPr>
        <w:t xml:space="preserve">El 7 de mayo de 2007 la misma entidad mediante informe SFOM-018-EMTP reiteró que los </w:t>
      </w:r>
      <w:r w:rsidRPr="008F6F15">
        <w:rPr>
          <w:rFonts w:ascii="Arial" w:hAnsi="Arial"/>
          <w:sz w:val="24"/>
          <w:szCs w:val="24"/>
        </w:rPr>
        <w:t>agrietamientos de las viviendas fueron generados por el trabajo minero.</w:t>
      </w:r>
    </w:p>
    <w:p w14:paraId="314CB7B6" w14:textId="0C09AAC0" w:rsidR="00AD23C9" w:rsidRPr="008F6F15" w:rsidRDefault="00AD23C9" w:rsidP="00C70FE7">
      <w:pPr>
        <w:pStyle w:val="Textocomentario"/>
        <w:numPr>
          <w:ilvl w:val="0"/>
          <w:numId w:val="19"/>
        </w:numPr>
        <w:spacing w:line="276" w:lineRule="auto"/>
        <w:rPr>
          <w:rFonts w:ascii="Arial" w:hAnsi="Arial"/>
          <w:sz w:val="24"/>
          <w:szCs w:val="24"/>
        </w:rPr>
      </w:pPr>
      <w:r w:rsidRPr="008F6F15">
        <w:rPr>
          <w:rFonts w:ascii="Arial" w:hAnsi="Arial"/>
          <w:sz w:val="24"/>
          <w:szCs w:val="24"/>
        </w:rPr>
        <w:t xml:space="preserve">El 26 de abril de 2007, algunos vecinos del sector solicitaron a INGEOMINAS la implementación de medidas preventivas en razón a los hundimientos y agrietamientos acaecidos por la explotación minera. </w:t>
      </w:r>
    </w:p>
    <w:p w14:paraId="69E84976" w14:textId="17E3EC7B" w:rsidR="00AD23C9" w:rsidRPr="00F57B36" w:rsidRDefault="00AD23C9" w:rsidP="00C70FE7">
      <w:pPr>
        <w:pStyle w:val="Textocomentario"/>
        <w:numPr>
          <w:ilvl w:val="0"/>
          <w:numId w:val="19"/>
        </w:numPr>
        <w:spacing w:line="276" w:lineRule="auto"/>
        <w:rPr>
          <w:rFonts w:ascii="Arial" w:hAnsi="Arial"/>
          <w:sz w:val="24"/>
          <w:szCs w:val="24"/>
        </w:rPr>
      </w:pPr>
      <w:r w:rsidRPr="008F6F15">
        <w:rPr>
          <w:rFonts w:ascii="Arial" w:hAnsi="Arial"/>
          <w:sz w:val="24"/>
          <w:szCs w:val="24"/>
        </w:rPr>
        <w:t xml:space="preserve">El 2 de mayo de 2007 la entidad realizó </w:t>
      </w:r>
      <w:r w:rsidR="003726FE" w:rsidRPr="008F6F15">
        <w:rPr>
          <w:rFonts w:ascii="Arial" w:hAnsi="Arial"/>
          <w:sz w:val="24"/>
          <w:szCs w:val="24"/>
        </w:rPr>
        <w:t xml:space="preserve">una </w:t>
      </w:r>
      <w:r w:rsidRPr="008F6F15">
        <w:rPr>
          <w:rFonts w:ascii="Arial" w:hAnsi="Arial"/>
          <w:sz w:val="24"/>
          <w:szCs w:val="24"/>
        </w:rPr>
        <w:t>visita técnica y a través de informe SFOM-018-EMTP</w:t>
      </w:r>
      <w:r w:rsidR="003726FE" w:rsidRPr="008F6F15">
        <w:rPr>
          <w:rFonts w:ascii="Arial" w:hAnsi="Arial"/>
          <w:sz w:val="24"/>
          <w:szCs w:val="24"/>
        </w:rPr>
        <w:t xml:space="preserve"> concluyó que en efecto los daños a las </w:t>
      </w:r>
      <w:r w:rsidR="003726FE" w:rsidRPr="00F57B36">
        <w:rPr>
          <w:rFonts w:ascii="Arial" w:hAnsi="Arial"/>
          <w:sz w:val="24"/>
          <w:szCs w:val="24"/>
        </w:rPr>
        <w:t>viviendas fueron producto de la actividad minera del sector. Adicionalmente ordenó la suspensión de las obras de explotación.</w:t>
      </w:r>
    </w:p>
    <w:p w14:paraId="7D6F59C8" w14:textId="3222721F" w:rsidR="003726FE" w:rsidRPr="00F57B36" w:rsidRDefault="003726FE" w:rsidP="00C70FE7">
      <w:pPr>
        <w:pStyle w:val="Textocomentario"/>
        <w:numPr>
          <w:ilvl w:val="0"/>
          <w:numId w:val="19"/>
        </w:numPr>
        <w:spacing w:line="276" w:lineRule="auto"/>
        <w:rPr>
          <w:rFonts w:ascii="Arial" w:hAnsi="Arial"/>
          <w:sz w:val="24"/>
          <w:szCs w:val="24"/>
        </w:rPr>
      </w:pPr>
      <w:r w:rsidRPr="00F57B36">
        <w:rPr>
          <w:rFonts w:ascii="Arial" w:hAnsi="Arial"/>
          <w:sz w:val="24"/>
          <w:szCs w:val="24"/>
        </w:rPr>
        <w:t>El 11 de mayo de 2007 INGEOMINAS solicitó a CORPOBOYACÁ que realizara una visita para que verificara las afectaciones a</w:t>
      </w:r>
      <w:r w:rsidR="00AE6320" w:rsidRPr="00F57B36">
        <w:rPr>
          <w:rFonts w:ascii="Arial" w:hAnsi="Arial"/>
          <w:sz w:val="24"/>
          <w:szCs w:val="24"/>
        </w:rPr>
        <w:t xml:space="preserve"> los aljibes y</w:t>
      </w:r>
      <w:r w:rsidR="00F57B36" w:rsidRPr="00F57B36">
        <w:rPr>
          <w:rFonts w:ascii="Arial" w:hAnsi="Arial"/>
          <w:sz w:val="24"/>
          <w:szCs w:val="24"/>
        </w:rPr>
        <w:t xml:space="preserve"> </w:t>
      </w:r>
      <w:r w:rsidR="00AE6320" w:rsidRPr="00F57B36">
        <w:rPr>
          <w:rFonts w:ascii="Arial" w:hAnsi="Arial"/>
          <w:sz w:val="24"/>
          <w:szCs w:val="24"/>
        </w:rPr>
        <w:t>al suelo</w:t>
      </w:r>
      <w:r w:rsidRPr="00F57B36">
        <w:rPr>
          <w:rFonts w:ascii="Arial" w:hAnsi="Arial"/>
          <w:sz w:val="24"/>
          <w:szCs w:val="24"/>
        </w:rPr>
        <w:t>.</w:t>
      </w:r>
    </w:p>
    <w:p w14:paraId="061AE0B7" w14:textId="412AFDB5" w:rsidR="00AE6320" w:rsidRPr="00F57B36" w:rsidRDefault="00AE6320" w:rsidP="00C70FE7">
      <w:pPr>
        <w:pStyle w:val="Textocomentario"/>
        <w:numPr>
          <w:ilvl w:val="0"/>
          <w:numId w:val="19"/>
        </w:numPr>
        <w:spacing w:line="276" w:lineRule="auto"/>
        <w:rPr>
          <w:rFonts w:ascii="Arial" w:hAnsi="Arial"/>
          <w:sz w:val="24"/>
          <w:szCs w:val="24"/>
        </w:rPr>
      </w:pPr>
      <w:r w:rsidRPr="00F57B36">
        <w:rPr>
          <w:rFonts w:ascii="Arial" w:hAnsi="Arial"/>
          <w:sz w:val="24"/>
          <w:szCs w:val="24"/>
        </w:rPr>
        <w:lastRenderedPageBreak/>
        <w:t xml:space="preserve">El 30 de abril de 2007, otra vecina del sector peticionó a CORPOBOYACÁ </w:t>
      </w:r>
      <w:r w:rsidR="00F57B36" w:rsidRPr="00F57B36">
        <w:rPr>
          <w:rFonts w:ascii="Arial" w:hAnsi="Arial"/>
          <w:sz w:val="24"/>
          <w:szCs w:val="24"/>
        </w:rPr>
        <w:t xml:space="preserve">para que </w:t>
      </w:r>
      <w:r w:rsidRPr="00F57B36">
        <w:rPr>
          <w:rFonts w:ascii="Arial" w:hAnsi="Arial"/>
          <w:sz w:val="24"/>
          <w:szCs w:val="24"/>
        </w:rPr>
        <w:t>hiciera una visita y verificara los daños de los aljibes y el suelo.</w:t>
      </w:r>
    </w:p>
    <w:p w14:paraId="261FF8AC" w14:textId="2953CD64" w:rsidR="00AE6320" w:rsidRPr="00127CF6" w:rsidRDefault="00AE6320" w:rsidP="00C70FE7">
      <w:pPr>
        <w:pStyle w:val="Textocomentario"/>
        <w:numPr>
          <w:ilvl w:val="0"/>
          <w:numId w:val="19"/>
        </w:numPr>
        <w:spacing w:line="276" w:lineRule="auto"/>
        <w:rPr>
          <w:rFonts w:ascii="Arial" w:hAnsi="Arial"/>
          <w:sz w:val="24"/>
          <w:szCs w:val="24"/>
        </w:rPr>
      </w:pPr>
      <w:r w:rsidRPr="00F57B36">
        <w:rPr>
          <w:rFonts w:ascii="Arial" w:hAnsi="Arial"/>
          <w:sz w:val="24"/>
          <w:szCs w:val="24"/>
        </w:rPr>
        <w:t xml:space="preserve">El </w:t>
      </w:r>
      <w:r w:rsidRPr="00127CF6">
        <w:rPr>
          <w:rFonts w:ascii="Arial" w:hAnsi="Arial"/>
          <w:sz w:val="24"/>
          <w:szCs w:val="24"/>
        </w:rPr>
        <w:t xml:space="preserve">10 de mayo de 2007 COPORBOYACÁ realzó la visita técnica y mediante informe 20070034 recomendó </w:t>
      </w:r>
      <w:r w:rsidR="003C1E54" w:rsidRPr="00127CF6">
        <w:rPr>
          <w:rFonts w:ascii="Arial" w:hAnsi="Arial"/>
          <w:sz w:val="24"/>
          <w:szCs w:val="24"/>
        </w:rPr>
        <w:t xml:space="preserve">el desalojo de las viviendas de </w:t>
      </w:r>
      <w:r w:rsidRPr="00127CF6">
        <w:rPr>
          <w:rFonts w:ascii="Arial" w:hAnsi="Arial"/>
          <w:sz w:val="24"/>
          <w:szCs w:val="24"/>
        </w:rPr>
        <w:t>dos de los vecinos del sector</w:t>
      </w:r>
      <w:r w:rsidR="003C1E54" w:rsidRPr="00127CF6">
        <w:rPr>
          <w:rFonts w:ascii="Arial" w:hAnsi="Arial"/>
          <w:sz w:val="24"/>
          <w:szCs w:val="24"/>
        </w:rPr>
        <w:t xml:space="preserve"> debido a las malas condiciones en las que se encontraban, producto de los agrietamientos y hundimientos del suelo</w:t>
      </w:r>
      <w:r w:rsidR="00F57B36" w:rsidRPr="00127CF6">
        <w:rPr>
          <w:rFonts w:ascii="Arial" w:hAnsi="Arial"/>
          <w:sz w:val="24"/>
          <w:szCs w:val="24"/>
        </w:rPr>
        <w:t>.</w:t>
      </w:r>
    </w:p>
    <w:p w14:paraId="19C4B3FA" w14:textId="5B14692E" w:rsidR="003C1E54" w:rsidRPr="00127CF6" w:rsidRDefault="003C1E54" w:rsidP="00C70FE7">
      <w:pPr>
        <w:pStyle w:val="Textocomentario"/>
        <w:numPr>
          <w:ilvl w:val="0"/>
          <w:numId w:val="19"/>
        </w:numPr>
        <w:spacing w:line="276" w:lineRule="auto"/>
        <w:rPr>
          <w:rFonts w:ascii="Arial" w:hAnsi="Arial"/>
          <w:sz w:val="24"/>
          <w:szCs w:val="24"/>
        </w:rPr>
      </w:pPr>
      <w:r w:rsidRPr="00127CF6">
        <w:rPr>
          <w:rFonts w:ascii="Arial" w:hAnsi="Arial"/>
          <w:sz w:val="24"/>
          <w:szCs w:val="24"/>
        </w:rPr>
        <w:t>El 31 de diciembre de 2007, CORPOBOYACÁ emitió la Resolución No. 1161, mediante la que impuso la suspensión de las actividades mineras.</w:t>
      </w:r>
    </w:p>
    <w:p w14:paraId="3913E008" w14:textId="7B97D701" w:rsidR="003C1E54" w:rsidRPr="00127CF6" w:rsidRDefault="003C1E54" w:rsidP="00C70FE7">
      <w:pPr>
        <w:pStyle w:val="Textocomentario"/>
        <w:numPr>
          <w:ilvl w:val="0"/>
          <w:numId w:val="19"/>
        </w:numPr>
        <w:spacing w:line="276" w:lineRule="auto"/>
        <w:rPr>
          <w:rFonts w:ascii="Arial" w:hAnsi="Arial"/>
          <w:sz w:val="24"/>
          <w:szCs w:val="24"/>
        </w:rPr>
      </w:pPr>
      <w:r w:rsidRPr="00127CF6">
        <w:rPr>
          <w:rFonts w:ascii="Arial" w:hAnsi="Arial"/>
          <w:sz w:val="24"/>
          <w:szCs w:val="24"/>
        </w:rPr>
        <w:t>El 21 de febrero de 2018, CORPOBOYACÁ a través de auto GTRN-0112 ordenó al titular de la explotación minera la suspensión y abandono definitivo e inmediato de las actividades con base en los conceptos técnicos JF-06-2006 y SFOM-18-EMTP de 7 de mayo de 2007.</w:t>
      </w:r>
    </w:p>
    <w:p w14:paraId="0B204252" w14:textId="11504BD2" w:rsidR="00432DDC" w:rsidRPr="00127CF6" w:rsidRDefault="00432DDC" w:rsidP="00C70FE7">
      <w:pPr>
        <w:pStyle w:val="Textocomentario"/>
        <w:numPr>
          <w:ilvl w:val="0"/>
          <w:numId w:val="19"/>
        </w:numPr>
        <w:spacing w:line="276" w:lineRule="auto"/>
        <w:rPr>
          <w:rFonts w:ascii="Arial" w:hAnsi="Arial"/>
          <w:sz w:val="24"/>
          <w:szCs w:val="24"/>
        </w:rPr>
      </w:pPr>
      <w:r w:rsidRPr="00127CF6">
        <w:rPr>
          <w:rFonts w:ascii="Arial" w:hAnsi="Arial"/>
          <w:sz w:val="24"/>
          <w:szCs w:val="24"/>
        </w:rPr>
        <w:t>El 2 y 18 de septiembre CORPOBOYACÁ y la Inspección de Policía de Paipa adelantaron diligencias para materializar la orden de suspensión de las actividades y determinaron que la orden había sido cumplida.</w:t>
      </w:r>
    </w:p>
    <w:p w14:paraId="02FF0F98" w14:textId="77777777" w:rsidR="00C70FE7" w:rsidRPr="00127CF6" w:rsidRDefault="00C70FE7" w:rsidP="00E51E3A">
      <w:pPr>
        <w:spacing w:line="276" w:lineRule="auto"/>
        <w:rPr>
          <w:rFonts w:ascii="Arial" w:eastAsia="Times New Roman" w:hAnsi="Arial"/>
          <w:lang w:val="es-CO"/>
        </w:rPr>
      </w:pPr>
    </w:p>
    <w:p w14:paraId="395D53B3" w14:textId="0D5D2562" w:rsidR="00340AC2" w:rsidRPr="00127CF6" w:rsidRDefault="00432DDC" w:rsidP="00E51E3A">
      <w:pPr>
        <w:spacing w:line="276" w:lineRule="auto"/>
        <w:rPr>
          <w:rFonts w:ascii="Arial" w:eastAsia="Times New Roman" w:hAnsi="Arial"/>
          <w:lang w:val="es-CO"/>
        </w:rPr>
      </w:pPr>
      <w:r w:rsidRPr="00127CF6">
        <w:rPr>
          <w:rFonts w:ascii="Arial" w:eastAsia="Times New Roman" w:hAnsi="Arial"/>
          <w:lang w:val="es-CO"/>
        </w:rPr>
        <w:t>De cara a lo anterior, el Tribunal señaló que el daño se consolidó de manera instantánea en el 2005 aunque los efectos se agravaran y consolidaran en el tiempo, esto, por cuanto, puntualmente, respecto del asunto de</w:t>
      </w:r>
      <w:r w:rsidR="00340AC2" w:rsidRPr="00127CF6">
        <w:rPr>
          <w:rFonts w:ascii="Arial" w:eastAsia="Times New Roman" w:hAnsi="Arial"/>
          <w:lang w:val="es-CO"/>
        </w:rPr>
        <w:t>l</w:t>
      </w:r>
      <w:r w:rsidRPr="00127CF6">
        <w:rPr>
          <w:rFonts w:ascii="Arial" w:eastAsia="Times New Roman" w:hAnsi="Arial"/>
          <w:lang w:val="es-CO"/>
        </w:rPr>
        <w:t xml:space="preserve"> hoy tutelante </w:t>
      </w:r>
      <w:r w:rsidR="003876BA" w:rsidRPr="00127CF6">
        <w:rPr>
          <w:rFonts w:ascii="Arial" w:eastAsia="Times New Roman" w:hAnsi="Arial"/>
          <w:lang w:val="es-CO"/>
        </w:rPr>
        <w:t>si bien no reposaba mayor información en los archivos del contrato minero, se encontr</w:t>
      </w:r>
      <w:r w:rsidR="00127CF6">
        <w:rPr>
          <w:rFonts w:ascii="Arial" w:eastAsia="Times New Roman" w:hAnsi="Arial"/>
          <w:lang w:val="es-CO"/>
        </w:rPr>
        <w:t>ó lo siguiente</w:t>
      </w:r>
      <w:r w:rsidR="00340AC2" w:rsidRPr="00127CF6">
        <w:rPr>
          <w:rFonts w:ascii="Arial" w:eastAsia="Times New Roman" w:hAnsi="Arial"/>
          <w:lang w:val="es-CO"/>
        </w:rPr>
        <w:t>:</w:t>
      </w:r>
    </w:p>
    <w:p w14:paraId="38B58871" w14:textId="77777777" w:rsidR="00340AC2" w:rsidRPr="00A21D63" w:rsidRDefault="00340AC2" w:rsidP="00E51E3A">
      <w:pPr>
        <w:spacing w:line="276" w:lineRule="auto"/>
        <w:rPr>
          <w:rFonts w:ascii="Arial" w:eastAsia="Times New Roman" w:hAnsi="Arial"/>
          <w:lang w:val="es-CO"/>
        </w:rPr>
      </w:pPr>
    </w:p>
    <w:p w14:paraId="526EA91B" w14:textId="6E0AC03A" w:rsidR="00340AC2" w:rsidRPr="00A21D63" w:rsidRDefault="00340AC2" w:rsidP="00340AC2">
      <w:pPr>
        <w:pStyle w:val="Prrafodelista"/>
        <w:numPr>
          <w:ilvl w:val="0"/>
          <w:numId w:val="20"/>
        </w:numPr>
        <w:spacing w:line="276" w:lineRule="auto"/>
        <w:rPr>
          <w:rFonts w:ascii="Arial" w:eastAsia="Times New Roman" w:hAnsi="Arial"/>
          <w:lang w:val="es-CO"/>
        </w:rPr>
      </w:pPr>
      <w:r w:rsidRPr="00A21D63">
        <w:rPr>
          <w:rFonts w:ascii="Arial" w:eastAsia="Times New Roman" w:hAnsi="Arial"/>
          <w:lang w:val="es-CO"/>
        </w:rPr>
        <w:t>E</w:t>
      </w:r>
      <w:r w:rsidR="003876BA" w:rsidRPr="00A21D63">
        <w:rPr>
          <w:rFonts w:ascii="Arial" w:eastAsia="Times New Roman" w:hAnsi="Arial"/>
          <w:lang w:val="es-CO"/>
        </w:rPr>
        <w:t xml:space="preserve">l acta de la visita que hizo el Procurador Judicial Agrario de Boyacá, del 5 de marzo de 2010 de la que se establecía que la casa de habitación del señor José Neftalí Cepeda Ramírez contenía grietas en algunos muros y </w:t>
      </w:r>
      <w:proofErr w:type="gramStart"/>
      <w:r w:rsidR="003876BA" w:rsidRPr="00A21D63">
        <w:rPr>
          <w:rFonts w:ascii="Arial" w:eastAsia="Times New Roman" w:hAnsi="Arial"/>
          <w:lang w:val="es-CO"/>
        </w:rPr>
        <w:t>pisos</w:t>
      </w:r>
      <w:proofErr w:type="gramEnd"/>
      <w:r w:rsidR="003876BA" w:rsidRPr="00A21D63">
        <w:rPr>
          <w:rFonts w:ascii="Arial" w:eastAsia="Times New Roman" w:hAnsi="Arial"/>
          <w:lang w:val="es-CO"/>
        </w:rPr>
        <w:t xml:space="preserve"> así como subsi</w:t>
      </w:r>
      <w:r w:rsidR="00A21D63" w:rsidRPr="00A21D63">
        <w:rPr>
          <w:rFonts w:ascii="Arial" w:eastAsia="Times New Roman" w:hAnsi="Arial"/>
          <w:lang w:val="es-CO"/>
        </w:rPr>
        <w:t>dencias</w:t>
      </w:r>
      <w:r w:rsidR="003876BA" w:rsidRPr="00A21D63">
        <w:rPr>
          <w:rFonts w:ascii="Arial" w:eastAsia="Times New Roman" w:hAnsi="Arial"/>
          <w:lang w:val="es-CO"/>
        </w:rPr>
        <w:t xml:space="preserve"> y fallas en los terrenos pero que no se precisó desde cuándo se </w:t>
      </w:r>
      <w:r w:rsidRPr="00A21D63">
        <w:rPr>
          <w:rFonts w:ascii="Arial" w:eastAsia="Times New Roman" w:hAnsi="Arial"/>
          <w:lang w:val="es-CO"/>
        </w:rPr>
        <w:t>concretaron</w:t>
      </w:r>
      <w:r w:rsidR="003876BA" w:rsidRPr="00A21D63">
        <w:rPr>
          <w:rFonts w:ascii="Arial" w:eastAsia="Times New Roman" w:hAnsi="Arial"/>
          <w:lang w:val="es-CO"/>
        </w:rPr>
        <w:t xml:space="preserve"> esos deterioros</w:t>
      </w:r>
      <w:r w:rsidRPr="00A21D63">
        <w:rPr>
          <w:rFonts w:ascii="Arial" w:eastAsia="Times New Roman" w:hAnsi="Arial"/>
          <w:lang w:val="es-CO"/>
        </w:rPr>
        <w:t>.</w:t>
      </w:r>
      <w:r w:rsidR="003876BA" w:rsidRPr="00A21D63">
        <w:rPr>
          <w:rFonts w:ascii="Arial" w:eastAsia="Times New Roman" w:hAnsi="Arial"/>
          <w:lang w:val="es-CO"/>
        </w:rPr>
        <w:t xml:space="preserve"> </w:t>
      </w:r>
    </w:p>
    <w:p w14:paraId="766A02E7" w14:textId="77777777" w:rsidR="00340AC2" w:rsidRPr="00A21D63" w:rsidRDefault="00340AC2" w:rsidP="00E51E3A">
      <w:pPr>
        <w:spacing w:line="276" w:lineRule="auto"/>
        <w:rPr>
          <w:rFonts w:ascii="Arial" w:eastAsia="Times New Roman" w:hAnsi="Arial"/>
          <w:lang w:val="es-CO"/>
        </w:rPr>
      </w:pPr>
    </w:p>
    <w:p w14:paraId="1248D570" w14:textId="32B6E7B4" w:rsidR="00432DDC" w:rsidRPr="00A21D63" w:rsidRDefault="00340AC2" w:rsidP="00340AC2">
      <w:pPr>
        <w:pStyle w:val="Prrafodelista"/>
        <w:numPr>
          <w:ilvl w:val="0"/>
          <w:numId w:val="20"/>
        </w:numPr>
        <w:spacing w:line="276" w:lineRule="auto"/>
        <w:rPr>
          <w:rFonts w:ascii="Arial" w:eastAsia="Times New Roman" w:hAnsi="Arial"/>
          <w:lang w:val="es-CO"/>
        </w:rPr>
      </w:pPr>
      <w:r w:rsidRPr="00A21D63">
        <w:rPr>
          <w:rFonts w:ascii="Arial" w:eastAsia="Times New Roman" w:hAnsi="Arial"/>
          <w:lang w:val="es-CO"/>
        </w:rPr>
        <w:t xml:space="preserve">De la manifestación de los señores José Ricardo y Cesar Augusto Cepeda Corredor producto del interrogatorio en el que aseveraron que las afectaciones surgieron en el 2010, dicho testimonio no constituía plena prueba para demostrar el hecho. </w:t>
      </w:r>
    </w:p>
    <w:p w14:paraId="0C6BC765" w14:textId="77777777" w:rsidR="00340AC2" w:rsidRPr="00A21D63" w:rsidRDefault="00340AC2" w:rsidP="00340AC2">
      <w:pPr>
        <w:pStyle w:val="Prrafodelista"/>
        <w:rPr>
          <w:rFonts w:ascii="Arial" w:eastAsia="Times New Roman" w:hAnsi="Arial"/>
          <w:lang w:val="es-CO"/>
        </w:rPr>
      </w:pPr>
    </w:p>
    <w:p w14:paraId="3E98F13F" w14:textId="46C56261" w:rsidR="00340AC2" w:rsidRPr="009569C1" w:rsidRDefault="00340AC2" w:rsidP="00340AC2">
      <w:pPr>
        <w:pStyle w:val="Prrafodelista"/>
        <w:numPr>
          <w:ilvl w:val="0"/>
          <w:numId w:val="20"/>
        </w:numPr>
        <w:spacing w:line="276" w:lineRule="auto"/>
        <w:rPr>
          <w:rFonts w:ascii="Arial" w:eastAsia="Times New Roman" w:hAnsi="Arial"/>
          <w:lang w:val="es-CO"/>
        </w:rPr>
      </w:pPr>
      <w:r w:rsidRPr="00A21D63">
        <w:rPr>
          <w:rFonts w:ascii="Arial" w:eastAsia="Times New Roman" w:hAnsi="Arial"/>
          <w:lang w:val="es-CO"/>
        </w:rPr>
        <w:t xml:space="preserve">Que de la aclaración del dictamen pericial elaborado por el auxiliar de la justicia JHON ALFONSO GÓMEZ CHAPARRO </w:t>
      </w:r>
      <w:r w:rsidR="0077537E" w:rsidRPr="00A21D63">
        <w:rPr>
          <w:rFonts w:ascii="Arial" w:eastAsia="Times New Roman" w:hAnsi="Arial"/>
          <w:lang w:val="es-CO"/>
        </w:rPr>
        <w:t xml:space="preserve">en el que se debía precisar la antigüedad de los agrietamientos de la casa de habitación y el lote de terreno se dijo que fueron evidenciadas a partir del 2005, según información </w:t>
      </w:r>
      <w:r w:rsidR="0077537E" w:rsidRPr="009569C1">
        <w:rPr>
          <w:rFonts w:ascii="Arial" w:eastAsia="Times New Roman" w:hAnsi="Arial"/>
          <w:lang w:val="es-CO"/>
        </w:rPr>
        <w:t>suministrada por el mismo propietario del inmueble y, que adicional a ello, con el pasar del tiempo, el inmueble presentaba mayor afectación.</w:t>
      </w:r>
    </w:p>
    <w:p w14:paraId="6CBB1D6D" w14:textId="77777777" w:rsidR="0077537E" w:rsidRPr="009569C1" w:rsidRDefault="0077537E" w:rsidP="0077537E">
      <w:pPr>
        <w:pStyle w:val="Prrafodelista"/>
        <w:rPr>
          <w:rFonts w:ascii="Arial" w:eastAsia="Times New Roman" w:hAnsi="Arial"/>
          <w:lang w:val="es-CO"/>
        </w:rPr>
      </w:pPr>
    </w:p>
    <w:p w14:paraId="1D5BFB0F" w14:textId="178ECEFC" w:rsidR="0077537E" w:rsidRPr="009569C1" w:rsidRDefault="0077537E" w:rsidP="00340AC2">
      <w:pPr>
        <w:pStyle w:val="Prrafodelista"/>
        <w:numPr>
          <w:ilvl w:val="0"/>
          <w:numId w:val="20"/>
        </w:numPr>
        <w:spacing w:line="276" w:lineRule="auto"/>
        <w:rPr>
          <w:rFonts w:ascii="Arial" w:eastAsia="Times New Roman" w:hAnsi="Arial"/>
          <w:lang w:val="es-CO"/>
        </w:rPr>
      </w:pPr>
      <w:r w:rsidRPr="009569C1">
        <w:rPr>
          <w:rFonts w:ascii="Arial" w:eastAsia="Times New Roman" w:hAnsi="Arial"/>
          <w:lang w:val="es-CO"/>
        </w:rPr>
        <w:lastRenderedPageBreak/>
        <w:t>Finalmente, señaló que la anterior precisión fue también manifestada en los alegatos de conclusión de la parte actora</w:t>
      </w:r>
      <w:r w:rsidR="0079777D" w:rsidRPr="009569C1">
        <w:rPr>
          <w:rFonts w:ascii="Arial" w:eastAsia="Times New Roman" w:hAnsi="Arial"/>
          <w:lang w:val="es-CO"/>
        </w:rPr>
        <w:t xml:space="preserve"> por cuanto a</w:t>
      </w:r>
      <w:r w:rsidRPr="009569C1">
        <w:rPr>
          <w:rFonts w:ascii="Arial" w:eastAsia="Times New Roman" w:hAnsi="Arial"/>
          <w:lang w:val="es-CO"/>
        </w:rPr>
        <w:t xml:space="preserve">severó que con ocasión de los trabajos mineros que produjeron afectaciones a los terrenos de su propiedad desde agosto y septiembre de 2005 </w:t>
      </w:r>
      <w:r w:rsidR="0079777D" w:rsidRPr="009569C1">
        <w:rPr>
          <w:rFonts w:ascii="Arial" w:eastAsia="Times New Roman" w:hAnsi="Arial"/>
          <w:lang w:val="es-CO"/>
        </w:rPr>
        <w:t>se</w:t>
      </w:r>
      <w:r w:rsidR="0079777D" w:rsidRPr="009569C1">
        <w:rPr>
          <w:rFonts w:ascii="Arial" w:eastAsia="Times New Roman" w:hAnsi="Arial"/>
          <w:i/>
          <w:iCs/>
          <w:sz w:val="22"/>
          <w:szCs w:val="22"/>
          <w:lang w:val="es-CO"/>
        </w:rPr>
        <w:t xml:space="preserve"> “vienen presentando por demás ruinosa y de inminente peligro”</w:t>
      </w:r>
    </w:p>
    <w:p w14:paraId="6270311B" w14:textId="77777777" w:rsidR="00432DDC" w:rsidRPr="00A013FD" w:rsidRDefault="00432DDC" w:rsidP="00E51E3A">
      <w:pPr>
        <w:spacing w:line="276" w:lineRule="auto"/>
        <w:rPr>
          <w:rFonts w:ascii="Arial" w:eastAsia="Times New Roman" w:hAnsi="Arial"/>
          <w:lang w:val="es-CO"/>
        </w:rPr>
      </w:pPr>
    </w:p>
    <w:p w14:paraId="5F860B5E" w14:textId="2BED121A" w:rsidR="00E51E3A" w:rsidRPr="00A013FD" w:rsidRDefault="00E51E3A" w:rsidP="00E51E3A">
      <w:pPr>
        <w:spacing w:line="276" w:lineRule="auto"/>
        <w:rPr>
          <w:rFonts w:ascii="Arial" w:eastAsia="Times New Roman" w:hAnsi="Arial"/>
          <w:lang w:val="es-CO"/>
        </w:rPr>
      </w:pPr>
      <w:r w:rsidRPr="00A013FD">
        <w:rPr>
          <w:rFonts w:ascii="Arial" w:eastAsia="Times New Roman" w:hAnsi="Arial"/>
          <w:lang w:val="es-CO"/>
        </w:rPr>
        <w:t>De manera que la autoridad judicial concluyó que la afectación a los terrenos comenzó desde el inicio del año 2005 y su punto más crítico ocurrió en el 2007 cuando se ordenó la suspensión de las actividades mineras, en ese sentido señaló</w:t>
      </w:r>
      <w:r w:rsidR="00152413" w:rsidRPr="00A013FD">
        <w:rPr>
          <w:rFonts w:ascii="Arial" w:eastAsia="Times New Roman" w:hAnsi="Arial"/>
          <w:lang w:val="es-CO"/>
        </w:rPr>
        <w:t xml:space="preserve"> que esta situación era de gran trascendencia por cuanto ello era punto de partida para el cómputo de la caducidad, habida cuenta que al momento de presentarse la demanda no se hizo el control correspondiente </w:t>
      </w:r>
      <w:r w:rsidR="001F561A" w:rsidRPr="00A013FD">
        <w:rPr>
          <w:rFonts w:ascii="Arial" w:eastAsia="Times New Roman" w:hAnsi="Arial"/>
          <w:lang w:val="es-CO"/>
        </w:rPr>
        <w:t xml:space="preserve">y, que </w:t>
      </w:r>
      <w:r w:rsidR="00152413" w:rsidRPr="00A013FD">
        <w:rPr>
          <w:rFonts w:ascii="Arial" w:eastAsia="Times New Roman" w:hAnsi="Arial"/>
          <w:lang w:val="es-CO"/>
        </w:rPr>
        <w:t xml:space="preserve">sumado a ello, en el fallo de primera instancia a duras penas se mencionó simplemente que la caducidad no se había configurado con la </w:t>
      </w:r>
      <w:r w:rsidR="001F561A" w:rsidRPr="00A013FD">
        <w:rPr>
          <w:rFonts w:ascii="Arial" w:eastAsia="Times New Roman" w:hAnsi="Arial"/>
          <w:lang w:val="es-CO"/>
        </w:rPr>
        <w:t xml:space="preserve">siguiente </w:t>
      </w:r>
      <w:r w:rsidR="00152413" w:rsidRPr="00A013FD">
        <w:rPr>
          <w:rFonts w:ascii="Arial" w:eastAsia="Times New Roman" w:hAnsi="Arial"/>
          <w:lang w:val="es-CO"/>
        </w:rPr>
        <w:t>afirmación</w:t>
      </w:r>
      <w:r w:rsidR="001F561A" w:rsidRPr="00A013FD">
        <w:rPr>
          <w:rFonts w:ascii="Arial" w:eastAsia="Times New Roman" w:hAnsi="Arial"/>
          <w:lang w:val="es-CO"/>
        </w:rPr>
        <w:t>:</w:t>
      </w:r>
      <w:r w:rsidR="00152413" w:rsidRPr="00A013FD">
        <w:rPr>
          <w:rFonts w:ascii="Arial" w:eastAsia="Times New Roman" w:hAnsi="Arial"/>
          <w:lang w:val="es-CO"/>
        </w:rPr>
        <w:t xml:space="preserve"> </w:t>
      </w:r>
      <w:r w:rsidR="00152413" w:rsidRPr="00A013FD">
        <w:rPr>
          <w:rFonts w:ascii="Arial" w:eastAsia="Times New Roman" w:hAnsi="Arial"/>
          <w:i/>
          <w:iCs/>
          <w:sz w:val="22"/>
          <w:szCs w:val="22"/>
          <w:lang w:val="es-CO"/>
        </w:rPr>
        <w:t xml:space="preserve">“pues la presunta acción u omisión por la parte demandada ha sido continuada”, </w:t>
      </w:r>
      <w:r w:rsidR="00152413" w:rsidRPr="00A013FD">
        <w:rPr>
          <w:rFonts w:ascii="Arial" w:eastAsia="Times New Roman" w:hAnsi="Arial"/>
          <w:lang w:val="es-CO"/>
        </w:rPr>
        <w:t>lo cual, para el Tribunal tal premisa no configuraba un verdadero  análisis de este fenómeno.</w:t>
      </w:r>
    </w:p>
    <w:p w14:paraId="634E3B33" w14:textId="4B4203D8" w:rsidR="00152413" w:rsidRPr="00A013FD" w:rsidRDefault="00152413" w:rsidP="00E51E3A">
      <w:pPr>
        <w:spacing w:line="276" w:lineRule="auto"/>
        <w:rPr>
          <w:rFonts w:ascii="Arial" w:eastAsia="Times New Roman" w:hAnsi="Arial"/>
          <w:lang w:val="es-CO"/>
        </w:rPr>
      </w:pPr>
    </w:p>
    <w:p w14:paraId="7BAC9FC3" w14:textId="7388E010" w:rsidR="00152413" w:rsidRDefault="00152413" w:rsidP="00E51E3A">
      <w:pPr>
        <w:spacing w:line="276" w:lineRule="auto"/>
        <w:rPr>
          <w:rFonts w:ascii="Arial" w:eastAsia="Times New Roman" w:hAnsi="Arial"/>
          <w:lang w:val="es-CO"/>
        </w:rPr>
      </w:pPr>
      <w:r w:rsidRPr="00A013FD">
        <w:rPr>
          <w:rFonts w:ascii="Arial" w:eastAsia="Times New Roman" w:hAnsi="Arial"/>
          <w:lang w:val="es-CO"/>
        </w:rPr>
        <w:t xml:space="preserve">Por lo que enfatizó que la afectación de hundimientos, compactación y subsidencia del suelo que afectaron el predio Villa Fernanda y la vivienda se </w:t>
      </w:r>
      <w:r w:rsidR="00A013FD" w:rsidRPr="00A013FD">
        <w:rPr>
          <w:rFonts w:ascii="Arial" w:eastAsia="Times New Roman" w:hAnsi="Arial"/>
          <w:lang w:val="es-CO"/>
        </w:rPr>
        <w:t>concretó</w:t>
      </w:r>
      <w:r w:rsidRPr="00A013FD">
        <w:rPr>
          <w:rFonts w:ascii="Arial" w:eastAsia="Times New Roman" w:hAnsi="Arial"/>
          <w:lang w:val="es-CO"/>
        </w:rPr>
        <w:t xml:space="preserve"> y fue evidente desde el 2005, </w:t>
      </w:r>
      <w:r w:rsidR="004D3186" w:rsidRPr="00A013FD">
        <w:rPr>
          <w:rFonts w:ascii="Arial" w:eastAsia="Times New Roman" w:hAnsi="Arial"/>
          <w:lang w:val="es-CO"/>
        </w:rPr>
        <w:t xml:space="preserve">así las cosas, </w:t>
      </w:r>
      <w:r w:rsidRPr="00A013FD">
        <w:rPr>
          <w:rFonts w:ascii="Arial" w:eastAsia="Times New Roman" w:hAnsi="Arial"/>
          <w:lang w:val="es-CO"/>
        </w:rPr>
        <w:t xml:space="preserve">la lesión </w:t>
      </w:r>
      <w:r w:rsidR="004D3186" w:rsidRPr="00A013FD">
        <w:rPr>
          <w:rFonts w:ascii="Arial" w:eastAsia="Times New Roman" w:hAnsi="Arial"/>
          <w:lang w:val="es-CO"/>
        </w:rPr>
        <w:t>se había configurado de manera instan</w:t>
      </w:r>
      <w:r w:rsidR="00E74542" w:rsidRPr="00A013FD">
        <w:rPr>
          <w:rFonts w:ascii="Arial" w:eastAsia="Times New Roman" w:hAnsi="Arial"/>
          <w:lang w:val="es-CO"/>
        </w:rPr>
        <w:t>tánea</w:t>
      </w:r>
      <w:r w:rsidR="004D3186" w:rsidRPr="00A013FD">
        <w:rPr>
          <w:rFonts w:ascii="Arial" w:eastAsia="Times New Roman" w:hAnsi="Arial"/>
          <w:lang w:val="es-CO"/>
        </w:rPr>
        <w:t xml:space="preserve"> en esa data, esto, a pesar de que sus efectos perjudiciales se hubieran prolongado y agravado en el tiempo, </w:t>
      </w:r>
      <w:r w:rsidR="00A013FD" w:rsidRPr="00A013FD">
        <w:rPr>
          <w:rFonts w:ascii="Arial" w:eastAsia="Times New Roman" w:hAnsi="Arial"/>
          <w:lang w:val="es-CO"/>
        </w:rPr>
        <w:t>en ese sentido</w:t>
      </w:r>
      <w:r w:rsidR="004D3186" w:rsidRPr="00A013FD">
        <w:rPr>
          <w:rFonts w:ascii="Arial" w:eastAsia="Times New Roman" w:hAnsi="Arial"/>
          <w:lang w:val="es-CO"/>
        </w:rPr>
        <w:t>, concluyó que habida cuenta que la demanda se había presentado el 18 de agosto de 20</w:t>
      </w:r>
      <w:r w:rsidR="00E74542" w:rsidRPr="00A013FD">
        <w:rPr>
          <w:rFonts w:ascii="Arial" w:eastAsia="Times New Roman" w:hAnsi="Arial"/>
          <w:lang w:val="es-CO"/>
        </w:rPr>
        <w:t>1</w:t>
      </w:r>
      <w:r w:rsidR="004D3186" w:rsidRPr="00A013FD">
        <w:rPr>
          <w:rFonts w:ascii="Arial" w:eastAsia="Times New Roman" w:hAnsi="Arial"/>
          <w:lang w:val="es-CO"/>
        </w:rPr>
        <w:t>1, se tornaba extemporánea.</w:t>
      </w:r>
    </w:p>
    <w:p w14:paraId="7D69924F" w14:textId="5E30F928" w:rsidR="00EE09CF" w:rsidRPr="00FC1F98" w:rsidRDefault="00EE09CF" w:rsidP="00D54BEF">
      <w:pPr>
        <w:rPr>
          <w:rFonts w:ascii="Arial" w:eastAsia="Times New Roman" w:hAnsi="Arial"/>
          <w:sz w:val="22"/>
          <w:szCs w:val="22"/>
          <w:lang w:val="es-CO"/>
        </w:rPr>
      </w:pPr>
    </w:p>
    <w:bookmarkEnd w:id="13"/>
    <w:p w14:paraId="69874033" w14:textId="5F4A41D7" w:rsidR="00857C75" w:rsidRPr="00DA43F2" w:rsidRDefault="003648F0" w:rsidP="00857C75">
      <w:pPr>
        <w:spacing w:line="276" w:lineRule="auto"/>
        <w:rPr>
          <w:rFonts w:ascii="Arial" w:eastAsia="Times New Roman" w:hAnsi="Arial"/>
          <w:lang w:val="es-CO"/>
        </w:rPr>
      </w:pPr>
      <w:r>
        <w:rPr>
          <w:rFonts w:ascii="Arial" w:eastAsia="Times New Roman" w:hAnsi="Arial"/>
          <w:lang w:val="es-CO"/>
        </w:rPr>
        <w:t>Adicionalmente, c</w:t>
      </w:r>
      <w:r w:rsidR="00857C75" w:rsidRPr="00FC1F98">
        <w:rPr>
          <w:rFonts w:ascii="Arial" w:eastAsia="Times New Roman" w:hAnsi="Arial"/>
          <w:lang w:val="es-CO"/>
        </w:rPr>
        <w:t>itó el criterio del Consejo de Estado</w:t>
      </w:r>
      <w:r w:rsidR="0077764B" w:rsidRPr="00FC1F98">
        <w:rPr>
          <w:rStyle w:val="Refdenotaalpie"/>
          <w:rFonts w:ascii="Arial" w:eastAsia="Times New Roman" w:hAnsi="Arial"/>
          <w:lang w:val="es-CO"/>
        </w:rPr>
        <w:footnoteReference w:id="81"/>
      </w:r>
      <w:r w:rsidR="00857C75" w:rsidRPr="00FC1F98">
        <w:rPr>
          <w:rFonts w:ascii="Arial" w:eastAsia="Times New Roman" w:hAnsi="Arial"/>
          <w:lang w:val="es-CO"/>
        </w:rPr>
        <w:t xml:space="preserve"> en el que se explic</w:t>
      </w:r>
      <w:r>
        <w:rPr>
          <w:rFonts w:ascii="Arial" w:eastAsia="Times New Roman" w:hAnsi="Arial"/>
          <w:lang w:val="es-CO"/>
        </w:rPr>
        <w:t>ó</w:t>
      </w:r>
      <w:r w:rsidR="00857C75" w:rsidRPr="00FC1F98">
        <w:rPr>
          <w:rFonts w:ascii="Arial" w:eastAsia="Times New Roman" w:hAnsi="Arial"/>
          <w:lang w:val="es-CO"/>
        </w:rPr>
        <w:t xml:space="preserve"> que se deben diferenciar el daño continuado o de tracto sucesivo, del hecho dañoso y, de los daños de naturaleza inmediata cuyos efectos se prolongan en el tiempo, por cuanto el </w:t>
      </w:r>
      <w:r w:rsidR="00857C75" w:rsidRPr="00DA43F2">
        <w:rPr>
          <w:rFonts w:ascii="Arial" w:eastAsia="Times New Roman" w:hAnsi="Arial"/>
          <w:lang w:val="es-CO"/>
        </w:rPr>
        <w:t>daño se concreta en un momento determinado, entonces, es a partir del hecho dañoso</w:t>
      </w:r>
      <w:r w:rsidR="00E06BCE" w:rsidRPr="00DA43F2">
        <w:rPr>
          <w:rFonts w:ascii="Arial" w:eastAsia="Times New Roman" w:hAnsi="Arial"/>
          <w:lang w:val="es-CO"/>
        </w:rPr>
        <w:t xml:space="preserve"> </w:t>
      </w:r>
      <w:r w:rsidR="00857C75" w:rsidRPr="00DA43F2">
        <w:rPr>
          <w:rFonts w:ascii="Arial" w:eastAsia="Times New Roman" w:hAnsi="Arial"/>
          <w:lang w:val="es-CO"/>
        </w:rPr>
        <w:t>o desde que se conoce el daño es que se debe contabilizar el término de caducidad.</w:t>
      </w:r>
    </w:p>
    <w:p w14:paraId="7F012221" w14:textId="77777777" w:rsidR="00857C75" w:rsidRPr="00DA43F2" w:rsidRDefault="00857C75" w:rsidP="0058181D">
      <w:pPr>
        <w:spacing w:line="276" w:lineRule="auto"/>
        <w:rPr>
          <w:rFonts w:ascii="Arial" w:eastAsia="Times New Roman" w:hAnsi="Arial"/>
          <w:lang w:val="es-CO"/>
        </w:rPr>
      </w:pPr>
    </w:p>
    <w:p w14:paraId="11F0E4CD" w14:textId="74ABE1AC" w:rsidR="009C0ADD" w:rsidRPr="00FC1F98" w:rsidRDefault="00857C75" w:rsidP="00D54BEF">
      <w:pPr>
        <w:spacing w:line="276" w:lineRule="auto"/>
        <w:rPr>
          <w:rFonts w:ascii="Arial" w:eastAsia="Times New Roman" w:hAnsi="Arial"/>
          <w:lang w:val="es-CO"/>
        </w:rPr>
      </w:pPr>
      <w:r w:rsidRPr="00DA43F2">
        <w:rPr>
          <w:rFonts w:ascii="Arial" w:eastAsia="Times New Roman" w:hAnsi="Arial"/>
          <w:lang w:val="es-CO"/>
        </w:rPr>
        <w:t>En ese orden,</w:t>
      </w:r>
      <w:r w:rsidR="004D3186" w:rsidRPr="00DA43F2">
        <w:rPr>
          <w:rFonts w:ascii="Arial" w:eastAsia="Times New Roman" w:hAnsi="Arial"/>
          <w:lang w:val="es-CO"/>
        </w:rPr>
        <w:t xml:space="preserve"> reiteró</w:t>
      </w:r>
      <w:r w:rsidRPr="00DA43F2">
        <w:rPr>
          <w:rFonts w:ascii="Arial" w:eastAsia="Times New Roman" w:hAnsi="Arial"/>
          <w:lang w:val="es-CO"/>
        </w:rPr>
        <w:t xml:space="preserve"> que</w:t>
      </w:r>
      <w:r w:rsidR="0058181D" w:rsidRPr="00DA43F2">
        <w:rPr>
          <w:rFonts w:ascii="Arial" w:eastAsia="Times New Roman" w:hAnsi="Arial"/>
          <w:lang w:val="es-CO"/>
        </w:rPr>
        <w:t xml:space="preserve">, </w:t>
      </w:r>
      <w:r w:rsidR="002C5EA2" w:rsidRPr="00DA43F2">
        <w:rPr>
          <w:rFonts w:ascii="Arial" w:eastAsia="Times New Roman" w:hAnsi="Arial"/>
          <w:lang w:val="es-CO"/>
        </w:rPr>
        <w:t xml:space="preserve">el </w:t>
      </w:r>
      <w:r w:rsidR="00C06336" w:rsidRPr="00DA43F2">
        <w:rPr>
          <w:rFonts w:ascii="Arial" w:eastAsia="Times New Roman" w:hAnsi="Arial"/>
          <w:lang w:val="es-CO"/>
        </w:rPr>
        <w:t xml:space="preserve">daño </w:t>
      </w:r>
      <w:r w:rsidR="002C5EA2" w:rsidRPr="00DA43F2">
        <w:rPr>
          <w:rFonts w:ascii="Arial" w:eastAsia="Times New Roman" w:hAnsi="Arial"/>
          <w:lang w:val="es-CO"/>
        </w:rPr>
        <w:t xml:space="preserve">se había consolidado en el 2005 de forma </w:t>
      </w:r>
      <w:r w:rsidR="00C06336" w:rsidRPr="00DA43F2">
        <w:rPr>
          <w:rFonts w:ascii="Arial" w:eastAsia="Times New Roman" w:hAnsi="Arial"/>
          <w:lang w:val="es-CO"/>
        </w:rPr>
        <w:t>instantánea</w:t>
      </w:r>
      <w:r w:rsidR="009C0ADD" w:rsidRPr="00DA43F2">
        <w:rPr>
          <w:rFonts w:ascii="Arial" w:eastAsia="Times New Roman" w:hAnsi="Arial"/>
          <w:lang w:val="es-CO"/>
        </w:rPr>
        <w:t xml:space="preserve"> -aunque sus</w:t>
      </w:r>
      <w:r w:rsidR="009C0ADD" w:rsidRPr="00FC1F98">
        <w:rPr>
          <w:rFonts w:ascii="Arial" w:eastAsia="Times New Roman" w:hAnsi="Arial"/>
          <w:lang w:val="es-CO"/>
        </w:rPr>
        <w:t xml:space="preserve"> efectos perjudiciales se agravaran en el tiempo-, </w:t>
      </w:r>
      <w:r w:rsidR="00C06336" w:rsidRPr="00FC1F98">
        <w:rPr>
          <w:rFonts w:ascii="Arial" w:eastAsia="Times New Roman" w:hAnsi="Arial"/>
          <w:lang w:val="es-CO"/>
        </w:rPr>
        <w:t>pero que, en todo caso, incluso, si en gracia de discusión se llega</w:t>
      </w:r>
      <w:r w:rsidR="005711CE" w:rsidRPr="00FC1F98">
        <w:rPr>
          <w:rFonts w:ascii="Arial" w:eastAsia="Times New Roman" w:hAnsi="Arial"/>
          <w:lang w:val="es-CO"/>
        </w:rPr>
        <w:t>ra</w:t>
      </w:r>
      <w:r w:rsidR="00C06336" w:rsidRPr="00FC1F98">
        <w:rPr>
          <w:rFonts w:ascii="Arial" w:eastAsia="Times New Roman" w:hAnsi="Arial"/>
          <w:lang w:val="es-CO"/>
        </w:rPr>
        <w:t xml:space="preserve"> a aceptar que el daño es de carácter continuado</w:t>
      </w:r>
      <w:r w:rsidR="009C0ADD" w:rsidRPr="00FC1F98">
        <w:rPr>
          <w:rFonts w:ascii="Arial" w:eastAsia="Times New Roman" w:hAnsi="Arial"/>
          <w:lang w:val="es-CO"/>
        </w:rPr>
        <w:t xml:space="preserve"> -prolongación en el tiempo-</w:t>
      </w:r>
      <w:r w:rsidR="00C06336" w:rsidRPr="00FC1F98">
        <w:rPr>
          <w:rFonts w:ascii="Arial" w:eastAsia="Times New Roman" w:hAnsi="Arial"/>
          <w:lang w:val="es-CO"/>
        </w:rPr>
        <w:t xml:space="preserve">, se imponía concluir que la acción vulnerante había cesado en el 2008, </w:t>
      </w:r>
      <w:r w:rsidR="007A7D01" w:rsidRPr="00FC1F98">
        <w:rPr>
          <w:rFonts w:ascii="Arial" w:eastAsia="Times New Roman" w:hAnsi="Arial"/>
          <w:lang w:val="es-CO"/>
        </w:rPr>
        <w:t>con ocasión de la suspensión de las actividades que impuso Corpoboyacá desde el 2007 a través de la Resolución No. 1161 del 31 de diciembre de ese año, situación que fue verificada el 2 y 18 de septiembre de 2008 por la entidad y la Inspección de Policía de Paipa</w:t>
      </w:r>
      <w:r w:rsidR="00FC1F98">
        <w:rPr>
          <w:rFonts w:ascii="Arial" w:eastAsia="Times New Roman" w:hAnsi="Arial"/>
          <w:lang w:val="es-CO"/>
        </w:rPr>
        <w:t xml:space="preserve">, </w:t>
      </w:r>
      <w:r w:rsidR="00FC1F98">
        <w:rPr>
          <w:rFonts w:ascii="Arial" w:eastAsia="Times New Roman" w:hAnsi="Arial"/>
          <w:lang w:val="es-CO"/>
        </w:rPr>
        <w:lastRenderedPageBreak/>
        <w:t xml:space="preserve">razón por la cual, </w:t>
      </w:r>
      <w:r w:rsidR="00C06336" w:rsidRPr="00FC1F98">
        <w:rPr>
          <w:rFonts w:ascii="Arial" w:eastAsia="Times New Roman" w:hAnsi="Arial"/>
          <w:lang w:val="es-CO"/>
        </w:rPr>
        <w:t xml:space="preserve">en ambos casos resultaba extemporánea la demanda por cuanto fue radicada el </w:t>
      </w:r>
      <w:r w:rsidR="00D226F2" w:rsidRPr="00FC1F98">
        <w:rPr>
          <w:rFonts w:ascii="Arial" w:eastAsia="Times New Roman" w:hAnsi="Arial"/>
          <w:lang w:val="es-CO"/>
        </w:rPr>
        <w:t>18 de agosto</w:t>
      </w:r>
      <w:r w:rsidR="0076502B" w:rsidRPr="00FC1F98">
        <w:rPr>
          <w:rFonts w:ascii="Arial" w:eastAsia="Times New Roman" w:hAnsi="Arial"/>
          <w:lang w:val="es-CO"/>
        </w:rPr>
        <w:t xml:space="preserve"> de</w:t>
      </w:r>
      <w:r w:rsidR="00C06336" w:rsidRPr="00FC1F98">
        <w:rPr>
          <w:rFonts w:ascii="Arial" w:eastAsia="Times New Roman" w:hAnsi="Arial"/>
          <w:lang w:val="es-CO"/>
        </w:rPr>
        <w:t xml:space="preserve"> 2011.</w:t>
      </w:r>
      <w:r w:rsidRPr="00FC1F98">
        <w:rPr>
          <w:rFonts w:ascii="Arial" w:eastAsia="Times New Roman" w:hAnsi="Arial"/>
          <w:lang w:val="es-CO"/>
        </w:rPr>
        <w:t xml:space="preserve"> </w:t>
      </w:r>
    </w:p>
    <w:p w14:paraId="75394B7E" w14:textId="77777777" w:rsidR="009C0ADD" w:rsidRPr="00FC1F98" w:rsidRDefault="009C0ADD" w:rsidP="00D54BEF">
      <w:pPr>
        <w:spacing w:line="276" w:lineRule="auto"/>
        <w:rPr>
          <w:rFonts w:ascii="Arial" w:eastAsia="Times New Roman" w:hAnsi="Arial"/>
          <w:lang w:val="es-CO"/>
        </w:rPr>
      </w:pPr>
    </w:p>
    <w:p w14:paraId="689B2317" w14:textId="31771AD9" w:rsidR="00EC0DEE" w:rsidRPr="00FC1F98" w:rsidRDefault="00857C75" w:rsidP="00D54BEF">
      <w:pPr>
        <w:spacing w:line="276" w:lineRule="auto"/>
        <w:rPr>
          <w:rFonts w:ascii="Arial" w:eastAsia="Times New Roman" w:hAnsi="Arial"/>
          <w:i/>
          <w:iCs/>
          <w:sz w:val="22"/>
          <w:szCs w:val="22"/>
          <w:lang w:val="es-CO"/>
        </w:rPr>
      </w:pPr>
      <w:r w:rsidRPr="00FC1F98">
        <w:rPr>
          <w:rFonts w:ascii="Arial" w:eastAsia="Times New Roman" w:hAnsi="Arial"/>
          <w:lang w:val="es-CO"/>
        </w:rPr>
        <w:t xml:space="preserve">Aclaró </w:t>
      </w:r>
      <w:r w:rsidR="009C0ADD" w:rsidRPr="00FC1F98">
        <w:rPr>
          <w:rFonts w:ascii="Arial" w:eastAsia="Times New Roman" w:hAnsi="Arial"/>
          <w:lang w:val="es-CO"/>
        </w:rPr>
        <w:t>que las afectaciones graves como el daño continuado, en nada afectaba la contabilización del término de caducidad</w:t>
      </w:r>
      <w:r w:rsidR="003E5724" w:rsidRPr="00FC1F98">
        <w:rPr>
          <w:rFonts w:ascii="Arial" w:eastAsia="Times New Roman" w:hAnsi="Arial"/>
          <w:lang w:val="es-CO"/>
        </w:rPr>
        <w:t xml:space="preserve"> cuyo extremo inicial es a partir del momento </w:t>
      </w:r>
      <w:r w:rsidR="00B33BD3" w:rsidRPr="00FC1F98">
        <w:rPr>
          <w:rFonts w:ascii="Arial" w:eastAsia="Times New Roman" w:hAnsi="Arial"/>
          <w:lang w:val="es-CO"/>
        </w:rPr>
        <w:t>en</w:t>
      </w:r>
      <w:r w:rsidR="003E5724" w:rsidRPr="00FC1F98">
        <w:rPr>
          <w:rFonts w:ascii="Arial" w:eastAsia="Times New Roman" w:hAnsi="Arial"/>
          <w:lang w:val="es-CO"/>
        </w:rPr>
        <w:t xml:space="preserve"> que culmina el suceso que le da origen</w:t>
      </w:r>
      <w:r w:rsidR="009C0ADD" w:rsidRPr="00FC1F98">
        <w:rPr>
          <w:rFonts w:ascii="Arial" w:eastAsia="Times New Roman" w:hAnsi="Arial"/>
          <w:lang w:val="es-CO"/>
        </w:rPr>
        <w:t>,</w:t>
      </w:r>
      <w:r w:rsidR="00EC0DEE" w:rsidRPr="00FC1F98">
        <w:rPr>
          <w:rFonts w:ascii="Arial" w:eastAsia="Times New Roman" w:hAnsi="Arial"/>
          <w:lang w:val="es-CO"/>
        </w:rPr>
        <w:t xml:space="preserve"> asimismo, con base en lo zanjado en la jurisprudencia que cita el tribunal respecto de los efectos de </w:t>
      </w:r>
      <w:r w:rsidR="00EC0DEE" w:rsidRPr="00FC1F98">
        <w:rPr>
          <w:rFonts w:ascii="Arial" w:eastAsia="Times New Roman" w:hAnsi="Arial"/>
          <w:b/>
          <w:bCs/>
          <w:lang w:val="es-CO"/>
        </w:rPr>
        <w:t>tracto sucesivo</w:t>
      </w:r>
      <w:r w:rsidR="00EC0DEE" w:rsidRPr="00FC1F98">
        <w:rPr>
          <w:rStyle w:val="Refdenotaalpie"/>
          <w:rFonts w:ascii="Arial" w:eastAsia="Times New Roman" w:hAnsi="Arial"/>
          <w:lang w:val="es-CO"/>
        </w:rPr>
        <w:footnoteReference w:id="82"/>
      </w:r>
      <w:r w:rsidR="00EC0DEE" w:rsidRPr="00FC1F98">
        <w:rPr>
          <w:rFonts w:ascii="Arial" w:eastAsia="Times New Roman" w:hAnsi="Arial"/>
          <w:lang w:val="es-CO"/>
        </w:rPr>
        <w:t xml:space="preserve">, tema central del actor, adujo que en ese caso, </w:t>
      </w:r>
      <w:r w:rsidR="00F4428B" w:rsidRPr="003648F0">
        <w:rPr>
          <w:rFonts w:ascii="Arial" w:eastAsia="Times New Roman" w:hAnsi="Arial"/>
          <w:i/>
          <w:iCs/>
          <w:sz w:val="22"/>
          <w:szCs w:val="22"/>
          <w:lang w:val="es-CO"/>
        </w:rPr>
        <w:t>“</w:t>
      </w:r>
      <w:r w:rsidR="00EC0DEE" w:rsidRPr="003648F0">
        <w:rPr>
          <w:rFonts w:ascii="Arial" w:eastAsia="Times New Roman" w:hAnsi="Arial"/>
          <w:i/>
          <w:iCs/>
          <w:sz w:val="22"/>
          <w:szCs w:val="22"/>
          <w:lang w:val="es-CO"/>
        </w:rPr>
        <w:t>el</w:t>
      </w:r>
      <w:r w:rsidR="00EC0DEE" w:rsidRPr="003648F0">
        <w:rPr>
          <w:rFonts w:ascii="Arial" w:eastAsia="Times New Roman" w:hAnsi="Arial"/>
          <w:lang w:val="es-CO"/>
        </w:rPr>
        <w:t xml:space="preserve"> </w:t>
      </w:r>
      <w:r w:rsidR="00EC0DEE" w:rsidRPr="00FC1F98">
        <w:rPr>
          <w:rFonts w:ascii="Arial" w:eastAsia="Times New Roman" w:hAnsi="Arial"/>
          <w:i/>
          <w:iCs/>
          <w:sz w:val="22"/>
          <w:szCs w:val="22"/>
          <w:lang w:val="es-CO"/>
        </w:rPr>
        <w:t>cómputo debe iniciar desde cuando las autoridades actuaron ordenando la suspensión de las actividades mineras, esto es, entre los años 2007 y 2008, la conclusión seguiría siendo la misma. Ni aún bajo esta hipótesis podría sostenerse, en contra del principio de seguridad jurídica, que la demanda podría formularse 6 años después de que se presentaron y fueron evidentes los sentimientos y subsidencias en el terreno, así como las grietas en la vivienda de propiedad de que cesó la acción vulnerante</w:t>
      </w:r>
      <w:r w:rsidR="00F4428B" w:rsidRPr="00FC1F98">
        <w:rPr>
          <w:rFonts w:ascii="Arial" w:eastAsia="Times New Roman" w:hAnsi="Arial"/>
          <w:i/>
          <w:iCs/>
          <w:sz w:val="22"/>
          <w:szCs w:val="22"/>
          <w:lang w:val="es-CO"/>
        </w:rPr>
        <w:t>”</w:t>
      </w:r>
      <w:r w:rsidR="00E06BCE" w:rsidRPr="00FC1F98">
        <w:rPr>
          <w:rFonts w:ascii="Arial" w:eastAsia="Times New Roman" w:hAnsi="Arial"/>
          <w:i/>
          <w:iCs/>
          <w:sz w:val="22"/>
          <w:szCs w:val="22"/>
          <w:lang w:val="es-CO"/>
        </w:rPr>
        <w:t>.</w:t>
      </w:r>
    </w:p>
    <w:p w14:paraId="2465F5E5" w14:textId="77777777" w:rsidR="00EC0DEE" w:rsidRPr="00FC1F98" w:rsidRDefault="00EC0DEE" w:rsidP="00D54BEF">
      <w:pPr>
        <w:spacing w:line="276" w:lineRule="auto"/>
        <w:rPr>
          <w:rFonts w:ascii="Arial" w:eastAsia="Times New Roman" w:hAnsi="Arial"/>
          <w:lang w:val="es-CO"/>
        </w:rPr>
      </w:pPr>
    </w:p>
    <w:p w14:paraId="16A5947D" w14:textId="55842ABD" w:rsidR="00736993" w:rsidRPr="00FC1F98" w:rsidRDefault="005711CE" w:rsidP="002C5EA2">
      <w:pPr>
        <w:spacing w:line="276" w:lineRule="auto"/>
        <w:rPr>
          <w:rFonts w:ascii="Arial" w:eastAsia="Times New Roman" w:hAnsi="Arial"/>
          <w:lang w:val="es-CO"/>
        </w:rPr>
      </w:pPr>
      <w:r w:rsidRPr="00FC1F98">
        <w:rPr>
          <w:rFonts w:ascii="Arial" w:eastAsia="Times New Roman" w:hAnsi="Arial"/>
          <w:lang w:val="es-CO"/>
        </w:rPr>
        <w:t xml:space="preserve">Corolario de lo anterior, es evidente que la magistratura demandada, hizo un </w:t>
      </w:r>
      <w:bookmarkStart w:id="14" w:name="_Hlk66367160"/>
      <w:r w:rsidRPr="00FC1F98">
        <w:rPr>
          <w:rFonts w:ascii="Arial" w:eastAsia="Times New Roman" w:hAnsi="Arial"/>
          <w:lang w:val="es-CO"/>
        </w:rPr>
        <w:t>estudio juicioso del daño</w:t>
      </w:r>
      <w:r w:rsidR="00736993" w:rsidRPr="00FC1F98">
        <w:rPr>
          <w:rFonts w:ascii="Arial" w:eastAsia="Times New Roman" w:hAnsi="Arial"/>
          <w:lang w:val="es-CO"/>
        </w:rPr>
        <w:t xml:space="preserve"> alegado por el señor José Ricardo Cepeda Corredor, en tanto, explicó ampliamente </w:t>
      </w:r>
      <w:r w:rsidR="00736993" w:rsidRPr="00DA43F2">
        <w:rPr>
          <w:rFonts w:ascii="Arial" w:eastAsia="Times New Roman" w:hAnsi="Arial"/>
          <w:lang w:val="es-CO"/>
        </w:rPr>
        <w:t xml:space="preserve">las clases de daño y sus efectos, con base en la jurisprudencia decantada por el Consejo de Estado y partiendo de la norma aplicable al caso concreto </w:t>
      </w:r>
      <w:bookmarkStart w:id="15" w:name="_Hlk66956772"/>
      <w:r w:rsidR="00C70FE7" w:rsidRPr="00DA43F2">
        <w:rPr>
          <w:rFonts w:ascii="Arial" w:eastAsia="Times New Roman" w:hAnsi="Arial"/>
          <w:lang w:val="es-CO"/>
        </w:rPr>
        <w:t xml:space="preserve">-artículo 136 numeral 8° del CCA-, </w:t>
      </w:r>
      <w:bookmarkEnd w:id="15"/>
      <w:r w:rsidR="00736993" w:rsidRPr="00DA43F2">
        <w:rPr>
          <w:rFonts w:ascii="Arial" w:eastAsia="Times New Roman" w:hAnsi="Arial"/>
          <w:lang w:val="es-CO"/>
        </w:rPr>
        <w:t>-, bajo los criterios de la sana crítica, con estudio pormenorizado y detallado, lo cual, no puede cali</w:t>
      </w:r>
      <w:r w:rsidR="009A18BB" w:rsidRPr="00DA43F2">
        <w:rPr>
          <w:rFonts w:ascii="Arial" w:eastAsia="Times New Roman" w:hAnsi="Arial"/>
          <w:lang w:val="es-CO"/>
        </w:rPr>
        <w:t>fi</w:t>
      </w:r>
      <w:r w:rsidR="00736993" w:rsidRPr="00DA43F2">
        <w:rPr>
          <w:rFonts w:ascii="Arial" w:eastAsia="Times New Roman" w:hAnsi="Arial"/>
          <w:lang w:val="es-CO"/>
        </w:rPr>
        <w:t xml:space="preserve">carse de equívoco, </w:t>
      </w:r>
      <w:r w:rsidR="009A18BB" w:rsidRPr="00DA43F2">
        <w:rPr>
          <w:rFonts w:ascii="Arial" w:eastAsia="Times New Roman" w:hAnsi="Arial"/>
          <w:i/>
          <w:iCs/>
          <w:lang w:val="es-CO"/>
        </w:rPr>
        <w:t>so pretexto</w:t>
      </w:r>
      <w:r w:rsidR="009A18BB" w:rsidRPr="00DA43F2">
        <w:rPr>
          <w:rFonts w:ascii="Arial" w:eastAsia="Times New Roman" w:hAnsi="Arial"/>
          <w:lang w:val="es-CO"/>
        </w:rPr>
        <w:t xml:space="preserve"> de invocar un fundamento</w:t>
      </w:r>
      <w:r w:rsidR="009A18BB" w:rsidRPr="00FC1F98">
        <w:rPr>
          <w:rFonts w:ascii="Arial" w:eastAsia="Times New Roman" w:hAnsi="Arial"/>
          <w:lang w:val="es-CO"/>
        </w:rPr>
        <w:t xml:space="preserve"> normativo que no es aplicable (artículo 10 de la Ley 1333 de 2009) al caso de marras</w:t>
      </w:r>
      <w:bookmarkEnd w:id="14"/>
      <w:r w:rsidR="006B4DE9" w:rsidRPr="00FC1F98">
        <w:rPr>
          <w:rFonts w:ascii="Arial" w:eastAsia="Times New Roman" w:hAnsi="Arial"/>
          <w:lang w:val="es-CO"/>
        </w:rPr>
        <w:t>.</w:t>
      </w:r>
    </w:p>
    <w:p w14:paraId="5FC159DF" w14:textId="77777777" w:rsidR="00E06BCE" w:rsidRPr="00FC1F98" w:rsidRDefault="00E06BCE" w:rsidP="002C5EA2">
      <w:pPr>
        <w:spacing w:line="276" w:lineRule="auto"/>
        <w:rPr>
          <w:rFonts w:ascii="Arial" w:eastAsia="Times New Roman" w:hAnsi="Arial"/>
          <w:lang w:val="es-CO"/>
        </w:rPr>
      </w:pPr>
    </w:p>
    <w:p w14:paraId="35B2405B" w14:textId="4BFEEFB3" w:rsidR="009A18BB" w:rsidRPr="00FC1F98" w:rsidRDefault="009A18BB" w:rsidP="002C5EA2">
      <w:pPr>
        <w:spacing w:line="276" w:lineRule="auto"/>
        <w:rPr>
          <w:rFonts w:ascii="Arial" w:hAnsi="Arial"/>
        </w:rPr>
      </w:pPr>
      <w:r w:rsidRPr="00FC1F98">
        <w:rPr>
          <w:rFonts w:ascii="Arial" w:eastAsia="Times New Roman" w:hAnsi="Arial"/>
          <w:lang w:val="es-CO"/>
        </w:rPr>
        <w:t xml:space="preserve">Pues con ello se denota el descontento de la parte actora ante su falencia </w:t>
      </w:r>
      <w:r w:rsidR="00215829" w:rsidRPr="00FC1F98">
        <w:rPr>
          <w:rFonts w:ascii="Arial" w:eastAsia="Times New Roman" w:hAnsi="Arial"/>
          <w:lang w:val="es-CO"/>
        </w:rPr>
        <w:t>de</w:t>
      </w:r>
      <w:r w:rsidRPr="00FC1F98">
        <w:rPr>
          <w:rFonts w:ascii="Arial" w:eastAsia="Times New Roman" w:hAnsi="Arial"/>
          <w:lang w:val="es-CO"/>
        </w:rPr>
        <w:t xml:space="preserve"> dejar fenecer el tiempo establecido por la legislación contenciosa para solicitar la reparación del daño causado en el marco de la explotación </w:t>
      </w:r>
      <w:r w:rsidR="00CD28B9" w:rsidRPr="00FC1F98">
        <w:rPr>
          <w:rFonts w:ascii="Arial" w:eastAsia="Times New Roman" w:hAnsi="Arial"/>
          <w:lang w:val="es-CO"/>
        </w:rPr>
        <w:t>de carbón mineral,</w:t>
      </w:r>
      <w:r w:rsidRPr="00FC1F98">
        <w:rPr>
          <w:rFonts w:ascii="Arial" w:eastAsia="Times New Roman" w:hAnsi="Arial"/>
          <w:lang w:val="es-CO"/>
        </w:rPr>
        <w:t xml:space="preserve"> sobre el inmueble </w:t>
      </w:r>
      <w:r w:rsidR="00CD28B9" w:rsidRPr="00FC1F98">
        <w:rPr>
          <w:rFonts w:ascii="Arial" w:eastAsia="Times New Roman" w:hAnsi="Arial"/>
          <w:lang w:val="es-CO"/>
        </w:rPr>
        <w:t xml:space="preserve">(de su propiedad) </w:t>
      </w:r>
      <w:r w:rsidRPr="00FC1F98">
        <w:rPr>
          <w:rFonts w:ascii="Arial" w:eastAsia="Times New Roman" w:hAnsi="Arial"/>
          <w:lang w:val="es-CO"/>
        </w:rPr>
        <w:t xml:space="preserve">Villa Fernanda, </w:t>
      </w:r>
      <w:r w:rsidRPr="00FC1F98">
        <w:rPr>
          <w:rFonts w:ascii="Arial" w:hAnsi="Arial"/>
        </w:rPr>
        <w:t>ubicada en la vereda El Volcán del Municipio de Paipa</w:t>
      </w:r>
      <w:r w:rsidR="00DF1605" w:rsidRPr="00FC1F98">
        <w:rPr>
          <w:rFonts w:ascii="Arial" w:hAnsi="Arial"/>
        </w:rPr>
        <w:t xml:space="preserve"> </w:t>
      </w:r>
      <w:r w:rsidR="00CD28B9" w:rsidRPr="00FC1F98">
        <w:rPr>
          <w:rFonts w:ascii="Arial" w:hAnsi="Arial"/>
        </w:rPr>
        <w:t xml:space="preserve">y, pretender, </w:t>
      </w:r>
      <w:r w:rsidRPr="00FC1F98">
        <w:rPr>
          <w:rFonts w:ascii="Arial" w:eastAsia="Times New Roman" w:hAnsi="Arial"/>
          <w:lang w:val="es-CO"/>
        </w:rPr>
        <w:t xml:space="preserve">ahora, </w:t>
      </w:r>
      <w:r w:rsidR="00CD28B9" w:rsidRPr="00FC1F98">
        <w:rPr>
          <w:rFonts w:ascii="Arial" w:eastAsia="Times New Roman" w:hAnsi="Arial"/>
          <w:lang w:val="es-CO"/>
        </w:rPr>
        <w:t>conculcar el</w:t>
      </w:r>
      <w:r w:rsidRPr="00FC1F98">
        <w:rPr>
          <w:rFonts w:ascii="Arial" w:eastAsia="Times New Roman" w:hAnsi="Arial"/>
          <w:lang w:val="es-CO"/>
        </w:rPr>
        <w:t xml:space="preserve"> principio de la seguridad jurídica </w:t>
      </w:r>
      <w:r w:rsidR="00CD28B9" w:rsidRPr="00FC1F98">
        <w:rPr>
          <w:rFonts w:ascii="Arial" w:eastAsia="Times New Roman" w:hAnsi="Arial"/>
          <w:lang w:val="es-CO"/>
        </w:rPr>
        <w:t>acuñando un yerro inexistente</w:t>
      </w:r>
      <w:r w:rsidR="00DF1605" w:rsidRPr="00FC1F98">
        <w:rPr>
          <w:rFonts w:ascii="Arial" w:eastAsia="Times New Roman" w:hAnsi="Arial"/>
          <w:lang w:val="es-CO"/>
        </w:rPr>
        <w:t xml:space="preserve">, </w:t>
      </w:r>
      <w:r w:rsidR="00DF1605" w:rsidRPr="00FC1F98">
        <w:rPr>
          <w:rFonts w:ascii="Arial" w:hAnsi="Arial"/>
        </w:rPr>
        <w:t>en consecuencia, se negará el amparo deprecado por el tutelante frente al defecto sustantivo.</w:t>
      </w:r>
    </w:p>
    <w:p w14:paraId="0E3E77A1" w14:textId="0D80078D" w:rsidR="00911409" w:rsidRPr="00FC1F98" w:rsidRDefault="00911409" w:rsidP="002C5EA2">
      <w:pPr>
        <w:spacing w:line="276" w:lineRule="auto"/>
        <w:rPr>
          <w:rFonts w:ascii="Arial" w:hAnsi="Arial"/>
        </w:rPr>
      </w:pPr>
    </w:p>
    <w:p w14:paraId="235DE3DB" w14:textId="77777777" w:rsidR="002B1733" w:rsidRPr="00FC1F98" w:rsidRDefault="002B1733" w:rsidP="002B1733">
      <w:pPr>
        <w:pStyle w:val="Prrafodelista"/>
        <w:numPr>
          <w:ilvl w:val="2"/>
          <w:numId w:val="17"/>
        </w:numPr>
        <w:spacing w:line="276" w:lineRule="auto"/>
        <w:rPr>
          <w:rFonts w:ascii="Arial" w:hAnsi="Arial"/>
          <w:b/>
          <w:lang w:val="es-ES_tradnl"/>
        </w:rPr>
      </w:pPr>
      <w:r w:rsidRPr="00FC1F98">
        <w:rPr>
          <w:rFonts w:ascii="Arial" w:hAnsi="Arial"/>
          <w:b/>
          <w:lang w:val="es-ES_tradnl"/>
        </w:rPr>
        <w:t>Desconocimiento de precedente</w:t>
      </w:r>
    </w:p>
    <w:p w14:paraId="63FB1283" w14:textId="77777777" w:rsidR="002B1733" w:rsidRPr="00FC1F98" w:rsidRDefault="002B1733" w:rsidP="002B1733">
      <w:pPr>
        <w:spacing w:line="276" w:lineRule="auto"/>
        <w:rPr>
          <w:rFonts w:ascii="Arial" w:hAnsi="Arial"/>
          <w:noProof/>
          <w:color w:val="201F1E"/>
        </w:rPr>
      </w:pPr>
    </w:p>
    <w:p w14:paraId="32021025" w14:textId="77777777" w:rsidR="002B1733" w:rsidRPr="00FC1F98" w:rsidRDefault="002B1733" w:rsidP="002B1733">
      <w:pPr>
        <w:spacing w:line="276" w:lineRule="auto"/>
        <w:rPr>
          <w:rFonts w:ascii="Arial" w:hAnsi="Arial"/>
        </w:rPr>
      </w:pPr>
      <w:r w:rsidRPr="00FC1F98">
        <w:rPr>
          <w:rFonts w:ascii="Arial" w:hAnsi="Arial"/>
          <w:color w:val="000000"/>
        </w:rPr>
        <w:t xml:space="preserve">La Sala ha establecido que </w:t>
      </w:r>
      <w:r w:rsidRPr="00FC1F98">
        <w:rPr>
          <w:rFonts w:ascii="Arial" w:hAnsi="Arial"/>
          <w:i/>
          <w:iCs/>
          <w:color w:val="000000"/>
        </w:rPr>
        <w:t xml:space="preserve">“es </w:t>
      </w:r>
      <w:r w:rsidRPr="00FC1F98">
        <w:rPr>
          <w:rFonts w:ascii="Arial" w:hAnsi="Arial"/>
          <w:i/>
          <w:iCs/>
        </w:rPr>
        <w:t xml:space="preserve">aquella </w:t>
      </w:r>
      <w:r w:rsidRPr="00FC1F98">
        <w:rPr>
          <w:rFonts w:ascii="Arial" w:hAnsi="Arial"/>
          <w:b/>
          <w:i/>
          <w:iCs/>
        </w:rPr>
        <w:t>regla creada por una Alta Corte</w:t>
      </w:r>
      <w:r w:rsidRPr="00FC1F98">
        <w:rPr>
          <w:rFonts w:ascii="Arial" w:hAnsi="Arial"/>
          <w:i/>
          <w:iCs/>
        </w:rPr>
        <w:t xml:space="preserve"> para solucionar un determinado conflicto jurídico, sin que sea necesario un número plural de decisiones en el mismo sentido para que aquella sea considerada como precedente</w:t>
      </w:r>
      <w:r w:rsidRPr="00FC1F98">
        <w:rPr>
          <w:rFonts w:ascii="Arial" w:hAnsi="Arial"/>
        </w:rPr>
        <w:t xml:space="preserve">”. Se constituye también por las sentencias de constitucionalidad y de </w:t>
      </w:r>
      <w:r w:rsidRPr="00FC1F98">
        <w:rPr>
          <w:rFonts w:ascii="Arial" w:hAnsi="Arial"/>
        </w:rPr>
        <w:lastRenderedPageBreak/>
        <w:t>unificación, proferidas tanto por la Corte Constitucional como por el Consejo de Estado.</w:t>
      </w:r>
    </w:p>
    <w:p w14:paraId="14322C24" w14:textId="77777777" w:rsidR="002B1733" w:rsidRPr="00FC1F98" w:rsidRDefault="002B1733" w:rsidP="002B1733">
      <w:pPr>
        <w:spacing w:line="276" w:lineRule="auto"/>
        <w:rPr>
          <w:rFonts w:ascii="Arial" w:hAnsi="Arial"/>
        </w:rPr>
      </w:pPr>
    </w:p>
    <w:p w14:paraId="63D42C9B" w14:textId="77777777" w:rsidR="002B1733" w:rsidRPr="00FC1F98" w:rsidRDefault="002B1733" w:rsidP="002B1733">
      <w:pPr>
        <w:spacing w:line="276" w:lineRule="auto"/>
        <w:rPr>
          <w:rFonts w:ascii="Arial" w:hAnsi="Arial"/>
          <w:i/>
          <w:iCs/>
          <w:color w:val="000000"/>
        </w:rPr>
      </w:pPr>
      <w:r w:rsidRPr="00FC1F98">
        <w:rPr>
          <w:rFonts w:ascii="Arial" w:hAnsi="Arial"/>
          <w:color w:val="000000"/>
        </w:rPr>
        <w:t xml:space="preserve">Sin embargo, resulta necesario advertir que </w:t>
      </w:r>
      <w:r w:rsidRPr="00FC1F98">
        <w:rPr>
          <w:rFonts w:ascii="Arial" w:hAnsi="Arial"/>
          <w:i/>
          <w:iCs/>
          <w:color w:val="000000"/>
        </w:rPr>
        <w:t>“…debe aceptarse que no todas las decisiones judiciales que profieren las Altas Cortes, generan una regla o subregla, pues son el resultado de la aplicación al caso concreto de la norma que viene al caso, sin una actividad creadora del juez.”.</w:t>
      </w:r>
      <w:r w:rsidRPr="00FC1F98">
        <w:rPr>
          <w:rFonts w:ascii="Arial" w:hAnsi="Arial"/>
          <w:i/>
          <w:iCs/>
          <w:color w:val="000000"/>
          <w:vertAlign w:val="superscript"/>
        </w:rPr>
        <w:footnoteReference w:id="83"/>
      </w:r>
    </w:p>
    <w:p w14:paraId="5DC013BE" w14:textId="77777777" w:rsidR="002B1733" w:rsidRPr="00FC1F98" w:rsidRDefault="002B1733" w:rsidP="002B1733">
      <w:pPr>
        <w:spacing w:line="276" w:lineRule="auto"/>
        <w:rPr>
          <w:rFonts w:ascii="Arial" w:hAnsi="Arial"/>
          <w:i/>
          <w:iCs/>
          <w:color w:val="000000"/>
        </w:rPr>
      </w:pPr>
    </w:p>
    <w:p w14:paraId="0243DD9A" w14:textId="3F110F42" w:rsidR="00095C1B" w:rsidRPr="00FC1F98" w:rsidRDefault="002B1733" w:rsidP="002B1733">
      <w:pPr>
        <w:widowControl w:val="0"/>
        <w:spacing w:line="276" w:lineRule="auto"/>
        <w:contextualSpacing/>
        <w:rPr>
          <w:rFonts w:ascii="Arial" w:eastAsia="Times New Roman" w:hAnsi="Arial"/>
          <w:lang w:eastAsia="es-ES"/>
        </w:rPr>
      </w:pPr>
      <w:r w:rsidRPr="00FC1F98">
        <w:rPr>
          <w:rFonts w:ascii="Arial" w:hAnsi="Arial"/>
        </w:rPr>
        <w:t xml:space="preserve">Ahora bien, la parte accionante planteó como desconocida la sentencia </w:t>
      </w:r>
      <w:r w:rsidRPr="00FC1F98">
        <w:rPr>
          <w:rFonts w:ascii="Arial" w:hAnsi="Arial"/>
          <w:bCs/>
          <w:noProof/>
        </w:rPr>
        <w:t>T-342 de 2016</w:t>
      </w:r>
      <w:r w:rsidR="007D24E4" w:rsidRPr="00FC1F98">
        <w:rPr>
          <w:rStyle w:val="Refdenotaalpie"/>
          <w:rFonts w:ascii="Arial" w:eastAsia="Times New Roman" w:hAnsi="Arial"/>
          <w:lang w:val="es-CO"/>
        </w:rPr>
        <w:footnoteReference w:id="84"/>
      </w:r>
      <w:r w:rsidR="007D24E4" w:rsidRPr="00FC1F98">
        <w:rPr>
          <w:rFonts w:ascii="Arial" w:eastAsia="Times New Roman" w:hAnsi="Arial"/>
          <w:lang w:val="es-CO"/>
        </w:rPr>
        <w:t xml:space="preserve"> </w:t>
      </w:r>
      <w:r w:rsidRPr="00FC1F98">
        <w:rPr>
          <w:rFonts w:ascii="Arial" w:hAnsi="Arial"/>
          <w:bCs/>
          <w:noProof/>
        </w:rPr>
        <w:t xml:space="preserve">de la Corte Constitucional, la cual, tal como se ha sostenido reiterativamente por la Sala, no constituye precedente por cuanto, no proviene de la Sala Plena de la Corporación, </w:t>
      </w:r>
      <w:r w:rsidR="00095C1B" w:rsidRPr="00FC1F98">
        <w:rPr>
          <w:rFonts w:ascii="Arial" w:hAnsi="Arial"/>
          <w:bCs/>
          <w:noProof/>
        </w:rPr>
        <w:t xml:space="preserve">en tanto, no ha fijado una regla o subregla a aplicar, </w:t>
      </w:r>
      <w:r w:rsidR="00095C1B" w:rsidRPr="00FC1F98">
        <w:rPr>
          <w:rFonts w:ascii="Arial" w:eastAsia="Times New Roman" w:hAnsi="Arial"/>
          <w:lang w:eastAsia="es-ES"/>
        </w:rPr>
        <w:t>y a lo sumo constituye un criterio auxiliar.</w:t>
      </w:r>
    </w:p>
    <w:p w14:paraId="1FC1033E" w14:textId="4AA61440" w:rsidR="007D24E4" w:rsidRPr="00FC1F98" w:rsidRDefault="007D24E4" w:rsidP="002B1733">
      <w:pPr>
        <w:widowControl w:val="0"/>
        <w:spacing w:line="276" w:lineRule="auto"/>
        <w:contextualSpacing/>
        <w:rPr>
          <w:rFonts w:ascii="Arial" w:eastAsia="Times New Roman" w:hAnsi="Arial"/>
          <w:lang w:eastAsia="es-ES"/>
        </w:rPr>
      </w:pPr>
    </w:p>
    <w:p w14:paraId="22D92048" w14:textId="2A5F7E45" w:rsidR="008B15EB" w:rsidRPr="00C70FE7" w:rsidRDefault="002B1733" w:rsidP="00D73A06">
      <w:pPr>
        <w:widowControl w:val="0"/>
        <w:spacing w:line="276" w:lineRule="auto"/>
        <w:contextualSpacing/>
        <w:rPr>
          <w:rFonts w:ascii="Arial" w:eastAsia="Times New Roman" w:hAnsi="Arial"/>
          <w:lang w:val="es-CO"/>
        </w:rPr>
      </w:pPr>
      <w:r w:rsidRPr="00C70FE7">
        <w:rPr>
          <w:rFonts w:ascii="Arial" w:hAnsi="Arial"/>
          <w:bCs/>
          <w:lang w:val="es-ES_tradnl"/>
        </w:rPr>
        <w:t>Por otro lado,</w:t>
      </w:r>
      <w:r w:rsidR="00900433" w:rsidRPr="00C70FE7">
        <w:rPr>
          <w:rFonts w:ascii="Arial" w:hAnsi="Arial"/>
          <w:bCs/>
          <w:lang w:val="es-ES_tradnl"/>
        </w:rPr>
        <w:t xml:space="preserve"> el accionante</w:t>
      </w:r>
      <w:r w:rsidRPr="00C70FE7">
        <w:rPr>
          <w:rFonts w:ascii="Arial" w:hAnsi="Arial"/>
          <w:bCs/>
          <w:lang w:val="es-ES_tradnl"/>
        </w:rPr>
        <w:t xml:space="preserve"> alegó como desatendidas,</w:t>
      </w:r>
      <w:r w:rsidR="008B15EB" w:rsidRPr="00C70FE7">
        <w:rPr>
          <w:rFonts w:ascii="Arial" w:hAnsi="Arial"/>
          <w:bCs/>
          <w:lang w:val="es-ES_tradnl"/>
        </w:rPr>
        <w:t xml:space="preserve"> </w:t>
      </w:r>
      <w:bookmarkStart w:id="16" w:name="_Hlk66367629"/>
      <w:r w:rsidR="008B15EB" w:rsidRPr="00C70FE7">
        <w:rPr>
          <w:rFonts w:ascii="Arial" w:hAnsi="Arial"/>
          <w:bCs/>
          <w:lang w:val="es-ES_tradnl"/>
        </w:rPr>
        <w:t xml:space="preserve">las decisiones que </w:t>
      </w:r>
      <w:r w:rsidR="00A42972" w:rsidRPr="00C70FE7">
        <w:rPr>
          <w:rFonts w:ascii="Arial" w:hAnsi="Arial"/>
          <w:bCs/>
          <w:lang w:val="es-ES_tradnl"/>
        </w:rPr>
        <w:t xml:space="preserve">el </w:t>
      </w:r>
      <w:r w:rsidR="008B15EB" w:rsidRPr="00C70FE7">
        <w:rPr>
          <w:rFonts w:ascii="Arial" w:hAnsi="Arial"/>
          <w:bCs/>
          <w:lang w:val="es-ES_tradnl"/>
        </w:rPr>
        <w:t>Tribunal</w:t>
      </w:r>
      <w:r w:rsidR="00EC0671" w:rsidRPr="00C70FE7">
        <w:rPr>
          <w:rFonts w:ascii="Arial" w:hAnsi="Arial"/>
          <w:bCs/>
          <w:lang w:val="es-ES_tradnl"/>
        </w:rPr>
        <w:t xml:space="preserve"> </w:t>
      </w:r>
      <w:r w:rsidR="00A42972" w:rsidRPr="00C70FE7">
        <w:rPr>
          <w:rFonts w:ascii="Arial" w:hAnsi="Arial"/>
          <w:bCs/>
          <w:lang w:val="es-ES_tradnl"/>
        </w:rPr>
        <w:t xml:space="preserve">demandado </w:t>
      </w:r>
      <w:r w:rsidR="008B15EB" w:rsidRPr="00C70FE7">
        <w:rPr>
          <w:rFonts w:ascii="Arial" w:hAnsi="Arial"/>
          <w:bCs/>
          <w:lang w:val="es-ES_tradnl"/>
        </w:rPr>
        <w:t>tomó en torno a</w:t>
      </w:r>
      <w:r w:rsidR="00215829" w:rsidRPr="00C70FE7">
        <w:rPr>
          <w:rFonts w:ascii="Arial" w:hAnsi="Arial"/>
          <w:bCs/>
          <w:lang w:val="es-ES_tradnl"/>
        </w:rPr>
        <w:t xml:space="preserve"> otros casos</w:t>
      </w:r>
      <w:r w:rsidR="008B15EB" w:rsidRPr="00C70FE7">
        <w:rPr>
          <w:rFonts w:ascii="Arial" w:hAnsi="Arial"/>
          <w:bCs/>
          <w:lang w:val="es-ES_tradnl"/>
        </w:rPr>
        <w:t xml:space="preserve"> </w:t>
      </w:r>
      <w:r w:rsidR="00215829" w:rsidRPr="00C70FE7">
        <w:rPr>
          <w:rFonts w:ascii="Arial" w:hAnsi="Arial"/>
          <w:bCs/>
          <w:lang w:val="es-ES_tradnl"/>
        </w:rPr>
        <w:t>con similitud</w:t>
      </w:r>
      <w:r w:rsidR="008B15EB" w:rsidRPr="00C70FE7">
        <w:rPr>
          <w:rFonts w:ascii="Arial" w:hAnsi="Arial"/>
          <w:bCs/>
          <w:lang w:val="es-ES_tradnl"/>
        </w:rPr>
        <w:t xml:space="preserve"> fáctica, en las que, por hechos de tracto sucesivo originados con la extracción de carbón mineral, se determinó la responsabilidad administrativa de la</w:t>
      </w:r>
      <w:r w:rsidR="00912DAD" w:rsidRPr="00C70FE7">
        <w:rPr>
          <w:rFonts w:ascii="Arial" w:hAnsi="Arial"/>
          <w:bCs/>
          <w:lang w:val="es-ES_tradnl"/>
        </w:rPr>
        <w:t>s</w:t>
      </w:r>
      <w:r w:rsidR="008B15EB" w:rsidRPr="00C70FE7">
        <w:rPr>
          <w:rFonts w:ascii="Arial" w:hAnsi="Arial"/>
          <w:bCs/>
          <w:lang w:val="es-ES_tradnl"/>
        </w:rPr>
        <w:t xml:space="preserve"> </w:t>
      </w:r>
      <w:r w:rsidR="00912DAD" w:rsidRPr="00C70FE7">
        <w:rPr>
          <w:rFonts w:ascii="Arial" w:hAnsi="Arial"/>
          <w:bCs/>
          <w:lang w:val="es-ES_tradnl"/>
        </w:rPr>
        <w:t xml:space="preserve">autoridades </w:t>
      </w:r>
      <w:r w:rsidR="008B15EB" w:rsidRPr="00C70FE7">
        <w:rPr>
          <w:rFonts w:ascii="Arial" w:hAnsi="Arial"/>
          <w:bCs/>
          <w:lang w:val="es-ES_tradnl"/>
        </w:rPr>
        <w:t>demandada</w:t>
      </w:r>
      <w:r w:rsidR="00EC0671" w:rsidRPr="00C70FE7">
        <w:rPr>
          <w:rFonts w:ascii="Arial" w:hAnsi="Arial"/>
          <w:bCs/>
          <w:lang w:val="es-ES_tradnl"/>
        </w:rPr>
        <w:t>s</w:t>
      </w:r>
      <w:r w:rsidR="008B15EB" w:rsidRPr="00C70FE7">
        <w:rPr>
          <w:rFonts w:ascii="Arial" w:hAnsi="Arial"/>
          <w:bCs/>
          <w:lang w:val="es-ES_tradnl"/>
        </w:rPr>
        <w:t xml:space="preserve"> en el medio de control de reparación directa originario de la presente acción</w:t>
      </w:r>
      <w:r w:rsidR="00051063" w:rsidRPr="00C70FE7">
        <w:rPr>
          <w:rFonts w:ascii="Arial" w:hAnsi="Arial"/>
          <w:bCs/>
          <w:lang w:val="es-ES_tradnl"/>
        </w:rPr>
        <w:t>. Citó las siguientes</w:t>
      </w:r>
      <w:r w:rsidR="00EC0671" w:rsidRPr="00C70FE7">
        <w:rPr>
          <w:rFonts w:ascii="Arial" w:hAnsi="Arial"/>
          <w:bCs/>
          <w:lang w:val="es-ES_tradnl"/>
        </w:rPr>
        <w:t xml:space="preserve"> </w:t>
      </w:r>
      <w:r w:rsidR="00A42972" w:rsidRPr="00C70FE7">
        <w:rPr>
          <w:rFonts w:ascii="Arial" w:hAnsi="Arial"/>
          <w:bCs/>
          <w:lang w:val="es-ES_tradnl"/>
        </w:rPr>
        <w:t xml:space="preserve">providencias </w:t>
      </w:r>
      <w:r w:rsidR="00EC0671" w:rsidRPr="00C70FE7">
        <w:rPr>
          <w:rFonts w:ascii="Arial" w:hAnsi="Arial"/>
          <w:bCs/>
          <w:lang w:val="es-ES_tradnl"/>
        </w:rPr>
        <w:t xml:space="preserve">proferidas </w:t>
      </w:r>
      <w:r w:rsidR="00136632" w:rsidRPr="00C70FE7">
        <w:rPr>
          <w:rFonts w:ascii="Arial" w:hAnsi="Arial"/>
          <w:bCs/>
          <w:lang w:val="es-ES_tradnl"/>
        </w:rPr>
        <w:t>p</w:t>
      </w:r>
      <w:r w:rsidR="005142FE" w:rsidRPr="00C70FE7">
        <w:rPr>
          <w:rFonts w:ascii="Arial" w:hAnsi="Arial"/>
          <w:bCs/>
          <w:lang w:val="es-ES_tradnl"/>
        </w:rPr>
        <w:t>o</w:t>
      </w:r>
      <w:r w:rsidR="00EC0671" w:rsidRPr="00C70FE7">
        <w:rPr>
          <w:rFonts w:ascii="Arial" w:hAnsi="Arial"/>
          <w:bCs/>
          <w:lang w:val="es-ES_tradnl"/>
        </w:rPr>
        <w:t>r el Tribunal Administrativo de Boyacá</w:t>
      </w:r>
      <w:r w:rsidR="00051063" w:rsidRPr="00C70FE7">
        <w:rPr>
          <w:rFonts w:ascii="Arial" w:hAnsi="Arial"/>
          <w:bCs/>
          <w:lang w:val="es-ES_tradnl"/>
        </w:rPr>
        <w:t>:</w:t>
      </w:r>
      <w:r w:rsidR="003B14EB" w:rsidRPr="00C70FE7">
        <w:rPr>
          <w:rFonts w:ascii="Arial" w:hAnsi="Arial"/>
          <w:bCs/>
          <w:lang w:val="es-ES_tradnl"/>
        </w:rPr>
        <w:t xml:space="preserve"> </w:t>
      </w:r>
    </w:p>
    <w:bookmarkEnd w:id="16"/>
    <w:p w14:paraId="7977F475" w14:textId="77777777" w:rsidR="008B15EB" w:rsidRPr="00C70FE7" w:rsidRDefault="008B15EB" w:rsidP="00D73A06">
      <w:pPr>
        <w:widowControl w:val="0"/>
        <w:spacing w:line="276" w:lineRule="auto"/>
        <w:contextualSpacing/>
        <w:rPr>
          <w:rFonts w:ascii="Arial" w:eastAsia="Times New Roman" w:hAnsi="Arial"/>
          <w:lang w:val="es-CO"/>
        </w:rPr>
      </w:pPr>
    </w:p>
    <w:p w14:paraId="288405A5" w14:textId="77777777" w:rsidR="00051063" w:rsidRPr="00FC1F98" w:rsidRDefault="002B1733" w:rsidP="00D73A06">
      <w:pPr>
        <w:widowControl w:val="0"/>
        <w:spacing w:line="276" w:lineRule="auto"/>
        <w:contextualSpacing/>
        <w:rPr>
          <w:rFonts w:ascii="Arial" w:eastAsia="Times New Roman" w:hAnsi="Arial"/>
          <w:lang w:val="es-CO"/>
        </w:rPr>
      </w:pPr>
      <w:r w:rsidRPr="00C70FE7">
        <w:rPr>
          <w:rFonts w:ascii="Arial" w:eastAsia="Times New Roman" w:hAnsi="Arial"/>
          <w:lang w:val="es-CO"/>
        </w:rPr>
        <w:t>a) 1569-33331-002-2007-00226-00,</w:t>
      </w:r>
      <w:r w:rsidRPr="00FC1F98">
        <w:rPr>
          <w:rFonts w:ascii="Arial" w:eastAsia="Times New Roman" w:hAnsi="Arial"/>
          <w:lang w:val="es-CO"/>
        </w:rPr>
        <w:t xml:space="preserve"> de 10 de octubre de 2016, demandantes Sixta Tulia Parra y otros</w:t>
      </w:r>
    </w:p>
    <w:p w14:paraId="458A68AE" w14:textId="77777777" w:rsidR="00051063" w:rsidRPr="00FC1F98" w:rsidRDefault="002B1733" w:rsidP="00D73A06">
      <w:pPr>
        <w:widowControl w:val="0"/>
        <w:spacing w:line="276" w:lineRule="auto"/>
        <w:contextualSpacing/>
        <w:rPr>
          <w:rFonts w:ascii="Arial" w:eastAsia="Times New Roman" w:hAnsi="Arial"/>
          <w:lang w:val="es-CO"/>
        </w:rPr>
      </w:pPr>
      <w:r w:rsidRPr="00FC1F98">
        <w:rPr>
          <w:rFonts w:ascii="Arial" w:eastAsia="Times New Roman" w:hAnsi="Arial"/>
          <w:lang w:val="es-CO"/>
        </w:rPr>
        <w:t>b) 1569-33331-002-2007-00089-00, de 11 de noviembre de 2020, demandantes Clementina Del Carmen Pérez y otros y,</w:t>
      </w:r>
    </w:p>
    <w:p w14:paraId="4C89A246" w14:textId="69DEAE61" w:rsidR="000B5D46" w:rsidRPr="00C70FE7" w:rsidRDefault="002B1733" w:rsidP="00D73A06">
      <w:pPr>
        <w:widowControl w:val="0"/>
        <w:spacing w:line="276" w:lineRule="auto"/>
        <w:contextualSpacing/>
        <w:rPr>
          <w:rFonts w:ascii="Arial" w:hAnsi="Arial"/>
          <w:bCs/>
          <w:noProof/>
        </w:rPr>
      </w:pPr>
      <w:r w:rsidRPr="00FC1F98">
        <w:rPr>
          <w:rFonts w:ascii="Arial" w:eastAsia="Times New Roman" w:hAnsi="Arial"/>
          <w:lang w:val="es-CO"/>
        </w:rPr>
        <w:t xml:space="preserve">c) 1569-33331-002-2007-00064-01, de 25 de noviembre de 2020, demandantes Dioselina Corredor de </w:t>
      </w:r>
      <w:r w:rsidRPr="00C70FE7">
        <w:rPr>
          <w:rFonts w:ascii="Arial" w:eastAsia="Times New Roman" w:hAnsi="Arial"/>
          <w:lang w:val="es-CO"/>
        </w:rPr>
        <w:t>Sichacá y otros.</w:t>
      </w:r>
    </w:p>
    <w:p w14:paraId="00E883FD" w14:textId="77777777" w:rsidR="000B5D46" w:rsidRPr="00C70FE7" w:rsidRDefault="000B5D46" w:rsidP="000B5D46">
      <w:pPr>
        <w:spacing w:line="276" w:lineRule="auto"/>
        <w:rPr>
          <w:rFonts w:ascii="Arial" w:eastAsia="Times New Roman" w:hAnsi="Arial"/>
          <w:lang w:val="es-CO"/>
        </w:rPr>
      </w:pPr>
    </w:p>
    <w:p w14:paraId="60B22760" w14:textId="7C507CE0" w:rsidR="00F803F2" w:rsidRDefault="00095C1B" w:rsidP="00051063">
      <w:pPr>
        <w:pStyle w:val="Sinespaciado"/>
        <w:spacing w:line="276" w:lineRule="auto"/>
        <w:rPr>
          <w:rFonts w:ascii="Arial" w:eastAsia="Times New Roman" w:hAnsi="Arial"/>
          <w:lang w:eastAsia="es-ES"/>
        </w:rPr>
      </w:pPr>
      <w:r w:rsidRPr="00C70FE7">
        <w:rPr>
          <w:rFonts w:ascii="Arial" w:eastAsia="Times New Roman" w:hAnsi="Arial"/>
          <w:lang w:eastAsia="es-ES"/>
        </w:rPr>
        <w:t xml:space="preserve">Frente a este reparo, </w:t>
      </w:r>
      <w:r w:rsidR="00051063" w:rsidRPr="00C70FE7">
        <w:rPr>
          <w:rFonts w:ascii="Arial" w:eastAsia="Times New Roman" w:hAnsi="Arial"/>
          <w:lang w:eastAsia="es-ES"/>
        </w:rPr>
        <w:t xml:space="preserve">la Sala </w:t>
      </w:r>
      <w:r w:rsidR="00F803F2" w:rsidRPr="00C70FE7">
        <w:rPr>
          <w:rFonts w:ascii="Arial" w:eastAsia="Times New Roman" w:hAnsi="Arial"/>
          <w:lang w:eastAsia="es-ES"/>
        </w:rPr>
        <w:t xml:space="preserve">precisa que estas </w:t>
      </w:r>
      <w:r w:rsidR="00185CCA" w:rsidRPr="00C70FE7">
        <w:rPr>
          <w:rFonts w:ascii="Arial" w:eastAsia="Times New Roman" w:hAnsi="Arial"/>
          <w:lang w:eastAsia="es-ES"/>
        </w:rPr>
        <w:t>sentencias</w:t>
      </w:r>
      <w:r w:rsidR="00F803F2" w:rsidRPr="00C70FE7">
        <w:rPr>
          <w:rFonts w:ascii="Arial" w:eastAsia="Times New Roman" w:hAnsi="Arial"/>
          <w:lang w:eastAsia="es-ES"/>
        </w:rPr>
        <w:t xml:space="preserve"> no constituyen un precedente por cuanto como se indicó </w:t>
      </w:r>
      <w:r w:rsidR="00F803F2" w:rsidRPr="00DA43F2">
        <w:rPr>
          <w:rFonts w:ascii="Arial" w:eastAsia="Times New Roman" w:hAnsi="Arial"/>
          <w:lang w:eastAsia="es-ES"/>
        </w:rPr>
        <w:t>previamente, estas no provienen del órgano de cierre de la jurisdicción contenciosa administrativa</w:t>
      </w:r>
      <w:r w:rsidR="00937A29" w:rsidRPr="00DA43F2">
        <w:rPr>
          <w:rFonts w:ascii="Arial" w:hAnsi="Arial"/>
          <w:bCs/>
          <w:noProof/>
        </w:rPr>
        <w:t xml:space="preserve">, por tanto, no ha fijado una regla o subregla a aplicar, </w:t>
      </w:r>
      <w:r w:rsidR="00937A29" w:rsidRPr="00DA43F2">
        <w:rPr>
          <w:rFonts w:ascii="Arial" w:eastAsia="Times New Roman" w:hAnsi="Arial"/>
          <w:lang w:eastAsia="es-ES"/>
        </w:rPr>
        <w:t>y a lo sumo constituye un criterio auxiliar</w:t>
      </w:r>
      <w:r w:rsidR="00F803F2" w:rsidRPr="00DA43F2">
        <w:rPr>
          <w:rFonts w:ascii="Arial" w:eastAsia="Times New Roman" w:hAnsi="Arial"/>
          <w:lang w:eastAsia="es-ES"/>
        </w:rPr>
        <w:t xml:space="preserve">, no obstante, en garantía </w:t>
      </w:r>
      <w:r w:rsidR="00185CCA" w:rsidRPr="00DA43F2">
        <w:rPr>
          <w:rFonts w:ascii="Arial" w:eastAsia="Times New Roman" w:hAnsi="Arial"/>
          <w:lang w:eastAsia="es-ES"/>
        </w:rPr>
        <w:t>del</w:t>
      </w:r>
      <w:r w:rsidR="00F803F2" w:rsidRPr="00DA43F2">
        <w:rPr>
          <w:rFonts w:ascii="Arial" w:eastAsia="Times New Roman" w:hAnsi="Arial"/>
          <w:lang w:eastAsia="es-ES"/>
        </w:rPr>
        <w:t xml:space="preserve"> derecho a la igualdad, se hará una revisión de lo que</w:t>
      </w:r>
      <w:r w:rsidR="00F803F2" w:rsidRPr="00C70FE7">
        <w:rPr>
          <w:rFonts w:ascii="Arial" w:eastAsia="Times New Roman" w:hAnsi="Arial"/>
          <w:lang w:eastAsia="es-ES"/>
        </w:rPr>
        <w:t xml:space="preserve"> el Tribunal manifestó con relación a las providencias que el actor trajo a colación:</w:t>
      </w:r>
    </w:p>
    <w:p w14:paraId="0CFC4DFF" w14:textId="77777777" w:rsidR="00F803F2" w:rsidRDefault="00F803F2" w:rsidP="00051063">
      <w:pPr>
        <w:pStyle w:val="Sinespaciado"/>
        <w:spacing w:line="276" w:lineRule="auto"/>
        <w:rPr>
          <w:rFonts w:ascii="Arial" w:eastAsia="Times New Roman" w:hAnsi="Arial"/>
          <w:lang w:eastAsia="es-ES"/>
        </w:rPr>
      </w:pPr>
    </w:p>
    <w:p w14:paraId="737FD0A1" w14:textId="0A581586" w:rsidR="00FD0298" w:rsidRPr="00FC1F98" w:rsidRDefault="000B5D46" w:rsidP="000B5D46">
      <w:pPr>
        <w:ind w:left="567"/>
        <w:rPr>
          <w:rFonts w:ascii="Arial" w:eastAsia="Times New Roman" w:hAnsi="Arial"/>
          <w:sz w:val="22"/>
          <w:szCs w:val="22"/>
          <w:lang w:val="es-CO"/>
        </w:rPr>
      </w:pPr>
      <w:r w:rsidRPr="00FC1F98">
        <w:rPr>
          <w:rFonts w:ascii="Arial" w:eastAsia="Times New Roman" w:hAnsi="Arial"/>
          <w:sz w:val="22"/>
          <w:szCs w:val="22"/>
          <w:lang w:val="es-CO"/>
        </w:rPr>
        <w:t>“</w:t>
      </w:r>
      <w:r w:rsidR="00FD0298" w:rsidRPr="00FC1F98">
        <w:rPr>
          <w:rFonts w:ascii="Arial" w:eastAsia="Times New Roman" w:hAnsi="Arial"/>
          <w:sz w:val="22"/>
          <w:szCs w:val="22"/>
          <w:lang w:val="es-CO"/>
        </w:rPr>
        <w:t>109. En segundo lugar, una vez re</w:t>
      </w:r>
      <w:r w:rsidRPr="00FC1F98">
        <w:rPr>
          <w:rFonts w:ascii="Arial" w:eastAsia="Times New Roman" w:hAnsi="Arial"/>
          <w:sz w:val="22"/>
          <w:szCs w:val="22"/>
          <w:lang w:val="es-CO"/>
        </w:rPr>
        <w:t>visado</w:t>
      </w:r>
      <w:r w:rsidR="00FD0298" w:rsidRPr="00FC1F98">
        <w:rPr>
          <w:rFonts w:ascii="Arial" w:eastAsia="Times New Roman" w:hAnsi="Arial"/>
          <w:sz w:val="22"/>
          <w:szCs w:val="22"/>
          <w:lang w:val="es-CO"/>
        </w:rPr>
        <w:t xml:space="preserve"> el sistema de información de la rama judicial, se encuentra que las demás personas que se vieron afectadas por la explotación minera en el sector, por tener viviendas ubicadas en el área de influencia de los trabajos adelantados en virtud del contrato de pequeña explotación carbonífera 01-0095-96 (y en especial, los </w:t>
      </w:r>
      <w:r w:rsidRPr="00FC1F98">
        <w:rPr>
          <w:rFonts w:ascii="Arial" w:eastAsia="Times New Roman" w:hAnsi="Arial"/>
          <w:sz w:val="22"/>
          <w:szCs w:val="22"/>
          <w:lang w:val="es-CO"/>
        </w:rPr>
        <w:t>d</w:t>
      </w:r>
      <w:r w:rsidR="00FD0298" w:rsidRPr="00FC1F98">
        <w:rPr>
          <w:rFonts w:ascii="Arial" w:eastAsia="Times New Roman" w:hAnsi="Arial"/>
          <w:sz w:val="22"/>
          <w:szCs w:val="22"/>
          <w:lang w:val="es-CO"/>
        </w:rPr>
        <w:t xml:space="preserve">e los señores JUAN DE DIOS OCHOA CASTIBLANCO y ELSA NUBIA MATEUS JIMÉNEZ), presentaron las demandas respectivas en el año 2007 </w:t>
      </w:r>
      <w:r w:rsidR="00085204" w:rsidRPr="00FC1F98">
        <w:rPr>
          <w:rFonts w:ascii="Arial" w:eastAsia="Times New Roman" w:hAnsi="Arial"/>
          <w:sz w:val="22"/>
          <w:szCs w:val="22"/>
          <w:lang w:val="es-CO"/>
        </w:rPr>
        <w:t xml:space="preserve">(a través del mismo apoderado de los acá </w:t>
      </w:r>
      <w:r w:rsidR="00085204" w:rsidRPr="00FC1F98">
        <w:rPr>
          <w:rFonts w:ascii="Arial" w:eastAsia="Times New Roman" w:hAnsi="Arial"/>
          <w:sz w:val="22"/>
          <w:szCs w:val="22"/>
          <w:lang w:val="es-CO"/>
        </w:rPr>
        <w:lastRenderedPageBreak/>
        <w:t>demandantes), teniendo en cuenta el momento en el que se consolidaron y se hicieron manifiestos los menoscabos.</w:t>
      </w:r>
    </w:p>
    <w:p w14:paraId="4079FA6B" w14:textId="75A5E38A" w:rsidR="00FD0298" w:rsidRPr="00FC1F98" w:rsidRDefault="00FD0298" w:rsidP="000B5D46">
      <w:pPr>
        <w:rPr>
          <w:rFonts w:ascii="Arial" w:eastAsia="Times New Roman" w:hAnsi="Arial"/>
          <w:sz w:val="22"/>
          <w:szCs w:val="22"/>
          <w:lang w:val="es-CO"/>
        </w:rPr>
      </w:pPr>
    </w:p>
    <w:p w14:paraId="4A5318B2" w14:textId="270E3AD7" w:rsidR="00085204" w:rsidRPr="00FC1F98" w:rsidRDefault="00085204" w:rsidP="000B5D46">
      <w:pPr>
        <w:ind w:left="567"/>
        <w:rPr>
          <w:rFonts w:ascii="Arial" w:eastAsia="Times New Roman" w:hAnsi="Arial"/>
          <w:sz w:val="22"/>
          <w:szCs w:val="22"/>
          <w:lang w:val="es-CO"/>
        </w:rPr>
      </w:pPr>
      <w:r w:rsidRPr="00FC1F98">
        <w:rPr>
          <w:rFonts w:ascii="Arial" w:eastAsia="Times New Roman" w:hAnsi="Arial"/>
          <w:sz w:val="22"/>
          <w:szCs w:val="22"/>
          <w:lang w:val="es-CO"/>
        </w:rPr>
        <w:t xml:space="preserve">110. Así, los vecinos, que </w:t>
      </w:r>
      <w:r w:rsidR="00F509A1" w:rsidRPr="00FC1F98">
        <w:rPr>
          <w:rFonts w:ascii="Arial" w:eastAsia="Times New Roman" w:hAnsi="Arial"/>
          <w:sz w:val="22"/>
          <w:szCs w:val="22"/>
          <w:lang w:val="es-CO"/>
        </w:rPr>
        <w:t>in</w:t>
      </w:r>
      <w:r w:rsidRPr="00FC1F98">
        <w:rPr>
          <w:rFonts w:ascii="Arial" w:eastAsia="Times New Roman" w:hAnsi="Arial"/>
          <w:sz w:val="22"/>
          <w:szCs w:val="22"/>
          <w:lang w:val="es-CO"/>
        </w:rPr>
        <w:t>cluso acompañaron la visita de Procurador Judicial Agrario de Boyacá el 5 de marzo de 2010 (único documento de los expedientes administrativos que menciona a alguno de los acá accionantes) tramitan o tramitaron los siguientes procesos:</w:t>
      </w:r>
    </w:p>
    <w:p w14:paraId="750A6D5D" w14:textId="77777777" w:rsidR="00085204" w:rsidRPr="00FC1F98" w:rsidRDefault="00085204" w:rsidP="00085204">
      <w:pPr>
        <w:ind w:left="567"/>
        <w:rPr>
          <w:rFonts w:ascii="Arial" w:eastAsia="Times New Roman" w:hAnsi="Arial"/>
          <w:sz w:val="22"/>
          <w:szCs w:val="22"/>
          <w:lang w:val="es-CO"/>
        </w:rPr>
      </w:pPr>
    </w:p>
    <w:tbl>
      <w:tblPr>
        <w:tblStyle w:val="Tablaconcuadrcula"/>
        <w:tblW w:w="0" w:type="auto"/>
        <w:tblInd w:w="567" w:type="dxa"/>
        <w:tblLook w:val="04A0" w:firstRow="1" w:lastRow="0" w:firstColumn="1" w:lastColumn="0" w:noHBand="0" w:noVBand="1"/>
      </w:tblPr>
      <w:tblGrid>
        <w:gridCol w:w="2726"/>
        <w:gridCol w:w="2682"/>
        <w:gridCol w:w="2685"/>
      </w:tblGrid>
      <w:tr w:rsidR="00085204" w:rsidRPr="00FC1F98" w14:paraId="2B777A40" w14:textId="77777777" w:rsidTr="00085204">
        <w:tc>
          <w:tcPr>
            <w:tcW w:w="2886" w:type="dxa"/>
            <w:shd w:val="clear" w:color="auto" w:fill="D9D9D9" w:themeFill="background1" w:themeFillShade="D9"/>
          </w:tcPr>
          <w:p w14:paraId="060BFAE2" w14:textId="6042D83C" w:rsidR="00085204" w:rsidRPr="00FC1F98" w:rsidRDefault="00085204" w:rsidP="000B5D46">
            <w:pPr>
              <w:rPr>
                <w:rFonts w:ascii="Arial" w:eastAsia="Times New Roman" w:hAnsi="Arial"/>
                <w:b/>
                <w:bCs/>
                <w:sz w:val="22"/>
                <w:szCs w:val="22"/>
                <w:lang w:val="es-CO"/>
              </w:rPr>
            </w:pPr>
            <w:r w:rsidRPr="00FC1F98">
              <w:rPr>
                <w:rFonts w:ascii="Arial" w:eastAsia="Times New Roman" w:hAnsi="Arial"/>
                <w:b/>
                <w:bCs/>
                <w:sz w:val="22"/>
                <w:szCs w:val="22"/>
                <w:lang w:val="es-CO"/>
              </w:rPr>
              <w:t>Demandantes</w:t>
            </w:r>
          </w:p>
        </w:tc>
        <w:tc>
          <w:tcPr>
            <w:tcW w:w="2887" w:type="dxa"/>
            <w:shd w:val="clear" w:color="auto" w:fill="D9D9D9" w:themeFill="background1" w:themeFillShade="D9"/>
          </w:tcPr>
          <w:p w14:paraId="14A46634" w14:textId="160E7D49" w:rsidR="00085204" w:rsidRPr="00FC1F98" w:rsidRDefault="00085204" w:rsidP="000B5D46">
            <w:pPr>
              <w:rPr>
                <w:rFonts w:ascii="Arial" w:eastAsia="Times New Roman" w:hAnsi="Arial"/>
                <w:b/>
                <w:bCs/>
                <w:sz w:val="22"/>
                <w:szCs w:val="22"/>
                <w:lang w:val="es-CO"/>
              </w:rPr>
            </w:pPr>
            <w:r w:rsidRPr="00FC1F98">
              <w:rPr>
                <w:rFonts w:ascii="Arial" w:eastAsia="Times New Roman" w:hAnsi="Arial"/>
                <w:b/>
                <w:bCs/>
                <w:sz w:val="22"/>
                <w:szCs w:val="22"/>
                <w:lang w:val="es-CO"/>
              </w:rPr>
              <w:t>Fecha de radicación</w:t>
            </w:r>
          </w:p>
        </w:tc>
        <w:tc>
          <w:tcPr>
            <w:tcW w:w="2887" w:type="dxa"/>
            <w:shd w:val="clear" w:color="auto" w:fill="D9D9D9" w:themeFill="background1" w:themeFillShade="D9"/>
          </w:tcPr>
          <w:p w14:paraId="01F191EA" w14:textId="3B6D89E6" w:rsidR="00085204" w:rsidRPr="00FC1F98" w:rsidRDefault="00085204" w:rsidP="000B5D46">
            <w:pPr>
              <w:rPr>
                <w:rFonts w:ascii="Arial" w:eastAsia="Times New Roman" w:hAnsi="Arial"/>
                <w:b/>
                <w:bCs/>
                <w:sz w:val="22"/>
                <w:szCs w:val="22"/>
                <w:lang w:val="es-CO"/>
              </w:rPr>
            </w:pPr>
            <w:r w:rsidRPr="00FC1F98">
              <w:rPr>
                <w:rFonts w:ascii="Arial" w:eastAsia="Times New Roman" w:hAnsi="Arial"/>
                <w:b/>
                <w:bCs/>
                <w:sz w:val="22"/>
                <w:szCs w:val="22"/>
                <w:lang w:val="es-CO"/>
              </w:rPr>
              <w:t>Referencia</w:t>
            </w:r>
          </w:p>
        </w:tc>
      </w:tr>
      <w:tr w:rsidR="00085204" w:rsidRPr="00FC1F98" w14:paraId="7EF44389" w14:textId="77777777" w:rsidTr="00085204">
        <w:tc>
          <w:tcPr>
            <w:tcW w:w="2886" w:type="dxa"/>
          </w:tcPr>
          <w:p w14:paraId="2199C498" w14:textId="4BEEAFBA"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 xml:space="preserve">Clementina del Carmen Pérez </w:t>
            </w:r>
            <w:proofErr w:type="spellStart"/>
            <w:r w:rsidRPr="00FC1F98">
              <w:rPr>
                <w:rFonts w:ascii="Arial" w:eastAsia="Times New Roman" w:hAnsi="Arial"/>
                <w:sz w:val="22"/>
                <w:szCs w:val="22"/>
                <w:lang w:val="es-CO"/>
              </w:rPr>
              <w:t>Pérez</w:t>
            </w:r>
            <w:proofErr w:type="spellEnd"/>
            <w:r w:rsidRPr="00FC1F98">
              <w:rPr>
                <w:rFonts w:ascii="Arial" w:eastAsia="Times New Roman" w:hAnsi="Arial"/>
                <w:sz w:val="22"/>
                <w:szCs w:val="22"/>
                <w:lang w:val="es-CO"/>
              </w:rPr>
              <w:t xml:space="preserve"> y su núcleo familiar</w:t>
            </w:r>
          </w:p>
        </w:tc>
        <w:tc>
          <w:tcPr>
            <w:tcW w:w="2887" w:type="dxa"/>
          </w:tcPr>
          <w:p w14:paraId="2317AF72" w14:textId="395FC540"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26 de julio de 2007</w:t>
            </w:r>
          </w:p>
        </w:tc>
        <w:tc>
          <w:tcPr>
            <w:tcW w:w="2887" w:type="dxa"/>
          </w:tcPr>
          <w:p w14:paraId="5EB2730B" w14:textId="0E64931E"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2007-00089</w:t>
            </w:r>
          </w:p>
        </w:tc>
      </w:tr>
      <w:tr w:rsidR="00085204" w:rsidRPr="00FC1F98" w14:paraId="1CECECE7" w14:textId="77777777" w:rsidTr="00085204">
        <w:tc>
          <w:tcPr>
            <w:tcW w:w="2886" w:type="dxa"/>
          </w:tcPr>
          <w:p w14:paraId="7BCFD71A" w14:textId="409FCFDF"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Dioselina Corredor de Sichacá y su núcleo familiar</w:t>
            </w:r>
          </w:p>
        </w:tc>
        <w:tc>
          <w:tcPr>
            <w:tcW w:w="2887" w:type="dxa"/>
          </w:tcPr>
          <w:p w14:paraId="6F7BF5DB" w14:textId="4FD23086"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18 de octubre de 2007</w:t>
            </w:r>
          </w:p>
        </w:tc>
        <w:tc>
          <w:tcPr>
            <w:tcW w:w="2887" w:type="dxa"/>
          </w:tcPr>
          <w:p w14:paraId="0193C4AE" w14:textId="003D2A97"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2007-00064</w:t>
            </w:r>
          </w:p>
        </w:tc>
      </w:tr>
      <w:tr w:rsidR="00085204" w:rsidRPr="00FC1F98" w14:paraId="62616E66" w14:textId="77777777" w:rsidTr="00085204">
        <w:tc>
          <w:tcPr>
            <w:tcW w:w="2886" w:type="dxa"/>
          </w:tcPr>
          <w:p w14:paraId="7C47CEB3" w14:textId="00A49A71"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Sixta Tulia Parra y su núcleo familiar</w:t>
            </w:r>
          </w:p>
        </w:tc>
        <w:tc>
          <w:tcPr>
            <w:tcW w:w="2887" w:type="dxa"/>
          </w:tcPr>
          <w:p w14:paraId="69D1A867" w14:textId="53475A02"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9 de mayo de 2007</w:t>
            </w:r>
          </w:p>
        </w:tc>
        <w:tc>
          <w:tcPr>
            <w:tcW w:w="2887" w:type="dxa"/>
          </w:tcPr>
          <w:p w14:paraId="2B366F88" w14:textId="5E30B208" w:rsidR="00085204" w:rsidRPr="00FC1F98" w:rsidRDefault="00085204" w:rsidP="000B5D46">
            <w:pPr>
              <w:rPr>
                <w:rFonts w:ascii="Arial" w:eastAsia="Times New Roman" w:hAnsi="Arial"/>
                <w:sz w:val="22"/>
                <w:szCs w:val="22"/>
                <w:lang w:val="es-CO"/>
              </w:rPr>
            </w:pPr>
            <w:r w:rsidRPr="00FC1F98">
              <w:rPr>
                <w:rFonts w:ascii="Arial" w:eastAsia="Times New Roman" w:hAnsi="Arial"/>
                <w:sz w:val="22"/>
                <w:szCs w:val="22"/>
                <w:lang w:val="es-CO"/>
              </w:rPr>
              <w:t>2007-00226</w:t>
            </w:r>
          </w:p>
        </w:tc>
      </w:tr>
    </w:tbl>
    <w:p w14:paraId="79CC3735" w14:textId="25DE0DD7" w:rsidR="00FD0298" w:rsidRPr="00FC1F98" w:rsidRDefault="00085204" w:rsidP="00085204">
      <w:pPr>
        <w:ind w:left="567"/>
        <w:rPr>
          <w:rFonts w:ascii="Arial" w:eastAsia="Times New Roman" w:hAnsi="Arial"/>
          <w:sz w:val="22"/>
          <w:szCs w:val="22"/>
          <w:lang w:val="es-CO"/>
        </w:rPr>
      </w:pPr>
      <w:r w:rsidRPr="00FC1F98">
        <w:rPr>
          <w:rFonts w:ascii="Arial" w:eastAsia="Times New Roman" w:hAnsi="Arial"/>
          <w:sz w:val="22"/>
          <w:szCs w:val="22"/>
          <w:lang w:val="es-CO"/>
        </w:rPr>
        <w:t xml:space="preserve"> </w:t>
      </w:r>
    </w:p>
    <w:p w14:paraId="52C5C5B3" w14:textId="76DCA2F4" w:rsidR="00085204" w:rsidRPr="00FC1F98" w:rsidRDefault="00085204" w:rsidP="000B5D46">
      <w:pPr>
        <w:ind w:left="567"/>
        <w:rPr>
          <w:rFonts w:ascii="Arial" w:eastAsia="Times New Roman" w:hAnsi="Arial"/>
          <w:sz w:val="22"/>
          <w:szCs w:val="22"/>
          <w:lang w:val="es-CO"/>
        </w:rPr>
      </w:pPr>
      <w:r w:rsidRPr="00FC1F98">
        <w:rPr>
          <w:rFonts w:ascii="Arial" w:eastAsia="Times New Roman" w:hAnsi="Arial"/>
          <w:sz w:val="22"/>
          <w:szCs w:val="22"/>
          <w:lang w:val="es-CO"/>
        </w:rPr>
        <w:t xml:space="preserve">111. Por consiguiente, el Tribunal dará aplicación al inciso 2° </w:t>
      </w:r>
      <w:r w:rsidR="00A23E8A" w:rsidRPr="00FC1F98">
        <w:rPr>
          <w:rFonts w:ascii="Arial" w:eastAsia="Times New Roman" w:hAnsi="Arial"/>
          <w:sz w:val="22"/>
          <w:szCs w:val="22"/>
          <w:lang w:val="es-CO"/>
        </w:rPr>
        <w:t xml:space="preserve">del </w:t>
      </w:r>
      <w:r w:rsidR="009B0508" w:rsidRPr="00FC1F98">
        <w:rPr>
          <w:rFonts w:ascii="Arial" w:eastAsia="Times New Roman" w:hAnsi="Arial"/>
          <w:sz w:val="22"/>
          <w:szCs w:val="22"/>
          <w:lang w:val="es-CO"/>
        </w:rPr>
        <w:t>artículo</w:t>
      </w:r>
      <w:r w:rsidR="00A23E8A" w:rsidRPr="00FC1F98">
        <w:rPr>
          <w:rFonts w:ascii="Arial" w:eastAsia="Times New Roman" w:hAnsi="Arial"/>
          <w:sz w:val="22"/>
          <w:szCs w:val="22"/>
          <w:lang w:val="es-CO"/>
        </w:rPr>
        <w:t xml:space="preserve"> 164 del CCA, el cual señala que “[e]</w:t>
      </w:r>
      <w:r w:rsidR="00A23E8A" w:rsidRPr="00FC1F98">
        <w:rPr>
          <w:rFonts w:ascii="Arial" w:eastAsia="Times New Roman" w:hAnsi="Arial"/>
          <w:i/>
          <w:iCs/>
          <w:sz w:val="22"/>
          <w:szCs w:val="22"/>
          <w:lang w:val="es-CO"/>
        </w:rPr>
        <w:t>n la sentencia definitiva se decidirá sobre las excepciones propuestas y sobre cualquiera otra que el fallador encuentre probada</w:t>
      </w:r>
      <w:r w:rsidR="00A23E8A" w:rsidRPr="00FC1F98">
        <w:rPr>
          <w:rFonts w:ascii="Arial" w:eastAsia="Times New Roman" w:hAnsi="Arial"/>
          <w:sz w:val="22"/>
          <w:szCs w:val="22"/>
          <w:lang w:val="es-CO"/>
        </w:rPr>
        <w:t>”</w:t>
      </w:r>
      <w:r w:rsidR="00F509A1" w:rsidRPr="00FC1F98">
        <w:rPr>
          <w:rFonts w:ascii="Arial" w:eastAsia="Times New Roman" w:hAnsi="Arial"/>
          <w:sz w:val="22"/>
          <w:szCs w:val="22"/>
          <w:lang w:val="es-CO"/>
        </w:rPr>
        <w:t>,</w:t>
      </w:r>
      <w:r w:rsidR="00A23E8A" w:rsidRPr="00FC1F98">
        <w:rPr>
          <w:rFonts w:ascii="Arial" w:eastAsia="Times New Roman" w:hAnsi="Arial"/>
          <w:sz w:val="22"/>
          <w:szCs w:val="22"/>
          <w:lang w:val="es-CO"/>
        </w:rPr>
        <w:t xml:space="preserve"> y declarará probada de oficio la excepción de caducidad. Lo anterior teniendo en cuenta que esta institución es de orden público, opera de pleno derecho (</w:t>
      </w:r>
      <w:r w:rsidR="00A23E8A" w:rsidRPr="00FC1F98">
        <w:rPr>
          <w:rFonts w:ascii="Arial" w:eastAsia="Times New Roman" w:hAnsi="Arial"/>
          <w:i/>
          <w:iCs/>
          <w:sz w:val="22"/>
          <w:szCs w:val="22"/>
          <w:lang w:val="es-CO"/>
        </w:rPr>
        <w:t>ipso iure)</w:t>
      </w:r>
      <w:r w:rsidR="00A23E8A" w:rsidRPr="00FC1F98">
        <w:rPr>
          <w:rFonts w:ascii="Arial" w:eastAsia="Times New Roman" w:hAnsi="Arial"/>
          <w:sz w:val="22"/>
          <w:szCs w:val="22"/>
          <w:lang w:val="es-CO"/>
        </w:rPr>
        <w:t xml:space="preserve"> y no está sometida a la voluntad de las partes:</w:t>
      </w:r>
    </w:p>
    <w:p w14:paraId="5116FA32" w14:textId="77777777" w:rsidR="00A23E8A" w:rsidRPr="00FC1F98" w:rsidRDefault="00A23E8A" w:rsidP="000B5D46">
      <w:pPr>
        <w:ind w:left="567"/>
        <w:rPr>
          <w:rFonts w:ascii="Arial" w:eastAsia="Times New Roman" w:hAnsi="Arial"/>
          <w:sz w:val="22"/>
          <w:szCs w:val="22"/>
          <w:lang w:val="es-CO"/>
        </w:rPr>
      </w:pPr>
    </w:p>
    <w:p w14:paraId="1270623C" w14:textId="37CDCB79" w:rsidR="00A23E8A" w:rsidRPr="00FC1F98" w:rsidRDefault="00A23E8A" w:rsidP="000B5D46">
      <w:pPr>
        <w:ind w:left="1134"/>
        <w:rPr>
          <w:rFonts w:ascii="Arial" w:eastAsia="Times New Roman" w:hAnsi="Arial"/>
          <w:b/>
          <w:bCs/>
          <w:sz w:val="22"/>
          <w:szCs w:val="22"/>
          <w:u w:val="single"/>
          <w:lang w:val="es-CO"/>
        </w:rPr>
      </w:pPr>
      <w:r w:rsidRPr="00FC1F98">
        <w:rPr>
          <w:rFonts w:ascii="Arial" w:eastAsia="Times New Roman" w:hAnsi="Arial"/>
          <w:sz w:val="22"/>
          <w:szCs w:val="22"/>
          <w:lang w:val="es-CO"/>
        </w:rPr>
        <w:t xml:space="preserve">“(…) No puede pasar por alto esta Sala que, para garantizar la seguridad jurídica de los sujetos procesales, el legislador colombiano instituyó la figura de la caducidad de la acción, que impone a las partes de la carga procesal de promover el litigio del plazo fijado por la ley; de no hacerlo en tiempo, se pierde la posibilidad de accionar ante la jurisdicción para hacer efectivo el derecho. </w:t>
      </w:r>
      <w:r w:rsidRPr="00FC1F98">
        <w:rPr>
          <w:rFonts w:ascii="Arial" w:eastAsia="Times New Roman" w:hAnsi="Arial"/>
          <w:b/>
          <w:bCs/>
          <w:sz w:val="22"/>
          <w:szCs w:val="22"/>
          <w:lang w:val="es-CO"/>
        </w:rPr>
        <w:t>La caducidad, como fenómeno jurídico procesal, no admite renuncia ni suspensión del término, el cual cursa de manera inexorable, salvo cuando se presenta solicitud de conciliación extrajudicial en derecho, suspensión que, en todo caso, debe atenderse según los parámetros fijados en las leyes 446 de 1998 y 640 de 2001.</w:t>
      </w:r>
      <w:r w:rsidRPr="00FC1F98">
        <w:rPr>
          <w:rFonts w:ascii="Arial" w:eastAsia="Times New Roman" w:hAnsi="Arial"/>
          <w:b/>
          <w:bCs/>
          <w:sz w:val="22"/>
          <w:szCs w:val="22"/>
          <w:u w:val="single"/>
          <w:lang w:val="es-CO"/>
        </w:rPr>
        <w:t xml:space="preserve"> La caducidad por ser de orden público, es indisponible e irrenunciable y el juez, cuando encuentra probados los respectivos supuestos fácticos debe declararla, aún de oficio y en contra de la voluntad de las partes, pues aquélla opera por el sólo transcurso del tiempo</w:t>
      </w:r>
      <w:r w:rsidR="00894A0D" w:rsidRPr="00FC1F98">
        <w:rPr>
          <w:rFonts w:ascii="Arial" w:eastAsia="Times New Roman" w:hAnsi="Arial"/>
          <w:b/>
          <w:bCs/>
          <w:sz w:val="22"/>
          <w:szCs w:val="22"/>
          <w:u w:val="single"/>
          <w:lang w:val="es-CO"/>
        </w:rPr>
        <w:t>…”</w:t>
      </w:r>
    </w:p>
    <w:p w14:paraId="6D03ABBC" w14:textId="40E02FC7" w:rsidR="00894A0D" w:rsidRPr="00FC1F98" w:rsidRDefault="00894A0D" w:rsidP="000B5D46">
      <w:pPr>
        <w:ind w:left="1134"/>
        <w:rPr>
          <w:rFonts w:ascii="Arial" w:eastAsia="Times New Roman" w:hAnsi="Arial"/>
          <w:b/>
          <w:bCs/>
          <w:sz w:val="22"/>
          <w:szCs w:val="22"/>
          <w:u w:val="single"/>
          <w:lang w:val="es-CO"/>
        </w:rPr>
      </w:pPr>
    </w:p>
    <w:p w14:paraId="7395AF18" w14:textId="4DDB33A0" w:rsidR="00894A0D" w:rsidRPr="00FC1F98" w:rsidRDefault="00894A0D" w:rsidP="000B5D46">
      <w:pPr>
        <w:ind w:left="567"/>
        <w:rPr>
          <w:rFonts w:ascii="Arial" w:eastAsia="Times New Roman" w:hAnsi="Arial"/>
          <w:sz w:val="22"/>
          <w:szCs w:val="22"/>
          <w:lang w:val="es-CO"/>
        </w:rPr>
      </w:pPr>
      <w:r w:rsidRPr="00FC1F98">
        <w:rPr>
          <w:rFonts w:ascii="Arial" w:eastAsia="Times New Roman" w:hAnsi="Arial"/>
          <w:sz w:val="22"/>
          <w:szCs w:val="22"/>
          <w:lang w:val="es-CO"/>
        </w:rPr>
        <w:t>112. En suma, se revocará la sentencia apelada, para declarar probada de oficio la excepción de caducidad. En consecuencia, se negarán las pretensiones de la demanda</w:t>
      </w:r>
      <w:r w:rsidR="000B5D46" w:rsidRPr="00FC1F98">
        <w:rPr>
          <w:rFonts w:ascii="Arial" w:eastAsia="Times New Roman" w:hAnsi="Arial"/>
          <w:sz w:val="22"/>
          <w:szCs w:val="22"/>
          <w:lang w:val="es-CO"/>
        </w:rPr>
        <w:t>”</w:t>
      </w:r>
      <w:r w:rsidRPr="00FC1F98">
        <w:rPr>
          <w:rFonts w:ascii="Arial" w:eastAsia="Times New Roman" w:hAnsi="Arial"/>
          <w:sz w:val="22"/>
          <w:szCs w:val="22"/>
          <w:lang w:val="es-CO"/>
        </w:rPr>
        <w:t>.</w:t>
      </w:r>
    </w:p>
    <w:p w14:paraId="75C69BA4" w14:textId="77777777" w:rsidR="00A23E8A" w:rsidRPr="00FC1F98" w:rsidRDefault="00A23E8A" w:rsidP="002364AB">
      <w:pPr>
        <w:rPr>
          <w:rFonts w:ascii="Arial" w:eastAsia="Times New Roman" w:hAnsi="Arial"/>
          <w:sz w:val="22"/>
          <w:szCs w:val="22"/>
          <w:lang w:val="es-CO"/>
        </w:rPr>
      </w:pPr>
    </w:p>
    <w:p w14:paraId="3A12C27F" w14:textId="254BB9C9" w:rsidR="00F509A1" w:rsidRPr="00FC1F98" w:rsidRDefault="000B5D46" w:rsidP="000B5D46">
      <w:pPr>
        <w:spacing w:line="276" w:lineRule="auto"/>
        <w:rPr>
          <w:rFonts w:ascii="Arial" w:eastAsia="Times New Roman" w:hAnsi="Arial"/>
          <w:lang w:val="es-CO"/>
        </w:rPr>
      </w:pPr>
      <w:r w:rsidRPr="00FC1F98">
        <w:rPr>
          <w:rFonts w:ascii="Arial" w:eastAsia="Times New Roman" w:hAnsi="Arial"/>
          <w:lang w:val="es-CO"/>
        </w:rPr>
        <w:t>Nótese, que el Tribunal</w:t>
      </w:r>
      <w:r w:rsidR="009C25F1" w:rsidRPr="00FC1F98">
        <w:rPr>
          <w:rFonts w:ascii="Arial" w:eastAsia="Times New Roman" w:hAnsi="Arial"/>
          <w:lang w:val="es-CO"/>
        </w:rPr>
        <w:t xml:space="preserve"> </w:t>
      </w:r>
      <w:r w:rsidRPr="00FC1F98">
        <w:rPr>
          <w:rFonts w:ascii="Arial" w:eastAsia="Times New Roman" w:hAnsi="Arial"/>
          <w:lang w:val="es-CO"/>
        </w:rPr>
        <w:t xml:space="preserve">al evidenciar que los referidos procesos guardaban relación </w:t>
      </w:r>
      <w:r w:rsidR="009C25F1" w:rsidRPr="00FC1F98">
        <w:rPr>
          <w:rFonts w:ascii="Arial" w:eastAsia="Times New Roman" w:hAnsi="Arial"/>
          <w:lang w:val="es-CO"/>
        </w:rPr>
        <w:t>fáctica, con la expuesta en la demanda del señor José Ricardo Corredor Cepeda, habida cuenta que, se trataba de hechos acaecidos en el marco de la explotación minera en el mismo sector</w:t>
      </w:r>
      <w:r w:rsidR="00051063" w:rsidRPr="00FC1F98">
        <w:rPr>
          <w:rFonts w:ascii="Arial" w:eastAsia="Times New Roman" w:hAnsi="Arial"/>
          <w:lang w:val="es-CO"/>
        </w:rPr>
        <w:t xml:space="preserve">, las </w:t>
      </w:r>
      <w:proofErr w:type="gramStart"/>
      <w:r w:rsidR="00051063" w:rsidRPr="00FC1F98">
        <w:rPr>
          <w:rFonts w:ascii="Arial" w:eastAsia="Times New Roman" w:hAnsi="Arial"/>
          <w:lang w:val="es-CO"/>
        </w:rPr>
        <w:t>estudió</w:t>
      </w:r>
      <w:proofErr w:type="gramEnd"/>
      <w:r w:rsidR="00051063" w:rsidRPr="00FC1F98">
        <w:rPr>
          <w:rFonts w:ascii="Arial" w:eastAsia="Times New Roman" w:hAnsi="Arial"/>
          <w:lang w:val="es-CO"/>
        </w:rPr>
        <w:t xml:space="preserve"> pero encontró que distinto a lo que ocurrió en el presente caso, las demandas presentadas en relación con dicha problemática fueron </w:t>
      </w:r>
      <w:r w:rsidR="00AF5496" w:rsidRPr="00FC1F98">
        <w:rPr>
          <w:rFonts w:ascii="Arial" w:eastAsia="Times New Roman" w:hAnsi="Arial"/>
          <w:lang w:val="es-CO"/>
        </w:rPr>
        <w:t>promovidas</w:t>
      </w:r>
      <w:r w:rsidR="00051063" w:rsidRPr="00FC1F98">
        <w:rPr>
          <w:rFonts w:ascii="Arial" w:eastAsia="Times New Roman" w:hAnsi="Arial"/>
          <w:lang w:val="es-CO"/>
        </w:rPr>
        <w:t xml:space="preserve"> en tiempo, por cuanto, </w:t>
      </w:r>
      <w:r w:rsidR="00F509A1" w:rsidRPr="00FC1F98">
        <w:rPr>
          <w:rFonts w:ascii="Arial" w:eastAsia="Times New Roman" w:hAnsi="Arial"/>
          <w:lang w:val="es-CO"/>
        </w:rPr>
        <w:t>su fecha de radicación data del 2007</w:t>
      </w:r>
      <w:r w:rsidR="005F2706" w:rsidRPr="00FC1F98">
        <w:rPr>
          <w:rFonts w:ascii="Arial" w:eastAsia="Times New Roman" w:hAnsi="Arial"/>
          <w:lang w:val="es-CO"/>
        </w:rPr>
        <w:t>.</w:t>
      </w:r>
    </w:p>
    <w:p w14:paraId="4B136657" w14:textId="77777777" w:rsidR="00051063" w:rsidRPr="00FC1F98" w:rsidRDefault="00051063" w:rsidP="000B5D46">
      <w:pPr>
        <w:spacing w:line="276" w:lineRule="auto"/>
        <w:rPr>
          <w:rFonts w:ascii="Arial" w:eastAsia="Times New Roman" w:hAnsi="Arial"/>
          <w:lang w:val="es-CO"/>
        </w:rPr>
      </w:pPr>
    </w:p>
    <w:p w14:paraId="470D5E64" w14:textId="01A02D7A" w:rsidR="00325245" w:rsidRPr="00FC1F98" w:rsidRDefault="00325245" w:rsidP="00843B73">
      <w:pPr>
        <w:spacing w:line="276" w:lineRule="auto"/>
        <w:rPr>
          <w:rFonts w:ascii="Arial" w:hAnsi="Arial"/>
          <w:bCs/>
          <w:lang w:val="es-ES_tradnl"/>
        </w:rPr>
      </w:pPr>
      <w:r w:rsidRPr="00C70FE7">
        <w:rPr>
          <w:rFonts w:ascii="Arial" w:hAnsi="Arial"/>
          <w:bCs/>
          <w:lang w:val="es-ES_tradnl"/>
        </w:rPr>
        <w:t>En ese orden de ideas</w:t>
      </w:r>
      <w:r w:rsidR="00AF5496" w:rsidRPr="00C70FE7">
        <w:rPr>
          <w:rFonts w:ascii="Arial" w:hAnsi="Arial"/>
          <w:bCs/>
          <w:lang w:val="es-ES_tradnl"/>
        </w:rPr>
        <w:t>,</w:t>
      </w:r>
      <w:r w:rsidRPr="00C70FE7">
        <w:rPr>
          <w:rFonts w:ascii="Arial" w:hAnsi="Arial"/>
          <w:bCs/>
          <w:lang w:val="es-ES_tradnl"/>
        </w:rPr>
        <w:t xml:space="preserve"> </w:t>
      </w:r>
      <w:r w:rsidR="00D877FD" w:rsidRPr="00C70FE7">
        <w:rPr>
          <w:rFonts w:ascii="Arial" w:hAnsi="Arial"/>
          <w:bCs/>
          <w:lang w:val="es-ES_tradnl"/>
        </w:rPr>
        <w:t xml:space="preserve">el cargo formulado por la parte actora no está llamado a prosperar como quiera que las providencias citadas en el marco de los procesos </w:t>
      </w:r>
      <w:r w:rsidR="00D877FD" w:rsidRPr="00C70FE7">
        <w:rPr>
          <w:rFonts w:ascii="Arial" w:hAnsi="Arial"/>
          <w:bCs/>
          <w:lang w:val="es-ES_tradnl"/>
        </w:rPr>
        <w:lastRenderedPageBreak/>
        <w:t xml:space="preserve">de </w:t>
      </w:r>
      <w:r w:rsidR="00D877FD" w:rsidRPr="00DA43F2">
        <w:rPr>
          <w:rFonts w:ascii="Arial" w:hAnsi="Arial"/>
          <w:bCs/>
          <w:lang w:val="es-ES_tradnl"/>
        </w:rPr>
        <w:t>reparación directa estudiadas por el Tribunal accionado no guardan identi</w:t>
      </w:r>
      <w:r w:rsidR="009B0508" w:rsidRPr="00DA43F2">
        <w:rPr>
          <w:rFonts w:ascii="Arial" w:hAnsi="Arial"/>
          <w:bCs/>
          <w:lang w:val="es-ES_tradnl"/>
        </w:rPr>
        <w:t>dad</w:t>
      </w:r>
      <w:r w:rsidR="00A42972" w:rsidRPr="00DA43F2">
        <w:rPr>
          <w:rFonts w:ascii="Arial" w:hAnsi="Arial"/>
          <w:bCs/>
          <w:lang w:val="es-ES_tradnl"/>
        </w:rPr>
        <w:t xml:space="preserve"> fáctica,</w:t>
      </w:r>
      <w:r w:rsidR="00D877FD" w:rsidRPr="00DA43F2">
        <w:rPr>
          <w:rFonts w:ascii="Arial" w:hAnsi="Arial"/>
          <w:bCs/>
          <w:lang w:val="es-ES_tradnl"/>
        </w:rPr>
        <w:t xml:space="preserve"> con la demanda presentada por el accionante</w:t>
      </w:r>
      <w:r w:rsidR="00A42972" w:rsidRPr="00DA43F2">
        <w:rPr>
          <w:rFonts w:ascii="Arial" w:hAnsi="Arial"/>
          <w:bCs/>
          <w:lang w:val="es-ES_tradnl"/>
        </w:rPr>
        <w:t>,</w:t>
      </w:r>
      <w:r w:rsidR="00D877FD" w:rsidRPr="00DA43F2">
        <w:rPr>
          <w:rFonts w:ascii="Arial" w:hAnsi="Arial"/>
          <w:bCs/>
          <w:lang w:val="es-ES_tradnl"/>
        </w:rPr>
        <w:t xml:space="preserve"> en tanto los referidos casos, </w:t>
      </w:r>
      <w:r w:rsidRPr="00DA43F2">
        <w:rPr>
          <w:rFonts w:ascii="Arial" w:hAnsi="Arial"/>
          <w:bCs/>
          <w:lang w:val="es-ES_tradnl"/>
        </w:rPr>
        <w:t xml:space="preserve">fueron radicados en los términos del </w:t>
      </w:r>
      <w:r w:rsidR="00413E76" w:rsidRPr="00DA43F2">
        <w:rPr>
          <w:rFonts w:ascii="Arial" w:eastAsia="Times New Roman" w:hAnsi="Arial"/>
          <w:lang w:val="es-CO"/>
        </w:rPr>
        <w:t>artículo 136 numeral 8° del CCA</w:t>
      </w:r>
      <w:r w:rsidR="005F2706" w:rsidRPr="00DA43F2">
        <w:rPr>
          <w:rFonts w:ascii="Arial" w:hAnsi="Arial"/>
          <w:bCs/>
          <w:lang w:val="es-ES_tradnl"/>
        </w:rPr>
        <w:t xml:space="preserve">, </w:t>
      </w:r>
      <w:r w:rsidR="00A42972" w:rsidRPr="00DA43F2">
        <w:rPr>
          <w:rFonts w:ascii="Arial" w:hAnsi="Arial"/>
          <w:bCs/>
          <w:lang w:val="es-ES_tradnl"/>
        </w:rPr>
        <w:t xml:space="preserve">razón por la cual, </w:t>
      </w:r>
      <w:r w:rsidR="00D877FD" w:rsidRPr="00DA43F2">
        <w:rPr>
          <w:rFonts w:ascii="Arial" w:hAnsi="Arial"/>
          <w:bCs/>
          <w:lang w:val="es-ES_tradnl"/>
        </w:rPr>
        <w:t>la Sala no encuentra vulneración al principio de igualdad</w:t>
      </w:r>
      <w:r w:rsidR="005F2706" w:rsidRPr="00DA43F2">
        <w:rPr>
          <w:rFonts w:ascii="Arial" w:hAnsi="Arial"/>
          <w:bCs/>
          <w:lang w:val="es-ES_tradnl"/>
        </w:rPr>
        <w:t xml:space="preserve">, </w:t>
      </w:r>
      <w:r w:rsidR="009B0508" w:rsidRPr="00DA43F2">
        <w:rPr>
          <w:rFonts w:ascii="Arial" w:hAnsi="Arial"/>
          <w:bCs/>
          <w:lang w:val="es-ES_tradnl"/>
        </w:rPr>
        <w:t xml:space="preserve">en consecuencia, </w:t>
      </w:r>
      <w:r w:rsidR="005F2706" w:rsidRPr="00DA43F2">
        <w:rPr>
          <w:rFonts w:ascii="Arial" w:hAnsi="Arial"/>
          <w:bCs/>
          <w:lang w:val="es-ES_tradnl"/>
        </w:rPr>
        <w:t>se negará</w:t>
      </w:r>
      <w:r w:rsidR="009B0508" w:rsidRPr="00DA43F2">
        <w:rPr>
          <w:rFonts w:ascii="Arial" w:hAnsi="Arial"/>
          <w:bCs/>
          <w:lang w:val="es-ES_tradnl"/>
        </w:rPr>
        <w:t xml:space="preserve"> </w:t>
      </w:r>
      <w:r w:rsidR="005F2706" w:rsidRPr="00DA43F2">
        <w:rPr>
          <w:rFonts w:ascii="Arial" w:hAnsi="Arial"/>
          <w:bCs/>
          <w:lang w:val="es-ES_tradnl"/>
        </w:rPr>
        <w:t>la petición de amparo constitucional.</w:t>
      </w:r>
    </w:p>
    <w:p w14:paraId="3036D5AD" w14:textId="42B02AC2" w:rsidR="00325245" w:rsidRPr="00FC1F98" w:rsidRDefault="00325245" w:rsidP="00843B73">
      <w:pPr>
        <w:spacing w:line="276" w:lineRule="auto"/>
        <w:rPr>
          <w:rFonts w:ascii="Arial" w:hAnsi="Arial"/>
          <w:bCs/>
          <w:lang w:val="es-ES_tradnl"/>
        </w:rPr>
      </w:pPr>
    </w:p>
    <w:p w14:paraId="3B09C73C" w14:textId="787FCED8" w:rsidR="003F1386" w:rsidRPr="00FC1F98" w:rsidRDefault="003F1386" w:rsidP="003F1386">
      <w:pPr>
        <w:widowControl w:val="0"/>
        <w:spacing w:line="276" w:lineRule="auto"/>
        <w:contextualSpacing/>
        <w:rPr>
          <w:rFonts w:ascii="Arial" w:hAnsi="Arial"/>
          <w:b/>
          <w:noProof/>
        </w:rPr>
      </w:pPr>
      <w:r w:rsidRPr="00FC1F98">
        <w:rPr>
          <w:rFonts w:ascii="Arial" w:hAnsi="Arial"/>
          <w:b/>
          <w:noProof/>
        </w:rPr>
        <w:t>4. Conclusión</w:t>
      </w:r>
    </w:p>
    <w:p w14:paraId="012D2C28" w14:textId="77777777" w:rsidR="003F1386" w:rsidRPr="00FC1F98" w:rsidRDefault="003F1386" w:rsidP="003F1386">
      <w:pPr>
        <w:spacing w:line="276" w:lineRule="auto"/>
        <w:contextualSpacing/>
        <w:rPr>
          <w:rFonts w:ascii="Arial" w:hAnsi="Arial"/>
          <w:noProof/>
        </w:rPr>
      </w:pPr>
    </w:p>
    <w:p w14:paraId="3D03A876" w14:textId="1AB4190A" w:rsidR="003F1386" w:rsidRPr="00FC1F98" w:rsidRDefault="003F1386" w:rsidP="003F1386">
      <w:pPr>
        <w:spacing w:line="276" w:lineRule="auto"/>
        <w:contextualSpacing/>
        <w:rPr>
          <w:rFonts w:ascii="Arial" w:hAnsi="Arial"/>
          <w:noProof/>
        </w:rPr>
      </w:pPr>
      <w:r w:rsidRPr="00FC1F98">
        <w:rPr>
          <w:rFonts w:ascii="Arial" w:hAnsi="Arial"/>
          <w:noProof/>
        </w:rPr>
        <w:t>La Sala negará la solicitud de amparo formulada por el señor José Ricardo Cepeda Corredor contra el Tribunal Administrativo de Boyacá, frente a la sentencia de segunda instancia proferida el 10 de noviembre de 2020</w:t>
      </w:r>
      <w:r w:rsidRPr="00FC1F98">
        <w:rPr>
          <w:rFonts w:ascii="Arial" w:hAnsi="Arial"/>
        </w:rPr>
        <w:t>, al interior del proceso de reparación directa</w:t>
      </w:r>
      <w:r w:rsidR="00721395" w:rsidRPr="00FC1F98">
        <w:rPr>
          <w:rFonts w:ascii="Arial" w:hAnsi="Arial"/>
        </w:rPr>
        <w:t xml:space="preserve"> identificado</w:t>
      </w:r>
      <w:r w:rsidRPr="00FC1F98">
        <w:rPr>
          <w:rFonts w:ascii="Arial" w:hAnsi="Arial"/>
        </w:rPr>
        <w:t xml:space="preserve"> con </w:t>
      </w:r>
      <w:r w:rsidR="00721395" w:rsidRPr="00FC1F98">
        <w:rPr>
          <w:rFonts w:ascii="Arial" w:hAnsi="Arial"/>
        </w:rPr>
        <w:t xml:space="preserve">el </w:t>
      </w:r>
      <w:r w:rsidRPr="00FC1F98">
        <w:rPr>
          <w:rFonts w:ascii="Arial" w:hAnsi="Arial"/>
        </w:rPr>
        <w:t>radicado 15693-33-31-002-2011-00237-01, por cuanto los yerros deprecados contra la providencia, no se configuraron.</w:t>
      </w:r>
    </w:p>
    <w:p w14:paraId="154578D3" w14:textId="2538F944" w:rsidR="00647926" w:rsidRPr="00FC1F98" w:rsidRDefault="00647926" w:rsidP="00843B73">
      <w:pPr>
        <w:spacing w:line="276" w:lineRule="auto"/>
        <w:rPr>
          <w:rFonts w:ascii="Arial" w:hAnsi="Arial"/>
          <w:bCs/>
          <w:lang w:val="es-ES_tradnl"/>
        </w:rPr>
      </w:pPr>
    </w:p>
    <w:p w14:paraId="32277FB3" w14:textId="4B313A2C" w:rsidR="001B50EB" w:rsidRPr="00FC1F98" w:rsidRDefault="001B50EB">
      <w:pPr>
        <w:spacing w:line="276" w:lineRule="auto"/>
        <w:rPr>
          <w:rFonts w:ascii="Arial" w:hAnsi="Arial"/>
          <w:bCs/>
          <w:lang w:val="es-ES_tradnl"/>
        </w:rPr>
      </w:pPr>
      <w:r w:rsidRPr="00FC1F98">
        <w:rPr>
          <w:rFonts w:ascii="Arial" w:hAnsi="Arial"/>
          <w:bCs/>
          <w:lang w:val="es-ES_tradnl"/>
        </w:rPr>
        <w:t xml:space="preserve">Por lo expuesto, el Consejo de Estado, Sala de lo Contencioso Administrativo, Sección Quinta, administrando justicia en nombre de la República y por autoridad de la ley </w:t>
      </w:r>
    </w:p>
    <w:p w14:paraId="46FF25E7" w14:textId="77777777" w:rsidR="00477900" w:rsidRPr="00FC1F98" w:rsidRDefault="00477900">
      <w:pPr>
        <w:spacing w:line="276" w:lineRule="auto"/>
        <w:rPr>
          <w:rFonts w:ascii="Arial" w:eastAsia="Arial" w:hAnsi="Arial"/>
          <w:b/>
          <w:lang w:val="es-ES_tradnl"/>
        </w:rPr>
      </w:pPr>
    </w:p>
    <w:p w14:paraId="2CEADB6E" w14:textId="77777777" w:rsidR="00AC5986" w:rsidRPr="00FC1F98" w:rsidRDefault="00AC5986">
      <w:pPr>
        <w:spacing w:line="276" w:lineRule="auto"/>
        <w:jc w:val="center"/>
        <w:rPr>
          <w:rFonts w:ascii="Arial" w:eastAsia="Arial" w:hAnsi="Arial"/>
          <w:b/>
          <w:lang w:val="es-ES_tradnl"/>
        </w:rPr>
      </w:pPr>
      <w:r w:rsidRPr="00FC1F98">
        <w:rPr>
          <w:rFonts w:ascii="Arial" w:eastAsia="Arial" w:hAnsi="Arial"/>
          <w:b/>
          <w:lang w:val="es-ES_tradnl"/>
        </w:rPr>
        <w:t>FALLA:</w:t>
      </w:r>
    </w:p>
    <w:p w14:paraId="48F0E027" w14:textId="235DA2F0" w:rsidR="00AC5986" w:rsidRPr="00FC1F98" w:rsidRDefault="00AC5986">
      <w:pPr>
        <w:spacing w:line="276" w:lineRule="auto"/>
        <w:rPr>
          <w:rFonts w:ascii="Arial" w:eastAsia="Arial" w:hAnsi="Arial"/>
          <w:b/>
          <w:lang w:val="es-ES_tradnl"/>
        </w:rPr>
      </w:pPr>
    </w:p>
    <w:p w14:paraId="23E3B200" w14:textId="617EA5BC" w:rsidR="00D73A06" w:rsidRPr="00FC1F98" w:rsidRDefault="004825BA" w:rsidP="00037DBB">
      <w:pPr>
        <w:spacing w:line="276" w:lineRule="auto"/>
        <w:rPr>
          <w:rFonts w:ascii="Arial" w:eastAsia="Times New Roman" w:hAnsi="Arial"/>
          <w:color w:val="000000"/>
          <w:lang w:val="es-CO"/>
        </w:rPr>
      </w:pPr>
      <w:r w:rsidRPr="00FC1F98">
        <w:rPr>
          <w:rFonts w:ascii="Arial" w:eastAsia="Arial" w:hAnsi="Arial"/>
          <w:b/>
          <w:lang w:val="es-ES_tradnl"/>
        </w:rPr>
        <w:t xml:space="preserve">PRIMERO: </w:t>
      </w:r>
      <w:r w:rsidR="00D73A06" w:rsidRPr="00FC1F98">
        <w:rPr>
          <w:rFonts w:ascii="Arial" w:eastAsia="Arial" w:hAnsi="Arial"/>
          <w:b/>
          <w:lang w:val="es-ES_tradnl"/>
        </w:rPr>
        <w:t xml:space="preserve">Negar </w:t>
      </w:r>
      <w:r w:rsidR="00D73A06" w:rsidRPr="00FC1F98">
        <w:rPr>
          <w:rFonts w:ascii="Arial" w:eastAsia="Arial" w:hAnsi="Arial"/>
          <w:bCs/>
          <w:lang w:val="es-ES_tradnl"/>
        </w:rPr>
        <w:t>la excepción de falta de legit</w:t>
      </w:r>
      <w:r w:rsidR="00037DBB" w:rsidRPr="00FC1F98">
        <w:rPr>
          <w:rFonts w:ascii="Arial" w:eastAsia="Arial" w:hAnsi="Arial"/>
          <w:bCs/>
          <w:lang w:val="es-ES_tradnl"/>
        </w:rPr>
        <w:t>im</w:t>
      </w:r>
      <w:r w:rsidR="00D73A06" w:rsidRPr="00FC1F98">
        <w:rPr>
          <w:rFonts w:ascii="Arial" w:eastAsia="Arial" w:hAnsi="Arial"/>
          <w:bCs/>
          <w:lang w:val="es-ES_tradnl"/>
        </w:rPr>
        <w:t>ación en la causa po</w:t>
      </w:r>
      <w:r w:rsidR="002A6445" w:rsidRPr="00FC1F98">
        <w:rPr>
          <w:rFonts w:ascii="Arial" w:eastAsia="Arial" w:hAnsi="Arial"/>
          <w:bCs/>
          <w:lang w:val="es-ES_tradnl"/>
        </w:rPr>
        <w:t>r</w:t>
      </w:r>
      <w:r w:rsidR="00D73A06" w:rsidRPr="00FC1F98">
        <w:rPr>
          <w:rFonts w:ascii="Arial" w:eastAsia="Arial" w:hAnsi="Arial"/>
          <w:bCs/>
          <w:lang w:val="es-ES_tradnl"/>
        </w:rPr>
        <w:t xml:space="preserve"> activa, </w:t>
      </w:r>
      <w:r w:rsidR="00037DBB" w:rsidRPr="00FC1F98">
        <w:rPr>
          <w:rFonts w:ascii="Arial" w:eastAsia="Arial" w:hAnsi="Arial"/>
          <w:bCs/>
          <w:lang w:val="es-ES_tradnl"/>
        </w:rPr>
        <w:t xml:space="preserve">propuesta por el Ministerio de Vivienda, </w:t>
      </w:r>
      <w:r w:rsidR="00D73A06" w:rsidRPr="00FC1F98">
        <w:rPr>
          <w:rFonts w:ascii="Arial" w:eastAsia="Times New Roman" w:hAnsi="Arial"/>
          <w:bCs/>
          <w:color w:val="000000"/>
          <w:lang w:val="es-CO"/>
        </w:rPr>
        <w:t>Ciudad y Territori</w:t>
      </w:r>
      <w:r w:rsidR="00037DBB" w:rsidRPr="00FC1F98">
        <w:rPr>
          <w:rFonts w:ascii="Arial" w:eastAsia="Times New Roman" w:hAnsi="Arial"/>
          <w:bCs/>
          <w:color w:val="000000"/>
          <w:lang w:val="es-CO"/>
        </w:rPr>
        <w:t xml:space="preserve">o, el Ministerio </w:t>
      </w:r>
      <w:r w:rsidR="00D73A06" w:rsidRPr="00FC1F98">
        <w:rPr>
          <w:rFonts w:ascii="Arial" w:eastAsia="Times New Roman" w:hAnsi="Arial"/>
          <w:bCs/>
          <w:color w:val="000000"/>
          <w:lang w:val="es-CO"/>
        </w:rPr>
        <w:t>de</w:t>
      </w:r>
      <w:r w:rsidR="00D73A06" w:rsidRPr="00FC1F98">
        <w:rPr>
          <w:rFonts w:ascii="Arial" w:eastAsia="Times New Roman" w:hAnsi="Arial"/>
          <w:color w:val="000000"/>
          <w:lang w:val="es-CO"/>
        </w:rPr>
        <w:t xml:space="preserve"> Ambiente y Desarrollo Sostenible</w:t>
      </w:r>
      <w:r w:rsidR="00037DBB" w:rsidRPr="00FC1F98">
        <w:rPr>
          <w:rFonts w:ascii="Arial" w:eastAsia="Times New Roman" w:hAnsi="Arial"/>
          <w:color w:val="000000"/>
          <w:lang w:val="es-CO"/>
        </w:rPr>
        <w:t xml:space="preserve">, el Ministerio de Minas y Energía y el </w:t>
      </w:r>
      <w:r w:rsidR="00D73A06" w:rsidRPr="00FC1F98">
        <w:rPr>
          <w:rFonts w:ascii="Arial" w:eastAsia="Times New Roman" w:hAnsi="Arial"/>
          <w:color w:val="000000"/>
        </w:rPr>
        <w:t>Servicio Geológico Colombiano</w:t>
      </w:r>
      <w:r w:rsidR="00037DBB" w:rsidRPr="00FC1F98">
        <w:rPr>
          <w:rFonts w:ascii="Arial" w:eastAsia="Times New Roman" w:hAnsi="Arial"/>
          <w:color w:val="000000"/>
        </w:rPr>
        <w:t>, por las razones expuestas en la parte motiva de esta providencia.</w:t>
      </w:r>
    </w:p>
    <w:p w14:paraId="71306C9C" w14:textId="77777777" w:rsidR="00D73A06" w:rsidRPr="00FC1F98" w:rsidRDefault="00D73A06" w:rsidP="00D73A06">
      <w:pPr>
        <w:pStyle w:val="Prrafodelista"/>
        <w:tabs>
          <w:tab w:val="left" w:pos="567"/>
        </w:tabs>
        <w:spacing w:line="276" w:lineRule="auto"/>
        <w:ind w:left="0"/>
        <w:rPr>
          <w:rFonts w:ascii="Arial" w:eastAsia="Times New Roman" w:hAnsi="Arial"/>
          <w:color w:val="000000"/>
        </w:rPr>
      </w:pPr>
    </w:p>
    <w:p w14:paraId="35236CD4" w14:textId="77777777" w:rsidR="000A6DE6" w:rsidRPr="00FC1F98" w:rsidRDefault="00037DBB" w:rsidP="000A6DE6">
      <w:pPr>
        <w:spacing w:line="276" w:lineRule="auto"/>
        <w:rPr>
          <w:rFonts w:ascii="Arial" w:eastAsia="Arial" w:hAnsi="Arial"/>
          <w:bCs/>
          <w:lang w:val="es-ES_tradnl"/>
        </w:rPr>
      </w:pPr>
      <w:r w:rsidRPr="00FC1F98">
        <w:rPr>
          <w:rFonts w:ascii="Arial" w:eastAsia="Arial" w:hAnsi="Arial"/>
          <w:b/>
          <w:lang w:val="es-ES_tradnl"/>
        </w:rPr>
        <w:t xml:space="preserve">SEGUNDO: </w:t>
      </w:r>
      <w:r w:rsidR="000A6DE6" w:rsidRPr="00FC1F98">
        <w:rPr>
          <w:rFonts w:ascii="Arial" w:eastAsia="Arial" w:hAnsi="Arial"/>
          <w:b/>
          <w:lang w:val="es-ES_tradnl"/>
        </w:rPr>
        <w:t xml:space="preserve">Negar </w:t>
      </w:r>
      <w:r w:rsidR="000A6DE6" w:rsidRPr="00FC1F98">
        <w:rPr>
          <w:rFonts w:ascii="Arial" w:eastAsia="Arial" w:hAnsi="Arial"/>
          <w:bCs/>
          <w:lang w:val="es-ES_tradnl"/>
        </w:rPr>
        <w:t>la solicitud de amparo, promovida por el señor José Ricardo Cepeda Corredor, contra el Tribunal Administrativo de Boyacá, de conformidad con lo expuesto en la parte considerativa de la presente providencia.</w:t>
      </w:r>
    </w:p>
    <w:p w14:paraId="7F034AD9" w14:textId="2B12CFB1" w:rsidR="00D73A06" w:rsidRPr="00FC1F98" w:rsidRDefault="00D73A06">
      <w:pPr>
        <w:spacing w:line="276" w:lineRule="auto"/>
        <w:rPr>
          <w:rFonts w:ascii="Arial" w:eastAsia="Arial" w:hAnsi="Arial"/>
          <w:b/>
          <w:lang w:val="es-ES_tradnl"/>
        </w:rPr>
      </w:pPr>
    </w:p>
    <w:p w14:paraId="49A5DABD" w14:textId="648AE759" w:rsidR="000A6DE6" w:rsidRPr="00FC1F98" w:rsidRDefault="00037DBB">
      <w:pPr>
        <w:spacing w:line="276" w:lineRule="auto"/>
        <w:rPr>
          <w:rFonts w:ascii="Arial" w:eastAsia="Arial" w:hAnsi="Arial"/>
          <w:b/>
          <w:lang w:val="es-ES_tradnl"/>
        </w:rPr>
      </w:pPr>
      <w:r w:rsidRPr="00FC1F98">
        <w:rPr>
          <w:rFonts w:ascii="Arial" w:eastAsia="Arial" w:hAnsi="Arial"/>
          <w:b/>
          <w:lang w:val="es-ES_tradnl"/>
        </w:rPr>
        <w:t xml:space="preserve">TERCERO: </w:t>
      </w:r>
      <w:r w:rsidR="000A6DE6" w:rsidRPr="00FC1F98">
        <w:rPr>
          <w:rFonts w:ascii="Arial" w:eastAsia="Arial" w:hAnsi="Arial"/>
          <w:b/>
          <w:lang w:val="es-ES_tradnl"/>
        </w:rPr>
        <w:t xml:space="preserve">Reconocer </w:t>
      </w:r>
      <w:r w:rsidR="000A6DE6" w:rsidRPr="00FC1F98">
        <w:rPr>
          <w:rFonts w:ascii="Arial" w:eastAsia="Arial" w:hAnsi="Arial"/>
          <w:bCs/>
          <w:lang w:val="es-ES_tradnl"/>
        </w:rPr>
        <w:t xml:space="preserve">personería al abogado Rubiel Ocampo, identificado con cédula de ciudadanía No. 17147702 y portador de la Tarjeta Profesional No. 14256 del C.S. de la Judicatura, como apoderado de los señores </w:t>
      </w:r>
      <w:r w:rsidR="000A6DE6" w:rsidRPr="00FC1F98">
        <w:rPr>
          <w:rFonts w:ascii="Arial" w:eastAsia="Times New Roman" w:hAnsi="Arial"/>
          <w:color w:val="000000"/>
          <w:lang w:val="es-CO"/>
        </w:rPr>
        <w:t>Juan de Dios Ochoa y Elsa Nubia Mateus, en los términos señalados en el poder adjunto.</w:t>
      </w:r>
    </w:p>
    <w:p w14:paraId="31A793D2" w14:textId="77777777" w:rsidR="00D73A06" w:rsidRPr="00FC1F98" w:rsidRDefault="00D73A06">
      <w:pPr>
        <w:spacing w:line="276" w:lineRule="auto"/>
        <w:rPr>
          <w:rFonts w:ascii="Arial" w:eastAsia="Arial" w:hAnsi="Arial"/>
          <w:bCs/>
          <w:lang w:val="es-ES_tradnl"/>
        </w:rPr>
      </w:pPr>
    </w:p>
    <w:p w14:paraId="5FD0848B" w14:textId="2899BD7D" w:rsidR="006C544D" w:rsidRPr="00FC1F98" w:rsidRDefault="00D73A06" w:rsidP="006C544D">
      <w:pPr>
        <w:spacing w:line="276" w:lineRule="auto"/>
        <w:rPr>
          <w:rFonts w:ascii="Arial" w:eastAsia="Arial" w:hAnsi="Arial"/>
          <w:b/>
          <w:bCs/>
          <w:lang w:val="es-ES_tradnl"/>
        </w:rPr>
      </w:pPr>
      <w:r w:rsidRPr="00FC1F98">
        <w:rPr>
          <w:rFonts w:ascii="Arial" w:eastAsia="Arial" w:hAnsi="Arial"/>
          <w:b/>
          <w:lang w:val="es-CO"/>
        </w:rPr>
        <w:t>CUARTO</w:t>
      </w:r>
      <w:r w:rsidRPr="00FC1F98">
        <w:rPr>
          <w:rFonts w:ascii="Arial" w:eastAsia="Arial" w:hAnsi="Arial"/>
          <w:b/>
          <w:lang w:val="uz-Cyrl-UZ"/>
        </w:rPr>
        <w:t xml:space="preserve">: </w:t>
      </w:r>
      <w:r w:rsidR="00245A0D" w:rsidRPr="00FC1F98">
        <w:rPr>
          <w:rFonts w:ascii="Arial" w:eastAsia="Arial" w:hAnsi="Arial"/>
          <w:b/>
          <w:bCs/>
          <w:lang w:val="es-ES_tradnl"/>
        </w:rPr>
        <w:t>N</w:t>
      </w:r>
      <w:r w:rsidR="00F423F7" w:rsidRPr="00FC1F98">
        <w:rPr>
          <w:rFonts w:ascii="Arial" w:eastAsia="Arial" w:hAnsi="Arial"/>
          <w:b/>
          <w:bCs/>
          <w:lang w:val="es-ES_tradnl"/>
        </w:rPr>
        <w:t>otificar</w:t>
      </w:r>
      <w:r w:rsidR="006C544D" w:rsidRPr="00FC1F98">
        <w:rPr>
          <w:rFonts w:ascii="Arial" w:eastAsia="Arial" w:hAnsi="Arial"/>
          <w:lang w:val="es-ES_tradnl"/>
        </w:rPr>
        <w:t xml:space="preserve"> a las partes y a los intervinientes en la forma prevista en el artículo 30 del Decreto 2591 de 1991.</w:t>
      </w:r>
    </w:p>
    <w:p w14:paraId="658F5736" w14:textId="5F4E24AF" w:rsidR="004E1343" w:rsidRPr="00FC1F98" w:rsidRDefault="004E1343" w:rsidP="006C544D">
      <w:pPr>
        <w:spacing w:line="276" w:lineRule="auto"/>
        <w:rPr>
          <w:rFonts w:ascii="Arial" w:eastAsia="Arial" w:hAnsi="Arial"/>
          <w:b/>
          <w:lang w:val="es-ES_tradnl"/>
        </w:rPr>
      </w:pPr>
    </w:p>
    <w:p w14:paraId="0087A2A3" w14:textId="113969B9" w:rsidR="006C544D" w:rsidRPr="00FC1F98" w:rsidRDefault="00D73A06" w:rsidP="006C544D">
      <w:pPr>
        <w:spacing w:line="276" w:lineRule="auto"/>
        <w:rPr>
          <w:rFonts w:ascii="Arial" w:eastAsia="Arial" w:hAnsi="Arial"/>
          <w:bCs/>
          <w:lang w:val="es-ES_tradnl"/>
        </w:rPr>
      </w:pPr>
      <w:r w:rsidRPr="00FC1F98">
        <w:rPr>
          <w:rFonts w:ascii="Arial" w:eastAsia="Arial" w:hAnsi="Arial"/>
          <w:b/>
          <w:lang w:val="es-ES_tradnl"/>
        </w:rPr>
        <w:t>QUINTO:</w:t>
      </w:r>
      <w:r w:rsidRPr="00FC1F98">
        <w:rPr>
          <w:rFonts w:ascii="Arial" w:eastAsia="Arial" w:hAnsi="Arial"/>
          <w:bCs/>
          <w:lang w:val="es-ES_tradnl"/>
        </w:rPr>
        <w:t xml:space="preserve"> </w:t>
      </w:r>
      <w:r w:rsidR="006C544D" w:rsidRPr="00FC1F98">
        <w:rPr>
          <w:rFonts w:ascii="Arial" w:eastAsia="Arial" w:hAnsi="Arial"/>
          <w:bCs/>
          <w:lang w:val="es-ES_tradnl"/>
        </w:rPr>
        <w:t xml:space="preserve">En el evento de no ser impugnada la presente decisión, </w:t>
      </w:r>
      <w:r w:rsidR="00C17E59" w:rsidRPr="00FC1F98">
        <w:rPr>
          <w:rFonts w:ascii="Arial" w:eastAsia="Arial" w:hAnsi="Arial"/>
          <w:b/>
          <w:lang w:val="es-ES_tradnl"/>
        </w:rPr>
        <w:t>Remitir</w:t>
      </w:r>
      <w:r w:rsidR="006C544D" w:rsidRPr="00FC1F98">
        <w:rPr>
          <w:rFonts w:ascii="Arial" w:eastAsia="Arial" w:hAnsi="Arial"/>
          <w:b/>
          <w:lang w:val="es-ES_tradnl"/>
        </w:rPr>
        <w:t xml:space="preserve"> </w:t>
      </w:r>
      <w:r w:rsidR="006C544D" w:rsidRPr="00FC1F98">
        <w:rPr>
          <w:rFonts w:ascii="Arial" w:eastAsia="Arial" w:hAnsi="Arial"/>
          <w:bCs/>
          <w:lang w:val="es-ES_tradnl"/>
        </w:rPr>
        <w:t>el expediente a la Corte Constitucional para su eventual revisión.</w:t>
      </w:r>
    </w:p>
    <w:p w14:paraId="5FCF25FC" w14:textId="28F11090" w:rsidR="0098017D" w:rsidRPr="00FC1F98" w:rsidRDefault="0098017D" w:rsidP="006C544D">
      <w:pPr>
        <w:spacing w:line="276" w:lineRule="auto"/>
        <w:rPr>
          <w:rFonts w:ascii="Arial" w:eastAsia="Arial" w:hAnsi="Arial"/>
          <w:bCs/>
          <w:lang w:val="es-ES_tradnl"/>
        </w:rPr>
      </w:pPr>
    </w:p>
    <w:p w14:paraId="7A490DA3" w14:textId="77777777" w:rsidR="004825BA" w:rsidRPr="00FC1F98" w:rsidRDefault="004825BA" w:rsidP="006C544D">
      <w:pPr>
        <w:spacing w:line="276" w:lineRule="auto"/>
        <w:rPr>
          <w:rFonts w:ascii="Arial" w:eastAsia="Arial" w:hAnsi="Arial"/>
          <w:b/>
          <w:lang w:val="es-ES_tradnl"/>
        </w:rPr>
      </w:pPr>
    </w:p>
    <w:p w14:paraId="2C47951D" w14:textId="77777777" w:rsidR="001E7505" w:rsidRPr="00FC1F98" w:rsidRDefault="001E7505" w:rsidP="006C544D">
      <w:pPr>
        <w:tabs>
          <w:tab w:val="left" w:pos="2760"/>
        </w:tabs>
        <w:spacing w:line="276" w:lineRule="auto"/>
        <w:ind w:hanging="2"/>
        <w:rPr>
          <w:rFonts w:ascii="Arial" w:hAnsi="Arial"/>
          <w:color w:val="000000" w:themeColor="text1"/>
          <w:lang w:val="es-ES_tradnl" w:eastAsia="es-ES"/>
        </w:rPr>
      </w:pPr>
    </w:p>
    <w:p w14:paraId="633CE27C" w14:textId="1E512FAA" w:rsidR="00BD2C53" w:rsidRPr="00FC1F98" w:rsidRDefault="00BD2C53">
      <w:pPr>
        <w:tabs>
          <w:tab w:val="left" w:pos="2760"/>
        </w:tabs>
        <w:spacing w:line="276" w:lineRule="auto"/>
        <w:ind w:hanging="2"/>
        <w:rPr>
          <w:rFonts w:ascii="Arial" w:eastAsia="Arial" w:hAnsi="Arial"/>
        </w:rPr>
      </w:pPr>
      <w:r w:rsidRPr="00FC1F98">
        <w:rPr>
          <w:rFonts w:ascii="Arial" w:eastAsia="Arial" w:hAnsi="Arial"/>
          <w:b/>
        </w:rPr>
        <w:t>NOTIFÍQUESE Y CÚMPLASE.</w:t>
      </w:r>
    </w:p>
    <w:p w14:paraId="08238C3E" w14:textId="77777777" w:rsidR="00BD2C53" w:rsidRPr="00FC1F98" w:rsidRDefault="00BD2C53">
      <w:pPr>
        <w:tabs>
          <w:tab w:val="left" w:pos="2760"/>
        </w:tabs>
        <w:spacing w:line="276" w:lineRule="auto"/>
        <w:rPr>
          <w:rFonts w:ascii="Arial" w:eastAsia="Arial" w:hAnsi="Arial"/>
        </w:rPr>
      </w:pPr>
    </w:p>
    <w:p w14:paraId="326C2D89"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lastRenderedPageBreak/>
        <w:t>ROCÍO ARAÚJO OÑATE</w:t>
      </w:r>
    </w:p>
    <w:p w14:paraId="7B1BBC7A"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Presidente</w:t>
      </w:r>
    </w:p>
    <w:p w14:paraId="721AA11C" w14:textId="77777777" w:rsidR="001B50EB" w:rsidRPr="00FC1F98" w:rsidRDefault="001B50EB">
      <w:pPr>
        <w:tabs>
          <w:tab w:val="left" w:pos="2760"/>
        </w:tabs>
        <w:spacing w:line="276" w:lineRule="auto"/>
        <w:ind w:hanging="2"/>
        <w:jc w:val="center"/>
        <w:rPr>
          <w:rFonts w:ascii="Arial" w:eastAsia="Arial" w:hAnsi="Arial"/>
          <w:b/>
          <w:lang w:val="es-CO"/>
        </w:rPr>
      </w:pPr>
    </w:p>
    <w:p w14:paraId="02A394B4" w14:textId="77777777" w:rsidR="001B50EB" w:rsidRPr="00FC1F98" w:rsidRDefault="001B50EB">
      <w:pPr>
        <w:tabs>
          <w:tab w:val="left" w:pos="2760"/>
        </w:tabs>
        <w:spacing w:line="276" w:lineRule="auto"/>
        <w:ind w:hanging="2"/>
        <w:jc w:val="center"/>
        <w:rPr>
          <w:rFonts w:ascii="Arial" w:eastAsia="Arial" w:hAnsi="Arial"/>
          <w:b/>
          <w:lang w:val="es-CO"/>
        </w:rPr>
      </w:pPr>
    </w:p>
    <w:p w14:paraId="588C75A9"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LUIS ALBERTO ÁLVAREZ PARRA</w:t>
      </w:r>
    </w:p>
    <w:p w14:paraId="1F8ABE0C"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Magistrado</w:t>
      </w:r>
    </w:p>
    <w:p w14:paraId="28A9A130" w14:textId="77777777" w:rsidR="001B50EB" w:rsidRPr="00FC1F98" w:rsidRDefault="001B50EB">
      <w:pPr>
        <w:tabs>
          <w:tab w:val="left" w:pos="2760"/>
        </w:tabs>
        <w:spacing w:line="276" w:lineRule="auto"/>
        <w:ind w:hanging="2"/>
        <w:jc w:val="center"/>
        <w:rPr>
          <w:rFonts w:ascii="Arial" w:eastAsia="Arial" w:hAnsi="Arial"/>
          <w:b/>
          <w:lang w:val="es-CO"/>
        </w:rPr>
      </w:pPr>
    </w:p>
    <w:p w14:paraId="0E996537" w14:textId="77777777" w:rsidR="001B50EB" w:rsidRPr="00FC1F98" w:rsidRDefault="001B50EB">
      <w:pPr>
        <w:tabs>
          <w:tab w:val="left" w:pos="2760"/>
        </w:tabs>
        <w:spacing w:line="276" w:lineRule="auto"/>
        <w:ind w:hanging="2"/>
        <w:jc w:val="center"/>
        <w:rPr>
          <w:rFonts w:ascii="Arial" w:eastAsia="Arial" w:hAnsi="Arial"/>
          <w:b/>
          <w:lang w:val="es-CO"/>
        </w:rPr>
      </w:pPr>
    </w:p>
    <w:p w14:paraId="2DCC99FE"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 xml:space="preserve">LUCY JEANNETTE BERMÚDEZ </w:t>
      </w:r>
      <w:proofErr w:type="spellStart"/>
      <w:r w:rsidRPr="00FC1F98">
        <w:rPr>
          <w:rFonts w:ascii="Arial" w:eastAsia="Arial" w:hAnsi="Arial"/>
          <w:b/>
          <w:lang w:val="es-CO"/>
        </w:rPr>
        <w:t>BERMÚDEZ</w:t>
      </w:r>
      <w:proofErr w:type="spellEnd"/>
    </w:p>
    <w:p w14:paraId="1D3C62CB"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Magistrada</w:t>
      </w:r>
    </w:p>
    <w:p w14:paraId="30A6BE18" w14:textId="77777777" w:rsidR="001B50EB" w:rsidRPr="00FC1F98" w:rsidRDefault="001B50EB">
      <w:pPr>
        <w:tabs>
          <w:tab w:val="left" w:pos="2760"/>
        </w:tabs>
        <w:spacing w:line="276" w:lineRule="auto"/>
        <w:ind w:hanging="2"/>
        <w:jc w:val="center"/>
        <w:rPr>
          <w:rFonts w:ascii="Arial" w:eastAsia="Arial" w:hAnsi="Arial"/>
          <w:b/>
          <w:lang w:val="es-CO"/>
        </w:rPr>
      </w:pPr>
    </w:p>
    <w:p w14:paraId="07D768FA" w14:textId="77777777" w:rsidR="001B50EB" w:rsidRPr="00FC1F98" w:rsidRDefault="001B50EB">
      <w:pPr>
        <w:tabs>
          <w:tab w:val="left" w:pos="2760"/>
        </w:tabs>
        <w:spacing w:line="276" w:lineRule="auto"/>
        <w:ind w:hanging="2"/>
        <w:jc w:val="center"/>
        <w:rPr>
          <w:rFonts w:ascii="Arial" w:eastAsia="Arial" w:hAnsi="Arial"/>
          <w:b/>
          <w:lang w:val="es-CO"/>
        </w:rPr>
      </w:pPr>
    </w:p>
    <w:p w14:paraId="6DE2F285"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CARLOS ENRIQUE MORENO RUBIO</w:t>
      </w:r>
    </w:p>
    <w:p w14:paraId="367EBEE5" w14:textId="77777777" w:rsidR="001B50EB" w:rsidRPr="00FC1F98" w:rsidRDefault="001B50EB">
      <w:pPr>
        <w:tabs>
          <w:tab w:val="left" w:pos="2760"/>
        </w:tabs>
        <w:spacing w:line="276" w:lineRule="auto"/>
        <w:ind w:hanging="2"/>
        <w:jc w:val="center"/>
        <w:rPr>
          <w:rFonts w:ascii="Arial" w:eastAsia="Arial" w:hAnsi="Arial"/>
          <w:b/>
          <w:lang w:val="es-CO"/>
        </w:rPr>
      </w:pPr>
      <w:r w:rsidRPr="00FC1F98">
        <w:rPr>
          <w:rFonts w:ascii="Arial" w:eastAsia="Arial" w:hAnsi="Arial"/>
          <w:b/>
          <w:lang w:val="es-CO"/>
        </w:rPr>
        <w:t>Magistrado</w:t>
      </w:r>
    </w:p>
    <w:p w14:paraId="376E244B" w14:textId="77777777" w:rsidR="001B50EB" w:rsidRPr="00FC1F98" w:rsidRDefault="001B50EB">
      <w:pPr>
        <w:tabs>
          <w:tab w:val="left" w:pos="2760"/>
        </w:tabs>
        <w:spacing w:line="276" w:lineRule="auto"/>
        <w:ind w:hanging="2"/>
        <w:jc w:val="center"/>
        <w:rPr>
          <w:rFonts w:ascii="Arial" w:eastAsia="Arial" w:hAnsi="Arial"/>
          <w:b/>
          <w:lang w:val="es-CO"/>
        </w:rPr>
      </w:pPr>
    </w:p>
    <w:p w14:paraId="17732791" w14:textId="77777777" w:rsidR="001B50EB" w:rsidRPr="001B50EB" w:rsidRDefault="001B50EB">
      <w:pPr>
        <w:tabs>
          <w:tab w:val="left" w:pos="2760"/>
        </w:tabs>
        <w:spacing w:line="276" w:lineRule="auto"/>
        <w:ind w:hanging="2"/>
        <w:jc w:val="center"/>
        <w:rPr>
          <w:rFonts w:ascii="Arial" w:eastAsia="Arial" w:hAnsi="Arial"/>
          <w:bCs/>
          <w:sz w:val="22"/>
          <w:szCs w:val="22"/>
          <w:lang w:val="es-CO"/>
        </w:rPr>
      </w:pPr>
      <w:r w:rsidRPr="00FC1F98">
        <w:rPr>
          <w:rFonts w:ascii="Arial" w:eastAsia="Arial" w:hAnsi="Arial"/>
          <w:bCs/>
          <w:sz w:val="22"/>
          <w:szCs w:val="22"/>
          <w:lang w:val="es-CO"/>
        </w:rPr>
        <w:t>Esta decisión fue generada con firma electrónica, la cual tiene plena validez y efectos jurídicos, conforme a lo dispuesto en la Ley 527 de 1999 y el Decreto 2364 de 2012.</w:t>
      </w:r>
    </w:p>
    <w:p w14:paraId="47BAE783" w14:textId="56E1E071" w:rsidR="00D1480C" w:rsidRPr="001B50EB" w:rsidRDefault="00D1480C">
      <w:pPr>
        <w:tabs>
          <w:tab w:val="left" w:pos="2760"/>
        </w:tabs>
        <w:spacing w:line="276" w:lineRule="auto"/>
        <w:ind w:hanging="2"/>
        <w:jc w:val="center"/>
        <w:rPr>
          <w:rFonts w:ascii="Arial" w:eastAsia="Arial" w:hAnsi="Arial"/>
          <w:sz w:val="22"/>
          <w:szCs w:val="22"/>
          <w:lang w:val="es-CO"/>
        </w:rPr>
      </w:pPr>
    </w:p>
    <w:sectPr w:rsidR="00D1480C" w:rsidRPr="001B50EB" w:rsidSect="00786EF6">
      <w:headerReference w:type="default" r:id="rId12"/>
      <w:footerReference w:type="default" r:id="rId13"/>
      <w:pgSz w:w="12242" w:h="18722" w:code="14"/>
      <w:pgMar w:top="1871" w:right="1701" w:bottom="1588"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47DF8" w14:textId="77777777" w:rsidR="00F7349F" w:rsidRDefault="00F7349F" w:rsidP="00BD2C53">
      <w:r>
        <w:separator/>
      </w:r>
    </w:p>
  </w:endnote>
  <w:endnote w:type="continuationSeparator" w:id="0">
    <w:p w14:paraId="6A1BB413" w14:textId="77777777" w:rsidR="00F7349F" w:rsidRDefault="00F7349F" w:rsidP="00BD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4369" w14:textId="77777777" w:rsidR="00C70FE7" w:rsidRDefault="00C70FE7" w:rsidP="00226F95">
    <w:pPr>
      <w:tabs>
        <w:tab w:val="center" w:pos="4252"/>
        <w:tab w:val="right" w:pos="8504"/>
      </w:tabs>
      <w:contextualSpacing/>
      <w:jc w:val="center"/>
      <w:rPr>
        <w:rFonts w:ascii="Arial" w:hAnsi="Arial"/>
        <w:sz w:val="20"/>
        <w:szCs w:val="20"/>
      </w:rPr>
    </w:pPr>
  </w:p>
  <w:p w14:paraId="2B7CE006" w14:textId="77777777" w:rsidR="00C70FE7" w:rsidRPr="00A936D6" w:rsidRDefault="00C70FE7" w:rsidP="00226F95">
    <w:pPr>
      <w:tabs>
        <w:tab w:val="center" w:pos="4252"/>
        <w:tab w:val="right" w:pos="8504"/>
      </w:tabs>
      <w:contextualSpacing/>
      <w:jc w:val="center"/>
      <w:rPr>
        <w:color w:val="767171"/>
        <w:sz w:val="20"/>
        <w:szCs w:val="20"/>
      </w:rPr>
    </w:pPr>
    <w:r w:rsidRPr="00A86013">
      <w:rPr>
        <w:rFonts w:ascii="Arial" w:hAnsi="Arial"/>
        <w:sz w:val="20"/>
        <w:szCs w:val="20"/>
      </w:rPr>
      <w:fldChar w:fldCharType="begin"/>
    </w:r>
    <w:r w:rsidRPr="00A86013">
      <w:rPr>
        <w:rFonts w:ascii="Arial" w:hAnsi="Arial"/>
        <w:sz w:val="20"/>
        <w:szCs w:val="20"/>
      </w:rPr>
      <w:instrText xml:space="preserve"> PAGE   \* MERGEFORMAT </w:instrText>
    </w:r>
    <w:r w:rsidRPr="00A86013">
      <w:rPr>
        <w:rFonts w:ascii="Arial" w:hAnsi="Arial"/>
        <w:sz w:val="20"/>
        <w:szCs w:val="20"/>
      </w:rPr>
      <w:fldChar w:fldCharType="separate"/>
    </w:r>
    <w:r>
      <w:rPr>
        <w:rFonts w:ascii="Arial" w:hAnsi="Arial"/>
        <w:noProof/>
        <w:sz w:val="20"/>
        <w:szCs w:val="20"/>
      </w:rPr>
      <w:t>30</w:t>
    </w:r>
    <w:r w:rsidRPr="00A86013">
      <w:rPr>
        <w:rFonts w:ascii="Arial" w:hAnsi="Arial"/>
        <w:sz w:val="20"/>
        <w:szCs w:val="20"/>
      </w:rPr>
      <w:fldChar w:fldCharType="end"/>
    </w:r>
    <w:r w:rsidRPr="00A86013">
      <w:rPr>
        <w:rFonts w:ascii="Arial" w:hAnsi="Arial"/>
      </w:rPr>
      <w:t xml:space="preserve"> </w:t>
    </w:r>
    <w:r>
      <w:rPr>
        <w:rFonts w:ascii="Arial" w:hAnsi="Arial"/>
        <w:noProof/>
        <w:lang w:eastAsia="es-ES"/>
      </w:rPr>
      <w:drawing>
        <wp:inline distT="0" distB="0" distL="0" distR="0" wp14:anchorId="2DACA78E" wp14:editId="53A4B74B">
          <wp:extent cx="704850" cy="62865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pic:spPr>
              </pic:pic>
            </a:graphicData>
          </a:graphic>
        </wp:inline>
      </w:drawing>
    </w:r>
    <w:r w:rsidRPr="00A86013">
      <w:rPr>
        <w:rFonts w:ascii="Arial" w:hAnsi="Arial"/>
      </w:rPr>
      <w:tab/>
    </w:r>
    <w:bookmarkStart w:id="17" w:name="_Hlk48653703"/>
    <w:r w:rsidRPr="00A936D6">
      <w:rPr>
        <w:color w:val="767171"/>
        <w:sz w:val="20"/>
        <w:szCs w:val="20"/>
      </w:rPr>
      <w:t>Calle 12 No. 7-65 – Tel: (57-1) 350-6700 – Bogotá D.C. – Colombia</w:t>
    </w:r>
  </w:p>
  <w:p w14:paraId="70AB0797" w14:textId="77777777" w:rsidR="00C70FE7" w:rsidRPr="00117091" w:rsidRDefault="00C70FE7" w:rsidP="00226F95">
    <w:pPr>
      <w:pStyle w:val="Piedepgina"/>
      <w:jc w:val="center"/>
      <w:rPr>
        <w:color w:val="767171"/>
        <w:sz w:val="20"/>
        <w:szCs w:val="20"/>
      </w:rPr>
    </w:pPr>
    <w:r w:rsidRPr="00A936D6">
      <w:rPr>
        <w:color w:val="767171"/>
        <w:sz w:val="20"/>
        <w:szCs w:val="20"/>
      </w:rPr>
      <w:t>www.consejodeestado.gov.co</w:t>
    </w:r>
  </w:p>
  <w:bookmarkEnd w:id="17"/>
  <w:p w14:paraId="6C4F1BA5" w14:textId="77777777" w:rsidR="00C70FE7" w:rsidRDefault="00C70F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B40F" w14:textId="77777777" w:rsidR="00F7349F" w:rsidRDefault="00F7349F" w:rsidP="00BD2C53">
      <w:r>
        <w:separator/>
      </w:r>
    </w:p>
  </w:footnote>
  <w:footnote w:type="continuationSeparator" w:id="0">
    <w:p w14:paraId="48FEFA6C" w14:textId="77777777" w:rsidR="00F7349F" w:rsidRDefault="00F7349F" w:rsidP="00BD2C53">
      <w:r>
        <w:continuationSeparator/>
      </w:r>
    </w:p>
  </w:footnote>
  <w:footnote w:id="1">
    <w:p w14:paraId="5A599F0E" w14:textId="3B989BCF" w:rsidR="00C70FE7" w:rsidRPr="0003656B" w:rsidRDefault="00C70FE7" w:rsidP="00D56FFA">
      <w:pPr>
        <w:pStyle w:val="Textonotapie"/>
        <w:spacing w:after="0" w:line="240" w:lineRule="auto"/>
        <w:ind w:leftChars="0" w:left="0" w:firstLineChars="0" w:firstLine="0"/>
        <w:jc w:val="both"/>
        <w:rPr>
          <w:rFonts w:ascii="Arial" w:hAnsi="Arial" w:cs="Arial"/>
          <w:lang w:val="es-CO"/>
        </w:rPr>
      </w:pPr>
      <w:r w:rsidRPr="0003656B">
        <w:rPr>
          <w:rStyle w:val="Refdenotaalpie"/>
          <w:rFonts w:ascii="Arial" w:hAnsi="Arial" w:cs="Arial"/>
        </w:rPr>
        <w:footnoteRef/>
      </w:r>
      <w:r w:rsidRPr="0003656B">
        <w:rPr>
          <w:rFonts w:ascii="Arial" w:hAnsi="Arial" w:cs="Arial"/>
        </w:rPr>
        <w:t xml:space="preserve"> </w:t>
      </w:r>
      <w:r w:rsidRPr="0003656B">
        <w:rPr>
          <w:rFonts w:ascii="Arial" w:hAnsi="Arial" w:cs="Arial"/>
          <w:lang w:val="es-CO"/>
        </w:rPr>
        <w:t xml:space="preserve">Modificado por el artículo 1º del Decreto Nacional 1983 de 2017.  </w:t>
      </w:r>
    </w:p>
  </w:footnote>
  <w:footnote w:id="2">
    <w:p w14:paraId="01790B31" w14:textId="43A776C5" w:rsidR="00C70FE7" w:rsidRPr="008A33D4" w:rsidRDefault="00C70FE7" w:rsidP="00D56FFA">
      <w:pPr>
        <w:pStyle w:val="Textonotapie"/>
        <w:spacing w:line="240" w:lineRule="auto"/>
        <w:ind w:left="0" w:hanging="2"/>
        <w:jc w:val="both"/>
        <w:rPr>
          <w:rFonts w:ascii="Arial" w:hAnsi="Arial" w:cs="Arial"/>
          <w:lang w:val="es-CO"/>
        </w:rPr>
      </w:pPr>
      <w:r w:rsidRPr="0003656B">
        <w:rPr>
          <w:rStyle w:val="Refdenotaalpie"/>
          <w:rFonts w:ascii="Arial" w:hAnsi="Arial" w:cs="Arial"/>
        </w:rPr>
        <w:footnoteRef/>
      </w:r>
      <w:r w:rsidRPr="0003656B">
        <w:rPr>
          <w:rFonts w:ascii="Arial" w:hAnsi="Arial" w:cs="Arial"/>
        </w:rPr>
        <w:t xml:space="preserve"> </w:t>
      </w:r>
      <w:r>
        <w:rPr>
          <w:rFonts w:ascii="Arial" w:eastAsia="Arial" w:hAnsi="Arial" w:cs="Arial"/>
          <w:color w:val="000000" w:themeColor="text1"/>
        </w:rPr>
        <w:t>El 14 de diciembre de 2020</w:t>
      </w:r>
      <w:r w:rsidRPr="0003656B">
        <w:rPr>
          <w:rFonts w:ascii="Arial" w:hAnsi="Arial" w:cs="Arial"/>
        </w:rPr>
        <w:t xml:space="preserve">, </w:t>
      </w:r>
      <w:r>
        <w:rPr>
          <w:rFonts w:ascii="Arial" w:hAnsi="Arial" w:cs="Arial"/>
        </w:rPr>
        <w:t>m</w:t>
      </w:r>
      <w:r w:rsidRPr="00D56FFA">
        <w:rPr>
          <w:rFonts w:ascii="Arial" w:hAnsi="Arial" w:cs="Arial"/>
        </w:rPr>
        <w:t>ediante mensaje de datos enviado al correo electrónico dispuesto para la recepción de tutelas y hábeas corpus por la Rama Judicial</w:t>
      </w:r>
      <w:r>
        <w:rPr>
          <w:rFonts w:ascii="Arial" w:hAnsi="Arial" w:cs="Arial"/>
          <w:lang w:val="es-CO"/>
        </w:rPr>
        <w:t>.</w:t>
      </w:r>
    </w:p>
    <w:p w14:paraId="2FDD7E3E" w14:textId="1BAF0FF9" w:rsidR="00C70FE7" w:rsidRPr="00F04776" w:rsidRDefault="00C70FE7" w:rsidP="00D56FFA">
      <w:pPr>
        <w:pStyle w:val="Textonotapie"/>
        <w:spacing w:after="0" w:line="240" w:lineRule="auto"/>
        <w:ind w:leftChars="0" w:left="0" w:firstLineChars="0" w:firstLine="0"/>
        <w:jc w:val="both"/>
        <w:rPr>
          <w:rFonts w:ascii="Arial" w:hAnsi="Arial" w:cs="Arial"/>
        </w:rPr>
      </w:pPr>
    </w:p>
    <w:p w14:paraId="5F40D9F4" w14:textId="77777777" w:rsidR="00C70FE7" w:rsidRDefault="00C70FE7" w:rsidP="00D56FFA">
      <w:pPr>
        <w:pStyle w:val="Textonotapie"/>
        <w:ind w:left="0" w:hanging="2"/>
      </w:pPr>
    </w:p>
  </w:footnote>
  <w:footnote w:id="3">
    <w:p w14:paraId="6682B1A9" w14:textId="30985C11" w:rsidR="00C70FE7" w:rsidRPr="00AE0E4B" w:rsidRDefault="00C70FE7" w:rsidP="00785F1C">
      <w:pPr>
        <w:pStyle w:val="Textonotapie"/>
        <w:spacing w:after="0"/>
        <w:ind w:left="0" w:hanging="2"/>
        <w:jc w:val="both"/>
        <w:rPr>
          <w:rFonts w:ascii="Arial" w:hAnsi="Arial" w:cs="Arial"/>
          <w:lang w:val="es-MX"/>
        </w:rPr>
      </w:pPr>
      <w:r w:rsidRPr="00785F1C">
        <w:rPr>
          <w:rStyle w:val="Refdenotaalpie"/>
          <w:rFonts w:ascii="Arial" w:hAnsi="Arial" w:cs="Arial"/>
        </w:rPr>
        <w:footnoteRef/>
      </w:r>
      <w:r w:rsidRPr="00785F1C">
        <w:rPr>
          <w:rFonts w:ascii="Arial" w:hAnsi="Arial" w:cs="Arial"/>
        </w:rPr>
        <w:t xml:space="preserve"> </w:t>
      </w:r>
      <w:r w:rsidRPr="00785F1C">
        <w:rPr>
          <w:rFonts w:ascii="Arial" w:hAnsi="Arial" w:cs="Arial"/>
          <w:lang w:val="es-MX"/>
        </w:rPr>
        <w:t xml:space="preserve">Los cuales fueron extractados de las sentencias proferidas dentro del medio de reparación directa </w:t>
      </w:r>
      <w:r w:rsidRPr="00AE0E4B">
        <w:rPr>
          <w:rFonts w:ascii="Arial" w:hAnsi="Arial" w:cs="Arial"/>
          <w:lang w:val="es-MX"/>
        </w:rPr>
        <w:t>que dio lugar a la presente acción constitucional. Folio 24 del índice 2 de SAMAI.</w:t>
      </w:r>
    </w:p>
  </w:footnote>
  <w:footnote w:id="4">
    <w:p w14:paraId="2E7ED0AE" w14:textId="0899AEF9" w:rsidR="00AE0E4B" w:rsidRPr="00AE0E4B" w:rsidRDefault="00AE0E4B" w:rsidP="00AE0E4B">
      <w:pPr>
        <w:pStyle w:val="Textonotapie"/>
        <w:spacing w:after="0" w:line="240" w:lineRule="auto"/>
        <w:ind w:left="0" w:hanging="2"/>
        <w:rPr>
          <w:lang w:val="es-MX"/>
        </w:rPr>
      </w:pPr>
      <w:r w:rsidRPr="00AE0E4B">
        <w:rPr>
          <w:rStyle w:val="Refdenotaalpie"/>
          <w:rFonts w:ascii="Arial" w:hAnsi="Arial" w:cs="Arial"/>
        </w:rPr>
        <w:footnoteRef/>
      </w:r>
      <w:r w:rsidRPr="00AE0E4B">
        <w:rPr>
          <w:rFonts w:ascii="Arial" w:hAnsi="Arial" w:cs="Arial"/>
        </w:rPr>
        <w:t xml:space="preserve"> </w:t>
      </w:r>
      <w:r w:rsidRPr="00AE0E4B">
        <w:rPr>
          <w:rFonts w:ascii="Arial" w:hAnsi="Arial" w:cs="Arial"/>
          <w:lang w:val="es-MX"/>
        </w:rPr>
        <w:t>Folio 2 del cuaderno 1 del índice 25 de SAMAI.</w:t>
      </w:r>
    </w:p>
  </w:footnote>
  <w:footnote w:id="5">
    <w:p w14:paraId="6FB91F63" w14:textId="7654C130" w:rsidR="00C70FE7" w:rsidRPr="00785F1C" w:rsidRDefault="00C70FE7" w:rsidP="00785F1C">
      <w:pPr>
        <w:pStyle w:val="Textonotapie"/>
        <w:spacing w:after="0"/>
        <w:ind w:left="0" w:hanging="2"/>
        <w:jc w:val="both"/>
        <w:rPr>
          <w:lang w:val="es-MX"/>
        </w:rPr>
      </w:pPr>
      <w:r w:rsidRPr="00785F1C">
        <w:rPr>
          <w:rStyle w:val="Refdenotaalpie"/>
          <w:rFonts w:ascii="Arial" w:hAnsi="Arial" w:cs="Arial"/>
        </w:rPr>
        <w:footnoteRef/>
      </w:r>
      <w:r w:rsidRPr="00785F1C">
        <w:rPr>
          <w:rFonts w:ascii="Arial" w:hAnsi="Arial" w:cs="Arial"/>
        </w:rPr>
        <w:t xml:space="preserve">  A través del contrato de cesión de derechos de área suscrito entre la Cooperativa Agrominera Multiactiva de Paipa </w:t>
      </w:r>
      <w:proofErr w:type="spellStart"/>
      <w:r w:rsidRPr="00785F1C">
        <w:rPr>
          <w:rFonts w:ascii="Arial" w:hAnsi="Arial" w:cs="Arial"/>
        </w:rPr>
        <w:t>Ltda</w:t>
      </w:r>
      <w:proofErr w:type="spellEnd"/>
      <w:r w:rsidRPr="00785F1C">
        <w:rPr>
          <w:rFonts w:ascii="Arial" w:hAnsi="Arial" w:cs="Arial"/>
        </w:rPr>
        <w:t xml:space="preserve"> y los productores de carbón del área de explotación el volcán contrato de explotación 01-005-96</w:t>
      </w:r>
      <w:r w:rsidRPr="00785F1C">
        <w:rPr>
          <w:rFonts w:ascii="Arial" w:hAnsi="Arial" w:cs="Arial"/>
          <w:noProof/>
        </w:rPr>
        <w:t>.</w:t>
      </w:r>
    </w:p>
  </w:footnote>
  <w:footnote w:id="6">
    <w:p w14:paraId="6E4BDB51" w14:textId="75B1AA9D" w:rsidR="00C70FE7" w:rsidRPr="00FC1F98" w:rsidRDefault="00C70FE7" w:rsidP="00092927">
      <w:pPr>
        <w:pStyle w:val="Textonotapie"/>
        <w:spacing w:after="0" w:line="240" w:lineRule="auto"/>
        <w:ind w:left="0" w:hanging="2"/>
        <w:jc w:val="both"/>
        <w:rPr>
          <w:rFonts w:ascii="Arial" w:hAnsi="Arial" w:cs="Arial"/>
          <w:lang w:val="es-MX"/>
        </w:rPr>
      </w:pPr>
      <w:r w:rsidRPr="00FC1F98">
        <w:rPr>
          <w:rStyle w:val="Refdenotaalpie"/>
          <w:rFonts w:ascii="Arial" w:hAnsi="Arial" w:cs="Arial"/>
        </w:rPr>
        <w:footnoteRef/>
      </w:r>
      <w:r w:rsidRPr="00FC1F98">
        <w:rPr>
          <w:rFonts w:ascii="Arial" w:hAnsi="Arial" w:cs="Arial"/>
        </w:rPr>
        <w:t xml:space="preserve"> Ministerio de Minas y Energía, Ministerio de Ambiente y Desarrollo Sostenible, Ministerio de Vivienda, Ciudad y Territorio, Corporación Autónoma Regional de Boyacá – Corpoboyacá, Instituto Colombiano de Geología y Minería – </w:t>
      </w:r>
      <w:proofErr w:type="spellStart"/>
      <w:r w:rsidRPr="00FC1F98">
        <w:rPr>
          <w:rFonts w:ascii="Arial" w:hAnsi="Arial" w:cs="Arial"/>
        </w:rPr>
        <w:t>Ingeominas</w:t>
      </w:r>
      <w:proofErr w:type="spellEnd"/>
      <w:r w:rsidRPr="00FC1F98">
        <w:rPr>
          <w:rFonts w:ascii="Arial" w:hAnsi="Arial" w:cs="Arial"/>
        </w:rPr>
        <w:t>, Departamento de Boyacá, Cooperativa Agrominera Multiactiva de Paipa Ltda. – Coagromin, Juan de Dios Ochoa Castiblanco y Elsa Nubia Mateus Jiménez</w:t>
      </w:r>
    </w:p>
  </w:footnote>
  <w:footnote w:id="7">
    <w:p w14:paraId="459D8EF4" w14:textId="4A0335D2" w:rsidR="00C70FE7" w:rsidRPr="00FC1F98" w:rsidRDefault="00C70FE7" w:rsidP="0052542D">
      <w:pPr>
        <w:pStyle w:val="Textonotapie"/>
        <w:spacing w:after="0" w:line="240" w:lineRule="auto"/>
        <w:ind w:leftChars="0" w:left="0" w:firstLineChars="0" w:firstLine="0"/>
        <w:jc w:val="both"/>
        <w:rPr>
          <w:rFonts w:ascii="Arial" w:hAnsi="Arial" w:cs="Arial"/>
        </w:rPr>
      </w:pPr>
      <w:r w:rsidRPr="00FC1F98">
        <w:rPr>
          <w:rStyle w:val="Refdenotaalpie"/>
          <w:rFonts w:ascii="Arial" w:hAnsi="Arial" w:cs="Arial"/>
        </w:rPr>
        <w:footnoteRef/>
      </w:r>
      <w:r w:rsidRPr="00FC1F98">
        <w:rPr>
          <w:rFonts w:ascii="Arial" w:hAnsi="Arial" w:cs="Arial"/>
        </w:rPr>
        <w:t xml:space="preserve"> Folio 105 del cuaderno No. 4 del índice 25 de SAMAI.</w:t>
      </w:r>
    </w:p>
  </w:footnote>
  <w:footnote w:id="8">
    <w:p w14:paraId="7DB87922" w14:textId="05E32619" w:rsidR="00C70FE7" w:rsidRPr="00FC1F98" w:rsidRDefault="00C70FE7" w:rsidP="008243FE">
      <w:pPr>
        <w:pStyle w:val="Textonotapie"/>
        <w:spacing w:after="0" w:line="240" w:lineRule="auto"/>
        <w:ind w:left="0" w:hanging="2"/>
        <w:rPr>
          <w:rFonts w:ascii="Arial" w:hAnsi="Arial" w:cs="Arial"/>
          <w:lang w:val="es-MX"/>
        </w:rPr>
      </w:pPr>
      <w:r w:rsidRPr="00FC1F98">
        <w:rPr>
          <w:rStyle w:val="Refdenotaalpie"/>
          <w:rFonts w:ascii="Arial" w:hAnsi="Arial" w:cs="Arial"/>
        </w:rPr>
        <w:footnoteRef/>
      </w:r>
      <w:r w:rsidRPr="00FC1F98">
        <w:rPr>
          <w:rFonts w:ascii="Arial" w:hAnsi="Arial" w:cs="Arial"/>
        </w:rPr>
        <w:t xml:space="preserve"> </w:t>
      </w:r>
      <w:r w:rsidRPr="00FC1F98">
        <w:rPr>
          <w:rFonts w:ascii="Arial" w:hAnsi="Arial" w:cs="Arial"/>
          <w:lang w:val="es-MX"/>
        </w:rPr>
        <w:t>Hoy Agencia Nacional de Minería -ANM-</w:t>
      </w:r>
    </w:p>
  </w:footnote>
  <w:footnote w:id="9">
    <w:p w14:paraId="6A9D2D63" w14:textId="1BDA3C01" w:rsidR="00C70FE7" w:rsidRPr="008748CC" w:rsidRDefault="00C70FE7" w:rsidP="008748CC">
      <w:pPr>
        <w:pStyle w:val="Textonotapie"/>
        <w:spacing w:after="0" w:line="240" w:lineRule="auto"/>
        <w:ind w:left="0" w:hanging="2"/>
        <w:rPr>
          <w:rFonts w:ascii="Arial" w:hAnsi="Arial" w:cs="Arial"/>
          <w:lang w:val="es-MX"/>
        </w:rPr>
      </w:pPr>
      <w:r w:rsidRPr="00FC1F98">
        <w:rPr>
          <w:rStyle w:val="Refdenotaalpie"/>
        </w:rPr>
        <w:footnoteRef/>
      </w:r>
      <w:r w:rsidRPr="00FC1F98">
        <w:t xml:space="preserve"> </w:t>
      </w:r>
      <w:r w:rsidRPr="00FC1F98">
        <w:rPr>
          <w:rFonts w:ascii="Arial" w:hAnsi="Arial" w:cs="Arial"/>
        </w:rPr>
        <w:t>Folio 243 del cuaderno No. 4 del índice 25 de SAMAI.</w:t>
      </w:r>
    </w:p>
  </w:footnote>
  <w:footnote w:id="10">
    <w:p w14:paraId="6569BC9C" w14:textId="4F053AA6" w:rsidR="00C70FE7" w:rsidRPr="00FC1F98" w:rsidRDefault="00C70FE7" w:rsidP="008748CC">
      <w:pPr>
        <w:pStyle w:val="Textonotapie"/>
        <w:spacing w:after="0" w:line="240" w:lineRule="auto"/>
        <w:ind w:left="0" w:hanging="2"/>
        <w:jc w:val="both"/>
        <w:rPr>
          <w:lang w:val="es-MX"/>
        </w:rPr>
      </w:pPr>
      <w:r w:rsidRPr="008748CC">
        <w:rPr>
          <w:rStyle w:val="Refdenotaalpie"/>
          <w:rFonts w:ascii="Arial" w:hAnsi="Arial" w:cs="Arial"/>
        </w:rPr>
        <w:footnoteRef/>
      </w:r>
      <w:r w:rsidRPr="008748CC">
        <w:rPr>
          <w:rFonts w:ascii="Arial" w:hAnsi="Arial" w:cs="Arial"/>
        </w:rPr>
        <w:t xml:space="preserve"> El Tribunal </w:t>
      </w:r>
      <w:r w:rsidRPr="008748CC">
        <w:rPr>
          <w:rFonts w:ascii="Arial" w:eastAsia="Times New Roman" w:hAnsi="Arial" w:cs="Arial"/>
          <w:lang w:val="es-CO"/>
        </w:rPr>
        <w:t xml:space="preserve">consideró que, el daño se había consolidado en el 2005 de forma instantánea -aunque sus efectos perjudiciales se agravaran en </w:t>
      </w:r>
      <w:r w:rsidRPr="00FC1F98">
        <w:rPr>
          <w:rFonts w:ascii="Arial" w:eastAsia="Times New Roman" w:hAnsi="Arial" w:cs="Arial"/>
          <w:lang w:val="es-CO"/>
        </w:rPr>
        <w:t>el tiempo-, pero que, en todo caso, incluso, si en gracia de discusión se llegara a aceptar que el daño es de carácter continuado -prolongación en el tiempo-, se imponía concluir que la acción vulnerante había cesado en el 2008, razón por la cual, en ambos casos resultaba extemporánea la demanda por cuanto fue radicada el 18 de agosto de 2011.</w:t>
      </w:r>
    </w:p>
  </w:footnote>
  <w:footnote w:id="11">
    <w:p w14:paraId="7301D1CA" w14:textId="77777777" w:rsidR="00C70FE7" w:rsidRPr="00FC1F98" w:rsidRDefault="00C70FE7" w:rsidP="00982DB6">
      <w:pPr>
        <w:pStyle w:val="Textonotapie"/>
        <w:spacing w:after="0" w:line="240" w:lineRule="auto"/>
        <w:ind w:left="0" w:hanging="2"/>
        <w:rPr>
          <w:rFonts w:ascii="Arial" w:hAnsi="Arial" w:cs="Arial"/>
          <w:lang w:val="es-MX"/>
        </w:rPr>
      </w:pPr>
      <w:r w:rsidRPr="00FC1F98">
        <w:rPr>
          <w:rStyle w:val="Refdenotaalpie"/>
          <w:rFonts w:ascii="Arial" w:hAnsi="Arial" w:cs="Arial"/>
        </w:rPr>
        <w:footnoteRef/>
      </w:r>
      <w:r w:rsidRPr="00FC1F98">
        <w:rPr>
          <w:rFonts w:ascii="Arial" w:hAnsi="Arial" w:cs="Arial"/>
        </w:rPr>
        <w:t xml:space="preserve"> Folio 271 del cuaderno No. 4 del índice 25 de SAMAI.</w:t>
      </w:r>
    </w:p>
  </w:footnote>
  <w:footnote w:id="12">
    <w:p w14:paraId="66D40C59" w14:textId="5216A527" w:rsidR="00C70FE7" w:rsidRPr="00FC1F98" w:rsidRDefault="00C70FE7" w:rsidP="00464815">
      <w:pPr>
        <w:pStyle w:val="Textonotapie"/>
        <w:spacing w:after="0" w:line="240" w:lineRule="auto"/>
        <w:ind w:left="0" w:hanging="2"/>
        <w:jc w:val="both"/>
        <w:rPr>
          <w:rFonts w:ascii="Arial" w:hAnsi="Arial" w:cs="Arial"/>
          <w:i/>
          <w:iCs/>
          <w:lang w:val="es-MX"/>
        </w:rPr>
      </w:pPr>
      <w:r w:rsidRPr="00FC1F98">
        <w:rPr>
          <w:rStyle w:val="Refdenotaalpie"/>
          <w:rFonts w:ascii="Arial" w:hAnsi="Arial" w:cs="Arial"/>
          <w:i/>
          <w:iCs/>
        </w:rPr>
        <w:footnoteRef/>
      </w:r>
      <w:r w:rsidRPr="00FC1F98">
        <w:rPr>
          <w:rFonts w:ascii="Arial" w:hAnsi="Arial" w:cs="Arial"/>
          <w:i/>
          <w:iCs/>
        </w:rPr>
        <w:t xml:space="preserve"> “Por el cual se dicta el Código Nacional de Recursos Naturales Renovables y de Protección al Medio Ambiente”.</w:t>
      </w:r>
    </w:p>
  </w:footnote>
  <w:footnote w:id="13">
    <w:p w14:paraId="63BCD338" w14:textId="43FA7289" w:rsidR="00C70FE7" w:rsidRPr="00FC1F98" w:rsidRDefault="00C70FE7" w:rsidP="00464815">
      <w:pPr>
        <w:pStyle w:val="Textonotapie"/>
        <w:spacing w:after="0" w:line="240" w:lineRule="auto"/>
        <w:ind w:left="0" w:hanging="2"/>
        <w:jc w:val="both"/>
        <w:rPr>
          <w:rFonts w:ascii="Arial" w:hAnsi="Arial" w:cs="Arial"/>
          <w:i/>
          <w:iCs/>
          <w:lang w:val="es-MX"/>
        </w:rPr>
      </w:pPr>
      <w:r w:rsidRPr="00FC1F98">
        <w:rPr>
          <w:rStyle w:val="Refdenotaalpie"/>
          <w:rFonts w:ascii="Arial" w:hAnsi="Arial" w:cs="Arial"/>
          <w:i/>
          <w:iCs/>
        </w:rPr>
        <w:footnoteRef/>
      </w:r>
      <w:r w:rsidRPr="00FC1F98">
        <w:rPr>
          <w:rFonts w:ascii="Arial" w:hAnsi="Arial" w:cs="Arial"/>
          <w:i/>
          <w:iCs/>
        </w:rPr>
        <w:t xml:space="preserve"> “Por la cual se modifica la Ley 9ª de 1989, y la Ley 3ª de 1991 y se dictan otras disposiciones”.</w:t>
      </w:r>
    </w:p>
  </w:footnote>
  <w:footnote w:id="14">
    <w:p w14:paraId="516E9560" w14:textId="4ACFCE88" w:rsidR="00C70FE7" w:rsidRPr="00464815" w:rsidRDefault="00C70FE7" w:rsidP="00464815">
      <w:pPr>
        <w:pStyle w:val="Textonotapie"/>
        <w:spacing w:after="0" w:line="240" w:lineRule="auto"/>
        <w:ind w:left="0" w:hanging="2"/>
        <w:jc w:val="both"/>
        <w:rPr>
          <w:rFonts w:ascii="Arial" w:hAnsi="Arial" w:cs="Arial"/>
          <w:i/>
          <w:iCs/>
          <w:lang w:val="es-MX"/>
        </w:rPr>
      </w:pPr>
      <w:r w:rsidRPr="00FC1F98">
        <w:rPr>
          <w:rStyle w:val="Refdenotaalpie"/>
          <w:rFonts w:ascii="Arial" w:hAnsi="Arial" w:cs="Arial"/>
          <w:i/>
          <w:iCs/>
        </w:rPr>
        <w:footnoteRef/>
      </w:r>
      <w:r w:rsidRPr="00FC1F98">
        <w:rPr>
          <w:rFonts w:ascii="Arial" w:hAnsi="Arial" w:cs="Arial"/>
          <w:i/>
          <w:iCs/>
        </w:rPr>
        <w:t xml:space="preserve"> “Por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 w:id="15">
    <w:p w14:paraId="02697CB6" w14:textId="3B4C9A35" w:rsidR="00C70FE7" w:rsidRPr="00464815" w:rsidRDefault="00C70FE7" w:rsidP="00464815">
      <w:pPr>
        <w:pStyle w:val="Textonotapie"/>
        <w:spacing w:after="0" w:line="240" w:lineRule="auto"/>
        <w:ind w:left="0" w:hanging="2"/>
        <w:jc w:val="both"/>
        <w:rPr>
          <w:rFonts w:ascii="Arial" w:hAnsi="Arial" w:cs="Arial"/>
          <w:lang w:val="es-MX"/>
        </w:rPr>
      </w:pPr>
      <w:r w:rsidRPr="00464815">
        <w:rPr>
          <w:rStyle w:val="Refdenotaalpie"/>
          <w:rFonts w:ascii="Arial" w:hAnsi="Arial" w:cs="Arial"/>
        </w:rPr>
        <w:footnoteRef/>
      </w:r>
      <w:r w:rsidRPr="00464815">
        <w:rPr>
          <w:rFonts w:ascii="Arial" w:hAnsi="Arial" w:cs="Arial"/>
        </w:rPr>
        <w:t xml:space="preserve"> </w:t>
      </w:r>
      <w:r w:rsidRPr="00464815">
        <w:rPr>
          <w:rFonts w:ascii="Arial" w:hAnsi="Arial" w:cs="Arial"/>
          <w:lang w:val="es-MX"/>
        </w:rPr>
        <w:t>M.P. Gabriel Eduardo Mendoza Martelo.</w:t>
      </w:r>
    </w:p>
  </w:footnote>
  <w:footnote w:id="16">
    <w:p w14:paraId="0A5B750F" w14:textId="1FFDC5E3" w:rsidR="00C70FE7" w:rsidRPr="00E473D5" w:rsidRDefault="00C70FE7">
      <w:pPr>
        <w:pStyle w:val="Textonotapie"/>
        <w:ind w:left="0" w:hanging="2"/>
        <w:rPr>
          <w:rFonts w:ascii="Arial" w:hAnsi="Arial" w:cs="Arial"/>
          <w:lang w:val="es-MX"/>
        </w:rPr>
      </w:pPr>
      <w:r w:rsidRPr="00FC1F98">
        <w:rPr>
          <w:rStyle w:val="Refdenotaalpie"/>
          <w:rFonts w:ascii="Arial" w:hAnsi="Arial" w:cs="Arial"/>
        </w:rPr>
        <w:footnoteRef/>
      </w:r>
      <w:r w:rsidRPr="00FC1F98">
        <w:rPr>
          <w:rFonts w:ascii="Arial" w:hAnsi="Arial" w:cs="Arial"/>
        </w:rPr>
        <w:t xml:space="preserve"> </w:t>
      </w:r>
      <w:r w:rsidRPr="00FC1F98">
        <w:rPr>
          <w:rFonts w:ascii="Arial" w:hAnsi="Arial" w:cs="Arial"/>
          <w:lang w:val="es-MX"/>
        </w:rPr>
        <w:t>No indicó cuál, por cuanto, en este punto por error citó el mismo nombre del demandante.</w:t>
      </w:r>
    </w:p>
  </w:footnote>
  <w:footnote w:id="17">
    <w:p w14:paraId="3A0176AC" w14:textId="2A62574E" w:rsidR="00C70FE7" w:rsidRPr="003C187A" w:rsidRDefault="00C70FE7" w:rsidP="003C187A">
      <w:pPr>
        <w:pStyle w:val="Textonotapie"/>
        <w:spacing w:after="0" w:line="240" w:lineRule="auto"/>
        <w:ind w:leftChars="0" w:left="0" w:firstLineChars="0" w:firstLine="0"/>
        <w:jc w:val="both"/>
        <w:rPr>
          <w:rFonts w:ascii="Arial" w:hAnsi="Arial" w:cs="Arial"/>
        </w:rPr>
      </w:pPr>
      <w:r w:rsidRPr="003C187A">
        <w:rPr>
          <w:rStyle w:val="Refdenotaalpie"/>
          <w:rFonts w:ascii="Arial" w:hAnsi="Arial" w:cs="Arial"/>
        </w:rPr>
        <w:footnoteRef/>
      </w:r>
      <w:r w:rsidRPr="003C187A">
        <w:rPr>
          <w:rFonts w:ascii="Arial" w:hAnsi="Arial" w:cs="Arial"/>
        </w:rPr>
        <w:t xml:space="preserve"> </w:t>
      </w:r>
      <w:r>
        <w:rPr>
          <w:rFonts w:ascii="Arial" w:hAnsi="Arial" w:cs="Arial"/>
        </w:rPr>
        <w:t>í</w:t>
      </w:r>
      <w:r w:rsidRPr="003C187A">
        <w:rPr>
          <w:rFonts w:ascii="Arial" w:hAnsi="Arial" w:cs="Arial"/>
        </w:rPr>
        <w:t>ndice 6 del aplicativo SAMAI.</w:t>
      </w:r>
    </w:p>
  </w:footnote>
  <w:footnote w:id="18">
    <w:p w14:paraId="6725E5B9" w14:textId="527E83C0" w:rsidR="00C70FE7" w:rsidRPr="003C187A" w:rsidRDefault="00C70FE7" w:rsidP="00BB223E">
      <w:pPr>
        <w:pStyle w:val="Textonotapie"/>
        <w:spacing w:after="0" w:line="240" w:lineRule="auto"/>
        <w:ind w:left="0" w:hanging="2"/>
        <w:rPr>
          <w:lang w:val="es-MX"/>
        </w:rPr>
      </w:pPr>
      <w:r w:rsidRPr="003C187A">
        <w:rPr>
          <w:rStyle w:val="Refdenotaalpie"/>
          <w:rFonts w:ascii="Arial" w:hAnsi="Arial" w:cs="Arial"/>
        </w:rPr>
        <w:footnoteRef/>
      </w:r>
      <w:r w:rsidRPr="003C187A">
        <w:rPr>
          <w:rFonts w:ascii="Arial" w:hAnsi="Arial" w:cs="Arial"/>
        </w:rPr>
        <w:t xml:space="preserve"> </w:t>
      </w:r>
      <w:r w:rsidRPr="003C187A">
        <w:rPr>
          <w:rFonts w:ascii="Arial" w:hAnsi="Arial" w:cs="Arial"/>
          <w:lang w:val="es-MX"/>
        </w:rPr>
        <w:t>Por correo de 22 de enero de 2021, el actor comunicó del fallecimiento de su madre, Paulina corredor.</w:t>
      </w:r>
      <w:r>
        <w:rPr>
          <w:rFonts w:ascii="Arial" w:hAnsi="Arial" w:cs="Arial"/>
          <w:lang w:val="es-MX"/>
        </w:rPr>
        <w:t xml:space="preserve"> í</w:t>
      </w:r>
      <w:r w:rsidRPr="003C187A">
        <w:rPr>
          <w:rFonts w:ascii="Arial" w:hAnsi="Arial" w:cs="Arial"/>
          <w:lang w:val="es-MX"/>
        </w:rPr>
        <w:t>ndice 12 de SAMAI.</w:t>
      </w:r>
    </w:p>
  </w:footnote>
  <w:footnote w:id="19">
    <w:p w14:paraId="4DA331D8" w14:textId="23EDD74D" w:rsidR="00C70FE7" w:rsidRPr="00FC1F98" w:rsidRDefault="00C70FE7" w:rsidP="0052542D">
      <w:pPr>
        <w:pStyle w:val="Textonotapie"/>
        <w:spacing w:after="0" w:line="240" w:lineRule="auto"/>
        <w:ind w:left="0" w:hanging="2"/>
        <w:jc w:val="both"/>
        <w:rPr>
          <w:rFonts w:ascii="Arial" w:hAnsi="Arial" w:cs="Arial"/>
          <w:lang w:val="es-MX"/>
        </w:rPr>
      </w:pPr>
      <w:r w:rsidRPr="0052542D">
        <w:rPr>
          <w:rStyle w:val="Refdenotaalpie"/>
          <w:rFonts w:ascii="Arial" w:hAnsi="Arial" w:cs="Arial"/>
        </w:rPr>
        <w:footnoteRef/>
      </w:r>
      <w:r w:rsidRPr="0052542D">
        <w:rPr>
          <w:rFonts w:ascii="Arial" w:hAnsi="Arial" w:cs="Arial"/>
        </w:rPr>
        <w:t xml:space="preserve"> </w:t>
      </w:r>
      <w:r>
        <w:rPr>
          <w:rFonts w:ascii="Arial" w:hAnsi="Arial" w:cs="Arial"/>
          <w:lang w:val="es-MX"/>
        </w:rPr>
        <w:t>P</w:t>
      </w:r>
      <w:r w:rsidRPr="0052542D">
        <w:rPr>
          <w:rFonts w:ascii="Arial" w:hAnsi="Arial" w:cs="Arial"/>
          <w:lang w:val="es-MX"/>
        </w:rPr>
        <w:t xml:space="preserve">or auto de 8 de mayo de 2003, </w:t>
      </w:r>
      <w:r>
        <w:rPr>
          <w:rFonts w:ascii="Arial" w:hAnsi="Arial" w:cs="Arial"/>
          <w:lang w:val="es-MX"/>
        </w:rPr>
        <w:t xml:space="preserve">el </w:t>
      </w:r>
      <w:r w:rsidRPr="00FC1F98">
        <w:rPr>
          <w:rFonts w:ascii="Arial" w:hAnsi="Arial" w:cs="Arial"/>
          <w:lang w:val="es-MX"/>
        </w:rPr>
        <w:t>juzgado de primera instancia, aceptó el desistimiento propuesto por la parte demandante de tener como demandado al señor Luis Enrique Cruz como uno de los integrantes de la parte demandada, tuvo por desistida su participación como accionado. Folio 20 del cuaderno No. 2. Del índice 25 de SAMAI.</w:t>
      </w:r>
    </w:p>
  </w:footnote>
  <w:footnote w:id="20">
    <w:p w14:paraId="4C4FCC7A" w14:textId="73BA1F09" w:rsidR="00C70FE7" w:rsidRPr="006D71C7" w:rsidRDefault="00C70FE7" w:rsidP="006D71C7">
      <w:pPr>
        <w:pStyle w:val="Textonotapie"/>
        <w:spacing w:after="0" w:line="240" w:lineRule="auto"/>
        <w:ind w:left="0" w:hanging="2"/>
        <w:jc w:val="both"/>
        <w:rPr>
          <w:rFonts w:ascii="Arial" w:hAnsi="Arial" w:cs="Arial"/>
          <w:lang w:val="es-MX"/>
        </w:rPr>
      </w:pPr>
      <w:r w:rsidRPr="00FC1F98">
        <w:rPr>
          <w:rStyle w:val="Refdenotaalpie"/>
          <w:rFonts w:ascii="Arial" w:hAnsi="Arial" w:cs="Arial"/>
        </w:rPr>
        <w:footnoteRef/>
      </w:r>
      <w:r w:rsidRPr="00FC1F98">
        <w:rPr>
          <w:rFonts w:ascii="Arial" w:hAnsi="Arial" w:cs="Arial"/>
        </w:rPr>
        <w:t xml:space="preserve"> Relacionados como cesionarios del 100% de los derechos mineros que le correspondían a la cooperativa Agrominera Multiactiva de Paipa - COAGROMIN LTA</w:t>
      </w:r>
      <w:r>
        <w:rPr>
          <w:rFonts w:ascii="Arial" w:hAnsi="Arial" w:cs="Arial"/>
        </w:rPr>
        <w:t>, d</w:t>
      </w:r>
      <w:r w:rsidRPr="0090663A">
        <w:rPr>
          <w:rFonts w:ascii="Arial" w:hAnsi="Arial" w:cs="Arial"/>
        </w:rPr>
        <w:t>en</w:t>
      </w:r>
      <w:r>
        <w:rPr>
          <w:rFonts w:ascii="Arial" w:hAnsi="Arial" w:cs="Arial"/>
        </w:rPr>
        <w:t>tro d</w:t>
      </w:r>
      <w:r w:rsidRPr="0090663A">
        <w:rPr>
          <w:rFonts w:ascii="Arial" w:hAnsi="Arial" w:cs="Arial"/>
        </w:rPr>
        <w:t xml:space="preserve">e la Resolución No. 138 de 22 de enero de 2004, expedida por la Empresa de Nacional de Minería – MINERCOL- A-. Folio </w:t>
      </w:r>
      <w:r w:rsidRPr="006D71C7">
        <w:rPr>
          <w:rFonts w:ascii="Arial" w:hAnsi="Arial" w:cs="Arial"/>
        </w:rPr>
        <w:t>5 del cuaderno No. 2 del índice 25 de SAMAI.</w:t>
      </w:r>
    </w:p>
  </w:footnote>
  <w:footnote w:id="21">
    <w:p w14:paraId="719181E0" w14:textId="693EC6EE" w:rsidR="00C70FE7" w:rsidRPr="006D71C7" w:rsidRDefault="00C70FE7" w:rsidP="006D71C7">
      <w:pPr>
        <w:pStyle w:val="Textonotapie"/>
        <w:spacing w:after="0" w:line="240" w:lineRule="auto"/>
        <w:ind w:left="0" w:hanging="2"/>
        <w:rPr>
          <w:rFonts w:ascii="Arial" w:hAnsi="Arial" w:cs="Arial"/>
          <w:lang w:val="es-MX"/>
        </w:rPr>
      </w:pPr>
      <w:r w:rsidRPr="006D71C7">
        <w:rPr>
          <w:rStyle w:val="Refdenotaalpie"/>
          <w:rFonts w:ascii="Arial" w:hAnsi="Arial" w:cs="Arial"/>
        </w:rPr>
        <w:footnoteRef/>
      </w:r>
      <w:r w:rsidRPr="006D71C7">
        <w:rPr>
          <w:rFonts w:ascii="Arial" w:hAnsi="Arial" w:cs="Arial"/>
        </w:rPr>
        <w:t xml:space="preserve"> El 26 de enero de 2021. </w:t>
      </w:r>
      <w:r w:rsidRPr="006D71C7">
        <w:rPr>
          <w:rFonts w:ascii="Arial" w:hAnsi="Arial" w:cs="Arial"/>
          <w:lang w:val="es-MX"/>
        </w:rPr>
        <w:t>Índice 38 y 39 de SAMAI.</w:t>
      </w:r>
    </w:p>
  </w:footnote>
  <w:footnote w:id="22">
    <w:p w14:paraId="0C0079FC" w14:textId="3DF89829" w:rsidR="006D71C7" w:rsidRPr="006D71C7" w:rsidRDefault="006D71C7" w:rsidP="006D71C7">
      <w:pPr>
        <w:pStyle w:val="Textonotapie"/>
        <w:spacing w:after="0" w:line="240" w:lineRule="auto"/>
        <w:ind w:left="0" w:hanging="2"/>
        <w:jc w:val="both"/>
        <w:rPr>
          <w:lang w:val="es-MX"/>
        </w:rPr>
      </w:pPr>
      <w:r w:rsidRPr="006D71C7">
        <w:rPr>
          <w:rStyle w:val="Refdenotaalpie"/>
          <w:rFonts w:ascii="Arial" w:hAnsi="Arial" w:cs="Arial"/>
        </w:rPr>
        <w:footnoteRef/>
      </w:r>
      <w:r w:rsidRPr="006D71C7">
        <w:rPr>
          <w:rFonts w:ascii="Arial" w:hAnsi="Arial" w:cs="Arial"/>
        </w:rPr>
        <w:t xml:space="preserve"> No obstante, el Tribunal haber mencionado la norma del CPACA, lo cierto es que aplicable es al </w:t>
      </w:r>
      <w:r w:rsidRPr="006D71C7">
        <w:rPr>
          <w:rFonts w:ascii="Arial" w:hAnsi="Arial" w:cs="Arial"/>
        </w:rPr>
        <w:t>artículo 136 numeral 8° del CCA</w:t>
      </w:r>
      <w:r w:rsidRPr="006D71C7">
        <w:rPr>
          <w:rFonts w:ascii="Arial" w:hAnsi="Arial" w:cs="Arial"/>
        </w:rPr>
        <w:t xml:space="preserve"> por la época en la que se presentó la demanda.</w:t>
      </w:r>
    </w:p>
  </w:footnote>
  <w:footnote w:id="23">
    <w:p w14:paraId="0B6C8703" w14:textId="77777777" w:rsidR="00C70FE7" w:rsidRPr="002C47EB" w:rsidRDefault="00C70FE7" w:rsidP="004162C3">
      <w:pPr>
        <w:pStyle w:val="Textonotapie"/>
        <w:spacing w:after="0" w:line="240" w:lineRule="auto"/>
        <w:ind w:left="0" w:hanging="2"/>
        <w:rPr>
          <w:rFonts w:ascii="Arial" w:hAnsi="Arial" w:cs="Arial"/>
          <w:lang w:val="es-MX"/>
        </w:rPr>
      </w:pPr>
      <w:r w:rsidRPr="00B56316">
        <w:rPr>
          <w:rStyle w:val="Refdenotaalpie"/>
          <w:rFonts w:ascii="Arial" w:hAnsi="Arial" w:cs="Arial"/>
        </w:rPr>
        <w:footnoteRef/>
      </w:r>
      <w:r w:rsidRPr="00B56316">
        <w:rPr>
          <w:rFonts w:ascii="Arial" w:hAnsi="Arial" w:cs="Arial"/>
        </w:rPr>
        <w:t xml:space="preserve"> El 22 de enero de 2021. </w:t>
      </w:r>
      <w:r w:rsidRPr="00B56316">
        <w:rPr>
          <w:rFonts w:ascii="Arial" w:hAnsi="Arial" w:cs="Arial"/>
          <w:lang w:val="es-MX"/>
        </w:rPr>
        <w:t>Índice 23 y 24 de SAMAI.</w:t>
      </w:r>
    </w:p>
  </w:footnote>
  <w:footnote w:id="24">
    <w:p w14:paraId="7FB5FB67" w14:textId="31420427" w:rsidR="00C70FE7" w:rsidRPr="003C187A" w:rsidRDefault="00C70FE7" w:rsidP="00F7347C">
      <w:pPr>
        <w:pStyle w:val="Textonotapie"/>
        <w:spacing w:after="0" w:line="240" w:lineRule="auto"/>
        <w:ind w:left="0" w:hanging="2"/>
        <w:rPr>
          <w:lang w:val="es-MX"/>
        </w:rPr>
      </w:pPr>
      <w:r w:rsidRPr="00C25D93">
        <w:rPr>
          <w:rStyle w:val="Refdenotaalpie"/>
          <w:rFonts w:ascii="Arial" w:hAnsi="Arial" w:cs="Arial"/>
        </w:rPr>
        <w:footnoteRef/>
      </w:r>
      <w:r w:rsidRPr="00C25D93">
        <w:rPr>
          <w:rFonts w:ascii="Arial" w:hAnsi="Arial" w:cs="Arial"/>
        </w:rPr>
        <w:t xml:space="preserve"> El 22 de enero de 2021. </w:t>
      </w:r>
      <w:r w:rsidRPr="00C25D93">
        <w:rPr>
          <w:rFonts w:ascii="Arial" w:hAnsi="Arial" w:cs="Arial"/>
          <w:lang w:val="es-MX"/>
        </w:rPr>
        <w:t>Índice 17 y 18 de SAMAI.</w:t>
      </w:r>
    </w:p>
  </w:footnote>
  <w:footnote w:id="25">
    <w:p w14:paraId="7C9624D4" w14:textId="18EF9ED7" w:rsidR="00C70FE7" w:rsidRPr="001F795B" w:rsidRDefault="00C70FE7" w:rsidP="001F795B">
      <w:pPr>
        <w:pStyle w:val="Textonotapie"/>
        <w:spacing w:after="0" w:line="240" w:lineRule="auto"/>
        <w:ind w:left="0" w:hanging="2"/>
        <w:rPr>
          <w:rFonts w:ascii="Arial" w:hAnsi="Arial" w:cs="Arial"/>
          <w:lang w:val="es-MX"/>
        </w:rPr>
      </w:pPr>
      <w:r w:rsidRPr="001F795B">
        <w:rPr>
          <w:rStyle w:val="Refdenotaalpie"/>
          <w:rFonts w:ascii="Arial" w:hAnsi="Arial" w:cs="Arial"/>
        </w:rPr>
        <w:footnoteRef/>
      </w:r>
      <w:r w:rsidRPr="001F795B">
        <w:rPr>
          <w:rFonts w:ascii="Arial" w:hAnsi="Arial" w:cs="Arial"/>
        </w:rPr>
        <w:t xml:space="preserve"> El 25 de enero de 2021. </w:t>
      </w:r>
      <w:r w:rsidRPr="001F795B">
        <w:rPr>
          <w:rFonts w:ascii="Arial" w:hAnsi="Arial" w:cs="Arial"/>
          <w:lang w:val="es-MX"/>
        </w:rPr>
        <w:t>Índice 32 y 33 de SAMAI.</w:t>
      </w:r>
    </w:p>
  </w:footnote>
  <w:footnote w:id="26">
    <w:p w14:paraId="2588DFCE" w14:textId="23F5FC5C" w:rsidR="00C70FE7" w:rsidRPr="001F795B" w:rsidRDefault="00C70FE7" w:rsidP="001F795B">
      <w:pPr>
        <w:pStyle w:val="Textonotapie"/>
        <w:spacing w:after="0" w:line="240" w:lineRule="auto"/>
        <w:ind w:left="0" w:hanging="2"/>
        <w:rPr>
          <w:rFonts w:ascii="Arial" w:hAnsi="Arial" w:cs="Arial"/>
          <w:lang w:val="es-MX"/>
        </w:rPr>
      </w:pPr>
      <w:r w:rsidRPr="001F795B">
        <w:rPr>
          <w:rStyle w:val="Refdenotaalpie"/>
          <w:rFonts w:ascii="Arial" w:hAnsi="Arial" w:cs="Arial"/>
        </w:rPr>
        <w:footnoteRef/>
      </w:r>
      <w:r w:rsidRPr="001F795B">
        <w:rPr>
          <w:rFonts w:ascii="Arial" w:hAnsi="Arial" w:cs="Arial"/>
        </w:rPr>
        <w:t xml:space="preserve">  Vigente a la fecha de la presentación de la demanda de reparación directa.</w:t>
      </w:r>
    </w:p>
  </w:footnote>
  <w:footnote w:id="27">
    <w:p w14:paraId="292DB0A3" w14:textId="77777777" w:rsidR="00C70FE7" w:rsidRPr="002C47EB" w:rsidRDefault="00C70FE7" w:rsidP="004162C3">
      <w:pPr>
        <w:pStyle w:val="Textonotapie"/>
        <w:spacing w:after="0" w:line="240" w:lineRule="auto"/>
        <w:ind w:left="0" w:hanging="2"/>
        <w:rPr>
          <w:rFonts w:ascii="Arial" w:hAnsi="Arial" w:cs="Arial"/>
          <w:lang w:val="es-MX"/>
        </w:rPr>
      </w:pPr>
      <w:r w:rsidRPr="002C47EB">
        <w:rPr>
          <w:rStyle w:val="Refdenotaalpie"/>
          <w:rFonts w:ascii="Arial" w:hAnsi="Arial" w:cs="Arial"/>
        </w:rPr>
        <w:footnoteRef/>
      </w:r>
      <w:r w:rsidRPr="002C47EB">
        <w:rPr>
          <w:rFonts w:ascii="Arial" w:hAnsi="Arial" w:cs="Arial"/>
        </w:rPr>
        <w:t xml:space="preserve"> El 22 de enero de 2021. </w:t>
      </w:r>
      <w:r w:rsidRPr="002C47EB">
        <w:rPr>
          <w:rFonts w:ascii="Arial" w:hAnsi="Arial" w:cs="Arial"/>
          <w:lang w:val="es-MX"/>
        </w:rPr>
        <w:t>Índice 26 y 27 de SAMAI.</w:t>
      </w:r>
    </w:p>
  </w:footnote>
  <w:footnote w:id="28">
    <w:p w14:paraId="58DE2D50" w14:textId="77777777" w:rsidR="00C70FE7" w:rsidRPr="002C47EB" w:rsidRDefault="00C70FE7" w:rsidP="004162C3">
      <w:pPr>
        <w:pStyle w:val="Textonotapie"/>
        <w:spacing w:after="0"/>
        <w:ind w:left="0" w:hanging="2"/>
        <w:rPr>
          <w:lang w:val="es-MX"/>
        </w:rPr>
      </w:pPr>
      <w:r w:rsidRPr="002C47EB">
        <w:rPr>
          <w:rStyle w:val="Refdenotaalpie"/>
          <w:rFonts w:ascii="Arial" w:hAnsi="Arial" w:cs="Arial"/>
        </w:rPr>
        <w:footnoteRef/>
      </w:r>
      <w:r w:rsidRPr="002C47EB">
        <w:rPr>
          <w:rFonts w:ascii="Arial" w:hAnsi="Arial" w:cs="Arial"/>
        </w:rPr>
        <w:t xml:space="preserve"> Enlistó el objetivo y las funciones, </w:t>
      </w:r>
      <w:r>
        <w:rPr>
          <w:rFonts w:ascii="Arial" w:hAnsi="Arial" w:cs="Arial"/>
        </w:rPr>
        <w:t>previstas en</w:t>
      </w:r>
      <w:r w:rsidRPr="002C47EB">
        <w:rPr>
          <w:rFonts w:ascii="Arial" w:hAnsi="Arial" w:cs="Arial"/>
        </w:rPr>
        <w:t xml:space="preserve"> el Decreto 3571 del 27 de septiembre de 2011.</w:t>
      </w:r>
    </w:p>
  </w:footnote>
  <w:footnote w:id="29">
    <w:p w14:paraId="5E7D3692" w14:textId="77777777" w:rsidR="00C70FE7" w:rsidRPr="002D18B4" w:rsidRDefault="00C70FE7" w:rsidP="004162C3">
      <w:pPr>
        <w:pStyle w:val="Textonotapie"/>
        <w:spacing w:after="0" w:line="240" w:lineRule="auto"/>
        <w:ind w:left="0" w:hanging="2"/>
        <w:jc w:val="both"/>
        <w:rPr>
          <w:lang w:val="es-MX"/>
        </w:rPr>
      </w:pPr>
      <w:r w:rsidRPr="00885A55">
        <w:rPr>
          <w:rStyle w:val="Refdenotaalpie"/>
          <w:rFonts w:ascii="Arial" w:hAnsi="Arial" w:cs="Arial"/>
        </w:rPr>
        <w:footnoteRef/>
      </w:r>
      <w:r w:rsidRPr="00885A55">
        <w:rPr>
          <w:rFonts w:ascii="Arial" w:hAnsi="Arial" w:cs="Arial"/>
        </w:rPr>
        <w:t xml:space="preserve"> </w:t>
      </w:r>
      <w:r w:rsidRPr="00885A55">
        <w:rPr>
          <w:rFonts w:ascii="Arial" w:hAnsi="Arial" w:cs="Arial"/>
          <w:lang w:val="es-MX"/>
        </w:rPr>
        <w:t>Para le efecto citó el expediente T-1354659 de 21 de septiembre de 2006, de la Corte Suprema de Justicia Referencia, M.P. Dr. Marco Gerardo Monroy Cabra.</w:t>
      </w:r>
    </w:p>
  </w:footnote>
  <w:footnote w:id="30">
    <w:p w14:paraId="03A8DE70" w14:textId="77777777" w:rsidR="00C70FE7" w:rsidRPr="001242B1" w:rsidRDefault="00C70FE7" w:rsidP="00F02508">
      <w:pPr>
        <w:pStyle w:val="Textonotapie"/>
        <w:spacing w:after="0" w:line="240" w:lineRule="auto"/>
        <w:ind w:left="0" w:hanging="2"/>
        <w:rPr>
          <w:rFonts w:ascii="Arial" w:hAnsi="Arial" w:cs="Arial"/>
          <w:lang w:val="es-MX"/>
        </w:rPr>
      </w:pPr>
      <w:r w:rsidRPr="001242B1">
        <w:rPr>
          <w:rStyle w:val="Refdenotaalpie"/>
          <w:rFonts w:ascii="Arial" w:hAnsi="Arial" w:cs="Arial"/>
        </w:rPr>
        <w:footnoteRef/>
      </w:r>
      <w:r w:rsidRPr="001242B1">
        <w:rPr>
          <w:rFonts w:ascii="Arial" w:hAnsi="Arial" w:cs="Arial"/>
        </w:rPr>
        <w:t xml:space="preserve"> El 25 de enero de 2021. </w:t>
      </w:r>
      <w:r w:rsidRPr="001242B1">
        <w:rPr>
          <w:rFonts w:ascii="Arial" w:hAnsi="Arial" w:cs="Arial"/>
          <w:lang w:val="es-MX"/>
        </w:rPr>
        <w:t>Índice 34 y 35 de SAMAI.</w:t>
      </w:r>
    </w:p>
  </w:footnote>
  <w:footnote w:id="31">
    <w:p w14:paraId="006A1AAD" w14:textId="77777777" w:rsidR="00C70FE7" w:rsidRPr="001242B1" w:rsidRDefault="00C70FE7" w:rsidP="00F02508">
      <w:pPr>
        <w:pStyle w:val="Textonotapie"/>
        <w:spacing w:after="0" w:line="240" w:lineRule="auto"/>
        <w:ind w:left="0" w:hanging="2"/>
        <w:jc w:val="both"/>
        <w:rPr>
          <w:lang w:val="es-MX"/>
        </w:rPr>
      </w:pPr>
      <w:r w:rsidRPr="001242B1">
        <w:rPr>
          <w:rStyle w:val="Refdenotaalpie"/>
          <w:rFonts w:ascii="Arial" w:hAnsi="Arial" w:cs="Arial"/>
        </w:rPr>
        <w:footnoteRef/>
      </w:r>
      <w:r w:rsidRPr="001242B1">
        <w:rPr>
          <w:rFonts w:ascii="Arial" w:hAnsi="Arial" w:cs="Arial"/>
        </w:rPr>
        <w:t xml:space="preserve">  Citó las sentencias </w:t>
      </w:r>
      <w:r>
        <w:rPr>
          <w:rFonts w:ascii="Arial" w:hAnsi="Arial" w:cs="Arial"/>
        </w:rPr>
        <w:t>T</w:t>
      </w:r>
      <w:r w:rsidRPr="001242B1">
        <w:rPr>
          <w:rFonts w:ascii="Arial" w:hAnsi="Arial" w:cs="Arial"/>
        </w:rPr>
        <w:t>-1001 del 2006, T-519 de 2001 de la Corte Constitucional que versan sobre la excepción propuesta.</w:t>
      </w:r>
    </w:p>
  </w:footnote>
  <w:footnote w:id="32">
    <w:p w14:paraId="018E03DE" w14:textId="77777777" w:rsidR="00C70FE7" w:rsidRPr="001242B1" w:rsidRDefault="00C70FE7" w:rsidP="00F02508">
      <w:pPr>
        <w:pStyle w:val="Textonotapie"/>
        <w:spacing w:after="0" w:line="240" w:lineRule="auto"/>
        <w:ind w:left="0" w:hanging="2"/>
        <w:jc w:val="both"/>
        <w:rPr>
          <w:rFonts w:ascii="Arial" w:hAnsi="Arial" w:cs="Arial"/>
          <w:lang w:val="es-MX"/>
        </w:rPr>
      </w:pPr>
      <w:r w:rsidRPr="001242B1">
        <w:rPr>
          <w:rStyle w:val="Refdenotaalpie"/>
          <w:rFonts w:ascii="Arial" w:hAnsi="Arial" w:cs="Arial"/>
        </w:rPr>
        <w:footnoteRef/>
      </w:r>
      <w:r w:rsidRPr="001242B1">
        <w:rPr>
          <w:rFonts w:ascii="Arial" w:hAnsi="Arial" w:cs="Arial"/>
        </w:rPr>
        <w:t xml:space="preserve"> Tales como: “formular, adoptar, dirigir y coordinar las políticas, planes y programas del Sector de Minas y Energía, velar por el crecimiento económico, y el fortalecimiento del aparato productivo minero energético y sus funciones están encaminadas a desarrollar este objetivo dentro de aspectos meramente regulatorios de carácter general”. Artículos 1 y 2 del Decreto 0381 de 2012.</w:t>
      </w:r>
    </w:p>
  </w:footnote>
  <w:footnote w:id="33">
    <w:p w14:paraId="79D1ED25" w14:textId="77777777" w:rsidR="00C70FE7" w:rsidRPr="00943A91" w:rsidRDefault="00C70FE7" w:rsidP="0026186C">
      <w:pPr>
        <w:pStyle w:val="Textonotapie"/>
        <w:spacing w:after="0" w:line="240" w:lineRule="auto"/>
        <w:ind w:left="0" w:hanging="2"/>
        <w:jc w:val="both"/>
        <w:rPr>
          <w:rFonts w:ascii="Arial" w:hAnsi="Arial" w:cs="Arial"/>
          <w:lang w:val="es-MX"/>
        </w:rPr>
      </w:pPr>
      <w:r w:rsidRPr="008272D3">
        <w:rPr>
          <w:rStyle w:val="Refdenotaalpie"/>
          <w:rFonts w:ascii="Arial" w:hAnsi="Arial" w:cs="Arial"/>
        </w:rPr>
        <w:footnoteRef/>
      </w:r>
      <w:r w:rsidRPr="008272D3">
        <w:rPr>
          <w:rFonts w:ascii="Arial" w:hAnsi="Arial" w:cs="Arial"/>
        </w:rPr>
        <w:t xml:space="preserve"> El 3 de febrero de </w:t>
      </w:r>
      <w:r w:rsidRPr="00943A91">
        <w:rPr>
          <w:rFonts w:ascii="Arial" w:hAnsi="Arial" w:cs="Arial"/>
        </w:rPr>
        <w:t xml:space="preserve">2021. </w:t>
      </w:r>
      <w:r w:rsidRPr="00943A91">
        <w:rPr>
          <w:rFonts w:ascii="Arial" w:hAnsi="Arial" w:cs="Arial"/>
          <w:lang w:val="es-MX"/>
        </w:rPr>
        <w:t>Índice 40 y 42 de SAMAI.</w:t>
      </w:r>
    </w:p>
  </w:footnote>
  <w:footnote w:id="34">
    <w:p w14:paraId="0583A805" w14:textId="77777777" w:rsidR="00C70FE7" w:rsidRPr="00943A91" w:rsidRDefault="00C70FE7" w:rsidP="0026186C">
      <w:pPr>
        <w:pStyle w:val="Textonotapie"/>
        <w:spacing w:after="0"/>
        <w:ind w:left="0" w:hanging="2"/>
        <w:jc w:val="both"/>
        <w:rPr>
          <w:rFonts w:ascii="Arial" w:hAnsi="Arial" w:cs="Arial"/>
          <w:lang w:val="es-MX"/>
        </w:rPr>
      </w:pPr>
      <w:r w:rsidRPr="00943A91">
        <w:rPr>
          <w:rStyle w:val="Refdenotaalpie"/>
          <w:rFonts w:ascii="Arial" w:hAnsi="Arial" w:cs="Arial"/>
        </w:rPr>
        <w:footnoteRef/>
      </w:r>
      <w:r w:rsidRPr="00943A91">
        <w:rPr>
          <w:rFonts w:ascii="Arial" w:hAnsi="Arial" w:cs="Arial"/>
        </w:rPr>
        <w:t xml:space="preserve"> </w:t>
      </w:r>
      <w:r w:rsidRPr="00943A91">
        <w:rPr>
          <w:rFonts w:ascii="Arial" w:hAnsi="Arial" w:cs="Arial"/>
          <w:lang w:val="es-MX"/>
        </w:rPr>
        <w:t>Trajo a colación las siguientes sentencias del Consejo de Estado.  Expediente 25941 de 12 de septiembre de 2012 M.P. Carlos Alberto Zambrano Barrera; expediente 25000-23-26-000-1998-01918-01(25492) de 3 de abril de 2013 M.P. Dr. Hernán Andrade Rincón. Sección Tercera; expediente 18163 de 11 de noviembre de 2009, M.P. Mauricio Fajardo Gómez; expediente 42610 de 30 de enero de 2013, M.P. Danilo Rojas Betancourth.</w:t>
      </w:r>
    </w:p>
  </w:footnote>
  <w:footnote w:id="35">
    <w:p w14:paraId="26D179CC" w14:textId="77777777" w:rsidR="00C70FE7" w:rsidRPr="00943A91" w:rsidRDefault="00C70FE7" w:rsidP="0026186C">
      <w:pPr>
        <w:pStyle w:val="Textonotapie"/>
        <w:spacing w:after="0" w:line="240" w:lineRule="auto"/>
        <w:ind w:left="0" w:hanging="2"/>
        <w:jc w:val="both"/>
        <w:rPr>
          <w:rFonts w:ascii="Arial" w:hAnsi="Arial" w:cs="Arial"/>
          <w:lang w:val="es-MX"/>
        </w:rPr>
      </w:pPr>
      <w:r w:rsidRPr="00943A91">
        <w:rPr>
          <w:rStyle w:val="Refdenotaalpie"/>
          <w:rFonts w:ascii="Arial" w:hAnsi="Arial" w:cs="Arial"/>
        </w:rPr>
        <w:footnoteRef/>
      </w:r>
      <w:r w:rsidRPr="00943A91">
        <w:rPr>
          <w:rFonts w:ascii="Arial" w:hAnsi="Arial" w:cs="Arial"/>
        </w:rPr>
        <w:t xml:space="preserve"> </w:t>
      </w:r>
      <w:r w:rsidRPr="00943A91">
        <w:rPr>
          <w:rFonts w:ascii="Arial" w:hAnsi="Arial" w:cs="Arial"/>
          <w:lang w:val="es-MX"/>
        </w:rPr>
        <w:t>Al efecto citó la sentencia C- 337/93 del 19 de agosto de 1993 de la Corte Constitucional.</w:t>
      </w:r>
    </w:p>
  </w:footnote>
  <w:footnote w:id="36">
    <w:p w14:paraId="4D3A4081" w14:textId="77777777" w:rsidR="00C70FE7" w:rsidRPr="00943A91" w:rsidRDefault="00C70FE7" w:rsidP="0026186C">
      <w:pPr>
        <w:pStyle w:val="Textonotapie"/>
        <w:spacing w:after="0" w:line="240" w:lineRule="auto"/>
        <w:ind w:left="0" w:hanging="2"/>
        <w:jc w:val="both"/>
        <w:rPr>
          <w:rFonts w:ascii="Arial" w:hAnsi="Arial" w:cs="Arial"/>
          <w:lang w:val="es-MX"/>
        </w:rPr>
      </w:pPr>
      <w:r w:rsidRPr="00943A91">
        <w:rPr>
          <w:rStyle w:val="Refdenotaalpie"/>
          <w:rFonts w:ascii="Arial" w:hAnsi="Arial" w:cs="Arial"/>
        </w:rPr>
        <w:footnoteRef/>
      </w:r>
      <w:r w:rsidRPr="00943A91">
        <w:rPr>
          <w:rFonts w:ascii="Arial" w:hAnsi="Arial" w:cs="Arial"/>
        </w:rPr>
        <w:t xml:space="preserve"> Hizo referencia a la Ley 99 de 1993 y el Decreto 3570 del 27 de septiembre de 2011,</w:t>
      </w:r>
    </w:p>
  </w:footnote>
  <w:footnote w:id="37">
    <w:p w14:paraId="4EC973F2" w14:textId="77777777" w:rsidR="00C70FE7" w:rsidRPr="00943A91" w:rsidRDefault="00C70FE7" w:rsidP="0026186C">
      <w:pPr>
        <w:pStyle w:val="Textonotapie"/>
        <w:spacing w:after="0"/>
        <w:ind w:left="0" w:hanging="2"/>
        <w:rPr>
          <w:lang w:val="es-MX"/>
        </w:rPr>
      </w:pPr>
      <w:r w:rsidRPr="00943A91">
        <w:rPr>
          <w:rStyle w:val="Refdenotaalpie"/>
          <w:rFonts w:ascii="Arial" w:hAnsi="Arial" w:cs="Arial"/>
        </w:rPr>
        <w:footnoteRef/>
      </w:r>
      <w:r w:rsidRPr="00943A91">
        <w:rPr>
          <w:rFonts w:ascii="Arial" w:hAnsi="Arial" w:cs="Arial"/>
        </w:rPr>
        <w:t xml:space="preserve"> </w:t>
      </w:r>
      <w:r w:rsidRPr="00943A91">
        <w:rPr>
          <w:rFonts w:ascii="Arial" w:hAnsi="Arial" w:cs="Arial"/>
          <w:lang w:val="es-MX"/>
        </w:rPr>
        <w:t>En este punto explicó in extenso lo relativo a la responsabilidad administrativa.</w:t>
      </w:r>
    </w:p>
  </w:footnote>
  <w:footnote w:id="38">
    <w:p w14:paraId="3FAE67AF" w14:textId="16627F5A" w:rsidR="00C70FE7" w:rsidRPr="00B354FB" w:rsidRDefault="00C70FE7" w:rsidP="00B354FB">
      <w:pPr>
        <w:pStyle w:val="Textonotapie"/>
        <w:spacing w:after="0" w:line="240" w:lineRule="auto"/>
        <w:ind w:left="0" w:hanging="2"/>
        <w:rPr>
          <w:lang w:val="es-MX"/>
        </w:rPr>
      </w:pPr>
      <w:r>
        <w:rPr>
          <w:rStyle w:val="Refdenotaalpie"/>
        </w:rPr>
        <w:footnoteRef/>
      </w:r>
      <w:r>
        <w:t xml:space="preserve"> </w:t>
      </w:r>
      <w:r w:rsidRPr="002C47EB">
        <w:rPr>
          <w:rFonts w:ascii="Arial" w:hAnsi="Arial" w:cs="Arial"/>
        </w:rPr>
        <w:t>El 2</w:t>
      </w:r>
      <w:r>
        <w:rPr>
          <w:rFonts w:ascii="Arial" w:hAnsi="Arial" w:cs="Arial"/>
        </w:rPr>
        <w:t>5</w:t>
      </w:r>
      <w:r w:rsidRPr="002C47EB">
        <w:rPr>
          <w:rFonts w:ascii="Arial" w:hAnsi="Arial" w:cs="Arial"/>
        </w:rPr>
        <w:t xml:space="preserve"> de enero de 2021. </w:t>
      </w:r>
      <w:r w:rsidRPr="002C47EB">
        <w:rPr>
          <w:rFonts w:ascii="Arial" w:hAnsi="Arial" w:cs="Arial"/>
          <w:lang w:val="es-MX"/>
        </w:rPr>
        <w:t xml:space="preserve">Índice </w:t>
      </w:r>
      <w:r>
        <w:rPr>
          <w:rFonts w:ascii="Arial" w:hAnsi="Arial" w:cs="Arial"/>
          <w:lang w:val="es-MX"/>
        </w:rPr>
        <w:t>36 y 37</w:t>
      </w:r>
      <w:r w:rsidRPr="002C47EB">
        <w:rPr>
          <w:rFonts w:ascii="Arial" w:hAnsi="Arial" w:cs="Arial"/>
          <w:lang w:val="es-MX"/>
        </w:rPr>
        <w:t xml:space="preserve"> de SAMAI.</w:t>
      </w:r>
    </w:p>
  </w:footnote>
  <w:footnote w:id="39">
    <w:p w14:paraId="27F054F6" w14:textId="7583AE69" w:rsidR="00C70FE7" w:rsidRPr="0012334B" w:rsidRDefault="00C70FE7" w:rsidP="00176B95">
      <w:pPr>
        <w:pStyle w:val="Textonotapie"/>
        <w:spacing w:after="0"/>
        <w:ind w:left="0" w:hanging="2"/>
        <w:jc w:val="both"/>
        <w:rPr>
          <w:rFonts w:ascii="Arial" w:hAnsi="Arial" w:cs="Arial"/>
          <w:lang w:val="es-MX"/>
        </w:rPr>
      </w:pPr>
      <w:r w:rsidRPr="0012334B">
        <w:rPr>
          <w:rStyle w:val="Refdenotaalpie"/>
          <w:rFonts w:ascii="Arial" w:hAnsi="Arial" w:cs="Arial"/>
        </w:rPr>
        <w:footnoteRef/>
      </w:r>
      <w:r w:rsidRPr="0012334B">
        <w:rPr>
          <w:rFonts w:ascii="Arial" w:hAnsi="Arial" w:cs="Arial"/>
        </w:rPr>
        <w:t xml:space="preserve"> </w:t>
      </w:r>
      <w:r w:rsidRPr="0012334B">
        <w:rPr>
          <w:rFonts w:ascii="Arial" w:hAnsi="Arial" w:cs="Arial"/>
          <w:lang w:val="es-MX"/>
        </w:rPr>
        <w:t xml:space="preserve">Trajo a colación las siguientes </w:t>
      </w:r>
      <w:r>
        <w:rPr>
          <w:rFonts w:ascii="Arial" w:hAnsi="Arial" w:cs="Arial"/>
          <w:lang w:val="es-MX"/>
        </w:rPr>
        <w:t>s</w:t>
      </w:r>
      <w:r w:rsidRPr="0012334B">
        <w:rPr>
          <w:rFonts w:ascii="Arial" w:hAnsi="Arial" w:cs="Arial"/>
          <w:lang w:val="es-MX"/>
        </w:rPr>
        <w:t>entencias del Consejo de Estado.  Expediente 25941</w:t>
      </w:r>
      <w:r>
        <w:rPr>
          <w:rFonts w:ascii="Arial" w:hAnsi="Arial" w:cs="Arial"/>
          <w:lang w:val="es-MX"/>
        </w:rPr>
        <w:t xml:space="preserve"> de 12 de septiembre de 2012</w:t>
      </w:r>
      <w:r w:rsidRPr="0012334B">
        <w:rPr>
          <w:rFonts w:ascii="Arial" w:hAnsi="Arial" w:cs="Arial"/>
          <w:lang w:val="es-MX"/>
        </w:rPr>
        <w:t xml:space="preserve"> </w:t>
      </w:r>
      <w:r>
        <w:rPr>
          <w:rFonts w:ascii="Arial" w:hAnsi="Arial" w:cs="Arial"/>
          <w:lang w:val="es-MX"/>
        </w:rPr>
        <w:t>M</w:t>
      </w:r>
      <w:r w:rsidRPr="0012334B">
        <w:rPr>
          <w:rFonts w:ascii="Arial" w:hAnsi="Arial" w:cs="Arial"/>
          <w:lang w:val="es-MX"/>
        </w:rPr>
        <w:t>.P. Carlos Alberto Zambrano Barrera</w:t>
      </w:r>
      <w:r>
        <w:rPr>
          <w:rFonts w:ascii="Arial" w:hAnsi="Arial" w:cs="Arial"/>
          <w:lang w:val="es-MX"/>
        </w:rPr>
        <w:t xml:space="preserve">; expediente </w:t>
      </w:r>
      <w:r w:rsidRPr="0012334B">
        <w:rPr>
          <w:rFonts w:ascii="Arial" w:hAnsi="Arial" w:cs="Arial"/>
          <w:lang w:val="es-MX"/>
        </w:rPr>
        <w:t>25000-23-26-000-1998-01918-01(25492)</w:t>
      </w:r>
      <w:r>
        <w:rPr>
          <w:rFonts w:ascii="Arial" w:hAnsi="Arial" w:cs="Arial"/>
          <w:lang w:val="es-MX"/>
        </w:rPr>
        <w:t xml:space="preserve"> de </w:t>
      </w:r>
      <w:r w:rsidRPr="0012334B">
        <w:rPr>
          <w:rFonts w:ascii="Arial" w:hAnsi="Arial" w:cs="Arial"/>
          <w:lang w:val="es-MX"/>
        </w:rPr>
        <w:t>3 de abril de 2013 M.P. Dr.</w:t>
      </w:r>
      <w:r>
        <w:rPr>
          <w:rFonts w:ascii="Arial" w:hAnsi="Arial" w:cs="Arial"/>
          <w:lang w:val="es-MX"/>
        </w:rPr>
        <w:t xml:space="preserve"> </w:t>
      </w:r>
      <w:r w:rsidRPr="0012334B">
        <w:rPr>
          <w:rFonts w:ascii="Arial" w:hAnsi="Arial" w:cs="Arial"/>
          <w:lang w:val="es-MX"/>
        </w:rPr>
        <w:t>Hernán Andrade Rincón</w:t>
      </w:r>
      <w:r>
        <w:rPr>
          <w:rFonts w:ascii="Arial" w:hAnsi="Arial" w:cs="Arial"/>
          <w:lang w:val="es-MX"/>
        </w:rPr>
        <w:t xml:space="preserve">. Sección Tercera; </w:t>
      </w:r>
      <w:r w:rsidRPr="00176B95">
        <w:rPr>
          <w:rFonts w:ascii="Arial" w:hAnsi="Arial" w:cs="Arial"/>
          <w:lang w:val="es-MX"/>
        </w:rPr>
        <w:t>expediente 18163</w:t>
      </w:r>
      <w:r>
        <w:rPr>
          <w:rFonts w:ascii="Arial" w:hAnsi="Arial" w:cs="Arial"/>
          <w:lang w:val="es-MX"/>
        </w:rPr>
        <w:t xml:space="preserve"> d</w:t>
      </w:r>
      <w:r w:rsidRPr="00176B95">
        <w:rPr>
          <w:rFonts w:ascii="Arial" w:hAnsi="Arial" w:cs="Arial"/>
          <w:lang w:val="es-MX"/>
        </w:rPr>
        <w:t xml:space="preserve">e 11 de noviembre de 2009, </w:t>
      </w:r>
      <w:r>
        <w:rPr>
          <w:rFonts w:ascii="Arial" w:hAnsi="Arial" w:cs="Arial"/>
          <w:lang w:val="es-MX"/>
        </w:rPr>
        <w:t>M</w:t>
      </w:r>
      <w:r w:rsidRPr="00176B95">
        <w:rPr>
          <w:rFonts w:ascii="Arial" w:hAnsi="Arial" w:cs="Arial"/>
          <w:lang w:val="es-MX"/>
        </w:rPr>
        <w:t>.P. Mauricio Fajardo Gómez</w:t>
      </w:r>
      <w:r>
        <w:rPr>
          <w:rFonts w:ascii="Arial" w:hAnsi="Arial" w:cs="Arial"/>
          <w:lang w:val="es-MX"/>
        </w:rPr>
        <w:t>;</w:t>
      </w:r>
      <w:r w:rsidRPr="00176B95">
        <w:rPr>
          <w:rFonts w:ascii="Arial" w:hAnsi="Arial" w:cs="Arial"/>
          <w:lang w:val="es-MX"/>
        </w:rPr>
        <w:t xml:space="preserve"> expediente 42610</w:t>
      </w:r>
      <w:r>
        <w:rPr>
          <w:rFonts w:ascii="Arial" w:hAnsi="Arial" w:cs="Arial"/>
          <w:lang w:val="es-MX"/>
        </w:rPr>
        <w:t xml:space="preserve"> de </w:t>
      </w:r>
      <w:r w:rsidRPr="00176B95">
        <w:rPr>
          <w:rFonts w:ascii="Arial" w:hAnsi="Arial" w:cs="Arial"/>
          <w:lang w:val="es-MX"/>
        </w:rPr>
        <w:t xml:space="preserve">30 de enero de 2013, </w:t>
      </w:r>
      <w:r>
        <w:rPr>
          <w:rFonts w:ascii="Arial" w:hAnsi="Arial" w:cs="Arial"/>
          <w:lang w:val="es-MX"/>
        </w:rPr>
        <w:t>M</w:t>
      </w:r>
      <w:r w:rsidRPr="00176B95">
        <w:rPr>
          <w:rFonts w:ascii="Arial" w:hAnsi="Arial" w:cs="Arial"/>
          <w:lang w:val="es-MX"/>
        </w:rPr>
        <w:t>.P. Danilo Rojas Betancourt</w:t>
      </w:r>
      <w:r>
        <w:rPr>
          <w:rFonts w:ascii="Arial" w:hAnsi="Arial" w:cs="Arial"/>
          <w:lang w:val="es-MX"/>
        </w:rPr>
        <w:t>h.</w:t>
      </w:r>
    </w:p>
  </w:footnote>
  <w:footnote w:id="40">
    <w:p w14:paraId="6656F3BF" w14:textId="639032FF" w:rsidR="00C70FE7" w:rsidRPr="008272D3" w:rsidRDefault="00C70FE7" w:rsidP="008272D3">
      <w:pPr>
        <w:pStyle w:val="Textonotapie"/>
        <w:spacing w:after="0" w:line="240" w:lineRule="auto"/>
        <w:ind w:left="0" w:hanging="2"/>
        <w:jc w:val="both"/>
        <w:rPr>
          <w:rFonts w:ascii="Arial" w:hAnsi="Arial" w:cs="Arial"/>
          <w:lang w:val="es-MX"/>
        </w:rPr>
      </w:pPr>
      <w:r w:rsidRPr="008272D3">
        <w:rPr>
          <w:rStyle w:val="Refdenotaalpie"/>
          <w:rFonts w:ascii="Arial" w:hAnsi="Arial" w:cs="Arial"/>
        </w:rPr>
        <w:footnoteRef/>
      </w:r>
      <w:r w:rsidRPr="008272D3">
        <w:rPr>
          <w:rFonts w:ascii="Arial" w:hAnsi="Arial" w:cs="Arial"/>
        </w:rPr>
        <w:t xml:space="preserve"> Citó los artículos 1, 3 y 4 del </w:t>
      </w:r>
      <w:r w:rsidRPr="008272D3">
        <w:rPr>
          <w:rFonts w:ascii="Arial" w:eastAsiaTheme="minorHAnsi" w:hAnsi="Arial" w:cs="Arial"/>
          <w:lang w:val="es-CO"/>
        </w:rPr>
        <w:t>Decreto 4131 del 3 de noviembre de 2011.</w:t>
      </w:r>
    </w:p>
  </w:footnote>
  <w:footnote w:id="41">
    <w:p w14:paraId="1A0EB51D" w14:textId="20B6F6E4" w:rsidR="00C70FE7" w:rsidRPr="00066C0C" w:rsidRDefault="00C70FE7" w:rsidP="00066C0C">
      <w:pPr>
        <w:pStyle w:val="Textonotapie"/>
        <w:spacing w:after="0" w:line="240" w:lineRule="auto"/>
        <w:ind w:left="0" w:hanging="2"/>
        <w:rPr>
          <w:rFonts w:ascii="Arial" w:hAnsi="Arial" w:cs="Arial"/>
          <w:lang w:val="es-MX"/>
        </w:rPr>
      </w:pPr>
      <w:r w:rsidRPr="00066C0C">
        <w:rPr>
          <w:rStyle w:val="Refdenotaalpie"/>
          <w:rFonts w:ascii="Arial" w:hAnsi="Arial" w:cs="Arial"/>
        </w:rPr>
        <w:footnoteRef/>
      </w:r>
      <w:r w:rsidRPr="00066C0C">
        <w:rPr>
          <w:rFonts w:ascii="Arial" w:hAnsi="Arial" w:cs="Arial"/>
        </w:rPr>
        <w:t xml:space="preserve"> El 16 de febrero de 2021. </w:t>
      </w:r>
      <w:r w:rsidRPr="00066C0C">
        <w:rPr>
          <w:rFonts w:ascii="Arial" w:hAnsi="Arial" w:cs="Arial"/>
          <w:lang w:val="es-MX"/>
        </w:rPr>
        <w:t>Índice 62 a 64 de SAMAI.</w:t>
      </w:r>
    </w:p>
  </w:footnote>
  <w:footnote w:id="42">
    <w:p w14:paraId="5BE69796" w14:textId="4E91C261" w:rsidR="00C70FE7" w:rsidRPr="003F5C4E" w:rsidRDefault="00C70FE7" w:rsidP="00FE29C5">
      <w:pPr>
        <w:pStyle w:val="Textonotapie"/>
        <w:spacing w:after="0" w:line="240" w:lineRule="auto"/>
        <w:ind w:left="0" w:hanging="2"/>
        <w:jc w:val="both"/>
        <w:rPr>
          <w:rFonts w:ascii="Arial" w:hAnsi="Arial" w:cs="Arial"/>
          <w:lang w:val="es-MX"/>
        </w:rPr>
      </w:pPr>
      <w:r w:rsidRPr="00E300EF">
        <w:rPr>
          <w:rStyle w:val="Refdenotaalpie"/>
          <w:rFonts w:ascii="Arial" w:hAnsi="Arial" w:cs="Arial"/>
        </w:rPr>
        <w:footnoteRef/>
      </w:r>
      <w:r w:rsidRPr="00E300EF">
        <w:rPr>
          <w:rFonts w:ascii="Arial" w:hAnsi="Arial" w:cs="Arial"/>
        </w:rPr>
        <w:t xml:space="preserve"> </w:t>
      </w:r>
      <w:r w:rsidRPr="00E300EF">
        <w:rPr>
          <w:rFonts w:ascii="Arial" w:hAnsi="Arial" w:cs="Arial"/>
          <w:lang w:val="es-MX"/>
        </w:rPr>
        <w:t xml:space="preserve">Excepto </w:t>
      </w:r>
      <w:r>
        <w:rPr>
          <w:rFonts w:ascii="Arial" w:hAnsi="Arial" w:cs="Arial"/>
          <w:lang w:val="es-MX"/>
        </w:rPr>
        <w:t>el</w:t>
      </w:r>
      <w:r w:rsidRPr="00E300EF">
        <w:rPr>
          <w:rFonts w:ascii="Arial" w:hAnsi="Arial" w:cs="Arial"/>
          <w:lang w:val="es-MX"/>
        </w:rPr>
        <w:t xml:space="preserve"> señor Jaime Enrique Garzón Rodríguez y </w:t>
      </w:r>
      <w:r>
        <w:rPr>
          <w:rFonts w:ascii="Arial" w:hAnsi="Arial" w:cs="Arial"/>
          <w:lang w:val="es-MX"/>
        </w:rPr>
        <w:t xml:space="preserve">la señora </w:t>
      </w:r>
      <w:r w:rsidRPr="00E300EF">
        <w:rPr>
          <w:rFonts w:ascii="Arial" w:hAnsi="Arial" w:cs="Arial"/>
          <w:lang w:val="es-MX"/>
        </w:rPr>
        <w:t xml:space="preserve">Romelia Barón Ruiz, </w:t>
      </w:r>
      <w:r>
        <w:rPr>
          <w:rFonts w:ascii="Arial" w:hAnsi="Arial" w:cs="Arial"/>
          <w:lang w:val="es-MX"/>
        </w:rPr>
        <w:t xml:space="preserve">vinculados como terceros con interés, conforme a la constancia secretarial de 22 de febrero de 2021 (índice 88 en SAMAI) que señala: </w:t>
      </w:r>
      <w:r w:rsidRPr="00E300EF">
        <w:rPr>
          <w:rFonts w:ascii="Arial" w:hAnsi="Arial" w:cs="Arial"/>
          <w:i/>
          <w:iCs/>
          <w:lang w:val="es-MX"/>
        </w:rPr>
        <w:t xml:space="preserve">“según trazabilidad por la red postal 472 vistos a índice 25 en su mayoría fueron entregados, y los oficios </w:t>
      </w:r>
      <w:r w:rsidRPr="00794AD9">
        <w:rPr>
          <w:rFonts w:ascii="Arial" w:hAnsi="Arial" w:cs="Arial"/>
          <w:i/>
          <w:iCs/>
          <w:lang w:val="es-MX"/>
        </w:rPr>
        <w:t xml:space="preserve">enviados a los señores  Jaime Enrique Garzón Rodríguez a la Calle 146 No. 15 – 32 casa 108 de Bogotá y Romelia Barón Ruiz Avenida libertador No. 22 - 401 Paipa - Boyacá  fueron devueltos”. </w:t>
      </w:r>
      <w:r w:rsidRPr="00794AD9">
        <w:rPr>
          <w:rFonts w:ascii="Arial" w:hAnsi="Arial" w:cs="Arial"/>
          <w:lang w:val="es-MX"/>
        </w:rPr>
        <w:t>Asimismo,</w:t>
      </w:r>
      <w:r w:rsidRPr="00794AD9">
        <w:rPr>
          <w:rFonts w:ascii="Arial" w:hAnsi="Arial" w:cs="Arial"/>
          <w:i/>
          <w:iCs/>
          <w:lang w:val="es-MX"/>
        </w:rPr>
        <w:t xml:space="preserve"> </w:t>
      </w:r>
      <w:r w:rsidRPr="00794AD9">
        <w:rPr>
          <w:rFonts w:ascii="Arial" w:hAnsi="Arial" w:cs="Arial"/>
          <w:iCs/>
          <w:lang w:val="es-MX"/>
        </w:rPr>
        <w:t xml:space="preserve">a la señora </w:t>
      </w:r>
      <w:r w:rsidRPr="00794AD9">
        <w:rPr>
          <w:rFonts w:ascii="Arial" w:hAnsi="Arial"/>
        </w:rPr>
        <w:t>Paulina Corredor De Cepeda, quien conforme a lo informado por el actor</w:t>
      </w:r>
      <w:r>
        <w:rPr>
          <w:rFonts w:ascii="Arial" w:hAnsi="Arial"/>
        </w:rPr>
        <w:t xml:space="preserve"> (hijo)</w:t>
      </w:r>
      <w:r w:rsidRPr="00794AD9">
        <w:rPr>
          <w:rFonts w:ascii="Arial" w:hAnsi="Arial"/>
        </w:rPr>
        <w:t xml:space="preserve">, mediante correo de 22 de enero de 2021, comunicó </w:t>
      </w:r>
      <w:r>
        <w:rPr>
          <w:rFonts w:ascii="Arial" w:hAnsi="Arial"/>
        </w:rPr>
        <w:t xml:space="preserve">del </w:t>
      </w:r>
      <w:r w:rsidRPr="00794AD9">
        <w:rPr>
          <w:rFonts w:ascii="Arial" w:hAnsi="Arial"/>
        </w:rPr>
        <w:t>fallecimiento</w:t>
      </w:r>
      <w:r>
        <w:rPr>
          <w:rFonts w:ascii="Arial" w:hAnsi="Arial"/>
        </w:rPr>
        <w:t xml:space="preserve"> de la misma </w:t>
      </w:r>
      <w:r w:rsidRPr="00794AD9">
        <w:rPr>
          <w:rFonts w:ascii="Arial" w:hAnsi="Arial"/>
        </w:rPr>
        <w:t>(aportó certificado de defunción). índice 12 y 13 de SAMAI</w:t>
      </w:r>
      <w:r>
        <w:rPr>
          <w:rFonts w:ascii="Arial" w:hAnsi="Arial"/>
        </w:rPr>
        <w:t>.</w:t>
      </w:r>
    </w:p>
  </w:footnote>
  <w:footnote w:id="43">
    <w:p w14:paraId="3585E2FD" w14:textId="77777777" w:rsidR="00C70FE7" w:rsidRPr="006F7FCB" w:rsidRDefault="00C70FE7" w:rsidP="009A054B">
      <w:pPr>
        <w:pStyle w:val="Sinespaciado"/>
        <w:rPr>
          <w:rFonts w:ascii="Arial" w:hAnsi="Arial"/>
          <w:sz w:val="20"/>
          <w:szCs w:val="20"/>
          <w:lang w:val="es-MX"/>
        </w:rPr>
      </w:pPr>
      <w:r w:rsidRPr="006F7FCB">
        <w:rPr>
          <w:rStyle w:val="Refdenotaalpie"/>
          <w:rFonts w:ascii="Arial" w:hAnsi="Arial"/>
          <w:sz w:val="20"/>
          <w:szCs w:val="20"/>
        </w:rPr>
        <w:footnoteRef/>
      </w:r>
      <w:r w:rsidRPr="006F7FCB">
        <w:rPr>
          <w:rFonts w:ascii="Arial" w:hAnsi="Arial"/>
          <w:sz w:val="20"/>
          <w:szCs w:val="20"/>
        </w:rPr>
        <w:t>Consejo de Estado. Sala Plena. Expediente 2009-01328-01. Acción de Tutela - Importancia jurídica. Actora: Nery Germania Álvarez Bello. M.P. María Elizabeth García González.</w:t>
      </w:r>
    </w:p>
  </w:footnote>
  <w:footnote w:id="44">
    <w:p w14:paraId="6C61DB46" w14:textId="77777777" w:rsidR="00C70FE7" w:rsidRPr="006F7FCB" w:rsidRDefault="00C70FE7" w:rsidP="009A054B">
      <w:pPr>
        <w:pStyle w:val="Sinespaciado"/>
        <w:rPr>
          <w:rFonts w:ascii="Arial" w:hAnsi="Arial"/>
          <w:sz w:val="20"/>
          <w:szCs w:val="20"/>
          <w:lang w:val="es-MX"/>
        </w:rPr>
      </w:pPr>
      <w:r w:rsidRPr="006F7FCB">
        <w:rPr>
          <w:rStyle w:val="Refdenotaalpie"/>
          <w:rFonts w:ascii="Arial" w:hAnsi="Arial"/>
          <w:sz w:val="20"/>
          <w:szCs w:val="20"/>
        </w:rPr>
        <w:footnoteRef/>
      </w:r>
      <w:r w:rsidRPr="006F7FCB">
        <w:rPr>
          <w:rFonts w:ascii="Arial" w:hAnsi="Arial"/>
          <w:sz w:val="20"/>
          <w:szCs w:val="20"/>
        </w:rPr>
        <w:t>El recuento de esos criterios se encuentra de las páginas 13 a 50 del fallo antes reseñado.</w:t>
      </w:r>
    </w:p>
  </w:footnote>
  <w:footnote w:id="45">
    <w:p w14:paraId="012604B2" w14:textId="77777777" w:rsidR="00C70FE7" w:rsidRPr="006F7FCB" w:rsidRDefault="00C70FE7" w:rsidP="009A054B">
      <w:pPr>
        <w:pStyle w:val="Sinespaciado"/>
        <w:rPr>
          <w:rFonts w:ascii="Arial" w:hAnsi="Arial"/>
          <w:sz w:val="20"/>
          <w:szCs w:val="20"/>
        </w:rPr>
      </w:pPr>
      <w:r w:rsidRPr="006F7FCB">
        <w:rPr>
          <w:rStyle w:val="Refdenotaalpie"/>
          <w:rFonts w:ascii="Arial" w:hAnsi="Arial"/>
          <w:sz w:val="20"/>
          <w:szCs w:val="20"/>
        </w:rPr>
        <w:footnoteRef/>
      </w:r>
      <w:r w:rsidRPr="006F7FCB">
        <w:rPr>
          <w:rFonts w:ascii="Arial" w:hAnsi="Arial"/>
          <w:sz w:val="20"/>
          <w:szCs w:val="20"/>
        </w:rPr>
        <w:t xml:space="preserve">Expresa la mencionada sentencia: </w:t>
      </w:r>
      <w:r w:rsidRPr="006F7FCB">
        <w:rPr>
          <w:rFonts w:ascii="Arial" w:hAnsi="Arial"/>
          <w:i/>
          <w:sz w:val="20"/>
          <w:szCs w:val="20"/>
        </w:rPr>
        <w:t>“DECLÁRASE la procedencia de la acción de tutela contra providencias judiciales, de conformidad con lo expuesto a folios 2 a 50 de esta providencia”.</w:t>
      </w:r>
    </w:p>
  </w:footnote>
  <w:footnote w:id="46">
    <w:p w14:paraId="2A8EC24F" w14:textId="77777777" w:rsidR="00C70FE7" w:rsidRPr="006F7FCB" w:rsidRDefault="00C70FE7" w:rsidP="009A054B">
      <w:pPr>
        <w:pStyle w:val="Sinespaciado"/>
        <w:rPr>
          <w:rFonts w:ascii="Arial" w:hAnsi="Arial"/>
          <w:sz w:val="20"/>
          <w:szCs w:val="20"/>
        </w:rPr>
      </w:pPr>
      <w:r w:rsidRPr="006F7FCB">
        <w:rPr>
          <w:rStyle w:val="Refdenotaalpie"/>
          <w:rFonts w:ascii="Arial" w:hAnsi="Arial"/>
          <w:sz w:val="20"/>
          <w:szCs w:val="20"/>
        </w:rPr>
        <w:footnoteRef/>
      </w:r>
      <w:r w:rsidRPr="006F7FCB">
        <w:rPr>
          <w:rFonts w:ascii="Arial" w:hAnsi="Arial"/>
          <w:sz w:val="20"/>
          <w:szCs w:val="20"/>
        </w:rPr>
        <w:t xml:space="preserve">Consejo de Estado. Sala Plena de lo Contencioso Administrativo. </w:t>
      </w:r>
      <w:r w:rsidRPr="006F7FCB">
        <w:rPr>
          <w:rFonts w:ascii="Arial" w:hAnsi="Arial"/>
          <w:i/>
          <w:sz w:val="20"/>
          <w:szCs w:val="20"/>
          <w:lang w:eastAsia="es-ES"/>
        </w:rPr>
        <w:t xml:space="preserve">Sentencia del 5 de agosto de 2014, Expediente No. 11001-03-15-000-2012-02201-01 (IJ). Actor: Alpina Productos Alimenticios. M. P. JORGE OCTAVIO RAMÍREZ </w:t>
      </w:r>
      <w:proofErr w:type="spellStart"/>
      <w:r w:rsidRPr="006F7FCB">
        <w:rPr>
          <w:rFonts w:ascii="Arial" w:hAnsi="Arial"/>
          <w:i/>
          <w:sz w:val="20"/>
          <w:szCs w:val="20"/>
          <w:lang w:eastAsia="es-ES"/>
        </w:rPr>
        <w:t>RAMÍREZ</w:t>
      </w:r>
      <w:proofErr w:type="spellEnd"/>
      <w:r w:rsidRPr="006F7FCB">
        <w:rPr>
          <w:rFonts w:ascii="Arial" w:hAnsi="Arial"/>
          <w:i/>
          <w:sz w:val="20"/>
          <w:szCs w:val="20"/>
          <w:lang w:eastAsia="es-ES"/>
        </w:rPr>
        <w:t>.</w:t>
      </w:r>
    </w:p>
  </w:footnote>
  <w:footnote w:id="47">
    <w:p w14:paraId="41C11988" w14:textId="77777777" w:rsidR="00C70FE7" w:rsidRPr="006F7FCB" w:rsidRDefault="00C70FE7" w:rsidP="009A054B">
      <w:pPr>
        <w:pStyle w:val="Sinespaciado"/>
        <w:rPr>
          <w:rFonts w:ascii="Arial" w:hAnsi="Arial"/>
          <w:sz w:val="20"/>
          <w:szCs w:val="20"/>
          <w:lang w:val="es-ES_tradnl"/>
        </w:rPr>
      </w:pPr>
      <w:r w:rsidRPr="006F7FCB">
        <w:rPr>
          <w:rStyle w:val="Refdenotaalpie"/>
          <w:rFonts w:ascii="Arial" w:hAnsi="Arial"/>
          <w:sz w:val="20"/>
          <w:szCs w:val="20"/>
        </w:rPr>
        <w:footnoteRef/>
      </w:r>
      <w:r w:rsidRPr="006F7FCB">
        <w:rPr>
          <w:rFonts w:ascii="Arial" w:hAnsi="Arial"/>
          <w:sz w:val="20"/>
          <w:szCs w:val="20"/>
        </w:rPr>
        <w:t>Entre otras, se citan las sentencias T - 949 de 2003, T - 774 de 2004 y C - 590 de 2005 de la Corte Constitucional.</w:t>
      </w:r>
    </w:p>
  </w:footnote>
  <w:footnote w:id="48">
    <w:p w14:paraId="27FD4AAA" w14:textId="77777777" w:rsidR="00C70FE7" w:rsidRPr="009A054B" w:rsidRDefault="00C70FE7" w:rsidP="0017399E">
      <w:pPr>
        <w:pStyle w:val="Sinespaciado"/>
        <w:rPr>
          <w:rFonts w:ascii="Arial" w:hAnsi="Arial"/>
          <w:sz w:val="20"/>
          <w:szCs w:val="20"/>
        </w:rPr>
      </w:pPr>
      <w:r w:rsidRPr="009A054B">
        <w:rPr>
          <w:rStyle w:val="Refdenotaalpie"/>
          <w:rFonts w:ascii="Arial" w:hAnsi="Arial"/>
          <w:sz w:val="20"/>
          <w:szCs w:val="20"/>
        </w:rPr>
        <w:footnoteRef/>
      </w:r>
      <w:r w:rsidRPr="009A054B">
        <w:rPr>
          <w:rFonts w:ascii="Arial" w:hAnsi="Arial"/>
          <w:sz w:val="20"/>
          <w:szCs w:val="20"/>
        </w:rPr>
        <w:t>Corte Constitucional, Sentencia SU-337/2017, M.P Antonio José Lizarazo Ocampo</w:t>
      </w:r>
    </w:p>
  </w:footnote>
  <w:footnote w:id="49">
    <w:p w14:paraId="3397C2C6" w14:textId="77777777" w:rsidR="00C70FE7" w:rsidRPr="009A054B" w:rsidRDefault="00C70FE7" w:rsidP="0017399E">
      <w:pPr>
        <w:pStyle w:val="Textonotapie"/>
        <w:spacing w:after="0" w:line="240" w:lineRule="auto"/>
        <w:ind w:left="0" w:hanging="2"/>
        <w:jc w:val="both"/>
        <w:rPr>
          <w:rFonts w:ascii="Arial" w:hAnsi="Arial" w:cs="Arial"/>
          <w:lang w:val="es-MX"/>
        </w:rPr>
      </w:pPr>
      <w:r w:rsidRPr="009A054B">
        <w:rPr>
          <w:rStyle w:val="Refdenotaalpie"/>
          <w:rFonts w:ascii="Arial" w:hAnsi="Arial" w:cs="Arial"/>
        </w:rPr>
        <w:footnoteRef/>
      </w:r>
      <w:r w:rsidRPr="009A054B">
        <w:rPr>
          <w:rFonts w:ascii="Arial" w:hAnsi="Arial" w:cs="Arial"/>
        </w:rPr>
        <w:t xml:space="preserve"> Los señores César, Augusto Cepeda Corredor, José Neftalí Cepeda Ramírez y Paulina Corredor Cepeda.</w:t>
      </w:r>
    </w:p>
  </w:footnote>
  <w:footnote w:id="50">
    <w:p w14:paraId="434E202A" w14:textId="4C9EF852" w:rsidR="00C70FE7" w:rsidRPr="0017399E" w:rsidRDefault="00C70FE7" w:rsidP="0017399E">
      <w:pPr>
        <w:pStyle w:val="Textonotapie"/>
        <w:spacing w:after="0" w:line="240" w:lineRule="auto"/>
        <w:ind w:left="0" w:hanging="2"/>
        <w:jc w:val="both"/>
        <w:rPr>
          <w:rFonts w:ascii="Arial" w:hAnsi="Arial" w:cs="Arial"/>
          <w:lang w:val="es-MX"/>
        </w:rPr>
      </w:pPr>
      <w:r w:rsidRPr="009A054B">
        <w:rPr>
          <w:rStyle w:val="Refdenotaalpie"/>
          <w:rFonts w:ascii="Arial" w:hAnsi="Arial" w:cs="Arial"/>
        </w:rPr>
        <w:footnoteRef/>
      </w:r>
      <w:r w:rsidRPr="009A054B">
        <w:rPr>
          <w:rFonts w:ascii="Arial" w:hAnsi="Arial" w:cs="Arial"/>
        </w:rPr>
        <w:t xml:space="preserve"> Ministerio de Minas y Energía, Ministerio de Ambiente y Desarrollo Sostenible, Ministerio de Vivienda, Ciudad y Territorio, Corporación Autónoma Regional de Boyacá – Corpoboyacá, Instituto Colombiano </w:t>
      </w:r>
      <w:r w:rsidRPr="0017399E">
        <w:rPr>
          <w:rFonts w:ascii="Arial" w:hAnsi="Arial" w:cs="Arial"/>
        </w:rPr>
        <w:t xml:space="preserve">de Geología y Minería – </w:t>
      </w:r>
      <w:proofErr w:type="spellStart"/>
      <w:r w:rsidRPr="0017399E">
        <w:rPr>
          <w:rFonts w:ascii="Arial" w:hAnsi="Arial" w:cs="Arial"/>
        </w:rPr>
        <w:t>Ingeominas</w:t>
      </w:r>
      <w:proofErr w:type="spellEnd"/>
      <w:r w:rsidRPr="0017399E">
        <w:rPr>
          <w:rFonts w:ascii="Arial" w:hAnsi="Arial" w:cs="Arial"/>
        </w:rPr>
        <w:t>, Departamento de Boyacá, Cooperativa Agrominera Multiactiva de Paipa Ltda. – Coagromin, Juan de Dios Ochoa Castiblanco y Elsa Nubia Mateus Jiménez.</w:t>
      </w:r>
    </w:p>
  </w:footnote>
  <w:footnote w:id="51">
    <w:p w14:paraId="6C466F3B" w14:textId="392C4518" w:rsidR="00C70FE7" w:rsidRPr="0017399E" w:rsidRDefault="00C70FE7" w:rsidP="0017399E">
      <w:pPr>
        <w:pStyle w:val="Textonotapie"/>
        <w:spacing w:after="0" w:line="240" w:lineRule="auto"/>
        <w:ind w:left="0" w:hanging="2"/>
        <w:rPr>
          <w:rFonts w:ascii="Arial" w:hAnsi="Arial" w:cs="Arial"/>
          <w:lang w:val="es-MX"/>
        </w:rPr>
      </w:pPr>
      <w:r w:rsidRPr="0017399E">
        <w:rPr>
          <w:rStyle w:val="Refdenotaalpie"/>
          <w:rFonts w:ascii="Arial" w:hAnsi="Arial" w:cs="Arial"/>
        </w:rPr>
        <w:footnoteRef/>
      </w:r>
      <w:r w:rsidRPr="0017399E">
        <w:rPr>
          <w:rFonts w:ascii="Arial" w:hAnsi="Arial" w:cs="Arial"/>
        </w:rPr>
        <w:t xml:space="preserve"> Folio 271 del cuaderno No. 4 del índice 25 de SAMAI.</w:t>
      </w:r>
    </w:p>
  </w:footnote>
  <w:footnote w:id="52">
    <w:p w14:paraId="2C20DCBA" w14:textId="77777777" w:rsidR="00C70FE7" w:rsidRPr="0017399E" w:rsidRDefault="00C70FE7" w:rsidP="0017399E">
      <w:pPr>
        <w:pStyle w:val="NormalWeb"/>
        <w:spacing w:before="0" w:beforeAutospacing="0" w:after="0" w:afterAutospacing="0"/>
        <w:jc w:val="both"/>
        <w:rPr>
          <w:rFonts w:ascii="Arial" w:hAnsi="Arial" w:cs="Arial"/>
          <w:sz w:val="20"/>
          <w:szCs w:val="20"/>
          <w:lang w:eastAsia="es-ES_tradnl"/>
        </w:rPr>
      </w:pPr>
      <w:r w:rsidRPr="0017399E">
        <w:rPr>
          <w:rStyle w:val="Refdenotaalpie"/>
          <w:rFonts w:ascii="Arial" w:hAnsi="Arial" w:cs="Arial"/>
          <w:sz w:val="20"/>
          <w:szCs w:val="20"/>
        </w:rPr>
        <w:footnoteRef/>
      </w:r>
      <w:r w:rsidRPr="0017399E">
        <w:rPr>
          <w:rFonts w:ascii="Arial" w:hAnsi="Arial" w:cs="Arial"/>
          <w:sz w:val="20"/>
          <w:szCs w:val="20"/>
        </w:rPr>
        <w:t xml:space="preserve"> </w:t>
      </w:r>
      <w:r w:rsidRPr="0017399E">
        <w:rPr>
          <w:rFonts w:ascii="Arial" w:hAnsi="Arial" w:cs="Arial"/>
          <w:sz w:val="20"/>
          <w:szCs w:val="20"/>
          <w:lang w:eastAsia="es-ES_tradnl"/>
        </w:rPr>
        <w:t>Las providencias proferidas en audiencia adquieren ejecutoria una vez notificadas, cuando no sean impugnadas o no admitan recursos.</w:t>
      </w:r>
    </w:p>
    <w:p w14:paraId="03C09C6C" w14:textId="77777777" w:rsidR="00C70FE7" w:rsidRPr="006F7FCB" w:rsidRDefault="00C70FE7" w:rsidP="0017399E">
      <w:pPr>
        <w:rPr>
          <w:rFonts w:ascii="Arial" w:hAnsi="Arial"/>
          <w:sz w:val="20"/>
          <w:szCs w:val="20"/>
          <w:lang w:val="es-CO"/>
        </w:rPr>
      </w:pPr>
      <w:r w:rsidRPr="006F7FCB">
        <w:rPr>
          <w:rFonts w:ascii="Arial" w:hAnsi="Arial"/>
          <w:sz w:val="20"/>
          <w:szCs w:val="20"/>
          <w:lang w:val="es-CO"/>
        </w:rPr>
        <w:t>No obstante, cuando se pida aclaración o complementación de una providencia, solo quedará ejecutoriada una vez resuelta la solicitud.</w:t>
      </w:r>
    </w:p>
    <w:p w14:paraId="0F3D8E57" w14:textId="77777777" w:rsidR="00C70FE7" w:rsidRPr="006F7FCB" w:rsidRDefault="00C70FE7" w:rsidP="0017399E">
      <w:pPr>
        <w:rPr>
          <w:rFonts w:ascii="Arial" w:hAnsi="Arial"/>
          <w:sz w:val="20"/>
          <w:szCs w:val="20"/>
          <w:lang w:val="es-CO"/>
        </w:rPr>
      </w:pPr>
      <w:r w:rsidRPr="006F7FCB">
        <w:rPr>
          <w:rFonts w:ascii="Arial" w:hAnsi="Arial"/>
          <w:sz w:val="20"/>
          <w:szCs w:val="20"/>
          <w:lang w:val="es-CO"/>
        </w:rPr>
        <w:t>Las que sean proferidas por fuera de audiencia quedan ejecutoriadas tres (3) días después de notificadas, cuando carecen de recursos o han vencido los términos sin haberse interpuesto los recursos que fueren procedentes, o cuando queda ejecutoriada la providencia que resuelva los interpuestos.</w:t>
      </w:r>
    </w:p>
  </w:footnote>
  <w:footnote w:id="53">
    <w:p w14:paraId="46648D88" w14:textId="77777777" w:rsidR="00C70FE7" w:rsidRPr="006F7FCB" w:rsidRDefault="00C70FE7" w:rsidP="000360D6">
      <w:pPr>
        <w:pStyle w:val="Sinespaciado"/>
        <w:rPr>
          <w:rFonts w:ascii="Arial" w:hAnsi="Arial"/>
          <w:sz w:val="20"/>
          <w:szCs w:val="20"/>
        </w:rPr>
      </w:pPr>
      <w:r w:rsidRPr="006F7FCB">
        <w:rPr>
          <w:rStyle w:val="Refdenotaalpie"/>
          <w:rFonts w:ascii="Arial" w:hAnsi="Arial"/>
          <w:sz w:val="20"/>
          <w:szCs w:val="20"/>
        </w:rPr>
        <w:footnoteRef/>
      </w:r>
      <w:r w:rsidRPr="006F7FCB">
        <w:rPr>
          <w:rFonts w:ascii="Arial" w:hAnsi="Arial"/>
          <w:sz w:val="20"/>
          <w:szCs w:val="20"/>
        </w:rPr>
        <w:t xml:space="preserve"> Consejo de Estado, sentencia del 12 de noviembre de 2015, M.P. Lucy Jeannette Bermúdez </w:t>
      </w:r>
      <w:proofErr w:type="spellStart"/>
      <w:r w:rsidRPr="006F7FCB">
        <w:rPr>
          <w:rFonts w:ascii="Arial" w:hAnsi="Arial"/>
          <w:sz w:val="20"/>
          <w:szCs w:val="20"/>
        </w:rPr>
        <w:t>Bermúdez</w:t>
      </w:r>
      <w:proofErr w:type="spellEnd"/>
      <w:r w:rsidRPr="006F7FCB">
        <w:rPr>
          <w:rFonts w:ascii="Arial" w:hAnsi="Arial"/>
          <w:sz w:val="20"/>
          <w:szCs w:val="20"/>
        </w:rPr>
        <w:t>, Radicación No. 11001-03-15-000-2015-01471-01.</w:t>
      </w:r>
    </w:p>
  </w:footnote>
  <w:footnote w:id="54">
    <w:p w14:paraId="1A966DBB" w14:textId="77777777" w:rsidR="00C70FE7" w:rsidRPr="006F7FCB" w:rsidRDefault="00C70FE7" w:rsidP="000360D6">
      <w:pPr>
        <w:pStyle w:val="Sinespaciado"/>
        <w:rPr>
          <w:rFonts w:ascii="Arial" w:hAnsi="Arial"/>
          <w:sz w:val="20"/>
          <w:szCs w:val="20"/>
        </w:rPr>
      </w:pPr>
      <w:r w:rsidRPr="006F7FCB">
        <w:rPr>
          <w:rStyle w:val="Refdenotaalpie"/>
          <w:rFonts w:ascii="Arial" w:hAnsi="Arial"/>
          <w:sz w:val="20"/>
          <w:szCs w:val="20"/>
        </w:rPr>
        <w:footnoteRef/>
      </w:r>
      <w:r w:rsidRPr="006F7FCB">
        <w:rPr>
          <w:rFonts w:ascii="Arial" w:hAnsi="Arial"/>
          <w:sz w:val="20"/>
          <w:szCs w:val="20"/>
        </w:rPr>
        <w:t xml:space="preserve"> Consejo de Estado, sentencia del 11 de febrero de 2016, M.P. Rocío Araújo Oñate, Radicación No. 11001-03-15-000-2015-03442-01.</w:t>
      </w:r>
    </w:p>
  </w:footnote>
  <w:footnote w:id="55">
    <w:p w14:paraId="5BF4ACE5" w14:textId="77777777" w:rsidR="00C70FE7" w:rsidRPr="00C4285D" w:rsidRDefault="00C70FE7" w:rsidP="00443EB6">
      <w:pPr>
        <w:pStyle w:val="Textonotapie"/>
        <w:spacing w:after="0" w:line="240" w:lineRule="auto"/>
        <w:ind w:left="0" w:hanging="2"/>
        <w:rPr>
          <w:color w:val="000000"/>
          <w:lang w:val="es-ES_tradnl"/>
        </w:rPr>
      </w:pPr>
      <w:r w:rsidRPr="00C4285D">
        <w:rPr>
          <w:rStyle w:val="Refdenotaalpie"/>
          <w:rFonts w:cs="Arial"/>
          <w:color w:val="000000"/>
        </w:rPr>
        <w:footnoteRef/>
      </w:r>
      <w:r w:rsidRPr="00C4285D">
        <w:rPr>
          <w:color w:val="000000"/>
        </w:rPr>
        <w:t xml:space="preserve"> </w:t>
      </w:r>
      <w:r w:rsidRPr="00C4285D">
        <w:rPr>
          <w:color w:val="000000"/>
          <w:lang w:val="es-ES_tradnl"/>
        </w:rPr>
        <w:t>Corte Constitucional. (30 de octubre de 2019). Sentencia SU-516. Expedientes acumulados T-7.302.719 y T-7.475.739. [M. P. Antonio José Lizarazo Ocampo].</w:t>
      </w:r>
    </w:p>
  </w:footnote>
  <w:footnote w:id="56">
    <w:p w14:paraId="5499BFAE"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Corte Constitucional, Sentencia SU-210 de 2017</w:t>
      </w:r>
      <w:r w:rsidRPr="00C4285D">
        <w:rPr>
          <w:color w:val="000000"/>
        </w:rPr>
        <w:t>».</w:t>
      </w:r>
    </w:p>
  </w:footnote>
  <w:footnote w:id="57">
    <w:p w14:paraId="295B6508"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Corte Constitucional, Sentencias T-008 de 1998, C-984 de 1999 y T-156 de 2009</w:t>
      </w:r>
      <w:r w:rsidRPr="00C4285D">
        <w:rPr>
          <w:color w:val="000000"/>
        </w:rPr>
        <w:t>».</w:t>
      </w:r>
    </w:p>
  </w:footnote>
  <w:footnote w:id="58">
    <w:p w14:paraId="323FB02F"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Corte Constitucional, Sentencias SU-515 de 2013, SU-168 de 2017, SU-210 de 2017, SU-632 de 2017 y SU-116 de 2018</w:t>
      </w:r>
      <w:r w:rsidRPr="00C4285D">
        <w:rPr>
          <w:color w:val="000000"/>
        </w:rPr>
        <w:t>».</w:t>
      </w:r>
    </w:p>
  </w:footnote>
  <w:footnote w:id="59">
    <w:p w14:paraId="5056D177"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 xml:space="preserve">Corte Constitucional, </w:t>
      </w:r>
      <w:r w:rsidRPr="00C4285D">
        <w:rPr>
          <w:i/>
          <w:color w:val="000000"/>
          <w:bdr w:val="none" w:sz="0" w:space="0" w:color="auto" w:frame="1"/>
          <w:shd w:val="clear" w:color="auto" w:fill="FFFFFF"/>
        </w:rPr>
        <w:t>Sentencia T-800 de 2006</w:t>
      </w:r>
      <w:r w:rsidRPr="00C4285D">
        <w:rPr>
          <w:color w:val="000000"/>
          <w:bdr w:val="none" w:sz="0" w:space="0" w:color="auto" w:frame="1"/>
          <w:shd w:val="clear" w:color="auto" w:fill="FFFFFF"/>
        </w:rPr>
        <w:t>».</w:t>
      </w:r>
    </w:p>
  </w:footnote>
  <w:footnote w:id="60">
    <w:p w14:paraId="2DAEACA1"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 xml:space="preserve">Corte Constitucional, </w:t>
      </w:r>
      <w:r w:rsidRPr="00C4285D">
        <w:rPr>
          <w:i/>
          <w:color w:val="000000"/>
          <w:shd w:val="clear" w:color="auto" w:fill="FFFFFF"/>
        </w:rPr>
        <w:t>Sentencia T-205 de 2004</w:t>
      </w:r>
      <w:r w:rsidRPr="00C4285D">
        <w:rPr>
          <w:color w:val="000000"/>
          <w:shd w:val="clear" w:color="auto" w:fill="FFFFFF"/>
        </w:rPr>
        <w:t>».</w:t>
      </w:r>
    </w:p>
  </w:footnote>
  <w:footnote w:id="61">
    <w:p w14:paraId="212173A2"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Corte Constitucional, Sentencias T-158 de 1993</w:t>
      </w:r>
      <w:r w:rsidRPr="00C4285D">
        <w:rPr>
          <w:i/>
          <w:color w:val="000000"/>
          <w:lang w:val="fr-FR"/>
        </w:rPr>
        <w:t xml:space="preserve">, </w:t>
      </w:r>
      <w:r w:rsidRPr="00C4285D">
        <w:rPr>
          <w:i/>
          <w:color w:val="000000"/>
        </w:rPr>
        <w:t>T-804 de 1999</w:t>
      </w:r>
      <w:r w:rsidRPr="00C4285D">
        <w:rPr>
          <w:i/>
          <w:color w:val="000000"/>
          <w:lang w:val="fr-FR"/>
        </w:rPr>
        <w:t>,</w:t>
      </w:r>
      <w:r w:rsidRPr="00C4285D">
        <w:rPr>
          <w:i/>
          <w:color w:val="000000"/>
        </w:rPr>
        <w:t xml:space="preserve"> SU-159 2002</w:t>
      </w:r>
      <w:r w:rsidRPr="00C4285D">
        <w:rPr>
          <w:i/>
          <w:color w:val="000000"/>
          <w:lang w:val="fr-FR"/>
        </w:rPr>
        <w:t xml:space="preserve"> y</w:t>
      </w:r>
      <w:r w:rsidRPr="00C4285D">
        <w:rPr>
          <w:i/>
          <w:color w:val="000000"/>
        </w:rPr>
        <w:t xml:space="preserve"> T-800 de 2006</w:t>
      </w:r>
      <w:r w:rsidRPr="00C4285D">
        <w:rPr>
          <w:color w:val="000000"/>
        </w:rPr>
        <w:t>».</w:t>
      </w:r>
    </w:p>
  </w:footnote>
  <w:footnote w:id="62">
    <w:p w14:paraId="1B5DCAD9"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vertAlign w:val="superscript"/>
        </w:rPr>
        <w:t xml:space="preserve"> </w:t>
      </w:r>
      <w:r w:rsidRPr="00C4285D">
        <w:rPr>
          <w:color w:val="000000"/>
        </w:rPr>
        <w:t>«</w:t>
      </w:r>
      <w:r w:rsidRPr="00C4285D">
        <w:rPr>
          <w:i/>
          <w:color w:val="000000"/>
        </w:rPr>
        <w:t xml:space="preserve">Corte Constitucional, </w:t>
      </w:r>
      <w:r w:rsidRPr="00C4285D">
        <w:rPr>
          <w:i/>
          <w:color w:val="000000"/>
          <w:shd w:val="clear" w:color="auto" w:fill="FFFFFF"/>
        </w:rPr>
        <w:t>T-189 de 2005</w:t>
      </w:r>
      <w:r w:rsidRPr="00C4285D">
        <w:rPr>
          <w:color w:val="000000"/>
          <w:shd w:val="clear" w:color="auto" w:fill="FFFFFF"/>
        </w:rPr>
        <w:t>».</w:t>
      </w:r>
    </w:p>
  </w:footnote>
  <w:footnote w:id="63">
    <w:p w14:paraId="783B94C3" w14:textId="77777777" w:rsidR="00C70FE7" w:rsidRPr="00C4285D" w:rsidRDefault="00C70FE7" w:rsidP="00443EB6">
      <w:pPr>
        <w:pStyle w:val="Textonotapie"/>
        <w:spacing w:after="0" w:line="240" w:lineRule="auto"/>
        <w:ind w:left="0" w:hanging="2"/>
        <w:rPr>
          <w:color w:val="000000"/>
        </w:rPr>
      </w:pPr>
      <w:r w:rsidRPr="00C4285D">
        <w:rPr>
          <w:rStyle w:val="Refdenotaalpie"/>
          <w:rFonts w:cs="Arial"/>
          <w:color w:val="000000"/>
        </w:rPr>
        <w:footnoteRef/>
      </w:r>
      <w:r w:rsidRPr="00C4285D">
        <w:rPr>
          <w:color w:val="000000"/>
        </w:rPr>
        <w:t xml:space="preserve"> «</w:t>
      </w:r>
      <w:r w:rsidRPr="00C4285D">
        <w:rPr>
          <w:i/>
          <w:color w:val="000000"/>
        </w:rPr>
        <w:t xml:space="preserve">Corte Constitucional, </w:t>
      </w:r>
      <w:r w:rsidRPr="00C4285D">
        <w:rPr>
          <w:i/>
          <w:color w:val="000000"/>
          <w:shd w:val="clear" w:color="auto" w:fill="FFFFFF"/>
        </w:rPr>
        <w:t>Sentencia SU-159 de 2002</w:t>
      </w:r>
      <w:r w:rsidRPr="00C4285D">
        <w:rPr>
          <w:color w:val="000000"/>
          <w:shd w:val="clear" w:color="auto" w:fill="FFFFFF"/>
        </w:rPr>
        <w:t>».</w:t>
      </w:r>
    </w:p>
  </w:footnote>
  <w:footnote w:id="64">
    <w:p w14:paraId="20C6E3F2" w14:textId="77777777" w:rsidR="00C70FE7" w:rsidRPr="00C4285D" w:rsidRDefault="00C70FE7" w:rsidP="00443EB6">
      <w:pPr>
        <w:pStyle w:val="Textonotapie"/>
        <w:spacing w:after="0" w:line="240" w:lineRule="auto"/>
        <w:ind w:left="0" w:hanging="2"/>
        <w:rPr>
          <w:color w:val="000000"/>
          <w:shd w:val="clear" w:color="auto" w:fill="FFFFFF"/>
        </w:rPr>
      </w:pPr>
      <w:r w:rsidRPr="00C4285D">
        <w:rPr>
          <w:rStyle w:val="Refdenotaalpie"/>
          <w:rFonts w:cs="Arial"/>
          <w:color w:val="000000"/>
        </w:rPr>
        <w:footnoteRef/>
      </w:r>
      <w:r w:rsidRPr="00C4285D">
        <w:rPr>
          <w:color w:val="000000"/>
        </w:rPr>
        <w:t xml:space="preserve"> «</w:t>
      </w:r>
      <w:r w:rsidRPr="00C4285D">
        <w:rPr>
          <w:i/>
          <w:color w:val="000000"/>
        </w:rPr>
        <w:t xml:space="preserve">Corte Constitucional, </w:t>
      </w:r>
      <w:r w:rsidRPr="00C4285D">
        <w:rPr>
          <w:i/>
          <w:color w:val="000000"/>
          <w:shd w:val="clear" w:color="auto" w:fill="FFFFFF"/>
        </w:rPr>
        <w:t>Sentencias T-814 de 1999, T-842 de 2001, T-462 de 2003 y T-790 de 2010</w:t>
      </w:r>
      <w:r w:rsidRPr="00C4285D">
        <w:rPr>
          <w:color w:val="000000"/>
          <w:shd w:val="clear" w:color="auto" w:fill="FFFFFF"/>
        </w:rPr>
        <w:t>».</w:t>
      </w:r>
    </w:p>
  </w:footnote>
  <w:footnote w:id="65">
    <w:p w14:paraId="09236BFF" w14:textId="77777777" w:rsidR="00C70FE7" w:rsidRPr="008B3ED8" w:rsidRDefault="00C70FE7" w:rsidP="00443EB6">
      <w:pPr>
        <w:pStyle w:val="Textonotapie"/>
        <w:spacing w:after="0"/>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iCs/>
          <w:color w:val="000000"/>
        </w:rPr>
        <w:t xml:space="preserve">«Corte Constitucional, </w:t>
      </w:r>
      <w:r w:rsidRPr="008B3ED8">
        <w:rPr>
          <w:rFonts w:ascii="Arial" w:hAnsi="Arial" w:cs="Arial"/>
          <w:i/>
          <w:iCs/>
          <w:color w:val="000000"/>
          <w:shd w:val="clear" w:color="auto" w:fill="FFFFFF"/>
        </w:rPr>
        <w:t>Sentencia T-018 de 2008»</w:t>
      </w:r>
      <w:r w:rsidRPr="008B3ED8">
        <w:rPr>
          <w:rFonts w:ascii="Arial" w:hAnsi="Arial" w:cs="Arial"/>
          <w:color w:val="000000"/>
          <w:shd w:val="clear" w:color="auto" w:fill="FFFFFF"/>
        </w:rPr>
        <w:t>.</w:t>
      </w:r>
    </w:p>
  </w:footnote>
  <w:footnote w:id="66">
    <w:p w14:paraId="2EF2C824" w14:textId="77777777" w:rsidR="00C70FE7" w:rsidRPr="008B3ED8" w:rsidRDefault="00C70FE7" w:rsidP="00443EB6">
      <w:pPr>
        <w:pStyle w:val="Textonotapie"/>
        <w:spacing w:after="0"/>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 T-086 de 2007</w:t>
      </w:r>
      <w:r w:rsidRPr="008B3ED8">
        <w:rPr>
          <w:rFonts w:ascii="Arial" w:hAnsi="Arial" w:cs="Arial"/>
          <w:color w:val="000000"/>
          <w:shd w:val="clear" w:color="auto" w:fill="FFFFFF"/>
        </w:rPr>
        <w:t>».</w:t>
      </w:r>
    </w:p>
  </w:footnote>
  <w:footnote w:id="67">
    <w:p w14:paraId="32F4D0E4" w14:textId="77777777" w:rsidR="00C70FE7" w:rsidRPr="008B3ED8" w:rsidRDefault="00C70FE7" w:rsidP="00443EB6">
      <w:pPr>
        <w:pStyle w:val="Textonotapie"/>
        <w:spacing w:after="0"/>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 T-231 de 1994</w:t>
      </w:r>
      <w:r w:rsidRPr="008B3ED8">
        <w:rPr>
          <w:rFonts w:ascii="Arial" w:hAnsi="Arial" w:cs="Arial"/>
          <w:color w:val="000000"/>
          <w:shd w:val="clear" w:color="auto" w:fill="FFFFFF"/>
        </w:rPr>
        <w:t>».</w:t>
      </w:r>
    </w:p>
  </w:footnote>
  <w:footnote w:id="68">
    <w:p w14:paraId="74FE7D10" w14:textId="77777777" w:rsidR="00C70FE7" w:rsidRPr="008B3ED8" w:rsidRDefault="00C70FE7" w:rsidP="00443EB6">
      <w:pPr>
        <w:pStyle w:val="Textonotapie"/>
        <w:spacing w:after="0" w:line="240" w:lineRule="auto"/>
        <w:ind w:left="0" w:hanging="2"/>
        <w:rPr>
          <w:rFonts w:ascii="Arial" w:hAnsi="Arial" w:cs="Arial"/>
          <w:color w:val="000000"/>
          <w:shd w:val="clear" w:color="auto" w:fill="FFFFFF"/>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T-807 de 2004,</w:t>
      </w:r>
      <w:r w:rsidRPr="008B3ED8">
        <w:rPr>
          <w:rFonts w:ascii="Arial" w:hAnsi="Arial" w:cs="Arial"/>
          <w:i/>
          <w:color w:val="000000"/>
        </w:rPr>
        <w:t xml:space="preserve"> </w:t>
      </w:r>
      <w:r w:rsidRPr="008B3ED8">
        <w:rPr>
          <w:rFonts w:ascii="Arial" w:hAnsi="Arial" w:cs="Arial"/>
          <w:i/>
          <w:color w:val="000000"/>
          <w:shd w:val="clear" w:color="auto" w:fill="FFFFFF"/>
        </w:rPr>
        <w:t>T-790 de 2010 y T-510 de 2011</w:t>
      </w:r>
      <w:r w:rsidRPr="008B3ED8">
        <w:rPr>
          <w:rFonts w:ascii="Arial" w:hAnsi="Arial" w:cs="Arial"/>
          <w:color w:val="000000"/>
          <w:shd w:val="clear" w:color="auto" w:fill="FFFFFF"/>
        </w:rPr>
        <w:t>»</w:t>
      </w:r>
      <w:r w:rsidRPr="008B3ED8">
        <w:rPr>
          <w:rFonts w:ascii="Arial" w:hAnsi="Arial" w:cs="Arial"/>
          <w:color w:val="000000"/>
          <w:shd w:val="clear" w:color="auto" w:fill="FFFFFF"/>
          <w:lang w:val="fr-FR"/>
        </w:rPr>
        <w:t>.</w:t>
      </w:r>
    </w:p>
  </w:footnote>
  <w:footnote w:id="69">
    <w:p w14:paraId="6210BE87"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T-114 de 2002, T-1285 de 2005 y T-086 de 2007</w:t>
      </w:r>
      <w:r w:rsidRPr="008B3ED8">
        <w:rPr>
          <w:rFonts w:ascii="Arial" w:hAnsi="Arial" w:cs="Arial"/>
          <w:color w:val="000000"/>
          <w:shd w:val="clear" w:color="auto" w:fill="FFFFFF"/>
        </w:rPr>
        <w:t>».</w:t>
      </w:r>
    </w:p>
  </w:footnote>
  <w:footnote w:id="70">
    <w:p w14:paraId="376A3AA7" w14:textId="77777777" w:rsidR="00C70FE7" w:rsidRPr="008B3ED8" w:rsidRDefault="00C70FE7" w:rsidP="00443EB6">
      <w:pPr>
        <w:pStyle w:val="Textonotapie"/>
        <w:spacing w:after="0" w:line="240" w:lineRule="auto"/>
        <w:ind w:left="0" w:hanging="2"/>
        <w:rPr>
          <w:rFonts w:ascii="Arial" w:hAnsi="Arial" w:cs="Arial"/>
          <w:color w:val="000000"/>
          <w:shd w:val="clear" w:color="auto" w:fill="FFFFFF"/>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SU-640 de 1998, T-462 de 2003, T-1285 de 2005 y T-292 de 2006</w:t>
      </w:r>
      <w:r w:rsidRPr="008B3ED8">
        <w:rPr>
          <w:rFonts w:ascii="Arial" w:hAnsi="Arial" w:cs="Arial"/>
          <w:color w:val="000000"/>
          <w:shd w:val="clear" w:color="auto" w:fill="FFFFFF"/>
        </w:rPr>
        <w:t>».</w:t>
      </w:r>
    </w:p>
  </w:footnote>
  <w:footnote w:id="71">
    <w:p w14:paraId="0158EAF2"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shd w:val="clear" w:color="auto" w:fill="FFFFFF"/>
        </w:rPr>
        <w:t>En la Sentencia T-808 de 2007, se expuso que “</w:t>
      </w:r>
      <w:r w:rsidRPr="008B3ED8">
        <w:rPr>
          <w:rFonts w:ascii="Arial" w:hAnsi="Arial" w:cs="Arial"/>
          <w:i/>
          <w:color w:val="000000"/>
          <w:bdr w:val="none" w:sz="0" w:space="0" w:color="auto" w:frame="1"/>
          <w:shd w:val="clear" w:color="auto" w:fill="FFFFFF"/>
        </w:rPr>
        <w:t xml:space="preserve">en cualquiera de estos casos debe estarse frente a un desconocimiento claro y ostensible de la normatividad aplicable al caso concreto, de manera que la desconexión entre la voluntad del ordenamiento y la del funcionario judicial sea notoria y no tenga respaldo en el margen de autonomía e independencia que la Constitución le reconoce a los jueces (Art. 230 C.P.). Debe </w:t>
      </w:r>
      <w:proofErr w:type="gramStart"/>
      <w:r w:rsidRPr="008B3ED8">
        <w:rPr>
          <w:rFonts w:ascii="Arial" w:hAnsi="Arial" w:cs="Arial"/>
          <w:i/>
          <w:color w:val="000000"/>
          <w:bdr w:val="none" w:sz="0" w:space="0" w:color="auto" w:frame="1"/>
          <w:shd w:val="clear" w:color="auto" w:fill="FFFFFF"/>
        </w:rPr>
        <w:t>recordarse</w:t>
      </w:r>
      <w:proofErr w:type="gramEnd"/>
      <w:r w:rsidRPr="008B3ED8">
        <w:rPr>
          <w:rFonts w:ascii="Arial" w:hAnsi="Arial" w:cs="Arial"/>
          <w:i/>
          <w:color w:val="000000"/>
          <w:bdr w:val="none" w:sz="0" w:space="0" w:color="auto" w:frame="1"/>
          <w:shd w:val="clear" w:color="auto" w:fill="FFFFFF"/>
        </w:rPr>
        <w:t xml:space="preserve"> además, que el amparo constitucional en estos casos no puede tener por objeto lograr interpretaciones más favorables para quien tutela, sino exclusivamente, proteger los derechos fundamentales de quien queda sujeto a una providencia que se ha apartado de lo dispuesto por el ordenamiento jurídico”</w:t>
      </w:r>
      <w:r w:rsidRPr="008B3ED8">
        <w:rPr>
          <w:rFonts w:ascii="Arial" w:hAnsi="Arial" w:cs="Arial"/>
          <w:color w:val="000000"/>
          <w:bdr w:val="none" w:sz="0" w:space="0" w:color="auto" w:frame="1"/>
          <w:shd w:val="clear" w:color="auto" w:fill="FFFFFF"/>
        </w:rPr>
        <w:t>»</w:t>
      </w:r>
      <w:r w:rsidRPr="008B3ED8">
        <w:rPr>
          <w:rFonts w:ascii="Arial" w:hAnsi="Arial" w:cs="Arial"/>
          <w:color w:val="000000"/>
          <w:shd w:val="clear" w:color="auto" w:fill="FFFFFF"/>
        </w:rPr>
        <w:t>.</w:t>
      </w:r>
    </w:p>
  </w:footnote>
  <w:footnote w:id="72">
    <w:p w14:paraId="4B39E3F6"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vertAlign w:val="superscript"/>
        </w:rPr>
        <w:t xml:space="preserve"> </w:t>
      </w:r>
      <w:r w:rsidRPr="008B3ED8">
        <w:rPr>
          <w:rFonts w:ascii="Arial" w:hAnsi="Arial" w:cs="Arial"/>
          <w:color w:val="000000"/>
        </w:rPr>
        <w:t>«</w:t>
      </w:r>
      <w:r w:rsidRPr="008B3ED8">
        <w:rPr>
          <w:rFonts w:ascii="Arial" w:hAnsi="Arial" w:cs="Arial"/>
          <w:i/>
          <w:color w:val="000000"/>
        </w:rPr>
        <w:t xml:space="preserve">Corte Constitucional, Sentencias T-572 de 1994 </w:t>
      </w:r>
      <w:r w:rsidRPr="008B3ED8">
        <w:rPr>
          <w:rFonts w:ascii="Arial" w:hAnsi="Arial" w:cs="Arial"/>
          <w:i/>
          <w:color w:val="000000"/>
          <w:lang w:val="fr-FR"/>
        </w:rPr>
        <w:t xml:space="preserve">y </w:t>
      </w:r>
      <w:r w:rsidRPr="008B3ED8">
        <w:rPr>
          <w:rFonts w:ascii="Arial" w:hAnsi="Arial" w:cs="Arial"/>
          <w:i/>
          <w:color w:val="000000"/>
        </w:rPr>
        <w:t>SU-159 de 2002</w:t>
      </w:r>
      <w:r w:rsidRPr="008B3ED8">
        <w:rPr>
          <w:rFonts w:ascii="Arial" w:hAnsi="Arial" w:cs="Arial"/>
          <w:color w:val="000000"/>
        </w:rPr>
        <w:t>».</w:t>
      </w:r>
    </w:p>
  </w:footnote>
  <w:footnote w:id="73">
    <w:p w14:paraId="06EB27FE"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vertAlign w:val="superscript"/>
        </w:rPr>
        <w:t xml:space="preserve"> </w:t>
      </w:r>
      <w:r w:rsidRPr="008B3ED8">
        <w:rPr>
          <w:rFonts w:ascii="Arial" w:hAnsi="Arial" w:cs="Arial"/>
          <w:color w:val="000000"/>
        </w:rPr>
        <w:t>«</w:t>
      </w:r>
      <w:r w:rsidRPr="008B3ED8">
        <w:rPr>
          <w:rFonts w:ascii="Arial" w:hAnsi="Arial" w:cs="Arial"/>
          <w:i/>
          <w:color w:val="000000"/>
        </w:rPr>
        <w:t>Corte Constitucional, Sentencias T-572 de 1994</w:t>
      </w:r>
      <w:r w:rsidRPr="008B3ED8">
        <w:rPr>
          <w:rFonts w:ascii="Arial" w:hAnsi="Arial" w:cs="Arial"/>
          <w:i/>
          <w:color w:val="000000"/>
          <w:lang w:val="fr-FR"/>
        </w:rPr>
        <w:t xml:space="preserve">, </w:t>
      </w:r>
      <w:r w:rsidRPr="008B3ED8">
        <w:rPr>
          <w:rFonts w:ascii="Arial" w:hAnsi="Arial" w:cs="Arial"/>
          <w:i/>
          <w:color w:val="000000"/>
        </w:rPr>
        <w:t>SU-172 de 2000 y SU-174 de 2007</w:t>
      </w:r>
      <w:r w:rsidRPr="008B3ED8">
        <w:rPr>
          <w:rFonts w:ascii="Arial" w:hAnsi="Arial" w:cs="Arial"/>
          <w:color w:val="000000"/>
        </w:rPr>
        <w:t>»</w:t>
      </w:r>
      <w:r w:rsidRPr="008B3ED8">
        <w:rPr>
          <w:rFonts w:ascii="Arial" w:hAnsi="Arial" w:cs="Arial"/>
          <w:color w:val="000000"/>
          <w:lang w:val="fr-FR"/>
        </w:rPr>
        <w:t>.</w:t>
      </w:r>
    </w:p>
  </w:footnote>
  <w:footnote w:id="74">
    <w:p w14:paraId="0669EF21"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vertAlign w:val="superscript"/>
        </w:rPr>
        <w:t xml:space="preserve"> «</w:t>
      </w:r>
      <w:r w:rsidRPr="008B3ED8">
        <w:rPr>
          <w:rFonts w:ascii="Arial" w:hAnsi="Arial" w:cs="Arial"/>
          <w:i/>
          <w:color w:val="000000"/>
        </w:rPr>
        <w:t>Corte Constitucional, Sentencia T-100 de 1998</w:t>
      </w:r>
      <w:r w:rsidRPr="008B3ED8">
        <w:rPr>
          <w:rFonts w:ascii="Arial" w:hAnsi="Arial" w:cs="Arial"/>
          <w:color w:val="000000"/>
        </w:rPr>
        <w:t>».</w:t>
      </w:r>
    </w:p>
  </w:footnote>
  <w:footnote w:id="75">
    <w:p w14:paraId="29076CC7"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vertAlign w:val="superscript"/>
        </w:rPr>
        <w:t xml:space="preserve"> «</w:t>
      </w:r>
      <w:r w:rsidRPr="008B3ED8">
        <w:rPr>
          <w:rFonts w:ascii="Arial" w:hAnsi="Arial" w:cs="Arial"/>
          <w:i/>
          <w:color w:val="000000"/>
        </w:rPr>
        <w:t>Corte Constitucional, Sentencia T-1095 de 2012</w:t>
      </w:r>
      <w:r w:rsidRPr="008B3ED8">
        <w:rPr>
          <w:rFonts w:ascii="Arial" w:hAnsi="Arial" w:cs="Arial"/>
          <w:color w:val="000000"/>
        </w:rPr>
        <w:t>».</w:t>
      </w:r>
    </w:p>
  </w:footnote>
  <w:footnote w:id="76">
    <w:p w14:paraId="1CE4D314"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T-1101 de 2005 y T-051 de 2009</w:t>
      </w:r>
      <w:r w:rsidRPr="008B3ED8">
        <w:rPr>
          <w:rFonts w:ascii="Arial" w:hAnsi="Arial" w:cs="Arial"/>
          <w:color w:val="000000"/>
          <w:shd w:val="clear" w:color="auto" w:fill="FFFFFF"/>
        </w:rPr>
        <w:t>».</w:t>
      </w:r>
    </w:p>
  </w:footnote>
  <w:footnote w:id="77">
    <w:p w14:paraId="1182765E" w14:textId="77777777" w:rsidR="00C70FE7" w:rsidRPr="00C4285D" w:rsidRDefault="00C70FE7" w:rsidP="00443EB6">
      <w:pPr>
        <w:pStyle w:val="Textonotapie"/>
        <w:spacing w:after="0" w:line="240" w:lineRule="auto"/>
        <w:ind w:left="0" w:hanging="2"/>
        <w:rPr>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T-765 de 1998, T-001 de 1999 y T-462 de 2003</w:t>
      </w:r>
      <w:r w:rsidRPr="008B3ED8">
        <w:rPr>
          <w:rFonts w:ascii="Arial" w:hAnsi="Arial" w:cs="Arial"/>
          <w:color w:val="000000"/>
          <w:shd w:val="clear" w:color="auto" w:fill="FFFFFF"/>
        </w:rPr>
        <w:t>».</w:t>
      </w:r>
    </w:p>
  </w:footnote>
  <w:footnote w:id="78">
    <w:p w14:paraId="5503AE4B" w14:textId="77777777" w:rsidR="00C70FE7" w:rsidRPr="008B3ED8" w:rsidRDefault="00C70FE7" w:rsidP="00443EB6">
      <w:pPr>
        <w:pStyle w:val="Textonotapie"/>
        <w:spacing w:after="0" w:line="240" w:lineRule="auto"/>
        <w:ind w:left="0" w:hanging="2"/>
        <w:rPr>
          <w:rFonts w:ascii="Arial" w:hAnsi="Arial" w:cs="Arial"/>
          <w:color w:val="000000"/>
        </w:rPr>
      </w:pPr>
      <w:r w:rsidRPr="008B3ED8">
        <w:rPr>
          <w:rStyle w:val="Refdenotaalpie"/>
          <w:rFonts w:ascii="Arial" w:hAnsi="Arial" w:cs="Arial"/>
          <w:color w:val="000000"/>
        </w:rPr>
        <w:footnoteRef/>
      </w:r>
      <w:r w:rsidRPr="008B3ED8">
        <w:rPr>
          <w:rFonts w:ascii="Arial" w:hAnsi="Arial" w:cs="Arial"/>
          <w:color w:val="000000"/>
        </w:rPr>
        <w:t xml:space="preserve"> «</w:t>
      </w:r>
      <w:r w:rsidRPr="008B3ED8">
        <w:rPr>
          <w:rFonts w:ascii="Arial" w:hAnsi="Arial" w:cs="Arial"/>
          <w:i/>
          <w:color w:val="000000"/>
        </w:rPr>
        <w:t xml:space="preserve">Corte Constitucional, </w:t>
      </w:r>
      <w:r w:rsidRPr="008B3ED8">
        <w:rPr>
          <w:rFonts w:ascii="Arial" w:hAnsi="Arial" w:cs="Arial"/>
          <w:i/>
          <w:color w:val="000000"/>
          <w:shd w:val="clear" w:color="auto" w:fill="FFFFFF"/>
        </w:rPr>
        <w:t>Sentencias T-079 de 1993 y T-066 de 2009</w:t>
      </w:r>
      <w:r w:rsidRPr="008B3ED8">
        <w:rPr>
          <w:rFonts w:ascii="Arial" w:hAnsi="Arial" w:cs="Arial"/>
          <w:color w:val="000000"/>
          <w:shd w:val="clear" w:color="auto" w:fill="FFFFFF"/>
        </w:rPr>
        <w:t>».</w:t>
      </w:r>
    </w:p>
  </w:footnote>
  <w:footnote w:id="79">
    <w:p w14:paraId="09424B4A" w14:textId="77777777" w:rsidR="00C70FE7" w:rsidRPr="00C4285D" w:rsidRDefault="00C70FE7" w:rsidP="00C70FE7">
      <w:pPr>
        <w:pStyle w:val="Textonotapie"/>
        <w:spacing w:after="0" w:line="240" w:lineRule="auto"/>
        <w:ind w:left="0" w:hanging="2"/>
        <w:rPr>
          <w:color w:val="000000"/>
        </w:rPr>
      </w:pPr>
      <w:r w:rsidRPr="008B3ED8">
        <w:rPr>
          <w:rStyle w:val="Refdenotaalpie"/>
          <w:rFonts w:ascii="Arial" w:hAnsi="Arial" w:cs="Arial"/>
          <w:color w:val="000000"/>
        </w:rPr>
        <w:footnoteRef/>
      </w:r>
      <w:r w:rsidRPr="008B3ED8">
        <w:rPr>
          <w:rFonts w:ascii="Arial" w:hAnsi="Arial" w:cs="Arial"/>
          <w:color w:val="000000"/>
        </w:rPr>
        <w:t xml:space="preserve"> Cursiva del texto original.</w:t>
      </w:r>
    </w:p>
  </w:footnote>
  <w:footnote w:id="80">
    <w:p w14:paraId="506E9FEC" w14:textId="77777777" w:rsidR="00C70FE7" w:rsidRPr="00C406A4" w:rsidRDefault="00C70FE7" w:rsidP="00C70FE7">
      <w:pPr>
        <w:pStyle w:val="Textonotapie"/>
        <w:spacing w:after="0" w:line="240" w:lineRule="auto"/>
        <w:ind w:left="0" w:hanging="2"/>
        <w:rPr>
          <w:rFonts w:ascii="Arial" w:hAnsi="Arial" w:cs="Arial"/>
          <w:lang w:val="es-MX"/>
        </w:rPr>
      </w:pPr>
      <w:r w:rsidRPr="00C406A4">
        <w:rPr>
          <w:rStyle w:val="Refdenotaalpie"/>
          <w:rFonts w:ascii="Arial" w:hAnsi="Arial" w:cs="Arial"/>
        </w:rPr>
        <w:footnoteRef/>
      </w:r>
      <w:r w:rsidRPr="00C406A4">
        <w:rPr>
          <w:rFonts w:ascii="Arial" w:hAnsi="Arial" w:cs="Arial"/>
        </w:rPr>
        <w:t xml:space="preserve"> </w:t>
      </w:r>
      <w:r w:rsidRPr="00C406A4">
        <w:rPr>
          <w:rFonts w:ascii="Arial" w:hAnsi="Arial" w:cs="Arial"/>
          <w:lang w:val="es-MX"/>
        </w:rPr>
        <w:t xml:space="preserve">Folio </w:t>
      </w:r>
      <w:r>
        <w:rPr>
          <w:rFonts w:ascii="Arial" w:hAnsi="Arial" w:cs="Arial"/>
          <w:lang w:val="es-MX"/>
        </w:rPr>
        <w:t>9</w:t>
      </w:r>
      <w:r w:rsidRPr="00C406A4">
        <w:rPr>
          <w:rFonts w:ascii="Arial" w:hAnsi="Arial" w:cs="Arial"/>
          <w:lang w:val="es-MX"/>
        </w:rPr>
        <w:t xml:space="preserve"> del cuaderno 1 del</w:t>
      </w:r>
      <w:r>
        <w:rPr>
          <w:rFonts w:ascii="Arial" w:hAnsi="Arial" w:cs="Arial"/>
          <w:lang w:val="es-MX"/>
        </w:rPr>
        <w:t xml:space="preserve"> </w:t>
      </w:r>
      <w:r w:rsidRPr="00C406A4">
        <w:rPr>
          <w:rFonts w:ascii="Arial" w:hAnsi="Arial" w:cs="Arial"/>
          <w:lang w:val="es-MX"/>
        </w:rPr>
        <w:t>índice 25 de SAMAI.</w:t>
      </w:r>
    </w:p>
  </w:footnote>
  <w:footnote w:id="81">
    <w:p w14:paraId="4213411D" w14:textId="421FE6A7" w:rsidR="00C70FE7" w:rsidRPr="004335F1" w:rsidRDefault="00C70FE7" w:rsidP="004335F1">
      <w:pPr>
        <w:pStyle w:val="Textonotapie"/>
        <w:spacing w:after="0" w:line="240" w:lineRule="auto"/>
        <w:ind w:left="0" w:hanging="2"/>
        <w:jc w:val="both"/>
        <w:rPr>
          <w:rFonts w:ascii="Arial" w:hAnsi="Arial" w:cs="Arial"/>
          <w:lang w:val="es-MX"/>
        </w:rPr>
      </w:pPr>
      <w:r w:rsidRPr="004335F1">
        <w:rPr>
          <w:rStyle w:val="Refdenotaalpie"/>
          <w:rFonts w:ascii="Arial" w:hAnsi="Arial" w:cs="Arial"/>
        </w:rPr>
        <w:footnoteRef/>
      </w:r>
      <w:r w:rsidRPr="004335F1">
        <w:rPr>
          <w:rFonts w:ascii="Arial" w:hAnsi="Arial" w:cs="Arial"/>
        </w:rPr>
        <w:t xml:space="preserve"> Consejo de Estado, Sección Tercera, </w:t>
      </w:r>
      <w:r>
        <w:rPr>
          <w:rFonts w:ascii="Arial" w:hAnsi="Arial" w:cs="Arial"/>
        </w:rPr>
        <w:t>s</w:t>
      </w:r>
      <w:r w:rsidRPr="004335F1">
        <w:rPr>
          <w:rFonts w:ascii="Arial" w:hAnsi="Arial" w:cs="Arial"/>
        </w:rPr>
        <w:t>entencia</w:t>
      </w:r>
      <w:r>
        <w:rPr>
          <w:rFonts w:ascii="Arial" w:hAnsi="Arial" w:cs="Arial"/>
        </w:rPr>
        <w:t>s:</w:t>
      </w:r>
      <w:r w:rsidRPr="004335F1">
        <w:rPr>
          <w:rFonts w:ascii="Arial" w:hAnsi="Arial" w:cs="Arial"/>
        </w:rPr>
        <w:t xml:space="preserve"> de 30 de mayo de 2019, radicado 2018-00748, M.P. Alberto Montaña Plata</w:t>
      </w:r>
      <w:r>
        <w:rPr>
          <w:rFonts w:ascii="Arial" w:hAnsi="Arial" w:cs="Arial"/>
        </w:rPr>
        <w:t>; de 25 de octubre de 2019, radicado 2010-00053; de 14 de junio de 2018, radicado 2003-01593, M.P. Ramiro Pazos Guerrero; de 30 de julio de 2015, radicado 2003-00847, M.P. Danilo Rojas Betancourth, entre otras.</w:t>
      </w:r>
    </w:p>
  </w:footnote>
  <w:footnote w:id="82">
    <w:p w14:paraId="374C3552" w14:textId="216B54B7" w:rsidR="00C70FE7" w:rsidRPr="00EC0DEE" w:rsidRDefault="00C70FE7" w:rsidP="00EC0DEE">
      <w:pPr>
        <w:rPr>
          <w:rFonts w:ascii="Arial" w:eastAsia="Times New Roman" w:hAnsi="Arial"/>
          <w:i/>
          <w:iCs/>
          <w:sz w:val="20"/>
          <w:szCs w:val="20"/>
          <w:u w:val="single"/>
          <w:lang w:val="es-CO"/>
        </w:rPr>
      </w:pPr>
      <w:r w:rsidRPr="00EC0DEE">
        <w:rPr>
          <w:rStyle w:val="Refdenotaalpie"/>
          <w:rFonts w:ascii="Arial" w:hAnsi="Arial"/>
          <w:sz w:val="20"/>
          <w:szCs w:val="20"/>
        </w:rPr>
        <w:footnoteRef/>
      </w:r>
      <w:r w:rsidRPr="00EC0DEE">
        <w:rPr>
          <w:rFonts w:ascii="Arial" w:hAnsi="Arial"/>
          <w:sz w:val="20"/>
          <w:szCs w:val="20"/>
        </w:rPr>
        <w:t xml:space="preserve"> </w:t>
      </w:r>
      <w:r w:rsidRPr="00EC0DEE">
        <w:rPr>
          <w:rFonts w:ascii="Arial" w:eastAsia="Times New Roman" w:hAnsi="Arial"/>
          <w:i/>
          <w:iCs/>
          <w:sz w:val="20"/>
          <w:szCs w:val="20"/>
          <w:u w:val="single"/>
          <w:lang w:val="es-CO"/>
        </w:rPr>
        <w:t>“Con todo, es pertinente advertir que, en ocasiones, tanto el daño instantáneo como el continuado pueden llegar a provocar secuelas o efectos que se extienden en el tiempo, pero qué, de todos modos, pueden llegar a ser concurrentes -tracto sucesivo- y prolongarse mucho más allá de cuando adquiere notoriedad o se consolida</w:t>
      </w:r>
      <w:r w:rsidRPr="00EC0DEE">
        <w:rPr>
          <w:rFonts w:ascii="Arial" w:eastAsia="Times New Roman" w:hAnsi="Arial"/>
          <w:b/>
          <w:bCs/>
          <w:i/>
          <w:iCs/>
          <w:sz w:val="20"/>
          <w:szCs w:val="20"/>
          <w:u w:val="single"/>
          <w:lang w:val="es-CO"/>
        </w:rPr>
        <w:t>, lo que no quiere significar que en estos precisos casos la contabilización del término de caducidad deba variar</w:t>
      </w:r>
      <w:r w:rsidRPr="00EC0DEE">
        <w:rPr>
          <w:rFonts w:ascii="Arial" w:eastAsia="Times New Roman" w:hAnsi="Arial"/>
          <w:i/>
          <w:iCs/>
          <w:sz w:val="20"/>
          <w:szCs w:val="20"/>
          <w:lang w:val="es-CO"/>
        </w:rPr>
        <w:t>”. (negrillas fuera del original)</w:t>
      </w:r>
    </w:p>
    <w:p w14:paraId="262404FF" w14:textId="01A66D40" w:rsidR="00C70FE7" w:rsidRPr="00EC0DEE" w:rsidRDefault="00C70FE7">
      <w:pPr>
        <w:pStyle w:val="Textonotapie"/>
        <w:ind w:left="0" w:hanging="2"/>
        <w:rPr>
          <w:lang w:val="es-MX"/>
        </w:rPr>
      </w:pPr>
    </w:p>
  </w:footnote>
  <w:footnote w:id="83">
    <w:p w14:paraId="67075BC4" w14:textId="77777777" w:rsidR="00C70FE7" w:rsidRPr="00F509A1" w:rsidRDefault="00C70FE7" w:rsidP="002352C0">
      <w:pPr>
        <w:pStyle w:val="Textonotapie"/>
        <w:spacing w:after="0" w:line="276" w:lineRule="auto"/>
        <w:ind w:left="0" w:hanging="2"/>
        <w:rPr>
          <w:rFonts w:ascii="Arial" w:hAnsi="Arial" w:cs="Arial"/>
        </w:rPr>
      </w:pPr>
      <w:r w:rsidRPr="00F509A1">
        <w:rPr>
          <w:rStyle w:val="Refdenotaalpie"/>
          <w:rFonts w:ascii="Arial" w:hAnsi="Arial" w:cs="Arial"/>
        </w:rPr>
        <w:footnoteRef/>
      </w:r>
      <w:r w:rsidRPr="00F509A1">
        <w:rPr>
          <w:rFonts w:ascii="Arial" w:hAnsi="Arial" w:cs="Arial"/>
        </w:rPr>
        <w:t xml:space="preserve"> </w:t>
      </w:r>
      <w:r w:rsidRPr="00F509A1">
        <w:rPr>
          <w:rFonts w:ascii="Arial" w:hAnsi="Arial" w:cs="Arial"/>
          <w:color w:val="000000"/>
        </w:rPr>
        <w:t>Consejo de Estado, Sentencia del 19 de febrero de 2015. M.P. Alberto Yepes Barreiro. Rad. No. 11001-03-15-000-2013-02690-01.</w:t>
      </w:r>
    </w:p>
  </w:footnote>
  <w:footnote w:id="84">
    <w:p w14:paraId="5E963AD0" w14:textId="77777777" w:rsidR="00C70FE7" w:rsidRPr="00EB1A6F" w:rsidRDefault="00C70FE7" w:rsidP="007D24E4">
      <w:pPr>
        <w:pStyle w:val="Textonotapie"/>
        <w:spacing w:after="0" w:line="240" w:lineRule="auto"/>
        <w:ind w:left="0" w:hanging="2"/>
        <w:rPr>
          <w:rFonts w:ascii="Arial" w:hAnsi="Arial" w:cs="Arial"/>
          <w:lang w:val="es-MX"/>
        </w:rPr>
      </w:pPr>
      <w:r w:rsidRPr="009E4F50">
        <w:rPr>
          <w:rStyle w:val="Refdenotaalpie"/>
          <w:rFonts w:ascii="Arial" w:hAnsi="Arial" w:cs="Arial"/>
        </w:rPr>
        <w:footnoteRef/>
      </w:r>
      <w:r w:rsidRPr="009E4F50">
        <w:rPr>
          <w:rFonts w:ascii="Arial" w:hAnsi="Arial" w:cs="Arial"/>
        </w:rPr>
        <w:t xml:space="preserve"> </w:t>
      </w:r>
      <w:r w:rsidRPr="009E4F50">
        <w:rPr>
          <w:rFonts w:ascii="Arial" w:hAnsi="Arial" w:cs="Arial"/>
          <w:lang w:val="es-MX"/>
        </w:rPr>
        <w:t>M.P. Gabriel Eduardo Mendoza Martelo.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D80BE" w14:textId="7E57E6A6" w:rsidR="00C70FE7" w:rsidRPr="000F3C6F" w:rsidRDefault="00C70FE7" w:rsidP="00D96390">
    <w:pPr>
      <w:pStyle w:val="Encabezado"/>
      <w:ind w:left="1074" w:firstLine="3345"/>
      <w:jc w:val="right"/>
      <w:rPr>
        <w:rFonts w:ascii="Arial" w:hAnsi="Arial"/>
        <w:color w:val="767171"/>
        <w:sz w:val="20"/>
        <w:szCs w:val="20"/>
      </w:rPr>
    </w:pPr>
    <w:r w:rsidRPr="000F3C6F">
      <w:rPr>
        <w:noProof/>
        <w:sz w:val="20"/>
        <w:szCs w:val="20"/>
        <w:lang w:eastAsia="es-ES"/>
      </w:rPr>
      <mc:AlternateContent>
        <mc:Choice Requires="wps">
          <w:drawing>
            <wp:anchor distT="4294967292" distB="4294967292" distL="114300" distR="114300" simplePos="0" relativeHeight="251657216" behindDoc="0" locked="0" layoutInCell="1" allowOverlap="1" wp14:anchorId="003C135D" wp14:editId="1BBF7C07">
              <wp:simplePos x="0" y="0"/>
              <wp:positionH relativeFrom="column">
                <wp:posOffset>1085513</wp:posOffset>
              </wp:positionH>
              <wp:positionV relativeFrom="paragraph">
                <wp:posOffset>-19685</wp:posOffset>
              </wp:positionV>
              <wp:extent cx="5400040" cy="0"/>
              <wp:effectExtent l="0" t="19050" r="29210" b="190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54AA568" id="_x0000_t32" coordsize="21600,21600" o:spt="32" o:oned="t" path="m,l21600,21600e" filled="f">
              <v:path arrowok="t" fillok="f" o:connecttype="none"/>
              <o:lock v:ext="edit" shapetype="t"/>
            </v:shapetype>
            <v:shape id="Conector recto de flecha 12" o:spid="_x0000_s1026" type="#_x0000_t32" style="position:absolute;margin-left:85.45pt;margin-top:-1.55pt;width:425.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" strokeweight="2.25pt"/>
          </w:pict>
        </mc:Fallback>
      </mc:AlternateContent>
    </w:r>
    <w:r w:rsidRPr="000F3C6F">
      <w:rPr>
        <w:noProof/>
        <w:sz w:val="20"/>
        <w:szCs w:val="20"/>
        <w:lang w:eastAsia="es-ES"/>
      </w:rPr>
      <w:drawing>
        <wp:anchor distT="0" distB="0" distL="114300" distR="114300" simplePos="0" relativeHeight="251885568" behindDoc="1" locked="0" layoutInCell="1" allowOverlap="1" wp14:anchorId="1C05D696" wp14:editId="270609A4">
          <wp:simplePos x="0" y="0"/>
          <wp:positionH relativeFrom="column">
            <wp:posOffset>-377825</wp:posOffset>
          </wp:positionH>
          <wp:positionV relativeFrom="paragraph">
            <wp:posOffset>-354330</wp:posOffset>
          </wp:positionV>
          <wp:extent cx="1121410" cy="1045210"/>
          <wp:effectExtent l="0" t="0" r="0" b="0"/>
          <wp:wrapNone/>
          <wp:docPr id="13" name="Imagen 13"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C6F">
      <w:rPr>
        <w:rFonts w:ascii="Arial" w:hAnsi="Arial"/>
        <w:color w:val="767171"/>
        <w:sz w:val="20"/>
        <w:szCs w:val="20"/>
      </w:rPr>
      <w:t xml:space="preserve">Radicado: </w:t>
    </w:r>
    <w:r w:rsidRPr="00B56B8B">
      <w:rPr>
        <w:rFonts w:ascii="Arial" w:hAnsi="Arial"/>
        <w:color w:val="767171"/>
        <w:sz w:val="20"/>
        <w:szCs w:val="20"/>
      </w:rPr>
      <w:t>11001-03-15-000-202</w:t>
    </w:r>
    <w:r>
      <w:rPr>
        <w:rFonts w:ascii="Arial" w:hAnsi="Arial"/>
        <w:color w:val="767171"/>
        <w:sz w:val="20"/>
        <w:szCs w:val="20"/>
      </w:rPr>
      <w:t>0</w:t>
    </w:r>
    <w:r w:rsidRPr="00B56B8B">
      <w:rPr>
        <w:rFonts w:ascii="Arial" w:hAnsi="Arial"/>
        <w:color w:val="767171"/>
        <w:sz w:val="20"/>
        <w:szCs w:val="20"/>
      </w:rPr>
      <w:t>-0</w:t>
    </w:r>
    <w:r>
      <w:rPr>
        <w:rFonts w:ascii="Arial" w:hAnsi="Arial"/>
        <w:color w:val="767171"/>
        <w:sz w:val="20"/>
        <w:szCs w:val="20"/>
      </w:rPr>
      <w:t>5279</w:t>
    </w:r>
    <w:r w:rsidRPr="00B56B8B">
      <w:rPr>
        <w:rFonts w:ascii="Arial" w:hAnsi="Arial"/>
        <w:color w:val="767171"/>
        <w:sz w:val="20"/>
        <w:szCs w:val="20"/>
      </w:rPr>
      <w:t>-00</w:t>
    </w:r>
  </w:p>
  <w:p w14:paraId="264B69A6" w14:textId="5E6B1F50" w:rsidR="00C70FE7" w:rsidRDefault="00C70FE7" w:rsidP="00B856D3">
    <w:pPr>
      <w:pStyle w:val="Encabezado"/>
      <w:ind w:hanging="2"/>
      <w:jc w:val="right"/>
      <w:rPr>
        <w:rFonts w:ascii="Arial" w:eastAsia="Arial" w:hAnsi="Arial"/>
        <w:color w:val="767171"/>
        <w:sz w:val="20"/>
        <w:szCs w:val="20"/>
        <w:lang w:val="es-ES_tradnl"/>
      </w:rPr>
    </w:pPr>
    <w:r w:rsidRPr="000F3C6F">
      <w:rPr>
        <w:rFonts w:ascii="Arial" w:hAnsi="Arial"/>
        <w:color w:val="767171"/>
        <w:sz w:val="20"/>
        <w:szCs w:val="20"/>
      </w:rPr>
      <w:t>Demandante</w:t>
    </w:r>
    <w:r>
      <w:rPr>
        <w:rFonts w:ascii="Arial" w:hAnsi="Arial"/>
        <w:color w:val="767171"/>
        <w:sz w:val="20"/>
        <w:szCs w:val="20"/>
      </w:rPr>
      <w:t xml:space="preserve">: </w:t>
    </w:r>
    <w:r w:rsidRPr="00232DF1">
      <w:rPr>
        <w:rFonts w:ascii="Arial" w:hAnsi="Arial"/>
        <w:color w:val="767171"/>
        <w:sz w:val="20"/>
        <w:szCs w:val="20"/>
      </w:rPr>
      <w:t>JOSÉ RICARDO CEPEDA CORREDOR</w:t>
    </w:r>
  </w:p>
  <w:p w14:paraId="77B7A070" w14:textId="3620D15C" w:rsidR="00C70FE7" w:rsidRDefault="00C70FE7" w:rsidP="00D96390">
    <w:pPr>
      <w:pStyle w:val="Encabezado"/>
      <w:ind w:left="53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043A6"/>
    <w:multiLevelType w:val="hybridMultilevel"/>
    <w:tmpl w:val="A5C867F6"/>
    <w:lvl w:ilvl="0" w:tplc="F2C2831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12CA0F75"/>
    <w:multiLevelType w:val="hybridMultilevel"/>
    <w:tmpl w:val="C3C055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9019B3"/>
    <w:multiLevelType w:val="multilevel"/>
    <w:tmpl w:val="F5E88E6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5E7F2F"/>
    <w:multiLevelType w:val="hybridMultilevel"/>
    <w:tmpl w:val="9DB495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145099"/>
    <w:multiLevelType w:val="hybridMultilevel"/>
    <w:tmpl w:val="160055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EFE0990"/>
    <w:multiLevelType w:val="multilevel"/>
    <w:tmpl w:val="2C483EA6"/>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4A25EC4"/>
    <w:multiLevelType w:val="hybridMultilevel"/>
    <w:tmpl w:val="30801A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0815CD"/>
    <w:multiLevelType w:val="multilevel"/>
    <w:tmpl w:val="DC4E20AE"/>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 w15:restartNumberingAfterBreak="0">
    <w:nsid w:val="53E37107"/>
    <w:multiLevelType w:val="hybridMultilevel"/>
    <w:tmpl w:val="BD46CA74"/>
    <w:lvl w:ilvl="0" w:tplc="AC32AC5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536432A"/>
    <w:multiLevelType w:val="hybridMultilevel"/>
    <w:tmpl w:val="E21CDB6C"/>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5DD44AD"/>
    <w:multiLevelType w:val="multilevel"/>
    <w:tmpl w:val="435C70D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00F6D3E"/>
    <w:multiLevelType w:val="hybridMultilevel"/>
    <w:tmpl w:val="BB065F98"/>
    <w:lvl w:ilvl="0" w:tplc="DEC82FB0">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2" w15:restartNumberingAfterBreak="0">
    <w:nsid w:val="60B24EC8"/>
    <w:multiLevelType w:val="multilevel"/>
    <w:tmpl w:val="3614ED62"/>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4141685"/>
    <w:multiLevelType w:val="hybridMultilevel"/>
    <w:tmpl w:val="BA26BA7E"/>
    <w:lvl w:ilvl="0" w:tplc="ED0EC37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587547"/>
    <w:multiLevelType w:val="hybridMultilevel"/>
    <w:tmpl w:val="D2360170"/>
    <w:lvl w:ilvl="0" w:tplc="60A06936">
      <w:numFmt w:val="bullet"/>
      <w:lvlText w:val="-"/>
      <w:lvlJc w:val="left"/>
      <w:pPr>
        <w:ind w:left="358" w:hanging="360"/>
      </w:pPr>
      <w:rPr>
        <w:rFonts w:ascii="Arial" w:eastAsia="Calibri" w:hAnsi="Arial" w:cs="Arial" w:hint="default"/>
      </w:rPr>
    </w:lvl>
    <w:lvl w:ilvl="1" w:tplc="040A0003" w:tentative="1">
      <w:start w:val="1"/>
      <w:numFmt w:val="bullet"/>
      <w:lvlText w:val="o"/>
      <w:lvlJc w:val="left"/>
      <w:pPr>
        <w:ind w:left="1078" w:hanging="360"/>
      </w:pPr>
      <w:rPr>
        <w:rFonts w:ascii="Courier New" w:hAnsi="Courier New" w:cs="Courier New" w:hint="default"/>
      </w:rPr>
    </w:lvl>
    <w:lvl w:ilvl="2" w:tplc="040A0005" w:tentative="1">
      <w:start w:val="1"/>
      <w:numFmt w:val="bullet"/>
      <w:lvlText w:val=""/>
      <w:lvlJc w:val="left"/>
      <w:pPr>
        <w:ind w:left="1798" w:hanging="360"/>
      </w:pPr>
      <w:rPr>
        <w:rFonts w:ascii="Wingdings" w:hAnsi="Wingdings" w:hint="default"/>
      </w:rPr>
    </w:lvl>
    <w:lvl w:ilvl="3" w:tplc="040A0001" w:tentative="1">
      <w:start w:val="1"/>
      <w:numFmt w:val="bullet"/>
      <w:lvlText w:val=""/>
      <w:lvlJc w:val="left"/>
      <w:pPr>
        <w:ind w:left="2518" w:hanging="360"/>
      </w:pPr>
      <w:rPr>
        <w:rFonts w:ascii="Symbol" w:hAnsi="Symbol" w:hint="default"/>
      </w:rPr>
    </w:lvl>
    <w:lvl w:ilvl="4" w:tplc="040A0003" w:tentative="1">
      <w:start w:val="1"/>
      <w:numFmt w:val="bullet"/>
      <w:lvlText w:val="o"/>
      <w:lvlJc w:val="left"/>
      <w:pPr>
        <w:ind w:left="3238" w:hanging="360"/>
      </w:pPr>
      <w:rPr>
        <w:rFonts w:ascii="Courier New" w:hAnsi="Courier New" w:cs="Courier New" w:hint="default"/>
      </w:rPr>
    </w:lvl>
    <w:lvl w:ilvl="5" w:tplc="040A0005" w:tentative="1">
      <w:start w:val="1"/>
      <w:numFmt w:val="bullet"/>
      <w:lvlText w:val=""/>
      <w:lvlJc w:val="left"/>
      <w:pPr>
        <w:ind w:left="3958" w:hanging="360"/>
      </w:pPr>
      <w:rPr>
        <w:rFonts w:ascii="Wingdings" w:hAnsi="Wingdings" w:hint="default"/>
      </w:rPr>
    </w:lvl>
    <w:lvl w:ilvl="6" w:tplc="040A0001" w:tentative="1">
      <w:start w:val="1"/>
      <w:numFmt w:val="bullet"/>
      <w:lvlText w:val=""/>
      <w:lvlJc w:val="left"/>
      <w:pPr>
        <w:ind w:left="4678" w:hanging="360"/>
      </w:pPr>
      <w:rPr>
        <w:rFonts w:ascii="Symbol" w:hAnsi="Symbol" w:hint="default"/>
      </w:rPr>
    </w:lvl>
    <w:lvl w:ilvl="7" w:tplc="040A0003" w:tentative="1">
      <w:start w:val="1"/>
      <w:numFmt w:val="bullet"/>
      <w:lvlText w:val="o"/>
      <w:lvlJc w:val="left"/>
      <w:pPr>
        <w:ind w:left="5398" w:hanging="360"/>
      </w:pPr>
      <w:rPr>
        <w:rFonts w:ascii="Courier New" w:hAnsi="Courier New" w:cs="Courier New" w:hint="default"/>
      </w:rPr>
    </w:lvl>
    <w:lvl w:ilvl="8" w:tplc="040A0005" w:tentative="1">
      <w:start w:val="1"/>
      <w:numFmt w:val="bullet"/>
      <w:lvlText w:val=""/>
      <w:lvlJc w:val="left"/>
      <w:pPr>
        <w:ind w:left="6118" w:hanging="360"/>
      </w:pPr>
      <w:rPr>
        <w:rFonts w:ascii="Wingdings" w:hAnsi="Wingdings" w:hint="default"/>
      </w:rPr>
    </w:lvl>
  </w:abstractNum>
  <w:abstractNum w:abstractNumId="15" w15:restartNumberingAfterBreak="0">
    <w:nsid w:val="6EC844FE"/>
    <w:multiLevelType w:val="hybridMultilevel"/>
    <w:tmpl w:val="708AD01C"/>
    <w:lvl w:ilvl="0" w:tplc="912488F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3F67D65"/>
    <w:multiLevelType w:val="multilevel"/>
    <w:tmpl w:val="F5E88E6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64F16E9"/>
    <w:multiLevelType w:val="multilevel"/>
    <w:tmpl w:val="1CE8339C"/>
    <w:lvl w:ilvl="0">
      <w:start w:val="4"/>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BE8485E"/>
    <w:multiLevelType w:val="hybridMultilevel"/>
    <w:tmpl w:val="572CAF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F02316B"/>
    <w:multiLevelType w:val="hybridMultilevel"/>
    <w:tmpl w:val="CAF489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6"/>
  </w:num>
  <w:num w:numId="4">
    <w:abstractNumId w:val="11"/>
  </w:num>
  <w:num w:numId="5">
    <w:abstractNumId w:val="13"/>
  </w:num>
  <w:num w:numId="6">
    <w:abstractNumId w:val="10"/>
  </w:num>
  <w:num w:numId="7">
    <w:abstractNumId w:val="7"/>
  </w:num>
  <w:num w:numId="8">
    <w:abstractNumId w:val="2"/>
  </w:num>
  <w:num w:numId="9">
    <w:abstractNumId w:val="17"/>
  </w:num>
  <w:num w:numId="10">
    <w:abstractNumId w:val="16"/>
  </w:num>
  <w:num w:numId="11">
    <w:abstractNumId w:val="3"/>
  </w:num>
  <w:num w:numId="12">
    <w:abstractNumId w:val="12"/>
  </w:num>
  <w:num w:numId="13">
    <w:abstractNumId w:val="19"/>
  </w:num>
  <w:num w:numId="14">
    <w:abstractNumId w:val="18"/>
  </w:num>
  <w:num w:numId="15">
    <w:abstractNumId w:val="4"/>
  </w:num>
  <w:num w:numId="16">
    <w:abstractNumId w:val="9"/>
  </w:num>
  <w:num w:numId="17">
    <w:abstractNumId w:val="5"/>
  </w:num>
  <w:num w:numId="18">
    <w:abstractNumId w:val="0"/>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6DA"/>
    <w:rsid w:val="00002AA7"/>
    <w:rsid w:val="000031FF"/>
    <w:rsid w:val="000035D3"/>
    <w:rsid w:val="000041C2"/>
    <w:rsid w:val="000061A9"/>
    <w:rsid w:val="00006779"/>
    <w:rsid w:val="00017288"/>
    <w:rsid w:val="00017E4B"/>
    <w:rsid w:val="00023C7A"/>
    <w:rsid w:val="000251E8"/>
    <w:rsid w:val="000305DB"/>
    <w:rsid w:val="0003174E"/>
    <w:rsid w:val="000341E7"/>
    <w:rsid w:val="000358CC"/>
    <w:rsid w:val="000360D6"/>
    <w:rsid w:val="0003656B"/>
    <w:rsid w:val="00037DBB"/>
    <w:rsid w:val="0004123E"/>
    <w:rsid w:val="000416C7"/>
    <w:rsid w:val="00051063"/>
    <w:rsid w:val="000548E3"/>
    <w:rsid w:val="000556E3"/>
    <w:rsid w:val="000560C7"/>
    <w:rsid w:val="000564EF"/>
    <w:rsid w:val="00062E7B"/>
    <w:rsid w:val="00064CB8"/>
    <w:rsid w:val="00066C0C"/>
    <w:rsid w:val="00081959"/>
    <w:rsid w:val="00085204"/>
    <w:rsid w:val="00090D76"/>
    <w:rsid w:val="00091B84"/>
    <w:rsid w:val="00092927"/>
    <w:rsid w:val="00093A04"/>
    <w:rsid w:val="00095C1B"/>
    <w:rsid w:val="000972FA"/>
    <w:rsid w:val="000A6DE6"/>
    <w:rsid w:val="000B1AB2"/>
    <w:rsid w:val="000B5D46"/>
    <w:rsid w:val="000C1BF0"/>
    <w:rsid w:val="000C549B"/>
    <w:rsid w:val="000C5BAB"/>
    <w:rsid w:val="000C62B5"/>
    <w:rsid w:val="000D4E1D"/>
    <w:rsid w:val="000D5246"/>
    <w:rsid w:val="000E0536"/>
    <w:rsid w:val="000E1264"/>
    <w:rsid w:val="000E3D91"/>
    <w:rsid w:val="000F0520"/>
    <w:rsid w:val="000F239C"/>
    <w:rsid w:val="000F3C6F"/>
    <w:rsid w:val="000F4559"/>
    <w:rsid w:val="000F46C3"/>
    <w:rsid w:val="00102803"/>
    <w:rsid w:val="001116D0"/>
    <w:rsid w:val="001138CB"/>
    <w:rsid w:val="00114935"/>
    <w:rsid w:val="001179EE"/>
    <w:rsid w:val="00120C7D"/>
    <w:rsid w:val="00120ECF"/>
    <w:rsid w:val="0012334B"/>
    <w:rsid w:val="001242B1"/>
    <w:rsid w:val="00125D6E"/>
    <w:rsid w:val="00127CF6"/>
    <w:rsid w:val="00132C31"/>
    <w:rsid w:val="00135941"/>
    <w:rsid w:val="00136632"/>
    <w:rsid w:val="001402E3"/>
    <w:rsid w:val="00140B87"/>
    <w:rsid w:val="00140C05"/>
    <w:rsid w:val="00142B30"/>
    <w:rsid w:val="001435DF"/>
    <w:rsid w:val="00144F48"/>
    <w:rsid w:val="00145072"/>
    <w:rsid w:val="001505AE"/>
    <w:rsid w:val="0015156A"/>
    <w:rsid w:val="00152413"/>
    <w:rsid w:val="00154002"/>
    <w:rsid w:val="00157811"/>
    <w:rsid w:val="00160309"/>
    <w:rsid w:val="001605AB"/>
    <w:rsid w:val="00160C24"/>
    <w:rsid w:val="00163357"/>
    <w:rsid w:val="00165C17"/>
    <w:rsid w:val="001665FC"/>
    <w:rsid w:val="0017188E"/>
    <w:rsid w:val="00172B74"/>
    <w:rsid w:val="001734FE"/>
    <w:rsid w:val="00173886"/>
    <w:rsid w:val="0017399E"/>
    <w:rsid w:val="00174B90"/>
    <w:rsid w:val="00175A82"/>
    <w:rsid w:val="00176B95"/>
    <w:rsid w:val="001815EB"/>
    <w:rsid w:val="00185CCA"/>
    <w:rsid w:val="001860E9"/>
    <w:rsid w:val="001861F4"/>
    <w:rsid w:val="0018699F"/>
    <w:rsid w:val="00192753"/>
    <w:rsid w:val="0019314C"/>
    <w:rsid w:val="001949F6"/>
    <w:rsid w:val="00194F2B"/>
    <w:rsid w:val="001A12EB"/>
    <w:rsid w:val="001A1D51"/>
    <w:rsid w:val="001A334F"/>
    <w:rsid w:val="001A42B7"/>
    <w:rsid w:val="001A49AE"/>
    <w:rsid w:val="001B17D1"/>
    <w:rsid w:val="001B50EB"/>
    <w:rsid w:val="001B51EA"/>
    <w:rsid w:val="001C0255"/>
    <w:rsid w:val="001C0C24"/>
    <w:rsid w:val="001D0F2D"/>
    <w:rsid w:val="001D3D35"/>
    <w:rsid w:val="001D4E37"/>
    <w:rsid w:val="001D5DD5"/>
    <w:rsid w:val="001D7135"/>
    <w:rsid w:val="001E25F4"/>
    <w:rsid w:val="001E65E2"/>
    <w:rsid w:val="001E6BCD"/>
    <w:rsid w:val="001E7505"/>
    <w:rsid w:val="001E7D72"/>
    <w:rsid w:val="001F3C0C"/>
    <w:rsid w:val="001F561A"/>
    <w:rsid w:val="001F773D"/>
    <w:rsid w:val="001F795B"/>
    <w:rsid w:val="0020606C"/>
    <w:rsid w:val="00215393"/>
    <w:rsid w:val="002157C2"/>
    <w:rsid w:val="00215829"/>
    <w:rsid w:val="0021711D"/>
    <w:rsid w:val="0022373A"/>
    <w:rsid w:val="00223E34"/>
    <w:rsid w:val="00226F95"/>
    <w:rsid w:val="00231E9F"/>
    <w:rsid w:val="00232DF1"/>
    <w:rsid w:val="002346E7"/>
    <w:rsid w:val="00234760"/>
    <w:rsid w:val="002352C0"/>
    <w:rsid w:val="002356F8"/>
    <w:rsid w:val="002364AB"/>
    <w:rsid w:val="00245A0D"/>
    <w:rsid w:val="00247665"/>
    <w:rsid w:val="002479E8"/>
    <w:rsid w:val="002504FA"/>
    <w:rsid w:val="002512E9"/>
    <w:rsid w:val="00251917"/>
    <w:rsid w:val="00252EB3"/>
    <w:rsid w:val="00253892"/>
    <w:rsid w:val="00255A89"/>
    <w:rsid w:val="00257E39"/>
    <w:rsid w:val="00260BF8"/>
    <w:rsid w:val="0026186C"/>
    <w:rsid w:val="00261C88"/>
    <w:rsid w:val="00265B61"/>
    <w:rsid w:val="00267D67"/>
    <w:rsid w:val="00271289"/>
    <w:rsid w:val="002741D1"/>
    <w:rsid w:val="00274779"/>
    <w:rsid w:val="00281B81"/>
    <w:rsid w:val="00284042"/>
    <w:rsid w:val="00292E8A"/>
    <w:rsid w:val="002A45AE"/>
    <w:rsid w:val="002A5AEE"/>
    <w:rsid w:val="002A61F9"/>
    <w:rsid w:val="002A6445"/>
    <w:rsid w:val="002B061F"/>
    <w:rsid w:val="002B1733"/>
    <w:rsid w:val="002B5860"/>
    <w:rsid w:val="002B76BE"/>
    <w:rsid w:val="002B7BA2"/>
    <w:rsid w:val="002C2A71"/>
    <w:rsid w:val="002C47EB"/>
    <w:rsid w:val="002C5EA2"/>
    <w:rsid w:val="002C611C"/>
    <w:rsid w:val="002C6916"/>
    <w:rsid w:val="002C703C"/>
    <w:rsid w:val="002C7989"/>
    <w:rsid w:val="002D102E"/>
    <w:rsid w:val="002D18B4"/>
    <w:rsid w:val="002D3CCA"/>
    <w:rsid w:val="002D565D"/>
    <w:rsid w:val="002E0415"/>
    <w:rsid w:val="002E0DDB"/>
    <w:rsid w:val="002E1FF6"/>
    <w:rsid w:val="002E2815"/>
    <w:rsid w:val="002E4AE2"/>
    <w:rsid w:val="002F2255"/>
    <w:rsid w:val="002F22D5"/>
    <w:rsid w:val="002F5999"/>
    <w:rsid w:val="002F63B2"/>
    <w:rsid w:val="0030025E"/>
    <w:rsid w:val="00301C7A"/>
    <w:rsid w:val="003053C6"/>
    <w:rsid w:val="00305C5B"/>
    <w:rsid w:val="0030753F"/>
    <w:rsid w:val="003078CA"/>
    <w:rsid w:val="00314156"/>
    <w:rsid w:val="00325245"/>
    <w:rsid w:val="00330230"/>
    <w:rsid w:val="003330F3"/>
    <w:rsid w:val="00335313"/>
    <w:rsid w:val="00340AC2"/>
    <w:rsid w:val="00343A2E"/>
    <w:rsid w:val="003445A4"/>
    <w:rsid w:val="003454CA"/>
    <w:rsid w:val="00346AF3"/>
    <w:rsid w:val="00352006"/>
    <w:rsid w:val="003548C1"/>
    <w:rsid w:val="003648F0"/>
    <w:rsid w:val="00365418"/>
    <w:rsid w:val="00366789"/>
    <w:rsid w:val="00366E4D"/>
    <w:rsid w:val="0037135F"/>
    <w:rsid w:val="003726FE"/>
    <w:rsid w:val="00380C02"/>
    <w:rsid w:val="00382060"/>
    <w:rsid w:val="003876BA"/>
    <w:rsid w:val="00387D38"/>
    <w:rsid w:val="00387ED0"/>
    <w:rsid w:val="003917BA"/>
    <w:rsid w:val="00391FF7"/>
    <w:rsid w:val="003931B6"/>
    <w:rsid w:val="00396418"/>
    <w:rsid w:val="00396EA8"/>
    <w:rsid w:val="003A041C"/>
    <w:rsid w:val="003A38A3"/>
    <w:rsid w:val="003A492B"/>
    <w:rsid w:val="003A5286"/>
    <w:rsid w:val="003A6E42"/>
    <w:rsid w:val="003B14EB"/>
    <w:rsid w:val="003C187A"/>
    <w:rsid w:val="003C1E54"/>
    <w:rsid w:val="003D2CE6"/>
    <w:rsid w:val="003E2F4B"/>
    <w:rsid w:val="003E3BDE"/>
    <w:rsid w:val="003E5724"/>
    <w:rsid w:val="003E6AF2"/>
    <w:rsid w:val="003F1223"/>
    <w:rsid w:val="003F1386"/>
    <w:rsid w:val="003F5C4E"/>
    <w:rsid w:val="003F67BC"/>
    <w:rsid w:val="003F7CD7"/>
    <w:rsid w:val="004036BA"/>
    <w:rsid w:val="0040427B"/>
    <w:rsid w:val="004121B0"/>
    <w:rsid w:val="00413E76"/>
    <w:rsid w:val="004162C3"/>
    <w:rsid w:val="00416773"/>
    <w:rsid w:val="00417616"/>
    <w:rsid w:val="00420376"/>
    <w:rsid w:val="004225AC"/>
    <w:rsid w:val="00423408"/>
    <w:rsid w:val="00423460"/>
    <w:rsid w:val="00426423"/>
    <w:rsid w:val="00430B54"/>
    <w:rsid w:val="00431FA2"/>
    <w:rsid w:val="00432DDC"/>
    <w:rsid w:val="004335F1"/>
    <w:rsid w:val="00434961"/>
    <w:rsid w:val="00435C70"/>
    <w:rsid w:val="004409B0"/>
    <w:rsid w:val="00443EB6"/>
    <w:rsid w:val="00450DE0"/>
    <w:rsid w:val="00456B34"/>
    <w:rsid w:val="00457F61"/>
    <w:rsid w:val="004607DF"/>
    <w:rsid w:val="00462397"/>
    <w:rsid w:val="00464815"/>
    <w:rsid w:val="0046491E"/>
    <w:rsid w:val="00465AC5"/>
    <w:rsid w:val="004721D3"/>
    <w:rsid w:val="004764B5"/>
    <w:rsid w:val="00477900"/>
    <w:rsid w:val="00480661"/>
    <w:rsid w:val="00481132"/>
    <w:rsid w:val="004825BA"/>
    <w:rsid w:val="004841C5"/>
    <w:rsid w:val="00486815"/>
    <w:rsid w:val="00494DFB"/>
    <w:rsid w:val="00496C28"/>
    <w:rsid w:val="00497157"/>
    <w:rsid w:val="004A7592"/>
    <w:rsid w:val="004B0707"/>
    <w:rsid w:val="004B23D4"/>
    <w:rsid w:val="004B4EFA"/>
    <w:rsid w:val="004C09C8"/>
    <w:rsid w:val="004C1779"/>
    <w:rsid w:val="004C292F"/>
    <w:rsid w:val="004C3DD8"/>
    <w:rsid w:val="004C54CF"/>
    <w:rsid w:val="004C56AA"/>
    <w:rsid w:val="004C7A90"/>
    <w:rsid w:val="004D1DD6"/>
    <w:rsid w:val="004D2490"/>
    <w:rsid w:val="004D3186"/>
    <w:rsid w:val="004E1343"/>
    <w:rsid w:val="004E513A"/>
    <w:rsid w:val="004E6FDD"/>
    <w:rsid w:val="004F36CF"/>
    <w:rsid w:val="004F3B0D"/>
    <w:rsid w:val="004F3E2F"/>
    <w:rsid w:val="00500410"/>
    <w:rsid w:val="00501D8C"/>
    <w:rsid w:val="00503B6D"/>
    <w:rsid w:val="005115A9"/>
    <w:rsid w:val="005142FE"/>
    <w:rsid w:val="005155BD"/>
    <w:rsid w:val="00517BF9"/>
    <w:rsid w:val="00521B5C"/>
    <w:rsid w:val="00521D01"/>
    <w:rsid w:val="00521D4D"/>
    <w:rsid w:val="0052542D"/>
    <w:rsid w:val="005361F9"/>
    <w:rsid w:val="00545EB1"/>
    <w:rsid w:val="00553176"/>
    <w:rsid w:val="00556AF3"/>
    <w:rsid w:val="005578AA"/>
    <w:rsid w:val="005579CA"/>
    <w:rsid w:val="00557D8F"/>
    <w:rsid w:val="00562AD9"/>
    <w:rsid w:val="005700FF"/>
    <w:rsid w:val="0057061D"/>
    <w:rsid w:val="00570786"/>
    <w:rsid w:val="005711CE"/>
    <w:rsid w:val="0057475D"/>
    <w:rsid w:val="00575732"/>
    <w:rsid w:val="0058181D"/>
    <w:rsid w:val="00582834"/>
    <w:rsid w:val="00582BE8"/>
    <w:rsid w:val="00583568"/>
    <w:rsid w:val="00583597"/>
    <w:rsid w:val="00586605"/>
    <w:rsid w:val="00590197"/>
    <w:rsid w:val="00592121"/>
    <w:rsid w:val="00592F3D"/>
    <w:rsid w:val="005A1725"/>
    <w:rsid w:val="005A7A35"/>
    <w:rsid w:val="005B6FB6"/>
    <w:rsid w:val="005C22F4"/>
    <w:rsid w:val="005E29CF"/>
    <w:rsid w:val="005E593E"/>
    <w:rsid w:val="005E5E8F"/>
    <w:rsid w:val="005F0ED4"/>
    <w:rsid w:val="005F1BC6"/>
    <w:rsid w:val="005F2706"/>
    <w:rsid w:val="005F3201"/>
    <w:rsid w:val="005F3984"/>
    <w:rsid w:val="005F451A"/>
    <w:rsid w:val="005F4AD5"/>
    <w:rsid w:val="005F69AA"/>
    <w:rsid w:val="005F6C97"/>
    <w:rsid w:val="006032B4"/>
    <w:rsid w:val="00607851"/>
    <w:rsid w:val="00610115"/>
    <w:rsid w:val="006102C1"/>
    <w:rsid w:val="00612CE9"/>
    <w:rsid w:val="00612D1E"/>
    <w:rsid w:val="00613A2F"/>
    <w:rsid w:val="00614F13"/>
    <w:rsid w:val="00616A26"/>
    <w:rsid w:val="00624F1A"/>
    <w:rsid w:val="00641329"/>
    <w:rsid w:val="00647926"/>
    <w:rsid w:val="00650CCD"/>
    <w:rsid w:val="00651FBA"/>
    <w:rsid w:val="00655896"/>
    <w:rsid w:val="00657DDE"/>
    <w:rsid w:val="00670356"/>
    <w:rsid w:val="00670C51"/>
    <w:rsid w:val="00680C37"/>
    <w:rsid w:val="00690CFC"/>
    <w:rsid w:val="00693035"/>
    <w:rsid w:val="006944E2"/>
    <w:rsid w:val="006A256C"/>
    <w:rsid w:val="006A3400"/>
    <w:rsid w:val="006A4B0E"/>
    <w:rsid w:val="006A6229"/>
    <w:rsid w:val="006B2E3A"/>
    <w:rsid w:val="006B3745"/>
    <w:rsid w:val="006B3CB9"/>
    <w:rsid w:val="006B4DE9"/>
    <w:rsid w:val="006B5B34"/>
    <w:rsid w:val="006B7470"/>
    <w:rsid w:val="006C0B3E"/>
    <w:rsid w:val="006C1F02"/>
    <w:rsid w:val="006C30C3"/>
    <w:rsid w:val="006C544D"/>
    <w:rsid w:val="006C6795"/>
    <w:rsid w:val="006C796D"/>
    <w:rsid w:val="006D09D4"/>
    <w:rsid w:val="006D6315"/>
    <w:rsid w:val="006D71C7"/>
    <w:rsid w:val="006E0FA8"/>
    <w:rsid w:val="006E14BE"/>
    <w:rsid w:val="006E2E34"/>
    <w:rsid w:val="006F68C1"/>
    <w:rsid w:val="006F6D95"/>
    <w:rsid w:val="006F7F9B"/>
    <w:rsid w:val="0070040C"/>
    <w:rsid w:val="00700813"/>
    <w:rsid w:val="00703688"/>
    <w:rsid w:val="007044FB"/>
    <w:rsid w:val="0070474C"/>
    <w:rsid w:val="007060E0"/>
    <w:rsid w:val="00706A67"/>
    <w:rsid w:val="007107C5"/>
    <w:rsid w:val="0071100D"/>
    <w:rsid w:val="00716827"/>
    <w:rsid w:val="007204EA"/>
    <w:rsid w:val="00721395"/>
    <w:rsid w:val="007213D8"/>
    <w:rsid w:val="00725E2F"/>
    <w:rsid w:val="007355C7"/>
    <w:rsid w:val="00736993"/>
    <w:rsid w:val="00737134"/>
    <w:rsid w:val="00737568"/>
    <w:rsid w:val="00762C27"/>
    <w:rsid w:val="0076502B"/>
    <w:rsid w:val="0077537E"/>
    <w:rsid w:val="0077764B"/>
    <w:rsid w:val="0077771B"/>
    <w:rsid w:val="00783BC8"/>
    <w:rsid w:val="0078527E"/>
    <w:rsid w:val="0078540B"/>
    <w:rsid w:val="00785F1C"/>
    <w:rsid w:val="00786EF6"/>
    <w:rsid w:val="00787A94"/>
    <w:rsid w:val="00787E91"/>
    <w:rsid w:val="00790348"/>
    <w:rsid w:val="00792240"/>
    <w:rsid w:val="00793DEF"/>
    <w:rsid w:val="00794377"/>
    <w:rsid w:val="00794AD9"/>
    <w:rsid w:val="007952DA"/>
    <w:rsid w:val="0079777D"/>
    <w:rsid w:val="00797E3C"/>
    <w:rsid w:val="00797F7A"/>
    <w:rsid w:val="007A20E2"/>
    <w:rsid w:val="007A4FCA"/>
    <w:rsid w:val="007A7D01"/>
    <w:rsid w:val="007B3844"/>
    <w:rsid w:val="007B5AC4"/>
    <w:rsid w:val="007C65BD"/>
    <w:rsid w:val="007D1DC0"/>
    <w:rsid w:val="007D2115"/>
    <w:rsid w:val="007D24E4"/>
    <w:rsid w:val="007D631B"/>
    <w:rsid w:val="007E0CAA"/>
    <w:rsid w:val="007E1892"/>
    <w:rsid w:val="007E7218"/>
    <w:rsid w:val="007F495E"/>
    <w:rsid w:val="008006D5"/>
    <w:rsid w:val="00802C3B"/>
    <w:rsid w:val="0080589A"/>
    <w:rsid w:val="00806283"/>
    <w:rsid w:val="00813ABE"/>
    <w:rsid w:val="00816534"/>
    <w:rsid w:val="008178E3"/>
    <w:rsid w:val="00817F3E"/>
    <w:rsid w:val="00817FD8"/>
    <w:rsid w:val="00821355"/>
    <w:rsid w:val="00822F27"/>
    <w:rsid w:val="008243FE"/>
    <w:rsid w:val="008261AE"/>
    <w:rsid w:val="008272D3"/>
    <w:rsid w:val="00830558"/>
    <w:rsid w:val="00830F25"/>
    <w:rsid w:val="00835012"/>
    <w:rsid w:val="00843A72"/>
    <w:rsid w:val="00843B73"/>
    <w:rsid w:val="00846319"/>
    <w:rsid w:val="0084679B"/>
    <w:rsid w:val="00854722"/>
    <w:rsid w:val="0085479C"/>
    <w:rsid w:val="0085682D"/>
    <w:rsid w:val="00857C75"/>
    <w:rsid w:val="00866949"/>
    <w:rsid w:val="008670AE"/>
    <w:rsid w:val="00871595"/>
    <w:rsid w:val="00873FDB"/>
    <w:rsid w:val="008748CC"/>
    <w:rsid w:val="00875369"/>
    <w:rsid w:val="00877A0F"/>
    <w:rsid w:val="00880637"/>
    <w:rsid w:val="00885A55"/>
    <w:rsid w:val="00885EB6"/>
    <w:rsid w:val="0088695A"/>
    <w:rsid w:val="0089430E"/>
    <w:rsid w:val="00894A0D"/>
    <w:rsid w:val="0089613E"/>
    <w:rsid w:val="0089717E"/>
    <w:rsid w:val="008B12AC"/>
    <w:rsid w:val="008B15EB"/>
    <w:rsid w:val="008B2DD1"/>
    <w:rsid w:val="008B3ED8"/>
    <w:rsid w:val="008B4673"/>
    <w:rsid w:val="008B59AF"/>
    <w:rsid w:val="008B5BEA"/>
    <w:rsid w:val="008B6003"/>
    <w:rsid w:val="008B68E5"/>
    <w:rsid w:val="008C2FD0"/>
    <w:rsid w:val="008C3EE7"/>
    <w:rsid w:val="008D25B0"/>
    <w:rsid w:val="008E110A"/>
    <w:rsid w:val="008E3967"/>
    <w:rsid w:val="008E705A"/>
    <w:rsid w:val="008E734F"/>
    <w:rsid w:val="008F6F15"/>
    <w:rsid w:val="008F716C"/>
    <w:rsid w:val="00900433"/>
    <w:rsid w:val="00906060"/>
    <w:rsid w:val="0090663A"/>
    <w:rsid w:val="00906670"/>
    <w:rsid w:val="00911409"/>
    <w:rsid w:val="00912DAD"/>
    <w:rsid w:val="00913B49"/>
    <w:rsid w:val="009253BE"/>
    <w:rsid w:val="00925924"/>
    <w:rsid w:val="00933A99"/>
    <w:rsid w:val="00934092"/>
    <w:rsid w:val="00937A29"/>
    <w:rsid w:val="0094219A"/>
    <w:rsid w:val="00943A91"/>
    <w:rsid w:val="00943C0A"/>
    <w:rsid w:val="00944529"/>
    <w:rsid w:val="00945649"/>
    <w:rsid w:val="00950002"/>
    <w:rsid w:val="00955DAF"/>
    <w:rsid w:val="009569C1"/>
    <w:rsid w:val="00960BE8"/>
    <w:rsid w:val="009700CC"/>
    <w:rsid w:val="009724AB"/>
    <w:rsid w:val="00972E7C"/>
    <w:rsid w:val="00973D92"/>
    <w:rsid w:val="00977CAD"/>
    <w:rsid w:val="0098017D"/>
    <w:rsid w:val="00982DB6"/>
    <w:rsid w:val="0099302A"/>
    <w:rsid w:val="00993383"/>
    <w:rsid w:val="00997AC7"/>
    <w:rsid w:val="009A054B"/>
    <w:rsid w:val="009A18BB"/>
    <w:rsid w:val="009A7D2A"/>
    <w:rsid w:val="009B0508"/>
    <w:rsid w:val="009B3C23"/>
    <w:rsid w:val="009B5AED"/>
    <w:rsid w:val="009B6977"/>
    <w:rsid w:val="009B70AA"/>
    <w:rsid w:val="009C0331"/>
    <w:rsid w:val="009C0ADD"/>
    <w:rsid w:val="009C25F1"/>
    <w:rsid w:val="009C33DF"/>
    <w:rsid w:val="009D0EE3"/>
    <w:rsid w:val="009D2456"/>
    <w:rsid w:val="009D36DD"/>
    <w:rsid w:val="009D62B1"/>
    <w:rsid w:val="009E0619"/>
    <w:rsid w:val="009E32D6"/>
    <w:rsid w:val="009E4F50"/>
    <w:rsid w:val="009F0B84"/>
    <w:rsid w:val="009F17C9"/>
    <w:rsid w:val="009F36DA"/>
    <w:rsid w:val="00A013FD"/>
    <w:rsid w:val="00A01CF8"/>
    <w:rsid w:val="00A05C41"/>
    <w:rsid w:val="00A077B5"/>
    <w:rsid w:val="00A131AC"/>
    <w:rsid w:val="00A135F6"/>
    <w:rsid w:val="00A1648F"/>
    <w:rsid w:val="00A20357"/>
    <w:rsid w:val="00A21D63"/>
    <w:rsid w:val="00A23E8A"/>
    <w:rsid w:val="00A27883"/>
    <w:rsid w:val="00A35A1A"/>
    <w:rsid w:val="00A401D8"/>
    <w:rsid w:val="00A40508"/>
    <w:rsid w:val="00A42972"/>
    <w:rsid w:val="00A43A9A"/>
    <w:rsid w:val="00A45C1A"/>
    <w:rsid w:val="00A46A35"/>
    <w:rsid w:val="00A5110A"/>
    <w:rsid w:val="00A52C12"/>
    <w:rsid w:val="00A52C93"/>
    <w:rsid w:val="00A565FE"/>
    <w:rsid w:val="00A57035"/>
    <w:rsid w:val="00A638C9"/>
    <w:rsid w:val="00A63AFB"/>
    <w:rsid w:val="00A63DB1"/>
    <w:rsid w:val="00A64A6E"/>
    <w:rsid w:val="00A64AE5"/>
    <w:rsid w:val="00A660A7"/>
    <w:rsid w:val="00A664EE"/>
    <w:rsid w:val="00A6785A"/>
    <w:rsid w:val="00A817BA"/>
    <w:rsid w:val="00A84955"/>
    <w:rsid w:val="00A84BFE"/>
    <w:rsid w:val="00A85FEF"/>
    <w:rsid w:val="00A92CBC"/>
    <w:rsid w:val="00AA01E8"/>
    <w:rsid w:val="00AA19E5"/>
    <w:rsid w:val="00AA1F09"/>
    <w:rsid w:val="00AA5AD6"/>
    <w:rsid w:val="00AA69A0"/>
    <w:rsid w:val="00AB12D3"/>
    <w:rsid w:val="00AC5986"/>
    <w:rsid w:val="00AC6540"/>
    <w:rsid w:val="00AC7B4E"/>
    <w:rsid w:val="00AD23C9"/>
    <w:rsid w:val="00AD4E9B"/>
    <w:rsid w:val="00AD7765"/>
    <w:rsid w:val="00AE0781"/>
    <w:rsid w:val="00AE0E4B"/>
    <w:rsid w:val="00AE6320"/>
    <w:rsid w:val="00AE6719"/>
    <w:rsid w:val="00AF26C2"/>
    <w:rsid w:val="00AF27C9"/>
    <w:rsid w:val="00AF34A1"/>
    <w:rsid w:val="00AF4277"/>
    <w:rsid w:val="00AF5194"/>
    <w:rsid w:val="00AF5496"/>
    <w:rsid w:val="00AF5715"/>
    <w:rsid w:val="00AF6167"/>
    <w:rsid w:val="00B02AD6"/>
    <w:rsid w:val="00B056F4"/>
    <w:rsid w:val="00B0705F"/>
    <w:rsid w:val="00B074B7"/>
    <w:rsid w:val="00B07F87"/>
    <w:rsid w:val="00B15648"/>
    <w:rsid w:val="00B2327A"/>
    <w:rsid w:val="00B2433A"/>
    <w:rsid w:val="00B247CF"/>
    <w:rsid w:val="00B25060"/>
    <w:rsid w:val="00B25E26"/>
    <w:rsid w:val="00B27B43"/>
    <w:rsid w:val="00B33BD3"/>
    <w:rsid w:val="00B34B47"/>
    <w:rsid w:val="00B354FB"/>
    <w:rsid w:val="00B355E0"/>
    <w:rsid w:val="00B417CC"/>
    <w:rsid w:val="00B4624F"/>
    <w:rsid w:val="00B54099"/>
    <w:rsid w:val="00B56316"/>
    <w:rsid w:val="00B56B8B"/>
    <w:rsid w:val="00B67C75"/>
    <w:rsid w:val="00B7011B"/>
    <w:rsid w:val="00B71674"/>
    <w:rsid w:val="00B74993"/>
    <w:rsid w:val="00B771F9"/>
    <w:rsid w:val="00B8225B"/>
    <w:rsid w:val="00B856D3"/>
    <w:rsid w:val="00B90F6A"/>
    <w:rsid w:val="00B91863"/>
    <w:rsid w:val="00B94AFA"/>
    <w:rsid w:val="00BA0BB4"/>
    <w:rsid w:val="00BA35BC"/>
    <w:rsid w:val="00BA4FB5"/>
    <w:rsid w:val="00BA53A6"/>
    <w:rsid w:val="00BA5837"/>
    <w:rsid w:val="00BA5C97"/>
    <w:rsid w:val="00BA5F09"/>
    <w:rsid w:val="00BB223E"/>
    <w:rsid w:val="00BB6A92"/>
    <w:rsid w:val="00BC152D"/>
    <w:rsid w:val="00BC3165"/>
    <w:rsid w:val="00BC37A7"/>
    <w:rsid w:val="00BC3928"/>
    <w:rsid w:val="00BC3F0E"/>
    <w:rsid w:val="00BC5B97"/>
    <w:rsid w:val="00BD17A1"/>
    <w:rsid w:val="00BD200A"/>
    <w:rsid w:val="00BD2918"/>
    <w:rsid w:val="00BD2C53"/>
    <w:rsid w:val="00BD2D2F"/>
    <w:rsid w:val="00BD5590"/>
    <w:rsid w:val="00BD6301"/>
    <w:rsid w:val="00BE314E"/>
    <w:rsid w:val="00BE4BC1"/>
    <w:rsid w:val="00BE6A3E"/>
    <w:rsid w:val="00BF0819"/>
    <w:rsid w:val="00BF2082"/>
    <w:rsid w:val="00BF31E6"/>
    <w:rsid w:val="00C0308D"/>
    <w:rsid w:val="00C0402F"/>
    <w:rsid w:val="00C06336"/>
    <w:rsid w:val="00C153C4"/>
    <w:rsid w:val="00C17E59"/>
    <w:rsid w:val="00C201F1"/>
    <w:rsid w:val="00C25D93"/>
    <w:rsid w:val="00C279C4"/>
    <w:rsid w:val="00C31280"/>
    <w:rsid w:val="00C32532"/>
    <w:rsid w:val="00C346BA"/>
    <w:rsid w:val="00C36657"/>
    <w:rsid w:val="00C37B88"/>
    <w:rsid w:val="00C40129"/>
    <w:rsid w:val="00C44A14"/>
    <w:rsid w:val="00C47A4D"/>
    <w:rsid w:val="00C51FDA"/>
    <w:rsid w:val="00C52C5D"/>
    <w:rsid w:val="00C5324D"/>
    <w:rsid w:val="00C630EE"/>
    <w:rsid w:val="00C65AD7"/>
    <w:rsid w:val="00C70FE7"/>
    <w:rsid w:val="00C71760"/>
    <w:rsid w:val="00C73CF5"/>
    <w:rsid w:val="00C80CCF"/>
    <w:rsid w:val="00C82A69"/>
    <w:rsid w:val="00C93767"/>
    <w:rsid w:val="00CA40C1"/>
    <w:rsid w:val="00CA74AC"/>
    <w:rsid w:val="00CA7D35"/>
    <w:rsid w:val="00CB0DD8"/>
    <w:rsid w:val="00CB2A6B"/>
    <w:rsid w:val="00CC1DBE"/>
    <w:rsid w:val="00CC4075"/>
    <w:rsid w:val="00CC56E1"/>
    <w:rsid w:val="00CC6E7C"/>
    <w:rsid w:val="00CD03FE"/>
    <w:rsid w:val="00CD28B9"/>
    <w:rsid w:val="00CD29C1"/>
    <w:rsid w:val="00CE6A62"/>
    <w:rsid w:val="00CE7F14"/>
    <w:rsid w:val="00CF1036"/>
    <w:rsid w:val="00CF125E"/>
    <w:rsid w:val="00CF3EBA"/>
    <w:rsid w:val="00CF6CB6"/>
    <w:rsid w:val="00D01748"/>
    <w:rsid w:val="00D02DB4"/>
    <w:rsid w:val="00D03442"/>
    <w:rsid w:val="00D117EB"/>
    <w:rsid w:val="00D1480C"/>
    <w:rsid w:val="00D20512"/>
    <w:rsid w:val="00D226F2"/>
    <w:rsid w:val="00D27F7D"/>
    <w:rsid w:val="00D320B7"/>
    <w:rsid w:val="00D33014"/>
    <w:rsid w:val="00D359E1"/>
    <w:rsid w:val="00D364BB"/>
    <w:rsid w:val="00D375EC"/>
    <w:rsid w:val="00D42058"/>
    <w:rsid w:val="00D42597"/>
    <w:rsid w:val="00D42FDF"/>
    <w:rsid w:val="00D441AE"/>
    <w:rsid w:val="00D45EA0"/>
    <w:rsid w:val="00D51912"/>
    <w:rsid w:val="00D54BEF"/>
    <w:rsid w:val="00D56FFA"/>
    <w:rsid w:val="00D679AC"/>
    <w:rsid w:val="00D67CF9"/>
    <w:rsid w:val="00D70447"/>
    <w:rsid w:val="00D73A06"/>
    <w:rsid w:val="00D81099"/>
    <w:rsid w:val="00D877FD"/>
    <w:rsid w:val="00D906BD"/>
    <w:rsid w:val="00D93A68"/>
    <w:rsid w:val="00D96390"/>
    <w:rsid w:val="00D9677D"/>
    <w:rsid w:val="00DA1DB5"/>
    <w:rsid w:val="00DA43F2"/>
    <w:rsid w:val="00DA57F2"/>
    <w:rsid w:val="00DB2A54"/>
    <w:rsid w:val="00DC5705"/>
    <w:rsid w:val="00DC5C24"/>
    <w:rsid w:val="00DC706D"/>
    <w:rsid w:val="00DD2FB0"/>
    <w:rsid w:val="00DF09B5"/>
    <w:rsid w:val="00DF1605"/>
    <w:rsid w:val="00DF49FB"/>
    <w:rsid w:val="00DF5C13"/>
    <w:rsid w:val="00DF7700"/>
    <w:rsid w:val="00E007E7"/>
    <w:rsid w:val="00E009C6"/>
    <w:rsid w:val="00E01DD3"/>
    <w:rsid w:val="00E0230D"/>
    <w:rsid w:val="00E06BCE"/>
    <w:rsid w:val="00E0722F"/>
    <w:rsid w:val="00E07441"/>
    <w:rsid w:val="00E12D58"/>
    <w:rsid w:val="00E12DAE"/>
    <w:rsid w:val="00E1395A"/>
    <w:rsid w:val="00E16D75"/>
    <w:rsid w:val="00E26035"/>
    <w:rsid w:val="00E27532"/>
    <w:rsid w:val="00E300EF"/>
    <w:rsid w:val="00E37B1D"/>
    <w:rsid w:val="00E44B86"/>
    <w:rsid w:val="00E473D5"/>
    <w:rsid w:val="00E50806"/>
    <w:rsid w:val="00E50D82"/>
    <w:rsid w:val="00E51C0E"/>
    <w:rsid w:val="00E51E3A"/>
    <w:rsid w:val="00E51E6A"/>
    <w:rsid w:val="00E637C3"/>
    <w:rsid w:val="00E66C20"/>
    <w:rsid w:val="00E67677"/>
    <w:rsid w:val="00E67C13"/>
    <w:rsid w:val="00E74506"/>
    <w:rsid w:val="00E74542"/>
    <w:rsid w:val="00E74915"/>
    <w:rsid w:val="00E763F6"/>
    <w:rsid w:val="00E80D63"/>
    <w:rsid w:val="00E82A29"/>
    <w:rsid w:val="00E85941"/>
    <w:rsid w:val="00E90461"/>
    <w:rsid w:val="00E923D8"/>
    <w:rsid w:val="00E95714"/>
    <w:rsid w:val="00EA61E2"/>
    <w:rsid w:val="00EB1761"/>
    <w:rsid w:val="00EB1763"/>
    <w:rsid w:val="00EB1A6F"/>
    <w:rsid w:val="00EB4699"/>
    <w:rsid w:val="00EB5D1D"/>
    <w:rsid w:val="00EB7C9E"/>
    <w:rsid w:val="00EC0671"/>
    <w:rsid w:val="00EC0DEE"/>
    <w:rsid w:val="00EC4638"/>
    <w:rsid w:val="00ED03FC"/>
    <w:rsid w:val="00ED1758"/>
    <w:rsid w:val="00ED4B4B"/>
    <w:rsid w:val="00ED5A40"/>
    <w:rsid w:val="00ED6C97"/>
    <w:rsid w:val="00EE09CF"/>
    <w:rsid w:val="00EE3F75"/>
    <w:rsid w:val="00EE438C"/>
    <w:rsid w:val="00EE49F2"/>
    <w:rsid w:val="00EF1355"/>
    <w:rsid w:val="00EF2533"/>
    <w:rsid w:val="00F0169C"/>
    <w:rsid w:val="00F02508"/>
    <w:rsid w:val="00F04776"/>
    <w:rsid w:val="00F06F7C"/>
    <w:rsid w:val="00F171A1"/>
    <w:rsid w:val="00F2295F"/>
    <w:rsid w:val="00F22DEF"/>
    <w:rsid w:val="00F24627"/>
    <w:rsid w:val="00F30910"/>
    <w:rsid w:val="00F320BC"/>
    <w:rsid w:val="00F35607"/>
    <w:rsid w:val="00F423F7"/>
    <w:rsid w:val="00F4428B"/>
    <w:rsid w:val="00F466A9"/>
    <w:rsid w:val="00F509A1"/>
    <w:rsid w:val="00F56ECF"/>
    <w:rsid w:val="00F574D5"/>
    <w:rsid w:val="00F57B36"/>
    <w:rsid w:val="00F64506"/>
    <w:rsid w:val="00F67E63"/>
    <w:rsid w:val="00F7347C"/>
    <w:rsid w:val="00F7349F"/>
    <w:rsid w:val="00F76DBE"/>
    <w:rsid w:val="00F803F2"/>
    <w:rsid w:val="00F82BAF"/>
    <w:rsid w:val="00F942D0"/>
    <w:rsid w:val="00FA0A97"/>
    <w:rsid w:val="00FA1F36"/>
    <w:rsid w:val="00FB18E3"/>
    <w:rsid w:val="00FB2926"/>
    <w:rsid w:val="00FB333F"/>
    <w:rsid w:val="00FC0B72"/>
    <w:rsid w:val="00FC1805"/>
    <w:rsid w:val="00FC1F98"/>
    <w:rsid w:val="00FC3AF7"/>
    <w:rsid w:val="00FC5B89"/>
    <w:rsid w:val="00FC6DEA"/>
    <w:rsid w:val="00FC7E63"/>
    <w:rsid w:val="00FD0298"/>
    <w:rsid w:val="00FD24FD"/>
    <w:rsid w:val="00FD4C1D"/>
    <w:rsid w:val="00FD576D"/>
    <w:rsid w:val="00FE0B4E"/>
    <w:rsid w:val="00FE1C94"/>
    <w:rsid w:val="00FE29C5"/>
    <w:rsid w:val="00FF1BB8"/>
    <w:rsid w:val="00FF26C0"/>
    <w:rsid w:val="00FF3862"/>
    <w:rsid w:val="00FF730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7E24A"/>
  <w15:docId w15:val="{0951F728-41AA-4C55-B355-AF1736E0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CF"/>
    <w:pPr>
      <w:spacing w:after="0" w:line="240" w:lineRule="auto"/>
      <w:jc w:val="both"/>
    </w:pPr>
    <w:rPr>
      <w:rFonts w:ascii="Verdana" w:eastAsia="Calibri" w:hAnsi="Verdana" w:cs="Arial"/>
      <w:sz w:val="24"/>
      <w:szCs w:val="24"/>
      <w:lang w:val="es-ES"/>
    </w:rPr>
  </w:style>
  <w:style w:type="paragraph" w:styleId="Ttulo2">
    <w:name w:val="heading 2"/>
    <w:basedOn w:val="Normal"/>
    <w:next w:val="Normal"/>
    <w:link w:val="Ttulo2Car"/>
    <w:uiPriority w:val="9"/>
    <w:qFormat/>
    <w:rsid w:val="00F04776"/>
    <w:pPr>
      <w:keepNext/>
      <w:overflowPunct w:val="0"/>
      <w:autoSpaceDE w:val="0"/>
      <w:autoSpaceDN w:val="0"/>
      <w:adjustRightInd w:val="0"/>
      <w:spacing w:line="360" w:lineRule="auto"/>
      <w:jc w:val="center"/>
      <w:outlineLvl w:val="1"/>
    </w:pPr>
    <w:rPr>
      <w:rFonts w:ascii="Arial" w:eastAsia="Times New Roman" w:hAnsi="Arial" w:cs="Times New Roman"/>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
    <w:uiPriority w:val="99"/>
    <w:qFormat/>
    <w:rsid w:val="00BD2C53"/>
    <w:pPr>
      <w:suppressAutoHyphens/>
      <w:spacing w:after="160" w:line="259" w:lineRule="auto"/>
      <w:ind w:leftChars="-1" w:left="-1" w:hangingChars="1" w:hanging="1"/>
      <w:jc w:val="left"/>
      <w:textDirection w:val="btLr"/>
      <w:textAlignment w:val="top"/>
      <w:outlineLvl w:val="0"/>
    </w:pPr>
    <w:rPr>
      <w:rFonts w:ascii="Calibri" w:hAnsi="Calibri" w:cs="Calibri"/>
      <w:position w:val="-1"/>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ft Car,texto de nota al pie Car,Car1 Car"/>
    <w:basedOn w:val="Fuentedeprrafopredeter"/>
    <w:link w:val="Textonotapie"/>
    <w:uiPriority w:val="99"/>
    <w:qFormat/>
    <w:rsid w:val="00BD2C53"/>
    <w:rPr>
      <w:rFonts w:ascii="Calibri" w:eastAsia="Calibri" w:hAnsi="Calibri" w:cs="Calibri"/>
      <w:position w:val="-1"/>
      <w:sz w:val="20"/>
      <w:szCs w:val="20"/>
      <w:lang w:val="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iPriority w:val="99"/>
    <w:qFormat/>
    <w:rsid w:val="00BD2C53"/>
    <w:rPr>
      <w:w w:val="100"/>
      <w:position w:val="-1"/>
      <w:effect w:val="none"/>
      <w:vertAlign w:val="superscript"/>
      <w:cs w:val="0"/>
      <w:em w:val="none"/>
    </w:rPr>
  </w:style>
  <w:style w:type="paragraph" w:styleId="Encabezado">
    <w:name w:val="header"/>
    <w:basedOn w:val="Normal"/>
    <w:link w:val="EncabezadoCar"/>
    <w:uiPriority w:val="99"/>
    <w:unhideWhenUsed/>
    <w:rsid w:val="00AE6719"/>
    <w:pPr>
      <w:tabs>
        <w:tab w:val="center" w:pos="4419"/>
        <w:tab w:val="right" w:pos="8838"/>
      </w:tabs>
    </w:pPr>
  </w:style>
  <w:style w:type="character" w:customStyle="1" w:styleId="EncabezadoCar">
    <w:name w:val="Encabezado Car"/>
    <w:basedOn w:val="Fuentedeprrafopredeter"/>
    <w:link w:val="Encabezado"/>
    <w:uiPriority w:val="99"/>
    <w:rsid w:val="00AE6719"/>
    <w:rPr>
      <w:rFonts w:ascii="Verdana" w:eastAsia="Calibri" w:hAnsi="Verdana" w:cs="Arial"/>
      <w:sz w:val="24"/>
      <w:szCs w:val="24"/>
      <w:lang w:val="es-ES"/>
    </w:rPr>
  </w:style>
  <w:style w:type="paragraph" w:styleId="Piedepgina">
    <w:name w:val="footer"/>
    <w:basedOn w:val="Normal"/>
    <w:link w:val="PiedepginaCar"/>
    <w:uiPriority w:val="99"/>
    <w:unhideWhenUsed/>
    <w:rsid w:val="00AE6719"/>
    <w:pPr>
      <w:tabs>
        <w:tab w:val="center" w:pos="4419"/>
        <w:tab w:val="right" w:pos="8838"/>
      </w:tabs>
    </w:pPr>
  </w:style>
  <w:style w:type="character" w:customStyle="1" w:styleId="PiedepginaCar">
    <w:name w:val="Pie de página Car"/>
    <w:basedOn w:val="Fuentedeprrafopredeter"/>
    <w:link w:val="Piedepgina"/>
    <w:uiPriority w:val="99"/>
    <w:rsid w:val="00AE6719"/>
    <w:rPr>
      <w:rFonts w:ascii="Verdana" w:eastAsia="Calibri" w:hAnsi="Verdana" w:cs="Arial"/>
      <w:sz w:val="24"/>
      <w:szCs w:val="24"/>
      <w:lang w:val="es-ES"/>
    </w:rPr>
  </w:style>
  <w:style w:type="paragraph" w:styleId="Sinespaciado">
    <w:name w:val="No Spacing"/>
    <w:aliases w:val="CITA,Bullets"/>
    <w:link w:val="SinespaciadoCar"/>
    <w:uiPriority w:val="1"/>
    <w:qFormat/>
    <w:rsid w:val="00226F95"/>
    <w:pPr>
      <w:spacing w:after="0" w:line="240" w:lineRule="auto"/>
      <w:jc w:val="both"/>
    </w:pPr>
    <w:rPr>
      <w:rFonts w:ascii="Verdana" w:eastAsia="Calibri" w:hAnsi="Verdana" w:cs="Arial"/>
      <w:sz w:val="24"/>
      <w:szCs w:val="24"/>
      <w:lang w:val="es-ES"/>
    </w:rPr>
  </w:style>
  <w:style w:type="paragraph" w:styleId="Prrafodelista">
    <w:name w:val="List Paragraph"/>
    <w:aliases w:val="Párrafo,Numbered Paragraph,titulo 3,BOLADEF,BOLA,Párrafo de lista21,Guión,Titulo 8,HOJA,Chulito,Párrafo de lista3,MIBEX B,TITULO1REQ,Párrafo de lista31,ViÃ±eta 2,Párrafo de lista5,TITULO 1,List Paragraph"/>
    <w:basedOn w:val="Normal"/>
    <w:uiPriority w:val="34"/>
    <w:qFormat/>
    <w:rsid w:val="00435C70"/>
    <w:pPr>
      <w:ind w:left="720"/>
      <w:contextualSpacing/>
    </w:pPr>
  </w:style>
  <w:style w:type="character" w:styleId="Hipervnculo">
    <w:name w:val="Hyperlink"/>
    <w:basedOn w:val="Fuentedeprrafopredeter"/>
    <w:uiPriority w:val="99"/>
    <w:unhideWhenUsed/>
    <w:rsid w:val="00762C27"/>
    <w:rPr>
      <w:color w:val="0000FF" w:themeColor="hyperlink"/>
      <w:u w:val="single"/>
    </w:rPr>
  </w:style>
  <w:style w:type="character" w:customStyle="1" w:styleId="Mencinsinresolver1">
    <w:name w:val="Mención sin resolver1"/>
    <w:basedOn w:val="Fuentedeprrafopredeter"/>
    <w:uiPriority w:val="99"/>
    <w:semiHidden/>
    <w:unhideWhenUsed/>
    <w:rsid w:val="00762C27"/>
    <w:rPr>
      <w:color w:val="605E5C"/>
      <w:shd w:val="clear" w:color="auto" w:fill="E1DFDD"/>
    </w:rPr>
  </w:style>
  <w:style w:type="paragraph" w:styleId="Textodeglobo">
    <w:name w:val="Balloon Text"/>
    <w:basedOn w:val="Normal"/>
    <w:link w:val="TextodegloboCar"/>
    <w:uiPriority w:val="99"/>
    <w:semiHidden/>
    <w:unhideWhenUsed/>
    <w:rsid w:val="005707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0786"/>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787E91"/>
    <w:rPr>
      <w:sz w:val="16"/>
      <w:szCs w:val="16"/>
    </w:rPr>
  </w:style>
  <w:style w:type="paragraph" w:styleId="Textocomentario">
    <w:name w:val="annotation text"/>
    <w:basedOn w:val="Normal"/>
    <w:link w:val="TextocomentarioCar"/>
    <w:uiPriority w:val="99"/>
    <w:unhideWhenUsed/>
    <w:rsid w:val="00787E91"/>
    <w:rPr>
      <w:sz w:val="20"/>
      <w:szCs w:val="20"/>
    </w:rPr>
  </w:style>
  <w:style w:type="character" w:customStyle="1" w:styleId="TextocomentarioCar">
    <w:name w:val="Texto comentario Car"/>
    <w:basedOn w:val="Fuentedeprrafopredeter"/>
    <w:link w:val="Textocomentario"/>
    <w:uiPriority w:val="99"/>
    <w:rsid w:val="00787E91"/>
    <w:rPr>
      <w:rFonts w:ascii="Verdana" w:eastAsia="Calibri" w:hAnsi="Verdana"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787E91"/>
    <w:rPr>
      <w:b/>
      <w:bCs/>
    </w:rPr>
  </w:style>
  <w:style w:type="character" w:customStyle="1" w:styleId="AsuntodelcomentarioCar">
    <w:name w:val="Asunto del comentario Car"/>
    <w:basedOn w:val="TextocomentarioCar"/>
    <w:link w:val="Asuntodelcomentario"/>
    <w:uiPriority w:val="99"/>
    <w:semiHidden/>
    <w:rsid w:val="00787E91"/>
    <w:rPr>
      <w:rFonts w:ascii="Verdana" w:eastAsia="Calibri" w:hAnsi="Verdana" w:cs="Arial"/>
      <w:b/>
      <w:bCs/>
      <w:sz w:val="20"/>
      <w:szCs w:val="20"/>
      <w:lang w:val="es-ES"/>
    </w:rPr>
  </w:style>
  <w:style w:type="paragraph" w:styleId="NormalWeb">
    <w:name w:val="Normal (Web)"/>
    <w:basedOn w:val="Normal"/>
    <w:uiPriority w:val="99"/>
    <w:unhideWhenUsed/>
    <w:rsid w:val="00477900"/>
    <w:pPr>
      <w:spacing w:before="100" w:beforeAutospacing="1" w:after="100" w:afterAutospacing="1"/>
      <w:jc w:val="left"/>
    </w:pPr>
    <w:rPr>
      <w:rFonts w:ascii="Times New Roman" w:eastAsia="Times New Roman" w:hAnsi="Times New Roman" w:cs="Times New Roman"/>
      <w:lang w:val="es-CO" w:eastAsia="zh-CN"/>
    </w:rPr>
  </w:style>
  <w:style w:type="character" w:customStyle="1" w:styleId="Mencinsinresolver2">
    <w:name w:val="Mención sin resolver2"/>
    <w:basedOn w:val="Fuentedeprrafopredeter"/>
    <w:uiPriority w:val="99"/>
    <w:semiHidden/>
    <w:unhideWhenUsed/>
    <w:rsid w:val="006B2E3A"/>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2C31"/>
    <w:rPr>
      <w:rFonts w:asciiTheme="minorHAnsi" w:eastAsiaTheme="minorHAnsi" w:hAnsiTheme="minorHAnsi" w:cstheme="minorBidi"/>
      <w:position w:val="-1"/>
      <w:sz w:val="22"/>
      <w:szCs w:val="22"/>
      <w:vertAlign w:val="superscript"/>
      <w:lang w:val="es-CO"/>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uiPriority w:val="99"/>
    <w:qFormat/>
    <w:locked/>
    <w:rsid w:val="00843B73"/>
    <w:rPr>
      <w:lang w:val="x-none" w:eastAsia="x-none"/>
    </w:rPr>
  </w:style>
  <w:style w:type="character" w:customStyle="1" w:styleId="fontstyle01">
    <w:name w:val="fontstyle01"/>
    <w:basedOn w:val="Fuentedeprrafopredeter"/>
    <w:rsid w:val="00843B73"/>
    <w:rPr>
      <w:rFonts w:ascii="TimesNewRomanPSMT" w:hAnsi="TimesNewRomanPSMT" w:hint="default"/>
      <w:b w:val="0"/>
      <w:bCs w:val="0"/>
      <w:i w:val="0"/>
      <w:iCs w:val="0"/>
      <w:color w:val="000000"/>
      <w:sz w:val="24"/>
      <w:szCs w:val="24"/>
    </w:rPr>
  </w:style>
  <w:style w:type="character" w:customStyle="1" w:styleId="fontstyle21">
    <w:name w:val="fontstyle21"/>
    <w:basedOn w:val="Fuentedeprrafopredeter"/>
    <w:rsid w:val="00843B73"/>
    <w:rPr>
      <w:rFonts w:ascii="TimesNewRomanPS-BoldMT" w:hAnsi="TimesNewRomanPS-BoldMT" w:hint="default"/>
      <w:b/>
      <w:bCs/>
      <w:i w:val="0"/>
      <w:iCs w:val="0"/>
      <w:color w:val="000000"/>
      <w:sz w:val="24"/>
      <w:szCs w:val="24"/>
    </w:rPr>
  </w:style>
  <w:style w:type="character" w:customStyle="1" w:styleId="SinespaciadoCar">
    <w:name w:val="Sin espaciado Car"/>
    <w:aliases w:val="CITA Car,Bullets Car"/>
    <w:link w:val="Sinespaciado"/>
    <w:uiPriority w:val="1"/>
    <w:qFormat/>
    <w:locked/>
    <w:rsid w:val="00843B73"/>
    <w:rPr>
      <w:rFonts w:ascii="Verdana" w:eastAsia="Calibri" w:hAnsi="Verdana" w:cs="Arial"/>
      <w:sz w:val="24"/>
      <w:szCs w:val="24"/>
      <w:lang w:val="es-ES"/>
    </w:rPr>
  </w:style>
  <w:style w:type="character" w:customStyle="1" w:styleId="fontstyle31">
    <w:name w:val="fontstyle31"/>
    <w:basedOn w:val="Fuentedeprrafopredeter"/>
    <w:rsid w:val="00843B73"/>
    <w:rPr>
      <w:rFonts w:ascii="Arial-ItalicMT" w:hAnsi="Arial-ItalicMT" w:hint="default"/>
      <w:b w:val="0"/>
      <w:bCs w:val="0"/>
      <w:i/>
      <w:iCs/>
      <w:color w:val="000000"/>
      <w:sz w:val="24"/>
      <w:szCs w:val="24"/>
    </w:rPr>
  </w:style>
  <w:style w:type="paragraph" w:customStyle="1" w:styleId="Default">
    <w:name w:val="Default"/>
    <w:rsid w:val="00EB1763"/>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6C1F02"/>
    <w:rPr>
      <w:color w:val="605E5C"/>
      <w:shd w:val="clear" w:color="auto" w:fill="E1DFDD"/>
    </w:rPr>
  </w:style>
  <w:style w:type="character" w:customStyle="1" w:styleId="Ttulo2Car">
    <w:name w:val="Título 2 Car"/>
    <w:basedOn w:val="Fuentedeprrafopredeter"/>
    <w:link w:val="Ttulo2"/>
    <w:uiPriority w:val="9"/>
    <w:rsid w:val="00F04776"/>
    <w:rPr>
      <w:rFonts w:ascii="Arial" w:eastAsia="Times New Roman" w:hAnsi="Arial" w:cs="Times New Roman"/>
      <w:b/>
      <w:bCs/>
      <w:sz w:val="24"/>
      <w:szCs w:val="24"/>
      <w:lang w:eastAsia="es-CO"/>
    </w:rPr>
  </w:style>
  <w:style w:type="table" w:styleId="Tablaconcuadrcula">
    <w:name w:val="Table Grid"/>
    <w:basedOn w:val="Tablanormal"/>
    <w:uiPriority w:val="59"/>
    <w:rsid w:val="00085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4642">
      <w:bodyDiv w:val="1"/>
      <w:marLeft w:val="0"/>
      <w:marRight w:val="0"/>
      <w:marTop w:val="0"/>
      <w:marBottom w:val="0"/>
      <w:divBdr>
        <w:top w:val="none" w:sz="0" w:space="0" w:color="auto"/>
        <w:left w:val="none" w:sz="0" w:space="0" w:color="auto"/>
        <w:bottom w:val="none" w:sz="0" w:space="0" w:color="auto"/>
        <w:right w:val="none" w:sz="0" w:space="0" w:color="auto"/>
      </w:divBdr>
    </w:div>
    <w:div w:id="315570863">
      <w:bodyDiv w:val="1"/>
      <w:marLeft w:val="0"/>
      <w:marRight w:val="0"/>
      <w:marTop w:val="0"/>
      <w:marBottom w:val="0"/>
      <w:divBdr>
        <w:top w:val="none" w:sz="0" w:space="0" w:color="auto"/>
        <w:left w:val="none" w:sz="0" w:space="0" w:color="auto"/>
        <w:bottom w:val="none" w:sz="0" w:space="0" w:color="auto"/>
        <w:right w:val="none" w:sz="0" w:space="0" w:color="auto"/>
      </w:divBdr>
    </w:div>
    <w:div w:id="349920011">
      <w:bodyDiv w:val="1"/>
      <w:marLeft w:val="0"/>
      <w:marRight w:val="0"/>
      <w:marTop w:val="0"/>
      <w:marBottom w:val="0"/>
      <w:divBdr>
        <w:top w:val="none" w:sz="0" w:space="0" w:color="auto"/>
        <w:left w:val="none" w:sz="0" w:space="0" w:color="auto"/>
        <w:bottom w:val="none" w:sz="0" w:space="0" w:color="auto"/>
        <w:right w:val="none" w:sz="0" w:space="0" w:color="auto"/>
      </w:divBdr>
    </w:div>
    <w:div w:id="422149860">
      <w:bodyDiv w:val="1"/>
      <w:marLeft w:val="0"/>
      <w:marRight w:val="0"/>
      <w:marTop w:val="0"/>
      <w:marBottom w:val="0"/>
      <w:divBdr>
        <w:top w:val="none" w:sz="0" w:space="0" w:color="auto"/>
        <w:left w:val="none" w:sz="0" w:space="0" w:color="auto"/>
        <w:bottom w:val="none" w:sz="0" w:space="0" w:color="auto"/>
        <w:right w:val="none" w:sz="0" w:space="0" w:color="auto"/>
      </w:divBdr>
    </w:div>
    <w:div w:id="568463860">
      <w:bodyDiv w:val="1"/>
      <w:marLeft w:val="0"/>
      <w:marRight w:val="0"/>
      <w:marTop w:val="0"/>
      <w:marBottom w:val="0"/>
      <w:divBdr>
        <w:top w:val="none" w:sz="0" w:space="0" w:color="auto"/>
        <w:left w:val="none" w:sz="0" w:space="0" w:color="auto"/>
        <w:bottom w:val="none" w:sz="0" w:space="0" w:color="auto"/>
        <w:right w:val="none" w:sz="0" w:space="0" w:color="auto"/>
      </w:divBdr>
    </w:div>
    <w:div w:id="609550843">
      <w:bodyDiv w:val="1"/>
      <w:marLeft w:val="0"/>
      <w:marRight w:val="0"/>
      <w:marTop w:val="0"/>
      <w:marBottom w:val="0"/>
      <w:divBdr>
        <w:top w:val="none" w:sz="0" w:space="0" w:color="auto"/>
        <w:left w:val="none" w:sz="0" w:space="0" w:color="auto"/>
        <w:bottom w:val="none" w:sz="0" w:space="0" w:color="auto"/>
        <w:right w:val="none" w:sz="0" w:space="0" w:color="auto"/>
      </w:divBdr>
    </w:div>
    <w:div w:id="615257971">
      <w:bodyDiv w:val="1"/>
      <w:marLeft w:val="0"/>
      <w:marRight w:val="0"/>
      <w:marTop w:val="0"/>
      <w:marBottom w:val="0"/>
      <w:divBdr>
        <w:top w:val="none" w:sz="0" w:space="0" w:color="auto"/>
        <w:left w:val="none" w:sz="0" w:space="0" w:color="auto"/>
        <w:bottom w:val="none" w:sz="0" w:space="0" w:color="auto"/>
        <w:right w:val="none" w:sz="0" w:space="0" w:color="auto"/>
      </w:divBdr>
    </w:div>
    <w:div w:id="738677518">
      <w:bodyDiv w:val="1"/>
      <w:marLeft w:val="0"/>
      <w:marRight w:val="0"/>
      <w:marTop w:val="0"/>
      <w:marBottom w:val="0"/>
      <w:divBdr>
        <w:top w:val="none" w:sz="0" w:space="0" w:color="auto"/>
        <w:left w:val="none" w:sz="0" w:space="0" w:color="auto"/>
        <w:bottom w:val="none" w:sz="0" w:space="0" w:color="auto"/>
        <w:right w:val="none" w:sz="0" w:space="0" w:color="auto"/>
      </w:divBdr>
    </w:div>
    <w:div w:id="903762576">
      <w:bodyDiv w:val="1"/>
      <w:marLeft w:val="0"/>
      <w:marRight w:val="0"/>
      <w:marTop w:val="0"/>
      <w:marBottom w:val="0"/>
      <w:divBdr>
        <w:top w:val="none" w:sz="0" w:space="0" w:color="auto"/>
        <w:left w:val="none" w:sz="0" w:space="0" w:color="auto"/>
        <w:bottom w:val="none" w:sz="0" w:space="0" w:color="auto"/>
        <w:right w:val="none" w:sz="0" w:space="0" w:color="auto"/>
      </w:divBdr>
    </w:div>
    <w:div w:id="1139110520">
      <w:bodyDiv w:val="1"/>
      <w:marLeft w:val="0"/>
      <w:marRight w:val="0"/>
      <w:marTop w:val="0"/>
      <w:marBottom w:val="0"/>
      <w:divBdr>
        <w:top w:val="none" w:sz="0" w:space="0" w:color="auto"/>
        <w:left w:val="none" w:sz="0" w:space="0" w:color="auto"/>
        <w:bottom w:val="none" w:sz="0" w:space="0" w:color="auto"/>
        <w:right w:val="none" w:sz="0" w:space="0" w:color="auto"/>
      </w:divBdr>
    </w:div>
    <w:div w:id="1310093579">
      <w:bodyDiv w:val="1"/>
      <w:marLeft w:val="0"/>
      <w:marRight w:val="0"/>
      <w:marTop w:val="0"/>
      <w:marBottom w:val="0"/>
      <w:divBdr>
        <w:top w:val="none" w:sz="0" w:space="0" w:color="auto"/>
        <w:left w:val="none" w:sz="0" w:space="0" w:color="auto"/>
        <w:bottom w:val="none" w:sz="0" w:space="0" w:color="auto"/>
        <w:right w:val="none" w:sz="0" w:space="0" w:color="auto"/>
      </w:divBdr>
    </w:div>
    <w:div w:id="1349063495">
      <w:bodyDiv w:val="1"/>
      <w:marLeft w:val="0"/>
      <w:marRight w:val="0"/>
      <w:marTop w:val="0"/>
      <w:marBottom w:val="0"/>
      <w:divBdr>
        <w:top w:val="none" w:sz="0" w:space="0" w:color="auto"/>
        <w:left w:val="none" w:sz="0" w:space="0" w:color="auto"/>
        <w:bottom w:val="none" w:sz="0" w:space="0" w:color="auto"/>
        <w:right w:val="none" w:sz="0" w:space="0" w:color="auto"/>
      </w:divBdr>
    </w:div>
    <w:div w:id="1766919604">
      <w:bodyDiv w:val="1"/>
      <w:marLeft w:val="0"/>
      <w:marRight w:val="0"/>
      <w:marTop w:val="0"/>
      <w:marBottom w:val="0"/>
      <w:divBdr>
        <w:top w:val="none" w:sz="0" w:space="0" w:color="auto"/>
        <w:left w:val="none" w:sz="0" w:space="0" w:color="auto"/>
        <w:bottom w:val="none" w:sz="0" w:space="0" w:color="auto"/>
        <w:right w:val="none" w:sz="0" w:space="0" w:color="auto"/>
      </w:divBdr>
    </w:div>
    <w:div w:id="1767653200">
      <w:bodyDiv w:val="1"/>
      <w:marLeft w:val="0"/>
      <w:marRight w:val="0"/>
      <w:marTop w:val="0"/>
      <w:marBottom w:val="0"/>
      <w:divBdr>
        <w:top w:val="none" w:sz="0" w:space="0" w:color="auto"/>
        <w:left w:val="none" w:sz="0" w:space="0" w:color="auto"/>
        <w:bottom w:val="none" w:sz="0" w:space="0" w:color="auto"/>
        <w:right w:val="none" w:sz="0" w:space="0" w:color="auto"/>
      </w:divBdr>
    </w:div>
    <w:div w:id="1804880144">
      <w:bodyDiv w:val="1"/>
      <w:marLeft w:val="0"/>
      <w:marRight w:val="0"/>
      <w:marTop w:val="0"/>
      <w:marBottom w:val="0"/>
      <w:divBdr>
        <w:top w:val="none" w:sz="0" w:space="0" w:color="auto"/>
        <w:left w:val="none" w:sz="0" w:space="0" w:color="auto"/>
        <w:bottom w:val="none" w:sz="0" w:space="0" w:color="auto"/>
        <w:right w:val="none" w:sz="0" w:space="0" w:color="auto"/>
      </w:divBdr>
    </w:div>
    <w:div w:id="1839727649">
      <w:bodyDiv w:val="1"/>
      <w:marLeft w:val="0"/>
      <w:marRight w:val="0"/>
      <w:marTop w:val="0"/>
      <w:marBottom w:val="0"/>
      <w:divBdr>
        <w:top w:val="none" w:sz="0" w:space="0" w:color="auto"/>
        <w:left w:val="none" w:sz="0" w:space="0" w:color="auto"/>
        <w:bottom w:val="none" w:sz="0" w:space="0" w:color="auto"/>
        <w:right w:val="none" w:sz="0" w:space="0" w:color="auto"/>
      </w:divBdr>
    </w:div>
    <w:div w:id="1893736101">
      <w:bodyDiv w:val="1"/>
      <w:marLeft w:val="0"/>
      <w:marRight w:val="0"/>
      <w:marTop w:val="0"/>
      <w:marBottom w:val="0"/>
      <w:divBdr>
        <w:top w:val="none" w:sz="0" w:space="0" w:color="auto"/>
        <w:left w:val="none" w:sz="0" w:space="0" w:color="auto"/>
        <w:bottom w:val="none" w:sz="0" w:space="0" w:color="auto"/>
        <w:right w:val="none" w:sz="0" w:space="0" w:color="auto"/>
      </w:divBdr>
    </w:div>
    <w:div w:id="2017609437">
      <w:bodyDiv w:val="1"/>
      <w:marLeft w:val="0"/>
      <w:marRight w:val="0"/>
      <w:marTop w:val="0"/>
      <w:marBottom w:val="0"/>
      <w:divBdr>
        <w:top w:val="none" w:sz="0" w:space="0" w:color="auto"/>
        <w:left w:val="none" w:sz="0" w:space="0" w:color="auto"/>
        <w:bottom w:val="none" w:sz="0" w:space="0" w:color="auto"/>
        <w:right w:val="none" w:sz="0" w:space="0" w:color="auto"/>
      </w:divBdr>
    </w:div>
    <w:div w:id="20720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rteconstitucional.gov.co/relatoria/2018/t-208a-18.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54C3DD5583814E9FEBC113545F1145" ma:contentTypeVersion="7" ma:contentTypeDescription="Crear nuevo documento." ma:contentTypeScope="" ma:versionID="a8e28709907d7d6a887bcaeb88f6f6dc">
  <xsd:schema xmlns:xsd="http://www.w3.org/2001/XMLSchema" xmlns:xs="http://www.w3.org/2001/XMLSchema" xmlns:p="http://schemas.microsoft.com/office/2006/metadata/properties" xmlns:ns2="57d541dc-2f2b-41c8-b43a-d085cd8149bf" xmlns:ns3="40512c8b-40e2-414f-80e7-36219bfecd2c" targetNamespace="http://schemas.microsoft.com/office/2006/metadata/properties" ma:root="true" ma:fieldsID="0410c16b62d8d361c7fbc0f7d2f9d614" ns2:_="" ns3:_="">
    <xsd:import namespace="57d541dc-2f2b-41c8-b43a-d085cd8149bf"/>
    <xsd:import namespace="40512c8b-40e2-414f-80e7-36219bfec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541dc-2f2b-41c8-b43a-d085cd814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12c8b-40e2-414f-80e7-36219bfecd2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A905E-5069-4A44-96D9-D537D22ECF3E}">
  <ds:schemaRefs>
    <ds:schemaRef ds:uri="http://schemas.microsoft.com/sharepoint/v3/contenttype/forms"/>
  </ds:schemaRefs>
</ds:datastoreItem>
</file>

<file path=customXml/itemProps2.xml><?xml version="1.0" encoding="utf-8"?>
<ds:datastoreItem xmlns:ds="http://schemas.openxmlformats.org/officeDocument/2006/customXml" ds:itemID="{19C32E5C-95ED-4844-8521-CAC346FE2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541dc-2f2b-41c8-b43a-d085cd8149bf"/>
    <ds:schemaRef ds:uri="40512c8b-40e2-414f-80e7-36219bfec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16D58-C1E5-47BE-9654-62FEF8E91488}">
  <ds:schemaRefs>
    <ds:schemaRef ds:uri="http://schemas.openxmlformats.org/officeDocument/2006/bibliography"/>
  </ds:schemaRefs>
</ds:datastoreItem>
</file>

<file path=customXml/itemProps4.xml><?xml version="1.0" encoding="utf-8"?>
<ds:datastoreItem xmlns:ds="http://schemas.openxmlformats.org/officeDocument/2006/customXml" ds:itemID="{306850EF-AAD6-4533-9686-725E534F3C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31</Pages>
  <Words>10609</Words>
  <Characters>58352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CAMILA VALENCIA ORTIZ</dc:creator>
  <cp:keywords/>
  <dc:description/>
  <cp:lastModifiedBy>Flor Nirsa Muñoz</cp:lastModifiedBy>
  <cp:revision>28</cp:revision>
  <dcterms:created xsi:type="dcterms:W3CDTF">2021-03-18T15:44:00Z</dcterms:created>
  <dcterms:modified xsi:type="dcterms:W3CDTF">2021-03-18T19:12:00Z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0x010100B254C3DD5583814E9FEBC113545F1145</vt:lpwstr>
  </property>
</Properties>
</file>