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BF3D4" w14:textId="77777777" w:rsidR="00C160EF" w:rsidRPr="00E12D43" w:rsidRDefault="00C160EF" w:rsidP="00C160EF">
      <w:pPr>
        <w:jc w:val="center"/>
        <w:rPr>
          <w:b/>
          <w:sz w:val="26"/>
          <w:szCs w:val="26"/>
        </w:rPr>
      </w:pPr>
      <w:r w:rsidRPr="00E12D43">
        <w:rPr>
          <w:b/>
          <w:sz w:val="26"/>
          <w:szCs w:val="26"/>
        </w:rPr>
        <w:t>REPÚBLICA DE COLOMBIA</w:t>
      </w:r>
    </w:p>
    <w:p w14:paraId="40F5E6C1" w14:textId="157F3A40" w:rsidR="00C160EF" w:rsidRPr="00E12D43" w:rsidRDefault="00BD659B" w:rsidP="00C160EF">
      <w:pPr>
        <w:jc w:val="center"/>
        <w:rPr>
          <w:b/>
          <w:sz w:val="26"/>
          <w:szCs w:val="26"/>
        </w:rPr>
      </w:pPr>
      <w:r w:rsidRPr="00E12D43">
        <w:rPr>
          <w:b/>
          <w:noProof/>
          <w:sz w:val="26"/>
          <w:szCs w:val="26"/>
          <w:lang w:val="es-CO" w:eastAsia="es-CO"/>
        </w:rPr>
        <w:drawing>
          <wp:inline distT="0" distB="0" distL="0" distR="0" wp14:anchorId="79AAFBDF" wp14:editId="6C79BE1C">
            <wp:extent cx="476250" cy="476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34A252AE" w14:textId="77777777" w:rsidR="00C160EF" w:rsidRPr="00E12D43" w:rsidRDefault="00C160EF" w:rsidP="00C160EF">
      <w:pPr>
        <w:pStyle w:val="Encabezado"/>
        <w:jc w:val="center"/>
        <w:rPr>
          <w:b/>
          <w:sz w:val="26"/>
          <w:szCs w:val="26"/>
        </w:rPr>
      </w:pPr>
      <w:r w:rsidRPr="00E12D43">
        <w:rPr>
          <w:b/>
          <w:sz w:val="26"/>
          <w:szCs w:val="26"/>
        </w:rPr>
        <w:t>TRIBUNAL ADMINISTRATIVO DE BOYACÁ</w:t>
      </w:r>
    </w:p>
    <w:p w14:paraId="524AAB83" w14:textId="77777777" w:rsidR="00C160EF" w:rsidRPr="00FF577C" w:rsidRDefault="00C160EF" w:rsidP="00C160EF">
      <w:pPr>
        <w:pStyle w:val="Encabezado"/>
        <w:jc w:val="center"/>
        <w:rPr>
          <w:b/>
          <w:sz w:val="28"/>
          <w:szCs w:val="28"/>
        </w:rPr>
      </w:pPr>
      <w:r w:rsidRPr="00E12D43">
        <w:rPr>
          <w:b/>
          <w:sz w:val="26"/>
          <w:szCs w:val="26"/>
        </w:rPr>
        <w:t>DESPACHO No. 2</w:t>
      </w:r>
    </w:p>
    <w:p w14:paraId="15A29350" w14:textId="77777777" w:rsidR="00C160EF" w:rsidRDefault="00C160EF" w:rsidP="00154014">
      <w:pPr>
        <w:pStyle w:val="Textoindependiente"/>
        <w:spacing w:line="240" w:lineRule="auto"/>
        <w:rPr>
          <w:rFonts w:ascii="Times New Roman" w:hAnsi="Times New Roman" w:cs="Times New Roman"/>
          <w:sz w:val="28"/>
          <w:szCs w:val="28"/>
        </w:rPr>
      </w:pPr>
    </w:p>
    <w:p w14:paraId="18FA2BEC" w14:textId="77777777" w:rsidR="00DD0EB3" w:rsidRPr="00EF62B6" w:rsidRDefault="00DD0EB3" w:rsidP="00154014">
      <w:pPr>
        <w:pStyle w:val="Textoindependiente"/>
        <w:spacing w:line="240" w:lineRule="auto"/>
        <w:rPr>
          <w:rFonts w:ascii="Times New Roman" w:hAnsi="Times New Roman" w:cs="Times New Roman"/>
          <w:sz w:val="28"/>
          <w:szCs w:val="28"/>
        </w:rPr>
      </w:pPr>
    </w:p>
    <w:p w14:paraId="5073B7A1" w14:textId="208748EA" w:rsidR="00C160EF" w:rsidRDefault="00C160EF" w:rsidP="00154014">
      <w:pPr>
        <w:pStyle w:val="Textoindependiente"/>
        <w:spacing w:line="240" w:lineRule="auto"/>
        <w:rPr>
          <w:rFonts w:ascii="Times New Roman" w:hAnsi="Times New Roman" w:cs="Times New Roman"/>
          <w:sz w:val="28"/>
          <w:szCs w:val="28"/>
        </w:rPr>
      </w:pPr>
      <w:r w:rsidRPr="00EF62B6">
        <w:rPr>
          <w:rFonts w:ascii="Times New Roman" w:hAnsi="Times New Roman" w:cs="Times New Roman"/>
          <w:sz w:val="28"/>
          <w:szCs w:val="28"/>
        </w:rPr>
        <w:t>Tunja</w:t>
      </w:r>
      <w:r w:rsidR="00A127F9">
        <w:rPr>
          <w:rFonts w:ascii="Times New Roman" w:hAnsi="Times New Roman" w:cs="Times New Roman"/>
          <w:sz w:val="28"/>
          <w:szCs w:val="28"/>
        </w:rPr>
        <w:t>, 16 de junio de 2022</w:t>
      </w:r>
    </w:p>
    <w:p w14:paraId="0104FB53" w14:textId="77777777" w:rsidR="00A127F9" w:rsidRPr="00EF62B6" w:rsidRDefault="00A127F9" w:rsidP="00154014">
      <w:pPr>
        <w:pStyle w:val="Textoindependiente"/>
        <w:spacing w:line="240" w:lineRule="auto"/>
        <w:rPr>
          <w:rFonts w:ascii="Times New Roman" w:hAnsi="Times New Roman" w:cs="Times New Roman"/>
          <w:sz w:val="28"/>
          <w:szCs w:val="28"/>
        </w:rPr>
      </w:pPr>
    </w:p>
    <w:p w14:paraId="02586C7D" w14:textId="77777777" w:rsidR="00C160EF" w:rsidRPr="00EF62B6" w:rsidRDefault="00C160EF" w:rsidP="00154014">
      <w:pPr>
        <w:pStyle w:val="Textoindependiente"/>
        <w:spacing w:line="240" w:lineRule="auto"/>
        <w:rPr>
          <w:rFonts w:ascii="Times New Roman" w:hAnsi="Times New Roman" w:cs="Times New Roman"/>
          <w:sz w:val="28"/>
          <w:szCs w:val="28"/>
        </w:rPr>
      </w:pPr>
    </w:p>
    <w:tbl>
      <w:tblPr>
        <w:tblW w:w="9090" w:type="dxa"/>
        <w:tblLayout w:type="fixed"/>
        <w:tblLook w:val="01E0" w:firstRow="1" w:lastRow="1" w:firstColumn="1" w:lastColumn="1" w:noHBand="0" w:noVBand="0"/>
      </w:tblPr>
      <w:tblGrid>
        <w:gridCol w:w="2388"/>
        <w:gridCol w:w="236"/>
        <w:gridCol w:w="6466"/>
      </w:tblGrid>
      <w:tr w:rsidR="00C160EF" w:rsidRPr="00EF62B6" w14:paraId="4B901708" w14:textId="77777777" w:rsidTr="0A871E72">
        <w:tc>
          <w:tcPr>
            <w:tcW w:w="2388" w:type="dxa"/>
            <w:shd w:val="clear" w:color="auto" w:fill="auto"/>
          </w:tcPr>
          <w:p w14:paraId="1546B873" w14:textId="5C776ED0" w:rsidR="00C160EF" w:rsidRPr="00EF62B6" w:rsidRDefault="00C160EF" w:rsidP="00154014">
            <w:pPr>
              <w:pStyle w:val="Ttulo8"/>
              <w:jc w:val="both"/>
              <w:rPr>
                <w:rFonts w:ascii="Times New Roman" w:hAnsi="Times New Roman"/>
                <w:b w:val="0"/>
                <w:sz w:val="28"/>
                <w:szCs w:val="28"/>
              </w:rPr>
            </w:pPr>
            <w:r w:rsidRPr="0A871E72">
              <w:rPr>
                <w:rFonts w:ascii="Times New Roman" w:hAnsi="Times New Roman"/>
                <w:b w:val="0"/>
                <w:sz w:val="28"/>
                <w:szCs w:val="28"/>
              </w:rPr>
              <w:t xml:space="preserve">Medio de control </w:t>
            </w:r>
          </w:p>
        </w:tc>
        <w:tc>
          <w:tcPr>
            <w:tcW w:w="236" w:type="dxa"/>
            <w:shd w:val="clear" w:color="auto" w:fill="auto"/>
          </w:tcPr>
          <w:p w14:paraId="551EE0BB" w14:textId="77777777" w:rsidR="00C160EF" w:rsidRPr="00EF62B6" w:rsidRDefault="00C160EF" w:rsidP="00154014">
            <w:pPr>
              <w:pStyle w:val="Ttulo8"/>
              <w:jc w:val="both"/>
              <w:rPr>
                <w:rFonts w:ascii="Times New Roman" w:hAnsi="Times New Roman"/>
                <w:sz w:val="28"/>
                <w:szCs w:val="28"/>
              </w:rPr>
            </w:pPr>
            <w:r w:rsidRPr="00EF62B6">
              <w:rPr>
                <w:rFonts w:ascii="Times New Roman" w:hAnsi="Times New Roman"/>
                <w:sz w:val="28"/>
                <w:szCs w:val="28"/>
              </w:rPr>
              <w:t>:</w:t>
            </w:r>
          </w:p>
        </w:tc>
        <w:tc>
          <w:tcPr>
            <w:tcW w:w="6466" w:type="dxa"/>
            <w:shd w:val="clear" w:color="auto" w:fill="auto"/>
          </w:tcPr>
          <w:p w14:paraId="1CA04552" w14:textId="0626EC02" w:rsidR="00C160EF" w:rsidRPr="00EF62B6" w:rsidRDefault="00F56C63" w:rsidP="00154014">
            <w:pPr>
              <w:pStyle w:val="Ttulo8"/>
              <w:jc w:val="both"/>
              <w:rPr>
                <w:rFonts w:ascii="Times New Roman" w:hAnsi="Times New Roman"/>
                <w:sz w:val="28"/>
                <w:szCs w:val="28"/>
              </w:rPr>
            </w:pPr>
            <w:r w:rsidRPr="0A871E72">
              <w:rPr>
                <w:rFonts w:ascii="Times New Roman" w:hAnsi="Times New Roman"/>
                <w:sz w:val="28"/>
                <w:szCs w:val="28"/>
              </w:rPr>
              <w:t>Nulidad</w:t>
            </w:r>
            <w:r w:rsidR="00A231A6" w:rsidRPr="0A871E72">
              <w:rPr>
                <w:rFonts w:ascii="Times New Roman" w:hAnsi="Times New Roman"/>
                <w:sz w:val="28"/>
                <w:szCs w:val="28"/>
              </w:rPr>
              <w:t xml:space="preserve"> </w:t>
            </w:r>
          </w:p>
        </w:tc>
      </w:tr>
      <w:tr w:rsidR="00C160EF" w:rsidRPr="00EF62B6" w14:paraId="18B57E21" w14:textId="77777777" w:rsidTr="0A871E72">
        <w:tc>
          <w:tcPr>
            <w:tcW w:w="2388" w:type="dxa"/>
            <w:shd w:val="clear" w:color="auto" w:fill="auto"/>
          </w:tcPr>
          <w:p w14:paraId="71D0693E" w14:textId="77777777" w:rsidR="00C160EF" w:rsidRPr="00EF62B6" w:rsidRDefault="00C160EF" w:rsidP="00154014">
            <w:pPr>
              <w:pStyle w:val="Ttulo8"/>
              <w:jc w:val="both"/>
              <w:rPr>
                <w:rFonts w:ascii="Times New Roman" w:hAnsi="Times New Roman"/>
                <w:b w:val="0"/>
                <w:sz w:val="28"/>
                <w:szCs w:val="28"/>
              </w:rPr>
            </w:pPr>
            <w:r w:rsidRPr="00EF62B6">
              <w:rPr>
                <w:rFonts w:ascii="Times New Roman" w:hAnsi="Times New Roman"/>
                <w:b w:val="0"/>
                <w:sz w:val="28"/>
                <w:szCs w:val="28"/>
              </w:rPr>
              <w:t>Demandante</w:t>
            </w:r>
          </w:p>
        </w:tc>
        <w:tc>
          <w:tcPr>
            <w:tcW w:w="236" w:type="dxa"/>
            <w:shd w:val="clear" w:color="auto" w:fill="auto"/>
          </w:tcPr>
          <w:p w14:paraId="63625978" w14:textId="77777777" w:rsidR="00C160EF" w:rsidRPr="00EF62B6" w:rsidRDefault="00C160EF" w:rsidP="00154014">
            <w:pPr>
              <w:pStyle w:val="Ttulo8"/>
              <w:jc w:val="both"/>
              <w:rPr>
                <w:rFonts w:ascii="Times New Roman" w:hAnsi="Times New Roman"/>
                <w:sz w:val="28"/>
                <w:szCs w:val="28"/>
              </w:rPr>
            </w:pPr>
            <w:r w:rsidRPr="00EF62B6">
              <w:rPr>
                <w:rFonts w:ascii="Times New Roman" w:hAnsi="Times New Roman"/>
                <w:sz w:val="28"/>
                <w:szCs w:val="28"/>
              </w:rPr>
              <w:t>:</w:t>
            </w:r>
          </w:p>
        </w:tc>
        <w:tc>
          <w:tcPr>
            <w:tcW w:w="6466" w:type="dxa"/>
            <w:shd w:val="clear" w:color="auto" w:fill="auto"/>
          </w:tcPr>
          <w:p w14:paraId="4F0F4ACD" w14:textId="292B79B5" w:rsidR="00C160EF" w:rsidRPr="00EF62B6" w:rsidRDefault="001C17B6" w:rsidP="00154014">
            <w:pPr>
              <w:pStyle w:val="Ttulo8"/>
              <w:jc w:val="both"/>
              <w:rPr>
                <w:rFonts w:ascii="Times New Roman" w:hAnsi="Times New Roman"/>
                <w:sz w:val="28"/>
                <w:szCs w:val="28"/>
              </w:rPr>
            </w:pPr>
            <w:r>
              <w:rPr>
                <w:rFonts w:ascii="Times New Roman" w:hAnsi="Times New Roman"/>
                <w:sz w:val="28"/>
                <w:szCs w:val="28"/>
              </w:rPr>
              <w:t>Leonel Nevardo Buitrago Carreño</w:t>
            </w:r>
          </w:p>
        </w:tc>
      </w:tr>
      <w:tr w:rsidR="00C160EF" w:rsidRPr="00EF62B6" w14:paraId="6492A96C" w14:textId="77777777" w:rsidTr="0A871E72">
        <w:tc>
          <w:tcPr>
            <w:tcW w:w="2388" w:type="dxa"/>
            <w:shd w:val="clear" w:color="auto" w:fill="auto"/>
          </w:tcPr>
          <w:p w14:paraId="05B481CC" w14:textId="77777777" w:rsidR="00C160EF" w:rsidRPr="00EF62B6" w:rsidRDefault="00C160EF" w:rsidP="00154014">
            <w:pPr>
              <w:pStyle w:val="Ttulo8"/>
              <w:jc w:val="both"/>
              <w:rPr>
                <w:rFonts w:ascii="Times New Roman" w:hAnsi="Times New Roman"/>
                <w:b w:val="0"/>
                <w:sz w:val="28"/>
                <w:szCs w:val="28"/>
              </w:rPr>
            </w:pPr>
            <w:r w:rsidRPr="00EF62B6">
              <w:rPr>
                <w:rFonts w:ascii="Times New Roman" w:hAnsi="Times New Roman"/>
                <w:b w:val="0"/>
                <w:sz w:val="28"/>
                <w:szCs w:val="28"/>
              </w:rPr>
              <w:t>Demandado</w:t>
            </w:r>
          </w:p>
        </w:tc>
        <w:tc>
          <w:tcPr>
            <w:tcW w:w="236" w:type="dxa"/>
            <w:shd w:val="clear" w:color="auto" w:fill="auto"/>
          </w:tcPr>
          <w:p w14:paraId="78E41F5C" w14:textId="77777777" w:rsidR="00C160EF" w:rsidRPr="00EF62B6" w:rsidRDefault="00C160EF" w:rsidP="00154014">
            <w:pPr>
              <w:pStyle w:val="Ttulo8"/>
              <w:jc w:val="both"/>
              <w:rPr>
                <w:rFonts w:ascii="Times New Roman" w:hAnsi="Times New Roman"/>
                <w:sz w:val="28"/>
                <w:szCs w:val="28"/>
              </w:rPr>
            </w:pPr>
            <w:r w:rsidRPr="00EF62B6">
              <w:rPr>
                <w:rFonts w:ascii="Times New Roman" w:hAnsi="Times New Roman"/>
                <w:sz w:val="28"/>
                <w:szCs w:val="28"/>
              </w:rPr>
              <w:t>:</w:t>
            </w:r>
          </w:p>
        </w:tc>
        <w:tc>
          <w:tcPr>
            <w:tcW w:w="6466" w:type="dxa"/>
            <w:shd w:val="clear" w:color="auto" w:fill="auto"/>
          </w:tcPr>
          <w:p w14:paraId="62940BB9" w14:textId="603D6BCB" w:rsidR="00C160EF" w:rsidRPr="00EF62B6" w:rsidRDefault="001C17B6" w:rsidP="00154014">
            <w:pPr>
              <w:pStyle w:val="Ttulo8"/>
              <w:jc w:val="both"/>
              <w:rPr>
                <w:rFonts w:ascii="Times New Roman" w:hAnsi="Times New Roman"/>
                <w:sz w:val="28"/>
                <w:szCs w:val="28"/>
              </w:rPr>
            </w:pPr>
            <w:r>
              <w:rPr>
                <w:rFonts w:ascii="Times New Roman" w:hAnsi="Times New Roman"/>
                <w:sz w:val="28"/>
                <w:szCs w:val="28"/>
              </w:rPr>
              <w:t xml:space="preserve">Departamento de Boyacá </w:t>
            </w:r>
          </w:p>
        </w:tc>
      </w:tr>
      <w:tr w:rsidR="00C160EF" w:rsidRPr="00EF62B6" w14:paraId="3046D99F" w14:textId="77777777" w:rsidTr="0A871E72">
        <w:tc>
          <w:tcPr>
            <w:tcW w:w="2388" w:type="dxa"/>
            <w:shd w:val="clear" w:color="auto" w:fill="auto"/>
          </w:tcPr>
          <w:p w14:paraId="697A7FAE" w14:textId="77777777" w:rsidR="00C160EF" w:rsidRPr="00EF62B6" w:rsidRDefault="00C160EF" w:rsidP="00154014">
            <w:pPr>
              <w:pStyle w:val="Ttulo8"/>
              <w:jc w:val="both"/>
              <w:rPr>
                <w:rFonts w:ascii="Times New Roman" w:hAnsi="Times New Roman"/>
                <w:b w:val="0"/>
                <w:sz w:val="28"/>
                <w:szCs w:val="28"/>
              </w:rPr>
            </w:pPr>
            <w:r w:rsidRPr="00EF62B6">
              <w:rPr>
                <w:rFonts w:ascii="Times New Roman" w:hAnsi="Times New Roman"/>
                <w:b w:val="0"/>
                <w:sz w:val="28"/>
                <w:szCs w:val="28"/>
              </w:rPr>
              <w:t>Expediente</w:t>
            </w:r>
          </w:p>
        </w:tc>
        <w:tc>
          <w:tcPr>
            <w:tcW w:w="236" w:type="dxa"/>
            <w:shd w:val="clear" w:color="auto" w:fill="auto"/>
          </w:tcPr>
          <w:p w14:paraId="1B81222F" w14:textId="77777777" w:rsidR="00C160EF" w:rsidRPr="00EF62B6" w:rsidRDefault="00C160EF" w:rsidP="00154014">
            <w:pPr>
              <w:pStyle w:val="Ttulo8"/>
              <w:jc w:val="both"/>
              <w:rPr>
                <w:rFonts w:ascii="Times New Roman" w:hAnsi="Times New Roman"/>
                <w:sz w:val="28"/>
                <w:szCs w:val="28"/>
              </w:rPr>
            </w:pPr>
            <w:r w:rsidRPr="00EF62B6">
              <w:rPr>
                <w:rFonts w:ascii="Times New Roman" w:hAnsi="Times New Roman"/>
                <w:sz w:val="28"/>
                <w:szCs w:val="28"/>
              </w:rPr>
              <w:t>:</w:t>
            </w:r>
          </w:p>
        </w:tc>
        <w:tc>
          <w:tcPr>
            <w:tcW w:w="6466" w:type="dxa"/>
            <w:shd w:val="clear" w:color="auto" w:fill="auto"/>
          </w:tcPr>
          <w:p w14:paraId="44093519" w14:textId="0180CF1B" w:rsidR="00C160EF" w:rsidRPr="00EF62B6" w:rsidRDefault="00C160EF" w:rsidP="00154014">
            <w:pPr>
              <w:pStyle w:val="Ttulo8"/>
              <w:jc w:val="both"/>
              <w:rPr>
                <w:rFonts w:ascii="Times New Roman" w:hAnsi="Times New Roman"/>
                <w:sz w:val="28"/>
                <w:szCs w:val="28"/>
              </w:rPr>
            </w:pPr>
            <w:r w:rsidRPr="00EF62B6">
              <w:rPr>
                <w:rFonts w:ascii="Times New Roman" w:hAnsi="Times New Roman"/>
                <w:sz w:val="28"/>
                <w:szCs w:val="28"/>
              </w:rPr>
              <w:t>1500</w:t>
            </w:r>
            <w:r w:rsidR="00846DB4" w:rsidRPr="00EF62B6">
              <w:rPr>
                <w:rFonts w:ascii="Times New Roman" w:hAnsi="Times New Roman"/>
                <w:sz w:val="28"/>
                <w:szCs w:val="28"/>
              </w:rPr>
              <w:t>1-23-33-000-20</w:t>
            </w:r>
            <w:r w:rsidR="00A231A6">
              <w:rPr>
                <w:rFonts w:ascii="Times New Roman" w:hAnsi="Times New Roman"/>
                <w:sz w:val="28"/>
                <w:szCs w:val="28"/>
              </w:rPr>
              <w:t>2</w:t>
            </w:r>
            <w:r w:rsidR="001C17B6">
              <w:rPr>
                <w:rFonts w:ascii="Times New Roman" w:hAnsi="Times New Roman"/>
                <w:sz w:val="28"/>
                <w:szCs w:val="28"/>
              </w:rPr>
              <w:t>2</w:t>
            </w:r>
            <w:r w:rsidRPr="00EF62B6">
              <w:rPr>
                <w:rFonts w:ascii="Times New Roman" w:hAnsi="Times New Roman"/>
                <w:sz w:val="28"/>
                <w:szCs w:val="28"/>
              </w:rPr>
              <w:t>-00</w:t>
            </w:r>
            <w:r w:rsidR="001C17B6">
              <w:rPr>
                <w:rFonts w:ascii="Times New Roman" w:hAnsi="Times New Roman"/>
                <w:sz w:val="28"/>
                <w:szCs w:val="28"/>
              </w:rPr>
              <w:t>084</w:t>
            </w:r>
            <w:r w:rsidRPr="00EF62B6">
              <w:rPr>
                <w:rFonts w:ascii="Times New Roman" w:hAnsi="Times New Roman"/>
                <w:sz w:val="28"/>
                <w:szCs w:val="28"/>
              </w:rPr>
              <w:t>-00</w:t>
            </w:r>
          </w:p>
        </w:tc>
      </w:tr>
    </w:tbl>
    <w:p w14:paraId="291784ED" w14:textId="77777777" w:rsidR="00C160EF" w:rsidRPr="00EF62B6" w:rsidRDefault="00C160EF" w:rsidP="00154014">
      <w:pPr>
        <w:tabs>
          <w:tab w:val="left" w:pos="709"/>
        </w:tabs>
        <w:jc w:val="both"/>
        <w:rPr>
          <w:sz w:val="28"/>
          <w:szCs w:val="28"/>
        </w:rPr>
      </w:pPr>
    </w:p>
    <w:tbl>
      <w:tblPr>
        <w:tblW w:w="9270" w:type="dxa"/>
        <w:tblLayout w:type="fixed"/>
        <w:tblLook w:val="01E0" w:firstRow="1" w:lastRow="1" w:firstColumn="1" w:lastColumn="1" w:noHBand="0" w:noVBand="0"/>
      </w:tblPr>
      <w:tblGrid>
        <w:gridCol w:w="2630"/>
        <w:gridCol w:w="236"/>
        <w:gridCol w:w="6404"/>
      </w:tblGrid>
      <w:tr w:rsidR="00C160EF" w:rsidRPr="00EF62B6" w14:paraId="08143A87" w14:textId="77777777" w:rsidTr="00A422B5">
        <w:trPr>
          <w:trHeight w:val="417"/>
        </w:trPr>
        <w:tc>
          <w:tcPr>
            <w:tcW w:w="2628" w:type="dxa"/>
            <w:shd w:val="clear" w:color="auto" w:fill="auto"/>
          </w:tcPr>
          <w:p w14:paraId="06533B9D" w14:textId="77777777" w:rsidR="005F0138" w:rsidRPr="00EF62B6" w:rsidRDefault="005F0138" w:rsidP="00154014">
            <w:pPr>
              <w:pStyle w:val="Ttulo8"/>
              <w:jc w:val="both"/>
              <w:rPr>
                <w:rFonts w:ascii="Times New Roman" w:hAnsi="Times New Roman"/>
                <w:b w:val="0"/>
                <w:sz w:val="28"/>
                <w:szCs w:val="28"/>
              </w:rPr>
            </w:pPr>
          </w:p>
          <w:p w14:paraId="42229C66" w14:textId="77777777" w:rsidR="00C160EF" w:rsidRPr="00EF62B6" w:rsidRDefault="00C160EF" w:rsidP="00154014">
            <w:pPr>
              <w:pStyle w:val="Ttulo8"/>
              <w:jc w:val="both"/>
              <w:rPr>
                <w:rFonts w:ascii="Times New Roman" w:hAnsi="Times New Roman"/>
                <w:b w:val="0"/>
                <w:sz w:val="28"/>
                <w:szCs w:val="28"/>
              </w:rPr>
            </w:pPr>
            <w:r w:rsidRPr="00EF62B6">
              <w:rPr>
                <w:rFonts w:ascii="Times New Roman" w:hAnsi="Times New Roman"/>
                <w:b w:val="0"/>
                <w:sz w:val="28"/>
                <w:szCs w:val="28"/>
              </w:rPr>
              <w:t xml:space="preserve">Magistrado Ponente </w:t>
            </w:r>
          </w:p>
        </w:tc>
        <w:tc>
          <w:tcPr>
            <w:tcW w:w="236" w:type="dxa"/>
            <w:shd w:val="clear" w:color="auto" w:fill="auto"/>
          </w:tcPr>
          <w:p w14:paraId="44D6CEE5" w14:textId="77777777" w:rsidR="00C160EF" w:rsidRPr="00EF62B6" w:rsidRDefault="00C160EF" w:rsidP="00154014">
            <w:pPr>
              <w:pStyle w:val="Ttulo8"/>
              <w:jc w:val="both"/>
              <w:rPr>
                <w:rFonts w:ascii="Times New Roman" w:hAnsi="Times New Roman"/>
                <w:sz w:val="28"/>
                <w:szCs w:val="28"/>
              </w:rPr>
            </w:pPr>
          </w:p>
          <w:p w14:paraId="7FCBF8DC" w14:textId="77777777" w:rsidR="00C160EF" w:rsidRPr="00EF62B6" w:rsidRDefault="00C160EF" w:rsidP="00154014">
            <w:pPr>
              <w:pStyle w:val="Ttulo8"/>
              <w:jc w:val="both"/>
              <w:rPr>
                <w:rFonts w:ascii="Times New Roman" w:hAnsi="Times New Roman"/>
                <w:sz w:val="28"/>
                <w:szCs w:val="28"/>
              </w:rPr>
            </w:pPr>
            <w:r w:rsidRPr="00EF62B6">
              <w:rPr>
                <w:rFonts w:ascii="Times New Roman" w:hAnsi="Times New Roman"/>
                <w:sz w:val="28"/>
                <w:szCs w:val="28"/>
              </w:rPr>
              <w:t>:</w:t>
            </w:r>
          </w:p>
        </w:tc>
        <w:tc>
          <w:tcPr>
            <w:tcW w:w="6399" w:type="dxa"/>
            <w:shd w:val="clear" w:color="auto" w:fill="auto"/>
          </w:tcPr>
          <w:p w14:paraId="4F170FAD" w14:textId="77777777" w:rsidR="00C160EF" w:rsidRPr="00EF62B6" w:rsidRDefault="00C160EF" w:rsidP="00154014">
            <w:pPr>
              <w:jc w:val="both"/>
              <w:rPr>
                <w:b/>
                <w:sz w:val="28"/>
                <w:szCs w:val="28"/>
              </w:rPr>
            </w:pPr>
          </w:p>
          <w:p w14:paraId="42C12E26" w14:textId="77777777" w:rsidR="00C160EF" w:rsidRPr="00EF62B6" w:rsidRDefault="00C160EF" w:rsidP="00154014">
            <w:pPr>
              <w:jc w:val="both"/>
              <w:rPr>
                <w:b/>
                <w:sz w:val="28"/>
                <w:szCs w:val="28"/>
              </w:rPr>
            </w:pPr>
            <w:r w:rsidRPr="00EF62B6">
              <w:rPr>
                <w:b/>
                <w:sz w:val="28"/>
                <w:szCs w:val="28"/>
              </w:rPr>
              <w:t>Luís Ernesto Arciniegas Triana</w:t>
            </w:r>
          </w:p>
        </w:tc>
      </w:tr>
    </w:tbl>
    <w:p w14:paraId="0B1614E7" w14:textId="77777777" w:rsidR="00C160EF" w:rsidRDefault="00C160EF" w:rsidP="00154014">
      <w:pPr>
        <w:tabs>
          <w:tab w:val="left" w:pos="709"/>
        </w:tabs>
        <w:jc w:val="both"/>
        <w:rPr>
          <w:sz w:val="28"/>
          <w:szCs w:val="28"/>
          <w:lang w:val="es-MX"/>
        </w:rPr>
      </w:pPr>
    </w:p>
    <w:p w14:paraId="692C9CCF" w14:textId="77777777" w:rsidR="00DD0EB3" w:rsidRPr="00EF62B6" w:rsidRDefault="00DD0EB3" w:rsidP="00154014">
      <w:pPr>
        <w:tabs>
          <w:tab w:val="left" w:pos="709"/>
        </w:tabs>
        <w:jc w:val="both"/>
        <w:rPr>
          <w:sz w:val="28"/>
          <w:szCs w:val="28"/>
          <w:lang w:val="es-MX"/>
        </w:rPr>
      </w:pPr>
    </w:p>
    <w:p w14:paraId="6F88A88F" w14:textId="77777777" w:rsidR="007311ED" w:rsidRPr="00154014" w:rsidRDefault="007311ED" w:rsidP="00154014">
      <w:pPr>
        <w:tabs>
          <w:tab w:val="left" w:pos="709"/>
        </w:tabs>
        <w:spacing w:line="360" w:lineRule="auto"/>
        <w:jc w:val="both"/>
        <w:rPr>
          <w:sz w:val="28"/>
          <w:szCs w:val="28"/>
        </w:rPr>
      </w:pPr>
      <w:r w:rsidRPr="00154014">
        <w:rPr>
          <w:sz w:val="28"/>
          <w:szCs w:val="28"/>
        </w:rPr>
        <w:t xml:space="preserve">Ingresa proceso al despacho con informe secretarial para proveer sobre </w:t>
      </w:r>
      <w:r w:rsidR="00DD0EB3" w:rsidRPr="00154014">
        <w:rPr>
          <w:sz w:val="28"/>
          <w:szCs w:val="28"/>
        </w:rPr>
        <w:t>la admisibilidad del medio de control.</w:t>
      </w:r>
    </w:p>
    <w:p w14:paraId="68B75D59" w14:textId="77777777" w:rsidR="007311ED" w:rsidRPr="00154014" w:rsidRDefault="007311ED" w:rsidP="00154014">
      <w:pPr>
        <w:tabs>
          <w:tab w:val="left" w:pos="709"/>
        </w:tabs>
        <w:spacing w:line="360" w:lineRule="auto"/>
        <w:jc w:val="both"/>
        <w:rPr>
          <w:sz w:val="28"/>
          <w:szCs w:val="28"/>
        </w:rPr>
      </w:pPr>
    </w:p>
    <w:p w14:paraId="567D0244" w14:textId="65B1C317" w:rsidR="00CA41F4" w:rsidRDefault="001C17B6" w:rsidP="00154014">
      <w:pPr>
        <w:tabs>
          <w:tab w:val="left" w:pos="709"/>
        </w:tabs>
        <w:spacing w:line="360" w:lineRule="auto"/>
        <w:jc w:val="both"/>
        <w:rPr>
          <w:sz w:val="28"/>
          <w:szCs w:val="28"/>
        </w:rPr>
      </w:pPr>
      <w:r w:rsidRPr="0A871E72">
        <w:rPr>
          <w:sz w:val="28"/>
          <w:szCs w:val="28"/>
        </w:rPr>
        <w:t>El señor Leonel Nevardo Buitrago Carreño</w:t>
      </w:r>
      <w:r w:rsidR="00B24EA6" w:rsidRPr="0A871E72">
        <w:rPr>
          <w:sz w:val="28"/>
          <w:szCs w:val="28"/>
        </w:rPr>
        <w:t xml:space="preserve"> </w:t>
      </w:r>
      <w:r w:rsidR="00FA5A4A" w:rsidRPr="0A871E72">
        <w:rPr>
          <w:sz w:val="28"/>
          <w:szCs w:val="28"/>
        </w:rPr>
        <w:t xml:space="preserve">presenta demanda de nulidad </w:t>
      </w:r>
      <w:r w:rsidR="00B24EA6" w:rsidRPr="0A871E72">
        <w:rPr>
          <w:sz w:val="28"/>
          <w:szCs w:val="28"/>
        </w:rPr>
        <w:t>en contra de</w:t>
      </w:r>
      <w:r w:rsidRPr="0A871E72">
        <w:rPr>
          <w:sz w:val="28"/>
          <w:szCs w:val="28"/>
        </w:rPr>
        <w:t xml:space="preserve">l Departamento de Boyacá – Asamblea Departamental de Boyacá, </w:t>
      </w:r>
      <w:r w:rsidR="00FA5A4A" w:rsidRPr="0A871E72">
        <w:rPr>
          <w:sz w:val="28"/>
          <w:szCs w:val="28"/>
        </w:rPr>
        <w:t xml:space="preserve">para que se </w:t>
      </w:r>
      <w:r w:rsidR="00142B0A" w:rsidRPr="0A871E72">
        <w:rPr>
          <w:sz w:val="28"/>
          <w:szCs w:val="28"/>
        </w:rPr>
        <w:t xml:space="preserve">declare la nulidad de la </w:t>
      </w:r>
      <w:r w:rsidR="00142B0A" w:rsidRPr="0A871E72">
        <w:rPr>
          <w:b/>
          <w:bCs/>
          <w:sz w:val="28"/>
          <w:szCs w:val="28"/>
        </w:rPr>
        <w:t>Ordenanza No. 042 del 12 de noviembre de 2021,</w:t>
      </w:r>
      <w:r w:rsidR="00142B0A" w:rsidRPr="0A871E72">
        <w:rPr>
          <w:sz w:val="28"/>
          <w:szCs w:val="28"/>
        </w:rPr>
        <w:t xml:space="preserve"> </w:t>
      </w:r>
      <w:r w:rsidR="00142B0A" w:rsidRPr="0A871E72">
        <w:rPr>
          <w:i/>
          <w:iCs/>
          <w:sz w:val="28"/>
          <w:szCs w:val="28"/>
        </w:rPr>
        <w:t>“Por la cual se autoriza al Gobernador del Departamento de Boyacá para pactar la recepción de bienes y servicios y se dictan otras disposiciones</w:t>
      </w:r>
      <w:r w:rsidR="00142B0A" w:rsidRPr="0A871E72">
        <w:rPr>
          <w:sz w:val="28"/>
          <w:szCs w:val="28"/>
        </w:rPr>
        <w:t>”.</w:t>
      </w:r>
    </w:p>
    <w:p w14:paraId="33A85BF5" w14:textId="5CDCA22A" w:rsidR="00CA41F4" w:rsidRPr="00154014" w:rsidRDefault="00CA41F4" w:rsidP="00154014">
      <w:pPr>
        <w:tabs>
          <w:tab w:val="left" w:pos="709"/>
        </w:tabs>
        <w:spacing w:line="360" w:lineRule="auto"/>
        <w:jc w:val="both"/>
        <w:rPr>
          <w:sz w:val="28"/>
          <w:szCs w:val="28"/>
        </w:rPr>
      </w:pPr>
    </w:p>
    <w:p w14:paraId="3C98A833" w14:textId="5BC37214" w:rsidR="00034C4C" w:rsidRPr="00154014" w:rsidRDefault="00034C4C" w:rsidP="00154014">
      <w:pPr>
        <w:tabs>
          <w:tab w:val="left" w:pos="709"/>
        </w:tabs>
        <w:spacing w:line="360" w:lineRule="auto"/>
        <w:jc w:val="both"/>
        <w:rPr>
          <w:b/>
          <w:bCs/>
          <w:sz w:val="28"/>
          <w:szCs w:val="28"/>
        </w:rPr>
      </w:pPr>
      <w:r w:rsidRPr="00154014">
        <w:rPr>
          <w:b/>
          <w:bCs/>
          <w:sz w:val="28"/>
          <w:szCs w:val="28"/>
        </w:rPr>
        <w:t>Competencia</w:t>
      </w:r>
    </w:p>
    <w:p w14:paraId="73FC480C" w14:textId="77777777" w:rsidR="00034C4C" w:rsidRPr="00154014" w:rsidRDefault="00034C4C" w:rsidP="00154014">
      <w:pPr>
        <w:tabs>
          <w:tab w:val="left" w:pos="709"/>
        </w:tabs>
        <w:spacing w:line="360" w:lineRule="auto"/>
        <w:jc w:val="both"/>
        <w:rPr>
          <w:sz w:val="28"/>
          <w:szCs w:val="28"/>
        </w:rPr>
      </w:pPr>
    </w:p>
    <w:p w14:paraId="79A6A9D5" w14:textId="3C1812CA" w:rsidR="00154014" w:rsidRPr="00154014" w:rsidRDefault="00154014" w:rsidP="0A871E72">
      <w:pPr>
        <w:pStyle w:val="NormalWeb"/>
        <w:spacing w:before="0" w:beforeAutospacing="0" w:after="0" w:afterAutospacing="0" w:line="360" w:lineRule="auto"/>
        <w:jc w:val="both"/>
        <w:rPr>
          <w:sz w:val="28"/>
          <w:szCs w:val="28"/>
        </w:rPr>
      </w:pPr>
      <w:r w:rsidRPr="0A871E72">
        <w:rPr>
          <w:sz w:val="28"/>
          <w:szCs w:val="28"/>
        </w:rPr>
        <w:t xml:space="preserve">Conforme el numeral </w:t>
      </w:r>
      <w:r w:rsidR="00142B0A" w:rsidRPr="0A871E72">
        <w:rPr>
          <w:sz w:val="28"/>
          <w:szCs w:val="28"/>
        </w:rPr>
        <w:t>1° del artículo 152 del CPACA</w:t>
      </w:r>
      <w:r w:rsidRPr="0A871E72">
        <w:rPr>
          <w:sz w:val="28"/>
          <w:szCs w:val="28"/>
        </w:rPr>
        <w:t xml:space="preserve"> </w:t>
      </w:r>
      <w:r w:rsidR="00142B0A" w:rsidRPr="0A871E72">
        <w:rPr>
          <w:sz w:val="28"/>
          <w:szCs w:val="28"/>
        </w:rPr>
        <w:t xml:space="preserve">modificado por el artículo 28 de la Ley 2080 </w:t>
      </w:r>
      <w:r w:rsidRPr="0A871E72">
        <w:rPr>
          <w:sz w:val="28"/>
          <w:szCs w:val="28"/>
        </w:rPr>
        <w:t>la competencia del presente asunto en primera instancia corresponde a los tribunales administrativos que según las voces de esa norma conocen:</w:t>
      </w:r>
      <w:bookmarkStart w:id="0" w:name="152"/>
    </w:p>
    <w:p w14:paraId="7CA39811" w14:textId="77777777" w:rsidR="00154014" w:rsidRPr="00142B0A" w:rsidRDefault="00154014" w:rsidP="00154014">
      <w:pPr>
        <w:pStyle w:val="NormalWeb"/>
        <w:spacing w:before="0" w:beforeAutospacing="0" w:after="0" w:afterAutospacing="0"/>
        <w:jc w:val="both"/>
        <w:rPr>
          <w:bCs/>
          <w:sz w:val="28"/>
          <w:szCs w:val="28"/>
        </w:rPr>
      </w:pPr>
    </w:p>
    <w:bookmarkEnd w:id="0"/>
    <w:p w14:paraId="09CE3982" w14:textId="535C7F7A" w:rsidR="00154014" w:rsidRPr="00142B0A" w:rsidRDefault="00154014" w:rsidP="0A871E72">
      <w:pPr>
        <w:pStyle w:val="NormalWeb"/>
        <w:spacing w:before="0" w:beforeAutospacing="0" w:after="0" w:afterAutospacing="0"/>
        <w:ind w:left="709"/>
        <w:jc w:val="both"/>
        <w:rPr>
          <w:sz w:val="28"/>
          <w:szCs w:val="28"/>
        </w:rPr>
      </w:pPr>
      <w:r w:rsidRPr="0A871E72">
        <w:rPr>
          <w:sz w:val="28"/>
          <w:szCs w:val="28"/>
        </w:rPr>
        <w:t>“</w:t>
      </w:r>
      <w:r w:rsidR="00142B0A" w:rsidRPr="0A871E72">
        <w:rPr>
          <w:sz w:val="28"/>
          <w:szCs w:val="28"/>
        </w:rPr>
        <w:t xml:space="preserve">1. De la </w:t>
      </w:r>
      <w:r w:rsidR="00142B0A" w:rsidRPr="0A871E72">
        <w:rPr>
          <w:sz w:val="28"/>
          <w:szCs w:val="28"/>
          <w:u w:val="single"/>
        </w:rPr>
        <w:t>nulidad de actos administrativos expedidos por funcionarios u organismos del orden departamental</w:t>
      </w:r>
      <w:r w:rsidR="00142B0A" w:rsidRPr="0A871E72">
        <w:rPr>
          <w:sz w:val="28"/>
          <w:szCs w:val="28"/>
        </w:rPr>
        <w:t>, o por las personas o entidades de derecho privado que cumplan funciones administrativas en el mismo orden.</w:t>
      </w:r>
      <w:r w:rsidRPr="0A871E72">
        <w:rPr>
          <w:sz w:val="28"/>
          <w:szCs w:val="28"/>
        </w:rPr>
        <w:t>”</w:t>
      </w:r>
    </w:p>
    <w:p w14:paraId="77E136CF" w14:textId="4780DDB5" w:rsidR="00034C4C" w:rsidRPr="00034C4C" w:rsidRDefault="00034C4C" w:rsidP="00736930">
      <w:pPr>
        <w:tabs>
          <w:tab w:val="left" w:pos="709"/>
        </w:tabs>
        <w:jc w:val="both"/>
        <w:rPr>
          <w:b/>
          <w:bCs/>
          <w:sz w:val="28"/>
          <w:szCs w:val="28"/>
        </w:rPr>
      </w:pPr>
    </w:p>
    <w:p w14:paraId="37159378" w14:textId="0AC56F62" w:rsidR="00034C4C" w:rsidRPr="00736930" w:rsidRDefault="00736930" w:rsidP="00736930">
      <w:pPr>
        <w:tabs>
          <w:tab w:val="left" w:pos="709"/>
        </w:tabs>
        <w:spacing w:line="360" w:lineRule="auto"/>
        <w:jc w:val="both"/>
        <w:rPr>
          <w:sz w:val="28"/>
          <w:szCs w:val="28"/>
        </w:rPr>
      </w:pPr>
      <w:r w:rsidRPr="0A871E72">
        <w:rPr>
          <w:sz w:val="28"/>
          <w:szCs w:val="28"/>
        </w:rPr>
        <w:lastRenderedPageBreak/>
        <w:t>Entonces, este despacho es competente para conocer el proceso de la referencia por tratarse de un proceso de simple nulidad, en el que se controvierte la nulidad de una ordenanza expedida por la Asamblea Departamental de Boyacá.</w:t>
      </w:r>
    </w:p>
    <w:p w14:paraId="3CB56B38" w14:textId="54DC7542" w:rsidR="0A871E72" w:rsidRDefault="0A871E72" w:rsidP="0A871E72">
      <w:pPr>
        <w:tabs>
          <w:tab w:val="left" w:pos="709"/>
        </w:tabs>
        <w:spacing w:line="360" w:lineRule="auto"/>
        <w:jc w:val="both"/>
        <w:rPr>
          <w:sz w:val="28"/>
          <w:szCs w:val="28"/>
        </w:rPr>
      </w:pPr>
    </w:p>
    <w:p w14:paraId="4A188EAF" w14:textId="62BAEAFA" w:rsidR="00154014" w:rsidRPr="00A9435C" w:rsidRDefault="00154014" w:rsidP="00154014">
      <w:pPr>
        <w:spacing w:line="360" w:lineRule="auto"/>
        <w:jc w:val="both"/>
        <w:rPr>
          <w:sz w:val="28"/>
          <w:szCs w:val="28"/>
        </w:rPr>
      </w:pPr>
      <w:r w:rsidRPr="0A871E72">
        <w:rPr>
          <w:sz w:val="28"/>
          <w:szCs w:val="28"/>
        </w:rPr>
        <w:t xml:space="preserve">Ahora, como quiera que la demanda objeto de estudio fue radicada </w:t>
      </w:r>
      <w:r w:rsidR="00142B0A" w:rsidRPr="0A871E72">
        <w:rPr>
          <w:sz w:val="28"/>
          <w:szCs w:val="28"/>
        </w:rPr>
        <w:t xml:space="preserve">electrónicamente el </w:t>
      </w:r>
      <w:r w:rsidR="00142B0A" w:rsidRPr="0A871E72">
        <w:rPr>
          <w:b/>
          <w:bCs/>
          <w:sz w:val="28"/>
          <w:szCs w:val="28"/>
        </w:rPr>
        <w:t>7 de febrero de 2022</w:t>
      </w:r>
      <w:r w:rsidRPr="0A871E72">
        <w:rPr>
          <w:sz w:val="28"/>
          <w:szCs w:val="28"/>
        </w:rPr>
        <w:t xml:space="preserve">, y que la reforma establecida en la Ley 2080 de 2021 en materia de competencias de acuerdo con el inciso 1º del artículo 86, empezaría a regir respecto a las demandas que se presente un (1) año después de su publicación, esto es, el </w:t>
      </w:r>
      <w:r w:rsidRPr="0A871E72">
        <w:rPr>
          <w:b/>
          <w:bCs/>
          <w:sz w:val="28"/>
          <w:szCs w:val="28"/>
        </w:rPr>
        <w:t>26 de enero de 2022</w:t>
      </w:r>
      <w:r w:rsidRPr="0A871E72">
        <w:rPr>
          <w:sz w:val="28"/>
          <w:szCs w:val="28"/>
        </w:rPr>
        <w:t xml:space="preserve">, resulta claro que en este caso debe aplicarse para tal efecto lo establecido en la Ley </w:t>
      </w:r>
      <w:r w:rsidR="00142B0A" w:rsidRPr="0A871E72">
        <w:rPr>
          <w:sz w:val="28"/>
          <w:szCs w:val="28"/>
        </w:rPr>
        <w:t>2080 de 2021.</w:t>
      </w:r>
    </w:p>
    <w:p w14:paraId="4F1FAC06" w14:textId="77777777" w:rsidR="00B31FCB" w:rsidRDefault="00B31FCB" w:rsidP="00154014">
      <w:pPr>
        <w:tabs>
          <w:tab w:val="left" w:pos="709"/>
        </w:tabs>
        <w:spacing w:line="360" w:lineRule="auto"/>
        <w:jc w:val="both"/>
        <w:rPr>
          <w:sz w:val="28"/>
          <w:szCs w:val="28"/>
        </w:rPr>
      </w:pPr>
    </w:p>
    <w:p w14:paraId="57CEC370" w14:textId="38816A05" w:rsidR="003A4400" w:rsidRPr="00F5458A" w:rsidRDefault="003A4400" w:rsidP="00F5458A">
      <w:pPr>
        <w:tabs>
          <w:tab w:val="left" w:pos="709"/>
        </w:tabs>
        <w:spacing w:line="360" w:lineRule="auto"/>
        <w:jc w:val="both"/>
        <w:rPr>
          <w:b/>
          <w:bCs/>
          <w:sz w:val="28"/>
          <w:szCs w:val="28"/>
        </w:rPr>
      </w:pPr>
      <w:r w:rsidRPr="00F5458A">
        <w:rPr>
          <w:b/>
          <w:bCs/>
          <w:sz w:val="28"/>
          <w:szCs w:val="28"/>
        </w:rPr>
        <w:t>Oportunidad</w:t>
      </w:r>
    </w:p>
    <w:p w14:paraId="08F9C222" w14:textId="12269F6B" w:rsidR="00F454EF" w:rsidRDefault="00F454EF" w:rsidP="00F5458A">
      <w:pPr>
        <w:pStyle w:val="NormalWeb"/>
        <w:spacing w:before="0" w:beforeAutospacing="0" w:after="0" w:afterAutospacing="0" w:line="360" w:lineRule="auto"/>
        <w:jc w:val="both"/>
        <w:rPr>
          <w:b/>
          <w:bCs/>
          <w:sz w:val="28"/>
          <w:szCs w:val="28"/>
          <w:lang w:val="es-ES" w:eastAsia="es-ES"/>
        </w:rPr>
      </w:pPr>
    </w:p>
    <w:p w14:paraId="6ED1591B" w14:textId="6BDD443B" w:rsidR="00142B0A" w:rsidRDefault="00142B0A" w:rsidP="0A871E72">
      <w:pPr>
        <w:pStyle w:val="NormalWeb"/>
        <w:spacing w:before="0" w:beforeAutospacing="0" w:after="0" w:afterAutospacing="0" w:line="360" w:lineRule="auto"/>
        <w:jc w:val="both"/>
        <w:rPr>
          <w:sz w:val="28"/>
          <w:szCs w:val="28"/>
        </w:rPr>
      </w:pPr>
      <w:r w:rsidRPr="0A871E72">
        <w:rPr>
          <w:sz w:val="28"/>
          <w:szCs w:val="28"/>
          <w:lang w:val="es-ES" w:eastAsia="es-ES"/>
        </w:rPr>
        <w:t>De conformidad con lo establecido en el numeral 1º del artículo 16</w:t>
      </w:r>
      <w:r w:rsidR="00736930" w:rsidRPr="0A871E72">
        <w:rPr>
          <w:sz w:val="28"/>
          <w:szCs w:val="28"/>
          <w:lang w:val="es-ES" w:eastAsia="es-ES"/>
        </w:rPr>
        <w:t xml:space="preserve">4 </w:t>
      </w:r>
      <w:r w:rsidRPr="0A871E72">
        <w:rPr>
          <w:sz w:val="28"/>
          <w:szCs w:val="28"/>
          <w:lang w:val="es-ES" w:eastAsia="es-ES"/>
        </w:rPr>
        <w:t>del CPACA, l</w:t>
      </w:r>
      <w:r w:rsidRPr="0A871E72">
        <w:rPr>
          <w:sz w:val="28"/>
          <w:szCs w:val="28"/>
        </w:rPr>
        <w:t>a demanda de la referencia no está sometida a término de caducidad:</w:t>
      </w:r>
    </w:p>
    <w:p w14:paraId="66F108DC" w14:textId="605842AE" w:rsidR="0A871E72" w:rsidRDefault="0A871E72" w:rsidP="0A871E72">
      <w:pPr>
        <w:pStyle w:val="NormalWeb"/>
        <w:spacing w:before="0" w:beforeAutospacing="0" w:after="0" w:afterAutospacing="0" w:line="360" w:lineRule="auto"/>
        <w:jc w:val="both"/>
        <w:rPr>
          <w:sz w:val="28"/>
          <w:szCs w:val="28"/>
        </w:rPr>
      </w:pPr>
    </w:p>
    <w:p w14:paraId="6012B8D6" w14:textId="49A58AF9" w:rsidR="00142B0A" w:rsidRPr="00142B0A" w:rsidRDefault="00142B0A" w:rsidP="00142B0A">
      <w:pPr>
        <w:pStyle w:val="NormalWeb"/>
        <w:spacing w:before="0" w:beforeAutospacing="0" w:after="0" w:afterAutospacing="0"/>
        <w:ind w:left="708"/>
        <w:jc w:val="both"/>
        <w:rPr>
          <w:sz w:val="28"/>
          <w:szCs w:val="28"/>
        </w:rPr>
      </w:pPr>
      <w:r w:rsidRPr="00142B0A">
        <w:rPr>
          <w:sz w:val="28"/>
          <w:szCs w:val="28"/>
        </w:rPr>
        <w:t>“1. En cualquier tiempo, cuando:</w:t>
      </w:r>
    </w:p>
    <w:p w14:paraId="4949CE4C" w14:textId="05F1E1DA" w:rsidR="00142B0A" w:rsidRPr="00142B0A" w:rsidRDefault="00142B0A" w:rsidP="00142B0A">
      <w:pPr>
        <w:pStyle w:val="NormalWeb"/>
        <w:spacing w:before="0" w:beforeAutospacing="0" w:after="0" w:afterAutospacing="0"/>
        <w:ind w:left="708"/>
        <w:jc w:val="both"/>
        <w:rPr>
          <w:sz w:val="28"/>
          <w:szCs w:val="28"/>
        </w:rPr>
      </w:pPr>
      <w:r w:rsidRPr="00142B0A">
        <w:rPr>
          <w:sz w:val="28"/>
          <w:szCs w:val="28"/>
        </w:rPr>
        <w:t xml:space="preserve">a) </w:t>
      </w:r>
      <w:r w:rsidRPr="00142B0A">
        <w:rPr>
          <w:sz w:val="28"/>
          <w:szCs w:val="28"/>
          <w:u w:val="single"/>
        </w:rPr>
        <w:t>Se pretenda la nulidad en los términos del artículo </w:t>
      </w:r>
      <w:hyperlink r:id="rId11" w:anchor="137" w:history="1">
        <w:r w:rsidRPr="00142B0A">
          <w:rPr>
            <w:rStyle w:val="Hipervnculo"/>
            <w:color w:val="auto"/>
            <w:sz w:val="28"/>
            <w:szCs w:val="28"/>
          </w:rPr>
          <w:t>137</w:t>
        </w:r>
      </w:hyperlink>
      <w:r w:rsidRPr="00142B0A">
        <w:rPr>
          <w:sz w:val="28"/>
          <w:szCs w:val="28"/>
          <w:u w:val="single"/>
        </w:rPr>
        <w:t> de este Código</w:t>
      </w:r>
      <w:r w:rsidRPr="00142B0A">
        <w:rPr>
          <w:sz w:val="28"/>
          <w:szCs w:val="28"/>
        </w:rPr>
        <w:t>;”.</w:t>
      </w:r>
    </w:p>
    <w:p w14:paraId="153905FB" w14:textId="306772C1" w:rsidR="00142B0A" w:rsidRDefault="00142B0A" w:rsidP="0A871E72">
      <w:pPr>
        <w:pStyle w:val="NormalWeb"/>
        <w:spacing w:before="0" w:beforeAutospacing="0" w:after="0" w:afterAutospacing="0" w:line="360" w:lineRule="auto"/>
        <w:jc w:val="both"/>
        <w:rPr>
          <w:sz w:val="28"/>
          <w:szCs w:val="28"/>
          <w:lang w:val="es-ES" w:eastAsia="es-ES"/>
        </w:rPr>
      </w:pPr>
    </w:p>
    <w:p w14:paraId="3A257949" w14:textId="31CF2D5C" w:rsidR="0A871E72" w:rsidRDefault="0A871E72" w:rsidP="0A871E72">
      <w:pPr>
        <w:pStyle w:val="NormalWeb"/>
        <w:spacing w:before="0" w:beforeAutospacing="0" w:after="0" w:afterAutospacing="0" w:line="360" w:lineRule="auto"/>
        <w:jc w:val="both"/>
        <w:rPr>
          <w:sz w:val="28"/>
          <w:szCs w:val="28"/>
          <w:lang w:val="es-ES" w:eastAsia="es-ES"/>
        </w:rPr>
      </w:pPr>
    </w:p>
    <w:p w14:paraId="6CFB8A0B" w14:textId="24028661" w:rsidR="0A871E72" w:rsidRDefault="0A871E72" w:rsidP="0A871E72">
      <w:pPr>
        <w:pStyle w:val="NormalWeb"/>
        <w:spacing w:before="0" w:beforeAutospacing="0" w:after="0" w:afterAutospacing="0" w:line="360" w:lineRule="auto"/>
        <w:jc w:val="both"/>
        <w:rPr>
          <w:b/>
          <w:bCs/>
          <w:sz w:val="28"/>
          <w:szCs w:val="28"/>
          <w:lang w:val="es-ES" w:eastAsia="es-ES"/>
        </w:rPr>
      </w:pPr>
      <w:r w:rsidRPr="0A871E72">
        <w:rPr>
          <w:b/>
          <w:bCs/>
          <w:sz w:val="28"/>
          <w:szCs w:val="28"/>
          <w:lang w:val="es-ES" w:eastAsia="es-ES"/>
        </w:rPr>
        <w:t>Legitimación</w:t>
      </w:r>
    </w:p>
    <w:p w14:paraId="15F75137" w14:textId="597698A2" w:rsidR="0A871E72" w:rsidRDefault="0A871E72" w:rsidP="0A871E72">
      <w:pPr>
        <w:pStyle w:val="NormalWeb"/>
        <w:spacing w:before="0" w:beforeAutospacing="0" w:after="0" w:afterAutospacing="0" w:line="360" w:lineRule="auto"/>
        <w:jc w:val="both"/>
        <w:rPr>
          <w:sz w:val="28"/>
          <w:szCs w:val="28"/>
          <w:lang w:val="es-ES" w:eastAsia="es-ES"/>
        </w:rPr>
      </w:pPr>
    </w:p>
    <w:p w14:paraId="109796B9" w14:textId="087F2EB0" w:rsidR="00736930" w:rsidRDefault="00736930" w:rsidP="00736930">
      <w:pPr>
        <w:pStyle w:val="NormalWeb"/>
        <w:spacing w:before="0" w:beforeAutospacing="0" w:after="0" w:afterAutospacing="0"/>
        <w:jc w:val="both"/>
        <w:rPr>
          <w:sz w:val="28"/>
          <w:szCs w:val="28"/>
          <w:lang w:val="es-ES" w:eastAsia="es-ES"/>
        </w:rPr>
      </w:pPr>
      <w:r>
        <w:rPr>
          <w:sz w:val="28"/>
          <w:szCs w:val="28"/>
          <w:lang w:val="es-ES" w:eastAsia="es-ES"/>
        </w:rPr>
        <w:t>Por su parte, el artículo 137 del CPACA señala:</w:t>
      </w:r>
    </w:p>
    <w:p w14:paraId="19F97C48" w14:textId="77777777" w:rsidR="00736930" w:rsidRDefault="00736930" w:rsidP="00736930">
      <w:pPr>
        <w:pStyle w:val="NormalWeb"/>
        <w:spacing w:before="0" w:beforeAutospacing="0" w:after="0" w:afterAutospacing="0"/>
        <w:jc w:val="both"/>
        <w:rPr>
          <w:sz w:val="28"/>
          <w:szCs w:val="28"/>
          <w:lang w:val="es-ES" w:eastAsia="es-ES"/>
        </w:rPr>
      </w:pPr>
    </w:p>
    <w:p w14:paraId="0BAA313B" w14:textId="5685104F" w:rsidR="00736930" w:rsidRDefault="00736930" w:rsidP="0A871E72">
      <w:pPr>
        <w:pStyle w:val="NormalWeb"/>
        <w:spacing w:before="0" w:beforeAutospacing="0" w:after="0" w:afterAutospacing="0"/>
        <w:ind w:left="708"/>
        <w:jc w:val="both"/>
        <w:rPr>
          <w:sz w:val="28"/>
          <w:szCs w:val="28"/>
          <w:lang w:val="es-ES" w:eastAsia="es-ES"/>
        </w:rPr>
      </w:pPr>
      <w:r w:rsidRPr="0A871E72">
        <w:rPr>
          <w:sz w:val="28"/>
          <w:szCs w:val="28"/>
          <w:lang w:val="es-ES" w:eastAsia="es-ES"/>
        </w:rPr>
        <w:t>“</w:t>
      </w:r>
      <w:r w:rsidRPr="0A871E72">
        <w:rPr>
          <w:b/>
          <w:bCs/>
          <w:sz w:val="28"/>
          <w:szCs w:val="28"/>
          <w:lang w:val="es-ES" w:eastAsia="es-ES"/>
        </w:rPr>
        <w:t>Nulidad</w:t>
      </w:r>
      <w:r w:rsidRPr="0A871E72">
        <w:rPr>
          <w:sz w:val="28"/>
          <w:szCs w:val="28"/>
          <w:lang w:val="es-ES" w:eastAsia="es-ES"/>
        </w:rPr>
        <w:t>. Toda persona podrá solicitar por sí, o por medio de representante, que se declare la nulidad de los actos administrativos de carácter general. Procederá cuando hayan sido expedidos con infracción de las normas en que deberían fundarse, o sin competencia, o en forma irregular, o con desconocimiento del derecho de audiencia y defensa, o mediante falsa motivación, o con desviación de las atribuciones propias de quien los profirió…”</w:t>
      </w:r>
    </w:p>
    <w:p w14:paraId="775A48AE" w14:textId="77777777" w:rsidR="00F454EF" w:rsidRPr="00F5458A" w:rsidRDefault="00F454EF" w:rsidP="00F5458A">
      <w:pPr>
        <w:pStyle w:val="NormalWeb"/>
        <w:spacing w:before="0" w:beforeAutospacing="0" w:after="0" w:afterAutospacing="0" w:line="360" w:lineRule="auto"/>
        <w:jc w:val="both"/>
        <w:rPr>
          <w:sz w:val="28"/>
          <w:szCs w:val="28"/>
          <w:lang w:val="es-ES" w:eastAsia="es-ES"/>
        </w:rPr>
      </w:pPr>
    </w:p>
    <w:p w14:paraId="109E5943" w14:textId="3B8734FC" w:rsidR="00736930" w:rsidRPr="00736930" w:rsidRDefault="00736930" w:rsidP="00736930">
      <w:pPr>
        <w:spacing w:line="360" w:lineRule="auto"/>
        <w:jc w:val="both"/>
        <w:rPr>
          <w:sz w:val="28"/>
          <w:szCs w:val="28"/>
        </w:rPr>
      </w:pPr>
      <w:r w:rsidRPr="0A871E72">
        <w:rPr>
          <w:sz w:val="28"/>
          <w:szCs w:val="28"/>
        </w:rPr>
        <w:lastRenderedPageBreak/>
        <w:t>Examinado el libelo observa el despacho que el accionante se halla legitimado para incoar el presente medio de control, por disposición del artículo 137 del CPACA.</w:t>
      </w:r>
    </w:p>
    <w:p w14:paraId="1397C7EF" w14:textId="77777777" w:rsidR="00D433C4" w:rsidRPr="00F5458A" w:rsidRDefault="00D433C4" w:rsidP="00F5458A">
      <w:pPr>
        <w:tabs>
          <w:tab w:val="left" w:pos="709"/>
        </w:tabs>
        <w:spacing w:line="360" w:lineRule="auto"/>
        <w:jc w:val="both"/>
        <w:rPr>
          <w:b/>
          <w:bCs/>
          <w:sz w:val="28"/>
          <w:szCs w:val="28"/>
          <w:bdr w:val="none" w:sz="0" w:space="0" w:color="auto" w:frame="1"/>
        </w:rPr>
      </w:pPr>
    </w:p>
    <w:p w14:paraId="5D0EFE66" w14:textId="6F8D1CD3" w:rsidR="007311ED" w:rsidRPr="00F5458A" w:rsidRDefault="0016110E" w:rsidP="00F5458A">
      <w:pPr>
        <w:tabs>
          <w:tab w:val="left" w:pos="709"/>
        </w:tabs>
        <w:spacing w:line="360" w:lineRule="auto"/>
        <w:jc w:val="both"/>
        <w:rPr>
          <w:b/>
          <w:bCs/>
          <w:sz w:val="28"/>
          <w:szCs w:val="28"/>
          <w:bdr w:val="none" w:sz="0" w:space="0" w:color="auto" w:frame="1"/>
        </w:rPr>
      </w:pPr>
      <w:r w:rsidRPr="00F5458A">
        <w:rPr>
          <w:b/>
          <w:bCs/>
          <w:sz w:val="28"/>
          <w:szCs w:val="28"/>
          <w:bdr w:val="none" w:sz="0" w:space="0" w:color="auto" w:frame="1"/>
        </w:rPr>
        <w:t>Inexigibilidad del requisito previo de la conciliación prejudicial</w:t>
      </w:r>
    </w:p>
    <w:p w14:paraId="39BC10EE" w14:textId="7EE24157" w:rsidR="0016110E" w:rsidRPr="00F5458A" w:rsidRDefault="0016110E" w:rsidP="00F5458A">
      <w:pPr>
        <w:tabs>
          <w:tab w:val="left" w:pos="709"/>
        </w:tabs>
        <w:spacing w:line="360" w:lineRule="auto"/>
        <w:jc w:val="both"/>
        <w:rPr>
          <w:sz w:val="28"/>
          <w:szCs w:val="28"/>
          <w:bdr w:val="none" w:sz="0" w:space="0" w:color="auto" w:frame="1"/>
        </w:rPr>
      </w:pPr>
    </w:p>
    <w:p w14:paraId="7105DB10" w14:textId="77777777" w:rsidR="00736930" w:rsidRPr="00736930" w:rsidRDefault="00736930" w:rsidP="00736930">
      <w:pPr>
        <w:spacing w:line="360" w:lineRule="auto"/>
        <w:jc w:val="both"/>
        <w:rPr>
          <w:sz w:val="28"/>
          <w:szCs w:val="28"/>
        </w:rPr>
      </w:pPr>
      <w:r w:rsidRPr="0A871E72">
        <w:rPr>
          <w:sz w:val="28"/>
          <w:szCs w:val="28"/>
        </w:rPr>
        <w:t>En este caso no se requiere cumplir con el requisito de procedibilidad señalado en el artículo 161 del CPACA.</w:t>
      </w:r>
    </w:p>
    <w:p w14:paraId="2AC01825" w14:textId="4A28CC46" w:rsidR="0A871E72" w:rsidRDefault="0A871E72" w:rsidP="0A871E72">
      <w:pPr>
        <w:tabs>
          <w:tab w:val="left" w:pos="1440"/>
          <w:tab w:val="left" w:pos="1712"/>
        </w:tabs>
        <w:spacing w:line="360" w:lineRule="auto"/>
        <w:jc w:val="both"/>
        <w:rPr>
          <w:sz w:val="28"/>
          <w:szCs w:val="28"/>
        </w:rPr>
      </w:pPr>
    </w:p>
    <w:p w14:paraId="158DDE98" w14:textId="02502B7C" w:rsidR="0A871E72" w:rsidRDefault="0A871E72" w:rsidP="0A871E72">
      <w:pPr>
        <w:tabs>
          <w:tab w:val="left" w:pos="1440"/>
          <w:tab w:val="left" w:pos="1712"/>
        </w:tabs>
        <w:spacing w:line="360" w:lineRule="auto"/>
        <w:jc w:val="both"/>
        <w:rPr>
          <w:sz w:val="28"/>
          <w:szCs w:val="28"/>
        </w:rPr>
      </w:pPr>
    </w:p>
    <w:p w14:paraId="3C520ADF" w14:textId="07862D7A" w:rsidR="00CD45A0" w:rsidRPr="009F3932" w:rsidRDefault="00404BA3" w:rsidP="0A871E72">
      <w:pPr>
        <w:tabs>
          <w:tab w:val="left" w:pos="1440"/>
          <w:tab w:val="left" w:pos="1712"/>
        </w:tabs>
        <w:spacing w:line="360" w:lineRule="auto"/>
        <w:jc w:val="both"/>
        <w:rPr>
          <w:sz w:val="28"/>
          <w:szCs w:val="28"/>
        </w:rPr>
      </w:pPr>
      <w:r w:rsidRPr="0A871E72">
        <w:rPr>
          <w:sz w:val="28"/>
          <w:szCs w:val="28"/>
        </w:rPr>
        <w:t>Se observa que la parte accionante cumple a cabalidad con los requisitos para la admisión de la demanda</w:t>
      </w:r>
      <w:r w:rsidR="00CD45A0" w:rsidRPr="0A871E72">
        <w:rPr>
          <w:sz w:val="28"/>
          <w:szCs w:val="28"/>
        </w:rPr>
        <w:t>, que han sido aportados los documentos y anexos exigidos por el artículo 166 del CPAC</w:t>
      </w:r>
      <w:r w:rsidR="009F3932" w:rsidRPr="0A871E72">
        <w:rPr>
          <w:sz w:val="28"/>
          <w:szCs w:val="28"/>
        </w:rPr>
        <w:t>, y que el escrito cumple con los requisitos formales de que tratan los artículos 162, 163, 166 y 167 del CPACA.</w:t>
      </w:r>
    </w:p>
    <w:p w14:paraId="32081844" w14:textId="77777777" w:rsidR="009F3932" w:rsidRDefault="009F3932" w:rsidP="009F3932">
      <w:pPr>
        <w:spacing w:line="360" w:lineRule="auto"/>
        <w:jc w:val="both"/>
        <w:rPr>
          <w:sz w:val="28"/>
          <w:szCs w:val="28"/>
        </w:rPr>
      </w:pPr>
    </w:p>
    <w:p w14:paraId="6CE25555" w14:textId="66A8F0D1" w:rsidR="009F3932" w:rsidRPr="009F3932" w:rsidRDefault="009F3932" w:rsidP="009F3932">
      <w:pPr>
        <w:spacing w:line="360" w:lineRule="auto"/>
        <w:jc w:val="both"/>
        <w:rPr>
          <w:sz w:val="28"/>
          <w:szCs w:val="28"/>
        </w:rPr>
      </w:pPr>
      <w:r w:rsidRPr="009F3932">
        <w:rPr>
          <w:sz w:val="28"/>
          <w:szCs w:val="28"/>
        </w:rPr>
        <w:t>En los términos del numeral quinto del artículo 171 del CPACA</w:t>
      </w:r>
      <w:r w:rsidRPr="009F3932">
        <w:rPr>
          <w:rStyle w:val="Refdenotaalpie"/>
          <w:sz w:val="28"/>
          <w:szCs w:val="28"/>
        </w:rPr>
        <w:footnoteReference w:id="1"/>
      </w:r>
      <w:r w:rsidRPr="009F3932">
        <w:rPr>
          <w:sz w:val="28"/>
          <w:szCs w:val="28"/>
        </w:rPr>
        <w:t>, se ordenará informar a la comunidad de la existencia de este proceso</w:t>
      </w:r>
      <w:r>
        <w:rPr>
          <w:sz w:val="28"/>
          <w:szCs w:val="28"/>
        </w:rPr>
        <w:t>.</w:t>
      </w:r>
    </w:p>
    <w:p w14:paraId="3B89FA42" w14:textId="77777777" w:rsidR="00CD45A0" w:rsidRDefault="00CD45A0" w:rsidP="00F5458A">
      <w:pPr>
        <w:tabs>
          <w:tab w:val="left" w:pos="1440"/>
          <w:tab w:val="left" w:pos="1712"/>
        </w:tabs>
        <w:spacing w:line="360" w:lineRule="auto"/>
        <w:jc w:val="both"/>
        <w:rPr>
          <w:sz w:val="28"/>
          <w:szCs w:val="28"/>
        </w:rPr>
      </w:pPr>
    </w:p>
    <w:p w14:paraId="525802DF" w14:textId="5D4798BA" w:rsidR="00404BA3" w:rsidRPr="00CD45A0" w:rsidRDefault="00CD45A0" w:rsidP="00CD45A0">
      <w:pPr>
        <w:tabs>
          <w:tab w:val="left" w:pos="1440"/>
          <w:tab w:val="left" w:pos="1712"/>
        </w:tabs>
        <w:spacing w:line="360" w:lineRule="auto"/>
        <w:jc w:val="both"/>
        <w:rPr>
          <w:sz w:val="28"/>
          <w:szCs w:val="28"/>
        </w:rPr>
      </w:pPr>
      <w:r w:rsidRPr="00CD45A0">
        <w:rPr>
          <w:sz w:val="28"/>
          <w:szCs w:val="28"/>
        </w:rPr>
        <w:t xml:space="preserve">Por lo anterior, se procederá a la admisión de la demanda formulada por el señor Leonel Nevardo Buitrago Carreño contra el Departamento de Boyacá </w:t>
      </w:r>
      <w:r>
        <w:rPr>
          <w:sz w:val="28"/>
          <w:szCs w:val="28"/>
        </w:rPr>
        <w:t xml:space="preserve">- </w:t>
      </w:r>
      <w:r w:rsidRPr="00CD45A0">
        <w:rPr>
          <w:sz w:val="28"/>
          <w:szCs w:val="28"/>
        </w:rPr>
        <w:t>Asamblea Departamental, disponiendo la notificación correspondiente en los términos del artículo 199 del CPACA, modificado por el artículo 48 de la Ley 2080 de 2021.</w:t>
      </w:r>
    </w:p>
    <w:p w14:paraId="15730812" w14:textId="77777777" w:rsidR="00404BA3" w:rsidRPr="00CD45A0" w:rsidRDefault="00404BA3" w:rsidP="00CD45A0">
      <w:pPr>
        <w:tabs>
          <w:tab w:val="left" w:pos="1440"/>
          <w:tab w:val="left" w:pos="1712"/>
        </w:tabs>
        <w:spacing w:line="360" w:lineRule="auto"/>
        <w:jc w:val="both"/>
        <w:rPr>
          <w:sz w:val="28"/>
          <w:szCs w:val="28"/>
        </w:rPr>
      </w:pPr>
    </w:p>
    <w:p w14:paraId="790952F5" w14:textId="70C7C5A3" w:rsidR="00404BA3" w:rsidRPr="00CD45A0" w:rsidRDefault="00404BA3" w:rsidP="00CD45A0">
      <w:pPr>
        <w:tabs>
          <w:tab w:val="left" w:pos="1440"/>
          <w:tab w:val="left" w:pos="1712"/>
        </w:tabs>
        <w:spacing w:line="360" w:lineRule="auto"/>
        <w:jc w:val="both"/>
        <w:rPr>
          <w:sz w:val="28"/>
          <w:szCs w:val="28"/>
        </w:rPr>
      </w:pPr>
      <w:r w:rsidRPr="0A871E72">
        <w:rPr>
          <w:sz w:val="28"/>
          <w:szCs w:val="28"/>
        </w:rPr>
        <w:t xml:space="preserve">No obstante, debe advertir el Despacho </w:t>
      </w:r>
      <w:r w:rsidR="00CD45A0" w:rsidRPr="0A871E72">
        <w:rPr>
          <w:sz w:val="28"/>
          <w:szCs w:val="28"/>
        </w:rPr>
        <w:t xml:space="preserve">conforme con lo establecido en </w:t>
      </w:r>
      <w:r w:rsidRPr="0A871E72">
        <w:rPr>
          <w:sz w:val="28"/>
          <w:szCs w:val="28"/>
        </w:rPr>
        <w:t>la Ley 2080 de 2021, se admitirá la demanda y se ordenará las notificaciones a que haya lugar conforme a estas previsiones, y se correrá traslado de la misma a la demandada por el término de treinta (30) días.</w:t>
      </w:r>
    </w:p>
    <w:p w14:paraId="156121A9" w14:textId="77777777" w:rsidR="00404BA3" w:rsidRPr="00F5458A" w:rsidRDefault="00404BA3" w:rsidP="00F5458A">
      <w:pPr>
        <w:tabs>
          <w:tab w:val="left" w:pos="1440"/>
          <w:tab w:val="left" w:pos="1712"/>
        </w:tabs>
        <w:spacing w:line="360" w:lineRule="auto"/>
        <w:jc w:val="both"/>
        <w:rPr>
          <w:sz w:val="28"/>
          <w:szCs w:val="28"/>
        </w:rPr>
      </w:pPr>
    </w:p>
    <w:p w14:paraId="75C07896" w14:textId="7E24EC49" w:rsidR="00404BA3" w:rsidRPr="00F5458A" w:rsidRDefault="00404BA3" w:rsidP="00F5458A">
      <w:pPr>
        <w:tabs>
          <w:tab w:val="left" w:pos="1440"/>
          <w:tab w:val="left" w:pos="1712"/>
        </w:tabs>
        <w:spacing w:line="360" w:lineRule="auto"/>
        <w:jc w:val="both"/>
        <w:rPr>
          <w:sz w:val="28"/>
          <w:szCs w:val="28"/>
        </w:rPr>
      </w:pPr>
      <w:r w:rsidRPr="00F5458A">
        <w:rPr>
          <w:sz w:val="28"/>
          <w:szCs w:val="28"/>
        </w:rPr>
        <w:t xml:space="preserve">De otro lado, se encuentra que la parte actora </w:t>
      </w:r>
      <w:r w:rsidR="00B76EB3">
        <w:rPr>
          <w:sz w:val="28"/>
          <w:szCs w:val="28"/>
        </w:rPr>
        <w:t xml:space="preserve">envía </w:t>
      </w:r>
      <w:r w:rsidR="00F5458A" w:rsidRPr="00F5458A">
        <w:rPr>
          <w:sz w:val="28"/>
          <w:szCs w:val="28"/>
        </w:rPr>
        <w:t xml:space="preserve">constancia de </w:t>
      </w:r>
      <w:r w:rsidR="00B76EB3">
        <w:rPr>
          <w:sz w:val="28"/>
          <w:szCs w:val="28"/>
        </w:rPr>
        <w:t xml:space="preserve">remisión </w:t>
      </w:r>
      <w:r w:rsidR="00F5458A" w:rsidRPr="00F5458A">
        <w:rPr>
          <w:sz w:val="28"/>
          <w:szCs w:val="28"/>
        </w:rPr>
        <w:t xml:space="preserve">de la demanda y anexos a los demás sujetos procesales, entonces se entiende que </w:t>
      </w:r>
      <w:r w:rsidRPr="00F5458A">
        <w:rPr>
          <w:sz w:val="28"/>
          <w:szCs w:val="28"/>
        </w:rPr>
        <w:t xml:space="preserve">ya dio cumplimiento a lo ordenado en el artículo </w:t>
      </w:r>
      <w:r w:rsidR="00CD45A0">
        <w:rPr>
          <w:sz w:val="28"/>
          <w:szCs w:val="28"/>
        </w:rPr>
        <w:t>35</w:t>
      </w:r>
      <w:r w:rsidRPr="00F5458A">
        <w:rPr>
          <w:sz w:val="28"/>
          <w:szCs w:val="28"/>
        </w:rPr>
        <w:t xml:space="preserve"> de</w:t>
      </w:r>
      <w:r w:rsidR="00CD45A0">
        <w:rPr>
          <w:sz w:val="28"/>
          <w:szCs w:val="28"/>
        </w:rPr>
        <w:t xml:space="preserve"> la referida Ley 2080 </w:t>
      </w:r>
      <w:r w:rsidRPr="00F5458A">
        <w:rPr>
          <w:sz w:val="28"/>
          <w:szCs w:val="28"/>
        </w:rPr>
        <w:t>enviando copia de la demanda a la parte demandada.</w:t>
      </w:r>
    </w:p>
    <w:p w14:paraId="73DF0ECC" w14:textId="77777777" w:rsidR="00404BA3" w:rsidRDefault="00404BA3" w:rsidP="00404BA3">
      <w:pPr>
        <w:tabs>
          <w:tab w:val="left" w:pos="1440"/>
          <w:tab w:val="left" w:pos="1712"/>
        </w:tabs>
        <w:spacing w:line="360" w:lineRule="auto"/>
        <w:jc w:val="both"/>
        <w:rPr>
          <w:sz w:val="28"/>
          <w:szCs w:val="28"/>
        </w:rPr>
      </w:pPr>
    </w:p>
    <w:p w14:paraId="4F478F23" w14:textId="77777777" w:rsidR="00404BA3" w:rsidRPr="008F7C6E" w:rsidRDefault="00404BA3" w:rsidP="00404BA3">
      <w:pPr>
        <w:tabs>
          <w:tab w:val="left" w:pos="1440"/>
          <w:tab w:val="left" w:pos="1712"/>
        </w:tabs>
        <w:spacing w:line="360" w:lineRule="auto"/>
        <w:jc w:val="both"/>
        <w:rPr>
          <w:sz w:val="28"/>
          <w:szCs w:val="28"/>
        </w:rPr>
      </w:pPr>
      <w:r>
        <w:rPr>
          <w:sz w:val="28"/>
          <w:szCs w:val="28"/>
        </w:rPr>
        <w:t>S</w:t>
      </w:r>
      <w:r w:rsidRPr="008F7C6E">
        <w:rPr>
          <w:sz w:val="28"/>
          <w:szCs w:val="28"/>
        </w:rPr>
        <w:t xml:space="preserve">e advierte a los sujetos procesales que cualquier memorial que tenga como destino el presente asunto deberá enviarse </w:t>
      </w:r>
      <w:r w:rsidRPr="596BD4E7">
        <w:rPr>
          <w:sz w:val="28"/>
          <w:szCs w:val="28"/>
        </w:rPr>
        <w:t>al siguiente correo electrónico:</w:t>
      </w:r>
      <w:r>
        <w:rPr>
          <w:sz w:val="28"/>
          <w:szCs w:val="28"/>
        </w:rPr>
        <w:t xml:space="preserve"> </w:t>
      </w:r>
      <w:r w:rsidRPr="596BD4E7">
        <w:rPr>
          <w:sz w:val="28"/>
          <w:szCs w:val="28"/>
        </w:rPr>
        <w:t>correspondenciatadmboy@cendoj.ramajudicial.gov.co</w:t>
      </w:r>
      <w:r w:rsidRPr="008F7C6E">
        <w:rPr>
          <w:sz w:val="28"/>
          <w:szCs w:val="28"/>
        </w:rPr>
        <w:t xml:space="preserve"> </w:t>
      </w:r>
      <w:r>
        <w:rPr>
          <w:sz w:val="28"/>
          <w:szCs w:val="28"/>
        </w:rPr>
        <w:t>y simultáneamente</w:t>
      </w:r>
      <w:r w:rsidRPr="008F7C6E">
        <w:rPr>
          <w:sz w:val="28"/>
          <w:szCs w:val="28"/>
        </w:rPr>
        <w:t xml:space="preserve"> al correo electrónico de cada uno de los extremos procesales, de lo cual debe adjuntarse la respectiva constancia de envío</w:t>
      </w:r>
      <w:r>
        <w:rPr>
          <w:sz w:val="28"/>
          <w:szCs w:val="28"/>
        </w:rPr>
        <w:t>.</w:t>
      </w:r>
    </w:p>
    <w:p w14:paraId="074B0244" w14:textId="77777777" w:rsidR="00404BA3" w:rsidRPr="008F7C6E" w:rsidRDefault="00404BA3" w:rsidP="00404BA3">
      <w:pPr>
        <w:tabs>
          <w:tab w:val="left" w:pos="1440"/>
          <w:tab w:val="left" w:pos="1712"/>
        </w:tabs>
        <w:spacing w:line="360" w:lineRule="auto"/>
        <w:jc w:val="both"/>
        <w:rPr>
          <w:sz w:val="28"/>
          <w:szCs w:val="28"/>
        </w:rPr>
      </w:pPr>
    </w:p>
    <w:p w14:paraId="17AD838E" w14:textId="55CFE710" w:rsidR="00F5458A" w:rsidRDefault="00404BA3" w:rsidP="009F3932">
      <w:pPr>
        <w:tabs>
          <w:tab w:val="left" w:pos="1440"/>
          <w:tab w:val="left" w:pos="1712"/>
        </w:tabs>
        <w:spacing w:line="360" w:lineRule="auto"/>
        <w:jc w:val="both"/>
        <w:rPr>
          <w:sz w:val="28"/>
          <w:szCs w:val="28"/>
        </w:rPr>
      </w:pPr>
      <w:r w:rsidRPr="008F7C6E">
        <w:rPr>
          <w:sz w:val="28"/>
          <w:szCs w:val="28"/>
        </w:rPr>
        <w:t>En consecuencia, se</w:t>
      </w:r>
    </w:p>
    <w:p w14:paraId="23E026E8" w14:textId="77777777" w:rsidR="009F3932" w:rsidRDefault="009F3932" w:rsidP="009F3932">
      <w:pPr>
        <w:tabs>
          <w:tab w:val="left" w:pos="1440"/>
          <w:tab w:val="left" w:pos="1712"/>
        </w:tabs>
        <w:spacing w:line="360" w:lineRule="auto"/>
        <w:jc w:val="both"/>
        <w:rPr>
          <w:b/>
          <w:sz w:val="28"/>
          <w:szCs w:val="28"/>
        </w:rPr>
      </w:pPr>
    </w:p>
    <w:p w14:paraId="30BE8C3B" w14:textId="2B452BC9" w:rsidR="00404BA3" w:rsidRPr="008F7C6E" w:rsidRDefault="00404BA3" w:rsidP="00404BA3">
      <w:pPr>
        <w:spacing w:line="360" w:lineRule="auto"/>
        <w:jc w:val="center"/>
        <w:rPr>
          <w:b/>
          <w:sz w:val="28"/>
          <w:szCs w:val="28"/>
        </w:rPr>
      </w:pPr>
      <w:r w:rsidRPr="008F7C6E">
        <w:rPr>
          <w:b/>
          <w:sz w:val="28"/>
          <w:szCs w:val="28"/>
        </w:rPr>
        <w:t>RESUELVE:</w:t>
      </w:r>
    </w:p>
    <w:p w14:paraId="19168DE0" w14:textId="77777777" w:rsidR="00404BA3" w:rsidRPr="008F7C6E" w:rsidRDefault="00404BA3" w:rsidP="00404BA3">
      <w:pPr>
        <w:spacing w:line="360" w:lineRule="auto"/>
        <w:jc w:val="center"/>
        <w:rPr>
          <w:b/>
          <w:sz w:val="28"/>
          <w:szCs w:val="28"/>
        </w:rPr>
      </w:pPr>
    </w:p>
    <w:p w14:paraId="114D8712" w14:textId="2E759134" w:rsidR="00404BA3" w:rsidRPr="008F7C6E" w:rsidRDefault="00404BA3" w:rsidP="00404BA3">
      <w:pPr>
        <w:pStyle w:val="Textoindependiente3"/>
        <w:tabs>
          <w:tab w:val="left" w:pos="-720"/>
        </w:tabs>
        <w:spacing w:after="0" w:line="360" w:lineRule="auto"/>
        <w:jc w:val="both"/>
        <w:rPr>
          <w:sz w:val="28"/>
          <w:szCs w:val="28"/>
        </w:rPr>
      </w:pPr>
      <w:r w:rsidRPr="0A871E72">
        <w:rPr>
          <w:b/>
          <w:bCs/>
          <w:sz w:val="28"/>
          <w:szCs w:val="28"/>
        </w:rPr>
        <w:t>PRIMERO:</w:t>
      </w:r>
      <w:r w:rsidRPr="0A871E72">
        <w:rPr>
          <w:sz w:val="28"/>
          <w:szCs w:val="28"/>
        </w:rPr>
        <w:t xml:space="preserve"> </w:t>
      </w:r>
      <w:r w:rsidRPr="0A871E72">
        <w:rPr>
          <w:b/>
          <w:bCs/>
          <w:sz w:val="28"/>
          <w:szCs w:val="28"/>
        </w:rPr>
        <w:t>ADMITIR</w:t>
      </w:r>
      <w:r w:rsidRPr="0A871E72">
        <w:rPr>
          <w:sz w:val="28"/>
          <w:szCs w:val="28"/>
        </w:rPr>
        <w:t xml:space="preserve"> la demanda promovida por </w:t>
      </w:r>
      <w:r w:rsidR="00CD45A0" w:rsidRPr="0A871E72">
        <w:rPr>
          <w:b/>
          <w:bCs/>
          <w:sz w:val="28"/>
          <w:szCs w:val="28"/>
        </w:rPr>
        <w:t>Leonel Nevardo Buitrago Carreño</w:t>
      </w:r>
      <w:r w:rsidR="00F5458A" w:rsidRPr="0A871E72">
        <w:rPr>
          <w:b/>
          <w:bCs/>
          <w:sz w:val="28"/>
          <w:szCs w:val="28"/>
        </w:rPr>
        <w:t xml:space="preserve"> </w:t>
      </w:r>
      <w:r w:rsidR="00F5458A" w:rsidRPr="0A871E72">
        <w:rPr>
          <w:sz w:val="28"/>
          <w:szCs w:val="28"/>
        </w:rPr>
        <w:t>en contra de</w:t>
      </w:r>
      <w:r w:rsidR="00CD45A0" w:rsidRPr="0A871E72">
        <w:rPr>
          <w:sz w:val="28"/>
          <w:szCs w:val="28"/>
        </w:rPr>
        <w:t xml:space="preserve">l </w:t>
      </w:r>
      <w:r w:rsidR="00CD45A0" w:rsidRPr="0A871E72">
        <w:rPr>
          <w:b/>
          <w:bCs/>
          <w:sz w:val="28"/>
          <w:szCs w:val="28"/>
        </w:rPr>
        <w:t>Departamento de Boyacá – Asamblea Departamental de Boyacá</w:t>
      </w:r>
      <w:r w:rsidR="00F5458A" w:rsidRPr="0A871E72">
        <w:rPr>
          <w:sz w:val="28"/>
          <w:szCs w:val="28"/>
        </w:rPr>
        <w:t>.</w:t>
      </w:r>
    </w:p>
    <w:p w14:paraId="0B9A0718" w14:textId="18CD8A10" w:rsidR="0A871E72" w:rsidRDefault="0A871E72" w:rsidP="0A871E72">
      <w:pPr>
        <w:pStyle w:val="Textoindependiente3"/>
        <w:spacing w:after="0" w:line="360" w:lineRule="auto"/>
        <w:jc w:val="both"/>
        <w:rPr>
          <w:sz w:val="28"/>
          <w:szCs w:val="28"/>
        </w:rPr>
      </w:pPr>
    </w:p>
    <w:p w14:paraId="45112F97" w14:textId="15F3F158" w:rsidR="00404BA3" w:rsidRPr="008F7C6E" w:rsidRDefault="00404BA3" w:rsidP="00F5458A">
      <w:pPr>
        <w:pStyle w:val="Textoindependiente3"/>
        <w:tabs>
          <w:tab w:val="left" w:pos="-720"/>
        </w:tabs>
        <w:spacing w:after="0" w:line="360" w:lineRule="auto"/>
        <w:jc w:val="both"/>
        <w:rPr>
          <w:sz w:val="28"/>
          <w:szCs w:val="28"/>
        </w:rPr>
      </w:pPr>
      <w:r w:rsidRPr="4C2AE0F1">
        <w:rPr>
          <w:b/>
          <w:bCs/>
          <w:sz w:val="28"/>
          <w:szCs w:val="28"/>
        </w:rPr>
        <w:t>SEGUNDO:</w:t>
      </w:r>
      <w:r w:rsidRPr="4C2AE0F1">
        <w:rPr>
          <w:sz w:val="28"/>
          <w:szCs w:val="28"/>
        </w:rPr>
        <w:t xml:space="preserve"> Notificar personalmente el contenido de esta providencia al representante legal </w:t>
      </w:r>
      <w:r w:rsidR="00F5458A">
        <w:rPr>
          <w:sz w:val="28"/>
          <w:szCs w:val="28"/>
        </w:rPr>
        <w:t>de</w:t>
      </w:r>
      <w:r w:rsidR="00CD45A0">
        <w:rPr>
          <w:sz w:val="28"/>
          <w:szCs w:val="28"/>
        </w:rPr>
        <w:t>l Departamento de Boyacá – Asamblea Departamental de Boyacá</w:t>
      </w:r>
      <w:r w:rsidR="00F5458A">
        <w:rPr>
          <w:sz w:val="28"/>
          <w:szCs w:val="28"/>
        </w:rPr>
        <w:t>,</w:t>
      </w:r>
      <w:r w:rsidRPr="4C2AE0F1">
        <w:rPr>
          <w:sz w:val="28"/>
          <w:szCs w:val="28"/>
        </w:rPr>
        <w:t xml:space="preserve"> como lo ordena el artículo 48 de la Ley 2080 de 202</w:t>
      </w:r>
      <w:r>
        <w:rPr>
          <w:sz w:val="28"/>
          <w:szCs w:val="28"/>
        </w:rPr>
        <w:t>1</w:t>
      </w:r>
      <w:r w:rsidRPr="4C2AE0F1">
        <w:rPr>
          <w:sz w:val="28"/>
          <w:szCs w:val="28"/>
        </w:rPr>
        <w:t xml:space="preserve"> y córrasele traslado de la demanda por el término de treinta (30) días. Para el efecto, deberá remitirse además del auto admisorio, la demanda</w:t>
      </w:r>
      <w:r w:rsidR="00CD45A0">
        <w:rPr>
          <w:sz w:val="28"/>
          <w:szCs w:val="28"/>
        </w:rPr>
        <w:t xml:space="preserve"> </w:t>
      </w:r>
      <w:r w:rsidRPr="4C2AE0F1">
        <w:rPr>
          <w:sz w:val="28"/>
          <w:szCs w:val="28"/>
        </w:rPr>
        <w:t xml:space="preserve">junto con sus anexos. Notifíquese este auto por estado a la parte demandante. </w:t>
      </w:r>
    </w:p>
    <w:p w14:paraId="3F5B89CC" w14:textId="77777777" w:rsidR="00404BA3" w:rsidRDefault="00404BA3" w:rsidP="00404BA3">
      <w:pPr>
        <w:spacing w:line="360" w:lineRule="auto"/>
        <w:jc w:val="both"/>
        <w:rPr>
          <w:sz w:val="28"/>
          <w:szCs w:val="28"/>
        </w:rPr>
      </w:pPr>
    </w:p>
    <w:p w14:paraId="35C23E10" w14:textId="38705088" w:rsidR="00404BA3" w:rsidRPr="008F7C6E" w:rsidRDefault="00404BA3" w:rsidP="00404BA3">
      <w:pPr>
        <w:spacing w:line="360" w:lineRule="auto"/>
        <w:jc w:val="both"/>
        <w:rPr>
          <w:sz w:val="28"/>
          <w:szCs w:val="28"/>
        </w:rPr>
      </w:pPr>
      <w:r w:rsidRPr="008F7C6E">
        <w:rPr>
          <w:sz w:val="28"/>
          <w:szCs w:val="28"/>
        </w:rPr>
        <w:t xml:space="preserve">Requiérase </w:t>
      </w:r>
      <w:r w:rsidR="00F5458A">
        <w:rPr>
          <w:sz w:val="28"/>
          <w:szCs w:val="28"/>
        </w:rPr>
        <w:t>a</w:t>
      </w:r>
      <w:r w:rsidR="00CD45A0">
        <w:rPr>
          <w:sz w:val="28"/>
          <w:szCs w:val="28"/>
        </w:rPr>
        <w:t>l</w:t>
      </w:r>
      <w:r w:rsidR="00F5458A">
        <w:rPr>
          <w:sz w:val="28"/>
          <w:szCs w:val="28"/>
        </w:rPr>
        <w:t xml:space="preserve"> </w:t>
      </w:r>
      <w:r w:rsidR="00CD45A0">
        <w:rPr>
          <w:sz w:val="28"/>
          <w:szCs w:val="28"/>
        </w:rPr>
        <w:t xml:space="preserve">Departamento de Boyacá – Asamblea Departamental </w:t>
      </w:r>
      <w:r w:rsidRPr="008F7C6E">
        <w:rPr>
          <w:sz w:val="28"/>
          <w:szCs w:val="28"/>
        </w:rPr>
        <w:t xml:space="preserve">para que durante el término de contestación de la demanda remita copia íntegra y legible de los antecedentes administrativos que dieron lugar a la actuación objeto del proceso, de conformidad con lo establecido en el parágrafo 1º del artículo 175 del C.P.A.C.A. Se advierte que, el expediente administrativo debe allegarse en </w:t>
      </w:r>
      <w:r w:rsidRPr="008F7C6E">
        <w:rPr>
          <w:sz w:val="28"/>
          <w:szCs w:val="28"/>
        </w:rPr>
        <w:lastRenderedPageBreak/>
        <w:t xml:space="preserve">documentos </w:t>
      </w:r>
      <w:proofErr w:type="spellStart"/>
      <w:r w:rsidRPr="008F7C6E">
        <w:rPr>
          <w:sz w:val="28"/>
          <w:szCs w:val="28"/>
        </w:rPr>
        <w:t>pdf</w:t>
      </w:r>
      <w:proofErr w:type="spellEnd"/>
      <w:r w:rsidRPr="008F7C6E">
        <w:rPr>
          <w:sz w:val="28"/>
          <w:szCs w:val="28"/>
        </w:rPr>
        <w:t xml:space="preserve"> de forma separada, es decir, por cada documento debe existir un archivo plenamente identificado.</w:t>
      </w:r>
    </w:p>
    <w:p w14:paraId="77D3B550" w14:textId="77777777" w:rsidR="00404BA3" w:rsidRPr="008F7C6E" w:rsidRDefault="00404BA3" w:rsidP="00404BA3">
      <w:pPr>
        <w:spacing w:line="360" w:lineRule="auto"/>
        <w:jc w:val="both"/>
        <w:rPr>
          <w:b/>
          <w:sz w:val="28"/>
          <w:szCs w:val="28"/>
        </w:rPr>
      </w:pPr>
    </w:p>
    <w:p w14:paraId="0FDFC589" w14:textId="47CE3B5C" w:rsidR="00404BA3" w:rsidRPr="008F7C6E" w:rsidRDefault="00404BA3" w:rsidP="00404BA3">
      <w:pPr>
        <w:spacing w:line="360" w:lineRule="auto"/>
        <w:jc w:val="both"/>
        <w:rPr>
          <w:b/>
          <w:bCs/>
          <w:sz w:val="28"/>
          <w:szCs w:val="28"/>
        </w:rPr>
      </w:pPr>
      <w:r w:rsidRPr="4C2AE0F1">
        <w:rPr>
          <w:b/>
          <w:bCs/>
          <w:sz w:val="28"/>
          <w:szCs w:val="28"/>
        </w:rPr>
        <w:t xml:space="preserve">TERCERO: Notificar </w:t>
      </w:r>
      <w:r w:rsidRPr="4C2AE0F1">
        <w:rPr>
          <w:sz w:val="28"/>
          <w:szCs w:val="28"/>
        </w:rPr>
        <w:t>personalmente esta providencia</w:t>
      </w:r>
      <w:r w:rsidR="00F5458A">
        <w:rPr>
          <w:sz w:val="28"/>
          <w:szCs w:val="28"/>
        </w:rPr>
        <w:t xml:space="preserve"> </w:t>
      </w:r>
      <w:r w:rsidRPr="4C2AE0F1">
        <w:rPr>
          <w:sz w:val="28"/>
          <w:szCs w:val="28"/>
        </w:rPr>
        <w:t>al Ministerio Público, como lo ordena la ley 2080 de 202</w:t>
      </w:r>
      <w:r>
        <w:rPr>
          <w:sz w:val="28"/>
          <w:szCs w:val="28"/>
        </w:rPr>
        <w:t>1</w:t>
      </w:r>
      <w:r w:rsidRPr="4C2AE0F1">
        <w:rPr>
          <w:sz w:val="28"/>
          <w:szCs w:val="28"/>
        </w:rPr>
        <w:t>, y córrasele traslado de la demanda por el término de treinta (30) días.</w:t>
      </w:r>
      <w:r w:rsidRPr="4C2AE0F1">
        <w:rPr>
          <w:b/>
          <w:bCs/>
          <w:sz w:val="28"/>
          <w:szCs w:val="28"/>
        </w:rPr>
        <w:t xml:space="preserve"> </w:t>
      </w:r>
    </w:p>
    <w:p w14:paraId="16A9DBD5" w14:textId="77777777" w:rsidR="00404BA3" w:rsidRPr="008F7C6E" w:rsidRDefault="00404BA3" w:rsidP="00404BA3">
      <w:pPr>
        <w:spacing w:line="360" w:lineRule="auto"/>
        <w:jc w:val="both"/>
        <w:rPr>
          <w:b/>
          <w:sz w:val="28"/>
          <w:szCs w:val="28"/>
        </w:rPr>
      </w:pPr>
    </w:p>
    <w:p w14:paraId="0D6343AA" w14:textId="77777777" w:rsidR="00404BA3" w:rsidRPr="008F7C6E" w:rsidRDefault="00404BA3" w:rsidP="00404BA3">
      <w:pPr>
        <w:spacing w:line="360" w:lineRule="auto"/>
        <w:jc w:val="both"/>
        <w:rPr>
          <w:sz w:val="28"/>
          <w:szCs w:val="28"/>
        </w:rPr>
      </w:pPr>
      <w:r w:rsidRPr="4C2AE0F1">
        <w:rPr>
          <w:b/>
          <w:bCs/>
          <w:sz w:val="28"/>
          <w:szCs w:val="28"/>
        </w:rPr>
        <w:t>CUARTO:</w:t>
      </w:r>
      <w:r w:rsidRPr="4C2AE0F1">
        <w:rPr>
          <w:sz w:val="28"/>
          <w:szCs w:val="28"/>
        </w:rPr>
        <w:t xml:space="preserve"> </w:t>
      </w:r>
      <w:r w:rsidRPr="00F5458A">
        <w:rPr>
          <w:b/>
          <w:bCs/>
          <w:sz w:val="28"/>
          <w:szCs w:val="28"/>
        </w:rPr>
        <w:t>Informar</w:t>
      </w:r>
      <w:r w:rsidRPr="4C2AE0F1">
        <w:rPr>
          <w:sz w:val="28"/>
          <w:szCs w:val="28"/>
        </w:rPr>
        <w:t xml:space="preserve"> a las partes y al Agente del Ministerio Público que, en adelante, los escritos que se presenten deberán remitirse al correo electrónico correspondenciatadmboy@cendoj.ramajudicial.gov.co y que todo el procedimiento se desarrollará a través de medios virtuales.</w:t>
      </w:r>
    </w:p>
    <w:p w14:paraId="34277699" w14:textId="77777777" w:rsidR="00404BA3" w:rsidRDefault="00404BA3" w:rsidP="00404BA3">
      <w:pPr>
        <w:spacing w:line="360" w:lineRule="auto"/>
        <w:jc w:val="both"/>
        <w:rPr>
          <w:sz w:val="28"/>
          <w:szCs w:val="28"/>
        </w:rPr>
      </w:pPr>
    </w:p>
    <w:p w14:paraId="68FD9B01" w14:textId="77777777" w:rsidR="00404BA3" w:rsidRPr="008F7C6E" w:rsidRDefault="00404BA3" w:rsidP="00404BA3">
      <w:pPr>
        <w:spacing w:line="360" w:lineRule="auto"/>
        <w:jc w:val="both"/>
        <w:rPr>
          <w:sz w:val="28"/>
          <w:szCs w:val="28"/>
        </w:rPr>
      </w:pPr>
      <w:r w:rsidRPr="4C2AE0F1">
        <w:rPr>
          <w:b/>
          <w:bCs/>
          <w:sz w:val="28"/>
          <w:szCs w:val="28"/>
        </w:rPr>
        <w:t>QUINTO</w:t>
      </w:r>
      <w:r w:rsidRPr="4C2AE0F1">
        <w:rPr>
          <w:sz w:val="28"/>
          <w:szCs w:val="28"/>
        </w:rPr>
        <w:t>: En cumplimiento de los artículos 35 y 37 de la Ley 2080 de 202</w:t>
      </w:r>
      <w:r>
        <w:rPr>
          <w:sz w:val="28"/>
          <w:szCs w:val="28"/>
        </w:rPr>
        <w:t>1</w:t>
      </w:r>
      <w:r w:rsidRPr="4C2AE0F1">
        <w:rPr>
          <w:sz w:val="28"/>
          <w:szCs w:val="28"/>
        </w:rPr>
        <w:t>, se requerirá a las partes para que suministren a este Despacho y a todos los demás sujetos procesales, los canales digitales elegidos para los fines del proceso.</w:t>
      </w:r>
    </w:p>
    <w:p w14:paraId="643063E1" w14:textId="77777777" w:rsidR="00404BA3" w:rsidRPr="008F7C6E" w:rsidRDefault="00404BA3" w:rsidP="00404BA3">
      <w:pPr>
        <w:spacing w:line="360" w:lineRule="auto"/>
        <w:jc w:val="both"/>
        <w:rPr>
          <w:sz w:val="28"/>
          <w:szCs w:val="28"/>
        </w:rPr>
      </w:pPr>
    </w:p>
    <w:p w14:paraId="2F74ABDF" w14:textId="694160CE" w:rsidR="00404BA3" w:rsidRDefault="00404BA3" w:rsidP="00404BA3">
      <w:pPr>
        <w:spacing w:line="360" w:lineRule="auto"/>
        <w:jc w:val="both"/>
        <w:rPr>
          <w:sz w:val="28"/>
          <w:szCs w:val="28"/>
        </w:rPr>
      </w:pPr>
      <w:r w:rsidRPr="4C2AE0F1">
        <w:rPr>
          <w:b/>
          <w:bCs/>
          <w:sz w:val="28"/>
          <w:szCs w:val="28"/>
        </w:rPr>
        <w:t>SEXTO: Advertir</w:t>
      </w:r>
      <w:r w:rsidRPr="4C2AE0F1">
        <w:rPr>
          <w:sz w:val="28"/>
          <w:szCs w:val="28"/>
        </w:rPr>
        <w:t xml:space="preserve"> a los sujetos procesales que cualquier memorial que quieran dirigir al presente proceso deberá enviarse simultáneamente al correo electrónico de cada uno de los extremos procesales, de lo cual debe adjuntarse la respectiva constancia de envío de acuerdo con el numeral 8 artículo 35 de la Ley 2080 de 202</w:t>
      </w:r>
      <w:r>
        <w:rPr>
          <w:sz w:val="28"/>
          <w:szCs w:val="28"/>
        </w:rPr>
        <w:t>1</w:t>
      </w:r>
      <w:r w:rsidRPr="4C2AE0F1">
        <w:rPr>
          <w:sz w:val="28"/>
          <w:szCs w:val="28"/>
        </w:rPr>
        <w:t>.</w:t>
      </w:r>
    </w:p>
    <w:p w14:paraId="0C2BA677" w14:textId="019DDEBA" w:rsidR="009F3932" w:rsidRPr="009F3932" w:rsidRDefault="009F3932" w:rsidP="009F3932">
      <w:pPr>
        <w:spacing w:line="360" w:lineRule="auto"/>
        <w:jc w:val="both"/>
        <w:rPr>
          <w:sz w:val="28"/>
          <w:szCs w:val="28"/>
        </w:rPr>
      </w:pPr>
    </w:p>
    <w:p w14:paraId="20764197" w14:textId="2D9005E3" w:rsidR="009F3932" w:rsidRPr="009F3932" w:rsidRDefault="009F3932" w:rsidP="009F3932">
      <w:pPr>
        <w:spacing w:line="360" w:lineRule="auto"/>
        <w:jc w:val="both"/>
        <w:rPr>
          <w:b/>
          <w:bCs/>
          <w:sz w:val="28"/>
          <w:szCs w:val="28"/>
        </w:rPr>
      </w:pPr>
      <w:r w:rsidRPr="0A871E72">
        <w:rPr>
          <w:b/>
          <w:bCs/>
          <w:sz w:val="28"/>
          <w:szCs w:val="28"/>
        </w:rPr>
        <w:t xml:space="preserve">SÉPTIMO: </w:t>
      </w:r>
      <w:r w:rsidRPr="0A871E72">
        <w:rPr>
          <w:sz w:val="28"/>
          <w:szCs w:val="28"/>
        </w:rPr>
        <w:t>Se ordena</w:t>
      </w:r>
      <w:r w:rsidRPr="0A871E72">
        <w:rPr>
          <w:b/>
          <w:bCs/>
          <w:sz w:val="28"/>
          <w:szCs w:val="28"/>
        </w:rPr>
        <w:t xml:space="preserve"> informar a la comunidad,</w:t>
      </w:r>
      <w:r w:rsidRPr="0A871E72">
        <w:rPr>
          <w:sz w:val="28"/>
          <w:szCs w:val="28"/>
        </w:rPr>
        <w:t xml:space="preserve"> sobre la existencia del presente proceso, a través del sitio WEB de la Jurisdicción de lo Contencioso Administrativo, para lo cual se publicará el auto admisorio de la demanda.</w:t>
      </w:r>
    </w:p>
    <w:p w14:paraId="618B15FE" w14:textId="25B880D9" w:rsidR="00404BA3" w:rsidRPr="008F7C6E" w:rsidRDefault="00404BA3" w:rsidP="00404BA3">
      <w:pPr>
        <w:pStyle w:val="Textoindependiente21"/>
        <w:tabs>
          <w:tab w:val="left" w:pos="6845"/>
          <w:tab w:val="right" w:pos="8602"/>
        </w:tabs>
        <w:spacing w:line="240" w:lineRule="auto"/>
        <w:rPr>
          <w:rFonts w:ascii="Times New Roman" w:hAnsi="Times New Roman"/>
          <w:color w:val="auto"/>
          <w:szCs w:val="28"/>
        </w:rPr>
      </w:pPr>
      <w:r w:rsidRPr="008F7C6E">
        <w:rPr>
          <w:rFonts w:ascii="Times New Roman" w:hAnsi="Times New Roman"/>
          <w:color w:val="auto"/>
          <w:szCs w:val="28"/>
        </w:rPr>
        <w:t xml:space="preserve"> </w:t>
      </w:r>
    </w:p>
    <w:p w14:paraId="2FD79A53" w14:textId="77777777" w:rsidR="00404BA3" w:rsidRDefault="00404BA3" w:rsidP="00404BA3">
      <w:pPr>
        <w:jc w:val="center"/>
        <w:rPr>
          <w:sz w:val="28"/>
          <w:szCs w:val="28"/>
        </w:rPr>
      </w:pPr>
      <w:r w:rsidRPr="423D9D91">
        <w:rPr>
          <w:sz w:val="28"/>
          <w:szCs w:val="28"/>
        </w:rPr>
        <w:t>Notifíquese y cúmplase,</w:t>
      </w:r>
    </w:p>
    <w:p w14:paraId="7D482EF3" w14:textId="163B2E4D" w:rsidR="00404BA3" w:rsidRDefault="00404BA3" w:rsidP="00404BA3">
      <w:pPr>
        <w:jc w:val="center"/>
        <w:rPr>
          <w:sz w:val="28"/>
          <w:szCs w:val="28"/>
        </w:rPr>
      </w:pPr>
    </w:p>
    <w:p w14:paraId="776C0342" w14:textId="77777777" w:rsidR="00861FB9" w:rsidRDefault="00861FB9" w:rsidP="00404BA3">
      <w:pPr>
        <w:jc w:val="center"/>
        <w:rPr>
          <w:sz w:val="28"/>
          <w:szCs w:val="28"/>
        </w:rPr>
      </w:pPr>
    </w:p>
    <w:p w14:paraId="553E2772" w14:textId="77777777" w:rsidR="00404BA3" w:rsidRDefault="00404BA3" w:rsidP="00404BA3">
      <w:pPr>
        <w:rPr>
          <w:b/>
          <w:bCs/>
          <w:sz w:val="28"/>
          <w:szCs w:val="28"/>
        </w:rPr>
      </w:pPr>
      <w:r w:rsidRPr="46342F96">
        <w:rPr>
          <w:b/>
          <w:bCs/>
          <w:sz w:val="28"/>
          <w:szCs w:val="28"/>
        </w:rPr>
        <w:t xml:space="preserve">                                                    </w:t>
      </w:r>
    </w:p>
    <w:p w14:paraId="4C7C3454" w14:textId="77777777" w:rsidR="00404BA3" w:rsidRPr="008F7C6E" w:rsidRDefault="00404BA3" w:rsidP="00404BA3">
      <w:pPr>
        <w:jc w:val="center"/>
        <w:rPr>
          <w:b/>
          <w:sz w:val="28"/>
          <w:szCs w:val="28"/>
        </w:rPr>
      </w:pPr>
      <w:r w:rsidRPr="008F7C6E">
        <w:rPr>
          <w:b/>
          <w:sz w:val="28"/>
          <w:szCs w:val="28"/>
        </w:rPr>
        <w:t>LUÍS ERNESTO ARCINIEGAS TRIANA</w:t>
      </w:r>
    </w:p>
    <w:p w14:paraId="5364853B" w14:textId="372A491D" w:rsidR="00404BA3" w:rsidRDefault="00404BA3" w:rsidP="00A127F9">
      <w:pPr>
        <w:jc w:val="center"/>
        <w:rPr>
          <w:sz w:val="28"/>
          <w:szCs w:val="28"/>
          <w:bdr w:val="none" w:sz="0" w:space="0" w:color="auto" w:frame="1"/>
        </w:rPr>
      </w:pPr>
      <w:r w:rsidRPr="008F7C6E">
        <w:rPr>
          <w:sz w:val="28"/>
          <w:szCs w:val="28"/>
        </w:rPr>
        <w:t>Magistrado</w:t>
      </w:r>
    </w:p>
    <w:sectPr w:rsidR="00404BA3" w:rsidSect="00A422B5">
      <w:headerReference w:type="default" r:id="rId12"/>
      <w:pgSz w:w="12242" w:h="18722" w:code="123"/>
      <w:pgMar w:top="1077"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B260F" w14:textId="77777777" w:rsidR="00B71C24" w:rsidRDefault="00B71C24">
      <w:r>
        <w:separator/>
      </w:r>
    </w:p>
  </w:endnote>
  <w:endnote w:type="continuationSeparator" w:id="0">
    <w:p w14:paraId="4FD8572D" w14:textId="77777777" w:rsidR="00B71C24" w:rsidRDefault="00B7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4662F" w14:textId="77777777" w:rsidR="00B71C24" w:rsidRDefault="00B71C24">
      <w:r>
        <w:separator/>
      </w:r>
    </w:p>
  </w:footnote>
  <w:footnote w:type="continuationSeparator" w:id="0">
    <w:p w14:paraId="262BDF5C" w14:textId="77777777" w:rsidR="00B71C24" w:rsidRDefault="00B71C24">
      <w:r>
        <w:continuationSeparator/>
      </w:r>
    </w:p>
  </w:footnote>
  <w:footnote w:id="1">
    <w:p w14:paraId="41F08E46" w14:textId="77777777" w:rsidR="009F3932" w:rsidRPr="009F3932" w:rsidRDefault="009F3932" w:rsidP="009F3932">
      <w:pPr>
        <w:ind w:right="-8"/>
        <w:jc w:val="both"/>
        <w:rPr>
          <w:sz w:val="18"/>
          <w:szCs w:val="18"/>
          <w:lang w:val="es-ES_tradnl"/>
        </w:rPr>
      </w:pPr>
      <w:r w:rsidRPr="009F3932">
        <w:rPr>
          <w:rStyle w:val="Refdenotaalpie"/>
          <w:sz w:val="18"/>
          <w:szCs w:val="18"/>
        </w:rPr>
        <w:footnoteRef/>
      </w:r>
      <w:r w:rsidRPr="009F3932">
        <w:rPr>
          <w:sz w:val="18"/>
          <w:szCs w:val="18"/>
        </w:rPr>
        <w:t xml:space="preserve"> </w:t>
      </w:r>
      <w:r w:rsidRPr="009F3932">
        <w:rPr>
          <w:b/>
          <w:bCs/>
          <w:sz w:val="18"/>
          <w:szCs w:val="18"/>
        </w:rPr>
        <w:t>“</w:t>
      </w:r>
      <w:r w:rsidRPr="009F3932">
        <w:rPr>
          <w:bCs/>
          <w:sz w:val="18"/>
          <w:szCs w:val="18"/>
          <w:u w:val="single"/>
        </w:rPr>
        <w:t>Artículo 171. Admisión</w:t>
      </w:r>
      <w:r w:rsidRPr="009F3932">
        <w:rPr>
          <w:b/>
          <w:bCs/>
          <w:sz w:val="18"/>
          <w:szCs w:val="18"/>
          <w:u w:val="single"/>
        </w:rPr>
        <w:t xml:space="preserve"> </w:t>
      </w:r>
      <w:r w:rsidRPr="009F3932">
        <w:rPr>
          <w:bCs/>
          <w:sz w:val="18"/>
          <w:szCs w:val="18"/>
          <w:u w:val="single"/>
        </w:rPr>
        <w:t>de la demanda</w:t>
      </w:r>
      <w:r w:rsidRPr="009F3932">
        <w:rPr>
          <w:bCs/>
          <w:sz w:val="18"/>
          <w:szCs w:val="18"/>
        </w:rPr>
        <w:t>.</w:t>
      </w:r>
      <w:bookmarkStart w:id="1" w:name="171"/>
      <w:bookmarkEnd w:id="1"/>
      <w:r w:rsidRPr="009F3932">
        <w:rPr>
          <w:rStyle w:val="apple-converted-space"/>
          <w:rFonts w:eastAsiaTheme="majorEastAsia"/>
          <w:sz w:val="18"/>
          <w:szCs w:val="18"/>
        </w:rPr>
        <w:t> </w:t>
      </w:r>
      <w:r w:rsidRPr="009F3932">
        <w:rPr>
          <w:sz w:val="18"/>
          <w:szCs w:val="18"/>
        </w:rPr>
        <w:t xml:space="preserve">El juez admitirá la demanda que reúna los requisitos legales y le dará el trámite que le </w:t>
      </w:r>
      <w:proofErr w:type="gramStart"/>
      <w:r w:rsidRPr="009F3932">
        <w:rPr>
          <w:sz w:val="18"/>
          <w:szCs w:val="18"/>
        </w:rPr>
        <w:t>corresponda</w:t>
      </w:r>
      <w:proofErr w:type="gramEnd"/>
      <w:r w:rsidRPr="009F3932">
        <w:rPr>
          <w:sz w:val="18"/>
          <w:szCs w:val="18"/>
        </w:rPr>
        <w:t xml:space="preserve"> aunque el demandante haya indicado una vía procesal inadecuada, mediante auto en el que dispondrá:(…)</w:t>
      </w:r>
    </w:p>
    <w:p w14:paraId="448ED897" w14:textId="77777777" w:rsidR="009F3932" w:rsidRPr="00DC6195" w:rsidRDefault="009F3932" w:rsidP="009F3932">
      <w:pPr>
        <w:pStyle w:val="Textonotapie"/>
        <w:jc w:val="both"/>
        <w:rPr>
          <w:rFonts w:ascii="Arial" w:hAnsi="Arial" w:cs="Arial"/>
          <w:color w:val="0070C0"/>
          <w:sz w:val="16"/>
          <w:szCs w:val="16"/>
        </w:rPr>
      </w:pPr>
      <w:r w:rsidRPr="009F3932">
        <w:rPr>
          <w:sz w:val="18"/>
          <w:szCs w:val="18"/>
        </w:rPr>
        <w:t>5. Que cuando se demande la nulidad de un acto administrativo en que pueda estar interesada la comunidad, se informe a esta de la existencia del proceso a través del sitio web de la Jurisdicción de lo Contencioso Administrativo. Lo anterior, sin perjuicio de que el juez, cuando lo estime necesario, disponga simultáneamente la divulgación a través de otros medios de comunicación, teniendo en cuenta el alcance o ámbito de aplicación del acto demandado.”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3" w:type="dxa"/>
      <w:jc w:val="center"/>
      <w:tblLayout w:type="fixed"/>
      <w:tblLook w:val="01E0" w:firstRow="1" w:lastRow="1" w:firstColumn="1" w:lastColumn="1" w:noHBand="0" w:noVBand="0"/>
    </w:tblPr>
    <w:tblGrid>
      <w:gridCol w:w="1701"/>
      <w:gridCol w:w="284"/>
      <w:gridCol w:w="3118"/>
    </w:tblGrid>
    <w:tr w:rsidR="001C17B6" w:rsidRPr="001C17B6" w14:paraId="015A4F64" w14:textId="77777777" w:rsidTr="001C17B6">
      <w:trPr>
        <w:jc w:val="center"/>
      </w:trPr>
      <w:tc>
        <w:tcPr>
          <w:tcW w:w="1701" w:type="dxa"/>
          <w:shd w:val="clear" w:color="auto" w:fill="auto"/>
        </w:tcPr>
        <w:p w14:paraId="0E320D12" w14:textId="77777777" w:rsidR="001C17B6" w:rsidRPr="001C17B6" w:rsidRDefault="001C17B6" w:rsidP="001C17B6">
          <w:pPr>
            <w:pStyle w:val="Ttulo8"/>
            <w:jc w:val="both"/>
            <w:rPr>
              <w:rFonts w:ascii="Times New Roman" w:hAnsi="Times New Roman"/>
              <w:b w:val="0"/>
              <w:sz w:val="20"/>
            </w:rPr>
          </w:pPr>
          <w:r w:rsidRPr="001C17B6">
            <w:rPr>
              <w:rFonts w:ascii="Times New Roman" w:hAnsi="Times New Roman"/>
              <w:b w:val="0"/>
              <w:sz w:val="20"/>
            </w:rPr>
            <w:t xml:space="preserve">Medio de Control </w:t>
          </w:r>
        </w:p>
      </w:tc>
      <w:tc>
        <w:tcPr>
          <w:tcW w:w="284" w:type="dxa"/>
          <w:shd w:val="clear" w:color="auto" w:fill="auto"/>
        </w:tcPr>
        <w:p w14:paraId="312C1C05" w14:textId="77777777" w:rsidR="001C17B6" w:rsidRPr="001C17B6" w:rsidRDefault="001C17B6" w:rsidP="001C17B6">
          <w:pPr>
            <w:pStyle w:val="Ttulo8"/>
            <w:jc w:val="both"/>
            <w:rPr>
              <w:rFonts w:ascii="Times New Roman" w:hAnsi="Times New Roman"/>
              <w:b w:val="0"/>
              <w:sz w:val="20"/>
            </w:rPr>
          </w:pPr>
          <w:r w:rsidRPr="001C17B6">
            <w:rPr>
              <w:rFonts w:ascii="Times New Roman" w:hAnsi="Times New Roman"/>
              <w:b w:val="0"/>
              <w:sz w:val="20"/>
            </w:rPr>
            <w:t>:</w:t>
          </w:r>
        </w:p>
      </w:tc>
      <w:tc>
        <w:tcPr>
          <w:tcW w:w="3118" w:type="dxa"/>
          <w:shd w:val="clear" w:color="auto" w:fill="auto"/>
        </w:tcPr>
        <w:p w14:paraId="043BB34D" w14:textId="77777777" w:rsidR="001C17B6" w:rsidRPr="001C17B6" w:rsidRDefault="001C17B6" w:rsidP="001C17B6">
          <w:pPr>
            <w:pStyle w:val="Ttulo8"/>
            <w:jc w:val="both"/>
            <w:rPr>
              <w:rFonts w:ascii="Times New Roman" w:hAnsi="Times New Roman"/>
              <w:b w:val="0"/>
              <w:sz w:val="20"/>
            </w:rPr>
          </w:pPr>
          <w:r w:rsidRPr="001C17B6">
            <w:rPr>
              <w:rFonts w:ascii="Times New Roman" w:hAnsi="Times New Roman"/>
              <w:b w:val="0"/>
              <w:sz w:val="20"/>
            </w:rPr>
            <w:t xml:space="preserve">Nulidad simple </w:t>
          </w:r>
        </w:p>
      </w:tc>
    </w:tr>
    <w:tr w:rsidR="001C17B6" w:rsidRPr="001C17B6" w14:paraId="65E46EA4" w14:textId="77777777" w:rsidTr="001C17B6">
      <w:trPr>
        <w:jc w:val="center"/>
      </w:trPr>
      <w:tc>
        <w:tcPr>
          <w:tcW w:w="1701" w:type="dxa"/>
          <w:shd w:val="clear" w:color="auto" w:fill="auto"/>
        </w:tcPr>
        <w:p w14:paraId="00A46E92" w14:textId="77777777" w:rsidR="001C17B6" w:rsidRPr="001C17B6" w:rsidRDefault="001C17B6" w:rsidP="001C17B6">
          <w:pPr>
            <w:pStyle w:val="Ttulo8"/>
            <w:jc w:val="both"/>
            <w:rPr>
              <w:rFonts w:ascii="Times New Roman" w:hAnsi="Times New Roman"/>
              <w:b w:val="0"/>
              <w:sz w:val="20"/>
            </w:rPr>
          </w:pPr>
          <w:r w:rsidRPr="001C17B6">
            <w:rPr>
              <w:rFonts w:ascii="Times New Roman" w:hAnsi="Times New Roman"/>
              <w:b w:val="0"/>
              <w:sz w:val="20"/>
            </w:rPr>
            <w:t>Demandante</w:t>
          </w:r>
        </w:p>
      </w:tc>
      <w:tc>
        <w:tcPr>
          <w:tcW w:w="284" w:type="dxa"/>
          <w:shd w:val="clear" w:color="auto" w:fill="auto"/>
        </w:tcPr>
        <w:p w14:paraId="3F329635" w14:textId="77777777" w:rsidR="001C17B6" w:rsidRPr="001C17B6" w:rsidRDefault="001C17B6" w:rsidP="001C17B6">
          <w:pPr>
            <w:pStyle w:val="Ttulo8"/>
            <w:jc w:val="both"/>
            <w:rPr>
              <w:rFonts w:ascii="Times New Roman" w:hAnsi="Times New Roman"/>
              <w:b w:val="0"/>
              <w:sz w:val="20"/>
            </w:rPr>
          </w:pPr>
          <w:r w:rsidRPr="001C17B6">
            <w:rPr>
              <w:rFonts w:ascii="Times New Roman" w:hAnsi="Times New Roman"/>
              <w:b w:val="0"/>
              <w:sz w:val="20"/>
            </w:rPr>
            <w:t>:</w:t>
          </w:r>
        </w:p>
      </w:tc>
      <w:tc>
        <w:tcPr>
          <w:tcW w:w="3118" w:type="dxa"/>
          <w:shd w:val="clear" w:color="auto" w:fill="auto"/>
        </w:tcPr>
        <w:p w14:paraId="12B932F4" w14:textId="77777777" w:rsidR="001C17B6" w:rsidRPr="001C17B6" w:rsidRDefault="001C17B6" w:rsidP="001C17B6">
          <w:pPr>
            <w:pStyle w:val="Ttulo8"/>
            <w:jc w:val="both"/>
            <w:rPr>
              <w:rFonts w:ascii="Times New Roman" w:hAnsi="Times New Roman"/>
              <w:b w:val="0"/>
              <w:sz w:val="20"/>
            </w:rPr>
          </w:pPr>
          <w:r w:rsidRPr="001C17B6">
            <w:rPr>
              <w:rFonts w:ascii="Times New Roman" w:hAnsi="Times New Roman"/>
              <w:b w:val="0"/>
              <w:sz w:val="20"/>
            </w:rPr>
            <w:t>Leonel Nevardo Buitrago Carreño</w:t>
          </w:r>
        </w:p>
      </w:tc>
    </w:tr>
    <w:tr w:rsidR="001C17B6" w:rsidRPr="001C17B6" w14:paraId="09462AC7" w14:textId="77777777" w:rsidTr="001C17B6">
      <w:trPr>
        <w:jc w:val="center"/>
      </w:trPr>
      <w:tc>
        <w:tcPr>
          <w:tcW w:w="1701" w:type="dxa"/>
          <w:shd w:val="clear" w:color="auto" w:fill="auto"/>
        </w:tcPr>
        <w:p w14:paraId="077565AB" w14:textId="77777777" w:rsidR="001C17B6" w:rsidRPr="001C17B6" w:rsidRDefault="001C17B6" w:rsidP="001C17B6">
          <w:pPr>
            <w:pStyle w:val="Ttulo8"/>
            <w:jc w:val="both"/>
            <w:rPr>
              <w:rFonts w:ascii="Times New Roman" w:hAnsi="Times New Roman"/>
              <w:b w:val="0"/>
              <w:sz w:val="20"/>
            </w:rPr>
          </w:pPr>
          <w:r w:rsidRPr="001C17B6">
            <w:rPr>
              <w:rFonts w:ascii="Times New Roman" w:hAnsi="Times New Roman"/>
              <w:b w:val="0"/>
              <w:sz w:val="20"/>
            </w:rPr>
            <w:t>Demandado</w:t>
          </w:r>
        </w:p>
      </w:tc>
      <w:tc>
        <w:tcPr>
          <w:tcW w:w="284" w:type="dxa"/>
          <w:shd w:val="clear" w:color="auto" w:fill="auto"/>
        </w:tcPr>
        <w:p w14:paraId="3DCA0DAA" w14:textId="77777777" w:rsidR="001C17B6" w:rsidRPr="001C17B6" w:rsidRDefault="001C17B6" w:rsidP="001C17B6">
          <w:pPr>
            <w:pStyle w:val="Ttulo8"/>
            <w:jc w:val="both"/>
            <w:rPr>
              <w:rFonts w:ascii="Times New Roman" w:hAnsi="Times New Roman"/>
              <w:b w:val="0"/>
              <w:sz w:val="20"/>
            </w:rPr>
          </w:pPr>
          <w:r w:rsidRPr="001C17B6">
            <w:rPr>
              <w:rFonts w:ascii="Times New Roman" w:hAnsi="Times New Roman"/>
              <w:b w:val="0"/>
              <w:sz w:val="20"/>
            </w:rPr>
            <w:t>:</w:t>
          </w:r>
        </w:p>
      </w:tc>
      <w:tc>
        <w:tcPr>
          <w:tcW w:w="3118" w:type="dxa"/>
          <w:shd w:val="clear" w:color="auto" w:fill="auto"/>
        </w:tcPr>
        <w:p w14:paraId="0B7B039C" w14:textId="77777777" w:rsidR="001C17B6" w:rsidRPr="001C17B6" w:rsidRDefault="001C17B6" w:rsidP="001C17B6">
          <w:pPr>
            <w:pStyle w:val="Ttulo8"/>
            <w:jc w:val="both"/>
            <w:rPr>
              <w:rFonts w:ascii="Times New Roman" w:hAnsi="Times New Roman"/>
              <w:b w:val="0"/>
              <w:sz w:val="20"/>
            </w:rPr>
          </w:pPr>
          <w:r w:rsidRPr="001C17B6">
            <w:rPr>
              <w:rFonts w:ascii="Times New Roman" w:hAnsi="Times New Roman"/>
              <w:b w:val="0"/>
              <w:sz w:val="20"/>
            </w:rPr>
            <w:t xml:space="preserve">Departamento de Boyacá </w:t>
          </w:r>
        </w:p>
      </w:tc>
    </w:tr>
    <w:tr w:rsidR="001C17B6" w:rsidRPr="001C17B6" w14:paraId="54959DE0" w14:textId="77777777" w:rsidTr="001C17B6">
      <w:trPr>
        <w:jc w:val="center"/>
      </w:trPr>
      <w:tc>
        <w:tcPr>
          <w:tcW w:w="1701" w:type="dxa"/>
          <w:shd w:val="clear" w:color="auto" w:fill="auto"/>
        </w:tcPr>
        <w:p w14:paraId="63E3C31F" w14:textId="77777777" w:rsidR="001C17B6" w:rsidRPr="001C17B6" w:rsidRDefault="001C17B6" w:rsidP="001C17B6">
          <w:pPr>
            <w:pStyle w:val="Ttulo8"/>
            <w:jc w:val="both"/>
            <w:rPr>
              <w:rFonts w:ascii="Times New Roman" w:hAnsi="Times New Roman"/>
              <w:b w:val="0"/>
              <w:sz w:val="20"/>
            </w:rPr>
          </w:pPr>
          <w:r w:rsidRPr="001C17B6">
            <w:rPr>
              <w:rFonts w:ascii="Times New Roman" w:hAnsi="Times New Roman"/>
              <w:b w:val="0"/>
              <w:sz w:val="20"/>
            </w:rPr>
            <w:t>Expediente</w:t>
          </w:r>
        </w:p>
      </w:tc>
      <w:tc>
        <w:tcPr>
          <w:tcW w:w="284" w:type="dxa"/>
          <w:shd w:val="clear" w:color="auto" w:fill="auto"/>
        </w:tcPr>
        <w:p w14:paraId="33C16A42" w14:textId="77777777" w:rsidR="001C17B6" w:rsidRPr="001C17B6" w:rsidRDefault="001C17B6" w:rsidP="001C17B6">
          <w:pPr>
            <w:pStyle w:val="Ttulo8"/>
            <w:jc w:val="both"/>
            <w:rPr>
              <w:rFonts w:ascii="Times New Roman" w:hAnsi="Times New Roman"/>
              <w:b w:val="0"/>
              <w:sz w:val="20"/>
            </w:rPr>
          </w:pPr>
          <w:r w:rsidRPr="001C17B6">
            <w:rPr>
              <w:rFonts w:ascii="Times New Roman" w:hAnsi="Times New Roman"/>
              <w:b w:val="0"/>
              <w:sz w:val="20"/>
            </w:rPr>
            <w:t>:</w:t>
          </w:r>
        </w:p>
      </w:tc>
      <w:tc>
        <w:tcPr>
          <w:tcW w:w="3118" w:type="dxa"/>
          <w:shd w:val="clear" w:color="auto" w:fill="auto"/>
        </w:tcPr>
        <w:p w14:paraId="1E163255" w14:textId="77777777" w:rsidR="001C17B6" w:rsidRPr="001C17B6" w:rsidRDefault="001C17B6" w:rsidP="001C17B6">
          <w:pPr>
            <w:pStyle w:val="Ttulo8"/>
            <w:jc w:val="both"/>
            <w:rPr>
              <w:rFonts w:ascii="Times New Roman" w:hAnsi="Times New Roman"/>
              <w:b w:val="0"/>
              <w:sz w:val="20"/>
            </w:rPr>
          </w:pPr>
          <w:r w:rsidRPr="001C17B6">
            <w:rPr>
              <w:rFonts w:ascii="Times New Roman" w:hAnsi="Times New Roman"/>
              <w:b w:val="0"/>
              <w:sz w:val="20"/>
            </w:rPr>
            <w:t>15001-23-33-000-2022-00084-00</w:t>
          </w:r>
        </w:p>
      </w:tc>
    </w:tr>
  </w:tbl>
  <w:p w14:paraId="423F495B" w14:textId="5FAF4D0D" w:rsidR="00E12D43" w:rsidRDefault="00E12D43" w:rsidP="00A231A6">
    <w:pPr>
      <w:pStyle w:val="Encabezado"/>
      <w:jc w:val="right"/>
    </w:pPr>
    <w:r>
      <w:fldChar w:fldCharType="begin"/>
    </w:r>
    <w:r>
      <w:instrText xml:space="preserve"> PAGE   \* MERGEFORMAT </w:instrText>
    </w:r>
    <w:r>
      <w:fldChar w:fldCharType="separate"/>
    </w:r>
    <w:r w:rsidR="00DD0EB3">
      <w:rPr>
        <w:noProof/>
      </w:rPr>
      <w:t>2</w:t>
    </w:r>
    <w:r>
      <w:fldChar w:fldCharType="end"/>
    </w:r>
  </w:p>
</w:hdr>
</file>

<file path=word/intelligence2.xml><?xml version="1.0" encoding="utf-8"?>
<int2:intelligence xmlns:int2="http://schemas.microsoft.com/office/intelligence/2020/intelligence">
  <int2:observations>
    <int2:textHash int2:hashCode="zp9EvD00gTO0ci" int2:id="V9J7kxy0">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53CF"/>
    <w:multiLevelType w:val="hybridMultilevel"/>
    <w:tmpl w:val="5BD09EB0"/>
    <w:lvl w:ilvl="0" w:tplc="451E08DC">
      <w:start w:val="1"/>
      <w:numFmt w:val="decimal"/>
      <w:lvlText w:val="%1."/>
      <w:lvlJc w:val="left"/>
      <w:pPr>
        <w:ind w:left="1069" w:hanging="360"/>
      </w:pPr>
      <w:rPr>
        <w:rFonts w:hint="default"/>
        <w:u w:val="none"/>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EF"/>
    <w:rsid w:val="00001E78"/>
    <w:rsid w:val="00003648"/>
    <w:rsid w:val="000255B5"/>
    <w:rsid w:val="00034C4C"/>
    <w:rsid w:val="000517E5"/>
    <w:rsid w:val="00060F04"/>
    <w:rsid w:val="000A2B33"/>
    <w:rsid w:val="001420B8"/>
    <w:rsid w:val="00142B0A"/>
    <w:rsid w:val="00154014"/>
    <w:rsid w:val="00154616"/>
    <w:rsid w:val="0016110E"/>
    <w:rsid w:val="001C17B6"/>
    <w:rsid w:val="001C4F84"/>
    <w:rsid w:val="001F78DD"/>
    <w:rsid w:val="0024055E"/>
    <w:rsid w:val="00275390"/>
    <w:rsid w:val="002931C7"/>
    <w:rsid w:val="0033113A"/>
    <w:rsid w:val="00356560"/>
    <w:rsid w:val="003566D5"/>
    <w:rsid w:val="003704FA"/>
    <w:rsid w:val="003A4400"/>
    <w:rsid w:val="003B1BA1"/>
    <w:rsid w:val="003C7BCE"/>
    <w:rsid w:val="003D693F"/>
    <w:rsid w:val="0040075C"/>
    <w:rsid w:val="00404BA3"/>
    <w:rsid w:val="004073C3"/>
    <w:rsid w:val="00486279"/>
    <w:rsid w:val="00490FF0"/>
    <w:rsid w:val="00497E07"/>
    <w:rsid w:val="004C0038"/>
    <w:rsid w:val="004D2CA3"/>
    <w:rsid w:val="004E2A7F"/>
    <w:rsid w:val="00502D29"/>
    <w:rsid w:val="0052058E"/>
    <w:rsid w:val="005209A6"/>
    <w:rsid w:val="00554F79"/>
    <w:rsid w:val="005F0138"/>
    <w:rsid w:val="00637416"/>
    <w:rsid w:val="006929DA"/>
    <w:rsid w:val="007113D0"/>
    <w:rsid w:val="007311ED"/>
    <w:rsid w:val="00736930"/>
    <w:rsid w:val="00750910"/>
    <w:rsid w:val="00792211"/>
    <w:rsid w:val="007B4E99"/>
    <w:rsid w:val="007C6CE9"/>
    <w:rsid w:val="007D285F"/>
    <w:rsid w:val="008051FA"/>
    <w:rsid w:val="00846DB4"/>
    <w:rsid w:val="00861FB9"/>
    <w:rsid w:val="00877342"/>
    <w:rsid w:val="00886551"/>
    <w:rsid w:val="008D79DE"/>
    <w:rsid w:val="00911F8A"/>
    <w:rsid w:val="009B2810"/>
    <w:rsid w:val="009C2751"/>
    <w:rsid w:val="009D371F"/>
    <w:rsid w:val="009F3932"/>
    <w:rsid w:val="00A05351"/>
    <w:rsid w:val="00A127F9"/>
    <w:rsid w:val="00A231A6"/>
    <w:rsid w:val="00A24F1D"/>
    <w:rsid w:val="00A422B5"/>
    <w:rsid w:val="00B20392"/>
    <w:rsid w:val="00B21DBE"/>
    <w:rsid w:val="00B22ECA"/>
    <w:rsid w:val="00B24EA6"/>
    <w:rsid w:val="00B31FCB"/>
    <w:rsid w:val="00B45071"/>
    <w:rsid w:val="00B50726"/>
    <w:rsid w:val="00B71C24"/>
    <w:rsid w:val="00B76EB3"/>
    <w:rsid w:val="00BC19CC"/>
    <w:rsid w:val="00BD1BDD"/>
    <w:rsid w:val="00BD5563"/>
    <w:rsid w:val="00BD659B"/>
    <w:rsid w:val="00BE2402"/>
    <w:rsid w:val="00BF38AD"/>
    <w:rsid w:val="00C00B5F"/>
    <w:rsid w:val="00C01BB2"/>
    <w:rsid w:val="00C160EF"/>
    <w:rsid w:val="00C277C2"/>
    <w:rsid w:val="00C66EA5"/>
    <w:rsid w:val="00C6739D"/>
    <w:rsid w:val="00CA41F4"/>
    <w:rsid w:val="00CA4368"/>
    <w:rsid w:val="00CD45A0"/>
    <w:rsid w:val="00CF4E81"/>
    <w:rsid w:val="00D05999"/>
    <w:rsid w:val="00D433C4"/>
    <w:rsid w:val="00D46318"/>
    <w:rsid w:val="00DD0EB3"/>
    <w:rsid w:val="00DD2340"/>
    <w:rsid w:val="00E12D43"/>
    <w:rsid w:val="00E66EC1"/>
    <w:rsid w:val="00E77921"/>
    <w:rsid w:val="00E91843"/>
    <w:rsid w:val="00E94F2A"/>
    <w:rsid w:val="00EC7584"/>
    <w:rsid w:val="00ED5510"/>
    <w:rsid w:val="00EF62B6"/>
    <w:rsid w:val="00F454EF"/>
    <w:rsid w:val="00F50FEE"/>
    <w:rsid w:val="00F5458A"/>
    <w:rsid w:val="00F56C63"/>
    <w:rsid w:val="00F85F37"/>
    <w:rsid w:val="00F91E98"/>
    <w:rsid w:val="00F96BB5"/>
    <w:rsid w:val="00FA5A4A"/>
    <w:rsid w:val="00FC4BAD"/>
    <w:rsid w:val="00FE514C"/>
    <w:rsid w:val="03810A57"/>
    <w:rsid w:val="0A871E72"/>
    <w:rsid w:val="0C22EED3"/>
    <w:rsid w:val="12923057"/>
    <w:rsid w:val="260A9485"/>
    <w:rsid w:val="2DD9CBF1"/>
    <w:rsid w:val="306171BF"/>
    <w:rsid w:val="416B587C"/>
    <w:rsid w:val="57DF82F3"/>
    <w:rsid w:val="5FEA94D8"/>
    <w:rsid w:val="6F3F82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518B5"/>
  <w15:chartTrackingRefBased/>
  <w15:docId w15:val="{194F2140-8A75-4C92-98EB-CB8439A0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0EF"/>
    <w:rPr>
      <w:sz w:val="24"/>
      <w:szCs w:val="24"/>
      <w:lang w:val="es-ES" w:eastAsia="es-ES"/>
    </w:rPr>
  </w:style>
  <w:style w:type="paragraph" w:styleId="Ttulo8">
    <w:name w:val="heading 8"/>
    <w:basedOn w:val="Normal"/>
    <w:next w:val="Normal"/>
    <w:link w:val="Ttulo8Car"/>
    <w:qFormat/>
    <w:rsid w:val="00C160EF"/>
    <w:pPr>
      <w:keepNext/>
      <w:jc w:val="center"/>
      <w:outlineLvl w:val="7"/>
    </w:pPr>
    <w:rPr>
      <w:rFonts w:ascii="Arial" w:hAnsi="Arial"/>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link w:val="Ttulo8"/>
    <w:rsid w:val="00C160EF"/>
    <w:rPr>
      <w:rFonts w:ascii="Arial" w:hAnsi="Arial"/>
      <w:b/>
      <w:sz w:val="24"/>
      <w:lang w:val="es-ES" w:eastAsia="es-ES" w:bidi="ar-SA"/>
    </w:rPr>
  </w:style>
  <w:style w:type="paragraph" w:styleId="Encabezado">
    <w:name w:val="header"/>
    <w:basedOn w:val="Normal"/>
    <w:link w:val="EncabezadoCar"/>
    <w:unhideWhenUsed/>
    <w:rsid w:val="00C160EF"/>
    <w:pPr>
      <w:tabs>
        <w:tab w:val="center" w:pos="4252"/>
        <w:tab w:val="right" w:pos="8504"/>
      </w:tabs>
      <w:overflowPunct w:val="0"/>
      <w:autoSpaceDE w:val="0"/>
      <w:autoSpaceDN w:val="0"/>
      <w:adjustRightInd w:val="0"/>
    </w:pPr>
    <w:rPr>
      <w:szCs w:val="20"/>
      <w:lang w:val="es-ES_tradnl"/>
    </w:rPr>
  </w:style>
  <w:style w:type="character" w:customStyle="1" w:styleId="EncabezadoCar">
    <w:name w:val="Encabezado Car"/>
    <w:link w:val="Encabezado"/>
    <w:rsid w:val="00C160EF"/>
    <w:rPr>
      <w:sz w:val="24"/>
      <w:lang w:val="es-ES_tradnl" w:eastAsia="es-ES" w:bidi="ar-SA"/>
    </w:rPr>
  </w:style>
  <w:style w:type="paragraph" w:styleId="Textoindependiente">
    <w:name w:val="Body Text"/>
    <w:basedOn w:val="Normal"/>
    <w:link w:val="TextoindependienteCar"/>
    <w:semiHidden/>
    <w:unhideWhenUsed/>
    <w:rsid w:val="00C160EF"/>
    <w:pPr>
      <w:tabs>
        <w:tab w:val="left" w:pos="-720"/>
      </w:tabs>
      <w:suppressAutoHyphens/>
      <w:spacing w:line="360" w:lineRule="auto"/>
      <w:jc w:val="both"/>
    </w:pPr>
    <w:rPr>
      <w:rFonts w:ascii="Arial" w:hAnsi="Arial" w:cs="Arial"/>
      <w:spacing w:val="-3"/>
    </w:rPr>
  </w:style>
  <w:style w:type="character" w:customStyle="1" w:styleId="TextoindependienteCar">
    <w:name w:val="Texto independiente Car"/>
    <w:link w:val="Textoindependiente"/>
    <w:semiHidden/>
    <w:rsid w:val="00C160EF"/>
    <w:rPr>
      <w:rFonts w:ascii="Arial" w:hAnsi="Arial" w:cs="Arial"/>
      <w:spacing w:val="-3"/>
      <w:sz w:val="24"/>
      <w:szCs w:val="24"/>
      <w:lang w:val="es-ES" w:eastAsia="es-ES" w:bidi="ar-SA"/>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ootnote Text Char,Car,FA Fu C"/>
    <w:basedOn w:val="Normal"/>
    <w:link w:val="TextonotapieCar"/>
    <w:qFormat/>
    <w:rsid w:val="00C160EF"/>
    <w:rPr>
      <w:sz w:val="20"/>
      <w:szCs w:val="20"/>
    </w:rPr>
  </w:style>
  <w:style w:type="character" w:styleId="Refdenotaalpie">
    <w:name w:val="footnote reference"/>
    <w:aliases w:val="Ref. de nota al pie 2,Texto de nota al pie,Pie de Página,FC,Footnotes refss,Texto de nota al pi,Appel note de bas de page,Footnote number,referencia nota al pie,BVI fnr,f,4_G,16 Point,Superscript 6 Point,Texto nota al pie,Pie de Pàgi"/>
    <w:qFormat/>
    <w:rsid w:val="00C160EF"/>
    <w:rPr>
      <w:vertAlign w:val="superscript"/>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ootnote Text Char Car"/>
    <w:link w:val="Textonotapie"/>
    <w:locked/>
    <w:rsid w:val="00C160EF"/>
    <w:rPr>
      <w:lang w:val="es-ES" w:eastAsia="es-ES" w:bidi="ar-SA"/>
    </w:rPr>
  </w:style>
  <w:style w:type="paragraph" w:styleId="Textoindependiente3">
    <w:name w:val="Body Text 3"/>
    <w:basedOn w:val="Normal"/>
    <w:rsid w:val="00C160EF"/>
    <w:pPr>
      <w:spacing w:after="120"/>
    </w:pPr>
    <w:rPr>
      <w:sz w:val="16"/>
      <w:szCs w:val="16"/>
    </w:rPr>
  </w:style>
  <w:style w:type="paragraph" w:customStyle="1" w:styleId="Textoindependiente21">
    <w:name w:val="Texto independiente 21"/>
    <w:basedOn w:val="Normal"/>
    <w:rsid w:val="00C160EF"/>
    <w:pPr>
      <w:overflowPunct w:val="0"/>
      <w:autoSpaceDE w:val="0"/>
      <w:autoSpaceDN w:val="0"/>
      <w:adjustRightInd w:val="0"/>
      <w:spacing w:line="360" w:lineRule="auto"/>
      <w:jc w:val="both"/>
      <w:textAlignment w:val="baseline"/>
    </w:pPr>
    <w:rPr>
      <w:rFonts w:ascii="Arial" w:hAnsi="Arial"/>
      <w:color w:val="000000"/>
      <w:sz w:val="28"/>
      <w:szCs w:val="20"/>
      <w:lang w:val="es-ES_tradnl"/>
    </w:rPr>
  </w:style>
  <w:style w:type="paragraph" w:styleId="Piedepgina">
    <w:name w:val="footer"/>
    <w:basedOn w:val="Normal"/>
    <w:rsid w:val="006929DA"/>
    <w:pPr>
      <w:tabs>
        <w:tab w:val="center" w:pos="4252"/>
        <w:tab w:val="right" w:pos="8504"/>
      </w:tabs>
    </w:pPr>
  </w:style>
  <w:style w:type="paragraph" w:styleId="Textodeglobo">
    <w:name w:val="Balloon Text"/>
    <w:basedOn w:val="Normal"/>
    <w:link w:val="TextodegloboCar"/>
    <w:rsid w:val="005F0138"/>
    <w:rPr>
      <w:rFonts w:ascii="Segoe UI" w:hAnsi="Segoe UI" w:cs="Segoe UI"/>
      <w:sz w:val="18"/>
      <w:szCs w:val="18"/>
    </w:rPr>
  </w:style>
  <w:style w:type="character" w:customStyle="1" w:styleId="TextodegloboCar">
    <w:name w:val="Texto de globo Car"/>
    <w:link w:val="Textodeglobo"/>
    <w:rsid w:val="005F0138"/>
    <w:rPr>
      <w:rFonts w:ascii="Segoe UI" w:hAnsi="Segoe UI" w:cs="Segoe UI"/>
      <w:sz w:val="18"/>
      <w:szCs w:val="18"/>
      <w:lang w:val="es-ES" w:eastAsia="es-ES"/>
    </w:rPr>
  </w:style>
  <w:style w:type="character" w:customStyle="1" w:styleId="apple-converted-space">
    <w:name w:val="apple-converted-space"/>
    <w:rsid w:val="00DD2340"/>
  </w:style>
  <w:style w:type="character" w:styleId="Hipervnculo">
    <w:name w:val="Hyperlink"/>
    <w:uiPriority w:val="99"/>
    <w:unhideWhenUsed/>
    <w:rsid w:val="00DD2340"/>
    <w:rPr>
      <w:color w:val="0000FF"/>
      <w:u w:val="single"/>
    </w:rPr>
  </w:style>
  <w:style w:type="paragraph" w:styleId="NormalWeb">
    <w:name w:val="Normal (Web)"/>
    <w:basedOn w:val="Normal"/>
    <w:uiPriority w:val="99"/>
    <w:unhideWhenUsed/>
    <w:rsid w:val="001F78DD"/>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81229">
      <w:bodyDiv w:val="1"/>
      <w:marLeft w:val="0"/>
      <w:marRight w:val="0"/>
      <w:marTop w:val="0"/>
      <w:marBottom w:val="0"/>
      <w:divBdr>
        <w:top w:val="none" w:sz="0" w:space="0" w:color="auto"/>
        <w:left w:val="none" w:sz="0" w:space="0" w:color="auto"/>
        <w:bottom w:val="none" w:sz="0" w:space="0" w:color="auto"/>
        <w:right w:val="none" w:sz="0" w:space="0" w:color="auto"/>
      </w:divBdr>
    </w:div>
    <w:div w:id="1620138119">
      <w:bodyDiv w:val="1"/>
      <w:marLeft w:val="0"/>
      <w:marRight w:val="0"/>
      <w:marTop w:val="0"/>
      <w:marBottom w:val="0"/>
      <w:divBdr>
        <w:top w:val="none" w:sz="0" w:space="0" w:color="auto"/>
        <w:left w:val="none" w:sz="0" w:space="0" w:color="auto"/>
        <w:bottom w:val="none" w:sz="0" w:space="0" w:color="auto"/>
        <w:right w:val="none" w:sz="0" w:space="0" w:color="auto"/>
      </w:divBdr>
    </w:div>
    <w:div w:id="210588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218cafe92130488e"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cretariasenado.gov.co/senado/basedoc/ley_1437_2011_pr003.htm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CD5AFAD2AB8B04697BA6D3B76A92F30" ma:contentTypeVersion="14" ma:contentTypeDescription="Crear nuevo documento." ma:contentTypeScope="" ma:versionID="033fef4fd03b5379dc61962ffcf9fa31">
  <xsd:schema xmlns:xsd="http://www.w3.org/2001/XMLSchema" xmlns:xs="http://www.w3.org/2001/XMLSchema" xmlns:p="http://schemas.microsoft.com/office/2006/metadata/properties" xmlns:ns2="f4e7b1d2-d9d8-4be6-a468-264bc75ebb9f" xmlns:ns3="263eb5da-2fbb-442b-8ecc-8a249418e2b8" targetNamespace="http://schemas.microsoft.com/office/2006/metadata/properties" ma:root="true" ma:fieldsID="da58def42a8fad0772b43408546d2a76" ns2:_="" ns3:_="">
    <xsd:import namespace="f4e7b1d2-d9d8-4be6-a468-264bc75ebb9f"/>
    <xsd:import namespace="263eb5da-2fbb-442b-8ecc-8a249418e2b8"/>
    <xsd:element name="properties">
      <xsd:complexType>
        <xsd:sequence>
          <xsd:element name="documentManagement">
            <xsd:complexType>
              <xsd:all>
                <xsd:element ref="ns2:MediaServiceMetadata" minOccurs="0"/>
                <xsd:element ref="ns2:MediaServiceFastMetadata" minOccurs="0"/>
                <xsd:element ref="ns2:qwjf"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7b1d2-d9d8-4be6-a468-264bc75eb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qwjf" ma:index="10" nillable="true" ma:displayName="ANOTACION" ma:internalName="qwjf">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eb5da-2fbb-442b-8ecc-8a249418e2b8"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f39911f4-d6d2-45e4-af5f-97661dfba13f}" ma:internalName="TaxCatchAll" ma:showField="CatchAllData" ma:web="263eb5da-2fbb-442b-8ecc-8a249418e2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qwjf xmlns="f4e7b1d2-d9d8-4be6-a468-264bc75ebb9f" xsi:nil="true"/>
    <TaxCatchAll xmlns="263eb5da-2fbb-442b-8ecc-8a249418e2b8" xsi:nil="true"/>
    <lcf76f155ced4ddcb4097134ff3c332f xmlns="f4e7b1d2-d9d8-4be6-a468-264bc75ebb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451F1A-316C-4A8B-91AB-94B66CB3D26E}">
  <ds:schemaRefs>
    <ds:schemaRef ds:uri="http://schemas.microsoft.com/sharepoint/v3/contenttype/forms"/>
  </ds:schemaRefs>
</ds:datastoreItem>
</file>

<file path=customXml/itemProps2.xml><?xml version="1.0" encoding="utf-8"?>
<ds:datastoreItem xmlns:ds="http://schemas.openxmlformats.org/officeDocument/2006/customXml" ds:itemID="{079A964B-5F6E-4CC3-A3C0-413E5EC34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7b1d2-d9d8-4be6-a468-264bc75ebb9f"/>
    <ds:schemaRef ds:uri="263eb5da-2fbb-442b-8ecc-8a249418e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1F83C-700D-40C3-B441-4629B8FD0A24}">
  <ds:schemaRefs>
    <ds:schemaRef ds:uri="http://schemas.microsoft.com/office/2006/metadata/properties"/>
    <ds:schemaRef ds:uri="http://schemas.microsoft.com/office/infopath/2007/PartnerControls"/>
    <ds:schemaRef ds:uri="f4e7b1d2-d9d8-4be6-a468-264bc75ebb9f"/>
    <ds:schemaRef ds:uri="263eb5da-2fbb-442b-8ecc-8a249418e2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1127</Words>
  <Characters>6202</Characters>
  <Application>Microsoft Office Word</Application>
  <DocSecurity>0</DocSecurity>
  <Lines>51</Lines>
  <Paragraphs>14</Paragraphs>
  <ScaleCrop>false</ScaleCrop>
  <Company>DESAJ</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COLOMBIA</dc:title>
  <dc:subject/>
  <dc:creator>DBELTRAG</dc:creator>
  <cp:keywords/>
  <dc:description/>
  <cp:lastModifiedBy>Magda Lucia Agudelo Mendivelso</cp:lastModifiedBy>
  <cp:revision>8</cp:revision>
  <cp:lastPrinted>2017-08-04T20:38:00Z</cp:lastPrinted>
  <dcterms:created xsi:type="dcterms:W3CDTF">2022-06-15T19:31:00Z</dcterms:created>
  <dcterms:modified xsi:type="dcterms:W3CDTF">2022-06-16T16:06:00Z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0x010100CCD5AFAD2AB8B04697BA6D3B76A92F30</vt:lpwstr>
  </property>
  <property fmtid="{D5CDD505-2E9C-101B-9397-08002B2CF9AE}" pid="3" name="MediaServiceImageTags">
    <vt:lpwstr/>
  </property>
</Properties>
</file>