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E93157" w:rsidR="00300130" w:rsidP="00300130" w:rsidRDefault="00300130" w14:paraId="09FC5AA5" w14:textId="77777777">
      <w:pPr>
        <w:spacing w:after="0" w:line="240" w:lineRule="auto"/>
        <w:ind w:firstLine="708"/>
        <w:jc w:val="center"/>
        <w:rPr>
          <w:rFonts w:ascii="Times New Roman" w:hAnsi="Times New Roman" w:eastAsia="Times New Roman"/>
          <w:b/>
          <w:bCs/>
          <w:sz w:val="28"/>
          <w:szCs w:val="28"/>
          <w:lang w:val="es-ES_tradnl" w:eastAsia="es-ES"/>
        </w:rPr>
      </w:pPr>
      <w:r w:rsidRPr="00E93157">
        <w:rPr>
          <w:rFonts w:ascii="Times New Roman" w:hAnsi="Times New Roman" w:eastAsia="Times New Roman"/>
          <w:b/>
          <w:bCs/>
          <w:sz w:val="28"/>
          <w:szCs w:val="28"/>
          <w:lang w:val="es-ES_tradnl" w:eastAsia="es-ES"/>
        </w:rPr>
        <w:t>REPÚBLICA DE COLOMBIA</w:t>
      </w:r>
    </w:p>
    <w:p w:rsidRPr="00E93157" w:rsidR="00300130" w:rsidP="00300130" w:rsidRDefault="00300130" w14:paraId="312E1826" w14:textId="77777777">
      <w:pPr>
        <w:spacing w:after="0" w:line="240" w:lineRule="auto"/>
        <w:jc w:val="center"/>
        <w:rPr>
          <w:rFonts w:ascii="Times New Roman" w:hAnsi="Times New Roman" w:eastAsia="Times New Roman"/>
          <w:b/>
          <w:bCs/>
          <w:sz w:val="28"/>
          <w:szCs w:val="28"/>
          <w:lang w:val="es-ES_tradnl" w:eastAsia="es-ES"/>
        </w:rPr>
      </w:pPr>
      <w:r w:rsidRPr="00E93157">
        <w:rPr>
          <w:rFonts w:ascii="Times New Roman" w:hAnsi="Times New Roman" w:eastAsia="Times New Roman"/>
          <w:b/>
          <w:noProof/>
          <w:sz w:val="28"/>
          <w:szCs w:val="28"/>
          <w:lang w:val="en-US"/>
        </w:rPr>
        <w:drawing>
          <wp:inline distT="0" distB="0" distL="0" distR="0" wp14:anchorId="224079FA" wp14:editId="1E941DBA">
            <wp:extent cx="466725" cy="486410"/>
            <wp:effectExtent l="0" t="0" r="952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486410"/>
                    </a:xfrm>
                    <a:prstGeom prst="rect">
                      <a:avLst/>
                    </a:prstGeom>
                    <a:noFill/>
                    <a:ln>
                      <a:noFill/>
                    </a:ln>
                  </pic:spPr>
                </pic:pic>
              </a:graphicData>
            </a:graphic>
          </wp:inline>
        </w:drawing>
      </w:r>
    </w:p>
    <w:p w:rsidRPr="00E93157" w:rsidR="00300130" w:rsidP="00300130" w:rsidRDefault="00300130" w14:paraId="50614A16" w14:textId="77777777">
      <w:pPr>
        <w:tabs>
          <w:tab w:val="center" w:pos="4252"/>
          <w:tab w:val="right" w:pos="8504"/>
        </w:tabs>
        <w:spacing w:after="0" w:line="240" w:lineRule="auto"/>
        <w:jc w:val="center"/>
        <w:rPr>
          <w:rFonts w:ascii="Times New Roman" w:hAnsi="Times New Roman"/>
          <w:b/>
          <w:bCs/>
          <w:kern w:val="28"/>
          <w:sz w:val="28"/>
          <w:szCs w:val="28"/>
          <w:lang w:val="es-ES_tradnl" w:eastAsia="es-ES"/>
        </w:rPr>
      </w:pPr>
      <w:r w:rsidRPr="00E93157">
        <w:rPr>
          <w:rFonts w:ascii="Times New Roman" w:hAnsi="Times New Roman"/>
          <w:b/>
          <w:bCs/>
          <w:kern w:val="28"/>
          <w:sz w:val="28"/>
          <w:szCs w:val="28"/>
          <w:lang w:val="es-ES_tradnl" w:eastAsia="es-ES"/>
        </w:rPr>
        <w:t>TRIBUNAL ADMINISTRATIVO DE BOYACÁ</w:t>
      </w:r>
    </w:p>
    <w:p w:rsidRPr="00E93157" w:rsidR="00300130" w:rsidP="00300130" w:rsidRDefault="00710055" w14:paraId="3F64177E" w14:textId="0BE609A4">
      <w:pPr>
        <w:tabs>
          <w:tab w:val="center" w:pos="4252"/>
          <w:tab w:val="right" w:pos="8504"/>
        </w:tabs>
        <w:spacing w:after="0" w:line="240" w:lineRule="auto"/>
        <w:jc w:val="center"/>
        <w:rPr>
          <w:rFonts w:ascii="Times New Roman" w:hAnsi="Times New Roman"/>
          <w:b/>
          <w:bCs/>
          <w:kern w:val="28"/>
          <w:sz w:val="28"/>
          <w:szCs w:val="28"/>
          <w:lang w:val="es-ES_tradnl" w:eastAsia="es-ES"/>
        </w:rPr>
      </w:pPr>
      <w:r w:rsidRPr="00E93157">
        <w:rPr>
          <w:rFonts w:ascii="Times New Roman" w:hAnsi="Times New Roman"/>
          <w:b/>
          <w:bCs/>
          <w:kern w:val="28"/>
          <w:sz w:val="28"/>
          <w:szCs w:val="28"/>
          <w:lang w:val="es-ES_tradnl" w:eastAsia="es-ES"/>
        </w:rPr>
        <w:t>SALA DE DECISIÓN</w:t>
      </w:r>
      <w:r w:rsidRPr="00E93157" w:rsidR="00300130">
        <w:rPr>
          <w:rFonts w:ascii="Times New Roman" w:hAnsi="Times New Roman"/>
          <w:b/>
          <w:bCs/>
          <w:kern w:val="28"/>
          <w:sz w:val="28"/>
          <w:szCs w:val="28"/>
          <w:lang w:val="es-ES_tradnl" w:eastAsia="es-ES"/>
        </w:rPr>
        <w:t xml:space="preserve"> Nº 2 </w:t>
      </w:r>
    </w:p>
    <w:p w:rsidRPr="00E93157" w:rsidR="00300130" w:rsidP="00300130" w:rsidRDefault="00300130" w14:paraId="7DE60D05" w14:textId="77777777">
      <w:pPr>
        <w:tabs>
          <w:tab w:val="center" w:pos="4252"/>
          <w:tab w:val="right" w:pos="8504"/>
        </w:tabs>
        <w:spacing w:after="0"/>
        <w:rPr>
          <w:rFonts w:ascii="Times New Roman" w:hAnsi="Times New Roman"/>
          <w:b/>
          <w:bCs/>
          <w:kern w:val="28"/>
          <w:sz w:val="28"/>
          <w:szCs w:val="28"/>
          <w:lang w:val="es-ES_tradnl" w:eastAsia="es-ES"/>
        </w:rPr>
      </w:pPr>
    </w:p>
    <w:p w:rsidRPr="00E93157" w:rsidR="00300130" w:rsidP="00A10D5F" w:rsidRDefault="00300130" w14:paraId="7D8E6742" w14:textId="6520886C">
      <w:pPr>
        <w:tabs>
          <w:tab w:val="center" w:pos="4252"/>
          <w:tab w:val="right" w:pos="8504"/>
        </w:tabs>
        <w:spacing w:after="0" w:line="240" w:lineRule="auto"/>
        <w:rPr>
          <w:rFonts w:ascii="Times New Roman" w:hAnsi="Times New Roman"/>
          <w:kern w:val="28"/>
          <w:sz w:val="28"/>
          <w:szCs w:val="28"/>
          <w:lang w:val="es-ES_tradnl" w:eastAsia="es-ES"/>
        </w:rPr>
      </w:pPr>
      <w:r w:rsidRPr="006300CD">
        <w:rPr>
          <w:rFonts w:ascii="Times New Roman" w:hAnsi="Times New Roman"/>
          <w:kern w:val="28"/>
          <w:sz w:val="28"/>
          <w:szCs w:val="28"/>
          <w:lang w:val="es-ES_tradnl" w:eastAsia="es-ES"/>
        </w:rPr>
        <w:t xml:space="preserve">Tunja, </w:t>
      </w:r>
      <w:r w:rsidRPr="006300CD" w:rsidR="006300CD">
        <w:rPr>
          <w:rFonts w:ascii="Times New Roman" w:hAnsi="Times New Roman"/>
          <w:kern w:val="28"/>
          <w:sz w:val="28"/>
          <w:szCs w:val="28"/>
          <w:lang w:val="es-ES_tradnl" w:eastAsia="es-ES"/>
        </w:rPr>
        <w:t>23</w:t>
      </w:r>
      <w:r w:rsidRPr="006300CD" w:rsidR="008C6202">
        <w:rPr>
          <w:rFonts w:ascii="Times New Roman" w:hAnsi="Times New Roman"/>
          <w:kern w:val="28"/>
          <w:sz w:val="28"/>
          <w:szCs w:val="28"/>
          <w:lang w:val="es-ES_tradnl" w:eastAsia="es-ES"/>
        </w:rPr>
        <w:t xml:space="preserve"> de </w:t>
      </w:r>
      <w:r w:rsidRPr="006300CD" w:rsidR="00C71A02">
        <w:rPr>
          <w:rFonts w:ascii="Times New Roman" w:hAnsi="Times New Roman"/>
          <w:kern w:val="28"/>
          <w:sz w:val="28"/>
          <w:szCs w:val="28"/>
          <w:lang w:val="es-ES_tradnl" w:eastAsia="es-ES"/>
        </w:rPr>
        <w:t>febrero</w:t>
      </w:r>
      <w:r w:rsidRPr="006300CD" w:rsidR="008C6202">
        <w:rPr>
          <w:rFonts w:ascii="Times New Roman" w:hAnsi="Times New Roman"/>
          <w:kern w:val="28"/>
          <w:sz w:val="28"/>
          <w:szCs w:val="28"/>
          <w:lang w:val="es-ES_tradnl" w:eastAsia="es-ES"/>
        </w:rPr>
        <w:t xml:space="preserve"> de 202</w:t>
      </w:r>
      <w:r w:rsidRPr="006300CD" w:rsidR="00C71A02">
        <w:rPr>
          <w:rFonts w:ascii="Times New Roman" w:hAnsi="Times New Roman"/>
          <w:kern w:val="28"/>
          <w:sz w:val="28"/>
          <w:szCs w:val="28"/>
          <w:lang w:val="es-ES_tradnl" w:eastAsia="es-ES"/>
        </w:rPr>
        <w:t>2</w:t>
      </w:r>
    </w:p>
    <w:p w:rsidRPr="00E93157" w:rsidR="00300130" w:rsidP="00A10D5F" w:rsidRDefault="00300130" w14:paraId="5B1C4549" w14:textId="77777777">
      <w:pPr>
        <w:tabs>
          <w:tab w:val="center" w:pos="4252"/>
          <w:tab w:val="right" w:pos="8504"/>
        </w:tabs>
        <w:spacing w:after="0"/>
        <w:rPr>
          <w:rFonts w:ascii="Times New Roman" w:hAnsi="Times New Roman"/>
          <w:kern w:val="28"/>
          <w:sz w:val="28"/>
          <w:szCs w:val="28"/>
          <w:lang w:val="es-ES_tradnl" w:eastAsia="es-ES"/>
        </w:rPr>
      </w:pPr>
    </w:p>
    <w:tbl>
      <w:tblPr>
        <w:tblW w:w="9078" w:type="dxa"/>
        <w:tblInd w:w="-147" w:type="dxa"/>
        <w:tblLook w:val="01E0" w:firstRow="1" w:lastRow="1" w:firstColumn="1" w:lastColumn="1" w:noHBand="0" w:noVBand="0"/>
      </w:tblPr>
      <w:tblGrid>
        <w:gridCol w:w="2850"/>
        <w:gridCol w:w="777"/>
        <w:gridCol w:w="5451"/>
      </w:tblGrid>
      <w:tr w:rsidRPr="00E93157" w:rsidR="00300130" w:rsidTr="1611E8E8" w14:paraId="4B69B8BF" w14:textId="77777777">
        <w:trPr>
          <w:trHeight w:val="312"/>
        </w:trPr>
        <w:tc>
          <w:tcPr>
            <w:tcW w:w="2850" w:type="dxa"/>
            <w:tcMar/>
            <w:hideMark/>
          </w:tcPr>
          <w:p w:rsidRPr="00E93157" w:rsidR="00300130" w:rsidP="1611E8E8" w:rsidRDefault="00300130" w14:paraId="669AFA87" w14:textId="3DA51CE3">
            <w:pPr>
              <w:spacing w:after="0" w:line="240" w:lineRule="auto"/>
              <w:rPr>
                <w:rFonts w:ascii="Times New Roman" w:hAnsi="Times New Roman" w:eastAsia="Times New Roman"/>
                <w:sz w:val="28"/>
                <w:szCs w:val="28"/>
                <w:lang w:val="es-ES" w:eastAsia="es-ES"/>
              </w:rPr>
            </w:pPr>
            <w:r w:rsidRPr="1611E8E8" w:rsidR="00300130">
              <w:rPr>
                <w:rFonts w:ascii="Times New Roman" w:hAnsi="Times New Roman" w:eastAsia="Times New Roman"/>
                <w:sz w:val="28"/>
                <w:szCs w:val="28"/>
                <w:lang w:val="es-ES" w:eastAsia="es-ES"/>
              </w:rPr>
              <w:t>Medio de control</w:t>
            </w:r>
          </w:p>
        </w:tc>
        <w:tc>
          <w:tcPr>
            <w:tcW w:w="777" w:type="dxa"/>
            <w:tcMar/>
            <w:hideMark/>
          </w:tcPr>
          <w:p w:rsidRPr="00E93157" w:rsidR="00300130" w:rsidP="00A10D5F" w:rsidRDefault="00300130" w14:paraId="6289F44B"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w:t>
            </w:r>
          </w:p>
        </w:tc>
        <w:tc>
          <w:tcPr>
            <w:tcW w:w="5451" w:type="dxa"/>
            <w:tcMar/>
            <w:hideMark/>
          </w:tcPr>
          <w:p w:rsidRPr="00E93157" w:rsidR="00300130" w:rsidP="00A10D5F" w:rsidRDefault="00300130" w14:paraId="616DC69F" w14:textId="77777777">
            <w:pPr>
              <w:spacing w:after="0" w:line="240" w:lineRule="auto"/>
              <w:rPr>
                <w:rFonts w:ascii="Times New Roman" w:hAnsi="Times New Roman" w:eastAsia="Times New Roman"/>
                <w:b/>
                <w:bCs/>
                <w:sz w:val="28"/>
                <w:szCs w:val="28"/>
                <w:lang w:val="es-ES_tradnl" w:eastAsia="es-ES"/>
              </w:rPr>
            </w:pPr>
            <w:r w:rsidRPr="00E93157">
              <w:rPr>
                <w:rFonts w:ascii="Times New Roman" w:hAnsi="Times New Roman" w:eastAsia="Times New Roman"/>
                <w:b/>
                <w:bCs/>
                <w:sz w:val="28"/>
                <w:szCs w:val="28"/>
                <w:lang w:val="es-ES_tradnl" w:eastAsia="es-ES"/>
              </w:rPr>
              <w:t xml:space="preserve">Control automático de legalidad de fallo con responsabilidad fiscal </w:t>
            </w:r>
          </w:p>
        </w:tc>
      </w:tr>
      <w:tr w:rsidRPr="00E93157" w:rsidR="00300130" w:rsidTr="1611E8E8" w14:paraId="71CE8FF6" w14:textId="77777777">
        <w:trPr>
          <w:trHeight w:val="176"/>
        </w:trPr>
        <w:tc>
          <w:tcPr>
            <w:tcW w:w="2850" w:type="dxa"/>
            <w:tcMar/>
            <w:hideMark/>
          </w:tcPr>
          <w:p w:rsidRPr="00E93157" w:rsidR="00300130" w:rsidP="00A10D5F" w:rsidRDefault="00300130" w14:paraId="31E16250"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 xml:space="preserve">Decisión a controlar    </w:t>
            </w:r>
          </w:p>
        </w:tc>
        <w:tc>
          <w:tcPr>
            <w:tcW w:w="777" w:type="dxa"/>
            <w:tcMar/>
            <w:hideMark/>
          </w:tcPr>
          <w:p w:rsidRPr="00E93157" w:rsidR="00300130" w:rsidP="00A10D5F" w:rsidRDefault="00300130" w14:paraId="2E855242"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w:t>
            </w:r>
          </w:p>
        </w:tc>
        <w:tc>
          <w:tcPr>
            <w:tcW w:w="5451" w:type="dxa"/>
            <w:tcMar/>
            <w:hideMark/>
          </w:tcPr>
          <w:p w:rsidRPr="00E93157" w:rsidR="00845F8E" w:rsidP="00950D93" w:rsidRDefault="00E757A3" w14:paraId="4BB1747C" w14:textId="784DEEFC">
            <w:pPr>
              <w:spacing w:after="0" w:line="240" w:lineRule="auto"/>
              <w:rPr>
                <w:rFonts w:ascii="Times New Roman" w:hAnsi="Times New Roman" w:eastAsia="Times New Roman"/>
                <w:b/>
                <w:bCs/>
                <w:sz w:val="28"/>
                <w:szCs w:val="28"/>
                <w:lang w:val="es-ES_tradnl" w:eastAsia="es-ES"/>
              </w:rPr>
            </w:pPr>
            <w:r w:rsidRPr="00950D93">
              <w:rPr>
                <w:rFonts w:ascii="Times New Roman" w:hAnsi="Times New Roman" w:eastAsia="Times New Roman"/>
                <w:b/>
                <w:bCs/>
                <w:sz w:val="28"/>
                <w:szCs w:val="28"/>
                <w:lang w:val="es-ES_tradnl" w:eastAsia="es-ES"/>
              </w:rPr>
              <w:t xml:space="preserve">Auto No. </w:t>
            </w:r>
            <w:r w:rsidR="00221408">
              <w:rPr>
                <w:rFonts w:ascii="Times New Roman" w:hAnsi="Times New Roman" w:eastAsia="Times New Roman"/>
                <w:b/>
                <w:bCs/>
                <w:sz w:val="28"/>
                <w:szCs w:val="28"/>
                <w:lang w:val="es-ES_tradnl" w:eastAsia="es-ES"/>
              </w:rPr>
              <w:t>342 de 25 de junio de 2021</w:t>
            </w:r>
          </w:p>
        </w:tc>
      </w:tr>
      <w:tr w:rsidRPr="00E93157" w:rsidR="00300130" w:rsidTr="1611E8E8" w14:paraId="28B929AC" w14:textId="77777777">
        <w:trPr>
          <w:trHeight w:val="294"/>
        </w:trPr>
        <w:tc>
          <w:tcPr>
            <w:tcW w:w="2850" w:type="dxa"/>
            <w:tcMar/>
            <w:hideMark/>
          </w:tcPr>
          <w:p w:rsidRPr="00E93157" w:rsidR="00300130" w:rsidP="00A10D5F" w:rsidRDefault="00300130" w14:paraId="1C75C52F"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 xml:space="preserve">Proceso Fiscal No. </w:t>
            </w:r>
          </w:p>
        </w:tc>
        <w:tc>
          <w:tcPr>
            <w:tcW w:w="777" w:type="dxa"/>
            <w:tcMar/>
            <w:hideMark/>
          </w:tcPr>
          <w:p w:rsidRPr="00E93157" w:rsidR="00300130" w:rsidP="00A10D5F" w:rsidRDefault="00300130" w14:paraId="6D1A5671"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w:t>
            </w:r>
          </w:p>
        </w:tc>
        <w:tc>
          <w:tcPr>
            <w:tcW w:w="5451" w:type="dxa"/>
            <w:tcMar/>
            <w:hideMark/>
          </w:tcPr>
          <w:p w:rsidRPr="00E93157" w:rsidR="00300130" w:rsidP="00A10D5F" w:rsidRDefault="00E757A3" w14:paraId="26731A00" w14:textId="02AD6E41">
            <w:pPr>
              <w:spacing w:after="0" w:line="240" w:lineRule="auto"/>
              <w:rPr>
                <w:rFonts w:ascii="Times New Roman" w:hAnsi="Times New Roman" w:eastAsia="Times New Roman"/>
                <w:b/>
                <w:bCs/>
                <w:sz w:val="28"/>
                <w:szCs w:val="28"/>
                <w:lang w:val="es-ES_tradnl" w:eastAsia="es-ES"/>
              </w:rPr>
            </w:pPr>
            <w:r w:rsidRPr="00E93157">
              <w:rPr>
                <w:rFonts w:ascii="Times New Roman" w:hAnsi="Times New Roman" w:eastAsia="Times New Roman"/>
                <w:b/>
                <w:bCs/>
                <w:sz w:val="28"/>
                <w:szCs w:val="28"/>
                <w:lang w:val="es-ES_tradnl" w:eastAsia="es-ES"/>
              </w:rPr>
              <w:t>0</w:t>
            </w:r>
            <w:r w:rsidR="00221408">
              <w:rPr>
                <w:rFonts w:ascii="Times New Roman" w:hAnsi="Times New Roman" w:eastAsia="Times New Roman"/>
                <w:b/>
                <w:bCs/>
                <w:sz w:val="28"/>
                <w:szCs w:val="28"/>
                <w:lang w:val="es-ES_tradnl" w:eastAsia="es-ES"/>
              </w:rPr>
              <w:t>28-2017</w:t>
            </w:r>
          </w:p>
        </w:tc>
      </w:tr>
      <w:tr w:rsidRPr="00E93157" w:rsidR="00300130" w:rsidTr="1611E8E8" w14:paraId="2CFF19F7" w14:textId="77777777">
        <w:trPr>
          <w:trHeight w:val="294"/>
        </w:trPr>
        <w:tc>
          <w:tcPr>
            <w:tcW w:w="2850" w:type="dxa"/>
            <w:tcMar/>
            <w:hideMark/>
          </w:tcPr>
          <w:p w:rsidRPr="00E93157" w:rsidR="00300130" w:rsidP="00A10D5F" w:rsidRDefault="00300130" w14:paraId="628083C0"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Entidad</w:t>
            </w:r>
          </w:p>
        </w:tc>
        <w:tc>
          <w:tcPr>
            <w:tcW w:w="777" w:type="dxa"/>
            <w:tcMar/>
            <w:hideMark/>
          </w:tcPr>
          <w:p w:rsidRPr="00E93157" w:rsidR="00300130" w:rsidP="00A10D5F" w:rsidRDefault="00300130" w14:paraId="774B3589"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w:t>
            </w:r>
          </w:p>
        </w:tc>
        <w:tc>
          <w:tcPr>
            <w:tcW w:w="5451" w:type="dxa"/>
            <w:tcMar/>
            <w:hideMark/>
          </w:tcPr>
          <w:p w:rsidRPr="00E93157" w:rsidR="00300130" w:rsidP="00A10D5F" w:rsidRDefault="00300130" w14:paraId="1B51D257" w14:textId="3B7D183C">
            <w:pPr>
              <w:spacing w:after="0" w:line="240" w:lineRule="auto"/>
              <w:rPr>
                <w:rFonts w:ascii="Times New Roman" w:hAnsi="Times New Roman" w:eastAsia="Times New Roman"/>
                <w:b/>
                <w:bCs/>
                <w:sz w:val="28"/>
                <w:szCs w:val="28"/>
                <w:lang w:val="es-ES_tradnl" w:eastAsia="es-ES"/>
              </w:rPr>
            </w:pPr>
            <w:r w:rsidRPr="00E93157">
              <w:rPr>
                <w:rFonts w:ascii="Times New Roman" w:hAnsi="Times New Roman" w:eastAsia="Times New Roman"/>
                <w:b/>
                <w:bCs/>
                <w:sz w:val="28"/>
                <w:szCs w:val="28"/>
                <w:lang w:val="es-ES_tradnl" w:eastAsia="es-ES"/>
              </w:rPr>
              <w:t>Contraloría General de Boyacá</w:t>
            </w:r>
          </w:p>
        </w:tc>
      </w:tr>
      <w:tr w:rsidRPr="00E93157" w:rsidR="00300130" w:rsidTr="1611E8E8" w14:paraId="63D68AD4" w14:textId="77777777">
        <w:trPr>
          <w:trHeight w:val="294"/>
        </w:trPr>
        <w:tc>
          <w:tcPr>
            <w:tcW w:w="2850" w:type="dxa"/>
            <w:tcMar/>
            <w:hideMark/>
          </w:tcPr>
          <w:p w:rsidRPr="00E93157" w:rsidR="00300130" w:rsidP="1611E8E8" w:rsidRDefault="00300130" w14:paraId="5193E1B6" w14:textId="7EABFBB6">
            <w:pPr>
              <w:spacing w:after="0" w:line="240" w:lineRule="auto"/>
              <w:rPr>
                <w:rFonts w:ascii="Times New Roman" w:hAnsi="Times New Roman" w:eastAsia="Times New Roman"/>
                <w:sz w:val="28"/>
                <w:szCs w:val="28"/>
                <w:lang w:val="es-ES" w:eastAsia="es-ES"/>
              </w:rPr>
            </w:pPr>
            <w:r w:rsidRPr="1611E8E8" w:rsidR="00300130">
              <w:rPr>
                <w:rFonts w:ascii="Times New Roman" w:hAnsi="Times New Roman" w:eastAsia="Times New Roman"/>
                <w:sz w:val="28"/>
                <w:szCs w:val="28"/>
                <w:lang w:val="es-ES" w:eastAsia="es-ES"/>
              </w:rPr>
              <w:t xml:space="preserve">Responsables fiscales </w:t>
            </w:r>
          </w:p>
        </w:tc>
        <w:tc>
          <w:tcPr>
            <w:tcW w:w="777" w:type="dxa"/>
            <w:tcMar/>
            <w:hideMark/>
          </w:tcPr>
          <w:p w:rsidRPr="00E93157" w:rsidR="00300130" w:rsidP="00A10D5F" w:rsidRDefault="00300130" w14:paraId="3146D9CF"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w:t>
            </w:r>
          </w:p>
        </w:tc>
        <w:tc>
          <w:tcPr>
            <w:tcW w:w="5451" w:type="dxa"/>
            <w:tcMar/>
            <w:hideMark/>
          </w:tcPr>
          <w:p w:rsidR="00950D93" w:rsidP="00A10D5F" w:rsidRDefault="00221408" w14:paraId="0FF30457" w14:textId="662A0F89">
            <w:pPr>
              <w:spacing w:after="0" w:line="240" w:lineRule="auto"/>
              <w:rPr>
                <w:rFonts w:ascii="Times New Roman" w:hAnsi="Times New Roman" w:eastAsia="Times New Roman"/>
                <w:b/>
                <w:bCs/>
                <w:sz w:val="28"/>
                <w:szCs w:val="28"/>
                <w:lang w:val="es-ES_tradnl" w:eastAsia="es-ES"/>
              </w:rPr>
            </w:pPr>
            <w:r>
              <w:rPr>
                <w:rFonts w:ascii="Times New Roman" w:hAnsi="Times New Roman" w:eastAsia="Times New Roman"/>
                <w:b/>
                <w:bCs/>
                <w:sz w:val="28"/>
                <w:szCs w:val="28"/>
                <w:lang w:val="es-ES_tradnl" w:eastAsia="es-ES"/>
              </w:rPr>
              <w:t xml:space="preserve">Luis Álvaro </w:t>
            </w:r>
            <w:proofErr w:type="spellStart"/>
            <w:r>
              <w:rPr>
                <w:rFonts w:ascii="Times New Roman" w:hAnsi="Times New Roman" w:eastAsia="Times New Roman"/>
                <w:b/>
                <w:bCs/>
                <w:sz w:val="28"/>
                <w:szCs w:val="28"/>
                <w:lang w:val="es-ES_tradnl" w:eastAsia="es-ES"/>
              </w:rPr>
              <w:t>Larotta</w:t>
            </w:r>
            <w:proofErr w:type="spellEnd"/>
            <w:r>
              <w:rPr>
                <w:rFonts w:ascii="Times New Roman" w:hAnsi="Times New Roman" w:eastAsia="Times New Roman"/>
                <w:b/>
                <w:bCs/>
                <w:sz w:val="28"/>
                <w:szCs w:val="28"/>
                <w:lang w:val="es-ES_tradnl" w:eastAsia="es-ES"/>
              </w:rPr>
              <w:t xml:space="preserve"> Vásquez </w:t>
            </w:r>
          </w:p>
          <w:p w:rsidR="00221408" w:rsidP="00A10D5F" w:rsidRDefault="00221408" w14:paraId="65A58E4D" w14:textId="77777777">
            <w:pPr>
              <w:spacing w:after="0" w:line="240" w:lineRule="auto"/>
              <w:rPr>
                <w:rFonts w:ascii="Times New Roman" w:hAnsi="Times New Roman" w:eastAsia="Times New Roman"/>
                <w:b/>
                <w:bCs/>
                <w:sz w:val="28"/>
                <w:szCs w:val="28"/>
                <w:lang w:val="es-ES_tradnl" w:eastAsia="es-ES"/>
              </w:rPr>
            </w:pPr>
            <w:r>
              <w:rPr>
                <w:rFonts w:ascii="Times New Roman" w:hAnsi="Times New Roman" w:eastAsia="Times New Roman"/>
                <w:b/>
                <w:bCs/>
                <w:sz w:val="28"/>
                <w:szCs w:val="28"/>
                <w:lang w:val="es-ES_tradnl" w:eastAsia="es-ES"/>
              </w:rPr>
              <w:t xml:space="preserve">José Armando Pérez Monroy </w:t>
            </w:r>
          </w:p>
          <w:p w:rsidR="00221408" w:rsidP="00A10D5F" w:rsidRDefault="00221408" w14:paraId="3B54FC67" w14:textId="77777777">
            <w:pPr>
              <w:spacing w:after="0" w:line="240" w:lineRule="auto"/>
              <w:rPr>
                <w:rFonts w:ascii="Times New Roman" w:hAnsi="Times New Roman" w:eastAsia="Times New Roman"/>
                <w:b/>
                <w:bCs/>
                <w:sz w:val="28"/>
                <w:szCs w:val="28"/>
                <w:lang w:val="es-ES_tradnl" w:eastAsia="es-ES"/>
              </w:rPr>
            </w:pPr>
            <w:r>
              <w:rPr>
                <w:rFonts w:ascii="Times New Roman" w:hAnsi="Times New Roman" w:eastAsia="Times New Roman"/>
                <w:b/>
                <w:bCs/>
                <w:sz w:val="28"/>
                <w:szCs w:val="28"/>
                <w:lang w:val="es-ES_tradnl" w:eastAsia="es-ES"/>
              </w:rPr>
              <w:t xml:space="preserve">Emeterio Benavidez </w:t>
            </w:r>
          </w:p>
          <w:p w:rsidRPr="00950D93" w:rsidR="00221408" w:rsidP="00A10D5F" w:rsidRDefault="00221408" w14:paraId="061EBA1C" w14:textId="5787D51C">
            <w:pPr>
              <w:spacing w:after="0" w:line="240" w:lineRule="auto"/>
              <w:rPr>
                <w:rFonts w:ascii="Times New Roman" w:hAnsi="Times New Roman" w:eastAsia="Times New Roman"/>
                <w:b/>
                <w:bCs/>
                <w:sz w:val="28"/>
                <w:szCs w:val="28"/>
                <w:lang w:eastAsia="es-ES"/>
              </w:rPr>
            </w:pPr>
            <w:r>
              <w:rPr>
                <w:rFonts w:ascii="Times New Roman" w:hAnsi="Times New Roman" w:eastAsia="Times New Roman"/>
                <w:b/>
                <w:bCs/>
                <w:sz w:val="28"/>
                <w:szCs w:val="28"/>
                <w:lang w:val="es-ES_tradnl" w:eastAsia="es-ES"/>
              </w:rPr>
              <w:t>Aseguradora Seguros del Estado</w:t>
            </w:r>
          </w:p>
        </w:tc>
      </w:tr>
      <w:tr w:rsidRPr="00E93157" w:rsidR="00300130" w:rsidTr="1611E8E8" w14:paraId="652725AF" w14:textId="77777777">
        <w:trPr>
          <w:trHeight w:val="294"/>
        </w:trPr>
        <w:tc>
          <w:tcPr>
            <w:tcW w:w="2850" w:type="dxa"/>
            <w:tcMar/>
            <w:hideMark/>
          </w:tcPr>
          <w:p w:rsidRPr="00E93157" w:rsidR="00300130" w:rsidP="00A10D5F" w:rsidRDefault="00300130" w14:paraId="3898CBDF"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Expediente</w:t>
            </w:r>
          </w:p>
        </w:tc>
        <w:tc>
          <w:tcPr>
            <w:tcW w:w="777" w:type="dxa"/>
            <w:tcMar/>
            <w:hideMark/>
          </w:tcPr>
          <w:p w:rsidRPr="00E93157" w:rsidR="00300130" w:rsidP="00A10D5F" w:rsidRDefault="00300130" w14:paraId="58D1F038" w14:textId="77777777">
            <w:pPr>
              <w:spacing w:after="0" w:line="240" w:lineRule="auto"/>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w:t>
            </w:r>
          </w:p>
        </w:tc>
        <w:tc>
          <w:tcPr>
            <w:tcW w:w="5451" w:type="dxa"/>
            <w:tcMar/>
            <w:hideMark/>
          </w:tcPr>
          <w:p w:rsidRPr="00E93157" w:rsidR="00300130" w:rsidP="00A10D5F" w:rsidRDefault="00E757A3" w14:paraId="08F975C1" w14:textId="7023A28E">
            <w:pPr>
              <w:spacing w:after="0" w:line="240" w:lineRule="auto"/>
              <w:rPr>
                <w:rFonts w:ascii="Times New Roman" w:hAnsi="Times New Roman" w:eastAsia="Times New Roman"/>
                <w:b/>
                <w:bCs/>
                <w:sz w:val="28"/>
                <w:szCs w:val="28"/>
                <w:lang w:val="es-ES_tradnl" w:eastAsia="es-ES"/>
              </w:rPr>
            </w:pPr>
            <w:r w:rsidRPr="00E93157">
              <w:rPr>
                <w:rFonts w:ascii="Times New Roman" w:hAnsi="Times New Roman" w:eastAsia="Times New Roman"/>
                <w:b/>
                <w:bCs/>
                <w:sz w:val="28"/>
                <w:szCs w:val="28"/>
                <w:lang w:val="es-ES_tradnl" w:eastAsia="es-ES"/>
              </w:rPr>
              <w:t>15001-23-33-000-202</w:t>
            </w:r>
            <w:r w:rsidRPr="00E93157" w:rsidR="00171773">
              <w:rPr>
                <w:rFonts w:ascii="Times New Roman" w:hAnsi="Times New Roman" w:eastAsia="Times New Roman"/>
                <w:b/>
                <w:bCs/>
                <w:sz w:val="28"/>
                <w:szCs w:val="28"/>
                <w:lang w:val="es-ES_tradnl" w:eastAsia="es-ES"/>
              </w:rPr>
              <w:t>2</w:t>
            </w:r>
            <w:r w:rsidRPr="00E93157">
              <w:rPr>
                <w:rFonts w:ascii="Times New Roman" w:hAnsi="Times New Roman" w:eastAsia="Times New Roman"/>
                <w:b/>
                <w:bCs/>
                <w:sz w:val="28"/>
                <w:szCs w:val="28"/>
                <w:lang w:val="es-ES_tradnl" w:eastAsia="es-ES"/>
              </w:rPr>
              <w:t>-00</w:t>
            </w:r>
            <w:r w:rsidRPr="00E93157" w:rsidR="00171773">
              <w:rPr>
                <w:rFonts w:ascii="Times New Roman" w:hAnsi="Times New Roman" w:eastAsia="Times New Roman"/>
                <w:b/>
                <w:bCs/>
                <w:sz w:val="28"/>
                <w:szCs w:val="28"/>
                <w:lang w:val="es-ES_tradnl" w:eastAsia="es-ES"/>
              </w:rPr>
              <w:t>0</w:t>
            </w:r>
            <w:r w:rsidRPr="00E93157">
              <w:rPr>
                <w:rFonts w:ascii="Times New Roman" w:hAnsi="Times New Roman" w:eastAsia="Times New Roman"/>
                <w:b/>
                <w:bCs/>
                <w:sz w:val="28"/>
                <w:szCs w:val="28"/>
                <w:lang w:val="es-ES_tradnl" w:eastAsia="es-ES"/>
              </w:rPr>
              <w:t>7</w:t>
            </w:r>
            <w:r w:rsidRPr="00E93157" w:rsidR="00171773">
              <w:rPr>
                <w:rFonts w:ascii="Times New Roman" w:hAnsi="Times New Roman" w:eastAsia="Times New Roman"/>
                <w:b/>
                <w:bCs/>
                <w:sz w:val="28"/>
                <w:szCs w:val="28"/>
                <w:lang w:val="es-ES_tradnl" w:eastAsia="es-ES"/>
              </w:rPr>
              <w:t>3</w:t>
            </w:r>
            <w:r w:rsidRPr="00E93157" w:rsidR="00300130">
              <w:rPr>
                <w:rFonts w:ascii="Times New Roman" w:hAnsi="Times New Roman" w:eastAsia="Times New Roman"/>
                <w:b/>
                <w:bCs/>
                <w:sz w:val="28"/>
                <w:szCs w:val="28"/>
                <w:lang w:val="es-ES_tradnl" w:eastAsia="es-ES"/>
              </w:rPr>
              <w:t>-00</w:t>
            </w:r>
          </w:p>
        </w:tc>
      </w:tr>
    </w:tbl>
    <w:p w:rsidRPr="00E93157" w:rsidR="00300130" w:rsidP="00A10D5F" w:rsidRDefault="00300130" w14:paraId="29DD89BC" w14:textId="77777777">
      <w:pPr>
        <w:tabs>
          <w:tab w:val="left" w:pos="1440"/>
          <w:tab w:val="left" w:pos="1712"/>
        </w:tabs>
        <w:spacing w:after="0" w:line="240" w:lineRule="auto"/>
        <w:jc w:val="both"/>
        <w:rPr>
          <w:rFonts w:ascii="Times New Roman" w:hAnsi="Times New Roman" w:eastAsia="Times New Roman"/>
          <w:sz w:val="28"/>
          <w:szCs w:val="28"/>
          <w:lang w:val="es-ES_tradnl" w:eastAsia="es-ES"/>
        </w:rPr>
      </w:pPr>
    </w:p>
    <w:p w:rsidRPr="00E93157" w:rsidR="00300130" w:rsidP="00A10D5F" w:rsidRDefault="00300130" w14:paraId="32F9BF00" w14:textId="77777777">
      <w:pPr>
        <w:tabs>
          <w:tab w:val="left" w:pos="1440"/>
          <w:tab w:val="left" w:pos="1712"/>
        </w:tabs>
        <w:spacing w:after="0" w:line="240" w:lineRule="auto"/>
        <w:jc w:val="both"/>
        <w:rPr>
          <w:rFonts w:ascii="Times New Roman" w:hAnsi="Times New Roman" w:eastAsia="Times New Roman"/>
          <w:sz w:val="28"/>
          <w:szCs w:val="28"/>
          <w:lang w:val="es-ES_tradnl" w:eastAsia="es-ES"/>
        </w:rPr>
      </w:pPr>
    </w:p>
    <w:p w:rsidRPr="00E93157" w:rsidR="00300130" w:rsidP="00A10D5F" w:rsidRDefault="00300130" w14:paraId="32212457" w14:textId="77777777">
      <w:pPr>
        <w:tabs>
          <w:tab w:val="left" w:pos="1440"/>
          <w:tab w:val="left" w:pos="1712"/>
        </w:tabs>
        <w:spacing w:after="0" w:line="360" w:lineRule="auto"/>
        <w:jc w:val="both"/>
        <w:rPr>
          <w:rFonts w:ascii="Times New Roman" w:hAnsi="Times New Roman" w:eastAsia="Times New Roman"/>
          <w:b/>
          <w:bCs/>
          <w:sz w:val="28"/>
          <w:szCs w:val="28"/>
          <w:lang w:val="es-ES_tradnl" w:eastAsia="es-ES"/>
        </w:rPr>
      </w:pPr>
      <w:r w:rsidRPr="00E93157">
        <w:rPr>
          <w:rFonts w:ascii="Times New Roman" w:hAnsi="Times New Roman" w:eastAsia="Times New Roman"/>
          <w:sz w:val="28"/>
          <w:szCs w:val="28"/>
          <w:lang w:val="es-ES_tradnl" w:eastAsia="es-ES"/>
        </w:rPr>
        <w:t xml:space="preserve">Magistrado Ponente        :   </w:t>
      </w:r>
      <w:r w:rsidRPr="00E93157">
        <w:rPr>
          <w:rFonts w:ascii="Times New Roman" w:hAnsi="Times New Roman" w:eastAsia="Times New Roman"/>
          <w:b/>
          <w:bCs/>
          <w:sz w:val="28"/>
          <w:szCs w:val="28"/>
          <w:lang w:val="es-ES_tradnl" w:eastAsia="es-ES"/>
        </w:rPr>
        <w:t xml:space="preserve">Luis Ernesto Arciniegas Triana </w:t>
      </w:r>
    </w:p>
    <w:p w:rsidRPr="00E93157" w:rsidR="00300130" w:rsidP="00300130" w:rsidRDefault="00300130" w14:paraId="3C7BE011" w14:textId="77777777">
      <w:pPr>
        <w:tabs>
          <w:tab w:val="left" w:pos="1440"/>
          <w:tab w:val="left" w:pos="1712"/>
        </w:tabs>
        <w:spacing w:after="0" w:line="360" w:lineRule="auto"/>
        <w:ind w:left="-142"/>
        <w:jc w:val="both"/>
        <w:rPr>
          <w:rFonts w:ascii="Times New Roman" w:hAnsi="Times New Roman" w:eastAsia="Times New Roman"/>
          <w:b/>
          <w:bCs/>
          <w:color w:val="FF0000"/>
          <w:sz w:val="28"/>
          <w:szCs w:val="28"/>
          <w:lang w:val="es-ES_tradnl" w:eastAsia="es-ES"/>
        </w:rPr>
      </w:pPr>
    </w:p>
    <w:p w:rsidRPr="00845F8E" w:rsidR="009D286A" w:rsidP="7F5312FB" w:rsidRDefault="009D286A" w14:paraId="68654A70" w14:textId="6CDD57A2">
      <w:pPr>
        <w:overflowPunct w:val="0"/>
        <w:autoSpaceDE w:val="0"/>
        <w:autoSpaceDN w:val="0"/>
        <w:adjustRightInd w:val="0"/>
        <w:spacing w:after="0" w:line="360" w:lineRule="auto"/>
        <w:jc w:val="both"/>
        <w:rPr>
          <w:rFonts w:ascii="Times New Roman" w:hAnsi="Times New Roman" w:eastAsia="Times New Roman"/>
          <w:bCs/>
          <w:sz w:val="28"/>
          <w:szCs w:val="28"/>
          <w:lang w:val="es-ES_tradnl" w:eastAsia="es-ES"/>
        </w:rPr>
      </w:pPr>
      <w:r w:rsidRPr="00E93157">
        <w:rPr>
          <w:rFonts w:ascii="Times New Roman" w:hAnsi="Times New Roman" w:eastAsia="Times New Roman"/>
          <w:sz w:val="28"/>
          <w:szCs w:val="28"/>
          <w:lang w:val="es-ES_tradnl" w:eastAsia="es-ES"/>
        </w:rPr>
        <w:t>Ingresa</w:t>
      </w:r>
      <w:r w:rsidRPr="00E93157" w:rsidR="00104C00">
        <w:rPr>
          <w:rFonts w:ascii="Times New Roman" w:hAnsi="Times New Roman" w:eastAsia="Times New Roman"/>
          <w:sz w:val="28"/>
          <w:szCs w:val="28"/>
          <w:lang w:val="es-ES_tradnl" w:eastAsia="es-ES"/>
        </w:rPr>
        <w:t xml:space="preserve"> </w:t>
      </w:r>
      <w:r w:rsidR="002515D2">
        <w:rPr>
          <w:rFonts w:ascii="Times New Roman" w:hAnsi="Times New Roman" w:eastAsia="Times New Roman"/>
          <w:sz w:val="28"/>
          <w:szCs w:val="28"/>
          <w:lang w:val="es-ES_tradnl" w:eastAsia="es-ES"/>
        </w:rPr>
        <w:t>e</w:t>
      </w:r>
      <w:r w:rsidRPr="00E93157">
        <w:rPr>
          <w:rFonts w:ascii="Times New Roman" w:hAnsi="Times New Roman" w:eastAsia="Times New Roman"/>
          <w:sz w:val="28"/>
          <w:szCs w:val="28"/>
          <w:lang w:val="es-ES_tradnl" w:eastAsia="es-ES"/>
        </w:rPr>
        <w:t>l proceso con la fina</w:t>
      </w:r>
      <w:r w:rsidRPr="00E93157" w:rsidR="00C64D7B">
        <w:rPr>
          <w:rFonts w:ascii="Times New Roman" w:hAnsi="Times New Roman" w:eastAsia="Times New Roman"/>
          <w:sz w:val="28"/>
          <w:szCs w:val="28"/>
          <w:lang w:val="es-ES_tradnl" w:eastAsia="es-ES"/>
        </w:rPr>
        <w:t>lidad de analizar la admisión</w:t>
      </w:r>
      <w:r w:rsidRPr="00E93157">
        <w:rPr>
          <w:rFonts w:ascii="Times New Roman" w:hAnsi="Times New Roman" w:eastAsia="Times New Roman"/>
          <w:sz w:val="28"/>
          <w:szCs w:val="28"/>
          <w:lang w:val="es-ES_tradnl" w:eastAsia="es-ES"/>
        </w:rPr>
        <w:t xml:space="preserve"> del m</w:t>
      </w:r>
      <w:r w:rsidRPr="00E93157" w:rsidR="00C64D7B">
        <w:rPr>
          <w:rFonts w:ascii="Times New Roman" w:hAnsi="Times New Roman" w:eastAsia="Times New Roman"/>
          <w:sz w:val="28"/>
          <w:szCs w:val="28"/>
          <w:lang w:val="es-ES_tradnl" w:eastAsia="es-ES"/>
        </w:rPr>
        <w:t xml:space="preserve">edio de Control Automático de Legalidad del </w:t>
      </w:r>
      <w:r w:rsidRPr="00E93157" w:rsidR="008C6202">
        <w:rPr>
          <w:rFonts w:ascii="Times New Roman" w:hAnsi="Times New Roman" w:eastAsia="Times New Roman"/>
          <w:sz w:val="28"/>
          <w:szCs w:val="28"/>
          <w:lang w:val="es-ES_tradnl" w:eastAsia="es-ES"/>
        </w:rPr>
        <w:t>f</w:t>
      </w:r>
      <w:r w:rsidRPr="00E93157" w:rsidR="00C64D7B">
        <w:rPr>
          <w:rFonts w:ascii="Times New Roman" w:hAnsi="Times New Roman" w:eastAsia="Times New Roman"/>
          <w:sz w:val="28"/>
          <w:szCs w:val="28"/>
          <w:lang w:val="es-ES_tradnl" w:eastAsia="es-ES"/>
        </w:rPr>
        <w:t xml:space="preserve">allo con </w:t>
      </w:r>
      <w:r w:rsidRPr="00E93157" w:rsidR="008C6202">
        <w:rPr>
          <w:rFonts w:ascii="Times New Roman" w:hAnsi="Times New Roman" w:eastAsia="Times New Roman"/>
          <w:sz w:val="28"/>
          <w:szCs w:val="28"/>
          <w:lang w:val="es-ES_tradnl" w:eastAsia="es-ES"/>
        </w:rPr>
        <w:t>r</w:t>
      </w:r>
      <w:r w:rsidRPr="00E93157" w:rsidR="00C64D7B">
        <w:rPr>
          <w:rFonts w:ascii="Times New Roman" w:hAnsi="Times New Roman" w:eastAsia="Times New Roman"/>
          <w:sz w:val="28"/>
          <w:szCs w:val="28"/>
          <w:lang w:val="es-ES_tradnl" w:eastAsia="es-ES"/>
        </w:rPr>
        <w:t xml:space="preserve">esponsabilidad </w:t>
      </w:r>
      <w:r w:rsidRPr="00E93157" w:rsidR="008C6202">
        <w:rPr>
          <w:rFonts w:ascii="Times New Roman" w:hAnsi="Times New Roman" w:eastAsia="Times New Roman"/>
          <w:sz w:val="28"/>
          <w:szCs w:val="28"/>
          <w:lang w:val="es-ES_tradnl" w:eastAsia="es-ES"/>
        </w:rPr>
        <w:t>f</w:t>
      </w:r>
      <w:r w:rsidRPr="00E93157" w:rsidR="00C64D7B">
        <w:rPr>
          <w:rFonts w:ascii="Times New Roman" w:hAnsi="Times New Roman" w:eastAsia="Times New Roman"/>
          <w:sz w:val="28"/>
          <w:szCs w:val="28"/>
          <w:lang w:val="es-ES_tradnl" w:eastAsia="es-ES"/>
        </w:rPr>
        <w:t xml:space="preserve">iscal </w:t>
      </w:r>
      <w:r w:rsidRPr="00E93157" w:rsidR="004B626D">
        <w:rPr>
          <w:rFonts w:ascii="Times New Roman" w:hAnsi="Times New Roman" w:eastAsia="Times New Roman"/>
          <w:i/>
          <w:sz w:val="28"/>
          <w:szCs w:val="28"/>
          <w:lang w:val="es-ES_tradnl" w:eastAsia="es-ES"/>
        </w:rPr>
        <w:t xml:space="preserve">No. </w:t>
      </w:r>
      <w:r w:rsidRPr="00845F8E" w:rsidR="00845F8E">
        <w:rPr>
          <w:rFonts w:ascii="Times New Roman" w:hAnsi="Times New Roman" w:eastAsia="Times New Roman"/>
          <w:bCs/>
          <w:i/>
          <w:sz w:val="28"/>
          <w:szCs w:val="28"/>
          <w:lang w:val="es-ES_tradnl" w:eastAsia="es-ES"/>
        </w:rPr>
        <w:t>342 de 25 de junio de 2021</w:t>
      </w:r>
      <w:r w:rsidRPr="00E93157" w:rsidR="0027079D">
        <w:rPr>
          <w:rFonts w:ascii="Times New Roman" w:hAnsi="Times New Roman" w:eastAsia="Times New Roman"/>
          <w:sz w:val="28"/>
          <w:szCs w:val="28"/>
          <w:lang w:val="es-ES_tradnl" w:eastAsia="es-ES"/>
        </w:rPr>
        <w:t xml:space="preserve"> </w:t>
      </w:r>
      <w:r w:rsidRPr="00E93157" w:rsidR="00C64D7B">
        <w:rPr>
          <w:rFonts w:ascii="Times New Roman" w:hAnsi="Times New Roman" w:eastAsia="Times New Roman"/>
          <w:sz w:val="28"/>
          <w:szCs w:val="28"/>
          <w:lang w:val="es-ES_tradnl" w:eastAsia="es-ES"/>
        </w:rPr>
        <w:t xml:space="preserve">expedido por la </w:t>
      </w:r>
      <w:r w:rsidRPr="00E93157" w:rsidR="00C64D7B">
        <w:rPr>
          <w:rFonts w:ascii="Times New Roman" w:hAnsi="Times New Roman" w:eastAsia="Times New Roman"/>
          <w:i/>
          <w:sz w:val="28"/>
          <w:szCs w:val="28"/>
          <w:lang w:val="es-ES_tradnl" w:eastAsia="es-ES"/>
        </w:rPr>
        <w:t>Contraloría General de Boyacá</w:t>
      </w:r>
      <w:r w:rsidRPr="00E93157" w:rsidR="008C6202">
        <w:rPr>
          <w:rFonts w:ascii="Times New Roman" w:hAnsi="Times New Roman" w:eastAsia="Times New Roman"/>
          <w:sz w:val="28"/>
          <w:szCs w:val="28"/>
          <w:lang w:val="es-ES_tradnl" w:eastAsia="es-ES"/>
        </w:rPr>
        <w:t xml:space="preserve">, </w:t>
      </w:r>
      <w:r w:rsidRPr="00E93157" w:rsidR="00C64D7B">
        <w:rPr>
          <w:rFonts w:ascii="Times New Roman" w:hAnsi="Times New Roman" w:eastAsia="Times New Roman"/>
          <w:sz w:val="28"/>
          <w:szCs w:val="28"/>
          <w:lang w:val="es-ES_tradnl" w:eastAsia="es-ES"/>
        </w:rPr>
        <w:t>contra</w:t>
      </w:r>
      <w:r w:rsidR="00845F8E">
        <w:rPr>
          <w:rFonts w:ascii="Times New Roman" w:hAnsi="Times New Roman" w:eastAsia="Times New Roman"/>
          <w:bCs/>
          <w:sz w:val="28"/>
          <w:szCs w:val="28"/>
          <w:lang w:val="es-ES_tradnl" w:eastAsia="es-ES"/>
        </w:rPr>
        <w:t xml:space="preserve"> </w:t>
      </w:r>
      <w:r w:rsidRPr="00845F8E" w:rsidR="00845F8E">
        <w:rPr>
          <w:rFonts w:ascii="Times New Roman" w:hAnsi="Times New Roman" w:eastAsia="Times New Roman"/>
          <w:bCs/>
          <w:i/>
          <w:sz w:val="28"/>
          <w:szCs w:val="28"/>
          <w:lang w:val="es-ES_tradnl" w:eastAsia="es-ES"/>
        </w:rPr>
        <w:t xml:space="preserve">Luis Álvaro </w:t>
      </w:r>
      <w:proofErr w:type="spellStart"/>
      <w:r w:rsidRPr="00845F8E" w:rsidR="00845F8E">
        <w:rPr>
          <w:rFonts w:ascii="Times New Roman" w:hAnsi="Times New Roman" w:eastAsia="Times New Roman"/>
          <w:bCs/>
          <w:i/>
          <w:sz w:val="28"/>
          <w:szCs w:val="28"/>
          <w:lang w:val="es-ES_tradnl" w:eastAsia="es-ES"/>
        </w:rPr>
        <w:t>Larotta</w:t>
      </w:r>
      <w:proofErr w:type="spellEnd"/>
      <w:r w:rsidRPr="00845F8E" w:rsidR="00845F8E">
        <w:rPr>
          <w:rFonts w:ascii="Times New Roman" w:hAnsi="Times New Roman" w:eastAsia="Times New Roman"/>
          <w:bCs/>
          <w:i/>
          <w:sz w:val="28"/>
          <w:szCs w:val="28"/>
          <w:lang w:val="es-ES_tradnl" w:eastAsia="es-ES"/>
        </w:rPr>
        <w:t xml:space="preserve"> Vásquez</w:t>
      </w:r>
      <w:r w:rsidR="00845F8E">
        <w:rPr>
          <w:rFonts w:ascii="Times New Roman" w:hAnsi="Times New Roman" w:eastAsia="Times New Roman"/>
          <w:bCs/>
          <w:i/>
          <w:sz w:val="28"/>
          <w:szCs w:val="28"/>
          <w:lang w:val="es-ES_tradnl" w:eastAsia="es-ES"/>
        </w:rPr>
        <w:t>,</w:t>
      </w:r>
      <w:r w:rsidRPr="00845F8E" w:rsidR="00845F8E">
        <w:rPr>
          <w:rFonts w:ascii="Times New Roman" w:hAnsi="Times New Roman" w:eastAsia="Times New Roman"/>
          <w:bCs/>
          <w:i/>
          <w:sz w:val="28"/>
          <w:szCs w:val="28"/>
          <w:lang w:val="es-ES_tradnl" w:eastAsia="es-ES"/>
        </w:rPr>
        <w:t xml:space="preserve"> José Armando </w:t>
      </w:r>
      <w:r w:rsidR="00845F8E">
        <w:rPr>
          <w:rFonts w:ascii="Times New Roman" w:hAnsi="Times New Roman" w:eastAsia="Times New Roman"/>
          <w:bCs/>
          <w:i/>
          <w:sz w:val="28"/>
          <w:szCs w:val="28"/>
          <w:lang w:val="es-ES_tradnl" w:eastAsia="es-ES"/>
        </w:rPr>
        <w:t xml:space="preserve">Pérez Monroy, </w:t>
      </w:r>
      <w:r w:rsidRPr="00845F8E" w:rsidR="00845F8E">
        <w:rPr>
          <w:rFonts w:ascii="Times New Roman" w:hAnsi="Times New Roman" w:eastAsia="Times New Roman"/>
          <w:bCs/>
          <w:i/>
          <w:sz w:val="28"/>
          <w:szCs w:val="28"/>
          <w:lang w:val="es-ES_tradnl" w:eastAsia="es-ES"/>
        </w:rPr>
        <w:t>Emeterio Benavidez</w:t>
      </w:r>
      <w:r w:rsidR="00845F8E">
        <w:rPr>
          <w:rFonts w:ascii="Times New Roman" w:hAnsi="Times New Roman" w:eastAsia="Times New Roman"/>
          <w:bCs/>
          <w:i/>
          <w:sz w:val="28"/>
          <w:szCs w:val="28"/>
          <w:lang w:val="es-ES_tradnl" w:eastAsia="es-ES"/>
        </w:rPr>
        <w:t xml:space="preserve"> y </w:t>
      </w:r>
      <w:r w:rsidRPr="00845F8E" w:rsidR="00845F8E">
        <w:rPr>
          <w:rFonts w:ascii="Times New Roman" w:hAnsi="Times New Roman" w:eastAsia="Times New Roman"/>
          <w:bCs/>
          <w:i/>
          <w:sz w:val="28"/>
          <w:szCs w:val="28"/>
          <w:lang w:val="es-ES_tradnl" w:eastAsia="es-ES"/>
        </w:rPr>
        <w:t xml:space="preserve"> Aseguradora Seguros del Estado</w:t>
      </w:r>
      <w:r w:rsidRPr="00E93157" w:rsidR="008C6202">
        <w:rPr>
          <w:rFonts w:ascii="Times New Roman" w:hAnsi="Times New Roman" w:eastAsia="Times New Roman"/>
          <w:sz w:val="28"/>
          <w:szCs w:val="28"/>
          <w:lang w:val="es-ES_tradnl" w:eastAsia="es-ES"/>
        </w:rPr>
        <w:t>,</w:t>
      </w:r>
      <w:r w:rsidRPr="00E93157" w:rsidR="00C64D7B">
        <w:rPr>
          <w:rFonts w:ascii="Times New Roman" w:hAnsi="Times New Roman" w:eastAsia="Times New Roman"/>
          <w:sz w:val="28"/>
          <w:szCs w:val="28"/>
          <w:lang w:val="es-ES_tradnl" w:eastAsia="es-ES"/>
        </w:rPr>
        <w:t xml:space="preserve"> dentro de</w:t>
      </w:r>
      <w:r w:rsidR="00F11BC0">
        <w:rPr>
          <w:rFonts w:ascii="Times New Roman" w:hAnsi="Times New Roman" w:eastAsia="Times New Roman"/>
          <w:sz w:val="28"/>
          <w:szCs w:val="28"/>
          <w:lang w:val="es-ES_tradnl" w:eastAsia="es-ES"/>
        </w:rPr>
        <w:t>l</w:t>
      </w:r>
      <w:r w:rsidRPr="00E93157" w:rsidR="00C64D7B">
        <w:rPr>
          <w:rFonts w:ascii="Times New Roman" w:hAnsi="Times New Roman" w:eastAsia="Times New Roman"/>
          <w:sz w:val="28"/>
          <w:szCs w:val="28"/>
          <w:lang w:val="es-ES_tradnl" w:eastAsia="es-ES"/>
        </w:rPr>
        <w:t xml:space="preserve"> proceso</w:t>
      </w:r>
      <w:r w:rsidR="00F11BC0">
        <w:rPr>
          <w:rFonts w:ascii="Times New Roman" w:hAnsi="Times New Roman" w:eastAsia="Times New Roman"/>
          <w:sz w:val="28"/>
          <w:szCs w:val="28"/>
          <w:lang w:val="es-ES_tradnl" w:eastAsia="es-ES"/>
        </w:rPr>
        <w:t xml:space="preserve"> </w:t>
      </w:r>
      <w:r w:rsidRPr="00E93157" w:rsidR="009A0685">
        <w:rPr>
          <w:rFonts w:ascii="Times New Roman" w:hAnsi="Times New Roman" w:eastAsia="Times New Roman"/>
          <w:i/>
          <w:sz w:val="28"/>
          <w:szCs w:val="28"/>
          <w:lang w:val="es-ES_tradnl" w:eastAsia="es-ES"/>
        </w:rPr>
        <w:t>028-201</w:t>
      </w:r>
      <w:r w:rsidR="00845F8E">
        <w:rPr>
          <w:rFonts w:ascii="Times New Roman" w:hAnsi="Times New Roman" w:eastAsia="Times New Roman"/>
          <w:i/>
          <w:sz w:val="28"/>
          <w:szCs w:val="28"/>
          <w:lang w:val="es-ES_tradnl" w:eastAsia="es-ES"/>
        </w:rPr>
        <w:t>7</w:t>
      </w:r>
      <w:r w:rsidRPr="00E93157" w:rsidR="00121052">
        <w:rPr>
          <w:rFonts w:ascii="Times New Roman" w:hAnsi="Times New Roman" w:eastAsia="Times New Roman"/>
          <w:sz w:val="28"/>
          <w:szCs w:val="28"/>
          <w:lang w:val="es-ES_tradnl" w:eastAsia="es-ES"/>
        </w:rPr>
        <w:t xml:space="preserve"> </w:t>
      </w:r>
      <w:r w:rsidRPr="00E93157">
        <w:rPr>
          <w:rFonts w:ascii="Times New Roman" w:hAnsi="Times New Roman" w:eastAsia="Times New Roman"/>
          <w:sz w:val="28"/>
          <w:szCs w:val="28"/>
          <w:lang w:val="es-ES_tradnl" w:eastAsia="es-ES"/>
        </w:rPr>
        <w:t>a la luz de las reglas jurisprudenciales fijadas por la Sala Plena del Co</w:t>
      </w:r>
      <w:r w:rsidRPr="00E93157" w:rsidR="006F1E00">
        <w:rPr>
          <w:rFonts w:ascii="Times New Roman" w:hAnsi="Times New Roman" w:eastAsia="Times New Roman"/>
          <w:sz w:val="28"/>
          <w:szCs w:val="28"/>
          <w:lang w:val="es-ES_tradnl" w:eastAsia="es-ES"/>
        </w:rPr>
        <w:t>nsejo de Estado</w:t>
      </w:r>
      <w:r w:rsidRPr="00E93157" w:rsidR="00B42308">
        <w:rPr>
          <w:rFonts w:ascii="Times New Roman" w:hAnsi="Times New Roman" w:eastAsia="Times New Roman"/>
          <w:b/>
          <w:bCs/>
          <w:sz w:val="28"/>
          <w:szCs w:val="28"/>
          <w:lang w:val="es-ES_tradnl" w:eastAsia="es-ES"/>
        </w:rPr>
        <w:t>,</w:t>
      </w:r>
      <w:r w:rsidRPr="00E93157" w:rsidR="00B42308">
        <w:rPr>
          <w:rStyle w:val="normaltextrun"/>
          <w:color w:val="000000"/>
          <w:sz w:val="28"/>
          <w:szCs w:val="28"/>
          <w:shd w:val="clear" w:color="auto" w:fill="FFFFFF"/>
          <w:lang w:val="es-ES_tradnl"/>
        </w:rPr>
        <w:t xml:space="preserve"> </w:t>
      </w:r>
      <w:r w:rsidRPr="00E93157" w:rsidR="00B42308">
        <w:rPr>
          <w:rStyle w:val="normaltextrun"/>
          <w:rFonts w:asciiTheme="majorBidi" w:hAnsiTheme="majorBidi" w:cstheme="majorBidi"/>
          <w:color w:val="000000"/>
          <w:sz w:val="28"/>
          <w:szCs w:val="28"/>
          <w:shd w:val="clear" w:color="auto" w:fill="FFFFFF"/>
          <w:lang w:val="es-ES_tradnl"/>
        </w:rPr>
        <w:t xml:space="preserve">y de ser el caso, </w:t>
      </w:r>
      <w:r w:rsidRPr="008A4237" w:rsidR="00B42308">
        <w:rPr>
          <w:rStyle w:val="normaltextrun"/>
          <w:rFonts w:asciiTheme="majorBidi" w:hAnsiTheme="majorBidi" w:cstheme="majorBidi"/>
          <w:color w:val="000000"/>
          <w:sz w:val="28"/>
          <w:szCs w:val="28"/>
          <w:u w:val="single"/>
          <w:shd w:val="clear" w:color="auto" w:fill="FFFFFF"/>
          <w:lang w:val="es-ES_tradnl"/>
        </w:rPr>
        <w:t>no avocar el conocimiento del asunto. </w:t>
      </w:r>
      <w:r w:rsidRPr="008A4237" w:rsidR="00B42308">
        <w:rPr>
          <w:rStyle w:val="eop"/>
          <w:rFonts w:asciiTheme="majorBidi" w:hAnsiTheme="majorBidi" w:cstheme="majorBidi"/>
          <w:color w:val="000000"/>
          <w:sz w:val="28"/>
          <w:szCs w:val="28"/>
          <w:u w:val="single"/>
          <w:shd w:val="clear" w:color="auto" w:fill="FFFFFF"/>
          <w:lang w:val="es-ES_tradnl"/>
        </w:rPr>
        <w:t> </w:t>
      </w:r>
    </w:p>
    <w:p w:rsidRPr="00E93157" w:rsidR="006F1E00" w:rsidP="00A10D5F" w:rsidRDefault="006F1E00" w14:paraId="675135AE" w14:textId="31853159">
      <w:pPr>
        <w:overflowPunct w:val="0"/>
        <w:autoSpaceDE w:val="0"/>
        <w:autoSpaceDN w:val="0"/>
        <w:adjustRightInd w:val="0"/>
        <w:spacing w:after="0" w:line="360" w:lineRule="auto"/>
        <w:jc w:val="both"/>
        <w:rPr>
          <w:rFonts w:ascii="Times New Roman" w:hAnsi="Times New Roman" w:eastAsia="Times New Roman"/>
          <w:sz w:val="28"/>
          <w:szCs w:val="28"/>
          <w:lang w:val="es-ES_tradnl" w:eastAsia="es-ES"/>
        </w:rPr>
      </w:pPr>
    </w:p>
    <w:p w:rsidR="00A20C76" w:rsidP="00385632" w:rsidRDefault="00E757A3" w14:paraId="1C165378" w14:textId="0277C8A8">
      <w:pPr>
        <w:overflowPunct w:val="0"/>
        <w:autoSpaceDE w:val="0"/>
        <w:autoSpaceDN w:val="0"/>
        <w:adjustRightInd w:val="0"/>
        <w:spacing w:after="0" w:line="360" w:lineRule="auto"/>
        <w:jc w:val="both"/>
        <w:rPr>
          <w:rFonts w:asciiTheme="majorBidi" w:hAnsiTheme="majorBidi" w:cstheme="majorBidi"/>
          <w:sz w:val="28"/>
          <w:szCs w:val="28"/>
          <w:lang w:val="es-ES_tradnl"/>
        </w:rPr>
      </w:pPr>
      <w:r w:rsidRPr="00E93157">
        <w:rPr>
          <w:rFonts w:asciiTheme="majorBidi" w:hAnsiTheme="majorBidi" w:cstheme="majorBidi"/>
          <w:bCs/>
          <w:sz w:val="28"/>
          <w:szCs w:val="28"/>
          <w:lang w:val="es-ES_tradnl"/>
        </w:rPr>
        <w:t>Ciertamente l</w:t>
      </w:r>
      <w:r w:rsidRPr="00E93157" w:rsidR="00A20C76">
        <w:rPr>
          <w:rFonts w:asciiTheme="majorBidi" w:hAnsiTheme="majorBidi" w:cstheme="majorBidi"/>
          <w:bCs/>
          <w:sz w:val="28"/>
          <w:szCs w:val="28"/>
          <w:lang w:val="es-ES_tradnl"/>
        </w:rPr>
        <w:t xml:space="preserve">a Sala Plena del Consejo de Estado mediante auto de unificación de 29 de junio de 2021, MP. William Hernández Gómez, </w:t>
      </w:r>
      <w:r w:rsidRPr="00E93157" w:rsidR="00A20C76">
        <w:rPr>
          <w:rFonts w:asciiTheme="majorBidi" w:hAnsiTheme="majorBidi" w:cstheme="majorBidi"/>
          <w:sz w:val="28"/>
          <w:szCs w:val="28"/>
          <w:lang w:val="es-ES_tradnl"/>
        </w:rPr>
        <w:t xml:space="preserve">confirmó la decisión de </w:t>
      </w:r>
      <w:proofErr w:type="spellStart"/>
      <w:r w:rsidRPr="00E93157" w:rsidR="00A20C76">
        <w:rPr>
          <w:rFonts w:asciiTheme="majorBidi" w:hAnsiTheme="majorBidi" w:cstheme="majorBidi"/>
          <w:sz w:val="28"/>
          <w:szCs w:val="28"/>
          <w:lang w:val="es-ES_tradnl"/>
        </w:rPr>
        <w:t>inaplicar</w:t>
      </w:r>
      <w:proofErr w:type="spellEnd"/>
      <w:r w:rsidRPr="00E93157" w:rsidR="00A20C76">
        <w:rPr>
          <w:rFonts w:asciiTheme="majorBidi" w:hAnsiTheme="majorBidi" w:cstheme="majorBidi"/>
          <w:sz w:val="28"/>
          <w:szCs w:val="28"/>
          <w:lang w:val="es-ES_tradnl"/>
        </w:rPr>
        <w:t xml:space="preserve"> los artículos 23 y 45 de la Ley 2080 de 2021, que introdujeron el medio de control automático de legalidad de los fallos con responsabilidad fiscal en el CPACA, por ser incompatibles con </w:t>
      </w:r>
      <w:r w:rsidRPr="00E93157" w:rsidR="00385632">
        <w:rPr>
          <w:rFonts w:asciiTheme="majorBidi" w:hAnsiTheme="majorBidi" w:cstheme="majorBidi"/>
          <w:iCs/>
          <w:sz w:val="28"/>
          <w:szCs w:val="28"/>
          <w:lang w:val="es-ES_tradnl"/>
        </w:rPr>
        <w:t xml:space="preserve">los artículos 29, 229 y 238 de </w:t>
      </w:r>
      <w:r w:rsidRPr="00E93157" w:rsidR="00A20C76">
        <w:rPr>
          <w:rFonts w:asciiTheme="majorBidi" w:hAnsiTheme="majorBidi" w:cstheme="majorBidi"/>
          <w:sz w:val="28"/>
          <w:szCs w:val="28"/>
          <w:lang w:val="es-ES_tradnl"/>
        </w:rPr>
        <w:t>la Constitución</w:t>
      </w:r>
      <w:r w:rsidRPr="00E93157" w:rsidR="00385632">
        <w:rPr>
          <w:rFonts w:asciiTheme="majorBidi" w:hAnsiTheme="majorBidi" w:cstheme="majorBidi"/>
          <w:sz w:val="28"/>
          <w:szCs w:val="28"/>
          <w:lang w:val="es-ES_tradnl"/>
        </w:rPr>
        <w:t xml:space="preserve"> Política</w:t>
      </w:r>
      <w:r w:rsidRPr="00E93157" w:rsidR="00A20C76">
        <w:rPr>
          <w:rFonts w:asciiTheme="majorBidi" w:hAnsiTheme="majorBidi" w:cstheme="majorBidi"/>
          <w:sz w:val="28"/>
          <w:szCs w:val="28"/>
          <w:lang w:val="es-ES_tradnl"/>
        </w:rPr>
        <w:t xml:space="preserve"> y </w:t>
      </w:r>
      <w:r w:rsidRPr="00E93157" w:rsidR="00385632">
        <w:rPr>
          <w:rFonts w:asciiTheme="majorBidi" w:hAnsiTheme="majorBidi" w:cstheme="majorBidi"/>
          <w:sz w:val="28"/>
          <w:szCs w:val="28"/>
          <w:lang w:val="es-ES_tradnl"/>
        </w:rPr>
        <w:t xml:space="preserve">los </w:t>
      </w:r>
      <w:r w:rsidRPr="00E93157" w:rsidR="00385632">
        <w:rPr>
          <w:rFonts w:asciiTheme="majorBidi" w:hAnsiTheme="majorBidi" w:cstheme="majorBidi"/>
          <w:iCs/>
          <w:sz w:val="28"/>
          <w:szCs w:val="28"/>
          <w:lang w:val="es-ES_tradnl"/>
        </w:rPr>
        <w:t>artículos 2º, 8.1, 23.2., 24 y 25.1</w:t>
      </w:r>
      <w:r w:rsidRPr="00E93157" w:rsidR="00385632">
        <w:rPr>
          <w:rFonts w:asciiTheme="majorBidi" w:hAnsiTheme="majorBidi" w:cstheme="majorBidi"/>
          <w:sz w:val="28"/>
          <w:szCs w:val="28"/>
          <w:lang w:val="es-ES_tradnl"/>
        </w:rPr>
        <w:t xml:space="preserve"> de </w:t>
      </w:r>
      <w:r w:rsidRPr="00E93157" w:rsidR="00A20C76">
        <w:rPr>
          <w:rFonts w:asciiTheme="majorBidi" w:hAnsiTheme="majorBidi" w:cstheme="majorBidi"/>
          <w:sz w:val="28"/>
          <w:szCs w:val="28"/>
          <w:lang w:val="es-ES_tradnl"/>
        </w:rPr>
        <w:t xml:space="preserve">la Convención Americana de Derechos Humanos </w:t>
      </w:r>
      <w:bookmarkStart w:name="_Hlk80275682" w:id="0"/>
      <w:r w:rsidRPr="00E93157" w:rsidR="00A20C76">
        <w:rPr>
          <w:rFonts w:asciiTheme="majorBidi" w:hAnsiTheme="majorBidi" w:cstheme="majorBidi"/>
          <w:sz w:val="28"/>
          <w:szCs w:val="28"/>
          <w:lang w:val="es-ES_tradnl"/>
        </w:rPr>
        <w:t>(CADH)</w:t>
      </w:r>
      <w:bookmarkEnd w:id="0"/>
      <w:r w:rsidRPr="00E93157" w:rsidR="00A20C76">
        <w:rPr>
          <w:rFonts w:asciiTheme="majorBidi" w:hAnsiTheme="majorBidi" w:cstheme="majorBidi"/>
          <w:sz w:val="28"/>
          <w:szCs w:val="28"/>
          <w:lang w:val="es-ES_tradnl"/>
        </w:rPr>
        <w:t>.</w:t>
      </w:r>
    </w:p>
    <w:p w:rsidRPr="00E93157" w:rsidR="00845F8E" w:rsidP="00385632" w:rsidRDefault="00845F8E" w14:paraId="48599099" w14:textId="77777777">
      <w:pPr>
        <w:overflowPunct w:val="0"/>
        <w:autoSpaceDE w:val="0"/>
        <w:autoSpaceDN w:val="0"/>
        <w:adjustRightInd w:val="0"/>
        <w:spacing w:after="0" w:line="360" w:lineRule="auto"/>
        <w:jc w:val="both"/>
        <w:rPr>
          <w:rFonts w:asciiTheme="majorBidi" w:hAnsiTheme="majorBidi" w:cstheme="majorBidi"/>
          <w:sz w:val="28"/>
          <w:szCs w:val="28"/>
          <w:lang w:val="es-ES_tradnl"/>
        </w:rPr>
      </w:pPr>
    </w:p>
    <w:p w:rsidRPr="00E93157" w:rsidR="00A20C76" w:rsidP="00385632" w:rsidRDefault="00385632" w14:paraId="23065800" w14:textId="05599853">
      <w:pPr>
        <w:overflowPunct w:val="0"/>
        <w:autoSpaceDE w:val="0"/>
        <w:autoSpaceDN w:val="0"/>
        <w:adjustRightInd w:val="0"/>
        <w:spacing w:after="0" w:line="360" w:lineRule="auto"/>
        <w:jc w:val="both"/>
        <w:rPr>
          <w:rFonts w:asciiTheme="majorBidi" w:hAnsiTheme="majorBidi" w:cstheme="majorBidi"/>
          <w:sz w:val="28"/>
          <w:szCs w:val="28"/>
          <w:lang w:val="es-ES_tradnl"/>
        </w:rPr>
      </w:pPr>
      <w:r w:rsidRPr="00E93157">
        <w:rPr>
          <w:rFonts w:asciiTheme="majorBidi" w:hAnsiTheme="majorBidi" w:cstheme="majorBidi"/>
          <w:sz w:val="28"/>
          <w:szCs w:val="28"/>
          <w:lang w:val="es-ES_tradnl"/>
        </w:rPr>
        <w:t>Al respecto, la Sala Plena señaló que la regulación del mencionado control automático de legalidad viola el artículo 29 de la Constitución sobre el debido proceso y el artículo 8.1 de la CADH, respecto de las garantías judiciales que deben ser otorgadas a todas las personas, toda vez</w:t>
      </w:r>
      <w:r w:rsidRPr="00E93157" w:rsidR="00791467">
        <w:rPr>
          <w:rFonts w:asciiTheme="majorBidi" w:hAnsiTheme="majorBidi" w:cstheme="majorBidi"/>
          <w:sz w:val="28"/>
          <w:szCs w:val="28"/>
          <w:lang w:val="es-ES_tradnl"/>
        </w:rPr>
        <w:t>,</w:t>
      </w:r>
      <w:r w:rsidRPr="00E93157">
        <w:rPr>
          <w:rFonts w:asciiTheme="majorBidi" w:hAnsiTheme="majorBidi" w:cstheme="majorBidi"/>
          <w:sz w:val="28"/>
          <w:szCs w:val="28"/>
          <w:lang w:val="es-ES_tradnl"/>
        </w:rPr>
        <w:t xml:space="preserve"> que a quienes fueron </w:t>
      </w:r>
      <w:r w:rsidRPr="00E93157">
        <w:rPr>
          <w:rFonts w:asciiTheme="majorBidi" w:hAnsiTheme="majorBidi" w:cstheme="majorBidi"/>
          <w:sz w:val="28"/>
          <w:szCs w:val="28"/>
          <w:lang w:val="es-ES_tradnl"/>
        </w:rPr>
        <w:lastRenderedPageBreak/>
        <w:t>declarados responsables fiscalmente, no se les permite presentar pruebas y controvertir las que se alleguen en su contra, o las decisiones relativas a la necesidad de un periodo probatorio, y de pronunciarse en alegatos de conclusión sobre aquellas pruebas que efectivamente se practiquen, en este trámite de control automático.</w:t>
      </w:r>
    </w:p>
    <w:p w:rsidRPr="00E93157" w:rsidR="00A20C76" w:rsidP="00A20C76" w:rsidRDefault="00A20C76" w14:paraId="2C77287F" w14:textId="2C4EA1DA">
      <w:pPr>
        <w:overflowPunct w:val="0"/>
        <w:autoSpaceDE w:val="0"/>
        <w:autoSpaceDN w:val="0"/>
        <w:adjustRightInd w:val="0"/>
        <w:spacing w:after="0" w:line="360" w:lineRule="auto"/>
        <w:jc w:val="both"/>
        <w:rPr>
          <w:rFonts w:asciiTheme="majorBidi" w:hAnsiTheme="majorBidi" w:cstheme="majorBidi"/>
          <w:sz w:val="28"/>
          <w:szCs w:val="28"/>
          <w:lang w:val="es-ES_tradnl"/>
        </w:rPr>
      </w:pPr>
    </w:p>
    <w:p w:rsidRPr="00E93157" w:rsidR="00143644" w:rsidP="00143644" w:rsidRDefault="00385632" w14:paraId="6D096C84" w14:textId="1ECF1A47">
      <w:pPr>
        <w:overflowPunct w:val="0"/>
        <w:autoSpaceDE w:val="0"/>
        <w:autoSpaceDN w:val="0"/>
        <w:adjustRightInd w:val="0"/>
        <w:spacing w:after="0" w:line="360" w:lineRule="auto"/>
        <w:jc w:val="both"/>
        <w:rPr>
          <w:rFonts w:asciiTheme="majorBidi" w:hAnsiTheme="majorBidi" w:cstheme="majorBidi"/>
          <w:sz w:val="28"/>
          <w:szCs w:val="28"/>
          <w:lang w:val="es-ES_tradnl"/>
        </w:rPr>
      </w:pPr>
      <w:r w:rsidRPr="00E93157">
        <w:rPr>
          <w:rFonts w:asciiTheme="majorBidi" w:hAnsiTheme="majorBidi" w:cstheme="majorBidi"/>
          <w:sz w:val="28"/>
          <w:szCs w:val="28"/>
          <w:lang w:val="es-ES_tradnl"/>
        </w:rPr>
        <w:t>Adicional a esto, la Sala Plena sostuvo que el nuevo medio de control es incompatible con los artículos 229 y 90 de la Constitución y el artículo 25.1 de la CADH sobre el derecho de acceso a la administración de justicia, a la reparación integral del daño y a la tutela judicial efectiva. Lo anterior porque en la medida en que, a quien es declarado fiscalmente responsable, no se le</w:t>
      </w:r>
      <w:r w:rsidRPr="00E93157" w:rsidR="00791467">
        <w:rPr>
          <w:rFonts w:asciiTheme="majorBidi" w:hAnsiTheme="majorBidi" w:cstheme="majorBidi"/>
          <w:sz w:val="28"/>
          <w:szCs w:val="28"/>
          <w:lang w:val="es-ES_tradnl"/>
        </w:rPr>
        <w:t>s</w:t>
      </w:r>
      <w:r w:rsidRPr="00E93157">
        <w:rPr>
          <w:rFonts w:asciiTheme="majorBidi" w:hAnsiTheme="majorBidi" w:cstheme="majorBidi"/>
          <w:sz w:val="28"/>
          <w:szCs w:val="28"/>
          <w:lang w:val="es-ES_tradnl"/>
        </w:rPr>
        <w:t xml:space="preserve"> da la oportunidad de formular pretensiones</w:t>
      </w:r>
      <w:r w:rsidRPr="00E93157" w:rsidR="00791467">
        <w:rPr>
          <w:rFonts w:asciiTheme="majorBidi" w:hAnsiTheme="majorBidi" w:cstheme="majorBidi"/>
          <w:sz w:val="28"/>
          <w:szCs w:val="28"/>
          <w:lang w:val="es-ES_tradnl"/>
        </w:rPr>
        <w:t>,</w:t>
      </w:r>
      <w:r w:rsidRPr="00E93157">
        <w:rPr>
          <w:rFonts w:asciiTheme="majorBidi" w:hAnsiTheme="majorBidi" w:cstheme="majorBidi"/>
          <w:sz w:val="28"/>
          <w:szCs w:val="28"/>
          <w:lang w:val="es-ES_tradnl"/>
        </w:rPr>
        <w:t xml:space="preserve"> tales como el restablecimiento de aquellos derechos que le hayan sido vulnerados por la eventual ilegalidad del acto administrativo con responsabilidad fiscal y la indemnización de los perjuicios causados con éste.</w:t>
      </w:r>
      <w:r w:rsidRPr="00E93157" w:rsidR="00143644">
        <w:rPr>
          <w:rFonts w:asciiTheme="majorBidi" w:hAnsiTheme="majorBidi" w:cstheme="majorBidi"/>
          <w:sz w:val="28"/>
          <w:szCs w:val="28"/>
          <w:lang w:val="es-ES_tradnl"/>
        </w:rPr>
        <w:t xml:space="preserve"> Que tampoco se le da la oportunidad al Juez de pronunciarse sobre los perjuicios que hubiese podido ocasionar el acto administrativo, porque no habría oportunidad procesal para solicitar las pruebas que acrediten los perjuicios ocasionados. </w:t>
      </w:r>
    </w:p>
    <w:p w:rsidRPr="00E93157" w:rsidR="00A20C76" w:rsidP="00A20C76" w:rsidRDefault="00A20C76" w14:paraId="69916105" w14:textId="2A360EB7">
      <w:pPr>
        <w:overflowPunct w:val="0"/>
        <w:autoSpaceDE w:val="0"/>
        <w:autoSpaceDN w:val="0"/>
        <w:adjustRightInd w:val="0"/>
        <w:spacing w:after="0" w:line="360" w:lineRule="auto"/>
        <w:jc w:val="both"/>
        <w:rPr>
          <w:rFonts w:asciiTheme="majorBidi" w:hAnsiTheme="majorBidi" w:cstheme="majorBidi"/>
          <w:sz w:val="28"/>
          <w:szCs w:val="28"/>
          <w:lang w:val="es-ES_tradnl"/>
        </w:rPr>
      </w:pPr>
    </w:p>
    <w:p w:rsidRPr="00E93157" w:rsidR="00143644" w:rsidP="004F6CFA" w:rsidRDefault="00143644" w14:paraId="334AD048" w14:textId="7252423E">
      <w:pPr>
        <w:overflowPunct w:val="0"/>
        <w:autoSpaceDE w:val="0"/>
        <w:autoSpaceDN w:val="0"/>
        <w:adjustRightInd w:val="0"/>
        <w:spacing w:after="0" w:line="360" w:lineRule="auto"/>
        <w:jc w:val="both"/>
        <w:rPr>
          <w:rFonts w:asciiTheme="majorBidi" w:hAnsiTheme="majorBidi" w:cstheme="majorBidi"/>
          <w:sz w:val="28"/>
          <w:szCs w:val="28"/>
          <w:lang w:val="es-ES_tradnl"/>
        </w:rPr>
      </w:pPr>
      <w:r w:rsidRPr="00E93157">
        <w:rPr>
          <w:rFonts w:asciiTheme="majorBidi" w:hAnsiTheme="majorBidi" w:cstheme="majorBidi"/>
          <w:sz w:val="28"/>
          <w:szCs w:val="28"/>
          <w:lang w:val="es-ES_tradnl"/>
        </w:rPr>
        <w:t>Por otro lado, la Sala Plena consideró que las normas sobre el control automático de legalidad violan el artículo 238 de la Constitución, sobre la facultad de la jurisdicción de lo contencioso administrativo para suspender provisionalmente los efectos de los actos administrativos, por cuanto al dársele al responsable fiscal</w:t>
      </w:r>
      <w:r w:rsidRPr="00E93157" w:rsidR="006008E8">
        <w:rPr>
          <w:rFonts w:asciiTheme="majorBidi" w:hAnsiTheme="majorBidi" w:cstheme="majorBidi"/>
          <w:sz w:val="28"/>
          <w:szCs w:val="28"/>
          <w:lang w:val="es-ES_tradnl"/>
        </w:rPr>
        <w:t xml:space="preserve"> el tratamiento </w:t>
      </w:r>
      <w:r w:rsidRPr="00E93157">
        <w:rPr>
          <w:rFonts w:asciiTheme="majorBidi" w:hAnsiTheme="majorBidi" w:cstheme="majorBidi"/>
          <w:sz w:val="28"/>
          <w:szCs w:val="28"/>
          <w:lang w:val="es-ES_tradnl"/>
        </w:rPr>
        <w:t>de mero interviniente</w:t>
      </w:r>
      <w:r w:rsidRPr="00E93157" w:rsidR="006008E8">
        <w:rPr>
          <w:rFonts w:asciiTheme="majorBidi" w:hAnsiTheme="majorBidi" w:cstheme="majorBidi"/>
          <w:sz w:val="28"/>
          <w:szCs w:val="28"/>
          <w:lang w:val="es-ES_tradnl"/>
        </w:rPr>
        <w:t>,</w:t>
      </w:r>
      <w:r w:rsidRPr="00E93157">
        <w:rPr>
          <w:rFonts w:asciiTheme="majorBidi" w:hAnsiTheme="majorBidi" w:cstheme="majorBidi"/>
          <w:sz w:val="28"/>
          <w:szCs w:val="28"/>
          <w:lang w:val="es-ES_tradnl"/>
        </w:rPr>
        <w:t xml:space="preserve"> no lo legitima para que dentro del proceso solicite la suspensión de los efectos del acto enjuiciado que declaró su responsabilidad, efectos que no se reducen únicamente a la inscripción en el Boletín de Responsables </w:t>
      </w:r>
      <w:r w:rsidRPr="00E93157" w:rsidR="0027696D">
        <w:rPr>
          <w:rFonts w:asciiTheme="majorBidi" w:hAnsiTheme="majorBidi" w:cstheme="majorBidi"/>
          <w:sz w:val="28"/>
          <w:szCs w:val="28"/>
          <w:lang w:val="es-ES_tradnl"/>
        </w:rPr>
        <w:t>F</w:t>
      </w:r>
      <w:r w:rsidRPr="00E93157">
        <w:rPr>
          <w:rFonts w:asciiTheme="majorBidi" w:hAnsiTheme="majorBidi" w:cstheme="majorBidi"/>
          <w:sz w:val="28"/>
          <w:szCs w:val="28"/>
          <w:lang w:val="es-ES_tradnl"/>
        </w:rPr>
        <w:t>iscales</w:t>
      </w:r>
      <w:r w:rsidRPr="00E93157" w:rsidR="006008E8">
        <w:rPr>
          <w:rFonts w:asciiTheme="majorBidi" w:hAnsiTheme="majorBidi" w:cstheme="majorBidi"/>
          <w:sz w:val="28"/>
          <w:szCs w:val="28"/>
          <w:lang w:val="es-ES_tradnl"/>
        </w:rPr>
        <w:t>,</w:t>
      </w:r>
      <w:r w:rsidRPr="00E93157">
        <w:rPr>
          <w:rFonts w:asciiTheme="majorBidi" w:hAnsiTheme="majorBidi" w:cstheme="majorBidi"/>
          <w:sz w:val="28"/>
          <w:szCs w:val="28"/>
          <w:lang w:val="es-ES_tradnl"/>
        </w:rPr>
        <w:t xml:space="preserve"> sino que</w:t>
      </w:r>
      <w:r w:rsidRPr="00E93157" w:rsidR="006008E8">
        <w:rPr>
          <w:rFonts w:asciiTheme="majorBidi" w:hAnsiTheme="majorBidi" w:cstheme="majorBidi"/>
          <w:sz w:val="28"/>
          <w:szCs w:val="28"/>
          <w:lang w:val="es-ES_tradnl"/>
        </w:rPr>
        <w:t xml:space="preserve"> también</w:t>
      </w:r>
      <w:r w:rsidRPr="00E93157">
        <w:rPr>
          <w:rFonts w:asciiTheme="majorBidi" w:hAnsiTheme="majorBidi" w:cstheme="majorBidi"/>
          <w:sz w:val="28"/>
          <w:szCs w:val="28"/>
          <w:lang w:val="es-ES_tradnl"/>
        </w:rPr>
        <w:t xml:space="preserve"> comprende la obligación de pagar una suma de dinero, la cual presta m</w:t>
      </w:r>
      <w:r w:rsidRPr="00E93157" w:rsidR="006008E8">
        <w:rPr>
          <w:rFonts w:asciiTheme="majorBidi" w:hAnsiTheme="majorBidi" w:cstheme="majorBidi"/>
          <w:sz w:val="28"/>
          <w:szCs w:val="28"/>
          <w:lang w:val="es-ES_tradnl"/>
        </w:rPr>
        <w:t>é</w:t>
      </w:r>
      <w:r w:rsidRPr="00E93157">
        <w:rPr>
          <w:rFonts w:asciiTheme="majorBidi" w:hAnsiTheme="majorBidi" w:cstheme="majorBidi"/>
          <w:sz w:val="28"/>
          <w:szCs w:val="28"/>
          <w:lang w:val="es-ES_tradnl"/>
        </w:rPr>
        <w:t>rito ejecutivo.</w:t>
      </w:r>
      <w:r w:rsidRPr="00E93157" w:rsidR="004F6CFA">
        <w:rPr>
          <w:rFonts w:asciiTheme="majorBidi" w:hAnsiTheme="majorBidi" w:cstheme="majorBidi"/>
          <w:sz w:val="28"/>
          <w:szCs w:val="28"/>
          <w:lang w:val="es-ES_tradnl"/>
        </w:rPr>
        <w:t xml:space="preserve"> Suspensión de los efectos del acto administrativo que tampoco puede adoptarla de oficio el juez en vista de que no se trata de un proceso que tengan por finalidad la defensa y protección de los derechos e intereses colectivos, en los términos del artículo 229 del C.P.A.CA. </w:t>
      </w:r>
    </w:p>
    <w:p w:rsidRPr="00E93157" w:rsidR="004F6CFA" w:rsidP="004F6CFA" w:rsidRDefault="004F6CFA" w14:paraId="7D93A95C" w14:textId="24D52D48">
      <w:pPr>
        <w:overflowPunct w:val="0"/>
        <w:autoSpaceDE w:val="0"/>
        <w:autoSpaceDN w:val="0"/>
        <w:adjustRightInd w:val="0"/>
        <w:spacing w:after="0" w:line="360" w:lineRule="auto"/>
        <w:jc w:val="both"/>
        <w:rPr>
          <w:rFonts w:asciiTheme="majorBidi" w:hAnsiTheme="majorBidi" w:cstheme="majorBidi"/>
          <w:sz w:val="28"/>
          <w:szCs w:val="28"/>
          <w:lang w:val="es-ES_tradnl"/>
        </w:rPr>
      </w:pPr>
    </w:p>
    <w:p w:rsidRPr="00E93157" w:rsidR="003848D8" w:rsidP="003848D8" w:rsidRDefault="004F6CFA" w14:paraId="00B31854" w14:textId="6717726A">
      <w:pPr>
        <w:overflowPunct w:val="0"/>
        <w:autoSpaceDE w:val="0"/>
        <w:autoSpaceDN w:val="0"/>
        <w:adjustRightInd w:val="0"/>
        <w:spacing w:after="0" w:line="360" w:lineRule="auto"/>
        <w:jc w:val="both"/>
        <w:rPr>
          <w:rFonts w:asciiTheme="majorBidi" w:hAnsiTheme="majorBidi" w:cstheme="majorBidi"/>
          <w:sz w:val="28"/>
          <w:szCs w:val="28"/>
          <w:lang w:val="es-ES_tradnl"/>
        </w:rPr>
      </w:pPr>
      <w:r w:rsidRPr="00E93157">
        <w:rPr>
          <w:rFonts w:asciiTheme="majorBidi" w:hAnsiTheme="majorBidi" w:cstheme="majorBidi"/>
          <w:sz w:val="28"/>
          <w:szCs w:val="28"/>
          <w:lang w:val="es-ES_tradnl"/>
        </w:rPr>
        <w:t>También se consideró que las normas sobre el control automático de legalidad violan los artículos 13 de la Carta y 24 de la CADH sobre el principio de igualdad por lo antes dicho y po</w:t>
      </w:r>
      <w:r w:rsidRPr="00E93157" w:rsidR="003848D8">
        <w:rPr>
          <w:rFonts w:asciiTheme="majorBidi" w:hAnsiTheme="majorBidi" w:cstheme="majorBidi"/>
          <w:sz w:val="28"/>
          <w:szCs w:val="28"/>
          <w:lang w:val="es-ES_tradnl"/>
        </w:rPr>
        <w:t xml:space="preserve">rque se disminuyen notoriamente las garantías </w:t>
      </w:r>
      <w:r w:rsidRPr="00E93157" w:rsidR="003848D8">
        <w:rPr>
          <w:rFonts w:asciiTheme="majorBidi" w:hAnsiTheme="majorBidi" w:cstheme="majorBidi"/>
          <w:sz w:val="28"/>
          <w:szCs w:val="28"/>
          <w:lang w:val="es-ES_tradnl"/>
        </w:rPr>
        <w:lastRenderedPageBreak/>
        <w:t>procesales del sujeto hallado responsable fiscal, por cuanto son sometidos a (i) un juicio sumario, (ii) con un grave desequilibrio procesal ante un potencial número indeterminado de intervinientes “</w:t>
      </w:r>
      <w:r w:rsidRPr="00E93157" w:rsidR="003848D8">
        <w:rPr>
          <w:rFonts w:asciiTheme="majorBidi" w:hAnsiTheme="majorBidi" w:cstheme="majorBidi"/>
          <w:i/>
          <w:sz w:val="28"/>
          <w:szCs w:val="28"/>
          <w:lang w:val="es-ES_tradnl"/>
        </w:rPr>
        <w:t xml:space="preserve">lo que llevaría al absurdo de tener que defenderse de todo y contra todos”, </w:t>
      </w:r>
      <w:r w:rsidRPr="00E93157" w:rsidR="003848D8">
        <w:rPr>
          <w:rFonts w:asciiTheme="majorBidi" w:hAnsiTheme="majorBidi" w:cstheme="majorBidi"/>
          <w:sz w:val="28"/>
          <w:szCs w:val="28"/>
          <w:lang w:val="es-ES_tradnl"/>
        </w:rPr>
        <w:t xml:space="preserve">en comparación al medio subjetivo de nulidad en el que las partes directamente interesadas debaten ante el juez, con etapas procesales debidamente reguladas. </w:t>
      </w:r>
    </w:p>
    <w:p w:rsidRPr="00E93157" w:rsidR="003848D8" w:rsidP="003848D8" w:rsidRDefault="003848D8" w14:paraId="098D4166" w14:textId="0B12A752">
      <w:pPr>
        <w:overflowPunct w:val="0"/>
        <w:autoSpaceDE w:val="0"/>
        <w:autoSpaceDN w:val="0"/>
        <w:adjustRightInd w:val="0"/>
        <w:spacing w:after="0" w:line="360" w:lineRule="auto"/>
        <w:jc w:val="both"/>
        <w:rPr>
          <w:rFonts w:asciiTheme="majorBidi" w:hAnsiTheme="majorBidi" w:cstheme="majorBidi"/>
          <w:sz w:val="28"/>
          <w:szCs w:val="28"/>
          <w:lang w:val="es-ES_tradnl"/>
        </w:rPr>
      </w:pPr>
    </w:p>
    <w:p w:rsidRPr="00E93157" w:rsidR="003848D8" w:rsidP="003848D8" w:rsidRDefault="003848D8" w14:paraId="098EC7E6" w14:textId="77777777">
      <w:pPr>
        <w:overflowPunct w:val="0"/>
        <w:autoSpaceDE w:val="0"/>
        <w:autoSpaceDN w:val="0"/>
        <w:adjustRightInd w:val="0"/>
        <w:spacing w:after="0" w:line="360" w:lineRule="auto"/>
        <w:jc w:val="both"/>
        <w:rPr>
          <w:rFonts w:asciiTheme="majorBidi" w:hAnsiTheme="majorBidi" w:cstheme="majorBidi"/>
          <w:sz w:val="28"/>
          <w:szCs w:val="28"/>
          <w:lang w:val="es-ES_tradnl"/>
        </w:rPr>
      </w:pPr>
      <w:r w:rsidRPr="00E93157">
        <w:rPr>
          <w:rFonts w:asciiTheme="majorBidi" w:hAnsiTheme="majorBidi" w:cstheme="majorBidi"/>
          <w:sz w:val="28"/>
          <w:szCs w:val="28"/>
          <w:lang w:val="es-ES_tradnl"/>
        </w:rPr>
        <w:t xml:space="preserve">Finalmente, la Sala Plena de lo Contencioso Administrativo indicó que este medio de control no cumple en sentido estricto los parámetros de convencionalidad previstos por la Corte Interamericana de Derechos Humanos en la sentencia del 8 de julio de 2020 (caso </w:t>
      </w:r>
      <w:proofErr w:type="spellStart"/>
      <w:r w:rsidRPr="00E93157">
        <w:rPr>
          <w:rFonts w:asciiTheme="majorBidi" w:hAnsiTheme="majorBidi" w:cstheme="majorBidi"/>
          <w:sz w:val="28"/>
          <w:szCs w:val="28"/>
          <w:lang w:val="es-ES_tradnl"/>
        </w:rPr>
        <w:t>Petro</w:t>
      </w:r>
      <w:proofErr w:type="spellEnd"/>
      <w:r w:rsidRPr="00E93157">
        <w:rPr>
          <w:rFonts w:asciiTheme="majorBidi" w:hAnsiTheme="majorBidi" w:cstheme="majorBidi"/>
          <w:sz w:val="28"/>
          <w:szCs w:val="28"/>
          <w:lang w:val="es-ES_tradnl"/>
        </w:rPr>
        <w:t xml:space="preserve"> Urrego vs Colombia). La sentencia de la Corte Interamericana de Derechos Humanos señala que “</w:t>
      </w:r>
      <w:r w:rsidRPr="00E93157">
        <w:rPr>
          <w:rFonts w:asciiTheme="majorBidi" w:hAnsiTheme="majorBidi" w:cstheme="majorBidi"/>
          <w:i/>
          <w:iCs/>
          <w:sz w:val="28"/>
          <w:szCs w:val="28"/>
          <w:lang w:val="es-ES_tradnl"/>
        </w:rPr>
        <w:t xml:space="preserve">aun cuando las facultades de la Contraloría no contemplan la atribución directa para destituir o inhabilitar funcionarios públicos de elección popular, las </w:t>
      </w:r>
      <w:r w:rsidRPr="00E93157">
        <w:rPr>
          <w:rFonts w:asciiTheme="majorBidi" w:hAnsiTheme="majorBidi" w:cstheme="majorBidi"/>
          <w:i/>
          <w:iCs/>
          <w:sz w:val="28"/>
          <w:szCs w:val="28"/>
          <w:u w:val="single"/>
          <w:lang w:val="es-ES_tradnl"/>
        </w:rPr>
        <w:t xml:space="preserve">sanciones pecuniarias que pueden imponer, cuando estas resultan en la obligación de realizar el pago de una deuda fiscal de alta cuantía como sucedió en el caso del señor </w:t>
      </w:r>
      <w:proofErr w:type="spellStart"/>
      <w:r w:rsidRPr="00E93157">
        <w:rPr>
          <w:rFonts w:asciiTheme="majorBidi" w:hAnsiTheme="majorBidi" w:cstheme="majorBidi"/>
          <w:i/>
          <w:iCs/>
          <w:sz w:val="28"/>
          <w:szCs w:val="28"/>
          <w:u w:val="single"/>
          <w:lang w:val="es-ES_tradnl"/>
        </w:rPr>
        <w:t>Petro</w:t>
      </w:r>
      <w:proofErr w:type="spellEnd"/>
      <w:r w:rsidRPr="00E93157">
        <w:rPr>
          <w:rFonts w:asciiTheme="majorBidi" w:hAnsiTheme="majorBidi" w:cstheme="majorBidi"/>
          <w:i/>
          <w:iCs/>
          <w:sz w:val="28"/>
          <w:szCs w:val="28"/>
          <w:u w:val="single"/>
          <w:lang w:val="es-ES_tradnl"/>
        </w:rPr>
        <w:t>, pueden tener el efecto práctico de inhabilitarlo</w:t>
      </w:r>
      <w:r w:rsidRPr="00E93157">
        <w:rPr>
          <w:rFonts w:asciiTheme="majorBidi" w:hAnsiTheme="majorBidi" w:cstheme="majorBidi"/>
          <w:sz w:val="28"/>
          <w:szCs w:val="28"/>
          <w:lang w:val="es-ES_tradnl"/>
        </w:rPr>
        <w:t xml:space="preserve">”. </w:t>
      </w:r>
    </w:p>
    <w:p w:rsidRPr="00E93157" w:rsidR="003848D8" w:rsidP="003848D8" w:rsidRDefault="003848D8" w14:paraId="60C5897D" w14:textId="77777777">
      <w:pPr>
        <w:overflowPunct w:val="0"/>
        <w:autoSpaceDE w:val="0"/>
        <w:autoSpaceDN w:val="0"/>
        <w:adjustRightInd w:val="0"/>
        <w:spacing w:after="0" w:line="360" w:lineRule="auto"/>
        <w:jc w:val="both"/>
        <w:rPr>
          <w:rFonts w:asciiTheme="majorBidi" w:hAnsiTheme="majorBidi" w:cstheme="majorBidi"/>
          <w:sz w:val="28"/>
          <w:szCs w:val="28"/>
          <w:lang w:val="es-ES_tradnl"/>
        </w:rPr>
      </w:pPr>
    </w:p>
    <w:p w:rsidRPr="00E93157" w:rsidR="003848D8" w:rsidP="003848D8" w:rsidRDefault="003848D8" w14:paraId="2430CE43" w14:textId="2AC09CCD">
      <w:pPr>
        <w:overflowPunct w:val="0"/>
        <w:autoSpaceDE w:val="0"/>
        <w:autoSpaceDN w:val="0"/>
        <w:adjustRightInd w:val="0"/>
        <w:spacing w:after="0" w:line="360" w:lineRule="auto"/>
        <w:jc w:val="both"/>
        <w:rPr>
          <w:rFonts w:asciiTheme="majorBidi" w:hAnsiTheme="majorBidi" w:cstheme="majorBidi"/>
          <w:sz w:val="28"/>
          <w:szCs w:val="28"/>
          <w:lang w:val="es-ES_tradnl"/>
        </w:rPr>
      </w:pPr>
      <w:r w:rsidRPr="00E93157">
        <w:rPr>
          <w:rFonts w:asciiTheme="majorBidi" w:hAnsiTheme="majorBidi" w:cstheme="majorBidi"/>
          <w:sz w:val="28"/>
          <w:szCs w:val="28"/>
          <w:lang w:val="es-ES_tradnl"/>
        </w:rPr>
        <w:t>Dijo que es cierto que la misma ordena la adecuación del ordenamiento interno; sin embargo, no se establece que la forma específica de hacerlo sea introduciendo el “control automático de legalidad” de los fallos con responsabilidad fiscal, a cargo de una autoridad jurisdiccional.</w:t>
      </w:r>
    </w:p>
    <w:p w:rsidRPr="00E93157" w:rsidR="006F71F2" w:rsidP="003848D8" w:rsidRDefault="006F71F2" w14:paraId="3A4C21D7" w14:textId="15BB05E2">
      <w:pPr>
        <w:overflowPunct w:val="0"/>
        <w:autoSpaceDE w:val="0"/>
        <w:autoSpaceDN w:val="0"/>
        <w:adjustRightInd w:val="0"/>
        <w:spacing w:after="0" w:line="360" w:lineRule="auto"/>
        <w:jc w:val="both"/>
        <w:rPr>
          <w:rFonts w:asciiTheme="majorBidi" w:hAnsiTheme="majorBidi" w:cstheme="majorBidi"/>
          <w:sz w:val="28"/>
          <w:szCs w:val="28"/>
          <w:lang w:val="es-ES_tradnl"/>
        </w:rPr>
      </w:pPr>
    </w:p>
    <w:p w:rsidRPr="00E93157" w:rsidR="006F71F2" w:rsidP="003848D8" w:rsidRDefault="006F71F2" w14:paraId="42DD5B3C" w14:textId="296FECF1">
      <w:pPr>
        <w:overflowPunct w:val="0"/>
        <w:autoSpaceDE w:val="0"/>
        <w:autoSpaceDN w:val="0"/>
        <w:adjustRightInd w:val="0"/>
        <w:spacing w:after="0" w:line="360" w:lineRule="auto"/>
        <w:jc w:val="both"/>
        <w:rPr>
          <w:rFonts w:asciiTheme="majorBidi" w:hAnsiTheme="majorBidi" w:cstheme="majorBidi"/>
          <w:sz w:val="36"/>
          <w:szCs w:val="36"/>
          <w:lang w:val="es-ES_tradnl"/>
        </w:rPr>
      </w:pPr>
      <w:r w:rsidRPr="00E93157">
        <w:rPr>
          <w:rFonts w:asciiTheme="majorBidi" w:hAnsiTheme="majorBidi" w:cstheme="majorBidi"/>
          <w:sz w:val="28"/>
          <w:szCs w:val="28"/>
          <w:lang w:val="es-ES_tradnl"/>
        </w:rPr>
        <w:t>Por las razones expuestas, es evidente que el control inmediato de legalidad de fallos con responsabilidad fiscal a) impide que se pueda pedir la suspensión provisional de un acto, que es una garantía prevista en el artículo 238 de la Constitución Política; b) priva el derecho a formular, dentro del término previsto en la ley, demanda de nulidad y restablecimiento del derecho; c) no permite solicitar y allegar medios de prueba y recurrir la decisión que los niegue; y d) no permite formular alegatos antes de que se profiera la decisión.</w:t>
      </w:r>
    </w:p>
    <w:p w:rsidRPr="00E93157" w:rsidR="00416D13" w:rsidP="006F1E00" w:rsidRDefault="00416D13" w14:paraId="42EEF7B9" w14:textId="6B4976CD">
      <w:pPr>
        <w:overflowPunct w:val="0"/>
        <w:autoSpaceDE w:val="0"/>
        <w:autoSpaceDN w:val="0"/>
        <w:adjustRightInd w:val="0"/>
        <w:spacing w:after="0" w:line="360" w:lineRule="auto"/>
        <w:jc w:val="both"/>
        <w:rPr>
          <w:rFonts w:asciiTheme="majorBidi" w:hAnsiTheme="majorBidi" w:cstheme="majorBidi"/>
          <w:sz w:val="28"/>
          <w:szCs w:val="28"/>
          <w:lang w:val="es-ES_tradnl"/>
        </w:rPr>
      </w:pPr>
    </w:p>
    <w:p w:rsidRPr="00E93157" w:rsidR="00416D13" w:rsidP="00F54608" w:rsidRDefault="00A10D5F" w14:paraId="4239ECCA" w14:textId="6EE0B14E">
      <w:pPr>
        <w:overflowPunct w:val="0"/>
        <w:autoSpaceDE w:val="0"/>
        <w:autoSpaceDN w:val="0"/>
        <w:adjustRightInd w:val="0"/>
        <w:spacing w:after="0" w:line="360" w:lineRule="auto"/>
        <w:jc w:val="both"/>
        <w:rPr>
          <w:rFonts w:ascii="Times New Roman" w:hAnsi="Times New Roman" w:eastAsia="Times New Roman"/>
          <w:i/>
          <w:sz w:val="28"/>
          <w:szCs w:val="28"/>
          <w:lang w:val="es-ES_tradnl"/>
        </w:rPr>
      </w:pPr>
      <w:r w:rsidRPr="00E93157">
        <w:rPr>
          <w:rFonts w:asciiTheme="majorBidi" w:hAnsiTheme="majorBidi" w:cstheme="majorBidi"/>
          <w:sz w:val="28"/>
          <w:szCs w:val="28"/>
          <w:lang w:val="es-ES_tradnl"/>
        </w:rPr>
        <w:t xml:space="preserve">En este momento es oportuno citar que </w:t>
      </w:r>
      <w:r w:rsidRPr="00E93157" w:rsidR="00F54608">
        <w:rPr>
          <w:rFonts w:asciiTheme="majorBidi" w:hAnsiTheme="majorBidi" w:cstheme="majorBidi"/>
          <w:sz w:val="28"/>
          <w:szCs w:val="28"/>
          <w:lang w:val="es-ES_tradnl"/>
        </w:rPr>
        <w:t>“…</w:t>
      </w:r>
      <w:r w:rsidRPr="00E93157" w:rsidR="00F54608">
        <w:rPr>
          <w:rFonts w:ascii="Times New Roman" w:hAnsi="Times New Roman" w:eastAsia="Times New Roman"/>
          <w:bCs/>
          <w:i/>
          <w:sz w:val="28"/>
          <w:szCs w:val="28"/>
          <w:u w:val="single"/>
          <w:lang w:val="es-ES_tradnl"/>
        </w:rPr>
        <w:t>la jurisprudencia de los órganos judiciales de cierre jurisdicciona</w:t>
      </w:r>
      <w:r w:rsidRPr="00E93157" w:rsidR="00F54608">
        <w:rPr>
          <w:rFonts w:ascii="Times New Roman" w:hAnsi="Times New Roman" w:eastAsia="Times New Roman"/>
          <w:bCs/>
          <w:i/>
          <w:sz w:val="28"/>
          <w:szCs w:val="28"/>
          <w:lang w:val="es-ES_tradnl"/>
        </w:rPr>
        <w:t xml:space="preserve">l, en cuanto autoridades constitucionales de unificación jurisprudencial, </w:t>
      </w:r>
      <w:r w:rsidRPr="00E93157" w:rsidR="00F54608">
        <w:rPr>
          <w:rFonts w:ascii="Times New Roman" w:hAnsi="Times New Roman" w:eastAsia="Times New Roman"/>
          <w:bCs/>
          <w:i/>
          <w:sz w:val="28"/>
          <w:szCs w:val="28"/>
          <w:u w:val="single"/>
          <w:lang w:val="es-ES_tradnl"/>
        </w:rPr>
        <w:t>vincula a los tribunales</w:t>
      </w:r>
      <w:r w:rsidRPr="00E93157" w:rsidR="00F54608">
        <w:rPr>
          <w:rFonts w:ascii="Times New Roman" w:hAnsi="Times New Roman" w:eastAsia="Times New Roman"/>
          <w:bCs/>
          <w:i/>
          <w:sz w:val="28"/>
          <w:szCs w:val="28"/>
          <w:lang w:val="es-ES_tradnl"/>
        </w:rPr>
        <w:t xml:space="preserve"> y jueces -y a sí mismas-, con base en los fundamentos constitucionales invocados de igualdad, buena fe, </w:t>
      </w:r>
      <w:r w:rsidRPr="00E93157" w:rsidR="00F54608">
        <w:rPr>
          <w:rFonts w:ascii="Times New Roman" w:hAnsi="Times New Roman" w:eastAsia="Times New Roman"/>
          <w:bCs/>
          <w:i/>
          <w:sz w:val="28"/>
          <w:szCs w:val="28"/>
          <w:lang w:val="es-ES_tradnl"/>
        </w:rPr>
        <w:lastRenderedPageBreak/>
        <w:t>seguridad jurídica, a partir de una interpretación sistemática de principios y preceptos constitucionales</w:t>
      </w:r>
      <w:r w:rsidRPr="00E93157" w:rsidR="00F54608">
        <w:rPr>
          <w:rFonts w:ascii="Times New Roman" w:hAnsi="Times New Roman" w:eastAsia="Times New Roman"/>
          <w:i/>
          <w:sz w:val="28"/>
          <w:szCs w:val="28"/>
          <w:lang w:val="es-ES_tradnl"/>
        </w:rPr>
        <w:t xml:space="preserve"> (C-335 de 2008)”</w:t>
      </w:r>
      <w:r w:rsidRPr="00E93157" w:rsidR="00F54608">
        <w:rPr>
          <w:rStyle w:val="Refdenotaalpie"/>
          <w:rFonts w:ascii="Times New Roman" w:hAnsi="Times New Roman" w:eastAsia="Times New Roman"/>
          <w:i/>
          <w:sz w:val="28"/>
          <w:szCs w:val="28"/>
          <w:lang w:val="es-ES_tradnl"/>
        </w:rPr>
        <w:footnoteReference w:id="1"/>
      </w:r>
      <w:r w:rsidRPr="00E93157" w:rsidR="00F54608">
        <w:rPr>
          <w:rFonts w:ascii="Times New Roman" w:hAnsi="Times New Roman" w:eastAsia="Times New Roman"/>
          <w:i/>
          <w:sz w:val="28"/>
          <w:szCs w:val="28"/>
          <w:lang w:val="es-ES_tradnl"/>
        </w:rPr>
        <w:t>. </w:t>
      </w:r>
    </w:p>
    <w:p w:rsidRPr="00E93157" w:rsidR="00F54608" w:rsidP="00F54608" w:rsidRDefault="00F54608" w14:paraId="7150DB37" w14:textId="45F6CE62">
      <w:pPr>
        <w:overflowPunct w:val="0"/>
        <w:autoSpaceDE w:val="0"/>
        <w:autoSpaceDN w:val="0"/>
        <w:adjustRightInd w:val="0"/>
        <w:spacing w:after="0" w:line="360" w:lineRule="auto"/>
        <w:jc w:val="both"/>
        <w:rPr>
          <w:rFonts w:ascii="Times New Roman" w:hAnsi="Times New Roman" w:eastAsia="Times New Roman"/>
          <w:i/>
          <w:sz w:val="28"/>
          <w:szCs w:val="28"/>
          <w:lang w:val="es-ES_tradnl"/>
        </w:rPr>
      </w:pPr>
    </w:p>
    <w:p w:rsidRPr="00E93157" w:rsidR="00F54608" w:rsidP="00F54608" w:rsidRDefault="00A10D5F" w14:paraId="1E19812E" w14:textId="60FDF619">
      <w:pPr>
        <w:spacing w:line="360" w:lineRule="auto"/>
        <w:jc w:val="both"/>
        <w:rPr>
          <w:rFonts w:ascii="Times New Roman" w:hAnsi="Times New Roman"/>
          <w:sz w:val="28"/>
          <w:szCs w:val="28"/>
          <w:shd w:val="clear" w:color="auto" w:fill="FFFFFF"/>
          <w:lang w:val="es-ES_tradnl"/>
        </w:rPr>
      </w:pPr>
      <w:r w:rsidRPr="00E93157">
        <w:rPr>
          <w:rFonts w:ascii="Times New Roman" w:hAnsi="Times New Roman"/>
          <w:sz w:val="28"/>
          <w:szCs w:val="28"/>
          <w:shd w:val="clear" w:color="auto" w:fill="FFFFFF"/>
          <w:lang w:val="es-ES_tradnl"/>
        </w:rPr>
        <w:t>Del mismo modo,</w:t>
      </w:r>
      <w:r w:rsidRPr="00E93157" w:rsidR="00F54608">
        <w:rPr>
          <w:rFonts w:ascii="Times New Roman" w:hAnsi="Times New Roman"/>
          <w:sz w:val="28"/>
          <w:szCs w:val="28"/>
          <w:shd w:val="clear" w:color="auto" w:fill="FFFFFF"/>
          <w:lang w:val="es-ES_tradnl"/>
        </w:rPr>
        <w:t xml:space="preserve"> la Corte Constitucional mediante sentencia C- 634 de 2011 M.P.: Luis Ernesto Vargas Silva, señaló que el principio de legalidad debe ser entendido como aquel que cobija las actuaciones judiciales dentro del marco de la Constitución, la ley y </w:t>
      </w:r>
      <w:r w:rsidRPr="00E93157" w:rsidR="00F54608">
        <w:rPr>
          <w:rFonts w:ascii="Times New Roman" w:hAnsi="Times New Roman"/>
          <w:bCs/>
          <w:sz w:val="28"/>
          <w:szCs w:val="28"/>
          <w:u w:val="single"/>
          <w:shd w:val="clear" w:color="auto" w:fill="FFFFFF"/>
          <w:lang w:val="es-ES_tradnl"/>
        </w:rPr>
        <w:t>los pronunciamientos de unificación de jurisprudencial de los máximos órganos de la respectiva jurisdicción</w:t>
      </w:r>
      <w:r w:rsidRPr="00E93157" w:rsidR="00F54608">
        <w:rPr>
          <w:rStyle w:val="Refdenotaalpie"/>
          <w:rFonts w:ascii="Times New Roman" w:hAnsi="Times New Roman"/>
          <w:sz w:val="28"/>
          <w:szCs w:val="28"/>
          <w:shd w:val="clear" w:color="auto" w:fill="FFFFFF"/>
          <w:lang w:val="es-ES_tradnl"/>
        </w:rPr>
        <w:footnoteReference w:id="2"/>
      </w:r>
      <w:r w:rsidRPr="00E93157" w:rsidR="00F54608">
        <w:rPr>
          <w:rFonts w:ascii="Times New Roman" w:hAnsi="Times New Roman"/>
          <w:sz w:val="28"/>
          <w:szCs w:val="28"/>
          <w:shd w:val="clear" w:color="auto" w:fill="FFFFFF"/>
          <w:lang w:val="es-ES_tradnl"/>
        </w:rPr>
        <w:t xml:space="preserve"> cuando interpretan y apliquen dichas normas, argumentando lo siguiente: </w:t>
      </w:r>
    </w:p>
    <w:p w:rsidRPr="00E93157" w:rsidR="00F54608" w:rsidP="00EA357B" w:rsidRDefault="00F54608" w14:paraId="285853C1" w14:textId="722F6EE6">
      <w:pPr>
        <w:overflowPunct w:val="0"/>
        <w:autoSpaceDE w:val="0"/>
        <w:autoSpaceDN w:val="0"/>
        <w:adjustRightInd w:val="0"/>
        <w:spacing w:after="0" w:line="360" w:lineRule="auto"/>
        <w:jc w:val="both"/>
        <w:rPr>
          <w:rFonts w:asciiTheme="majorBidi" w:hAnsiTheme="majorBidi" w:cstheme="majorBidi"/>
          <w:iCs/>
          <w:sz w:val="28"/>
          <w:szCs w:val="28"/>
          <w:lang w:val="es-ES_tradnl"/>
        </w:rPr>
      </w:pPr>
    </w:p>
    <w:p w:rsidRPr="00E93157" w:rsidR="00F54608" w:rsidP="00F54608" w:rsidRDefault="00F54608" w14:paraId="43324C7C" w14:textId="55E19F57">
      <w:pPr>
        <w:shd w:val="clear" w:color="auto" w:fill="FFFFFF"/>
        <w:spacing w:after="0" w:line="240" w:lineRule="auto"/>
        <w:ind w:left="284" w:right="-81"/>
        <w:jc w:val="both"/>
        <w:rPr>
          <w:rFonts w:ascii="Times New Roman" w:hAnsi="Times New Roman" w:eastAsia="Times New Roman"/>
          <w:iCs/>
          <w:sz w:val="26"/>
          <w:szCs w:val="26"/>
          <w:lang w:val="es-ES_tradnl"/>
        </w:rPr>
      </w:pPr>
      <w:r w:rsidRPr="00E93157">
        <w:rPr>
          <w:rFonts w:ascii="Times New Roman" w:hAnsi="Times New Roman" w:eastAsia="Times New Roman"/>
          <w:i/>
          <w:sz w:val="28"/>
          <w:szCs w:val="28"/>
          <w:lang w:val="es-ES_tradnl"/>
        </w:rPr>
        <w:t>“</w:t>
      </w:r>
      <w:r w:rsidRPr="00E93157">
        <w:rPr>
          <w:rFonts w:ascii="Times New Roman" w:hAnsi="Times New Roman" w:eastAsia="Times New Roman"/>
          <w:iCs/>
          <w:sz w:val="26"/>
          <w:szCs w:val="26"/>
          <w:lang w:val="es-ES_tradnl"/>
        </w:rPr>
        <w:t xml:space="preserve">A su vez, cuando esta labor es adelantada por aquellas máximas instancias de justicia, que tienen la función constitucional de </w:t>
      </w:r>
      <w:r w:rsidRPr="00E93157">
        <w:rPr>
          <w:rFonts w:ascii="Times New Roman" w:hAnsi="Times New Roman" w:eastAsia="Times New Roman"/>
          <w:iCs/>
          <w:sz w:val="26"/>
          <w:szCs w:val="26"/>
          <w:u w:val="single"/>
          <w:lang w:val="es-ES_tradnl"/>
        </w:rPr>
        <w:t>unificar jurisprudencia</w:t>
      </w:r>
      <w:r w:rsidRPr="00E93157">
        <w:rPr>
          <w:rFonts w:ascii="Times New Roman" w:hAnsi="Times New Roman" w:eastAsia="Times New Roman"/>
          <w:iCs/>
          <w:sz w:val="26"/>
          <w:szCs w:val="26"/>
          <w:lang w:val="es-ES_tradnl"/>
        </w:rPr>
        <w:t xml:space="preserve"> con carácter </w:t>
      </w:r>
      <w:r w:rsidRPr="00E93157">
        <w:rPr>
          <w:rFonts w:ascii="Times New Roman" w:hAnsi="Times New Roman" w:eastAsia="Times New Roman"/>
          <w:iCs/>
          <w:sz w:val="26"/>
          <w:szCs w:val="26"/>
          <w:u w:val="single"/>
          <w:lang w:val="es-ES_tradnl"/>
        </w:rPr>
        <w:t xml:space="preserve">de autoridad, las </w:t>
      </w:r>
      <w:proofErr w:type="spellStart"/>
      <w:r w:rsidRPr="00E93157">
        <w:rPr>
          <w:rFonts w:ascii="Times New Roman" w:hAnsi="Times New Roman" w:eastAsia="Times New Roman"/>
          <w:iCs/>
          <w:sz w:val="26"/>
          <w:szCs w:val="26"/>
          <w:u w:val="single"/>
          <w:lang w:val="es-ES_tradnl"/>
        </w:rPr>
        <w:t>subreglas</w:t>
      </w:r>
      <w:proofErr w:type="spellEnd"/>
      <w:r w:rsidRPr="00E93157">
        <w:rPr>
          <w:rFonts w:ascii="Times New Roman" w:hAnsi="Times New Roman" w:eastAsia="Times New Roman"/>
          <w:iCs/>
          <w:sz w:val="26"/>
          <w:szCs w:val="26"/>
          <w:u w:val="single"/>
          <w:lang w:val="es-ES_tradnl"/>
        </w:rPr>
        <w:t xml:space="preserve"> resultantes son vinculantes</w:t>
      </w:r>
      <w:r w:rsidRPr="00E93157">
        <w:rPr>
          <w:rFonts w:ascii="Times New Roman" w:hAnsi="Times New Roman" w:eastAsia="Times New Roman"/>
          <w:iCs/>
          <w:sz w:val="26"/>
          <w:szCs w:val="26"/>
          <w:lang w:val="es-ES_tradnl"/>
        </w:rPr>
        <w:t>, siendo el sustento de esa conclusión la naturaleza imperativa que la Carta confiere a la Constitución y a la ley.</w:t>
      </w:r>
      <w:r w:rsidRPr="00E93157" w:rsidR="00EA357B">
        <w:rPr>
          <w:rFonts w:ascii="Times New Roman" w:hAnsi="Times New Roman" w:eastAsia="Times New Roman"/>
          <w:iCs/>
          <w:sz w:val="26"/>
          <w:szCs w:val="26"/>
          <w:lang w:val="es-ES_tradnl"/>
        </w:rPr>
        <w:t xml:space="preserve"> </w:t>
      </w:r>
      <w:r w:rsidRPr="00E93157">
        <w:rPr>
          <w:rFonts w:ascii="Times New Roman" w:hAnsi="Times New Roman" w:eastAsia="Times New Roman"/>
          <w:iCs/>
          <w:sz w:val="26"/>
          <w:szCs w:val="26"/>
          <w:lang w:val="es-ES_tradnl"/>
        </w:rPr>
        <w:t xml:space="preserve">En términos simples, el deber de acatar los mandatos superiores y legales incorpora, de suyo, el </w:t>
      </w:r>
      <w:r w:rsidRPr="00E93157">
        <w:rPr>
          <w:rFonts w:ascii="Times New Roman" w:hAnsi="Times New Roman" w:eastAsia="Times New Roman"/>
          <w:iCs/>
          <w:sz w:val="26"/>
          <w:szCs w:val="26"/>
          <w:u w:val="single"/>
          <w:lang w:val="es-ES_tradnl"/>
        </w:rPr>
        <w:t>mandato imperativo de asumir como reglas formales de derecho las decisiones que unifican jurisprudencia</w:t>
      </w:r>
      <w:r w:rsidRPr="00E93157">
        <w:rPr>
          <w:rFonts w:ascii="Times New Roman" w:hAnsi="Times New Roman" w:eastAsia="Times New Roman"/>
          <w:iCs/>
          <w:sz w:val="26"/>
          <w:szCs w:val="26"/>
          <w:lang w:val="es-ES_tradnl"/>
        </w:rPr>
        <w:t xml:space="preserve"> y/o hacen tránsito a cosa juzgada constitucional, en tanto </w:t>
      </w:r>
      <w:r w:rsidRPr="00E93157">
        <w:rPr>
          <w:rFonts w:ascii="Times New Roman" w:hAnsi="Times New Roman" w:eastAsia="Times New Roman"/>
          <w:iCs/>
          <w:sz w:val="26"/>
          <w:szCs w:val="26"/>
          <w:u w:val="single"/>
          <w:lang w:val="es-ES_tradnl"/>
        </w:rPr>
        <w:t xml:space="preserve">la ratio decidendi de esas sentencias contienen las </w:t>
      </w:r>
      <w:proofErr w:type="spellStart"/>
      <w:r w:rsidRPr="00E93157">
        <w:rPr>
          <w:rFonts w:ascii="Times New Roman" w:hAnsi="Times New Roman" w:eastAsia="Times New Roman"/>
          <w:iCs/>
          <w:sz w:val="26"/>
          <w:szCs w:val="26"/>
          <w:u w:val="single"/>
          <w:lang w:val="es-ES_tradnl"/>
        </w:rPr>
        <w:t>subreglas</w:t>
      </w:r>
      <w:proofErr w:type="spellEnd"/>
      <w:r w:rsidRPr="00E93157">
        <w:rPr>
          <w:rFonts w:ascii="Times New Roman" w:hAnsi="Times New Roman" w:eastAsia="Times New Roman"/>
          <w:iCs/>
          <w:sz w:val="26"/>
          <w:szCs w:val="26"/>
          <w:lang w:val="es-ES_tradnl"/>
        </w:rPr>
        <w:t xml:space="preserve"> que, mediante la armonización concreta de las distintas fuentes de derecho, </w:t>
      </w:r>
      <w:r w:rsidRPr="00E93157">
        <w:rPr>
          <w:rFonts w:ascii="Times New Roman" w:hAnsi="Times New Roman" w:eastAsia="Times New Roman"/>
          <w:iCs/>
          <w:sz w:val="26"/>
          <w:szCs w:val="26"/>
          <w:u w:val="single"/>
          <w:lang w:val="es-ES_tradnl"/>
        </w:rPr>
        <w:t>dirimen los conflictos sometidos al conocimiento de las autoridades judiciales</w:t>
      </w:r>
      <w:r w:rsidRPr="00E93157">
        <w:rPr>
          <w:rFonts w:ascii="Times New Roman" w:hAnsi="Times New Roman" w:eastAsia="Times New Roman"/>
          <w:iCs/>
          <w:sz w:val="26"/>
          <w:szCs w:val="26"/>
          <w:lang w:val="es-ES_tradnl"/>
        </w:rPr>
        <w:t xml:space="preserve"> y administrativas.  Esta disciplina jurisprudencial, a su vez, garantiza la vigencia de principios nodales para el Estado Constitucional, como la seguridad jurídica y la igualdad de trato ante las autoridades” (Subrayado fuera de texto)</w:t>
      </w:r>
    </w:p>
    <w:p w:rsidRPr="00E93157" w:rsidR="00F54608" w:rsidP="00EA357B" w:rsidRDefault="00F54608" w14:paraId="20BE64EB" w14:textId="29C99FA7">
      <w:pPr>
        <w:overflowPunct w:val="0"/>
        <w:autoSpaceDE w:val="0"/>
        <w:autoSpaceDN w:val="0"/>
        <w:adjustRightInd w:val="0"/>
        <w:spacing w:after="0" w:line="360" w:lineRule="auto"/>
        <w:ind w:left="284"/>
        <w:jc w:val="both"/>
        <w:rPr>
          <w:rFonts w:asciiTheme="majorBidi" w:hAnsiTheme="majorBidi" w:cstheme="majorBidi"/>
          <w:iCs/>
          <w:sz w:val="26"/>
          <w:szCs w:val="26"/>
          <w:lang w:val="es-ES_tradnl"/>
        </w:rPr>
      </w:pPr>
    </w:p>
    <w:p w:rsidRPr="00845F8E" w:rsidR="004A7DC9" w:rsidP="26191BD5" w:rsidRDefault="00A10D5F" w14:paraId="7390A3C6" w14:textId="1D0A8D09">
      <w:pPr>
        <w:overflowPunct w:val="0"/>
        <w:autoSpaceDE w:val="0"/>
        <w:autoSpaceDN w:val="0"/>
        <w:adjustRightInd w:val="0"/>
        <w:spacing w:after="0" w:line="360" w:lineRule="auto"/>
        <w:jc w:val="both"/>
        <w:rPr>
          <w:rFonts w:ascii="Times New Roman" w:hAnsi="Times New Roman" w:eastAsia="Times New Roman"/>
          <w:i/>
          <w:sz w:val="28"/>
          <w:szCs w:val="28"/>
          <w:lang w:val="es-ES_tradnl" w:eastAsia="es-ES"/>
        </w:rPr>
      </w:pPr>
      <w:r w:rsidRPr="00E93157">
        <w:rPr>
          <w:rStyle w:val="normaltextrun"/>
          <w:rFonts w:ascii="Times New Roman" w:hAnsi="Times New Roman"/>
          <w:color w:val="000000" w:themeColor="text1"/>
          <w:sz w:val="28"/>
          <w:szCs w:val="28"/>
          <w:lang w:val="es-ES_tradnl"/>
        </w:rPr>
        <w:t xml:space="preserve">Luego, y </w:t>
      </w:r>
      <w:r w:rsidRPr="00E93157">
        <w:rPr>
          <w:rFonts w:ascii="Times New Roman" w:hAnsi="Times New Roman"/>
          <w:sz w:val="28"/>
          <w:szCs w:val="28"/>
          <w:lang w:val="es-ES_tradnl"/>
        </w:rPr>
        <w:t>en virtud del deber que le asiste a los jueces de realizar control de legalidad de las actuaciones judiciales</w:t>
      </w:r>
      <w:r w:rsidRPr="00E93157" w:rsidR="002D4F24">
        <w:rPr>
          <w:rFonts w:ascii="Times New Roman" w:hAnsi="Times New Roman"/>
          <w:sz w:val="28"/>
          <w:szCs w:val="28"/>
          <w:lang w:val="es-ES_tradnl"/>
        </w:rPr>
        <w:t>, de acuerdo con e</w:t>
      </w:r>
      <w:r w:rsidRPr="00E93157">
        <w:rPr>
          <w:rFonts w:ascii="Times New Roman" w:hAnsi="Times New Roman"/>
          <w:sz w:val="28"/>
          <w:szCs w:val="28"/>
          <w:lang w:val="es-ES_tradnl"/>
        </w:rPr>
        <w:t>l</w:t>
      </w:r>
      <w:r w:rsidRPr="00E93157" w:rsidR="002D4F24">
        <w:rPr>
          <w:rFonts w:ascii="Times New Roman" w:hAnsi="Times New Roman"/>
          <w:sz w:val="28"/>
          <w:szCs w:val="28"/>
          <w:lang w:val="es-ES_tradnl"/>
        </w:rPr>
        <w:t xml:space="preserve"> numeral 12 del artículo 42 de la</w:t>
      </w:r>
      <w:r w:rsidRPr="00E93157">
        <w:rPr>
          <w:rFonts w:ascii="Times New Roman" w:hAnsi="Times New Roman"/>
          <w:sz w:val="28"/>
          <w:szCs w:val="28"/>
          <w:lang w:val="es-ES_tradnl"/>
        </w:rPr>
        <w:t xml:space="preserve"> </w:t>
      </w:r>
      <w:r w:rsidRPr="00E93157" w:rsidR="002D4F24">
        <w:rPr>
          <w:rFonts w:ascii="Times New Roman" w:hAnsi="Times New Roman"/>
          <w:sz w:val="28"/>
          <w:szCs w:val="28"/>
          <w:lang w:val="es-ES_tradnl"/>
        </w:rPr>
        <w:t>L</w:t>
      </w:r>
      <w:r w:rsidRPr="00E93157">
        <w:rPr>
          <w:rFonts w:ascii="Times New Roman" w:hAnsi="Times New Roman"/>
          <w:sz w:val="28"/>
          <w:szCs w:val="28"/>
          <w:lang w:val="es-ES_tradnl"/>
        </w:rPr>
        <w:t xml:space="preserve">ey 1564 de 2012, y teniendo en cuenta </w:t>
      </w:r>
      <w:r w:rsidRPr="00E93157">
        <w:rPr>
          <w:rStyle w:val="normaltextrun"/>
          <w:rFonts w:ascii="Times New Roman" w:hAnsi="Times New Roman"/>
          <w:color w:val="000000" w:themeColor="text1"/>
          <w:sz w:val="28"/>
          <w:szCs w:val="28"/>
          <w:lang w:val="es-ES_tradnl"/>
        </w:rPr>
        <w:t xml:space="preserve">que </w:t>
      </w:r>
      <w:r w:rsidRPr="008A4237">
        <w:rPr>
          <w:rFonts w:ascii="Times New Roman" w:hAnsi="Times New Roman" w:eastAsiaTheme="minorEastAsia"/>
          <w:sz w:val="28"/>
          <w:szCs w:val="28"/>
          <w:u w:val="single"/>
          <w:lang w:val="es-ES_tradnl"/>
        </w:rPr>
        <w:t>el presente proceso tiene identidad fáctica y jurídica con el asunto estudiado en</w:t>
      </w:r>
      <w:r w:rsidRPr="008A4237" w:rsidR="002D4F24">
        <w:rPr>
          <w:rFonts w:ascii="Times New Roman" w:hAnsi="Times New Roman" w:eastAsiaTheme="minorEastAsia"/>
          <w:sz w:val="28"/>
          <w:szCs w:val="28"/>
          <w:u w:val="single"/>
          <w:lang w:val="es-ES_tradnl"/>
        </w:rPr>
        <w:t xml:space="preserve"> el</w:t>
      </w:r>
      <w:r w:rsidRPr="008A4237">
        <w:rPr>
          <w:rFonts w:ascii="Times New Roman" w:hAnsi="Times New Roman" w:eastAsiaTheme="minorEastAsia"/>
          <w:sz w:val="28"/>
          <w:szCs w:val="28"/>
          <w:u w:val="single"/>
          <w:lang w:val="es-ES_tradnl"/>
        </w:rPr>
        <w:t xml:space="preserve"> auto de unificación del 29 de junio del 2021</w:t>
      </w:r>
      <w:r w:rsidRPr="00E93157" w:rsidR="002D4F24">
        <w:rPr>
          <w:rFonts w:ascii="Times New Roman" w:hAnsi="Times New Roman" w:eastAsiaTheme="minorEastAsia"/>
          <w:sz w:val="28"/>
          <w:szCs w:val="28"/>
          <w:lang w:val="es-ES_tradnl"/>
        </w:rPr>
        <w:t>,</w:t>
      </w:r>
      <w:r w:rsidRPr="00E93157">
        <w:rPr>
          <w:rFonts w:ascii="Times New Roman" w:hAnsi="Times New Roman" w:eastAsiaTheme="minorEastAsia"/>
          <w:sz w:val="28"/>
          <w:szCs w:val="28"/>
          <w:lang w:val="es-ES_tradnl"/>
        </w:rPr>
        <w:t xml:space="preserve"> proferido por la Sala Plena del Consejo de Estado</w:t>
      </w:r>
      <w:r w:rsidRPr="00E93157" w:rsidR="00710055">
        <w:rPr>
          <w:rFonts w:ascii="Times New Roman" w:hAnsi="Times New Roman" w:eastAsiaTheme="minorEastAsia"/>
          <w:sz w:val="28"/>
          <w:szCs w:val="28"/>
          <w:lang w:val="es-ES_tradnl"/>
        </w:rPr>
        <w:t>,</w:t>
      </w:r>
      <w:r w:rsidRPr="00E93157" w:rsidR="002D4F24">
        <w:rPr>
          <w:rFonts w:ascii="Times New Roman" w:hAnsi="Times New Roman" w:eastAsiaTheme="minorEastAsia"/>
          <w:sz w:val="28"/>
          <w:szCs w:val="28"/>
          <w:lang w:val="es-ES_tradnl"/>
        </w:rPr>
        <w:t xml:space="preserve"> </w:t>
      </w:r>
      <w:r w:rsidRPr="00E93157" w:rsidR="002D4F24">
        <w:rPr>
          <w:rFonts w:asciiTheme="majorBidi" w:hAnsiTheme="majorBidi" w:cstheme="majorBidi"/>
          <w:sz w:val="28"/>
          <w:szCs w:val="28"/>
          <w:lang w:val="es-ES_tradnl"/>
        </w:rPr>
        <w:t xml:space="preserve">que confirmó la decisión de </w:t>
      </w:r>
      <w:proofErr w:type="spellStart"/>
      <w:r w:rsidRPr="00E93157" w:rsidR="002D4F24">
        <w:rPr>
          <w:rFonts w:asciiTheme="majorBidi" w:hAnsiTheme="majorBidi" w:cstheme="majorBidi"/>
          <w:sz w:val="28"/>
          <w:szCs w:val="28"/>
          <w:lang w:val="es-ES_tradnl"/>
        </w:rPr>
        <w:t>inaplicar</w:t>
      </w:r>
      <w:proofErr w:type="spellEnd"/>
      <w:r w:rsidRPr="00E93157" w:rsidR="002D4F24">
        <w:rPr>
          <w:rFonts w:asciiTheme="majorBidi" w:hAnsiTheme="majorBidi" w:cstheme="majorBidi"/>
          <w:sz w:val="28"/>
          <w:szCs w:val="28"/>
          <w:lang w:val="es-ES_tradnl"/>
        </w:rPr>
        <w:t xml:space="preserve"> los artículos 23 y 45 de la Ley 2080 de 2021, que introdujeron el medio de control automático de legalidad de los fallos con responsabilidad fiscal en el  CPACA, por ser incompatibles con la Constitución y con la Convención Americana de Derechos Humanos (CADH)</w:t>
      </w:r>
      <w:r w:rsidRPr="00E93157" w:rsidR="002D4F24">
        <w:rPr>
          <w:rFonts w:ascii="Times New Roman" w:hAnsi="Times New Roman" w:eastAsiaTheme="minorEastAsia"/>
          <w:sz w:val="28"/>
          <w:szCs w:val="28"/>
          <w:lang w:val="es-ES_tradnl"/>
        </w:rPr>
        <w:t>,</w:t>
      </w:r>
      <w:r w:rsidRPr="00E93157">
        <w:rPr>
          <w:rFonts w:ascii="Times New Roman" w:hAnsi="Times New Roman" w:eastAsiaTheme="minorEastAsia"/>
          <w:sz w:val="28"/>
          <w:szCs w:val="28"/>
          <w:lang w:val="es-ES_tradnl"/>
        </w:rPr>
        <w:t xml:space="preserve"> el cual tiene valor vinculante </w:t>
      </w:r>
      <w:r w:rsidRPr="00E93157" w:rsidR="002D4F24">
        <w:rPr>
          <w:rFonts w:asciiTheme="majorBidi" w:hAnsiTheme="majorBidi" w:cstheme="majorBidi"/>
          <w:sz w:val="28"/>
          <w:szCs w:val="28"/>
          <w:lang w:val="es-ES_tradnl"/>
        </w:rPr>
        <w:t>y es de obligatorio acatamiento por todas las autoridades judiciales</w:t>
      </w:r>
      <w:r w:rsidRPr="00E93157" w:rsidR="00E757A3">
        <w:rPr>
          <w:rFonts w:asciiTheme="majorBidi" w:hAnsiTheme="majorBidi" w:cstheme="majorBidi"/>
          <w:sz w:val="28"/>
          <w:szCs w:val="28"/>
          <w:lang w:val="es-ES_tradnl"/>
        </w:rPr>
        <w:t xml:space="preserve"> y </w:t>
      </w:r>
      <w:r w:rsidRPr="00E93157" w:rsidR="00E757A3">
        <w:rPr>
          <w:rFonts w:asciiTheme="majorBidi" w:hAnsiTheme="majorBidi" w:cstheme="majorBidi"/>
          <w:b/>
          <w:bCs/>
          <w:sz w:val="28"/>
          <w:szCs w:val="28"/>
          <w:lang w:val="es-ES_tradnl"/>
        </w:rPr>
        <w:t xml:space="preserve">administrativas </w:t>
      </w:r>
      <w:r w:rsidRPr="00E93157" w:rsidR="00E757A3">
        <w:rPr>
          <w:rFonts w:asciiTheme="majorBidi" w:hAnsiTheme="majorBidi" w:cstheme="majorBidi"/>
          <w:sz w:val="28"/>
          <w:szCs w:val="28"/>
          <w:lang w:val="es-ES_tradnl"/>
        </w:rPr>
        <w:t>(Art. 10 CPACA</w:t>
      </w:r>
      <w:r w:rsidRPr="00E93157" w:rsidR="00E757A3">
        <w:rPr>
          <w:rStyle w:val="Refdenotaalpie"/>
          <w:rFonts w:asciiTheme="majorBidi" w:hAnsiTheme="majorBidi" w:cstheme="majorBidi"/>
          <w:sz w:val="28"/>
          <w:szCs w:val="28"/>
          <w:lang w:val="es-ES_tradnl"/>
        </w:rPr>
        <w:footnoteReference w:id="3"/>
      </w:r>
      <w:r w:rsidRPr="00E93157" w:rsidR="00E757A3">
        <w:rPr>
          <w:rFonts w:asciiTheme="majorBidi" w:hAnsiTheme="majorBidi" w:cstheme="majorBidi"/>
          <w:sz w:val="28"/>
          <w:szCs w:val="28"/>
          <w:lang w:val="es-ES_tradnl"/>
        </w:rPr>
        <w:t>)</w:t>
      </w:r>
      <w:r w:rsidRPr="00E93157" w:rsidR="002D4F24">
        <w:rPr>
          <w:rFonts w:asciiTheme="majorBidi" w:hAnsiTheme="majorBidi" w:cstheme="majorBidi"/>
          <w:sz w:val="28"/>
          <w:szCs w:val="28"/>
          <w:lang w:val="es-ES_tradnl"/>
        </w:rPr>
        <w:t xml:space="preserve">, entre ellas, las pertenecientes </w:t>
      </w:r>
      <w:r w:rsidRPr="00E93157" w:rsidR="002D4F24">
        <w:rPr>
          <w:rFonts w:asciiTheme="majorBidi" w:hAnsiTheme="majorBidi" w:cstheme="majorBidi"/>
          <w:sz w:val="28"/>
          <w:szCs w:val="28"/>
          <w:lang w:val="es-ES_tradnl"/>
        </w:rPr>
        <w:lastRenderedPageBreak/>
        <w:t xml:space="preserve">a </w:t>
      </w:r>
      <w:r w:rsidRPr="00E93157">
        <w:rPr>
          <w:rFonts w:ascii="Times New Roman" w:hAnsi="Times New Roman" w:eastAsiaTheme="minorEastAsia"/>
          <w:sz w:val="28"/>
          <w:szCs w:val="28"/>
          <w:lang w:val="es-ES_tradnl"/>
        </w:rPr>
        <w:t xml:space="preserve">la </w:t>
      </w:r>
      <w:r w:rsidRPr="00E93157" w:rsidR="002D4F24">
        <w:rPr>
          <w:rFonts w:ascii="Times New Roman" w:hAnsi="Times New Roman" w:eastAsiaTheme="minorEastAsia"/>
          <w:sz w:val="28"/>
          <w:szCs w:val="28"/>
          <w:lang w:val="es-ES_tradnl"/>
        </w:rPr>
        <w:t>Jurisdicción Contenciosa Administrativa</w:t>
      </w:r>
      <w:r w:rsidRPr="00E93157">
        <w:rPr>
          <w:rFonts w:ascii="Times New Roman" w:hAnsi="Times New Roman" w:eastAsiaTheme="minorEastAsia"/>
          <w:sz w:val="28"/>
          <w:szCs w:val="28"/>
          <w:lang w:val="es-ES_tradnl"/>
        </w:rPr>
        <w:t>,</w:t>
      </w:r>
      <w:r w:rsidRPr="00E93157" w:rsidR="009F3C03">
        <w:rPr>
          <w:rFonts w:ascii="Times New Roman" w:hAnsi="Times New Roman" w:eastAsiaTheme="minorEastAsia"/>
          <w:sz w:val="28"/>
          <w:szCs w:val="28"/>
          <w:lang w:val="es-ES_tradnl"/>
        </w:rPr>
        <w:t xml:space="preserve"> la Sala lo acatará y en consecuencia</w:t>
      </w:r>
      <w:r w:rsidRPr="00E93157">
        <w:rPr>
          <w:rFonts w:ascii="Times New Roman" w:hAnsi="Times New Roman" w:eastAsiaTheme="minorEastAsia"/>
          <w:sz w:val="28"/>
          <w:szCs w:val="28"/>
          <w:lang w:val="es-ES_tradnl"/>
        </w:rPr>
        <w:t xml:space="preserve"> </w:t>
      </w:r>
      <w:r w:rsidRPr="008A4237" w:rsidR="004A7DC9">
        <w:rPr>
          <w:rFonts w:ascii="Times New Roman" w:hAnsi="Times New Roman"/>
          <w:sz w:val="28"/>
          <w:szCs w:val="28"/>
          <w:u w:val="single"/>
          <w:lang w:val="es-ES_tradnl"/>
        </w:rPr>
        <w:t>no se avocará el conocimiento del</w:t>
      </w:r>
      <w:r w:rsidRPr="008A4237" w:rsidR="00EA5E0C">
        <w:rPr>
          <w:rFonts w:ascii="Times New Roman" w:hAnsi="Times New Roman"/>
          <w:sz w:val="28"/>
          <w:szCs w:val="28"/>
          <w:u w:val="single"/>
          <w:lang w:val="es-ES_tradnl"/>
        </w:rPr>
        <w:t xml:space="preserve"> </w:t>
      </w:r>
      <w:r w:rsidRPr="008A4237" w:rsidR="00EA5E0C">
        <w:rPr>
          <w:rFonts w:ascii="Times New Roman" w:hAnsi="Times New Roman" w:eastAsia="Times New Roman"/>
          <w:sz w:val="28"/>
          <w:szCs w:val="28"/>
          <w:u w:val="single"/>
          <w:lang w:val="es-ES_tradnl" w:eastAsia="es-ES"/>
        </w:rPr>
        <w:t>f</w:t>
      </w:r>
      <w:r w:rsidRPr="008A4237" w:rsidR="00C64D7B">
        <w:rPr>
          <w:rFonts w:ascii="Times New Roman" w:hAnsi="Times New Roman" w:eastAsia="Times New Roman"/>
          <w:sz w:val="28"/>
          <w:szCs w:val="28"/>
          <w:u w:val="single"/>
          <w:lang w:val="es-ES_tradnl" w:eastAsia="es-ES"/>
        </w:rPr>
        <w:t xml:space="preserve">allo con </w:t>
      </w:r>
      <w:r w:rsidRPr="008A4237" w:rsidR="00EA5E0C">
        <w:rPr>
          <w:rFonts w:ascii="Times New Roman" w:hAnsi="Times New Roman" w:eastAsia="Times New Roman"/>
          <w:sz w:val="28"/>
          <w:szCs w:val="28"/>
          <w:u w:val="single"/>
          <w:lang w:val="es-ES_tradnl" w:eastAsia="es-ES"/>
        </w:rPr>
        <w:t>r</w:t>
      </w:r>
      <w:r w:rsidRPr="008A4237" w:rsidR="00C64D7B">
        <w:rPr>
          <w:rFonts w:ascii="Times New Roman" w:hAnsi="Times New Roman" w:eastAsia="Times New Roman"/>
          <w:sz w:val="28"/>
          <w:szCs w:val="28"/>
          <w:u w:val="single"/>
          <w:lang w:val="es-ES_tradnl" w:eastAsia="es-ES"/>
        </w:rPr>
        <w:t xml:space="preserve">esponsabilidad </w:t>
      </w:r>
      <w:r w:rsidRPr="008A4237" w:rsidR="00EA5E0C">
        <w:rPr>
          <w:rFonts w:ascii="Times New Roman" w:hAnsi="Times New Roman" w:eastAsia="Times New Roman"/>
          <w:sz w:val="28"/>
          <w:szCs w:val="28"/>
          <w:u w:val="single"/>
          <w:lang w:val="es-ES_tradnl" w:eastAsia="es-ES"/>
        </w:rPr>
        <w:t>f</w:t>
      </w:r>
      <w:r w:rsidRPr="008A4237" w:rsidR="00C64D7B">
        <w:rPr>
          <w:rFonts w:ascii="Times New Roman" w:hAnsi="Times New Roman" w:eastAsia="Times New Roman"/>
          <w:sz w:val="28"/>
          <w:szCs w:val="28"/>
          <w:u w:val="single"/>
          <w:lang w:val="es-ES_tradnl" w:eastAsia="es-ES"/>
        </w:rPr>
        <w:t>iscal</w:t>
      </w:r>
      <w:r w:rsidRPr="00E93157" w:rsidR="00C64D7B">
        <w:rPr>
          <w:rFonts w:ascii="Times New Roman" w:hAnsi="Times New Roman" w:eastAsia="Times New Roman"/>
          <w:sz w:val="28"/>
          <w:szCs w:val="28"/>
          <w:lang w:val="es-ES_tradnl" w:eastAsia="es-ES"/>
        </w:rPr>
        <w:t xml:space="preserve"> </w:t>
      </w:r>
      <w:r w:rsidRPr="00E93157" w:rsidR="00C6001E">
        <w:rPr>
          <w:rFonts w:ascii="Times New Roman" w:hAnsi="Times New Roman" w:eastAsia="Times New Roman"/>
          <w:i/>
          <w:iCs/>
          <w:sz w:val="28"/>
          <w:szCs w:val="28"/>
          <w:lang w:val="es-ES_tradnl" w:eastAsia="es-ES"/>
        </w:rPr>
        <w:t>No.</w:t>
      </w:r>
      <w:r w:rsidR="00F11BC0">
        <w:rPr>
          <w:rFonts w:ascii="Times New Roman" w:hAnsi="Times New Roman" w:eastAsia="Times New Roman"/>
          <w:sz w:val="28"/>
          <w:szCs w:val="28"/>
          <w:lang w:val="es-ES_tradnl" w:eastAsia="es-ES"/>
        </w:rPr>
        <w:t xml:space="preserve"> </w:t>
      </w:r>
      <w:r w:rsidRPr="00845F8E" w:rsidR="00845F8E">
        <w:rPr>
          <w:rFonts w:ascii="Times New Roman" w:hAnsi="Times New Roman" w:eastAsia="Times New Roman"/>
          <w:bCs/>
          <w:i/>
          <w:sz w:val="28"/>
          <w:szCs w:val="28"/>
          <w:lang w:val="es-ES_tradnl" w:eastAsia="es-ES"/>
        </w:rPr>
        <w:t>342 de 25 de junio de 2021</w:t>
      </w:r>
      <w:r w:rsidRPr="00E93157" w:rsidR="00845F8E">
        <w:rPr>
          <w:rFonts w:ascii="Times New Roman" w:hAnsi="Times New Roman" w:eastAsia="Times New Roman"/>
          <w:sz w:val="28"/>
          <w:szCs w:val="28"/>
          <w:lang w:val="es-ES_tradnl" w:eastAsia="es-ES"/>
        </w:rPr>
        <w:t xml:space="preserve"> expedido por la </w:t>
      </w:r>
      <w:r w:rsidRPr="00E93157" w:rsidR="00845F8E">
        <w:rPr>
          <w:rFonts w:ascii="Times New Roman" w:hAnsi="Times New Roman" w:eastAsia="Times New Roman"/>
          <w:i/>
          <w:sz w:val="28"/>
          <w:szCs w:val="28"/>
          <w:lang w:val="es-ES_tradnl" w:eastAsia="es-ES"/>
        </w:rPr>
        <w:t>Contraloría General de Boyacá</w:t>
      </w:r>
      <w:r w:rsidR="00845F8E">
        <w:rPr>
          <w:rFonts w:ascii="Times New Roman" w:hAnsi="Times New Roman" w:eastAsia="Times New Roman"/>
          <w:sz w:val="28"/>
          <w:szCs w:val="28"/>
          <w:lang w:val="es-ES_tradnl" w:eastAsia="es-ES"/>
        </w:rPr>
        <w:t xml:space="preserve">, </w:t>
      </w:r>
      <w:r w:rsidRPr="00E93157" w:rsidR="00C64D7B">
        <w:rPr>
          <w:rFonts w:ascii="Times New Roman" w:hAnsi="Times New Roman" w:eastAsia="Times New Roman"/>
          <w:sz w:val="28"/>
          <w:szCs w:val="28"/>
          <w:lang w:val="es-ES_tradnl" w:eastAsia="es-ES"/>
        </w:rPr>
        <w:t>contra</w:t>
      </w:r>
      <w:r w:rsidR="00845F8E">
        <w:rPr>
          <w:rFonts w:ascii="Times New Roman" w:hAnsi="Times New Roman" w:eastAsia="Times New Roman"/>
          <w:bCs/>
          <w:sz w:val="28"/>
          <w:szCs w:val="28"/>
          <w:lang w:val="es-ES_tradnl" w:eastAsia="es-ES"/>
        </w:rPr>
        <w:t xml:space="preserve"> </w:t>
      </w:r>
      <w:r w:rsidRPr="00845F8E" w:rsidR="00845F8E">
        <w:rPr>
          <w:rFonts w:ascii="Times New Roman" w:hAnsi="Times New Roman" w:eastAsia="Times New Roman"/>
          <w:bCs/>
          <w:i/>
          <w:sz w:val="28"/>
          <w:szCs w:val="28"/>
          <w:lang w:val="es-ES_tradnl" w:eastAsia="es-ES"/>
        </w:rPr>
        <w:t xml:space="preserve">Luis Álvaro </w:t>
      </w:r>
      <w:proofErr w:type="spellStart"/>
      <w:r w:rsidRPr="00845F8E" w:rsidR="00845F8E">
        <w:rPr>
          <w:rFonts w:ascii="Times New Roman" w:hAnsi="Times New Roman" w:eastAsia="Times New Roman"/>
          <w:bCs/>
          <w:i/>
          <w:sz w:val="28"/>
          <w:szCs w:val="28"/>
          <w:lang w:val="es-ES_tradnl" w:eastAsia="es-ES"/>
        </w:rPr>
        <w:t>Larotta</w:t>
      </w:r>
      <w:proofErr w:type="spellEnd"/>
      <w:r w:rsidRPr="00845F8E" w:rsidR="00845F8E">
        <w:rPr>
          <w:rFonts w:ascii="Times New Roman" w:hAnsi="Times New Roman" w:eastAsia="Times New Roman"/>
          <w:bCs/>
          <w:i/>
          <w:sz w:val="28"/>
          <w:szCs w:val="28"/>
          <w:lang w:val="es-ES_tradnl" w:eastAsia="es-ES"/>
        </w:rPr>
        <w:t xml:space="preserve"> Vásquez</w:t>
      </w:r>
      <w:r w:rsidR="00845F8E">
        <w:rPr>
          <w:rFonts w:ascii="Times New Roman" w:hAnsi="Times New Roman" w:eastAsia="Times New Roman"/>
          <w:bCs/>
          <w:i/>
          <w:sz w:val="28"/>
          <w:szCs w:val="28"/>
          <w:lang w:val="es-ES_tradnl" w:eastAsia="es-ES"/>
        </w:rPr>
        <w:t xml:space="preserve"> y otros</w:t>
      </w:r>
      <w:r w:rsidRPr="00E93157" w:rsidR="00845F8E">
        <w:rPr>
          <w:rFonts w:ascii="Times New Roman" w:hAnsi="Times New Roman" w:eastAsia="Times New Roman"/>
          <w:sz w:val="28"/>
          <w:szCs w:val="28"/>
          <w:lang w:val="es-ES_tradnl" w:eastAsia="es-ES"/>
        </w:rPr>
        <w:t>, dentro de</w:t>
      </w:r>
      <w:r w:rsidR="00845F8E">
        <w:rPr>
          <w:rFonts w:ascii="Times New Roman" w:hAnsi="Times New Roman" w:eastAsia="Times New Roman"/>
          <w:sz w:val="28"/>
          <w:szCs w:val="28"/>
          <w:lang w:val="es-ES_tradnl" w:eastAsia="es-ES"/>
        </w:rPr>
        <w:t>l</w:t>
      </w:r>
      <w:r w:rsidRPr="00E93157" w:rsidR="00845F8E">
        <w:rPr>
          <w:rFonts w:ascii="Times New Roman" w:hAnsi="Times New Roman" w:eastAsia="Times New Roman"/>
          <w:sz w:val="28"/>
          <w:szCs w:val="28"/>
          <w:lang w:val="es-ES_tradnl" w:eastAsia="es-ES"/>
        </w:rPr>
        <w:t xml:space="preserve"> proceso</w:t>
      </w:r>
      <w:r w:rsidR="00845F8E">
        <w:rPr>
          <w:rFonts w:ascii="Times New Roman" w:hAnsi="Times New Roman" w:eastAsia="Times New Roman"/>
          <w:sz w:val="28"/>
          <w:szCs w:val="28"/>
          <w:lang w:val="es-ES_tradnl" w:eastAsia="es-ES"/>
        </w:rPr>
        <w:t xml:space="preserve"> </w:t>
      </w:r>
      <w:r w:rsidRPr="00E93157" w:rsidR="00845F8E">
        <w:rPr>
          <w:rFonts w:ascii="Times New Roman" w:hAnsi="Times New Roman" w:eastAsia="Times New Roman"/>
          <w:i/>
          <w:sz w:val="28"/>
          <w:szCs w:val="28"/>
          <w:lang w:val="es-ES_tradnl" w:eastAsia="es-ES"/>
        </w:rPr>
        <w:t>028-201</w:t>
      </w:r>
      <w:r w:rsidR="00845F8E">
        <w:rPr>
          <w:rFonts w:ascii="Times New Roman" w:hAnsi="Times New Roman" w:eastAsia="Times New Roman"/>
          <w:i/>
          <w:sz w:val="28"/>
          <w:szCs w:val="28"/>
          <w:lang w:val="es-ES_tradnl" w:eastAsia="es-ES"/>
        </w:rPr>
        <w:t>7</w:t>
      </w:r>
      <w:r w:rsidRPr="00E93157" w:rsidR="007209B1">
        <w:rPr>
          <w:rFonts w:ascii="Times New Roman" w:hAnsi="Times New Roman" w:eastAsia="Times New Roman"/>
          <w:sz w:val="28"/>
          <w:szCs w:val="28"/>
          <w:lang w:val="es-ES_tradnl" w:eastAsia="es-ES"/>
        </w:rPr>
        <w:t>.</w:t>
      </w:r>
    </w:p>
    <w:p w:rsidRPr="00E93157" w:rsidR="00A10D5F" w:rsidP="00A10D5F" w:rsidRDefault="00A10D5F" w14:paraId="5682522F" w14:textId="6097BFEC">
      <w:pPr>
        <w:overflowPunct w:val="0"/>
        <w:autoSpaceDE w:val="0"/>
        <w:autoSpaceDN w:val="0"/>
        <w:adjustRightInd w:val="0"/>
        <w:spacing w:after="0" w:line="240" w:lineRule="auto"/>
        <w:jc w:val="both"/>
        <w:rPr>
          <w:rFonts w:ascii="Times New Roman" w:hAnsi="Times New Roman" w:eastAsia="Times New Roman"/>
          <w:b/>
          <w:sz w:val="28"/>
          <w:szCs w:val="28"/>
          <w:lang w:val="es-ES_tradnl" w:eastAsia="es-ES"/>
        </w:rPr>
      </w:pPr>
    </w:p>
    <w:p w:rsidRPr="00E93157" w:rsidR="004A7DC9" w:rsidP="004A7DC9" w:rsidRDefault="004A7DC9" w14:paraId="785D3128" w14:textId="5EE3E4DE">
      <w:pPr>
        <w:overflowPunct w:val="0"/>
        <w:autoSpaceDE w:val="0"/>
        <w:autoSpaceDN w:val="0"/>
        <w:adjustRightInd w:val="0"/>
        <w:spacing w:after="0" w:line="360" w:lineRule="auto"/>
        <w:jc w:val="both"/>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En virtud de lo expuesto, la Sala de Decisión nº 2</w:t>
      </w:r>
      <w:r w:rsidRPr="00E93157" w:rsidR="00710055">
        <w:rPr>
          <w:rStyle w:val="Refdenotaalpie"/>
          <w:rFonts w:ascii="Times New Roman" w:hAnsi="Times New Roman" w:eastAsia="Times New Roman"/>
          <w:sz w:val="28"/>
          <w:szCs w:val="28"/>
          <w:lang w:val="es-ES_tradnl" w:eastAsia="es-ES"/>
        </w:rPr>
        <w:footnoteReference w:id="4"/>
      </w:r>
      <w:r w:rsidRPr="00E93157">
        <w:rPr>
          <w:rFonts w:ascii="Times New Roman" w:hAnsi="Times New Roman" w:eastAsia="Times New Roman"/>
          <w:sz w:val="28"/>
          <w:szCs w:val="28"/>
          <w:lang w:val="es-ES_tradnl" w:eastAsia="es-ES"/>
        </w:rPr>
        <w:t xml:space="preserve"> del Tribunal Administrativo de Boyacá.</w:t>
      </w:r>
    </w:p>
    <w:p w:rsidRPr="00E93157" w:rsidR="004A7DC9" w:rsidP="004A7DC9" w:rsidRDefault="004A7DC9" w14:paraId="2A33C3CB" w14:textId="77777777">
      <w:pPr>
        <w:overflowPunct w:val="0"/>
        <w:autoSpaceDE w:val="0"/>
        <w:autoSpaceDN w:val="0"/>
        <w:adjustRightInd w:val="0"/>
        <w:spacing w:after="0" w:line="360" w:lineRule="auto"/>
        <w:jc w:val="both"/>
        <w:rPr>
          <w:rFonts w:ascii="Times New Roman" w:hAnsi="Times New Roman" w:eastAsia="Times New Roman"/>
          <w:sz w:val="28"/>
          <w:szCs w:val="28"/>
          <w:lang w:val="es-ES_tradnl" w:eastAsia="es-ES"/>
        </w:rPr>
      </w:pPr>
    </w:p>
    <w:p w:rsidRPr="00E93157" w:rsidR="004A7DC9" w:rsidP="004A7DC9" w:rsidRDefault="004A7DC9" w14:paraId="1EEB0AC1" w14:textId="77777777">
      <w:pPr>
        <w:overflowPunct w:val="0"/>
        <w:autoSpaceDE w:val="0"/>
        <w:autoSpaceDN w:val="0"/>
        <w:adjustRightInd w:val="0"/>
        <w:spacing w:after="0" w:line="360" w:lineRule="auto"/>
        <w:ind w:left="-142"/>
        <w:jc w:val="center"/>
        <w:rPr>
          <w:rFonts w:ascii="Times New Roman" w:hAnsi="Times New Roman" w:eastAsia="Times New Roman"/>
          <w:b/>
          <w:bCs/>
          <w:sz w:val="28"/>
          <w:szCs w:val="28"/>
          <w:lang w:val="es-ES_tradnl" w:eastAsia="es-ES"/>
        </w:rPr>
      </w:pPr>
      <w:r w:rsidRPr="00E93157">
        <w:rPr>
          <w:rFonts w:ascii="Times New Roman" w:hAnsi="Times New Roman" w:eastAsia="Times New Roman"/>
          <w:b/>
          <w:bCs/>
          <w:sz w:val="28"/>
          <w:szCs w:val="28"/>
          <w:lang w:val="es-ES_tradnl" w:eastAsia="es-ES"/>
        </w:rPr>
        <w:t>RESUELVE:</w:t>
      </w:r>
    </w:p>
    <w:p w:rsidRPr="00E93157" w:rsidR="00A10D5F" w:rsidP="00A10D5F" w:rsidRDefault="00A10D5F" w14:paraId="38AA9B53" w14:textId="25C96A46">
      <w:pPr>
        <w:overflowPunct w:val="0"/>
        <w:autoSpaceDE w:val="0"/>
        <w:autoSpaceDN w:val="0"/>
        <w:adjustRightInd w:val="0"/>
        <w:spacing w:after="0" w:line="240" w:lineRule="auto"/>
        <w:jc w:val="both"/>
        <w:rPr>
          <w:rFonts w:ascii="Times New Roman" w:hAnsi="Times New Roman" w:eastAsia="Times New Roman"/>
          <w:b/>
          <w:sz w:val="28"/>
          <w:szCs w:val="28"/>
          <w:lang w:val="es-ES_tradnl" w:eastAsia="es-ES"/>
        </w:rPr>
      </w:pPr>
    </w:p>
    <w:p w:rsidRPr="00E93157" w:rsidR="004A7DC9" w:rsidP="00A10D5F" w:rsidRDefault="004A7DC9" w14:paraId="3AFEC57D" w14:textId="5AEB1FE1">
      <w:pPr>
        <w:overflowPunct w:val="0"/>
        <w:autoSpaceDE w:val="0"/>
        <w:autoSpaceDN w:val="0"/>
        <w:adjustRightInd w:val="0"/>
        <w:spacing w:after="0" w:line="240" w:lineRule="auto"/>
        <w:jc w:val="both"/>
        <w:rPr>
          <w:rFonts w:ascii="Times New Roman" w:hAnsi="Times New Roman" w:eastAsia="Times New Roman"/>
          <w:b/>
          <w:sz w:val="28"/>
          <w:szCs w:val="28"/>
          <w:lang w:val="es-ES_tradnl" w:eastAsia="es-ES"/>
        </w:rPr>
      </w:pPr>
    </w:p>
    <w:p w:rsidRPr="00E93157" w:rsidR="00E757A3" w:rsidP="007209B1" w:rsidRDefault="004A7DC9" w14:paraId="7A189B20" w14:textId="1DDE44EF">
      <w:pPr>
        <w:overflowPunct w:val="0"/>
        <w:autoSpaceDE w:val="0"/>
        <w:autoSpaceDN w:val="0"/>
        <w:adjustRightInd w:val="0"/>
        <w:spacing w:after="0" w:line="360" w:lineRule="auto"/>
        <w:jc w:val="both"/>
        <w:rPr>
          <w:rFonts w:ascii="Times New Roman" w:hAnsi="Times New Roman"/>
          <w:sz w:val="28"/>
          <w:szCs w:val="28"/>
          <w:lang w:val="es-ES_tradnl" w:eastAsia="es-ES"/>
        </w:rPr>
      </w:pPr>
      <w:r w:rsidRPr="00E93157">
        <w:rPr>
          <w:rFonts w:ascii="Times New Roman" w:hAnsi="Times New Roman"/>
          <w:b/>
          <w:sz w:val="28"/>
          <w:szCs w:val="28"/>
          <w:lang w:val="es-ES_tradnl"/>
        </w:rPr>
        <w:t>PRIMERO:</w:t>
      </w:r>
      <w:r w:rsidRPr="00E93157">
        <w:rPr>
          <w:rFonts w:ascii="Times New Roman" w:hAnsi="Times New Roman"/>
          <w:sz w:val="28"/>
          <w:szCs w:val="28"/>
          <w:lang w:val="es-ES_tradnl"/>
        </w:rPr>
        <w:t xml:space="preserve"> </w:t>
      </w:r>
      <w:r w:rsidRPr="00E93157" w:rsidR="00E757A3">
        <w:rPr>
          <w:rFonts w:ascii="Times New Roman" w:hAnsi="Times New Roman"/>
          <w:b/>
          <w:sz w:val="28"/>
          <w:szCs w:val="28"/>
          <w:lang w:val="es-ES_tradnl" w:eastAsia="es-ES"/>
        </w:rPr>
        <w:t xml:space="preserve">NO AVOCAR CONOCIMIENTO </w:t>
      </w:r>
      <w:r w:rsidRPr="00E93157" w:rsidR="00E757A3">
        <w:rPr>
          <w:rFonts w:ascii="Times New Roman" w:hAnsi="Times New Roman"/>
          <w:sz w:val="28"/>
          <w:szCs w:val="28"/>
          <w:lang w:val="es-ES_tradnl" w:eastAsia="es-ES"/>
        </w:rPr>
        <w:t xml:space="preserve">del control automático de legalidad del fallo de responsabilidad fiscal </w:t>
      </w:r>
      <w:r w:rsidRPr="00E93157" w:rsidR="00C6001E">
        <w:rPr>
          <w:rFonts w:ascii="Times New Roman" w:hAnsi="Times New Roman" w:eastAsia="Times New Roman"/>
          <w:i/>
          <w:sz w:val="28"/>
          <w:szCs w:val="28"/>
          <w:lang w:val="es-ES_tradnl" w:eastAsia="es-ES"/>
        </w:rPr>
        <w:t>No</w:t>
      </w:r>
      <w:r w:rsidR="00DF5D12">
        <w:rPr>
          <w:rFonts w:ascii="Times New Roman" w:hAnsi="Times New Roman" w:eastAsia="Times New Roman"/>
          <w:i/>
          <w:sz w:val="28"/>
          <w:szCs w:val="28"/>
          <w:lang w:val="es-ES_tradnl" w:eastAsia="es-ES"/>
        </w:rPr>
        <w:t xml:space="preserve">. </w:t>
      </w:r>
      <w:r w:rsidRPr="00845F8E" w:rsidR="00845F8E">
        <w:rPr>
          <w:rFonts w:ascii="Times New Roman" w:hAnsi="Times New Roman" w:eastAsia="Times New Roman"/>
          <w:bCs/>
          <w:i/>
          <w:sz w:val="28"/>
          <w:szCs w:val="28"/>
          <w:lang w:val="es-ES_tradnl" w:eastAsia="es-ES"/>
        </w:rPr>
        <w:t>342 de 25 de junio de 2021</w:t>
      </w:r>
      <w:r w:rsidRPr="00E93157" w:rsidR="00845F8E">
        <w:rPr>
          <w:rFonts w:ascii="Times New Roman" w:hAnsi="Times New Roman" w:eastAsia="Times New Roman"/>
          <w:sz w:val="28"/>
          <w:szCs w:val="28"/>
          <w:lang w:val="es-ES_tradnl" w:eastAsia="es-ES"/>
        </w:rPr>
        <w:t xml:space="preserve"> </w:t>
      </w:r>
      <w:r w:rsidRPr="00E93157" w:rsidR="007209B1">
        <w:rPr>
          <w:rFonts w:ascii="Times New Roman" w:hAnsi="Times New Roman" w:eastAsia="Times New Roman"/>
          <w:sz w:val="28"/>
          <w:szCs w:val="28"/>
          <w:lang w:val="es-ES_tradnl" w:eastAsia="es-ES"/>
        </w:rPr>
        <w:t xml:space="preserve">dentro del proceso </w:t>
      </w:r>
      <w:r w:rsidR="00845F8E">
        <w:rPr>
          <w:rFonts w:ascii="Times New Roman" w:hAnsi="Times New Roman" w:eastAsia="Times New Roman"/>
          <w:i/>
          <w:iCs/>
          <w:sz w:val="28"/>
          <w:szCs w:val="28"/>
          <w:lang w:val="es-ES_tradnl" w:eastAsia="es-ES"/>
        </w:rPr>
        <w:t>028-2017</w:t>
      </w:r>
      <w:bookmarkStart w:name="_GoBack" w:id="3"/>
      <w:bookmarkEnd w:id="3"/>
      <w:r w:rsidR="00172B43">
        <w:rPr>
          <w:rFonts w:ascii="Times New Roman" w:hAnsi="Times New Roman" w:eastAsia="Times New Roman"/>
          <w:i/>
          <w:iCs/>
          <w:sz w:val="28"/>
          <w:szCs w:val="28"/>
          <w:lang w:val="es-ES_tradnl" w:eastAsia="es-ES"/>
        </w:rPr>
        <w:t xml:space="preserve"> </w:t>
      </w:r>
      <w:r w:rsidRPr="00E93157" w:rsidR="00C64D7B">
        <w:rPr>
          <w:rFonts w:ascii="Times New Roman" w:hAnsi="Times New Roman"/>
          <w:sz w:val="28"/>
          <w:szCs w:val="28"/>
          <w:lang w:val="es-ES_tradnl" w:eastAsia="es-ES"/>
        </w:rPr>
        <w:t>de la Contraloría General de Boyacá.</w:t>
      </w:r>
    </w:p>
    <w:p w:rsidRPr="00E93157" w:rsidR="004A7DC9" w:rsidP="004A7DC9" w:rsidRDefault="004A7DC9" w14:paraId="4705FDA0" w14:textId="7C26DDD1">
      <w:pPr>
        <w:overflowPunct w:val="0"/>
        <w:autoSpaceDE w:val="0"/>
        <w:autoSpaceDN w:val="0"/>
        <w:adjustRightInd w:val="0"/>
        <w:spacing w:after="0" w:line="360" w:lineRule="auto"/>
        <w:jc w:val="both"/>
        <w:textAlignment w:val="baseline"/>
        <w:rPr>
          <w:rFonts w:ascii="Times New Roman" w:hAnsi="Times New Roman"/>
          <w:sz w:val="28"/>
          <w:szCs w:val="28"/>
          <w:lang w:val="es-ES_tradnl"/>
        </w:rPr>
      </w:pPr>
    </w:p>
    <w:p w:rsidRPr="00E93157" w:rsidR="004A7DC9" w:rsidP="004A7DC9" w:rsidRDefault="004A7DC9" w14:paraId="0AB925F4" w14:textId="48565501">
      <w:pPr>
        <w:overflowPunct w:val="0"/>
        <w:autoSpaceDE w:val="0"/>
        <w:autoSpaceDN w:val="0"/>
        <w:adjustRightInd w:val="0"/>
        <w:spacing w:after="0" w:line="360" w:lineRule="auto"/>
        <w:jc w:val="both"/>
        <w:textAlignment w:val="baseline"/>
        <w:rPr>
          <w:rFonts w:ascii="Times New Roman" w:hAnsi="Times New Roman"/>
          <w:sz w:val="28"/>
          <w:szCs w:val="28"/>
          <w:lang w:val="es-ES_tradnl"/>
        </w:rPr>
      </w:pPr>
      <w:r w:rsidRPr="00E93157">
        <w:rPr>
          <w:rFonts w:ascii="Times New Roman" w:hAnsi="Times New Roman"/>
          <w:b/>
          <w:bCs/>
          <w:sz w:val="28"/>
          <w:szCs w:val="28"/>
          <w:lang w:val="es-ES_tradnl"/>
        </w:rPr>
        <w:t>SEGUNDO.</w:t>
      </w:r>
      <w:r w:rsidRPr="00E93157">
        <w:rPr>
          <w:rFonts w:ascii="Times New Roman" w:hAnsi="Times New Roman"/>
          <w:sz w:val="28"/>
          <w:szCs w:val="28"/>
          <w:lang w:val="es-ES_tradnl"/>
        </w:rPr>
        <w:t xml:space="preserve"> </w:t>
      </w:r>
      <w:r w:rsidRPr="00E93157" w:rsidR="00E757A3">
        <w:rPr>
          <w:rStyle w:val="normaltextrun"/>
          <w:rFonts w:ascii="Times New Roman" w:hAnsi="Times New Roman"/>
          <w:color w:val="000000"/>
          <w:sz w:val="28"/>
          <w:szCs w:val="28"/>
          <w:shd w:val="clear" w:color="auto" w:fill="FFFFFF"/>
          <w:lang w:val="es-ES_tradnl"/>
        </w:rPr>
        <w:t>Por intermedio de la Secretaría General de esta Corporación, se ordena que la presente decisión sea comunicada en el portal web de la Jurisdicción de lo Contencioso Administrativo.</w:t>
      </w:r>
    </w:p>
    <w:p w:rsidRPr="00E93157" w:rsidR="004A7DC9" w:rsidP="004A7DC9" w:rsidRDefault="004A7DC9" w14:paraId="7BF1B244" w14:textId="77777777">
      <w:pPr>
        <w:overflowPunct w:val="0"/>
        <w:autoSpaceDE w:val="0"/>
        <w:autoSpaceDN w:val="0"/>
        <w:adjustRightInd w:val="0"/>
        <w:spacing w:after="0" w:line="360" w:lineRule="auto"/>
        <w:ind w:left="-142"/>
        <w:jc w:val="both"/>
        <w:rPr>
          <w:rFonts w:ascii="Times New Roman" w:hAnsi="Times New Roman" w:eastAsia="Times New Roman"/>
          <w:sz w:val="28"/>
          <w:szCs w:val="28"/>
          <w:lang w:val="es-ES_tradnl" w:eastAsia="es-ES"/>
        </w:rPr>
      </w:pPr>
    </w:p>
    <w:p w:rsidRPr="00E93157" w:rsidR="004A7DC9" w:rsidP="004A7DC9" w:rsidRDefault="004A7DC9" w14:paraId="49CB4D7C" w14:textId="2E059942">
      <w:pPr>
        <w:overflowPunct w:val="0"/>
        <w:autoSpaceDE w:val="0"/>
        <w:autoSpaceDN w:val="0"/>
        <w:adjustRightInd w:val="0"/>
        <w:spacing w:after="0" w:line="360" w:lineRule="auto"/>
        <w:jc w:val="both"/>
        <w:rPr>
          <w:color w:val="000000"/>
          <w:shd w:val="clear" w:color="auto" w:fill="FFFFFF"/>
          <w:lang w:val="es-ES_tradnl"/>
        </w:rPr>
      </w:pPr>
      <w:r w:rsidRPr="00E93157">
        <w:rPr>
          <w:rFonts w:ascii="Times New Roman" w:hAnsi="Times New Roman" w:eastAsia="Times New Roman"/>
          <w:b/>
          <w:sz w:val="28"/>
          <w:szCs w:val="28"/>
          <w:lang w:val="es-ES_tradnl" w:eastAsia="es-ES"/>
        </w:rPr>
        <w:t xml:space="preserve">TERCERO. </w:t>
      </w:r>
      <w:r w:rsidRPr="00E93157">
        <w:rPr>
          <w:rFonts w:ascii="Times New Roman" w:hAnsi="Times New Roman" w:eastAsia="Times New Roman"/>
          <w:sz w:val="28"/>
          <w:szCs w:val="28"/>
          <w:lang w:val="es-ES_tradnl" w:eastAsia="es-ES"/>
        </w:rPr>
        <w:t xml:space="preserve">Una vez ejecutoriada esta providencia, archívese el expediente. </w:t>
      </w:r>
    </w:p>
    <w:p w:rsidRPr="00E93157" w:rsidR="00300130" w:rsidP="00300130" w:rsidRDefault="00300130" w14:paraId="10797FDE" w14:textId="77777777">
      <w:pPr>
        <w:overflowPunct w:val="0"/>
        <w:autoSpaceDE w:val="0"/>
        <w:autoSpaceDN w:val="0"/>
        <w:adjustRightInd w:val="0"/>
        <w:spacing w:after="0" w:line="240" w:lineRule="auto"/>
        <w:jc w:val="both"/>
        <w:rPr>
          <w:rFonts w:ascii="Times New Roman" w:hAnsi="Times New Roman" w:eastAsia="Times New Roman"/>
          <w:sz w:val="28"/>
          <w:szCs w:val="28"/>
          <w:lang w:val="es-ES_tradnl" w:eastAsia="es-ES"/>
        </w:rPr>
      </w:pPr>
    </w:p>
    <w:p w:rsidRPr="00E93157" w:rsidR="00300130" w:rsidP="50D4ABAA" w:rsidRDefault="00300130" w14:paraId="71C3F105" w14:textId="32BD9A8B">
      <w:pPr>
        <w:spacing w:after="0" w:line="360" w:lineRule="auto"/>
        <w:ind w:left="-142"/>
        <w:jc w:val="center"/>
        <w:textAlignment w:val="baseline"/>
        <w:rPr>
          <w:rFonts w:ascii="Times New Roman" w:hAnsi="Times New Roman" w:eastAsia="Times New Roman"/>
          <w:sz w:val="28"/>
          <w:szCs w:val="28"/>
          <w:lang w:val="es-ES_tradnl" w:eastAsia="es-ES"/>
        </w:rPr>
      </w:pPr>
      <w:r w:rsidRPr="00E93157">
        <w:rPr>
          <w:rFonts w:ascii="Times New Roman" w:hAnsi="Times New Roman" w:eastAsia="Times New Roman"/>
          <w:sz w:val="28"/>
          <w:szCs w:val="28"/>
          <w:lang w:val="es-ES_tradnl" w:eastAsia="es-ES"/>
        </w:rPr>
        <w:t>Notifíquese y cúmplase</w:t>
      </w:r>
    </w:p>
    <w:p w:rsidRPr="00E93157" w:rsidR="00300130" w:rsidP="171DACFC" w:rsidRDefault="00300130" w14:paraId="57411C07" w14:textId="5953541A">
      <w:pPr>
        <w:pStyle w:val="paragraph"/>
        <w:spacing w:before="0" w:beforeAutospacing="0" w:after="0" w:afterAutospacing="0"/>
        <w:ind w:right="45"/>
        <w:jc w:val="center"/>
        <w:rPr>
          <w:rFonts w:ascii="Segoe UI" w:hAnsi="Segoe UI" w:cs="Segoe UI"/>
          <w:sz w:val="18"/>
          <w:szCs w:val="18"/>
          <w:lang w:val="es-ES_tradnl"/>
        </w:rPr>
      </w:pPr>
      <w:r w:rsidRPr="00E93157">
        <w:rPr>
          <w:rStyle w:val="normaltextrun"/>
          <w:rFonts w:eastAsia="Calibri"/>
          <w:sz w:val="28"/>
          <w:szCs w:val="28"/>
          <w:lang w:val="es-ES_tradnl"/>
        </w:rPr>
        <w:t>LU</w:t>
      </w:r>
      <w:r w:rsidRPr="00E93157" w:rsidR="00C71A02">
        <w:rPr>
          <w:rStyle w:val="normaltextrun"/>
          <w:rFonts w:eastAsia="Calibri"/>
          <w:sz w:val="28"/>
          <w:szCs w:val="28"/>
          <w:lang w:val="es-ES_tradnl"/>
        </w:rPr>
        <w:t>I</w:t>
      </w:r>
      <w:r w:rsidRPr="00E93157">
        <w:rPr>
          <w:rStyle w:val="normaltextrun"/>
          <w:rFonts w:eastAsia="Calibri"/>
          <w:sz w:val="28"/>
          <w:szCs w:val="28"/>
          <w:lang w:val="es-ES_tradnl"/>
        </w:rPr>
        <w:t>S ERNESTO ARCINIEGAS TRIANA</w:t>
      </w:r>
      <w:r w:rsidRPr="00E93157">
        <w:rPr>
          <w:rStyle w:val="eop"/>
          <w:rFonts w:eastAsia="Calibri"/>
          <w:sz w:val="28"/>
          <w:szCs w:val="28"/>
          <w:lang w:val="es-ES_tradnl"/>
        </w:rPr>
        <w:t> </w:t>
      </w:r>
    </w:p>
    <w:p w:rsidRPr="00E93157" w:rsidR="171DACFC" w:rsidP="50D4ABAA" w:rsidRDefault="00300130" w14:paraId="28B1B0A1" w14:textId="3D4690A6">
      <w:pPr>
        <w:pStyle w:val="paragraph"/>
        <w:spacing w:before="0" w:beforeAutospacing="0" w:after="0" w:afterAutospacing="0"/>
        <w:ind w:right="45"/>
        <w:jc w:val="center"/>
        <w:rPr>
          <w:rFonts w:ascii="Segoe UI" w:hAnsi="Segoe UI" w:cs="Segoe UI"/>
          <w:sz w:val="18"/>
          <w:szCs w:val="18"/>
          <w:lang w:val="es-ES_tradnl"/>
        </w:rPr>
      </w:pPr>
      <w:r w:rsidRPr="00E93157">
        <w:rPr>
          <w:rStyle w:val="normaltextrun"/>
          <w:rFonts w:eastAsia="Calibri"/>
          <w:b/>
          <w:bCs/>
          <w:sz w:val="28"/>
          <w:szCs w:val="28"/>
          <w:lang w:val="es-ES_tradnl"/>
        </w:rPr>
        <w:t>Magistrado</w:t>
      </w:r>
      <w:r w:rsidRPr="00E93157">
        <w:rPr>
          <w:rStyle w:val="eop"/>
          <w:rFonts w:eastAsia="Calibri"/>
          <w:sz w:val="28"/>
          <w:szCs w:val="28"/>
          <w:lang w:val="es-ES_tradnl"/>
        </w:rPr>
        <w:t> </w:t>
      </w:r>
    </w:p>
    <w:p w:rsidRPr="00E93157" w:rsidR="00300130" w:rsidP="171DACFC" w:rsidRDefault="00300130" w14:paraId="7BACF6E8" w14:textId="684EA30D">
      <w:pPr>
        <w:pStyle w:val="paragraph"/>
        <w:spacing w:before="0" w:beforeAutospacing="0" w:after="0" w:afterAutospacing="0"/>
        <w:jc w:val="center"/>
        <w:rPr>
          <w:rFonts w:ascii="Segoe UI" w:hAnsi="Segoe UI" w:cs="Segoe UI"/>
          <w:sz w:val="18"/>
          <w:szCs w:val="18"/>
          <w:lang w:val="es-ES_tradnl"/>
        </w:rPr>
      </w:pPr>
      <w:r w:rsidRPr="00E93157">
        <w:rPr>
          <w:rStyle w:val="normaltextrun"/>
          <w:rFonts w:eastAsia="Calibri"/>
          <w:color w:val="000000" w:themeColor="text1"/>
          <w:sz w:val="28"/>
          <w:szCs w:val="28"/>
          <w:lang w:val="es-ES_tradnl"/>
        </w:rPr>
        <w:t>JOSÉ ASCENCIÓN FERNÁNDEZ OSORIO</w:t>
      </w:r>
      <w:r w:rsidRPr="00E93157">
        <w:rPr>
          <w:rStyle w:val="eop"/>
          <w:rFonts w:eastAsia="Calibri"/>
          <w:color w:val="000000" w:themeColor="text1"/>
          <w:sz w:val="28"/>
          <w:szCs w:val="28"/>
          <w:lang w:val="es-ES_tradnl"/>
        </w:rPr>
        <w:t> </w:t>
      </w:r>
    </w:p>
    <w:p w:rsidRPr="00E93157" w:rsidR="171DACFC" w:rsidP="50D4ABAA" w:rsidRDefault="00300130" w14:paraId="18CB0DBB" w14:textId="0E9EE4DF">
      <w:pPr>
        <w:pStyle w:val="paragraph"/>
        <w:spacing w:before="0" w:beforeAutospacing="0" w:after="0" w:afterAutospacing="0"/>
        <w:jc w:val="center"/>
        <w:rPr>
          <w:rFonts w:ascii="Segoe UI" w:hAnsi="Segoe UI" w:cs="Segoe UI"/>
          <w:sz w:val="18"/>
          <w:szCs w:val="18"/>
          <w:lang w:val="es-ES_tradnl"/>
        </w:rPr>
      </w:pPr>
      <w:r w:rsidRPr="00E93157">
        <w:rPr>
          <w:rStyle w:val="normaltextrun"/>
          <w:rFonts w:eastAsia="Calibri"/>
          <w:b/>
          <w:bCs/>
          <w:color w:val="000000" w:themeColor="text1"/>
          <w:sz w:val="28"/>
          <w:szCs w:val="28"/>
          <w:lang w:val="es-ES_tradnl"/>
        </w:rPr>
        <w:t>Magistrado</w:t>
      </w:r>
      <w:r w:rsidRPr="00E93157">
        <w:rPr>
          <w:rStyle w:val="eop"/>
          <w:rFonts w:eastAsia="Calibri"/>
          <w:color w:val="000000" w:themeColor="text1"/>
          <w:sz w:val="28"/>
          <w:szCs w:val="28"/>
          <w:lang w:val="es-ES_tradnl"/>
        </w:rPr>
        <w:t> </w:t>
      </w:r>
    </w:p>
    <w:p w:rsidRPr="00E93157" w:rsidR="00710055" w:rsidP="00710055" w:rsidRDefault="00710055" w14:paraId="15821DD5" w14:textId="0FF6D563">
      <w:pPr>
        <w:pStyle w:val="paragraph"/>
        <w:spacing w:before="0" w:beforeAutospacing="0" w:after="0" w:afterAutospacing="0"/>
        <w:jc w:val="center"/>
        <w:textAlignment w:val="baseline"/>
        <w:rPr>
          <w:rFonts w:ascii="Segoe UI" w:hAnsi="Segoe UI" w:cs="Segoe UI"/>
          <w:sz w:val="18"/>
          <w:szCs w:val="18"/>
          <w:lang w:val="es-ES_tradnl"/>
        </w:rPr>
      </w:pPr>
      <w:r w:rsidRPr="00E93157">
        <w:rPr>
          <w:rStyle w:val="normaltextrun"/>
          <w:rFonts w:eastAsia="Calibri"/>
          <w:color w:val="000000"/>
          <w:sz w:val="28"/>
          <w:szCs w:val="28"/>
          <w:lang w:val="es-ES_tradnl"/>
        </w:rPr>
        <w:t>DAY</w:t>
      </w:r>
      <w:r w:rsidRPr="00E93157">
        <w:rPr>
          <w:rStyle w:val="normaltextrun"/>
          <w:rFonts w:eastAsia="Calibri"/>
          <w:sz w:val="28"/>
          <w:szCs w:val="28"/>
          <w:lang w:val="es-ES_tradnl"/>
        </w:rPr>
        <w:t xml:space="preserve">ÁN ALBERTO BLANCO </w:t>
      </w:r>
      <w:r w:rsidRPr="00E93157" w:rsidR="00E93157">
        <w:rPr>
          <w:rStyle w:val="normaltextrun"/>
          <w:rFonts w:eastAsia="Calibri"/>
          <w:sz w:val="28"/>
          <w:szCs w:val="28"/>
          <w:lang w:val="es-ES_tradnl"/>
        </w:rPr>
        <w:t>LEGUIZAMÓN</w:t>
      </w:r>
      <w:r w:rsidRPr="00E93157">
        <w:rPr>
          <w:rStyle w:val="normaltextrun"/>
          <w:rFonts w:eastAsia="Calibri"/>
          <w:sz w:val="28"/>
          <w:szCs w:val="28"/>
          <w:lang w:val="es-ES_tradnl"/>
        </w:rPr>
        <w:t> </w:t>
      </w:r>
      <w:r w:rsidRPr="00E93157">
        <w:rPr>
          <w:rStyle w:val="normaltextrun"/>
          <w:rFonts w:eastAsia="Calibri"/>
          <w:color w:val="000000"/>
          <w:sz w:val="28"/>
          <w:szCs w:val="28"/>
          <w:lang w:val="es-ES_tradnl"/>
        </w:rPr>
        <w:t>  </w:t>
      </w:r>
      <w:r w:rsidRPr="00E93157">
        <w:rPr>
          <w:rStyle w:val="eop"/>
          <w:color w:val="000000"/>
          <w:sz w:val="28"/>
          <w:szCs w:val="28"/>
          <w:lang w:val="es-ES_tradnl"/>
        </w:rPr>
        <w:t> </w:t>
      </w:r>
    </w:p>
    <w:p w:rsidRPr="00E93157" w:rsidR="00710055" w:rsidP="00710055" w:rsidRDefault="00710055" w14:paraId="3BBF3E2F" w14:textId="77777777">
      <w:pPr>
        <w:pStyle w:val="paragraph"/>
        <w:spacing w:before="0" w:beforeAutospacing="0" w:after="0" w:afterAutospacing="0"/>
        <w:jc w:val="center"/>
        <w:textAlignment w:val="baseline"/>
        <w:rPr>
          <w:rFonts w:ascii="Segoe UI" w:hAnsi="Segoe UI" w:cs="Segoe UI"/>
          <w:sz w:val="18"/>
          <w:szCs w:val="18"/>
          <w:lang w:val="es-ES_tradnl"/>
        </w:rPr>
      </w:pPr>
      <w:r w:rsidRPr="00E93157">
        <w:rPr>
          <w:rStyle w:val="normaltextrun"/>
          <w:rFonts w:eastAsia="Calibri"/>
          <w:b/>
          <w:bCs/>
          <w:color w:val="000000"/>
          <w:sz w:val="28"/>
          <w:szCs w:val="28"/>
          <w:lang w:val="es-ES_tradnl"/>
        </w:rPr>
        <w:t>Magistrado</w:t>
      </w:r>
      <w:r w:rsidRPr="00E93157">
        <w:rPr>
          <w:rStyle w:val="eop"/>
          <w:color w:val="000000"/>
          <w:sz w:val="28"/>
          <w:szCs w:val="28"/>
          <w:lang w:val="es-ES_tradnl"/>
        </w:rPr>
        <w:t> </w:t>
      </w:r>
    </w:p>
    <w:p w:rsidRPr="00E93157" w:rsidR="00710055" w:rsidP="00710055" w:rsidRDefault="00710055" w14:paraId="32C167B1" w14:textId="77777777">
      <w:pPr>
        <w:pStyle w:val="paragraph"/>
        <w:spacing w:before="0" w:beforeAutospacing="0" w:after="0" w:afterAutospacing="0"/>
        <w:textAlignment w:val="baseline"/>
        <w:rPr>
          <w:rFonts w:ascii="Segoe UI" w:hAnsi="Segoe UI" w:cs="Segoe UI"/>
          <w:sz w:val="18"/>
          <w:szCs w:val="18"/>
          <w:lang w:val="es-ES_tradnl"/>
        </w:rPr>
      </w:pPr>
      <w:r w:rsidRPr="00E93157">
        <w:rPr>
          <w:rStyle w:val="eop"/>
          <w:rFonts w:ascii="Calibri" w:hAnsi="Calibri" w:cs="Calibri"/>
          <w:sz w:val="22"/>
          <w:szCs w:val="22"/>
          <w:lang w:val="es-ES_tradnl"/>
        </w:rPr>
        <w:t> </w:t>
      </w:r>
    </w:p>
    <w:p w:rsidR="00CE4044" w:rsidRDefault="00CE4044" w14:paraId="07FC2340" w14:textId="3D4EF46C"/>
    <w:sectPr w:rsidR="00CE4044" w:rsidSect="007209B1">
      <w:headerReference w:type="default" r:id="rId12"/>
      <w:pgSz w:w="12240" w:h="20160" w:orient="portrait" w:code="5"/>
      <w:pgMar w:top="1418" w:right="1701" w:bottom="141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5A68" w16cex:dateUtc="2022-02-09T02:08:00Z"/>
  <w16cex:commentExtensible w16cex:durableId="25AD5AC9" w16cex:dateUtc="2022-02-09T0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25A8D" w16cid:durableId="25AD5A68"/>
  <w16cid:commentId w16cid:paraId="737546C6" w16cid:durableId="25AD5A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6E" w:rsidP="00300130" w:rsidRDefault="000B466E" w14:paraId="5059174C" w14:textId="77777777">
      <w:pPr>
        <w:spacing w:after="0" w:line="240" w:lineRule="auto"/>
      </w:pPr>
      <w:r>
        <w:separator/>
      </w:r>
    </w:p>
  </w:endnote>
  <w:endnote w:type="continuationSeparator" w:id="0">
    <w:p w:rsidR="000B466E" w:rsidP="00300130" w:rsidRDefault="000B466E" w14:paraId="138BC7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6E" w:rsidP="00300130" w:rsidRDefault="000B466E" w14:paraId="2E26451F" w14:textId="77777777">
      <w:pPr>
        <w:spacing w:after="0" w:line="240" w:lineRule="auto"/>
      </w:pPr>
      <w:r>
        <w:separator/>
      </w:r>
    </w:p>
  </w:footnote>
  <w:footnote w:type="continuationSeparator" w:id="0">
    <w:p w:rsidR="000B466E" w:rsidP="00300130" w:rsidRDefault="000B466E" w14:paraId="7C8E9D4D" w14:textId="77777777">
      <w:pPr>
        <w:spacing w:after="0" w:line="240" w:lineRule="auto"/>
      </w:pPr>
      <w:r>
        <w:continuationSeparator/>
      </w:r>
    </w:p>
  </w:footnote>
  <w:footnote w:id="1">
    <w:p w:rsidRPr="006340DA" w:rsidR="00F54608" w:rsidRDefault="00F54608" w14:paraId="586C9157" w14:textId="7EE41D3E">
      <w:pPr>
        <w:pStyle w:val="Textonotapie"/>
        <w:rPr>
          <w:rFonts w:asciiTheme="majorBidi" w:hAnsiTheme="majorBidi" w:cstheme="majorBidi"/>
          <w:sz w:val="16"/>
          <w:szCs w:val="16"/>
        </w:rPr>
      </w:pPr>
      <w:r w:rsidRPr="006340DA">
        <w:rPr>
          <w:rStyle w:val="Refdenotaalpie"/>
          <w:rFonts w:asciiTheme="majorBidi" w:hAnsiTheme="majorBidi" w:cstheme="majorBidi"/>
          <w:sz w:val="16"/>
          <w:szCs w:val="16"/>
        </w:rPr>
        <w:footnoteRef/>
      </w:r>
      <w:r w:rsidRPr="006340DA">
        <w:rPr>
          <w:rFonts w:asciiTheme="majorBidi" w:hAnsiTheme="majorBidi" w:cstheme="majorBidi"/>
          <w:sz w:val="16"/>
          <w:szCs w:val="16"/>
        </w:rPr>
        <w:t xml:space="preserve"> Corte Constitucional, </w:t>
      </w:r>
      <w:r w:rsidRPr="006340DA">
        <w:rPr>
          <w:rFonts w:asciiTheme="majorBidi" w:hAnsiTheme="majorBidi" w:cstheme="majorBidi"/>
          <w:sz w:val="16"/>
          <w:szCs w:val="16"/>
          <w:shd w:val="clear" w:color="auto" w:fill="FFFFFF"/>
        </w:rPr>
        <w:t>Sentencia C- 816 de 2011 M.P. Mauricio González Cuervo</w:t>
      </w:r>
    </w:p>
  </w:footnote>
  <w:footnote w:id="2">
    <w:p w:rsidRPr="007209B1" w:rsidR="00F54608" w:rsidP="007209B1" w:rsidRDefault="00F54608" w14:paraId="0EC08737" w14:textId="03FAF1CC">
      <w:pPr>
        <w:spacing w:line="240" w:lineRule="auto"/>
        <w:jc w:val="both"/>
        <w:rPr>
          <w:rFonts w:ascii="Times New Roman" w:hAnsi="Times New Roman"/>
          <w:b/>
          <w:sz w:val="20"/>
          <w:szCs w:val="20"/>
          <w:u w:val="single"/>
          <w:shd w:val="clear" w:color="auto" w:fill="FFFFFF"/>
          <w:lang w:val="es-CO"/>
        </w:rPr>
      </w:pPr>
      <w:r w:rsidRPr="006340DA">
        <w:rPr>
          <w:rStyle w:val="Refdenotaalpie"/>
          <w:sz w:val="16"/>
          <w:szCs w:val="16"/>
        </w:rPr>
        <w:footnoteRef/>
      </w:r>
      <w:r w:rsidRPr="006340DA">
        <w:rPr>
          <w:rFonts w:ascii="Times New Roman" w:hAnsi="Times New Roman"/>
          <w:sz w:val="16"/>
          <w:szCs w:val="16"/>
        </w:rPr>
        <w:t xml:space="preserve"> </w:t>
      </w:r>
      <w:r w:rsidRPr="006340DA">
        <w:rPr>
          <w:rFonts w:ascii="Times New Roman" w:hAnsi="Times New Roman"/>
          <w:b/>
          <w:sz w:val="16"/>
          <w:szCs w:val="16"/>
          <w:u w:val="single"/>
          <w:shd w:val="clear" w:color="auto" w:fill="FFFFFF"/>
        </w:rPr>
        <w:t>El entendimiento del concepto “imperio de la ley”, al que están sujetas las autoridades administrativas y judiciales, debe comprenderse como referido a la aplicación del conjunto de normas constitucionales y legales, incluyendo la interpretación jurisprudencial de los máximos órganos judiciales.</w:t>
      </w:r>
    </w:p>
  </w:footnote>
  <w:footnote w:id="3">
    <w:p w:rsidRPr="008A4237" w:rsidR="00E757A3" w:rsidP="008A4237" w:rsidRDefault="00E757A3" w14:paraId="4BA5A523" w14:textId="42D7B01E">
      <w:pPr>
        <w:pStyle w:val="Textonotapie"/>
        <w:jc w:val="both"/>
        <w:rPr>
          <w:rFonts w:ascii="Times New Roman" w:hAnsi="Times New Roman"/>
          <w:sz w:val="16"/>
          <w:szCs w:val="16"/>
        </w:rPr>
      </w:pPr>
      <w:r w:rsidRPr="008A4237">
        <w:rPr>
          <w:rStyle w:val="Refdenotaalpie"/>
          <w:rFonts w:ascii="Times New Roman" w:hAnsi="Times New Roman"/>
          <w:sz w:val="16"/>
          <w:szCs w:val="16"/>
        </w:rPr>
        <w:footnoteRef/>
      </w:r>
      <w:r w:rsidRPr="008A4237">
        <w:rPr>
          <w:rFonts w:ascii="Times New Roman" w:hAnsi="Times New Roman"/>
          <w:sz w:val="16"/>
          <w:szCs w:val="16"/>
        </w:rPr>
        <w:t xml:space="preserve"> </w:t>
      </w:r>
      <w:bookmarkStart w:name="10" w:id="1"/>
      <w:r w:rsidRPr="008A4237">
        <w:rPr>
          <w:rFonts w:ascii="Times New Roman" w:hAnsi="Times New Roman"/>
          <w:b/>
          <w:bCs/>
          <w:sz w:val="16"/>
          <w:szCs w:val="16"/>
        </w:rPr>
        <w:t>LEY 1437 DE 2011. ARTÍCULO 10. DEBER DE APLICACIÓN UNIFORME DE LAS NORMAS Y LA JURISPRUDENCIA.</w:t>
      </w:r>
      <w:bookmarkEnd w:id="1"/>
      <w:r w:rsidRPr="008A4237">
        <w:rPr>
          <w:rFonts w:ascii="Times New Roman" w:hAnsi="Times New Roman"/>
          <w:sz w:val="16"/>
          <w:szCs w:val="16"/>
        </w:rPr>
        <w:t> &lt;Artículo CONDICIONALMENTE exequible&gt; Al resolver los asuntos de su competencia, las autoridades aplicarán las disposiciones constitucionales, legales y reglamentarias de manera uniforme a situaciones que tengan los mismos supuestos fácticos y jurídicos. Con este propósito, al adoptar las decisiones de su competencia, deberán tener en cuenta las sentencias de unificación jurisprudencial del Consejo de Estado en las que se interpreten y apliquen dichas normas.</w:t>
      </w:r>
    </w:p>
  </w:footnote>
  <w:footnote w:id="4">
    <w:p w:rsidRPr="008A4237" w:rsidR="00710055" w:rsidP="008A4237" w:rsidRDefault="00710055" w14:paraId="570D4291" w14:textId="77777777">
      <w:pPr>
        <w:spacing w:after="0" w:line="240" w:lineRule="auto"/>
        <w:jc w:val="both"/>
        <w:rPr>
          <w:rFonts w:ascii="Times New Roman" w:hAnsi="Times New Roman"/>
          <w:sz w:val="16"/>
          <w:szCs w:val="16"/>
          <w:lang w:val="es-CO" w:eastAsia="es-CO"/>
        </w:rPr>
      </w:pPr>
      <w:r w:rsidRPr="008A4237">
        <w:rPr>
          <w:rStyle w:val="Refdenotaalpie"/>
          <w:rFonts w:ascii="Times New Roman" w:hAnsi="Times New Roman"/>
          <w:sz w:val="16"/>
          <w:szCs w:val="16"/>
        </w:rPr>
        <w:footnoteRef/>
      </w:r>
      <w:r w:rsidRPr="008A4237">
        <w:rPr>
          <w:rFonts w:ascii="Times New Roman" w:hAnsi="Times New Roman"/>
          <w:sz w:val="16"/>
          <w:szCs w:val="16"/>
        </w:rPr>
        <w:t xml:space="preserve"> </w:t>
      </w:r>
      <w:r w:rsidRPr="008A4237">
        <w:rPr>
          <w:rFonts w:ascii="Times New Roman" w:hAnsi="Times New Roman"/>
          <w:b/>
          <w:bCs/>
          <w:sz w:val="16"/>
          <w:szCs w:val="16"/>
          <w:lang w:val="es-CO" w:eastAsia="es-CO"/>
        </w:rPr>
        <w:t>“ARTÍCULO 125. DE LA EXPEDICIÓN DE PROVIDENCIAS.</w:t>
      </w:r>
      <w:bookmarkStart w:name="125" w:id="2"/>
      <w:bookmarkEnd w:id="2"/>
      <w:r w:rsidRPr="008A4237">
        <w:rPr>
          <w:rFonts w:ascii="Times New Roman" w:hAnsi="Times New Roman"/>
          <w:sz w:val="16"/>
          <w:szCs w:val="16"/>
          <w:lang w:val="es-CO" w:eastAsia="es-CO"/>
        </w:rPr>
        <w:t> &lt;Artículo modificado por el artículo </w:t>
      </w:r>
      <w:hyperlink w:history="1" w:anchor="20" r:id="rId1">
        <w:r w:rsidRPr="008A4237">
          <w:rPr>
            <w:rStyle w:val="Hipervnculo"/>
            <w:rFonts w:ascii="Times New Roman" w:hAnsi="Times New Roman" w:eastAsia="Times New Roman"/>
            <w:color w:val="000000" w:themeColor="text1"/>
            <w:sz w:val="16"/>
            <w:szCs w:val="16"/>
            <w:lang w:val="es-CO" w:eastAsia="es-CO"/>
          </w:rPr>
          <w:t>20</w:t>
        </w:r>
      </w:hyperlink>
      <w:r w:rsidRPr="008A4237">
        <w:rPr>
          <w:rFonts w:ascii="Times New Roman" w:hAnsi="Times New Roman"/>
          <w:sz w:val="16"/>
          <w:szCs w:val="16"/>
          <w:lang w:val="es-CO" w:eastAsia="es-CO"/>
        </w:rPr>
        <w:t> de la Ley 2080 de 2021. El nuevo texto es el siguiente:&gt; La expedición de las providencias judiciales se sujetará a las siguientes reglas:</w:t>
      </w:r>
    </w:p>
    <w:p w:rsidRPr="008A4237" w:rsidR="00710055" w:rsidP="008A4237" w:rsidRDefault="00710055" w14:paraId="32BF9423" w14:textId="77777777">
      <w:pPr>
        <w:spacing w:after="0" w:line="240" w:lineRule="auto"/>
        <w:jc w:val="both"/>
        <w:rPr>
          <w:rFonts w:ascii="Times New Roman" w:hAnsi="Times New Roman"/>
          <w:sz w:val="16"/>
          <w:szCs w:val="16"/>
          <w:lang w:val="es-CO" w:eastAsia="es-CO"/>
        </w:rPr>
      </w:pPr>
      <w:r w:rsidRPr="008A4237">
        <w:rPr>
          <w:rFonts w:ascii="Times New Roman" w:hAnsi="Times New Roman"/>
          <w:sz w:val="16"/>
          <w:szCs w:val="16"/>
          <w:lang w:val="es-CO" w:eastAsia="es-CO"/>
        </w:rPr>
        <w:t>1. Corresponderá a los jueces proferir los autos y las sentencias.</w:t>
      </w:r>
    </w:p>
    <w:p w:rsidRPr="008A4237" w:rsidR="00710055" w:rsidP="008A4237" w:rsidRDefault="00710055" w14:paraId="1969A363" w14:textId="4980B089">
      <w:pPr>
        <w:spacing w:after="0" w:line="240" w:lineRule="auto"/>
        <w:jc w:val="both"/>
        <w:rPr>
          <w:rFonts w:ascii="Times New Roman" w:hAnsi="Times New Roman"/>
          <w:sz w:val="16"/>
          <w:szCs w:val="16"/>
          <w:u w:val="single"/>
          <w:lang w:val="es-CO" w:eastAsia="es-CO"/>
        </w:rPr>
      </w:pPr>
      <w:r w:rsidRPr="008A4237">
        <w:rPr>
          <w:rFonts w:ascii="Times New Roman" w:hAnsi="Times New Roman"/>
          <w:sz w:val="16"/>
          <w:szCs w:val="16"/>
          <w:lang w:val="es-CO" w:eastAsia="es-CO"/>
        </w:rPr>
        <w:t xml:space="preserve">2. </w:t>
      </w:r>
      <w:r w:rsidRPr="008A4237">
        <w:rPr>
          <w:rFonts w:ascii="Times New Roman" w:hAnsi="Times New Roman"/>
          <w:sz w:val="16"/>
          <w:szCs w:val="16"/>
          <w:u w:val="single"/>
          <w:lang w:val="es-CO" w:eastAsia="es-CO"/>
        </w:rPr>
        <w:t>Las salas</w:t>
      </w:r>
      <w:r w:rsidRPr="008A4237">
        <w:rPr>
          <w:rFonts w:ascii="Times New Roman" w:hAnsi="Times New Roman"/>
          <w:sz w:val="16"/>
          <w:szCs w:val="16"/>
          <w:lang w:val="es-CO" w:eastAsia="es-CO"/>
        </w:rPr>
        <w:t xml:space="preserve">, secciones y subsecciones dictarán las sentencias y </w:t>
      </w:r>
      <w:r w:rsidRPr="008A4237">
        <w:rPr>
          <w:rFonts w:ascii="Times New Roman" w:hAnsi="Times New Roman"/>
          <w:sz w:val="16"/>
          <w:szCs w:val="16"/>
          <w:u w:val="single"/>
          <w:lang w:val="es-CO" w:eastAsia="es-CO"/>
        </w:rPr>
        <w:t>las siguientes providencias:</w:t>
      </w:r>
      <w:r w:rsidR="008A4237">
        <w:rPr>
          <w:rFonts w:ascii="Times New Roman" w:hAnsi="Times New Roman"/>
          <w:sz w:val="16"/>
          <w:szCs w:val="16"/>
          <w:u w:val="single"/>
          <w:lang w:val="es-CO" w:eastAsia="es-CO"/>
        </w:rPr>
        <w:t xml:space="preserve"> </w:t>
      </w:r>
      <w:r w:rsidRPr="008A4237">
        <w:rPr>
          <w:rFonts w:ascii="Times New Roman" w:hAnsi="Times New Roman"/>
          <w:sz w:val="16"/>
          <w:szCs w:val="16"/>
          <w:lang w:val="es-CO" w:eastAsia="es-CO"/>
        </w:rPr>
        <w:t>…</w:t>
      </w:r>
      <w:r w:rsidR="008A4237">
        <w:rPr>
          <w:rFonts w:ascii="Times New Roman" w:hAnsi="Times New Roman"/>
          <w:sz w:val="16"/>
          <w:szCs w:val="16"/>
          <w:u w:val="single"/>
          <w:lang w:val="es-CO" w:eastAsia="es-CO"/>
        </w:rPr>
        <w:t xml:space="preserve"> </w:t>
      </w:r>
      <w:r w:rsidRPr="008A4237">
        <w:rPr>
          <w:rFonts w:ascii="Times New Roman" w:hAnsi="Times New Roman"/>
          <w:sz w:val="16"/>
          <w:szCs w:val="16"/>
          <w:lang w:val="es-CO" w:eastAsia="es-CO"/>
        </w:rPr>
        <w:t>g) Las enunciadas en los numerales 1</w:t>
      </w:r>
      <w:r w:rsidRPr="008A4237">
        <w:rPr>
          <w:rStyle w:val="Refdenotaalpie"/>
          <w:rFonts w:ascii="Times New Roman" w:hAnsi="Times New Roman" w:eastAsia="Times New Roman"/>
          <w:color w:val="000000" w:themeColor="text1"/>
          <w:sz w:val="16"/>
          <w:szCs w:val="16"/>
          <w:lang w:val="es-CO" w:eastAsia="es-CO"/>
        </w:rPr>
        <w:footnoteRef/>
      </w:r>
      <w:r w:rsidRPr="008A4237">
        <w:rPr>
          <w:rFonts w:ascii="Times New Roman" w:hAnsi="Times New Roman"/>
          <w:sz w:val="16"/>
          <w:szCs w:val="16"/>
          <w:lang w:val="es-CO" w:eastAsia="es-CO"/>
        </w:rPr>
        <w:t xml:space="preserve"> a 3 y 6 del artículo </w:t>
      </w:r>
      <w:hyperlink w:history="1" w:anchor="243" r:id="rId2">
        <w:r w:rsidRPr="008A4237">
          <w:rPr>
            <w:rStyle w:val="Hipervnculo"/>
            <w:rFonts w:ascii="Times New Roman" w:hAnsi="Times New Roman" w:eastAsia="Times New Roman"/>
            <w:color w:val="000000" w:themeColor="text1"/>
            <w:sz w:val="16"/>
            <w:szCs w:val="16"/>
            <w:lang w:val="es-CO" w:eastAsia="es-CO"/>
          </w:rPr>
          <w:t>243</w:t>
        </w:r>
      </w:hyperlink>
      <w:r w:rsidRPr="008A4237">
        <w:rPr>
          <w:rFonts w:ascii="Times New Roman" w:hAnsi="Times New Roman"/>
          <w:sz w:val="16"/>
          <w:szCs w:val="16"/>
          <w:lang w:val="es-CO" w:eastAsia="es-CO"/>
        </w:rPr>
        <w:t> cuando se profieran en primera instancia o decidan el recurso de apelación contra estas”</w:t>
      </w:r>
      <w:r w:rsidR="008A4237">
        <w:rPr>
          <w:rFonts w:ascii="Times New Roman" w:hAnsi="Times New Roman"/>
          <w:sz w:val="16"/>
          <w:szCs w:val="16"/>
          <w:lang w:val="es-CO" w:eastAsia="es-CO"/>
        </w:rPr>
        <w:t xml:space="preserve">. </w:t>
      </w:r>
    </w:p>
    <w:p w:rsidRPr="00710055" w:rsidR="00710055" w:rsidRDefault="00710055" w14:paraId="67CFF27D" w14:textId="04ADDD24">
      <w:pPr>
        <w:pStyle w:val="Textonotapie"/>
        <w:rPr>
          <w:lang w:val="es-C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49" w:type="dxa"/>
      <w:tblInd w:w="1418" w:type="dxa"/>
      <w:tblLook w:val="01E0" w:firstRow="1" w:lastRow="1" w:firstColumn="1" w:lastColumn="1" w:noHBand="0" w:noVBand="0"/>
    </w:tblPr>
    <w:tblGrid>
      <w:gridCol w:w="1635"/>
      <w:gridCol w:w="284"/>
      <w:gridCol w:w="6094"/>
      <w:gridCol w:w="236"/>
    </w:tblGrid>
    <w:tr w:rsidRPr="00CF6A6D" w:rsidR="00D715FE" w:rsidTr="00CD7327" w14:paraId="1A00633A" w14:textId="77777777">
      <w:trPr>
        <w:trHeight w:val="287"/>
      </w:trPr>
      <w:tc>
        <w:tcPr>
          <w:tcW w:w="1635" w:type="dxa"/>
        </w:tcPr>
        <w:p w:rsidRPr="0040294F" w:rsidR="00D715FE" w:rsidP="00A10D5F" w:rsidRDefault="00C94912" w14:paraId="71E810BB" w14:textId="77777777">
          <w:pPr>
            <w:spacing w:after="0" w:line="240" w:lineRule="auto"/>
            <w:rPr>
              <w:rFonts w:ascii="Times New Roman" w:hAnsi="Times New Roman" w:eastAsia="Times New Roman"/>
              <w:bCs/>
              <w:sz w:val="16"/>
              <w:szCs w:val="16"/>
              <w:lang w:eastAsia="es-ES"/>
            </w:rPr>
          </w:pPr>
          <w:r w:rsidRPr="0040294F">
            <w:rPr>
              <w:rFonts w:ascii="Times New Roman" w:hAnsi="Times New Roman" w:eastAsia="Times New Roman"/>
              <w:bCs/>
              <w:sz w:val="16"/>
              <w:szCs w:val="16"/>
              <w:lang w:eastAsia="es-ES"/>
            </w:rPr>
            <w:t>Expediente</w:t>
          </w:r>
        </w:p>
      </w:tc>
      <w:tc>
        <w:tcPr>
          <w:tcW w:w="284" w:type="dxa"/>
        </w:tcPr>
        <w:p w:rsidRPr="0040294F" w:rsidR="00D715FE" w:rsidP="00A10D5F" w:rsidRDefault="00C94912" w14:paraId="6ED6BD7B" w14:textId="77777777">
          <w:pPr>
            <w:spacing w:after="0" w:line="240" w:lineRule="auto"/>
            <w:rPr>
              <w:rFonts w:ascii="Times New Roman" w:hAnsi="Times New Roman" w:eastAsia="Times New Roman"/>
              <w:bCs/>
              <w:sz w:val="16"/>
              <w:szCs w:val="16"/>
              <w:lang w:eastAsia="es-ES"/>
            </w:rPr>
          </w:pPr>
          <w:r w:rsidRPr="0040294F">
            <w:rPr>
              <w:rFonts w:ascii="Times New Roman" w:hAnsi="Times New Roman" w:eastAsia="Times New Roman"/>
              <w:bCs/>
              <w:sz w:val="16"/>
              <w:szCs w:val="16"/>
              <w:lang w:eastAsia="es-ES"/>
            </w:rPr>
            <w:t>:</w:t>
          </w:r>
        </w:p>
      </w:tc>
      <w:tc>
        <w:tcPr>
          <w:tcW w:w="6094" w:type="dxa"/>
        </w:tcPr>
        <w:p w:rsidRPr="0040294F" w:rsidR="00D715FE" w:rsidP="00A10D5F" w:rsidRDefault="00E36EA1" w14:paraId="3F301916" w14:textId="0A05B59A">
          <w:pPr>
            <w:spacing w:after="0" w:line="240" w:lineRule="auto"/>
            <w:rPr>
              <w:rFonts w:ascii="Times New Roman" w:hAnsi="Times New Roman" w:eastAsia="Times New Roman"/>
              <w:bCs/>
              <w:sz w:val="16"/>
              <w:szCs w:val="16"/>
              <w:lang w:eastAsia="es-ES"/>
            </w:rPr>
          </w:pPr>
          <w:r>
            <w:rPr>
              <w:rFonts w:ascii="Times New Roman" w:hAnsi="Times New Roman" w:eastAsia="Times New Roman"/>
              <w:bCs/>
              <w:sz w:val="16"/>
              <w:szCs w:val="16"/>
              <w:lang w:eastAsia="es-ES"/>
            </w:rPr>
            <w:t>15001-23-33-000-202</w:t>
          </w:r>
          <w:r w:rsidR="00F3305F">
            <w:rPr>
              <w:rFonts w:ascii="Times New Roman" w:hAnsi="Times New Roman" w:eastAsia="Times New Roman"/>
              <w:bCs/>
              <w:sz w:val="16"/>
              <w:szCs w:val="16"/>
              <w:lang w:eastAsia="es-ES"/>
            </w:rPr>
            <w:t>2</w:t>
          </w:r>
          <w:r>
            <w:rPr>
              <w:rFonts w:ascii="Times New Roman" w:hAnsi="Times New Roman" w:eastAsia="Times New Roman"/>
              <w:bCs/>
              <w:sz w:val="16"/>
              <w:szCs w:val="16"/>
              <w:lang w:eastAsia="es-ES"/>
            </w:rPr>
            <w:t>-00</w:t>
          </w:r>
          <w:r w:rsidR="00F3305F">
            <w:rPr>
              <w:rFonts w:ascii="Times New Roman" w:hAnsi="Times New Roman" w:eastAsia="Times New Roman"/>
              <w:bCs/>
              <w:sz w:val="16"/>
              <w:szCs w:val="16"/>
              <w:lang w:eastAsia="es-ES"/>
            </w:rPr>
            <w:t>0</w:t>
          </w:r>
          <w:r>
            <w:rPr>
              <w:rFonts w:ascii="Times New Roman" w:hAnsi="Times New Roman" w:eastAsia="Times New Roman"/>
              <w:bCs/>
              <w:sz w:val="16"/>
              <w:szCs w:val="16"/>
              <w:lang w:eastAsia="es-ES"/>
            </w:rPr>
            <w:t>7</w:t>
          </w:r>
          <w:r w:rsidR="00F3305F">
            <w:rPr>
              <w:rFonts w:ascii="Times New Roman" w:hAnsi="Times New Roman" w:eastAsia="Times New Roman"/>
              <w:bCs/>
              <w:sz w:val="16"/>
              <w:szCs w:val="16"/>
              <w:lang w:eastAsia="es-ES"/>
            </w:rPr>
            <w:t>3</w:t>
          </w:r>
          <w:r w:rsidRPr="0040294F" w:rsidR="00C94912">
            <w:rPr>
              <w:rFonts w:ascii="Times New Roman" w:hAnsi="Times New Roman" w:eastAsia="Times New Roman"/>
              <w:bCs/>
              <w:sz w:val="16"/>
              <w:szCs w:val="16"/>
              <w:lang w:eastAsia="es-ES"/>
            </w:rPr>
            <w:t>-00</w:t>
          </w:r>
        </w:p>
      </w:tc>
      <w:tc>
        <w:tcPr>
          <w:tcW w:w="236" w:type="dxa"/>
        </w:tcPr>
        <w:p w:rsidRPr="005141EF" w:rsidR="00D715FE" w:rsidP="002F492D" w:rsidRDefault="000B466E" w14:paraId="333F2F25" w14:textId="77777777">
          <w:pPr>
            <w:spacing w:after="0" w:line="240" w:lineRule="auto"/>
            <w:rPr>
              <w:rFonts w:ascii="Times New Roman" w:hAnsi="Times New Roman" w:eastAsia="Times New Roman"/>
              <w:bCs/>
              <w:sz w:val="20"/>
              <w:szCs w:val="28"/>
              <w:lang w:eastAsia="es-ES"/>
            </w:rPr>
          </w:pPr>
        </w:p>
      </w:tc>
    </w:tr>
  </w:tbl>
  <w:p w:rsidRPr="00F04FB7" w:rsidR="00D715FE" w:rsidP="002F492D" w:rsidRDefault="000B466E" w14:paraId="1BEB782C" w14:textId="77777777">
    <w:pPr>
      <w:tabs>
        <w:tab w:val="left" w:pos="1440"/>
        <w:tab w:val="left" w:pos="1712"/>
      </w:tabs>
      <w:spacing w:after="0" w:line="360" w:lineRule="auto"/>
      <w:jc w:val="both"/>
      <w:rPr>
        <w:rFonts w:ascii="Times New Roman" w:hAnsi="Times New Roman" w:eastAsia="Times New Roman"/>
        <w:b/>
        <w:bCs/>
        <w:color w:val="FF0000"/>
        <w:sz w:val="28"/>
        <w:szCs w:val="28"/>
        <w:lang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42795"/>
    <w:multiLevelType w:val="hybridMultilevel"/>
    <w:tmpl w:val="FCF4D48A"/>
    <w:lvl w:ilvl="0" w:tplc="D05255AC">
      <w:start w:val="2"/>
      <w:numFmt w:val="bullet"/>
      <w:lvlText w:val="-"/>
      <w:lvlJc w:val="left"/>
      <w:pPr>
        <w:ind w:left="218" w:hanging="360"/>
      </w:pPr>
      <w:rPr>
        <w:rFonts w:hint="default" w:ascii="Times New Roman" w:hAnsi="Times New Roman" w:eastAsia="Times New Roman" w:cs="Times New Roman"/>
      </w:rPr>
    </w:lvl>
    <w:lvl w:ilvl="1" w:tplc="04090003" w:tentative="1">
      <w:start w:val="1"/>
      <w:numFmt w:val="bullet"/>
      <w:lvlText w:val="o"/>
      <w:lvlJc w:val="left"/>
      <w:pPr>
        <w:ind w:left="938" w:hanging="360"/>
      </w:pPr>
      <w:rPr>
        <w:rFonts w:hint="default" w:ascii="Courier New" w:hAnsi="Courier New" w:cs="Courier New"/>
      </w:rPr>
    </w:lvl>
    <w:lvl w:ilvl="2" w:tplc="04090005" w:tentative="1">
      <w:start w:val="1"/>
      <w:numFmt w:val="bullet"/>
      <w:lvlText w:val=""/>
      <w:lvlJc w:val="left"/>
      <w:pPr>
        <w:ind w:left="1658" w:hanging="360"/>
      </w:pPr>
      <w:rPr>
        <w:rFonts w:hint="default" w:ascii="Wingdings" w:hAnsi="Wingdings"/>
      </w:rPr>
    </w:lvl>
    <w:lvl w:ilvl="3" w:tplc="04090001" w:tentative="1">
      <w:start w:val="1"/>
      <w:numFmt w:val="bullet"/>
      <w:lvlText w:val=""/>
      <w:lvlJc w:val="left"/>
      <w:pPr>
        <w:ind w:left="2378" w:hanging="360"/>
      </w:pPr>
      <w:rPr>
        <w:rFonts w:hint="default" w:ascii="Symbol" w:hAnsi="Symbol"/>
      </w:rPr>
    </w:lvl>
    <w:lvl w:ilvl="4" w:tplc="04090003" w:tentative="1">
      <w:start w:val="1"/>
      <w:numFmt w:val="bullet"/>
      <w:lvlText w:val="o"/>
      <w:lvlJc w:val="left"/>
      <w:pPr>
        <w:ind w:left="3098" w:hanging="360"/>
      </w:pPr>
      <w:rPr>
        <w:rFonts w:hint="default" w:ascii="Courier New" w:hAnsi="Courier New" w:cs="Courier New"/>
      </w:rPr>
    </w:lvl>
    <w:lvl w:ilvl="5" w:tplc="04090005" w:tentative="1">
      <w:start w:val="1"/>
      <w:numFmt w:val="bullet"/>
      <w:lvlText w:val=""/>
      <w:lvlJc w:val="left"/>
      <w:pPr>
        <w:ind w:left="3818" w:hanging="360"/>
      </w:pPr>
      <w:rPr>
        <w:rFonts w:hint="default" w:ascii="Wingdings" w:hAnsi="Wingdings"/>
      </w:rPr>
    </w:lvl>
    <w:lvl w:ilvl="6" w:tplc="04090001" w:tentative="1">
      <w:start w:val="1"/>
      <w:numFmt w:val="bullet"/>
      <w:lvlText w:val=""/>
      <w:lvlJc w:val="left"/>
      <w:pPr>
        <w:ind w:left="4538" w:hanging="360"/>
      </w:pPr>
      <w:rPr>
        <w:rFonts w:hint="default" w:ascii="Symbol" w:hAnsi="Symbol"/>
      </w:rPr>
    </w:lvl>
    <w:lvl w:ilvl="7" w:tplc="04090003" w:tentative="1">
      <w:start w:val="1"/>
      <w:numFmt w:val="bullet"/>
      <w:lvlText w:val="o"/>
      <w:lvlJc w:val="left"/>
      <w:pPr>
        <w:ind w:left="5258" w:hanging="360"/>
      </w:pPr>
      <w:rPr>
        <w:rFonts w:hint="default" w:ascii="Courier New" w:hAnsi="Courier New" w:cs="Courier New"/>
      </w:rPr>
    </w:lvl>
    <w:lvl w:ilvl="8" w:tplc="04090005" w:tentative="1">
      <w:start w:val="1"/>
      <w:numFmt w:val="bullet"/>
      <w:lvlText w:val=""/>
      <w:lvlJc w:val="left"/>
      <w:pPr>
        <w:ind w:left="597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30"/>
    <w:rsid w:val="000B466E"/>
    <w:rsid w:val="00104C00"/>
    <w:rsid w:val="00112409"/>
    <w:rsid w:val="00121052"/>
    <w:rsid w:val="0012413B"/>
    <w:rsid w:val="00143644"/>
    <w:rsid w:val="00156F60"/>
    <w:rsid w:val="001572C9"/>
    <w:rsid w:val="00171773"/>
    <w:rsid w:val="00172B43"/>
    <w:rsid w:val="001D23BF"/>
    <w:rsid w:val="00221408"/>
    <w:rsid w:val="00230384"/>
    <w:rsid w:val="0023633C"/>
    <w:rsid w:val="002515D2"/>
    <w:rsid w:val="0027079D"/>
    <w:rsid w:val="0027696D"/>
    <w:rsid w:val="002D4F24"/>
    <w:rsid w:val="002E58F8"/>
    <w:rsid w:val="00300130"/>
    <w:rsid w:val="00302D74"/>
    <w:rsid w:val="00315945"/>
    <w:rsid w:val="003573A9"/>
    <w:rsid w:val="00363226"/>
    <w:rsid w:val="003848D8"/>
    <w:rsid w:val="00385632"/>
    <w:rsid w:val="003978AA"/>
    <w:rsid w:val="00416D13"/>
    <w:rsid w:val="004A7DC9"/>
    <w:rsid w:val="004B626D"/>
    <w:rsid w:val="004F6CFA"/>
    <w:rsid w:val="005053CA"/>
    <w:rsid w:val="00514CE9"/>
    <w:rsid w:val="00591FEE"/>
    <w:rsid w:val="005A3642"/>
    <w:rsid w:val="005C0208"/>
    <w:rsid w:val="005D51E5"/>
    <w:rsid w:val="005D76C6"/>
    <w:rsid w:val="005F4CC2"/>
    <w:rsid w:val="006008E8"/>
    <w:rsid w:val="00611087"/>
    <w:rsid w:val="006141A2"/>
    <w:rsid w:val="006300CD"/>
    <w:rsid w:val="006340DA"/>
    <w:rsid w:val="006A16EB"/>
    <w:rsid w:val="006A1F25"/>
    <w:rsid w:val="006F1E00"/>
    <w:rsid w:val="006F4249"/>
    <w:rsid w:val="006F71F2"/>
    <w:rsid w:val="00710055"/>
    <w:rsid w:val="007202C7"/>
    <w:rsid w:val="007209B1"/>
    <w:rsid w:val="00787282"/>
    <w:rsid w:val="00791467"/>
    <w:rsid w:val="007A59C2"/>
    <w:rsid w:val="00845F8E"/>
    <w:rsid w:val="00860490"/>
    <w:rsid w:val="008A4237"/>
    <w:rsid w:val="008B3B80"/>
    <w:rsid w:val="008C6202"/>
    <w:rsid w:val="008E3365"/>
    <w:rsid w:val="00950D93"/>
    <w:rsid w:val="009A0685"/>
    <w:rsid w:val="009D286A"/>
    <w:rsid w:val="009F3C03"/>
    <w:rsid w:val="00A10D5F"/>
    <w:rsid w:val="00A20C76"/>
    <w:rsid w:val="00A478D2"/>
    <w:rsid w:val="00A6779E"/>
    <w:rsid w:val="00AB393E"/>
    <w:rsid w:val="00AF3B16"/>
    <w:rsid w:val="00B42308"/>
    <w:rsid w:val="00B5132B"/>
    <w:rsid w:val="00BC7197"/>
    <w:rsid w:val="00BD55AD"/>
    <w:rsid w:val="00C13743"/>
    <w:rsid w:val="00C4204A"/>
    <w:rsid w:val="00C6001E"/>
    <w:rsid w:val="00C64D7B"/>
    <w:rsid w:val="00C7044F"/>
    <w:rsid w:val="00C71A02"/>
    <w:rsid w:val="00C94912"/>
    <w:rsid w:val="00CC35C3"/>
    <w:rsid w:val="00CC52BD"/>
    <w:rsid w:val="00CE4044"/>
    <w:rsid w:val="00D435A3"/>
    <w:rsid w:val="00D5483A"/>
    <w:rsid w:val="00D57AC5"/>
    <w:rsid w:val="00DF5D12"/>
    <w:rsid w:val="00E36EA1"/>
    <w:rsid w:val="00E64E8E"/>
    <w:rsid w:val="00E757A3"/>
    <w:rsid w:val="00E93157"/>
    <w:rsid w:val="00EA357B"/>
    <w:rsid w:val="00EA5E0C"/>
    <w:rsid w:val="00EE22D0"/>
    <w:rsid w:val="00F11BC0"/>
    <w:rsid w:val="00F15AE4"/>
    <w:rsid w:val="00F3305F"/>
    <w:rsid w:val="00F54608"/>
    <w:rsid w:val="00F90126"/>
    <w:rsid w:val="1611E8E8"/>
    <w:rsid w:val="171DACFC"/>
    <w:rsid w:val="26191BD5"/>
    <w:rsid w:val="2AE83697"/>
    <w:rsid w:val="50D4ABAA"/>
    <w:rsid w:val="607ECE87"/>
    <w:rsid w:val="7F5312F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3DF2"/>
  <w15:chartTrackingRefBased/>
  <w15:docId w15:val="{E001AAE3-4978-4034-A2FB-7792619C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00130"/>
    <w:pPr>
      <w:spacing w:after="200" w:line="276" w:lineRule="auto"/>
    </w:pPr>
    <w:rPr>
      <w:rFonts w:ascii="Calibri" w:hAnsi="Calibri" w:eastAsia="Calibri" w:cs="Times New Roman"/>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normaltextrun" w:customStyle="1">
    <w:name w:val="normaltextrun"/>
    <w:basedOn w:val="Fuentedeprrafopredeter"/>
    <w:rsid w:val="00300130"/>
  </w:style>
  <w:style w:type="character" w:styleId="eop" w:customStyle="1">
    <w:name w:val="eop"/>
    <w:basedOn w:val="Fuentedeprrafopredeter"/>
    <w:rsid w:val="00300130"/>
  </w:style>
  <w:style w:type="paragraph" w:styleId="Textonotapie">
    <w:name w:val="footnote text"/>
    <w:basedOn w:val="Normal"/>
    <w:link w:val="TextonotapieCar"/>
    <w:uiPriority w:val="99"/>
    <w:unhideWhenUsed/>
    <w:rsid w:val="00300130"/>
    <w:pPr>
      <w:spacing w:after="0" w:line="240" w:lineRule="auto"/>
    </w:pPr>
    <w:rPr>
      <w:sz w:val="20"/>
      <w:szCs w:val="20"/>
    </w:rPr>
  </w:style>
  <w:style w:type="character" w:styleId="TextonotapieCar" w:customStyle="1">
    <w:name w:val="Texto nota pie Car"/>
    <w:basedOn w:val="Fuentedeprrafopredeter"/>
    <w:link w:val="Textonotapie"/>
    <w:uiPriority w:val="99"/>
    <w:rsid w:val="00300130"/>
    <w:rPr>
      <w:rFonts w:ascii="Calibri" w:hAnsi="Calibri" w:eastAsia="Calibri" w:cs="Times New Roman"/>
      <w:sz w:val="20"/>
      <w:szCs w:val="20"/>
      <w:lang w:val="es-ES"/>
    </w:rPr>
  </w:style>
  <w:style w:type="character" w:styleId="Refdenotaalpie">
    <w:name w:val="footnote reference"/>
    <w:basedOn w:val="Fuentedeprrafopredeter"/>
    <w:uiPriority w:val="99"/>
    <w:semiHidden/>
    <w:unhideWhenUsed/>
    <w:rsid w:val="00300130"/>
    <w:rPr>
      <w:vertAlign w:val="superscript"/>
    </w:rPr>
  </w:style>
  <w:style w:type="paragraph" w:styleId="Prrafodelista">
    <w:name w:val="List Paragraph"/>
    <w:basedOn w:val="Normal"/>
    <w:uiPriority w:val="34"/>
    <w:qFormat/>
    <w:rsid w:val="00300130"/>
    <w:pPr>
      <w:ind w:left="720"/>
      <w:contextualSpacing/>
    </w:pPr>
  </w:style>
  <w:style w:type="character" w:styleId="Hipervnculo">
    <w:name w:val="Hyperlink"/>
    <w:basedOn w:val="Fuentedeprrafopredeter"/>
    <w:uiPriority w:val="99"/>
    <w:unhideWhenUsed/>
    <w:rsid w:val="00300130"/>
    <w:rPr>
      <w:color w:val="0563C1" w:themeColor="hyperlink"/>
      <w:u w:val="single"/>
    </w:rPr>
  </w:style>
  <w:style w:type="paragraph" w:styleId="paragraph" w:customStyle="1">
    <w:name w:val="paragraph"/>
    <w:basedOn w:val="Normal"/>
    <w:rsid w:val="00300130"/>
    <w:pPr>
      <w:spacing w:before="100" w:beforeAutospacing="1" w:after="100" w:afterAutospacing="1" w:line="240" w:lineRule="auto"/>
    </w:pPr>
    <w:rPr>
      <w:rFonts w:ascii="Times New Roman" w:hAnsi="Times New Roman" w:eastAsia="Times New Roman"/>
      <w:sz w:val="24"/>
      <w:szCs w:val="24"/>
      <w:lang w:val="es-CO" w:eastAsia="es-CO"/>
    </w:rPr>
  </w:style>
  <w:style w:type="paragraph" w:styleId="Encabezado">
    <w:name w:val="header"/>
    <w:basedOn w:val="Normal"/>
    <w:link w:val="EncabezadoCar"/>
    <w:uiPriority w:val="99"/>
    <w:unhideWhenUsed/>
    <w:rsid w:val="00A10D5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10D5F"/>
    <w:rPr>
      <w:rFonts w:ascii="Calibri" w:hAnsi="Calibri" w:eastAsia="Calibri" w:cs="Times New Roman"/>
      <w:lang w:val="es-ES"/>
    </w:rPr>
  </w:style>
  <w:style w:type="paragraph" w:styleId="Piedepgina">
    <w:name w:val="footer"/>
    <w:basedOn w:val="Normal"/>
    <w:link w:val="PiedepginaCar"/>
    <w:uiPriority w:val="99"/>
    <w:unhideWhenUsed/>
    <w:rsid w:val="00A10D5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10D5F"/>
    <w:rPr>
      <w:rFonts w:ascii="Calibri" w:hAnsi="Calibri" w:eastAsia="Calibri" w:cs="Times New Roman"/>
      <w:lang w:val="es-ES"/>
    </w:rPr>
  </w:style>
  <w:style w:type="character" w:styleId="Refdecomentario">
    <w:name w:val="annotation reference"/>
    <w:basedOn w:val="Fuentedeprrafopredeter"/>
    <w:uiPriority w:val="99"/>
    <w:semiHidden/>
    <w:unhideWhenUsed/>
    <w:rsid w:val="007202C7"/>
    <w:rPr>
      <w:sz w:val="16"/>
      <w:szCs w:val="16"/>
    </w:rPr>
  </w:style>
  <w:style w:type="paragraph" w:styleId="Textocomentario">
    <w:name w:val="annotation text"/>
    <w:basedOn w:val="Normal"/>
    <w:link w:val="TextocomentarioCar"/>
    <w:uiPriority w:val="99"/>
    <w:semiHidden/>
    <w:unhideWhenUsed/>
    <w:rsid w:val="007202C7"/>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7202C7"/>
    <w:rPr>
      <w:rFonts w:ascii="Calibri" w:hAnsi="Calibri" w:eastAsia="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202C7"/>
    <w:rPr>
      <w:b/>
      <w:bCs/>
    </w:rPr>
  </w:style>
  <w:style w:type="character" w:styleId="AsuntodelcomentarioCar" w:customStyle="1">
    <w:name w:val="Asunto del comentario Car"/>
    <w:basedOn w:val="TextocomentarioCar"/>
    <w:link w:val="Asuntodelcomentario"/>
    <w:uiPriority w:val="99"/>
    <w:semiHidden/>
    <w:rsid w:val="007202C7"/>
    <w:rPr>
      <w:rFonts w:ascii="Calibri" w:hAnsi="Calibri" w:eastAsia="Calibri" w:cs="Times New Roman"/>
      <w:b/>
      <w:bCs/>
      <w:sz w:val="20"/>
      <w:szCs w:val="20"/>
      <w:lang w:val="es-ES"/>
    </w:rPr>
  </w:style>
  <w:style w:type="paragraph" w:styleId="Textodeglobo">
    <w:name w:val="Balloon Text"/>
    <w:basedOn w:val="Normal"/>
    <w:link w:val="TextodegloboCar"/>
    <w:uiPriority w:val="99"/>
    <w:semiHidden/>
    <w:unhideWhenUsed/>
    <w:rsid w:val="006300CD"/>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6300CD"/>
    <w:rPr>
      <w:rFonts w:ascii="Segoe UI" w:hAnsi="Segoe UI" w:eastAsia="Calibr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564963">
      <w:bodyDiv w:val="1"/>
      <w:marLeft w:val="0"/>
      <w:marRight w:val="0"/>
      <w:marTop w:val="0"/>
      <w:marBottom w:val="0"/>
      <w:divBdr>
        <w:top w:val="none" w:sz="0" w:space="0" w:color="auto"/>
        <w:left w:val="none" w:sz="0" w:space="0" w:color="auto"/>
        <w:bottom w:val="none" w:sz="0" w:space="0" w:color="auto"/>
        <w:right w:val="none" w:sz="0" w:space="0" w:color="auto"/>
      </w:divBdr>
    </w:div>
    <w:div w:id="568197613">
      <w:bodyDiv w:val="1"/>
      <w:marLeft w:val="0"/>
      <w:marRight w:val="0"/>
      <w:marTop w:val="0"/>
      <w:marBottom w:val="0"/>
      <w:divBdr>
        <w:top w:val="none" w:sz="0" w:space="0" w:color="auto"/>
        <w:left w:val="none" w:sz="0" w:space="0" w:color="auto"/>
        <w:bottom w:val="none" w:sz="0" w:space="0" w:color="auto"/>
        <w:right w:val="none" w:sz="0" w:space="0" w:color="auto"/>
      </w:divBdr>
    </w:div>
    <w:div w:id="968901797">
      <w:bodyDiv w:val="1"/>
      <w:marLeft w:val="0"/>
      <w:marRight w:val="0"/>
      <w:marTop w:val="0"/>
      <w:marBottom w:val="0"/>
      <w:divBdr>
        <w:top w:val="none" w:sz="0" w:space="0" w:color="auto"/>
        <w:left w:val="none" w:sz="0" w:space="0" w:color="auto"/>
        <w:bottom w:val="none" w:sz="0" w:space="0" w:color="auto"/>
        <w:right w:val="none" w:sz="0" w:space="0" w:color="auto"/>
      </w:divBdr>
      <w:divsChild>
        <w:div w:id="557712936">
          <w:marLeft w:val="0"/>
          <w:marRight w:val="0"/>
          <w:marTop w:val="0"/>
          <w:marBottom w:val="0"/>
          <w:divBdr>
            <w:top w:val="none" w:sz="0" w:space="0" w:color="auto"/>
            <w:left w:val="none" w:sz="0" w:space="0" w:color="auto"/>
            <w:bottom w:val="none" w:sz="0" w:space="0" w:color="auto"/>
            <w:right w:val="none" w:sz="0" w:space="0" w:color="auto"/>
          </w:divBdr>
        </w:div>
        <w:div w:id="771784198">
          <w:marLeft w:val="0"/>
          <w:marRight w:val="0"/>
          <w:marTop w:val="0"/>
          <w:marBottom w:val="0"/>
          <w:divBdr>
            <w:top w:val="none" w:sz="0" w:space="0" w:color="auto"/>
            <w:left w:val="none" w:sz="0" w:space="0" w:color="auto"/>
            <w:bottom w:val="none" w:sz="0" w:space="0" w:color="auto"/>
            <w:right w:val="none" w:sz="0" w:space="0" w:color="auto"/>
          </w:divBdr>
        </w:div>
        <w:div w:id="1360932508">
          <w:marLeft w:val="0"/>
          <w:marRight w:val="0"/>
          <w:marTop w:val="0"/>
          <w:marBottom w:val="0"/>
          <w:divBdr>
            <w:top w:val="none" w:sz="0" w:space="0" w:color="auto"/>
            <w:left w:val="none" w:sz="0" w:space="0" w:color="auto"/>
            <w:bottom w:val="none" w:sz="0" w:space="0" w:color="auto"/>
            <w:right w:val="none" w:sz="0" w:space="0" w:color="auto"/>
          </w:divBdr>
        </w:div>
      </w:divsChild>
    </w:div>
    <w:div w:id="980160044">
      <w:bodyDiv w:val="1"/>
      <w:marLeft w:val="0"/>
      <w:marRight w:val="0"/>
      <w:marTop w:val="0"/>
      <w:marBottom w:val="0"/>
      <w:divBdr>
        <w:top w:val="none" w:sz="0" w:space="0" w:color="auto"/>
        <w:left w:val="none" w:sz="0" w:space="0" w:color="auto"/>
        <w:bottom w:val="none" w:sz="0" w:space="0" w:color="auto"/>
        <w:right w:val="none" w:sz="0" w:space="0" w:color="auto"/>
      </w:divBdr>
    </w:div>
    <w:div w:id="207416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1437_2011_pr005.html" TargetMode="External"/><Relationship Id="rId1" Type="http://schemas.openxmlformats.org/officeDocument/2006/relationships/hyperlink" Target="http://www.secretariasenado.gov.co/senado/basedoc/ley_2080_202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8EE391AA6E7E74B8C8815FA12ECA57C" ma:contentTypeVersion="8" ma:contentTypeDescription="Crear nuevo documento." ma:contentTypeScope="" ma:versionID="b48368063c907295af4e613212447acc">
  <xsd:schema xmlns:xsd="http://www.w3.org/2001/XMLSchema" xmlns:xs="http://www.w3.org/2001/XMLSchema" xmlns:p="http://schemas.microsoft.com/office/2006/metadata/properties" xmlns:ns2="7594eaa0-d1e4-4b7c-af1d-31740c5cc0e5" xmlns:ns3="43ca2746-26a0-40df-9010-f2a8f46d6514" targetNamespace="http://schemas.microsoft.com/office/2006/metadata/properties" ma:root="true" ma:fieldsID="946e9cc160ca439b8e4df6219347ebac" ns2:_="" ns3:_="">
    <xsd:import namespace="7594eaa0-d1e4-4b7c-af1d-31740c5cc0e5"/>
    <xsd:import namespace="43ca2746-26a0-40df-9010-f2a8f46d65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4eaa0-d1e4-4b7c-af1d-31740c5c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a2746-26a0-40df-9010-f2a8f46d6514"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40C83-5E5B-4998-9914-94C021DE8FA0}">
  <ds:schemaRefs>
    <ds:schemaRef ds:uri="http://schemas.microsoft.com/sharepoint/v3/contenttype/forms"/>
  </ds:schemaRefs>
</ds:datastoreItem>
</file>

<file path=customXml/itemProps2.xml><?xml version="1.0" encoding="utf-8"?>
<ds:datastoreItem xmlns:ds="http://schemas.openxmlformats.org/officeDocument/2006/customXml" ds:itemID="{2F01FDC0-2CAB-4852-AECD-D1F1828AA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8C7AE0-0B4C-4132-A2DF-34B064FF7394}"/>
</file>

<file path=customXml/itemProps4.xml><?xml version="1.0" encoding="utf-8"?>
<ds:datastoreItem xmlns:ds="http://schemas.openxmlformats.org/officeDocument/2006/customXml" ds:itemID="{7C80E08C-80AD-45FC-87AE-DA714E918F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GUEVARA CIFUENTES</dc:creator>
  <cp:keywords/>
  <dc:description/>
  <cp:lastModifiedBy>Luis Ernesto Arciniegas Triana</cp:lastModifiedBy>
  <cp:revision>4</cp:revision>
  <dcterms:created xsi:type="dcterms:W3CDTF">2022-02-20T16:06:00Z</dcterms:created>
  <dcterms:modified xsi:type="dcterms:W3CDTF">2022-02-21T16:40:41Z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0x01010068EE391AA6E7E74B8C8815FA12ECA57C</vt:lpwstr>
  </property>
</Properties>
</file>