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D788B" w14:textId="77777777" w:rsidR="006D58A1" w:rsidRPr="009761EE" w:rsidRDefault="006D58A1" w:rsidP="006D58A1">
      <w:pPr>
        <w:spacing w:after="200"/>
        <w:jc w:val="both"/>
        <w:rPr>
          <w:rFonts w:ascii="Arial" w:hAnsi="Arial" w:cs="Arial"/>
        </w:rPr>
      </w:pPr>
      <w:r w:rsidRPr="009761EE">
        <w:rPr>
          <w:rFonts w:ascii="Arial" w:hAnsi="Arial" w:cs="Arial"/>
        </w:rPr>
        <w:t xml:space="preserve">Santiago de Cali, 1º abril de </w:t>
      </w:r>
      <w:r>
        <w:rPr>
          <w:rFonts w:ascii="Arial" w:hAnsi="Arial" w:cs="Arial"/>
        </w:rPr>
        <w:t>2020</w:t>
      </w:r>
      <w:bookmarkStart w:id="0" w:name="_GoBack"/>
      <w:bookmarkEnd w:id="0"/>
    </w:p>
    <w:p w14:paraId="3FE676D0" w14:textId="77777777" w:rsidR="006D58A1" w:rsidRPr="00DC1476" w:rsidRDefault="006D58A1" w:rsidP="006D58A1">
      <w:pPr>
        <w:rPr>
          <w:rFonts w:ascii="Arial" w:hAnsi="Arial" w:cs="Arial"/>
          <w:b/>
          <w:lang w:val="es-CO"/>
        </w:rPr>
      </w:pPr>
    </w:p>
    <w:p w14:paraId="0768EF65" w14:textId="77777777" w:rsidR="006D58A1" w:rsidRPr="00DC1476" w:rsidRDefault="006D58A1" w:rsidP="006D58A1">
      <w:pPr>
        <w:rPr>
          <w:rFonts w:ascii="Arial" w:hAnsi="Arial" w:cs="Arial"/>
          <w:b/>
          <w:lang w:val="es-CO"/>
        </w:rPr>
      </w:pPr>
      <w:r w:rsidRPr="00DC1476">
        <w:rPr>
          <w:rFonts w:ascii="Arial" w:hAnsi="Arial" w:cs="Arial"/>
          <w:b/>
          <w:lang w:val="es-CO"/>
        </w:rPr>
        <w:t>Honorables</w:t>
      </w:r>
    </w:p>
    <w:p w14:paraId="5FB4A365" w14:textId="77777777" w:rsidR="006D58A1" w:rsidRPr="00DC1476" w:rsidRDefault="006D58A1" w:rsidP="006D58A1">
      <w:pPr>
        <w:rPr>
          <w:rFonts w:ascii="Arial" w:hAnsi="Arial" w:cs="Arial"/>
          <w:b/>
          <w:lang w:val="es-CO"/>
        </w:rPr>
      </w:pPr>
      <w:r w:rsidRPr="00DC1476">
        <w:rPr>
          <w:rFonts w:ascii="Arial" w:hAnsi="Arial" w:cs="Arial"/>
          <w:b/>
          <w:lang w:val="es-CO"/>
        </w:rPr>
        <w:t>Magistrados Tribunal Administrativo del Valle del Cauca</w:t>
      </w:r>
    </w:p>
    <w:p w14:paraId="2FED5241" w14:textId="77777777" w:rsidR="006D58A1" w:rsidRPr="00DC1476" w:rsidRDefault="006D58A1" w:rsidP="006D58A1">
      <w:pPr>
        <w:rPr>
          <w:rFonts w:ascii="Arial" w:hAnsi="Arial" w:cs="Arial"/>
          <w:b/>
          <w:lang w:val="es-CO"/>
        </w:rPr>
      </w:pPr>
      <w:r w:rsidRPr="00DC1476">
        <w:rPr>
          <w:rFonts w:ascii="Arial" w:hAnsi="Arial" w:cs="Arial"/>
          <w:b/>
          <w:lang w:val="es-CO"/>
        </w:rPr>
        <w:t xml:space="preserve">E.               </w:t>
      </w:r>
      <w:r w:rsidRPr="00DC1476">
        <w:rPr>
          <w:rFonts w:ascii="Arial" w:hAnsi="Arial" w:cs="Arial"/>
          <w:b/>
          <w:lang w:val="es-CO"/>
        </w:rPr>
        <w:tab/>
        <w:t xml:space="preserve">       </w:t>
      </w:r>
      <w:r>
        <w:rPr>
          <w:rFonts w:ascii="Arial" w:hAnsi="Arial" w:cs="Arial"/>
          <w:b/>
          <w:lang w:val="es-CO"/>
        </w:rPr>
        <w:t xml:space="preserve">               </w:t>
      </w:r>
      <w:r w:rsidRPr="00DC1476">
        <w:rPr>
          <w:rFonts w:ascii="Arial" w:hAnsi="Arial" w:cs="Arial"/>
          <w:b/>
          <w:lang w:val="es-CO"/>
        </w:rPr>
        <w:t>S.                                          D</w:t>
      </w:r>
      <w:r>
        <w:rPr>
          <w:rFonts w:ascii="Arial" w:hAnsi="Arial" w:cs="Arial"/>
          <w:b/>
          <w:lang w:val="es-CO"/>
        </w:rPr>
        <w:t>.</w:t>
      </w:r>
    </w:p>
    <w:p w14:paraId="3E79450E" w14:textId="77777777" w:rsidR="006D58A1" w:rsidRPr="00DC1476" w:rsidRDefault="006D58A1" w:rsidP="006D58A1">
      <w:pPr>
        <w:rPr>
          <w:rFonts w:ascii="Arial" w:hAnsi="Arial" w:cs="Arial"/>
          <w:b/>
          <w:lang w:val="es-CO"/>
        </w:rPr>
      </w:pPr>
    </w:p>
    <w:p w14:paraId="4D5B01D4" w14:textId="77777777" w:rsidR="006D58A1" w:rsidRPr="00DC1476" w:rsidRDefault="006D58A1" w:rsidP="006D58A1">
      <w:pPr>
        <w:rPr>
          <w:rFonts w:ascii="Arial" w:hAnsi="Arial" w:cs="Arial"/>
          <w:b/>
          <w:lang w:val="es-CO"/>
        </w:rPr>
      </w:pPr>
    </w:p>
    <w:p w14:paraId="3761F064" w14:textId="77777777" w:rsidR="006D58A1" w:rsidRPr="00B85D12" w:rsidRDefault="006D58A1" w:rsidP="006D58A1">
      <w:pPr>
        <w:rPr>
          <w:rFonts w:ascii="Arial" w:hAnsi="Arial" w:cs="Arial"/>
          <w:lang w:val="es-CO"/>
        </w:rPr>
      </w:pPr>
      <w:r w:rsidRPr="009F1BA9">
        <w:rPr>
          <w:rFonts w:ascii="Arial" w:hAnsi="Arial" w:cs="Arial"/>
          <w:b/>
          <w:lang w:val="es-CO"/>
        </w:rPr>
        <w:t>MAGISTRADA PONENTE</w:t>
      </w:r>
      <w:r>
        <w:rPr>
          <w:rFonts w:ascii="Arial" w:hAnsi="Arial" w:cs="Arial"/>
          <w:lang w:val="es-CO"/>
        </w:rPr>
        <w:t xml:space="preserve">: </w:t>
      </w:r>
      <w:r w:rsidRPr="009761EE">
        <w:rPr>
          <w:rFonts w:ascii="Arial" w:hAnsi="Arial" w:cs="Arial"/>
          <w:b/>
          <w:lang w:val="es-CO"/>
        </w:rPr>
        <w:t>Dra. LUZ ELENA SIERRA</w:t>
      </w:r>
      <w:r>
        <w:rPr>
          <w:rFonts w:ascii="Arial" w:hAnsi="Arial" w:cs="Arial"/>
          <w:b/>
          <w:lang w:val="es-CO"/>
        </w:rPr>
        <w:t xml:space="preserve"> VALENCIA  </w:t>
      </w:r>
    </w:p>
    <w:p w14:paraId="43500604" w14:textId="77777777" w:rsidR="006D58A1" w:rsidRPr="009F1BA9" w:rsidRDefault="006D58A1" w:rsidP="006D58A1">
      <w:pPr>
        <w:rPr>
          <w:rFonts w:ascii="Arial" w:hAnsi="Arial" w:cs="Arial"/>
          <w:lang w:val="es-CO"/>
        </w:rPr>
      </w:pPr>
      <w:r w:rsidRPr="00B85D12">
        <w:rPr>
          <w:rFonts w:ascii="Arial" w:hAnsi="Arial" w:cs="Arial"/>
          <w:lang w:val="es-CO"/>
        </w:rPr>
        <w:t>.</w:t>
      </w:r>
    </w:p>
    <w:p w14:paraId="7003B18D" w14:textId="77777777" w:rsidR="006D58A1" w:rsidRDefault="006D58A1" w:rsidP="006D58A1">
      <w:pPr>
        <w:jc w:val="both"/>
        <w:rPr>
          <w:rFonts w:ascii="Arial" w:hAnsi="Arial" w:cs="Arial"/>
          <w:b/>
          <w:lang w:val="es-CO"/>
        </w:rPr>
      </w:pPr>
    </w:p>
    <w:p w14:paraId="58BF4FDA" w14:textId="77777777" w:rsidR="006D58A1" w:rsidRDefault="006D58A1" w:rsidP="006D58A1">
      <w:pPr>
        <w:jc w:val="both"/>
        <w:rPr>
          <w:rFonts w:ascii="Arial" w:hAnsi="Arial" w:cs="Arial"/>
          <w:b/>
          <w:lang w:val="es-CO"/>
        </w:rPr>
      </w:pPr>
      <w:r>
        <w:rPr>
          <w:rFonts w:ascii="Arial" w:hAnsi="Arial" w:cs="Arial"/>
          <w:b/>
          <w:lang w:val="es-CO"/>
        </w:rPr>
        <w:t>REFERENCIA:   Recurso de Súplica.</w:t>
      </w:r>
    </w:p>
    <w:p w14:paraId="3E67521C" w14:textId="77777777" w:rsidR="006D58A1" w:rsidRDefault="006D58A1" w:rsidP="006D58A1">
      <w:pPr>
        <w:jc w:val="both"/>
        <w:rPr>
          <w:rFonts w:ascii="Arial" w:hAnsi="Arial" w:cs="Arial"/>
          <w:b/>
          <w:lang w:val="es-CO"/>
        </w:rPr>
      </w:pPr>
    </w:p>
    <w:p w14:paraId="1CC5D5F0" w14:textId="77777777" w:rsidR="006D58A1" w:rsidRPr="00B85D12" w:rsidRDefault="006D58A1" w:rsidP="006D58A1">
      <w:pPr>
        <w:ind w:firstLine="708"/>
        <w:jc w:val="both"/>
        <w:rPr>
          <w:rFonts w:ascii="Arial" w:hAnsi="Arial" w:cs="Arial"/>
          <w:lang w:val="es-CO"/>
        </w:rPr>
      </w:pPr>
      <w:r w:rsidRPr="00B85D12">
        <w:rPr>
          <w:rFonts w:ascii="Arial" w:hAnsi="Arial" w:cs="Arial"/>
          <w:b/>
          <w:lang w:val="es-CO"/>
        </w:rPr>
        <w:t>Medio de Control:</w:t>
      </w:r>
      <w:r>
        <w:rPr>
          <w:rFonts w:ascii="Arial" w:hAnsi="Arial" w:cs="Arial"/>
          <w:b/>
          <w:lang w:val="es-CO"/>
        </w:rPr>
        <w:t xml:space="preserve">  Control inmediato de legalidad</w:t>
      </w:r>
      <w:r w:rsidRPr="00B85D12">
        <w:rPr>
          <w:rFonts w:ascii="Arial" w:hAnsi="Arial" w:cs="Arial"/>
          <w:lang w:val="es-CO"/>
        </w:rPr>
        <w:tab/>
        <w:t xml:space="preserve"> </w:t>
      </w:r>
    </w:p>
    <w:p w14:paraId="6CAD22E3" w14:textId="77777777" w:rsidR="006D58A1" w:rsidRPr="009761EE" w:rsidRDefault="006D58A1" w:rsidP="006D58A1">
      <w:pPr>
        <w:ind w:firstLine="708"/>
        <w:jc w:val="both"/>
        <w:rPr>
          <w:rFonts w:ascii="Arial" w:hAnsi="Arial" w:cs="Arial"/>
          <w:b/>
          <w:lang w:val="es-CO"/>
        </w:rPr>
      </w:pPr>
      <w:r w:rsidRPr="00B85D12">
        <w:rPr>
          <w:rFonts w:ascii="Arial" w:hAnsi="Arial" w:cs="Arial"/>
          <w:b/>
          <w:lang w:val="es-CO"/>
        </w:rPr>
        <w:t>Radicación</w:t>
      </w:r>
      <w:r w:rsidRPr="00B85D12">
        <w:rPr>
          <w:rFonts w:ascii="Arial" w:hAnsi="Arial" w:cs="Arial"/>
          <w:lang w:val="es-CO"/>
        </w:rPr>
        <w:t xml:space="preserve"> </w:t>
      </w:r>
      <w:r w:rsidRPr="00B85D12">
        <w:rPr>
          <w:rFonts w:ascii="Arial" w:hAnsi="Arial" w:cs="Arial"/>
          <w:b/>
          <w:lang w:val="es-CO"/>
        </w:rPr>
        <w:t xml:space="preserve">No.: </w:t>
      </w:r>
      <w:r w:rsidRPr="00B85D12">
        <w:rPr>
          <w:rFonts w:ascii="Arial" w:hAnsi="Arial" w:cs="Arial"/>
          <w:lang w:val="es-CO"/>
        </w:rPr>
        <w:t xml:space="preserve"> </w:t>
      </w:r>
      <w:r w:rsidRPr="00B85D12">
        <w:rPr>
          <w:rFonts w:ascii="Arial" w:hAnsi="Arial" w:cs="Arial"/>
          <w:lang w:val="es-CO"/>
        </w:rPr>
        <w:tab/>
      </w:r>
      <w:r w:rsidRPr="009761EE">
        <w:rPr>
          <w:rFonts w:ascii="Arial" w:hAnsi="Arial" w:cs="Arial"/>
          <w:b/>
          <w:lang w:val="es-CO"/>
        </w:rPr>
        <w:t xml:space="preserve">76001-23-33-000-2020-00267-00 </w:t>
      </w:r>
    </w:p>
    <w:p w14:paraId="49206257" w14:textId="77777777" w:rsidR="006D58A1" w:rsidRDefault="006D58A1" w:rsidP="006D58A1">
      <w:pPr>
        <w:ind w:left="2832" w:hanging="2124"/>
        <w:jc w:val="both"/>
        <w:rPr>
          <w:rFonts w:ascii="Arial" w:hAnsi="Arial" w:cs="Arial"/>
          <w:lang w:val="es-CO"/>
        </w:rPr>
      </w:pPr>
      <w:r>
        <w:rPr>
          <w:rFonts w:ascii="Arial" w:hAnsi="Arial" w:cs="Arial"/>
          <w:b/>
        </w:rPr>
        <w:t>Acto administrativo: Decreto 045 de 19 de marzo de 2020</w:t>
      </w:r>
    </w:p>
    <w:p w14:paraId="7A697174" w14:textId="77777777" w:rsidR="006D58A1" w:rsidRPr="007F44CA" w:rsidRDefault="006D58A1" w:rsidP="006D58A1">
      <w:pPr>
        <w:ind w:left="2832" w:hanging="2124"/>
        <w:jc w:val="both"/>
        <w:rPr>
          <w:rFonts w:ascii="Arial" w:hAnsi="Arial" w:cs="Arial"/>
          <w:b/>
          <w:lang w:val="es-CO"/>
        </w:rPr>
      </w:pPr>
      <w:r>
        <w:rPr>
          <w:rFonts w:ascii="Arial" w:hAnsi="Arial" w:cs="Arial"/>
          <w:b/>
          <w:lang w:val="es-CO"/>
        </w:rPr>
        <w:t xml:space="preserve">Autoridad del que emana:  </w:t>
      </w:r>
      <w:r w:rsidRPr="007F44CA">
        <w:rPr>
          <w:rFonts w:ascii="Arial" w:hAnsi="Arial" w:cs="Arial"/>
          <w:b/>
          <w:iCs/>
          <w:lang w:val="es-ES_tradnl"/>
        </w:rPr>
        <w:t>Municipio de Bolívar Valle del Cauca</w:t>
      </w:r>
      <w:r w:rsidRPr="007F44CA">
        <w:rPr>
          <w:rFonts w:ascii="Arial" w:hAnsi="Arial" w:cs="Arial"/>
          <w:b/>
          <w:lang w:val="es-CO"/>
        </w:rPr>
        <w:t xml:space="preserve"> </w:t>
      </w:r>
    </w:p>
    <w:p w14:paraId="3A3264C7" w14:textId="77777777" w:rsidR="006D58A1" w:rsidRDefault="006D58A1" w:rsidP="006D58A1">
      <w:pPr>
        <w:jc w:val="both"/>
        <w:outlineLvl w:val="0"/>
        <w:rPr>
          <w:rFonts w:ascii="Arial" w:hAnsi="Arial" w:cs="Arial"/>
          <w:lang w:val="es-CO"/>
        </w:rPr>
      </w:pPr>
    </w:p>
    <w:p w14:paraId="3A510707" w14:textId="77777777" w:rsidR="006D58A1" w:rsidRDefault="006D58A1" w:rsidP="006D58A1">
      <w:pPr>
        <w:jc w:val="both"/>
        <w:rPr>
          <w:rFonts w:ascii="Arial" w:hAnsi="Arial" w:cs="Arial"/>
        </w:rPr>
      </w:pPr>
    </w:p>
    <w:p w14:paraId="51875E20" w14:textId="77777777" w:rsidR="006D58A1" w:rsidRDefault="006D58A1" w:rsidP="006D58A1">
      <w:pPr>
        <w:overflowPunct w:val="0"/>
        <w:autoSpaceDE w:val="0"/>
        <w:autoSpaceDN w:val="0"/>
        <w:adjustRightInd w:val="0"/>
        <w:jc w:val="both"/>
        <w:textAlignment w:val="baseline"/>
        <w:rPr>
          <w:rFonts w:ascii="Arial" w:hAnsi="Arial" w:cs="Arial"/>
          <w:lang w:val="es-CO"/>
        </w:rPr>
      </w:pPr>
      <w:r w:rsidRPr="00AF6C4D">
        <w:rPr>
          <w:rFonts w:ascii="Arial" w:hAnsi="Arial" w:cs="Arial"/>
          <w:b/>
          <w:lang w:val="es-CO"/>
        </w:rPr>
        <w:t xml:space="preserve">SANDRA ELIZABETH PATIÑO MONTÚFAR, </w:t>
      </w:r>
      <w:r w:rsidRPr="00AF6C4D">
        <w:rPr>
          <w:rFonts w:ascii="Arial" w:hAnsi="Arial" w:cs="Arial"/>
          <w:lang w:val="es-CO"/>
        </w:rPr>
        <w:t xml:space="preserve">en mi condición de Procuradora 20 Judicial II para Asuntos Administrativos del Valle del Cauca, delegada ante el Honorable Tribunal Contencioso Administrativo del Valle y actuando como Agente del Ministerio Público dentro del asunto de la referencia,  procedo a presentar ante la Señora Magistrada </w:t>
      </w:r>
      <w:r w:rsidRPr="00AF6C4D">
        <w:rPr>
          <w:rFonts w:ascii="Arial" w:hAnsi="Arial" w:cs="Arial"/>
          <w:b/>
          <w:lang w:val="es-CO"/>
        </w:rPr>
        <w:t xml:space="preserve">RECURSO DE SÙPLICA, </w:t>
      </w:r>
      <w:r w:rsidRPr="00AF6C4D">
        <w:rPr>
          <w:rFonts w:ascii="Arial" w:hAnsi="Arial" w:cs="Arial"/>
          <w:lang w:val="es-CO"/>
        </w:rPr>
        <w:t xml:space="preserve">contra  el </w:t>
      </w:r>
      <w:r>
        <w:rPr>
          <w:rFonts w:ascii="Arial" w:hAnsi="Arial" w:cs="Arial"/>
          <w:b/>
          <w:lang w:val="es-CO"/>
        </w:rPr>
        <w:t>Auto Interlocutorio</w:t>
      </w:r>
      <w:r w:rsidRPr="00AF6C4D">
        <w:rPr>
          <w:rFonts w:ascii="Arial" w:hAnsi="Arial" w:cs="Arial"/>
          <w:b/>
          <w:lang w:val="es-CO"/>
        </w:rPr>
        <w:t xml:space="preserve"> calendado a 27 de marzo de  2020 </w:t>
      </w:r>
      <w:r w:rsidRPr="00AF6C4D">
        <w:rPr>
          <w:rFonts w:ascii="Arial" w:hAnsi="Arial" w:cs="Arial"/>
          <w:lang w:val="es-CO"/>
        </w:rPr>
        <w:t xml:space="preserve"> y que me fuera notifi</w:t>
      </w:r>
      <w:r>
        <w:rPr>
          <w:rFonts w:ascii="Arial" w:hAnsi="Arial" w:cs="Arial"/>
          <w:lang w:val="es-CO"/>
        </w:rPr>
        <w:t>cado el día 30 de marzo siguiente</w:t>
      </w:r>
      <w:r w:rsidRPr="00AF6C4D">
        <w:rPr>
          <w:rFonts w:ascii="Arial" w:hAnsi="Arial" w:cs="Arial"/>
          <w:b/>
          <w:lang w:val="es-CO"/>
        </w:rPr>
        <w:t xml:space="preserve">, </w:t>
      </w:r>
      <w:r w:rsidRPr="00AF6C4D">
        <w:rPr>
          <w:rFonts w:ascii="Arial" w:hAnsi="Arial" w:cs="Arial"/>
          <w:lang w:val="es-CO"/>
        </w:rPr>
        <w:t>para que el mismo sea considerado por la S</w:t>
      </w:r>
      <w:r>
        <w:rPr>
          <w:rFonts w:ascii="Arial" w:hAnsi="Arial" w:cs="Arial"/>
          <w:lang w:val="es-CO"/>
        </w:rPr>
        <w:t>ala Plena.</w:t>
      </w:r>
    </w:p>
    <w:p w14:paraId="5132CF82" w14:textId="77777777" w:rsidR="006D58A1" w:rsidRDefault="006D58A1" w:rsidP="006D58A1">
      <w:pPr>
        <w:overflowPunct w:val="0"/>
        <w:autoSpaceDE w:val="0"/>
        <w:autoSpaceDN w:val="0"/>
        <w:adjustRightInd w:val="0"/>
        <w:jc w:val="both"/>
        <w:textAlignment w:val="baseline"/>
        <w:rPr>
          <w:rFonts w:ascii="Arial" w:hAnsi="Arial" w:cs="Arial"/>
          <w:lang w:val="es-CO"/>
        </w:rPr>
      </w:pPr>
    </w:p>
    <w:p w14:paraId="254F9EEC" w14:textId="77777777" w:rsidR="006D58A1" w:rsidRPr="00832371" w:rsidRDefault="006D58A1" w:rsidP="006D58A1">
      <w:pPr>
        <w:pStyle w:val="Prrafodelista"/>
        <w:numPr>
          <w:ilvl w:val="0"/>
          <w:numId w:val="27"/>
        </w:numPr>
        <w:overflowPunct w:val="0"/>
        <w:autoSpaceDE w:val="0"/>
        <w:autoSpaceDN w:val="0"/>
        <w:adjustRightInd w:val="0"/>
        <w:jc w:val="center"/>
        <w:textAlignment w:val="baseline"/>
        <w:rPr>
          <w:rFonts w:ascii="Arial" w:hAnsi="Arial" w:cs="Arial"/>
          <w:b/>
          <w:lang w:val="es-CO"/>
        </w:rPr>
      </w:pPr>
      <w:r w:rsidRPr="00832371">
        <w:rPr>
          <w:rFonts w:ascii="Arial" w:hAnsi="Arial" w:cs="Arial"/>
          <w:b/>
          <w:lang w:val="es-CO"/>
        </w:rPr>
        <w:t>CONSIDERACIONES PREVIAS</w:t>
      </w:r>
    </w:p>
    <w:p w14:paraId="7A907E66" w14:textId="77777777" w:rsidR="006D58A1" w:rsidRDefault="006D58A1" w:rsidP="006D58A1">
      <w:pPr>
        <w:overflowPunct w:val="0"/>
        <w:autoSpaceDE w:val="0"/>
        <w:autoSpaceDN w:val="0"/>
        <w:adjustRightInd w:val="0"/>
        <w:jc w:val="both"/>
        <w:textAlignment w:val="baseline"/>
        <w:rPr>
          <w:rFonts w:ascii="Arial" w:hAnsi="Arial" w:cs="Arial"/>
          <w:lang w:val="es-CO"/>
        </w:rPr>
      </w:pPr>
    </w:p>
    <w:p w14:paraId="144E17E0" w14:textId="77777777" w:rsidR="006D58A1" w:rsidRPr="00935377" w:rsidRDefault="006D58A1" w:rsidP="006D58A1">
      <w:pPr>
        <w:overflowPunct w:val="0"/>
        <w:autoSpaceDE w:val="0"/>
        <w:autoSpaceDN w:val="0"/>
        <w:adjustRightInd w:val="0"/>
        <w:jc w:val="both"/>
        <w:textAlignment w:val="baseline"/>
        <w:rPr>
          <w:rFonts w:ascii="Arial" w:hAnsi="Arial" w:cs="Arial"/>
        </w:rPr>
      </w:pPr>
      <w:r>
        <w:rPr>
          <w:rFonts w:ascii="Arial" w:hAnsi="Arial" w:cs="Arial"/>
          <w:lang w:val="es-CO"/>
        </w:rPr>
        <w:t xml:space="preserve">La Constitución política de Colombia, en su </w:t>
      </w:r>
      <w:r w:rsidRPr="00935377">
        <w:rPr>
          <w:rFonts w:ascii="Arial" w:hAnsi="Arial" w:cs="Arial"/>
        </w:rPr>
        <w:t xml:space="preserve">capítulo VI </w:t>
      </w:r>
      <w:r>
        <w:rPr>
          <w:rFonts w:ascii="Arial" w:hAnsi="Arial" w:cs="Arial"/>
        </w:rPr>
        <w:t xml:space="preserve">regula </w:t>
      </w:r>
      <w:r w:rsidRPr="00935377">
        <w:rPr>
          <w:rFonts w:ascii="Arial" w:hAnsi="Arial" w:cs="Arial"/>
        </w:rPr>
        <w:t xml:space="preserve">los estados de </w:t>
      </w:r>
      <w:r>
        <w:rPr>
          <w:rFonts w:ascii="Arial" w:hAnsi="Arial" w:cs="Arial"/>
        </w:rPr>
        <w:t xml:space="preserve">excepción que fueron reglamentados por la </w:t>
      </w:r>
      <w:r w:rsidRPr="00935377">
        <w:rPr>
          <w:rFonts w:ascii="Arial" w:hAnsi="Arial" w:cs="Arial"/>
        </w:rPr>
        <w:t>ley 137 de 1994 y en la misma ley 1437 de 2011, donde se precisa el alcance y operatividad del Estado de Guerra Exterior, el Estado de Conmoción Interior y el Estado de Emergencia.</w:t>
      </w:r>
    </w:p>
    <w:p w14:paraId="12F6B9EE" w14:textId="77777777" w:rsidR="006D58A1" w:rsidRPr="00935377" w:rsidRDefault="006D58A1" w:rsidP="006D58A1">
      <w:pPr>
        <w:jc w:val="both"/>
        <w:rPr>
          <w:rFonts w:ascii="Arial" w:hAnsi="Arial" w:cs="Arial"/>
        </w:rPr>
      </w:pPr>
    </w:p>
    <w:p w14:paraId="1E4792DD" w14:textId="77777777" w:rsidR="006D58A1" w:rsidRPr="00182D94" w:rsidRDefault="006D58A1" w:rsidP="006D58A1">
      <w:pPr>
        <w:overflowPunct w:val="0"/>
        <w:autoSpaceDE w:val="0"/>
        <w:autoSpaceDN w:val="0"/>
        <w:adjustRightInd w:val="0"/>
        <w:jc w:val="both"/>
        <w:textAlignment w:val="baseline"/>
        <w:rPr>
          <w:rFonts w:ascii="Arial" w:hAnsi="Arial" w:cs="Arial"/>
          <w:lang w:val="es-CO"/>
        </w:rPr>
      </w:pPr>
      <w:r>
        <w:rPr>
          <w:rFonts w:ascii="Arial" w:hAnsi="Arial" w:cs="Arial"/>
          <w:lang w:val="es-CO"/>
        </w:rPr>
        <w:t xml:space="preserve">Mediante Decreto 417 del 17 de marzo de 2020, la Presidencia de la República, con ocasión de la propagación del COVID-19, decretó el Estado de Emergencia y declaró el estado de Emergencia Económica, Social y Ecológica en todo el territorio nacional por el término de 30 días calendario, atendiendo consideraciones de salud pública, de efectos económicos y de la emergencia sanitaria internacional, dado </w:t>
      </w:r>
      <w:r w:rsidRPr="00935377">
        <w:rPr>
          <w:rFonts w:ascii="Arial" w:hAnsi="Arial" w:cs="Arial"/>
        </w:rPr>
        <w:t>supuestos fácticos insorteables</w:t>
      </w:r>
      <w:r>
        <w:rPr>
          <w:rFonts w:ascii="Arial" w:hAnsi="Arial" w:cs="Arial"/>
        </w:rPr>
        <w:t xml:space="preserve"> que no podían resolverse por</w:t>
      </w:r>
      <w:r w:rsidRPr="00935377">
        <w:rPr>
          <w:rFonts w:ascii="Arial" w:hAnsi="Arial" w:cs="Arial"/>
        </w:rPr>
        <w:t xml:space="preserve"> vías normales y que amerit</w:t>
      </w:r>
      <w:r>
        <w:rPr>
          <w:rFonts w:ascii="Arial" w:hAnsi="Arial" w:cs="Arial"/>
        </w:rPr>
        <w:t>aban</w:t>
      </w:r>
      <w:r w:rsidRPr="00935377">
        <w:rPr>
          <w:rFonts w:ascii="Arial" w:hAnsi="Arial" w:cs="Arial"/>
        </w:rPr>
        <w:t xml:space="preserve"> acudir a medidas excepcionales.</w:t>
      </w:r>
    </w:p>
    <w:p w14:paraId="3AD9F2FD" w14:textId="77777777" w:rsidR="006D58A1" w:rsidRPr="00935377" w:rsidRDefault="006D58A1" w:rsidP="006D58A1">
      <w:pPr>
        <w:jc w:val="both"/>
        <w:rPr>
          <w:rFonts w:ascii="Arial" w:hAnsi="Arial" w:cs="Arial"/>
        </w:rPr>
      </w:pPr>
    </w:p>
    <w:p w14:paraId="564BB16B" w14:textId="77777777" w:rsidR="006D58A1" w:rsidRPr="00935377" w:rsidRDefault="006D58A1" w:rsidP="006D58A1">
      <w:pPr>
        <w:jc w:val="both"/>
        <w:rPr>
          <w:rFonts w:ascii="Arial" w:hAnsi="Arial" w:cs="Arial"/>
        </w:rPr>
      </w:pPr>
      <w:r w:rsidRPr="00935377">
        <w:rPr>
          <w:rFonts w:ascii="Arial" w:hAnsi="Arial" w:cs="Arial"/>
        </w:rPr>
        <w:t xml:space="preserve">Las consecuencias regulatorias ante la declaratoria de un </w:t>
      </w:r>
      <w:r>
        <w:rPr>
          <w:rFonts w:ascii="Arial" w:hAnsi="Arial" w:cs="Arial"/>
        </w:rPr>
        <w:t>E</w:t>
      </w:r>
      <w:r w:rsidRPr="00935377">
        <w:rPr>
          <w:rFonts w:ascii="Arial" w:hAnsi="Arial" w:cs="Arial"/>
        </w:rPr>
        <w:t xml:space="preserve">stado de </w:t>
      </w:r>
      <w:r>
        <w:rPr>
          <w:rFonts w:ascii="Arial" w:hAnsi="Arial" w:cs="Arial"/>
        </w:rPr>
        <w:t>E</w:t>
      </w:r>
      <w:r w:rsidRPr="00935377">
        <w:rPr>
          <w:rFonts w:ascii="Arial" w:hAnsi="Arial" w:cs="Arial"/>
        </w:rPr>
        <w:t>xcepción,</w:t>
      </w:r>
      <w:r>
        <w:rPr>
          <w:rFonts w:ascii="Arial" w:hAnsi="Arial" w:cs="Arial"/>
        </w:rPr>
        <w:t xml:space="preserve"> como la del Estado Emergencia dispuesto en el Decreto</w:t>
      </w:r>
      <w:r w:rsidRPr="00935377">
        <w:rPr>
          <w:rFonts w:ascii="Arial" w:hAnsi="Arial" w:cs="Arial"/>
        </w:rPr>
        <w:t xml:space="preserve"> 417 del pasado </w:t>
      </w:r>
      <w:r w:rsidRPr="007B781B">
        <w:rPr>
          <w:rFonts w:ascii="Arial" w:hAnsi="Arial" w:cs="Arial"/>
        </w:rPr>
        <w:t>17</w:t>
      </w:r>
      <w:r w:rsidRPr="00935377">
        <w:rPr>
          <w:rFonts w:ascii="Arial" w:hAnsi="Arial" w:cs="Arial"/>
        </w:rPr>
        <w:t xml:space="preserve"> de marzo de 2020, </w:t>
      </w:r>
      <w:r>
        <w:rPr>
          <w:rFonts w:ascii="Arial" w:hAnsi="Arial" w:cs="Arial"/>
        </w:rPr>
        <w:t xml:space="preserve">obviamente tienen </w:t>
      </w:r>
      <w:r w:rsidRPr="00935377">
        <w:rPr>
          <w:rFonts w:ascii="Arial" w:hAnsi="Arial" w:cs="Arial"/>
        </w:rPr>
        <w:t xml:space="preserve">incidencia en las </w:t>
      </w:r>
      <w:r>
        <w:rPr>
          <w:rFonts w:ascii="Arial" w:hAnsi="Arial" w:cs="Arial"/>
        </w:rPr>
        <w:t xml:space="preserve">actuaciones y decisiones que emanen de las </w:t>
      </w:r>
      <w:r w:rsidRPr="00935377">
        <w:rPr>
          <w:rFonts w:ascii="Arial" w:hAnsi="Arial" w:cs="Arial"/>
        </w:rPr>
        <w:t>entidades territoriales</w:t>
      </w:r>
      <w:r>
        <w:rPr>
          <w:rFonts w:ascii="Arial" w:hAnsi="Arial" w:cs="Arial"/>
        </w:rPr>
        <w:t>,</w:t>
      </w:r>
      <w:r w:rsidRPr="00935377">
        <w:rPr>
          <w:rFonts w:ascii="Arial" w:hAnsi="Arial" w:cs="Arial"/>
        </w:rPr>
        <w:t xml:space="preserve"> toda vez que sus mandatarios seccionales y locales </w:t>
      </w:r>
      <w:r>
        <w:rPr>
          <w:rFonts w:ascii="Arial" w:hAnsi="Arial" w:cs="Arial"/>
        </w:rPr>
        <w:t xml:space="preserve">deben </w:t>
      </w:r>
      <w:r w:rsidRPr="00935377">
        <w:rPr>
          <w:rFonts w:ascii="Arial" w:hAnsi="Arial" w:cs="Arial"/>
        </w:rPr>
        <w:t>procede</w:t>
      </w:r>
      <w:r>
        <w:rPr>
          <w:rFonts w:ascii="Arial" w:hAnsi="Arial" w:cs="Arial"/>
        </w:rPr>
        <w:t>r a tomar decisiones administrativas</w:t>
      </w:r>
      <w:r w:rsidRPr="00935377">
        <w:rPr>
          <w:rFonts w:ascii="Arial" w:hAnsi="Arial" w:cs="Arial"/>
        </w:rPr>
        <w:t xml:space="preserve"> tendientes a conjurar la situación</w:t>
      </w:r>
      <w:r>
        <w:rPr>
          <w:rFonts w:ascii="Arial" w:hAnsi="Arial" w:cs="Arial"/>
        </w:rPr>
        <w:t xml:space="preserve"> a nivel regional</w:t>
      </w:r>
      <w:r w:rsidRPr="00935377">
        <w:rPr>
          <w:rFonts w:ascii="Arial" w:hAnsi="Arial" w:cs="Arial"/>
        </w:rPr>
        <w:t xml:space="preserve"> </w:t>
      </w:r>
      <w:r>
        <w:rPr>
          <w:rFonts w:ascii="Arial" w:hAnsi="Arial" w:cs="Arial"/>
        </w:rPr>
        <w:t xml:space="preserve">y local, </w:t>
      </w:r>
      <w:r w:rsidRPr="00935377">
        <w:rPr>
          <w:rFonts w:ascii="Arial" w:hAnsi="Arial" w:cs="Arial"/>
        </w:rPr>
        <w:t xml:space="preserve">atendiendo </w:t>
      </w:r>
      <w:r>
        <w:rPr>
          <w:rFonts w:ascii="Arial" w:hAnsi="Arial" w:cs="Arial"/>
        </w:rPr>
        <w:t>las directrices que expide</w:t>
      </w:r>
      <w:r w:rsidRPr="00935377">
        <w:rPr>
          <w:rFonts w:ascii="Arial" w:hAnsi="Arial" w:cs="Arial"/>
        </w:rPr>
        <w:t xml:space="preserve"> el gobierno nacional.</w:t>
      </w:r>
    </w:p>
    <w:p w14:paraId="30E24A16" w14:textId="77777777" w:rsidR="006D58A1" w:rsidRPr="00935377" w:rsidRDefault="006D58A1" w:rsidP="006D58A1">
      <w:pPr>
        <w:jc w:val="both"/>
        <w:rPr>
          <w:rFonts w:ascii="Arial" w:hAnsi="Arial" w:cs="Arial"/>
        </w:rPr>
      </w:pPr>
    </w:p>
    <w:p w14:paraId="7440FD43" w14:textId="77777777" w:rsidR="006D58A1" w:rsidRPr="00935377" w:rsidRDefault="006D58A1" w:rsidP="006D58A1">
      <w:pPr>
        <w:jc w:val="both"/>
        <w:rPr>
          <w:rFonts w:ascii="Arial" w:hAnsi="Arial" w:cs="Arial"/>
        </w:rPr>
      </w:pPr>
      <w:r w:rsidRPr="00935377">
        <w:rPr>
          <w:rFonts w:ascii="Arial" w:hAnsi="Arial" w:cs="Arial"/>
        </w:rPr>
        <w:t>Esas decisiones que asum</w:t>
      </w:r>
      <w:r>
        <w:rPr>
          <w:rFonts w:ascii="Arial" w:hAnsi="Arial" w:cs="Arial"/>
        </w:rPr>
        <w:t>en</w:t>
      </w:r>
      <w:r w:rsidRPr="00935377">
        <w:rPr>
          <w:rFonts w:ascii="Arial" w:hAnsi="Arial" w:cs="Arial"/>
        </w:rPr>
        <w:t xml:space="preserve"> las autoridades seccionales y locales</w:t>
      </w:r>
      <w:r>
        <w:rPr>
          <w:rFonts w:ascii="Arial" w:hAnsi="Arial" w:cs="Arial"/>
        </w:rPr>
        <w:t xml:space="preserve"> son, </w:t>
      </w:r>
      <w:r w:rsidRPr="00935377">
        <w:rPr>
          <w:rFonts w:ascii="Arial" w:hAnsi="Arial" w:cs="Arial"/>
        </w:rPr>
        <w:t>sin lugar a dudas</w:t>
      </w:r>
      <w:r>
        <w:rPr>
          <w:rFonts w:ascii="Arial" w:hAnsi="Arial" w:cs="Arial"/>
        </w:rPr>
        <w:t>,</w:t>
      </w:r>
      <w:r w:rsidRPr="00935377">
        <w:rPr>
          <w:rFonts w:ascii="Arial" w:hAnsi="Arial" w:cs="Arial"/>
        </w:rPr>
        <w:t xml:space="preserve"> normas especiales, </w:t>
      </w:r>
      <w:r>
        <w:rPr>
          <w:rFonts w:ascii="Arial" w:hAnsi="Arial" w:cs="Arial"/>
        </w:rPr>
        <w:t xml:space="preserve">al punto de poder considerarlas, </w:t>
      </w:r>
      <w:r w:rsidRPr="00935377">
        <w:rPr>
          <w:rFonts w:ascii="Arial" w:hAnsi="Arial" w:cs="Arial"/>
        </w:rPr>
        <w:t>guarda</w:t>
      </w:r>
      <w:r>
        <w:rPr>
          <w:rFonts w:ascii="Arial" w:hAnsi="Arial" w:cs="Arial"/>
        </w:rPr>
        <w:t>das</w:t>
      </w:r>
      <w:r w:rsidRPr="00935377">
        <w:rPr>
          <w:rFonts w:ascii="Arial" w:hAnsi="Arial" w:cs="Arial"/>
        </w:rPr>
        <w:t xml:space="preserve"> las proporciones, </w:t>
      </w:r>
      <w:r>
        <w:rPr>
          <w:rFonts w:ascii="Arial" w:hAnsi="Arial" w:cs="Arial"/>
        </w:rPr>
        <w:t>d</w:t>
      </w:r>
      <w:r w:rsidRPr="00935377">
        <w:rPr>
          <w:rFonts w:ascii="Arial" w:hAnsi="Arial" w:cs="Arial"/>
        </w:rPr>
        <w:t>ecretos con fuerza especial, razón por la cual es el mismo constituyente primario, complementado con la actividad legislativa, quienes definieron esa naturaleza, creando además un proceso especial de control, similar al que tiene lugar para con esos decretos con fuerza de ley que emite el Gobierno Nacional.</w:t>
      </w:r>
    </w:p>
    <w:p w14:paraId="7C40FA48" w14:textId="77777777" w:rsidR="006D58A1" w:rsidRPr="009761EE" w:rsidRDefault="006D58A1" w:rsidP="006D58A1">
      <w:pPr>
        <w:overflowPunct w:val="0"/>
        <w:autoSpaceDE w:val="0"/>
        <w:autoSpaceDN w:val="0"/>
        <w:adjustRightInd w:val="0"/>
        <w:jc w:val="both"/>
        <w:textAlignment w:val="baseline"/>
        <w:rPr>
          <w:rFonts w:ascii="Arial" w:hAnsi="Arial" w:cs="Arial"/>
        </w:rPr>
      </w:pPr>
    </w:p>
    <w:p w14:paraId="63CEA19A" w14:textId="77777777" w:rsidR="006D58A1" w:rsidRDefault="006D58A1" w:rsidP="006D58A1">
      <w:pPr>
        <w:overflowPunct w:val="0"/>
        <w:autoSpaceDE w:val="0"/>
        <w:autoSpaceDN w:val="0"/>
        <w:adjustRightInd w:val="0"/>
        <w:jc w:val="both"/>
        <w:textAlignment w:val="baseline"/>
        <w:rPr>
          <w:rFonts w:ascii="Arial" w:hAnsi="Arial" w:cs="Arial"/>
          <w:lang w:val="es-CO"/>
        </w:rPr>
      </w:pPr>
      <w:r>
        <w:rPr>
          <w:rFonts w:ascii="Arial" w:hAnsi="Arial" w:cs="Arial"/>
          <w:lang w:val="es-CO"/>
        </w:rPr>
        <w:t>Ahora bien, mediante Acuerdos Nos. PCSJA20-11517, PCSJA20-11518, PCSJA20-11519 y PCSJA 20-11521 de marzo de 2020, el Consejo Superior de la Judicatura adoptó, entre otras decisiones, medida de suspensión de términos judiciales inicialmente hasta el 20 de marzo de 2020, ampliándola, con posterioridad, hasta el 11 de abril de 2020.</w:t>
      </w:r>
    </w:p>
    <w:p w14:paraId="091A7E1F" w14:textId="77777777" w:rsidR="006D58A1" w:rsidRDefault="006D58A1" w:rsidP="006D58A1">
      <w:pPr>
        <w:overflowPunct w:val="0"/>
        <w:autoSpaceDE w:val="0"/>
        <w:autoSpaceDN w:val="0"/>
        <w:adjustRightInd w:val="0"/>
        <w:jc w:val="both"/>
        <w:textAlignment w:val="baseline"/>
        <w:rPr>
          <w:rFonts w:ascii="Arial" w:hAnsi="Arial" w:cs="Arial"/>
          <w:lang w:val="es-CO"/>
        </w:rPr>
      </w:pPr>
    </w:p>
    <w:p w14:paraId="58651153" w14:textId="77777777" w:rsidR="006D58A1" w:rsidRDefault="006D58A1" w:rsidP="006D58A1">
      <w:pPr>
        <w:overflowPunct w:val="0"/>
        <w:autoSpaceDE w:val="0"/>
        <w:autoSpaceDN w:val="0"/>
        <w:adjustRightInd w:val="0"/>
        <w:jc w:val="both"/>
        <w:textAlignment w:val="baseline"/>
        <w:rPr>
          <w:rFonts w:ascii="Arial" w:hAnsi="Arial" w:cs="Arial"/>
        </w:rPr>
      </w:pPr>
      <w:r>
        <w:rPr>
          <w:rFonts w:ascii="Arial" w:hAnsi="Arial" w:cs="Arial"/>
          <w:lang w:val="es-CO"/>
        </w:rPr>
        <w:t>No obstante lo anterior, se estableció una</w:t>
      </w:r>
      <w:r w:rsidRPr="00AF6C4D">
        <w:rPr>
          <w:rFonts w:ascii="Arial" w:hAnsi="Arial" w:cs="Arial"/>
          <w:lang w:val="es-CO"/>
        </w:rPr>
        <w:t xml:space="preserve"> excepción a la suspensión de términos prevista </w:t>
      </w:r>
      <w:r>
        <w:rPr>
          <w:rFonts w:ascii="Arial" w:hAnsi="Arial" w:cs="Arial"/>
          <w:lang w:val="es-CO"/>
        </w:rPr>
        <w:t xml:space="preserve">en los </w:t>
      </w:r>
      <w:r w:rsidRPr="00AF6C4D">
        <w:rPr>
          <w:rFonts w:ascii="Arial" w:hAnsi="Arial" w:cs="Arial"/>
          <w:bCs/>
          <w:color w:val="000000"/>
          <w:lang w:val="es-ES_tradnl"/>
        </w:rPr>
        <w:t>Acuerdos No</w:t>
      </w:r>
      <w:r>
        <w:rPr>
          <w:rFonts w:ascii="Arial" w:hAnsi="Arial" w:cs="Arial"/>
          <w:bCs/>
          <w:color w:val="000000"/>
          <w:lang w:val="es-ES_tradnl"/>
        </w:rPr>
        <w:t>s</w:t>
      </w:r>
      <w:r w:rsidRPr="00AF6C4D">
        <w:rPr>
          <w:rFonts w:ascii="Arial" w:hAnsi="Arial" w:cs="Arial"/>
          <w:bCs/>
          <w:color w:val="000000"/>
          <w:lang w:val="es-ES_tradnl"/>
        </w:rPr>
        <w:t>.</w:t>
      </w:r>
      <w:r w:rsidRPr="00AF6C4D">
        <w:rPr>
          <w:rFonts w:ascii="Arial" w:hAnsi="Arial" w:cs="Arial"/>
          <w:b/>
          <w:color w:val="000000"/>
          <w:lang w:val="es-ES_tradnl"/>
        </w:rPr>
        <w:t xml:space="preserve"> </w:t>
      </w:r>
      <w:r w:rsidRPr="00AF6C4D">
        <w:rPr>
          <w:rFonts w:ascii="Arial" w:hAnsi="Arial" w:cs="Arial"/>
        </w:rPr>
        <w:t>PCSJA20-11529 del 25 de marzo de 2020; 11517, 11</w:t>
      </w:r>
      <w:r>
        <w:rPr>
          <w:rFonts w:ascii="Arial" w:hAnsi="Arial" w:cs="Arial"/>
        </w:rPr>
        <w:t>521 y 11526 de marzo de 2020 d</w:t>
      </w:r>
      <w:r w:rsidRPr="00A7207E">
        <w:rPr>
          <w:rFonts w:ascii="Tahoma" w:hAnsi="Tahoma" w:cs="Tahoma"/>
        </w:rPr>
        <w:t>el Consejo Superior de la Judicatura</w:t>
      </w:r>
      <w:r>
        <w:rPr>
          <w:rFonts w:ascii="Tahoma" w:hAnsi="Tahoma" w:cs="Tahoma"/>
        </w:rPr>
        <w:t>,</w:t>
      </w:r>
      <w:r w:rsidRPr="00AF6C4D">
        <w:rPr>
          <w:rFonts w:ascii="Arial" w:hAnsi="Arial" w:cs="Arial"/>
        </w:rPr>
        <w:t xml:space="preserve"> con ocasión del control inmediato de legalidad</w:t>
      </w:r>
      <w:r>
        <w:rPr>
          <w:rFonts w:ascii="Arial" w:hAnsi="Arial" w:cs="Arial"/>
        </w:rPr>
        <w:t>.</w:t>
      </w:r>
    </w:p>
    <w:p w14:paraId="3856817B" w14:textId="77777777" w:rsidR="006D58A1" w:rsidRDefault="006D58A1" w:rsidP="006D58A1">
      <w:pPr>
        <w:overflowPunct w:val="0"/>
        <w:autoSpaceDE w:val="0"/>
        <w:autoSpaceDN w:val="0"/>
        <w:adjustRightInd w:val="0"/>
        <w:jc w:val="both"/>
        <w:textAlignment w:val="baseline"/>
        <w:rPr>
          <w:rFonts w:ascii="Arial" w:hAnsi="Arial" w:cs="Arial"/>
        </w:rPr>
      </w:pPr>
    </w:p>
    <w:p w14:paraId="69B22DD6" w14:textId="77777777" w:rsidR="006D58A1" w:rsidRDefault="006D58A1" w:rsidP="006D58A1">
      <w:pPr>
        <w:overflowPunct w:val="0"/>
        <w:autoSpaceDE w:val="0"/>
        <w:autoSpaceDN w:val="0"/>
        <w:adjustRightInd w:val="0"/>
        <w:jc w:val="both"/>
        <w:textAlignment w:val="baseline"/>
        <w:rPr>
          <w:rFonts w:ascii="Arial" w:hAnsi="Arial" w:cs="Arial"/>
        </w:rPr>
      </w:pPr>
      <w:r>
        <w:rPr>
          <w:rFonts w:ascii="Arial" w:hAnsi="Arial" w:cs="Arial"/>
        </w:rPr>
        <w:t>Los actos administrativos de carácter general que sean proferidos en ejercicio de la función administrativa durante los Estados de Excepción emanados por autoridades territoriales departamentales y municipales son susceptibles de control inmediato de legalidad de conformidad a lo dispuesto por los artículos 20 de la ley 137 de 1994 y 136 del CPACA.</w:t>
      </w:r>
    </w:p>
    <w:p w14:paraId="739568FE" w14:textId="77777777" w:rsidR="006D58A1" w:rsidRDefault="006D58A1" w:rsidP="006D58A1">
      <w:pPr>
        <w:overflowPunct w:val="0"/>
        <w:autoSpaceDE w:val="0"/>
        <w:autoSpaceDN w:val="0"/>
        <w:adjustRightInd w:val="0"/>
        <w:jc w:val="both"/>
        <w:textAlignment w:val="baseline"/>
        <w:rPr>
          <w:rFonts w:ascii="Arial" w:hAnsi="Arial" w:cs="Arial"/>
        </w:rPr>
      </w:pPr>
    </w:p>
    <w:p w14:paraId="45E9DAF3" w14:textId="77777777" w:rsidR="006D58A1" w:rsidRDefault="006D58A1" w:rsidP="006D58A1">
      <w:pPr>
        <w:pStyle w:val="Prrafodelista"/>
        <w:ind w:left="1080"/>
        <w:rPr>
          <w:rFonts w:ascii="Arial" w:hAnsi="Arial" w:cs="Arial"/>
          <w:b/>
        </w:rPr>
      </w:pPr>
    </w:p>
    <w:p w14:paraId="37816DBA" w14:textId="77777777" w:rsidR="006D58A1" w:rsidRPr="00686D71" w:rsidRDefault="006D58A1" w:rsidP="006D58A1">
      <w:pPr>
        <w:pStyle w:val="Prrafodelista"/>
        <w:numPr>
          <w:ilvl w:val="0"/>
          <w:numId w:val="27"/>
        </w:numPr>
        <w:jc w:val="center"/>
        <w:rPr>
          <w:rFonts w:ascii="Arial" w:hAnsi="Arial" w:cs="Arial"/>
          <w:b/>
        </w:rPr>
      </w:pPr>
      <w:r w:rsidRPr="00686D71">
        <w:rPr>
          <w:rFonts w:ascii="Arial" w:hAnsi="Arial" w:cs="Arial"/>
          <w:b/>
        </w:rPr>
        <w:t>DEL ACTO ADMINISTRATIVO QUE ES OBJETO DE CONTROL DE LEGALIDAD ESPECIAL</w:t>
      </w:r>
    </w:p>
    <w:p w14:paraId="7B5B3D0D" w14:textId="77777777" w:rsidR="006D58A1" w:rsidRPr="00935377" w:rsidRDefault="006D58A1" w:rsidP="006D58A1">
      <w:pPr>
        <w:jc w:val="both"/>
        <w:rPr>
          <w:rFonts w:ascii="Arial" w:hAnsi="Arial" w:cs="Arial"/>
        </w:rPr>
      </w:pPr>
    </w:p>
    <w:p w14:paraId="76421CAC" w14:textId="77777777" w:rsidR="006D58A1" w:rsidRDefault="006D58A1" w:rsidP="006D58A1">
      <w:pPr>
        <w:jc w:val="both"/>
        <w:rPr>
          <w:rFonts w:ascii="Arial" w:hAnsi="Arial" w:cs="Arial"/>
        </w:rPr>
      </w:pPr>
      <w:r w:rsidRPr="00935377">
        <w:rPr>
          <w:rFonts w:ascii="Arial" w:hAnsi="Arial" w:cs="Arial"/>
        </w:rPr>
        <w:t xml:space="preserve">En la actuación procesal que es objeto de análisis y por ende de recurrencia por parte del Ministerio Público se predica la existencia y remisión al </w:t>
      </w:r>
      <w:r>
        <w:rPr>
          <w:rFonts w:ascii="Arial" w:hAnsi="Arial" w:cs="Arial"/>
        </w:rPr>
        <w:t>o</w:t>
      </w:r>
      <w:r w:rsidRPr="00935377">
        <w:rPr>
          <w:rFonts w:ascii="Arial" w:hAnsi="Arial" w:cs="Arial"/>
        </w:rPr>
        <w:t xml:space="preserve">perador </w:t>
      </w:r>
      <w:r>
        <w:rPr>
          <w:rFonts w:ascii="Arial" w:hAnsi="Arial" w:cs="Arial"/>
        </w:rPr>
        <w:t>j</w:t>
      </w:r>
      <w:r w:rsidRPr="00935377">
        <w:rPr>
          <w:rFonts w:ascii="Arial" w:hAnsi="Arial" w:cs="Arial"/>
        </w:rPr>
        <w:t xml:space="preserve">udicial del </w:t>
      </w:r>
      <w:r w:rsidRPr="00EB16C9">
        <w:rPr>
          <w:rFonts w:ascii="Arial" w:hAnsi="Arial" w:cs="Arial"/>
        </w:rPr>
        <w:t>Decreto 045 del 19 de marzo 2020</w:t>
      </w:r>
      <w:r w:rsidRPr="00AF6C4D">
        <w:rPr>
          <w:rFonts w:ascii="Arial" w:hAnsi="Arial" w:cs="Arial"/>
        </w:rPr>
        <w:t xml:space="preserve"> </w:t>
      </w:r>
      <w:r w:rsidRPr="00A7207E">
        <w:rPr>
          <w:rFonts w:ascii="Tahoma" w:hAnsi="Tahoma" w:cs="Tahoma"/>
          <w:i/>
          <w:iCs/>
          <w:lang w:val="es-ES_tradnl"/>
        </w:rPr>
        <w:t>“</w:t>
      </w:r>
      <w:r w:rsidRPr="003738F1">
        <w:rPr>
          <w:rFonts w:ascii="Arial" w:hAnsi="Arial" w:cs="Arial"/>
          <w:i/>
          <w:iCs/>
          <w:lang w:val="es-ES_tradnl"/>
        </w:rPr>
        <w:t>Por medio del cual se establecen nuevas medidas de carácter temporal, extraordinario, preventivas y se estableces estrategias ante la emergencia en salud pública que reviste la aparición del COVID-19 en el Municipio de Bolívar  Valle del Cauca”, entre las cuales se adoptó el toque de queda desde el 20 al 24 de marzo de 2020 con sus respectivas excepciones, imponiendo a su vez ley seca y los respectivos controles frente al acceso vial del municipio, como medidas policivas temporales, extraordinarias y preventivas, para a protección de la población de dicho ente territorial  frente al coronavirus,</w:t>
      </w:r>
      <w:r>
        <w:rPr>
          <w:rFonts w:ascii="Tahoma" w:hAnsi="Tahoma" w:cs="Tahoma"/>
          <w:i/>
          <w:iCs/>
          <w:lang w:val="es-ES_tradnl"/>
        </w:rPr>
        <w:t xml:space="preserve"> </w:t>
      </w:r>
      <w:r w:rsidRPr="00AF6C4D">
        <w:rPr>
          <w:rFonts w:ascii="Arial" w:hAnsi="Arial" w:cs="Arial"/>
        </w:rPr>
        <w:t>con el fin de que este asumiera el control inmediato de legalidad de que trata el artículo 136 de la Ley 1437 de 2011</w:t>
      </w:r>
      <w:r>
        <w:rPr>
          <w:rFonts w:ascii="Arial" w:hAnsi="Arial" w:cs="Arial"/>
        </w:rPr>
        <w:t>.</w:t>
      </w:r>
    </w:p>
    <w:p w14:paraId="6152E38D" w14:textId="77777777" w:rsidR="006D58A1" w:rsidRPr="00935377" w:rsidRDefault="006D58A1" w:rsidP="006D58A1">
      <w:pPr>
        <w:jc w:val="both"/>
        <w:rPr>
          <w:rFonts w:ascii="Arial" w:hAnsi="Arial" w:cs="Arial"/>
        </w:rPr>
      </w:pPr>
    </w:p>
    <w:p w14:paraId="43F075CF" w14:textId="77777777" w:rsidR="006D58A1" w:rsidRDefault="006D58A1" w:rsidP="006D58A1">
      <w:pPr>
        <w:jc w:val="both"/>
        <w:rPr>
          <w:rFonts w:ascii="Arial" w:hAnsi="Arial" w:cs="Arial"/>
        </w:rPr>
      </w:pPr>
      <w:r w:rsidRPr="00935377">
        <w:rPr>
          <w:rFonts w:ascii="Arial" w:hAnsi="Arial" w:cs="Arial"/>
        </w:rPr>
        <w:t xml:space="preserve">Lo anterior en razón a que el </w:t>
      </w:r>
      <w:r>
        <w:rPr>
          <w:rFonts w:ascii="Arial" w:hAnsi="Arial" w:cs="Arial"/>
        </w:rPr>
        <w:t>m</w:t>
      </w:r>
      <w:r w:rsidRPr="00935377">
        <w:rPr>
          <w:rFonts w:ascii="Arial" w:hAnsi="Arial" w:cs="Arial"/>
        </w:rPr>
        <w:t xml:space="preserve">andatario </w:t>
      </w:r>
      <w:r>
        <w:rPr>
          <w:rFonts w:ascii="Arial" w:hAnsi="Arial" w:cs="Arial"/>
        </w:rPr>
        <w:t>l</w:t>
      </w:r>
      <w:r w:rsidRPr="00935377">
        <w:rPr>
          <w:rFonts w:ascii="Arial" w:hAnsi="Arial" w:cs="Arial"/>
        </w:rPr>
        <w:t xml:space="preserve">ocal considera que esa actuación administrativa es de aquellas que deben surtir el control inmediato de legalidad en razón a que fue expedido para atender la emergencia que trajo consigo </w:t>
      </w:r>
      <w:r>
        <w:rPr>
          <w:rFonts w:ascii="Arial" w:hAnsi="Arial" w:cs="Arial"/>
        </w:rPr>
        <w:t xml:space="preserve">la propagación del </w:t>
      </w:r>
      <w:r w:rsidRPr="00935377">
        <w:rPr>
          <w:rFonts w:ascii="Arial" w:hAnsi="Arial" w:cs="Arial"/>
        </w:rPr>
        <w:t>covid – 19.</w:t>
      </w:r>
    </w:p>
    <w:p w14:paraId="7AE45B04" w14:textId="77777777" w:rsidR="006D58A1" w:rsidRPr="00935377" w:rsidRDefault="006D58A1" w:rsidP="006D58A1">
      <w:pPr>
        <w:jc w:val="both"/>
        <w:rPr>
          <w:rFonts w:ascii="Arial" w:hAnsi="Arial" w:cs="Arial"/>
        </w:rPr>
      </w:pPr>
    </w:p>
    <w:p w14:paraId="258499F9" w14:textId="77777777" w:rsidR="006D58A1" w:rsidRPr="00935377" w:rsidRDefault="006D58A1" w:rsidP="006D58A1">
      <w:pPr>
        <w:jc w:val="both"/>
        <w:rPr>
          <w:rFonts w:ascii="Arial" w:hAnsi="Arial" w:cs="Arial"/>
        </w:rPr>
      </w:pPr>
    </w:p>
    <w:p w14:paraId="6B13A020" w14:textId="77777777" w:rsidR="006D58A1" w:rsidRPr="007B781B" w:rsidRDefault="006D58A1" w:rsidP="006D58A1">
      <w:pPr>
        <w:pStyle w:val="Prrafodelista"/>
        <w:numPr>
          <w:ilvl w:val="0"/>
          <w:numId w:val="27"/>
        </w:numPr>
        <w:jc w:val="center"/>
        <w:rPr>
          <w:rFonts w:ascii="Arial" w:hAnsi="Arial" w:cs="Arial"/>
          <w:b/>
        </w:rPr>
      </w:pPr>
      <w:r w:rsidRPr="007B781B">
        <w:rPr>
          <w:rFonts w:ascii="Arial" w:hAnsi="Arial" w:cs="Arial"/>
          <w:b/>
        </w:rPr>
        <w:t>DE LA DECISION DEL TRIBUNAL CONTENCIOSO ADMINISTRATIVO DEL VALLE</w:t>
      </w:r>
    </w:p>
    <w:p w14:paraId="6AF2CE14" w14:textId="77777777" w:rsidR="006D58A1" w:rsidRPr="00935377" w:rsidRDefault="006D58A1" w:rsidP="006D58A1">
      <w:pPr>
        <w:jc w:val="both"/>
        <w:rPr>
          <w:rFonts w:ascii="Arial" w:hAnsi="Arial" w:cs="Arial"/>
        </w:rPr>
      </w:pPr>
    </w:p>
    <w:p w14:paraId="7FD8C92D" w14:textId="77777777" w:rsidR="006D58A1" w:rsidRDefault="006D58A1" w:rsidP="006D58A1">
      <w:pPr>
        <w:jc w:val="both"/>
        <w:rPr>
          <w:rFonts w:ascii="Arial" w:hAnsi="Arial" w:cs="Arial"/>
        </w:rPr>
      </w:pPr>
      <w:r w:rsidRPr="00935377">
        <w:rPr>
          <w:rFonts w:ascii="Arial" w:hAnsi="Arial" w:cs="Arial"/>
        </w:rPr>
        <w:t xml:space="preserve">Mediante </w:t>
      </w:r>
      <w:r w:rsidRPr="00F86F97">
        <w:rPr>
          <w:rFonts w:ascii="Arial" w:hAnsi="Arial" w:cs="Arial"/>
          <w:lang w:val="es-CO"/>
        </w:rPr>
        <w:t>Auto Interlocutorio calendado a 27 de marzo de 2020</w:t>
      </w:r>
      <w:r w:rsidRPr="00ED37D9">
        <w:rPr>
          <w:rFonts w:ascii="Arial" w:hAnsi="Arial" w:cs="Arial"/>
          <w:b/>
          <w:lang w:val="es-CO"/>
        </w:rPr>
        <w:t xml:space="preserve"> </w:t>
      </w:r>
      <w:r>
        <w:rPr>
          <w:rFonts w:ascii="Arial" w:hAnsi="Arial" w:cs="Arial"/>
          <w:lang w:val="es-CO"/>
        </w:rPr>
        <w:t xml:space="preserve">y </w:t>
      </w:r>
      <w:r w:rsidRPr="00ED37D9">
        <w:rPr>
          <w:rFonts w:ascii="Arial" w:hAnsi="Arial" w:cs="Arial"/>
          <w:lang w:val="es-CO"/>
        </w:rPr>
        <w:t>notific</w:t>
      </w:r>
      <w:r>
        <w:rPr>
          <w:rFonts w:ascii="Arial" w:hAnsi="Arial" w:cs="Arial"/>
          <w:lang w:val="es-CO"/>
        </w:rPr>
        <w:t xml:space="preserve">ado </w:t>
      </w:r>
      <w:r w:rsidRPr="00ED37D9">
        <w:rPr>
          <w:rFonts w:ascii="Arial" w:hAnsi="Arial" w:cs="Arial"/>
          <w:lang w:val="es-CO"/>
        </w:rPr>
        <w:t>electrónicamente</w:t>
      </w:r>
      <w:r w:rsidRPr="00935377">
        <w:rPr>
          <w:rFonts w:ascii="Arial" w:hAnsi="Arial" w:cs="Arial"/>
        </w:rPr>
        <w:t xml:space="preserve"> a esta Agencia del Ministerio Público</w:t>
      </w:r>
      <w:r>
        <w:rPr>
          <w:rFonts w:ascii="Arial" w:hAnsi="Arial" w:cs="Arial"/>
        </w:rPr>
        <w:t xml:space="preserve"> </w:t>
      </w:r>
      <w:r>
        <w:rPr>
          <w:rFonts w:ascii="Arial" w:hAnsi="Arial" w:cs="Arial"/>
          <w:lang w:val="es-CO"/>
        </w:rPr>
        <w:t>el día 30 de marzo de 2020</w:t>
      </w:r>
      <w:r>
        <w:rPr>
          <w:rFonts w:ascii="Arial" w:hAnsi="Arial" w:cs="Arial"/>
        </w:rPr>
        <w:t>, la Señora Magistrada</w:t>
      </w:r>
      <w:r w:rsidRPr="00935377">
        <w:rPr>
          <w:rFonts w:ascii="Arial" w:hAnsi="Arial" w:cs="Arial"/>
        </w:rPr>
        <w:t xml:space="preserve"> </w:t>
      </w:r>
      <w:r>
        <w:rPr>
          <w:rFonts w:ascii="Arial" w:hAnsi="Arial" w:cs="Arial"/>
        </w:rPr>
        <w:t>P</w:t>
      </w:r>
      <w:r w:rsidRPr="00935377">
        <w:rPr>
          <w:rFonts w:ascii="Arial" w:hAnsi="Arial" w:cs="Arial"/>
        </w:rPr>
        <w:t>onente se permit</w:t>
      </w:r>
      <w:r>
        <w:rPr>
          <w:rFonts w:ascii="Arial" w:hAnsi="Arial" w:cs="Arial"/>
        </w:rPr>
        <w:t>ió</w:t>
      </w:r>
      <w:r w:rsidRPr="00935377">
        <w:rPr>
          <w:rFonts w:ascii="Arial" w:hAnsi="Arial" w:cs="Arial"/>
        </w:rPr>
        <w:t xml:space="preserve"> resaltar la normativa constitucional y legal que se predi</w:t>
      </w:r>
      <w:r>
        <w:rPr>
          <w:rFonts w:ascii="Arial" w:hAnsi="Arial" w:cs="Arial"/>
        </w:rPr>
        <w:t>ca en nuestro sistema jurídico c</w:t>
      </w:r>
      <w:r w:rsidRPr="00935377">
        <w:rPr>
          <w:rFonts w:ascii="Arial" w:hAnsi="Arial" w:cs="Arial"/>
        </w:rPr>
        <w:t xml:space="preserve">olombiano para el proceso especial de control inmediato de legalidad, haciendo </w:t>
      </w:r>
      <w:r>
        <w:rPr>
          <w:rFonts w:ascii="Arial" w:hAnsi="Arial" w:cs="Arial"/>
        </w:rPr>
        <w:t>un análisis del</w:t>
      </w:r>
      <w:r w:rsidRPr="00FE1937">
        <w:rPr>
          <w:rFonts w:ascii="Arial" w:hAnsi="Arial" w:cs="Arial"/>
          <w:b/>
        </w:rPr>
        <w:t xml:space="preserve"> </w:t>
      </w:r>
      <w:r w:rsidRPr="00F86F97">
        <w:rPr>
          <w:rFonts w:ascii="Arial" w:hAnsi="Arial" w:cs="Arial"/>
        </w:rPr>
        <w:t>Decreto 045 del 19 de marzo 2020</w:t>
      </w:r>
      <w:r w:rsidRPr="00AF6C4D">
        <w:rPr>
          <w:rFonts w:ascii="Arial" w:hAnsi="Arial" w:cs="Arial"/>
        </w:rPr>
        <w:t xml:space="preserve"> </w:t>
      </w:r>
      <w:r>
        <w:rPr>
          <w:rFonts w:ascii="Arial" w:hAnsi="Arial" w:cs="Arial"/>
        </w:rPr>
        <w:t xml:space="preserve"> y  considerando que el mismo fue fundamentado en los artículos 315 de la Constitución Política, 12 y 13 de la Ley 1523 de 2012, 14 y 202 de la ley 1801 de 2016 y la ley 1751 de 2015.</w:t>
      </w:r>
    </w:p>
    <w:p w14:paraId="3AAAC38D" w14:textId="77777777" w:rsidR="006D58A1" w:rsidRDefault="006D58A1" w:rsidP="006D58A1">
      <w:pPr>
        <w:jc w:val="both"/>
        <w:rPr>
          <w:rFonts w:ascii="Arial" w:hAnsi="Arial" w:cs="Arial"/>
        </w:rPr>
      </w:pPr>
      <w:r>
        <w:rPr>
          <w:rFonts w:ascii="Arial" w:hAnsi="Arial" w:cs="Arial"/>
        </w:rPr>
        <w:t xml:space="preserve"> </w:t>
      </w:r>
    </w:p>
    <w:p w14:paraId="441CC9F8" w14:textId="77777777" w:rsidR="006D58A1" w:rsidRDefault="006D58A1" w:rsidP="006D58A1">
      <w:pPr>
        <w:jc w:val="both"/>
        <w:rPr>
          <w:rFonts w:ascii="Arial" w:hAnsi="Arial" w:cs="Arial"/>
        </w:rPr>
      </w:pPr>
      <w:r w:rsidRPr="00935377">
        <w:rPr>
          <w:rFonts w:ascii="Arial" w:hAnsi="Arial" w:cs="Arial"/>
        </w:rPr>
        <w:t>Permitiéndose precisar en el referido auto recurrido</w:t>
      </w:r>
      <w:r>
        <w:rPr>
          <w:rFonts w:ascii="Arial" w:hAnsi="Arial" w:cs="Arial"/>
        </w:rPr>
        <w:t xml:space="preserve"> y a título de conclusión que: </w:t>
      </w:r>
    </w:p>
    <w:p w14:paraId="1F7D0F74" w14:textId="77777777" w:rsidR="006D58A1" w:rsidRPr="00DF1BFC" w:rsidRDefault="006D58A1" w:rsidP="006D58A1">
      <w:pPr>
        <w:spacing w:before="100" w:beforeAutospacing="1" w:after="100" w:afterAutospacing="1"/>
        <w:ind w:left="1247"/>
        <w:jc w:val="both"/>
        <w:rPr>
          <w:rFonts w:ascii="Arial" w:hAnsi="Arial" w:cs="Arial"/>
          <w:i/>
          <w:sz w:val="20"/>
          <w:szCs w:val="20"/>
        </w:rPr>
      </w:pPr>
      <w:r w:rsidRPr="00DF1BFC">
        <w:rPr>
          <w:rFonts w:ascii="Arial" w:hAnsi="Arial" w:cs="Arial"/>
          <w:i/>
          <w:sz w:val="20"/>
          <w:szCs w:val="20"/>
        </w:rPr>
        <w:t>“Sin embargo, del contenido del acto administrativo remitido a esta Corporación para su con</w:t>
      </w:r>
      <w:r>
        <w:rPr>
          <w:rFonts w:ascii="Arial" w:hAnsi="Arial" w:cs="Arial"/>
          <w:i/>
          <w:sz w:val="20"/>
          <w:szCs w:val="20"/>
        </w:rPr>
        <w:t>trol, encuentra el Despacho que</w:t>
      </w:r>
      <w:r w:rsidRPr="00DF1BFC">
        <w:rPr>
          <w:rFonts w:ascii="Arial" w:hAnsi="Arial" w:cs="Arial"/>
          <w:i/>
          <w:sz w:val="20"/>
          <w:szCs w:val="20"/>
        </w:rPr>
        <w:t xml:space="preserve"> </w:t>
      </w:r>
      <w:r w:rsidRPr="00DF1BFC">
        <w:rPr>
          <w:rFonts w:ascii="Arial" w:hAnsi="Arial" w:cs="Arial"/>
          <w:b/>
          <w:i/>
          <w:sz w:val="20"/>
          <w:szCs w:val="20"/>
          <w:u w:val="single"/>
        </w:rPr>
        <w:t>no fue</w:t>
      </w:r>
      <w:r w:rsidRPr="00DF1BFC">
        <w:rPr>
          <w:rFonts w:ascii="Arial" w:hAnsi="Arial" w:cs="Arial"/>
          <w:b/>
          <w:i/>
          <w:sz w:val="20"/>
          <w:szCs w:val="20"/>
          <w:u w:val="single"/>
          <w:lang w:val="es-CO" w:eastAsia="es-CO"/>
        </w:rPr>
        <w:t xml:space="preserve"> dictado en ejercicio de la función administrativa y como desarrollo de los Decretos Legislativos</w:t>
      </w:r>
      <w:r w:rsidRPr="00DF1BFC">
        <w:rPr>
          <w:rFonts w:ascii="Arial" w:hAnsi="Arial" w:cs="Arial"/>
          <w:i/>
          <w:sz w:val="20"/>
          <w:szCs w:val="20"/>
          <w:lang w:val="es-CO" w:eastAsia="es-CO"/>
        </w:rPr>
        <w:t xml:space="preserve"> dictados por el Presidente de la Republica </w:t>
      </w:r>
      <w:r w:rsidRPr="00DF1BFC">
        <w:rPr>
          <w:rFonts w:ascii="Arial" w:hAnsi="Arial" w:cs="Arial"/>
          <w:b/>
          <w:bCs/>
          <w:i/>
          <w:iCs/>
          <w:sz w:val="20"/>
          <w:szCs w:val="20"/>
          <w:lang w:val="es-CO" w:eastAsia="es-CO"/>
        </w:rPr>
        <w:t>“durante”</w:t>
      </w:r>
      <w:r w:rsidRPr="00DF1BFC">
        <w:rPr>
          <w:rFonts w:ascii="Arial" w:hAnsi="Arial" w:cs="Arial"/>
          <w:i/>
          <w:iCs/>
          <w:sz w:val="20"/>
          <w:szCs w:val="20"/>
          <w:lang w:val="es-CO" w:eastAsia="es-CO"/>
        </w:rPr>
        <w:t xml:space="preserve"> la</w:t>
      </w:r>
      <w:r w:rsidRPr="00DF1BFC">
        <w:rPr>
          <w:rFonts w:ascii="Arial" w:hAnsi="Arial" w:cs="Arial"/>
          <w:i/>
          <w:sz w:val="20"/>
          <w:szCs w:val="20"/>
          <w:lang w:val="es-CO" w:eastAsia="es-CO"/>
        </w:rPr>
        <w:t xml:space="preserve"> declaratoria del Estado de Excepción</w:t>
      </w:r>
      <w:r w:rsidRPr="00DF1BFC">
        <w:rPr>
          <w:rFonts w:ascii="Arial" w:hAnsi="Arial" w:cs="Arial"/>
          <w:i/>
          <w:sz w:val="20"/>
          <w:szCs w:val="20"/>
        </w:rPr>
        <w:t xml:space="preserve"> a través del Decreto 417 del 17 de marzo de 2020, como consecuencia de la emergencia económica, social y ecológica derivada de la Pandemia COVID-19. </w:t>
      </w:r>
      <w:r w:rsidRPr="00DF1BFC">
        <w:rPr>
          <w:rFonts w:ascii="Arial" w:hAnsi="Arial" w:cs="Arial"/>
          <w:b/>
          <w:i/>
          <w:sz w:val="20"/>
          <w:szCs w:val="20"/>
          <w:u w:val="single"/>
        </w:rPr>
        <w:t>Por el contrario</w:t>
      </w:r>
      <w:r w:rsidRPr="00DF1BFC">
        <w:rPr>
          <w:rFonts w:ascii="Arial" w:hAnsi="Arial" w:cs="Arial"/>
          <w:i/>
          <w:sz w:val="20"/>
          <w:szCs w:val="20"/>
        </w:rPr>
        <w:t>, si bien contiene medidas para contener el brote y propagación de la enfermedad denominada Coronavirus (COVID-19) dentro de la respectiva jurisdicción</w:t>
      </w:r>
      <w:r w:rsidRPr="00DF1BFC">
        <w:rPr>
          <w:rFonts w:ascii="Arial" w:hAnsi="Arial" w:cs="Arial"/>
          <w:b/>
          <w:i/>
          <w:sz w:val="20"/>
          <w:szCs w:val="20"/>
          <w:u w:val="single"/>
        </w:rPr>
        <w:t>, las mismas</w:t>
      </w:r>
      <w:r w:rsidRPr="00DF1BFC">
        <w:rPr>
          <w:rFonts w:ascii="Arial" w:hAnsi="Arial" w:cs="Arial"/>
          <w:i/>
          <w:sz w:val="20"/>
          <w:szCs w:val="20"/>
        </w:rPr>
        <w:t xml:space="preserve"> </w:t>
      </w:r>
      <w:r w:rsidRPr="00DF1BFC">
        <w:rPr>
          <w:rFonts w:ascii="Arial" w:hAnsi="Arial" w:cs="Arial"/>
          <w:b/>
          <w:i/>
          <w:sz w:val="20"/>
          <w:szCs w:val="20"/>
          <w:u w:val="single"/>
        </w:rPr>
        <w:t>son de orden público</w:t>
      </w:r>
      <w:r w:rsidRPr="00DF1BFC">
        <w:rPr>
          <w:rFonts w:ascii="Arial" w:hAnsi="Arial" w:cs="Arial"/>
          <w:i/>
          <w:sz w:val="20"/>
          <w:szCs w:val="20"/>
        </w:rPr>
        <w:t xml:space="preserve">, lo que permite concluir que </w:t>
      </w:r>
      <w:r w:rsidRPr="00DF1BFC">
        <w:rPr>
          <w:rFonts w:ascii="Arial" w:hAnsi="Arial" w:cs="Arial"/>
          <w:b/>
          <w:i/>
          <w:sz w:val="20"/>
          <w:szCs w:val="20"/>
          <w:u w:val="single"/>
        </w:rPr>
        <w:t>no es susceptible del control automático</w:t>
      </w:r>
      <w:r w:rsidRPr="00DF1BFC">
        <w:rPr>
          <w:rFonts w:ascii="Arial" w:hAnsi="Arial" w:cs="Arial"/>
          <w:i/>
          <w:sz w:val="20"/>
          <w:szCs w:val="20"/>
        </w:rPr>
        <w:t xml:space="preserve"> de legalidad previsto en los artículo 20 de la Ley 137 de 1994 y  136 de la Ley 1437 de 2011, pues el mismo fue expedido en virtud de las facultades constitucionales y legales conferidas al </w:t>
      </w:r>
      <w:r w:rsidRPr="00DF1BFC">
        <w:rPr>
          <w:rFonts w:ascii="Arial" w:hAnsi="Arial" w:cs="Arial"/>
          <w:i/>
          <w:sz w:val="20"/>
          <w:szCs w:val="20"/>
          <w:lang w:val="es-CO"/>
        </w:rPr>
        <w:t xml:space="preserve">alcalde como primera autoridad de policía del municipio para la adopción de medidas  necesarias para conservar el orden público en su jurisdicción, dentro de los parámetros establecidos por el ordenamiento jurídico. </w:t>
      </w:r>
    </w:p>
    <w:p w14:paraId="1BC69F3F" w14:textId="77777777" w:rsidR="006D58A1" w:rsidRPr="00DF1BFC" w:rsidRDefault="006D58A1" w:rsidP="006D58A1">
      <w:pPr>
        <w:tabs>
          <w:tab w:val="left" w:pos="-720"/>
        </w:tabs>
        <w:suppressAutoHyphens/>
        <w:ind w:left="1247"/>
        <w:jc w:val="both"/>
        <w:rPr>
          <w:rFonts w:ascii="Arial" w:hAnsi="Arial" w:cs="Arial"/>
          <w:i/>
          <w:sz w:val="20"/>
          <w:szCs w:val="20"/>
        </w:rPr>
      </w:pPr>
      <w:r>
        <w:rPr>
          <w:rFonts w:ascii="Arial" w:hAnsi="Arial" w:cs="Arial"/>
          <w:i/>
          <w:sz w:val="20"/>
          <w:szCs w:val="20"/>
        </w:rPr>
        <w:t>“</w:t>
      </w:r>
      <w:r w:rsidRPr="00DF1BFC">
        <w:rPr>
          <w:rFonts w:ascii="Arial" w:hAnsi="Arial" w:cs="Arial"/>
          <w:i/>
          <w:sz w:val="20"/>
          <w:szCs w:val="20"/>
        </w:rPr>
        <w:t>Lo anterior sin perjuicio del control judicial que se pueda ejercer sobre dicho acto administrativo a través de los medios de control ordinarios respectivos, previstos en Ley 1437 de 2011.</w:t>
      </w:r>
    </w:p>
    <w:p w14:paraId="2DD80004" w14:textId="77777777" w:rsidR="006D58A1" w:rsidRPr="00DF1BFC" w:rsidRDefault="006D58A1" w:rsidP="006D58A1">
      <w:pPr>
        <w:tabs>
          <w:tab w:val="left" w:pos="-720"/>
        </w:tabs>
        <w:suppressAutoHyphens/>
        <w:ind w:left="1247"/>
        <w:jc w:val="both"/>
        <w:rPr>
          <w:rFonts w:ascii="Arial" w:hAnsi="Arial" w:cs="Arial"/>
          <w:i/>
          <w:sz w:val="20"/>
          <w:szCs w:val="20"/>
        </w:rPr>
      </w:pPr>
    </w:p>
    <w:p w14:paraId="528561E8" w14:textId="77777777" w:rsidR="006D58A1" w:rsidRPr="00DF1BFC" w:rsidRDefault="006D58A1" w:rsidP="006D58A1">
      <w:pPr>
        <w:tabs>
          <w:tab w:val="left" w:pos="-720"/>
        </w:tabs>
        <w:suppressAutoHyphens/>
        <w:ind w:left="1247"/>
        <w:jc w:val="both"/>
        <w:rPr>
          <w:rFonts w:ascii="Arial" w:hAnsi="Arial" w:cs="Arial"/>
          <w:i/>
          <w:lang w:val="es-ES_tradnl"/>
        </w:rPr>
      </w:pPr>
      <w:r>
        <w:rPr>
          <w:rFonts w:ascii="Arial" w:hAnsi="Arial" w:cs="Arial"/>
          <w:i/>
          <w:sz w:val="20"/>
          <w:szCs w:val="20"/>
        </w:rPr>
        <w:t>“</w:t>
      </w:r>
      <w:r w:rsidRPr="00DF1BFC">
        <w:rPr>
          <w:rFonts w:ascii="Arial" w:hAnsi="Arial" w:cs="Arial"/>
          <w:i/>
          <w:sz w:val="20"/>
          <w:szCs w:val="20"/>
        </w:rPr>
        <w:t xml:space="preserve">Así las cosas, al no cumplirse con </w:t>
      </w:r>
      <w:r w:rsidRPr="00DF1BFC">
        <w:rPr>
          <w:rFonts w:ascii="Arial" w:hAnsi="Arial" w:cs="Arial"/>
          <w:i/>
          <w:sz w:val="20"/>
          <w:szCs w:val="20"/>
          <w:lang w:val="es-ES_tradnl"/>
        </w:rPr>
        <w:t>los requisitos mínimos necesarios para iniciar el proceso de control automático de legalidad en los términos del artículo 185 del CPACA, no se avocará el conocimiento e</w:t>
      </w:r>
      <w:r>
        <w:rPr>
          <w:rFonts w:ascii="Arial" w:hAnsi="Arial" w:cs="Arial"/>
          <w:i/>
          <w:sz w:val="20"/>
          <w:szCs w:val="20"/>
          <w:lang w:val="es-ES_tradnl"/>
        </w:rPr>
        <w:t>n el asunto de la referencia.” (</w:t>
      </w:r>
      <w:r w:rsidRPr="00DF1BFC">
        <w:rPr>
          <w:rFonts w:ascii="Arial" w:hAnsi="Arial" w:cs="Arial"/>
          <w:i/>
          <w:sz w:val="20"/>
          <w:szCs w:val="20"/>
          <w:lang w:val="es-ES_tradnl"/>
        </w:rPr>
        <w:t>Negrillas y subraya por fuera de texto)</w:t>
      </w:r>
    </w:p>
    <w:p w14:paraId="6209F3EB" w14:textId="77777777" w:rsidR="006D58A1" w:rsidRPr="00935377" w:rsidRDefault="006D58A1" w:rsidP="006D58A1">
      <w:pPr>
        <w:jc w:val="both"/>
        <w:rPr>
          <w:rFonts w:ascii="Arial" w:hAnsi="Arial" w:cs="Arial"/>
        </w:rPr>
      </w:pPr>
    </w:p>
    <w:p w14:paraId="32DF7B21" w14:textId="77777777" w:rsidR="006D58A1" w:rsidRPr="00832371" w:rsidRDefault="006D58A1" w:rsidP="006D58A1">
      <w:pPr>
        <w:pStyle w:val="Prrafodelista"/>
        <w:numPr>
          <w:ilvl w:val="0"/>
          <w:numId w:val="27"/>
        </w:numPr>
        <w:spacing w:after="200"/>
        <w:jc w:val="center"/>
        <w:rPr>
          <w:rFonts w:ascii="Arial" w:hAnsi="Arial" w:cs="Arial"/>
          <w:b/>
        </w:rPr>
      </w:pPr>
      <w:r w:rsidRPr="00832371">
        <w:rPr>
          <w:rFonts w:ascii="Arial" w:hAnsi="Arial" w:cs="Arial"/>
          <w:b/>
        </w:rPr>
        <w:t>PROCEDENCIA DEL RECURSO DE SÚPLICA</w:t>
      </w:r>
    </w:p>
    <w:p w14:paraId="42836506" w14:textId="77777777" w:rsidR="006D58A1" w:rsidRPr="00655BD4" w:rsidRDefault="006D58A1" w:rsidP="006D58A1">
      <w:pPr>
        <w:spacing w:after="200"/>
        <w:jc w:val="both"/>
        <w:rPr>
          <w:rFonts w:ascii="Arial" w:hAnsi="Arial" w:cs="Arial"/>
        </w:rPr>
      </w:pPr>
      <w:r w:rsidRPr="00655BD4">
        <w:rPr>
          <w:rFonts w:ascii="Arial" w:hAnsi="Arial" w:cs="Arial"/>
        </w:rPr>
        <w:t>De conformidad con el numeral 14 del artículo 151 de la Ley 1437 de 2011, corresponde a los tribun</w:t>
      </w:r>
      <w:r>
        <w:rPr>
          <w:rFonts w:ascii="Arial" w:hAnsi="Arial" w:cs="Arial"/>
        </w:rPr>
        <w:t>ales administrativos, en única</w:t>
      </w:r>
      <w:r w:rsidRPr="00655BD4">
        <w:rPr>
          <w:rFonts w:ascii="Arial" w:hAnsi="Arial" w:cs="Arial"/>
        </w:rPr>
        <w:t xml:space="preserve"> instancia, </w:t>
      </w:r>
    </w:p>
    <w:p w14:paraId="45C76E52" w14:textId="77777777" w:rsidR="006D58A1" w:rsidRPr="00854EBF" w:rsidRDefault="006D58A1" w:rsidP="006D58A1">
      <w:pPr>
        <w:spacing w:after="200"/>
        <w:ind w:left="708"/>
        <w:jc w:val="both"/>
        <w:rPr>
          <w:rFonts w:ascii="Arial" w:hAnsi="Arial" w:cs="Arial"/>
          <w:i/>
        </w:rPr>
      </w:pPr>
      <w:r w:rsidRPr="00655BD4">
        <w:rPr>
          <w:rFonts w:ascii="Arial" w:hAnsi="Arial" w:cs="Arial"/>
          <w:i/>
        </w:rPr>
        <w:t xml:space="preserve">“Del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 </w:t>
      </w:r>
    </w:p>
    <w:p w14:paraId="0EE02326" w14:textId="77777777" w:rsidR="006D58A1" w:rsidRPr="00785553" w:rsidRDefault="006D58A1" w:rsidP="006D58A1">
      <w:pPr>
        <w:spacing w:after="200"/>
        <w:jc w:val="both"/>
        <w:rPr>
          <w:rFonts w:ascii="Arial" w:hAnsi="Arial" w:cs="Arial"/>
          <w:b/>
        </w:rPr>
      </w:pPr>
      <w:r>
        <w:rPr>
          <w:rFonts w:ascii="Arial" w:hAnsi="Arial" w:cs="Arial"/>
        </w:rPr>
        <w:t>E</w:t>
      </w:r>
      <w:r w:rsidRPr="00655BD4">
        <w:rPr>
          <w:rFonts w:ascii="Arial" w:hAnsi="Arial" w:cs="Arial"/>
        </w:rPr>
        <w:t>l artículo 243, numerales 1 y 3</w:t>
      </w:r>
      <w:r>
        <w:rPr>
          <w:rFonts w:ascii="Arial" w:hAnsi="Arial" w:cs="Arial"/>
        </w:rPr>
        <w:t xml:space="preserve"> de la Ley 1437 de 2011, señala</w:t>
      </w:r>
      <w:r w:rsidRPr="00655BD4">
        <w:rPr>
          <w:rFonts w:ascii="Arial" w:hAnsi="Arial" w:cs="Arial"/>
        </w:rPr>
        <w:t xml:space="preserve"> que el auto que rechaza la demanda y el que pone fin al proceso, son susceptibles </w:t>
      </w:r>
      <w:r w:rsidRPr="00785553">
        <w:rPr>
          <w:rFonts w:ascii="Arial" w:hAnsi="Arial" w:cs="Arial"/>
          <w:b/>
        </w:rPr>
        <w:t>del recurso de apelación</w:t>
      </w:r>
      <w:r>
        <w:rPr>
          <w:rFonts w:ascii="Arial" w:hAnsi="Arial" w:cs="Arial"/>
          <w:b/>
        </w:rPr>
        <w:t>.</w:t>
      </w:r>
    </w:p>
    <w:p w14:paraId="47B116BC" w14:textId="77777777" w:rsidR="006D58A1" w:rsidRPr="00785553" w:rsidRDefault="006D58A1" w:rsidP="006D58A1">
      <w:pPr>
        <w:spacing w:after="200"/>
        <w:jc w:val="both"/>
        <w:rPr>
          <w:rFonts w:ascii="Arial" w:hAnsi="Arial" w:cs="Arial"/>
          <w:b/>
        </w:rPr>
      </w:pPr>
      <w:r w:rsidRPr="00854EBF">
        <w:rPr>
          <w:rFonts w:ascii="Arial" w:hAnsi="Arial" w:cs="Arial"/>
        </w:rPr>
        <w:lastRenderedPageBreak/>
        <w:t xml:space="preserve">El Auto de </w:t>
      </w:r>
      <w:r w:rsidRPr="00854EBF">
        <w:rPr>
          <w:rFonts w:ascii="Arial" w:hAnsi="Arial" w:cs="Arial"/>
          <w:b/>
        </w:rPr>
        <w:t>no avocar conocimiento</w:t>
      </w:r>
      <w:r w:rsidRPr="00854EBF">
        <w:rPr>
          <w:rFonts w:ascii="Arial" w:hAnsi="Arial" w:cs="Arial"/>
        </w:rPr>
        <w:t xml:space="preserve"> no figura expresamente en el artículo 243, lo que daría lugar al </w:t>
      </w:r>
      <w:r w:rsidRPr="00854EBF">
        <w:rPr>
          <w:rFonts w:ascii="Arial" w:hAnsi="Arial" w:cs="Arial"/>
          <w:b/>
        </w:rPr>
        <w:t>recurso de reposición.</w:t>
      </w:r>
    </w:p>
    <w:p w14:paraId="6FC21165" w14:textId="77777777" w:rsidR="006D58A1" w:rsidRDefault="006D58A1" w:rsidP="006D58A1">
      <w:pPr>
        <w:spacing w:after="200"/>
        <w:jc w:val="both"/>
        <w:rPr>
          <w:rFonts w:ascii="Arial" w:hAnsi="Arial" w:cs="Arial"/>
        </w:rPr>
      </w:pPr>
      <w:r>
        <w:rPr>
          <w:rFonts w:ascii="Arial" w:hAnsi="Arial" w:cs="Arial"/>
        </w:rPr>
        <w:t>No obstante, lo anterior el auto de no avocar conocimiento,</w:t>
      </w:r>
      <w:r w:rsidRPr="00655BD4">
        <w:rPr>
          <w:rFonts w:ascii="Arial" w:hAnsi="Arial" w:cs="Arial"/>
        </w:rPr>
        <w:t xml:space="preserve"> tiene la misma naturaleza que</w:t>
      </w:r>
      <w:r w:rsidRPr="00785553">
        <w:rPr>
          <w:rFonts w:ascii="Arial" w:hAnsi="Arial" w:cs="Arial"/>
        </w:rPr>
        <w:t xml:space="preserve"> </w:t>
      </w:r>
      <w:r w:rsidRPr="00655BD4">
        <w:rPr>
          <w:rFonts w:ascii="Arial" w:hAnsi="Arial" w:cs="Arial"/>
        </w:rPr>
        <w:t xml:space="preserve">el auto que rechaza la demanda y el que pone fin al proceso, razón por la cual </w:t>
      </w:r>
      <w:r>
        <w:rPr>
          <w:rFonts w:ascii="Arial" w:hAnsi="Arial" w:cs="Arial"/>
        </w:rPr>
        <w:t>podría considerarse pasible d</w:t>
      </w:r>
      <w:r>
        <w:rPr>
          <w:rFonts w:ascii="Arial" w:hAnsi="Arial" w:cs="Arial"/>
          <w:b/>
        </w:rPr>
        <w:t>e</w:t>
      </w:r>
      <w:r w:rsidRPr="00785553">
        <w:rPr>
          <w:rFonts w:ascii="Arial" w:hAnsi="Arial" w:cs="Arial"/>
          <w:b/>
        </w:rPr>
        <w:t xml:space="preserve"> recurso de apelación</w:t>
      </w:r>
      <w:r>
        <w:rPr>
          <w:rFonts w:ascii="Arial" w:hAnsi="Arial" w:cs="Arial"/>
        </w:rPr>
        <w:t>.</w:t>
      </w:r>
    </w:p>
    <w:p w14:paraId="03224D80" w14:textId="77777777" w:rsidR="006D58A1" w:rsidRPr="00655BD4" w:rsidRDefault="006D58A1" w:rsidP="006D58A1">
      <w:pPr>
        <w:spacing w:after="200"/>
        <w:jc w:val="both"/>
        <w:rPr>
          <w:rFonts w:ascii="Arial" w:hAnsi="Arial" w:cs="Arial"/>
        </w:rPr>
      </w:pPr>
      <w:r w:rsidRPr="00655BD4">
        <w:rPr>
          <w:rFonts w:ascii="Arial" w:hAnsi="Arial" w:cs="Arial"/>
        </w:rPr>
        <w:t xml:space="preserve">Sin embargo, por tratarse de un proceso de única instancia, </w:t>
      </w:r>
      <w:r w:rsidRPr="00854EBF">
        <w:rPr>
          <w:rFonts w:ascii="Arial" w:hAnsi="Arial" w:cs="Arial"/>
          <w:b/>
        </w:rPr>
        <w:t>el auto no sería susceptible del recurso de apelación</w:t>
      </w:r>
      <w:r w:rsidRPr="00655BD4">
        <w:rPr>
          <w:rFonts w:ascii="Arial" w:hAnsi="Arial" w:cs="Arial"/>
        </w:rPr>
        <w:t xml:space="preserve"> sino del </w:t>
      </w:r>
      <w:r w:rsidRPr="00232315">
        <w:rPr>
          <w:rFonts w:ascii="Arial" w:hAnsi="Arial" w:cs="Arial"/>
          <w:b/>
        </w:rPr>
        <w:t>recurso de súplica</w:t>
      </w:r>
      <w:r w:rsidRPr="00655BD4">
        <w:rPr>
          <w:rFonts w:ascii="Arial" w:hAnsi="Arial" w:cs="Arial"/>
        </w:rPr>
        <w:t>, conforme lo señala el artículo 246</w:t>
      </w:r>
      <w:r>
        <w:rPr>
          <w:rFonts w:ascii="Arial" w:hAnsi="Arial" w:cs="Arial"/>
        </w:rPr>
        <w:t xml:space="preserve"> que en su texto señala</w:t>
      </w:r>
      <w:r w:rsidRPr="00655BD4">
        <w:rPr>
          <w:rFonts w:ascii="Arial" w:hAnsi="Arial" w:cs="Arial"/>
        </w:rPr>
        <w:t xml:space="preserve"> que: </w:t>
      </w:r>
    </w:p>
    <w:p w14:paraId="5603DA13" w14:textId="77777777" w:rsidR="006D58A1" w:rsidRPr="00232315" w:rsidRDefault="006D58A1" w:rsidP="006D58A1">
      <w:pPr>
        <w:spacing w:after="200"/>
        <w:ind w:left="708"/>
        <w:jc w:val="both"/>
        <w:rPr>
          <w:rFonts w:ascii="Arial" w:hAnsi="Arial" w:cs="Arial"/>
          <w:i/>
          <w:sz w:val="20"/>
          <w:szCs w:val="20"/>
        </w:rPr>
      </w:pPr>
      <w:r w:rsidRPr="00232315">
        <w:rPr>
          <w:rFonts w:ascii="Arial" w:hAnsi="Arial" w:cs="Arial"/>
          <w:i/>
          <w:sz w:val="20"/>
          <w:szCs w:val="20"/>
        </w:rPr>
        <w:t>“El recurso de súplica procede contra los autos que por su naturaleza serían apelables, dictados por el Magistrado Ponente en el curso de la segunda o única instancia o durante el trámite de la apelación de un auto. También procede contra el auto que rechaza o declara desierta la apelación o el recurso extraordinario”.</w:t>
      </w:r>
    </w:p>
    <w:p w14:paraId="6CD1FC0B" w14:textId="77777777" w:rsidR="006D58A1" w:rsidRPr="00655BD4" w:rsidRDefault="006D58A1" w:rsidP="006D58A1">
      <w:pPr>
        <w:spacing w:after="200"/>
        <w:jc w:val="both"/>
        <w:rPr>
          <w:rFonts w:ascii="Arial" w:hAnsi="Arial" w:cs="Arial"/>
        </w:rPr>
      </w:pPr>
      <w:r>
        <w:rPr>
          <w:rFonts w:ascii="Arial" w:hAnsi="Arial" w:cs="Arial"/>
        </w:rPr>
        <w:t xml:space="preserve">De conformidad con lo anterior, </w:t>
      </w:r>
      <w:r w:rsidRPr="00232315">
        <w:rPr>
          <w:rFonts w:ascii="Arial" w:hAnsi="Arial" w:cs="Arial"/>
        </w:rPr>
        <w:t>el Auto</w:t>
      </w:r>
      <w:r>
        <w:rPr>
          <w:rFonts w:ascii="Arial" w:hAnsi="Arial" w:cs="Arial"/>
          <w:lang w:val="es-CO"/>
        </w:rPr>
        <w:t xml:space="preserve"> Interlocutorio</w:t>
      </w:r>
      <w:r w:rsidRPr="00232315">
        <w:rPr>
          <w:rFonts w:ascii="Arial" w:hAnsi="Arial" w:cs="Arial"/>
          <w:lang w:val="es-CO"/>
        </w:rPr>
        <w:t xml:space="preserve"> calendado a 27 de marzo de dos mil veinte 2020</w:t>
      </w:r>
      <w:r>
        <w:rPr>
          <w:rFonts w:ascii="Arial" w:hAnsi="Arial" w:cs="Arial"/>
        </w:rPr>
        <w:t xml:space="preserve"> </w:t>
      </w:r>
      <w:r w:rsidRPr="00655BD4">
        <w:rPr>
          <w:rFonts w:ascii="Arial" w:hAnsi="Arial" w:cs="Arial"/>
        </w:rPr>
        <w:t>es susceptible del recurso de súplica por tratarse de un auto que por su naturaleza sería apelable</w:t>
      </w:r>
      <w:r>
        <w:rPr>
          <w:rFonts w:ascii="Arial" w:hAnsi="Arial" w:cs="Arial"/>
        </w:rPr>
        <w:t xml:space="preserve">, </w:t>
      </w:r>
      <w:r w:rsidRPr="00655BD4">
        <w:rPr>
          <w:rFonts w:ascii="Arial" w:hAnsi="Arial" w:cs="Arial"/>
        </w:rPr>
        <w:t xml:space="preserve">pero que es proferido en proceso de única instancia.  </w:t>
      </w:r>
    </w:p>
    <w:p w14:paraId="4EBF2D7A" w14:textId="77777777" w:rsidR="006D58A1" w:rsidRDefault="006D58A1" w:rsidP="006D58A1">
      <w:pPr>
        <w:spacing w:after="200"/>
        <w:jc w:val="both"/>
        <w:rPr>
          <w:rFonts w:ascii="Arial" w:hAnsi="Arial" w:cs="Arial"/>
        </w:rPr>
      </w:pPr>
      <w:r w:rsidRPr="00655BD4">
        <w:rPr>
          <w:rFonts w:ascii="Arial" w:hAnsi="Arial" w:cs="Arial"/>
        </w:rPr>
        <w:t xml:space="preserve">En todo caso, ante la falta de consagración expresa del </w:t>
      </w:r>
      <w:r w:rsidRPr="00655BD4">
        <w:rPr>
          <w:rFonts w:ascii="Arial" w:hAnsi="Arial" w:cs="Arial"/>
          <w:b/>
        </w:rPr>
        <w:t>auto de no avocar</w:t>
      </w:r>
      <w:r w:rsidRPr="00655BD4">
        <w:rPr>
          <w:rFonts w:ascii="Arial" w:hAnsi="Arial" w:cs="Arial"/>
        </w:rPr>
        <w:t xml:space="preserve"> como susceptible de apelación o súplica, de manera respetuosa solicita est</w:t>
      </w:r>
      <w:r>
        <w:rPr>
          <w:rFonts w:ascii="Arial" w:hAnsi="Arial" w:cs="Arial"/>
        </w:rPr>
        <w:t>a A</w:t>
      </w:r>
      <w:r w:rsidRPr="00655BD4">
        <w:rPr>
          <w:rFonts w:ascii="Arial" w:hAnsi="Arial" w:cs="Arial"/>
        </w:rPr>
        <w:t xml:space="preserve">gente que, si pese a la naturaleza del auto, esta sala de decisión considera que el recurso de súplica no era procedente, se de aplicación al parágrafo del artículo 318 del Código General del Proceso, sobre adecuación de trámite de los recursos, y se tramite el presente recurso como de reposición. </w:t>
      </w:r>
    </w:p>
    <w:p w14:paraId="17408859" w14:textId="77777777" w:rsidR="006D58A1" w:rsidRPr="00655BD4" w:rsidRDefault="006D58A1" w:rsidP="006D58A1">
      <w:pPr>
        <w:spacing w:after="200"/>
        <w:jc w:val="both"/>
        <w:rPr>
          <w:rFonts w:ascii="Arial" w:hAnsi="Arial" w:cs="Arial"/>
        </w:rPr>
      </w:pPr>
    </w:p>
    <w:p w14:paraId="21BB8ECF" w14:textId="77777777" w:rsidR="006D58A1" w:rsidRDefault="006D58A1" w:rsidP="006D58A1">
      <w:pPr>
        <w:pStyle w:val="Prrafodelista"/>
        <w:numPr>
          <w:ilvl w:val="0"/>
          <w:numId w:val="27"/>
        </w:numPr>
        <w:spacing w:after="200"/>
        <w:jc w:val="center"/>
        <w:rPr>
          <w:rFonts w:ascii="Arial" w:hAnsi="Arial" w:cs="Arial"/>
          <w:b/>
        </w:rPr>
      </w:pPr>
      <w:r>
        <w:rPr>
          <w:rFonts w:ascii="Arial" w:hAnsi="Arial" w:cs="Arial"/>
          <w:b/>
        </w:rPr>
        <w:t>CONTROL AUTOMÁTICO DE LEGALIDAD RESPECTO DE LAS MEDIDAS DE CARÁCTER GENERAL QUE SEAN DICTADAS EN EJERCICIO DE LA FUNCIÓN ADMINISTRATIVA Y COMO DESARROLLO DE LOS DECRETOS LEGISLATIVOS DURANTE LOS ESTADOS DE EXCEPCIÓN</w:t>
      </w:r>
    </w:p>
    <w:p w14:paraId="336251D3" w14:textId="77777777" w:rsidR="006D58A1" w:rsidRPr="00DC1476" w:rsidRDefault="006D58A1" w:rsidP="006D58A1">
      <w:pPr>
        <w:pStyle w:val="Prrafodelista"/>
        <w:spacing w:after="200"/>
        <w:ind w:left="1080"/>
        <w:rPr>
          <w:rFonts w:ascii="Arial" w:hAnsi="Arial" w:cs="Arial"/>
          <w:b/>
        </w:rPr>
      </w:pPr>
    </w:p>
    <w:p w14:paraId="5DE9CF16" w14:textId="77777777" w:rsidR="006D58A1" w:rsidRPr="00774183" w:rsidRDefault="006D58A1" w:rsidP="006D58A1">
      <w:pPr>
        <w:pStyle w:val="Prrafodelista"/>
        <w:numPr>
          <w:ilvl w:val="0"/>
          <w:numId w:val="33"/>
        </w:numPr>
        <w:spacing w:after="200"/>
        <w:rPr>
          <w:rFonts w:ascii="Arial" w:hAnsi="Arial" w:cs="Arial"/>
          <w:b/>
        </w:rPr>
      </w:pPr>
      <w:r w:rsidRPr="00774183">
        <w:rPr>
          <w:rFonts w:ascii="Arial" w:hAnsi="Arial" w:cs="Arial"/>
          <w:b/>
        </w:rPr>
        <w:t xml:space="preserve">Marco Normativo y jurisprudencial que regula el </w:t>
      </w:r>
      <w:r>
        <w:rPr>
          <w:rFonts w:ascii="Arial" w:hAnsi="Arial" w:cs="Arial"/>
          <w:b/>
        </w:rPr>
        <w:t>c</w:t>
      </w:r>
      <w:r w:rsidRPr="00774183">
        <w:rPr>
          <w:rFonts w:ascii="Arial" w:hAnsi="Arial" w:cs="Arial"/>
          <w:b/>
        </w:rPr>
        <w:t xml:space="preserve">ontrol inmediato de legalidad </w:t>
      </w:r>
    </w:p>
    <w:p w14:paraId="6DBA6B1C" w14:textId="77777777" w:rsidR="006D58A1" w:rsidRDefault="006D58A1" w:rsidP="006D58A1">
      <w:pPr>
        <w:spacing w:after="200"/>
        <w:jc w:val="both"/>
        <w:rPr>
          <w:rFonts w:ascii="Arial" w:hAnsi="Arial" w:cs="Arial"/>
          <w:b/>
        </w:rPr>
      </w:pPr>
      <w:r>
        <w:rPr>
          <w:rFonts w:ascii="Arial" w:hAnsi="Arial" w:cs="Arial"/>
        </w:rPr>
        <w:t>E</w:t>
      </w:r>
      <w:r w:rsidRPr="00655BD4">
        <w:rPr>
          <w:rFonts w:ascii="Arial" w:hAnsi="Arial" w:cs="Arial"/>
        </w:rPr>
        <w:t>l artículo 20 de la Ley 1137 de 1994, “</w:t>
      </w:r>
      <w:r w:rsidRPr="00655BD4">
        <w:rPr>
          <w:rFonts w:ascii="Arial" w:hAnsi="Arial" w:cs="Arial"/>
          <w:i/>
        </w:rPr>
        <w:t>Por la cual se reglamentan los Estados de Excepción en Colombia</w:t>
      </w:r>
      <w:r w:rsidRPr="00655BD4">
        <w:rPr>
          <w:rFonts w:ascii="Arial" w:hAnsi="Arial" w:cs="Arial"/>
        </w:rPr>
        <w:t xml:space="preserve">” y </w:t>
      </w:r>
      <w:r>
        <w:rPr>
          <w:rFonts w:ascii="Arial" w:hAnsi="Arial" w:cs="Arial"/>
        </w:rPr>
        <w:t>e</w:t>
      </w:r>
      <w:r w:rsidRPr="00655BD4">
        <w:rPr>
          <w:rFonts w:ascii="Arial" w:hAnsi="Arial" w:cs="Arial"/>
        </w:rPr>
        <w:t xml:space="preserve">l artículo 136 de la Ley 1437 de 2011, </w:t>
      </w:r>
      <w:r>
        <w:rPr>
          <w:rFonts w:ascii="Arial" w:hAnsi="Arial" w:cs="Arial"/>
        </w:rPr>
        <w:t xml:space="preserve">sostienen: </w:t>
      </w:r>
    </w:p>
    <w:p w14:paraId="23AC157F" w14:textId="77777777" w:rsidR="006D58A1" w:rsidRPr="008A7917" w:rsidRDefault="006D58A1" w:rsidP="006D58A1">
      <w:pPr>
        <w:spacing w:after="200"/>
        <w:ind w:left="680"/>
        <w:jc w:val="both"/>
        <w:rPr>
          <w:rFonts w:ascii="Arial" w:hAnsi="Arial" w:cs="Arial"/>
          <w:i/>
          <w:sz w:val="20"/>
          <w:szCs w:val="20"/>
        </w:rPr>
      </w:pPr>
      <w:r w:rsidRPr="008A7917">
        <w:rPr>
          <w:rFonts w:ascii="Arial" w:hAnsi="Arial" w:cs="Arial"/>
          <w:b/>
          <w:i/>
          <w:sz w:val="20"/>
          <w:szCs w:val="20"/>
        </w:rPr>
        <w:t>“</w:t>
      </w:r>
      <w:r w:rsidRPr="008A7917">
        <w:rPr>
          <w:rFonts w:ascii="Arial" w:hAnsi="Arial" w:cs="Arial"/>
          <w:b/>
          <w:bCs/>
          <w:i/>
          <w:sz w:val="20"/>
          <w:szCs w:val="20"/>
        </w:rPr>
        <w:t>ARTÍCULO 20. CONTROL DE LEGALIDAD</w:t>
      </w:r>
      <w:r w:rsidRPr="008A7917">
        <w:rPr>
          <w:rFonts w:ascii="Arial" w:hAnsi="Arial" w:cs="Arial"/>
          <w:bCs/>
          <w:i/>
          <w:sz w:val="20"/>
          <w:szCs w:val="20"/>
        </w:rPr>
        <w:t>.</w:t>
      </w:r>
      <w:r w:rsidRPr="008A7917">
        <w:rPr>
          <w:rFonts w:ascii="Arial" w:hAnsi="Arial" w:cs="Arial"/>
          <w:i/>
          <w:sz w:val="20"/>
          <w:szCs w:val="20"/>
        </w:rPr>
        <w:t xml:space="preserve"> Las medidas de carácter general que sean dictadas en ejercicio de la función administrativa y </w:t>
      </w:r>
      <w:r w:rsidRPr="008A7917">
        <w:rPr>
          <w:rFonts w:ascii="Arial" w:hAnsi="Arial" w:cs="Arial"/>
          <w:b/>
          <w:i/>
          <w:sz w:val="20"/>
          <w:szCs w:val="20"/>
          <w:u w:val="single"/>
        </w:rPr>
        <w:t xml:space="preserve">como desarrollo de los decretos legislativos durante los Estados de Excepción, </w:t>
      </w:r>
      <w:r w:rsidRPr="008A7917">
        <w:rPr>
          <w:rFonts w:ascii="Arial" w:hAnsi="Arial" w:cs="Arial"/>
          <w:i/>
          <w:sz w:val="20"/>
          <w:szCs w:val="20"/>
        </w:rPr>
        <w:t xml:space="preserve">tendrán un control inmediato de legalidad, ejercido por la autoridad de lo contencioso administrativo en el lugar donde se expidan si se tratare de entidades territoriales o del Consejo de Estado si emanaren de autoridades nacionales. </w:t>
      </w:r>
    </w:p>
    <w:p w14:paraId="1BC17A96" w14:textId="77777777" w:rsidR="006D58A1" w:rsidRPr="008A7917" w:rsidRDefault="006D58A1" w:rsidP="006D58A1">
      <w:pPr>
        <w:spacing w:after="200"/>
        <w:ind w:left="680"/>
        <w:jc w:val="both"/>
        <w:rPr>
          <w:rFonts w:ascii="Arial" w:hAnsi="Arial" w:cs="Arial"/>
          <w:i/>
          <w:sz w:val="20"/>
          <w:szCs w:val="20"/>
        </w:rPr>
      </w:pPr>
      <w:r w:rsidRPr="008A7917">
        <w:rPr>
          <w:rFonts w:ascii="Arial" w:hAnsi="Arial" w:cs="Arial"/>
          <w:i/>
          <w:sz w:val="20"/>
          <w:szCs w:val="20"/>
        </w:rPr>
        <w:t>Las autoridades competentes que los expidan enviarán los actos administrativos a la jurisdicción contencioso-administrativa indicada, dentro de las cuarenta y ocho (48) horas siguientes a su expedición”. (negrillas y subrayas fuera de texto)</w:t>
      </w:r>
      <w:r>
        <w:rPr>
          <w:rFonts w:ascii="Arial" w:hAnsi="Arial" w:cs="Arial"/>
          <w:i/>
          <w:sz w:val="20"/>
          <w:szCs w:val="20"/>
        </w:rPr>
        <w:t>.</w:t>
      </w:r>
    </w:p>
    <w:p w14:paraId="688890F9" w14:textId="77777777" w:rsidR="006D58A1" w:rsidRDefault="006D58A1" w:rsidP="006D58A1">
      <w:pPr>
        <w:spacing w:after="200"/>
        <w:jc w:val="both"/>
        <w:rPr>
          <w:rFonts w:ascii="Arial" w:hAnsi="Arial" w:cs="Arial"/>
        </w:rPr>
      </w:pPr>
      <w:r>
        <w:rPr>
          <w:rFonts w:ascii="Arial" w:hAnsi="Arial" w:cs="Arial"/>
        </w:rPr>
        <w:t>Este precepto fue reproducido por el artículo 136 del CPACA, así:</w:t>
      </w:r>
    </w:p>
    <w:p w14:paraId="5A2EA168" w14:textId="77777777" w:rsidR="006D58A1" w:rsidRPr="008A7917" w:rsidRDefault="006D58A1" w:rsidP="006D58A1">
      <w:pPr>
        <w:spacing w:after="200"/>
        <w:ind w:left="680"/>
        <w:jc w:val="both"/>
        <w:rPr>
          <w:rFonts w:ascii="Arial" w:hAnsi="Arial" w:cs="Arial"/>
          <w:i/>
          <w:sz w:val="20"/>
          <w:szCs w:val="20"/>
        </w:rPr>
      </w:pPr>
      <w:r w:rsidRPr="00D154C6">
        <w:rPr>
          <w:rFonts w:ascii="Arial" w:hAnsi="Arial" w:cs="Arial"/>
          <w:b/>
          <w:bCs/>
          <w:i/>
        </w:rPr>
        <w:lastRenderedPageBreak/>
        <w:t xml:space="preserve"> </w:t>
      </w:r>
      <w:r w:rsidRPr="008A7917">
        <w:rPr>
          <w:rFonts w:ascii="Arial" w:hAnsi="Arial" w:cs="Arial"/>
          <w:b/>
          <w:bCs/>
          <w:i/>
          <w:sz w:val="20"/>
          <w:szCs w:val="20"/>
        </w:rPr>
        <w:t>“ARTÍCULO 136. CONTROL INMEDIATO DE LEGALIDAD</w:t>
      </w:r>
      <w:r w:rsidRPr="008A7917">
        <w:rPr>
          <w:rFonts w:ascii="Arial" w:hAnsi="Arial" w:cs="Arial"/>
          <w:bCs/>
          <w:i/>
          <w:sz w:val="20"/>
          <w:szCs w:val="20"/>
        </w:rPr>
        <w:t>.</w:t>
      </w:r>
      <w:r w:rsidRPr="008A7917">
        <w:rPr>
          <w:rFonts w:ascii="Arial" w:hAnsi="Arial" w:cs="Arial"/>
          <w:i/>
          <w:sz w:val="20"/>
          <w:szCs w:val="20"/>
        </w:rPr>
        <w:t xml:space="preserve"> Las medidas de carácter general que sean dictadas en ejercicio de la función administrativa y </w:t>
      </w:r>
      <w:r w:rsidRPr="008A7917">
        <w:rPr>
          <w:rFonts w:ascii="Arial" w:hAnsi="Arial" w:cs="Arial"/>
          <w:b/>
          <w:i/>
          <w:sz w:val="20"/>
          <w:szCs w:val="20"/>
          <w:u w:val="single"/>
        </w:rPr>
        <w:t>como desarrollo de los decretos legislativos</w:t>
      </w:r>
      <w:r w:rsidRPr="008A7917">
        <w:rPr>
          <w:rFonts w:ascii="Arial" w:hAnsi="Arial" w:cs="Arial"/>
          <w:i/>
          <w:sz w:val="20"/>
          <w:szCs w:val="20"/>
        </w:rPr>
        <w:t xml:space="preserve">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49F303C6" w14:textId="77777777" w:rsidR="006D58A1" w:rsidRPr="008A7917" w:rsidRDefault="006D58A1" w:rsidP="006D58A1">
      <w:pPr>
        <w:spacing w:after="200"/>
        <w:ind w:left="680"/>
        <w:jc w:val="both"/>
        <w:rPr>
          <w:rFonts w:ascii="Arial" w:hAnsi="Arial" w:cs="Arial"/>
          <w:i/>
          <w:sz w:val="20"/>
          <w:szCs w:val="20"/>
        </w:rPr>
      </w:pPr>
      <w:r>
        <w:rPr>
          <w:rFonts w:ascii="Arial" w:hAnsi="Arial" w:cs="Arial"/>
          <w:i/>
          <w:sz w:val="20"/>
          <w:szCs w:val="20"/>
        </w:rPr>
        <w:t>“</w:t>
      </w:r>
      <w:r w:rsidRPr="008A7917">
        <w:rPr>
          <w:rFonts w:ascii="Arial" w:hAnsi="Arial" w:cs="Arial"/>
          <w:i/>
          <w:sz w:val="20"/>
          <w:szCs w:val="20"/>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(negrillas y subrayas fuera de texto)</w:t>
      </w:r>
    </w:p>
    <w:p w14:paraId="0AE4997A" w14:textId="77777777" w:rsidR="006D58A1" w:rsidRPr="00FB56FF" w:rsidRDefault="006D58A1" w:rsidP="006D58A1">
      <w:pPr>
        <w:spacing w:after="200"/>
        <w:jc w:val="both"/>
        <w:rPr>
          <w:rFonts w:ascii="Arial" w:hAnsi="Arial" w:cs="Arial"/>
        </w:rPr>
      </w:pPr>
      <w:r>
        <w:rPr>
          <w:rFonts w:ascii="Arial" w:hAnsi="Arial" w:cs="Arial"/>
        </w:rPr>
        <w:t>Por su parte el artículo 151-14</w:t>
      </w:r>
      <w:r w:rsidRPr="0056178E">
        <w:rPr>
          <w:rFonts w:ascii="Arial" w:hAnsi="Arial" w:cs="Arial"/>
        </w:rPr>
        <w:t xml:space="preserve"> </w:t>
      </w:r>
      <w:r>
        <w:rPr>
          <w:rFonts w:ascii="Arial" w:hAnsi="Arial" w:cs="Arial"/>
        </w:rPr>
        <w:t xml:space="preserve">del CPACA, dispone que los Tribunales Administrativos conocerán en única instancia </w:t>
      </w:r>
      <w:r w:rsidRPr="00FB56FF">
        <w:rPr>
          <w:rFonts w:ascii="Arial" w:hAnsi="Arial" w:cs="Arial"/>
          <w:sz w:val="20"/>
          <w:szCs w:val="20"/>
        </w:rPr>
        <w:t xml:space="preserve">“del control  inmediato de legalidad de los actos de carácter general que sean proferidos </w:t>
      </w:r>
      <w:r w:rsidRPr="00FB56FF">
        <w:rPr>
          <w:rFonts w:ascii="Arial" w:hAnsi="Arial" w:cs="Arial"/>
          <w:b/>
          <w:sz w:val="20"/>
          <w:szCs w:val="20"/>
          <w:u w:val="single"/>
        </w:rPr>
        <w:t>en ejercicio de la función administrativa durante los estados de excepción y como desarrollo de los decretos legislativos</w:t>
      </w:r>
      <w:r w:rsidRPr="00FB56FF">
        <w:rPr>
          <w:rFonts w:ascii="Arial" w:hAnsi="Arial" w:cs="Arial"/>
          <w:sz w:val="20"/>
          <w:szCs w:val="20"/>
        </w:rPr>
        <w:t xml:space="preserve"> que fueren dictados por autoridades territoriales departamentales y municipales, cuya competencia corresponderá al tribunal del lugar donde se expidan.”</w:t>
      </w:r>
      <w:r>
        <w:rPr>
          <w:rFonts w:ascii="Arial" w:hAnsi="Arial" w:cs="Arial"/>
        </w:rPr>
        <w:t xml:space="preserve"> </w:t>
      </w:r>
      <w:r w:rsidRPr="00FB56FF">
        <w:rPr>
          <w:rFonts w:ascii="Arial" w:hAnsi="Arial" w:cs="Arial"/>
        </w:rPr>
        <w:t>(negrillas y subrayas fuera de texto)</w:t>
      </w:r>
    </w:p>
    <w:p w14:paraId="7EE088ED" w14:textId="77777777" w:rsidR="006D58A1" w:rsidRDefault="006D58A1" w:rsidP="006D58A1">
      <w:pPr>
        <w:spacing w:after="200"/>
        <w:jc w:val="both"/>
        <w:rPr>
          <w:rFonts w:ascii="Arial" w:hAnsi="Arial" w:cs="Arial"/>
        </w:rPr>
      </w:pPr>
      <w:r>
        <w:rPr>
          <w:rFonts w:ascii="Arial" w:hAnsi="Arial" w:cs="Arial"/>
        </w:rPr>
        <w:t>El Consejo de Estado ha analizado el control inmediato según se cita a continuación:</w:t>
      </w:r>
    </w:p>
    <w:p w14:paraId="06F1E15D" w14:textId="77777777" w:rsidR="006D58A1" w:rsidRPr="000F0100" w:rsidRDefault="006D58A1" w:rsidP="006D58A1">
      <w:pPr>
        <w:spacing w:after="200"/>
        <w:ind w:left="680"/>
        <w:jc w:val="both"/>
        <w:rPr>
          <w:rFonts w:ascii="Arial" w:hAnsi="Arial" w:cs="Arial"/>
          <w:i/>
          <w:sz w:val="20"/>
          <w:szCs w:val="20"/>
        </w:rPr>
      </w:pPr>
      <w:r w:rsidRPr="000F0100">
        <w:rPr>
          <w:rFonts w:ascii="Arial" w:eastAsia="Arial" w:hAnsi="Arial" w:cs="Arial"/>
          <w:sz w:val="20"/>
          <w:szCs w:val="20"/>
        </w:rPr>
        <w:t>“De</w:t>
      </w:r>
      <w:r w:rsidRPr="000F0100">
        <w:rPr>
          <w:rFonts w:ascii="Arial" w:eastAsia="Arial" w:hAnsi="Arial" w:cs="Arial"/>
          <w:spacing w:val="19"/>
          <w:sz w:val="20"/>
          <w:szCs w:val="20"/>
        </w:rPr>
        <w:t xml:space="preserve"> </w:t>
      </w:r>
      <w:r w:rsidRPr="000F0100">
        <w:rPr>
          <w:rFonts w:ascii="Arial" w:eastAsia="Arial" w:hAnsi="Arial" w:cs="Arial"/>
          <w:sz w:val="20"/>
          <w:szCs w:val="20"/>
        </w:rPr>
        <w:t>conformidad</w:t>
      </w:r>
      <w:r w:rsidRPr="000F0100">
        <w:rPr>
          <w:rFonts w:ascii="Arial" w:eastAsia="Arial" w:hAnsi="Arial" w:cs="Arial"/>
          <w:spacing w:val="19"/>
          <w:sz w:val="20"/>
          <w:szCs w:val="20"/>
        </w:rPr>
        <w:t xml:space="preserve"> </w:t>
      </w:r>
      <w:r w:rsidRPr="000F0100">
        <w:rPr>
          <w:rFonts w:ascii="Arial" w:eastAsia="Arial" w:hAnsi="Arial" w:cs="Arial"/>
          <w:sz w:val="20"/>
          <w:szCs w:val="20"/>
        </w:rPr>
        <w:t>con</w:t>
      </w:r>
      <w:r w:rsidRPr="000F0100">
        <w:rPr>
          <w:rFonts w:ascii="Arial" w:eastAsia="Arial" w:hAnsi="Arial" w:cs="Arial"/>
          <w:spacing w:val="19"/>
          <w:sz w:val="20"/>
          <w:szCs w:val="20"/>
        </w:rPr>
        <w:t xml:space="preserve"> </w:t>
      </w:r>
      <w:r w:rsidRPr="000F0100">
        <w:rPr>
          <w:rFonts w:ascii="Arial" w:eastAsia="Arial" w:hAnsi="Arial" w:cs="Arial"/>
          <w:sz w:val="20"/>
          <w:szCs w:val="20"/>
        </w:rPr>
        <w:t>lo</w:t>
      </w:r>
      <w:r w:rsidRPr="000F0100">
        <w:rPr>
          <w:rFonts w:ascii="Arial" w:eastAsia="Arial" w:hAnsi="Arial" w:cs="Arial"/>
          <w:spacing w:val="19"/>
          <w:sz w:val="20"/>
          <w:szCs w:val="20"/>
        </w:rPr>
        <w:t xml:space="preserve"> </w:t>
      </w:r>
      <w:r w:rsidRPr="000F0100">
        <w:rPr>
          <w:rFonts w:ascii="Arial" w:eastAsia="Arial" w:hAnsi="Arial" w:cs="Arial"/>
          <w:sz w:val="20"/>
          <w:szCs w:val="20"/>
        </w:rPr>
        <w:t>dis</w:t>
      </w:r>
      <w:r w:rsidRPr="000F0100">
        <w:rPr>
          <w:rFonts w:ascii="Arial" w:eastAsia="Arial" w:hAnsi="Arial" w:cs="Arial"/>
          <w:spacing w:val="1"/>
          <w:sz w:val="20"/>
          <w:szCs w:val="20"/>
        </w:rPr>
        <w:t>p</w:t>
      </w:r>
      <w:r w:rsidRPr="000F0100">
        <w:rPr>
          <w:rFonts w:ascii="Arial" w:eastAsia="Arial" w:hAnsi="Arial" w:cs="Arial"/>
          <w:sz w:val="20"/>
          <w:szCs w:val="20"/>
        </w:rPr>
        <w:t>uesto</w:t>
      </w:r>
      <w:r w:rsidRPr="000F0100">
        <w:rPr>
          <w:rFonts w:ascii="Arial" w:eastAsia="Arial" w:hAnsi="Arial" w:cs="Arial"/>
          <w:spacing w:val="19"/>
          <w:sz w:val="20"/>
          <w:szCs w:val="20"/>
        </w:rPr>
        <w:t xml:space="preserve"> </w:t>
      </w:r>
      <w:r w:rsidRPr="000F0100">
        <w:rPr>
          <w:rFonts w:ascii="Arial" w:eastAsia="Arial" w:hAnsi="Arial" w:cs="Arial"/>
          <w:sz w:val="20"/>
          <w:szCs w:val="20"/>
        </w:rPr>
        <w:t>en</w:t>
      </w:r>
      <w:r w:rsidRPr="000F0100">
        <w:rPr>
          <w:rFonts w:ascii="Arial" w:eastAsia="Arial" w:hAnsi="Arial" w:cs="Arial"/>
          <w:spacing w:val="19"/>
          <w:sz w:val="20"/>
          <w:szCs w:val="20"/>
        </w:rPr>
        <w:t xml:space="preserve"> </w:t>
      </w:r>
      <w:r w:rsidRPr="000F0100">
        <w:rPr>
          <w:rFonts w:ascii="Arial" w:eastAsia="Arial" w:hAnsi="Arial" w:cs="Arial"/>
          <w:sz w:val="20"/>
          <w:szCs w:val="20"/>
        </w:rPr>
        <w:t>los</w:t>
      </w:r>
      <w:r w:rsidRPr="000F0100">
        <w:rPr>
          <w:rFonts w:ascii="Arial" w:eastAsia="Arial" w:hAnsi="Arial" w:cs="Arial"/>
          <w:spacing w:val="19"/>
          <w:sz w:val="20"/>
          <w:szCs w:val="20"/>
        </w:rPr>
        <w:t xml:space="preserve"> </w:t>
      </w:r>
      <w:r w:rsidRPr="000F0100">
        <w:rPr>
          <w:rFonts w:ascii="Arial" w:eastAsia="Arial" w:hAnsi="Arial" w:cs="Arial"/>
          <w:sz w:val="20"/>
          <w:szCs w:val="20"/>
        </w:rPr>
        <w:t>a</w:t>
      </w:r>
      <w:r w:rsidRPr="000F0100">
        <w:rPr>
          <w:rFonts w:ascii="Arial" w:eastAsia="Arial" w:hAnsi="Arial" w:cs="Arial"/>
          <w:spacing w:val="2"/>
          <w:sz w:val="20"/>
          <w:szCs w:val="20"/>
        </w:rPr>
        <w:t>r</w:t>
      </w:r>
      <w:r w:rsidRPr="000F0100">
        <w:rPr>
          <w:rFonts w:ascii="Arial" w:eastAsia="Arial" w:hAnsi="Arial" w:cs="Arial"/>
          <w:sz w:val="20"/>
          <w:szCs w:val="20"/>
        </w:rPr>
        <w:t>tículos</w:t>
      </w:r>
      <w:r w:rsidRPr="000F0100">
        <w:rPr>
          <w:rFonts w:ascii="Arial" w:eastAsia="Arial" w:hAnsi="Arial" w:cs="Arial"/>
          <w:spacing w:val="19"/>
          <w:sz w:val="20"/>
          <w:szCs w:val="20"/>
        </w:rPr>
        <w:t xml:space="preserve"> </w:t>
      </w:r>
      <w:r w:rsidRPr="000F0100">
        <w:rPr>
          <w:rFonts w:ascii="Arial" w:eastAsia="Arial" w:hAnsi="Arial" w:cs="Arial"/>
          <w:sz w:val="20"/>
          <w:szCs w:val="20"/>
        </w:rPr>
        <w:t>20</w:t>
      </w:r>
      <w:r w:rsidRPr="000F0100">
        <w:rPr>
          <w:rFonts w:ascii="Arial" w:eastAsia="Arial" w:hAnsi="Arial" w:cs="Arial"/>
          <w:spacing w:val="19"/>
          <w:sz w:val="20"/>
          <w:szCs w:val="20"/>
        </w:rPr>
        <w:t xml:space="preserve"> </w:t>
      </w:r>
      <w:r w:rsidRPr="000F0100">
        <w:rPr>
          <w:rFonts w:ascii="Arial" w:eastAsia="Arial" w:hAnsi="Arial" w:cs="Arial"/>
          <w:sz w:val="20"/>
          <w:szCs w:val="20"/>
        </w:rPr>
        <w:t>de</w:t>
      </w:r>
      <w:r w:rsidRPr="000F0100">
        <w:rPr>
          <w:rFonts w:ascii="Arial" w:eastAsia="Arial" w:hAnsi="Arial" w:cs="Arial"/>
          <w:spacing w:val="19"/>
          <w:sz w:val="20"/>
          <w:szCs w:val="20"/>
        </w:rPr>
        <w:t xml:space="preserve"> </w:t>
      </w:r>
      <w:r w:rsidRPr="000F0100">
        <w:rPr>
          <w:rFonts w:ascii="Arial" w:eastAsia="Arial" w:hAnsi="Arial" w:cs="Arial"/>
          <w:sz w:val="20"/>
          <w:szCs w:val="20"/>
        </w:rPr>
        <w:t>la</w:t>
      </w:r>
      <w:r w:rsidRPr="000F0100">
        <w:rPr>
          <w:rFonts w:ascii="Arial" w:eastAsia="Arial" w:hAnsi="Arial" w:cs="Arial"/>
          <w:spacing w:val="19"/>
          <w:sz w:val="20"/>
          <w:szCs w:val="20"/>
        </w:rPr>
        <w:t xml:space="preserve"> </w:t>
      </w:r>
      <w:r w:rsidRPr="000F0100">
        <w:rPr>
          <w:rFonts w:ascii="Arial" w:eastAsia="Arial" w:hAnsi="Arial" w:cs="Arial"/>
          <w:sz w:val="20"/>
          <w:szCs w:val="20"/>
        </w:rPr>
        <w:t>Ley</w:t>
      </w:r>
      <w:r w:rsidRPr="000F0100">
        <w:rPr>
          <w:rFonts w:ascii="Arial" w:eastAsia="Arial" w:hAnsi="Arial" w:cs="Arial"/>
          <w:spacing w:val="19"/>
          <w:sz w:val="20"/>
          <w:szCs w:val="20"/>
        </w:rPr>
        <w:t xml:space="preserve"> </w:t>
      </w:r>
      <w:r w:rsidRPr="000F0100">
        <w:rPr>
          <w:rFonts w:ascii="Arial" w:eastAsia="Arial" w:hAnsi="Arial" w:cs="Arial"/>
          <w:sz w:val="20"/>
          <w:szCs w:val="20"/>
        </w:rPr>
        <w:t>137</w:t>
      </w:r>
      <w:r w:rsidRPr="000F0100">
        <w:rPr>
          <w:rFonts w:ascii="Arial" w:eastAsia="Arial" w:hAnsi="Arial" w:cs="Arial"/>
          <w:spacing w:val="19"/>
          <w:sz w:val="20"/>
          <w:szCs w:val="20"/>
        </w:rPr>
        <w:t xml:space="preserve"> </w:t>
      </w:r>
      <w:r w:rsidRPr="000F0100">
        <w:rPr>
          <w:rFonts w:ascii="Arial" w:eastAsia="Arial" w:hAnsi="Arial" w:cs="Arial"/>
          <w:sz w:val="20"/>
          <w:szCs w:val="20"/>
        </w:rPr>
        <w:t>de</w:t>
      </w:r>
      <w:r w:rsidRPr="000F0100">
        <w:rPr>
          <w:rFonts w:ascii="Arial" w:eastAsia="Arial" w:hAnsi="Arial" w:cs="Arial"/>
          <w:spacing w:val="19"/>
          <w:sz w:val="20"/>
          <w:szCs w:val="20"/>
        </w:rPr>
        <w:t xml:space="preserve"> </w:t>
      </w:r>
      <w:r w:rsidRPr="000F0100">
        <w:rPr>
          <w:rFonts w:ascii="Arial" w:eastAsia="Arial" w:hAnsi="Arial" w:cs="Arial"/>
          <w:sz w:val="20"/>
          <w:szCs w:val="20"/>
        </w:rPr>
        <w:t>1994,</w:t>
      </w:r>
      <w:r w:rsidRPr="000F0100">
        <w:rPr>
          <w:rFonts w:ascii="Arial" w:eastAsia="Arial" w:hAnsi="Arial" w:cs="Arial"/>
          <w:spacing w:val="19"/>
          <w:sz w:val="20"/>
          <w:szCs w:val="20"/>
        </w:rPr>
        <w:t xml:space="preserve"> </w:t>
      </w:r>
      <w:r w:rsidRPr="000F0100">
        <w:rPr>
          <w:rFonts w:ascii="Arial" w:eastAsia="Arial" w:hAnsi="Arial" w:cs="Arial"/>
          <w:sz w:val="20"/>
          <w:szCs w:val="20"/>
        </w:rPr>
        <w:t>37-2 de la Ley 270 de 1996 y 97-2 del Código C</w:t>
      </w:r>
      <w:r w:rsidRPr="000F0100">
        <w:rPr>
          <w:rFonts w:ascii="Arial" w:eastAsia="Arial" w:hAnsi="Arial" w:cs="Arial"/>
          <w:spacing w:val="3"/>
          <w:sz w:val="20"/>
          <w:szCs w:val="20"/>
        </w:rPr>
        <w:t>o</w:t>
      </w:r>
      <w:r w:rsidRPr="000F0100">
        <w:rPr>
          <w:rFonts w:ascii="Arial" w:eastAsia="Arial" w:hAnsi="Arial" w:cs="Arial"/>
          <w:sz w:val="20"/>
          <w:szCs w:val="20"/>
        </w:rPr>
        <w:t>ntencioso Administrativo, corresponde a la Sala Plena del Consejo de Estado eje</w:t>
      </w:r>
      <w:r w:rsidRPr="000F0100">
        <w:rPr>
          <w:rFonts w:ascii="Arial" w:eastAsia="Arial" w:hAnsi="Arial" w:cs="Arial"/>
          <w:spacing w:val="3"/>
          <w:sz w:val="20"/>
          <w:szCs w:val="20"/>
        </w:rPr>
        <w:t>r</w:t>
      </w:r>
      <w:r w:rsidRPr="000F0100">
        <w:rPr>
          <w:rFonts w:ascii="Arial" w:eastAsia="Arial" w:hAnsi="Arial" w:cs="Arial"/>
          <w:sz w:val="20"/>
          <w:szCs w:val="20"/>
        </w:rPr>
        <w:t>cer el control inmediato de legalidad de los</w:t>
      </w:r>
      <w:r w:rsidRPr="000F0100">
        <w:rPr>
          <w:rFonts w:ascii="Arial" w:eastAsia="Arial" w:hAnsi="Arial" w:cs="Arial"/>
          <w:spacing w:val="1"/>
          <w:sz w:val="20"/>
          <w:szCs w:val="20"/>
        </w:rPr>
        <w:t xml:space="preserve"> </w:t>
      </w:r>
      <w:r w:rsidRPr="000F0100">
        <w:rPr>
          <w:rFonts w:ascii="Arial" w:eastAsia="Arial" w:hAnsi="Arial" w:cs="Arial"/>
          <w:sz w:val="20"/>
          <w:szCs w:val="20"/>
        </w:rPr>
        <w:t>actos</w:t>
      </w:r>
      <w:r w:rsidRPr="000F0100">
        <w:rPr>
          <w:rFonts w:ascii="Arial" w:eastAsia="Arial" w:hAnsi="Arial" w:cs="Arial"/>
          <w:spacing w:val="1"/>
          <w:sz w:val="20"/>
          <w:szCs w:val="20"/>
        </w:rPr>
        <w:t xml:space="preserve"> </w:t>
      </w:r>
      <w:r w:rsidRPr="000F0100">
        <w:rPr>
          <w:rFonts w:ascii="Arial" w:eastAsia="Arial" w:hAnsi="Arial" w:cs="Arial"/>
          <w:sz w:val="20"/>
          <w:szCs w:val="20"/>
        </w:rPr>
        <w:t>administrativos</w:t>
      </w:r>
      <w:r w:rsidRPr="000F0100">
        <w:rPr>
          <w:rFonts w:ascii="Arial" w:eastAsia="Arial" w:hAnsi="Arial" w:cs="Arial"/>
          <w:spacing w:val="1"/>
          <w:sz w:val="20"/>
          <w:szCs w:val="20"/>
        </w:rPr>
        <w:t xml:space="preserve"> </w:t>
      </w:r>
      <w:r w:rsidRPr="000F0100">
        <w:rPr>
          <w:rFonts w:ascii="Arial" w:eastAsia="Arial" w:hAnsi="Arial" w:cs="Arial"/>
          <w:sz w:val="20"/>
          <w:szCs w:val="20"/>
        </w:rPr>
        <w:t>de</w:t>
      </w:r>
      <w:r w:rsidRPr="000F0100">
        <w:rPr>
          <w:rFonts w:ascii="Arial" w:eastAsia="Arial" w:hAnsi="Arial" w:cs="Arial"/>
          <w:spacing w:val="2"/>
          <w:sz w:val="20"/>
          <w:szCs w:val="20"/>
        </w:rPr>
        <w:t xml:space="preserve"> </w:t>
      </w:r>
      <w:r w:rsidRPr="000F0100">
        <w:rPr>
          <w:rFonts w:ascii="Arial" w:eastAsia="Arial" w:hAnsi="Arial" w:cs="Arial"/>
          <w:sz w:val="20"/>
          <w:szCs w:val="20"/>
        </w:rPr>
        <w:t>carácter general proferidos por auto</w:t>
      </w:r>
      <w:r w:rsidRPr="000F0100">
        <w:rPr>
          <w:rFonts w:ascii="Arial" w:eastAsia="Arial" w:hAnsi="Arial" w:cs="Arial"/>
          <w:spacing w:val="2"/>
          <w:sz w:val="20"/>
          <w:szCs w:val="20"/>
        </w:rPr>
        <w:t>r</w:t>
      </w:r>
      <w:r w:rsidRPr="000F0100">
        <w:rPr>
          <w:rFonts w:ascii="Arial" w:eastAsia="Arial" w:hAnsi="Arial" w:cs="Arial"/>
          <w:spacing w:val="-1"/>
          <w:sz w:val="20"/>
          <w:szCs w:val="20"/>
        </w:rPr>
        <w:t>i</w:t>
      </w:r>
      <w:r w:rsidRPr="000F0100">
        <w:rPr>
          <w:rFonts w:ascii="Arial" w:eastAsia="Arial" w:hAnsi="Arial" w:cs="Arial"/>
          <w:sz w:val="20"/>
          <w:szCs w:val="20"/>
        </w:rPr>
        <w:t>dades</w:t>
      </w:r>
      <w:r w:rsidRPr="000F0100">
        <w:rPr>
          <w:rFonts w:ascii="Arial" w:eastAsia="Arial" w:hAnsi="Arial" w:cs="Arial"/>
          <w:spacing w:val="2"/>
          <w:sz w:val="20"/>
          <w:szCs w:val="20"/>
        </w:rPr>
        <w:t xml:space="preserve"> </w:t>
      </w:r>
      <w:r w:rsidRPr="000F0100">
        <w:rPr>
          <w:rFonts w:ascii="Arial" w:eastAsia="Arial" w:hAnsi="Arial" w:cs="Arial"/>
          <w:sz w:val="20"/>
          <w:szCs w:val="20"/>
        </w:rPr>
        <w:t xml:space="preserve">del orden nacional,  en  ejercicio  de  la </w:t>
      </w:r>
      <w:r w:rsidRPr="000F0100">
        <w:rPr>
          <w:rFonts w:ascii="Arial" w:eastAsia="Arial" w:hAnsi="Arial" w:cs="Arial"/>
          <w:spacing w:val="1"/>
          <w:sz w:val="20"/>
          <w:szCs w:val="20"/>
        </w:rPr>
        <w:t xml:space="preserve"> </w:t>
      </w:r>
      <w:r w:rsidRPr="000F0100">
        <w:rPr>
          <w:rFonts w:ascii="Arial" w:eastAsia="Arial" w:hAnsi="Arial" w:cs="Arial"/>
          <w:spacing w:val="2"/>
          <w:sz w:val="20"/>
          <w:szCs w:val="20"/>
        </w:rPr>
        <w:t>f</w:t>
      </w:r>
      <w:r w:rsidRPr="000F0100">
        <w:rPr>
          <w:rFonts w:ascii="Arial" w:eastAsia="Arial" w:hAnsi="Arial" w:cs="Arial"/>
          <w:sz w:val="20"/>
          <w:szCs w:val="20"/>
        </w:rPr>
        <w:t>unción  administrativa  y  como  desarrollo  de  los decretos exp</w:t>
      </w:r>
      <w:r w:rsidRPr="000F0100">
        <w:rPr>
          <w:rFonts w:ascii="Arial" w:eastAsia="Arial" w:hAnsi="Arial" w:cs="Arial"/>
          <w:spacing w:val="1"/>
          <w:sz w:val="20"/>
          <w:szCs w:val="20"/>
        </w:rPr>
        <w:t>e</w:t>
      </w:r>
      <w:r w:rsidRPr="000F0100">
        <w:rPr>
          <w:rFonts w:ascii="Arial" w:eastAsia="Arial" w:hAnsi="Arial" w:cs="Arial"/>
          <w:sz w:val="20"/>
          <w:szCs w:val="20"/>
        </w:rPr>
        <w:t>didos durante los estados de excep</w:t>
      </w:r>
      <w:r w:rsidRPr="000F0100">
        <w:rPr>
          <w:rFonts w:ascii="Arial" w:eastAsia="Arial" w:hAnsi="Arial" w:cs="Arial"/>
          <w:spacing w:val="1"/>
          <w:sz w:val="20"/>
          <w:szCs w:val="20"/>
        </w:rPr>
        <w:t>c</w:t>
      </w:r>
      <w:r w:rsidRPr="000F0100">
        <w:rPr>
          <w:rFonts w:ascii="Arial" w:eastAsia="Arial" w:hAnsi="Arial" w:cs="Arial"/>
          <w:sz w:val="20"/>
          <w:szCs w:val="20"/>
        </w:rPr>
        <w:t>ión</w:t>
      </w:r>
      <w:r w:rsidRPr="000F0100">
        <w:rPr>
          <w:rFonts w:ascii="Arial" w:hAnsi="Arial" w:cs="Arial"/>
          <w:sz w:val="20"/>
          <w:szCs w:val="20"/>
        </w:rPr>
        <w:t xml:space="preserve"> (…) “</w:t>
      </w:r>
      <w:r w:rsidRPr="000F0100">
        <w:rPr>
          <w:rFonts w:ascii="Arial" w:eastAsia="Arial" w:hAnsi="Arial" w:cs="Arial"/>
          <w:sz w:val="20"/>
          <w:szCs w:val="20"/>
        </w:rPr>
        <w:t>El control inmediato de legalidad es el m</w:t>
      </w:r>
      <w:r w:rsidRPr="000F0100">
        <w:rPr>
          <w:rFonts w:ascii="Arial" w:eastAsia="Arial" w:hAnsi="Arial" w:cs="Arial"/>
          <w:spacing w:val="1"/>
          <w:sz w:val="20"/>
          <w:szCs w:val="20"/>
        </w:rPr>
        <w:t>e</w:t>
      </w:r>
      <w:r w:rsidRPr="000F0100">
        <w:rPr>
          <w:rFonts w:ascii="Arial" w:eastAsia="Arial" w:hAnsi="Arial" w:cs="Arial"/>
          <w:sz w:val="20"/>
          <w:szCs w:val="20"/>
        </w:rPr>
        <w:t>dio jurídico previsto en</w:t>
      </w:r>
      <w:r w:rsidRPr="000F0100">
        <w:rPr>
          <w:rFonts w:ascii="Arial" w:eastAsia="Arial" w:hAnsi="Arial" w:cs="Arial"/>
          <w:spacing w:val="1"/>
          <w:sz w:val="20"/>
          <w:szCs w:val="20"/>
        </w:rPr>
        <w:t xml:space="preserve"> </w:t>
      </w:r>
      <w:r w:rsidRPr="000F0100">
        <w:rPr>
          <w:rFonts w:ascii="Arial" w:eastAsia="Arial" w:hAnsi="Arial" w:cs="Arial"/>
          <w:sz w:val="20"/>
          <w:szCs w:val="20"/>
        </w:rPr>
        <w:t>la Consti</w:t>
      </w:r>
      <w:r w:rsidRPr="000F0100">
        <w:rPr>
          <w:rFonts w:ascii="Arial" w:eastAsia="Arial" w:hAnsi="Arial" w:cs="Arial"/>
          <w:spacing w:val="2"/>
          <w:sz w:val="20"/>
          <w:szCs w:val="20"/>
        </w:rPr>
        <w:t>t</w:t>
      </w:r>
      <w:r w:rsidRPr="000F0100">
        <w:rPr>
          <w:rFonts w:ascii="Arial" w:eastAsia="Arial" w:hAnsi="Arial" w:cs="Arial"/>
          <w:sz w:val="20"/>
          <w:szCs w:val="20"/>
        </w:rPr>
        <w:t xml:space="preserve">ución Política para  examinar  </w:t>
      </w:r>
      <w:r w:rsidRPr="000F0100">
        <w:rPr>
          <w:rFonts w:ascii="Arial" w:eastAsia="Arial" w:hAnsi="Arial" w:cs="Arial"/>
          <w:b/>
          <w:sz w:val="20"/>
          <w:szCs w:val="20"/>
          <w:u w:val="single"/>
        </w:rPr>
        <w:t>los  ac</w:t>
      </w:r>
      <w:r w:rsidRPr="000F0100">
        <w:rPr>
          <w:rFonts w:ascii="Arial" w:eastAsia="Arial" w:hAnsi="Arial" w:cs="Arial"/>
          <w:b/>
          <w:spacing w:val="2"/>
          <w:sz w:val="20"/>
          <w:szCs w:val="20"/>
          <w:u w:val="single"/>
        </w:rPr>
        <w:t>t</w:t>
      </w:r>
      <w:r w:rsidRPr="000F0100">
        <w:rPr>
          <w:rFonts w:ascii="Arial" w:eastAsia="Arial" w:hAnsi="Arial" w:cs="Arial"/>
          <w:b/>
          <w:sz w:val="20"/>
          <w:szCs w:val="20"/>
          <w:u w:val="single"/>
        </w:rPr>
        <w:t>os  admi</w:t>
      </w:r>
      <w:r w:rsidRPr="000F0100">
        <w:rPr>
          <w:rFonts w:ascii="Arial" w:eastAsia="Arial" w:hAnsi="Arial" w:cs="Arial"/>
          <w:b/>
          <w:spacing w:val="2"/>
          <w:sz w:val="20"/>
          <w:szCs w:val="20"/>
          <w:u w:val="single"/>
        </w:rPr>
        <w:t>n</w:t>
      </w:r>
      <w:r w:rsidRPr="000F0100">
        <w:rPr>
          <w:rFonts w:ascii="Arial" w:eastAsia="Arial" w:hAnsi="Arial" w:cs="Arial"/>
          <w:b/>
          <w:sz w:val="20"/>
          <w:szCs w:val="20"/>
          <w:u w:val="single"/>
        </w:rPr>
        <w:t>istrativos  de  carác</w:t>
      </w:r>
      <w:r w:rsidRPr="000F0100">
        <w:rPr>
          <w:rFonts w:ascii="Arial" w:eastAsia="Arial" w:hAnsi="Arial" w:cs="Arial"/>
          <w:b/>
          <w:spacing w:val="1"/>
          <w:sz w:val="20"/>
          <w:szCs w:val="20"/>
          <w:u w:val="single"/>
        </w:rPr>
        <w:t>t</w:t>
      </w:r>
      <w:r w:rsidRPr="000F0100">
        <w:rPr>
          <w:rFonts w:ascii="Arial" w:eastAsia="Arial" w:hAnsi="Arial" w:cs="Arial"/>
          <w:b/>
          <w:sz w:val="20"/>
          <w:szCs w:val="20"/>
          <w:u w:val="single"/>
        </w:rPr>
        <w:t xml:space="preserve">er </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general</w:t>
      </w:r>
      <w:r w:rsidRPr="000F0100">
        <w:rPr>
          <w:rFonts w:ascii="Arial" w:eastAsia="Arial" w:hAnsi="Arial" w:cs="Arial"/>
          <w:sz w:val="20"/>
          <w:szCs w:val="20"/>
        </w:rPr>
        <w:t xml:space="preserve"> </w:t>
      </w:r>
      <w:r w:rsidRPr="000F0100">
        <w:rPr>
          <w:rFonts w:ascii="Arial" w:eastAsia="Arial" w:hAnsi="Arial" w:cs="Arial"/>
          <w:spacing w:val="1"/>
          <w:sz w:val="20"/>
          <w:szCs w:val="20"/>
        </w:rPr>
        <w:t xml:space="preserve"> </w:t>
      </w:r>
      <w:r w:rsidRPr="000F0100">
        <w:rPr>
          <w:rFonts w:ascii="Arial" w:eastAsia="Arial" w:hAnsi="Arial" w:cs="Arial"/>
          <w:sz w:val="20"/>
          <w:szCs w:val="20"/>
        </w:rPr>
        <w:t xml:space="preserve">que </w:t>
      </w:r>
      <w:r w:rsidRPr="000F0100">
        <w:rPr>
          <w:rFonts w:ascii="Arial" w:eastAsia="Arial" w:hAnsi="Arial" w:cs="Arial"/>
          <w:spacing w:val="1"/>
          <w:sz w:val="20"/>
          <w:szCs w:val="20"/>
        </w:rPr>
        <w:t xml:space="preserve"> </w:t>
      </w:r>
      <w:r w:rsidRPr="000F0100">
        <w:rPr>
          <w:rFonts w:ascii="Arial" w:eastAsia="Arial" w:hAnsi="Arial" w:cs="Arial"/>
          <w:sz w:val="20"/>
          <w:szCs w:val="20"/>
        </w:rPr>
        <w:t>se expiden al amparo de los e</w:t>
      </w:r>
      <w:r w:rsidRPr="000F0100">
        <w:rPr>
          <w:rFonts w:ascii="Arial" w:eastAsia="Arial" w:hAnsi="Arial" w:cs="Arial"/>
          <w:spacing w:val="1"/>
          <w:sz w:val="20"/>
          <w:szCs w:val="20"/>
        </w:rPr>
        <w:t>s</w:t>
      </w:r>
      <w:r w:rsidRPr="000F0100">
        <w:rPr>
          <w:rFonts w:ascii="Arial" w:eastAsia="Arial" w:hAnsi="Arial" w:cs="Arial"/>
          <w:sz w:val="20"/>
          <w:szCs w:val="20"/>
        </w:rPr>
        <w:t>tados</w:t>
      </w:r>
      <w:r w:rsidRPr="000F0100">
        <w:rPr>
          <w:rFonts w:ascii="Arial" w:eastAsia="Arial" w:hAnsi="Arial" w:cs="Arial"/>
          <w:spacing w:val="1"/>
          <w:sz w:val="20"/>
          <w:szCs w:val="20"/>
        </w:rPr>
        <w:t xml:space="preserve"> </w:t>
      </w:r>
      <w:r w:rsidRPr="000F0100">
        <w:rPr>
          <w:rFonts w:ascii="Arial" w:eastAsia="Arial" w:hAnsi="Arial" w:cs="Arial"/>
          <w:sz w:val="20"/>
          <w:szCs w:val="20"/>
        </w:rPr>
        <w:t>de excep</w:t>
      </w:r>
      <w:r w:rsidRPr="000F0100">
        <w:rPr>
          <w:rFonts w:ascii="Arial" w:eastAsia="Arial" w:hAnsi="Arial" w:cs="Arial"/>
          <w:spacing w:val="1"/>
          <w:sz w:val="20"/>
          <w:szCs w:val="20"/>
        </w:rPr>
        <w:t>c</w:t>
      </w:r>
      <w:r w:rsidRPr="000F0100">
        <w:rPr>
          <w:rFonts w:ascii="Arial" w:eastAsia="Arial" w:hAnsi="Arial" w:cs="Arial"/>
          <w:sz w:val="20"/>
          <w:szCs w:val="20"/>
        </w:rPr>
        <w:t>ión, esto es, actos administrativos que desarrollan o reglam</w:t>
      </w:r>
      <w:r w:rsidRPr="000F0100">
        <w:rPr>
          <w:rFonts w:ascii="Arial" w:eastAsia="Arial" w:hAnsi="Arial" w:cs="Arial"/>
          <w:spacing w:val="1"/>
          <w:sz w:val="20"/>
          <w:szCs w:val="20"/>
        </w:rPr>
        <w:t>e</w:t>
      </w:r>
      <w:r w:rsidRPr="000F0100">
        <w:rPr>
          <w:rFonts w:ascii="Arial" w:eastAsia="Arial" w:hAnsi="Arial" w:cs="Arial"/>
          <w:sz w:val="20"/>
          <w:szCs w:val="20"/>
        </w:rPr>
        <w:t>ntan un decreto legi</w:t>
      </w:r>
      <w:r w:rsidRPr="000F0100">
        <w:rPr>
          <w:rFonts w:ascii="Arial" w:eastAsia="Arial" w:hAnsi="Arial" w:cs="Arial"/>
          <w:spacing w:val="1"/>
          <w:sz w:val="20"/>
          <w:szCs w:val="20"/>
        </w:rPr>
        <w:t>sl</w:t>
      </w:r>
      <w:r w:rsidRPr="000F0100">
        <w:rPr>
          <w:rFonts w:ascii="Arial" w:eastAsia="Arial" w:hAnsi="Arial" w:cs="Arial"/>
          <w:sz w:val="20"/>
          <w:szCs w:val="20"/>
        </w:rPr>
        <w:t>a</w:t>
      </w:r>
      <w:r w:rsidRPr="000F0100">
        <w:rPr>
          <w:rFonts w:ascii="Arial" w:eastAsia="Arial" w:hAnsi="Arial" w:cs="Arial"/>
          <w:spacing w:val="1"/>
          <w:sz w:val="20"/>
          <w:szCs w:val="20"/>
        </w:rPr>
        <w:t>t</w:t>
      </w:r>
      <w:r w:rsidRPr="000F0100">
        <w:rPr>
          <w:rFonts w:ascii="Arial" w:eastAsia="Arial" w:hAnsi="Arial" w:cs="Arial"/>
          <w:sz w:val="20"/>
          <w:szCs w:val="20"/>
        </w:rPr>
        <w:t xml:space="preserve">ivo. </w:t>
      </w:r>
      <w:r w:rsidRPr="000F0100">
        <w:rPr>
          <w:rFonts w:ascii="Arial" w:eastAsia="Arial" w:hAnsi="Arial" w:cs="Arial"/>
          <w:b/>
          <w:sz w:val="20"/>
          <w:szCs w:val="20"/>
          <w:u w:val="single"/>
        </w:rPr>
        <w:t>El examen de legalidad se</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reali</w:t>
      </w:r>
      <w:r w:rsidRPr="000F0100">
        <w:rPr>
          <w:rFonts w:ascii="Arial" w:eastAsia="Arial" w:hAnsi="Arial" w:cs="Arial"/>
          <w:b/>
          <w:spacing w:val="1"/>
          <w:sz w:val="20"/>
          <w:szCs w:val="20"/>
          <w:u w:val="single"/>
        </w:rPr>
        <w:t>z</w:t>
      </w:r>
      <w:r w:rsidRPr="000F0100">
        <w:rPr>
          <w:rFonts w:ascii="Arial" w:eastAsia="Arial" w:hAnsi="Arial" w:cs="Arial"/>
          <w:b/>
          <w:sz w:val="20"/>
          <w:szCs w:val="20"/>
          <w:u w:val="single"/>
        </w:rPr>
        <w:t>a mediante la confrontación del a</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to admini</w:t>
      </w:r>
      <w:r w:rsidRPr="000F0100">
        <w:rPr>
          <w:rFonts w:ascii="Arial" w:eastAsia="Arial" w:hAnsi="Arial" w:cs="Arial"/>
          <w:b/>
          <w:spacing w:val="2"/>
          <w:sz w:val="20"/>
          <w:szCs w:val="20"/>
          <w:u w:val="single"/>
        </w:rPr>
        <w:t>st</w:t>
      </w:r>
      <w:r w:rsidRPr="000F0100">
        <w:rPr>
          <w:rFonts w:ascii="Arial" w:eastAsia="Arial" w:hAnsi="Arial" w:cs="Arial"/>
          <w:b/>
          <w:sz w:val="20"/>
          <w:szCs w:val="20"/>
          <w:u w:val="single"/>
        </w:rPr>
        <w:t>rativo con las normas constitucionales que</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permiten</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l</w:t>
      </w:r>
      <w:r w:rsidRPr="000F0100">
        <w:rPr>
          <w:rFonts w:ascii="Arial" w:eastAsia="Arial" w:hAnsi="Arial" w:cs="Arial"/>
          <w:b/>
          <w:spacing w:val="1"/>
          <w:sz w:val="20"/>
          <w:szCs w:val="20"/>
          <w:u w:val="single"/>
        </w:rPr>
        <w:t>a</w:t>
      </w:r>
      <w:r w:rsidRPr="000F0100">
        <w:rPr>
          <w:rFonts w:ascii="Arial" w:eastAsia="Arial" w:hAnsi="Arial" w:cs="Arial"/>
          <w:b/>
          <w:sz w:val="20"/>
          <w:szCs w:val="20"/>
          <w:u w:val="single"/>
        </w:rPr>
        <w:t>ratoria</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los</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estados</w:t>
      </w:r>
      <w:r w:rsidRPr="000F0100">
        <w:rPr>
          <w:rFonts w:ascii="Arial" w:eastAsia="Arial" w:hAnsi="Arial" w:cs="Arial"/>
          <w:b/>
          <w:spacing w:val="22"/>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excep</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ión</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(artículos</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212</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a</w:t>
      </w:r>
      <w:r w:rsidRPr="000F0100">
        <w:rPr>
          <w:rFonts w:ascii="Arial" w:eastAsia="Arial" w:hAnsi="Arial" w:cs="Arial"/>
          <w:b/>
          <w:spacing w:val="19"/>
          <w:sz w:val="20"/>
          <w:szCs w:val="20"/>
          <w:u w:val="single"/>
        </w:rPr>
        <w:t xml:space="preserve"> </w:t>
      </w:r>
      <w:r w:rsidRPr="000F0100">
        <w:rPr>
          <w:rFonts w:ascii="Arial" w:eastAsia="Arial" w:hAnsi="Arial" w:cs="Arial"/>
          <w:b/>
          <w:spacing w:val="1"/>
          <w:sz w:val="20"/>
          <w:szCs w:val="20"/>
          <w:u w:val="single"/>
        </w:rPr>
        <w:t>2</w:t>
      </w:r>
      <w:r w:rsidRPr="000F0100">
        <w:rPr>
          <w:rFonts w:ascii="Arial" w:eastAsia="Arial" w:hAnsi="Arial" w:cs="Arial"/>
          <w:b/>
          <w:sz w:val="20"/>
          <w:szCs w:val="20"/>
          <w:u w:val="single"/>
        </w:rPr>
        <w:t>15</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de la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Constitución</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Política),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ley</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estatutaria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los estados</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excepción</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(Ley</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137</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de1994) y los decretos expedidos por el</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Gobierno</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Nacional</w:t>
      </w:r>
      <w:r w:rsidRPr="000F0100">
        <w:rPr>
          <w:rFonts w:ascii="Arial" w:eastAsia="Arial" w:hAnsi="Arial" w:cs="Arial"/>
          <w:b/>
          <w:spacing w:val="1"/>
          <w:sz w:val="20"/>
          <w:szCs w:val="20"/>
          <w:u w:val="single"/>
        </w:rPr>
        <w:t xml:space="preserve"> c</w:t>
      </w:r>
      <w:r w:rsidRPr="000F0100">
        <w:rPr>
          <w:rFonts w:ascii="Arial" w:eastAsia="Arial" w:hAnsi="Arial" w:cs="Arial"/>
          <w:b/>
          <w:sz w:val="20"/>
          <w:szCs w:val="20"/>
          <w:u w:val="single"/>
        </w:rPr>
        <w:t>on oca</w:t>
      </w:r>
      <w:r w:rsidRPr="000F0100">
        <w:rPr>
          <w:rFonts w:ascii="Arial" w:eastAsia="Arial" w:hAnsi="Arial" w:cs="Arial"/>
          <w:b/>
          <w:spacing w:val="1"/>
          <w:sz w:val="20"/>
          <w:szCs w:val="20"/>
          <w:u w:val="single"/>
        </w:rPr>
        <w:t>s</w:t>
      </w:r>
      <w:r w:rsidRPr="000F0100">
        <w:rPr>
          <w:rFonts w:ascii="Arial" w:eastAsia="Arial" w:hAnsi="Arial" w:cs="Arial"/>
          <w:b/>
          <w:sz w:val="20"/>
          <w:szCs w:val="20"/>
          <w:u w:val="single"/>
        </w:rPr>
        <w:t>ión de la declaratoria del estado de ex</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epción</w:t>
      </w:r>
      <w:r w:rsidRPr="000F0100">
        <w:rPr>
          <w:rFonts w:ascii="Arial" w:eastAsia="Arial" w:hAnsi="Arial" w:cs="Arial"/>
          <w:sz w:val="20"/>
          <w:szCs w:val="20"/>
        </w:rPr>
        <w:t>. En</w:t>
      </w:r>
      <w:r w:rsidRPr="000F0100">
        <w:rPr>
          <w:rFonts w:ascii="Arial" w:eastAsia="Arial" w:hAnsi="Arial" w:cs="Arial"/>
          <w:spacing w:val="1"/>
          <w:sz w:val="20"/>
          <w:szCs w:val="20"/>
        </w:rPr>
        <w:t xml:space="preserve"> </w:t>
      </w:r>
      <w:r w:rsidRPr="000F0100">
        <w:rPr>
          <w:rFonts w:ascii="Arial" w:eastAsia="Arial" w:hAnsi="Arial" w:cs="Arial"/>
          <w:sz w:val="20"/>
          <w:szCs w:val="20"/>
        </w:rPr>
        <w:t>oportunidades ante</w:t>
      </w:r>
      <w:r w:rsidRPr="000F0100">
        <w:rPr>
          <w:rFonts w:ascii="Arial" w:eastAsia="Arial" w:hAnsi="Arial" w:cs="Arial"/>
          <w:spacing w:val="2"/>
          <w:sz w:val="20"/>
          <w:szCs w:val="20"/>
        </w:rPr>
        <w:t>r</w:t>
      </w:r>
      <w:r w:rsidRPr="000F0100">
        <w:rPr>
          <w:rFonts w:ascii="Arial" w:eastAsia="Arial" w:hAnsi="Arial" w:cs="Arial"/>
          <w:spacing w:val="-1"/>
          <w:sz w:val="20"/>
          <w:szCs w:val="20"/>
        </w:rPr>
        <w:t>i</w:t>
      </w:r>
      <w:r w:rsidRPr="000F0100">
        <w:rPr>
          <w:rFonts w:ascii="Arial" w:eastAsia="Arial" w:hAnsi="Arial" w:cs="Arial"/>
          <w:sz w:val="20"/>
          <w:szCs w:val="20"/>
        </w:rPr>
        <w:t>ores, la Sala ha definido</w:t>
      </w:r>
      <w:r w:rsidRPr="000F0100">
        <w:rPr>
          <w:rFonts w:ascii="Arial" w:eastAsia="Arial" w:hAnsi="Arial" w:cs="Arial"/>
          <w:spacing w:val="1"/>
          <w:sz w:val="20"/>
          <w:szCs w:val="20"/>
        </w:rPr>
        <w:t xml:space="preserve"> </w:t>
      </w:r>
      <w:r w:rsidRPr="000F0100">
        <w:rPr>
          <w:rFonts w:ascii="Arial" w:eastAsia="Arial" w:hAnsi="Arial" w:cs="Arial"/>
          <w:sz w:val="20"/>
          <w:szCs w:val="20"/>
        </w:rPr>
        <w:t>como</w:t>
      </w:r>
      <w:r w:rsidRPr="000F0100">
        <w:rPr>
          <w:rFonts w:ascii="Arial" w:eastAsia="Arial" w:hAnsi="Arial" w:cs="Arial"/>
          <w:spacing w:val="1"/>
          <w:sz w:val="20"/>
          <w:szCs w:val="20"/>
        </w:rPr>
        <w:t xml:space="preserve"> </w:t>
      </w:r>
      <w:r w:rsidRPr="000F0100">
        <w:rPr>
          <w:rFonts w:ascii="Arial" w:eastAsia="Arial" w:hAnsi="Arial" w:cs="Arial"/>
          <w:b/>
          <w:sz w:val="20"/>
          <w:szCs w:val="20"/>
          <w:u w:val="single"/>
        </w:rPr>
        <w:t>caract</w:t>
      </w:r>
      <w:r w:rsidRPr="000F0100">
        <w:rPr>
          <w:rFonts w:ascii="Arial" w:eastAsia="Arial" w:hAnsi="Arial" w:cs="Arial"/>
          <w:b/>
          <w:spacing w:val="-1"/>
          <w:sz w:val="20"/>
          <w:szCs w:val="20"/>
          <w:u w:val="single"/>
        </w:rPr>
        <w:t>e</w:t>
      </w:r>
      <w:r w:rsidRPr="000F0100">
        <w:rPr>
          <w:rFonts w:ascii="Arial" w:eastAsia="Arial" w:hAnsi="Arial" w:cs="Arial"/>
          <w:b/>
          <w:sz w:val="20"/>
          <w:szCs w:val="20"/>
          <w:u w:val="single"/>
        </w:rPr>
        <w:t>rísticas</w:t>
      </w:r>
      <w:r w:rsidRPr="000F0100">
        <w:rPr>
          <w:rFonts w:ascii="Arial" w:eastAsia="Arial" w:hAnsi="Arial" w:cs="Arial"/>
          <w:spacing w:val="1"/>
          <w:sz w:val="20"/>
          <w:szCs w:val="20"/>
        </w:rPr>
        <w:t xml:space="preserve"> </w:t>
      </w:r>
      <w:r w:rsidRPr="000F0100">
        <w:rPr>
          <w:rFonts w:ascii="Arial" w:eastAsia="Arial" w:hAnsi="Arial" w:cs="Arial"/>
          <w:sz w:val="20"/>
          <w:szCs w:val="20"/>
        </w:rPr>
        <w:t>del</w:t>
      </w:r>
      <w:r w:rsidRPr="000F0100">
        <w:rPr>
          <w:rFonts w:ascii="Arial" w:eastAsia="Arial" w:hAnsi="Arial" w:cs="Arial"/>
          <w:spacing w:val="1"/>
          <w:sz w:val="20"/>
          <w:szCs w:val="20"/>
        </w:rPr>
        <w:t xml:space="preserve"> </w:t>
      </w:r>
      <w:r w:rsidRPr="000F0100">
        <w:rPr>
          <w:rFonts w:ascii="Arial" w:eastAsia="Arial" w:hAnsi="Arial" w:cs="Arial"/>
          <w:sz w:val="20"/>
          <w:szCs w:val="20"/>
        </w:rPr>
        <w:t>control</w:t>
      </w:r>
      <w:r w:rsidRPr="000F0100">
        <w:rPr>
          <w:rFonts w:ascii="Arial" w:eastAsia="Arial" w:hAnsi="Arial" w:cs="Arial"/>
          <w:spacing w:val="1"/>
          <w:sz w:val="20"/>
          <w:szCs w:val="20"/>
        </w:rPr>
        <w:t xml:space="preserve"> </w:t>
      </w:r>
      <w:r w:rsidRPr="000F0100">
        <w:rPr>
          <w:rFonts w:ascii="Arial" w:eastAsia="Arial" w:hAnsi="Arial" w:cs="Arial"/>
          <w:sz w:val="20"/>
          <w:szCs w:val="20"/>
        </w:rPr>
        <w:t>inmedia</w:t>
      </w:r>
      <w:r w:rsidRPr="000F0100">
        <w:rPr>
          <w:rFonts w:ascii="Arial" w:eastAsia="Arial" w:hAnsi="Arial" w:cs="Arial"/>
          <w:spacing w:val="2"/>
          <w:sz w:val="20"/>
          <w:szCs w:val="20"/>
        </w:rPr>
        <w:t>t</w:t>
      </w:r>
      <w:r w:rsidRPr="000F0100">
        <w:rPr>
          <w:rFonts w:ascii="Arial" w:eastAsia="Arial" w:hAnsi="Arial" w:cs="Arial"/>
          <w:sz w:val="20"/>
          <w:szCs w:val="20"/>
        </w:rPr>
        <w:t>o de legalidad las siguien</w:t>
      </w:r>
      <w:r w:rsidRPr="000F0100">
        <w:rPr>
          <w:rFonts w:ascii="Arial" w:eastAsia="Arial" w:hAnsi="Arial" w:cs="Arial"/>
          <w:spacing w:val="2"/>
          <w:sz w:val="20"/>
          <w:szCs w:val="20"/>
        </w:rPr>
        <w:t>t</w:t>
      </w:r>
      <w:r w:rsidRPr="000F0100">
        <w:rPr>
          <w:rFonts w:ascii="Arial" w:eastAsia="Arial" w:hAnsi="Arial" w:cs="Arial"/>
          <w:sz w:val="20"/>
          <w:szCs w:val="20"/>
        </w:rPr>
        <w:t xml:space="preserve">es: </w:t>
      </w:r>
      <w:r w:rsidRPr="000F0100">
        <w:rPr>
          <w:rFonts w:ascii="Arial" w:eastAsia="Arial" w:hAnsi="Arial" w:cs="Arial"/>
          <w:b/>
          <w:sz w:val="20"/>
          <w:szCs w:val="20"/>
          <w:u w:val="single"/>
        </w:rPr>
        <w:t>Es un proceso judicial</w:t>
      </w:r>
      <w:r w:rsidRPr="000F0100">
        <w:rPr>
          <w:rFonts w:ascii="Arial" w:eastAsia="Arial" w:hAnsi="Arial" w:cs="Arial"/>
          <w:sz w:val="20"/>
          <w:szCs w:val="20"/>
        </w:rPr>
        <w:t xml:space="preserve"> porque el artículo 20 de  la  Ley  137  de  1994  otorgó competencia a la jurisdicción de lo con</w:t>
      </w:r>
      <w:r w:rsidRPr="000F0100">
        <w:rPr>
          <w:rFonts w:ascii="Arial" w:eastAsia="Arial" w:hAnsi="Arial" w:cs="Arial"/>
          <w:spacing w:val="1"/>
          <w:sz w:val="20"/>
          <w:szCs w:val="20"/>
        </w:rPr>
        <w:t>t</w:t>
      </w:r>
      <w:r w:rsidRPr="000F0100">
        <w:rPr>
          <w:rFonts w:ascii="Arial" w:eastAsia="Arial" w:hAnsi="Arial" w:cs="Arial"/>
          <w:sz w:val="20"/>
          <w:szCs w:val="20"/>
        </w:rPr>
        <w:t>encioso administrativo para examinar la legalidad de los a</w:t>
      </w:r>
      <w:r w:rsidRPr="000F0100">
        <w:rPr>
          <w:rFonts w:ascii="Arial" w:eastAsia="Arial" w:hAnsi="Arial" w:cs="Arial"/>
          <w:spacing w:val="1"/>
          <w:sz w:val="20"/>
          <w:szCs w:val="20"/>
        </w:rPr>
        <w:t>c</w:t>
      </w:r>
      <w:r w:rsidRPr="000F0100">
        <w:rPr>
          <w:rFonts w:ascii="Arial" w:eastAsia="Arial" w:hAnsi="Arial" w:cs="Arial"/>
          <w:sz w:val="20"/>
          <w:szCs w:val="20"/>
        </w:rPr>
        <w:t>tos administrativos</w:t>
      </w:r>
      <w:r w:rsidRPr="000F0100">
        <w:rPr>
          <w:rFonts w:ascii="Arial" w:eastAsia="Arial" w:hAnsi="Arial" w:cs="Arial"/>
          <w:spacing w:val="1"/>
          <w:sz w:val="20"/>
          <w:szCs w:val="20"/>
        </w:rPr>
        <w:t xml:space="preserve"> </w:t>
      </w:r>
      <w:r w:rsidRPr="000F0100">
        <w:rPr>
          <w:rFonts w:ascii="Arial" w:eastAsia="Arial" w:hAnsi="Arial" w:cs="Arial"/>
          <w:sz w:val="20"/>
          <w:szCs w:val="20"/>
        </w:rPr>
        <w:t>proferidos en ejercicio de la función administrativa que de</w:t>
      </w:r>
      <w:r w:rsidRPr="000F0100">
        <w:rPr>
          <w:rFonts w:ascii="Arial" w:eastAsia="Arial" w:hAnsi="Arial" w:cs="Arial"/>
          <w:spacing w:val="1"/>
          <w:sz w:val="20"/>
          <w:szCs w:val="20"/>
        </w:rPr>
        <w:t>s</w:t>
      </w:r>
      <w:r w:rsidRPr="000F0100">
        <w:rPr>
          <w:rFonts w:ascii="Arial" w:eastAsia="Arial" w:hAnsi="Arial" w:cs="Arial"/>
          <w:sz w:val="20"/>
          <w:szCs w:val="20"/>
        </w:rPr>
        <w:t>arrolla los decretos. De</w:t>
      </w:r>
      <w:r w:rsidRPr="000F0100">
        <w:rPr>
          <w:rFonts w:ascii="Arial" w:eastAsia="Arial" w:hAnsi="Arial" w:cs="Arial"/>
          <w:spacing w:val="2"/>
          <w:sz w:val="20"/>
          <w:szCs w:val="20"/>
        </w:rPr>
        <w:t xml:space="preserve"> </w:t>
      </w:r>
      <w:r w:rsidRPr="000F0100">
        <w:rPr>
          <w:rFonts w:ascii="Arial" w:eastAsia="Arial" w:hAnsi="Arial" w:cs="Arial"/>
          <w:sz w:val="20"/>
          <w:szCs w:val="20"/>
        </w:rPr>
        <w:t>ahí que la provid</w:t>
      </w:r>
      <w:r w:rsidRPr="000F0100">
        <w:rPr>
          <w:rFonts w:ascii="Arial" w:eastAsia="Arial" w:hAnsi="Arial" w:cs="Arial"/>
          <w:spacing w:val="1"/>
          <w:sz w:val="20"/>
          <w:szCs w:val="20"/>
        </w:rPr>
        <w:t>e</w:t>
      </w:r>
      <w:r w:rsidRPr="000F0100">
        <w:rPr>
          <w:rFonts w:ascii="Arial" w:eastAsia="Arial" w:hAnsi="Arial" w:cs="Arial"/>
          <w:sz w:val="20"/>
          <w:szCs w:val="20"/>
        </w:rPr>
        <w:t xml:space="preserve">ncia que decida </w:t>
      </w:r>
      <w:r w:rsidRPr="000F0100">
        <w:rPr>
          <w:rFonts w:ascii="Arial" w:eastAsia="Arial" w:hAnsi="Arial" w:cs="Arial"/>
          <w:spacing w:val="2"/>
          <w:sz w:val="20"/>
          <w:szCs w:val="20"/>
        </w:rPr>
        <w:t>e</w:t>
      </w:r>
      <w:r w:rsidRPr="000F0100">
        <w:rPr>
          <w:rFonts w:ascii="Arial" w:eastAsia="Arial" w:hAnsi="Arial" w:cs="Arial"/>
          <w:sz w:val="20"/>
          <w:szCs w:val="20"/>
        </w:rPr>
        <w:t>l control de legalidad tenga las caracte</w:t>
      </w:r>
      <w:r w:rsidRPr="000F0100">
        <w:rPr>
          <w:rFonts w:ascii="Arial" w:eastAsia="Arial" w:hAnsi="Arial" w:cs="Arial"/>
          <w:spacing w:val="2"/>
          <w:sz w:val="20"/>
          <w:szCs w:val="20"/>
        </w:rPr>
        <w:t>r</w:t>
      </w:r>
      <w:r w:rsidRPr="000F0100">
        <w:rPr>
          <w:rFonts w:ascii="Arial" w:eastAsia="Arial" w:hAnsi="Arial" w:cs="Arial"/>
          <w:sz w:val="20"/>
          <w:szCs w:val="20"/>
        </w:rPr>
        <w:t xml:space="preserve">ísticas de una sentencia judicial. </w:t>
      </w:r>
      <w:r w:rsidRPr="000F0100">
        <w:rPr>
          <w:rFonts w:ascii="Arial" w:eastAsia="Arial" w:hAnsi="Arial" w:cs="Arial"/>
          <w:b/>
          <w:sz w:val="20"/>
          <w:szCs w:val="20"/>
          <w:u w:val="single"/>
        </w:rPr>
        <w:t>Es automático</w:t>
      </w:r>
      <w:r w:rsidRPr="000F0100">
        <w:rPr>
          <w:rFonts w:ascii="Arial" w:eastAsia="Arial" w:hAnsi="Arial" w:cs="Arial"/>
          <w:sz w:val="20"/>
          <w:szCs w:val="20"/>
        </w:rPr>
        <w:t xml:space="preserve"> </w:t>
      </w:r>
      <w:r w:rsidRPr="000F0100">
        <w:rPr>
          <w:rFonts w:ascii="Arial" w:eastAsia="Arial" w:hAnsi="Arial" w:cs="Arial"/>
          <w:b/>
          <w:sz w:val="20"/>
          <w:szCs w:val="20"/>
          <w:u w:val="single"/>
        </w:rPr>
        <w:t>e inmedia</w:t>
      </w:r>
      <w:r w:rsidRPr="000F0100">
        <w:rPr>
          <w:rFonts w:ascii="Arial" w:eastAsia="Arial" w:hAnsi="Arial" w:cs="Arial"/>
          <w:b/>
          <w:spacing w:val="2"/>
          <w:sz w:val="20"/>
          <w:szCs w:val="20"/>
          <w:u w:val="single"/>
        </w:rPr>
        <w:t>t</w:t>
      </w:r>
      <w:r w:rsidRPr="000F0100">
        <w:rPr>
          <w:rFonts w:ascii="Arial" w:eastAsia="Arial" w:hAnsi="Arial" w:cs="Arial"/>
          <w:b/>
          <w:sz w:val="20"/>
          <w:szCs w:val="20"/>
          <w:u w:val="single"/>
        </w:rPr>
        <w:t xml:space="preserve">o </w:t>
      </w:r>
      <w:r w:rsidRPr="000F0100">
        <w:rPr>
          <w:rFonts w:ascii="Arial" w:eastAsia="Arial" w:hAnsi="Arial" w:cs="Arial"/>
          <w:sz w:val="20"/>
          <w:szCs w:val="20"/>
        </w:rPr>
        <w:t>porque t</w:t>
      </w:r>
      <w:r w:rsidRPr="000F0100">
        <w:rPr>
          <w:rFonts w:ascii="Arial" w:eastAsia="Arial" w:hAnsi="Arial" w:cs="Arial"/>
          <w:spacing w:val="2"/>
          <w:sz w:val="20"/>
          <w:szCs w:val="20"/>
        </w:rPr>
        <w:t>a</w:t>
      </w:r>
      <w:r w:rsidRPr="000F0100">
        <w:rPr>
          <w:rFonts w:ascii="Arial" w:eastAsia="Arial" w:hAnsi="Arial" w:cs="Arial"/>
          <w:sz w:val="20"/>
          <w:szCs w:val="20"/>
        </w:rPr>
        <w:t>n</w:t>
      </w:r>
      <w:r w:rsidRPr="000F0100">
        <w:rPr>
          <w:rFonts w:ascii="Arial" w:eastAsia="Arial" w:hAnsi="Arial" w:cs="Arial"/>
          <w:spacing w:val="1"/>
          <w:sz w:val="20"/>
          <w:szCs w:val="20"/>
        </w:rPr>
        <w:t xml:space="preserve"> </w:t>
      </w:r>
      <w:r w:rsidRPr="000F0100">
        <w:rPr>
          <w:rFonts w:ascii="Arial" w:eastAsia="Arial" w:hAnsi="Arial" w:cs="Arial"/>
          <w:sz w:val="20"/>
          <w:szCs w:val="20"/>
        </w:rPr>
        <w:t>pronto</w:t>
      </w:r>
      <w:r w:rsidRPr="000F0100">
        <w:rPr>
          <w:rFonts w:ascii="Arial" w:eastAsia="Arial" w:hAnsi="Arial" w:cs="Arial"/>
          <w:spacing w:val="1"/>
          <w:sz w:val="20"/>
          <w:szCs w:val="20"/>
        </w:rPr>
        <w:t xml:space="preserve"> </w:t>
      </w:r>
      <w:r w:rsidRPr="000F0100">
        <w:rPr>
          <w:rFonts w:ascii="Arial" w:eastAsia="Arial" w:hAnsi="Arial" w:cs="Arial"/>
          <w:sz w:val="20"/>
          <w:szCs w:val="20"/>
        </w:rPr>
        <w:t>se</w:t>
      </w:r>
      <w:r w:rsidRPr="000F0100">
        <w:rPr>
          <w:rFonts w:ascii="Arial" w:eastAsia="Arial" w:hAnsi="Arial" w:cs="Arial"/>
          <w:spacing w:val="1"/>
          <w:sz w:val="20"/>
          <w:szCs w:val="20"/>
        </w:rPr>
        <w:t xml:space="preserve"> </w:t>
      </w:r>
      <w:r w:rsidRPr="000F0100">
        <w:rPr>
          <w:rFonts w:ascii="Arial" w:eastAsia="Arial" w:hAnsi="Arial" w:cs="Arial"/>
          <w:sz w:val="20"/>
          <w:szCs w:val="20"/>
        </w:rPr>
        <w:t>expide</w:t>
      </w:r>
      <w:r w:rsidRPr="000F0100">
        <w:rPr>
          <w:rFonts w:ascii="Arial" w:eastAsia="Arial" w:hAnsi="Arial" w:cs="Arial"/>
          <w:spacing w:val="1"/>
          <w:sz w:val="20"/>
          <w:szCs w:val="20"/>
        </w:rPr>
        <w:t xml:space="preserve"> </w:t>
      </w:r>
      <w:r w:rsidRPr="000F0100">
        <w:rPr>
          <w:rFonts w:ascii="Arial" w:eastAsia="Arial" w:hAnsi="Arial" w:cs="Arial"/>
          <w:sz w:val="20"/>
          <w:szCs w:val="20"/>
        </w:rPr>
        <w:t>el</w:t>
      </w:r>
      <w:r w:rsidRPr="000F0100">
        <w:rPr>
          <w:rFonts w:ascii="Arial" w:eastAsia="Arial" w:hAnsi="Arial" w:cs="Arial"/>
          <w:spacing w:val="1"/>
          <w:sz w:val="20"/>
          <w:szCs w:val="20"/>
        </w:rPr>
        <w:t xml:space="preserve"> </w:t>
      </w:r>
      <w:r w:rsidRPr="000F0100">
        <w:rPr>
          <w:rFonts w:ascii="Arial" w:eastAsia="Arial" w:hAnsi="Arial" w:cs="Arial"/>
          <w:sz w:val="20"/>
          <w:szCs w:val="20"/>
        </w:rPr>
        <w:t>acto</w:t>
      </w:r>
      <w:r w:rsidRPr="000F0100">
        <w:rPr>
          <w:rFonts w:ascii="Arial" w:eastAsia="Arial" w:hAnsi="Arial" w:cs="Arial"/>
          <w:spacing w:val="1"/>
          <w:sz w:val="20"/>
          <w:szCs w:val="20"/>
        </w:rPr>
        <w:t xml:space="preserve"> </w:t>
      </w:r>
      <w:r w:rsidRPr="000F0100">
        <w:rPr>
          <w:rFonts w:ascii="Arial" w:eastAsia="Arial" w:hAnsi="Arial" w:cs="Arial"/>
          <w:sz w:val="20"/>
          <w:szCs w:val="20"/>
        </w:rPr>
        <w:t>administrativo general, el Gobierno Na</w:t>
      </w:r>
      <w:r w:rsidRPr="000F0100">
        <w:rPr>
          <w:rFonts w:ascii="Arial" w:eastAsia="Arial" w:hAnsi="Arial" w:cs="Arial"/>
          <w:spacing w:val="1"/>
          <w:sz w:val="20"/>
          <w:szCs w:val="20"/>
        </w:rPr>
        <w:t>c</w:t>
      </w:r>
      <w:r w:rsidRPr="000F0100">
        <w:rPr>
          <w:rFonts w:ascii="Arial" w:eastAsia="Arial" w:hAnsi="Arial" w:cs="Arial"/>
          <w:spacing w:val="-1"/>
          <w:sz w:val="20"/>
          <w:szCs w:val="20"/>
        </w:rPr>
        <w:t>i</w:t>
      </w:r>
      <w:r w:rsidRPr="000F0100">
        <w:rPr>
          <w:rFonts w:ascii="Arial" w:eastAsia="Arial" w:hAnsi="Arial" w:cs="Arial"/>
          <w:sz w:val="20"/>
          <w:szCs w:val="20"/>
        </w:rPr>
        <w:t>onal debe envia</w:t>
      </w:r>
      <w:r w:rsidRPr="000F0100">
        <w:rPr>
          <w:rFonts w:ascii="Arial" w:eastAsia="Arial" w:hAnsi="Arial" w:cs="Arial"/>
          <w:spacing w:val="1"/>
          <w:sz w:val="20"/>
          <w:szCs w:val="20"/>
        </w:rPr>
        <w:t>r</w:t>
      </w:r>
      <w:r w:rsidRPr="000F0100">
        <w:rPr>
          <w:rFonts w:ascii="Arial" w:eastAsia="Arial" w:hAnsi="Arial" w:cs="Arial"/>
          <w:sz w:val="20"/>
          <w:szCs w:val="20"/>
        </w:rPr>
        <w:t>lo para que se ejerza el</w:t>
      </w:r>
      <w:r w:rsidRPr="000F0100">
        <w:rPr>
          <w:rFonts w:ascii="Arial" w:eastAsia="Arial" w:hAnsi="Arial" w:cs="Arial"/>
          <w:spacing w:val="1"/>
          <w:sz w:val="20"/>
          <w:szCs w:val="20"/>
        </w:rPr>
        <w:t xml:space="preserve"> </w:t>
      </w:r>
      <w:r w:rsidRPr="000F0100">
        <w:rPr>
          <w:rFonts w:ascii="Arial" w:eastAsia="Arial" w:hAnsi="Arial" w:cs="Arial"/>
          <w:sz w:val="20"/>
          <w:szCs w:val="20"/>
        </w:rPr>
        <w:t>control correspon</w:t>
      </w:r>
      <w:r w:rsidRPr="000F0100">
        <w:rPr>
          <w:rFonts w:ascii="Arial" w:eastAsia="Arial" w:hAnsi="Arial" w:cs="Arial"/>
          <w:spacing w:val="1"/>
          <w:sz w:val="20"/>
          <w:szCs w:val="20"/>
        </w:rPr>
        <w:t>d</w:t>
      </w:r>
      <w:r w:rsidRPr="000F0100">
        <w:rPr>
          <w:rFonts w:ascii="Arial" w:eastAsia="Arial" w:hAnsi="Arial" w:cs="Arial"/>
          <w:sz w:val="20"/>
          <w:szCs w:val="20"/>
        </w:rPr>
        <w:t xml:space="preserve">iente. En caso de que el </w:t>
      </w:r>
      <w:r w:rsidRPr="000F0100">
        <w:rPr>
          <w:rFonts w:ascii="Arial" w:eastAsia="Arial" w:hAnsi="Arial" w:cs="Arial"/>
          <w:spacing w:val="2"/>
          <w:sz w:val="20"/>
          <w:szCs w:val="20"/>
        </w:rPr>
        <w:t>G</w:t>
      </w:r>
      <w:r w:rsidRPr="000F0100">
        <w:rPr>
          <w:rFonts w:ascii="Arial" w:eastAsia="Arial" w:hAnsi="Arial" w:cs="Arial"/>
          <w:sz w:val="20"/>
          <w:szCs w:val="20"/>
        </w:rPr>
        <w:t>obierno no lo envíe</w:t>
      </w:r>
      <w:r w:rsidRPr="000F0100">
        <w:rPr>
          <w:rFonts w:ascii="Arial" w:eastAsia="Arial" w:hAnsi="Arial" w:cs="Arial"/>
          <w:spacing w:val="2"/>
          <w:sz w:val="20"/>
          <w:szCs w:val="20"/>
        </w:rPr>
        <w:t xml:space="preserve"> </w:t>
      </w:r>
      <w:r w:rsidRPr="000F0100">
        <w:rPr>
          <w:rFonts w:ascii="Arial" w:eastAsia="Arial" w:hAnsi="Arial" w:cs="Arial"/>
          <w:sz w:val="20"/>
          <w:szCs w:val="20"/>
        </w:rPr>
        <w:t>dentro de las 48 horas</w:t>
      </w:r>
      <w:r w:rsidRPr="000F0100">
        <w:rPr>
          <w:rFonts w:ascii="Arial" w:eastAsia="Arial" w:hAnsi="Arial" w:cs="Arial"/>
          <w:spacing w:val="1"/>
          <w:sz w:val="20"/>
          <w:szCs w:val="20"/>
        </w:rPr>
        <w:t xml:space="preserve"> </w:t>
      </w:r>
      <w:r w:rsidRPr="000F0100">
        <w:rPr>
          <w:rFonts w:ascii="Arial" w:eastAsia="Arial" w:hAnsi="Arial" w:cs="Arial"/>
          <w:sz w:val="20"/>
          <w:szCs w:val="20"/>
        </w:rPr>
        <w:t>siguientes</w:t>
      </w:r>
      <w:r w:rsidRPr="000F0100">
        <w:rPr>
          <w:rFonts w:ascii="Arial" w:eastAsia="Arial" w:hAnsi="Arial" w:cs="Arial"/>
          <w:spacing w:val="1"/>
          <w:sz w:val="20"/>
          <w:szCs w:val="20"/>
        </w:rPr>
        <w:t xml:space="preserve"> </w:t>
      </w:r>
      <w:r w:rsidRPr="000F0100">
        <w:rPr>
          <w:rFonts w:ascii="Arial" w:eastAsia="Arial" w:hAnsi="Arial" w:cs="Arial"/>
          <w:sz w:val="20"/>
          <w:szCs w:val="20"/>
        </w:rPr>
        <w:t>a la expedi</w:t>
      </w:r>
      <w:r w:rsidRPr="000F0100">
        <w:rPr>
          <w:rFonts w:ascii="Arial" w:eastAsia="Arial" w:hAnsi="Arial" w:cs="Arial"/>
          <w:spacing w:val="1"/>
          <w:sz w:val="20"/>
          <w:szCs w:val="20"/>
        </w:rPr>
        <w:t>c</w:t>
      </w:r>
      <w:r w:rsidRPr="000F0100">
        <w:rPr>
          <w:rFonts w:ascii="Arial" w:eastAsia="Arial" w:hAnsi="Arial" w:cs="Arial"/>
          <w:spacing w:val="-1"/>
          <w:sz w:val="20"/>
          <w:szCs w:val="20"/>
        </w:rPr>
        <w:t>i</w:t>
      </w:r>
      <w:r w:rsidRPr="000F0100">
        <w:rPr>
          <w:rFonts w:ascii="Arial" w:eastAsia="Arial" w:hAnsi="Arial" w:cs="Arial"/>
          <w:sz w:val="20"/>
          <w:szCs w:val="20"/>
        </w:rPr>
        <w:t>ón,</w:t>
      </w:r>
      <w:r w:rsidRPr="000F0100">
        <w:rPr>
          <w:rFonts w:ascii="Arial" w:eastAsia="Arial" w:hAnsi="Arial" w:cs="Arial"/>
          <w:spacing w:val="1"/>
          <w:sz w:val="20"/>
          <w:szCs w:val="20"/>
        </w:rPr>
        <w:t xml:space="preserve"> </w:t>
      </w:r>
      <w:r w:rsidRPr="000F0100">
        <w:rPr>
          <w:rFonts w:ascii="Arial" w:eastAsia="Arial" w:hAnsi="Arial" w:cs="Arial"/>
          <w:sz w:val="20"/>
          <w:szCs w:val="20"/>
        </w:rPr>
        <w:t xml:space="preserve">la autoridad judicial </w:t>
      </w:r>
      <w:r w:rsidRPr="000F0100">
        <w:rPr>
          <w:rFonts w:ascii="Arial" w:eastAsia="Arial" w:hAnsi="Arial" w:cs="Arial"/>
          <w:spacing w:val="1"/>
          <w:sz w:val="20"/>
          <w:szCs w:val="20"/>
        </w:rPr>
        <w:t>c</w:t>
      </w:r>
      <w:r w:rsidRPr="000F0100">
        <w:rPr>
          <w:rFonts w:ascii="Arial" w:eastAsia="Arial" w:hAnsi="Arial" w:cs="Arial"/>
          <w:sz w:val="20"/>
          <w:szCs w:val="20"/>
        </w:rPr>
        <w:t>ompetente debe asu</w:t>
      </w:r>
      <w:r w:rsidRPr="000F0100">
        <w:rPr>
          <w:rFonts w:ascii="Arial" w:eastAsia="Arial" w:hAnsi="Arial" w:cs="Arial"/>
          <w:spacing w:val="2"/>
          <w:sz w:val="20"/>
          <w:szCs w:val="20"/>
        </w:rPr>
        <w:t>m</w:t>
      </w:r>
      <w:r w:rsidRPr="000F0100">
        <w:rPr>
          <w:rFonts w:ascii="Arial" w:eastAsia="Arial" w:hAnsi="Arial" w:cs="Arial"/>
          <w:sz w:val="20"/>
          <w:szCs w:val="20"/>
        </w:rPr>
        <w:t>ir, de oficio, el control de tal acto. Por lo tanto, ni siquiera es necesario que el acto se ha</w:t>
      </w:r>
      <w:r w:rsidRPr="000F0100">
        <w:rPr>
          <w:rFonts w:ascii="Arial" w:eastAsia="Arial" w:hAnsi="Arial" w:cs="Arial"/>
          <w:spacing w:val="1"/>
          <w:sz w:val="20"/>
          <w:szCs w:val="20"/>
        </w:rPr>
        <w:t>y</w:t>
      </w:r>
      <w:r w:rsidRPr="000F0100">
        <w:rPr>
          <w:rFonts w:ascii="Arial" w:eastAsia="Arial" w:hAnsi="Arial" w:cs="Arial"/>
          <w:sz w:val="20"/>
          <w:szCs w:val="20"/>
        </w:rPr>
        <w:t xml:space="preserve">a divulgado. </w:t>
      </w:r>
      <w:r w:rsidRPr="000F0100">
        <w:rPr>
          <w:rFonts w:ascii="Arial" w:eastAsia="Arial" w:hAnsi="Arial" w:cs="Arial"/>
          <w:b/>
          <w:sz w:val="20"/>
          <w:szCs w:val="20"/>
          <w:u w:val="single"/>
        </w:rPr>
        <w:t>Es autónomo</w:t>
      </w:r>
      <w:r w:rsidRPr="000F0100">
        <w:rPr>
          <w:rFonts w:ascii="Arial" w:eastAsia="Arial" w:hAnsi="Arial" w:cs="Arial"/>
          <w:sz w:val="20"/>
          <w:szCs w:val="20"/>
        </w:rPr>
        <w:t>,</w:t>
      </w:r>
      <w:r w:rsidRPr="000F0100">
        <w:rPr>
          <w:rFonts w:ascii="Arial" w:eastAsia="Arial" w:hAnsi="Arial" w:cs="Arial"/>
          <w:spacing w:val="54"/>
          <w:sz w:val="20"/>
          <w:szCs w:val="20"/>
        </w:rPr>
        <w:t xml:space="preserve"> </w:t>
      </w:r>
      <w:r w:rsidRPr="000F0100">
        <w:rPr>
          <w:rFonts w:ascii="Arial" w:eastAsia="Arial" w:hAnsi="Arial" w:cs="Arial"/>
          <w:sz w:val="20"/>
          <w:szCs w:val="20"/>
        </w:rPr>
        <w:t>toda</w:t>
      </w:r>
      <w:r w:rsidRPr="000F0100">
        <w:rPr>
          <w:rFonts w:ascii="Arial" w:eastAsia="Arial" w:hAnsi="Arial" w:cs="Arial"/>
          <w:spacing w:val="54"/>
          <w:sz w:val="20"/>
          <w:szCs w:val="20"/>
        </w:rPr>
        <w:t xml:space="preserve"> </w:t>
      </w:r>
      <w:r w:rsidRPr="000F0100">
        <w:rPr>
          <w:rFonts w:ascii="Arial" w:eastAsia="Arial" w:hAnsi="Arial" w:cs="Arial"/>
          <w:sz w:val="20"/>
          <w:szCs w:val="20"/>
        </w:rPr>
        <w:t>vez</w:t>
      </w:r>
      <w:r w:rsidRPr="000F0100">
        <w:rPr>
          <w:rFonts w:ascii="Arial" w:eastAsia="Arial" w:hAnsi="Arial" w:cs="Arial"/>
          <w:spacing w:val="54"/>
          <w:sz w:val="20"/>
          <w:szCs w:val="20"/>
        </w:rPr>
        <w:t xml:space="preserve"> </w:t>
      </w:r>
      <w:r w:rsidRPr="000F0100">
        <w:rPr>
          <w:rFonts w:ascii="Arial" w:eastAsia="Arial" w:hAnsi="Arial" w:cs="Arial"/>
          <w:sz w:val="20"/>
          <w:szCs w:val="20"/>
        </w:rPr>
        <w:t>que</w:t>
      </w:r>
      <w:r w:rsidRPr="000F0100">
        <w:rPr>
          <w:rFonts w:ascii="Arial" w:eastAsia="Arial" w:hAnsi="Arial" w:cs="Arial"/>
          <w:spacing w:val="54"/>
          <w:sz w:val="20"/>
          <w:szCs w:val="20"/>
        </w:rPr>
        <w:t xml:space="preserve"> </w:t>
      </w:r>
      <w:r w:rsidRPr="000F0100">
        <w:rPr>
          <w:rFonts w:ascii="Arial" w:eastAsia="Arial" w:hAnsi="Arial" w:cs="Arial"/>
          <w:sz w:val="20"/>
          <w:szCs w:val="20"/>
        </w:rPr>
        <w:t>es</w:t>
      </w:r>
      <w:r w:rsidRPr="000F0100">
        <w:rPr>
          <w:rFonts w:ascii="Arial" w:eastAsia="Arial" w:hAnsi="Arial" w:cs="Arial"/>
          <w:spacing w:val="54"/>
          <w:sz w:val="20"/>
          <w:szCs w:val="20"/>
        </w:rPr>
        <w:t xml:space="preserve"> </w:t>
      </w:r>
      <w:r w:rsidRPr="000F0100">
        <w:rPr>
          <w:rFonts w:ascii="Arial" w:eastAsia="Arial" w:hAnsi="Arial" w:cs="Arial"/>
          <w:sz w:val="20"/>
          <w:szCs w:val="20"/>
        </w:rPr>
        <w:t>posible</w:t>
      </w:r>
      <w:r w:rsidRPr="000F0100">
        <w:rPr>
          <w:rFonts w:ascii="Arial" w:eastAsia="Arial" w:hAnsi="Arial" w:cs="Arial"/>
          <w:spacing w:val="54"/>
          <w:sz w:val="20"/>
          <w:szCs w:val="20"/>
        </w:rPr>
        <w:t xml:space="preserve"> </w:t>
      </w:r>
      <w:r w:rsidRPr="000F0100">
        <w:rPr>
          <w:rFonts w:ascii="Arial" w:eastAsia="Arial" w:hAnsi="Arial" w:cs="Arial"/>
          <w:sz w:val="20"/>
          <w:szCs w:val="20"/>
        </w:rPr>
        <w:t>que</w:t>
      </w:r>
      <w:r w:rsidRPr="000F0100">
        <w:rPr>
          <w:rFonts w:ascii="Arial" w:eastAsia="Arial" w:hAnsi="Arial" w:cs="Arial"/>
          <w:spacing w:val="54"/>
          <w:sz w:val="20"/>
          <w:szCs w:val="20"/>
        </w:rPr>
        <w:t xml:space="preserve"> </w:t>
      </w:r>
      <w:r w:rsidRPr="000F0100">
        <w:rPr>
          <w:rFonts w:ascii="Arial" w:eastAsia="Arial" w:hAnsi="Arial" w:cs="Arial"/>
          <w:sz w:val="20"/>
          <w:szCs w:val="20"/>
        </w:rPr>
        <w:t>se</w:t>
      </w:r>
      <w:r w:rsidRPr="000F0100">
        <w:rPr>
          <w:rFonts w:ascii="Arial" w:eastAsia="Arial" w:hAnsi="Arial" w:cs="Arial"/>
          <w:spacing w:val="54"/>
          <w:sz w:val="20"/>
          <w:szCs w:val="20"/>
        </w:rPr>
        <w:t xml:space="preserve"> </w:t>
      </w:r>
      <w:r w:rsidRPr="000F0100">
        <w:rPr>
          <w:rFonts w:ascii="Arial" w:eastAsia="Arial" w:hAnsi="Arial" w:cs="Arial"/>
          <w:sz w:val="20"/>
          <w:szCs w:val="20"/>
        </w:rPr>
        <w:t>controlen</w:t>
      </w:r>
      <w:r w:rsidRPr="000F0100">
        <w:rPr>
          <w:rFonts w:ascii="Arial" w:eastAsia="Arial" w:hAnsi="Arial" w:cs="Arial"/>
          <w:spacing w:val="54"/>
          <w:sz w:val="20"/>
          <w:szCs w:val="20"/>
        </w:rPr>
        <w:t xml:space="preserve"> </w:t>
      </w:r>
      <w:r w:rsidRPr="000F0100">
        <w:rPr>
          <w:rFonts w:ascii="Arial" w:eastAsia="Arial" w:hAnsi="Arial" w:cs="Arial"/>
          <w:sz w:val="20"/>
          <w:szCs w:val="20"/>
        </w:rPr>
        <w:t>los</w:t>
      </w:r>
      <w:r w:rsidRPr="000F0100">
        <w:rPr>
          <w:rFonts w:ascii="Arial" w:eastAsia="Arial" w:hAnsi="Arial" w:cs="Arial"/>
          <w:spacing w:val="54"/>
          <w:sz w:val="20"/>
          <w:szCs w:val="20"/>
        </w:rPr>
        <w:t xml:space="preserve"> </w:t>
      </w:r>
      <w:r w:rsidRPr="000F0100">
        <w:rPr>
          <w:rFonts w:ascii="Arial" w:eastAsia="Arial" w:hAnsi="Arial" w:cs="Arial"/>
          <w:sz w:val="20"/>
          <w:szCs w:val="20"/>
        </w:rPr>
        <w:t>actos</w:t>
      </w:r>
      <w:r w:rsidRPr="000F0100">
        <w:rPr>
          <w:rFonts w:ascii="Arial" w:eastAsia="Arial" w:hAnsi="Arial" w:cs="Arial"/>
          <w:spacing w:val="54"/>
          <w:sz w:val="20"/>
          <w:szCs w:val="20"/>
        </w:rPr>
        <w:t xml:space="preserve"> </w:t>
      </w:r>
      <w:r w:rsidRPr="000F0100">
        <w:rPr>
          <w:rFonts w:ascii="Arial" w:eastAsia="Arial" w:hAnsi="Arial" w:cs="Arial"/>
          <w:sz w:val="20"/>
          <w:szCs w:val="20"/>
        </w:rPr>
        <w:t>administrativos antes</w:t>
      </w:r>
      <w:r w:rsidRPr="000F0100">
        <w:rPr>
          <w:rFonts w:ascii="Arial" w:eastAsia="Arial" w:hAnsi="Arial" w:cs="Arial"/>
          <w:spacing w:val="1"/>
          <w:sz w:val="20"/>
          <w:szCs w:val="20"/>
        </w:rPr>
        <w:t xml:space="preserve"> </w:t>
      </w:r>
      <w:r w:rsidRPr="000F0100">
        <w:rPr>
          <w:rFonts w:ascii="Arial" w:eastAsia="Arial" w:hAnsi="Arial" w:cs="Arial"/>
          <w:sz w:val="20"/>
          <w:szCs w:val="20"/>
        </w:rPr>
        <w:t>de</w:t>
      </w:r>
      <w:r w:rsidRPr="000F0100">
        <w:rPr>
          <w:rFonts w:ascii="Arial" w:eastAsia="Arial" w:hAnsi="Arial" w:cs="Arial"/>
          <w:spacing w:val="1"/>
          <w:sz w:val="20"/>
          <w:szCs w:val="20"/>
        </w:rPr>
        <w:t xml:space="preserve"> </w:t>
      </w:r>
      <w:r w:rsidRPr="000F0100">
        <w:rPr>
          <w:rFonts w:ascii="Arial" w:eastAsia="Arial" w:hAnsi="Arial" w:cs="Arial"/>
          <w:sz w:val="20"/>
          <w:szCs w:val="20"/>
        </w:rPr>
        <w:t>que</w:t>
      </w:r>
      <w:r w:rsidRPr="000F0100">
        <w:rPr>
          <w:rFonts w:ascii="Arial" w:eastAsia="Arial" w:hAnsi="Arial" w:cs="Arial"/>
          <w:spacing w:val="1"/>
          <w:sz w:val="20"/>
          <w:szCs w:val="20"/>
        </w:rPr>
        <w:t xml:space="preserve"> </w:t>
      </w:r>
      <w:r w:rsidRPr="000F0100">
        <w:rPr>
          <w:rFonts w:ascii="Arial" w:eastAsia="Arial" w:hAnsi="Arial" w:cs="Arial"/>
          <w:sz w:val="20"/>
          <w:szCs w:val="20"/>
        </w:rPr>
        <w:t>la</w:t>
      </w:r>
      <w:r w:rsidRPr="000F0100">
        <w:rPr>
          <w:rFonts w:ascii="Arial" w:eastAsia="Arial" w:hAnsi="Arial" w:cs="Arial"/>
          <w:spacing w:val="1"/>
          <w:sz w:val="20"/>
          <w:szCs w:val="20"/>
        </w:rPr>
        <w:t xml:space="preserve"> </w:t>
      </w:r>
      <w:r w:rsidRPr="000F0100">
        <w:rPr>
          <w:rFonts w:ascii="Arial" w:eastAsia="Arial" w:hAnsi="Arial" w:cs="Arial"/>
          <w:sz w:val="20"/>
          <w:szCs w:val="20"/>
        </w:rPr>
        <w:t>Corte</w:t>
      </w:r>
      <w:r w:rsidRPr="000F0100">
        <w:rPr>
          <w:rFonts w:ascii="Arial" w:eastAsia="Arial" w:hAnsi="Arial" w:cs="Arial"/>
          <w:spacing w:val="1"/>
          <w:sz w:val="20"/>
          <w:szCs w:val="20"/>
        </w:rPr>
        <w:t xml:space="preserve"> </w:t>
      </w:r>
      <w:r w:rsidRPr="000F0100">
        <w:rPr>
          <w:rFonts w:ascii="Arial" w:eastAsia="Arial" w:hAnsi="Arial" w:cs="Arial"/>
          <w:sz w:val="20"/>
          <w:szCs w:val="20"/>
        </w:rPr>
        <w:t>Constitucional</w:t>
      </w:r>
      <w:r w:rsidRPr="000F0100">
        <w:rPr>
          <w:rFonts w:ascii="Arial" w:eastAsia="Arial" w:hAnsi="Arial" w:cs="Arial"/>
          <w:spacing w:val="1"/>
          <w:sz w:val="20"/>
          <w:szCs w:val="20"/>
        </w:rPr>
        <w:t xml:space="preserve"> s</w:t>
      </w:r>
      <w:r w:rsidRPr="000F0100">
        <w:rPr>
          <w:rFonts w:ascii="Arial" w:eastAsia="Arial" w:hAnsi="Arial" w:cs="Arial"/>
          <w:sz w:val="20"/>
          <w:szCs w:val="20"/>
        </w:rPr>
        <w:t>e p</w:t>
      </w:r>
      <w:r w:rsidRPr="000F0100">
        <w:rPr>
          <w:rFonts w:ascii="Arial" w:eastAsia="Arial" w:hAnsi="Arial" w:cs="Arial"/>
          <w:spacing w:val="2"/>
          <w:sz w:val="20"/>
          <w:szCs w:val="20"/>
        </w:rPr>
        <w:t>r</w:t>
      </w:r>
      <w:r w:rsidRPr="000F0100">
        <w:rPr>
          <w:rFonts w:ascii="Arial" w:eastAsia="Arial" w:hAnsi="Arial" w:cs="Arial"/>
          <w:sz w:val="20"/>
          <w:szCs w:val="20"/>
        </w:rPr>
        <w:t xml:space="preserve">onuncie sobre la </w:t>
      </w:r>
      <w:r w:rsidRPr="000F0100">
        <w:rPr>
          <w:rFonts w:ascii="Arial" w:eastAsia="Arial" w:hAnsi="Arial" w:cs="Arial"/>
          <w:spacing w:val="1"/>
          <w:sz w:val="20"/>
          <w:szCs w:val="20"/>
        </w:rPr>
        <w:t>c</w:t>
      </w:r>
      <w:r w:rsidRPr="000F0100">
        <w:rPr>
          <w:rFonts w:ascii="Arial" w:eastAsia="Arial" w:hAnsi="Arial" w:cs="Arial"/>
          <w:sz w:val="20"/>
          <w:szCs w:val="20"/>
        </w:rPr>
        <w:t>on</w:t>
      </w:r>
      <w:r w:rsidRPr="000F0100">
        <w:rPr>
          <w:rFonts w:ascii="Arial" w:eastAsia="Arial" w:hAnsi="Arial" w:cs="Arial"/>
          <w:spacing w:val="1"/>
          <w:sz w:val="20"/>
          <w:szCs w:val="20"/>
        </w:rPr>
        <w:t>s</w:t>
      </w:r>
      <w:r w:rsidRPr="000F0100">
        <w:rPr>
          <w:rFonts w:ascii="Arial" w:eastAsia="Arial" w:hAnsi="Arial" w:cs="Arial"/>
          <w:sz w:val="20"/>
          <w:szCs w:val="20"/>
        </w:rPr>
        <w:t>titucionalidad del decreto</w:t>
      </w:r>
      <w:r w:rsidRPr="000F0100">
        <w:rPr>
          <w:rFonts w:ascii="Arial" w:eastAsia="Arial" w:hAnsi="Arial" w:cs="Arial"/>
          <w:spacing w:val="1"/>
          <w:sz w:val="20"/>
          <w:szCs w:val="20"/>
        </w:rPr>
        <w:t xml:space="preserve"> </w:t>
      </w:r>
      <w:r w:rsidRPr="000F0100">
        <w:rPr>
          <w:rFonts w:ascii="Arial" w:eastAsia="Arial" w:hAnsi="Arial" w:cs="Arial"/>
          <w:sz w:val="20"/>
          <w:szCs w:val="20"/>
        </w:rPr>
        <w:t>que</w:t>
      </w:r>
      <w:r w:rsidRPr="000F0100">
        <w:rPr>
          <w:rFonts w:ascii="Arial" w:eastAsia="Arial" w:hAnsi="Arial" w:cs="Arial"/>
          <w:spacing w:val="1"/>
          <w:sz w:val="20"/>
          <w:szCs w:val="20"/>
        </w:rPr>
        <w:t xml:space="preserve"> </w:t>
      </w:r>
      <w:r w:rsidRPr="000F0100">
        <w:rPr>
          <w:rFonts w:ascii="Arial" w:eastAsia="Arial" w:hAnsi="Arial" w:cs="Arial"/>
          <w:sz w:val="20"/>
          <w:szCs w:val="20"/>
        </w:rPr>
        <w:t>declara</w:t>
      </w:r>
      <w:r w:rsidRPr="000F0100">
        <w:rPr>
          <w:rFonts w:ascii="Arial" w:eastAsia="Arial" w:hAnsi="Arial" w:cs="Arial"/>
          <w:spacing w:val="1"/>
          <w:sz w:val="20"/>
          <w:szCs w:val="20"/>
        </w:rPr>
        <w:t xml:space="preserve"> </w:t>
      </w:r>
      <w:r w:rsidRPr="000F0100">
        <w:rPr>
          <w:rFonts w:ascii="Arial" w:eastAsia="Arial" w:hAnsi="Arial" w:cs="Arial"/>
          <w:sz w:val="20"/>
          <w:szCs w:val="20"/>
        </w:rPr>
        <w:t>el</w:t>
      </w:r>
      <w:r w:rsidRPr="000F0100">
        <w:rPr>
          <w:rFonts w:ascii="Arial" w:eastAsia="Arial" w:hAnsi="Arial" w:cs="Arial"/>
          <w:spacing w:val="1"/>
          <w:sz w:val="20"/>
          <w:szCs w:val="20"/>
        </w:rPr>
        <w:t xml:space="preserve"> </w:t>
      </w:r>
      <w:r w:rsidRPr="000F0100">
        <w:rPr>
          <w:rFonts w:ascii="Arial" w:eastAsia="Arial" w:hAnsi="Arial" w:cs="Arial"/>
          <w:sz w:val="20"/>
          <w:szCs w:val="20"/>
        </w:rPr>
        <w:t>estado</w:t>
      </w:r>
      <w:r w:rsidRPr="000F0100">
        <w:rPr>
          <w:rFonts w:ascii="Arial" w:eastAsia="Arial" w:hAnsi="Arial" w:cs="Arial"/>
          <w:spacing w:val="1"/>
          <w:sz w:val="20"/>
          <w:szCs w:val="20"/>
        </w:rPr>
        <w:t xml:space="preserve"> </w:t>
      </w:r>
      <w:r w:rsidRPr="000F0100">
        <w:rPr>
          <w:rFonts w:ascii="Arial" w:eastAsia="Arial" w:hAnsi="Arial" w:cs="Arial"/>
          <w:sz w:val="20"/>
          <w:szCs w:val="20"/>
        </w:rPr>
        <w:t>de</w:t>
      </w:r>
      <w:r w:rsidRPr="000F0100">
        <w:rPr>
          <w:rFonts w:ascii="Arial" w:eastAsia="Arial" w:hAnsi="Arial" w:cs="Arial"/>
          <w:spacing w:val="1"/>
          <w:sz w:val="20"/>
          <w:szCs w:val="20"/>
        </w:rPr>
        <w:t xml:space="preserve"> </w:t>
      </w:r>
      <w:r w:rsidRPr="000F0100">
        <w:rPr>
          <w:rFonts w:ascii="Arial" w:eastAsia="Arial" w:hAnsi="Arial" w:cs="Arial"/>
          <w:sz w:val="20"/>
          <w:szCs w:val="20"/>
        </w:rPr>
        <w:t>excep</w:t>
      </w:r>
      <w:r w:rsidRPr="000F0100">
        <w:rPr>
          <w:rFonts w:ascii="Arial" w:eastAsia="Arial" w:hAnsi="Arial" w:cs="Arial"/>
          <w:spacing w:val="1"/>
          <w:sz w:val="20"/>
          <w:szCs w:val="20"/>
        </w:rPr>
        <w:t>c</w:t>
      </w:r>
      <w:r w:rsidRPr="000F0100">
        <w:rPr>
          <w:rFonts w:ascii="Arial" w:eastAsia="Arial" w:hAnsi="Arial" w:cs="Arial"/>
          <w:spacing w:val="2"/>
          <w:sz w:val="20"/>
          <w:szCs w:val="20"/>
        </w:rPr>
        <w:t>i</w:t>
      </w:r>
      <w:r w:rsidRPr="000F0100">
        <w:rPr>
          <w:rFonts w:ascii="Arial" w:eastAsia="Arial" w:hAnsi="Arial" w:cs="Arial"/>
          <w:sz w:val="20"/>
          <w:szCs w:val="20"/>
        </w:rPr>
        <w:t>ón y de los decretos legislativ</w:t>
      </w:r>
      <w:r w:rsidRPr="000F0100">
        <w:rPr>
          <w:rFonts w:ascii="Arial" w:eastAsia="Arial" w:hAnsi="Arial" w:cs="Arial"/>
          <w:spacing w:val="1"/>
          <w:sz w:val="20"/>
          <w:szCs w:val="20"/>
        </w:rPr>
        <w:t>o</w:t>
      </w:r>
      <w:r w:rsidRPr="000F0100">
        <w:rPr>
          <w:rFonts w:ascii="Arial" w:eastAsia="Arial" w:hAnsi="Arial" w:cs="Arial"/>
          <w:sz w:val="20"/>
          <w:szCs w:val="20"/>
        </w:rPr>
        <w:t xml:space="preserve">s que lo desarrollan. </w:t>
      </w:r>
      <w:r w:rsidRPr="000F0100">
        <w:rPr>
          <w:rFonts w:ascii="Arial" w:eastAsia="Arial" w:hAnsi="Arial" w:cs="Arial"/>
          <w:b/>
          <w:sz w:val="20"/>
          <w:szCs w:val="20"/>
          <w:u w:val="single"/>
        </w:rPr>
        <w:t>Es integral, por cuanto es</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un juicio en el que se examina la competencia de la autoridad q</w:t>
      </w:r>
      <w:r w:rsidRPr="000F0100">
        <w:rPr>
          <w:rFonts w:ascii="Arial" w:eastAsia="Arial" w:hAnsi="Arial" w:cs="Arial"/>
          <w:b/>
          <w:spacing w:val="2"/>
          <w:sz w:val="20"/>
          <w:szCs w:val="20"/>
          <w:u w:val="single"/>
        </w:rPr>
        <w:t>u</w:t>
      </w:r>
      <w:r w:rsidRPr="000F0100">
        <w:rPr>
          <w:rFonts w:ascii="Arial" w:eastAsia="Arial" w:hAnsi="Arial" w:cs="Arial"/>
          <w:b/>
          <w:sz w:val="20"/>
          <w:szCs w:val="20"/>
          <w:u w:val="single"/>
        </w:rPr>
        <w:t xml:space="preserve">e expidió el acto, la conexidad del acto </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on los motivos</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que</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dieron</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lugar</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a</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26"/>
          <w:sz w:val="20"/>
          <w:szCs w:val="20"/>
          <w:u w:val="single"/>
        </w:rPr>
        <w:t xml:space="preserve"> </w:t>
      </w:r>
      <w:r w:rsidRPr="000F0100">
        <w:rPr>
          <w:rFonts w:ascii="Arial" w:eastAsia="Arial" w:hAnsi="Arial" w:cs="Arial"/>
          <w:b/>
          <w:sz w:val="20"/>
          <w:szCs w:val="20"/>
          <w:u w:val="single"/>
        </w:rPr>
        <w:t>declaratoria</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del</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estado</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26"/>
          <w:sz w:val="20"/>
          <w:szCs w:val="20"/>
          <w:u w:val="single"/>
        </w:rPr>
        <w:t xml:space="preserve"> </w:t>
      </w:r>
      <w:r w:rsidRPr="000F0100">
        <w:rPr>
          <w:rFonts w:ascii="Arial" w:eastAsia="Arial" w:hAnsi="Arial" w:cs="Arial"/>
          <w:b/>
          <w:sz w:val="20"/>
          <w:szCs w:val="20"/>
          <w:u w:val="single"/>
        </w:rPr>
        <w:t>exc</w:t>
      </w:r>
      <w:r w:rsidRPr="000F0100">
        <w:rPr>
          <w:rFonts w:ascii="Arial" w:eastAsia="Arial" w:hAnsi="Arial" w:cs="Arial"/>
          <w:b/>
          <w:spacing w:val="1"/>
          <w:sz w:val="20"/>
          <w:szCs w:val="20"/>
          <w:u w:val="single"/>
        </w:rPr>
        <w:t>e</w:t>
      </w:r>
      <w:r w:rsidRPr="000F0100">
        <w:rPr>
          <w:rFonts w:ascii="Arial" w:eastAsia="Arial" w:hAnsi="Arial" w:cs="Arial"/>
          <w:b/>
          <w:sz w:val="20"/>
          <w:szCs w:val="20"/>
          <w:u w:val="single"/>
        </w:rPr>
        <w:t>pción,</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sujeción</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a las formas y la proporcion</w:t>
      </w:r>
      <w:r w:rsidRPr="000F0100">
        <w:rPr>
          <w:rFonts w:ascii="Arial" w:eastAsia="Arial" w:hAnsi="Arial" w:cs="Arial"/>
          <w:b/>
          <w:spacing w:val="1"/>
          <w:sz w:val="20"/>
          <w:szCs w:val="20"/>
          <w:u w:val="single"/>
        </w:rPr>
        <w:t>a</w:t>
      </w:r>
      <w:r w:rsidRPr="000F0100">
        <w:rPr>
          <w:rFonts w:ascii="Arial" w:eastAsia="Arial" w:hAnsi="Arial" w:cs="Arial"/>
          <w:b/>
          <w:sz w:val="20"/>
          <w:szCs w:val="20"/>
          <w:u w:val="single"/>
        </w:rPr>
        <w:t>lidad de las medidas adoptadas para con</w:t>
      </w:r>
      <w:r w:rsidRPr="000F0100">
        <w:rPr>
          <w:rFonts w:ascii="Arial" w:eastAsia="Arial" w:hAnsi="Arial" w:cs="Arial"/>
          <w:b/>
          <w:spacing w:val="2"/>
          <w:sz w:val="20"/>
          <w:szCs w:val="20"/>
          <w:u w:val="single"/>
        </w:rPr>
        <w:t>j</w:t>
      </w:r>
      <w:r w:rsidRPr="000F0100">
        <w:rPr>
          <w:rFonts w:ascii="Arial" w:eastAsia="Arial" w:hAnsi="Arial" w:cs="Arial"/>
          <w:b/>
          <w:sz w:val="20"/>
          <w:szCs w:val="20"/>
          <w:u w:val="single"/>
        </w:rPr>
        <w:t>urar la crisis e impedir</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exten</w:t>
      </w:r>
      <w:r w:rsidRPr="000F0100">
        <w:rPr>
          <w:rFonts w:ascii="Arial" w:eastAsia="Arial" w:hAnsi="Arial" w:cs="Arial"/>
          <w:b/>
          <w:spacing w:val="1"/>
          <w:sz w:val="20"/>
          <w:szCs w:val="20"/>
          <w:u w:val="single"/>
        </w:rPr>
        <w:t>s</w:t>
      </w:r>
      <w:r w:rsidRPr="000F0100">
        <w:rPr>
          <w:rFonts w:ascii="Arial" w:eastAsia="Arial" w:hAnsi="Arial" w:cs="Arial"/>
          <w:b/>
          <w:sz w:val="20"/>
          <w:szCs w:val="20"/>
          <w:u w:val="single"/>
        </w:rPr>
        <w:t>ión</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los</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efe</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tos del estado de ex</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epción</w:t>
      </w:r>
      <w:r w:rsidRPr="000F0100">
        <w:rPr>
          <w:rFonts w:ascii="Arial" w:eastAsia="Arial" w:hAnsi="Arial" w:cs="Arial"/>
          <w:sz w:val="20"/>
          <w:szCs w:val="20"/>
        </w:rPr>
        <w:t>. En</w:t>
      </w:r>
      <w:r w:rsidRPr="000F0100">
        <w:rPr>
          <w:rFonts w:ascii="Arial" w:eastAsia="Arial" w:hAnsi="Arial" w:cs="Arial"/>
          <w:spacing w:val="1"/>
          <w:sz w:val="20"/>
          <w:szCs w:val="20"/>
        </w:rPr>
        <w:t xml:space="preserve"> </w:t>
      </w:r>
      <w:r w:rsidRPr="000F0100">
        <w:rPr>
          <w:rFonts w:ascii="Arial" w:eastAsia="Arial" w:hAnsi="Arial" w:cs="Arial"/>
          <w:sz w:val="20"/>
          <w:szCs w:val="20"/>
        </w:rPr>
        <w:t>principio, podr</w:t>
      </w:r>
      <w:r w:rsidRPr="000F0100">
        <w:rPr>
          <w:rFonts w:ascii="Arial" w:eastAsia="Arial" w:hAnsi="Arial" w:cs="Arial"/>
          <w:spacing w:val="2"/>
          <w:sz w:val="20"/>
          <w:szCs w:val="20"/>
        </w:rPr>
        <w:t>í</w:t>
      </w:r>
      <w:r w:rsidRPr="000F0100">
        <w:rPr>
          <w:rFonts w:ascii="Arial" w:eastAsia="Arial" w:hAnsi="Arial" w:cs="Arial"/>
          <w:sz w:val="20"/>
          <w:szCs w:val="20"/>
        </w:rPr>
        <w:t xml:space="preserve">a pensarse que el control integral supone </w:t>
      </w:r>
      <w:r w:rsidRPr="000F0100">
        <w:rPr>
          <w:rFonts w:ascii="Arial" w:eastAsia="Arial" w:hAnsi="Arial" w:cs="Arial"/>
          <w:spacing w:val="1"/>
          <w:sz w:val="20"/>
          <w:szCs w:val="20"/>
        </w:rPr>
        <w:t>q</w:t>
      </w:r>
      <w:r w:rsidRPr="000F0100">
        <w:rPr>
          <w:rFonts w:ascii="Arial" w:eastAsia="Arial" w:hAnsi="Arial" w:cs="Arial"/>
          <w:sz w:val="20"/>
          <w:szCs w:val="20"/>
        </w:rPr>
        <w:t>ue el acto administrativo gen</w:t>
      </w:r>
      <w:r w:rsidRPr="000F0100">
        <w:rPr>
          <w:rFonts w:ascii="Arial" w:eastAsia="Arial" w:hAnsi="Arial" w:cs="Arial"/>
          <w:spacing w:val="1"/>
          <w:sz w:val="20"/>
          <w:szCs w:val="20"/>
        </w:rPr>
        <w:t>e</w:t>
      </w:r>
      <w:r w:rsidRPr="000F0100">
        <w:rPr>
          <w:rFonts w:ascii="Arial" w:eastAsia="Arial" w:hAnsi="Arial" w:cs="Arial"/>
          <w:sz w:val="20"/>
          <w:szCs w:val="20"/>
        </w:rPr>
        <w:t xml:space="preserve">ral </w:t>
      </w:r>
      <w:r w:rsidRPr="000F0100">
        <w:rPr>
          <w:rFonts w:ascii="Arial" w:eastAsia="Arial" w:hAnsi="Arial" w:cs="Arial"/>
          <w:spacing w:val="1"/>
          <w:sz w:val="20"/>
          <w:szCs w:val="20"/>
        </w:rPr>
        <w:t>s</w:t>
      </w:r>
      <w:r w:rsidRPr="000F0100">
        <w:rPr>
          <w:rFonts w:ascii="Arial" w:eastAsia="Arial" w:hAnsi="Arial" w:cs="Arial"/>
          <w:sz w:val="20"/>
          <w:szCs w:val="20"/>
        </w:rPr>
        <w:t>e confronta frente a todo el ordenamiento jurídico. S</w:t>
      </w:r>
      <w:r w:rsidRPr="000F0100">
        <w:rPr>
          <w:rFonts w:ascii="Arial" w:eastAsia="Arial" w:hAnsi="Arial" w:cs="Arial"/>
          <w:spacing w:val="-1"/>
          <w:sz w:val="20"/>
          <w:szCs w:val="20"/>
        </w:rPr>
        <w:t>i</w:t>
      </w:r>
      <w:r w:rsidRPr="000F0100">
        <w:rPr>
          <w:rFonts w:ascii="Arial" w:eastAsia="Arial" w:hAnsi="Arial" w:cs="Arial"/>
          <w:sz w:val="20"/>
          <w:szCs w:val="20"/>
        </w:rPr>
        <w:t>n emba</w:t>
      </w:r>
      <w:r w:rsidRPr="000F0100">
        <w:rPr>
          <w:rFonts w:ascii="Arial" w:eastAsia="Arial" w:hAnsi="Arial" w:cs="Arial"/>
          <w:spacing w:val="2"/>
          <w:sz w:val="20"/>
          <w:szCs w:val="20"/>
        </w:rPr>
        <w:t>r</w:t>
      </w:r>
      <w:r w:rsidRPr="000F0100">
        <w:rPr>
          <w:rFonts w:ascii="Arial" w:eastAsia="Arial" w:hAnsi="Arial" w:cs="Arial"/>
          <w:sz w:val="20"/>
          <w:szCs w:val="20"/>
        </w:rPr>
        <w:t>go, debido</w:t>
      </w:r>
      <w:r w:rsidRPr="000F0100">
        <w:rPr>
          <w:rFonts w:ascii="Arial" w:eastAsia="Arial" w:hAnsi="Arial" w:cs="Arial"/>
          <w:spacing w:val="1"/>
          <w:sz w:val="20"/>
          <w:szCs w:val="20"/>
        </w:rPr>
        <w:t xml:space="preserve"> </w:t>
      </w:r>
      <w:r w:rsidRPr="000F0100">
        <w:rPr>
          <w:rFonts w:ascii="Arial" w:eastAsia="Arial" w:hAnsi="Arial" w:cs="Arial"/>
          <w:sz w:val="20"/>
          <w:szCs w:val="20"/>
        </w:rPr>
        <w:t>a la complejidad del ordenamiento</w:t>
      </w:r>
      <w:r w:rsidRPr="000F0100">
        <w:rPr>
          <w:rFonts w:ascii="Arial" w:eastAsia="Arial" w:hAnsi="Arial" w:cs="Arial"/>
          <w:spacing w:val="1"/>
          <w:sz w:val="20"/>
          <w:szCs w:val="20"/>
        </w:rPr>
        <w:t xml:space="preserve"> </w:t>
      </w:r>
      <w:r w:rsidRPr="000F0100">
        <w:rPr>
          <w:rFonts w:ascii="Arial" w:eastAsia="Arial" w:hAnsi="Arial" w:cs="Arial"/>
          <w:sz w:val="20"/>
          <w:szCs w:val="20"/>
        </w:rPr>
        <w:t>jurídico, el control de legali</w:t>
      </w:r>
      <w:r w:rsidRPr="000F0100">
        <w:rPr>
          <w:rFonts w:ascii="Arial" w:eastAsia="Arial" w:hAnsi="Arial" w:cs="Arial"/>
          <w:spacing w:val="1"/>
          <w:sz w:val="20"/>
          <w:szCs w:val="20"/>
        </w:rPr>
        <w:t>d</w:t>
      </w:r>
      <w:r w:rsidRPr="000F0100">
        <w:rPr>
          <w:rFonts w:ascii="Arial" w:eastAsia="Arial" w:hAnsi="Arial" w:cs="Arial"/>
          <w:sz w:val="20"/>
          <w:szCs w:val="20"/>
        </w:rPr>
        <w:t>ad queda circuns</w:t>
      </w:r>
      <w:r w:rsidRPr="000F0100">
        <w:rPr>
          <w:rFonts w:ascii="Arial" w:eastAsia="Arial" w:hAnsi="Arial" w:cs="Arial"/>
          <w:spacing w:val="1"/>
          <w:sz w:val="20"/>
          <w:szCs w:val="20"/>
        </w:rPr>
        <w:t>c</w:t>
      </w:r>
      <w:r w:rsidRPr="000F0100">
        <w:rPr>
          <w:rFonts w:ascii="Arial" w:eastAsia="Arial" w:hAnsi="Arial" w:cs="Arial"/>
          <w:sz w:val="20"/>
          <w:szCs w:val="20"/>
        </w:rPr>
        <w:t xml:space="preserve">rito a las </w:t>
      </w:r>
      <w:r w:rsidRPr="000F0100">
        <w:rPr>
          <w:rFonts w:ascii="Arial" w:eastAsia="Arial" w:hAnsi="Arial" w:cs="Arial"/>
          <w:spacing w:val="1"/>
          <w:sz w:val="20"/>
          <w:szCs w:val="20"/>
        </w:rPr>
        <w:t>normas</w:t>
      </w:r>
      <w:r w:rsidRPr="000F0100">
        <w:rPr>
          <w:rFonts w:ascii="Arial" w:eastAsia="Arial" w:hAnsi="Arial" w:cs="Arial"/>
          <w:sz w:val="20"/>
          <w:szCs w:val="20"/>
        </w:rPr>
        <w:t xml:space="preserve"> </w:t>
      </w:r>
      <w:r w:rsidRPr="000F0100">
        <w:rPr>
          <w:rFonts w:ascii="Arial" w:eastAsia="Arial" w:hAnsi="Arial" w:cs="Arial"/>
          <w:spacing w:val="1"/>
          <w:sz w:val="20"/>
          <w:szCs w:val="20"/>
        </w:rPr>
        <w:t>invocadas</w:t>
      </w:r>
      <w:r w:rsidRPr="000F0100">
        <w:rPr>
          <w:rFonts w:ascii="Arial" w:eastAsia="Arial" w:hAnsi="Arial" w:cs="Arial"/>
          <w:sz w:val="20"/>
          <w:szCs w:val="20"/>
        </w:rPr>
        <w:t xml:space="preserve"> </w:t>
      </w:r>
      <w:r w:rsidRPr="000F0100">
        <w:rPr>
          <w:rFonts w:ascii="Arial" w:eastAsia="Arial" w:hAnsi="Arial" w:cs="Arial"/>
          <w:spacing w:val="1"/>
          <w:sz w:val="20"/>
          <w:szCs w:val="20"/>
        </w:rPr>
        <w:t>en</w:t>
      </w:r>
      <w:r w:rsidRPr="000F0100">
        <w:rPr>
          <w:rFonts w:ascii="Arial" w:eastAsia="Arial" w:hAnsi="Arial" w:cs="Arial"/>
          <w:sz w:val="20"/>
          <w:szCs w:val="20"/>
        </w:rPr>
        <w:t xml:space="preserve"> </w:t>
      </w:r>
      <w:r w:rsidRPr="000F0100">
        <w:rPr>
          <w:rFonts w:ascii="Arial" w:eastAsia="Arial" w:hAnsi="Arial" w:cs="Arial"/>
          <w:spacing w:val="1"/>
          <w:sz w:val="20"/>
          <w:szCs w:val="20"/>
        </w:rPr>
        <w:lastRenderedPageBreak/>
        <w:t>la</w:t>
      </w:r>
      <w:r w:rsidRPr="000F0100">
        <w:rPr>
          <w:rFonts w:ascii="Arial" w:eastAsia="Arial" w:hAnsi="Arial" w:cs="Arial"/>
          <w:sz w:val="20"/>
          <w:szCs w:val="20"/>
        </w:rPr>
        <w:t xml:space="preserve"> </w:t>
      </w:r>
      <w:r w:rsidRPr="000F0100">
        <w:rPr>
          <w:rFonts w:ascii="Arial" w:eastAsia="Arial" w:hAnsi="Arial" w:cs="Arial"/>
          <w:spacing w:val="1"/>
          <w:sz w:val="20"/>
          <w:szCs w:val="20"/>
        </w:rPr>
        <w:t>sentencia</w:t>
      </w:r>
      <w:r w:rsidRPr="000F0100">
        <w:rPr>
          <w:rFonts w:ascii="Arial" w:eastAsia="Arial" w:hAnsi="Arial" w:cs="Arial"/>
          <w:sz w:val="20"/>
          <w:szCs w:val="20"/>
        </w:rPr>
        <w:t xml:space="preserve"> </w:t>
      </w:r>
      <w:r w:rsidRPr="000F0100">
        <w:rPr>
          <w:rFonts w:ascii="Arial" w:eastAsia="Arial" w:hAnsi="Arial" w:cs="Arial"/>
          <w:spacing w:val="1"/>
          <w:sz w:val="20"/>
          <w:szCs w:val="20"/>
        </w:rPr>
        <w:t>con</w:t>
      </w:r>
      <w:r w:rsidRPr="000F0100">
        <w:rPr>
          <w:rFonts w:ascii="Arial" w:eastAsia="Arial" w:hAnsi="Arial" w:cs="Arial"/>
          <w:sz w:val="20"/>
          <w:szCs w:val="20"/>
        </w:rPr>
        <w:t xml:space="preserve"> la que culmina el procedimiento especial de control de </w:t>
      </w:r>
      <w:r w:rsidRPr="000F0100">
        <w:rPr>
          <w:rFonts w:ascii="Arial" w:eastAsia="Arial" w:hAnsi="Arial" w:cs="Arial"/>
          <w:spacing w:val="1"/>
          <w:sz w:val="20"/>
          <w:szCs w:val="20"/>
        </w:rPr>
        <w:t>l</w:t>
      </w:r>
      <w:r w:rsidRPr="000F0100">
        <w:rPr>
          <w:rFonts w:ascii="Arial" w:eastAsia="Arial" w:hAnsi="Arial" w:cs="Arial"/>
          <w:sz w:val="20"/>
          <w:szCs w:val="20"/>
        </w:rPr>
        <w:t>egalidad</w:t>
      </w:r>
      <w:r w:rsidRPr="000F0100">
        <w:rPr>
          <w:rFonts w:ascii="Arial" w:eastAsia="Arial" w:hAnsi="Arial" w:cs="Arial"/>
          <w:spacing w:val="1"/>
          <w:sz w:val="20"/>
          <w:szCs w:val="20"/>
        </w:rPr>
        <w:t xml:space="preserve"> </w:t>
      </w:r>
      <w:r w:rsidRPr="000F0100">
        <w:rPr>
          <w:rFonts w:ascii="Arial" w:eastAsia="Arial" w:hAnsi="Arial" w:cs="Arial"/>
          <w:sz w:val="20"/>
          <w:szCs w:val="20"/>
        </w:rPr>
        <w:t>previsto</w:t>
      </w:r>
      <w:r w:rsidRPr="000F0100">
        <w:rPr>
          <w:rFonts w:ascii="Arial" w:eastAsia="Arial" w:hAnsi="Arial" w:cs="Arial"/>
          <w:spacing w:val="1"/>
          <w:sz w:val="20"/>
          <w:szCs w:val="20"/>
        </w:rPr>
        <w:t xml:space="preserve"> </w:t>
      </w:r>
      <w:r w:rsidRPr="000F0100">
        <w:rPr>
          <w:rFonts w:ascii="Arial" w:eastAsia="Arial" w:hAnsi="Arial" w:cs="Arial"/>
          <w:sz w:val="20"/>
          <w:szCs w:val="20"/>
        </w:rPr>
        <w:t>en</w:t>
      </w:r>
      <w:r w:rsidRPr="000F0100">
        <w:rPr>
          <w:rFonts w:ascii="Arial" w:eastAsia="Arial" w:hAnsi="Arial" w:cs="Arial"/>
          <w:spacing w:val="1"/>
          <w:sz w:val="20"/>
          <w:szCs w:val="20"/>
        </w:rPr>
        <w:t xml:space="preserve"> </w:t>
      </w:r>
      <w:r w:rsidRPr="000F0100">
        <w:rPr>
          <w:rFonts w:ascii="Arial" w:eastAsia="Arial" w:hAnsi="Arial" w:cs="Arial"/>
          <w:sz w:val="20"/>
          <w:szCs w:val="20"/>
        </w:rPr>
        <w:t>la</w:t>
      </w:r>
      <w:r w:rsidRPr="000F0100">
        <w:rPr>
          <w:rFonts w:ascii="Arial" w:eastAsia="Arial" w:hAnsi="Arial" w:cs="Arial"/>
          <w:spacing w:val="1"/>
          <w:sz w:val="20"/>
          <w:szCs w:val="20"/>
        </w:rPr>
        <w:t xml:space="preserve"> </w:t>
      </w:r>
      <w:r w:rsidRPr="000F0100">
        <w:rPr>
          <w:rFonts w:ascii="Arial" w:eastAsia="Arial" w:hAnsi="Arial" w:cs="Arial"/>
          <w:sz w:val="20"/>
          <w:szCs w:val="20"/>
        </w:rPr>
        <w:t>ley</w:t>
      </w:r>
      <w:r w:rsidRPr="000F0100">
        <w:rPr>
          <w:rFonts w:ascii="Arial" w:eastAsia="Arial" w:hAnsi="Arial" w:cs="Arial"/>
          <w:spacing w:val="1"/>
          <w:sz w:val="20"/>
          <w:szCs w:val="20"/>
        </w:rPr>
        <w:t xml:space="preserve"> </w:t>
      </w:r>
      <w:r w:rsidRPr="000F0100">
        <w:rPr>
          <w:rFonts w:ascii="Arial" w:eastAsia="Arial" w:hAnsi="Arial" w:cs="Arial"/>
          <w:sz w:val="20"/>
          <w:szCs w:val="20"/>
        </w:rPr>
        <w:t>estatutaria</w:t>
      </w:r>
      <w:r w:rsidRPr="000F0100">
        <w:rPr>
          <w:rFonts w:ascii="Arial" w:eastAsia="Arial" w:hAnsi="Arial" w:cs="Arial"/>
          <w:spacing w:val="1"/>
          <w:sz w:val="20"/>
          <w:szCs w:val="20"/>
        </w:rPr>
        <w:t>”</w:t>
      </w:r>
      <w:r w:rsidRPr="000F0100">
        <w:rPr>
          <w:rStyle w:val="Refdenotaalpie"/>
          <w:rFonts w:eastAsiaTheme="minorEastAsia" w:cs="Arial"/>
          <w:sz w:val="20"/>
        </w:rPr>
        <w:t xml:space="preserve"> </w:t>
      </w:r>
      <w:r w:rsidRPr="000F0100">
        <w:rPr>
          <w:rStyle w:val="Refdenotaalpie"/>
          <w:rFonts w:eastAsiaTheme="minorEastAsia" w:cs="Arial"/>
          <w:sz w:val="20"/>
        </w:rPr>
        <w:footnoteReference w:id="1"/>
      </w:r>
      <w:r w:rsidRPr="000F0100">
        <w:rPr>
          <w:rFonts w:ascii="Arial" w:hAnsi="Arial" w:cs="Arial"/>
          <w:sz w:val="20"/>
          <w:szCs w:val="20"/>
        </w:rPr>
        <w:t>.</w:t>
      </w:r>
      <w:r w:rsidRPr="000F0100">
        <w:rPr>
          <w:rFonts w:ascii="Arial" w:eastAsia="Arial" w:hAnsi="Arial" w:cs="Arial"/>
          <w:spacing w:val="1"/>
          <w:sz w:val="20"/>
          <w:szCs w:val="20"/>
        </w:rPr>
        <w:t xml:space="preserve"> </w:t>
      </w:r>
      <w:r w:rsidRPr="000F0100">
        <w:rPr>
          <w:rFonts w:ascii="Arial" w:hAnsi="Arial" w:cs="Arial"/>
          <w:i/>
          <w:sz w:val="20"/>
          <w:szCs w:val="20"/>
        </w:rPr>
        <w:t>(negrillas y subrayas fuera de texto)</w:t>
      </w:r>
    </w:p>
    <w:p w14:paraId="085F6A9B" w14:textId="77777777" w:rsidR="006D58A1" w:rsidRDefault="006D58A1" w:rsidP="006D58A1">
      <w:pPr>
        <w:spacing w:after="200"/>
        <w:jc w:val="center"/>
        <w:rPr>
          <w:rFonts w:ascii="Arial" w:hAnsi="Arial" w:cs="Arial"/>
          <w:b/>
        </w:rPr>
      </w:pPr>
    </w:p>
    <w:p w14:paraId="4F896A2A" w14:textId="77777777" w:rsidR="006D58A1" w:rsidRPr="00774183" w:rsidRDefault="006D58A1" w:rsidP="006D58A1">
      <w:pPr>
        <w:pStyle w:val="Prrafodelista"/>
        <w:numPr>
          <w:ilvl w:val="0"/>
          <w:numId w:val="27"/>
        </w:numPr>
        <w:spacing w:after="200"/>
        <w:jc w:val="center"/>
        <w:rPr>
          <w:rFonts w:ascii="Arial" w:hAnsi="Arial" w:cs="Arial"/>
          <w:b/>
        </w:rPr>
      </w:pPr>
      <w:r w:rsidRPr="00774183">
        <w:rPr>
          <w:rFonts w:ascii="Arial" w:hAnsi="Arial" w:cs="Arial"/>
          <w:b/>
        </w:rPr>
        <w:t>PETICIÓN ESPECIAL</w:t>
      </w:r>
    </w:p>
    <w:p w14:paraId="65BAAD64" w14:textId="77777777" w:rsidR="006D58A1" w:rsidRDefault="006D58A1" w:rsidP="006D58A1">
      <w:pPr>
        <w:autoSpaceDE w:val="0"/>
        <w:autoSpaceDN w:val="0"/>
        <w:adjustRightInd w:val="0"/>
        <w:spacing w:after="200"/>
        <w:jc w:val="both"/>
        <w:rPr>
          <w:rFonts w:ascii="Arial" w:hAnsi="Arial" w:cs="Arial"/>
        </w:rPr>
      </w:pPr>
      <w:r>
        <w:rPr>
          <w:rFonts w:ascii="Arial" w:hAnsi="Arial" w:cs="Arial"/>
        </w:rPr>
        <w:t>Con fundamento en lo anterior d</w:t>
      </w:r>
      <w:r w:rsidRPr="00655BD4">
        <w:rPr>
          <w:rFonts w:ascii="Arial" w:hAnsi="Arial" w:cs="Arial"/>
        </w:rPr>
        <w:t>e manera respetuos</w:t>
      </w:r>
      <w:r>
        <w:rPr>
          <w:rFonts w:ascii="Arial" w:hAnsi="Arial" w:cs="Arial"/>
        </w:rPr>
        <w:t xml:space="preserve">a considera esta Agencia del Ministerio público que </w:t>
      </w:r>
      <w:r w:rsidRPr="00935377">
        <w:rPr>
          <w:rFonts w:ascii="Arial" w:hAnsi="Arial" w:cs="Arial"/>
        </w:rPr>
        <w:t xml:space="preserve">cuando el Tribunal Contencioso Administrativo del Valle del Cauca, mediante </w:t>
      </w:r>
      <w:r>
        <w:rPr>
          <w:rFonts w:ascii="Arial" w:hAnsi="Arial" w:cs="Arial"/>
        </w:rPr>
        <w:t xml:space="preserve">  </w:t>
      </w:r>
      <w:r w:rsidRPr="00ED37D9">
        <w:rPr>
          <w:rFonts w:ascii="Arial" w:hAnsi="Arial" w:cs="Arial"/>
          <w:b/>
          <w:lang w:val="es-CO"/>
        </w:rPr>
        <w:t>Auto Interlocutorio, calendado a 27 de marzo de dos mil veinte 2020</w:t>
      </w:r>
      <w:r>
        <w:rPr>
          <w:rFonts w:ascii="Arial" w:hAnsi="Arial" w:cs="Arial"/>
          <w:b/>
          <w:lang w:val="es-CO"/>
        </w:rPr>
        <w:t xml:space="preserve">, </w:t>
      </w:r>
      <w:r w:rsidRPr="00A937C2">
        <w:rPr>
          <w:rFonts w:ascii="Arial" w:hAnsi="Arial" w:cs="Arial"/>
          <w:lang w:val="es-CO"/>
        </w:rPr>
        <w:t>decidió:</w:t>
      </w:r>
      <w:r>
        <w:rPr>
          <w:rFonts w:ascii="Arial" w:hAnsi="Arial" w:cs="Arial"/>
          <w:b/>
          <w:lang w:val="es-CO"/>
        </w:rPr>
        <w:t xml:space="preserve"> </w:t>
      </w:r>
    </w:p>
    <w:p w14:paraId="459AB0E4" w14:textId="77777777" w:rsidR="006D58A1" w:rsidRPr="00FB56FF" w:rsidRDefault="006D58A1" w:rsidP="006D58A1">
      <w:pPr>
        <w:autoSpaceDE w:val="0"/>
        <w:autoSpaceDN w:val="0"/>
        <w:adjustRightInd w:val="0"/>
        <w:spacing w:after="200"/>
        <w:ind w:left="680"/>
        <w:jc w:val="both"/>
        <w:rPr>
          <w:rFonts w:ascii="Arial" w:hAnsi="Arial" w:cs="Arial"/>
          <w:i/>
          <w:iCs/>
          <w:sz w:val="20"/>
          <w:szCs w:val="20"/>
          <w:lang w:val="es-ES_tradnl"/>
        </w:rPr>
      </w:pPr>
      <w:r w:rsidRPr="00FB56FF">
        <w:rPr>
          <w:rFonts w:ascii="Arial" w:hAnsi="Arial" w:cs="Arial"/>
          <w:b/>
          <w:sz w:val="20"/>
          <w:szCs w:val="20"/>
        </w:rPr>
        <w:t>“PRIMERO:</w:t>
      </w:r>
      <w:r w:rsidRPr="00FB56FF">
        <w:rPr>
          <w:rFonts w:ascii="Arial" w:hAnsi="Arial" w:cs="Arial"/>
          <w:sz w:val="20"/>
          <w:szCs w:val="20"/>
        </w:rPr>
        <w:t xml:space="preserve"> </w:t>
      </w:r>
      <w:r w:rsidRPr="00FB56FF">
        <w:rPr>
          <w:rFonts w:ascii="Arial" w:hAnsi="Arial" w:cs="Arial"/>
          <w:b/>
          <w:sz w:val="20"/>
          <w:szCs w:val="20"/>
        </w:rPr>
        <w:t>NO AVOCAR</w:t>
      </w:r>
      <w:r w:rsidRPr="00FB56FF">
        <w:rPr>
          <w:rFonts w:ascii="Arial" w:hAnsi="Arial" w:cs="Arial"/>
          <w:sz w:val="20"/>
          <w:szCs w:val="20"/>
        </w:rPr>
        <w:t xml:space="preserve"> el conocimiento de control inmediato de legalidad del Decreto No. 045 del 19 de marzo de </w:t>
      </w:r>
      <w:r w:rsidRPr="00FB56FF">
        <w:rPr>
          <w:rFonts w:ascii="Arial" w:hAnsi="Arial" w:cs="Arial"/>
          <w:i/>
          <w:iCs/>
          <w:sz w:val="20"/>
          <w:szCs w:val="20"/>
        </w:rPr>
        <w:t>2020 “</w:t>
      </w:r>
      <w:r w:rsidRPr="00FB56FF">
        <w:rPr>
          <w:rFonts w:ascii="Arial" w:hAnsi="Arial" w:cs="Arial"/>
          <w:i/>
          <w:iCs/>
          <w:sz w:val="20"/>
          <w:szCs w:val="20"/>
          <w:lang w:val="es-ES_tradnl"/>
        </w:rPr>
        <w:t>Por medio del cual se establecen nuevas medidas de carácter temporal, extraordinario, preventivas y se estableces estrategias ante la emergencia en salud pública que reviste la aparición del COVID-19 en el Municipio de Bolívar Valle del Cauca”.</w:t>
      </w:r>
    </w:p>
    <w:p w14:paraId="5A80F351" w14:textId="77777777" w:rsidR="006D58A1" w:rsidRPr="00935377" w:rsidRDefault="006D58A1" w:rsidP="006D58A1">
      <w:pPr>
        <w:autoSpaceDE w:val="0"/>
        <w:autoSpaceDN w:val="0"/>
        <w:adjustRightInd w:val="0"/>
        <w:spacing w:after="200"/>
        <w:jc w:val="both"/>
        <w:rPr>
          <w:rFonts w:ascii="Arial" w:hAnsi="Arial" w:cs="Arial"/>
        </w:rPr>
      </w:pPr>
      <w:r w:rsidRPr="00935377">
        <w:rPr>
          <w:rFonts w:ascii="Arial" w:hAnsi="Arial" w:cs="Arial"/>
        </w:rPr>
        <w:t xml:space="preserve">Se estarían desconociendo normas de carácter superior, específicamente, </w:t>
      </w:r>
      <w:r>
        <w:rPr>
          <w:rFonts w:ascii="Arial" w:hAnsi="Arial" w:cs="Arial"/>
        </w:rPr>
        <w:t>e</w:t>
      </w:r>
      <w:r w:rsidRPr="00935377">
        <w:rPr>
          <w:rFonts w:ascii="Arial" w:hAnsi="Arial" w:cs="Arial"/>
        </w:rPr>
        <w:t>l artículo 20 de la Ley 137 de 1994, “</w:t>
      </w:r>
      <w:r w:rsidRPr="00935377">
        <w:rPr>
          <w:rFonts w:ascii="Arial" w:hAnsi="Arial" w:cs="Arial"/>
          <w:i/>
        </w:rPr>
        <w:t>Por la cual se reglamentan los Estados de Excepción en Colombia</w:t>
      </w:r>
      <w:r w:rsidRPr="00935377">
        <w:rPr>
          <w:rFonts w:ascii="Arial" w:hAnsi="Arial" w:cs="Arial"/>
        </w:rPr>
        <w:t xml:space="preserve">” y al artículo 136 de la Ley 1437 de 2011, con la cual tiene unidad de materia, referentes normativos transcritos anteriormente. </w:t>
      </w:r>
    </w:p>
    <w:p w14:paraId="20035820" w14:textId="77777777" w:rsidR="006D58A1" w:rsidRDefault="006D58A1" w:rsidP="006D58A1">
      <w:pPr>
        <w:autoSpaceDE w:val="0"/>
        <w:autoSpaceDN w:val="0"/>
        <w:adjustRightInd w:val="0"/>
        <w:spacing w:after="200"/>
        <w:jc w:val="both"/>
        <w:rPr>
          <w:rFonts w:ascii="Arial" w:hAnsi="Arial" w:cs="Arial"/>
        </w:rPr>
      </w:pPr>
      <w:r>
        <w:rPr>
          <w:rFonts w:ascii="Arial" w:hAnsi="Arial" w:cs="Arial"/>
        </w:rPr>
        <w:t>Los fundamentos teóricos del recuso se pueden sustentar de la siguiente manera:</w:t>
      </w:r>
    </w:p>
    <w:p w14:paraId="3B58741B" w14:textId="77777777" w:rsidR="006D58A1" w:rsidRDefault="006D58A1" w:rsidP="006D58A1">
      <w:pPr>
        <w:pStyle w:val="Prrafodelista"/>
        <w:spacing w:after="200"/>
        <w:ind w:left="1080"/>
        <w:rPr>
          <w:rFonts w:ascii="Arial" w:hAnsi="Arial" w:cs="Arial"/>
          <w:b/>
        </w:rPr>
      </w:pPr>
    </w:p>
    <w:p w14:paraId="4B6AF74A" w14:textId="77777777" w:rsidR="006D58A1" w:rsidRPr="00774183" w:rsidRDefault="006D58A1" w:rsidP="006D58A1">
      <w:pPr>
        <w:pStyle w:val="Prrafodelista"/>
        <w:numPr>
          <w:ilvl w:val="1"/>
          <w:numId w:val="27"/>
        </w:numPr>
        <w:spacing w:after="200"/>
        <w:rPr>
          <w:rFonts w:ascii="Arial" w:hAnsi="Arial" w:cs="Arial"/>
          <w:b/>
        </w:rPr>
      </w:pPr>
      <w:r w:rsidRPr="00774183">
        <w:rPr>
          <w:rFonts w:ascii="Arial" w:hAnsi="Arial" w:cs="Arial"/>
          <w:b/>
        </w:rPr>
        <w:t>El auto recurrido, desconoce el principio hermenéutico del efecto útil de las normas.</w:t>
      </w:r>
    </w:p>
    <w:p w14:paraId="619DB6A9" w14:textId="77777777" w:rsidR="006D58A1" w:rsidRPr="00655BD4" w:rsidRDefault="006D58A1" w:rsidP="006D58A1">
      <w:pPr>
        <w:spacing w:after="200"/>
        <w:jc w:val="both"/>
        <w:rPr>
          <w:rFonts w:ascii="Arial" w:hAnsi="Arial" w:cs="Arial"/>
        </w:rPr>
      </w:pPr>
      <w:r w:rsidRPr="00655BD4">
        <w:rPr>
          <w:rFonts w:ascii="Arial" w:hAnsi="Arial" w:cs="Arial"/>
        </w:rPr>
        <w:t>De conformidad con el principio hermenéutico del efecto útil de las normas, previsto en el artículo 1620 del Código Civil, “</w:t>
      </w:r>
      <w:r w:rsidRPr="00655BD4">
        <w:rPr>
          <w:rFonts w:ascii="Arial" w:hAnsi="Arial" w:cs="Arial"/>
          <w:i/>
        </w:rPr>
        <w:t>El sentido en que una cláusula puede producir algún efecto, deberá preferirse a aquel en que no sea capaz de producir efecto alguno</w:t>
      </w:r>
      <w:r w:rsidRPr="00655BD4">
        <w:rPr>
          <w:rFonts w:ascii="Arial" w:hAnsi="Arial" w:cs="Arial"/>
        </w:rPr>
        <w:t>”. En el mismo sentido, la Corte Constitucional, sentencia C-569 de 2004, señaló que, conforme a este principio, “</w:t>
      </w:r>
      <w:r>
        <w:rPr>
          <w:rFonts w:ascii="Arial" w:hAnsi="Arial" w:cs="Arial"/>
        </w:rPr>
        <w:t>(</w:t>
      </w:r>
      <w:r w:rsidRPr="00655BD4">
        <w:rPr>
          <w:rFonts w:ascii="Arial" w:hAnsi="Arial" w:cs="Arial"/>
        </w:rPr>
        <w:t>…</w:t>
      </w:r>
      <w:r>
        <w:rPr>
          <w:rFonts w:ascii="Arial" w:hAnsi="Arial" w:cs="Arial"/>
        </w:rPr>
        <w:t xml:space="preserve">) </w:t>
      </w:r>
      <w:r w:rsidRPr="00655BD4">
        <w:rPr>
          <w:rFonts w:ascii="Arial" w:hAnsi="Arial" w:cs="Arial"/>
          <w:i/>
          <w:shd w:val="clear" w:color="auto" w:fill="FFFFFF"/>
        </w:rPr>
        <w:t>debe considerarse, de entre varias interpretaciones de una disposición normativa, aquella que permita consecuencias jurídicas sobre la que no las prevea, o sobre la que prevea consecuencias superfluas o innecesarias</w:t>
      </w:r>
      <w:r w:rsidRPr="00655BD4">
        <w:rPr>
          <w:rFonts w:ascii="Arial" w:hAnsi="Arial" w:cs="Arial"/>
        </w:rPr>
        <w:t>”.</w:t>
      </w:r>
    </w:p>
    <w:p w14:paraId="7A7556FE" w14:textId="77777777" w:rsidR="006D58A1" w:rsidRPr="00655BD4" w:rsidRDefault="006D58A1" w:rsidP="006D58A1">
      <w:pPr>
        <w:spacing w:after="200"/>
        <w:jc w:val="both"/>
        <w:rPr>
          <w:rFonts w:ascii="Arial" w:hAnsi="Arial" w:cs="Arial"/>
        </w:rPr>
      </w:pPr>
      <w:r w:rsidRPr="00655BD4">
        <w:rPr>
          <w:rFonts w:ascii="Arial" w:hAnsi="Arial" w:cs="Arial"/>
        </w:rPr>
        <w:t>Conforme a lo anterior, cuando de una disposición jurídica deriven dos o más interpretaciones, una en la que produce efectos y otra en la que no; o una en la que produzca más efectos que en otra, se habrá de preferir aquella interpretación que produzca plenos efectos, en el entendido que el Legislador no hace normas inútiles.</w:t>
      </w:r>
    </w:p>
    <w:p w14:paraId="02975A2B" w14:textId="77777777" w:rsidR="006D58A1" w:rsidRDefault="006D58A1" w:rsidP="006D58A1">
      <w:pPr>
        <w:spacing w:after="200"/>
        <w:jc w:val="both"/>
        <w:rPr>
          <w:rFonts w:ascii="Arial" w:hAnsi="Arial" w:cs="Arial"/>
        </w:rPr>
      </w:pPr>
      <w:r w:rsidRPr="00655BD4">
        <w:rPr>
          <w:rFonts w:ascii="Arial" w:hAnsi="Arial" w:cs="Arial"/>
        </w:rPr>
        <w:t>En el presente caso, la disposición -artículo 20 de la Ley 137 de 1994 y el artículo 136 del CPACA por unidad de materia-, tiene dos interpretaciones: una restrictiva, que limita el control a medidas extraordinarias y una extensiva, que extiende el control a medidas ordinarias y extraordinarias.</w:t>
      </w:r>
    </w:p>
    <w:p w14:paraId="036ADBE5" w14:textId="77777777" w:rsidR="006D58A1" w:rsidRDefault="006D58A1" w:rsidP="006D58A1">
      <w:pPr>
        <w:spacing w:after="200"/>
        <w:jc w:val="both"/>
        <w:rPr>
          <w:rFonts w:ascii="Arial" w:hAnsi="Arial" w:cs="Arial"/>
        </w:rPr>
      </w:pPr>
      <w:r>
        <w:rPr>
          <w:rFonts w:ascii="Arial" w:hAnsi="Arial" w:cs="Arial"/>
        </w:rPr>
        <w:t xml:space="preserve">De tal manera que nos encontramos ante dos tesis: </w:t>
      </w:r>
    </w:p>
    <w:p w14:paraId="3582A37B" w14:textId="77777777" w:rsidR="006D58A1" w:rsidRPr="003500DD" w:rsidRDefault="006D58A1" w:rsidP="006D58A1">
      <w:pPr>
        <w:spacing w:after="200"/>
        <w:jc w:val="both"/>
        <w:rPr>
          <w:rFonts w:ascii="Arial" w:hAnsi="Arial" w:cs="Arial"/>
        </w:rPr>
      </w:pPr>
      <w:r w:rsidRPr="00655BD4">
        <w:rPr>
          <w:rFonts w:ascii="Arial" w:hAnsi="Arial" w:cs="Arial"/>
        </w:rPr>
        <w:t>La primera, asumida por</w:t>
      </w:r>
      <w:r>
        <w:rPr>
          <w:rFonts w:ascii="Arial" w:hAnsi="Arial" w:cs="Arial"/>
        </w:rPr>
        <w:t xml:space="preserve"> su Despacho </w:t>
      </w:r>
      <w:r w:rsidRPr="00655BD4">
        <w:rPr>
          <w:rFonts w:ascii="Arial" w:hAnsi="Arial" w:cs="Arial"/>
        </w:rPr>
        <w:t>al dict</w:t>
      </w:r>
      <w:r>
        <w:rPr>
          <w:rFonts w:ascii="Arial" w:hAnsi="Arial" w:cs="Arial"/>
        </w:rPr>
        <w:t xml:space="preserve">ar el auto recurrido, que sostiene  que : “(…) </w:t>
      </w:r>
      <w:r w:rsidRPr="003500DD">
        <w:rPr>
          <w:rFonts w:ascii="Arial" w:hAnsi="Arial" w:cs="Arial"/>
          <w:i/>
        </w:rPr>
        <w:t xml:space="preserve">del contenido del acto administrativo remitido a esta Corporación para su control, encuentra el Despacho que, </w:t>
      </w:r>
      <w:r w:rsidRPr="003500DD">
        <w:rPr>
          <w:rFonts w:ascii="Arial" w:hAnsi="Arial" w:cs="Arial"/>
          <w:b/>
          <w:i/>
          <w:u w:val="single"/>
        </w:rPr>
        <w:t>no fue</w:t>
      </w:r>
      <w:r w:rsidRPr="003500DD">
        <w:rPr>
          <w:rFonts w:ascii="Arial" w:hAnsi="Arial" w:cs="Arial"/>
          <w:b/>
          <w:i/>
          <w:u w:val="single"/>
          <w:lang w:val="es-CO" w:eastAsia="es-CO"/>
        </w:rPr>
        <w:t xml:space="preserve"> dictado en ejercicio de la función administrativa y como desarrollo de los Decretos Legislativos</w:t>
      </w:r>
      <w:r w:rsidRPr="003500DD">
        <w:rPr>
          <w:rFonts w:ascii="Arial" w:hAnsi="Arial" w:cs="Arial"/>
          <w:i/>
          <w:lang w:val="es-CO" w:eastAsia="es-CO"/>
        </w:rPr>
        <w:t xml:space="preserve"> dictados por el Presidente de la Republica </w:t>
      </w:r>
      <w:r w:rsidRPr="003500DD">
        <w:rPr>
          <w:rFonts w:ascii="Arial" w:hAnsi="Arial" w:cs="Arial"/>
          <w:b/>
          <w:bCs/>
          <w:i/>
          <w:iCs/>
          <w:lang w:val="es-CO" w:eastAsia="es-CO"/>
        </w:rPr>
        <w:t>“durante”</w:t>
      </w:r>
      <w:r w:rsidRPr="003500DD">
        <w:rPr>
          <w:rFonts w:ascii="Arial" w:hAnsi="Arial" w:cs="Arial"/>
          <w:i/>
          <w:iCs/>
          <w:lang w:val="es-CO" w:eastAsia="es-CO"/>
        </w:rPr>
        <w:t xml:space="preserve"> la</w:t>
      </w:r>
      <w:r w:rsidRPr="003500DD">
        <w:rPr>
          <w:rFonts w:ascii="Arial" w:hAnsi="Arial" w:cs="Arial"/>
          <w:i/>
          <w:lang w:val="es-CO" w:eastAsia="es-CO"/>
        </w:rPr>
        <w:t xml:space="preserve"> declaratoria del Estado de Excepción</w:t>
      </w:r>
      <w:r w:rsidRPr="003500DD">
        <w:rPr>
          <w:rFonts w:ascii="Arial" w:hAnsi="Arial" w:cs="Arial"/>
          <w:i/>
        </w:rPr>
        <w:t xml:space="preserve"> a través del Decreto 417 del 17 de marzo de 2020, como consecuencia de la emergencia económica, social y ecológica derivada de la Pandemia COVID-19. </w:t>
      </w:r>
      <w:r w:rsidRPr="003500DD">
        <w:rPr>
          <w:rFonts w:ascii="Arial" w:hAnsi="Arial" w:cs="Arial"/>
          <w:b/>
          <w:i/>
          <w:u w:val="single"/>
        </w:rPr>
        <w:t>Por el contrario</w:t>
      </w:r>
      <w:r w:rsidRPr="003500DD">
        <w:rPr>
          <w:rFonts w:ascii="Arial" w:hAnsi="Arial" w:cs="Arial"/>
          <w:i/>
        </w:rPr>
        <w:t>, si bien contiene medidas para contener el brote y propagación de la enfermedad denominada Coronavirus (COVID-19) dentro de la respectiva jurisdicción</w:t>
      </w:r>
      <w:r w:rsidRPr="003500DD">
        <w:rPr>
          <w:rFonts w:ascii="Arial" w:hAnsi="Arial" w:cs="Arial"/>
          <w:b/>
          <w:i/>
          <w:u w:val="single"/>
        </w:rPr>
        <w:t>, las mismas</w:t>
      </w:r>
      <w:r w:rsidRPr="003500DD">
        <w:rPr>
          <w:rFonts w:ascii="Arial" w:hAnsi="Arial" w:cs="Arial"/>
          <w:i/>
        </w:rPr>
        <w:t xml:space="preserve"> </w:t>
      </w:r>
      <w:r w:rsidRPr="003500DD">
        <w:rPr>
          <w:rFonts w:ascii="Arial" w:hAnsi="Arial" w:cs="Arial"/>
          <w:b/>
          <w:i/>
          <w:u w:val="single"/>
        </w:rPr>
        <w:t>son de orden público</w:t>
      </w:r>
      <w:r w:rsidRPr="003500DD">
        <w:rPr>
          <w:rFonts w:ascii="Arial" w:hAnsi="Arial" w:cs="Arial"/>
          <w:i/>
        </w:rPr>
        <w:t xml:space="preserve">, lo que permite concluir que </w:t>
      </w:r>
      <w:r w:rsidRPr="003500DD">
        <w:rPr>
          <w:rFonts w:ascii="Arial" w:hAnsi="Arial" w:cs="Arial"/>
          <w:b/>
          <w:i/>
          <w:u w:val="single"/>
        </w:rPr>
        <w:t>no es susceptible del control automático</w:t>
      </w:r>
      <w:r w:rsidRPr="003500DD">
        <w:rPr>
          <w:rFonts w:ascii="Arial" w:hAnsi="Arial" w:cs="Arial"/>
          <w:i/>
        </w:rPr>
        <w:t xml:space="preserve"> de legalidad previsto en los artículo 20 de la Ley 137 de 1994 y  136 de la Ley 1437 de 2011, pues el mismo fue expedido en virtud de las facultades constitucionales y legales conferidas al </w:t>
      </w:r>
      <w:r w:rsidRPr="003500DD">
        <w:rPr>
          <w:rFonts w:ascii="Arial" w:hAnsi="Arial" w:cs="Arial"/>
          <w:i/>
          <w:lang w:val="es-CO"/>
        </w:rPr>
        <w:t>alcalde como primera autoridad de policía del municipio para la adopción de medidas  necesarias para conservar el orden público en su jurisdicción, dentro de los parámetros establecidos por el ordenamiento jurídico</w:t>
      </w:r>
      <w:r>
        <w:rPr>
          <w:rFonts w:ascii="Arial" w:hAnsi="Arial" w:cs="Arial"/>
          <w:i/>
          <w:lang w:val="es-CO"/>
        </w:rPr>
        <w:t xml:space="preserve">.” </w:t>
      </w:r>
      <w:r>
        <w:rPr>
          <w:rFonts w:ascii="Arial" w:hAnsi="Arial" w:cs="Arial"/>
          <w:lang w:val="es-CO"/>
        </w:rPr>
        <w:t>(Se resalta y subraya).</w:t>
      </w:r>
    </w:p>
    <w:p w14:paraId="6FC6747F" w14:textId="77777777" w:rsidR="006D58A1" w:rsidRPr="003500DD" w:rsidRDefault="006D58A1" w:rsidP="006D58A1">
      <w:pPr>
        <w:spacing w:after="200"/>
        <w:jc w:val="both"/>
        <w:rPr>
          <w:rFonts w:ascii="Arial" w:hAnsi="Arial" w:cs="Arial"/>
          <w:b/>
          <w:u w:val="single"/>
        </w:rPr>
      </w:pPr>
      <w:r w:rsidRPr="00655BD4">
        <w:rPr>
          <w:rFonts w:ascii="Arial" w:hAnsi="Arial" w:cs="Arial"/>
        </w:rPr>
        <w:t xml:space="preserve">Como fundamento de dicha tesis, está el artículo 213 de la Constitución Política de 1991, sobre estado de conmoción interior, pero extensible a todos los estados de excepción, </w:t>
      </w:r>
      <w:r w:rsidRPr="003500DD">
        <w:rPr>
          <w:rFonts w:ascii="Arial" w:hAnsi="Arial" w:cs="Arial"/>
          <w:b/>
          <w:u w:val="single"/>
        </w:rPr>
        <w:t>el cual señala que, se trata de situaciones que no pueden ser conjuradas mediante las atribuciones ordinarias de policía.</w:t>
      </w:r>
    </w:p>
    <w:p w14:paraId="2B70205A" w14:textId="77777777" w:rsidR="006D58A1" w:rsidRPr="00655BD4" w:rsidRDefault="006D58A1" w:rsidP="006D58A1">
      <w:pPr>
        <w:spacing w:after="200"/>
        <w:jc w:val="both"/>
        <w:rPr>
          <w:rFonts w:ascii="Arial" w:hAnsi="Arial" w:cs="Arial"/>
        </w:rPr>
      </w:pPr>
      <w:r w:rsidRPr="00655BD4">
        <w:rPr>
          <w:rFonts w:ascii="Arial" w:hAnsi="Arial" w:cs="Arial"/>
        </w:rPr>
        <w:t>La segu</w:t>
      </w:r>
      <w:r>
        <w:rPr>
          <w:rFonts w:ascii="Arial" w:hAnsi="Arial" w:cs="Arial"/>
        </w:rPr>
        <w:t>n</w:t>
      </w:r>
      <w:r w:rsidRPr="00655BD4">
        <w:rPr>
          <w:rFonts w:ascii="Arial" w:hAnsi="Arial" w:cs="Arial"/>
        </w:rPr>
        <w:t>da tesis, defendida por est</w:t>
      </w:r>
      <w:r>
        <w:rPr>
          <w:rFonts w:ascii="Arial" w:hAnsi="Arial" w:cs="Arial"/>
        </w:rPr>
        <w:t xml:space="preserve">a Agencia del Ministerio Público, </w:t>
      </w:r>
      <w:r w:rsidRPr="00655BD4">
        <w:rPr>
          <w:rFonts w:ascii="Arial" w:hAnsi="Arial" w:cs="Arial"/>
        </w:rPr>
        <w:t>señala que el control de legalidad se extiende</w:t>
      </w:r>
      <w:r>
        <w:rPr>
          <w:rFonts w:ascii="Arial" w:hAnsi="Arial" w:cs="Arial"/>
        </w:rPr>
        <w:t>,</w:t>
      </w:r>
      <w:r w:rsidRPr="00655BD4">
        <w:rPr>
          <w:rFonts w:ascii="Arial" w:hAnsi="Arial" w:cs="Arial"/>
        </w:rPr>
        <w:t xml:space="preserve"> en los términos del artículo 20 de la de la Ley 137 de 1994</w:t>
      </w:r>
      <w:r w:rsidRPr="00124642">
        <w:rPr>
          <w:rFonts w:ascii="Arial" w:hAnsi="Arial" w:cs="Arial"/>
          <w:b/>
        </w:rPr>
        <w:t xml:space="preserve">, </w:t>
      </w:r>
      <w:r w:rsidRPr="00774183">
        <w:rPr>
          <w:rFonts w:ascii="Arial" w:hAnsi="Arial" w:cs="Arial"/>
          <w:b/>
          <w:u w:val="single"/>
        </w:rPr>
        <w:t>a todas “</w:t>
      </w:r>
      <w:r w:rsidRPr="00774183">
        <w:rPr>
          <w:rFonts w:ascii="Arial" w:hAnsi="Arial" w:cs="Arial"/>
          <w:b/>
          <w:i/>
          <w:u w:val="single"/>
        </w:rPr>
        <w:t>Las medidas de carácter general</w:t>
      </w:r>
      <w:r>
        <w:rPr>
          <w:rFonts w:ascii="Arial" w:hAnsi="Arial" w:cs="Arial"/>
          <w:b/>
          <w:i/>
          <w:u w:val="single"/>
        </w:rPr>
        <w:t>”</w:t>
      </w:r>
      <w:r w:rsidRPr="00774183">
        <w:rPr>
          <w:rFonts w:ascii="Arial" w:hAnsi="Arial" w:cs="Arial"/>
          <w:b/>
          <w:i/>
          <w:u w:val="single"/>
        </w:rPr>
        <w:t xml:space="preserve"> </w:t>
      </w:r>
      <w:r w:rsidRPr="00655BD4">
        <w:rPr>
          <w:rFonts w:ascii="Arial" w:hAnsi="Arial" w:cs="Arial"/>
          <w:i/>
        </w:rPr>
        <w:t>que sean dictadas en ejercicio de la función administrativa y como desarrollo de los decretos legislativos durante los Estados de Excepción</w:t>
      </w:r>
      <w:r w:rsidRPr="00655BD4">
        <w:rPr>
          <w:rFonts w:ascii="Arial" w:hAnsi="Arial" w:cs="Arial"/>
        </w:rPr>
        <w:t>”.</w:t>
      </w:r>
    </w:p>
    <w:p w14:paraId="0795EC0C" w14:textId="77777777" w:rsidR="006D58A1" w:rsidRPr="00655BD4" w:rsidRDefault="006D58A1" w:rsidP="006D58A1">
      <w:pPr>
        <w:spacing w:after="200"/>
        <w:jc w:val="both"/>
        <w:rPr>
          <w:rFonts w:ascii="Arial" w:hAnsi="Arial" w:cs="Arial"/>
        </w:rPr>
      </w:pPr>
      <w:r>
        <w:rPr>
          <w:rFonts w:ascii="Arial" w:hAnsi="Arial" w:cs="Arial"/>
        </w:rPr>
        <w:t xml:space="preserve">En nuestro criterio, </w:t>
      </w:r>
      <w:r w:rsidRPr="00655BD4">
        <w:rPr>
          <w:rFonts w:ascii="Arial" w:hAnsi="Arial" w:cs="Arial"/>
        </w:rPr>
        <w:t xml:space="preserve">y esto se ampliará en el punto siguiente, donde no distingue el </w:t>
      </w:r>
      <w:r>
        <w:rPr>
          <w:rFonts w:ascii="Arial" w:hAnsi="Arial" w:cs="Arial"/>
        </w:rPr>
        <w:t>l</w:t>
      </w:r>
      <w:r w:rsidRPr="00655BD4">
        <w:rPr>
          <w:rFonts w:ascii="Arial" w:hAnsi="Arial" w:cs="Arial"/>
        </w:rPr>
        <w:t>egislador no l</w:t>
      </w:r>
      <w:r>
        <w:rPr>
          <w:rFonts w:ascii="Arial" w:hAnsi="Arial" w:cs="Arial"/>
        </w:rPr>
        <w:t>e es dable hacerlo a</w:t>
      </w:r>
      <w:r w:rsidRPr="00655BD4">
        <w:rPr>
          <w:rFonts w:ascii="Arial" w:hAnsi="Arial" w:cs="Arial"/>
        </w:rPr>
        <w:t>l intérprete. En consecuencia, si la norma no distingue entre competencias ordinarias y extraordinarias</w:t>
      </w:r>
      <w:r>
        <w:rPr>
          <w:rFonts w:ascii="Arial" w:hAnsi="Arial" w:cs="Arial"/>
        </w:rPr>
        <w:t>,</w:t>
      </w:r>
      <w:r w:rsidRPr="00655BD4">
        <w:rPr>
          <w:rFonts w:ascii="Arial" w:hAnsi="Arial" w:cs="Arial"/>
        </w:rPr>
        <w:t xml:space="preserve"> </w:t>
      </w:r>
      <w:r w:rsidRPr="003500DD">
        <w:rPr>
          <w:rFonts w:ascii="Arial" w:hAnsi="Arial" w:cs="Arial"/>
          <w:b/>
          <w:u w:val="single"/>
        </w:rPr>
        <w:t>si no se hace distinción entre atribuciones ordinarias de policía y las que van más allá, no tendría cabida¸ por efecto úti</w:t>
      </w:r>
      <w:r w:rsidRPr="00655BD4">
        <w:rPr>
          <w:rFonts w:ascii="Arial" w:hAnsi="Arial" w:cs="Arial"/>
        </w:rPr>
        <w:t>l, la interpretación que deja por fuera del control especial de legalidad, el ejercicio de aquellas facultades que pertenecen a las atribuciones ordinarias de policía, o que ya está prevista como competencia ordinaria de la autoridad.</w:t>
      </w:r>
    </w:p>
    <w:p w14:paraId="1D8D498D" w14:textId="77777777" w:rsidR="006D58A1" w:rsidRDefault="006D58A1" w:rsidP="006D58A1">
      <w:pPr>
        <w:spacing w:after="200"/>
        <w:jc w:val="both"/>
        <w:rPr>
          <w:rFonts w:ascii="Arial" w:hAnsi="Arial" w:cs="Arial"/>
        </w:rPr>
      </w:pPr>
      <w:r w:rsidRPr="00655BD4">
        <w:rPr>
          <w:rFonts w:ascii="Arial" w:hAnsi="Arial" w:cs="Arial"/>
        </w:rPr>
        <w:t>La tesis restrictiva del control de legalidad, asumida por el despacho, desconoce el efecto útil del artículo 20 de la de la Ley 137 de 1994</w:t>
      </w:r>
      <w:r>
        <w:rPr>
          <w:rFonts w:ascii="Arial" w:hAnsi="Arial" w:cs="Arial"/>
        </w:rPr>
        <w:t xml:space="preserve"> </w:t>
      </w:r>
      <w:r w:rsidRPr="00655BD4">
        <w:rPr>
          <w:rFonts w:ascii="Arial" w:hAnsi="Arial" w:cs="Arial"/>
        </w:rPr>
        <w:t>y del artículo 136 del CPACA, en tanto le atribuye un efecto menor del que puede tener y, en esa medida</w:t>
      </w:r>
      <w:r>
        <w:rPr>
          <w:rFonts w:ascii="Arial" w:hAnsi="Arial" w:cs="Arial"/>
        </w:rPr>
        <w:t xml:space="preserve">, es susceptible de ser recurrido. </w:t>
      </w:r>
    </w:p>
    <w:p w14:paraId="504B5ABF" w14:textId="77777777" w:rsidR="006D58A1" w:rsidRPr="0092627B" w:rsidRDefault="006D58A1" w:rsidP="006D58A1">
      <w:pPr>
        <w:pStyle w:val="Prrafodelista"/>
        <w:numPr>
          <w:ilvl w:val="1"/>
          <w:numId w:val="27"/>
        </w:numPr>
        <w:spacing w:after="200"/>
        <w:rPr>
          <w:rFonts w:ascii="Arial" w:hAnsi="Arial" w:cs="Arial"/>
          <w:b/>
        </w:rPr>
      </w:pPr>
      <w:r w:rsidRPr="0092627B">
        <w:rPr>
          <w:rFonts w:ascii="Arial" w:hAnsi="Arial" w:cs="Arial"/>
          <w:b/>
        </w:rPr>
        <w:t xml:space="preserve">El auto recurrido, desconoce el principio de </w:t>
      </w:r>
      <w:r>
        <w:rPr>
          <w:rFonts w:ascii="Arial" w:hAnsi="Arial" w:cs="Arial"/>
          <w:b/>
        </w:rPr>
        <w:t>n</w:t>
      </w:r>
      <w:r w:rsidRPr="0092627B">
        <w:rPr>
          <w:rFonts w:ascii="Arial" w:hAnsi="Arial" w:cs="Arial"/>
          <w:b/>
        </w:rPr>
        <w:t>o distinción</w:t>
      </w:r>
    </w:p>
    <w:p w14:paraId="75E537E3" w14:textId="77777777" w:rsidR="006D58A1" w:rsidRPr="00832371" w:rsidRDefault="006D58A1" w:rsidP="006D58A1">
      <w:pPr>
        <w:spacing w:after="200"/>
        <w:jc w:val="both"/>
        <w:rPr>
          <w:rFonts w:ascii="Arial" w:hAnsi="Arial" w:cs="Arial"/>
        </w:rPr>
      </w:pPr>
      <w:r w:rsidRPr="00832371">
        <w:rPr>
          <w:rFonts w:ascii="Arial" w:hAnsi="Arial" w:cs="Arial"/>
        </w:rPr>
        <w:t xml:space="preserve">De conformidad con el principio hermenéutico de </w:t>
      </w:r>
      <w:r>
        <w:rPr>
          <w:rFonts w:ascii="Arial" w:hAnsi="Arial" w:cs="Arial"/>
        </w:rPr>
        <w:t>n</w:t>
      </w:r>
      <w:r w:rsidRPr="00832371">
        <w:rPr>
          <w:rFonts w:ascii="Arial" w:hAnsi="Arial" w:cs="Arial"/>
        </w:rPr>
        <w:t xml:space="preserve">o distinción, donde no distingue el </w:t>
      </w:r>
      <w:r>
        <w:rPr>
          <w:rFonts w:ascii="Arial" w:hAnsi="Arial" w:cs="Arial"/>
        </w:rPr>
        <w:t>l</w:t>
      </w:r>
      <w:r w:rsidRPr="00832371">
        <w:rPr>
          <w:rFonts w:ascii="Arial" w:hAnsi="Arial" w:cs="Arial"/>
        </w:rPr>
        <w:t>egislador no es dable hacerlo al intérprete</w:t>
      </w:r>
      <w:r w:rsidRPr="00655BD4">
        <w:rPr>
          <w:rStyle w:val="Refdenotaalpie"/>
          <w:rFonts w:eastAsiaTheme="minorEastAsia" w:cs="Arial"/>
        </w:rPr>
        <w:footnoteReference w:id="2"/>
      </w:r>
      <w:r w:rsidRPr="00832371">
        <w:rPr>
          <w:rFonts w:ascii="Arial" w:hAnsi="Arial" w:cs="Arial"/>
        </w:rPr>
        <w:t>. Dicho principio, fundado en el artículo 27 del Código Civil, según el cual, “</w:t>
      </w:r>
      <w:r w:rsidRPr="00832371">
        <w:rPr>
          <w:rFonts w:ascii="Arial" w:hAnsi="Arial" w:cs="Arial"/>
          <w:i/>
        </w:rPr>
        <w:t>Cuando el sentido de la ley sea claro, no se desatenderá su tenor literal a pretexto de consultar su espíritu</w:t>
      </w:r>
      <w:r w:rsidRPr="00832371">
        <w:rPr>
          <w:rFonts w:ascii="Arial" w:hAnsi="Arial" w:cs="Arial"/>
        </w:rPr>
        <w:t>”, lleva a la consideración según la cual, cua</w:t>
      </w:r>
      <w:r>
        <w:rPr>
          <w:rFonts w:ascii="Arial" w:hAnsi="Arial" w:cs="Arial"/>
        </w:rPr>
        <w:t>ndo en una disposición jurídica</w:t>
      </w:r>
      <w:r w:rsidRPr="00832371">
        <w:rPr>
          <w:rFonts w:ascii="Arial" w:hAnsi="Arial" w:cs="Arial"/>
        </w:rPr>
        <w:t xml:space="preserve"> no se haga distinción entre los supuestos que cobija y los que no, y salvo que dicha distinción esté prevista en otra disposición del sistema jurídico, se habrá de entender que todos los supuestos fácticos se regirán por la misma. </w:t>
      </w:r>
    </w:p>
    <w:p w14:paraId="759DEBE2" w14:textId="77777777" w:rsidR="006D58A1" w:rsidRPr="00655BD4" w:rsidRDefault="006D58A1" w:rsidP="006D58A1">
      <w:pPr>
        <w:spacing w:after="200"/>
        <w:jc w:val="both"/>
        <w:rPr>
          <w:rFonts w:ascii="Arial" w:hAnsi="Arial" w:cs="Arial"/>
        </w:rPr>
      </w:pPr>
      <w:r w:rsidRPr="00655BD4">
        <w:rPr>
          <w:rFonts w:ascii="Arial" w:hAnsi="Arial" w:cs="Arial"/>
        </w:rPr>
        <w:t>En el presente caso, el artículo 20 de la de la Ley 137 de 1994, señala que, “</w:t>
      </w:r>
      <w:r w:rsidRPr="00655BD4">
        <w:rPr>
          <w:rFonts w:ascii="Arial" w:hAnsi="Arial" w:cs="Arial"/>
          <w:i/>
        </w:rPr>
        <w:t xml:space="preserve">Las medidas de carácter general que sean dictadas en ejercicio de la función administrativa y como desarrollo de los decretos legislativos durante los </w:t>
      </w:r>
      <w:r>
        <w:rPr>
          <w:rFonts w:ascii="Arial" w:hAnsi="Arial" w:cs="Arial"/>
          <w:i/>
        </w:rPr>
        <w:t>e</w:t>
      </w:r>
      <w:r w:rsidRPr="00655BD4">
        <w:rPr>
          <w:rFonts w:ascii="Arial" w:hAnsi="Arial" w:cs="Arial"/>
          <w:i/>
        </w:rPr>
        <w:t xml:space="preserve">stados de </w:t>
      </w:r>
      <w:r>
        <w:rPr>
          <w:rFonts w:ascii="Arial" w:hAnsi="Arial" w:cs="Arial"/>
          <w:i/>
        </w:rPr>
        <w:t>e</w:t>
      </w:r>
      <w:r w:rsidRPr="00655BD4">
        <w:rPr>
          <w:rFonts w:ascii="Arial" w:hAnsi="Arial" w:cs="Arial"/>
          <w:i/>
        </w:rPr>
        <w:t>xcepción</w:t>
      </w:r>
      <w:r>
        <w:rPr>
          <w:rFonts w:ascii="Arial" w:hAnsi="Arial" w:cs="Arial"/>
          <w:i/>
        </w:rPr>
        <w:t>, tendrán un control inmediato de legalidad, ejercido por la autoridad de lo contencioso -administrativo en el lugar donde se expidan, si se tratare de entidades territoriales</w:t>
      </w:r>
      <w:r w:rsidRPr="00655BD4">
        <w:rPr>
          <w:rFonts w:ascii="Arial" w:hAnsi="Arial" w:cs="Arial"/>
        </w:rPr>
        <w:t xml:space="preserve">”. Como se evidencia de una lectura desprevenida, la norma NO hace distinción frente al contenido de la medida administrativa. Únicamente se exige que: (i) sea de carácter general, (ii) </w:t>
      </w:r>
      <w:r w:rsidRPr="00203C71">
        <w:rPr>
          <w:rFonts w:ascii="Arial" w:hAnsi="Arial" w:cs="Arial"/>
        </w:rPr>
        <w:t>sea ejercicio de función de administrativa</w:t>
      </w:r>
      <w:r w:rsidRPr="00655BD4">
        <w:rPr>
          <w:rFonts w:ascii="Arial" w:hAnsi="Arial" w:cs="Arial"/>
        </w:rPr>
        <w:t xml:space="preserve"> y (iii) ocurra en el escenario fáctico del estado de excepción</w:t>
      </w:r>
      <w:r w:rsidRPr="00655BD4">
        <w:rPr>
          <w:rStyle w:val="Refdenotaalpie"/>
          <w:rFonts w:eastAsiaTheme="minorEastAsia" w:cs="Arial"/>
        </w:rPr>
        <w:footnoteReference w:id="3"/>
      </w:r>
      <w:r w:rsidRPr="00655BD4">
        <w:rPr>
          <w:rFonts w:ascii="Arial" w:hAnsi="Arial" w:cs="Arial"/>
        </w:rPr>
        <w:t>.</w:t>
      </w:r>
    </w:p>
    <w:p w14:paraId="466F3703" w14:textId="77777777" w:rsidR="006D58A1" w:rsidRPr="00655BD4" w:rsidRDefault="006D58A1" w:rsidP="006D58A1">
      <w:pPr>
        <w:spacing w:after="200"/>
        <w:jc w:val="both"/>
        <w:rPr>
          <w:rFonts w:ascii="Arial" w:hAnsi="Arial" w:cs="Arial"/>
        </w:rPr>
      </w:pPr>
      <w:r w:rsidRPr="00655BD4">
        <w:rPr>
          <w:rFonts w:ascii="Arial" w:hAnsi="Arial" w:cs="Arial"/>
        </w:rPr>
        <w:t>Por su parte, la Corte Constitucional, en la sentencia C-179 de 1994, mediante la cual se hizo la revisión dela Ley 137 de 1994, en punto del artículo 20</w:t>
      </w:r>
      <w:r>
        <w:rPr>
          <w:rFonts w:ascii="Arial" w:hAnsi="Arial" w:cs="Arial"/>
        </w:rPr>
        <w:t>,</w:t>
      </w:r>
      <w:r w:rsidRPr="00655BD4">
        <w:rPr>
          <w:rFonts w:ascii="Arial" w:hAnsi="Arial" w:cs="Arial"/>
        </w:rPr>
        <w:t xml:space="preserve"> señaló lo siguiente: </w:t>
      </w:r>
    </w:p>
    <w:p w14:paraId="339E35F2" w14:textId="77777777" w:rsidR="006D58A1" w:rsidRPr="00561AB5" w:rsidRDefault="006D58A1" w:rsidP="006D58A1">
      <w:pPr>
        <w:spacing w:after="200"/>
        <w:ind w:left="680"/>
        <w:jc w:val="both"/>
        <w:rPr>
          <w:rFonts w:ascii="Arial" w:hAnsi="Arial" w:cs="Arial"/>
          <w:sz w:val="20"/>
          <w:szCs w:val="20"/>
        </w:rPr>
      </w:pPr>
      <w:r w:rsidRPr="00561AB5">
        <w:rPr>
          <w:rFonts w:ascii="Arial" w:hAnsi="Arial" w:cs="Arial"/>
          <w:i/>
          <w:sz w:val="20"/>
          <w:szCs w:val="20"/>
        </w:rPr>
        <w:t>“</w:t>
      </w:r>
      <w:r w:rsidRPr="00561AB5">
        <w:rPr>
          <w:rStyle w:val="letra14pt1"/>
          <w:rFonts w:ascii="Arial" w:eastAsiaTheme="minorEastAsia" w:hAnsi="Arial" w:cs="Arial"/>
          <w:i/>
          <w:sz w:val="20"/>
          <w:szCs w:val="20"/>
        </w:rPr>
        <w:t>Pues bien, en los incisos primero y segundo del artículo que se revisa, se consagra el control automático de legalidad de los actos administrativos que se expidan como desarrollo de los decretos legislativos dictados por el Presidente de la República durante los estados de excepción, el cual será ejercido por la jurisdicción contencioso administrativa, de acuerdo con la competencia que allí se fija.</w:t>
      </w:r>
      <w:r w:rsidRPr="00561AB5">
        <w:rPr>
          <w:rFonts w:ascii="Arial" w:hAnsi="Arial" w:cs="Arial"/>
          <w:i/>
          <w:sz w:val="20"/>
          <w:szCs w:val="20"/>
        </w:rPr>
        <w:t>”</w:t>
      </w:r>
      <w:r w:rsidRPr="00561AB5">
        <w:rPr>
          <w:rFonts w:ascii="Arial" w:hAnsi="Arial" w:cs="Arial"/>
          <w:sz w:val="20"/>
          <w:szCs w:val="20"/>
        </w:rPr>
        <w:t>.</w:t>
      </w:r>
    </w:p>
    <w:p w14:paraId="5788662B" w14:textId="77777777" w:rsidR="006D58A1" w:rsidRPr="00655BD4" w:rsidRDefault="006D58A1" w:rsidP="006D58A1">
      <w:pPr>
        <w:spacing w:after="200"/>
        <w:jc w:val="both"/>
        <w:rPr>
          <w:rFonts w:ascii="Arial" w:hAnsi="Arial" w:cs="Arial"/>
        </w:rPr>
      </w:pPr>
      <w:r w:rsidRPr="00655BD4">
        <w:rPr>
          <w:rFonts w:ascii="Arial" w:hAnsi="Arial" w:cs="Arial"/>
        </w:rPr>
        <w:t xml:space="preserve">Nótese </w:t>
      </w:r>
      <w:r w:rsidRPr="00165279">
        <w:rPr>
          <w:rFonts w:ascii="Arial" w:hAnsi="Arial" w:cs="Arial"/>
          <w:b/>
          <w:u w:val="single"/>
        </w:rPr>
        <w:t>cómo la Corte Constitucional no hizo distinción entre actos administrativos producto de competencia ordinaria, y actos administrativos consecuencia de competencia extraordinaria</w:t>
      </w:r>
      <w:r w:rsidRPr="00655BD4">
        <w:rPr>
          <w:rFonts w:ascii="Arial" w:hAnsi="Arial" w:cs="Arial"/>
        </w:rPr>
        <w:t xml:space="preserve">. La única exigencia, es que se trate de actos administrativos que desarrollan estados de excepción, al margen de cuál sea su naturaleza. </w:t>
      </w:r>
    </w:p>
    <w:p w14:paraId="26C476FC" w14:textId="77777777" w:rsidR="006D58A1" w:rsidRDefault="006D58A1" w:rsidP="006D58A1">
      <w:pPr>
        <w:spacing w:after="200"/>
        <w:jc w:val="both"/>
        <w:rPr>
          <w:rFonts w:ascii="Arial" w:hAnsi="Arial" w:cs="Arial"/>
        </w:rPr>
      </w:pPr>
      <w:r w:rsidRPr="00655BD4">
        <w:rPr>
          <w:rFonts w:ascii="Arial" w:hAnsi="Arial" w:cs="Arial"/>
        </w:rPr>
        <w:t xml:space="preserve">En conclusión, </w:t>
      </w:r>
      <w:r>
        <w:rPr>
          <w:rFonts w:ascii="Arial" w:hAnsi="Arial" w:cs="Arial"/>
        </w:rPr>
        <w:t xml:space="preserve">en parte alguna de </w:t>
      </w:r>
      <w:r w:rsidRPr="00655BD4">
        <w:rPr>
          <w:rFonts w:ascii="Arial" w:hAnsi="Arial" w:cs="Arial"/>
        </w:rPr>
        <w:t>la disposición, la Corte Constitucional</w:t>
      </w:r>
      <w:r>
        <w:rPr>
          <w:rFonts w:ascii="Arial" w:hAnsi="Arial" w:cs="Arial"/>
        </w:rPr>
        <w:t>,</w:t>
      </w:r>
      <w:r w:rsidRPr="00655BD4">
        <w:rPr>
          <w:rFonts w:ascii="Arial" w:hAnsi="Arial" w:cs="Arial"/>
        </w:rPr>
        <w:t xml:space="preserve"> cuando precisa la interpretac</w:t>
      </w:r>
      <w:r>
        <w:rPr>
          <w:rFonts w:ascii="Arial" w:hAnsi="Arial" w:cs="Arial"/>
        </w:rPr>
        <w:t>ión constitucional válida, hace</w:t>
      </w:r>
      <w:r w:rsidRPr="00655BD4">
        <w:rPr>
          <w:rFonts w:ascii="Arial" w:hAnsi="Arial" w:cs="Arial"/>
        </w:rPr>
        <w:t xml:space="preserve"> referencia o distinción de si se trata de competencia ordinaria o extraordinaria. Como dicha distinción no la hace la disposición, tampoc</w:t>
      </w:r>
      <w:r>
        <w:rPr>
          <w:rFonts w:ascii="Arial" w:hAnsi="Arial" w:cs="Arial"/>
        </w:rPr>
        <w:t>o la puede hacer el intérprete.</w:t>
      </w:r>
    </w:p>
    <w:p w14:paraId="5A156295" w14:textId="77777777" w:rsidR="006D58A1" w:rsidRPr="00832371" w:rsidRDefault="006D58A1" w:rsidP="006D58A1">
      <w:pPr>
        <w:spacing w:after="200"/>
        <w:jc w:val="both"/>
        <w:rPr>
          <w:rFonts w:ascii="Arial" w:hAnsi="Arial" w:cs="Arial"/>
        </w:rPr>
      </w:pPr>
    </w:p>
    <w:p w14:paraId="0173E173" w14:textId="77777777" w:rsidR="006D58A1" w:rsidRPr="00946A7D" w:rsidRDefault="006D58A1" w:rsidP="006D58A1">
      <w:pPr>
        <w:pStyle w:val="Prrafodelista"/>
        <w:numPr>
          <w:ilvl w:val="1"/>
          <w:numId w:val="27"/>
        </w:numPr>
        <w:spacing w:after="200"/>
        <w:rPr>
          <w:rFonts w:ascii="Arial" w:hAnsi="Arial" w:cs="Arial"/>
          <w:b/>
        </w:rPr>
      </w:pPr>
      <w:r w:rsidRPr="00946A7D">
        <w:rPr>
          <w:rFonts w:ascii="Arial" w:hAnsi="Arial" w:cs="Arial"/>
          <w:b/>
        </w:rPr>
        <w:t xml:space="preserve"> El auto recurrido, desconoce el deber funcional de juzgar.</w:t>
      </w:r>
    </w:p>
    <w:p w14:paraId="559C9ACB" w14:textId="77777777" w:rsidR="006D58A1" w:rsidRPr="00655BD4" w:rsidRDefault="006D58A1" w:rsidP="006D58A1">
      <w:pPr>
        <w:spacing w:after="200"/>
        <w:jc w:val="both"/>
        <w:rPr>
          <w:rFonts w:ascii="Arial" w:hAnsi="Arial" w:cs="Arial"/>
        </w:rPr>
      </w:pPr>
      <w:r w:rsidRPr="00655BD4">
        <w:rPr>
          <w:rFonts w:ascii="Arial" w:hAnsi="Arial" w:cs="Arial"/>
        </w:rPr>
        <w:t xml:space="preserve">Según la Corte Constitucional, sentencia C-083 de 1995, la anterior disposición no tiene como efecto que el juez se encuentre inexorablemente constreñido a proferir un fallo, sino que está en la obligación de procurar hacerlo. Señala la Corte </w:t>
      </w:r>
      <w:r>
        <w:rPr>
          <w:rFonts w:ascii="Arial" w:hAnsi="Arial" w:cs="Arial"/>
        </w:rPr>
        <w:t>Constitucional que</w:t>
      </w:r>
      <w:r w:rsidRPr="00655BD4">
        <w:rPr>
          <w:rFonts w:ascii="Arial" w:hAnsi="Arial" w:cs="Arial"/>
        </w:rPr>
        <w:t xml:space="preserve"> la función ontológica del juez es fallar y, cuando no lo hace, en todo caso está fallando a favor de quien es cuestionado en su conducta, ya que no hace ningún reproche respecto de la misma.</w:t>
      </w:r>
    </w:p>
    <w:p w14:paraId="73EB496B" w14:textId="77777777" w:rsidR="006D58A1" w:rsidRPr="00655BD4" w:rsidRDefault="006D58A1" w:rsidP="006D58A1">
      <w:pPr>
        <w:spacing w:after="200"/>
        <w:jc w:val="both"/>
        <w:rPr>
          <w:rFonts w:ascii="Arial" w:hAnsi="Arial" w:cs="Arial"/>
        </w:rPr>
      </w:pPr>
      <w:r w:rsidRPr="00655BD4">
        <w:rPr>
          <w:rFonts w:ascii="Arial" w:hAnsi="Arial" w:cs="Arial"/>
        </w:rPr>
        <w:t>Sin embargo, ello no quiere decir que los jueces deban asumir el conocimiento de asuntos respecto de los cuales no tienen competencia, o que no respeten las reglas de ejercicio de los medios de control -</w:t>
      </w:r>
      <w:r w:rsidRPr="00655BD4">
        <w:rPr>
          <w:rFonts w:ascii="Arial" w:hAnsi="Arial" w:cs="Arial"/>
          <w:i/>
        </w:rPr>
        <w:t>carácter rogado de la jurisdicción</w:t>
      </w:r>
      <w:r w:rsidRPr="00655BD4">
        <w:rPr>
          <w:rFonts w:ascii="Arial" w:hAnsi="Arial" w:cs="Arial"/>
        </w:rPr>
        <w:t xml:space="preserve">-. Lo que se afirma es que, cuando un asunto se pone bajo su competencia, no puede el juez anticiparse a la decisión final y, en el auto que analiza la procedibilidad del medio de control, señalar que no avoca el conocimiento, con el argumento de que el asunto no encuadra, </w:t>
      </w:r>
      <w:r w:rsidRPr="00655BD4">
        <w:rPr>
          <w:rFonts w:ascii="Arial" w:hAnsi="Arial" w:cs="Arial"/>
          <w:i/>
        </w:rPr>
        <w:t>a priori</w:t>
      </w:r>
      <w:r w:rsidRPr="00655BD4">
        <w:rPr>
          <w:rFonts w:ascii="Arial" w:hAnsi="Arial" w:cs="Arial"/>
        </w:rPr>
        <w:t xml:space="preserve">, dentro del supuesto de hecho de la competencia excepcional, porque eso equivale a una denegación de justicia que desconoce el deber ontológico de los jueces. </w:t>
      </w:r>
    </w:p>
    <w:p w14:paraId="246C73DA" w14:textId="77777777" w:rsidR="006D58A1" w:rsidRPr="00655BD4" w:rsidRDefault="006D58A1" w:rsidP="006D58A1">
      <w:pPr>
        <w:spacing w:after="200"/>
        <w:jc w:val="both"/>
        <w:rPr>
          <w:rFonts w:ascii="Arial" w:hAnsi="Arial" w:cs="Arial"/>
        </w:rPr>
      </w:pPr>
      <w:r w:rsidRPr="00655BD4">
        <w:rPr>
          <w:rFonts w:ascii="Arial" w:hAnsi="Arial" w:cs="Arial"/>
        </w:rPr>
        <w:t>Según la Corte Constitucional, sentencia C-666 de 1996, posición reiterada en la sentencia C-258 de 2008, una decisión inhibitoria, es aquella en la cual el juez se abstiene de resolver el fondo del asunto, lo cual es antítesis de la función judicial con la cual se busca, precisamente, resolver de fondo los conflictos que se presentan en el seno de la sociedad. No quiere decir ello, afirma la Corte Constitucional, que la inhibición no proceda en casos extremos, sino que su uso injustificado constituye una denegación de justicia.</w:t>
      </w:r>
    </w:p>
    <w:p w14:paraId="6FA52DE9" w14:textId="77777777" w:rsidR="006D58A1" w:rsidRPr="00655BD4" w:rsidRDefault="006D58A1" w:rsidP="006D58A1">
      <w:pPr>
        <w:spacing w:after="200"/>
        <w:jc w:val="both"/>
        <w:rPr>
          <w:rFonts w:ascii="Arial" w:hAnsi="Arial" w:cs="Arial"/>
        </w:rPr>
      </w:pPr>
      <w:r w:rsidRPr="00655BD4">
        <w:rPr>
          <w:rFonts w:ascii="Arial" w:hAnsi="Arial" w:cs="Arial"/>
        </w:rPr>
        <w:t>Concluye la Corte Constitucional que, salvo la ausencia de jurisdicción, las demás hipótesis deben ser de una entidad tal “</w:t>
      </w:r>
      <w:r w:rsidRPr="00655BD4">
        <w:rPr>
          <w:rFonts w:ascii="Arial" w:hAnsi="Arial" w:cs="Arial"/>
          <w:i/>
        </w:rPr>
        <w:t>que, agotadas por el juez todas las posibilidades que el ordenamiento jurídico le ofrece para resolver y adoptadas por él la totalidad de las medidas conducentes a la misma finalidad, siga siendo imposible la decisión de fondo.  De tal modo que, siempre que exista alguna posibilidad de arribar a ella, la obligación ineludible del fallador consiste en proferir providencia de mérito, so pena de incurrir en denegación de justicia</w:t>
      </w:r>
      <w:r w:rsidRPr="00655BD4">
        <w:rPr>
          <w:rFonts w:ascii="Arial" w:hAnsi="Arial" w:cs="Arial"/>
        </w:rPr>
        <w:t>”.</w:t>
      </w:r>
    </w:p>
    <w:p w14:paraId="2EDF3AEF" w14:textId="77777777" w:rsidR="006D58A1" w:rsidRPr="00655BD4" w:rsidRDefault="006D58A1" w:rsidP="006D58A1">
      <w:pPr>
        <w:spacing w:after="200"/>
        <w:jc w:val="both"/>
        <w:rPr>
          <w:rFonts w:ascii="Arial" w:hAnsi="Arial" w:cs="Arial"/>
        </w:rPr>
      </w:pPr>
      <w:r w:rsidRPr="00655BD4">
        <w:rPr>
          <w:rFonts w:ascii="Arial" w:hAnsi="Arial" w:cs="Arial"/>
        </w:rPr>
        <w:t xml:space="preserve">En consecuencia, asumir, desde el auto inicial, que no se avoca </w:t>
      </w:r>
      <w:r>
        <w:rPr>
          <w:rFonts w:ascii="Arial" w:hAnsi="Arial" w:cs="Arial"/>
        </w:rPr>
        <w:t xml:space="preserve">el </w:t>
      </w:r>
      <w:r w:rsidRPr="00D154C6">
        <w:rPr>
          <w:rFonts w:ascii="Arial" w:hAnsi="Arial" w:cs="Arial"/>
        </w:rPr>
        <w:t xml:space="preserve">control inmediato de legalidad del </w:t>
      </w:r>
      <w:r w:rsidRPr="00203C71">
        <w:rPr>
          <w:rFonts w:ascii="Arial" w:hAnsi="Arial" w:cs="Arial"/>
          <w:b/>
        </w:rPr>
        <w:t xml:space="preserve">Decreto No. 045 del 19 de marzo de </w:t>
      </w:r>
      <w:r w:rsidRPr="00203C71">
        <w:rPr>
          <w:rFonts w:ascii="Arial" w:hAnsi="Arial" w:cs="Arial"/>
          <w:b/>
          <w:i/>
          <w:iCs/>
        </w:rPr>
        <w:t xml:space="preserve">2020 </w:t>
      </w:r>
      <w:r>
        <w:rPr>
          <w:rFonts w:ascii="Arial" w:hAnsi="Arial" w:cs="Arial"/>
        </w:rPr>
        <w:t xml:space="preserve">, </w:t>
      </w:r>
      <w:r w:rsidRPr="00655BD4">
        <w:rPr>
          <w:rFonts w:ascii="Arial" w:hAnsi="Arial" w:cs="Arial"/>
        </w:rPr>
        <w:t>porque</w:t>
      </w:r>
      <w:r>
        <w:rPr>
          <w:rFonts w:ascii="Arial" w:hAnsi="Arial" w:cs="Arial"/>
        </w:rPr>
        <w:t xml:space="preserve">  “</w:t>
      </w:r>
      <w:r w:rsidRPr="00B004B4">
        <w:rPr>
          <w:rFonts w:ascii="Arial" w:hAnsi="Arial" w:cs="Arial"/>
          <w:b/>
          <w:i/>
          <w:u w:val="single"/>
        </w:rPr>
        <w:t xml:space="preserve">(…) </w:t>
      </w:r>
      <w:r w:rsidRPr="00B004B4">
        <w:rPr>
          <w:rFonts w:ascii="Arial" w:hAnsi="Arial" w:cs="Arial"/>
          <w:i/>
        </w:rPr>
        <w:t>, si bien contiene medidas para contener el brote y propagación de la enfermedad denominada Coronavirus (COVID-19) dentro de la respectiva jurisdicción</w:t>
      </w:r>
      <w:r w:rsidRPr="00B004B4">
        <w:rPr>
          <w:rFonts w:ascii="Arial" w:hAnsi="Arial" w:cs="Arial"/>
          <w:b/>
          <w:i/>
          <w:u w:val="single"/>
        </w:rPr>
        <w:t>, las mismas</w:t>
      </w:r>
      <w:r w:rsidRPr="00B004B4">
        <w:rPr>
          <w:rFonts w:ascii="Arial" w:hAnsi="Arial" w:cs="Arial"/>
          <w:i/>
        </w:rPr>
        <w:t xml:space="preserve"> </w:t>
      </w:r>
      <w:r w:rsidRPr="00B004B4">
        <w:rPr>
          <w:rFonts w:ascii="Arial" w:hAnsi="Arial" w:cs="Arial"/>
          <w:b/>
          <w:i/>
          <w:u w:val="single"/>
        </w:rPr>
        <w:t>son de orden público</w:t>
      </w:r>
      <w:r w:rsidRPr="00B004B4">
        <w:rPr>
          <w:rFonts w:ascii="Arial" w:hAnsi="Arial" w:cs="Arial"/>
          <w:i/>
        </w:rPr>
        <w:t xml:space="preserve">, lo que permite concluir que </w:t>
      </w:r>
      <w:r w:rsidRPr="00B004B4">
        <w:rPr>
          <w:rFonts w:ascii="Arial" w:hAnsi="Arial" w:cs="Arial"/>
          <w:b/>
          <w:i/>
          <w:u w:val="single"/>
        </w:rPr>
        <w:t>no es susceptible del control automático</w:t>
      </w:r>
      <w:r w:rsidRPr="00B004B4">
        <w:rPr>
          <w:rFonts w:ascii="Arial" w:hAnsi="Arial" w:cs="Arial"/>
          <w:i/>
        </w:rPr>
        <w:t xml:space="preserve"> de legalidad previsto en los artículo 20 de la Ley 137 de 1994 y  136 de la Ley 1437 de 2011, pues el mismo fue expedido en virtud de las facultades constitucionales y legales conferidas al </w:t>
      </w:r>
      <w:r w:rsidRPr="00B004B4">
        <w:rPr>
          <w:rFonts w:ascii="Arial" w:hAnsi="Arial" w:cs="Arial"/>
          <w:i/>
          <w:lang w:val="es-CO"/>
        </w:rPr>
        <w:t>alcalde como primera autoridad de policía del municipio para la adopción de medidas  necesarias para conservar el orden público en su jurisdicción, dentro de los parámetros establecidos por el ordenamiento jurídico</w:t>
      </w:r>
      <w:r>
        <w:rPr>
          <w:rFonts w:ascii="Arial" w:hAnsi="Arial" w:cs="Arial"/>
          <w:i/>
          <w:lang w:val="es-CO"/>
        </w:rPr>
        <w:t>”</w:t>
      </w:r>
      <w:r>
        <w:rPr>
          <w:rFonts w:ascii="Arial" w:hAnsi="Arial" w:cs="Arial"/>
        </w:rPr>
        <w:t xml:space="preserve">, </w:t>
      </w:r>
      <w:r w:rsidRPr="00655BD4">
        <w:rPr>
          <w:rFonts w:ascii="Arial" w:hAnsi="Arial" w:cs="Arial"/>
        </w:rPr>
        <w:t xml:space="preserve">equivale a (i) desconocer que este tipo de actos administrativos están dentro de los supuestos previstos en el artículo 20 de la de la Ley 137 de 1994 y (ii) anticiparse a señalar la naturaleza y al contenido del acto administrativo, lo cual, por supuesto, exige de un análisis material o de fondo, propio de la sentencia y no del auto admisorio. </w:t>
      </w:r>
    </w:p>
    <w:p w14:paraId="44E49CE5" w14:textId="77777777" w:rsidR="006D58A1" w:rsidRPr="00655BD4" w:rsidRDefault="006D58A1" w:rsidP="006D58A1">
      <w:pPr>
        <w:spacing w:after="200"/>
        <w:jc w:val="both"/>
        <w:rPr>
          <w:rFonts w:ascii="Arial" w:hAnsi="Arial" w:cs="Arial"/>
        </w:rPr>
      </w:pPr>
      <w:r w:rsidRPr="00655BD4">
        <w:rPr>
          <w:rFonts w:ascii="Arial" w:hAnsi="Arial" w:cs="Arial"/>
        </w:rPr>
        <w:t xml:space="preserve">Podría decirse, por ejemplo, frente a esto último, que en el evento de que el acto administrativo sea mixto, es decir, tenga medidas ordinarias y extraordinarias, desde la tesis del despacho, daría lugar a un control parcial. Sin embargo, como el auto de no avocar, da por descontado que se trata de medidas ordinarias, y que ellas no son susceptibles de control especial, descarta la revisión desde el auto inicial, sin hacer el análisis de fondo correspondiente, o haciéndolo, pero desde la no admisión, lo cual no resulta pertinente. </w:t>
      </w:r>
    </w:p>
    <w:p w14:paraId="1163CE44" w14:textId="77777777" w:rsidR="006D58A1" w:rsidRPr="00655BD4" w:rsidRDefault="006D58A1" w:rsidP="006D58A1">
      <w:pPr>
        <w:spacing w:after="200"/>
        <w:jc w:val="both"/>
        <w:rPr>
          <w:rFonts w:ascii="Arial" w:hAnsi="Arial" w:cs="Arial"/>
        </w:rPr>
      </w:pPr>
      <w:r w:rsidRPr="00655BD4">
        <w:rPr>
          <w:rFonts w:ascii="Arial" w:hAnsi="Arial" w:cs="Arial"/>
        </w:rPr>
        <w:t xml:space="preserve">En todo caso, un elemento de juicio para descartar, </w:t>
      </w:r>
      <w:r w:rsidRPr="00655BD4">
        <w:rPr>
          <w:rFonts w:ascii="Arial" w:hAnsi="Arial" w:cs="Arial"/>
          <w:i/>
        </w:rPr>
        <w:t>a priori</w:t>
      </w:r>
      <w:r w:rsidRPr="00655BD4">
        <w:rPr>
          <w:rFonts w:ascii="Arial" w:hAnsi="Arial" w:cs="Arial"/>
        </w:rPr>
        <w:t xml:space="preserve">, válidamente, el control de actos administrativos derivados del estado de excepción, es el de la fecha de expedición. Así, cuando el acto administrativo a revisar sea previo a la expedición del decreto legislativo que declara la apertura al estado de excepción, lógicamente, queda habilitado el funcionario judicial para inhibirse de su conocimiento. Pero, cuando sea posterior, opera una especie de </w:t>
      </w:r>
      <w:r w:rsidRPr="00655BD4">
        <w:rPr>
          <w:rFonts w:ascii="Arial" w:hAnsi="Arial" w:cs="Arial"/>
          <w:i/>
        </w:rPr>
        <w:t>indubio pro imperium</w:t>
      </w:r>
      <w:r w:rsidRPr="00655BD4">
        <w:rPr>
          <w:rFonts w:ascii="Arial" w:hAnsi="Arial" w:cs="Arial"/>
        </w:rPr>
        <w:t xml:space="preserve">, es decir, una presunción en favor de la procedencia del control. </w:t>
      </w:r>
    </w:p>
    <w:p w14:paraId="3CECCEB6" w14:textId="77777777" w:rsidR="006D58A1" w:rsidRPr="00655BD4" w:rsidRDefault="006D58A1" w:rsidP="006D58A1">
      <w:pPr>
        <w:autoSpaceDE w:val="0"/>
        <w:autoSpaceDN w:val="0"/>
        <w:adjustRightInd w:val="0"/>
        <w:spacing w:after="200"/>
        <w:jc w:val="both"/>
        <w:rPr>
          <w:rFonts w:ascii="Arial" w:hAnsi="Arial" w:cs="Arial"/>
        </w:rPr>
      </w:pPr>
      <w:r>
        <w:rPr>
          <w:rFonts w:ascii="Arial" w:hAnsi="Arial" w:cs="Arial"/>
        </w:rPr>
        <w:t>Considérese entonces que, e</w:t>
      </w:r>
      <w:r w:rsidRPr="00655BD4">
        <w:rPr>
          <w:rFonts w:ascii="Arial" w:hAnsi="Arial" w:cs="Arial"/>
        </w:rPr>
        <w:t xml:space="preserve">n el presente caso, </w:t>
      </w:r>
      <w:r>
        <w:rPr>
          <w:rFonts w:ascii="Arial" w:hAnsi="Arial" w:cs="Arial"/>
        </w:rPr>
        <w:t xml:space="preserve">las medidas policivas emitidas por el ente territorial municipal, </w:t>
      </w:r>
      <w:r>
        <w:rPr>
          <w:rFonts w:ascii="Arial" w:hAnsi="Arial" w:cs="Arial"/>
          <w:shd w:val="clear" w:color="auto" w:fill="FFFFFF"/>
        </w:rPr>
        <w:t xml:space="preserve">contenidas en </w:t>
      </w:r>
      <w:r w:rsidRPr="00F85558">
        <w:rPr>
          <w:rFonts w:ascii="Arial" w:hAnsi="Arial" w:cs="Arial"/>
          <w:b/>
          <w:shd w:val="clear" w:color="auto" w:fill="FFFFFF"/>
        </w:rPr>
        <w:t xml:space="preserve">el </w:t>
      </w:r>
      <w:r>
        <w:rPr>
          <w:rFonts w:ascii="Arial" w:hAnsi="Arial" w:cs="Arial"/>
          <w:b/>
        </w:rPr>
        <w:t>Decreto 04</w:t>
      </w:r>
      <w:r w:rsidRPr="00F85558">
        <w:rPr>
          <w:rFonts w:ascii="Arial" w:hAnsi="Arial" w:cs="Arial"/>
          <w:b/>
        </w:rPr>
        <w:t xml:space="preserve">5 es del </w:t>
      </w:r>
      <w:r>
        <w:rPr>
          <w:rFonts w:ascii="Arial" w:hAnsi="Arial" w:cs="Arial"/>
          <w:b/>
        </w:rPr>
        <w:t xml:space="preserve">19 </w:t>
      </w:r>
      <w:r w:rsidRPr="00F85558">
        <w:rPr>
          <w:rFonts w:ascii="Arial" w:hAnsi="Arial" w:cs="Arial"/>
          <w:b/>
        </w:rPr>
        <w:t>de marzo 2020</w:t>
      </w:r>
      <w:r w:rsidRPr="00B61D8B">
        <w:rPr>
          <w:rFonts w:ascii="Arial" w:hAnsi="Arial" w:cs="Arial"/>
        </w:rPr>
        <w:t xml:space="preserve">, expedida bajo la égida del Estado de Excepción, desarrolla, en su contenido, </w:t>
      </w:r>
      <w:r w:rsidRPr="00B61D8B">
        <w:rPr>
          <w:rFonts w:ascii="Arial" w:hAnsi="Arial" w:cs="Arial"/>
          <w:b/>
        </w:rPr>
        <w:t>el Decreto Legislativo 417 de</w:t>
      </w:r>
      <w:r w:rsidRPr="00B61D8B">
        <w:rPr>
          <w:rFonts w:ascii="Arial" w:hAnsi="Arial" w:cs="Arial"/>
          <w:b/>
          <w:shd w:val="clear" w:color="auto" w:fill="FFFFFF"/>
        </w:rPr>
        <w:t xml:space="preserve"> 2020</w:t>
      </w:r>
      <w:r w:rsidRPr="00655BD4">
        <w:rPr>
          <w:rFonts w:ascii="Arial" w:hAnsi="Arial" w:cs="Arial"/>
          <w:shd w:val="clear" w:color="auto" w:fill="FFFFFF"/>
        </w:rPr>
        <w:t>, “</w:t>
      </w:r>
      <w:r w:rsidRPr="00655BD4">
        <w:rPr>
          <w:rFonts w:ascii="Arial" w:hAnsi="Arial" w:cs="Arial"/>
          <w:i/>
          <w:shd w:val="clear" w:color="auto" w:fill="FFFFFF"/>
        </w:rPr>
        <w:t>Por el cual se declara un Estado de Emergencia Económica, Social y Ecológica en todo el territorio Nacional</w:t>
      </w:r>
      <w:r w:rsidRPr="00655BD4">
        <w:rPr>
          <w:rFonts w:ascii="Arial" w:hAnsi="Arial" w:cs="Arial"/>
        </w:rPr>
        <w:t>.</w:t>
      </w:r>
    </w:p>
    <w:p w14:paraId="63C2E4F2" w14:textId="77777777" w:rsidR="006D58A1" w:rsidRDefault="006D58A1" w:rsidP="006D58A1">
      <w:pPr>
        <w:pStyle w:val="Prrafodelista"/>
        <w:spacing w:after="200"/>
        <w:ind w:left="1080"/>
        <w:rPr>
          <w:rFonts w:ascii="Arial" w:hAnsi="Arial" w:cs="Arial"/>
          <w:b/>
        </w:rPr>
      </w:pPr>
    </w:p>
    <w:p w14:paraId="46D60708" w14:textId="77777777" w:rsidR="006D58A1" w:rsidRPr="00946A7D" w:rsidRDefault="006D58A1" w:rsidP="006D58A1">
      <w:pPr>
        <w:pStyle w:val="Prrafodelista"/>
        <w:numPr>
          <w:ilvl w:val="1"/>
          <w:numId w:val="27"/>
        </w:numPr>
        <w:spacing w:after="200"/>
        <w:rPr>
          <w:rFonts w:ascii="Arial" w:hAnsi="Arial" w:cs="Arial"/>
          <w:b/>
        </w:rPr>
      </w:pPr>
      <w:r w:rsidRPr="00946A7D">
        <w:rPr>
          <w:rFonts w:ascii="Arial" w:hAnsi="Arial" w:cs="Arial"/>
          <w:b/>
        </w:rPr>
        <w:t>El auto recurrido, desconoce la naturaleza particular del control judicial durante los estados de excepción.</w:t>
      </w:r>
    </w:p>
    <w:p w14:paraId="1BD8A60F" w14:textId="77777777" w:rsidR="006D58A1" w:rsidRPr="00655BD4" w:rsidRDefault="006D58A1" w:rsidP="006D58A1">
      <w:pPr>
        <w:pStyle w:val="Prrafodelista"/>
        <w:spacing w:after="200"/>
        <w:ind w:left="1080"/>
        <w:rPr>
          <w:rFonts w:ascii="Arial" w:hAnsi="Arial" w:cs="Arial"/>
          <w:b/>
        </w:rPr>
      </w:pPr>
    </w:p>
    <w:p w14:paraId="6167535B" w14:textId="77777777" w:rsidR="006D58A1" w:rsidRPr="00655BD4" w:rsidRDefault="006D58A1" w:rsidP="006D58A1">
      <w:pPr>
        <w:autoSpaceDE w:val="0"/>
        <w:autoSpaceDN w:val="0"/>
        <w:adjustRightInd w:val="0"/>
        <w:spacing w:after="200"/>
        <w:jc w:val="both"/>
        <w:rPr>
          <w:rFonts w:ascii="Arial" w:hAnsi="Arial" w:cs="Arial"/>
        </w:rPr>
      </w:pPr>
      <w:r w:rsidRPr="00655BD4">
        <w:rPr>
          <w:rFonts w:ascii="Arial" w:hAnsi="Arial" w:cs="Arial"/>
        </w:rPr>
        <w:t xml:space="preserve">Según la Corte Constitucional, sentencia C-301 de 1993, la revisión de las normas dictadas bajo el amparo de los estados de excepción, se hace bajo un prisma diferente, del que se utiliza frente a los actos administrativos dictados en situaciones de normalidad. </w:t>
      </w:r>
    </w:p>
    <w:p w14:paraId="53F5B5F4" w14:textId="77777777" w:rsidR="006D58A1" w:rsidRPr="00655BD4" w:rsidRDefault="006D58A1" w:rsidP="006D58A1">
      <w:pPr>
        <w:autoSpaceDE w:val="0"/>
        <w:autoSpaceDN w:val="0"/>
        <w:adjustRightInd w:val="0"/>
        <w:spacing w:after="200"/>
        <w:jc w:val="both"/>
        <w:rPr>
          <w:rFonts w:ascii="Arial" w:hAnsi="Arial" w:cs="Arial"/>
        </w:rPr>
      </w:pPr>
      <w:r w:rsidRPr="00655BD4">
        <w:rPr>
          <w:rFonts w:ascii="Arial" w:hAnsi="Arial" w:cs="Arial"/>
        </w:rPr>
        <w:t xml:space="preserve"> Dijo la Corte Constitucional en aquella oportunidad lo siguiente:</w:t>
      </w:r>
    </w:p>
    <w:p w14:paraId="14524110" w14:textId="77777777" w:rsidR="006D58A1" w:rsidRPr="008A7917"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left="680" w:right="51"/>
        <w:jc w:val="both"/>
        <w:rPr>
          <w:rFonts w:ascii="Arial" w:hAnsi="Arial" w:cs="Arial"/>
          <w:i/>
          <w:sz w:val="20"/>
          <w:szCs w:val="20"/>
        </w:rPr>
      </w:pPr>
      <w:r w:rsidRPr="008A7917">
        <w:rPr>
          <w:rFonts w:ascii="Arial" w:hAnsi="Arial" w:cs="Arial"/>
          <w:i/>
          <w:sz w:val="20"/>
          <w:szCs w:val="20"/>
        </w:rPr>
        <w:t xml:space="preserve">“Por estas razones, la repetición de los preceptos jurídicos declarados exequibles por la Corte Constitucional, por la misma autoridad y dentro del mismo estado de excepción objeto de la declaratoria, quedaría cubierto por la cosa juzgada. </w:t>
      </w:r>
    </w:p>
    <w:p w14:paraId="3296BA1C" w14:textId="77777777" w:rsidR="006D58A1" w:rsidRPr="008A7917"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left="680" w:right="51"/>
        <w:jc w:val="both"/>
        <w:rPr>
          <w:rFonts w:ascii="Arial" w:hAnsi="Arial" w:cs="Arial"/>
          <w:i/>
          <w:sz w:val="20"/>
          <w:szCs w:val="20"/>
        </w:rPr>
      </w:pPr>
    </w:p>
    <w:p w14:paraId="5B6E9FF5" w14:textId="77777777" w:rsidR="006D58A1" w:rsidRPr="008A7917"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left="680" w:right="51"/>
        <w:jc w:val="both"/>
        <w:rPr>
          <w:rFonts w:ascii="Arial" w:hAnsi="Arial" w:cs="Arial"/>
          <w:i/>
          <w:sz w:val="20"/>
          <w:szCs w:val="20"/>
        </w:rPr>
      </w:pPr>
      <w:r w:rsidRPr="008A7917">
        <w:rPr>
          <w:rFonts w:ascii="Arial" w:hAnsi="Arial" w:cs="Arial"/>
          <w:i/>
          <w:sz w:val="20"/>
          <w:szCs w:val="20"/>
        </w:rPr>
        <w:t>Sin embargo, esa reiteración llevada a cabo por un órgano diferente - Congreso - y por fuera del estado de excepción, no puede colocarse bajo el abrigo de una sentencia de exequibilidad proferida en el curso de la revisión oficiosa de los decretos dictados durante los estados de excepción”.</w:t>
      </w:r>
    </w:p>
    <w:p w14:paraId="3DFB6766" w14:textId="77777777" w:rsidR="006D58A1" w:rsidRPr="00655BD4"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i/>
        </w:rPr>
      </w:pPr>
    </w:p>
    <w:p w14:paraId="70BA9562" w14:textId="77777777" w:rsidR="006D58A1"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r w:rsidRPr="00655BD4">
        <w:rPr>
          <w:rFonts w:ascii="Arial" w:hAnsi="Arial" w:cs="Arial"/>
        </w:rPr>
        <w:t xml:space="preserve">Si bien, la sentencia habla de reiteración de la norma por un órgano diferente, la </w:t>
      </w:r>
      <w:r w:rsidRPr="00655BD4">
        <w:rPr>
          <w:rFonts w:ascii="Arial" w:hAnsi="Arial" w:cs="Arial"/>
          <w:i/>
        </w:rPr>
        <w:t>ratio decidendi</w:t>
      </w:r>
      <w:r w:rsidRPr="00655BD4">
        <w:rPr>
          <w:rFonts w:ascii="Arial" w:hAnsi="Arial" w:cs="Arial"/>
        </w:rPr>
        <w:t xml:space="preserve"> gira en punto de la posibilidad de ejercer la competencia normativa, dentro y fuera del estado de excepción. Es decir, señala la Corte Constitucional que el prisma de interpretación de una competencia, dentro y fuera del estado de excepción, es diferente.</w:t>
      </w:r>
    </w:p>
    <w:p w14:paraId="4101CEEE" w14:textId="77777777" w:rsidR="006D58A1" w:rsidRPr="00655BD4"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p>
    <w:p w14:paraId="7D6C63E3" w14:textId="77777777" w:rsidR="006D58A1"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r>
        <w:rPr>
          <w:rFonts w:ascii="Arial" w:hAnsi="Arial" w:cs="Arial"/>
        </w:rPr>
        <w:t>Descendiendo al caso objeto de estudio</w:t>
      </w:r>
      <w:r w:rsidRPr="00655BD4">
        <w:rPr>
          <w:rFonts w:ascii="Arial" w:hAnsi="Arial" w:cs="Arial"/>
        </w:rPr>
        <w:t>, un toque de queda, a la luz del principio de proporcionalidad, no se examina de la misma forma o con la misma intensidad en una situación de normalidad que en una situación de anormalidad. Lo que, a la luz del estado de excepción, que permite una mayor restricción al ejercicio de las libertades, sea constitucionalmente legítimo, puede no serlo a la luz de un estado de normalidad.</w:t>
      </w:r>
    </w:p>
    <w:p w14:paraId="4240FD17" w14:textId="77777777" w:rsidR="006D58A1" w:rsidRPr="00655BD4"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p>
    <w:p w14:paraId="523A3E7C" w14:textId="77777777" w:rsidR="006D58A1"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r w:rsidRPr="00655BD4">
        <w:rPr>
          <w:rFonts w:ascii="Arial" w:hAnsi="Arial" w:cs="Arial"/>
        </w:rPr>
        <w:t xml:space="preserve">Por ello, anticiparse a </w:t>
      </w:r>
      <w:r w:rsidRPr="00655BD4">
        <w:rPr>
          <w:rFonts w:ascii="Arial" w:hAnsi="Arial" w:cs="Arial"/>
          <w:b/>
        </w:rPr>
        <w:t>no avocar conocimiento</w:t>
      </w:r>
      <w:r w:rsidRPr="00655BD4">
        <w:rPr>
          <w:rFonts w:ascii="Arial" w:hAnsi="Arial" w:cs="Arial"/>
        </w:rPr>
        <w:t xml:space="preserve"> significa </w:t>
      </w:r>
      <w:r>
        <w:rPr>
          <w:rFonts w:ascii="Arial" w:hAnsi="Arial" w:cs="Arial"/>
        </w:rPr>
        <w:t>abstenerse de  hacer</w:t>
      </w:r>
      <w:r w:rsidRPr="00655BD4">
        <w:rPr>
          <w:rFonts w:ascii="Arial" w:hAnsi="Arial" w:cs="Arial"/>
        </w:rPr>
        <w:t xml:space="preserve"> un control judicial, que tiene una intensidad diferente en estado de normalidad que, en un estado de anormalidad, con el argumento de que es una competencia ordinaria cuando, precisamente, el uso de la competencia ordinaria, tiene un prisma particular a l</w:t>
      </w:r>
      <w:r>
        <w:rPr>
          <w:rFonts w:ascii="Arial" w:hAnsi="Arial" w:cs="Arial"/>
        </w:rPr>
        <w:t xml:space="preserve">a luz del estado de excepción. </w:t>
      </w:r>
    </w:p>
    <w:p w14:paraId="1F7C00CD" w14:textId="77777777" w:rsidR="006D58A1" w:rsidRPr="002E77AC" w:rsidRDefault="006D58A1" w:rsidP="006D58A1">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p>
    <w:p w14:paraId="73378592" w14:textId="77777777" w:rsidR="006D58A1" w:rsidRPr="00165279" w:rsidRDefault="006D58A1" w:rsidP="006D58A1">
      <w:pPr>
        <w:spacing w:after="200"/>
        <w:jc w:val="both"/>
        <w:rPr>
          <w:rFonts w:ascii="Arial" w:hAnsi="Arial" w:cs="Arial"/>
          <w:b/>
        </w:rPr>
      </w:pPr>
      <w:r w:rsidRPr="00655BD4">
        <w:rPr>
          <w:rFonts w:ascii="Arial" w:hAnsi="Arial" w:cs="Arial"/>
        </w:rPr>
        <w:t xml:space="preserve">De conformidad con lo expuesto, </w:t>
      </w:r>
      <w:r>
        <w:rPr>
          <w:rFonts w:ascii="Arial" w:hAnsi="Arial" w:cs="Arial"/>
        </w:rPr>
        <w:t>la suscrita</w:t>
      </w:r>
      <w:r w:rsidRPr="00655BD4">
        <w:rPr>
          <w:rFonts w:ascii="Arial" w:hAnsi="Arial" w:cs="Arial"/>
        </w:rPr>
        <w:t xml:space="preserve"> Procurador</w:t>
      </w:r>
      <w:r>
        <w:rPr>
          <w:rFonts w:ascii="Arial" w:hAnsi="Arial" w:cs="Arial"/>
        </w:rPr>
        <w:t>a</w:t>
      </w:r>
      <w:r w:rsidRPr="00655BD4">
        <w:rPr>
          <w:rFonts w:ascii="Arial" w:hAnsi="Arial" w:cs="Arial"/>
        </w:rPr>
        <w:t xml:space="preserve"> </w:t>
      </w:r>
      <w:r>
        <w:rPr>
          <w:rFonts w:ascii="Arial" w:hAnsi="Arial" w:cs="Arial"/>
        </w:rPr>
        <w:t xml:space="preserve">20 </w:t>
      </w:r>
      <w:r w:rsidRPr="00655BD4">
        <w:rPr>
          <w:rFonts w:ascii="Arial" w:hAnsi="Arial" w:cs="Arial"/>
        </w:rPr>
        <w:t>Judicial II para Asuntos Administ</w:t>
      </w:r>
      <w:r>
        <w:rPr>
          <w:rFonts w:ascii="Arial" w:hAnsi="Arial" w:cs="Arial"/>
        </w:rPr>
        <w:t xml:space="preserve">rativos, de manera respetosa se permite solicitar </w:t>
      </w:r>
      <w:r>
        <w:rPr>
          <w:rFonts w:ascii="Arial" w:hAnsi="Arial" w:cs="Arial"/>
          <w:b/>
        </w:rPr>
        <w:t>REVOCAR</w:t>
      </w:r>
      <w:r w:rsidRPr="00655BD4">
        <w:rPr>
          <w:rFonts w:ascii="Arial" w:hAnsi="Arial" w:cs="Arial"/>
        </w:rPr>
        <w:t xml:space="preserve"> </w:t>
      </w:r>
      <w:r>
        <w:rPr>
          <w:rFonts w:ascii="Arial" w:hAnsi="Arial" w:cs="Arial"/>
        </w:rPr>
        <w:t>el Auto</w:t>
      </w:r>
      <w:r w:rsidRPr="00ED37D9">
        <w:rPr>
          <w:rFonts w:ascii="Arial" w:hAnsi="Arial" w:cs="Arial"/>
          <w:b/>
          <w:lang w:val="es-CO"/>
        </w:rPr>
        <w:t xml:space="preserve"> Interlocutorio, calendado a 27 de marzo de dos mil veinte 2020</w:t>
      </w:r>
      <w:r>
        <w:rPr>
          <w:rFonts w:ascii="Arial" w:hAnsi="Arial" w:cs="Arial"/>
          <w:b/>
          <w:lang w:val="es-CO"/>
        </w:rPr>
        <w:t xml:space="preserve"> </w:t>
      </w:r>
      <w:r w:rsidRPr="00655BD4">
        <w:rPr>
          <w:rFonts w:ascii="Arial" w:hAnsi="Arial" w:cs="Arial"/>
        </w:rPr>
        <w:t>y, en su lugar,</w:t>
      </w:r>
      <w:r>
        <w:rPr>
          <w:rFonts w:ascii="Arial" w:hAnsi="Arial" w:cs="Arial"/>
          <w:b/>
        </w:rPr>
        <w:t xml:space="preserve"> </w:t>
      </w:r>
      <w:r w:rsidRPr="00655BD4">
        <w:rPr>
          <w:rFonts w:ascii="Arial" w:hAnsi="Arial" w:cs="Arial"/>
          <w:b/>
        </w:rPr>
        <w:t>ADMITIR</w:t>
      </w:r>
      <w:r w:rsidRPr="00655BD4">
        <w:rPr>
          <w:rFonts w:ascii="Arial" w:hAnsi="Arial" w:cs="Arial"/>
        </w:rPr>
        <w:t xml:space="preserve"> el medio de control inmediato de legalidad.</w:t>
      </w:r>
    </w:p>
    <w:p w14:paraId="25DB7BD9" w14:textId="640C8D5B" w:rsidR="005C10DE" w:rsidRPr="00165279" w:rsidRDefault="005C10DE" w:rsidP="005C10DE">
      <w:pPr>
        <w:spacing w:after="200"/>
        <w:jc w:val="both"/>
        <w:rPr>
          <w:rFonts w:ascii="Arial" w:hAnsi="Arial" w:cs="Arial"/>
          <w:b/>
        </w:rPr>
      </w:pPr>
    </w:p>
    <w:p w14:paraId="702B00EE" w14:textId="77777777" w:rsidR="005C10DE" w:rsidRPr="007427A1" w:rsidRDefault="005C10DE" w:rsidP="005C10DE">
      <w:pPr>
        <w:spacing w:line="0" w:lineRule="atLeast"/>
        <w:jc w:val="both"/>
        <w:rPr>
          <w:rFonts w:ascii="Arial" w:hAnsi="Arial" w:cs="Arial"/>
          <w:lang w:val="es-CO"/>
        </w:rPr>
      </w:pPr>
    </w:p>
    <w:p w14:paraId="4D6115C2" w14:textId="77777777" w:rsidR="00655BD4" w:rsidRPr="007427A1" w:rsidRDefault="00655BD4" w:rsidP="00655BD4">
      <w:pPr>
        <w:spacing w:line="0" w:lineRule="atLeast"/>
        <w:jc w:val="both"/>
        <w:rPr>
          <w:rFonts w:ascii="Arial" w:hAnsi="Arial" w:cs="Arial"/>
          <w:lang w:val="es-CO"/>
        </w:rPr>
      </w:pPr>
      <w:r w:rsidRPr="007427A1">
        <w:rPr>
          <w:rFonts w:ascii="Arial" w:hAnsi="Arial" w:cs="Arial"/>
          <w:lang w:val="es-CO"/>
        </w:rPr>
        <w:t>Atentamente,</w:t>
      </w:r>
    </w:p>
    <w:p w14:paraId="4BDF650B" w14:textId="3CEC6CA1" w:rsidR="00655BD4" w:rsidRPr="007427A1" w:rsidRDefault="005C10DE" w:rsidP="00165279">
      <w:pPr>
        <w:spacing w:line="0" w:lineRule="atLeast"/>
        <w:rPr>
          <w:rFonts w:ascii="Arial" w:hAnsi="Arial" w:cs="Arial"/>
          <w:b/>
        </w:rPr>
      </w:pPr>
      <w:r w:rsidRPr="002B15BE">
        <w:rPr>
          <w:noProof/>
          <w:sz w:val="16"/>
        </w:rPr>
        <w:drawing>
          <wp:inline distT="0" distB="0" distL="0" distR="0" wp14:anchorId="55103859" wp14:editId="6A4EA2B2">
            <wp:extent cx="3714750" cy="11620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1162050"/>
                    </a:xfrm>
                    <a:prstGeom prst="rect">
                      <a:avLst/>
                    </a:prstGeom>
                    <a:noFill/>
                    <a:ln>
                      <a:noFill/>
                    </a:ln>
                  </pic:spPr>
                </pic:pic>
              </a:graphicData>
            </a:graphic>
          </wp:inline>
        </w:drawing>
      </w:r>
    </w:p>
    <w:p w14:paraId="543442D1" w14:textId="77777777" w:rsidR="00655BD4" w:rsidRPr="007427A1" w:rsidRDefault="00655BD4" w:rsidP="00655BD4">
      <w:pPr>
        <w:spacing w:line="0" w:lineRule="atLeast"/>
        <w:jc w:val="center"/>
        <w:rPr>
          <w:rFonts w:ascii="Arial" w:hAnsi="Arial" w:cs="Arial"/>
          <w:b/>
        </w:rPr>
      </w:pPr>
    </w:p>
    <w:p w14:paraId="73F4345F" w14:textId="77777777" w:rsidR="00655BD4" w:rsidRPr="007427A1" w:rsidRDefault="00655BD4" w:rsidP="00655BD4">
      <w:pPr>
        <w:jc w:val="both"/>
        <w:rPr>
          <w:rFonts w:ascii="Arial" w:hAnsi="Arial" w:cs="Arial"/>
          <w:b/>
        </w:rPr>
      </w:pPr>
      <w:r w:rsidRPr="007427A1">
        <w:rPr>
          <w:rFonts w:ascii="Arial" w:hAnsi="Arial" w:cs="Arial"/>
          <w:b/>
        </w:rPr>
        <w:t xml:space="preserve">SANDRA ELIZABETH PATIÑO MONTÚFAR </w:t>
      </w:r>
    </w:p>
    <w:p w14:paraId="7A8A28A7" w14:textId="77777777" w:rsidR="00655BD4" w:rsidRPr="007427A1" w:rsidRDefault="00655BD4" w:rsidP="00655BD4">
      <w:pPr>
        <w:jc w:val="both"/>
        <w:rPr>
          <w:rFonts w:ascii="Arial" w:hAnsi="Arial" w:cs="Arial"/>
          <w:b/>
        </w:rPr>
      </w:pPr>
      <w:r w:rsidRPr="007427A1">
        <w:rPr>
          <w:rFonts w:ascii="Arial" w:hAnsi="Arial" w:cs="Arial"/>
          <w:b/>
        </w:rPr>
        <w:t>PROCURADORA 20 JUDICIAL II ADMINISTRATIVA DE CALI</w:t>
      </w:r>
    </w:p>
    <w:p w14:paraId="21469085" w14:textId="77777777" w:rsidR="00655BD4" w:rsidRPr="007427A1" w:rsidRDefault="00655BD4" w:rsidP="00655BD4">
      <w:pPr>
        <w:jc w:val="both"/>
        <w:rPr>
          <w:rFonts w:ascii="Arial" w:hAnsi="Arial" w:cs="Arial"/>
          <w:b/>
        </w:rPr>
      </w:pPr>
      <w:r w:rsidRPr="007427A1">
        <w:rPr>
          <w:rFonts w:ascii="Arial" w:hAnsi="Arial" w:cs="Arial"/>
          <w:b/>
        </w:rPr>
        <w:t xml:space="preserve">DELEGADA ANTE EL TRIBUNAL ADMINISTRATIVO DEL VALLE DEL CAUCA </w:t>
      </w:r>
    </w:p>
    <w:p w14:paraId="2B230FEA" w14:textId="77777777" w:rsidR="00655BD4" w:rsidRPr="007427A1" w:rsidRDefault="00655BD4" w:rsidP="00655BD4">
      <w:pPr>
        <w:jc w:val="both"/>
        <w:rPr>
          <w:rFonts w:ascii="Arial" w:hAnsi="Arial" w:cs="Arial"/>
        </w:rPr>
      </w:pPr>
    </w:p>
    <w:p w14:paraId="553C683A" w14:textId="77777777" w:rsidR="00ED7728" w:rsidRDefault="00ED7728"/>
    <w:sectPr w:rsidR="00ED7728" w:rsidSect="00F1475F">
      <w:headerReference w:type="even" r:id="rId10"/>
      <w:headerReference w:type="default" r:id="rId11"/>
      <w:footerReference w:type="even" r:id="rId12"/>
      <w:footerReference w:type="default" r:id="rId13"/>
      <w:headerReference w:type="first" r:id="rId14"/>
      <w:footerReference w:type="first" r:id="rId15"/>
      <w:pgSz w:w="12260" w:h="18740"/>
      <w:pgMar w:top="2220" w:right="1580" w:bottom="280" w:left="1720" w:header="1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3A4AA" w14:textId="77777777" w:rsidR="00117D0A" w:rsidRDefault="00117D0A" w:rsidP="00353224">
      <w:r>
        <w:separator/>
      </w:r>
    </w:p>
  </w:endnote>
  <w:endnote w:type="continuationSeparator" w:id="0">
    <w:p w14:paraId="0973F71F" w14:textId="77777777" w:rsidR="00117D0A" w:rsidRDefault="00117D0A" w:rsidP="003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E2A2" w14:textId="77777777" w:rsidR="0056178E" w:rsidRDefault="0056178E" w:rsidP="00F1475F">
    <w:pPr>
      <w:pStyle w:val="Piedepgina"/>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6</w:t>
    </w:r>
    <w:r>
      <w:rPr>
        <w:rStyle w:val="Nmerodepgina"/>
        <w:rFonts w:eastAsiaTheme="minorEastAsia"/>
      </w:rPr>
      <w:fldChar w:fldCharType="end"/>
    </w:r>
  </w:p>
  <w:p w14:paraId="35F51993" w14:textId="77777777" w:rsidR="0056178E" w:rsidRDefault="0056178E" w:rsidP="00F147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07B2D" w14:textId="5FFD2F20" w:rsidR="0056178E" w:rsidRDefault="0056178E" w:rsidP="00F1475F">
    <w:pPr>
      <w:pStyle w:val="Piedepgina"/>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sidR="006872B8">
      <w:rPr>
        <w:rStyle w:val="Nmerodepgina"/>
        <w:rFonts w:eastAsiaTheme="minorEastAsia"/>
        <w:noProof/>
      </w:rPr>
      <w:t>1</w:t>
    </w:r>
    <w:r>
      <w:rPr>
        <w:rStyle w:val="Nmerodepgina"/>
        <w:rFonts w:eastAsiaTheme="minorEastAsia"/>
      </w:rPr>
      <w:fldChar w:fldCharType="end"/>
    </w:r>
  </w:p>
  <w:p w14:paraId="73F22F6E" w14:textId="1580378B" w:rsidR="0056178E" w:rsidRPr="00A43BEA" w:rsidRDefault="0056178E" w:rsidP="00F1475F">
    <w:pPr>
      <w:tabs>
        <w:tab w:val="center" w:pos="4419"/>
        <w:tab w:val="right" w:pos="8838"/>
      </w:tabs>
      <w:jc w:val="center"/>
      <w:rPr>
        <w:rFonts w:ascii="Arial" w:hAnsi="Arial"/>
        <w:b/>
        <w:i/>
        <w:sz w:val="22"/>
        <w:szCs w:val="22"/>
        <w:lang w:val="es-CO"/>
      </w:rPr>
    </w:pPr>
    <w:r w:rsidRPr="00A43BEA">
      <w:rPr>
        <w:rFonts w:ascii="Arial" w:hAnsi="Arial"/>
        <w:b/>
        <w:i/>
        <w:sz w:val="22"/>
        <w:szCs w:val="22"/>
        <w:lang w:val="es-CO"/>
      </w:rPr>
      <w:t xml:space="preserve">Calle 11 Número 5 - 54.  </w:t>
    </w:r>
    <w:r>
      <w:rPr>
        <w:rFonts w:ascii="Arial" w:hAnsi="Arial"/>
        <w:b/>
        <w:i/>
        <w:sz w:val="22"/>
        <w:szCs w:val="22"/>
        <w:lang w:val="es-CO"/>
      </w:rPr>
      <w:t>Tercer piso Of. 304</w:t>
    </w:r>
  </w:p>
  <w:p w14:paraId="2D12971B" w14:textId="77777777" w:rsidR="0056178E" w:rsidRPr="00A43BEA" w:rsidRDefault="0056178E" w:rsidP="00F1475F">
    <w:pPr>
      <w:tabs>
        <w:tab w:val="center" w:pos="4419"/>
        <w:tab w:val="right" w:pos="8838"/>
      </w:tabs>
      <w:jc w:val="center"/>
      <w:rPr>
        <w:rFonts w:ascii="Arial" w:hAnsi="Arial"/>
        <w:b/>
        <w:i/>
        <w:sz w:val="22"/>
        <w:szCs w:val="22"/>
        <w:lang w:val="es-CO"/>
      </w:rPr>
    </w:pPr>
    <w:r w:rsidRPr="00A43BEA">
      <w:rPr>
        <w:rFonts w:ascii="Arial" w:hAnsi="Arial"/>
        <w:b/>
        <w:i/>
        <w:sz w:val="22"/>
        <w:szCs w:val="22"/>
        <w:lang w:val="es-CO"/>
      </w:rPr>
      <w:t>CALI</w:t>
    </w:r>
  </w:p>
  <w:p w14:paraId="3D3BC24C" w14:textId="77777777" w:rsidR="0056178E" w:rsidRPr="00EB29D7" w:rsidRDefault="0056178E" w:rsidP="00F1475F">
    <w:pPr>
      <w:pStyle w:val="Piedepgina"/>
      <w:rPr>
        <w:lang w:val="es-CO"/>
      </w:rPr>
    </w:pPr>
  </w:p>
  <w:p w14:paraId="3899AF22" w14:textId="77777777" w:rsidR="0056178E" w:rsidRPr="0077633B" w:rsidRDefault="0056178E" w:rsidP="00F1475F">
    <w:pPr>
      <w:pStyle w:val="Piedepgina"/>
      <w:ind w:right="360"/>
      <w:jc w:val="center"/>
      <w:rPr>
        <w:rFonts w:ascii="Bookman Old Style" w:hAnsi="Bookman Old Style"/>
        <w:sz w:val="16"/>
        <w:szCs w:val="16"/>
        <w:lang w:val="es-C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6709A" w14:textId="77777777" w:rsidR="0056178E" w:rsidRDefault="0056178E">
    <w:pPr>
      <w:pStyle w:val="Piedepgina"/>
      <w:jc w:val="right"/>
    </w:pPr>
    <w:r>
      <w:fldChar w:fldCharType="begin"/>
    </w:r>
    <w:r>
      <w:instrText>PAGE   \* MERGEFORMAT</w:instrText>
    </w:r>
    <w:r>
      <w:fldChar w:fldCharType="separate"/>
    </w:r>
    <w:r>
      <w:rPr>
        <w:noProof/>
      </w:rPr>
      <w:t>18</w:t>
    </w:r>
    <w:r>
      <w:rPr>
        <w:noProof/>
      </w:rPr>
      <w:fldChar w:fldCharType="end"/>
    </w:r>
  </w:p>
  <w:p w14:paraId="3BFAA79A" w14:textId="77777777" w:rsidR="0056178E" w:rsidRPr="00EB29D7" w:rsidRDefault="0056178E" w:rsidP="00F1475F">
    <w:pPr>
      <w:tabs>
        <w:tab w:val="center" w:pos="4419"/>
        <w:tab w:val="right" w:pos="8838"/>
      </w:tabs>
      <w:rPr>
        <w:rFonts w:ascii="Arial" w:hAnsi="Arial"/>
        <w:i/>
        <w:lang w:val="es-CO"/>
      </w:rPr>
    </w:pPr>
    <w:r w:rsidRPr="00EB29D7">
      <w:rPr>
        <w:rFonts w:ascii="Arial" w:hAnsi="Arial"/>
        <w:i/>
        <w:lang w:val="es-CO"/>
      </w:rPr>
      <w:t xml:space="preserve">                                </w:t>
    </w:r>
    <w:r>
      <w:rPr>
        <w:rFonts w:ascii="Arial" w:hAnsi="Arial" w:cs="Arial"/>
        <w:color w:val="545454"/>
        <w:shd w:val="clear" w:color="auto" w:fill="FFFFFF"/>
      </w:rPr>
      <w:t> Calle 11 No. 5 - 54</w:t>
    </w:r>
    <w:r w:rsidRPr="00EB29D7">
      <w:rPr>
        <w:rFonts w:ascii="Arial" w:hAnsi="Arial"/>
        <w:i/>
        <w:lang w:val="es-CO"/>
      </w:rPr>
      <w:t xml:space="preserve"> </w:t>
    </w:r>
    <w:r>
      <w:rPr>
        <w:rFonts w:ascii="Arial" w:hAnsi="Arial"/>
        <w:i/>
        <w:lang w:val="es-CO"/>
      </w:rPr>
      <w:t xml:space="preserve"> Oficina 307 – Tercer </w:t>
    </w:r>
    <w:r w:rsidRPr="00EB29D7">
      <w:rPr>
        <w:rFonts w:ascii="Arial" w:hAnsi="Arial"/>
        <w:i/>
        <w:lang w:val="es-CO"/>
      </w:rPr>
      <w:t xml:space="preserve">Piso </w:t>
    </w:r>
  </w:p>
  <w:p w14:paraId="19FC88E7" w14:textId="77777777" w:rsidR="0056178E" w:rsidRPr="00EB29D7" w:rsidRDefault="0056178E" w:rsidP="00F1475F">
    <w:pPr>
      <w:tabs>
        <w:tab w:val="center" w:pos="4419"/>
        <w:tab w:val="right" w:pos="8838"/>
      </w:tabs>
      <w:rPr>
        <w:rFonts w:ascii="Arial" w:hAnsi="Arial"/>
        <w:i/>
        <w:lang w:val="es-CO"/>
      </w:rPr>
    </w:pPr>
    <w:r w:rsidRPr="00EB29D7">
      <w:rPr>
        <w:rFonts w:ascii="Arial" w:hAnsi="Arial"/>
        <w:i/>
        <w:lang w:val="es-CO"/>
      </w:rPr>
      <w:t xml:space="preserve">                                                </w:t>
    </w:r>
    <w:r>
      <w:rPr>
        <w:rFonts w:ascii="Arial" w:hAnsi="Arial"/>
        <w:i/>
        <w:lang w:val="es-CO"/>
      </w:rPr>
      <w:t>CALI</w:t>
    </w:r>
    <w:r w:rsidRPr="00EB29D7">
      <w:rPr>
        <w:rFonts w:ascii="Arial" w:hAnsi="Arial"/>
        <w:i/>
        <w:lang w:val="es-CO"/>
      </w:rPr>
      <w:t xml:space="preserve"> - </w:t>
    </w:r>
    <w:r>
      <w:rPr>
        <w:rFonts w:ascii="Arial" w:hAnsi="Arial"/>
        <w:i/>
        <w:lang w:val="es-CO"/>
      </w:rPr>
      <w:t xml:space="preserve"> VALLE </w:t>
    </w:r>
  </w:p>
  <w:p w14:paraId="081CC41D" w14:textId="77777777" w:rsidR="0056178E" w:rsidRPr="00EB29D7" w:rsidRDefault="0056178E">
    <w:pPr>
      <w:pStyle w:val="Piedepgina"/>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DDEE9" w14:textId="77777777" w:rsidR="00117D0A" w:rsidRDefault="00117D0A" w:rsidP="00353224">
      <w:r>
        <w:separator/>
      </w:r>
    </w:p>
  </w:footnote>
  <w:footnote w:type="continuationSeparator" w:id="0">
    <w:p w14:paraId="57A9EFF6" w14:textId="77777777" w:rsidR="00117D0A" w:rsidRDefault="00117D0A" w:rsidP="00353224">
      <w:r>
        <w:continuationSeparator/>
      </w:r>
    </w:p>
  </w:footnote>
  <w:footnote w:id="1">
    <w:p w14:paraId="65B7229A" w14:textId="77777777" w:rsidR="006D58A1" w:rsidRPr="00A011C8" w:rsidRDefault="006D58A1" w:rsidP="006D58A1">
      <w:pPr>
        <w:pStyle w:val="Textonotapie"/>
        <w:spacing w:before="240"/>
        <w:jc w:val="both"/>
        <w:rPr>
          <w:rFonts w:ascii="Arial" w:hAnsi="Arial" w:cs="Arial"/>
          <w:sz w:val="16"/>
          <w:szCs w:val="16"/>
        </w:rPr>
      </w:pPr>
      <w:r w:rsidRPr="00A011C8">
        <w:rPr>
          <w:rStyle w:val="Refdenotaalpie"/>
          <w:rFonts w:eastAsiaTheme="minorEastAsia" w:cs="Arial"/>
          <w:sz w:val="16"/>
          <w:szCs w:val="16"/>
        </w:rPr>
        <w:footnoteRef/>
      </w:r>
      <w:r w:rsidRPr="00A011C8">
        <w:rPr>
          <w:rFonts w:ascii="Arial" w:hAnsi="Arial" w:cs="Arial"/>
          <w:sz w:val="16"/>
          <w:szCs w:val="16"/>
        </w:rPr>
        <w:t xml:space="preserve"> CONSEJO DE ESTADO. SALA PLENA DE LO CONTENCIOSO ADMINISTRATIVO. sentencia del 5 de marzo de 2012. Consejero Ponente: Hugo Fernando Bastidas Bárcenas. Radicación número: 11001-03-15-000-2010-00369-00.</w:t>
      </w:r>
    </w:p>
  </w:footnote>
  <w:footnote w:id="2">
    <w:p w14:paraId="3DB7690E" w14:textId="77777777" w:rsidR="006D58A1" w:rsidRPr="00561AB5" w:rsidRDefault="006D58A1" w:rsidP="006D58A1">
      <w:pPr>
        <w:pStyle w:val="Textonotapie"/>
        <w:jc w:val="both"/>
        <w:rPr>
          <w:rFonts w:ascii="Arial" w:hAnsi="Arial" w:cs="Arial"/>
          <w:sz w:val="16"/>
          <w:szCs w:val="16"/>
        </w:rPr>
      </w:pPr>
      <w:r w:rsidRPr="00561AB5">
        <w:rPr>
          <w:rStyle w:val="Refdenotaalpie"/>
          <w:rFonts w:eastAsiaTheme="minorEastAsia" w:cs="Arial"/>
          <w:sz w:val="16"/>
          <w:szCs w:val="16"/>
        </w:rPr>
        <w:footnoteRef/>
      </w:r>
      <w:r w:rsidRPr="00561AB5">
        <w:rPr>
          <w:rFonts w:ascii="Arial" w:hAnsi="Arial" w:cs="Arial"/>
          <w:sz w:val="16"/>
          <w:szCs w:val="16"/>
        </w:rPr>
        <w:t xml:space="preserve"> Véase Corte Constitucional. Sentencia C-087 de 2000. Sentencia C-975 de 2002. Auto 057 de 2010. Sentencia C-317 de 2012. </w:t>
      </w:r>
    </w:p>
  </w:footnote>
  <w:footnote w:id="3">
    <w:p w14:paraId="40460245" w14:textId="77777777" w:rsidR="006D58A1" w:rsidRPr="00AA19FC" w:rsidRDefault="006D58A1" w:rsidP="006D58A1">
      <w:pPr>
        <w:pStyle w:val="Textonotapie"/>
        <w:jc w:val="both"/>
        <w:rPr>
          <w:rFonts w:ascii="Arial" w:hAnsi="Arial" w:cs="Arial"/>
          <w:sz w:val="16"/>
          <w:szCs w:val="16"/>
        </w:rPr>
      </w:pPr>
      <w:r w:rsidRPr="00AA19FC">
        <w:rPr>
          <w:rStyle w:val="Refdenotaalpie"/>
          <w:rFonts w:eastAsiaTheme="minorEastAsia" w:cs="Arial"/>
          <w:sz w:val="16"/>
          <w:szCs w:val="16"/>
        </w:rPr>
        <w:footnoteRef/>
      </w:r>
      <w:r w:rsidRPr="00AA19FC">
        <w:rPr>
          <w:rFonts w:ascii="Arial" w:hAnsi="Arial" w:cs="Arial"/>
          <w:sz w:val="16"/>
          <w:szCs w:val="16"/>
        </w:rPr>
        <w:t xml:space="preserve"> En este sentido, CONSEJO DE ESTADO. SALA PLENA DE LO CONTENCIOSO ADMINISTRATIVO. sentencia del 2 de noviembre de 1999. Consejero Ponente: Carlos Arturo Orjuela Góngora. Radicación número: CA- 037. En el mismo sentido, CONSEJO DE ESTADO. SALA PLENA DE LO CONTENCIOSO ADMINISTRATIVO. Consejero ponente: GERARDO ARENAS MONSALVE. Bogotá, D.C., treinta y uno (31) de mayo de dos mil once (2011).- Radicación número: 11001-03-15-000-2010-00388-00(CA). Actor: MINISTERIO DE LA PROTECCION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0C103" w14:textId="77777777" w:rsidR="0056178E" w:rsidRDefault="0056178E" w:rsidP="00F1475F">
    <w:pPr>
      <w:pStyle w:val="Encabezado"/>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6</w:t>
    </w:r>
    <w:r>
      <w:rPr>
        <w:rStyle w:val="Nmerodepgina"/>
        <w:rFonts w:eastAsiaTheme="minorEastAsia"/>
      </w:rPr>
      <w:fldChar w:fldCharType="end"/>
    </w:r>
  </w:p>
  <w:p w14:paraId="71597577" w14:textId="77777777" w:rsidR="0056178E" w:rsidRDefault="0056178E" w:rsidP="00F1475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B21E7" w14:textId="77777777" w:rsidR="0056178E" w:rsidRDefault="0056178E" w:rsidP="00F1475F">
    <w:pPr>
      <w:pStyle w:val="Encabezado"/>
    </w:pPr>
    <w:r>
      <w:rPr>
        <w:noProof/>
      </w:rPr>
      <w:drawing>
        <wp:anchor distT="0" distB="0" distL="114300" distR="114300" simplePos="0" relativeHeight="251660288" behindDoc="1" locked="0" layoutInCell="1" allowOverlap="1" wp14:anchorId="51738F91" wp14:editId="59579AEC">
          <wp:simplePos x="0" y="0"/>
          <wp:positionH relativeFrom="column">
            <wp:posOffset>2152650</wp:posOffset>
          </wp:positionH>
          <wp:positionV relativeFrom="paragraph">
            <wp:posOffset>-178435</wp:posOffset>
          </wp:positionV>
          <wp:extent cx="819150" cy="1167765"/>
          <wp:effectExtent l="0" t="0" r="0" b="0"/>
          <wp:wrapThrough wrapText="bothSides">
            <wp:wrapPolygon edited="0">
              <wp:start x="0" y="0"/>
              <wp:lineTo x="0" y="21142"/>
              <wp:lineTo x="21098" y="21142"/>
              <wp:lineTo x="21098"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nst_idpgncolor_pu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1167765"/>
                  </a:xfrm>
                  <a:prstGeom prst="rect">
                    <a:avLst/>
                  </a:prstGeom>
                </pic:spPr>
              </pic:pic>
            </a:graphicData>
          </a:graphic>
          <wp14:sizeRelH relativeFrom="page">
            <wp14:pctWidth>0</wp14:pctWidth>
          </wp14:sizeRelH>
          <wp14:sizeRelV relativeFrom="page">
            <wp14:pctHeight>0</wp14:pctHeight>
          </wp14:sizeRelV>
        </wp:anchor>
      </w:drawing>
    </w:r>
  </w:p>
  <w:p w14:paraId="5AC07C79" w14:textId="77777777" w:rsidR="0056178E" w:rsidRDefault="0056178E" w:rsidP="00F1475F">
    <w:pPr>
      <w:pStyle w:val="Encabezado"/>
    </w:pPr>
  </w:p>
  <w:p w14:paraId="25741AD4" w14:textId="77777777" w:rsidR="0056178E" w:rsidRDefault="0056178E" w:rsidP="00F1475F">
    <w:pPr>
      <w:pStyle w:val="Encabezado"/>
      <w:jc w:val="center"/>
    </w:pPr>
  </w:p>
  <w:p w14:paraId="72360DEE" w14:textId="77777777" w:rsidR="0056178E" w:rsidRDefault="0056178E" w:rsidP="00F1475F">
    <w:pPr>
      <w:pStyle w:val="Encabezado"/>
    </w:pPr>
  </w:p>
  <w:p w14:paraId="1EC15847" w14:textId="77777777" w:rsidR="0056178E" w:rsidRDefault="0056178E" w:rsidP="00F1475F">
    <w:pPr>
      <w:pStyle w:val="Subttulo"/>
      <w:rPr>
        <w:rFonts w:ascii="Bookman Old Style" w:hAnsi="Bookman Old Style"/>
        <w:sz w:val="32"/>
      </w:rPr>
    </w:pPr>
  </w:p>
  <w:p w14:paraId="7A645629" w14:textId="77777777" w:rsidR="0056178E" w:rsidRDefault="0056178E" w:rsidP="00F1475F">
    <w:pPr>
      <w:pStyle w:val="Subttulo"/>
      <w:rPr>
        <w:rFonts w:ascii="Bookman Old Style" w:hAnsi="Bookman Old Style"/>
        <w:sz w:val="32"/>
      </w:rPr>
    </w:pPr>
  </w:p>
  <w:p w14:paraId="764A4FD6" w14:textId="77777777" w:rsidR="0056178E" w:rsidRDefault="0056178E" w:rsidP="00F1475F">
    <w:pPr>
      <w:pStyle w:val="Subttulo"/>
      <w:rPr>
        <w:rFonts w:ascii="Bookman Old Style" w:hAnsi="Bookman Old Style"/>
        <w:sz w:val="32"/>
      </w:rPr>
    </w:pPr>
    <w:r w:rsidRPr="00EC720E">
      <w:rPr>
        <w:rFonts w:ascii="Bookman Old Style" w:hAnsi="Bookman Old Style"/>
        <w:sz w:val="32"/>
      </w:rPr>
      <w:t xml:space="preserve">PROCURADURÍA </w:t>
    </w:r>
    <w:r>
      <w:rPr>
        <w:rFonts w:ascii="Bookman Old Style" w:hAnsi="Bookman Old Style"/>
        <w:sz w:val="32"/>
      </w:rPr>
      <w:t>20</w:t>
    </w:r>
    <w:r w:rsidRPr="00EC720E">
      <w:rPr>
        <w:rFonts w:ascii="Bookman Old Style" w:hAnsi="Bookman Old Style"/>
        <w:sz w:val="32"/>
      </w:rPr>
      <w:t xml:space="preserve"> JUDICIAL ADMINISTRATIVA</w:t>
    </w:r>
    <w:r>
      <w:rPr>
        <w:rFonts w:ascii="Bookman Old Style" w:hAnsi="Bookman Old Style"/>
        <w:sz w:val="32"/>
      </w:rPr>
      <w:t xml:space="preserve"> II DE CALI</w:t>
    </w:r>
  </w:p>
  <w:p w14:paraId="1BE5C925" w14:textId="77777777" w:rsidR="0056178E" w:rsidRPr="00EC720E" w:rsidRDefault="0056178E" w:rsidP="00F1475F">
    <w:pPr>
      <w:pStyle w:val="Subttulo"/>
      <w:jc w:val="left"/>
      <w:rPr>
        <w:rFonts w:ascii="Bookman Old Style" w:hAnsi="Bookman Old Style"/>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A934E" w14:textId="77777777" w:rsidR="0056178E" w:rsidRDefault="0056178E">
    <w:pPr>
      <w:pStyle w:val="Encabezado"/>
    </w:pPr>
  </w:p>
  <w:p w14:paraId="3231E27D" w14:textId="77777777" w:rsidR="0056178E" w:rsidRDefault="0056178E">
    <w:pPr>
      <w:pStyle w:val="Encabezado"/>
    </w:pPr>
  </w:p>
  <w:p w14:paraId="3ECAB65E" w14:textId="77777777" w:rsidR="0056178E" w:rsidRDefault="0056178E" w:rsidP="00F1475F">
    <w:pPr>
      <w:pStyle w:val="Encabezado"/>
      <w:jc w:val="center"/>
    </w:pPr>
    <w:r>
      <w:rPr>
        <w:noProof/>
      </w:rPr>
      <w:drawing>
        <wp:anchor distT="0" distB="0" distL="114300" distR="114300" simplePos="0" relativeHeight="251659264" behindDoc="1" locked="0" layoutInCell="1" allowOverlap="1" wp14:anchorId="10DF2322" wp14:editId="5B538932">
          <wp:simplePos x="0" y="0"/>
          <wp:positionH relativeFrom="column">
            <wp:posOffset>2733675</wp:posOffset>
          </wp:positionH>
          <wp:positionV relativeFrom="paragraph">
            <wp:posOffset>-557530</wp:posOffset>
          </wp:positionV>
          <wp:extent cx="819150" cy="1167765"/>
          <wp:effectExtent l="0" t="0" r="0" b="0"/>
          <wp:wrapThrough wrapText="bothSides">
            <wp:wrapPolygon edited="0">
              <wp:start x="0" y="0"/>
              <wp:lineTo x="0" y="21142"/>
              <wp:lineTo x="21098" y="21142"/>
              <wp:lineTo x="21098"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nst_idpgncolor_pu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1167765"/>
                  </a:xfrm>
                  <a:prstGeom prst="rect">
                    <a:avLst/>
                  </a:prstGeom>
                </pic:spPr>
              </pic:pic>
            </a:graphicData>
          </a:graphic>
          <wp14:sizeRelH relativeFrom="page">
            <wp14:pctWidth>0</wp14:pctWidth>
          </wp14:sizeRelH>
          <wp14:sizeRelV relativeFrom="page">
            <wp14:pctHeight>0</wp14:pctHeight>
          </wp14:sizeRelV>
        </wp:anchor>
      </w:drawing>
    </w:r>
  </w:p>
  <w:p w14:paraId="01C30FA4" w14:textId="77777777" w:rsidR="0056178E" w:rsidRDefault="0056178E">
    <w:pPr>
      <w:pStyle w:val="Encabezado"/>
    </w:pPr>
  </w:p>
  <w:p w14:paraId="333BB1BD" w14:textId="77777777" w:rsidR="0056178E" w:rsidRDefault="0056178E" w:rsidP="00F1475F">
    <w:pPr>
      <w:pStyle w:val="Subttulo"/>
      <w:rPr>
        <w:rFonts w:ascii="Bookman Old Style" w:hAnsi="Bookman Old Style"/>
        <w:sz w:val="32"/>
      </w:rPr>
    </w:pPr>
  </w:p>
  <w:p w14:paraId="141E6B1E" w14:textId="77777777" w:rsidR="0056178E" w:rsidRDefault="0056178E" w:rsidP="00F1475F">
    <w:pPr>
      <w:pStyle w:val="Subttulo"/>
      <w:rPr>
        <w:rFonts w:ascii="Bookman Old Style" w:hAnsi="Bookman Old Style"/>
        <w:sz w:val="32"/>
      </w:rPr>
    </w:pPr>
  </w:p>
  <w:p w14:paraId="6E002501" w14:textId="77777777" w:rsidR="0056178E" w:rsidRPr="007D7562" w:rsidRDefault="0056178E" w:rsidP="00F1475F">
    <w:pPr>
      <w:pStyle w:val="Subttulo"/>
      <w:rPr>
        <w:rFonts w:ascii="Bookman Old Style" w:hAnsi="Bookman Old Style"/>
        <w:b/>
        <w:sz w:val="32"/>
      </w:rPr>
    </w:pPr>
    <w:r w:rsidRPr="00EB29D7">
      <w:rPr>
        <w:rFonts w:ascii="Bookman Old Style" w:hAnsi="Bookman Old Style"/>
        <w:b/>
        <w:sz w:val="32"/>
      </w:rPr>
      <w:t xml:space="preserve">PROCURADURÍA </w:t>
    </w:r>
    <w:r>
      <w:rPr>
        <w:rFonts w:ascii="Bookman Old Style" w:hAnsi="Bookman Old Style"/>
        <w:b/>
        <w:sz w:val="32"/>
      </w:rPr>
      <w:t>20</w:t>
    </w:r>
    <w:r w:rsidRPr="00EB29D7">
      <w:rPr>
        <w:rFonts w:ascii="Bookman Old Style" w:hAnsi="Bookman Old Style"/>
        <w:b/>
        <w:sz w:val="32"/>
      </w:rPr>
      <w:t xml:space="preserve"> JUDICIAL II ADMINISTRATIVA </w:t>
    </w:r>
    <w:r>
      <w:rPr>
        <w:rFonts w:ascii="Bookman Old Style" w:hAnsi="Bookman Old Style"/>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865"/>
    <w:multiLevelType w:val="hybridMultilevel"/>
    <w:tmpl w:val="E2F443E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E81AAA"/>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E835F3"/>
    <w:multiLevelType w:val="hybridMultilevel"/>
    <w:tmpl w:val="5972F7DA"/>
    <w:lvl w:ilvl="0" w:tplc="0E148658">
      <w:start w:val="1"/>
      <w:numFmt w:val="lowerLetter"/>
      <w:lvlText w:val="%1)"/>
      <w:lvlJc w:val="left"/>
      <w:pPr>
        <w:ind w:left="750" w:hanging="360"/>
      </w:pPr>
      <w:rPr>
        <w:rFonts w:hint="default"/>
      </w:r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3">
    <w:nsid w:val="0E977978"/>
    <w:multiLevelType w:val="hybridMultilevel"/>
    <w:tmpl w:val="52A85738"/>
    <w:lvl w:ilvl="0" w:tplc="6CD82798">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1737D1"/>
    <w:multiLevelType w:val="hybridMultilevel"/>
    <w:tmpl w:val="CB1A5020"/>
    <w:lvl w:ilvl="0" w:tplc="5672E68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63A68B4"/>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78B5EF4"/>
    <w:multiLevelType w:val="multilevel"/>
    <w:tmpl w:val="026E75A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nsid w:val="1B5B2E80"/>
    <w:multiLevelType w:val="multilevel"/>
    <w:tmpl w:val="67686D3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487573"/>
    <w:multiLevelType w:val="multilevel"/>
    <w:tmpl w:val="07C803F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FA76E8E"/>
    <w:multiLevelType w:val="hybridMultilevel"/>
    <w:tmpl w:val="600AE5CE"/>
    <w:lvl w:ilvl="0" w:tplc="0B5C15E6">
      <w:start w:val="1"/>
      <w:numFmt w:val="decimal"/>
      <w:lvlText w:val="%1."/>
      <w:lvlJc w:val="left"/>
      <w:pPr>
        <w:ind w:left="720" w:hanging="360"/>
      </w:pPr>
      <w:rPr>
        <w:rFonts w:hint="default"/>
        <w:sz w:val="2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4575D0D"/>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8F87305"/>
    <w:multiLevelType w:val="hybridMultilevel"/>
    <w:tmpl w:val="204C7A26"/>
    <w:lvl w:ilvl="0" w:tplc="CE1829D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D107F75"/>
    <w:multiLevelType w:val="hybridMultilevel"/>
    <w:tmpl w:val="B90EC7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DFA7E70"/>
    <w:multiLevelType w:val="hybridMultilevel"/>
    <w:tmpl w:val="B7DC19BA"/>
    <w:lvl w:ilvl="0" w:tplc="240A000B">
      <w:start w:val="1"/>
      <w:numFmt w:val="bullet"/>
      <w:lvlText w:val=""/>
      <w:lvlJc w:val="left"/>
      <w:pPr>
        <w:ind w:left="881" w:hanging="360"/>
      </w:pPr>
      <w:rPr>
        <w:rFonts w:ascii="Wingdings" w:hAnsi="Wingdings" w:hint="default"/>
      </w:rPr>
    </w:lvl>
    <w:lvl w:ilvl="1" w:tplc="240A0003" w:tentative="1">
      <w:start w:val="1"/>
      <w:numFmt w:val="bullet"/>
      <w:lvlText w:val="o"/>
      <w:lvlJc w:val="left"/>
      <w:pPr>
        <w:ind w:left="1601" w:hanging="360"/>
      </w:pPr>
      <w:rPr>
        <w:rFonts w:ascii="Courier New" w:hAnsi="Courier New" w:cs="Courier New" w:hint="default"/>
      </w:rPr>
    </w:lvl>
    <w:lvl w:ilvl="2" w:tplc="240A0005" w:tentative="1">
      <w:start w:val="1"/>
      <w:numFmt w:val="bullet"/>
      <w:lvlText w:val=""/>
      <w:lvlJc w:val="left"/>
      <w:pPr>
        <w:ind w:left="2321" w:hanging="360"/>
      </w:pPr>
      <w:rPr>
        <w:rFonts w:ascii="Wingdings" w:hAnsi="Wingdings" w:hint="default"/>
      </w:rPr>
    </w:lvl>
    <w:lvl w:ilvl="3" w:tplc="240A0001" w:tentative="1">
      <w:start w:val="1"/>
      <w:numFmt w:val="bullet"/>
      <w:lvlText w:val=""/>
      <w:lvlJc w:val="left"/>
      <w:pPr>
        <w:ind w:left="3041" w:hanging="360"/>
      </w:pPr>
      <w:rPr>
        <w:rFonts w:ascii="Symbol" w:hAnsi="Symbol" w:hint="default"/>
      </w:rPr>
    </w:lvl>
    <w:lvl w:ilvl="4" w:tplc="240A0003" w:tentative="1">
      <w:start w:val="1"/>
      <w:numFmt w:val="bullet"/>
      <w:lvlText w:val="o"/>
      <w:lvlJc w:val="left"/>
      <w:pPr>
        <w:ind w:left="3761" w:hanging="360"/>
      </w:pPr>
      <w:rPr>
        <w:rFonts w:ascii="Courier New" w:hAnsi="Courier New" w:cs="Courier New" w:hint="default"/>
      </w:rPr>
    </w:lvl>
    <w:lvl w:ilvl="5" w:tplc="240A0005" w:tentative="1">
      <w:start w:val="1"/>
      <w:numFmt w:val="bullet"/>
      <w:lvlText w:val=""/>
      <w:lvlJc w:val="left"/>
      <w:pPr>
        <w:ind w:left="4481" w:hanging="360"/>
      </w:pPr>
      <w:rPr>
        <w:rFonts w:ascii="Wingdings" w:hAnsi="Wingdings" w:hint="default"/>
      </w:rPr>
    </w:lvl>
    <w:lvl w:ilvl="6" w:tplc="240A0001" w:tentative="1">
      <w:start w:val="1"/>
      <w:numFmt w:val="bullet"/>
      <w:lvlText w:val=""/>
      <w:lvlJc w:val="left"/>
      <w:pPr>
        <w:ind w:left="5201" w:hanging="360"/>
      </w:pPr>
      <w:rPr>
        <w:rFonts w:ascii="Symbol" w:hAnsi="Symbol" w:hint="default"/>
      </w:rPr>
    </w:lvl>
    <w:lvl w:ilvl="7" w:tplc="240A0003" w:tentative="1">
      <w:start w:val="1"/>
      <w:numFmt w:val="bullet"/>
      <w:lvlText w:val="o"/>
      <w:lvlJc w:val="left"/>
      <w:pPr>
        <w:ind w:left="5921" w:hanging="360"/>
      </w:pPr>
      <w:rPr>
        <w:rFonts w:ascii="Courier New" w:hAnsi="Courier New" w:cs="Courier New" w:hint="default"/>
      </w:rPr>
    </w:lvl>
    <w:lvl w:ilvl="8" w:tplc="240A0005" w:tentative="1">
      <w:start w:val="1"/>
      <w:numFmt w:val="bullet"/>
      <w:lvlText w:val=""/>
      <w:lvlJc w:val="left"/>
      <w:pPr>
        <w:ind w:left="6641" w:hanging="360"/>
      </w:pPr>
      <w:rPr>
        <w:rFonts w:ascii="Wingdings" w:hAnsi="Wingdings" w:hint="default"/>
      </w:rPr>
    </w:lvl>
  </w:abstractNum>
  <w:abstractNum w:abstractNumId="14">
    <w:nsid w:val="33DC4A70"/>
    <w:multiLevelType w:val="multilevel"/>
    <w:tmpl w:val="F846345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3528103F"/>
    <w:multiLevelType w:val="hybridMultilevel"/>
    <w:tmpl w:val="B11C1EA6"/>
    <w:lvl w:ilvl="0" w:tplc="040A000F">
      <w:start w:val="1"/>
      <w:numFmt w:val="decimal"/>
      <w:lvlText w:val="%1."/>
      <w:lvlJc w:val="left"/>
      <w:pPr>
        <w:ind w:left="2770" w:hanging="360"/>
      </w:pPr>
      <w:rPr>
        <w:rFonts w:hint="default"/>
      </w:r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16">
    <w:nsid w:val="37877F3D"/>
    <w:multiLevelType w:val="hybridMultilevel"/>
    <w:tmpl w:val="8D68357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3FB966E3"/>
    <w:multiLevelType w:val="hybridMultilevel"/>
    <w:tmpl w:val="D9542B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498822FF"/>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7702CFF"/>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8B444BE"/>
    <w:multiLevelType w:val="hybridMultilevel"/>
    <w:tmpl w:val="D07A5C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0D10FC9"/>
    <w:multiLevelType w:val="hybridMultilevel"/>
    <w:tmpl w:val="BA76DC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3D23727"/>
    <w:multiLevelType w:val="hybridMultilevel"/>
    <w:tmpl w:val="26329266"/>
    <w:lvl w:ilvl="0" w:tplc="240A0003">
      <w:start w:val="1"/>
      <w:numFmt w:val="bullet"/>
      <w:lvlText w:val="o"/>
      <w:lvlJc w:val="left"/>
      <w:pPr>
        <w:ind w:left="1601" w:hanging="360"/>
      </w:pPr>
      <w:rPr>
        <w:rFonts w:ascii="Courier New" w:hAnsi="Courier New" w:cs="Courier New" w:hint="default"/>
      </w:rPr>
    </w:lvl>
    <w:lvl w:ilvl="1" w:tplc="240A0003" w:tentative="1">
      <w:start w:val="1"/>
      <w:numFmt w:val="bullet"/>
      <w:lvlText w:val="o"/>
      <w:lvlJc w:val="left"/>
      <w:pPr>
        <w:ind w:left="2321" w:hanging="360"/>
      </w:pPr>
      <w:rPr>
        <w:rFonts w:ascii="Courier New" w:hAnsi="Courier New" w:cs="Courier New" w:hint="default"/>
      </w:rPr>
    </w:lvl>
    <w:lvl w:ilvl="2" w:tplc="240A0005" w:tentative="1">
      <w:start w:val="1"/>
      <w:numFmt w:val="bullet"/>
      <w:lvlText w:val=""/>
      <w:lvlJc w:val="left"/>
      <w:pPr>
        <w:ind w:left="3041" w:hanging="360"/>
      </w:pPr>
      <w:rPr>
        <w:rFonts w:ascii="Wingdings" w:hAnsi="Wingdings" w:hint="default"/>
      </w:rPr>
    </w:lvl>
    <w:lvl w:ilvl="3" w:tplc="240A0001" w:tentative="1">
      <w:start w:val="1"/>
      <w:numFmt w:val="bullet"/>
      <w:lvlText w:val=""/>
      <w:lvlJc w:val="left"/>
      <w:pPr>
        <w:ind w:left="3761" w:hanging="360"/>
      </w:pPr>
      <w:rPr>
        <w:rFonts w:ascii="Symbol" w:hAnsi="Symbol" w:hint="default"/>
      </w:rPr>
    </w:lvl>
    <w:lvl w:ilvl="4" w:tplc="240A0003" w:tentative="1">
      <w:start w:val="1"/>
      <w:numFmt w:val="bullet"/>
      <w:lvlText w:val="o"/>
      <w:lvlJc w:val="left"/>
      <w:pPr>
        <w:ind w:left="4481" w:hanging="360"/>
      </w:pPr>
      <w:rPr>
        <w:rFonts w:ascii="Courier New" w:hAnsi="Courier New" w:cs="Courier New" w:hint="default"/>
      </w:rPr>
    </w:lvl>
    <w:lvl w:ilvl="5" w:tplc="240A0005" w:tentative="1">
      <w:start w:val="1"/>
      <w:numFmt w:val="bullet"/>
      <w:lvlText w:val=""/>
      <w:lvlJc w:val="left"/>
      <w:pPr>
        <w:ind w:left="5201" w:hanging="360"/>
      </w:pPr>
      <w:rPr>
        <w:rFonts w:ascii="Wingdings" w:hAnsi="Wingdings" w:hint="default"/>
      </w:rPr>
    </w:lvl>
    <w:lvl w:ilvl="6" w:tplc="240A0001" w:tentative="1">
      <w:start w:val="1"/>
      <w:numFmt w:val="bullet"/>
      <w:lvlText w:val=""/>
      <w:lvlJc w:val="left"/>
      <w:pPr>
        <w:ind w:left="5921" w:hanging="360"/>
      </w:pPr>
      <w:rPr>
        <w:rFonts w:ascii="Symbol" w:hAnsi="Symbol" w:hint="default"/>
      </w:rPr>
    </w:lvl>
    <w:lvl w:ilvl="7" w:tplc="240A0003" w:tentative="1">
      <w:start w:val="1"/>
      <w:numFmt w:val="bullet"/>
      <w:lvlText w:val="o"/>
      <w:lvlJc w:val="left"/>
      <w:pPr>
        <w:ind w:left="6641" w:hanging="360"/>
      </w:pPr>
      <w:rPr>
        <w:rFonts w:ascii="Courier New" w:hAnsi="Courier New" w:cs="Courier New" w:hint="default"/>
      </w:rPr>
    </w:lvl>
    <w:lvl w:ilvl="8" w:tplc="240A0005" w:tentative="1">
      <w:start w:val="1"/>
      <w:numFmt w:val="bullet"/>
      <w:lvlText w:val=""/>
      <w:lvlJc w:val="left"/>
      <w:pPr>
        <w:ind w:left="7361" w:hanging="360"/>
      </w:pPr>
      <w:rPr>
        <w:rFonts w:ascii="Wingdings" w:hAnsi="Wingdings" w:hint="default"/>
      </w:rPr>
    </w:lvl>
  </w:abstractNum>
  <w:abstractNum w:abstractNumId="23">
    <w:nsid w:val="66BE5A1B"/>
    <w:multiLevelType w:val="hybridMultilevel"/>
    <w:tmpl w:val="6890E0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B5F5BC1"/>
    <w:multiLevelType w:val="multilevel"/>
    <w:tmpl w:val="69BCD6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CB82673"/>
    <w:multiLevelType w:val="hybridMultilevel"/>
    <w:tmpl w:val="581C957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CF014E0"/>
    <w:multiLevelType w:val="multilevel"/>
    <w:tmpl w:val="1DC436D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6E04672C"/>
    <w:multiLevelType w:val="hybridMultilevel"/>
    <w:tmpl w:val="4662AF4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15A4C05"/>
    <w:multiLevelType w:val="multilevel"/>
    <w:tmpl w:val="F846345C"/>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nsid w:val="72F15A77"/>
    <w:multiLevelType w:val="hybridMultilevel"/>
    <w:tmpl w:val="5EE25E52"/>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0">
    <w:nsid w:val="744E23EA"/>
    <w:multiLevelType w:val="multilevel"/>
    <w:tmpl w:val="05AA92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1735E4"/>
    <w:multiLevelType w:val="hybridMultilevel"/>
    <w:tmpl w:val="4FEA20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0"/>
  </w:num>
  <w:num w:numId="4">
    <w:abstractNumId w:val="13"/>
  </w:num>
  <w:num w:numId="5">
    <w:abstractNumId w:val="22"/>
  </w:num>
  <w:num w:numId="6">
    <w:abstractNumId w:val="29"/>
  </w:num>
  <w:num w:numId="7">
    <w:abstractNumId w:val="9"/>
  </w:num>
  <w:num w:numId="8">
    <w:abstractNumId w:val="4"/>
  </w:num>
  <w:num w:numId="9">
    <w:abstractNumId w:val="14"/>
  </w:num>
  <w:num w:numId="10">
    <w:abstractNumId w:val="28"/>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7"/>
  </w:num>
  <w:num w:numId="16">
    <w:abstractNumId w:val="16"/>
  </w:num>
  <w:num w:numId="17">
    <w:abstractNumId w:val="0"/>
  </w:num>
  <w:num w:numId="18">
    <w:abstractNumId w:val="15"/>
  </w:num>
  <w:num w:numId="19">
    <w:abstractNumId w:val="17"/>
  </w:num>
  <w:num w:numId="20">
    <w:abstractNumId w:val="12"/>
  </w:num>
  <w:num w:numId="21">
    <w:abstractNumId w:val="25"/>
  </w:num>
  <w:num w:numId="22">
    <w:abstractNumId w:val="3"/>
  </w:num>
  <w:num w:numId="23">
    <w:abstractNumId w:val="30"/>
  </w:num>
  <w:num w:numId="24">
    <w:abstractNumId w:val="23"/>
  </w:num>
  <w:num w:numId="25">
    <w:abstractNumId w:val="11"/>
  </w:num>
  <w:num w:numId="26">
    <w:abstractNumId w:val="21"/>
  </w:num>
  <w:num w:numId="27">
    <w:abstractNumId w:val="5"/>
  </w:num>
  <w:num w:numId="28">
    <w:abstractNumId w:val="18"/>
  </w:num>
  <w:num w:numId="29">
    <w:abstractNumId w:val="10"/>
  </w:num>
  <w:num w:numId="30">
    <w:abstractNumId w:val="1"/>
  </w:num>
  <w:num w:numId="31">
    <w:abstractNumId w:val="19"/>
  </w:num>
  <w:num w:numId="32">
    <w:abstractNumId w:val="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68"/>
    <w:rsid w:val="00003107"/>
    <w:rsid w:val="0000475D"/>
    <w:rsid w:val="00016018"/>
    <w:rsid w:val="0002371D"/>
    <w:rsid w:val="00024947"/>
    <w:rsid w:val="00044E4C"/>
    <w:rsid w:val="00065EC8"/>
    <w:rsid w:val="00076A55"/>
    <w:rsid w:val="000857DF"/>
    <w:rsid w:val="00095C47"/>
    <w:rsid w:val="000A00EF"/>
    <w:rsid w:val="000C5031"/>
    <w:rsid w:val="000C55A7"/>
    <w:rsid w:val="000D333D"/>
    <w:rsid w:val="000E50C0"/>
    <w:rsid w:val="00101306"/>
    <w:rsid w:val="0010581F"/>
    <w:rsid w:val="00115105"/>
    <w:rsid w:val="00115BA3"/>
    <w:rsid w:val="00117D0A"/>
    <w:rsid w:val="001277EB"/>
    <w:rsid w:val="001425A0"/>
    <w:rsid w:val="001430EB"/>
    <w:rsid w:val="00154FE3"/>
    <w:rsid w:val="00160C84"/>
    <w:rsid w:val="00165279"/>
    <w:rsid w:val="0017041D"/>
    <w:rsid w:val="00170D29"/>
    <w:rsid w:val="00182D94"/>
    <w:rsid w:val="00184EF7"/>
    <w:rsid w:val="00192042"/>
    <w:rsid w:val="001C09EF"/>
    <w:rsid w:val="001C6A8E"/>
    <w:rsid w:val="001D2188"/>
    <w:rsid w:val="001E35CC"/>
    <w:rsid w:val="001E6E68"/>
    <w:rsid w:val="00203C71"/>
    <w:rsid w:val="00205A12"/>
    <w:rsid w:val="0021245D"/>
    <w:rsid w:val="0021541C"/>
    <w:rsid w:val="00215CAB"/>
    <w:rsid w:val="00225D7D"/>
    <w:rsid w:val="002271D6"/>
    <w:rsid w:val="00233475"/>
    <w:rsid w:val="00246037"/>
    <w:rsid w:val="00251171"/>
    <w:rsid w:val="00251B6D"/>
    <w:rsid w:val="00266DD2"/>
    <w:rsid w:val="00276465"/>
    <w:rsid w:val="002774F7"/>
    <w:rsid w:val="00282A3A"/>
    <w:rsid w:val="00290A83"/>
    <w:rsid w:val="002A30DE"/>
    <w:rsid w:val="002C517C"/>
    <w:rsid w:val="002D16CE"/>
    <w:rsid w:val="002E0656"/>
    <w:rsid w:val="002E7568"/>
    <w:rsid w:val="002E77AC"/>
    <w:rsid w:val="002F7D57"/>
    <w:rsid w:val="00302D81"/>
    <w:rsid w:val="00303BB1"/>
    <w:rsid w:val="003046E8"/>
    <w:rsid w:val="00310640"/>
    <w:rsid w:val="003147FF"/>
    <w:rsid w:val="003148E5"/>
    <w:rsid w:val="00322A65"/>
    <w:rsid w:val="003500DD"/>
    <w:rsid w:val="00353224"/>
    <w:rsid w:val="003616D0"/>
    <w:rsid w:val="0036332A"/>
    <w:rsid w:val="003738F1"/>
    <w:rsid w:val="003767B5"/>
    <w:rsid w:val="003A017C"/>
    <w:rsid w:val="003A0D03"/>
    <w:rsid w:val="003A1F44"/>
    <w:rsid w:val="003B7B96"/>
    <w:rsid w:val="003C4D36"/>
    <w:rsid w:val="003D1774"/>
    <w:rsid w:val="003D2D7B"/>
    <w:rsid w:val="003D2EB6"/>
    <w:rsid w:val="003D6D43"/>
    <w:rsid w:val="003D745E"/>
    <w:rsid w:val="003E64E9"/>
    <w:rsid w:val="003E7BB4"/>
    <w:rsid w:val="003F1AEF"/>
    <w:rsid w:val="00401B22"/>
    <w:rsid w:val="00410515"/>
    <w:rsid w:val="00410E47"/>
    <w:rsid w:val="00431175"/>
    <w:rsid w:val="004359AD"/>
    <w:rsid w:val="00444D0C"/>
    <w:rsid w:val="00446A31"/>
    <w:rsid w:val="00461D3A"/>
    <w:rsid w:val="004671F4"/>
    <w:rsid w:val="00475DF5"/>
    <w:rsid w:val="0049195C"/>
    <w:rsid w:val="004956CA"/>
    <w:rsid w:val="004B598A"/>
    <w:rsid w:val="004B66C1"/>
    <w:rsid w:val="004D4B0A"/>
    <w:rsid w:val="004D795E"/>
    <w:rsid w:val="004E16E5"/>
    <w:rsid w:val="00501DF2"/>
    <w:rsid w:val="00503B7E"/>
    <w:rsid w:val="00504887"/>
    <w:rsid w:val="00511873"/>
    <w:rsid w:val="005230D1"/>
    <w:rsid w:val="005358E4"/>
    <w:rsid w:val="005455F3"/>
    <w:rsid w:val="00554D71"/>
    <w:rsid w:val="0056178E"/>
    <w:rsid w:val="005633ED"/>
    <w:rsid w:val="0057220C"/>
    <w:rsid w:val="005740CE"/>
    <w:rsid w:val="00581721"/>
    <w:rsid w:val="00595465"/>
    <w:rsid w:val="00595F56"/>
    <w:rsid w:val="00596D86"/>
    <w:rsid w:val="005A4909"/>
    <w:rsid w:val="005B1F5D"/>
    <w:rsid w:val="005B3DF3"/>
    <w:rsid w:val="005B5D14"/>
    <w:rsid w:val="005B5E82"/>
    <w:rsid w:val="005C10DE"/>
    <w:rsid w:val="005C6731"/>
    <w:rsid w:val="005D0C1E"/>
    <w:rsid w:val="005F0BA9"/>
    <w:rsid w:val="0060359B"/>
    <w:rsid w:val="006123FC"/>
    <w:rsid w:val="006258AA"/>
    <w:rsid w:val="00644FE3"/>
    <w:rsid w:val="00650C6D"/>
    <w:rsid w:val="00655BD4"/>
    <w:rsid w:val="00662040"/>
    <w:rsid w:val="0068489A"/>
    <w:rsid w:val="00686D71"/>
    <w:rsid w:val="006872B8"/>
    <w:rsid w:val="006922AB"/>
    <w:rsid w:val="0069497B"/>
    <w:rsid w:val="006A4B7A"/>
    <w:rsid w:val="006A6DFB"/>
    <w:rsid w:val="006B0359"/>
    <w:rsid w:val="006B4DEF"/>
    <w:rsid w:val="006C3EED"/>
    <w:rsid w:val="006C6E37"/>
    <w:rsid w:val="006D1D80"/>
    <w:rsid w:val="006D58A1"/>
    <w:rsid w:val="006E09AF"/>
    <w:rsid w:val="006F0612"/>
    <w:rsid w:val="006F0E04"/>
    <w:rsid w:val="006F4A02"/>
    <w:rsid w:val="007030C0"/>
    <w:rsid w:val="0070420D"/>
    <w:rsid w:val="00721B44"/>
    <w:rsid w:val="00732815"/>
    <w:rsid w:val="007427A1"/>
    <w:rsid w:val="00744CAA"/>
    <w:rsid w:val="007454CB"/>
    <w:rsid w:val="00747D2A"/>
    <w:rsid w:val="00756F79"/>
    <w:rsid w:val="00774183"/>
    <w:rsid w:val="0078266F"/>
    <w:rsid w:val="007831C6"/>
    <w:rsid w:val="00785553"/>
    <w:rsid w:val="00787A58"/>
    <w:rsid w:val="0079562B"/>
    <w:rsid w:val="00797846"/>
    <w:rsid w:val="007A4B77"/>
    <w:rsid w:val="007B2BD3"/>
    <w:rsid w:val="007B781B"/>
    <w:rsid w:val="007C39EB"/>
    <w:rsid w:val="007C6DF5"/>
    <w:rsid w:val="007D3CE6"/>
    <w:rsid w:val="007D4780"/>
    <w:rsid w:val="007F07A5"/>
    <w:rsid w:val="00800E71"/>
    <w:rsid w:val="00801429"/>
    <w:rsid w:val="0080203F"/>
    <w:rsid w:val="00811C9A"/>
    <w:rsid w:val="00823994"/>
    <w:rsid w:val="008300F8"/>
    <w:rsid w:val="00832371"/>
    <w:rsid w:val="008345A8"/>
    <w:rsid w:val="00836AEC"/>
    <w:rsid w:val="00840CDA"/>
    <w:rsid w:val="008476B8"/>
    <w:rsid w:val="00854EBF"/>
    <w:rsid w:val="00857A1A"/>
    <w:rsid w:val="00884755"/>
    <w:rsid w:val="00890031"/>
    <w:rsid w:val="008A22B2"/>
    <w:rsid w:val="008B6614"/>
    <w:rsid w:val="008C0CBF"/>
    <w:rsid w:val="008C2035"/>
    <w:rsid w:val="008C7251"/>
    <w:rsid w:val="008D3CFF"/>
    <w:rsid w:val="008D6306"/>
    <w:rsid w:val="008E2604"/>
    <w:rsid w:val="008E7C11"/>
    <w:rsid w:val="008E7C49"/>
    <w:rsid w:val="0091208B"/>
    <w:rsid w:val="00912449"/>
    <w:rsid w:val="009173F6"/>
    <w:rsid w:val="00925123"/>
    <w:rsid w:val="0092627B"/>
    <w:rsid w:val="00930DF3"/>
    <w:rsid w:val="00935377"/>
    <w:rsid w:val="0093601C"/>
    <w:rsid w:val="00936A24"/>
    <w:rsid w:val="00937D59"/>
    <w:rsid w:val="00937FC2"/>
    <w:rsid w:val="0094581C"/>
    <w:rsid w:val="00946A7D"/>
    <w:rsid w:val="00954EE5"/>
    <w:rsid w:val="009647BA"/>
    <w:rsid w:val="00965A1F"/>
    <w:rsid w:val="00971F1E"/>
    <w:rsid w:val="00980A95"/>
    <w:rsid w:val="00982382"/>
    <w:rsid w:val="00982578"/>
    <w:rsid w:val="00984D0F"/>
    <w:rsid w:val="00986085"/>
    <w:rsid w:val="00995774"/>
    <w:rsid w:val="009A36CE"/>
    <w:rsid w:val="009A6C21"/>
    <w:rsid w:val="009B3570"/>
    <w:rsid w:val="009C6A24"/>
    <w:rsid w:val="009D09E0"/>
    <w:rsid w:val="009D24E1"/>
    <w:rsid w:val="009D620C"/>
    <w:rsid w:val="009E2209"/>
    <w:rsid w:val="009E343D"/>
    <w:rsid w:val="009F1BA9"/>
    <w:rsid w:val="009F4668"/>
    <w:rsid w:val="009F711E"/>
    <w:rsid w:val="00A0790B"/>
    <w:rsid w:val="00A11936"/>
    <w:rsid w:val="00A17EE9"/>
    <w:rsid w:val="00A2607F"/>
    <w:rsid w:val="00A352D5"/>
    <w:rsid w:val="00A4022B"/>
    <w:rsid w:val="00A43BEA"/>
    <w:rsid w:val="00A568EB"/>
    <w:rsid w:val="00A63B33"/>
    <w:rsid w:val="00A70F0F"/>
    <w:rsid w:val="00A7369E"/>
    <w:rsid w:val="00A77EF9"/>
    <w:rsid w:val="00A843F8"/>
    <w:rsid w:val="00A86D1E"/>
    <w:rsid w:val="00A9237B"/>
    <w:rsid w:val="00A937C2"/>
    <w:rsid w:val="00AA5C28"/>
    <w:rsid w:val="00AD2019"/>
    <w:rsid w:val="00AD652F"/>
    <w:rsid w:val="00AE1FF8"/>
    <w:rsid w:val="00AE5102"/>
    <w:rsid w:val="00AF6680"/>
    <w:rsid w:val="00AF6C4D"/>
    <w:rsid w:val="00B004B4"/>
    <w:rsid w:val="00B10E82"/>
    <w:rsid w:val="00B23628"/>
    <w:rsid w:val="00B25DE9"/>
    <w:rsid w:val="00B350FF"/>
    <w:rsid w:val="00B358CD"/>
    <w:rsid w:val="00B45777"/>
    <w:rsid w:val="00B47881"/>
    <w:rsid w:val="00B509FD"/>
    <w:rsid w:val="00B63F7D"/>
    <w:rsid w:val="00B914B4"/>
    <w:rsid w:val="00BB17CE"/>
    <w:rsid w:val="00BE17CA"/>
    <w:rsid w:val="00BF3F83"/>
    <w:rsid w:val="00C00BB9"/>
    <w:rsid w:val="00C14584"/>
    <w:rsid w:val="00C16B7E"/>
    <w:rsid w:val="00C2005D"/>
    <w:rsid w:val="00C36CEF"/>
    <w:rsid w:val="00C55E7D"/>
    <w:rsid w:val="00C60405"/>
    <w:rsid w:val="00C60BBA"/>
    <w:rsid w:val="00C67AD4"/>
    <w:rsid w:val="00C8496E"/>
    <w:rsid w:val="00C84EFD"/>
    <w:rsid w:val="00C9026F"/>
    <w:rsid w:val="00C93D55"/>
    <w:rsid w:val="00CA368E"/>
    <w:rsid w:val="00CB5E9B"/>
    <w:rsid w:val="00CE2734"/>
    <w:rsid w:val="00CE6587"/>
    <w:rsid w:val="00CF4A3E"/>
    <w:rsid w:val="00D05CEC"/>
    <w:rsid w:val="00D13A64"/>
    <w:rsid w:val="00D146E3"/>
    <w:rsid w:val="00D154C6"/>
    <w:rsid w:val="00D246DE"/>
    <w:rsid w:val="00D33910"/>
    <w:rsid w:val="00D50AC5"/>
    <w:rsid w:val="00D53DCC"/>
    <w:rsid w:val="00D56B26"/>
    <w:rsid w:val="00D8308D"/>
    <w:rsid w:val="00D8631F"/>
    <w:rsid w:val="00D92F31"/>
    <w:rsid w:val="00DA2730"/>
    <w:rsid w:val="00DA7E23"/>
    <w:rsid w:val="00DC1476"/>
    <w:rsid w:val="00DD4CC5"/>
    <w:rsid w:val="00DE6EE4"/>
    <w:rsid w:val="00DF0405"/>
    <w:rsid w:val="00DF6BB7"/>
    <w:rsid w:val="00E05511"/>
    <w:rsid w:val="00E05836"/>
    <w:rsid w:val="00E07D67"/>
    <w:rsid w:val="00E12BF5"/>
    <w:rsid w:val="00E12C65"/>
    <w:rsid w:val="00E25D0F"/>
    <w:rsid w:val="00E53141"/>
    <w:rsid w:val="00E54A3F"/>
    <w:rsid w:val="00E66A8B"/>
    <w:rsid w:val="00E72D3E"/>
    <w:rsid w:val="00E815DE"/>
    <w:rsid w:val="00E93AC5"/>
    <w:rsid w:val="00EA3AF3"/>
    <w:rsid w:val="00EA6770"/>
    <w:rsid w:val="00EA7A77"/>
    <w:rsid w:val="00EB6416"/>
    <w:rsid w:val="00ED37D9"/>
    <w:rsid w:val="00ED43BF"/>
    <w:rsid w:val="00ED7728"/>
    <w:rsid w:val="00EE6065"/>
    <w:rsid w:val="00EF245C"/>
    <w:rsid w:val="00F000A6"/>
    <w:rsid w:val="00F13E2C"/>
    <w:rsid w:val="00F1475F"/>
    <w:rsid w:val="00F15E7E"/>
    <w:rsid w:val="00F20741"/>
    <w:rsid w:val="00F2226B"/>
    <w:rsid w:val="00F2747A"/>
    <w:rsid w:val="00F3609E"/>
    <w:rsid w:val="00F5233D"/>
    <w:rsid w:val="00F57C40"/>
    <w:rsid w:val="00F85558"/>
    <w:rsid w:val="00F958D7"/>
    <w:rsid w:val="00FB666C"/>
    <w:rsid w:val="00FB7211"/>
    <w:rsid w:val="00FC36C2"/>
    <w:rsid w:val="00FE1937"/>
    <w:rsid w:val="00FE2778"/>
    <w:rsid w:val="00FE4FFD"/>
    <w:rsid w:val="00FF40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53224"/>
    <w:pPr>
      <w:keepNext/>
      <w:numPr>
        <w:numId w:val="1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353224"/>
    <w:pPr>
      <w:keepNext/>
      <w:numPr>
        <w:ilvl w:val="1"/>
        <w:numId w:val="11"/>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353224"/>
    <w:pPr>
      <w:keepNext/>
      <w:numPr>
        <w:ilvl w:val="2"/>
        <w:numId w:val="11"/>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53224"/>
    <w:pPr>
      <w:keepNext/>
      <w:numPr>
        <w:ilvl w:val="3"/>
        <w:numId w:val="11"/>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53224"/>
    <w:pPr>
      <w:numPr>
        <w:ilvl w:val="4"/>
        <w:numId w:val="11"/>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353224"/>
    <w:pPr>
      <w:numPr>
        <w:ilvl w:val="5"/>
        <w:numId w:val="11"/>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53224"/>
    <w:pPr>
      <w:numPr>
        <w:ilvl w:val="6"/>
        <w:numId w:val="1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53224"/>
    <w:pPr>
      <w:numPr>
        <w:ilvl w:val="7"/>
        <w:numId w:val="1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53224"/>
    <w:pPr>
      <w:numPr>
        <w:ilvl w:val="8"/>
        <w:numId w:val="1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22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35322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35322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53224"/>
    <w:rPr>
      <w:rFonts w:eastAsiaTheme="minorEastAsia"/>
      <w:b/>
      <w:bCs/>
      <w:sz w:val="28"/>
      <w:szCs w:val="28"/>
      <w:lang w:val="en-US"/>
    </w:rPr>
  </w:style>
  <w:style w:type="character" w:customStyle="1" w:styleId="Ttulo5Car">
    <w:name w:val="Título 5 Car"/>
    <w:basedOn w:val="Fuentedeprrafopredeter"/>
    <w:link w:val="Ttulo5"/>
    <w:uiPriority w:val="9"/>
    <w:semiHidden/>
    <w:rsid w:val="00353224"/>
    <w:rPr>
      <w:rFonts w:eastAsiaTheme="minorEastAsia"/>
      <w:b/>
      <w:bCs/>
      <w:i/>
      <w:iCs/>
      <w:sz w:val="26"/>
      <w:szCs w:val="26"/>
      <w:lang w:val="en-US"/>
    </w:rPr>
  </w:style>
  <w:style w:type="character" w:customStyle="1" w:styleId="Ttulo6Car">
    <w:name w:val="Título 6 Car"/>
    <w:basedOn w:val="Fuentedeprrafopredeter"/>
    <w:link w:val="Ttulo6"/>
    <w:rsid w:val="0035322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53224"/>
    <w:rPr>
      <w:rFonts w:eastAsiaTheme="minorEastAsia"/>
      <w:sz w:val="24"/>
      <w:szCs w:val="24"/>
      <w:lang w:val="en-US"/>
    </w:rPr>
  </w:style>
  <w:style w:type="character" w:customStyle="1" w:styleId="Ttulo8Car">
    <w:name w:val="Título 8 Car"/>
    <w:basedOn w:val="Fuentedeprrafopredeter"/>
    <w:link w:val="Ttulo8"/>
    <w:uiPriority w:val="9"/>
    <w:semiHidden/>
    <w:rsid w:val="00353224"/>
    <w:rPr>
      <w:rFonts w:eastAsiaTheme="minorEastAsia"/>
      <w:i/>
      <w:iCs/>
      <w:sz w:val="24"/>
      <w:szCs w:val="24"/>
      <w:lang w:val="en-US"/>
    </w:rPr>
  </w:style>
  <w:style w:type="character" w:customStyle="1" w:styleId="Ttulo9Car">
    <w:name w:val="Título 9 Car"/>
    <w:basedOn w:val="Fuentedeprrafopredeter"/>
    <w:link w:val="Ttulo9"/>
    <w:uiPriority w:val="9"/>
    <w:semiHidden/>
    <w:rsid w:val="00353224"/>
    <w:rPr>
      <w:rFonts w:asciiTheme="majorHAnsi" w:eastAsiaTheme="majorEastAsia" w:hAnsiTheme="majorHAnsi" w:cstheme="majorBidi"/>
      <w:lang w:val="en-US"/>
    </w:rPr>
  </w:style>
  <w:style w:type="paragraph" w:styleId="Subttulo">
    <w:name w:val="Subtitle"/>
    <w:basedOn w:val="Normal"/>
    <w:link w:val="SubttuloCar"/>
    <w:qFormat/>
    <w:rsid w:val="00353224"/>
    <w:pPr>
      <w:jc w:val="center"/>
    </w:pPr>
    <w:rPr>
      <w:rFonts w:ascii="Arial" w:hAnsi="Arial"/>
      <w:szCs w:val="20"/>
      <w:lang w:val="es-ES_tradnl"/>
    </w:rPr>
  </w:style>
  <w:style w:type="character" w:customStyle="1" w:styleId="SubttuloCar">
    <w:name w:val="Subtítulo Car"/>
    <w:basedOn w:val="Fuentedeprrafopredeter"/>
    <w:link w:val="Subttulo"/>
    <w:rsid w:val="00353224"/>
    <w:rPr>
      <w:rFonts w:ascii="Arial" w:eastAsia="Times New Roman" w:hAnsi="Arial" w:cs="Times New Roman"/>
      <w:sz w:val="24"/>
      <w:szCs w:val="20"/>
      <w:lang w:val="es-ES_tradnl" w:eastAsia="es-ES"/>
    </w:rPr>
  </w:style>
  <w:style w:type="paragraph" w:styleId="Encabezado">
    <w:name w:val="header"/>
    <w:basedOn w:val="Normal"/>
    <w:link w:val="EncabezadoCar"/>
    <w:rsid w:val="00353224"/>
    <w:pPr>
      <w:tabs>
        <w:tab w:val="center" w:pos="4252"/>
        <w:tab w:val="right" w:pos="8504"/>
      </w:tabs>
    </w:pPr>
  </w:style>
  <w:style w:type="character" w:customStyle="1" w:styleId="EncabezadoCar">
    <w:name w:val="Encabezado Car"/>
    <w:basedOn w:val="Fuentedeprrafopredeter"/>
    <w:link w:val="Encabezado"/>
    <w:rsid w:val="0035322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3224"/>
  </w:style>
  <w:style w:type="paragraph" w:styleId="Piedepgina">
    <w:name w:val="footer"/>
    <w:basedOn w:val="Normal"/>
    <w:link w:val="PiedepginaCar"/>
    <w:uiPriority w:val="99"/>
    <w:rsid w:val="00353224"/>
    <w:pPr>
      <w:tabs>
        <w:tab w:val="center" w:pos="4252"/>
        <w:tab w:val="right" w:pos="8504"/>
      </w:tabs>
    </w:pPr>
  </w:style>
  <w:style w:type="character" w:customStyle="1" w:styleId="PiedepginaCar">
    <w:name w:val="Pie de página Car"/>
    <w:basedOn w:val="Fuentedeprrafopredeter"/>
    <w:link w:val="Piedepgina"/>
    <w:uiPriority w:val="99"/>
    <w:rsid w:val="0035322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53224"/>
    <w:pPr>
      <w:ind w:left="720"/>
      <w:contextualSpacing/>
    </w:pPr>
  </w:style>
  <w:style w:type="paragraph" w:styleId="NormalWeb">
    <w:name w:val="Normal (Web)"/>
    <w:basedOn w:val="Normal"/>
    <w:link w:val="NormalWebCar"/>
    <w:uiPriority w:val="99"/>
    <w:unhideWhenUsed/>
    <w:rsid w:val="00353224"/>
    <w:pPr>
      <w:spacing w:before="100" w:beforeAutospacing="1" w:after="100" w:afterAutospacing="1"/>
    </w:pPr>
    <w:rPr>
      <w:lang w:val="es-ES_tradnl" w:eastAsia="es-ES_tradnl"/>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notentext,Car,ft,Car2,C,FA"/>
    <w:basedOn w:val="Normal"/>
    <w:link w:val="TextonotapieCar"/>
    <w:uiPriority w:val="99"/>
    <w:unhideWhenUsed/>
    <w:qFormat/>
    <w:rsid w:val="00353224"/>
    <w:rPr>
      <w:rFonts w:ascii="Calibri" w:hAnsi="Calibri"/>
      <w:sz w:val="20"/>
      <w:szCs w:val="20"/>
    </w:rPr>
  </w:style>
  <w:style w:type="character" w:customStyle="1" w:styleId="TextonotapieCar">
    <w:name w:val="Texto nota pie Car"/>
    <w:aliases w:val=" Car Car,Footnote Text Char Char Char Char Char Car,Footnote Text Char Char Char Char Car,Footnote reference Car,FA Fu Car,Footnote Text Cha Car,Footnote Text Char Char Char Car,FA Fußnotentext Car,FA Fuﬂnotentext Car,Car Car,ft Car"/>
    <w:basedOn w:val="Fuentedeprrafopredeter"/>
    <w:link w:val="Textonotapie"/>
    <w:uiPriority w:val="99"/>
    <w:qFormat/>
    <w:rsid w:val="00353224"/>
    <w:rPr>
      <w:rFonts w:ascii="Calibri" w:eastAsia="Times New Roman" w:hAnsi="Calibri" w:cs="Times New Roman"/>
      <w:sz w:val="20"/>
      <w:szCs w:val="20"/>
      <w:lang w:val="es-ES" w:eastAsia="es-ES"/>
    </w:rPr>
  </w:style>
  <w:style w:type="character" w:styleId="Refdenotaalpie">
    <w:name w:val="footnote reference"/>
    <w:aliases w:val="referencia nota al pie,Texto de nota al pie,Ref. de nota al pie 2,Appel note de bas de page,Footnotes refss,Footnote number,BVI fnr,f,4_G,16 Point,Superscript 6 Point,Texto nota al pie,Pie de Página,FC,Texto de nota al pi,Ref,F,4"/>
    <w:basedOn w:val="Fuentedeprrafopredeter"/>
    <w:link w:val="4GChar"/>
    <w:uiPriority w:val="99"/>
    <w:unhideWhenUsed/>
    <w:qFormat/>
    <w:rsid w:val="00353224"/>
    <w:rPr>
      <w:vertAlign w:val="superscript"/>
    </w:rPr>
  </w:style>
  <w:style w:type="character" w:styleId="Textoennegrita">
    <w:name w:val="Strong"/>
    <w:basedOn w:val="Fuentedeprrafopredeter"/>
    <w:uiPriority w:val="22"/>
    <w:qFormat/>
    <w:rsid w:val="00353224"/>
    <w:rPr>
      <w:b/>
      <w:bCs/>
    </w:rPr>
  </w:style>
  <w:style w:type="paragraph" w:styleId="Textodeglobo">
    <w:name w:val="Balloon Text"/>
    <w:basedOn w:val="Normal"/>
    <w:link w:val="TextodegloboCar"/>
    <w:uiPriority w:val="99"/>
    <w:semiHidden/>
    <w:unhideWhenUsed/>
    <w:rsid w:val="003532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224"/>
    <w:rPr>
      <w:rFonts w:ascii="Segoe UI" w:eastAsia="Times New Roman" w:hAnsi="Segoe UI" w:cs="Segoe UI"/>
      <w:sz w:val="18"/>
      <w:szCs w:val="18"/>
      <w:lang w:val="es-ES" w:eastAsia="es-ES"/>
    </w:rPr>
  </w:style>
  <w:style w:type="character" w:customStyle="1" w:styleId="apple-converted-space">
    <w:name w:val="apple-converted-space"/>
    <w:basedOn w:val="Fuentedeprrafopredeter"/>
    <w:rsid w:val="00353224"/>
  </w:style>
  <w:style w:type="paragraph" w:customStyle="1" w:styleId="nueve">
    <w:name w:val="nueve"/>
    <w:basedOn w:val="Normal"/>
    <w:rsid w:val="00353224"/>
    <w:pPr>
      <w:spacing w:before="100" w:beforeAutospacing="1" w:after="100" w:afterAutospacing="1"/>
    </w:pPr>
    <w:rPr>
      <w:lang w:val="es-CO" w:eastAsia="es-CO"/>
    </w:rPr>
  </w:style>
  <w:style w:type="paragraph" w:customStyle="1" w:styleId="sangria">
    <w:name w:val="sangria"/>
    <w:basedOn w:val="Normal"/>
    <w:rsid w:val="00353224"/>
    <w:pPr>
      <w:spacing w:before="100" w:beforeAutospacing="1" w:after="100" w:afterAutospacing="1"/>
    </w:pPr>
    <w:rPr>
      <w:lang w:val="es-CO" w:eastAsia="es-CO"/>
    </w:rPr>
  </w:style>
  <w:style w:type="paragraph" w:customStyle="1" w:styleId="Textosinformato1">
    <w:name w:val="Texto sin formato1"/>
    <w:basedOn w:val="Normal"/>
    <w:uiPriority w:val="99"/>
    <w:rsid w:val="00353224"/>
    <w:pPr>
      <w:overflowPunct w:val="0"/>
      <w:autoSpaceDE w:val="0"/>
      <w:autoSpaceDN w:val="0"/>
      <w:adjustRightInd w:val="0"/>
    </w:pPr>
    <w:rPr>
      <w:rFonts w:ascii="Courier New" w:hAnsi="Courier New"/>
      <w:sz w:val="20"/>
      <w:szCs w:val="20"/>
      <w:lang w:val="es-CO"/>
    </w:rPr>
  </w:style>
  <w:style w:type="paragraph" w:customStyle="1" w:styleId="Default">
    <w:name w:val="Default"/>
    <w:rsid w:val="00353224"/>
    <w:pPr>
      <w:autoSpaceDE w:val="0"/>
      <w:autoSpaceDN w:val="0"/>
      <w:adjustRightInd w:val="0"/>
      <w:spacing w:after="0" w:line="240" w:lineRule="auto"/>
    </w:pPr>
    <w:rPr>
      <w:rFonts w:ascii="Tahoma" w:hAnsi="Tahoma" w:cs="Tahoma"/>
      <w:color w:val="000000"/>
      <w:sz w:val="24"/>
      <w:szCs w:val="24"/>
    </w:rPr>
  </w:style>
  <w:style w:type="character" w:customStyle="1" w:styleId="FontStyle41">
    <w:name w:val="Font Style41"/>
    <w:basedOn w:val="Fuentedeprrafopredeter"/>
    <w:uiPriority w:val="99"/>
    <w:rsid w:val="00353224"/>
    <w:rPr>
      <w:rFonts w:ascii="Cambria" w:hAnsi="Cambria" w:cs="Cambria"/>
      <w:sz w:val="20"/>
      <w:szCs w:val="20"/>
    </w:rPr>
  </w:style>
  <w:style w:type="paragraph" w:customStyle="1" w:styleId="Style5">
    <w:name w:val="Style5"/>
    <w:basedOn w:val="Normal"/>
    <w:uiPriority w:val="99"/>
    <w:rsid w:val="00353224"/>
    <w:pPr>
      <w:widowControl w:val="0"/>
      <w:autoSpaceDE w:val="0"/>
      <w:autoSpaceDN w:val="0"/>
      <w:adjustRightInd w:val="0"/>
      <w:spacing w:line="259" w:lineRule="exact"/>
      <w:jc w:val="both"/>
    </w:pPr>
    <w:rPr>
      <w:rFonts w:ascii="Cambria" w:eastAsiaTheme="minorEastAsia" w:hAnsi="Cambria" w:cstheme="minorBidi"/>
      <w:lang w:val="es-CO" w:eastAsia="es-CO"/>
    </w:rPr>
  </w:style>
  <w:style w:type="character" w:styleId="Refdecomentario">
    <w:name w:val="annotation reference"/>
    <w:basedOn w:val="Fuentedeprrafopredeter"/>
    <w:uiPriority w:val="99"/>
    <w:semiHidden/>
    <w:unhideWhenUsed/>
    <w:rsid w:val="00353224"/>
    <w:rPr>
      <w:sz w:val="16"/>
      <w:szCs w:val="16"/>
    </w:rPr>
  </w:style>
  <w:style w:type="paragraph" w:styleId="Textocomentario">
    <w:name w:val="annotation text"/>
    <w:basedOn w:val="Normal"/>
    <w:link w:val="TextocomentarioCar"/>
    <w:uiPriority w:val="99"/>
    <w:semiHidden/>
    <w:unhideWhenUsed/>
    <w:rsid w:val="00353224"/>
    <w:rPr>
      <w:sz w:val="20"/>
      <w:szCs w:val="20"/>
    </w:rPr>
  </w:style>
  <w:style w:type="character" w:customStyle="1" w:styleId="TextocomentarioCar">
    <w:name w:val="Texto comentario Car"/>
    <w:basedOn w:val="Fuentedeprrafopredeter"/>
    <w:link w:val="Textocomentario"/>
    <w:uiPriority w:val="99"/>
    <w:semiHidden/>
    <w:rsid w:val="0035322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53224"/>
    <w:rPr>
      <w:b/>
      <w:bCs/>
    </w:rPr>
  </w:style>
  <w:style w:type="character" w:customStyle="1" w:styleId="AsuntodelcomentarioCar">
    <w:name w:val="Asunto del comentario Car"/>
    <w:basedOn w:val="TextocomentarioCar"/>
    <w:link w:val="Asuntodelcomentario"/>
    <w:uiPriority w:val="99"/>
    <w:semiHidden/>
    <w:rsid w:val="00353224"/>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DA2730"/>
    <w:rPr>
      <w:color w:val="0000FF"/>
      <w:u w:val="single"/>
    </w:rPr>
  </w:style>
  <w:style w:type="paragraph" w:customStyle="1" w:styleId="Body1">
    <w:name w:val="Body 1"/>
    <w:rsid w:val="00DA2730"/>
    <w:pPr>
      <w:spacing w:after="0" w:line="240" w:lineRule="auto"/>
    </w:pPr>
    <w:rPr>
      <w:rFonts w:ascii="Helvetica" w:eastAsia="Arial Unicode MS" w:hAnsi="Helvetica" w:cs="Times New Roman"/>
      <w:color w:val="000000"/>
      <w:sz w:val="24"/>
      <w:szCs w:val="20"/>
      <w:lang w:eastAsia="es-CO"/>
    </w:rPr>
  </w:style>
  <w:style w:type="character" w:customStyle="1" w:styleId="vidspn">
    <w:name w:val="vid_spn"/>
    <w:rsid w:val="00DA2730"/>
  </w:style>
  <w:style w:type="paragraph" w:styleId="Sinespaciado">
    <w:name w:val="No Spacing"/>
    <w:uiPriority w:val="1"/>
    <w:qFormat/>
    <w:rsid w:val="0000475D"/>
    <w:pPr>
      <w:spacing w:after="0" w:line="240" w:lineRule="auto"/>
    </w:pPr>
    <w:rPr>
      <w:lang w:val="es-ES_tradnl"/>
    </w:rPr>
  </w:style>
  <w:style w:type="paragraph" w:customStyle="1" w:styleId="Textoindependiente21">
    <w:name w:val="Texto independiente 21"/>
    <w:basedOn w:val="Normal"/>
    <w:uiPriority w:val="99"/>
    <w:rsid w:val="00DF0405"/>
    <w:pPr>
      <w:suppressAutoHyphens/>
      <w:overflowPunct w:val="0"/>
      <w:autoSpaceDE w:val="0"/>
      <w:autoSpaceDN w:val="0"/>
      <w:adjustRightInd w:val="0"/>
      <w:spacing w:line="360" w:lineRule="auto"/>
      <w:jc w:val="both"/>
    </w:pPr>
    <w:rPr>
      <w:rFonts w:ascii="Comic Sans MS" w:hAnsi="Comic Sans MS"/>
      <w:spacing w:val="-3"/>
      <w:sz w:val="28"/>
      <w:szCs w:val="20"/>
      <w:lang w:val="es-ES_tradnl"/>
    </w:rPr>
  </w:style>
  <w:style w:type="character" w:customStyle="1" w:styleId="baj">
    <w:name w:val="b_aj"/>
    <w:basedOn w:val="Fuentedeprrafopredeter"/>
    <w:rsid w:val="007427A1"/>
  </w:style>
  <w:style w:type="table" w:styleId="Tablaconcuadrcula">
    <w:name w:val="Table Grid"/>
    <w:basedOn w:val="Tablanormal"/>
    <w:uiPriority w:val="39"/>
    <w:rsid w:val="0065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ra14pt1">
    <w:name w:val="letra14pt1"/>
    <w:basedOn w:val="Fuentedeprrafopredeter"/>
    <w:rsid w:val="00655BD4"/>
    <w:rPr>
      <w:sz w:val="17"/>
      <w:szCs w:val="17"/>
    </w:rPr>
  </w:style>
  <w:style w:type="paragraph" w:styleId="Textoindependiente2">
    <w:name w:val="Body Text 2"/>
    <w:basedOn w:val="Normal"/>
    <w:link w:val="Textoindependiente2Car"/>
    <w:unhideWhenUsed/>
    <w:rsid w:val="00935377"/>
    <w:pPr>
      <w:spacing w:after="120" w:line="480" w:lineRule="auto"/>
    </w:pPr>
    <w:rPr>
      <w:lang w:val="es-MX" w:eastAsia="es-MX"/>
    </w:rPr>
  </w:style>
  <w:style w:type="character" w:customStyle="1" w:styleId="Textoindependiente2Car">
    <w:name w:val="Texto independiente 2 Car"/>
    <w:basedOn w:val="Fuentedeprrafopredeter"/>
    <w:link w:val="Textoindependiente2"/>
    <w:rsid w:val="00935377"/>
    <w:rPr>
      <w:rFonts w:ascii="Times New Roman" w:eastAsia="Times New Roman" w:hAnsi="Times New Roman" w:cs="Times New Roman"/>
      <w:sz w:val="24"/>
      <w:szCs w:val="24"/>
      <w:lang w:val="es-MX" w:eastAsia="es-MX"/>
    </w:rPr>
  </w:style>
  <w:style w:type="character" w:customStyle="1" w:styleId="NormalWebCar">
    <w:name w:val="Normal (Web) Car"/>
    <w:link w:val="NormalWeb"/>
    <w:uiPriority w:val="99"/>
    <w:locked/>
    <w:rsid w:val="00935377"/>
    <w:rPr>
      <w:rFonts w:ascii="Times New Roman" w:eastAsia="Times New Roman" w:hAnsi="Times New Roman" w:cs="Times New Roman"/>
      <w:sz w:val="24"/>
      <w:szCs w:val="24"/>
      <w:lang w:val="es-ES_tradnl" w:eastAsia="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35377"/>
    <w:pPr>
      <w:jc w:val="both"/>
    </w:pPr>
    <w:rPr>
      <w:rFonts w:asciiTheme="minorHAnsi" w:eastAsiaTheme="minorHAnsi" w:hAnsiTheme="minorHAnsi" w:cstheme="minorBidi"/>
      <w:sz w:val="22"/>
      <w:szCs w:val="22"/>
      <w:vertAlign w:val="superscript"/>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53224"/>
    <w:pPr>
      <w:keepNext/>
      <w:numPr>
        <w:numId w:val="1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353224"/>
    <w:pPr>
      <w:keepNext/>
      <w:numPr>
        <w:ilvl w:val="1"/>
        <w:numId w:val="11"/>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353224"/>
    <w:pPr>
      <w:keepNext/>
      <w:numPr>
        <w:ilvl w:val="2"/>
        <w:numId w:val="11"/>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53224"/>
    <w:pPr>
      <w:keepNext/>
      <w:numPr>
        <w:ilvl w:val="3"/>
        <w:numId w:val="11"/>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53224"/>
    <w:pPr>
      <w:numPr>
        <w:ilvl w:val="4"/>
        <w:numId w:val="11"/>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353224"/>
    <w:pPr>
      <w:numPr>
        <w:ilvl w:val="5"/>
        <w:numId w:val="11"/>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53224"/>
    <w:pPr>
      <w:numPr>
        <w:ilvl w:val="6"/>
        <w:numId w:val="1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53224"/>
    <w:pPr>
      <w:numPr>
        <w:ilvl w:val="7"/>
        <w:numId w:val="1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53224"/>
    <w:pPr>
      <w:numPr>
        <w:ilvl w:val="8"/>
        <w:numId w:val="1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22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35322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35322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53224"/>
    <w:rPr>
      <w:rFonts w:eastAsiaTheme="minorEastAsia"/>
      <w:b/>
      <w:bCs/>
      <w:sz w:val="28"/>
      <w:szCs w:val="28"/>
      <w:lang w:val="en-US"/>
    </w:rPr>
  </w:style>
  <w:style w:type="character" w:customStyle="1" w:styleId="Ttulo5Car">
    <w:name w:val="Título 5 Car"/>
    <w:basedOn w:val="Fuentedeprrafopredeter"/>
    <w:link w:val="Ttulo5"/>
    <w:uiPriority w:val="9"/>
    <w:semiHidden/>
    <w:rsid w:val="00353224"/>
    <w:rPr>
      <w:rFonts w:eastAsiaTheme="minorEastAsia"/>
      <w:b/>
      <w:bCs/>
      <w:i/>
      <w:iCs/>
      <w:sz w:val="26"/>
      <w:szCs w:val="26"/>
      <w:lang w:val="en-US"/>
    </w:rPr>
  </w:style>
  <w:style w:type="character" w:customStyle="1" w:styleId="Ttulo6Car">
    <w:name w:val="Título 6 Car"/>
    <w:basedOn w:val="Fuentedeprrafopredeter"/>
    <w:link w:val="Ttulo6"/>
    <w:rsid w:val="0035322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53224"/>
    <w:rPr>
      <w:rFonts w:eastAsiaTheme="minorEastAsia"/>
      <w:sz w:val="24"/>
      <w:szCs w:val="24"/>
      <w:lang w:val="en-US"/>
    </w:rPr>
  </w:style>
  <w:style w:type="character" w:customStyle="1" w:styleId="Ttulo8Car">
    <w:name w:val="Título 8 Car"/>
    <w:basedOn w:val="Fuentedeprrafopredeter"/>
    <w:link w:val="Ttulo8"/>
    <w:uiPriority w:val="9"/>
    <w:semiHidden/>
    <w:rsid w:val="00353224"/>
    <w:rPr>
      <w:rFonts w:eastAsiaTheme="minorEastAsia"/>
      <w:i/>
      <w:iCs/>
      <w:sz w:val="24"/>
      <w:szCs w:val="24"/>
      <w:lang w:val="en-US"/>
    </w:rPr>
  </w:style>
  <w:style w:type="character" w:customStyle="1" w:styleId="Ttulo9Car">
    <w:name w:val="Título 9 Car"/>
    <w:basedOn w:val="Fuentedeprrafopredeter"/>
    <w:link w:val="Ttulo9"/>
    <w:uiPriority w:val="9"/>
    <w:semiHidden/>
    <w:rsid w:val="00353224"/>
    <w:rPr>
      <w:rFonts w:asciiTheme="majorHAnsi" w:eastAsiaTheme="majorEastAsia" w:hAnsiTheme="majorHAnsi" w:cstheme="majorBidi"/>
      <w:lang w:val="en-US"/>
    </w:rPr>
  </w:style>
  <w:style w:type="paragraph" w:styleId="Subttulo">
    <w:name w:val="Subtitle"/>
    <w:basedOn w:val="Normal"/>
    <w:link w:val="SubttuloCar"/>
    <w:qFormat/>
    <w:rsid w:val="00353224"/>
    <w:pPr>
      <w:jc w:val="center"/>
    </w:pPr>
    <w:rPr>
      <w:rFonts w:ascii="Arial" w:hAnsi="Arial"/>
      <w:szCs w:val="20"/>
      <w:lang w:val="es-ES_tradnl"/>
    </w:rPr>
  </w:style>
  <w:style w:type="character" w:customStyle="1" w:styleId="SubttuloCar">
    <w:name w:val="Subtítulo Car"/>
    <w:basedOn w:val="Fuentedeprrafopredeter"/>
    <w:link w:val="Subttulo"/>
    <w:rsid w:val="00353224"/>
    <w:rPr>
      <w:rFonts w:ascii="Arial" w:eastAsia="Times New Roman" w:hAnsi="Arial" w:cs="Times New Roman"/>
      <w:sz w:val="24"/>
      <w:szCs w:val="20"/>
      <w:lang w:val="es-ES_tradnl" w:eastAsia="es-ES"/>
    </w:rPr>
  </w:style>
  <w:style w:type="paragraph" w:styleId="Encabezado">
    <w:name w:val="header"/>
    <w:basedOn w:val="Normal"/>
    <w:link w:val="EncabezadoCar"/>
    <w:rsid w:val="00353224"/>
    <w:pPr>
      <w:tabs>
        <w:tab w:val="center" w:pos="4252"/>
        <w:tab w:val="right" w:pos="8504"/>
      </w:tabs>
    </w:pPr>
  </w:style>
  <w:style w:type="character" w:customStyle="1" w:styleId="EncabezadoCar">
    <w:name w:val="Encabezado Car"/>
    <w:basedOn w:val="Fuentedeprrafopredeter"/>
    <w:link w:val="Encabezado"/>
    <w:rsid w:val="0035322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3224"/>
  </w:style>
  <w:style w:type="paragraph" w:styleId="Piedepgina">
    <w:name w:val="footer"/>
    <w:basedOn w:val="Normal"/>
    <w:link w:val="PiedepginaCar"/>
    <w:uiPriority w:val="99"/>
    <w:rsid w:val="00353224"/>
    <w:pPr>
      <w:tabs>
        <w:tab w:val="center" w:pos="4252"/>
        <w:tab w:val="right" w:pos="8504"/>
      </w:tabs>
    </w:pPr>
  </w:style>
  <w:style w:type="character" w:customStyle="1" w:styleId="PiedepginaCar">
    <w:name w:val="Pie de página Car"/>
    <w:basedOn w:val="Fuentedeprrafopredeter"/>
    <w:link w:val="Piedepgina"/>
    <w:uiPriority w:val="99"/>
    <w:rsid w:val="0035322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53224"/>
    <w:pPr>
      <w:ind w:left="720"/>
      <w:contextualSpacing/>
    </w:pPr>
  </w:style>
  <w:style w:type="paragraph" w:styleId="NormalWeb">
    <w:name w:val="Normal (Web)"/>
    <w:basedOn w:val="Normal"/>
    <w:link w:val="NormalWebCar"/>
    <w:uiPriority w:val="99"/>
    <w:unhideWhenUsed/>
    <w:rsid w:val="00353224"/>
    <w:pPr>
      <w:spacing w:before="100" w:beforeAutospacing="1" w:after="100" w:afterAutospacing="1"/>
    </w:pPr>
    <w:rPr>
      <w:lang w:val="es-ES_tradnl" w:eastAsia="es-ES_tradnl"/>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notentext,Car,ft,Car2,C,FA"/>
    <w:basedOn w:val="Normal"/>
    <w:link w:val="TextonotapieCar"/>
    <w:uiPriority w:val="99"/>
    <w:unhideWhenUsed/>
    <w:qFormat/>
    <w:rsid w:val="00353224"/>
    <w:rPr>
      <w:rFonts w:ascii="Calibri" w:hAnsi="Calibri"/>
      <w:sz w:val="20"/>
      <w:szCs w:val="20"/>
    </w:rPr>
  </w:style>
  <w:style w:type="character" w:customStyle="1" w:styleId="TextonotapieCar">
    <w:name w:val="Texto nota pie Car"/>
    <w:aliases w:val=" Car Car,Footnote Text Char Char Char Char Char Car,Footnote Text Char Char Char Char Car,Footnote reference Car,FA Fu Car,Footnote Text Cha Car,Footnote Text Char Char Char Car,FA Fußnotentext Car,FA Fuﬂnotentext Car,Car Car,ft Car"/>
    <w:basedOn w:val="Fuentedeprrafopredeter"/>
    <w:link w:val="Textonotapie"/>
    <w:uiPriority w:val="99"/>
    <w:qFormat/>
    <w:rsid w:val="00353224"/>
    <w:rPr>
      <w:rFonts w:ascii="Calibri" w:eastAsia="Times New Roman" w:hAnsi="Calibri" w:cs="Times New Roman"/>
      <w:sz w:val="20"/>
      <w:szCs w:val="20"/>
      <w:lang w:val="es-ES" w:eastAsia="es-ES"/>
    </w:rPr>
  </w:style>
  <w:style w:type="character" w:styleId="Refdenotaalpie">
    <w:name w:val="footnote reference"/>
    <w:aliases w:val="referencia nota al pie,Texto de nota al pie,Ref. de nota al pie 2,Appel note de bas de page,Footnotes refss,Footnote number,BVI fnr,f,4_G,16 Point,Superscript 6 Point,Texto nota al pie,Pie de Página,FC,Texto de nota al pi,Ref,F,4"/>
    <w:basedOn w:val="Fuentedeprrafopredeter"/>
    <w:link w:val="4GChar"/>
    <w:uiPriority w:val="99"/>
    <w:unhideWhenUsed/>
    <w:qFormat/>
    <w:rsid w:val="00353224"/>
    <w:rPr>
      <w:vertAlign w:val="superscript"/>
    </w:rPr>
  </w:style>
  <w:style w:type="character" w:styleId="Textoennegrita">
    <w:name w:val="Strong"/>
    <w:basedOn w:val="Fuentedeprrafopredeter"/>
    <w:uiPriority w:val="22"/>
    <w:qFormat/>
    <w:rsid w:val="00353224"/>
    <w:rPr>
      <w:b/>
      <w:bCs/>
    </w:rPr>
  </w:style>
  <w:style w:type="paragraph" w:styleId="Textodeglobo">
    <w:name w:val="Balloon Text"/>
    <w:basedOn w:val="Normal"/>
    <w:link w:val="TextodegloboCar"/>
    <w:uiPriority w:val="99"/>
    <w:semiHidden/>
    <w:unhideWhenUsed/>
    <w:rsid w:val="003532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224"/>
    <w:rPr>
      <w:rFonts w:ascii="Segoe UI" w:eastAsia="Times New Roman" w:hAnsi="Segoe UI" w:cs="Segoe UI"/>
      <w:sz w:val="18"/>
      <w:szCs w:val="18"/>
      <w:lang w:val="es-ES" w:eastAsia="es-ES"/>
    </w:rPr>
  </w:style>
  <w:style w:type="character" w:customStyle="1" w:styleId="apple-converted-space">
    <w:name w:val="apple-converted-space"/>
    <w:basedOn w:val="Fuentedeprrafopredeter"/>
    <w:rsid w:val="00353224"/>
  </w:style>
  <w:style w:type="paragraph" w:customStyle="1" w:styleId="nueve">
    <w:name w:val="nueve"/>
    <w:basedOn w:val="Normal"/>
    <w:rsid w:val="00353224"/>
    <w:pPr>
      <w:spacing w:before="100" w:beforeAutospacing="1" w:after="100" w:afterAutospacing="1"/>
    </w:pPr>
    <w:rPr>
      <w:lang w:val="es-CO" w:eastAsia="es-CO"/>
    </w:rPr>
  </w:style>
  <w:style w:type="paragraph" w:customStyle="1" w:styleId="sangria">
    <w:name w:val="sangria"/>
    <w:basedOn w:val="Normal"/>
    <w:rsid w:val="00353224"/>
    <w:pPr>
      <w:spacing w:before="100" w:beforeAutospacing="1" w:after="100" w:afterAutospacing="1"/>
    </w:pPr>
    <w:rPr>
      <w:lang w:val="es-CO" w:eastAsia="es-CO"/>
    </w:rPr>
  </w:style>
  <w:style w:type="paragraph" w:customStyle="1" w:styleId="Textosinformato1">
    <w:name w:val="Texto sin formato1"/>
    <w:basedOn w:val="Normal"/>
    <w:uiPriority w:val="99"/>
    <w:rsid w:val="00353224"/>
    <w:pPr>
      <w:overflowPunct w:val="0"/>
      <w:autoSpaceDE w:val="0"/>
      <w:autoSpaceDN w:val="0"/>
      <w:adjustRightInd w:val="0"/>
    </w:pPr>
    <w:rPr>
      <w:rFonts w:ascii="Courier New" w:hAnsi="Courier New"/>
      <w:sz w:val="20"/>
      <w:szCs w:val="20"/>
      <w:lang w:val="es-CO"/>
    </w:rPr>
  </w:style>
  <w:style w:type="paragraph" w:customStyle="1" w:styleId="Default">
    <w:name w:val="Default"/>
    <w:rsid w:val="00353224"/>
    <w:pPr>
      <w:autoSpaceDE w:val="0"/>
      <w:autoSpaceDN w:val="0"/>
      <w:adjustRightInd w:val="0"/>
      <w:spacing w:after="0" w:line="240" w:lineRule="auto"/>
    </w:pPr>
    <w:rPr>
      <w:rFonts w:ascii="Tahoma" w:hAnsi="Tahoma" w:cs="Tahoma"/>
      <w:color w:val="000000"/>
      <w:sz w:val="24"/>
      <w:szCs w:val="24"/>
    </w:rPr>
  </w:style>
  <w:style w:type="character" w:customStyle="1" w:styleId="FontStyle41">
    <w:name w:val="Font Style41"/>
    <w:basedOn w:val="Fuentedeprrafopredeter"/>
    <w:uiPriority w:val="99"/>
    <w:rsid w:val="00353224"/>
    <w:rPr>
      <w:rFonts w:ascii="Cambria" w:hAnsi="Cambria" w:cs="Cambria"/>
      <w:sz w:val="20"/>
      <w:szCs w:val="20"/>
    </w:rPr>
  </w:style>
  <w:style w:type="paragraph" w:customStyle="1" w:styleId="Style5">
    <w:name w:val="Style5"/>
    <w:basedOn w:val="Normal"/>
    <w:uiPriority w:val="99"/>
    <w:rsid w:val="00353224"/>
    <w:pPr>
      <w:widowControl w:val="0"/>
      <w:autoSpaceDE w:val="0"/>
      <w:autoSpaceDN w:val="0"/>
      <w:adjustRightInd w:val="0"/>
      <w:spacing w:line="259" w:lineRule="exact"/>
      <w:jc w:val="both"/>
    </w:pPr>
    <w:rPr>
      <w:rFonts w:ascii="Cambria" w:eastAsiaTheme="minorEastAsia" w:hAnsi="Cambria" w:cstheme="minorBidi"/>
      <w:lang w:val="es-CO" w:eastAsia="es-CO"/>
    </w:rPr>
  </w:style>
  <w:style w:type="character" w:styleId="Refdecomentario">
    <w:name w:val="annotation reference"/>
    <w:basedOn w:val="Fuentedeprrafopredeter"/>
    <w:uiPriority w:val="99"/>
    <w:semiHidden/>
    <w:unhideWhenUsed/>
    <w:rsid w:val="00353224"/>
    <w:rPr>
      <w:sz w:val="16"/>
      <w:szCs w:val="16"/>
    </w:rPr>
  </w:style>
  <w:style w:type="paragraph" w:styleId="Textocomentario">
    <w:name w:val="annotation text"/>
    <w:basedOn w:val="Normal"/>
    <w:link w:val="TextocomentarioCar"/>
    <w:uiPriority w:val="99"/>
    <w:semiHidden/>
    <w:unhideWhenUsed/>
    <w:rsid w:val="00353224"/>
    <w:rPr>
      <w:sz w:val="20"/>
      <w:szCs w:val="20"/>
    </w:rPr>
  </w:style>
  <w:style w:type="character" w:customStyle="1" w:styleId="TextocomentarioCar">
    <w:name w:val="Texto comentario Car"/>
    <w:basedOn w:val="Fuentedeprrafopredeter"/>
    <w:link w:val="Textocomentario"/>
    <w:uiPriority w:val="99"/>
    <w:semiHidden/>
    <w:rsid w:val="0035322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53224"/>
    <w:rPr>
      <w:b/>
      <w:bCs/>
    </w:rPr>
  </w:style>
  <w:style w:type="character" w:customStyle="1" w:styleId="AsuntodelcomentarioCar">
    <w:name w:val="Asunto del comentario Car"/>
    <w:basedOn w:val="TextocomentarioCar"/>
    <w:link w:val="Asuntodelcomentario"/>
    <w:uiPriority w:val="99"/>
    <w:semiHidden/>
    <w:rsid w:val="00353224"/>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DA2730"/>
    <w:rPr>
      <w:color w:val="0000FF"/>
      <w:u w:val="single"/>
    </w:rPr>
  </w:style>
  <w:style w:type="paragraph" w:customStyle="1" w:styleId="Body1">
    <w:name w:val="Body 1"/>
    <w:rsid w:val="00DA2730"/>
    <w:pPr>
      <w:spacing w:after="0" w:line="240" w:lineRule="auto"/>
    </w:pPr>
    <w:rPr>
      <w:rFonts w:ascii="Helvetica" w:eastAsia="Arial Unicode MS" w:hAnsi="Helvetica" w:cs="Times New Roman"/>
      <w:color w:val="000000"/>
      <w:sz w:val="24"/>
      <w:szCs w:val="20"/>
      <w:lang w:eastAsia="es-CO"/>
    </w:rPr>
  </w:style>
  <w:style w:type="character" w:customStyle="1" w:styleId="vidspn">
    <w:name w:val="vid_spn"/>
    <w:rsid w:val="00DA2730"/>
  </w:style>
  <w:style w:type="paragraph" w:styleId="Sinespaciado">
    <w:name w:val="No Spacing"/>
    <w:uiPriority w:val="1"/>
    <w:qFormat/>
    <w:rsid w:val="0000475D"/>
    <w:pPr>
      <w:spacing w:after="0" w:line="240" w:lineRule="auto"/>
    </w:pPr>
    <w:rPr>
      <w:lang w:val="es-ES_tradnl"/>
    </w:rPr>
  </w:style>
  <w:style w:type="paragraph" w:customStyle="1" w:styleId="Textoindependiente21">
    <w:name w:val="Texto independiente 21"/>
    <w:basedOn w:val="Normal"/>
    <w:uiPriority w:val="99"/>
    <w:rsid w:val="00DF0405"/>
    <w:pPr>
      <w:suppressAutoHyphens/>
      <w:overflowPunct w:val="0"/>
      <w:autoSpaceDE w:val="0"/>
      <w:autoSpaceDN w:val="0"/>
      <w:adjustRightInd w:val="0"/>
      <w:spacing w:line="360" w:lineRule="auto"/>
      <w:jc w:val="both"/>
    </w:pPr>
    <w:rPr>
      <w:rFonts w:ascii="Comic Sans MS" w:hAnsi="Comic Sans MS"/>
      <w:spacing w:val="-3"/>
      <w:sz w:val="28"/>
      <w:szCs w:val="20"/>
      <w:lang w:val="es-ES_tradnl"/>
    </w:rPr>
  </w:style>
  <w:style w:type="character" w:customStyle="1" w:styleId="baj">
    <w:name w:val="b_aj"/>
    <w:basedOn w:val="Fuentedeprrafopredeter"/>
    <w:rsid w:val="007427A1"/>
  </w:style>
  <w:style w:type="table" w:styleId="Tablaconcuadrcula">
    <w:name w:val="Table Grid"/>
    <w:basedOn w:val="Tablanormal"/>
    <w:uiPriority w:val="39"/>
    <w:rsid w:val="0065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ra14pt1">
    <w:name w:val="letra14pt1"/>
    <w:basedOn w:val="Fuentedeprrafopredeter"/>
    <w:rsid w:val="00655BD4"/>
    <w:rPr>
      <w:sz w:val="17"/>
      <w:szCs w:val="17"/>
    </w:rPr>
  </w:style>
  <w:style w:type="paragraph" w:styleId="Textoindependiente2">
    <w:name w:val="Body Text 2"/>
    <w:basedOn w:val="Normal"/>
    <w:link w:val="Textoindependiente2Car"/>
    <w:unhideWhenUsed/>
    <w:rsid w:val="00935377"/>
    <w:pPr>
      <w:spacing w:after="120" w:line="480" w:lineRule="auto"/>
    </w:pPr>
    <w:rPr>
      <w:lang w:val="es-MX" w:eastAsia="es-MX"/>
    </w:rPr>
  </w:style>
  <w:style w:type="character" w:customStyle="1" w:styleId="Textoindependiente2Car">
    <w:name w:val="Texto independiente 2 Car"/>
    <w:basedOn w:val="Fuentedeprrafopredeter"/>
    <w:link w:val="Textoindependiente2"/>
    <w:rsid w:val="00935377"/>
    <w:rPr>
      <w:rFonts w:ascii="Times New Roman" w:eastAsia="Times New Roman" w:hAnsi="Times New Roman" w:cs="Times New Roman"/>
      <w:sz w:val="24"/>
      <w:szCs w:val="24"/>
      <w:lang w:val="es-MX" w:eastAsia="es-MX"/>
    </w:rPr>
  </w:style>
  <w:style w:type="character" w:customStyle="1" w:styleId="NormalWebCar">
    <w:name w:val="Normal (Web) Car"/>
    <w:link w:val="NormalWeb"/>
    <w:uiPriority w:val="99"/>
    <w:locked/>
    <w:rsid w:val="00935377"/>
    <w:rPr>
      <w:rFonts w:ascii="Times New Roman" w:eastAsia="Times New Roman" w:hAnsi="Times New Roman" w:cs="Times New Roman"/>
      <w:sz w:val="24"/>
      <w:szCs w:val="24"/>
      <w:lang w:val="es-ES_tradnl" w:eastAsia="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35377"/>
    <w:pPr>
      <w:jc w:val="both"/>
    </w:pPr>
    <w:rPr>
      <w:rFonts w:asciiTheme="minorHAnsi" w:eastAsiaTheme="minorHAnsi" w:hAnsiTheme="minorHAnsi" w:cstheme="minorBidi"/>
      <w:sz w:val="22"/>
      <w:szCs w:val="22"/>
      <w:vertAlign w:val="superscript"/>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9621">
      <w:bodyDiv w:val="1"/>
      <w:marLeft w:val="0"/>
      <w:marRight w:val="0"/>
      <w:marTop w:val="0"/>
      <w:marBottom w:val="0"/>
      <w:divBdr>
        <w:top w:val="none" w:sz="0" w:space="0" w:color="auto"/>
        <w:left w:val="none" w:sz="0" w:space="0" w:color="auto"/>
        <w:bottom w:val="none" w:sz="0" w:space="0" w:color="auto"/>
        <w:right w:val="none" w:sz="0" w:space="0" w:color="auto"/>
      </w:divBdr>
    </w:div>
    <w:div w:id="377975281">
      <w:bodyDiv w:val="1"/>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
        <w:div w:id="135924398">
          <w:marLeft w:val="0"/>
          <w:marRight w:val="0"/>
          <w:marTop w:val="0"/>
          <w:marBottom w:val="150"/>
          <w:divBdr>
            <w:top w:val="none" w:sz="0" w:space="0" w:color="auto"/>
            <w:left w:val="none" w:sz="0" w:space="0" w:color="auto"/>
            <w:bottom w:val="none" w:sz="0" w:space="0" w:color="auto"/>
            <w:right w:val="none" w:sz="0" w:space="0" w:color="auto"/>
          </w:divBdr>
        </w:div>
        <w:div w:id="1252860088">
          <w:marLeft w:val="0"/>
          <w:marRight w:val="0"/>
          <w:marTop w:val="0"/>
          <w:marBottom w:val="150"/>
          <w:divBdr>
            <w:top w:val="none" w:sz="0" w:space="0" w:color="auto"/>
            <w:left w:val="none" w:sz="0" w:space="0" w:color="auto"/>
            <w:bottom w:val="none" w:sz="0" w:space="0" w:color="auto"/>
            <w:right w:val="none" w:sz="0" w:space="0" w:color="auto"/>
          </w:divBdr>
        </w:div>
        <w:div w:id="1871065375">
          <w:marLeft w:val="0"/>
          <w:marRight w:val="0"/>
          <w:marTop w:val="0"/>
          <w:marBottom w:val="0"/>
          <w:divBdr>
            <w:top w:val="none" w:sz="0" w:space="0" w:color="auto"/>
            <w:left w:val="none" w:sz="0" w:space="0" w:color="auto"/>
            <w:bottom w:val="none" w:sz="0" w:space="0" w:color="auto"/>
            <w:right w:val="none" w:sz="0" w:space="0" w:color="auto"/>
          </w:divBdr>
          <w:divsChild>
            <w:div w:id="1196239338">
              <w:marLeft w:val="0"/>
              <w:marRight w:val="0"/>
              <w:marTop w:val="0"/>
              <w:marBottom w:val="150"/>
              <w:divBdr>
                <w:top w:val="none" w:sz="0" w:space="0" w:color="auto"/>
                <w:left w:val="none" w:sz="0" w:space="0" w:color="auto"/>
                <w:bottom w:val="none" w:sz="0" w:space="0" w:color="auto"/>
                <w:right w:val="none" w:sz="0" w:space="0" w:color="auto"/>
              </w:divBdr>
            </w:div>
            <w:div w:id="447895691">
              <w:marLeft w:val="0"/>
              <w:marRight w:val="0"/>
              <w:marTop w:val="0"/>
              <w:marBottom w:val="0"/>
              <w:divBdr>
                <w:top w:val="none" w:sz="0" w:space="0" w:color="auto"/>
                <w:left w:val="none" w:sz="0" w:space="0" w:color="auto"/>
                <w:bottom w:val="none" w:sz="0" w:space="0" w:color="auto"/>
                <w:right w:val="none" w:sz="0" w:space="0" w:color="auto"/>
              </w:divBdr>
            </w:div>
            <w:div w:id="945038269">
              <w:marLeft w:val="0"/>
              <w:marRight w:val="0"/>
              <w:marTop w:val="0"/>
              <w:marBottom w:val="0"/>
              <w:divBdr>
                <w:top w:val="none" w:sz="0" w:space="0" w:color="auto"/>
                <w:left w:val="none" w:sz="0" w:space="0" w:color="auto"/>
                <w:bottom w:val="none" w:sz="0" w:space="0" w:color="auto"/>
                <w:right w:val="none" w:sz="0" w:space="0" w:color="auto"/>
              </w:divBdr>
              <w:divsChild>
                <w:div w:id="1862934862">
                  <w:marLeft w:val="0"/>
                  <w:marRight w:val="0"/>
                  <w:marTop w:val="0"/>
                  <w:marBottom w:val="0"/>
                  <w:divBdr>
                    <w:top w:val="none" w:sz="0" w:space="0" w:color="auto"/>
                    <w:left w:val="none" w:sz="0" w:space="0" w:color="auto"/>
                    <w:bottom w:val="none" w:sz="0" w:space="0" w:color="auto"/>
                    <w:right w:val="none" w:sz="0" w:space="0" w:color="auto"/>
                  </w:divBdr>
                </w:div>
              </w:divsChild>
            </w:div>
            <w:div w:id="538661838">
              <w:marLeft w:val="0"/>
              <w:marRight w:val="0"/>
              <w:marTop w:val="0"/>
              <w:marBottom w:val="0"/>
              <w:divBdr>
                <w:top w:val="none" w:sz="0" w:space="0" w:color="auto"/>
                <w:left w:val="none" w:sz="0" w:space="0" w:color="auto"/>
                <w:bottom w:val="none" w:sz="0" w:space="0" w:color="auto"/>
                <w:right w:val="none" w:sz="0" w:space="0" w:color="auto"/>
              </w:divBdr>
              <w:divsChild>
                <w:div w:id="295526277">
                  <w:marLeft w:val="0"/>
                  <w:marRight w:val="0"/>
                  <w:marTop w:val="0"/>
                  <w:marBottom w:val="0"/>
                  <w:divBdr>
                    <w:top w:val="none" w:sz="0" w:space="0" w:color="auto"/>
                    <w:left w:val="none" w:sz="0" w:space="0" w:color="auto"/>
                    <w:bottom w:val="none" w:sz="0" w:space="0" w:color="auto"/>
                    <w:right w:val="none" w:sz="0" w:space="0" w:color="auto"/>
                  </w:divBdr>
                </w:div>
              </w:divsChild>
            </w:div>
            <w:div w:id="2145195526">
              <w:marLeft w:val="0"/>
              <w:marRight w:val="0"/>
              <w:marTop w:val="0"/>
              <w:marBottom w:val="0"/>
              <w:divBdr>
                <w:top w:val="none" w:sz="0" w:space="0" w:color="auto"/>
                <w:left w:val="none" w:sz="0" w:space="0" w:color="auto"/>
                <w:bottom w:val="none" w:sz="0" w:space="0" w:color="auto"/>
                <w:right w:val="none" w:sz="0" w:space="0" w:color="auto"/>
              </w:divBdr>
              <w:divsChild>
                <w:div w:id="922421228">
                  <w:marLeft w:val="0"/>
                  <w:marRight w:val="0"/>
                  <w:marTop w:val="0"/>
                  <w:marBottom w:val="0"/>
                  <w:divBdr>
                    <w:top w:val="none" w:sz="0" w:space="0" w:color="auto"/>
                    <w:left w:val="none" w:sz="0" w:space="0" w:color="auto"/>
                    <w:bottom w:val="none" w:sz="0" w:space="0" w:color="auto"/>
                    <w:right w:val="none" w:sz="0" w:space="0" w:color="auto"/>
                  </w:divBdr>
                </w:div>
              </w:divsChild>
            </w:div>
            <w:div w:id="1344631486">
              <w:marLeft w:val="0"/>
              <w:marRight w:val="0"/>
              <w:marTop w:val="0"/>
              <w:marBottom w:val="0"/>
              <w:divBdr>
                <w:top w:val="none" w:sz="0" w:space="0" w:color="auto"/>
                <w:left w:val="none" w:sz="0" w:space="0" w:color="auto"/>
                <w:bottom w:val="none" w:sz="0" w:space="0" w:color="auto"/>
                <w:right w:val="none" w:sz="0" w:space="0" w:color="auto"/>
              </w:divBdr>
              <w:divsChild>
                <w:div w:id="1759208554">
                  <w:marLeft w:val="0"/>
                  <w:marRight w:val="0"/>
                  <w:marTop w:val="0"/>
                  <w:marBottom w:val="0"/>
                  <w:divBdr>
                    <w:top w:val="none" w:sz="0" w:space="0" w:color="auto"/>
                    <w:left w:val="none" w:sz="0" w:space="0" w:color="auto"/>
                    <w:bottom w:val="none" w:sz="0" w:space="0" w:color="auto"/>
                    <w:right w:val="none" w:sz="0" w:space="0" w:color="auto"/>
                  </w:divBdr>
                </w:div>
              </w:divsChild>
            </w:div>
            <w:div w:id="1997369613">
              <w:marLeft w:val="0"/>
              <w:marRight w:val="0"/>
              <w:marTop w:val="0"/>
              <w:marBottom w:val="0"/>
              <w:divBdr>
                <w:top w:val="none" w:sz="0" w:space="0" w:color="auto"/>
                <w:left w:val="none" w:sz="0" w:space="0" w:color="auto"/>
                <w:bottom w:val="none" w:sz="0" w:space="0" w:color="auto"/>
                <w:right w:val="none" w:sz="0" w:space="0" w:color="auto"/>
              </w:divBdr>
              <w:divsChild>
                <w:div w:id="265308779">
                  <w:marLeft w:val="0"/>
                  <w:marRight w:val="0"/>
                  <w:marTop w:val="0"/>
                  <w:marBottom w:val="0"/>
                  <w:divBdr>
                    <w:top w:val="none" w:sz="0" w:space="0" w:color="auto"/>
                    <w:left w:val="none" w:sz="0" w:space="0" w:color="auto"/>
                    <w:bottom w:val="none" w:sz="0" w:space="0" w:color="auto"/>
                    <w:right w:val="none" w:sz="0" w:space="0" w:color="auto"/>
                  </w:divBdr>
                </w:div>
              </w:divsChild>
            </w:div>
            <w:div w:id="1359165238">
              <w:marLeft w:val="0"/>
              <w:marRight w:val="0"/>
              <w:marTop w:val="0"/>
              <w:marBottom w:val="0"/>
              <w:divBdr>
                <w:top w:val="none" w:sz="0" w:space="0" w:color="auto"/>
                <w:left w:val="none" w:sz="0" w:space="0" w:color="auto"/>
                <w:bottom w:val="none" w:sz="0" w:space="0" w:color="auto"/>
                <w:right w:val="none" w:sz="0" w:space="0" w:color="auto"/>
              </w:divBdr>
              <w:divsChild>
                <w:div w:id="635724298">
                  <w:marLeft w:val="0"/>
                  <w:marRight w:val="0"/>
                  <w:marTop w:val="0"/>
                  <w:marBottom w:val="0"/>
                  <w:divBdr>
                    <w:top w:val="none" w:sz="0" w:space="0" w:color="auto"/>
                    <w:left w:val="none" w:sz="0" w:space="0" w:color="auto"/>
                    <w:bottom w:val="none" w:sz="0" w:space="0" w:color="auto"/>
                    <w:right w:val="none" w:sz="0" w:space="0" w:color="auto"/>
                  </w:divBdr>
                </w:div>
              </w:divsChild>
            </w:div>
            <w:div w:id="134295072">
              <w:marLeft w:val="0"/>
              <w:marRight w:val="0"/>
              <w:marTop w:val="0"/>
              <w:marBottom w:val="0"/>
              <w:divBdr>
                <w:top w:val="none" w:sz="0" w:space="0" w:color="auto"/>
                <w:left w:val="none" w:sz="0" w:space="0" w:color="auto"/>
                <w:bottom w:val="none" w:sz="0" w:space="0" w:color="auto"/>
                <w:right w:val="none" w:sz="0" w:space="0" w:color="auto"/>
              </w:divBdr>
              <w:divsChild>
                <w:div w:id="1002470115">
                  <w:marLeft w:val="0"/>
                  <w:marRight w:val="0"/>
                  <w:marTop w:val="0"/>
                  <w:marBottom w:val="0"/>
                  <w:divBdr>
                    <w:top w:val="none" w:sz="0" w:space="0" w:color="auto"/>
                    <w:left w:val="none" w:sz="0" w:space="0" w:color="auto"/>
                    <w:bottom w:val="none" w:sz="0" w:space="0" w:color="auto"/>
                    <w:right w:val="none" w:sz="0" w:space="0" w:color="auto"/>
                  </w:divBdr>
                </w:div>
              </w:divsChild>
            </w:div>
            <w:div w:id="3014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96667">
      <w:bodyDiv w:val="1"/>
      <w:marLeft w:val="0"/>
      <w:marRight w:val="0"/>
      <w:marTop w:val="0"/>
      <w:marBottom w:val="0"/>
      <w:divBdr>
        <w:top w:val="none" w:sz="0" w:space="0" w:color="auto"/>
        <w:left w:val="none" w:sz="0" w:space="0" w:color="auto"/>
        <w:bottom w:val="none" w:sz="0" w:space="0" w:color="auto"/>
        <w:right w:val="none" w:sz="0" w:space="0" w:color="auto"/>
      </w:divBdr>
    </w:div>
    <w:div w:id="546449458">
      <w:bodyDiv w:val="1"/>
      <w:marLeft w:val="0"/>
      <w:marRight w:val="0"/>
      <w:marTop w:val="0"/>
      <w:marBottom w:val="0"/>
      <w:divBdr>
        <w:top w:val="none" w:sz="0" w:space="0" w:color="auto"/>
        <w:left w:val="none" w:sz="0" w:space="0" w:color="auto"/>
        <w:bottom w:val="none" w:sz="0" w:space="0" w:color="auto"/>
        <w:right w:val="none" w:sz="0" w:space="0" w:color="auto"/>
      </w:divBdr>
    </w:div>
    <w:div w:id="617375141">
      <w:bodyDiv w:val="1"/>
      <w:marLeft w:val="0"/>
      <w:marRight w:val="0"/>
      <w:marTop w:val="0"/>
      <w:marBottom w:val="0"/>
      <w:divBdr>
        <w:top w:val="none" w:sz="0" w:space="0" w:color="auto"/>
        <w:left w:val="none" w:sz="0" w:space="0" w:color="auto"/>
        <w:bottom w:val="none" w:sz="0" w:space="0" w:color="auto"/>
        <w:right w:val="none" w:sz="0" w:space="0" w:color="auto"/>
      </w:divBdr>
    </w:div>
    <w:div w:id="860126956">
      <w:bodyDiv w:val="1"/>
      <w:marLeft w:val="0"/>
      <w:marRight w:val="0"/>
      <w:marTop w:val="0"/>
      <w:marBottom w:val="0"/>
      <w:divBdr>
        <w:top w:val="none" w:sz="0" w:space="0" w:color="auto"/>
        <w:left w:val="none" w:sz="0" w:space="0" w:color="auto"/>
        <w:bottom w:val="none" w:sz="0" w:space="0" w:color="auto"/>
        <w:right w:val="none" w:sz="0" w:space="0" w:color="auto"/>
      </w:divBdr>
    </w:div>
    <w:div w:id="1210847045">
      <w:bodyDiv w:val="1"/>
      <w:marLeft w:val="0"/>
      <w:marRight w:val="0"/>
      <w:marTop w:val="0"/>
      <w:marBottom w:val="0"/>
      <w:divBdr>
        <w:top w:val="none" w:sz="0" w:space="0" w:color="auto"/>
        <w:left w:val="none" w:sz="0" w:space="0" w:color="auto"/>
        <w:bottom w:val="none" w:sz="0" w:space="0" w:color="auto"/>
        <w:right w:val="none" w:sz="0" w:space="0" w:color="auto"/>
      </w:divBdr>
    </w:div>
    <w:div w:id="1736395524">
      <w:bodyDiv w:val="1"/>
      <w:marLeft w:val="0"/>
      <w:marRight w:val="0"/>
      <w:marTop w:val="0"/>
      <w:marBottom w:val="0"/>
      <w:divBdr>
        <w:top w:val="none" w:sz="0" w:space="0" w:color="auto"/>
        <w:left w:val="none" w:sz="0" w:space="0" w:color="auto"/>
        <w:bottom w:val="none" w:sz="0" w:space="0" w:color="auto"/>
        <w:right w:val="none" w:sz="0" w:space="0" w:color="auto"/>
      </w:divBdr>
    </w:div>
    <w:div w:id="1837187483">
      <w:bodyDiv w:val="1"/>
      <w:marLeft w:val="0"/>
      <w:marRight w:val="0"/>
      <w:marTop w:val="0"/>
      <w:marBottom w:val="0"/>
      <w:divBdr>
        <w:top w:val="none" w:sz="0" w:space="0" w:color="auto"/>
        <w:left w:val="none" w:sz="0" w:space="0" w:color="auto"/>
        <w:bottom w:val="none" w:sz="0" w:space="0" w:color="auto"/>
        <w:right w:val="none" w:sz="0" w:space="0" w:color="auto"/>
      </w:divBdr>
    </w:div>
    <w:div w:id="1881936932">
      <w:bodyDiv w:val="1"/>
      <w:marLeft w:val="0"/>
      <w:marRight w:val="0"/>
      <w:marTop w:val="0"/>
      <w:marBottom w:val="0"/>
      <w:divBdr>
        <w:top w:val="none" w:sz="0" w:space="0" w:color="auto"/>
        <w:left w:val="none" w:sz="0" w:space="0" w:color="auto"/>
        <w:bottom w:val="none" w:sz="0" w:space="0" w:color="auto"/>
        <w:right w:val="none" w:sz="0" w:space="0" w:color="auto"/>
      </w:divBdr>
    </w:div>
    <w:div w:id="20250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6190-1184-42C0-BC1A-B1B2424B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4743</Words>
  <Characters>26092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Garcia</dc:creator>
  <cp:lastModifiedBy>Luz Mary</cp:lastModifiedBy>
  <cp:revision>2</cp:revision>
  <cp:lastPrinted>2020-01-29T14:30:00Z</cp:lastPrinted>
  <dcterms:created xsi:type="dcterms:W3CDTF">2020-04-02T19:47:00Z</dcterms:created>
  <dcterms:modified xsi:type="dcterms:W3CDTF">2020-04-02T19:47:00Z</dcterms:modified>
</cp:coreProperties>
</file>