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E15B9" w14:textId="77777777" w:rsidR="00ED21B8" w:rsidRPr="00A7207E" w:rsidRDefault="00ED21B8" w:rsidP="00ED21B8">
      <w:pPr>
        <w:spacing w:after="0" w:line="240" w:lineRule="auto"/>
        <w:jc w:val="center"/>
        <w:rPr>
          <w:rFonts w:ascii="Tahoma" w:eastAsia="Times New Roman" w:hAnsi="Tahoma" w:cs="Times New Roman"/>
          <w:b/>
          <w:lang w:eastAsia="es-ES"/>
        </w:rPr>
      </w:pPr>
      <w:bookmarkStart w:id="0" w:name="_GoBack"/>
      <w:bookmarkEnd w:id="0"/>
      <w:r w:rsidRPr="00A7207E">
        <w:rPr>
          <w:rFonts w:ascii="Tahoma" w:eastAsia="Times New Roman" w:hAnsi="Tahoma" w:cs="Times New Roman"/>
          <w:b/>
          <w:lang w:eastAsia="es-ES"/>
        </w:rPr>
        <w:t>REPÚBLICA DE COLOMBIA</w:t>
      </w:r>
    </w:p>
    <w:p w14:paraId="48244701" w14:textId="77777777" w:rsidR="00ED21B8" w:rsidRPr="00A7207E" w:rsidRDefault="00ED21B8" w:rsidP="00ED21B8">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object w:dxaOrig="4305" w:dyaOrig="4605" w14:anchorId="65F11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75pt" o:ole="">
            <v:imagedata r:id="rId5" o:title="" croptop="-2205f"/>
          </v:shape>
          <o:OLEObject Type="Embed" ProgID="PBrush" ShapeID="_x0000_i1025" DrawAspect="Content" ObjectID="_1647436014" r:id="rId6"/>
        </w:object>
      </w:r>
    </w:p>
    <w:p w14:paraId="32C4C150" w14:textId="77777777" w:rsidR="00ED21B8" w:rsidRPr="00A7207E" w:rsidRDefault="00ED21B8" w:rsidP="00ED21B8">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TRIBUNAL CONTENCIOSO ADMINISTRATIVO</w:t>
      </w:r>
    </w:p>
    <w:p w14:paraId="4138ECA2" w14:textId="77777777" w:rsidR="00ED21B8" w:rsidRPr="00A7207E" w:rsidRDefault="00ED21B8" w:rsidP="00ED21B8">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DEL VALLE DEL CAUCA</w:t>
      </w:r>
    </w:p>
    <w:p w14:paraId="3FDAE322" w14:textId="77777777" w:rsidR="00ED21B8" w:rsidRPr="00A7207E" w:rsidRDefault="00ED21B8" w:rsidP="00ED21B8">
      <w:pPr>
        <w:spacing w:after="0" w:line="360" w:lineRule="auto"/>
        <w:jc w:val="both"/>
        <w:rPr>
          <w:rFonts w:ascii="Tahoma" w:eastAsia="Times New Roman" w:hAnsi="Tahoma" w:cs="Tahoma"/>
          <w:lang w:eastAsia="es-ES"/>
        </w:rPr>
      </w:pPr>
    </w:p>
    <w:p w14:paraId="4B4878DA" w14:textId="77777777" w:rsidR="00ED21B8" w:rsidRPr="00A7207E" w:rsidRDefault="00ED21B8" w:rsidP="00ED21B8">
      <w:pPr>
        <w:spacing w:after="0" w:line="360" w:lineRule="auto"/>
        <w:jc w:val="both"/>
        <w:rPr>
          <w:rFonts w:ascii="Tahoma" w:eastAsia="Times New Roman" w:hAnsi="Tahoma" w:cs="Tahoma"/>
          <w:b/>
          <w:lang w:eastAsia="es-ES"/>
        </w:rPr>
      </w:pP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b/>
          <w:lang w:eastAsia="es-ES"/>
        </w:rPr>
        <w:tab/>
        <w:t>Auto Interlocutorio</w:t>
      </w:r>
    </w:p>
    <w:p w14:paraId="36511372" w14:textId="77777777" w:rsidR="00ED21B8" w:rsidRPr="00A7207E" w:rsidRDefault="00ED21B8" w:rsidP="00ED21B8">
      <w:pPr>
        <w:spacing w:after="0" w:line="360" w:lineRule="auto"/>
        <w:jc w:val="both"/>
        <w:rPr>
          <w:rFonts w:ascii="Tahoma" w:eastAsia="Times New Roman" w:hAnsi="Tahoma" w:cs="Tahoma"/>
          <w:lang w:eastAsia="es-ES"/>
        </w:rPr>
      </w:pPr>
    </w:p>
    <w:p w14:paraId="5F63C47E" w14:textId="77777777" w:rsidR="00ED21B8" w:rsidRPr="00A7207E" w:rsidRDefault="00ED21B8" w:rsidP="00ED21B8">
      <w:pPr>
        <w:spacing w:after="0" w:line="240" w:lineRule="auto"/>
        <w:jc w:val="both"/>
        <w:rPr>
          <w:rFonts w:ascii="Tahoma" w:eastAsia="Times New Roman" w:hAnsi="Tahoma" w:cs="Tahoma"/>
          <w:lang w:eastAsia="es-ES"/>
        </w:rPr>
      </w:pPr>
    </w:p>
    <w:p w14:paraId="11760BF0" w14:textId="77777777" w:rsidR="00C00540" w:rsidRPr="00A7207E" w:rsidRDefault="00ED21B8" w:rsidP="00ED21B8">
      <w:pPr>
        <w:spacing w:after="0" w:line="240" w:lineRule="auto"/>
        <w:jc w:val="both"/>
        <w:rPr>
          <w:rFonts w:ascii="Tahoma" w:eastAsia="Times New Roman" w:hAnsi="Tahoma" w:cs="Tahoma"/>
          <w:lang w:eastAsia="es-ES"/>
        </w:rPr>
      </w:pPr>
      <w:r w:rsidRPr="00A7207E">
        <w:rPr>
          <w:rFonts w:ascii="Tahoma" w:eastAsia="Times New Roman" w:hAnsi="Tahoma" w:cs="Tahoma"/>
          <w:lang w:eastAsia="es-ES"/>
        </w:rPr>
        <w:t>PROCESO No.</w:t>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t>76001-23-</w:t>
      </w:r>
      <w:r w:rsidR="00C00540">
        <w:rPr>
          <w:rFonts w:ascii="Tahoma" w:eastAsia="Times New Roman" w:hAnsi="Tahoma" w:cs="Tahoma"/>
          <w:lang w:eastAsia="es-ES"/>
        </w:rPr>
        <w:t>33-000-2020-00395-00</w:t>
      </w:r>
    </w:p>
    <w:p w14:paraId="78B4BAD2" w14:textId="77777777" w:rsidR="00ED21B8" w:rsidRPr="00A7207E" w:rsidRDefault="00ED21B8" w:rsidP="00ED21B8">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MEDIO DE CONTROL</w:t>
      </w:r>
      <w:r w:rsidRPr="00A7207E">
        <w:rPr>
          <w:rFonts w:ascii="Tahoma" w:eastAsia="Times New Roman" w:hAnsi="Tahoma" w:cs="Tahoma"/>
          <w:lang w:eastAsia="es-ES"/>
        </w:rPr>
        <w:tab/>
      </w:r>
      <w:proofErr w:type="spellStart"/>
      <w:r w:rsidRPr="00A7207E">
        <w:rPr>
          <w:rFonts w:ascii="Tahoma" w:eastAsia="Times New Roman" w:hAnsi="Tahoma" w:cs="Tahoma"/>
          <w:lang w:eastAsia="es-ES"/>
        </w:rPr>
        <w:t>CONTROL</w:t>
      </w:r>
      <w:proofErr w:type="spellEnd"/>
      <w:r w:rsidRPr="00A7207E">
        <w:rPr>
          <w:rFonts w:ascii="Tahoma" w:eastAsia="Times New Roman" w:hAnsi="Tahoma" w:cs="Tahoma"/>
          <w:lang w:eastAsia="es-ES"/>
        </w:rPr>
        <w:t xml:space="preserve"> INMEDIATO DE LEGALIDAD </w:t>
      </w:r>
    </w:p>
    <w:p w14:paraId="486FF2D0" w14:textId="77777777" w:rsidR="00ED21B8" w:rsidRPr="00A7207E" w:rsidRDefault="00ED21B8" w:rsidP="00ED21B8">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ACTO ADMINISTRATIVO</w:t>
      </w:r>
      <w:r w:rsidRPr="00A7207E">
        <w:rPr>
          <w:rFonts w:ascii="Tahoma" w:eastAsia="Times New Roman" w:hAnsi="Tahoma" w:cs="Tahoma"/>
          <w:lang w:eastAsia="es-ES"/>
        </w:rPr>
        <w:tab/>
        <w:t xml:space="preserve">DECRETO NÚMERO </w:t>
      </w:r>
      <w:r w:rsidR="00C00540">
        <w:rPr>
          <w:rFonts w:ascii="Tahoma" w:eastAsia="Times New Roman" w:hAnsi="Tahoma" w:cs="Tahoma"/>
          <w:lang w:eastAsia="es-ES"/>
        </w:rPr>
        <w:t xml:space="preserve">065 </w:t>
      </w:r>
      <w:r w:rsidRPr="00A7207E">
        <w:rPr>
          <w:rFonts w:ascii="Tahoma" w:eastAsia="Times New Roman" w:hAnsi="Tahoma" w:cs="Tahoma"/>
          <w:lang w:eastAsia="es-ES"/>
        </w:rPr>
        <w:t>DEL 1</w:t>
      </w:r>
      <w:r w:rsidR="00C00540">
        <w:rPr>
          <w:rFonts w:ascii="Tahoma" w:eastAsia="Times New Roman" w:hAnsi="Tahoma" w:cs="Tahoma"/>
          <w:lang w:eastAsia="es-ES"/>
        </w:rPr>
        <w:t>8</w:t>
      </w:r>
      <w:r w:rsidRPr="00A7207E">
        <w:rPr>
          <w:rFonts w:ascii="Tahoma" w:eastAsia="Times New Roman" w:hAnsi="Tahoma" w:cs="Tahoma"/>
          <w:lang w:eastAsia="es-ES"/>
        </w:rPr>
        <w:t xml:space="preserve"> DE MARZO DE 2020 PROFERIDO POR EL ALCALDE DEL </w:t>
      </w:r>
      <w:r>
        <w:rPr>
          <w:rFonts w:ascii="Tahoma" w:eastAsia="Times New Roman" w:hAnsi="Tahoma" w:cs="Tahoma"/>
          <w:lang w:eastAsia="es-ES"/>
        </w:rPr>
        <w:t>MUNICIPIO</w:t>
      </w:r>
      <w:r w:rsidRPr="00A7207E">
        <w:rPr>
          <w:rFonts w:ascii="Tahoma" w:eastAsia="Times New Roman" w:hAnsi="Tahoma" w:cs="Tahoma"/>
          <w:lang w:eastAsia="es-ES"/>
        </w:rPr>
        <w:t xml:space="preserve"> DE </w:t>
      </w:r>
      <w:r w:rsidR="00C00540">
        <w:rPr>
          <w:rFonts w:ascii="Tahoma" w:eastAsia="Times New Roman" w:hAnsi="Tahoma" w:cs="Tahoma"/>
          <w:lang w:eastAsia="es-ES"/>
        </w:rPr>
        <w:t>CAICEDONIA</w:t>
      </w:r>
    </w:p>
    <w:p w14:paraId="09C2FE64" w14:textId="77777777" w:rsidR="00ED21B8" w:rsidRPr="00A7207E" w:rsidRDefault="00ED21B8" w:rsidP="00ED21B8">
      <w:pPr>
        <w:spacing w:after="0" w:line="360" w:lineRule="auto"/>
        <w:jc w:val="both"/>
        <w:rPr>
          <w:rFonts w:ascii="Tahoma" w:eastAsia="Times New Roman" w:hAnsi="Tahoma" w:cs="Tahoma"/>
          <w:lang w:eastAsia="es-ES"/>
        </w:rPr>
      </w:pPr>
    </w:p>
    <w:p w14:paraId="18A5FA3A" w14:textId="77777777" w:rsidR="00ED21B8" w:rsidRPr="00A7207E" w:rsidRDefault="00ED21B8" w:rsidP="00ED21B8">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 xml:space="preserve">Santiago de Cali, </w:t>
      </w:r>
      <w:r>
        <w:rPr>
          <w:rFonts w:ascii="Tahoma" w:eastAsia="Times New Roman" w:hAnsi="Tahoma" w:cs="Tahoma"/>
          <w:lang w:eastAsia="es-ES"/>
        </w:rPr>
        <w:t>Tre</w:t>
      </w:r>
      <w:r w:rsidR="00C00540">
        <w:rPr>
          <w:rFonts w:ascii="Tahoma" w:eastAsia="Times New Roman" w:hAnsi="Tahoma" w:cs="Tahoma"/>
          <w:lang w:eastAsia="es-ES"/>
        </w:rPr>
        <w:t>s (03) de Abril</w:t>
      </w:r>
      <w:r w:rsidRPr="00A7207E">
        <w:rPr>
          <w:rFonts w:ascii="Tahoma" w:eastAsia="Times New Roman" w:hAnsi="Tahoma" w:cs="Tahoma"/>
          <w:lang w:eastAsia="es-ES"/>
        </w:rPr>
        <w:t xml:space="preserve"> de Dos Mil Veinte (2020)</w:t>
      </w:r>
    </w:p>
    <w:p w14:paraId="327D49E1" w14:textId="77777777" w:rsidR="00ED21B8" w:rsidRPr="00A7207E" w:rsidRDefault="00ED21B8" w:rsidP="00ED21B8">
      <w:pPr>
        <w:spacing w:after="0" w:line="360" w:lineRule="auto"/>
        <w:jc w:val="both"/>
        <w:rPr>
          <w:rFonts w:ascii="Tahoma" w:eastAsia="Times New Roman" w:hAnsi="Tahoma" w:cs="Tahoma"/>
          <w:lang w:eastAsia="es-ES"/>
        </w:rPr>
      </w:pPr>
    </w:p>
    <w:p w14:paraId="0B88092B" w14:textId="77777777" w:rsidR="00ED21B8" w:rsidRPr="00A7207E" w:rsidRDefault="00ED21B8" w:rsidP="00ED21B8">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MAGISTRADA PONENTE: Doctora LUZ ELENA SIERRA VALENCIA</w:t>
      </w:r>
    </w:p>
    <w:p w14:paraId="7CD47495" w14:textId="77777777" w:rsidR="00ED21B8" w:rsidRPr="00A7207E"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7D8980A5" w14:textId="77777777" w:rsidR="00ED21B8" w:rsidRPr="00A7207E" w:rsidRDefault="00ED21B8" w:rsidP="00ED21B8">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r w:rsidRPr="00A7207E">
        <w:rPr>
          <w:rFonts w:ascii="Tahoma" w:eastAsia="Times New Roman" w:hAnsi="Tahoma" w:cs="Tahoma"/>
          <w:lang w:val="es-ES_tradnl" w:eastAsia="es-ES"/>
        </w:rPr>
        <w:t xml:space="preserve">EL alcalde del </w:t>
      </w:r>
      <w:r>
        <w:rPr>
          <w:rFonts w:ascii="Tahoma" w:eastAsia="Times New Roman" w:hAnsi="Tahoma" w:cs="Tahoma"/>
          <w:lang w:val="es-ES_tradnl" w:eastAsia="es-ES"/>
        </w:rPr>
        <w:t xml:space="preserve">Municipio de </w:t>
      </w:r>
      <w:r w:rsidR="00C00540">
        <w:rPr>
          <w:rFonts w:ascii="Tahoma" w:eastAsia="Times New Roman" w:hAnsi="Tahoma" w:cs="Tahoma"/>
          <w:lang w:val="es-ES_tradnl" w:eastAsia="es-ES"/>
        </w:rPr>
        <w:t>Caicedonia</w:t>
      </w:r>
      <w:r>
        <w:rPr>
          <w:rFonts w:ascii="Tahoma" w:eastAsia="Times New Roman" w:hAnsi="Tahoma" w:cs="Tahoma"/>
          <w:lang w:val="es-ES_tradnl" w:eastAsia="es-ES"/>
        </w:rPr>
        <w:t xml:space="preserve"> </w:t>
      </w:r>
      <w:r w:rsidRPr="00A7207E">
        <w:rPr>
          <w:rFonts w:ascii="Tahoma" w:eastAsia="Times New Roman" w:hAnsi="Tahoma" w:cs="Tahoma"/>
          <w:lang w:val="es-ES_tradnl" w:eastAsia="es-ES"/>
        </w:rPr>
        <w:t xml:space="preserve">remitió vía electrónica, al Tribunal, copia del Decreto No. </w:t>
      </w:r>
      <w:r w:rsidR="00C00540">
        <w:rPr>
          <w:rFonts w:ascii="Tahoma" w:eastAsia="Times New Roman" w:hAnsi="Tahoma" w:cs="Tahoma"/>
          <w:lang w:val="es-ES_tradnl" w:eastAsia="es-ES"/>
        </w:rPr>
        <w:t>65</w:t>
      </w:r>
      <w:r>
        <w:rPr>
          <w:rFonts w:ascii="Tahoma" w:eastAsia="Times New Roman" w:hAnsi="Tahoma" w:cs="Tahoma"/>
          <w:lang w:val="es-ES_tradnl" w:eastAsia="es-ES"/>
        </w:rPr>
        <w:t xml:space="preserve"> </w:t>
      </w:r>
      <w:r w:rsidRPr="00A7207E">
        <w:rPr>
          <w:rFonts w:ascii="Tahoma" w:eastAsia="Times New Roman" w:hAnsi="Tahoma" w:cs="Tahoma"/>
          <w:lang w:val="es-ES_tradnl" w:eastAsia="es-ES"/>
        </w:rPr>
        <w:t>del 1</w:t>
      </w:r>
      <w:r w:rsidR="00C00540">
        <w:rPr>
          <w:rFonts w:ascii="Tahoma" w:eastAsia="Times New Roman" w:hAnsi="Tahoma" w:cs="Tahoma"/>
          <w:lang w:val="es-ES_tradnl" w:eastAsia="es-ES"/>
        </w:rPr>
        <w:t>8</w:t>
      </w:r>
      <w:r w:rsidRPr="00A7207E">
        <w:rPr>
          <w:rFonts w:ascii="Tahoma" w:eastAsia="Times New Roman" w:hAnsi="Tahoma" w:cs="Tahoma"/>
          <w:lang w:val="es-ES_tradnl" w:eastAsia="es-ES"/>
        </w:rPr>
        <w:t xml:space="preserve"> de marzo de 2020</w:t>
      </w:r>
      <w:r w:rsidRPr="00A7207E">
        <w:rPr>
          <w:rFonts w:ascii="Tahoma" w:eastAsia="Times New Roman" w:hAnsi="Tahoma" w:cs="Tahoma"/>
          <w:i/>
          <w:iCs/>
          <w:lang w:val="es-ES_tradnl" w:eastAsia="es-ES"/>
        </w:rPr>
        <w:t xml:space="preserve"> “P</w:t>
      </w:r>
      <w:bookmarkStart w:id="1" w:name="_Hlk36282763"/>
      <w:r w:rsidR="00C00540">
        <w:rPr>
          <w:rFonts w:ascii="Tahoma" w:eastAsia="Times New Roman" w:hAnsi="Tahoma" w:cs="Tahoma"/>
          <w:i/>
          <w:iCs/>
          <w:lang w:val="es-ES_tradnl" w:eastAsia="es-ES"/>
        </w:rPr>
        <w:t xml:space="preserve">or el cual se adoptan medidas para garantizar el orden público en el municipio de Caicedonia Valle del Cauca”, </w:t>
      </w:r>
      <w:r w:rsidRPr="00A7207E">
        <w:rPr>
          <w:rFonts w:ascii="Tahoma" w:eastAsia="Times New Roman" w:hAnsi="Tahoma" w:cs="Tahoma"/>
          <w:lang w:val="es-ES_tradnl" w:eastAsia="es-ES"/>
        </w:rPr>
        <w:t>para ejercer el control inmediato de legalidad de acuerdo con lo previsto en el artículo 136 d</w:t>
      </w:r>
      <w:r w:rsidR="00C00540">
        <w:rPr>
          <w:rFonts w:ascii="Tahoma" w:eastAsia="Times New Roman" w:hAnsi="Tahoma" w:cs="Tahoma"/>
          <w:lang w:val="es-ES_tradnl" w:eastAsia="es-ES"/>
        </w:rPr>
        <w:t>e</w:t>
      </w:r>
      <w:r w:rsidRPr="00A7207E">
        <w:rPr>
          <w:rFonts w:ascii="Tahoma" w:eastAsia="Times New Roman" w:hAnsi="Tahoma" w:cs="Tahoma"/>
          <w:lang w:val="es-ES_tradnl" w:eastAsia="es-ES"/>
        </w:rPr>
        <w:t xml:space="preserve">l CPACA. </w:t>
      </w:r>
      <w:bookmarkEnd w:id="1"/>
    </w:p>
    <w:p w14:paraId="1F193859" w14:textId="77777777" w:rsidR="00ED21B8" w:rsidRPr="00A7207E"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2593724B" w14:textId="77777777" w:rsidR="00ED21B8" w:rsidRPr="00A7207E" w:rsidRDefault="00ED21B8" w:rsidP="00ED21B8">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14:paraId="2494776C" w14:textId="77777777" w:rsidR="00ED21B8" w:rsidRPr="00A7207E"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6EB62B58" w14:textId="77777777" w:rsidR="00ED21B8" w:rsidRPr="00350A90" w:rsidRDefault="00ED21B8" w:rsidP="00ED21B8">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Excepción de suspensión de términos con ocasión del control inmediato de legalidad.</w:t>
      </w:r>
    </w:p>
    <w:p w14:paraId="5DA9C940"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559A86DF"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sidRPr="00350A90">
        <w:rPr>
          <w:rFonts w:ascii="Tahoma" w:eastAsia="Times New Roman" w:hAnsi="Tahoma" w:cs="Tahoma"/>
          <w:bCs/>
          <w:color w:val="000000"/>
          <w:lang w:val="es-ES_tradnl" w:eastAsia="es-ES"/>
        </w:rPr>
        <w:t>Mediante el Acuerdo No.</w:t>
      </w:r>
      <w:r w:rsidRPr="00350A90">
        <w:rPr>
          <w:rFonts w:ascii="Tahoma" w:eastAsia="Times New Roman" w:hAnsi="Tahoma" w:cs="Tahoma"/>
          <w:b/>
          <w:color w:val="000000"/>
          <w:lang w:val="es-ES_tradnl" w:eastAsia="es-ES"/>
        </w:rPr>
        <w:t xml:space="preserve"> </w:t>
      </w:r>
      <w:r w:rsidRPr="00350A90">
        <w:rPr>
          <w:rFonts w:ascii="Tahoma" w:eastAsia="Times New Roman" w:hAnsi="Tahoma" w:cs="Tahoma"/>
          <w:lang w:eastAsia="es-ES"/>
        </w:rPr>
        <w:t xml:space="preserve">PCSJA20-11529 del 25 de marzo de 2020 </w:t>
      </w:r>
      <w:r w:rsidRPr="00350A90">
        <w:rPr>
          <w:rFonts w:ascii="Tahoma" w:eastAsia="Times New Roman" w:hAnsi="Tahoma" w:cs="Tahoma"/>
          <w:i/>
          <w:iCs/>
          <w:lang w:eastAsia="es-ES"/>
        </w:rPr>
        <w:t>“Por el cual se establece una excepción a la suspensión de términos en el Consejo de Estado y en los tribunales administrativos”,</w:t>
      </w:r>
      <w:r w:rsidRPr="00350A90">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2435050F" w14:textId="77777777" w:rsidR="00ED21B8" w:rsidRPr="00350A90" w:rsidRDefault="00ED21B8" w:rsidP="00ED21B8">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14:paraId="210FE771" w14:textId="77777777" w:rsidR="00ED21B8" w:rsidRDefault="00ED21B8" w:rsidP="00ED21B8">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2" w:name="215"/>
      <w:r w:rsidRPr="00350A90">
        <w:rPr>
          <w:rFonts w:ascii="Tahoma" w:eastAsia="Times New Roman" w:hAnsi="Tahoma" w:cs="Tahoma"/>
          <w:b/>
          <w:bCs/>
          <w:lang w:val="es-CO" w:eastAsia="es-CO"/>
        </w:rPr>
        <w:t xml:space="preserve">Decretos Legislativos proferidos por el </w:t>
      </w:r>
      <w:proofErr w:type="gramStart"/>
      <w:r w:rsidRPr="00350A90">
        <w:rPr>
          <w:rFonts w:ascii="Tahoma" w:eastAsia="Times New Roman" w:hAnsi="Tahoma" w:cs="Tahoma"/>
          <w:b/>
          <w:bCs/>
          <w:lang w:val="es-CO" w:eastAsia="es-CO"/>
        </w:rPr>
        <w:t>Presidente</w:t>
      </w:r>
      <w:proofErr w:type="gramEnd"/>
      <w:r w:rsidRPr="00350A90">
        <w:rPr>
          <w:rFonts w:ascii="Tahoma" w:eastAsia="Times New Roman" w:hAnsi="Tahoma" w:cs="Tahoma"/>
          <w:b/>
          <w:bCs/>
          <w:lang w:val="es-CO" w:eastAsia="es-CO"/>
        </w:rPr>
        <w:t xml:space="preserve"> de la Republica en virtud de la declaratoria del Estado de Emergencia. </w:t>
      </w:r>
    </w:p>
    <w:p w14:paraId="7A2EAF77" w14:textId="77777777" w:rsidR="004227F8" w:rsidRPr="00350A90" w:rsidRDefault="004227F8" w:rsidP="004227F8">
      <w:pPr>
        <w:spacing w:before="100" w:beforeAutospacing="1" w:after="100" w:afterAutospacing="1" w:line="360" w:lineRule="auto"/>
        <w:ind w:left="720"/>
        <w:contextualSpacing/>
        <w:jc w:val="both"/>
        <w:rPr>
          <w:rFonts w:ascii="Tahoma" w:eastAsia="Times New Roman" w:hAnsi="Tahoma" w:cs="Tahoma"/>
          <w:b/>
          <w:bCs/>
          <w:lang w:val="es-CO" w:eastAsia="es-CO"/>
        </w:rPr>
      </w:pPr>
    </w:p>
    <w:p w14:paraId="6C0E6B21"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215 de la Constitución Política </w:t>
      </w:r>
      <w:bookmarkEnd w:id="2"/>
      <w:r w:rsidRPr="00350A90">
        <w:rPr>
          <w:rFonts w:ascii="Tahoma" w:eastAsia="Times New Roman" w:hAnsi="Tahoma" w:cs="Tahoma"/>
          <w:lang w:val="es-CO" w:eastAsia="es-CO"/>
        </w:rPr>
        <w:t>dispone que, cuando sobrevengan hechos distintos de los previstos en los artículos </w:t>
      </w:r>
      <w:hyperlink r:id="rId7" w:anchor="212" w:history="1">
        <w:r w:rsidRPr="00350A90">
          <w:rPr>
            <w:rFonts w:ascii="Tahoma" w:eastAsia="Times New Roman" w:hAnsi="Tahoma" w:cs="Tahoma"/>
            <w:lang w:val="es-CO" w:eastAsia="es-CO"/>
          </w:rPr>
          <w:t>212</w:t>
        </w:r>
      </w:hyperlink>
      <w:r w:rsidRPr="00350A90">
        <w:rPr>
          <w:rFonts w:ascii="Tahoma" w:eastAsia="Times New Roman" w:hAnsi="Tahoma" w:cs="Tahoma"/>
          <w:lang w:val="es-CO" w:eastAsia="es-CO"/>
        </w:rPr>
        <w:t> y </w:t>
      </w:r>
      <w:hyperlink r:id="rId8" w:anchor="213" w:history="1">
        <w:r w:rsidRPr="00350A90">
          <w:rPr>
            <w:rFonts w:ascii="Tahoma" w:eastAsia="Times New Roman" w:hAnsi="Tahoma" w:cs="Tahoma"/>
            <w:lang w:val="es-CO" w:eastAsia="es-CO"/>
          </w:rPr>
          <w:t>213</w:t>
        </w:r>
      </w:hyperlink>
      <w:r w:rsidRPr="00350A90">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0030B76B"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proofErr w:type="gramStart"/>
      <w:r w:rsidRPr="00350A90">
        <w:rPr>
          <w:rFonts w:ascii="Tahoma" w:eastAsia="Times New Roman" w:hAnsi="Tahoma" w:cs="Tahoma"/>
          <w:lang w:val="es-CO" w:eastAsia="es-CO"/>
        </w:rPr>
        <w:t>Que</w:t>
      </w:r>
      <w:proofErr w:type="gramEnd"/>
      <w:r w:rsidRPr="00350A90">
        <w:rPr>
          <w:rFonts w:ascii="Tahoma" w:eastAsia="Times New Roman" w:hAnsi="Tahoma" w:cs="Tahoma"/>
          <w:lang w:val="es-CO" w:eastAsia="es-CO"/>
        </w:rPr>
        <w:t xml:space="preserve"> mediante tal declaración, que deberá ser motivada, podrá el Presidente, con la firma de todos los ministros, dictar decretos con fuerza de ley, destinados exclusivamente a conjurar la crisis y a impedir la extensión de sus efectos.</w:t>
      </w:r>
    </w:p>
    <w:p w14:paraId="67F94309"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14:paraId="608D8ED4" w14:textId="77777777" w:rsidR="00ED21B8" w:rsidRPr="00350A90" w:rsidRDefault="00ED21B8" w:rsidP="00ED21B8">
      <w:pPr>
        <w:spacing w:line="360" w:lineRule="auto"/>
        <w:contextualSpacing/>
        <w:jc w:val="both"/>
        <w:rPr>
          <w:rFonts w:ascii="Tahoma" w:hAnsi="Tahoma" w:cs="Tahoma"/>
          <w:shd w:val="clear" w:color="auto" w:fill="FFFFFF"/>
        </w:rPr>
      </w:pPr>
      <w:r w:rsidRPr="00350A90">
        <w:rPr>
          <w:rFonts w:ascii="Tahoma" w:eastAsia="Times New Roman" w:hAnsi="Tahoma" w:cs="Tahoma"/>
          <w:lang w:val="es-CO" w:eastAsia="es-CO"/>
        </w:rPr>
        <w:t xml:space="preserve">En virtud de la anterior disposición constitucional, el </w:t>
      </w:r>
      <w:proofErr w:type="gramStart"/>
      <w:r w:rsidRPr="00350A90">
        <w:rPr>
          <w:rFonts w:ascii="Tahoma" w:eastAsia="Times New Roman" w:hAnsi="Tahoma" w:cs="Tahoma"/>
          <w:lang w:val="es-CO" w:eastAsia="es-CO"/>
        </w:rPr>
        <w:t>Presidente</w:t>
      </w:r>
      <w:proofErr w:type="gramEnd"/>
      <w:r w:rsidRPr="00350A90">
        <w:rPr>
          <w:rFonts w:ascii="Tahoma" w:eastAsia="Times New Roman" w:hAnsi="Tahoma" w:cs="Tahoma"/>
          <w:lang w:val="es-CO" w:eastAsia="es-CO"/>
        </w:rPr>
        <w:t xml:space="preserve"> de la República expidió el </w:t>
      </w:r>
      <w:r w:rsidRPr="00350A90">
        <w:rPr>
          <w:rFonts w:ascii="Tahoma" w:hAnsi="Tahoma" w:cs="Tahoma"/>
        </w:rPr>
        <w:t xml:space="preserve">Decreto 417 del 17 de marzo de 2020, </w:t>
      </w:r>
      <w:r w:rsidRPr="00350A90">
        <w:rPr>
          <w:rFonts w:ascii="Tahoma" w:hAnsi="Tahoma" w:cs="Tahoma"/>
          <w:i/>
          <w:iCs/>
        </w:rPr>
        <w:t>“</w:t>
      </w:r>
      <w:r w:rsidRPr="00350A90">
        <w:rPr>
          <w:rFonts w:ascii="Tahoma" w:hAnsi="Tahoma" w:cs="Tahoma"/>
          <w:i/>
          <w:iCs/>
          <w:shd w:val="clear" w:color="auto" w:fill="FFFFFF"/>
        </w:rPr>
        <w:t>Por el cual se declara un Estado de Emergencia Económica, Social y Ecológica en todo el territorio Nacional”.</w:t>
      </w:r>
    </w:p>
    <w:p w14:paraId="31AD4C15"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14:paraId="604C9F23"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350A90">
        <w:rPr>
          <w:rFonts w:ascii="Tahoma" w:eastAsia="Times New Roman" w:hAnsi="Tahoma" w:cs="Tahoma"/>
          <w:lang w:val="es-CO" w:eastAsia="es-CO"/>
        </w:rPr>
        <w:t xml:space="preserve">Mediante dicha declaratoria de emergencia, el presidente de la Republica, con la firma de todos los </w:t>
      </w:r>
      <w:proofErr w:type="gramStart"/>
      <w:r w:rsidRPr="00350A90">
        <w:rPr>
          <w:rFonts w:ascii="Tahoma" w:eastAsia="Times New Roman" w:hAnsi="Tahoma" w:cs="Tahoma"/>
          <w:lang w:val="es-CO" w:eastAsia="es-CO"/>
        </w:rPr>
        <w:t>Ministros</w:t>
      </w:r>
      <w:proofErr w:type="gramEnd"/>
      <w:r w:rsidRPr="00350A90">
        <w:rPr>
          <w:rFonts w:ascii="Tahoma" w:eastAsia="Times New Roman" w:hAnsi="Tahoma" w:cs="Tahoma"/>
          <w:lang w:val="es-CO" w:eastAsia="es-CO"/>
        </w:rPr>
        <w:t>, ha expedido varios Decretos que adoptan medidas de orden Legislativo, en desarrollo del artículo 215 de la Constitución Política.</w:t>
      </w:r>
    </w:p>
    <w:p w14:paraId="7681F5ED"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72C47ABB" w14:textId="77777777" w:rsidR="00ED21B8" w:rsidRPr="00350A90" w:rsidRDefault="00ED21B8" w:rsidP="00ED21B8">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 xml:space="preserve">Actos Administrativos susceptibles del control inmediato de legalidad de acuerdo con lo previsto en los artículos 20 de la Ley 137 de 1994 </w:t>
      </w:r>
      <w:proofErr w:type="gramStart"/>
      <w:r w:rsidRPr="00350A90">
        <w:rPr>
          <w:rFonts w:ascii="Tahoma" w:eastAsia="Times New Roman" w:hAnsi="Tahoma" w:cs="Tahoma"/>
          <w:b/>
          <w:color w:val="000000"/>
          <w:lang w:val="es-ES_tradnl" w:eastAsia="es-ES"/>
        </w:rPr>
        <w:t>y  136</w:t>
      </w:r>
      <w:proofErr w:type="gramEnd"/>
      <w:r w:rsidRPr="00350A90">
        <w:rPr>
          <w:rFonts w:ascii="Tahoma" w:eastAsia="Times New Roman" w:hAnsi="Tahoma" w:cs="Tahoma"/>
          <w:b/>
          <w:color w:val="000000"/>
          <w:lang w:val="es-ES_tradnl" w:eastAsia="es-ES"/>
        </w:rPr>
        <w:t xml:space="preserve"> del CPACA </w:t>
      </w:r>
    </w:p>
    <w:p w14:paraId="76A55F07" w14:textId="77777777" w:rsidR="00ED21B8" w:rsidRPr="00350A90" w:rsidRDefault="00ED21B8" w:rsidP="00ED21B8">
      <w:pPr>
        <w:spacing w:after="0" w:line="360" w:lineRule="auto"/>
        <w:jc w:val="both"/>
        <w:rPr>
          <w:rFonts w:ascii="Tahoma" w:eastAsia="Times New Roman" w:hAnsi="Tahoma" w:cs="Tahoma"/>
          <w:lang w:val="es-ES_tradnl" w:eastAsia="es-CO"/>
        </w:rPr>
      </w:pPr>
      <w:bookmarkStart w:id="3" w:name="136"/>
    </w:p>
    <w:p w14:paraId="413B7C90" w14:textId="77777777" w:rsidR="00ED21B8" w:rsidRPr="00350A90" w:rsidRDefault="00ED21B8" w:rsidP="00ED21B8">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w:t>
      </w:r>
      <w:r w:rsidRPr="00350A90">
        <w:rPr>
          <w:rFonts w:ascii="Tahoma" w:eastAsia="Times New Roman" w:hAnsi="Tahoma" w:cs="Tahoma"/>
          <w:i/>
          <w:iCs/>
          <w:lang w:val="es-CO" w:eastAsia="es-CO"/>
        </w:rPr>
        <w:lastRenderedPageBreak/>
        <w:t xml:space="preserve">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14:paraId="2226853E" w14:textId="77777777" w:rsidR="00ED21B8" w:rsidRPr="00350A90" w:rsidRDefault="00ED21B8" w:rsidP="00ED21B8">
      <w:pPr>
        <w:spacing w:after="0" w:line="360" w:lineRule="auto"/>
        <w:jc w:val="both"/>
        <w:rPr>
          <w:rFonts w:ascii="Tahoma" w:eastAsia="Times New Roman" w:hAnsi="Tahoma" w:cs="Tahoma"/>
          <w:i/>
          <w:iCs/>
          <w:lang w:val="es-CO" w:eastAsia="es-CO"/>
        </w:rPr>
      </w:pPr>
    </w:p>
    <w:p w14:paraId="3AD268B3" w14:textId="77777777" w:rsidR="00ED21B8" w:rsidRPr="00350A90" w:rsidRDefault="00ED21B8" w:rsidP="00ED21B8">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14:paraId="35077850" w14:textId="77777777" w:rsidR="00ED21B8" w:rsidRPr="00350A90" w:rsidRDefault="00ED21B8" w:rsidP="00ED21B8">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4" w:name="_Hlk36282933"/>
      <w:bookmarkEnd w:id="3"/>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4"/>
      <w:r w:rsidRPr="00350A90">
        <w:rPr>
          <w:rFonts w:ascii="Tahoma" w:eastAsia="Times New Roman" w:hAnsi="Tahoma" w:cs="Tahoma"/>
          <w:lang w:val="es-CO" w:eastAsia="es-CO"/>
        </w:rPr>
        <w:t xml:space="preserve"> tendrán </w:t>
      </w:r>
      <w:bookmarkStart w:id="5"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5"/>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14:paraId="7A9F745E" w14:textId="77777777" w:rsidR="00ED21B8" w:rsidRPr="00350A90" w:rsidRDefault="00ED21B8" w:rsidP="00ED21B8">
      <w:pPr>
        <w:spacing w:before="100" w:beforeAutospacing="1" w:after="100" w:afterAutospacing="1" w:line="360" w:lineRule="auto"/>
        <w:ind w:left="720"/>
        <w:contextualSpacing/>
        <w:jc w:val="both"/>
        <w:rPr>
          <w:rFonts w:ascii="Tahoma" w:eastAsia="Times New Roman" w:hAnsi="Tahoma" w:cs="Tahoma"/>
          <w:lang w:val="es-CO" w:eastAsia="es-CO"/>
        </w:rPr>
      </w:pPr>
    </w:p>
    <w:p w14:paraId="52403C26" w14:textId="77777777" w:rsidR="00ED21B8" w:rsidRPr="00350A90" w:rsidRDefault="00ED21B8" w:rsidP="00ED21B8">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14:paraId="05505D58" w14:textId="77777777" w:rsidR="00ED21B8" w:rsidRPr="00350A90" w:rsidRDefault="00ED21B8" w:rsidP="00ED21B8">
      <w:pPr>
        <w:spacing w:after="0" w:line="360" w:lineRule="auto"/>
        <w:ind w:left="720"/>
        <w:contextualSpacing/>
        <w:jc w:val="both"/>
        <w:rPr>
          <w:rFonts w:ascii="Tahoma" w:eastAsia="Times New Roman" w:hAnsi="Tahoma" w:cs="Tahoma"/>
          <w:lang w:val="es-CO" w:eastAsia="es-CO"/>
        </w:rPr>
      </w:pPr>
    </w:p>
    <w:p w14:paraId="77199CC8" w14:textId="77777777" w:rsidR="00ED21B8" w:rsidRPr="00350A90" w:rsidRDefault="00ED21B8" w:rsidP="00ED21B8">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14:paraId="2CA09E1E" w14:textId="77777777" w:rsidR="004227F8" w:rsidRDefault="004227F8" w:rsidP="00ED21B8">
      <w:pPr>
        <w:spacing w:before="100" w:beforeAutospacing="1" w:after="100" w:afterAutospacing="1" w:line="360" w:lineRule="auto"/>
        <w:jc w:val="both"/>
        <w:rPr>
          <w:rFonts w:ascii="Tahoma" w:eastAsia="Times New Roman" w:hAnsi="Tahoma" w:cs="Tahoma"/>
          <w:lang w:val="es-CO" w:eastAsia="es-CO"/>
        </w:rPr>
      </w:pPr>
    </w:p>
    <w:p w14:paraId="28DEA94F"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 por autoridades territoriales departamentales y municipales, cuya competencia corresponderá al tribunal del lugar donde se expidan. (art. 151 numeral 14)</w:t>
      </w:r>
    </w:p>
    <w:p w14:paraId="01120F53"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t>La Sala de lo Contencioso administrativo en pleno ejercerá el control inmediato de legalidad de los actos de carácter general dictados por autoridades nacionales con fundamento y durante los estados de excepción. (art. 111, numeral 8)</w:t>
      </w:r>
    </w:p>
    <w:p w14:paraId="2CE28B8A"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bookmarkStart w:id="6" w:name="185"/>
      <w:r w:rsidRPr="00350A90">
        <w:rPr>
          <w:rFonts w:ascii="Tahoma" w:eastAsia="Times New Roman" w:hAnsi="Tahoma" w:cs="Tahoma"/>
          <w:lang w:val="es-CO" w:eastAsia="es-CO"/>
        </w:rPr>
        <w:lastRenderedPageBreak/>
        <w:t>En cuanto al trámite del control inmediato de legalidad de actos, el artículo 185 del CPACA dispone las siguientes etapas:</w:t>
      </w:r>
    </w:p>
    <w:bookmarkEnd w:id="6"/>
    <w:p w14:paraId="0A10034E"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Recibida la copia auténtica del texto de los actos administrativos a los que se refiere el control inmediato de legalidad de que trata el artículo </w:t>
      </w:r>
      <w:hyperlink r:id="rId9" w:anchor="136" w:history="1">
        <w:r w:rsidRPr="00350A90">
          <w:rPr>
            <w:rFonts w:ascii="Tahoma" w:eastAsia="Times New Roman" w:hAnsi="Tahoma" w:cs="Tahoma"/>
            <w:lang w:val="es-CO" w:eastAsia="es-CO"/>
          </w:rPr>
          <w:t>136</w:t>
        </w:r>
      </w:hyperlink>
      <w:r w:rsidRPr="00350A90">
        <w:rPr>
          <w:rFonts w:ascii="Tahoma" w:eastAsia="Times New Roman" w:hAnsi="Tahoma" w:cs="Tahoma"/>
          <w:lang w:val="es-CO" w:eastAsia="es-CO"/>
        </w:rPr>
        <w:t> de ese Código o aprendido de oficio el conocimiento de su legalidad en caso de inobservancia del deber de envío de los mismos, se procederá así:</w:t>
      </w:r>
    </w:p>
    <w:p w14:paraId="235B81F8"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1. La sustanciación y ponencia corresponderá a uno de los Magistrados de la Corporación y el fallo a la Sala Plena.</w:t>
      </w:r>
    </w:p>
    <w:p w14:paraId="0895D2E3"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76C80ABE"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73510D06"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076D9A4A"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5. Expirado el término de la publicación del aviso o vencido el término probatorio cuando este fuere procedente, pasará el asunto al Ministerio Público para que dentro de los diez (10) días siguientes rinda concepto.</w:t>
      </w:r>
    </w:p>
    <w:p w14:paraId="12C4CD25"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p>
    <w:p w14:paraId="22FECA20" w14:textId="77777777" w:rsidR="00ED21B8" w:rsidRPr="00350A90" w:rsidRDefault="00ED21B8" w:rsidP="00ED21B8">
      <w:pPr>
        <w:spacing w:after="0" w:line="360" w:lineRule="auto"/>
        <w:jc w:val="both"/>
        <w:rPr>
          <w:rFonts w:ascii="Tahoma" w:eastAsia="Times New Roman" w:hAnsi="Tahoma" w:cs="Tahoma"/>
          <w:lang w:val="es-CO" w:eastAsia="es-CO"/>
        </w:rPr>
      </w:pPr>
      <w:hyperlink r:id="rId10" w:anchor="top" w:tooltip="Ir al inicio" w:history="1"/>
      <w:r w:rsidRPr="00350A90">
        <w:rPr>
          <w:rFonts w:ascii="Tahoma" w:eastAsia="Times New Roman" w:hAnsi="Tahoma" w:cs="Tahoma"/>
          <w:lang w:val="es-CO" w:eastAsia="es-CO"/>
        </w:rPr>
        <w:t>El artículo 186 ibidem a su vez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14:paraId="239D049E" w14:textId="77777777" w:rsidR="00ED21B8" w:rsidRPr="00350A90" w:rsidRDefault="00ED21B8" w:rsidP="00ED21B8">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14:paraId="59C6F6D1" w14:textId="77777777" w:rsidR="00ED21B8" w:rsidRPr="00350A90" w:rsidRDefault="00ED21B8" w:rsidP="00ED21B8">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350A90">
        <w:rPr>
          <w:rFonts w:ascii="Tahoma" w:eastAsia="Times New Roman" w:hAnsi="Tahoma" w:cs="Tahoma"/>
          <w:b/>
          <w:bCs/>
          <w:lang w:eastAsia="es-ES"/>
        </w:rPr>
        <w:t>Sobre el Acto administrativo remitido por la Autoridad Local para el control inmediato de Legalidad</w:t>
      </w:r>
      <w:r w:rsidR="004227F8">
        <w:rPr>
          <w:rFonts w:ascii="Tahoma" w:eastAsia="Times New Roman" w:hAnsi="Tahoma" w:cs="Tahoma"/>
          <w:b/>
          <w:bCs/>
          <w:lang w:eastAsia="es-ES"/>
        </w:rPr>
        <w:t xml:space="preserve"> </w:t>
      </w:r>
    </w:p>
    <w:p w14:paraId="40F78C76" w14:textId="77777777" w:rsidR="00ED21B8" w:rsidRPr="00350A90" w:rsidRDefault="00ED21B8" w:rsidP="00ED21B8">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14:paraId="73D47137" w14:textId="77777777" w:rsidR="00ED21B8"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Mediante el Decreto No. </w:t>
      </w:r>
      <w:r w:rsidR="004227F8">
        <w:rPr>
          <w:rFonts w:ascii="Tahoma" w:eastAsia="Times New Roman" w:hAnsi="Tahoma" w:cs="Tahoma"/>
          <w:lang w:eastAsia="es-ES"/>
        </w:rPr>
        <w:t xml:space="preserve">065 </w:t>
      </w:r>
      <w:r w:rsidRPr="00350A90">
        <w:rPr>
          <w:rFonts w:ascii="Tahoma" w:eastAsia="Times New Roman" w:hAnsi="Tahoma" w:cs="Tahoma"/>
          <w:lang w:eastAsia="es-ES"/>
        </w:rPr>
        <w:t>del 1</w:t>
      </w:r>
      <w:r w:rsidR="004227F8">
        <w:rPr>
          <w:rFonts w:ascii="Tahoma" w:eastAsia="Times New Roman" w:hAnsi="Tahoma" w:cs="Tahoma"/>
          <w:lang w:eastAsia="es-ES"/>
        </w:rPr>
        <w:t xml:space="preserve">8 </w:t>
      </w:r>
      <w:r w:rsidRPr="00350A90">
        <w:rPr>
          <w:rFonts w:ascii="Tahoma" w:eastAsia="Times New Roman" w:hAnsi="Tahoma" w:cs="Tahoma"/>
          <w:lang w:eastAsia="es-ES"/>
        </w:rPr>
        <w:t>de marzo de 2020,</w:t>
      </w:r>
      <w:r w:rsidRPr="00350A90">
        <w:rPr>
          <w:rFonts w:ascii="Tahoma" w:eastAsia="Times New Roman" w:hAnsi="Tahoma" w:cs="Tahoma"/>
          <w:i/>
          <w:iCs/>
          <w:lang w:eastAsia="es-ES"/>
        </w:rPr>
        <w:t xml:space="preserve"> </w:t>
      </w:r>
      <w:r w:rsidRPr="00350A90">
        <w:rPr>
          <w:rFonts w:ascii="Tahoma" w:eastAsia="Times New Roman" w:hAnsi="Tahoma" w:cs="Tahoma"/>
          <w:lang w:eastAsia="es-ES"/>
        </w:rPr>
        <w:t xml:space="preserve">el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4227F8">
        <w:rPr>
          <w:rFonts w:ascii="Tahoma" w:eastAsia="Times New Roman" w:hAnsi="Tahoma" w:cs="Tahoma"/>
          <w:lang w:eastAsia="es-ES"/>
        </w:rPr>
        <w:t>Caicedonia</w:t>
      </w:r>
      <w:r w:rsidRPr="00350A90">
        <w:rPr>
          <w:rFonts w:ascii="Tahoma" w:eastAsia="Times New Roman" w:hAnsi="Tahoma" w:cs="Tahoma"/>
          <w:lang w:eastAsia="es-ES"/>
        </w:rPr>
        <w:t xml:space="preserve"> </w:t>
      </w:r>
      <w:r>
        <w:rPr>
          <w:rFonts w:ascii="Tahoma" w:eastAsia="Times New Roman" w:hAnsi="Tahoma" w:cs="Tahoma"/>
          <w:lang w:eastAsia="es-ES"/>
        </w:rPr>
        <w:t xml:space="preserve">prohibió el consumo de bebidas embriagantes en </w:t>
      </w:r>
      <w:r w:rsidR="004227F8">
        <w:rPr>
          <w:rFonts w:ascii="Tahoma" w:eastAsia="Times New Roman" w:hAnsi="Tahoma" w:cs="Tahoma"/>
          <w:lang w:eastAsia="es-ES"/>
        </w:rPr>
        <w:t xml:space="preserve">el </w:t>
      </w:r>
      <w:r w:rsidR="00E431B8">
        <w:rPr>
          <w:rFonts w:ascii="Tahoma" w:eastAsia="Times New Roman" w:hAnsi="Tahoma" w:cs="Tahoma"/>
          <w:lang w:eastAsia="es-ES"/>
        </w:rPr>
        <w:t>Municipio</w:t>
      </w:r>
      <w:r w:rsidR="004227F8">
        <w:rPr>
          <w:rFonts w:ascii="Tahoma" w:eastAsia="Times New Roman" w:hAnsi="Tahoma" w:cs="Tahoma"/>
          <w:lang w:eastAsia="es-ES"/>
        </w:rPr>
        <w:t xml:space="preserve"> y el cierre permanentes de establecimientos tales como </w:t>
      </w:r>
      <w:r w:rsidR="00E431B8">
        <w:rPr>
          <w:rFonts w:ascii="Tahoma" w:eastAsia="Times New Roman" w:hAnsi="Tahoma" w:cs="Tahoma"/>
          <w:lang w:eastAsia="es-ES"/>
        </w:rPr>
        <w:t>discotecas</w:t>
      </w:r>
      <w:r w:rsidR="004227F8">
        <w:rPr>
          <w:rFonts w:ascii="Tahoma" w:eastAsia="Times New Roman" w:hAnsi="Tahoma" w:cs="Tahoma"/>
          <w:lang w:eastAsia="es-ES"/>
        </w:rPr>
        <w:t>, bares, tabernas</w:t>
      </w:r>
      <w:r w:rsidR="00E431B8">
        <w:rPr>
          <w:rFonts w:ascii="Tahoma" w:eastAsia="Times New Roman" w:hAnsi="Tahoma" w:cs="Tahoma"/>
          <w:lang w:eastAsia="es-ES"/>
        </w:rPr>
        <w:t>,</w:t>
      </w:r>
      <w:r w:rsidR="004227F8">
        <w:rPr>
          <w:rFonts w:ascii="Tahoma" w:eastAsia="Times New Roman" w:hAnsi="Tahoma" w:cs="Tahoma"/>
          <w:lang w:eastAsia="es-ES"/>
        </w:rPr>
        <w:t xml:space="preserve"> </w:t>
      </w:r>
      <w:r w:rsidR="00E431B8">
        <w:rPr>
          <w:rFonts w:ascii="Tahoma" w:eastAsia="Times New Roman" w:hAnsi="Tahoma" w:cs="Tahoma"/>
          <w:lang w:eastAsia="es-ES"/>
        </w:rPr>
        <w:t>fuentes</w:t>
      </w:r>
      <w:r w:rsidR="004227F8">
        <w:rPr>
          <w:rFonts w:ascii="Tahoma" w:eastAsia="Times New Roman" w:hAnsi="Tahoma" w:cs="Tahoma"/>
          <w:lang w:eastAsia="es-ES"/>
        </w:rPr>
        <w:t xml:space="preserve"> de soda, billares, clubes sociales, salones de e</w:t>
      </w:r>
      <w:r w:rsidR="00E431B8">
        <w:rPr>
          <w:rFonts w:ascii="Tahoma" w:eastAsia="Times New Roman" w:hAnsi="Tahoma" w:cs="Tahoma"/>
          <w:lang w:eastAsia="es-ES"/>
        </w:rPr>
        <w:t>ve</w:t>
      </w:r>
      <w:r w:rsidR="004227F8">
        <w:rPr>
          <w:rFonts w:ascii="Tahoma" w:eastAsia="Times New Roman" w:hAnsi="Tahoma" w:cs="Tahoma"/>
          <w:lang w:eastAsia="es-ES"/>
        </w:rPr>
        <w:t>ntos</w:t>
      </w:r>
      <w:r w:rsidR="00E431B8">
        <w:rPr>
          <w:rFonts w:ascii="Tahoma" w:eastAsia="Times New Roman" w:hAnsi="Tahoma" w:cs="Tahoma"/>
          <w:lang w:eastAsia="es-ES"/>
        </w:rPr>
        <w:t>,</w:t>
      </w:r>
      <w:r w:rsidR="004227F8">
        <w:rPr>
          <w:rFonts w:ascii="Tahoma" w:eastAsia="Times New Roman" w:hAnsi="Tahoma" w:cs="Tahoma"/>
          <w:lang w:eastAsia="es-ES"/>
        </w:rPr>
        <w:t xml:space="preserve"> </w:t>
      </w:r>
      <w:r w:rsidR="00E431B8">
        <w:rPr>
          <w:rFonts w:ascii="Tahoma" w:eastAsia="Times New Roman" w:hAnsi="Tahoma" w:cs="Tahoma"/>
          <w:lang w:eastAsia="es-ES"/>
        </w:rPr>
        <w:t>gimnasios,</w:t>
      </w:r>
      <w:r w:rsidR="004227F8">
        <w:rPr>
          <w:rFonts w:ascii="Tahoma" w:eastAsia="Times New Roman" w:hAnsi="Tahoma" w:cs="Tahoma"/>
          <w:lang w:eastAsia="es-ES"/>
        </w:rPr>
        <w:t xml:space="preserve"> </w:t>
      </w:r>
      <w:r w:rsidR="00E431B8">
        <w:rPr>
          <w:rFonts w:ascii="Tahoma" w:eastAsia="Times New Roman" w:hAnsi="Tahoma" w:cs="Tahoma"/>
          <w:lang w:eastAsia="es-ES"/>
        </w:rPr>
        <w:t>inmuebles</w:t>
      </w:r>
      <w:r w:rsidR="004227F8">
        <w:rPr>
          <w:rFonts w:ascii="Tahoma" w:eastAsia="Times New Roman" w:hAnsi="Tahoma" w:cs="Tahoma"/>
          <w:lang w:eastAsia="es-ES"/>
        </w:rPr>
        <w:t xml:space="preserve"> destinados a recr</w:t>
      </w:r>
      <w:r w:rsidR="00E431B8">
        <w:rPr>
          <w:rFonts w:ascii="Tahoma" w:eastAsia="Times New Roman" w:hAnsi="Tahoma" w:cs="Tahoma"/>
          <w:lang w:eastAsia="es-ES"/>
        </w:rPr>
        <w:t>eación</w:t>
      </w:r>
      <w:r w:rsidR="004227F8">
        <w:rPr>
          <w:rFonts w:ascii="Tahoma" w:eastAsia="Times New Roman" w:hAnsi="Tahoma" w:cs="Tahoma"/>
          <w:lang w:eastAsia="es-ES"/>
        </w:rPr>
        <w:t>, ac</w:t>
      </w:r>
      <w:r w:rsidR="00E431B8">
        <w:rPr>
          <w:rFonts w:ascii="Tahoma" w:eastAsia="Times New Roman" w:hAnsi="Tahoma" w:cs="Tahoma"/>
          <w:lang w:eastAsia="es-ES"/>
        </w:rPr>
        <w:t>tividad</w:t>
      </w:r>
      <w:r w:rsidR="004227F8">
        <w:rPr>
          <w:rFonts w:ascii="Tahoma" w:eastAsia="Times New Roman" w:hAnsi="Tahoma" w:cs="Tahoma"/>
          <w:lang w:eastAsia="es-ES"/>
        </w:rPr>
        <w:t xml:space="preserve"> física</w:t>
      </w:r>
      <w:r w:rsidR="00E431B8">
        <w:rPr>
          <w:rFonts w:ascii="Tahoma" w:eastAsia="Times New Roman" w:hAnsi="Tahoma" w:cs="Tahoma"/>
          <w:lang w:eastAsia="es-ES"/>
        </w:rPr>
        <w:t xml:space="preserve"> y</w:t>
      </w:r>
      <w:r w:rsidR="004227F8">
        <w:rPr>
          <w:rFonts w:ascii="Tahoma" w:eastAsia="Times New Roman" w:hAnsi="Tahoma" w:cs="Tahoma"/>
          <w:lang w:eastAsia="es-ES"/>
        </w:rPr>
        <w:t xml:space="preserve"> deporte; </w:t>
      </w:r>
      <w:r>
        <w:rPr>
          <w:rFonts w:ascii="Tahoma" w:eastAsia="Times New Roman" w:hAnsi="Tahoma" w:cs="Tahoma"/>
          <w:lang w:eastAsia="es-ES"/>
        </w:rPr>
        <w:t xml:space="preserve">decretó el toque de queda con las respectivas excepciones, </w:t>
      </w:r>
      <w:r w:rsidR="004227F8">
        <w:rPr>
          <w:rFonts w:ascii="Tahoma" w:eastAsia="Times New Roman" w:hAnsi="Tahoma" w:cs="Tahoma"/>
          <w:lang w:eastAsia="es-ES"/>
        </w:rPr>
        <w:t>y señal</w:t>
      </w:r>
      <w:r w:rsidR="00E431B8">
        <w:rPr>
          <w:rFonts w:ascii="Tahoma" w:eastAsia="Times New Roman" w:hAnsi="Tahoma" w:cs="Tahoma"/>
          <w:lang w:eastAsia="es-ES"/>
        </w:rPr>
        <w:t>ó</w:t>
      </w:r>
      <w:r w:rsidR="004227F8">
        <w:rPr>
          <w:rFonts w:ascii="Tahoma" w:eastAsia="Times New Roman" w:hAnsi="Tahoma" w:cs="Tahoma"/>
          <w:lang w:eastAsia="es-ES"/>
        </w:rPr>
        <w:t xml:space="preserve"> las medias c</w:t>
      </w:r>
      <w:r w:rsidR="00E431B8">
        <w:rPr>
          <w:rFonts w:ascii="Tahoma" w:eastAsia="Times New Roman" w:hAnsi="Tahoma" w:cs="Tahoma"/>
          <w:lang w:eastAsia="es-ES"/>
        </w:rPr>
        <w:t>orrectivas</w:t>
      </w:r>
      <w:r w:rsidR="004227F8">
        <w:rPr>
          <w:rFonts w:ascii="Tahoma" w:eastAsia="Times New Roman" w:hAnsi="Tahoma" w:cs="Tahoma"/>
          <w:lang w:eastAsia="es-ES"/>
        </w:rPr>
        <w:t xml:space="preserve"> por</w:t>
      </w:r>
      <w:r w:rsidR="00E431B8">
        <w:rPr>
          <w:rFonts w:ascii="Tahoma" w:eastAsia="Times New Roman" w:hAnsi="Tahoma" w:cs="Tahoma"/>
          <w:lang w:eastAsia="es-ES"/>
        </w:rPr>
        <w:t xml:space="preserve"> el incumplimiento de</w:t>
      </w:r>
      <w:r w:rsidR="004227F8">
        <w:rPr>
          <w:rFonts w:ascii="Tahoma" w:eastAsia="Times New Roman" w:hAnsi="Tahoma" w:cs="Tahoma"/>
          <w:lang w:eastAsia="es-ES"/>
        </w:rPr>
        <w:t xml:space="preserve"> </w:t>
      </w:r>
      <w:r w:rsidR="00E431B8">
        <w:rPr>
          <w:rFonts w:ascii="Tahoma" w:eastAsia="Times New Roman" w:hAnsi="Tahoma" w:cs="Tahoma"/>
          <w:lang w:eastAsia="es-ES"/>
        </w:rPr>
        <w:t>dichas</w:t>
      </w:r>
      <w:r w:rsidR="004227F8">
        <w:rPr>
          <w:rFonts w:ascii="Tahoma" w:eastAsia="Times New Roman" w:hAnsi="Tahoma" w:cs="Tahoma"/>
          <w:lang w:eastAsia="es-ES"/>
        </w:rPr>
        <w:t xml:space="preserve"> medidas</w:t>
      </w:r>
      <w:r w:rsidR="00E431B8">
        <w:rPr>
          <w:rFonts w:ascii="Tahoma" w:eastAsia="Times New Roman" w:hAnsi="Tahoma" w:cs="Tahoma"/>
          <w:lang w:eastAsia="es-ES"/>
        </w:rPr>
        <w:t>.</w:t>
      </w:r>
    </w:p>
    <w:p w14:paraId="38084FD4" w14:textId="77777777" w:rsidR="00ED21B8" w:rsidRPr="00350A90" w:rsidRDefault="00ED21B8" w:rsidP="00ED21B8">
      <w:pPr>
        <w:overflowPunct w:val="0"/>
        <w:autoSpaceDE w:val="0"/>
        <w:autoSpaceDN w:val="0"/>
        <w:adjustRightInd w:val="0"/>
        <w:spacing w:after="0" w:line="360" w:lineRule="auto"/>
        <w:jc w:val="both"/>
        <w:textAlignment w:val="baseline"/>
        <w:rPr>
          <w:rFonts w:ascii="Times New Roman" w:eastAsia="Times New Roman" w:hAnsi="Times New Roman" w:cs="Tahoma"/>
          <w:sz w:val="24"/>
          <w:lang w:eastAsia="es-ES"/>
        </w:rPr>
      </w:pPr>
    </w:p>
    <w:p w14:paraId="31EB53CE"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Las anteriores medidas fueron tomadas en virtud las normas contenidas en </w:t>
      </w:r>
      <w:r w:rsidR="00E431B8">
        <w:rPr>
          <w:rFonts w:ascii="Tahoma" w:eastAsia="Times New Roman" w:hAnsi="Tahoma" w:cs="Tahoma"/>
          <w:lang w:eastAsia="es-ES"/>
        </w:rPr>
        <w:t>el</w:t>
      </w:r>
      <w:r w:rsidRPr="00350A90">
        <w:rPr>
          <w:rFonts w:ascii="Tahoma" w:eastAsia="Times New Roman" w:hAnsi="Tahoma" w:cs="Tahoma"/>
          <w:lang w:eastAsia="es-ES"/>
        </w:rPr>
        <w:t xml:space="preserve"> artículo </w:t>
      </w:r>
      <w:r>
        <w:rPr>
          <w:rFonts w:ascii="Tahoma" w:eastAsia="Times New Roman" w:hAnsi="Tahoma" w:cs="Tahoma"/>
          <w:lang w:eastAsia="es-ES"/>
        </w:rPr>
        <w:t>315</w:t>
      </w:r>
      <w:r w:rsidR="00E431B8">
        <w:rPr>
          <w:rFonts w:ascii="Tahoma" w:eastAsia="Times New Roman" w:hAnsi="Tahoma" w:cs="Tahoma"/>
          <w:lang w:eastAsia="es-ES"/>
        </w:rPr>
        <w:t xml:space="preserve"> </w:t>
      </w:r>
      <w:r>
        <w:rPr>
          <w:rFonts w:ascii="Tahoma" w:eastAsia="Times New Roman" w:hAnsi="Tahoma" w:cs="Tahoma"/>
          <w:lang w:eastAsia="es-ES"/>
        </w:rPr>
        <w:t>de la Constitución</w:t>
      </w:r>
      <w:r w:rsidR="00E431B8">
        <w:rPr>
          <w:rFonts w:ascii="Tahoma" w:eastAsia="Times New Roman" w:hAnsi="Tahoma" w:cs="Tahoma"/>
          <w:lang w:eastAsia="es-ES"/>
        </w:rPr>
        <w:t xml:space="preserve"> y en las Leyes 136 de 1994, 336 de 1996, 769 de 2002 y 1383 de 2010.</w:t>
      </w:r>
    </w:p>
    <w:p w14:paraId="2BFACCDF"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4F9241FB" w14:textId="77777777" w:rsidR="00ED21B8" w:rsidRPr="00350A90" w:rsidRDefault="00ED21B8" w:rsidP="00ED21B8">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Mediante Acta de Reparto del día </w:t>
      </w:r>
      <w:r w:rsidR="00E431B8">
        <w:rPr>
          <w:rFonts w:ascii="Tahoma" w:eastAsia="Times New Roman" w:hAnsi="Tahoma" w:cs="Tahoma"/>
          <w:lang w:eastAsia="es-ES"/>
        </w:rPr>
        <w:t xml:space="preserve">02 </w:t>
      </w:r>
      <w:r>
        <w:rPr>
          <w:rFonts w:ascii="Tahoma" w:eastAsia="Times New Roman" w:hAnsi="Tahoma" w:cs="Tahoma"/>
          <w:lang w:eastAsia="es-ES"/>
        </w:rPr>
        <w:t xml:space="preserve">de </w:t>
      </w:r>
      <w:r w:rsidR="00E431B8">
        <w:rPr>
          <w:rFonts w:ascii="Tahoma" w:eastAsia="Times New Roman" w:hAnsi="Tahoma" w:cs="Tahoma"/>
          <w:lang w:eastAsia="es-ES"/>
        </w:rPr>
        <w:t>abril</w:t>
      </w:r>
      <w:r>
        <w:rPr>
          <w:rFonts w:ascii="Tahoma" w:eastAsia="Times New Roman" w:hAnsi="Tahoma" w:cs="Tahoma"/>
          <w:lang w:eastAsia="es-ES"/>
        </w:rPr>
        <w:t xml:space="preserve"> de la presente anualidad, </w:t>
      </w:r>
      <w:r w:rsidRPr="00350A90">
        <w:rPr>
          <w:rFonts w:ascii="Tahoma" w:eastAsia="Times New Roman" w:hAnsi="Tahoma" w:cs="Tahoma"/>
          <w:lang w:eastAsia="es-ES"/>
        </w:rPr>
        <w:t>el asunto fue asignado a este Despacho, para tramitar el control inmediato de legalidad sobre el anterior acto administrativo, previsto en el artículo 136 del CPACA.</w:t>
      </w:r>
    </w:p>
    <w:p w14:paraId="38FA1226" w14:textId="77777777" w:rsidR="00ED21B8" w:rsidRPr="00350A90" w:rsidRDefault="00ED21B8" w:rsidP="00ED21B8">
      <w:pPr>
        <w:spacing w:before="100" w:beforeAutospacing="1" w:after="100" w:afterAutospacing="1" w:line="360" w:lineRule="auto"/>
        <w:jc w:val="both"/>
        <w:rPr>
          <w:rFonts w:ascii="Tahoma" w:eastAsia="Times New Roman" w:hAnsi="Tahoma" w:cs="Tahoma"/>
          <w:lang w:val="es-CO" w:eastAsia="es-ES"/>
        </w:rPr>
      </w:pPr>
      <w:r w:rsidRPr="00350A90">
        <w:rPr>
          <w:rFonts w:ascii="Tahoma" w:eastAsia="Times New Roman" w:hAnsi="Tahoma" w:cs="Tahoma"/>
          <w:lang w:eastAsia="es-ES"/>
        </w:rPr>
        <w:t>Sin embargo, del contenido del aludido acto administrativo, encuentra el Despacho que, no fue</w:t>
      </w:r>
      <w:r w:rsidRPr="00350A90">
        <w:rPr>
          <w:rFonts w:ascii="Tahoma" w:eastAsia="Times New Roman" w:hAnsi="Tahoma" w:cs="Tahoma"/>
          <w:lang w:val="es-CO" w:eastAsia="es-CO"/>
        </w:rPr>
        <w:t xml:space="preserve"> dictado en ejercicio de la función administrativa y como desarrollo de los Decretos Legislativos dictados por el Presidente de la Republica durante la declaratoria </w:t>
      </w:r>
      <w:proofErr w:type="gramStart"/>
      <w:r w:rsidRPr="00350A90">
        <w:rPr>
          <w:rFonts w:ascii="Tahoma" w:eastAsia="Times New Roman" w:hAnsi="Tahoma" w:cs="Tahoma"/>
          <w:lang w:val="es-CO" w:eastAsia="es-CO"/>
        </w:rPr>
        <w:t>del  Estado</w:t>
      </w:r>
      <w:proofErr w:type="gramEnd"/>
      <w:r w:rsidRPr="00350A90">
        <w:rPr>
          <w:rFonts w:ascii="Tahoma" w:eastAsia="Times New Roman" w:hAnsi="Tahoma" w:cs="Tahoma"/>
          <w:lang w:val="es-CO" w:eastAsia="es-CO"/>
        </w:rPr>
        <w:t xml:space="preserve"> de Excepción</w:t>
      </w:r>
      <w:r w:rsidRPr="00350A90">
        <w:rPr>
          <w:rFonts w:ascii="Tahoma" w:eastAsia="Times New Roman" w:hAnsi="Tahoma" w:cs="Tahoma"/>
          <w:lang w:eastAsia="es-ES"/>
        </w:rPr>
        <w:t xml:space="preserve"> a través del Decreto 417 del 17 de marzo de 2020,  como consecuencia de la emergencia económica, social y ecológica derivada de la Pandemia COVID-19. Por el contrario, si bien contiene medidas para contener el brote de la enfermedad denominada Coronavirus (COVID-19) dentro de la respectiva jurisdicción, las mismas son de orden público, lo que permite concluir que no es susceptible del control automático de legalidad previsto en los artículo 20 de la Ley 137 de 1994 y  136 de la Ley 1437 de 2011, pues el mismo fue expedido en virtud de las facultades constitucionales y legales conferidas al </w:t>
      </w:r>
      <w:r w:rsidRPr="00350A90">
        <w:rPr>
          <w:rFonts w:ascii="Tahoma" w:eastAsia="Times New Roman" w:hAnsi="Tahoma" w:cs="Tahoma"/>
          <w:lang w:val="es-CO" w:eastAsia="es-ES"/>
        </w:rPr>
        <w:t xml:space="preserve">alcalde como primera autoridad de policía del </w:t>
      </w:r>
      <w:r w:rsidRPr="00350A90">
        <w:rPr>
          <w:rFonts w:ascii="Tahoma" w:eastAsia="Times New Roman" w:hAnsi="Tahoma" w:cs="Tahoma"/>
          <w:lang w:val="es-CO" w:eastAsia="es-ES"/>
        </w:rPr>
        <w:lastRenderedPageBreak/>
        <w:t xml:space="preserve">municipio para la adopción de medidas  necesarias para conservar el orden público en su jurisdicción, dentro de los parámetros establecidos por el ordenamiento jurídico. </w:t>
      </w:r>
    </w:p>
    <w:p w14:paraId="6C971F15" w14:textId="77777777" w:rsidR="00ED21B8" w:rsidRPr="00350A90" w:rsidRDefault="00ED21B8" w:rsidP="00ED21B8">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Lo anterior sin perjuicio del control judicial que se pueda ejercer sobre dicho acto administrativo a través de los medios de control ordinarios respectivos, previstos en Ley 1437 de 2011.</w:t>
      </w:r>
    </w:p>
    <w:p w14:paraId="7C905C51" w14:textId="77777777" w:rsidR="00ED21B8" w:rsidRPr="00350A90" w:rsidRDefault="00ED21B8" w:rsidP="00ED21B8">
      <w:pPr>
        <w:tabs>
          <w:tab w:val="left" w:pos="-720"/>
        </w:tabs>
        <w:suppressAutoHyphens/>
        <w:spacing w:after="0" w:line="360" w:lineRule="auto"/>
        <w:jc w:val="both"/>
        <w:rPr>
          <w:rFonts w:ascii="Tahoma" w:eastAsia="Times New Roman" w:hAnsi="Tahoma" w:cs="Tahoma"/>
          <w:lang w:eastAsia="es-ES"/>
        </w:rPr>
      </w:pPr>
    </w:p>
    <w:p w14:paraId="49327AA6" w14:textId="77777777" w:rsidR="00ED21B8" w:rsidRPr="00350A90" w:rsidRDefault="00ED21B8" w:rsidP="00ED21B8">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14:paraId="30980973" w14:textId="77777777" w:rsidR="00ED21B8" w:rsidRPr="00350A90" w:rsidRDefault="00ED21B8" w:rsidP="00ED21B8">
      <w:pPr>
        <w:tabs>
          <w:tab w:val="left" w:pos="-720"/>
        </w:tabs>
        <w:suppressAutoHyphens/>
        <w:spacing w:after="0" w:line="360" w:lineRule="auto"/>
        <w:jc w:val="both"/>
        <w:rPr>
          <w:rFonts w:ascii="Tahoma" w:eastAsia="Times New Roman" w:hAnsi="Tahoma" w:cs="Tahoma"/>
          <w:lang w:eastAsia="es-ES"/>
        </w:rPr>
      </w:pPr>
    </w:p>
    <w:p w14:paraId="53AF3DC5" w14:textId="77777777" w:rsidR="00ED21B8" w:rsidRPr="00350A90" w:rsidRDefault="00ED21B8" w:rsidP="00ED21B8">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14:paraId="04E182DD" w14:textId="77777777" w:rsidR="00ED21B8" w:rsidRPr="00350A90" w:rsidRDefault="00ED21B8" w:rsidP="00ED21B8">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14:paraId="5A661906" w14:textId="77777777" w:rsidR="00ED21B8" w:rsidRPr="00350A90" w:rsidRDefault="00ED21B8" w:rsidP="00ED21B8">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350A90">
        <w:rPr>
          <w:rFonts w:ascii="Tahoma" w:eastAsia="Lucida Sans Unicode" w:hAnsi="Tahoma" w:cs="Tahoma"/>
          <w:b/>
          <w:bCs/>
          <w:lang w:val="es-ES_tradnl" w:eastAsia="es-ES"/>
        </w:rPr>
        <w:t>RESUELVE</w:t>
      </w:r>
    </w:p>
    <w:p w14:paraId="19DAD2A0"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p>
    <w:p w14:paraId="7ACEF6A0"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del Decreto No. </w:t>
      </w:r>
      <w:r w:rsidR="00E431B8">
        <w:rPr>
          <w:rFonts w:ascii="Tahoma" w:eastAsia="Times New Roman" w:hAnsi="Tahoma" w:cs="Tahoma"/>
          <w:lang w:eastAsia="es-ES"/>
        </w:rPr>
        <w:t xml:space="preserve">065 </w:t>
      </w:r>
      <w:r w:rsidRPr="00350A90">
        <w:rPr>
          <w:rFonts w:ascii="Tahoma" w:eastAsia="Times New Roman" w:hAnsi="Tahoma" w:cs="Tahoma"/>
          <w:lang w:eastAsia="es-ES"/>
        </w:rPr>
        <w:t>del 1</w:t>
      </w:r>
      <w:r w:rsidR="00E431B8">
        <w:rPr>
          <w:rFonts w:ascii="Tahoma" w:eastAsia="Times New Roman" w:hAnsi="Tahoma" w:cs="Tahoma"/>
          <w:lang w:eastAsia="es-ES"/>
        </w:rPr>
        <w:t>8</w:t>
      </w:r>
      <w:r w:rsidRPr="00350A90">
        <w:rPr>
          <w:rFonts w:ascii="Tahoma" w:eastAsia="Times New Roman" w:hAnsi="Tahoma" w:cs="Tahoma"/>
          <w:lang w:eastAsia="es-ES"/>
        </w:rPr>
        <w:t xml:space="preserve"> de marzo de 2020</w:t>
      </w:r>
      <w:r w:rsidRPr="00427A6B">
        <w:rPr>
          <w:rFonts w:ascii="Tahoma" w:eastAsia="Times New Roman" w:hAnsi="Tahoma" w:cs="Tahoma"/>
          <w:lang w:eastAsia="es-ES"/>
        </w:rPr>
        <w:t xml:space="preserve"> </w:t>
      </w:r>
      <w:r w:rsidR="00E431B8" w:rsidRPr="00A7207E">
        <w:rPr>
          <w:rFonts w:ascii="Tahoma" w:eastAsia="Times New Roman" w:hAnsi="Tahoma" w:cs="Tahoma"/>
          <w:lang w:val="es-ES_tradnl" w:eastAsia="es-ES"/>
        </w:rPr>
        <w:t>2020</w:t>
      </w:r>
      <w:r w:rsidR="00E431B8" w:rsidRPr="00A7207E">
        <w:rPr>
          <w:rFonts w:ascii="Tahoma" w:eastAsia="Times New Roman" w:hAnsi="Tahoma" w:cs="Tahoma"/>
          <w:i/>
          <w:iCs/>
          <w:lang w:val="es-ES_tradnl" w:eastAsia="es-ES"/>
        </w:rPr>
        <w:t xml:space="preserve"> “P</w:t>
      </w:r>
      <w:r w:rsidR="00E431B8">
        <w:rPr>
          <w:rFonts w:ascii="Tahoma" w:eastAsia="Times New Roman" w:hAnsi="Tahoma" w:cs="Tahoma"/>
          <w:i/>
          <w:iCs/>
          <w:lang w:val="es-ES_tradnl" w:eastAsia="es-ES"/>
        </w:rPr>
        <w:t xml:space="preserve">or el cual se adoptan medidas para garantizar el orden público en el municipio de Caicedonia Valle del Cauca”, </w:t>
      </w:r>
      <w:r w:rsidRPr="00350A90">
        <w:rPr>
          <w:rFonts w:ascii="Tahoma" w:eastAsia="Times New Roman" w:hAnsi="Tahoma" w:cs="Tahoma"/>
          <w:lang w:eastAsia="es-ES"/>
        </w:rPr>
        <w:t xml:space="preserve">proferido por el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 dicho </w:t>
      </w:r>
      <w:r>
        <w:rPr>
          <w:rFonts w:ascii="Tahoma" w:eastAsia="Times New Roman" w:hAnsi="Tahoma" w:cs="Tahoma"/>
          <w:lang w:eastAsia="es-ES"/>
        </w:rPr>
        <w:t>ente territorial</w:t>
      </w:r>
      <w:r w:rsidRPr="00350A90">
        <w:rPr>
          <w:rFonts w:ascii="Tahoma" w:eastAsia="Times New Roman" w:hAnsi="Tahoma" w:cs="Tahoma"/>
          <w:lang w:eastAsia="es-ES"/>
        </w:rPr>
        <w:t>, por la razones expuestas en la parte motiva de esta providencia.</w:t>
      </w:r>
    </w:p>
    <w:p w14:paraId="70D8424C"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p>
    <w:p w14:paraId="33744649"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control ordinarios, previstos en el Estatuto Procesal Contendido Administrativo – LEY 1437 DE 2011. </w:t>
      </w:r>
    </w:p>
    <w:p w14:paraId="0EB92EEC"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p>
    <w:p w14:paraId="7149C363"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E431B8">
        <w:rPr>
          <w:rFonts w:ascii="Tahoma" w:eastAsia="Times New Roman" w:hAnsi="Tahoma" w:cs="Tahoma"/>
          <w:lang w:eastAsia="es-ES"/>
        </w:rPr>
        <w:t>Caicedonia</w:t>
      </w:r>
      <w:r>
        <w:rPr>
          <w:rFonts w:ascii="Tahoma" w:eastAsia="Times New Roman" w:hAnsi="Tahoma" w:cs="Tahoma"/>
          <w:lang w:eastAsia="es-ES"/>
        </w:rPr>
        <w:t>)</w:t>
      </w:r>
      <w:r w:rsidR="00E431B8">
        <w:rPr>
          <w:rFonts w:ascii="Tahoma" w:eastAsia="Times New Roman" w:hAnsi="Tahoma" w:cs="Tahoma"/>
          <w:lang w:eastAsia="es-ES"/>
        </w:rPr>
        <w:t>, al Agente del Ministerio Publico con copia del respectivo Decreto</w:t>
      </w:r>
      <w:r w:rsidRPr="00350A90">
        <w:rPr>
          <w:rFonts w:ascii="Tahoma" w:eastAsia="Times New Roman" w:hAnsi="Tahoma" w:cs="Tahoma"/>
          <w:lang w:eastAsia="es-ES"/>
        </w:rPr>
        <w:t xml:space="preserve"> y a su vez que sea comunicada en el portal web del Tribunal Contencioso Administrativo del Valle del Cauca. </w:t>
      </w:r>
    </w:p>
    <w:p w14:paraId="35D99AE3"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p>
    <w:p w14:paraId="7817BBEC" w14:textId="77777777" w:rsidR="00ED21B8" w:rsidRPr="00350A90" w:rsidRDefault="00ED21B8" w:rsidP="00ED21B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CUARTA:</w:t>
      </w:r>
      <w:r w:rsidRPr="00350A90">
        <w:rPr>
          <w:rFonts w:ascii="Tahoma" w:eastAsia="Times New Roman" w:hAnsi="Tahoma" w:cs="Tahoma"/>
          <w:lang w:eastAsia="es-ES"/>
        </w:rPr>
        <w:t xml:space="preserve"> Una vez ejecutoriada esta providencia, archívese el expediente, previas las anotaciones de rigor. </w:t>
      </w:r>
    </w:p>
    <w:p w14:paraId="4191352F" w14:textId="77777777" w:rsidR="00ED21B8" w:rsidRPr="00350A90" w:rsidRDefault="00ED21B8" w:rsidP="00ED21B8">
      <w:pPr>
        <w:spacing w:after="0" w:line="360" w:lineRule="auto"/>
        <w:jc w:val="both"/>
        <w:rPr>
          <w:rFonts w:ascii="Tahoma" w:eastAsia="Times New Roman" w:hAnsi="Tahoma" w:cs="Tahoma"/>
          <w:lang w:eastAsia="es-ES"/>
        </w:rPr>
      </w:pPr>
    </w:p>
    <w:p w14:paraId="7AB22E01" w14:textId="77777777" w:rsidR="00ED21B8" w:rsidRPr="00350A90" w:rsidRDefault="00ED21B8" w:rsidP="00ED21B8">
      <w:pPr>
        <w:spacing w:after="0" w:line="360" w:lineRule="auto"/>
        <w:jc w:val="both"/>
        <w:rPr>
          <w:rFonts w:ascii="Tahoma" w:eastAsia="Times New Roman" w:hAnsi="Tahoma" w:cs="Tahoma"/>
          <w:lang w:eastAsia="es-ES"/>
        </w:rPr>
      </w:pPr>
    </w:p>
    <w:p w14:paraId="209BC5B7" w14:textId="77777777" w:rsidR="00ED21B8" w:rsidRPr="00350A90" w:rsidRDefault="00ED21B8" w:rsidP="00ED21B8">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14:paraId="12FCBFF2" w14:textId="77777777" w:rsidR="00ED21B8" w:rsidRPr="00350A90" w:rsidRDefault="00ED21B8" w:rsidP="00ED21B8">
      <w:pPr>
        <w:spacing w:after="0" w:line="360" w:lineRule="auto"/>
        <w:jc w:val="both"/>
        <w:rPr>
          <w:rFonts w:ascii="Tahoma" w:eastAsia="Times New Roman" w:hAnsi="Tahoma" w:cs="Tahoma"/>
          <w:lang w:eastAsia="es-ES"/>
        </w:rPr>
      </w:pPr>
    </w:p>
    <w:p w14:paraId="055C5ED1" w14:textId="77777777" w:rsidR="00ED21B8" w:rsidRPr="00350A90" w:rsidRDefault="00ED21B8" w:rsidP="00ED21B8">
      <w:pPr>
        <w:spacing w:after="0" w:line="360" w:lineRule="auto"/>
        <w:jc w:val="both"/>
        <w:rPr>
          <w:rFonts w:ascii="Tahoma" w:eastAsia="Times New Roman" w:hAnsi="Tahoma" w:cs="Tahoma"/>
          <w:lang w:eastAsia="es-ES"/>
        </w:rPr>
      </w:pPr>
    </w:p>
    <w:p w14:paraId="43AE185F" w14:textId="77777777" w:rsidR="00ED21B8" w:rsidRPr="00350A90" w:rsidRDefault="00ED21B8" w:rsidP="00ED21B8">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p>
    <w:p w14:paraId="08E9C0F1" w14:textId="77777777" w:rsidR="00ED21B8" w:rsidRPr="00350A90" w:rsidRDefault="00ED21B8" w:rsidP="00ED21B8">
      <w:pPr>
        <w:spacing w:after="0" w:line="360" w:lineRule="auto"/>
        <w:jc w:val="both"/>
        <w:rPr>
          <w:rFonts w:ascii="Tahoma" w:eastAsia="Times New Roman" w:hAnsi="Tahoma" w:cs="Tahoma"/>
          <w:lang w:eastAsia="es-ES"/>
        </w:rPr>
      </w:pPr>
    </w:p>
    <w:p w14:paraId="0A9B9B85" w14:textId="77777777" w:rsidR="00ED21B8" w:rsidRPr="00350A90" w:rsidRDefault="00ED21B8" w:rsidP="00ED21B8">
      <w:pPr>
        <w:spacing w:after="0" w:line="360" w:lineRule="auto"/>
        <w:jc w:val="both"/>
        <w:rPr>
          <w:rFonts w:ascii="Tahoma" w:eastAsia="Times New Roman" w:hAnsi="Tahoma" w:cs="Tahoma"/>
          <w:lang w:eastAsia="es-ES"/>
        </w:rPr>
      </w:pPr>
    </w:p>
    <w:p w14:paraId="0EA9F91D" w14:textId="77777777" w:rsidR="00ED21B8" w:rsidRPr="00350A90" w:rsidRDefault="00ED21B8" w:rsidP="00ED21B8">
      <w:pPr>
        <w:spacing w:after="0" w:line="360" w:lineRule="auto"/>
        <w:jc w:val="both"/>
        <w:rPr>
          <w:rFonts w:ascii="Tahoma" w:eastAsia="Times New Roman" w:hAnsi="Tahoma" w:cs="Tahoma"/>
          <w:lang w:eastAsia="es-ES"/>
        </w:rPr>
      </w:pPr>
    </w:p>
    <w:p w14:paraId="29C67F10" w14:textId="77777777" w:rsidR="00ED21B8" w:rsidRPr="00350A90" w:rsidRDefault="00ED21B8" w:rsidP="00ED21B8">
      <w:pPr>
        <w:spacing w:after="0" w:line="360" w:lineRule="auto"/>
        <w:jc w:val="both"/>
        <w:rPr>
          <w:rFonts w:ascii="Tahoma" w:eastAsia="Times New Roman" w:hAnsi="Tahoma" w:cs="Tahoma"/>
          <w:lang w:eastAsia="es-ES"/>
        </w:rPr>
      </w:pPr>
      <w:r w:rsidRPr="00350A90">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5422310D" wp14:editId="3EC09BA9">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14:paraId="3F056520" w14:textId="77777777" w:rsidR="00ED21B8" w:rsidRPr="00350A90" w:rsidRDefault="00ED21B8" w:rsidP="00ED21B8">
      <w:pPr>
        <w:spacing w:after="0" w:line="360" w:lineRule="auto"/>
        <w:jc w:val="both"/>
        <w:rPr>
          <w:rFonts w:ascii="Tahoma" w:eastAsia="Times New Roman" w:hAnsi="Tahoma" w:cs="Tahoma"/>
          <w:lang w:eastAsia="es-ES"/>
        </w:rPr>
      </w:pPr>
    </w:p>
    <w:p w14:paraId="4D054E12" w14:textId="77777777" w:rsidR="00ED21B8" w:rsidRPr="00350A90" w:rsidRDefault="00ED21B8" w:rsidP="00ED21B8">
      <w:pPr>
        <w:spacing w:after="0" w:line="360" w:lineRule="auto"/>
        <w:jc w:val="both"/>
        <w:rPr>
          <w:rFonts w:ascii="Tahoma" w:eastAsia="Times New Roman" w:hAnsi="Tahoma" w:cs="Tahoma"/>
          <w:lang w:eastAsia="es-ES"/>
        </w:rPr>
      </w:pPr>
    </w:p>
    <w:p w14:paraId="5F90F363" w14:textId="77777777" w:rsidR="00ED21B8" w:rsidRPr="00350A90" w:rsidRDefault="00ED21B8" w:rsidP="00ED21B8">
      <w:pPr>
        <w:spacing w:after="0" w:line="360" w:lineRule="auto"/>
        <w:jc w:val="both"/>
        <w:rPr>
          <w:rFonts w:ascii="Tahoma" w:eastAsia="Times New Roman" w:hAnsi="Tahoma" w:cs="Tahoma"/>
          <w:lang w:eastAsia="es-ES"/>
        </w:rPr>
      </w:pPr>
    </w:p>
    <w:p w14:paraId="56D5F78D" w14:textId="77777777" w:rsidR="00ED21B8" w:rsidRPr="00350A90" w:rsidRDefault="00ED21B8" w:rsidP="00ED21B8">
      <w:pPr>
        <w:spacing w:after="0" w:line="360" w:lineRule="auto"/>
        <w:ind w:left="3540" w:firstLine="708"/>
        <w:jc w:val="both"/>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14:paraId="6986CD36" w14:textId="77777777" w:rsidR="00ED21B8" w:rsidRDefault="00ED21B8" w:rsidP="00ED21B8"/>
    <w:p w14:paraId="737B8D85" w14:textId="77777777" w:rsidR="005D5247" w:rsidRDefault="005D5247"/>
    <w:sectPr w:rsidR="005D5247" w:rsidSect="00ED21B8">
      <w:headerReference w:type="even" r:id="rId12"/>
      <w:headerReference w:type="default" r:id="rId13"/>
      <w:headerReference w:type="first" r:id="rId14"/>
      <w:pgSz w:w="12240" w:h="18720" w:code="14"/>
      <w:pgMar w:top="1701" w:right="1701" w:bottom="2835" w:left="2268" w:header="851" w:footer="851"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775C" w14:textId="77777777" w:rsidR="00ED21B8" w:rsidRDefault="00ED21B8">
    <w:pPr>
      <w:pStyle w:val="Encabezado"/>
      <w:framePr w:wrap="auto"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Pr>
        <w:rStyle w:val="Nmerodepgina"/>
        <w:noProof/>
        <w:sz w:val="16"/>
        <w:szCs w:val="16"/>
      </w:rPr>
      <w:t>2</w:t>
    </w:r>
    <w:r>
      <w:rPr>
        <w:rStyle w:val="Nmerodepgina"/>
        <w:sz w:val="16"/>
        <w:szCs w:val="16"/>
      </w:rPr>
      <w:fldChar w:fldCharType="end"/>
    </w:r>
  </w:p>
  <w:p w14:paraId="3E9003E0" w14:textId="77777777" w:rsidR="00ED21B8" w:rsidRDefault="00ED21B8">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50B77" w14:textId="77777777" w:rsidR="00ED21B8" w:rsidRDefault="00ED21B8" w:rsidP="00ED21B8">
    <w:pPr>
      <w:pStyle w:val="Encabezado"/>
    </w:pPr>
  </w:p>
  <w:p w14:paraId="2FC59A97" w14:textId="77777777" w:rsidR="00ED21B8" w:rsidRDefault="00ED21B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127386"/>
      <w:docPartObj>
        <w:docPartGallery w:val="Page Numbers (Top of Page)"/>
        <w:docPartUnique/>
      </w:docPartObj>
    </w:sdtPr>
    <w:sdtContent>
      <w:p w14:paraId="0377F770" w14:textId="77777777" w:rsidR="00ED21B8" w:rsidRDefault="00ED21B8">
        <w:pPr>
          <w:pStyle w:val="Encabezado"/>
          <w:jc w:val="right"/>
        </w:pPr>
        <w:r>
          <w:fldChar w:fldCharType="begin"/>
        </w:r>
        <w:r>
          <w:instrText>PAGE   \* MERGEFORMAT</w:instrText>
        </w:r>
        <w:r>
          <w:fldChar w:fldCharType="separate"/>
        </w:r>
        <w:r w:rsidRPr="00D918DF">
          <w:rPr>
            <w:noProof/>
          </w:rPr>
          <w:t>1</w:t>
        </w:r>
        <w:r>
          <w:fldChar w:fldCharType="end"/>
        </w:r>
      </w:p>
    </w:sdtContent>
  </w:sdt>
  <w:p w14:paraId="2C5C3D3C" w14:textId="77777777" w:rsidR="00ED21B8" w:rsidRDefault="00ED21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B8"/>
    <w:rsid w:val="00057553"/>
    <w:rsid w:val="004227F8"/>
    <w:rsid w:val="005B54B3"/>
    <w:rsid w:val="005D5247"/>
    <w:rsid w:val="00C00540"/>
    <w:rsid w:val="00E431B8"/>
    <w:rsid w:val="00ED21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62DF"/>
  <w15:chartTrackingRefBased/>
  <w15:docId w15:val="{79871165-77BE-4FD5-9204-7386EA3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1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21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D21B8"/>
  </w:style>
  <w:style w:type="character" w:styleId="Nmerodepgina">
    <w:name w:val="page number"/>
    <w:basedOn w:val="Fuentedeprrafopredeter"/>
    <w:semiHidden/>
    <w:rsid w:val="00ED21B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7.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ecretariasenado.gov.co/senado/basedoc/constitucion_politica_1991_pr007.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secretariasenado.gov.co/senado/basedoc/ley_1437_2011_pr004.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_1437_2011_pr003.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1958</Words>
  <Characters>10769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2020-04-03T17:45:00Z</dcterms:created>
  <dcterms:modified xsi:type="dcterms:W3CDTF">2020-04-03T21:21:00Z</dcterms:modified>
</cp:coreProperties>
</file>