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5D04" w:rsidRPr="00956C2A" w:rsidRDefault="00195D04" w:rsidP="00195D04">
      <w:pPr>
        <w:jc w:val="right"/>
        <w:rPr>
          <w:rFonts w:ascii="Arial" w:hAnsi="Arial" w:cs="Arial"/>
          <w:b/>
        </w:rPr>
      </w:pPr>
      <w:bookmarkStart w:id="0" w:name="_GoBack"/>
      <w:bookmarkEnd w:id="0"/>
      <w:r w:rsidRPr="00956C2A">
        <w:rPr>
          <w:rFonts w:ascii="Arial" w:hAnsi="Arial" w:cs="Arial"/>
          <w:b/>
        </w:rPr>
        <w:t>AUTO INTERLOCUTORIO No. ________</w:t>
      </w:r>
    </w:p>
    <w:p w:rsidR="00195D04" w:rsidRPr="00956C2A" w:rsidRDefault="00195D04" w:rsidP="00195D04">
      <w:pPr>
        <w:rPr>
          <w:rFonts w:ascii="Arial" w:hAnsi="Arial" w:cs="Arial"/>
          <w:b/>
        </w:rPr>
      </w:pPr>
    </w:p>
    <w:p w:rsidR="00195D04" w:rsidRPr="00956C2A" w:rsidRDefault="00195D04" w:rsidP="00195D04">
      <w:pPr>
        <w:rPr>
          <w:rFonts w:ascii="Arial" w:hAnsi="Arial" w:cs="Arial"/>
        </w:rPr>
      </w:pPr>
      <w:r w:rsidRPr="00956C2A">
        <w:rPr>
          <w:rFonts w:ascii="Arial" w:hAnsi="Arial" w:cs="Arial"/>
        </w:rPr>
        <w:t xml:space="preserve">Santiago de Cali, </w:t>
      </w:r>
      <w:r w:rsidR="001B1881" w:rsidRPr="00956C2A">
        <w:rPr>
          <w:rFonts w:ascii="Arial" w:hAnsi="Arial" w:cs="Arial"/>
        </w:rPr>
        <w:t>tre</w:t>
      </w:r>
      <w:r w:rsidR="00115A95">
        <w:rPr>
          <w:rFonts w:ascii="Arial" w:hAnsi="Arial" w:cs="Arial"/>
        </w:rPr>
        <w:t>ce</w:t>
      </w:r>
      <w:r w:rsidRPr="00956C2A">
        <w:rPr>
          <w:rFonts w:ascii="Arial" w:hAnsi="Arial" w:cs="Arial"/>
        </w:rPr>
        <w:t xml:space="preserve"> (3) de</w:t>
      </w:r>
      <w:r w:rsidR="001B1881" w:rsidRPr="00956C2A">
        <w:rPr>
          <w:rFonts w:ascii="Arial" w:hAnsi="Arial" w:cs="Arial"/>
        </w:rPr>
        <w:t xml:space="preserve"> abril </w:t>
      </w:r>
      <w:r w:rsidRPr="00956C2A">
        <w:rPr>
          <w:rFonts w:ascii="Arial" w:hAnsi="Arial" w:cs="Arial"/>
        </w:rPr>
        <w:t>de dos mil veinte (2020).</w:t>
      </w:r>
    </w:p>
    <w:p w:rsidR="00195D04" w:rsidRPr="00956C2A" w:rsidRDefault="00195D04" w:rsidP="00195D04">
      <w:pPr>
        <w:rPr>
          <w:rFonts w:ascii="Arial" w:hAnsi="Arial" w:cs="Arial"/>
          <w:b/>
        </w:rPr>
      </w:pPr>
    </w:p>
    <w:p w:rsidR="00195D04" w:rsidRPr="00956C2A" w:rsidRDefault="00195D04" w:rsidP="00195D04">
      <w:pPr>
        <w:jc w:val="center"/>
        <w:rPr>
          <w:rFonts w:ascii="Arial" w:hAnsi="Arial" w:cs="Arial"/>
          <w:b/>
        </w:rPr>
      </w:pPr>
      <w:r w:rsidRPr="00956C2A">
        <w:rPr>
          <w:rFonts w:ascii="Arial" w:hAnsi="Arial" w:cs="Arial"/>
          <w:b/>
        </w:rPr>
        <w:t>MAGISTRADO PONENTE: OMAR EDGAR BORJA SOTO</w:t>
      </w:r>
    </w:p>
    <w:p w:rsidR="00195D04" w:rsidRPr="00956C2A" w:rsidRDefault="00195D04" w:rsidP="00195D04">
      <w:pPr>
        <w:jc w:val="center"/>
        <w:rPr>
          <w:rFonts w:ascii="Arial" w:hAnsi="Arial" w:cs="Arial"/>
          <w:b/>
        </w:rPr>
      </w:pPr>
    </w:p>
    <w:tbl>
      <w:tblPr>
        <w:tblW w:w="9356" w:type="dxa"/>
        <w:tblInd w:w="1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2694"/>
        <w:gridCol w:w="6662"/>
      </w:tblGrid>
      <w:tr w:rsidR="00956C2A" w:rsidRPr="00956C2A" w:rsidTr="00861103">
        <w:trPr>
          <w:trHeight w:val="117"/>
        </w:trPr>
        <w:tc>
          <w:tcPr>
            <w:tcW w:w="2694" w:type="dxa"/>
            <w:shd w:val="clear" w:color="auto" w:fill="auto"/>
          </w:tcPr>
          <w:p w:rsidR="00195D04" w:rsidRPr="00956C2A" w:rsidRDefault="00195D04" w:rsidP="00861103">
            <w:pPr>
              <w:rPr>
                <w:rFonts w:ascii="Arial" w:hAnsi="Arial" w:cs="Arial"/>
                <w:caps/>
              </w:rPr>
            </w:pPr>
            <w:r w:rsidRPr="00956C2A">
              <w:rPr>
                <w:rFonts w:ascii="Arial" w:hAnsi="Arial" w:cs="Arial"/>
                <w:sz w:val="22"/>
                <w:szCs w:val="22"/>
              </w:rPr>
              <w:t>MEDIO DE CONTROL:</w:t>
            </w:r>
          </w:p>
        </w:tc>
        <w:tc>
          <w:tcPr>
            <w:tcW w:w="6662" w:type="dxa"/>
            <w:shd w:val="clear" w:color="auto" w:fill="auto"/>
          </w:tcPr>
          <w:p w:rsidR="00195D04" w:rsidRPr="00956C2A" w:rsidRDefault="00195D04" w:rsidP="001C1751">
            <w:pPr>
              <w:jc w:val="both"/>
              <w:rPr>
                <w:rFonts w:ascii="Arial" w:hAnsi="Arial" w:cs="Arial"/>
              </w:rPr>
            </w:pPr>
            <w:r w:rsidRPr="00956C2A">
              <w:rPr>
                <w:rFonts w:ascii="Arial" w:hAnsi="Arial" w:cs="Arial"/>
              </w:rPr>
              <w:t xml:space="preserve">Control Inmediato de legalidad del Decreto No. 063 del 18 de marzo de 2020 </w:t>
            </w:r>
            <w:r w:rsidR="00B9773E" w:rsidRPr="00956C2A">
              <w:rPr>
                <w:rFonts w:ascii="Arial" w:hAnsi="Arial" w:cs="Arial"/>
              </w:rPr>
              <w:t xml:space="preserve">y 069 del 20 de marzo de 2020, </w:t>
            </w:r>
            <w:r w:rsidRPr="00956C2A">
              <w:rPr>
                <w:rFonts w:ascii="Arial" w:hAnsi="Arial" w:cs="Arial"/>
              </w:rPr>
              <w:t xml:space="preserve">expedido por la Alcaldía Municipal </w:t>
            </w:r>
            <w:r w:rsidR="001C1751" w:rsidRPr="00956C2A">
              <w:rPr>
                <w:rFonts w:ascii="Arial" w:hAnsi="Arial" w:cs="Arial"/>
              </w:rPr>
              <w:t xml:space="preserve">El Municipio San Juan Bautista Guacarí Valle. </w:t>
            </w:r>
          </w:p>
        </w:tc>
      </w:tr>
      <w:tr w:rsidR="00956C2A" w:rsidRPr="00956C2A" w:rsidTr="00861103">
        <w:trPr>
          <w:trHeight w:val="123"/>
        </w:trPr>
        <w:tc>
          <w:tcPr>
            <w:tcW w:w="2694" w:type="dxa"/>
            <w:shd w:val="clear" w:color="auto" w:fill="auto"/>
          </w:tcPr>
          <w:p w:rsidR="00195D04" w:rsidRPr="00956C2A" w:rsidRDefault="00195D04" w:rsidP="00861103">
            <w:pPr>
              <w:rPr>
                <w:rFonts w:ascii="Arial" w:hAnsi="Arial" w:cs="Arial"/>
              </w:rPr>
            </w:pPr>
            <w:r w:rsidRPr="00956C2A">
              <w:rPr>
                <w:rFonts w:ascii="Arial" w:hAnsi="Arial" w:cs="Arial"/>
                <w:sz w:val="22"/>
                <w:szCs w:val="22"/>
              </w:rPr>
              <w:t>EXPEDIENTE:</w:t>
            </w:r>
          </w:p>
        </w:tc>
        <w:tc>
          <w:tcPr>
            <w:tcW w:w="6662" w:type="dxa"/>
            <w:shd w:val="clear" w:color="auto" w:fill="auto"/>
          </w:tcPr>
          <w:p w:rsidR="00195D04" w:rsidRPr="00956C2A" w:rsidRDefault="006E78CE" w:rsidP="00861103">
            <w:pPr>
              <w:tabs>
                <w:tab w:val="left" w:pos="-720"/>
              </w:tabs>
              <w:suppressAutoHyphens/>
              <w:jc w:val="both"/>
              <w:rPr>
                <w:rFonts w:ascii="Arial" w:hAnsi="Arial" w:cs="Arial"/>
                <w:b/>
                <w:bCs/>
              </w:rPr>
            </w:pPr>
            <w:r w:rsidRPr="00956C2A">
              <w:rPr>
                <w:rFonts w:ascii="Arial" w:hAnsi="Arial" w:cs="Arial"/>
                <w:b/>
                <w:bCs/>
              </w:rPr>
              <w:t>76001-23-33-000-2020-00321-00</w:t>
            </w:r>
          </w:p>
          <w:p w:rsidR="00C22253" w:rsidRPr="00956C2A" w:rsidRDefault="00C22253" w:rsidP="00C22253">
            <w:pPr>
              <w:tabs>
                <w:tab w:val="left" w:pos="-720"/>
              </w:tabs>
              <w:suppressAutoHyphens/>
              <w:jc w:val="both"/>
              <w:rPr>
                <w:rFonts w:ascii="Arial" w:hAnsi="Arial" w:cs="Arial"/>
                <w:b/>
                <w:spacing w:val="-3"/>
                <w:lang w:val="es-CO"/>
              </w:rPr>
            </w:pPr>
            <w:r w:rsidRPr="00956C2A">
              <w:rPr>
                <w:rFonts w:ascii="Arial" w:hAnsi="Arial" w:cs="Arial"/>
                <w:sz w:val="26"/>
                <w:szCs w:val="26"/>
              </w:rPr>
              <w:t>76001-23-33-000-2020-00323-00</w:t>
            </w:r>
          </w:p>
        </w:tc>
      </w:tr>
      <w:tr w:rsidR="00956C2A" w:rsidRPr="00956C2A" w:rsidTr="00861103">
        <w:trPr>
          <w:trHeight w:val="123"/>
        </w:trPr>
        <w:tc>
          <w:tcPr>
            <w:tcW w:w="2694" w:type="dxa"/>
            <w:shd w:val="clear" w:color="auto" w:fill="auto"/>
          </w:tcPr>
          <w:p w:rsidR="001B1881" w:rsidRPr="00956C2A" w:rsidRDefault="001B1881" w:rsidP="00861103">
            <w:pPr>
              <w:rPr>
                <w:rFonts w:ascii="Arial" w:hAnsi="Arial" w:cs="Arial"/>
                <w:sz w:val="22"/>
                <w:szCs w:val="22"/>
              </w:rPr>
            </w:pPr>
            <w:r w:rsidRPr="00956C2A">
              <w:rPr>
                <w:rFonts w:ascii="Arial" w:hAnsi="Arial" w:cs="Arial"/>
                <w:sz w:val="22"/>
                <w:szCs w:val="22"/>
              </w:rPr>
              <w:t>ASUNTO:</w:t>
            </w:r>
          </w:p>
        </w:tc>
        <w:tc>
          <w:tcPr>
            <w:tcW w:w="6662" w:type="dxa"/>
            <w:shd w:val="clear" w:color="auto" w:fill="auto"/>
          </w:tcPr>
          <w:p w:rsidR="001B1881" w:rsidRPr="00956C2A" w:rsidRDefault="001B1881" w:rsidP="00861103">
            <w:pPr>
              <w:tabs>
                <w:tab w:val="left" w:pos="-720"/>
              </w:tabs>
              <w:suppressAutoHyphens/>
              <w:jc w:val="both"/>
              <w:rPr>
                <w:rFonts w:ascii="Arial" w:hAnsi="Arial" w:cs="Arial"/>
                <w:b/>
                <w:bCs/>
              </w:rPr>
            </w:pPr>
            <w:r w:rsidRPr="00956C2A">
              <w:rPr>
                <w:rFonts w:ascii="Arial" w:hAnsi="Arial" w:cs="Arial"/>
                <w:b/>
                <w:bCs/>
              </w:rPr>
              <w:t>Resuelve sobre la acumulación de procesos</w:t>
            </w:r>
          </w:p>
          <w:p w:rsidR="00727C81" w:rsidRPr="00956C2A" w:rsidRDefault="00727C81" w:rsidP="00861103">
            <w:pPr>
              <w:tabs>
                <w:tab w:val="left" w:pos="-720"/>
              </w:tabs>
              <w:suppressAutoHyphens/>
              <w:jc w:val="both"/>
              <w:rPr>
                <w:rFonts w:ascii="Arial" w:hAnsi="Arial" w:cs="Arial"/>
                <w:b/>
                <w:bCs/>
              </w:rPr>
            </w:pPr>
            <w:r w:rsidRPr="00956C2A">
              <w:rPr>
                <w:rFonts w:ascii="Arial" w:hAnsi="Arial" w:cs="Arial"/>
                <w:b/>
                <w:bCs/>
              </w:rPr>
              <w:t>Avoca conocimiento.</w:t>
            </w:r>
          </w:p>
        </w:tc>
      </w:tr>
    </w:tbl>
    <w:p w:rsidR="00195D04" w:rsidRPr="00956C2A" w:rsidRDefault="00195D04" w:rsidP="00195D04">
      <w:pPr>
        <w:spacing w:line="360" w:lineRule="auto"/>
        <w:rPr>
          <w:rFonts w:ascii="Arial" w:hAnsi="Arial" w:cs="Arial"/>
          <w:b/>
          <w:sz w:val="6"/>
          <w:szCs w:val="6"/>
        </w:rPr>
      </w:pPr>
    </w:p>
    <w:p w:rsidR="00195D04" w:rsidRPr="00956C2A" w:rsidRDefault="00195D04" w:rsidP="00195D04">
      <w:pPr>
        <w:spacing w:line="360" w:lineRule="auto"/>
        <w:jc w:val="center"/>
        <w:rPr>
          <w:rFonts w:ascii="Arial" w:hAnsi="Arial" w:cs="Arial"/>
          <w:b/>
        </w:rPr>
      </w:pPr>
      <w:r w:rsidRPr="00956C2A">
        <w:rPr>
          <w:rFonts w:ascii="Arial" w:hAnsi="Arial" w:cs="Arial"/>
          <w:b/>
        </w:rPr>
        <w:t xml:space="preserve">AUTO </w:t>
      </w:r>
      <w:r w:rsidR="001B1881" w:rsidRPr="00956C2A">
        <w:rPr>
          <w:rFonts w:ascii="Arial" w:hAnsi="Arial" w:cs="Arial"/>
          <w:b/>
        </w:rPr>
        <w:t>RESUELVE SOBRE LA ACUMULACIÓN DE PROCESOS</w:t>
      </w:r>
      <w:r w:rsidR="00727C81" w:rsidRPr="00956C2A">
        <w:rPr>
          <w:rFonts w:ascii="Arial" w:hAnsi="Arial" w:cs="Arial"/>
          <w:b/>
        </w:rPr>
        <w:t xml:space="preserve"> Y AVOCA CONOCIMIENTO</w:t>
      </w:r>
    </w:p>
    <w:p w:rsidR="00B9773E" w:rsidRPr="00956C2A" w:rsidRDefault="00B9773E" w:rsidP="00C22253">
      <w:pPr>
        <w:spacing w:line="360" w:lineRule="auto"/>
        <w:ind w:right="51"/>
        <w:jc w:val="both"/>
        <w:rPr>
          <w:rFonts w:ascii="Arial" w:hAnsi="Arial" w:cs="Arial"/>
        </w:rPr>
      </w:pPr>
    </w:p>
    <w:p w:rsidR="00253CEE" w:rsidRPr="00956C2A" w:rsidRDefault="00253CEE" w:rsidP="00253CEE">
      <w:pPr>
        <w:spacing w:line="360" w:lineRule="auto"/>
        <w:ind w:right="51"/>
        <w:jc w:val="both"/>
        <w:rPr>
          <w:rFonts w:ascii="Arial" w:hAnsi="Arial" w:cs="Arial"/>
        </w:rPr>
      </w:pPr>
      <w:r w:rsidRPr="00956C2A">
        <w:rPr>
          <w:rFonts w:ascii="Arial" w:hAnsi="Arial" w:cs="Arial"/>
          <w:lang w:val="es-MX"/>
        </w:rPr>
        <w:t xml:space="preserve">Procede el Despacho a </w:t>
      </w:r>
      <w:r w:rsidR="00B9773E" w:rsidRPr="00956C2A">
        <w:rPr>
          <w:rFonts w:ascii="Arial" w:hAnsi="Arial" w:cs="Arial"/>
        </w:rPr>
        <w:t xml:space="preserve">proveer </w:t>
      </w:r>
      <w:r w:rsidR="00B9773E" w:rsidRPr="00956C2A">
        <w:rPr>
          <w:rFonts w:ascii="Arial" w:hAnsi="Arial" w:cs="Arial"/>
          <w:lang w:val="es-MX"/>
        </w:rPr>
        <w:t xml:space="preserve">sobre la aceptación o no de la acumulación del proceso que cursa en este Despacho Judicial adelantado bajo radicado No. </w:t>
      </w:r>
      <w:r w:rsidR="00B9773E" w:rsidRPr="00956C2A">
        <w:rPr>
          <w:rFonts w:ascii="Arial" w:hAnsi="Arial" w:cs="Arial"/>
          <w:b/>
          <w:bCs/>
        </w:rPr>
        <w:t xml:space="preserve">76001-23-33-000-2020-00321-00 </w:t>
      </w:r>
      <w:r w:rsidR="004A6C15" w:rsidRPr="00956C2A">
        <w:rPr>
          <w:rFonts w:ascii="Arial" w:hAnsi="Arial" w:cs="Arial"/>
        </w:rPr>
        <w:t>con el</w:t>
      </w:r>
      <w:r w:rsidRPr="00956C2A">
        <w:rPr>
          <w:rFonts w:ascii="Arial" w:hAnsi="Arial" w:cs="Arial"/>
        </w:rPr>
        <w:t xml:space="preserve"> radicado bajo </w:t>
      </w:r>
      <w:r w:rsidR="009E0DFD">
        <w:rPr>
          <w:rFonts w:ascii="Arial" w:hAnsi="Arial" w:cs="Arial"/>
        </w:rPr>
        <w:t>el número</w:t>
      </w:r>
      <w:r w:rsidRPr="00956C2A">
        <w:rPr>
          <w:rFonts w:ascii="Arial" w:hAnsi="Arial" w:cs="Arial"/>
        </w:rPr>
        <w:t xml:space="preserve"> No. </w:t>
      </w:r>
      <w:r w:rsidRPr="00956C2A">
        <w:rPr>
          <w:rFonts w:ascii="Arial" w:hAnsi="Arial" w:cs="Arial"/>
          <w:sz w:val="26"/>
          <w:szCs w:val="26"/>
        </w:rPr>
        <w:t>76001-23-33-000-2020-00323-00</w:t>
      </w:r>
      <w:r w:rsidR="004A6C15" w:rsidRPr="00956C2A">
        <w:rPr>
          <w:rFonts w:ascii="Arial" w:hAnsi="Arial" w:cs="Arial"/>
          <w:sz w:val="26"/>
          <w:szCs w:val="26"/>
        </w:rPr>
        <w:t xml:space="preserve"> que cursa en el Despacho del Magistrado VICTOR ADOLFO HERNANDEZ DIAZ</w:t>
      </w:r>
      <w:r w:rsidR="005F773F" w:rsidRPr="00956C2A">
        <w:rPr>
          <w:rFonts w:ascii="Arial" w:hAnsi="Arial" w:cs="Arial"/>
          <w:sz w:val="26"/>
          <w:szCs w:val="26"/>
        </w:rPr>
        <w:t xml:space="preserve"> y</w:t>
      </w:r>
      <w:r w:rsidR="009E0DFD">
        <w:rPr>
          <w:rFonts w:ascii="Arial" w:hAnsi="Arial" w:cs="Arial"/>
          <w:sz w:val="26"/>
          <w:szCs w:val="26"/>
        </w:rPr>
        <w:t>,</w:t>
      </w:r>
      <w:r w:rsidR="005F773F" w:rsidRPr="00956C2A">
        <w:rPr>
          <w:rFonts w:ascii="Arial" w:hAnsi="Arial" w:cs="Arial"/>
          <w:sz w:val="26"/>
          <w:szCs w:val="26"/>
        </w:rPr>
        <w:t xml:space="preserve"> una vez resuelto</w:t>
      </w:r>
      <w:r w:rsidR="009E0DFD">
        <w:rPr>
          <w:rFonts w:ascii="Arial" w:hAnsi="Arial" w:cs="Arial"/>
          <w:sz w:val="26"/>
          <w:szCs w:val="26"/>
        </w:rPr>
        <w:t>,</w:t>
      </w:r>
      <w:r w:rsidR="005F773F" w:rsidRPr="00956C2A">
        <w:rPr>
          <w:rFonts w:ascii="Arial" w:hAnsi="Arial" w:cs="Arial"/>
          <w:sz w:val="26"/>
          <w:szCs w:val="26"/>
        </w:rPr>
        <w:t xml:space="preserve"> procederá a analizar si hay lugar a avocar el conocimiento del Decreto </w:t>
      </w:r>
      <w:r w:rsidR="005F773F" w:rsidRPr="00956C2A">
        <w:rPr>
          <w:rFonts w:ascii="Arial" w:hAnsi="Arial" w:cs="Arial"/>
          <w:lang w:val="es-CO"/>
        </w:rPr>
        <w:t>100-028-069 del 20 de marzo de 2020,</w:t>
      </w:r>
      <w:r w:rsidRPr="00956C2A">
        <w:rPr>
          <w:rFonts w:ascii="Arial" w:hAnsi="Arial" w:cs="Arial"/>
          <w:sz w:val="26"/>
          <w:szCs w:val="26"/>
        </w:rPr>
        <w:t xml:space="preserve"> teniendo en cuenta lo siguiente:</w:t>
      </w:r>
    </w:p>
    <w:p w:rsidR="00B9773E" w:rsidRPr="00956C2A" w:rsidRDefault="00253CEE" w:rsidP="00253CEE">
      <w:pPr>
        <w:spacing w:line="360" w:lineRule="auto"/>
        <w:ind w:right="51"/>
        <w:jc w:val="both"/>
        <w:rPr>
          <w:sz w:val="22"/>
          <w:szCs w:val="22"/>
          <w:lang w:val="es-MX" w:eastAsia="en-US"/>
        </w:rPr>
      </w:pPr>
      <w:r w:rsidRPr="00956C2A">
        <w:rPr>
          <w:sz w:val="22"/>
          <w:szCs w:val="22"/>
          <w:lang w:val="es-MX" w:eastAsia="en-US"/>
        </w:rPr>
        <w:t xml:space="preserve"> </w:t>
      </w:r>
    </w:p>
    <w:p w:rsidR="00B9773E" w:rsidRPr="00956C2A" w:rsidRDefault="00B9773E" w:rsidP="00B9773E">
      <w:pPr>
        <w:spacing w:line="360" w:lineRule="auto"/>
        <w:ind w:right="51"/>
        <w:jc w:val="both"/>
        <w:rPr>
          <w:rFonts w:ascii="Arial" w:hAnsi="Arial" w:cs="Arial"/>
          <w:b/>
          <w:lang w:val="es-MX"/>
        </w:rPr>
      </w:pPr>
      <w:r w:rsidRPr="00956C2A">
        <w:rPr>
          <w:rFonts w:ascii="Arial" w:hAnsi="Arial" w:cs="Arial"/>
          <w:b/>
          <w:lang w:val="es-MX"/>
        </w:rPr>
        <w:t xml:space="preserve">I. ANTECEDENTES </w:t>
      </w:r>
    </w:p>
    <w:p w:rsidR="00B9773E" w:rsidRPr="00956C2A" w:rsidRDefault="00B9773E" w:rsidP="00B9773E">
      <w:pPr>
        <w:rPr>
          <w:rFonts w:ascii="Arial" w:hAnsi="Arial" w:cs="Arial"/>
          <w:lang w:val="es-MX"/>
        </w:rPr>
      </w:pPr>
    </w:p>
    <w:p w:rsidR="00B9773E" w:rsidRPr="00956C2A" w:rsidRDefault="00B9773E" w:rsidP="00B9773E">
      <w:pPr>
        <w:spacing w:line="360" w:lineRule="auto"/>
        <w:jc w:val="both"/>
        <w:rPr>
          <w:rFonts w:ascii="Arial" w:hAnsi="Arial" w:cs="Arial"/>
        </w:rPr>
      </w:pPr>
      <w:r w:rsidRPr="00956C2A">
        <w:rPr>
          <w:rFonts w:ascii="Arial" w:hAnsi="Arial" w:cs="Arial"/>
          <w:lang w:val="es-MX"/>
        </w:rPr>
        <w:t xml:space="preserve">Mediante providencia del 31 de marzo de 2020, este Despacho Judicial avocó el conocimiento del medio de control inmediato de legalidad del Decreto </w:t>
      </w:r>
      <w:r w:rsidRPr="00956C2A">
        <w:rPr>
          <w:rFonts w:ascii="Arial" w:hAnsi="Arial" w:cs="Arial"/>
          <w:sz w:val="26"/>
          <w:szCs w:val="26"/>
        </w:rPr>
        <w:t xml:space="preserve">No. </w:t>
      </w:r>
      <w:r w:rsidR="005F773F" w:rsidRPr="00956C2A">
        <w:rPr>
          <w:rFonts w:ascii="Arial" w:hAnsi="Arial" w:cs="Arial"/>
          <w:lang w:val="es-CO"/>
        </w:rPr>
        <w:t>100-028-</w:t>
      </w:r>
      <w:r w:rsidRPr="00CE495E">
        <w:rPr>
          <w:rFonts w:ascii="Arial" w:hAnsi="Arial" w:cs="Arial"/>
          <w:b/>
        </w:rPr>
        <w:t xml:space="preserve">063 </w:t>
      </w:r>
      <w:r w:rsidRPr="00956C2A">
        <w:rPr>
          <w:rFonts w:ascii="Arial" w:hAnsi="Arial" w:cs="Arial"/>
        </w:rPr>
        <w:t>del 18 de marzo de 2020, expedido por la Alcaldía Municipal de San Juan Bautista Guacarí radicado bajo partida No.</w:t>
      </w:r>
      <w:r w:rsidRPr="00956C2A">
        <w:rPr>
          <w:rFonts w:ascii="Arial" w:hAnsi="Arial" w:cs="Arial"/>
          <w:lang w:val="es-MX"/>
        </w:rPr>
        <w:t xml:space="preserve"> </w:t>
      </w:r>
      <w:r w:rsidRPr="00956C2A">
        <w:rPr>
          <w:rFonts w:ascii="Arial" w:hAnsi="Arial" w:cs="Arial"/>
          <w:b/>
          <w:bCs/>
        </w:rPr>
        <w:t>76001-23-33-000-2020-00321-00</w:t>
      </w:r>
    </w:p>
    <w:p w:rsidR="00B9773E" w:rsidRPr="00956C2A" w:rsidRDefault="00B9773E" w:rsidP="00B9773E">
      <w:pPr>
        <w:spacing w:line="360" w:lineRule="auto"/>
        <w:jc w:val="both"/>
        <w:rPr>
          <w:rFonts w:ascii="Arial" w:hAnsi="Arial" w:cs="Arial"/>
        </w:rPr>
      </w:pPr>
    </w:p>
    <w:p w:rsidR="00253CEE" w:rsidRPr="00956C2A" w:rsidRDefault="00B9773E" w:rsidP="005F773F">
      <w:pPr>
        <w:spacing w:line="360" w:lineRule="auto"/>
        <w:jc w:val="both"/>
        <w:rPr>
          <w:rFonts w:ascii="Arial" w:hAnsi="Arial" w:cs="Arial"/>
        </w:rPr>
      </w:pPr>
      <w:r w:rsidRPr="00956C2A">
        <w:rPr>
          <w:rFonts w:ascii="Arial" w:hAnsi="Arial" w:cs="Arial"/>
        </w:rPr>
        <w:t xml:space="preserve">Por otra parte, mediante providencia No. </w:t>
      </w:r>
      <w:r w:rsidRPr="00956C2A">
        <w:rPr>
          <w:rFonts w:ascii="Arial" w:hAnsi="Arial" w:cs="Arial"/>
          <w:lang w:val="es-MX"/>
        </w:rPr>
        <w:t xml:space="preserve">213 del 02 de abril de 2020 proferida por el Magistrado VICTOR ADOLFO HERNANDEZ DIAZ, se remitió el proceso radicado bajo partida No. </w:t>
      </w:r>
      <w:r w:rsidRPr="00956C2A">
        <w:rPr>
          <w:rFonts w:ascii="Arial" w:hAnsi="Arial" w:cs="Arial"/>
          <w:sz w:val="26"/>
          <w:szCs w:val="26"/>
        </w:rPr>
        <w:t>76001-23-33-000-2020-00323-00</w:t>
      </w:r>
      <w:r w:rsidR="00CE495E">
        <w:rPr>
          <w:rFonts w:ascii="Arial" w:hAnsi="Arial" w:cs="Arial"/>
          <w:sz w:val="26"/>
          <w:szCs w:val="26"/>
        </w:rPr>
        <w:t>, en el que</w:t>
      </w:r>
      <w:r w:rsidRPr="00956C2A">
        <w:rPr>
          <w:rFonts w:ascii="Arial" w:hAnsi="Arial" w:cs="Arial"/>
          <w:sz w:val="26"/>
          <w:szCs w:val="26"/>
        </w:rPr>
        <w:t xml:space="preserve"> se estudia el control inmediato de legalidad del Decreto No.</w:t>
      </w:r>
      <w:r w:rsidR="005F773F" w:rsidRPr="00956C2A">
        <w:rPr>
          <w:rFonts w:ascii="Arial" w:hAnsi="Arial" w:cs="Arial"/>
          <w:sz w:val="26"/>
          <w:szCs w:val="26"/>
        </w:rPr>
        <w:t xml:space="preserve"> </w:t>
      </w:r>
      <w:r w:rsidR="005F773F" w:rsidRPr="00956C2A">
        <w:rPr>
          <w:rFonts w:ascii="Arial" w:hAnsi="Arial" w:cs="Arial"/>
          <w:lang w:val="es-CO"/>
        </w:rPr>
        <w:t>100-028-</w:t>
      </w:r>
      <w:r w:rsidRPr="009E0DFD">
        <w:rPr>
          <w:rFonts w:ascii="Arial" w:hAnsi="Arial" w:cs="Arial"/>
          <w:b/>
        </w:rPr>
        <w:t xml:space="preserve">069 </w:t>
      </w:r>
      <w:r w:rsidRPr="00956C2A">
        <w:rPr>
          <w:rFonts w:ascii="Arial" w:hAnsi="Arial" w:cs="Arial"/>
        </w:rPr>
        <w:t>del 20 de marzo de 2020</w:t>
      </w:r>
      <w:r w:rsidR="00253CEE" w:rsidRPr="00956C2A">
        <w:rPr>
          <w:rFonts w:ascii="Arial" w:hAnsi="Arial" w:cs="Arial"/>
        </w:rPr>
        <w:t xml:space="preserve"> para que se resolviera sobre la acumulación de procesos, teniendo en cuenta las siguientes consideraciones: </w:t>
      </w:r>
    </w:p>
    <w:p w:rsidR="00253CEE" w:rsidRPr="00956C2A" w:rsidRDefault="00253CEE" w:rsidP="00253CEE">
      <w:pPr>
        <w:pStyle w:val="Default"/>
        <w:ind w:left="708"/>
        <w:jc w:val="both"/>
        <w:rPr>
          <w:rFonts w:ascii="Arial" w:hAnsi="Arial" w:cs="Arial"/>
          <w:color w:val="auto"/>
        </w:rPr>
      </w:pPr>
      <w:r w:rsidRPr="00956C2A">
        <w:rPr>
          <w:rFonts w:ascii="Arial" w:hAnsi="Arial" w:cs="Arial"/>
          <w:color w:val="auto"/>
          <w:sz w:val="22"/>
          <w:szCs w:val="22"/>
        </w:rPr>
        <w:t xml:space="preserve"> </w:t>
      </w:r>
      <w:r w:rsidR="005F773F" w:rsidRPr="00956C2A">
        <w:rPr>
          <w:rFonts w:ascii="Arial" w:hAnsi="Arial" w:cs="Arial"/>
          <w:color w:val="auto"/>
          <w:sz w:val="22"/>
          <w:szCs w:val="22"/>
        </w:rPr>
        <w:t>“</w:t>
      </w:r>
      <w:r w:rsidRPr="00956C2A">
        <w:rPr>
          <w:rFonts w:ascii="Arial" w:hAnsi="Arial" w:cs="Arial"/>
          <w:color w:val="auto"/>
        </w:rPr>
        <w:t xml:space="preserve">A juicio del Despacho, en atención del </w:t>
      </w:r>
      <w:r w:rsidRPr="00CE495E">
        <w:rPr>
          <w:rFonts w:ascii="Arial" w:hAnsi="Arial" w:cs="Arial"/>
          <w:b/>
          <w:color w:val="auto"/>
        </w:rPr>
        <w:t>principio constitucional de unidad de materia</w:t>
      </w:r>
      <w:r w:rsidRPr="00956C2A">
        <w:rPr>
          <w:rFonts w:ascii="Arial" w:hAnsi="Arial" w:cs="Arial"/>
          <w:color w:val="auto"/>
        </w:rPr>
        <w:t xml:space="preserve">, el presente proceso debe acumularse al proceso radicado con el No. </w:t>
      </w:r>
      <w:r w:rsidRPr="00956C2A">
        <w:rPr>
          <w:rFonts w:ascii="Arial" w:hAnsi="Arial" w:cs="Arial"/>
          <w:color w:val="auto"/>
        </w:rPr>
        <w:lastRenderedPageBreak/>
        <w:t xml:space="preserve">2020-00321-00, pues en este último se estudia la legalidad del acto administrativo principal el cual valga aclarar ya fue avocado a través de providencia del 31 de marzo de 2020. </w:t>
      </w:r>
    </w:p>
    <w:p w:rsidR="00253CEE" w:rsidRPr="00956C2A" w:rsidRDefault="00253CEE" w:rsidP="00253CEE">
      <w:pPr>
        <w:pStyle w:val="Default"/>
        <w:ind w:left="708"/>
        <w:jc w:val="both"/>
        <w:rPr>
          <w:rFonts w:ascii="Arial" w:hAnsi="Arial" w:cs="Arial"/>
          <w:color w:val="auto"/>
        </w:rPr>
      </w:pPr>
    </w:p>
    <w:p w:rsidR="00253CEE" w:rsidRPr="00956C2A" w:rsidRDefault="00253CEE" w:rsidP="00253CEE">
      <w:pPr>
        <w:pStyle w:val="Default"/>
        <w:ind w:left="708"/>
        <w:jc w:val="both"/>
        <w:rPr>
          <w:rFonts w:ascii="Arial" w:hAnsi="Arial" w:cs="Arial"/>
          <w:color w:val="auto"/>
        </w:rPr>
      </w:pPr>
      <w:r w:rsidRPr="00956C2A">
        <w:rPr>
          <w:rFonts w:ascii="Arial" w:hAnsi="Arial" w:cs="Arial"/>
          <w:color w:val="auto"/>
        </w:rPr>
        <w:t xml:space="preserve">Ciertamente, en virtud del aludido principio el control inmediato de legalidad de los Decretos N° 1000-0028-069 del 20 de marzo de 2020 y N° 1000-0028-063 del 18 de marzo de 2020 no puede ejercerse de forma separada, porque </w:t>
      </w:r>
      <w:r w:rsidRPr="00CE495E">
        <w:rPr>
          <w:rFonts w:ascii="Arial" w:hAnsi="Arial" w:cs="Arial"/>
          <w:b/>
          <w:color w:val="auto"/>
        </w:rPr>
        <w:t>tienen una relación de conexidad en la medida que el segundo modificó y adicionó</w:t>
      </w:r>
      <w:r w:rsidRPr="00956C2A">
        <w:rPr>
          <w:rFonts w:ascii="Arial" w:hAnsi="Arial" w:cs="Arial"/>
          <w:color w:val="auto"/>
        </w:rPr>
        <w:t xml:space="preserve"> unos artículos del primer acto administrativo, de manera que deben estudiarse de forma conjunta para salvaguardar el principio de seguridad jurídica y asegurar también la </w:t>
      </w:r>
      <w:r w:rsidRPr="00CE495E">
        <w:rPr>
          <w:rFonts w:ascii="Arial" w:hAnsi="Arial" w:cs="Arial"/>
          <w:b/>
          <w:color w:val="auto"/>
        </w:rPr>
        <w:t>coherencia de las providencias</w:t>
      </w:r>
      <w:r w:rsidRPr="00956C2A">
        <w:rPr>
          <w:rFonts w:ascii="Arial" w:hAnsi="Arial" w:cs="Arial"/>
          <w:color w:val="auto"/>
        </w:rPr>
        <w:t xml:space="preserve"> emitidas por esta Corporación en el trámite del referido control. </w:t>
      </w:r>
    </w:p>
    <w:p w:rsidR="00253CEE" w:rsidRPr="00956C2A" w:rsidRDefault="00253CEE" w:rsidP="00253CEE">
      <w:pPr>
        <w:pStyle w:val="Default"/>
        <w:ind w:left="708"/>
        <w:jc w:val="both"/>
        <w:rPr>
          <w:rFonts w:ascii="Arial" w:hAnsi="Arial" w:cs="Arial"/>
          <w:color w:val="auto"/>
        </w:rPr>
      </w:pPr>
    </w:p>
    <w:p w:rsidR="00253CEE" w:rsidRPr="00956C2A" w:rsidRDefault="00253CEE" w:rsidP="00253CEE">
      <w:pPr>
        <w:ind w:left="708"/>
        <w:jc w:val="both"/>
        <w:rPr>
          <w:rFonts w:ascii="Arial" w:hAnsi="Arial" w:cs="Arial"/>
          <w:sz w:val="22"/>
          <w:szCs w:val="22"/>
        </w:rPr>
      </w:pPr>
      <w:r w:rsidRPr="00956C2A">
        <w:rPr>
          <w:rFonts w:ascii="Arial" w:hAnsi="Arial" w:cs="Arial"/>
        </w:rPr>
        <w:t xml:space="preserve">En este escenario y siendo avocado el decreto principal en la actualidad, se puede dar aplicación a lo dispuesto por el artículo 149 del Código General del Proceso que indica que en la acumulación de procesos la competencia la asumirá </w:t>
      </w:r>
      <w:r w:rsidRPr="00956C2A">
        <w:rPr>
          <w:rFonts w:ascii="Arial" w:hAnsi="Arial" w:cs="Arial"/>
          <w:i/>
          <w:iCs/>
        </w:rPr>
        <w:t>“</w:t>
      </w:r>
      <w:r w:rsidRPr="00CE495E">
        <w:rPr>
          <w:rFonts w:ascii="Arial" w:hAnsi="Arial" w:cs="Arial"/>
          <w:b/>
          <w:i/>
          <w:iCs/>
        </w:rPr>
        <w:t>el juez que adelante el proceso más antiguo</w:t>
      </w:r>
      <w:r w:rsidRPr="00956C2A">
        <w:rPr>
          <w:rFonts w:ascii="Arial" w:hAnsi="Arial" w:cs="Arial"/>
          <w:i/>
          <w:iCs/>
        </w:rPr>
        <w:t>, lo cual se determinará por la fecha de la notificación del auto admisorio de la demanda”.</w:t>
      </w:r>
      <w:r w:rsidR="00CE495E">
        <w:rPr>
          <w:rFonts w:ascii="Arial" w:hAnsi="Arial" w:cs="Arial"/>
          <w:i/>
          <w:iCs/>
        </w:rPr>
        <w:t xml:space="preserve"> (negrilla no es del texto original) </w:t>
      </w:r>
    </w:p>
    <w:p w:rsidR="00253CEE" w:rsidRPr="00956C2A" w:rsidRDefault="00253CEE" w:rsidP="00B9773E">
      <w:pPr>
        <w:spacing w:line="360" w:lineRule="auto"/>
        <w:jc w:val="both"/>
        <w:rPr>
          <w:rFonts w:ascii="Arial" w:hAnsi="Arial" w:cs="Arial"/>
        </w:rPr>
      </w:pPr>
    </w:p>
    <w:p w:rsidR="00D52F97" w:rsidRPr="00956C2A" w:rsidRDefault="00D52F97" w:rsidP="00B9773E">
      <w:pPr>
        <w:spacing w:line="360" w:lineRule="auto"/>
        <w:jc w:val="both"/>
        <w:rPr>
          <w:rFonts w:ascii="Arial" w:hAnsi="Arial" w:cs="Arial"/>
        </w:rPr>
      </w:pPr>
      <w:r w:rsidRPr="00956C2A">
        <w:rPr>
          <w:rFonts w:ascii="Arial" w:hAnsi="Arial" w:cs="Arial"/>
        </w:rPr>
        <w:t xml:space="preserve">Contra la anterior decisión no se interpuso recurso alguno, por lo que no existe ningún impedimento procesal que impida tomar la decisión a que hubiere a lugar, no sin antes dejar expuestas las siguientes, </w:t>
      </w:r>
    </w:p>
    <w:p w:rsidR="00D52F97" w:rsidRPr="00956C2A" w:rsidRDefault="00D52F97" w:rsidP="00B9773E">
      <w:pPr>
        <w:spacing w:line="360" w:lineRule="auto"/>
        <w:jc w:val="both"/>
        <w:rPr>
          <w:rFonts w:ascii="Arial" w:hAnsi="Arial" w:cs="Arial"/>
        </w:rPr>
      </w:pPr>
    </w:p>
    <w:p w:rsidR="00D52F97" w:rsidRPr="00956C2A" w:rsidRDefault="00D52F97" w:rsidP="00B9773E">
      <w:pPr>
        <w:spacing w:line="360" w:lineRule="auto"/>
        <w:jc w:val="both"/>
        <w:rPr>
          <w:rFonts w:ascii="Arial" w:hAnsi="Arial" w:cs="Arial"/>
          <w:b/>
          <w:bCs/>
        </w:rPr>
      </w:pPr>
      <w:r w:rsidRPr="00956C2A">
        <w:rPr>
          <w:rFonts w:ascii="Arial" w:hAnsi="Arial" w:cs="Arial"/>
          <w:b/>
          <w:bCs/>
        </w:rPr>
        <w:t xml:space="preserve">CONSIDERACIONES: </w:t>
      </w:r>
    </w:p>
    <w:p w:rsidR="00D52F97" w:rsidRPr="00956C2A" w:rsidRDefault="00D52F97" w:rsidP="00B9773E">
      <w:pPr>
        <w:spacing w:line="360" w:lineRule="auto"/>
        <w:jc w:val="both"/>
        <w:rPr>
          <w:rFonts w:ascii="Arial" w:hAnsi="Arial" w:cs="Arial"/>
        </w:rPr>
      </w:pPr>
    </w:p>
    <w:p w:rsidR="00D52F97" w:rsidRPr="00956C2A" w:rsidRDefault="00D52F97" w:rsidP="00D52F97">
      <w:pPr>
        <w:spacing w:line="360" w:lineRule="auto"/>
        <w:jc w:val="both"/>
        <w:rPr>
          <w:rFonts w:ascii="Arial" w:hAnsi="Arial" w:cs="Arial"/>
          <w:lang w:val="es-MX" w:eastAsia="en-US"/>
        </w:rPr>
      </w:pPr>
      <w:r w:rsidRPr="00956C2A">
        <w:rPr>
          <w:rFonts w:ascii="Arial" w:hAnsi="Arial" w:cs="Arial"/>
        </w:rPr>
        <w:t>Para resolver el a</w:t>
      </w:r>
      <w:r w:rsidR="005F773F" w:rsidRPr="00956C2A">
        <w:rPr>
          <w:rFonts w:ascii="Arial" w:hAnsi="Arial" w:cs="Arial"/>
        </w:rPr>
        <w:t>s</w:t>
      </w:r>
      <w:r w:rsidRPr="00956C2A">
        <w:rPr>
          <w:rFonts w:ascii="Arial" w:hAnsi="Arial" w:cs="Arial"/>
        </w:rPr>
        <w:t>unto planteado, se debe establecer si</w:t>
      </w:r>
      <w:r w:rsidRPr="00956C2A">
        <w:rPr>
          <w:rFonts w:ascii="Arial" w:hAnsi="Arial" w:cs="Arial"/>
          <w:lang w:val="es-MX"/>
        </w:rPr>
        <w:t xml:space="preserve"> </w:t>
      </w:r>
      <w:r w:rsidRPr="00956C2A">
        <w:rPr>
          <w:rFonts w:ascii="Arial" w:hAnsi="Arial" w:cs="Arial"/>
          <w:b/>
          <w:lang w:val="es-MX"/>
        </w:rPr>
        <w:t>i)</w:t>
      </w:r>
      <w:r w:rsidRPr="00956C2A">
        <w:rPr>
          <w:rFonts w:ascii="Arial" w:hAnsi="Arial" w:cs="Arial"/>
          <w:lang w:val="es-MX"/>
        </w:rPr>
        <w:t xml:space="preserve"> si existe unidad de materia y si se dan los presupuestos para aplicar los principios de integridad normativa y control integral; </w:t>
      </w:r>
      <w:r w:rsidRPr="00956C2A">
        <w:rPr>
          <w:rFonts w:ascii="Arial" w:hAnsi="Arial" w:cs="Arial"/>
          <w:b/>
          <w:bCs/>
          <w:lang w:val="es-MX"/>
        </w:rPr>
        <w:t>ii)</w:t>
      </w:r>
      <w:r w:rsidRPr="00956C2A">
        <w:rPr>
          <w:rFonts w:ascii="Arial" w:hAnsi="Arial" w:cs="Arial"/>
          <w:lang w:val="es-MX"/>
        </w:rPr>
        <w:t xml:space="preserve"> si en este medio de control inmediato de legalidad es procedente la acumulación de pretensiones, de procesos o de demandas de conformidad con la normativa contenciosa administrativa, para finalmente </w:t>
      </w:r>
      <w:r w:rsidRPr="00956C2A">
        <w:rPr>
          <w:rFonts w:ascii="Arial" w:hAnsi="Arial" w:cs="Arial"/>
          <w:b/>
          <w:lang w:val="es-MX"/>
        </w:rPr>
        <w:t>iii)</w:t>
      </w:r>
      <w:r w:rsidRPr="00956C2A">
        <w:rPr>
          <w:rFonts w:ascii="Arial" w:hAnsi="Arial" w:cs="Arial"/>
          <w:lang w:val="es-MX"/>
        </w:rPr>
        <w:t xml:space="preserve"> resolver sobre la solicitud de acumulación formulada por el homologo Despacho</w:t>
      </w:r>
      <w:r w:rsidR="00727C81" w:rsidRPr="00956C2A">
        <w:rPr>
          <w:rFonts w:ascii="Arial" w:hAnsi="Arial" w:cs="Arial"/>
          <w:lang w:val="es-MX"/>
        </w:rPr>
        <w:t xml:space="preserve"> y decidir si hay lugar a avocar el conocimiento del Decreto </w:t>
      </w:r>
    </w:p>
    <w:p w:rsidR="00D52F97" w:rsidRPr="00956C2A" w:rsidRDefault="00D52F97" w:rsidP="00B9773E">
      <w:pPr>
        <w:spacing w:line="360" w:lineRule="auto"/>
        <w:jc w:val="both"/>
        <w:rPr>
          <w:rFonts w:ascii="Arial" w:hAnsi="Arial" w:cs="Arial"/>
          <w:lang w:val="es-MX"/>
        </w:rPr>
      </w:pPr>
    </w:p>
    <w:p w:rsidR="00D52F97" w:rsidRPr="00956C2A" w:rsidRDefault="008D17E0" w:rsidP="008D17E0">
      <w:pPr>
        <w:pStyle w:val="Prrafodelista"/>
        <w:numPr>
          <w:ilvl w:val="0"/>
          <w:numId w:val="6"/>
        </w:numPr>
        <w:spacing w:line="360" w:lineRule="auto"/>
        <w:ind w:left="567" w:hanging="567"/>
        <w:jc w:val="both"/>
        <w:rPr>
          <w:rFonts w:ascii="Arial" w:hAnsi="Arial" w:cs="Arial"/>
          <w:b/>
          <w:bCs/>
        </w:rPr>
      </w:pPr>
      <w:r w:rsidRPr="00956C2A">
        <w:rPr>
          <w:rFonts w:ascii="Arial" w:hAnsi="Arial" w:cs="Arial"/>
          <w:b/>
          <w:bCs/>
        </w:rPr>
        <w:t xml:space="preserve">UNIDAD DE MATERIA - </w:t>
      </w:r>
      <w:r w:rsidRPr="00956C2A">
        <w:rPr>
          <w:rFonts w:ascii="Arial" w:hAnsi="Arial" w:cs="Arial"/>
          <w:b/>
          <w:bCs/>
          <w:lang w:val="es-MX"/>
        </w:rPr>
        <w:t xml:space="preserve">PRINCIPIOS DE INTEGRIDAD NORMATIVA Y CONTROL INTEGRAL. </w:t>
      </w:r>
    </w:p>
    <w:p w:rsidR="00D52F97" w:rsidRPr="00956C2A" w:rsidRDefault="00D52F97" w:rsidP="00B9773E">
      <w:pPr>
        <w:spacing w:line="360" w:lineRule="auto"/>
        <w:jc w:val="both"/>
        <w:rPr>
          <w:rFonts w:ascii="Arial" w:hAnsi="Arial" w:cs="Arial"/>
        </w:rPr>
      </w:pPr>
    </w:p>
    <w:p w:rsidR="00D52F97" w:rsidRPr="00956C2A" w:rsidRDefault="00D52F97" w:rsidP="00B9773E">
      <w:pPr>
        <w:spacing w:line="360" w:lineRule="auto"/>
        <w:jc w:val="both"/>
        <w:rPr>
          <w:rFonts w:ascii="Arial" w:hAnsi="Arial" w:cs="Arial"/>
        </w:rPr>
      </w:pPr>
      <w:r w:rsidRPr="00956C2A">
        <w:rPr>
          <w:rFonts w:ascii="Arial" w:hAnsi="Arial" w:cs="Arial"/>
        </w:rPr>
        <w:t xml:space="preserve">Para determinar si existe unidad de materia, se procederá a hacer alusión a los actos </w:t>
      </w:r>
      <w:r w:rsidR="00565C83" w:rsidRPr="00956C2A">
        <w:rPr>
          <w:rFonts w:ascii="Arial" w:hAnsi="Arial" w:cs="Arial"/>
        </w:rPr>
        <w:t xml:space="preserve">administrativos objeto de control inmediato de legalidad, en los siguientes términos: </w:t>
      </w:r>
    </w:p>
    <w:p w:rsidR="00565C83" w:rsidRPr="00956C2A" w:rsidRDefault="00565C83" w:rsidP="00B9773E">
      <w:pPr>
        <w:spacing w:line="360" w:lineRule="auto"/>
        <w:jc w:val="both"/>
        <w:rPr>
          <w:rFonts w:ascii="Arial" w:hAnsi="Arial" w:cs="Arial"/>
        </w:rPr>
      </w:pPr>
    </w:p>
    <w:p w:rsidR="00DC2440" w:rsidRPr="00956C2A" w:rsidRDefault="00565C83" w:rsidP="00B9773E">
      <w:pPr>
        <w:spacing w:line="360" w:lineRule="auto"/>
        <w:jc w:val="both"/>
        <w:rPr>
          <w:rFonts w:ascii="Arial" w:hAnsi="Arial" w:cs="Arial"/>
          <w:noProof/>
        </w:rPr>
      </w:pPr>
      <w:r w:rsidRPr="00956C2A">
        <w:rPr>
          <w:rFonts w:ascii="Arial" w:hAnsi="Arial" w:cs="Arial"/>
        </w:rPr>
        <w:t xml:space="preserve">Mediante el Decreto No. </w:t>
      </w:r>
      <w:r w:rsidR="005F773F" w:rsidRPr="00956C2A">
        <w:rPr>
          <w:rFonts w:ascii="Arial" w:hAnsi="Arial" w:cs="Arial"/>
          <w:lang w:val="es-CO"/>
        </w:rPr>
        <w:t>100-028-</w:t>
      </w:r>
      <w:r w:rsidRPr="009E0DFD">
        <w:rPr>
          <w:rFonts w:ascii="Arial" w:hAnsi="Arial" w:cs="Arial"/>
          <w:b/>
        </w:rPr>
        <w:t>063</w:t>
      </w:r>
      <w:r w:rsidRPr="00956C2A">
        <w:rPr>
          <w:rFonts w:ascii="Arial" w:hAnsi="Arial" w:cs="Arial"/>
        </w:rPr>
        <w:t xml:space="preserve"> del </w:t>
      </w:r>
      <w:r w:rsidRPr="009E0DFD">
        <w:rPr>
          <w:rFonts w:ascii="Arial" w:hAnsi="Arial" w:cs="Arial"/>
          <w:b/>
        </w:rPr>
        <w:t>18 de marzo de 2020</w:t>
      </w:r>
      <w:r w:rsidRPr="00956C2A">
        <w:rPr>
          <w:rFonts w:ascii="Arial" w:hAnsi="Arial" w:cs="Arial"/>
        </w:rPr>
        <w:t xml:space="preserve"> </w:t>
      </w:r>
      <w:r w:rsidR="00DC2440" w:rsidRPr="00956C2A">
        <w:rPr>
          <w:rFonts w:ascii="Arial" w:hAnsi="Arial" w:cs="Arial"/>
        </w:rPr>
        <w:t xml:space="preserve">(Artículo primero) </w:t>
      </w:r>
      <w:r w:rsidRPr="00956C2A">
        <w:rPr>
          <w:rFonts w:ascii="Arial" w:hAnsi="Arial" w:cs="Arial"/>
        </w:rPr>
        <w:t>el Alcalde Municipal</w:t>
      </w:r>
      <w:r w:rsidR="00DC2440" w:rsidRPr="00956C2A">
        <w:rPr>
          <w:rFonts w:ascii="Arial" w:hAnsi="Arial" w:cs="Arial"/>
        </w:rPr>
        <w:t xml:space="preserve"> de San Juan Bautista de Guacarí</w:t>
      </w:r>
      <w:r w:rsidRPr="00956C2A">
        <w:rPr>
          <w:rFonts w:ascii="Arial" w:hAnsi="Arial" w:cs="Arial"/>
        </w:rPr>
        <w:t xml:space="preserve"> adoptó ciertas medidas sanitarias y acciones transitorias de policía para la protección, mitigación y control de la pandemia del coronavirus COVID-19 en el Municipio</w:t>
      </w:r>
      <w:r w:rsidR="00DC2440" w:rsidRPr="00956C2A">
        <w:rPr>
          <w:rFonts w:ascii="Arial" w:hAnsi="Arial" w:cs="Arial"/>
        </w:rPr>
        <w:t xml:space="preserve">; por su parte, en el Decreto No. </w:t>
      </w:r>
      <w:r w:rsidR="005F773F" w:rsidRPr="00956C2A">
        <w:rPr>
          <w:rFonts w:ascii="Arial" w:hAnsi="Arial" w:cs="Arial"/>
          <w:lang w:val="es-CO"/>
        </w:rPr>
        <w:t>100-028-</w:t>
      </w:r>
      <w:r w:rsidR="00DC2440" w:rsidRPr="009E0DFD">
        <w:rPr>
          <w:rFonts w:ascii="Arial" w:hAnsi="Arial" w:cs="Arial"/>
          <w:b/>
        </w:rPr>
        <w:t xml:space="preserve">69 </w:t>
      </w:r>
      <w:r w:rsidR="00DC2440" w:rsidRPr="00956C2A">
        <w:rPr>
          <w:rFonts w:ascii="Arial" w:hAnsi="Arial" w:cs="Arial"/>
        </w:rPr>
        <w:t xml:space="preserve">del </w:t>
      </w:r>
      <w:r w:rsidR="00DC2440" w:rsidRPr="009E0DFD">
        <w:rPr>
          <w:rFonts w:ascii="Arial" w:hAnsi="Arial" w:cs="Arial"/>
          <w:b/>
        </w:rPr>
        <w:t>20 de marzo de 2020</w:t>
      </w:r>
      <w:r w:rsidR="00DC2440" w:rsidRPr="00956C2A">
        <w:rPr>
          <w:rFonts w:ascii="Arial" w:hAnsi="Arial" w:cs="Arial"/>
        </w:rPr>
        <w:t xml:space="preserve"> se procedió a modificar y adicionar las medidas tomadas en el anterior </w:t>
      </w:r>
      <w:r w:rsidR="00DC2440" w:rsidRPr="00956C2A">
        <w:rPr>
          <w:rFonts w:ascii="Arial" w:hAnsi="Arial" w:cs="Arial"/>
        </w:rPr>
        <w:lastRenderedPageBreak/>
        <w:t xml:space="preserve">Decreto </w:t>
      </w:r>
      <w:r w:rsidR="00DC2440" w:rsidRPr="00956C2A">
        <w:rPr>
          <w:rFonts w:ascii="Arial" w:hAnsi="Arial" w:cs="Arial"/>
          <w:noProof/>
        </w:rPr>
        <w:t>con el fin de ampliar las excepciones al toque de queda decretado en lo relacionado al abastecimiento y adquisición de alimentos, productos farmaceúticos de salud y primera necesidad, así como la atención de las mascotas o animales de compañía.</w:t>
      </w:r>
    </w:p>
    <w:p w:rsidR="005F773F" w:rsidRPr="00956C2A" w:rsidRDefault="005F773F" w:rsidP="00B9773E">
      <w:pPr>
        <w:spacing w:line="360" w:lineRule="auto"/>
        <w:jc w:val="both"/>
        <w:rPr>
          <w:rFonts w:ascii="Arial" w:hAnsi="Arial" w:cs="Arial"/>
        </w:rPr>
      </w:pPr>
    </w:p>
    <w:p w:rsidR="005C09C9" w:rsidRPr="00956C2A" w:rsidRDefault="00DC2440" w:rsidP="00B9773E">
      <w:pPr>
        <w:spacing w:line="360" w:lineRule="auto"/>
        <w:jc w:val="both"/>
        <w:rPr>
          <w:rFonts w:ascii="Arial" w:hAnsi="Arial" w:cs="Arial"/>
          <w:noProof/>
        </w:rPr>
      </w:pPr>
      <w:r w:rsidRPr="00956C2A">
        <w:rPr>
          <w:rFonts w:ascii="Arial" w:hAnsi="Arial" w:cs="Arial"/>
          <w:noProof/>
        </w:rPr>
        <w:t>De estar forma, sin necesidad de realizar mayores elucubraciones</w:t>
      </w:r>
      <w:r w:rsidR="005C09C9" w:rsidRPr="00956C2A">
        <w:rPr>
          <w:rFonts w:ascii="Arial" w:hAnsi="Arial" w:cs="Arial"/>
          <w:noProof/>
        </w:rPr>
        <w:t>,</w:t>
      </w:r>
      <w:r w:rsidRPr="00956C2A">
        <w:rPr>
          <w:rFonts w:ascii="Arial" w:hAnsi="Arial" w:cs="Arial"/>
          <w:noProof/>
        </w:rPr>
        <w:t xml:space="preserve"> el Despacho puede evidenciar que el Decreto posterior (069) se encuentra estrechamente</w:t>
      </w:r>
      <w:r w:rsidR="005C09C9" w:rsidRPr="00956C2A">
        <w:rPr>
          <w:rFonts w:ascii="Arial" w:hAnsi="Arial" w:cs="Arial"/>
          <w:noProof/>
        </w:rPr>
        <w:t xml:space="preserve"> </w:t>
      </w:r>
      <w:r w:rsidR="009E0DFD">
        <w:rPr>
          <w:rFonts w:ascii="Arial" w:hAnsi="Arial" w:cs="Arial"/>
          <w:noProof/>
        </w:rPr>
        <w:t xml:space="preserve">ligado, </w:t>
      </w:r>
      <w:r w:rsidR="005C09C9" w:rsidRPr="00956C2A">
        <w:rPr>
          <w:rFonts w:ascii="Arial" w:hAnsi="Arial" w:cs="Arial"/>
          <w:noProof/>
        </w:rPr>
        <w:t>en cuanto a la materia objeto de control</w:t>
      </w:r>
      <w:r w:rsidR="009E0DFD">
        <w:rPr>
          <w:rFonts w:ascii="Arial" w:hAnsi="Arial" w:cs="Arial"/>
          <w:noProof/>
        </w:rPr>
        <w:t xml:space="preserve">, </w:t>
      </w:r>
      <w:r w:rsidRPr="00956C2A">
        <w:rPr>
          <w:rFonts w:ascii="Arial" w:hAnsi="Arial" w:cs="Arial"/>
          <w:noProof/>
        </w:rPr>
        <w:t>con el Decreto primigenio (063) siendo</w:t>
      </w:r>
      <w:r w:rsidR="005C09C9" w:rsidRPr="00956C2A">
        <w:rPr>
          <w:rFonts w:ascii="Arial" w:hAnsi="Arial" w:cs="Arial"/>
          <w:noProof/>
        </w:rPr>
        <w:t xml:space="preserve">, por lo que a prima facie se encuentra acreditado el mencionado </w:t>
      </w:r>
      <w:r w:rsidR="005C09C9" w:rsidRPr="009E0DFD">
        <w:rPr>
          <w:rFonts w:ascii="Arial" w:hAnsi="Arial" w:cs="Arial"/>
          <w:b/>
          <w:noProof/>
        </w:rPr>
        <w:t>presupuesto de unidad normativa</w:t>
      </w:r>
      <w:r w:rsidR="005C09C9" w:rsidRPr="00956C2A">
        <w:rPr>
          <w:rFonts w:ascii="Arial" w:hAnsi="Arial" w:cs="Arial"/>
          <w:noProof/>
        </w:rPr>
        <w:t xml:space="preserve">, situación que además se encuentra prevista en el parágrafo del art. 135 del CPACA, el cual resulta aplicable por análogía a este medio de control constitucional, veamos: </w:t>
      </w:r>
    </w:p>
    <w:p w:rsidR="005C09C9" w:rsidRPr="00956C2A" w:rsidRDefault="005C09C9" w:rsidP="005C09C9">
      <w:pPr>
        <w:spacing w:line="360" w:lineRule="auto"/>
        <w:jc w:val="both"/>
        <w:rPr>
          <w:rFonts w:ascii="Arial" w:hAnsi="Arial" w:cs="Arial"/>
          <w:noProof/>
          <w:sz w:val="22"/>
          <w:szCs w:val="22"/>
        </w:rPr>
      </w:pPr>
    </w:p>
    <w:p w:rsidR="00DC2440" w:rsidRPr="00956C2A" w:rsidRDefault="005C09C9" w:rsidP="009251A2">
      <w:pPr>
        <w:pStyle w:val="NormalWeb"/>
        <w:spacing w:after="0" w:afterAutospacing="0" w:line="270" w:lineRule="atLeast"/>
        <w:ind w:left="708"/>
        <w:jc w:val="both"/>
        <w:rPr>
          <w:rFonts w:ascii="Arial" w:hAnsi="Arial" w:cs="Arial"/>
          <w:sz w:val="22"/>
          <w:szCs w:val="22"/>
        </w:rPr>
      </w:pPr>
      <w:r w:rsidRPr="00956C2A">
        <w:rPr>
          <w:rStyle w:val="baj"/>
          <w:rFonts w:ascii="Arial" w:hAnsi="Arial" w:cs="Arial"/>
          <w:b/>
          <w:bCs/>
          <w:sz w:val="22"/>
          <w:szCs w:val="22"/>
        </w:rPr>
        <w:t>PARÁGRAFO.</w:t>
      </w:r>
      <w:r w:rsidRPr="00956C2A">
        <w:rPr>
          <w:rFonts w:ascii="Arial" w:hAnsi="Arial" w:cs="Arial"/>
          <w:sz w:val="22"/>
          <w:szCs w:val="22"/>
        </w:rPr>
        <w:t xml:space="preserve"> El Consejo de Estado no estará limitado para proferir su decisión a los cargos formulados en la demanda. En consecuencia, </w:t>
      </w:r>
      <w:r w:rsidRPr="009E0DFD">
        <w:rPr>
          <w:rFonts w:ascii="Arial" w:hAnsi="Arial" w:cs="Arial"/>
          <w:b/>
          <w:sz w:val="22"/>
          <w:szCs w:val="22"/>
        </w:rPr>
        <w:t>podrá fundar la declaración de nulidad por inconstitucionalidad en la violación de cualquier norma constitucional</w:t>
      </w:r>
      <w:r w:rsidRPr="00956C2A">
        <w:rPr>
          <w:rFonts w:ascii="Arial" w:hAnsi="Arial" w:cs="Arial"/>
          <w:sz w:val="22"/>
          <w:szCs w:val="22"/>
        </w:rPr>
        <w:t xml:space="preserve">. Igualmente podrá pronunciarse en la sentencia sobre las normas que, a su juicio, conforman </w:t>
      </w:r>
      <w:r w:rsidRPr="009E0DFD">
        <w:rPr>
          <w:rFonts w:ascii="Arial" w:hAnsi="Arial" w:cs="Arial"/>
          <w:b/>
          <w:sz w:val="22"/>
          <w:szCs w:val="22"/>
        </w:rPr>
        <w:t>unidad normativa</w:t>
      </w:r>
      <w:r w:rsidRPr="00956C2A">
        <w:rPr>
          <w:rFonts w:ascii="Arial" w:hAnsi="Arial" w:cs="Arial"/>
          <w:sz w:val="22"/>
          <w:szCs w:val="22"/>
        </w:rPr>
        <w:t xml:space="preserve"> con aquellas otras demandadas que declare nulas por inconstitucionales.</w:t>
      </w:r>
    </w:p>
    <w:p w:rsidR="009251A2" w:rsidRPr="00956C2A" w:rsidRDefault="009251A2" w:rsidP="009251A2">
      <w:pPr>
        <w:pStyle w:val="NormalWeb"/>
        <w:spacing w:after="0" w:afterAutospacing="0" w:line="270" w:lineRule="atLeast"/>
        <w:ind w:left="708"/>
        <w:jc w:val="both"/>
        <w:rPr>
          <w:rFonts w:ascii="Arial" w:hAnsi="Arial" w:cs="Arial"/>
          <w:sz w:val="22"/>
          <w:szCs w:val="22"/>
        </w:rPr>
      </w:pPr>
    </w:p>
    <w:p w:rsidR="00DC2440" w:rsidRPr="00956C2A" w:rsidRDefault="005C09C9" w:rsidP="009251A2">
      <w:pPr>
        <w:spacing w:line="360" w:lineRule="auto"/>
        <w:jc w:val="both"/>
        <w:rPr>
          <w:rFonts w:ascii="Arial" w:hAnsi="Arial" w:cs="Arial"/>
          <w:shd w:val="clear" w:color="auto" w:fill="FFFFFF"/>
        </w:rPr>
      </w:pPr>
      <w:r w:rsidRPr="00956C2A">
        <w:rPr>
          <w:rFonts w:ascii="Arial" w:hAnsi="Arial" w:cs="Arial"/>
          <w:shd w:val="clear" w:color="auto" w:fill="FFFFFF"/>
        </w:rPr>
        <w:t xml:space="preserve">La acumulación de procesos tiene como propósito hacer eficaz el </w:t>
      </w:r>
      <w:r w:rsidRPr="00CE495E">
        <w:rPr>
          <w:rFonts w:ascii="Arial" w:hAnsi="Arial" w:cs="Arial"/>
          <w:b/>
          <w:shd w:val="clear" w:color="auto" w:fill="FFFFFF"/>
        </w:rPr>
        <w:t>principio de la economía procesal,</w:t>
      </w:r>
      <w:r w:rsidRPr="00956C2A">
        <w:rPr>
          <w:rFonts w:ascii="Arial" w:hAnsi="Arial" w:cs="Arial"/>
          <w:shd w:val="clear" w:color="auto" w:fill="FFFFFF"/>
        </w:rPr>
        <w:t xml:space="preserve"> de esta manera se logra evitar que se produzcan fallos contradictorios sobre cuestiones conexas o sobre un mismo litigio</w:t>
      </w:r>
      <w:r w:rsidR="009E0DFD">
        <w:rPr>
          <w:rFonts w:ascii="Arial" w:hAnsi="Arial" w:cs="Arial"/>
          <w:shd w:val="clear" w:color="auto" w:fill="FFFFFF"/>
        </w:rPr>
        <w:t>.</w:t>
      </w:r>
    </w:p>
    <w:p w:rsidR="00663AFE" w:rsidRPr="00956C2A" w:rsidRDefault="00663AFE" w:rsidP="009251A2">
      <w:pPr>
        <w:spacing w:line="360" w:lineRule="auto"/>
        <w:jc w:val="both"/>
        <w:rPr>
          <w:rFonts w:ascii="Arial" w:hAnsi="Arial" w:cs="Arial"/>
          <w:shd w:val="clear" w:color="auto" w:fill="FFFFFF"/>
        </w:rPr>
      </w:pPr>
    </w:p>
    <w:p w:rsidR="00663AFE" w:rsidRPr="00956C2A" w:rsidRDefault="00663AFE" w:rsidP="00663AFE">
      <w:pPr>
        <w:spacing w:line="360" w:lineRule="auto"/>
        <w:jc w:val="both"/>
        <w:rPr>
          <w:rFonts w:ascii="Arial" w:hAnsi="Arial" w:cs="Arial"/>
          <w:bdr w:val="none" w:sz="0" w:space="0" w:color="auto" w:frame="1"/>
        </w:rPr>
      </w:pPr>
      <w:r w:rsidRPr="00956C2A">
        <w:rPr>
          <w:rFonts w:ascii="Arial" w:hAnsi="Arial" w:cs="Arial"/>
          <w:shd w:val="clear" w:color="auto" w:fill="FFFFFF"/>
        </w:rPr>
        <w:t xml:space="preserve">En la sentencia </w:t>
      </w:r>
      <w:r w:rsidRPr="00956C2A">
        <w:rPr>
          <w:rFonts w:ascii="Arial" w:hAnsi="Arial" w:cs="Arial"/>
          <w:b/>
          <w:lang w:val="es-CO"/>
        </w:rPr>
        <w:t xml:space="preserve">Sentencia C-568/16, </w:t>
      </w:r>
      <w:r w:rsidRPr="00956C2A">
        <w:rPr>
          <w:rFonts w:ascii="Arial" w:hAnsi="Arial" w:cs="Arial"/>
          <w:bCs/>
          <w:lang w:val="es-CO"/>
        </w:rPr>
        <w:t xml:space="preserve">se reiteraron los presupuestos para adelantar una </w:t>
      </w:r>
      <w:r w:rsidRPr="00F8183B">
        <w:rPr>
          <w:rFonts w:ascii="Arial" w:hAnsi="Arial" w:cs="Arial"/>
          <w:b/>
          <w:bCs/>
          <w:lang w:val="es-CO"/>
        </w:rPr>
        <w:t>integración normativa</w:t>
      </w:r>
      <w:r w:rsidRPr="00956C2A">
        <w:rPr>
          <w:rFonts w:ascii="Arial" w:hAnsi="Arial" w:cs="Arial"/>
          <w:bCs/>
          <w:lang w:val="es-CO"/>
        </w:rPr>
        <w:t xml:space="preserve">, señalando expresamente que este principio tiene como objetivo </w:t>
      </w:r>
      <w:r w:rsidRPr="00956C2A">
        <w:rPr>
          <w:rFonts w:ascii="Arial" w:hAnsi="Arial" w:cs="Arial"/>
          <w:bdr w:val="none" w:sz="0" w:space="0" w:color="auto" w:frame="1"/>
        </w:rPr>
        <w:t>(i) la supremacía de la Constitución; (ii) la efectividad del control abstracto de constitucionalidad; (iii) la seguridad jurídica y (iv) coherencia del ordenamiento jurídico, entre otros; indicando además lo siguiente:</w:t>
      </w:r>
    </w:p>
    <w:p w:rsidR="00663AFE" w:rsidRPr="00956C2A" w:rsidRDefault="00663AFE" w:rsidP="00663AFE">
      <w:pPr>
        <w:shd w:val="clear" w:color="auto" w:fill="FFFFFF"/>
        <w:ind w:left="708" w:right="51"/>
        <w:jc w:val="both"/>
        <w:textAlignment w:val="baseline"/>
        <w:rPr>
          <w:rFonts w:ascii="Arial" w:hAnsi="Arial" w:cs="Arial"/>
          <w:sz w:val="22"/>
          <w:szCs w:val="22"/>
          <w:bdr w:val="none" w:sz="0" w:space="0" w:color="auto" w:frame="1"/>
        </w:rPr>
      </w:pPr>
    </w:p>
    <w:p w:rsidR="00663AFE" w:rsidRPr="00956C2A" w:rsidRDefault="00663AFE" w:rsidP="00956C2A">
      <w:pPr>
        <w:shd w:val="clear" w:color="auto" w:fill="FFFFFF"/>
        <w:ind w:left="708" w:right="51"/>
        <w:jc w:val="both"/>
        <w:textAlignment w:val="baseline"/>
        <w:rPr>
          <w:rFonts w:ascii="Arial" w:hAnsi="Arial" w:cs="Arial"/>
          <w:sz w:val="22"/>
          <w:szCs w:val="22"/>
        </w:rPr>
      </w:pPr>
      <w:r w:rsidRPr="00956C2A">
        <w:rPr>
          <w:rFonts w:ascii="Arial" w:hAnsi="Arial" w:cs="Arial"/>
          <w:sz w:val="22"/>
          <w:szCs w:val="22"/>
          <w:bdr w:val="none" w:sz="0" w:space="0" w:color="auto" w:frame="1"/>
        </w:rPr>
        <w:t>11. En la sentencia C-500 de 2014</w:t>
      </w:r>
      <w:r w:rsidRPr="00956C2A">
        <w:rPr>
          <w:rFonts w:ascii="Arial" w:hAnsi="Arial" w:cs="Arial"/>
          <w:sz w:val="22"/>
          <w:szCs w:val="22"/>
          <w:bdr w:val="none" w:sz="0" w:space="0" w:color="auto" w:frame="1"/>
          <w:vertAlign w:val="superscript"/>
        </w:rPr>
        <w:footnoteReference w:id="1"/>
      </w:r>
      <w:r w:rsidRPr="00956C2A">
        <w:rPr>
          <w:rFonts w:ascii="Arial" w:hAnsi="Arial" w:cs="Arial"/>
          <w:sz w:val="22"/>
          <w:szCs w:val="22"/>
          <w:bdr w:val="none" w:sz="0" w:space="0" w:color="auto" w:frame="1"/>
        </w:rPr>
        <w:t xml:space="preserve"> se recopilaron los supuestos en los cuales procede la implementación de la mencionada figura, así: </w:t>
      </w:r>
    </w:p>
    <w:p w:rsidR="00663AFE" w:rsidRPr="00956C2A" w:rsidRDefault="00663AFE" w:rsidP="00956C2A">
      <w:pPr>
        <w:shd w:val="clear" w:color="auto" w:fill="FFFFFF"/>
        <w:ind w:left="708" w:right="-232"/>
        <w:jc w:val="both"/>
        <w:textAlignment w:val="baseline"/>
        <w:rPr>
          <w:rFonts w:ascii="Arial" w:hAnsi="Arial" w:cs="Arial"/>
          <w:sz w:val="22"/>
          <w:szCs w:val="22"/>
        </w:rPr>
      </w:pPr>
      <w:r w:rsidRPr="00956C2A">
        <w:rPr>
          <w:rFonts w:ascii="Arial" w:hAnsi="Arial" w:cs="Arial"/>
          <w:sz w:val="22"/>
          <w:szCs w:val="22"/>
          <w:bdr w:val="none" w:sz="0" w:space="0" w:color="auto" w:frame="1"/>
        </w:rPr>
        <w:t>                </w:t>
      </w:r>
    </w:p>
    <w:p w:rsidR="00663AFE" w:rsidRPr="00956C2A" w:rsidRDefault="00663AFE" w:rsidP="00956C2A">
      <w:pPr>
        <w:shd w:val="clear" w:color="auto" w:fill="FFFFFF"/>
        <w:ind w:left="708" w:right="51"/>
        <w:jc w:val="both"/>
        <w:textAlignment w:val="baseline"/>
        <w:rPr>
          <w:rFonts w:ascii="Arial" w:hAnsi="Arial" w:cs="Arial"/>
          <w:sz w:val="22"/>
          <w:szCs w:val="22"/>
        </w:rPr>
      </w:pPr>
      <w:r w:rsidRPr="00956C2A">
        <w:rPr>
          <w:rFonts w:ascii="Arial" w:hAnsi="Arial" w:cs="Arial"/>
          <w:iCs/>
          <w:sz w:val="22"/>
          <w:szCs w:val="22"/>
          <w:bdr w:val="none" w:sz="0" w:space="0" w:color="auto" w:frame="1"/>
        </w:rPr>
        <w:t>“</w:t>
      </w:r>
      <w:r w:rsidRPr="00956C2A">
        <w:rPr>
          <w:rFonts w:ascii="Arial" w:hAnsi="Arial" w:cs="Arial"/>
          <w:b/>
          <w:iCs/>
          <w:sz w:val="22"/>
          <w:szCs w:val="22"/>
          <w:bdr w:val="none" w:sz="0" w:space="0" w:color="auto" w:frame="1"/>
        </w:rPr>
        <w:t>En primer lugar</w:t>
      </w:r>
      <w:r w:rsidRPr="00956C2A">
        <w:rPr>
          <w:rFonts w:ascii="Arial" w:hAnsi="Arial" w:cs="Arial"/>
          <w:iCs/>
          <w:sz w:val="22"/>
          <w:szCs w:val="22"/>
          <w:bdr w:val="none" w:sz="0" w:space="0" w:color="auto" w:frame="1"/>
        </w:rPr>
        <w:t>, es posible apelar a la unidad normativa (i) cuando el artículo que se impugna carece “(…) de </w:t>
      </w:r>
      <w:r w:rsidRPr="00956C2A">
        <w:rPr>
          <w:rFonts w:ascii="Arial" w:hAnsi="Arial" w:cs="Arial"/>
          <w:iCs/>
          <w:sz w:val="22"/>
          <w:szCs w:val="22"/>
          <w:bdr w:val="none" w:sz="0" w:space="0" w:color="auto" w:frame="1"/>
          <w:shd w:val="clear" w:color="auto" w:fill="FFFFFF"/>
        </w:rPr>
        <w:t>un contenido deóntico claro unívoco o de un ámbito regulador propio, aislado del contexto en el cual están insertadas, y se requiere precisar su alcance incluyendo en el juicio de constitucionalidad otros enunciados normativos”</w:t>
      </w:r>
      <w:bookmarkStart w:id="1" w:name="_ftnref4"/>
      <w:r w:rsidRPr="00956C2A">
        <w:rPr>
          <w:rFonts w:ascii="Arial" w:hAnsi="Arial" w:cs="Arial"/>
          <w:iCs/>
          <w:sz w:val="22"/>
          <w:szCs w:val="22"/>
          <w:bdr w:val="none" w:sz="0" w:space="0" w:color="auto" w:frame="1"/>
          <w:shd w:val="clear" w:color="auto" w:fill="FFFFFF"/>
        </w:rPr>
        <w:fldChar w:fldCharType="begin"/>
      </w:r>
      <w:r w:rsidRPr="00956C2A">
        <w:rPr>
          <w:rFonts w:ascii="Arial" w:hAnsi="Arial" w:cs="Arial"/>
          <w:iCs/>
          <w:sz w:val="22"/>
          <w:szCs w:val="22"/>
          <w:bdr w:val="none" w:sz="0" w:space="0" w:color="auto" w:frame="1"/>
          <w:shd w:val="clear" w:color="auto" w:fill="FFFFFF"/>
        </w:rPr>
        <w:instrText xml:space="preserve"> HYPERLINK "http://www.corteconstitucional.gov.co/relatoria/2015/C-516-15.htm" \l "_ftn4" \o "" </w:instrText>
      </w:r>
      <w:r w:rsidRPr="00956C2A">
        <w:rPr>
          <w:rFonts w:ascii="Arial" w:hAnsi="Arial" w:cs="Arial"/>
          <w:iCs/>
          <w:sz w:val="22"/>
          <w:szCs w:val="22"/>
          <w:bdr w:val="none" w:sz="0" w:space="0" w:color="auto" w:frame="1"/>
          <w:shd w:val="clear" w:color="auto" w:fill="FFFFFF"/>
        </w:rPr>
        <w:fldChar w:fldCharType="separate"/>
      </w:r>
      <w:r w:rsidRPr="00956C2A">
        <w:rPr>
          <w:rStyle w:val="Hipervnculo"/>
          <w:rFonts w:ascii="Arial" w:hAnsi="Arial" w:cs="Arial"/>
          <w:color w:val="auto"/>
          <w:sz w:val="22"/>
          <w:szCs w:val="22"/>
        </w:rPr>
        <w:t>http://www.corteconstitucional.gov.co/relatoria/2015/C-516-15.htm - _ftn4</w:t>
      </w:r>
      <w:r w:rsidRPr="00956C2A">
        <w:rPr>
          <w:rFonts w:ascii="Arial" w:hAnsi="Arial" w:cs="Arial"/>
          <w:iCs/>
          <w:sz w:val="22"/>
          <w:szCs w:val="22"/>
          <w:bdr w:val="none" w:sz="0" w:space="0" w:color="auto" w:frame="1"/>
          <w:shd w:val="clear" w:color="auto" w:fill="FFFFFF"/>
        </w:rPr>
        <w:fldChar w:fldCharType="end"/>
      </w:r>
      <w:bookmarkEnd w:id="1"/>
      <w:r w:rsidRPr="00956C2A">
        <w:rPr>
          <w:rFonts w:ascii="Arial" w:hAnsi="Arial" w:cs="Arial"/>
          <w:iCs/>
          <w:sz w:val="22"/>
          <w:szCs w:val="22"/>
          <w:bdr w:val="none" w:sz="0" w:space="0" w:color="auto" w:frame="1"/>
        </w:rPr>
        <w:t xml:space="preserve">. </w:t>
      </w:r>
      <w:r w:rsidRPr="00956C2A">
        <w:rPr>
          <w:rFonts w:ascii="Arial" w:hAnsi="Arial" w:cs="Arial"/>
          <w:b/>
          <w:iCs/>
          <w:sz w:val="22"/>
          <w:szCs w:val="22"/>
          <w:bdr w:val="none" w:sz="0" w:space="0" w:color="auto" w:frame="1"/>
        </w:rPr>
        <w:t>En segundo lugar</w:t>
      </w:r>
      <w:r w:rsidRPr="00956C2A">
        <w:rPr>
          <w:rFonts w:ascii="Arial" w:hAnsi="Arial" w:cs="Arial"/>
          <w:iCs/>
          <w:sz w:val="22"/>
          <w:szCs w:val="22"/>
          <w:bdr w:val="none" w:sz="0" w:space="0" w:color="auto" w:frame="1"/>
        </w:rPr>
        <w:t>, es procedente (ii) cuando la disposición demandada o la norma que de ella se desprende, está mencionada o referida en otros artículos del ordenamiento jurídico de manera que para asegurar la efectividad de la decisión que se tome, es necesario también examinarlos. Ha explicado la Corte que en este caso </w:t>
      </w:r>
      <w:r w:rsidRPr="00956C2A">
        <w:rPr>
          <w:rFonts w:ascii="Arial" w:hAnsi="Arial" w:cs="Arial"/>
          <w:iCs/>
          <w:sz w:val="22"/>
          <w:szCs w:val="22"/>
          <w:bdr w:val="none" w:sz="0" w:space="0" w:color="auto" w:frame="1"/>
          <w:shd w:val="clear" w:color="auto" w:fill="FFFFFF"/>
        </w:rPr>
        <w:t xml:space="preserve">las normas tienen “un sentido regulador propio y autónomo (…) pero el estudio de constitucionalidad de la disposición acusada impone el examen (…) de algunos elementos normativos a los </w:t>
      </w:r>
      <w:r w:rsidRPr="00956C2A">
        <w:rPr>
          <w:rFonts w:ascii="Arial" w:hAnsi="Arial" w:cs="Arial"/>
          <w:iCs/>
          <w:sz w:val="22"/>
          <w:szCs w:val="22"/>
          <w:bdr w:val="none" w:sz="0" w:space="0" w:color="auto" w:frame="1"/>
          <w:shd w:val="clear" w:color="auto" w:fill="FFFFFF"/>
        </w:rPr>
        <w:lastRenderedPageBreak/>
        <w:t xml:space="preserve">cuales hace referencia, que están contenidos en otras disposiciones no demandadas”. </w:t>
      </w:r>
      <w:r w:rsidRPr="00956C2A">
        <w:rPr>
          <w:rFonts w:ascii="Arial" w:hAnsi="Arial" w:cs="Arial"/>
          <w:iCs/>
          <w:sz w:val="22"/>
          <w:szCs w:val="22"/>
          <w:bdr w:val="none" w:sz="0" w:space="0" w:color="auto" w:frame="1"/>
        </w:rPr>
        <w:t xml:space="preserve">En tercer lugar, resulta posible acudir a ella (iii) cuando </w:t>
      </w:r>
      <w:r w:rsidRPr="00956C2A">
        <w:rPr>
          <w:rFonts w:ascii="Arial" w:hAnsi="Arial" w:cs="Arial"/>
          <w:b/>
          <w:iCs/>
          <w:sz w:val="22"/>
          <w:szCs w:val="22"/>
          <w:bdr w:val="none" w:sz="0" w:space="0" w:color="auto" w:frame="1"/>
        </w:rPr>
        <w:t xml:space="preserve">la norma que se juzga tiene una relación íntima </w:t>
      </w:r>
      <w:r w:rsidRPr="009E0DFD">
        <w:rPr>
          <w:rFonts w:ascii="Arial" w:hAnsi="Arial" w:cs="Arial"/>
          <w:b/>
          <w:iCs/>
          <w:sz w:val="22"/>
          <w:szCs w:val="22"/>
          <w:bdr w:val="none" w:sz="0" w:space="0" w:color="auto" w:frame="1"/>
        </w:rPr>
        <w:t>o intrínseca con otra</w:t>
      </w:r>
      <w:r w:rsidRPr="00956C2A">
        <w:rPr>
          <w:rFonts w:ascii="Arial" w:hAnsi="Arial" w:cs="Arial"/>
          <w:iCs/>
          <w:sz w:val="22"/>
          <w:szCs w:val="22"/>
          <w:bdr w:val="none" w:sz="0" w:space="0" w:color="auto" w:frame="1"/>
        </w:rPr>
        <w:t xml:space="preserve"> que, prima facie, plantea serias dudas de constitucionalidad.</w:t>
      </w:r>
    </w:p>
    <w:p w:rsidR="00663AFE" w:rsidRPr="00956C2A" w:rsidRDefault="00663AFE" w:rsidP="00956C2A">
      <w:pPr>
        <w:shd w:val="clear" w:color="auto" w:fill="FFFFFF"/>
        <w:ind w:left="708" w:right="51"/>
        <w:jc w:val="both"/>
        <w:textAlignment w:val="baseline"/>
        <w:rPr>
          <w:rFonts w:ascii="Arial" w:hAnsi="Arial" w:cs="Arial"/>
          <w:sz w:val="22"/>
          <w:szCs w:val="22"/>
        </w:rPr>
      </w:pPr>
      <w:r w:rsidRPr="00956C2A">
        <w:rPr>
          <w:rFonts w:ascii="Arial" w:hAnsi="Arial" w:cs="Arial"/>
          <w:iCs/>
          <w:sz w:val="22"/>
          <w:szCs w:val="22"/>
          <w:bdr w:val="none" w:sz="0" w:space="0" w:color="auto" w:frame="1"/>
        </w:rPr>
        <w:t> </w:t>
      </w:r>
    </w:p>
    <w:p w:rsidR="00663AFE" w:rsidRPr="00956C2A" w:rsidRDefault="00663AFE" w:rsidP="00956C2A">
      <w:pPr>
        <w:shd w:val="clear" w:color="auto" w:fill="FFFFFF"/>
        <w:ind w:left="708" w:right="51"/>
        <w:jc w:val="both"/>
        <w:textAlignment w:val="baseline"/>
        <w:rPr>
          <w:rFonts w:ascii="Arial" w:hAnsi="Arial" w:cs="Arial"/>
          <w:sz w:val="22"/>
          <w:szCs w:val="22"/>
        </w:rPr>
      </w:pPr>
      <w:r w:rsidRPr="00956C2A">
        <w:rPr>
          <w:rFonts w:ascii="Arial" w:hAnsi="Arial" w:cs="Arial"/>
          <w:iCs/>
          <w:sz w:val="22"/>
          <w:szCs w:val="22"/>
          <w:bdr w:val="none" w:sz="0" w:space="0" w:color="auto" w:frame="1"/>
        </w:rPr>
        <w:t xml:space="preserve">Un examen de cada una de tales hipótesis permite identificar su justificación constitucional. </w:t>
      </w:r>
      <w:r w:rsidRPr="009E0DFD">
        <w:rPr>
          <w:rFonts w:ascii="Arial" w:hAnsi="Arial" w:cs="Arial"/>
          <w:b/>
          <w:iCs/>
          <w:sz w:val="22"/>
          <w:szCs w:val="22"/>
          <w:bdr w:val="none" w:sz="0" w:space="0" w:color="auto" w:frame="1"/>
        </w:rPr>
        <w:t>El primer supuesto</w:t>
      </w:r>
      <w:r w:rsidRPr="00956C2A">
        <w:rPr>
          <w:rFonts w:ascii="Arial" w:hAnsi="Arial" w:cs="Arial"/>
          <w:iCs/>
          <w:sz w:val="22"/>
          <w:szCs w:val="22"/>
          <w:bdr w:val="none" w:sz="0" w:space="0" w:color="auto" w:frame="1"/>
        </w:rPr>
        <w:t xml:space="preserve">, tiene como propósito delimitar la materia objeto de juzgamiento de manera que este Tribunal pueda adoptar una decisión de mérito. </w:t>
      </w:r>
      <w:r w:rsidRPr="009E0DFD">
        <w:rPr>
          <w:rFonts w:ascii="Arial" w:hAnsi="Arial" w:cs="Arial"/>
          <w:b/>
          <w:iCs/>
          <w:sz w:val="22"/>
          <w:szCs w:val="22"/>
          <w:bdr w:val="none" w:sz="0" w:space="0" w:color="auto" w:frame="1"/>
        </w:rPr>
        <w:t>La segunda</w:t>
      </w:r>
      <w:r w:rsidRPr="00956C2A">
        <w:rPr>
          <w:rFonts w:ascii="Arial" w:hAnsi="Arial" w:cs="Arial"/>
          <w:iCs/>
          <w:sz w:val="22"/>
          <w:szCs w:val="22"/>
          <w:bdr w:val="none" w:sz="0" w:space="0" w:color="auto" w:frame="1"/>
        </w:rPr>
        <w:t xml:space="preserve"> tiene como finalidad asegurar plenamente la supremacía de la Constitución y la certidumbre respecto de las normas vigentes evitando, de una parte, que luego de declarar la inexequibilidad de una norma ella subsista en el ordenamiento o, de otra parte, que con posterioridad a la declaratoria de exequibilidad, contenidos normativos idénticos –vigentes al momento del pronunciamiento- sean objeto de demandas iguales. </w:t>
      </w:r>
      <w:r w:rsidRPr="009E0DFD">
        <w:rPr>
          <w:rFonts w:ascii="Arial" w:hAnsi="Arial" w:cs="Arial"/>
          <w:b/>
          <w:iCs/>
          <w:sz w:val="22"/>
          <w:szCs w:val="22"/>
          <w:bdr w:val="none" w:sz="0" w:space="0" w:color="auto" w:frame="1"/>
        </w:rPr>
        <w:t>La tercera</w:t>
      </w:r>
      <w:r w:rsidRPr="00956C2A">
        <w:rPr>
          <w:rFonts w:ascii="Arial" w:hAnsi="Arial" w:cs="Arial"/>
          <w:iCs/>
          <w:sz w:val="22"/>
          <w:szCs w:val="22"/>
          <w:bdr w:val="none" w:sz="0" w:space="0" w:color="auto" w:frame="1"/>
        </w:rPr>
        <w:t xml:space="preserve"> propicia también la supremacía de la Constitución al evitar que disposiciones directamente vinculadas con aquellas que fueron demandadas y respecto de las cuales es posible sospechar de su inconstitucionalidad, permanezcan en el ordenamiento sin ser juzgadas”.   </w:t>
      </w:r>
    </w:p>
    <w:p w:rsidR="00663AFE" w:rsidRPr="00956C2A" w:rsidRDefault="00663AFE" w:rsidP="00956C2A">
      <w:pPr>
        <w:shd w:val="clear" w:color="auto" w:fill="FFFFFF"/>
        <w:ind w:left="708" w:right="-232"/>
        <w:jc w:val="both"/>
        <w:textAlignment w:val="baseline"/>
        <w:rPr>
          <w:rFonts w:ascii="Arial" w:hAnsi="Arial" w:cs="Arial"/>
          <w:sz w:val="22"/>
          <w:szCs w:val="22"/>
        </w:rPr>
      </w:pPr>
      <w:r w:rsidRPr="00956C2A">
        <w:rPr>
          <w:rFonts w:ascii="Arial" w:hAnsi="Arial" w:cs="Arial"/>
          <w:sz w:val="22"/>
          <w:szCs w:val="22"/>
          <w:bdr w:val="none" w:sz="0" w:space="0" w:color="auto" w:frame="1"/>
        </w:rPr>
        <w:t> </w:t>
      </w:r>
    </w:p>
    <w:p w:rsidR="00663AFE" w:rsidRPr="00956C2A" w:rsidRDefault="00663AFE" w:rsidP="00956C2A">
      <w:pPr>
        <w:tabs>
          <w:tab w:val="left" w:pos="3960"/>
        </w:tabs>
        <w:ind w:left="708" w:right="51"/>
        <w:jc w:val="both"/>
        <w:rPr>
          <w:rFonts w:ascii="Arial" w:hAnsi="Arial" w:cs="Arial"/>
          <w:iCs/>
          <w:sz w:val="22"/>
          <w:szCs w:val="22"/>
          <w:bdr w:val="none" w:sz="0" w:space="0" w:color="auto" w:frame="1"/>
          <w:shd w:val="clear" w:color="auto" w:fill="FFFFFF"/>
        </w:rPr>
      </w:pPr>
      <w:r w:rsidRPr="00956C2A">
        <w:rPr>
          <w:rFonts w:ascii="Arial" w:hAnsi="Arial" w:cs="Arial"/>
          <w:sz w:val="22"/>
          <w:szCs w:val="22"/>
          <w:bdr w:val="none" w:sz="0" w:space="0" w:color="auto" w:frame="1"/>
        </w:rPr>
        <w:t xml:space="preserve">12. En el caso concreto, la Corte considera que </w:t>
      </w:r>
      <w:r w:rsidRPr="009E0DFD">
        <w:rPr>
          <w:rFonts w:ascii="Arial" w:hAnsi="Arial" w:cs="Arial"/>
          <w:b/>
          <w:sz w:val="22"/>
          <w:szCs w:val="22"/>
          <w:bdr w:val="none" w:sz="0" w:space="0" w:color="auto" w:frame="1"/>
        </w:rPr>
        <w:t>debe realizar una integración normativa</w:t>
      </w:r>
      <w:r w:rsidRPr="00956C2A">
        <w:rPr>
          <w:rFonts w:ascii="Arial" w:hAnsi="Arial" w:cs="Arial"/>
          <w:sz w:val="22"/>
          <w:szCs w:val="22"/>
          <w:bdr w:val="none" w:sz="0" w:space="0" w:color="auto" w:frame="1"/>
        </w:rPr>
        <w:t xml:space="preserve"> </w:t>
      </w:r>
      <w:r w:rsidRPr="009E0DFD">
        <w:rPr>
          <w:rFonts w:ascii="Arial" w:hAnsi="Arial" w:cs="Arial"/>
          <w:b/>
          <w:sz w:val="22"/>
          <w:szCs w:val="22"/>
          <w:bdr w:val="none" w:sz="0" w:space="0" w:color="auto" w:frame="1"/>
        </w:rPr>
        <w:t>con la expresión</w:t>
      </w:r>
      <w:r w:rsidRPr="00956C2A">
        <w:rPr>
          <w:rFonts w:ascii="Arial" w:hAnsi="Arial" w:cs="Arial"/>
          <w:sz w:val="22"/>
          <w:szCs w:val="22"/>
          <w:bdr w:val="none" w:sz="0" w:space="0" w:color="auto" w:frame="1"/>
        </w:rPr>
        <w:t xml:space="preserve"> </w:t>
      </w:r>
      <w:r w:rsidRPr="00956C2A">
        <w:rPr>
          <w:rFonts w:ascii="Arial" w:hAnsi="Arial" w:cs="Arial"/>
          <w:i/>
          <w:sz w:val="22"/>
          <w:szCs w:val="22"/>
          <w:bdr w:val="none" w:sz="0" w:space="0" w:color="auto" w:frame="1"/>
        </w:rPr>
        <w:t xml:space="preserve">“Pero la viuda que contraiga matrimonio recibirá, en sustitución de las pensiones eventuales, una suma global equivalente a tres (3) anualidades de la pensión reconocida” </w:t>
      </w:r>
      <w:r w:rsidRPr="009E0DFD">
        <w:rPr>
          <w:rFonts w:ascii="Arial" w:hAnsi="Arial" w:cs="Arial"/>
          <w:sz w:val="22"/>
          <w:szCs w:val="22"/>
          <w:bdr w:val="none" w:sz="0" w:space="0" w:color="auto" w:frame="1"/>
        </w:rPr>
        <w:t>contenida en la parte final del mismo artículo 62</w:t>
      </w:r>
      <w:r w:rsidRPr="009E0DFD">
        <w:rPr>
          <w:rFonts w:ascii="Arial" w:hAnsi="Arial" w:cs="Arial"/>
          <w:bCs/>
          <w:sz w:val="22"/>
          <w:szCs w:val="22"/>
          <w:lang w:val="es-CO" w:eastAsia="es-CO"/>
        </w:rPr>
        <w:t xml:space="preserve"> de la Ley 90 de 1946 </w:t>
      </w:r>
      <w:r w:rsidRPr="00956C2A">
        <w:rPr>
          <w:rFonts w:ascii="Arial" w:hAnsi="Arial" w:cs="Arial"/>
          <w:bCs/>
          <w:sz w:val="22"/>
          <w:szCs w:val="22"/>
          <w:lang w:val="es-CO" w:eastAsia="es-CO"/>
        </w:rPr>
        <w:t xml:space="preserve">al cumplirse con el requisito de (i) estar inserta en la misma norma demandada y (ii) ser necesario un pronunciamiento sobre este otro </w:t>
      </w:r>
      <w:r w:rsidRPr="00956C2A">
        <w:rPr>
          <w:rFonts w:ascii="Arial" w:hAnsi="Arial" w:cs="Arial"/>
          <w:iCs/>
          <w:sz w:val="22"/>
          <w:szCs w:val="22"/>
          <w:bdr w:val="none" w:sz="0" w:space="0" w:color="auto" w:frame="1"/>
          <w:shd w:val="clear" w:color="auto" w:fill="FFFFFF"/>
        </w:rPr>
        <w:t xml:space="preserve">enunciado normativo. </w:t>
      </w:r>
    </w:p>
    <w:p w:rsidR="00663AFE" w:rsidRPr="00956C2A" w:rsidRDefault="00663AFE" w:rsidP="009251A2">
      <w:pPr>
        <w:spacing w:line="360" w:lineRule="auto"/>
        <w:jc w:val="both"/>
        <w:rPr>
          <w:rFonts w:ascii="Arial" w:hAnsi="Arial" w:cs="Arial"/>
          <w:shd w:val="clear" w:color="auto" w:fill="FFFFFF"/>
        </w:rPr>
      </w:pPr>
    </w:p>
    <w:p w:rsidR="00663AFE" w:rsidRPr="00956C2A" w:rsidRDefault="00663AFE" w:rsidP="00663AFE">
      <w:pPr>
        <w:spacing w:line="360" w:lineRule="auto"/>
        <w:jc w:val="both"/>
        <w:rPr>
          <w:rFonts w:ascii="Arial" w:hAnsi="Arial" w:cs="Arial"/>
          <w:iCs/>
          <w:bdr w:val="none" w:sz="0" w:space="0" w:color="auto" w:frame="1"/>
        </w:rPr>
      </w:pPr>
      <w:r w:rsidRPr="00956C2A">
        <w:rPr>
          <w:rFonts w:ascii="Arial" w:hAnsi="Arial" w:cs="Arial"/>
          <w:shd w:val="clear" w:color="auto" w:fill="FFFFFF"/>
        </w:rPr>
        <w:t>De esta forma, tal como se indicó anteriormente, y con el ánimo de cumplir con los objetivos previstos anteriormente y habida cuenta que el acto primigenio (D</w:t>
      </w:r>
      <w:r w:rsidR="009E0DFD">
        <w:rPr>
          <w:rFonts w:ascii="Arial" w:hAnsi="Arial" w:cs="Arial"/>
          <w:shd w:val="clear" w:color="auto" w:fill="FFFFFF"/>
        </w:rPr>
        <w:t>e</w:t>
      </w:r>
      <w:r w:rsidRPr="00956C2A">
        <w:rPr>
          <w:rFonts w:ascii="Arial" w:hAnsi="Arial" w:cs="Arial"/>
          <w:shd w:val="clear" w:color="auto" w:fill="FFFFFF"/>
        </w:rPr>
        <w:t>c</w:t>
      </w:r>
      <w:r w:rsidR="009E0DFD">
        <w:rPr>
          <w:rFonts w:ascii="Arial" w:hAnsi="Arial" w:cs="Arial"/>
          <w:shd w:val="clear" w:color="auto" w:fill="FFFFFF"/>
        </w:rPr>
        <w:t>re</w:t>
      </w:r>
      <w:r w:rsidRPr="00956C2A">
        <w:rPr>
          <w:rFonts w:ascii="Arial" w:hAnsi="Arial" w:cs="Arial"/>
          <w:shd w:val="clear" w:color="auto" w:fill="FFFFFF"/>
        </w:rPr>
        <w:t xml:space="preserve">to 63) </w:t>
      </w:r>
      <w:r w:rsidRPr="00956C2A">
        <w:rPr>
          <w:rFonts w:ascii="Arial" w:hAnsi="Arial" w:cs="Arial"/>
          <w:b/>
          <w:iCs/>
          <w:bdr w:val="none" w:sz="0" w:space="0" w:color="auto" w:frame="1"/>
        </w:rPr>
        <w:t>tiene una relación íntima o intrínseca</w:t>
      </w:r>
      <w:r w:rsidRPr="00956C2A">
        <w:rPr>
          <w:rFonts w:ascii="Arial" w:hAnsi="Arial" w:cs="Arial"/>
          <w:iCs/>
          <w:bdr w:val="none" w:sz="0" w:space="0" w:color="auto" w:frame="1"/>
        </w:rPr>
        <w:t xml:space="preserve"> con el Decreto sub-siguiente (D</w:t>
      </w:r>
      <w:r w:rsidR="009E0DFD">
        <w:rPr>
          <w:rFonts w:ascii="Arial" w:hAnsi="Arial" w:cs="Arial"/>
          <w:iCs/>
          <w:bdr w:val="none" w:sz="0" w:space="0" w:color="auto" w:frame="1"/>
        </w:rPr>
        <w:t>e</w:t>
      </w:r>
      <w:r w:rsidRPr="00956C2A">
        <w:rPr>
          <w:rFonts w:ascii="Arial" w:hAnsi="Arial" w:cs="Arial"/>
          <w:iCs/>
          <w:bdr w:val="none" w:sz="0" w:space="0" w:color="auto" w:frame="1"/>
        </w:rPr>
        <w:t>c</w:t>
      </w:r>
      <w:r w:rsidR="009E0DFD">
        <w:rPr>
          <w:rFonts w:ascii="Arial" w:hAnsi="Arial" w:cs="Arial"/>
          <w:iCs/>
          <w:bdr w:val="none" w:sz="0" w:space="0" w:color="auto" w:frame="1"/>
        </w:rPr>
        <w:t>re</w:t>
      </w:r>
      <w:r w:rsidRPr="00956C2A">
        <w:rPr>
          <w:rFonts w:ascii="Arial" w:hAnsi="Arial" w:cs="Arial"/>
          <w:iCs/>
          <w:bdr w:val="none" w:sz="0" w:space="0" w:color="auto" w:frame="1"/>
        </w:rPr>
        <w:t>to 6</w:t>
      </w:r>
      <w:r w:rsidR="00B77BB6" w:rsidRPr="00956C2A">
        <w:rPr>
          <w:rFonts w:ascii="Arial" w:hAnsi="Arial" w:cs="Arial"/>
          <w:iCs/>
          <w:bdr w:val="none" w:sz="0" w:space="0" w:color="auto" w:frame="1"/>
        </w:rPr>
        <w:t>9</w:t>
      </w:r>
      <w:r w:rsidRPr="00956C2A">
        <w:rPr>
          <w:rFonts w:ascii="Arial" w:hAnsi="Arial" w:cs="Arial"/>
          <w:iCs/>
          <w:bdr w:val="none" w:sz="0" w:space="0" w:color="auto" w:frame="1"/>
        </w:rPr>
        <w:t>)</w:t>
      </w:r>
      <w:r w:rsidR="00B77BB6" w:rsidRPr="00956C2A">
        <w:rPr>
          <w:rFonts w:ascii="Arial" w:hAnsi="Arial" w:cs="Arial"/>
          <w:iCs/>
          <w:bdr w:val="none" w:sz="0" w:space="0" w:color="auto" w:frame="1"/>
        </w:rPr>
        <w:t>, además que este últim</w:t>
      </w:r>
      <w:r w:rsidR="009E0DFD">
        <w:rPr>
          <w:rFonts w:ascii="Arial" w:hAnsi="Arial" w:cs="Arial"/>
          <w:iCs/>
          <w:bdr w:val="none" w:sz="0" w:space="0" w:color="auto" w:frame="1"/>
        </w:rPr>
        <w:t>o</w:t>
      </w:r>
      <w:r w:rsidR="00B77BB6" w:rsidRPr="00956C2A">
        <w:rPr>
          <w:rFonts w:ascii="Arial" w:hAnsi="Arial" w:cs="Arial"/>
          <w:iCs/>
          <w:bdr w:val="none" w:sz="0" w:space="0" w:color="auto" w:frame="1"/>
        </w:rPr>
        <w:t xml:space="preserve"> expresamente refiere y se remite al primero. En conclusión, se cumplen con todos los presupuestos.</w:t>
      </w:r>
    </w:p>
    <w:p w:rsidR="00B77BB6" w:rsidRPr="00956C2A" w:rsidRDefault="00B77BB6" w:rsidP="00663AFE">
      <w:pPr>
        <w:spacing w:line="360" w:lineRule="auto"/>
        <w:jc w:val="both"/>
        <w:rPr>
          <w:rFonts w:ascii="Arial" w:hAnsi="Arial" w:cs="Arial"/>
          <w:iCs/>
          <w:bdr w:val="none" w:sz="0" w:space="0" w:color="auto" w:frame="1"/>
        </w:rPr>
      </w:pPr>
    </w:p>
    <w:p w:rsidR="00B77BB6" w:rsidRPr="00956C2A" w:rsidRDefault="00B77BB6" w:rsidP="00663AFE">
      <w:pPr>
        <w:spacing w:line="360" w:lineRule="auto"/>
        <w:jc w:val="both"/>
        <w:rPr>
          <w:rFonts w:ascii="Arial" w:hAnsi="Arial" w:cs="Arial"/>
          <w:shd w:val="clear" w:color="auto" w:fill="FFFFFF"/>
        </w:rPr>
      </w:pPr>
      <w:r w:rsidRPr="00956C2A">
        <w:rPr>
          <w:rFonts w:ascii="Arial" w:hAnsi="Arial" w:cs="Arial"/>
          <w:shd w:val="clear" w:color="auto" w:fill="FFFFFF"/>
        </w:rPr>
        <w:t xml:space="preserve">Así mismo, la Corte Constitucional ha señalado sobre la </w:t>
      </w:r>
      <w:r w:rsidRPr="00F8183B">
        <w:rPr>
          <w:rFonts w:ascii="Arial" w:hAnsi="Arial" w:cs="Arial"/>
          <w:b/>
          <w:shd w:val="clear" w:color="auto" w:fill="FFFFFF"/>
        </w:rPr>
        <w:t>integración de la unidad normativa</w:t>
      </w:r>
      <w:r w:rsidRPr="00956C2A">
        <w:rPr>
          <w:rFonts w:ascii="Arial" w:hAnsi="Arial" w:cs="Arial"/>
          <w:shd w:val="clear" w:color="auto" w:fill="FFFFFF"/>
        </w:rPr>
        <w:t>, que opera </w:t>
      </w:r>
      <w:r w:rsidRPr="00956C2A">
        <w:rPr>
          <w:rFonts w:ascii="Arial" w:hAnsi="Arial" w:cs="Arial"/>
          <w:i/>
          <w:iCs/>
          <w:shd w:val="clear" w:color="auto" w:fill="FFFFFF"/>
        </w:rPr>
        <w:t xml:space="preserve">“… cuando ella es necesaria para </w:t>
      </w:r>
      <w:r w:rsidRPr="00CE495E">
        <w:rPr>
          <w:rFonts w:ascii="Arial" w:hAnsi="Arial" w:cs="Arial"/>
          <w:i/>
          <w:iCs/>
          <w:u w:val="single"/>
          <w:shd w:val="clear" w:color="auto" w:fill="FFFFFF"/>
        </w:rPr>
        <w:t>evitar que un fallo sea inocuo</w:t>
      </w:r>
      <w:r w:rsidRPr="00956C2A">
        <w:rPr>
          <w:rFonts w:ascii="Arial" w:hAnsi="Arial" w:cs="Arial"/>
          <w:i/>
          <w:iCs/>
          <w:shd w:val="clear" w:color="auto" w:fill="FFFFFF"/>
        </w:rPr>
        <w:t xml:space="preserve">, o cuando ella es absolutamente indispensable para pronunciarse de fondo sobre un contenido normativo que ha sido demandado en debida forma por un ciudadano. En este último caso, </w:t>
      </w:r>
      <w:r w:rsidRPr="00CE495E">
        <w:rPr>
          <w:rFonts w:ascii="Arial" w:hAnsi="Arial" w:cs="Arial"/>
          <w:i/>
          <w:iCs/>
          <w:u w:val="single"/>
          <w:shd w:val="clear" w:color="auto" w:fill="FFFFFF"/>
        </w:rPr>
        <w:t>es procedente que la sentencia integre la proposición normativa y se extienda a aquellos otros aspectos normativos que sean de forzoso análisis</w:t>
      </w:r>
      <w:r w:rsidRPr="00956C2A">
        <w:rPr>
          <w:rFonts w:ascii="Arial" w:hAnsi="Arial" w:cs="Arial"/>
          <w:i/>
          <w:iCs/>
          <w:shd w:val="clear" w:color="auto" w:fill="FFFFFF"/>
        </w:rPr>
        <w:t xml:space="preserve"> para que la Corporación pueda decidir de fondo el problema planteado”</w:t>
      </w:r>
      <w:r w:rsidRPr="00956C2A">
        <w:rPr>
          <w:rStyle w:val="Refdenotaalpie"/>
          <w:rFonts w:ascii="Arial" w:hAnsi="Arial" w:cs="Arial"/>
          <w:i/>
          <w:iCs/>
          <w:shd w:val="clear" w:color="auto" w:fill="FFFFFF"/>
        </w:rPr>
        <w:footnoteReference w:id="2"/>
      </w:r>
      <w:r w:rsidRPr="00956C2A">
        <w:rPr>
          <w:rFonts w:ascii="Arial" w:hAnsi="Arial" w:cs="Arial"/>
          <w:shd w:val="clear" w:color="auto" w:fill="FFFFFF"/>
        </w:rPr>
        <w:t xml:space="preserve">. </w:t>
      </w:r>
    </w:p>
    <w:p w:rsidR="0070109D" w:rsidRPr="00956C2A" w:rsidRDefault="0070109D" w:rsidP="0070109D">
      <w:pPr>
        <w:rPr>
          <w:sz w:val="22"/>
          <w:szCs w:val="22"/>
          <w:lang w:val="es-CO" w:eastAsia="en-US"/>
        </w:rPr>
      </w:pPr>
    </w:p>
    <w:p w:rsidR="0070109D" w:rsidRPr="00956C2A" w:rsidRDefault="0070109D" w:rsidP="0070109D">
      <w:pPr>
        <w:spacing w:line="360" w:lineRule="auto"/>
        <w:jc w:val="both"/>
        <w:rPr>
          <w:rFonts w:ascii="Arial" w:hAnsi="Arial" w:cs="Arial"/>
          <w:b/>
        </w:rPr>
      </w:pPr>
      <w:r w:rsidRPr="00956C2A">
        <w:rPr>
          <w:rFonts w:ascii="Arial" w:hAnsi="Arial" w:cs="Arial"/>
          <w:b/>
        </w:rPr>
        <w:t xml:space="preserve">(ii) </w:t>
      </w:r>
      <w:r w:rsidR="008D17E0" w:rsidRPr="00956C2A">
        <w:rPr>
          <w:rFonts w:ascii="Arial" w:hAnsi="Arial" w:cs="Arial"/>
          <w:b/>
        </w:rPr>
        <w:t xml:space="preserve">SOBRE LAS FIGURAS JURÍDICAS DE LA ACUMULACIÓN DE PRETENSIONES, DE PROCESOS Y DE DEMANDAS.  </w:t>
      </w:r>
    </w:p>
    <w:p w:rsidR="0070109D" w:rsidRPr="00956C2A" w:rsidRDefault="0070109D" w:rsidP="0070109D">
      <w:pPr>
        <w:rPr>
          <w:rFonts w:ascii="Calibri" w:hAnsi="Calibri"/>
        </w:rPr>
      </w:pPr>
    </w:p>
    <w:p w:rsidR="0070109D" w:rsidRPr="00956C2A" w:rsidRDefault="0070109D" w:rsidP="0070109D">
      <w:pPr>
        <w:pStyle w:val="Sinespaciado"/>
        <w:spacing w:line="360" w:lineRule="auto"/>
        <w:jc w:val="both"/>
        <w:rPr>
          <w:rFonts w:ascii="Arial" w:hAnsi="Arial" w:cs="Arial"/>
          <w:sz w:val="24"/>
          <w:szCs w:val="24"/>
          <w:lang w:val="es-ES"/>
        </w:rPr>
      </w:pPr>
      <w:r w:rsidRPr="00956C2A">
        <w:rPr>
          <w:rFonts w:ascii="Arial" w:hAnsi="Arial" w:cs="Arial"/>
          <w:sz w:val="24"/>
          <w:szCs w:val="24"/>
          <w:lang w:val="es-ES"/>
        </w:rPr>
        <w:t>Lo primero que se debe señalar es que La Ley 1437 de 2011</w:t>
      </w:r>
      <w:r w:rsidR="00F016F7" w:rsidRPr="00956C2A">
        <w:rPr>
          <w:rFonts w:ascii="Arial" w:hAnsi="Arial" w:cs="Arial"/>
          <w:sz w:val="24"/>
          <w:szCs w:val="24"/>
          <w:lang w:val="es-ES"/>
        </w:rPr>
        <w:t xml:space="preserve"> </w:t>
      </w:r>
      <w:r w:rsidRPr="00956C2A">
        <w:rPr>
          <w:rFonts w:ascii="Arial" w:hAnsi="Arial" w:cs="Arial"/>
          <w:sz w:val="24"/>
          <w:szCs w:val="24"/>
        </w:rPr>
        <w:t xml:space="preserve">hace referencia únicamente a la figura de la acumulación </w:t>
      </w:r>
      <w:r w:rsidRPr="00956C2A">
        <w:rPr>
          <w:rFonts w:ascii="Arial" w:hAnsi="Arial" w:cs="Arial"/>
          <w:b/>
          <w:sz w:val="24"/>
          <w:szCs w:val="24"/>
        </w:rPr>
        <w:t>de pretensiones en una misma demanda</w:t>
      </w:r>
      <w:r w:rsidRPr="00956C2A">
        <w:rPr>
          <w:rFonts w:ascii="Arial" w:hAnsi="Arial" w:cs="Arial"/>
          <w:sz w:val="24"/>
          <w:szCs w:val="24"/>
        </w:rPr>
        <w:t xml:space="preserve">. Los </w:t>
      </w:r>
      <w:r w:rsidRPr="00956C2A">
        <w:rPr>
          <w:rFonts w:ascii="Arial" w:hAnsi="Arial" w:cs="Arial"/>
          <w:sz w:val="24"/>
          <w:szCs w:val="24"/>
          <w:lang w:val="es-ES"/>
        </w:rPr>
        <w:t xml:space="preserve">artículos 157, 162 (numeral 2°), 165 ídem, expresan lo siguiente:  </w:t>
      </w:r>
    </w:p>
    <w:p w:rsidR="0070109D" w:rsidRPr="00956C2A" w:rsidRDefault="0070109D" w:rsidP="0070109D">
      <w:pPr>
        <w:pStyle w:val="Sinespaciado"/>
        <w:ind w:left="708"/>
        <w:jc w:val="both"/>
        <w:rPr>
          <w:rFonts w:ascii="Arial" w:hAnsi="Arial" w:cs="Arial"/>
          <w:sz w:val="24"/>
          <w:szCs w:val="24"/>
          <w:lang w:val="es-ES"/>
        </w:rPr>
      </w:pPr>
    </w:p>
    <w:p w:rsidR="0070109D" w:rsidRPr="00956C2A" w:rsidRDefault="0070109D" w:rsidP="0070109D">
      <w:pPr>
        <w:ind w:left="708"/>
        <w:jc w:val="both"/>
        <w:rPr>
          <w:rFonts w:ascii="Arial" w:hAnsi="Arial" w:cs="Arial"/>
          <w:bCs/>
          <w:sz w:val="22"/>
          <w:szCs w:val="22"/>
          <w:lang w:val="es-CO"/>
        </w:rPr>
      </w:pPr>
      <w:r w:rsidRPr="00956C2A">
        <w:rPr>
          <w:rFonts w:ascii="Arial" w:hAnsi="Arial" w:cs="Arial"/>
          <w:bCs/>
          <w:sz w:val="22"/>
          <w:szCs w:val="22"/>
        </w:rPr>
        <w:t>Ley 1437 de 2011</w:t>
      </w:r>
    </w:p>
    <w:p w:rsidR="0070109D" w:rsidRPr="00956C2A" w:rsidRDefault="0070109D" w:rsidP="0070109D">
      <w:pPr>
        <w:ind w:left="708"/>
        <w:jc w:val="both"/>
        <w:rPr>
          <w:rFonts w:ascii="Arial" w:hAnsi="Arial" w:cs="Arial"/>
          <w:bCs/>
          <w:sz w:val="22"/>
          <w:szCs w:val="22"/>
        </w:rPr>
      </w:pPr>
    </w:p>
    <w:p w:rsidR="0070109D" w:rsidRPr="00956C2A" w:rsidRDefault="0070109D" w:rsidP="0070109D">
      <w:pPr>
        <w:ind w:left="708"/>
        <w:jc w:val="both"/>
        <w:rPr>
          <w:rFonts w:ascii="Arial" w:hAnsi="Arial" w:cs="Arial"/>
          <w:b/>
          <w:bCs/>
          <w:sz w:val="22"/>
          <w:szCs w:val="22"/>
        </w:rPr>
      </w:pPr>
      <w:r w:rsidRPr="00956C2A">
        <w:rPr>
          <w:rFonts w:ascii="Arial" w:hAnsi="Arial" w:cs="Arial"/>
          <w:b/>
          <w:bCs/>
          <w:sz w:val="22"/>
          <w:szCs w:val="22"/>
        </w:rPr>
        <w:t xml:space="preserve">Titulo V. Demanda y proceso contencioso administrativo </w:t>
      </w:r>
    </w:p>
    <w:p w:rsidR="0070109D" w:rsidRPr="00956C2A" w:rsidRDefault="0070109D" w:rsidP="0070109D">
      <w:pPr>
        <w:ind w:left="708"/>
        <w:jc w:val="both"/>
        <w:rPr>
          <w:rFonts w:ascii="Arial" w:hAnsi="Arial" w:cs="Arial"/>
          <w:bCs/>
          <w:sz w:val="22"/>
          <w:szCs w:val="22"/>
        </w:rPr>
      </w:pPr>
    </w:p>
    <w:p w:rsidR="0070109D" w:rsidRPr="00956C2A" w:rsidRDefault="0070109D" w:rsidP="0070109D">
      <w:pPr>
        <w:ind w:left="708"/>
        <w:jc w:val="both"/>
        <w:rPr>
          <w:rFonts w:ascii="Arial" w:hAnsi="Arial" w:cs="Arial"/>
          <w:sz w:val="22"/>
          <w:szCs w:val="22"/>
        </w:rPr>
      </w:pPr>
      <w:r w:rsidRPr="00956C2A">
        <w:rPr>
          <w:rFonts w:ascii="Arial" w:hAnsi="Arial" w:cs="Arial"/>
          <w:b/>
          <w:bCs/>
          <w:sz w:val="22"/>
          <w:szCs w:val="22"/>
        </w:rPr>
        <w:t>Artículo 157. Competencia por razón de la cuantía.</w:t>
      </w:r>
      <w:r w:rsidRPr="00956C2A">
        <w:rPr>
          <w:rStyle w:val="apple-converted-space"/>
          <w:rFonts w:ascii="Arial" w:hAnsi="Arial" w:cs="Arial"/>
          <w:sz w:val="22"/>
          <w:szCs w:val="22"/>
        </w:rPr>
        <w:t> </w:t>
      </w:r>
      <w:r w:rsidRPr="00956C2A">
        <w:rPr>
          <w:rFonts w:ascii="Arial" w:hAnsi="Arial" w:cs="Arial"/>
          <w:sz w:val="22"/>
          <w:szCs w:val="22"/>
        </w:rPr>
        <w:t xml:space="preserve">Para efectos de competencia, cuando sea del caso, la cuantía se determinará por el valor de la multa impuesta o de los perjuicios causados, según la estimación razonada hecha por el actor </w:t>
      </w:r>
      <w:r w:rsidRPr="00956C2A">
        <w:rPr>
          <w:rFonts w:ascii="Arial" w:hAnsi="Arial" w:cs="Arial"/>
          <w:b/>
          <w:sz w:val="22"/>
          <w:szCs w:val="22"/>
          <w:u w:val="single"/>
        </w:rPr>
        <w:t>en la demanda</w:t>
      </w:r>
      <w:r w:rsidRPr="00956C2A">
        <w:rPr>
          <w:rFonts w:ascii="Arial" w:hAnsi="Arial" w:cs="Arial"/>
          <w:sz w:val="22"/>
          <w:szCs w:val="22"/>
        </w:rPr>
        <w:t xml:space="preserve">, sin que en ello pueda considerarse la estimación de los perjuicios morales, salvo que estos últimos sean los únicos que se reclamen. En asuntos de carácter tributario, la cuantía se establecerá por el valor de la suma discutida por concepto de impuestos, tasas, contribuciones y sanciones. </w:t>
      </w:r>
    </w:p>
    <w:p w:rsidR="0070109D" w:rsidRPr="00956C2A" w:rsidRDefault="0070109D" w:rsidP="0070109D">
      <w:pPr>
        <w:ind w:left="708"/>
        <w:jc w:val="both"/>
        <w:rPr>
          <w:rFonts w:ascii="Arial" w:hAnsi="Arial" w:cs="Arial"/>
          <w:sz w:val="22"/>
          <w:szCs w:val="22"/>
        </w:rPr>
      </w:pPr>
    </w:p>
    <w:p w:rsidR="0070109D" w:rsidRPr="00956C2A" w:rsidRDefault="0070109D" w:rsidP="0070109D">
      <w:pPr>
        <w:ind w:left="708"/>
        <w:jc w:val="both"/>
        <w:rPr>
          <w:rFonts w:ascii="Arial" w:hAnsi="Arial" w:cs="Arial"/>
          <w:bCs/>
          <w:sz w:val="22"/>
          <w:szCs w:val="22"/>
        </w:rPr>
      </w:pPr>
      <w:r w:rsidRPr="00956C2A">
        <w:rPr>
          <w:rFonts w:ascii="Arial" w:hAnsi="Arial" w:cs="Arial"/>
          <w:sz w:val="22"/>
          <w:szCs w:val="22"/>
        </w:rPr>
        <w:t>Para los efectos aquí contemplados,</w:t>
      </w:r>
      <w:r w:rsidRPr="00956C2A">
        <w:rPr>
          <w:rFonts w:ascii="Arial" w:hAnsi="Arial" w:cs="Arial"/>
          <w:b/>
          <w:sz w:val="22"/>
          <w:szCs w:val="22"/>
        </w:rPr>
        <w:t xml:space="preserve"> </w:t>
      </w:r>
      <w:r w:rsidRPr="00956C2A">
        <w:rPr>
          <w:rFonts w:ascii="Arial" w:hAnsi="Arial" w:cs="Arial"/>
          <w:b/>
          <w:sz w:val="22"/>
          <w:szCs w:val="22"/>
          <w:u w:val="single"/>
        </w:rPr>
        <w:t>cuando en la demanda</w:t>
      </w:r>
      <w:r w:rsidRPr="00956C2A">
        <w:rPr>
          <w:rFonts w:ascii="Arial" w:hAnsi="Arial" w:cs="Arial"/>
          <w:b/>
          <w:sz w:val="22"/>
          <w:szCs w:val="22"/>
        </w:rPr>
        <w:t xml:space="preserve"> se acumulen varias pretensiones, </w:t>
      </w:r>
      <w:r w:rsidRPr="00956C2A">
        <w:rPr>
          <w:rFonts w:ascii="Arial" w:hAnsi="Arial" w:cs="Arial"/>
          <w:sz w:val="22"/>
          <w:szCs w:val="22"/>
        </w:rPr>
        <w:t>la cuantía se determinará por el valor de la pretensión mayor.</w:t>
      </w:r>
    </w:p>
    <w:p w:rsidR="0070109D" w:rsidRPr="00956C2A" w:rsidRDefault="0070109D" w:rsidP="0070109D">
      <w:pPr>
        <w:ind w:left="708"/>
        <w:jc w:val="both"/>
        <w:rPr>
          <w:rFonts w:ascii="Arial" w:hAnsi="Arial" w:cs="Arial"/>
          <w:bCs/>
          <w:sz w:val="22"/>
          <w:szCs w:val="22"/>
        </w:rPr>
      </w:pPr>
    </w:p>
    <w:p w:rsidR="0070109D" w:rsidRPr="00956C2A" w:rsidRDefault="0070109D" w:rsidP="0070109D">
      <w:pPr>
        <w:ind w:left="708"/>
        <w:jc w:val="both"/>
        <w:rPr>
          <w:rFonts w:ascii="Arial" w:hAnsi="Arial" w:cs="Arial"/>
          <w:b/>
          <w:bCs/>
          <w:sz w:val="22"/>
          <w:szCs w:val="22"/>
        </w:rPr>
      </w:pPr>
    </w:p>
    <w:p w:rsidR="0070109D" w:rsidRPr="00956C2A" w:rsidRDefault="0070109D" w:rsidP="0070109D">
      <w:pPr>
        <w:ind w:left="708"/>
        <w:jc w:val="both"/>
        <w:rPr>
          <w:rFonts w:ascii="Arial" w:hAnsi="Arial" w:cs="Arial"/>
          <w:sz w:val="22"/>
          <w:szCs w:val="22"/>
        </w:rPr>
      </w:pPr>
      <w:r w:rsidRPr="00956C2A">
        <w:rPr>
          <w:rFonts w:ascii="Arial" w:hAnsi="Arial" w:cs="Arial"/>
          <w:b/>
          <w:bCs/>
          <w:sz w:val="22"/>
          <w:szCs w:val="22"/>
        </w:rPr>
        <w:t>Artículo 162.</w:t>
      </w:r>
      <w:r w:rsidRPr="00956C2A">
        <w:rPr>
          <w:rStyle w:val="apple-converted-space"/>
          <w:rFonts w:ascii="Arial" w:hAnsi="Arial" w:cs="Arial"/>
          <w:b/>
          <w:bCs/>
          <w:sz w:val="22"/>
          <w:szCs w:val="22"/>
        </w:rPr>
        <w:t> </w:t>
      </w:r>
      <w:r w:rsidRPr="00956C2A">
        <w:rPr>
          <w:rFonts w:ascii="Arial" w:hAnsi="Arial" w:cs="Arial"/>
          <w:b/>
          <w:bCs/>
          <w:iCs/>
          <w:sz w:val="22"/>
          <w:szCs w:val="22"/>
        </w:rPr>
        <w:t>Contenido de la demanda.</w:t>
      </w:r>
      <w:r w:rsidRPr="00956C2A">
        <w:rPr>
          <w:rStyle w:val="apple-converted-space"/>
          <w:rFonts w:ascii="Arial" w:hAnsi="Arial" w:cs="Arial"/>
          <w:bCs/>
          <w:iCs/>
          <w:sz w:val="22"/>
          <w:szCs w:val="22"/>
        </w:rPr>
        <w:t> </w:t>
      </w:r>
      <w:r w:rsidRPr="00956C2A">
        <w:rPr>
          <w:rFonts w:ascii="Arial" w:hAnsi="Arial" w:cs="Arial"/>
          <w:b/>
          <w:sz w:val="22"/>
          <w:szCs w:val="22"/>
          <w:u w:val="single"/>
        </w:rPr>
        <w:t>Toda demanda</w:t>
      </w:r>
      <w:r w:rsidRPr="00956C2A">
        <w:rPr>
          <w:rFonts w:ascii="Arial" w:hAnsi="Arial" w:cs="Arial"/>
          <w:sz w:val="22"/>
          <w:szCs w:val="22"/>
        </w:rPr>
        <w:t xml:space="preserve"> deberá dirigirse a quien sea competente y contendrá:</w:t>
      </w:r>
    </w:p>
    <w:p w:rsidR="0070109D" w:rsidRPr="00956C2A" w:rsidRDefault="0070109D" w:rsidP="0070109D">
      <w:pPr>
        <w:ind w:left="708"/>
        <w:jc w:val="both"/>
        <w:rPr>
          <w:rFonts w:ascii="Arial" w:hAnsi="Arial" w:cs="Arial"/>
          <w:sz w:val="22"/>
          <w:szCs w:val="22"/>
        </w:rPr>
      </w:pPr>
      <w:r w:rsidRPr="00956C2A">
        <w:rPr>
          <w:rFonts w:ascii="Arial" w:hAnsi="Arial" w:cs="Arial"/>
          <w:sz w:val="22"/>
          <w:szCs w:val="22"/>
        </w:rPr>
        <w:t>1. La designación de las partes y de sus representantes.</w:t>
      </w:r>
    </w:p>
    <w:p w:rsidR="0070109D" w:rsidRPr="00956C2A" w:rsidRDefault="0070109D" w:rsidP="0070109D">
      <w:pPr>
        <w:ind w:left="708"/>
        <w:jc w:val="both"/>
        <w:rPr>
          <w:rFonts w:ascii="Arial" w:hAnsi="Arial" w:cs="Arial"/>
          <w:sz w:val="22"/>
          <w:szCs w:val="22"/>
        </w:rPr>
      </w:pPr>
      <w:r w:rsidRPr="00956C2A">
        <w:rPr>
          <w:rFonts w:ascii="Arial" w:hAnsi="Arial" w:cs="Arial"/>
          <w:sz w:val="22"/>
          <w:szCs w:val="22"/>
        </w:rPr>
        <w:t xml:space="preserve">2. Lo que se pretenda, expresado con precisión y claridad. Las varias pretensiones se formularán por separado, </w:t>
      </w:r>
      <w:r w:rsidRPr="00956C2A">
        <w:rPr>
          <w:rFonts w:ascii="Arial" w:hAnsi="Arial" w:cs="Arial"/>
          <w:b/>
          <w:sz w:val="22"/>
          <w:szCs w:val="22"/>
        </w:rPr>
        <w:t>con observancia de lo dispuesto en este mismo Código para la acumulación de pretensiones</w:t>
      </w:r>
      <w:r w:rsidRPr="00956C2A">
        <w:rPr>
          <w:rFonts w:ascii="Arial" w:hAnsi="Arial" w:cs="Arial"/>
          <w:sz w:val="22"/>
          <w:szCs w:val="22"/>
        </w:rPr>
        <w:t>.</w:t>
      </w:r>
    </w:p>
    <w:p w:rsidR="0070109D" w:rsidRPr="00956C2A" w:rsidRDefault="0070109D" w:rsidP="0070109D">
      <w:pPr>
        <w:pStyle w:val="Sinespaciado"/>
        <w:ind w:left="708"/>
        <w:jc w:val="both"/>
        <w:rPr>
          <w:rFonts w:ascii="Arial" w:hAnsi="Arial" w:cs="Arial"/>
        </w:rPr>
      </w:pPr>
    </w:p>
    <w:p w:rsidR="0070109D" w:rsidRPr="00956C2A" w:rsidRDefault="0070109D" w:rsidP="0070109D">
      <w:pPr>
        <w:ind w:left="708"/>
        <w:jc w:val="both"/>
        <w:rPr>
          <w:rFonts w:ascii="Arial" w:hAnsi="Arial" w:cs="Arial"/>
          <w:sz w:val="22"/>
          <w:szCs w:val="22"/>
          <w:lang w:eastAsia="es-CO"/>
        </w:rPr>
      </w:pPr>
      <w:r w:rsidRPr="00956C2A">
        <w:rPr>
          <w:rFonts w:ascii="Arial" w:hAnsi="Arial" w:cs="Arial"/>
          <w:b/>
          <w:bCs/>
          <w:sz w:val="22"/>
          <w:szCs w:val="22"/>
        </w:rPr>
        <w:t>Artículo 165.</w:t>
      </w:r>
      <w:r w:rsidRPr="00956C2A">
        <w:rPr>
          <w:rStyle w:val="apple-converted-space"/>
          <w:rFonts w:ascii="Arial" w:hAnsi="Arial" w:cs="Arial"/>
          <w:b/>
          <w:bCs/>
          <w:sz w:val="22"/>
          <w:szCs w:val="22"/>
        </w:rPr>
        <w:t> </w:t>
      </w:r>
      <w:r w:rsidRPr="00956C2A">
        <w:rPr>
          <w:rFonts w:ascii="Arial" w:hAnsi="Arial" w:cs="Arial"/>
          <w:b/>
          <w:bCs/>
          <w:iCs/>
          <w:sz w:val="22"/>
          <w:szCs w:val="22"/>
        </w:rPr>
        <w:t>Acumulación de pretensiones</w:t>
      </w:r>
      <w:r w:rsidRPr="00956C2A">
        <w:rPr>
          <w:rFonts w:ascii="Arial" w:hAnsi="Arial" w:cs="Arial"/>
          <w:b/>
          <w:iCs/>
          <w:sz w:val="22"/>
          <w:szCs w:val="22"/>
        </w:rPr>
        <w:t>.</w:t>
      </w:r>
      <w:r w:rsidRPr="00956C2A">
        <w:rPr>
          <w:rStyle w:val="apple-converted-space"/>
          <w:rFonts w:ascii="Arial" w:hAnsi="Arial" w:cs="Arial"/>
          <w:iCs/>
          <w:sz w:val="22"/>
          <w:szCs w:val="22"/>
        </w:rPr>
        <w:t> </w:t>
      </w:r>
      <w:r w:rsidRPr="00956C2A">
        <w:rPr>
          <w:rFonts w:ascii="Arial" w:hAnsi="Arial" w:cs="Arial"/>
          <w:b/>
          <w:sz w:val="22"/>
          <w:szCs w:val="22"/>
          <w:u w:val="single"/>
        </w:rPr>
        <w:t>En la demanda</w:t>
      </w:r>
      <w:r w:rsidRPr="00956C2A">
        <w:rPr>
          <w:rFonts w:ascii="Arial" w:hAnsi="Arial" w:cs="Arial"/>
          <w:sz w:val="22"/>
          <w:szCs w:val="22"/>
        </w:rPr>
        <w:t xml:space="preserve"> </w:t>
      </w:r>
      <w:r w:rsidRPr="00956C2A">
        <w:rPr>
          <w:rFonts w:ascii="Arial" w:hAnsi="Arial" w:cs="Arial"/>
          <w:b/>
          <w:sz w:val="22"/>
          <w:szCs w:val="22"/>
        </w:rPr>
        <w:t>se podrán acumular pretensiones</w:t>
      </w:r>
      <w:r w:rsidRPr="00956C2A">
        <w:rPr>
          <w:rFonts w:ascii="Arial" w:hAnsi="Arial" w:cs="Arial"/>
          <w:sz w:val="22"/>
          <w:szCs w:val="22"/>
        </w:rPr>
        <w:t xml:space="preserve"> de nulidad, de nulidad y de restablecimiento del derecho, relativas a contratos y de reparación directa, siempre que sean conexas y concurran los siguientes requisitos:</w:t>
      </w:r>
    </w:p>
    <w:p w:rsidR="0070109D" w:rsidRPr="00956C2A" w:rsidRDefault="0070109D" w:rsidP="0070109D">
      <w:pPr>
        <w:ind w:left="708"/>
        <w:jc w:val="both"/>
        <w:rPr>
          <w:rFonts w:ascii="Arial" w:hAnsi="Arial" w:cs="Arial"/>
          <w:sz w:val="22"/>
          <w:szCs w:val="22"/>
          <w:lang w:eastAsia="en-US"/>
        </w:rPr>
      </w:pPr>
      <w:r w:rsidRPr="00956C2A">
        <w:rPr>
          <w:rFonts w:ascii="Arial" w:hAnsi="Arial" w:cs="Arial"/>
          <w:sz w:val="22"/>
          <w:szCs w:val="22"/>
        </w:rPr>
        <w:t>1. Que el juez sea competente para conocer de todas. No obstante, cuando se acumulen pretensiones de nulidad con cualesquiera otras, será competente para conocer de ellas el juez de la nulidad. Cuando en la demanda se afirme que el daño ha sido causado por la acción u omisión de un agente estatal y de un particular, podrán acumularse tales pretensiones y la Jurisdicción Contencioso Administrativa será competente para su conocimiento y resolución.</w:t>
      </w:r>
    </w:p>
    <w:p w:rsidR="0070109D" w:rsidRPr="00956C2A" w:rsidRDefault="0070109D" w:rsidP="0070109D">
      <w:pPr>
        <w:ind w:left="708"/>
        <w:jc w:val="both"/>
        <w:rPr>
          <w:rFonts w:ascii="Arial" w:hAnsi="Arial" w:cs="Arial"/>
          <w:sz w:val="22"/>
          <w:szCs w:val="22"/>
        </w:rPr>
      </w:pPr>
      <w:r w:rsidRPr="00956C2A">
        <w:rPr>
          <w:rFonts w:ascii="Arial" w:hAnsi="Arial" w:cs="Arial"/>
          <w:sz w:val="22"/>
          <w:szCs w:val="22"/>
        </w:rPr>
        <w:t>2. Que las pretensiones no se excluyan entre sí, salvo que se propongan como principales y subsidiarias.</w:t>
      </w:r>
    </w:p>
    <w:p w:rsidR="0070109D" w:rsidRPr="00956C2A" w:rsidRDefault="0070109D" w:rsidP="0070109D">
      <w:pPr>
        <w:ind w:left="708"/>
        <w:jc w:val="both"/>
        <w:rPr>
          <w:rFonts w:ascii="Arial" w:hAnsi="Arial" w:cs="Arial"/>
          <w:sz w:val="22"/>
          <w:szCs w:val="22"/>
        </w:rPr>
      </w:pPr>
      <w:r w:rsidRPr="00956C2A">
        <w:rPr>
          <w:rFonts w:ascii="Arial" w:hAnsi="Arial" w:cs="Arial"/>
          <w:sz w:val="22"/>
          <w:szCs w:val="22"/>
        </w:rPr>
        <w:t>3. Que no haya operado la caducidad respecto de alguna de ellas.</w:t>
      </w:r>
    </w:p>
    <w:p w:rsidR="0070109D" w:rsidRPr="00956C2A" w:rsidRDefault="0070109D" w:rsidP="0070109D">
      <w:pPr>
        <w:pStyle w:val="Sinespaciado"/>
        <w:ind w:left="708"/>
        <w:jc w:val="both"/>
        <w:rPr>
          <w:rFonts w:ascii="Arial" w:hAnsi="Arial" w:cs="Arial"/>
        </w:rPr>
      </w:pPr>
      <w:r w:rsidRPr="00956C2A">
        <w:rPr>
          <w:rFonts w:ascii="Arial" w:hAnsi="Arial" w:cs="Arial"/>
        </w:rPr>
        <w:t>4. Que todas deban tramitarse por el mismo procedimiento.</w:t>
      </w:r>
    </w:p>
    <w:p w:rsidR="0070109D" w:rsidRPr="00956C2A" w:rsidRDefault="0070109D" w:rsidP="0070109D">
      <w:pPr>
        <w:pStyle w:val="Sinespaciado"/>
        <w:ind w:left="708"/>
        <w:jc w:val="both"/>
        <w:rPr>
          <w:rFonts w:ascii="Arial" w:hAnsi="Arial" w:cs="Arial"/>
        </w:rPr>
      </w:pPr>
    </w:p>
    <w:p w:rsidR="0070109D" w:rsidRPr="00956C2A" w:rsidRDefault="0070109D" w:rsidP="0070109D">
      <w:pPr>
        <w:pStyle w:val="Sinespaciado"/>
        <w:ind w:left="708"/>
        <w:jc w:val="both"/>
        <w:rPr>
          <w:rFonts w:ascii="Arial" w:hAnsi="Arial" w:cs="Arial"/>
          <w:b/>
        </w:rPr>
      </w:pPr>
      <w:r w:rsidRPr="00956C2A">
        <w:rPr>
          <w:rFonts w:ascii="Arial" w:hAnsi="Arial" w:cs="Arial"/>
          <w:b/>
        </w:rPr>
        <w:t xml:space="preserve">Título VIII Disposiciones especiales para el trámite y decisión de las pretensiones de contenido electoral.    </w:t>
      </w:r>
    </w:p>
    <w:p w:rsidR="0070109D" w:rsidRPr="00956C2A" w:rsidRDefault="0070109D" w:rsidP="0070109D">
      <w:pPr>
        <w:pStyle w:val="Sinespaciado"/>
        <w:ind w:left="708"/>
        <w:jc w:val="both"/>
        <w:rPr>
          <w:rFonts w:ascii="Arial" w:hAnsi="Arial" w:cs="Arial"/>
        </w:rPr>
      </w:pPr>
    </w:p>
    <w:p w:rsidR="0070109D" w:rsidRPr="00956C2A" w:rsidRDefault="0070109D" w:rsidP="0070109D">
      <w:pPr>
        <w:ind w:left="708"/>
        <w:jc w:val="both"/>
        <w:rPr>
          <w:rFonts w:ascii="Arial" w:hAnsi="Arial" w:cs="Arial"/>
          <w:sz w:val="22"/>
          <w:szCs w:val="22"/>
        </w:rPr>
      </w:pPr>
      <w:r w:rsidRPr="00956C2A">
        <w:rPr>
          <w:rFonts w:ascii="Arial" w:hAnsi="Arial" w:cs="Arial"/>
          <w:b/>
          <w:bCs/>
          <w:sz w:val="22"/>
          <w:szCs w:val="22"/>
        </w:rPr>
        <w:t>Artículo 281.</w:t>
      </w:r>
      <w:r w:rsidRPr="00956C2A">
        <w:rPr>
          <w:rStyle w:val="apple-converted-space"/>
          <w:rFonts w:ascii="Arial" w:hAnsi="Arial" w:cs="Arial"/>
          <w:b/>
          <w:bCs/>
          <w:sz w:val="22"/>
          <w:szCs w:val="22"/>
        </w:rPr>
        <w:t> </w:t>
      </w:r>
      <w:r w:rsidRPr="00956C2A">
        <w:rPr>
          <w:rFonts w:ascii="Arial" w:hAnsi="Arial" w:cs="Arial"/>
          <w:b/>
          <w:bCs/>
          <w:iCs/>
          <w:sz w:val="22"/>
          <w:szCs w:val="22"/>
        </w:rPr>
        <w:t>Improcedencia de acumulación de causales de nulidad objetivas y subjetivas.</w:t>
      </w:r>
      <w:r w:rsidRPr="00956C2A">
        <w:rPr>
          <w:rStyle w:val="apple-converted-space"/>
          <w:rFonts w:ascii="Arial" w:hAnsi="Arial" w:cs="Arial"/>
          <w:iCs/>
          <w:sz w:val="22"/>
          <w:szCs w:val="22"/>
        </w:rPr>
        <w:t> </w:t>
      </w:r>
      <w:r w:rsidRPr="00956C2A">
        <w:rPr>
          <w:rFonts w:ascii="Arial" w:hAnsi="Arial" w:cs="Arial"/>
          <w:b/>
          <w:sz w:val="22"/>
          <w:szCs w:val="22"/>
          <w:u w:val="single"/>
        </w:rPr>
        <w:t>En una misma demanda</w:t>
      </w:r>
      <w:r w:rsidRPr="00956C2A">
        <w:rPr>
          <w:rFonts w:ascii="Arial" w:hAnsi="Arial" w:cs="Arial"/>
          <w:sz w:val="22"/>
          <w:szCs w:val="22"/>
        </w:rPr>
        <w:t xml:space="preserve"> no pueden acumularse causales de nulidad relativas a vicios en las calidades, requisitos e inhabilidades del elegido o nombrado, con las que se funden en irregularidades en el proceso de votación y en el escrutinio.</w:t>
      </w:r>
    </w:p>
    <w:p w:rsidR="0070109D" w:rsidRPr="00956C2A" w:rsidRDefault="0070109D" w:rsidP="0070109D">
      <w:pPr>
        <w:pStyle w:val="Sinespaciado"/>
        <w:ind w:left="708"/>
        <w:jc w:val="both"/>
        <w:rPr>
          <w:rFonts w:ascii="Arial" w:hAnsi="Arial" w:cs="Arial"/>
        </w:rPr>
      </w:pPr>
      <w:r w:rsidRPr="00956C2A">
        <w:rPr>
          <w:rFonts w:ascii="Arial" w:hAnsi="Arial" w:cs="Arial"/>
        </w:rPr>
        <w:t>La indebida acumulación dará lugar a la inadmisión de la demanda para que se presenten de manera separada, sin que se afecte la caducidad del medio de control.</w:t>
      </w:r>
    </w:p>
    <w:p w:rsidR="0070109D" w:rsidRPr="00956C2A" w:rsidRDefault="0070109D" w:rsidP="0070109D">
      <w:pPr>
        <w:pStyle w:val="Sinespaciado"/>
        <w:spacing w:line="360" w:lineRule="auto"/>
        <w:jc w:val="both"/>
        <w:rPr>
          <w:rFonts w:ascii="Arial" w:hAnsi="Arial" w:cs="Arial"/>
        </w:rPr>
      </w:pPr>
    </w:p>
    <w:p w:rsidR="0070109D" w:rsidRPr="00956C2A" w:rsidRDefault="0070109D" w:rsidP="005F659A">
      <w:pPr>
        <w:pStyle w:val="Sinespaciado"/>
        <w:spacing w:line="360" w:lineRule="auto"/>
        <w:jc w:val="both"/>
        <w:rPr>
          <w:rFonts w:ascii="Arial" w:hAnsi="Arial" w:cs="Arial"/>
          <w:sz w:val="24"/>
          <w:szCs w:val="24"/>
        </w:rPr>
      </w:pPr>
      <w:r w:rsidRPr="00956C2A">
        <w:rPr>
          <w:rFonts w:ascii="Arial" w:hAnsi="Arial" w:cs="Arial"/>
          <w:sz w:val="24"/>
          <w:szCs w:val="24"/>
          <w:lang w:val="es-ES"/>
        </w:rPr>
        <w:t xml:space="preserve">De las referidas disposiciones se desprende que para la acumulación de pretensiones: 1) deben aplicarse las reglas contenidas en el </w:t>
      </w:r>
      <w:r w:rsidRPr="00956C2A">
        <w:rPr>
          <w:rFonts w:ascii="Arial" w:hAnsi="Arial" w:cs="Arial"/>
          <w:sz w:val="24"/>
          <w:szCs w:val="24"/>
        </w:rPr>
        <w:t>Código de Procedimiento Administrativo y de lo Contencioso Administrativo (Ley 1437, articulo 162, numeral 2°)</w:t>
      </w:r>
      <w:r w:rsidRPr="00956C2A">
        <w:rPr>
          <w:rStyle w:val="Refdenotaalpie"/>
          <w:rFonts w:ascii="Arial" w:hAnsi="Arial" w:cs="Arial"/>
          <w:sz w:val="24"/>
          <w:szCs w:val="24"/>
        </w:rPr>
        <w:footnoteReference w:id="3"/>
      </w:r>
      <w:r w:rsidRPr="00956C2A">
        <w:rPr>
          <w:rFonts w:ascii="Arial" w:hAnsi="Arial" w:cs="Arial"/>
          <w:sz w:val="24"/>
          <w:szCs w:val="24"/>
        </w:rPr>
        <w:t>,</w:t>
      </w:r>
      <w:r w:rsidR="00F016F7" w:rsidRPr="00956C2A">
        <w:rPr>
          <w:rFonts w:ascii="Arial" w:hAnsi="Arial" w:cs="Arial"/>
          <w:sz w:val="24"/>
          <w:szCs w:val="24"/>
        </w:rPr>
        <w:t xml:space="preserve"> no obstante a lo anterior el medio de </w:t>
      </w:r>
      <w:r w:rsidR="00F016F7" w:rsidRPr="00F8183B">
        <w:rPr>
          <w:rFonts w:ascii="Arial" w:hAnsi="Arial" w:cs="Arial"/>
          <w:b/>
          <w:sz w:val="24"/>
          <w:szCs w:val="24"/>
        </w:rPr>
        <w:t xml:space="preserve">control inmediato de legalidad </w:t>
      </w:r>
      <w:r w:rsidR="00F016F7" w:rsidRPr="008D17E0">
        <w:rPr>
          <w:rFonts w:ascii="Arial" w:hAnsi="Arial" w:cs="Arial"/>
          <w:b/>
          <w:sz w:val="24"/>
          <w:szCs w:val="24"/>
          <w:u w:val="single"/>
        </w:rPr>
        <w:t>no es una demanda</w:t>
      </w:r>
      <w:r w:rsidR="00F016F7" w:rsidRPr="00956C2A">
        <w:rPr>
          <w:rFonts w:ascii="Arial" w:hAnsi="Arial" w:cs="Arial"/>
          <w:sz w:val="24"/>
          <w:szCs w:val="24"/>
        </w:rPr>
        <w:t xml:space="preserve"> propiamente dicha, por cuanto </w:t>
      </w:r>
      <w:r w:rsidR="00F016F7" w:rsidRPr="008D17E0">
        <w:rPr>
          <w:rFonts w:ascii="Arial" w:hAnsi="Arial" w:cs="Arial"/>
          <w:b/>
          <w:sz w:val="24"/>
          <w:szCs w:val="24"/>
          <w:u w:val="single"/>
        </w:rPr>
        <w:t>no existen pretensiones</w:t>
      </w:r>
      <w:r w:rsidR="00F016F7" w:rsidRPr="00956C2A">
        <w:rPr>
          <w:rFonts w:ascii="Arial" w:hAnsi="Arial" w:cs="Arial"/>
          <w:sz w:val="24"/>
          <w:szCs w:val="24"/>
        </w:rPr>
        <w:t xml:space="preserve"> por resolver, además que este mecanismo solo fue previsto para el trámite de nulidad, de nulidad y de restablecimiento del derecho, </w:t>
      </w:r>
      <w:r w:rsidR="00F016F7" w:rsidRPr="00956C2A">
        <w:rPr>
          <w:rFonts w:ascii="Arial" w:hAnsi="Arial" w:cs="Arial"/>
          <w:sz w:val="24"/>
          <w:szCs w:val="24"/>
        </w:rPr>
        <w:lastRenderedPageBreak/>
        <w:t>relativas a contratos y de reparación directa</w:t>
      </w:r>
      <w:r w:rsidR="005F659A" w:rsidRPr="00956C2A">
        <w:rPr>
          <w:rFonts w:ascii="Arial" w:hAnsi="Arial" w:cs="Arial"/>
          <w:sz w:val="24"/>
          <w:szCs w:val="24"/>
        </w:rPr>
        <w:t xml:space="preserve"> y dejó por fuera el trámite especial de control inmediato de legalidad.</w:t>
      </w:r>
    </w:p>
    <w:p w:rsidR="005F773F" w:rsidRPr="00B53CDE" w:rsidRDefault="005F773F" w:rsidP="005F659A">
      <w:pPr>
        <w:pStyle w:val="Sinespaciado"/>
        <w:spacing w:line="360" w:lineRule="auto"/>
        <w:jc w:val="both"/>
        <w:rPr>
          <w:rFonts w:ascii="Arial" w:hAnsi="Arial" w:cs="Arial"/>
          <w:sz w:val="16"/>
          <w:szCs w:val="16"/>
        </w:rPr>
      </w:pPr>
    </w:p>
    <w:p w:rsidR="0070109D" w:rsidRPr="00956C2A" w:rsidRDefault="005F659A" w:rsidP="0070109D">
      <w:pPr>
        <w:pStyle w:val="Sinespaciado"/>
        <w:spacing w:line="360" w:lineRule="auto"/>
        <w:jc w:val="both"/>
        <w:rPr>
          <w:rFonts w:ascii="Arial" w:hAnsi="Arial" w:cs="Arial"/>
          <w:sz w:val="24"/>
          <w:szCs w:val="24"/>
        </w:rPr>
      </w:pPr>
      <w:r w:rsidRPr="00956C2A">
        <w:rPr>
          <w:rFonts w:ascii="Arial" w:hAnsi="Arial" w:cs="Arial"/>
          <w:sz w:val="24"/>
          <w:szCs w:val="24"/>
        </w:rPr>
        <w:t xml:space="preserve">Con fundamento en lo anterior, resulta aplicable lo señalado en el artículo 306 ídem que consagró una cláusula de remisión al Código de Procedimiento civil </w:t>
      </w:r>
      <w:r w:rsidRPr="00956C2A">
        <w:rPr>
          <w:rFonts w:ascii="Arial" w:hAnsi="Arial" w:cs="Arial"/>
          <w:i/>
          <w:sz w:val="24"/>
          <w:szCs w:val="24"/>
        </w:rPr>
        <w:t>–hoy Código General del Proceso-</w:t>
      </w:r>
      <w:r w:rsidRPr="00956C2A">
        <w:rPr>
          <w:rFonts w:ascii="Arial" w:hAnsi="Arial" w:cs="Arial"/>
          <w:sz w:val="24"/>
          <w:szCs w:val="24"/>
        </w:rPr>
        <w:t xml:space="preserve"> en los siguientes términos:</w:t>
      </w:r>
    </w:p>
    <w:p w:rsidR="0070109D" w:rsidRPr="00B53CDE" w:rsidRDefault="0070109D" w:rsidP="00956C2A">
      <w:pPr>
        <w:pStyle w:val="Sinespaciado"/>
        <w:jc w:val="both"/>
        <w:rPr>
          <w:rFonts w:ascii="Arial" w:hAnsi="Arial" w:cs="Arial"/>
          <w:sz w:val="12"/>
          <w:szCs w:val="12"/>
        </w:rPr>
      </w:pPr>
    </w:p>
    <w:p w:rsidR="0070109D" w:rsidRPr="00956C2A" w:rsidRDefault="0070109D" w:rsidP="0070109D">
      <w:pPr>
        <w:ind w:left="708"/>
        <w:jc w:val="both"/>
        <w:rPr>
          <w:rFonts w:ascii="Arial" w:hAnsi="Arial" w:cs="Arial"/>
          <w:sz w:val="22"/>
          <w:szCs w:val="22"/>
        </w:rPr>
      </w:pPr>
      <w:r w:rsidRPr="00F8183B">
        <w:rPr>
          <w:rFonts w:ascii="Arial" w:hAnsi="Arial" w:cs="Arial"/>
          <w:b/>
          <w:sz w:val="22"/>
          <w:szCs w:val="22"/>
        </w:rPr>
        <w:t>Artículo </w:t>
      </w:r>
      <w:bookmarkStart w:id="2" w:name="306"/>
      <w:r w:rsidRPr="00F8183B">
        <w:rPr>
          <w:rFonts w:ascii="Arial" w:hAnsi="Arial" w:cs="Arial"/>
          <w:b/>
          <w:sz w:val="22"/>
          <w:szCs w:val="22"/>
        </w:rPr>
        <w:t> </w:t>
      </w:r>
      <w:bookmarkEnd w:id="2"/>
      <w:r w:rsidRPr="00F8183B">
        <w:rPr>
          <w:rFonts w:ascii="Arial" w:hAnsi="Arial" w:cs="Arial"/>
          <w:b/>
          <w:sz w:val="22"/>
          <w:szCs w:val="22"/>
        </w:rPr>
        <w:t>306.</w:t>
      </w:r>
      <w:r w:rsidRPr="00F8183B">
        <w:rPr>
          <w:rStyle w:val="apple-converted-space"/>
          <w:rFonts w:ascii="Arial" w:hAnsi="Arial" w:cs="Arial"/>
          <w:b/>
          <w:sz w:val="22"/>
          <w:szCs w:val="22"/>
        </w:rPr>
        <w:t> </w:t>
      </w:r>
      <w:r w:rsidRPr="00F8183B">
        <w:rPr>
          <w:rFonts w:ascii="Arial" w:hAnsi="Arial" w:cs="Arial"/>
          <w:b/>
          <w:sz w:val="22"/>
          <w:szCs w:val="22"/>
        </w:rPr>
        <w:t>Aspectos no regulados.</w:t>
      </w:r>
      <w:r w:rsidRPr="00F8183B">
        <w:rPr>
          <w:rStyle w:val="apple-converted-space"/>
          <w:rFonts w:ascii="Arial" w:hAnsi="Arial" w:cs="Arial"/>
          <w:b/>
          <w:sz w:val="22"/>
          <w:szCs w:val="22"/>
        </w:rPr>
        <w:t> </w:t>
      </w:r>
      <w:r w:rsidRPr="00956C2A">
        <w:rPr>
          <w:rFonts w:ascii="Arial" w:hAnsi="Arial" w:cs="Arial"/>
          <w:sz w:val="22"/>
          <w:szCs w:val="22"/>
        </w:rPr>
        <w:t>En los aspectos no contemplados en este Código se seguirá el Código de Procedimiento Civil en lo que sea compatible con la naturaleza de los procesos y actuaciones que correspondan a la Jurisdicción de lo Contencioso Administrativo.</w:t>
      </w:r>
    </w:p>
    <w:p w:rsidR="0070109D" w:rsidRPr="00956C2A" w:rsidRDefault="0070109D" w:rsidP="0070109D">
      <w:pPr>
        <w:rPr>
          <w:rFonts w:ascii="Calibri" w:hAnsi="Calibri"/>
        </w:rPr>
      </w:pPr>
    </w:p>
    <w:p w:rsidR="0070109D" w:rsidRPr="00956C2A" w:rsidRDefault="0070109D" w:rsidP="0070109D">
      <w:pPr>
        <w:spacing w:line="360" w:lineRule="auto"/>
        <w:jc w:val="both"/>
        <w:rPr>
          <w:rFonts w:ascii="Arial" w:hAnsi="Arial" w:cs="Arial"/>
        </w:rPr>
      </w:pPr>
      <w:r w:rsidRPr="00956C2A">
        <w:rPr>
          <w:rFonts w:ascii="Arial" w:hAnsi="Arial" w:cs="Arial"/>
        </w:rPr>
        <w:t xml:space="preserve">El Código General del Proceso, en el artículo 148 numeral 1° señala lo siguiente: </w:t>
      </w:r>
    </w:p>
    <w:p w:rsidR="0070109D" w:rsidRPr="00B53CDE" w:rsidRDefault="0070109D" w:rsidP="00B53CDE">
      <w:pPr>
        <w:pStyle w:val="Sinespaciado"/>
        <w:jc w:val="both"/>
        <w:rPr>
          <w:rFonts w:ascii="Arial" w:hAnsi="Arial" w:cs="Arial"/>
          <w:sz w:val="14"/>
          <w:szCs w:val="14"/>
          <w:shd w:val="clear" w:color="auto" w:fill="FFFFFF"/>
        </w:rPr>
      </w:pPr>
    </w:p>
    <w:p w:rsidR="0070109D" w:rsidRDefault="0070109D" w:rsidP="0070109D">
      <w:pPr>
        <w:pStyle w:val="Sinespaciado"/>
        <w:ind w:left="708"/>
        <w:jc w:val="both"/>
        <w:rPr>
          <w:rFonts w:ascii="Arial" w:hAnsi="Arial" w:cs="Arial"/>
        </w:rPr>
      </w:pPr>
      <w:r w:rsidRPr="00F8183B">
        <w:rPr>
          <w:rFonts w:ascii="Arial" w:hAnsi="Arial" w:cs="Arial"/>
          <w:b/>
          <w:shd w:val="clear" w:color="auto" w:fill="FFFFFF"/>
        </w:rPr>
        <w:t>Artículo 148.</w:t>
      </w:r>
      <w:r w:rsidRPr="00F8183B">
        <w:rPr>
          <w:rStyle w:val="apple-converted-space"/>
          <w:rFonts w:ascii="Arial" w:hAnsi="Arial" w:cs="Arial"/>
          <w:b/>
          <w:bCs/>
          <w:shd w:val="clear" w:color="auto" w:fill="FFFFFF"/>
        </w:rPr>
        <w:t> </w:t>
      </w:r>
      <w:r w:rsidRPr="00F8183B">
        <w:rPr>
          <w:rFonts w:ascii="Arial" w:hAnsi="Arial" w:cs="Arial"/>
          <w:b/>
          <w:shd w:val="clear" w:color="auto" w:fill="FFFFFF"/>
        </w:rPr>
        <w:t>Procedencia de la acumulación en los procesos declarativos</w:t>
      </w:r>
      <w:r w:rsidRPr="00956C2A">
        <w:rPr>
          <w:rFonts w:ascii="Arial" w:hAnsi="Arial" w:cs="Arial"/>
          <w:shd w:val="clear" w:color="auto" w:fill="FFFFFF"/>
        </w:rPr>
        <w:t>.</w:t>
      </w:r>
      <w:r w:rsidR="00F8183B">
        <w:rPr>
          <w:rFonts w:ascii="Arial" w:hAnsi="Arial" w:cs="Arial"/>
          <w:shd w:val="clear" w:color="auto" w:fill="FFFFFF"/>
        </w:rPr>
        <w:t xml:space="preserve"> </w:t>
      </w:r>
      <w:r w:rsidRPr="00956C2A">
        <w:rPr>
          <w:rFonts w:ascii="Arial" w:hAnsi="Arial" w:cs="Arial"/>
        </w:rPr>
        <w:t>Para la acumulación de procesos y demandas se aplicarán las siguientes reglas:</w:t>
      </w:r>
    </w:p>
    <w:p w:rsidR="00F8183B" w:rsidRPr="00956C2A" w:rsidRDefault="00F8183B" w:rsidP="0070109D">
      <w:pPr>
        <w:pStyle w:val="Sinespaciado"/>
        <w:ind w:left="708"/>
        <w:jc w:val="both"/>
        <w:rPr>
          <w:rFonts w:ascii="Arial" w:hAnsi="Arial" w:cs="Arial"/>
        </w:rPr>
      </w:pPr>
    </w:p>
    <w:p w:rsidR="0070109D" w:rsidRDefault="0070109D" w:rsidP="0070109D">
      <w:pPr>
        <w:pStyle w:val="Sinespaciado"/>
        <w:ind w:left="708"/>
        <w:jc w:val="both"/>
        <w:rPr>
          <w:rFonts w:ascii="Arial" w:hAnsi="Arial" w:cs="Arial"/>
        </w:rPr>
      </w:pPr>
      <w:r w:rsidRPr="00F8183B">
        <w:rPr>
          <w:rFonts w:ascii="Arial" w:hAnsi="Arial" w:cs="Arial"/>
          <w:b/>
        </w:rPr>
        <w:t>1. Acumulación de procesos</w:t>
      </w:r>
      <w:r w:rsidRPr="00956C2A">
        <w:rPr>
          <w:rFonts w:ascii="Arial" w:hAnsi="Arial" w:cs="Arial"/>
        </w:rPr>
        <w:t>. De oficio o a petición de parte podrán acumularse dos (2) o más procesos que se encuentren en la misma instancia, aunque no se haya notificado el auto admisorio de la demanda, siempre que deban tramitarse por el mismo procedimiento, en cualquiera de los siguientes casos:</w:t>
      </w:r>
    </w:p>
    <w:p w:rsidR="00F8183B" w:rsidRPr="00956C2A" w:rsidRDefault="00F8183B" w:rsidP="0070109D">
      <w:pPr>
        <w:pStyle w:val="Sinespaciado"/>
        <w:ind w:left="708"/>
        <w:jc w:val="both"/>
        <w:rPr>
          <w:rFonts w:ascii="Arial" w:hAnsi="Arial" w:cs="Arial"/>
        </w:rPr>
      </w:pPr>
    </w:p>
    <w:p w:rsidR="0070109D" w:rsidRPr="00956C2A" w:rsidRDefault="0070109D" w:rsidP="0070109D">
      <w:pPr>
        <w:pStyle w:val="Sinespaciado"/>
        <w:ind w:left="708"/>
        <w:jc w:val="both"/>
        <w:rPr>
          <w:rFonts w:ascii="Arial" w:hAnsi="Arial" w:cs="Arial"/>
        </w:rPr>
      </w:pPr>
      <w:r w:rsidRPr="00956C2A">
        <w:rPr>
          <w:rFonts w:ascii="Arial" w:hAnsi="Arial" w:cs="Arial"/>
        </w:rPr>
        <w:t>a) Cuando las pretensiones formuladas habrían podido acumularse en la misma demanda.</w:t>
      </w:r>
    </w:p>
    <w:p w:rsidR="0070109D" w:rsidRPr="00956C2A" w:rsidRDefault="0070109D" w:rsidP="0070109D">
      <w:pPr>
        <w:pStyle w:val="Sinespaciado"/>
        <w:ind w:left="708"/>
        <w:jc w:val="both"/>
        <w:rPr>
          <w:rFonts w:ascii="Arial" w:hAnsi="Arial" w:cs="Arial"/>
        </w:rPr>
      </w:pPr>
      <w:r w:rsidRPr="00956C2A">
        <w:rPr>
          <w:rFonts w:ascii="Arial" w:hAnsi="Arial" w:cs="Arial"/>
        </w:rPr>
        <w:t>b) Cuando se trate de pretensiones conexas y las partes sean demandantes y demandados recíprocos.</w:t>
      </w:r>
    </w:p>
    <w:p w:rsidR="0070109D" w:rsidRPr="00956C2A" w:rsidRDefault="0070109D" w:rsidP="0070109D">
      <w:pPr>
        <w:pStyle w:val="Sinespaciado"/>
        <w:ind w:left="708"/>
        <w:jc w:val="both"/>
        <w:rPr>
          <w:rFonts w:ascii="Arial" w:hAnsi="Arial" w:cs="Arial"/>
        </w:rPr>
      </w:pPr>
      <w:r w:rsidRPr="00956C2A">
        <w:rPr>
          <w:rFonts w:ascii="Arial" w:hAnsi="Arial" w:cs="Arial"/>
        </w:rPr>
        <w:t>c) Cuando el demandado sea el mismo y las excepciones de mérito propuestas se fundamenten en los mismos hechos.</w:t>
      </w:r>
    </w:p>
    <w:p w:rsidR="00F8183B" w:rsidRDefault="00F8183B" w:rsidP="0070109D">
      <w:pPr>
        <w:pStyle w:val="Sinespaciado"/>
        <w:ind w:left="708"/>
        <w:jc w:val="both"/>
        <w:rPr>
          <w:rFonts w:ascii="Arial" w:hAnsi="Arial" w:cs="Arial"/>
        </w:rPr>
      </w:pPr>
    </w:p>
    <w:p w:rsidR="0070109D" w:rsidRPr="00956C2A" w:rsidRDefault="0070109D" w:rsidP="0070109D">
      <w:pPr>
        <w:pStyle w:val="Sinespaciado"/>
        <w:ind w:left="708"/>
        <w:jc w:val="both"/>
        <w:rPr>
          <w:rFonts w:ascii="Arial" w:hAnsi="Arial" w:cs="Arial"/>
        </w:rPr>
      </w:pPr>
      <w:r w:rsidRPr="00F8183B">
        <w:rPr>
          <w:rFonts w:ascii="Arial" w:hAnsi="Arial" w:cs="Arial"/>
          <w:b/>
        </w:rPr>
        <w:t>2. Acumulación de demandas</w:t>
      </w:r>
      <w:r w:rsidRPr="00956C2A">
        <w:rPr>
          <w:rFonts w:ascii="Arial" w:hAnsi="Arial" w:cs="Arial"/>
        </w:rPr>
        <w:t>. Aun antes de haber sido notificado el auto admisorio de la demanda, podrán formularse nuevas demandas declarativas en los mismos eventos en que hubiese sido procedente la acumulación de pretensiones.</w:t>
      </w:r>
    </w:p>
    <w:p w:rsidR="00F8183B" w:rsidRDefault="00F8183B" w:rsidP="0070109D">
      <w:pPr>
        <w:pStyle w:val="Sinespaciado"/>
        <w:ind w:left="708"/>
        <w:jc w:val="both"/>
        <w:rPr>
          <w:rFonts w:ascii="Arial" w:hAnsi="Arial" w:cs="Arial"/>
        </w:rPr>
      </w:pPr>
    </w:p>
    <w:p w:rsidR="0070109D" w:rsidRPr="00956C2A" w:rsidRDefault="0070109D" w:rsidP="0070109D">
      <w:pPr>
        <w:pStyle w:val="Sinespaciado"/>
        <w:ind w:left="708"/>
        <w:jc w:val="both"/>
        <w:rPr>
          <w:rFonts w:ascii="Arial" w:hAnsi="Arial" w:cs="Arial"/>
        </w:rPr>
      </w:pPr>
      <w:r w:rsidRPr="00F8183B">
        <w:rPr>
          <w:rFonts w:ascii="Arial" w:hAnsi="Arial" w:cs="Arial"/>
          <w:b/>
        </w:rPr>
        <w:t>3. Disposiciones comunes</w:t>
      </w:r>
      <w:r w:rsidRPr="00956C2A">
        <w:rPr>
          <w:rFonts w:ascii="Arial" w:hAnsi="Arial" w:cs="Arial"/>
        </w:rPr>
        <w:t>. Las acumulaciones en los procesos declarativos procederán hasta antes de señalarse fecha y hora para la audiencia inicial.</w:t>
      </w:r>
    </w:p>
    <w:p w:rsidR="0070109D" w:rsidRPr="00956C2A" w:rsidRDefault="0070109D" w:rsidP="0070109D">
      <w:pPr>
        <w:pStyle w:val="Sinespaciado"/>
        <w:ind w:left="708"/>
        <w:jc w:val="both"/>
        <w:rPr>
          <w:rFonts w:ascii="Arial" w:hAnsi="Arial" w:cs="Arial"/>
        </w:rPr>
      </w:pPr>
      <w:r w:rsidRPr="00956C2A">
        <w:rPr>
          <w:rFonts w:ascii="Arial" w:hAnsi="Arial" w:cs="Arial"/>
        </w:rPr>
        <w:t>Si en alguno de los procesos ya se hubiere notificado al demandado el auto admisorio de la demanda, al decretarse la acumulación de procesos se dispondrá la notificación por estado del auto admisorio que estuviere pendiente de notificación.</w:t>
      </w:r>
    </w:p>
    <w:p w:rsidR="0070109D" w:rsidRPr="00956C2A" w:rsidRDefault="0070109D" w:rsidP="0070109D">
      <w:pPr>
        <w:pStyle w:val="Sinespaciado"/>
        <w:ind w:left="708"/>
        <w:jc w:val="both"/>
        <w:rPr>
          <w:rFonts w:ascii="Arial" w:hAnsi="Arial" w:cs="Arial"/>
        </w:rPr>
      </w:pPr>
      <w:r w:rsidRPr="00956C2A">
        <w:rPr>
          <w:rFonts w:ascii="Arial" w:hAnsi="Arial" w:cs="Arial"/>
        </w:rPr>
        <w:t>De la misma manera se notificará el auto admisorio de la nueva demanda acumulada, cuando el demandado ya esté notificado en el proceso donde se presenta la acumulación.</w:t>
      </w:r>
    </w:p>
    <w:p w:rsidR="00F8183B" w:rsidRDefault="00F8183B" w:rsidP="0070109D">
      <w:pPr>
        <w:pStyle w:val="Sinespaciado"/>
        <w:ind w:left="708"/>
        <w:jc w:val="both"/>
        <w:rPr>
          <w:rFonts w:ascii="Arial" w:hAnsi="Arial" w:cs="Arial"/>
        </w:rPr>
      </w:pPr>
    </w:p>
    <w:p w:rsidR="0070109D" w:rsidRPr="00956C2A" w:rsidRDefault="0070109D" w:rsidP="0070109D">
      <w:pPr>
        <w:pStyle w:val="Sinespaciado"/>
        <w:ind w:left="708"/>
        <w:jc w:val="both"/>
        <w:rPr>
          <w:rFonts w:ascii="Arial" w:hAnsi="Arial" w:cs="Arial"/>
        </w:rPr>
      </w:pPr>
      <w:r w:rsidRPr="00956C2A">
        <w:rPr>
          <w:rFonts w:ascii="Arial" w:hAnsi="Arial" w:cs="Arial"/>
        </w:rPr>
        <w:t>En estos casos el demandado podrá solicitar en la secretaría que se le suministre la reproducción de la demanda y de sus anexos dentro de los tres (3) días siguientes, vencidos los cuales comenzará a correr el término de ejecutoria y el de traslado de la demanda que estaba pendiente de notificación al momento de la acumulación.</w:t>
      </w:r>
    </w:p>
    <w:p w:rsidR="0070109D" w:rsidRPr="00956C2A" w:rsidRDefault="0070109D" w:rsidP="0070109D">
      <w:pPr>
        <w:pStyle w:val="Sinespaciado"/>
        <w:ind w:left="708"/>
        <w:jc w:val="both"/>
        <w:rPr>
          <w:rFonts w:ascii="Arial" w:hAnsi="Arial" w:cs="Arial"/>
        </w:rPr>
      </w:pPr>
      <w:r w:rsidRPr="00956C2A">
        <w:rPr>
          <w:rFonts w:ascii="Arial" w:hAnsi="Arial" w:cs="Arial"/>
        </w:rPr>
        <w:t>Cuando un demandado no se hubiere notificado personalmente en ninguno de los procesos, se aplicarán las reglas generales.</w:t>
      </w:r>
    </w:p>
    <w:p w:rsidR="00F8183B" w:rsidRDefault="00F8183B" w:rsidP="0070109D">
      <w:pPr>
        <w:ind w:left="708"/>
        <w:jc w:val="both"/>
        <w:rPr>
          <w:rFonts w:ascii="Arial" w:hAnsi="Arial" w:cs="Arial"/>
        </w:rPr>
      </w:pPr>
    </w:p>
    <w:p w:rsidR="0070109D" w:rsidRPr="00956C2A" w:rsidRDefault="0070109D" w:rsidP="0070109D">
      <w:pPr>
        <w:ind w:left="708"/>
        <w:jc w:val="both"/>
        <w:rPr>
          <w:rFonts w:ascii="Arial" w:hAnsi="Arial" w:cs="Arial"/>
        </w:rPr>
      </w:pPr>
      <w:r w:rsidRPr="00956C2A">
        <w:rPr>
          <w:rFonts w:ascii="Arial" w:hAnsi="Arial" w:cs="Arial"/>
        </w:rPr>
        <w:t xml:space="preserve">La acumulación de demandas y de procesos ejecutivos se regirá por lo dispuesto en los artículos 463 y 464 de este código. </w:t>
      </w:r>
    </w:p>
    <w:p w:rsidR="0070109D" w:rsidRPr="00956C2A" w:rsidRDefault="0070109D" w:rsidP="0070109D">
      <w:pPr>
        <w:rPr>
          <w:rFonts w:ascii="Calibri" w:hAnsi="Calibri"/>
        </w:rPr>
      </w:pPr>
    </w:p>
    <w:p w:rsidR="0070109D" w:rsidRPr="00956C2A" w:rsidRDefault="0070109D" w:rsidP="0070109D">
      <w:pPr>
        <w:spacing w:line="360" w:lineRule="auto"/>
        <w:jc w:val="both"/>
        <w:rPr>
          <w:rFonts w:ascii="Arial" w:hAnsi="Arial" w:cs="Arial"/>
        </w:rPr>
      </w:pPr>
      <w:r w:rsidRPr="00956C2A">
        <w:rPr>
          <w:rFonts w:ascii="Arial" w:hAnsi="Arial" w:cs="Arial"/>
        </w:rPr>
        <w:t xml:space="preserve">La norma anterior hace referencia a la figura de la acumulación en cuanto a procesos y en cuanto a demandas, ambos de naturaleza declarativa.   </w:t>
      </w:r>
    </w:p>
    <w:p w:rsidR="0070109D" w:rsidRPr="00956C2A" w:rsidRDefault="0070109D" w:rsidP="0070109D">
      <w:pPr>
        <w:rPr>
          <w:rFonts w:ascii="Calibri" w:hAnsi="Calibri"/>
        </w:rPr>
      </w:pPr>
    </w:p>
    <w:p w:rsidR="00F8183B" w:rsidRDefault="0070109D" w:rsidP="00B53CDE">
      <w:pPr>
        <w:spacing w:line="360" w:lineRule="auto"/>
        <w:jc w:val="both"/>
        <w:rPr>
          <w:rFonts w:ascii="Arial" w:hAnsi="Arial" w:cs="Arial"/>
        </w:rPr>
      </w:pPr>
      <w:r w:rsidRPr="00956C2A">
        <w:rPr>
          <w:rFonts w:ascii="Arial" w:hAnsi="Arial" w:cs="Arial"/>
        </w:rPr>
        <w:t xml:space="preserve">En cuanto a la acumulación de procesos, </w:t>
      </w:r>
      <w:r w:rsidR="000622F1" w:rsidRPr="00956C2A">
        <w:rPr>
          <w:rFonts w:ascii="Arial" w:hAnsi="Arial" w:cs="Arial"/>
        </w:rPr>
        <w:t xml:space="preserve">se puede señalar que </w:t>
      </w:r>
      <w:r w:rsidRPr="00956C2A">
        <w:rPr>
          <w:rFonts w:ascii="Arial" w:hAnsi="Arial" w:cs="Arial"/>
        </w:rPr>
        <w:t>ésta procede</w:t>
      </w:r>
      <w:r w:rsidR="000622F1" w:rsidRPr="00956C2A">
        <w:rPr>
          <w:rFonts w:ascii="Arial" w:hAnsi="Arial" w:cs="Arial"/>
        </w:rPr>
        <w:t>, al haberse cumplido los siguientes requisitos</w:t>
      </w:r>
      <w:r w:rsidRPr="00956C2A">
        <w:rPr>
          <w:rFonts w:ascii="Arial" w:hAnsi="Arial" w:cs="Arial"/>
        </w:rPr>
        <w:t xml:space="preserve">: </w:t>
      </w:r>
    </w:p>
    <w:p w:rsidR="008D17E0" w:rsidRDefault="008D17E0" w:rsidP="00B53CDE">
      <w:pPr>
        <w:spacing w:line="360" w:lineRule="auto"/>
        <w:jc w:val="both"/>
        <w:rPr>
          <w:rFonts w:ascii="Arial" w:hAnsi="Arial" w:cs="Arial"/>
        </w:rPr>
      </w:pPr>
    </w:p>
    <w:p w:rsidR="00F8183B" w:rsidRPr="00F8183B" w:rsidRDefault="0070109D" w:rsidP="00F8183B">
      <w:pPr>
        <w:pStyle w:val="Prrafodelista"/>
        <w:numPr>
          <w:ilvl w:val="0"/>
          <w:numId w:val="8"/>
        </w:numPr>
        <w:spacing w:line="360" w:lineRule="auto"/>
        <w:jc w:val="both"/>
        <w:rPr>
          <w:rFonts w:ascii="Arial" w:hAnsi="Arial" w:cs="Arial"/>
        </w:rPr>
      </w:pPr>
      <w:r w:rsidRPr="00F8183B">
        <w:rPr>
          <w:rFonts w:ascii="Arial" w:hAnsi="Arial" w:cs="Arial"/>
          <w:b/>
          <w:bCs/>
        </w:rPr>
        <w:t>de oficio</w:t>
      </w:r>
      <w:r w:rsidRPr="00F8183B">
        <w:rPr>
          <w:rFonts w:ascii="Arial" w:hAnsi="Arial" w:cs="Arial"/>
        </w:rPr>
        <w:t xml:space="preserve"> o a petición de parte, </w:t>
      </w:r>
    </w:p>
    <w:p w:rsidR="00F8183B" w:rsidRDefault="0070109D" w:rsidP="00F8183B">
      <w:pPr>
        <w:pStyle w:val="Prrafodelista"/>
        <w:numPr>
          <w:ilvl w:val="0"/>
          <w:numId w:val="8"/>
        </w:numPr>
        <w:spacing w:line="360" w:lineRule="auto"/>
        <w:jc w:val="both"/>
        <w:rPr>
          <w:rFonts w:ascii="Arial" w:hAnsi="Arial" w:cs="Arial"/>
        </w:rPr>
      </w:pPr>
      <w:r w:rsidRPr="00F8183B">
        <w:rPr>
          <w:rFonts w:ascii="Arial" w:hAnsi="Arial" w:cs="Arial"/>
          <w:b/>
          <w:u w:val="single"/>
        </w:rPr>
        <w:t>para procesos</w:t>
      </w:r>
      <w:r w:rsidRPr="00F8183B">
        <w:rPr>
          <w:rFonts w:ascii="Arial" w:hAnsi="Arial" w:cs="Arial"/>
        </w:rPr>
        <w:t xml:space="preserve"> que se encuentren en la </w:t>
      </w:r>
      <w:r w:rsidRPr="00F8183B">
        <w:rPr>
          <w:rFonts w:ascii="Arial" w:hAnsi="Arial" w:cs="Arial"/>
          <w:b/>
        </w:rPr>
        <w:t>misma instancia</w:t>
      </w:r>
      <w:r w:rsidR="005F659A" w:rsidRPr="00F8183B">
        <w:rPr>
          <w:rFonts w:ascii="Arial" w:hAnsi="Arial" w:cs="Arial"/>
        </w:rPr>
        <w:t xml:space="preserve"> – única instancia-</w:t>
      </w:r>
      <w:r w:rsidRPr="00F8183B">
        <w:rPr>
          <w:rFonts w:ascii="Arial" w:hAnsi="Arial" w:cs="Arial"/>
        </w:rPr>
        <w:t>,</w:t>
      </w:r>
    </w:p>
    <w:p w:rsidR="00F8183B" w:rsidRDefault="0070109D" w:rsidP="00F8183B">
      <w:pPr>
        <w:pStyle w:val="Prrafodelista"/>
        <w:numPr>
          <w:ilvl w:val="0"/>
          <w:numId w:val="8"/>
        </w:numPr>
        <w:spacing w:line="360" w:lineRule="auto"/>
        <w:jc w:val="both"/>
        <w:rPr>
          <w:rFonts w:ascii="Arial" w:hAnsi="Arial" w:cs="Arial"/>
        </w:rPr>
      </w:pPr>
      <w:r w:rsidRPr="00F8183B">
        <w:rPr>
          <w:rFonts w:ascii="Arial" w:hAnsi="Arial" w:cs="Arial"/>
        </w:rPr>
        <w:t xml:space="preserve"> </w:t>
      </w:r>
      <w:r w:rsidRPr="00F8183B">
        <w:rPr>
          <w:rFonts w:ascii="Arial" w:hAnsi="Arial" w:cs="Arial"/>
          <w:b/>
          <w:u w:val="single"/>
        </w:rPr>
        <w:t>para procesos</w:t>
      </w:r>
      <w:r w:rsidRPr="00F8183B">
        <w:rPr>
          <w:rFonts w:ascii="Arial" w:hAnsi="Arial" w:cs="Arial"/>
        </w:rPr>
        <w:t xml:space="preserve"> que se tramiten por el </w:t>
      </w:r>
      <w:r w:rsidRPr="00F8183B">
        <w:rPr>
          <w:rFonts w:ascii="Arial" w:hAnsi="Arial" w:cs="Arial"/>
          <w:b/>
        </w:rPr>
        <w:t>mismo procedimiento</w:t>
      </w:r>
      <w:r w:rsidR="000622F1" w:rsidRPr="00F8183B">
        <w:rPr>
          <w:rFonts w:ascii="Arial" w:hAnsi="Arial" w:cs="Arial"/>
        </w:rPr>
        <w:t xml:space="preserve">, </w:t>
      </w:r>
    </w:p>
    <w:p w:rsidR="00F8183B" w:rsidRDefault="00F8183B" w:rsidP="00F8183B">
      <w:pPr>
        <w:spacing w:line="360" w:lineRule="auto"/>
        <w:jc w:val="both"/>
        <w:rPr>
          <w:rFonts w:ascii="Arial" w:hAnsi="Arial" w:cs="Arial"/>
        </w:rPr>
      </w:pPr>
    </w:p>
    <w:p w:rsidR="0070109D" w:rsidRPr="00F8183B" w:rsidRDefault="000622F1" w:rsidP="00F8183B">
      <w:pPr>
        <w:spacing w:line="360" w:lineRule="auto"/>
        <w:jc w:val="both"/>
        <w:rPr>
          <w:rFonts w:ascii="Arial" w:hAnsi="Arial" w:cs="Arial"/>
        </w:rPr>
      </w:pPr>
      <w:r w:rsidRPr="00F8183B">
        <w:rPr>
          <w:rFonts w:ascii="Arial" w:hAnsi="Arial" w:cs="Arial"/>
        </w:rPr>
        <w:t xml:space="preserve">los demás </w:t>
      </w:r>
      <w:r w:rsidR="00F8183B">
        <w:rPr>
          <w:rFonts w:ascii="Arial" w:hAnsi="Arial" w:cs="Arial"/>
        </w:rPr>
        <w:t xml:space="preserve">requisitos </w:t>
      </w:r>
      <w:r w:rsidRPr="00F8183B">
        <w:rPr>
          <w:rFonts w:ascii="Arial" w:hAnsi="Arial" w:cs="Arial"/>
        </w:rPr>
        <w:t xml:space="preserve">no aplican por cuanto en este asunto no es una demanda propiamente dicha, por las razones expuestas. </w:t>
      </w:r>
    </w:p>
    <w:p w:rsidR="00F8183B" w:rsidRDefault="00F8183B" w:rsidP="0070109D">
      <w:pPr>
        <w:spacing w:line="360" w:lineRule="auto"/>
        <w:jc w:val="both"/>
        <w:rPr>
          <w:rFonts w:ascii="Arial" w:hAnsi="Arial" w:cs="Arial"/>
        </w:rPr>
      </w:pPr>
    </w:p>
    <w:p w:rsidR="0070109D" w:rsidRPr="00956C2A" w:rsidRDefault="0070109D" w:rsidP="0070109D">
      <w:pPr>
        <w:spacing w:line="360" w:lineRule="auto"/>
        <w:jc w:val="both"/>
        <w:rPr>
          <w:rFonts w:ascii="Arial" w:hAnsi="Arial" w:cs="Arial"/>
        </w:rPr>
      </w:pPr>
      <w:r w:rsidRPr="00956C2A">
        <w:rPr>
          <w:rFonts w:ascii="Arial" w:hAnsi="Arial" w:cs="Arial"/>
        </w:rPr>
        <w:t>De acuerdo con los numerales 1° y 3° del artículo 148 del Código General del Proceso, antes trascritos, la acumulación de procesos exige como presupuesto la existencia de varios procesos y en consecuencia que en estos ya se haya trabado al litis mediante la expedición del auto admisorio de la demanda.</w:t>
      </w:r>
    </w:p>
    <w:p w:rsidR="0070109D" w:rsidRPr="00956C2A" w:rsidRDefault="0070109D" w:rsidP="0070109D">
      <w:pPr>
        <w:rPr>
          <w:rFonts w:ascii="Calibri" w:hAnsi="Calibri"/>
        </w:rPr>
      </w:pPr>
    </w:p>
    <w:p w:rsidR="0070109D" w:rsidRPr="00956C2A" w:rsidRDefault="0070109D" w:rsidP="005F659A">
      <w:pPr>
        <w:spacing w:line="360" w:lineRule="auto"/>
        <w:jc w:val="both"/>
        <w:rPr>
          <w:rFonts w:ascii="Arial" w:hAnsi="Arial" w:cs="Arial"/>
          <w:shd w:val="clear" w:color="auto" w:fill="FFFFFF"/>
        </w:rPr>
      </w:pPr>
      <w:r w:rsidRPr="00956C2A">
        <w:rPr>
          <w:rFonts w:ascii="Arial" w:hAnsi="Arial" w:cs="Arial"/>
        </w:rPr>
        <w:t xml:space="preserve">Lo anterior permite al Despacho concluir que </w:t>
      </w:r>
      <w:r w:rsidRPr="008D17E0">
        <w:rPr>
          <w:rFonts w:ascii="Arial" w:hAnsi="Arial" w:cs="Arial"/>
          <w:b/>
        </w:rPr>
        <w:t>es procedente</w:t>
      </w:r>
      <w:r w:rsidRPr="00956C2A">
        <w:rPr>
          <w:rFonts w:ascii="Arial" w:hAnsi="Arial" w:cs="Arial"/>
        </w:rPr>
        <w:t xml:space="preserve"> en el presente caso aplicar la figura jurídica de la </w:t>
      </w:r>
      <w:r w:rsidRPr="008D17E0">
        <w:rPr>
          <w:rFonts w:ascii="Arial" w:hAnsi="Arial" w:cs="Arial"/>
          <w:b/>
        </w:rPr>
        <w:t>acumulación de procesos</w:t>
      </w:r>
      <w:r w:rsidRPr="00956C2A">
        <w:rPr>
          <w:rFonts w:ascii="Arial" w:hAnsi="Arial" w:cs="Arial"/>
        </w:rPr>
        <w:t>, dado que las circunstancias jurídico procesales lo permiten</w:t>
      </w:r>
      <w:r w:rsidR="005F659A" w:rsidRPr="00956C2A">
        <w:rPr>
          <w:rFonts w:ascii="Arial" w:hAnsi="Arial" w:cs="Arial"/>
        </w:rPr>
        <w:t xml:space="preserve">. </w:t>
      </w:r>
    </w:p>
    <w:p w:rsidR="0070109D" w:rsidRPr="00956C2A" w:rsidRDefault="0070109D" w:rsidP="00663AFE">
      <w:pPr>
        <w:spacing w:line="360" w:lineRule="auto"/>
        <w:jc w:val="both"/>
        <w:rPr>
          <w:rFonts w:ascii="Arial" w:hAnsi="Arial" w:cs="Arial"/>
          <w:shd w:val="clear" w:color="auto" w:fill="FFFFFF"/>
        </w:rPr>
      </w:pPr>
    </w:p>
    <w:p w:rsidR="004A6C15" w:rsidRPr="00956C2A" w:rsidRDefault="008D17E0" w:rsidP="000622F1">
      <w:pPr>
        <w:pStyle w:val="Prrafodelista"/>
        <w:numPr>
          <w:ilvl w:val="0"/>
          <w:numId w:val="7"/>
        </w:numPr>
        <w:spacing w:line="360" w:lineRule="auto"/>
        <w:jc w:val="both"/>
        <w:rPr>
          <w:rFonts w:ascii="Arial" w:hAnsi="Arial" w:cs="Arial"/>
          <w:b/>
          <w:bCs/>
          <w:shd w:val="clear" w:color="auto" w:fill="FFFFFF"/>
        </w:rPr>
      </w:pPr>
      <w:r w:rsidRPr="00956C2A">
        <w:rPr>
          <w:rFonts w:ascii="Arial" w:hAnsi="Arial" w:cs="Arial"/>
          <w:b/>
          <w:bCs/>
          <w:shd w:val="clear" w:color="auto" w:fill="FFFFFF"/>
        </w:rPr>
        <w:t>SOBRE LA ADMISIBILIDAD DEL NUEVO DECRETO</w:t>
      </w:r>
      <w:r w:rsidRPr="00956C2A">
        <w:rPr>
          <w:rFonts w:ascii="Arial" w:hAnsi="Arial" w:cs="Arial"/>
          <w:b/>
          <w:bCs/>
        </w:rPr>
        <w:t>.</w:t>
      </w:r>
    </w:p>
    <w:p w:rsidR="00727C81" w:rsidRPr="00956C2A" w:rsidRDefault="00727C81" w:rsidP="00663AFE">
      <w:pPr>
        <w:spacing w:line="360" w:lineRule="auto"/>
        <w:jc w:val="both"/>
        <w:rPr>
          <w:rFonts w:ascii="Arial" w:hAnsi="Arial" w:cs="Arial"/>
          <w:shd w:val="clear" w:color="auto" w:fill="FFFFFF"/>
        </w:rPr>
      </w:pPr>
    </w:p>
    <w:p w:rsidR="004A6C15" w:rsidRPr="00956C2A" w:rsidRDefault="004A6C15" w:rsidP="00727C81">
      <w:pPr>
        <w:spacing w:line="360" w:lineRule="auto"/>
        <w:jc w:val="both"/>
        <w:rPr>
          <w:rFonts w:ascii="Arial" w:hAnsi="Arial" w:cs="Arial"/>
          <w:shd w:val="clear" w:color="auto" w:fill="FFFFFF"/>
        </w:rPr>
      </w:pPr>
      <w:r w:rsidRPr="00956C2A">
        <w:rPr>
          <w:rFonts w:ascii="Arial" w:hAnsi="Arial" w:cs="Arial"/>
          <w:shd w:val="clear" w:color="auto" w:fill="FFFFFF"/>
        </w:rPr>
        <w:t xml:space="preserve">Habiendo dejado por sentado la procedencia de acumulación de procesos, procederá el Despacho a analizar si se dan los presupuestos para avocar el conocimiento del Decreto No. </w:t>
      </w:r>
      <w:r w:rsidR="005F773F" w:rsidRPr="00956C2A">
        <w:rPr>
          <w:rFonts w:ascii="Arial" w:hAnsi="Arial" w:cs="Arial"/>
          <w:lang w:val="es-CO"/>
        </w:rPr>
        <w:t>100-028-</w:t>
      </w:r>
      <w:r w:rsidRPr="008D17E0">
        <w:rPr>
          <w:rFonts w:ascii="Arial" w:hAnsi="Arial" w:cs="Arial"/>
          <w:b/>
        </w:rPr>
        <w:t xml:space="preserve">069 </w:t>
      </w:r>
      <w:r w:rsidRPr="00956C2A">
        <w:rPr>
          <w:rFonts w:ascii="Arial" w:hAnsi="Arial" w:cs="Arial"/>
        </w:rPr>
        <w:t xml:space="preserve">del 20 de marzo de 2020, expedido por la Alcaldía Municipal El Municipio San Juan Bautista Guacarí Valle, bajo los siguientes términos: </w:t>
      </w:r>
    </w:p>
    <w:p w:rsidR="004A6C15" w:rsidRPr="00956C2A" w:rsidRDefault="004A6C15" w:rsidP="00727C81">
      <w:pPr>
        <w:spacing w:line="360" w:lineRule="auto"/>
        <w:jc w:val="both"/>
        <w:rPr>
          <w:rFonts w:ascii="Arial" w:hAnsi="Arial" w:cs="Arial"/>
          <w:shd w:val="clear" w:color="auto" w:fill="FFFFFF"/>
        </w:rPr>
      </w:pPr>
    </w:p>
    <w:p w:rsidR="00727C81" w:rsidRPr="00956C2A" w:rsidRDefault="00727C81" w:rsidP="00727C81">
      <w:pPr>
        <w:spacing w:line="360" w:lineRule="auto"/>
        <w:jc w:val="both"/>
        <w:rPr>
          <w:sz w:val="28"/>
          <w:szCs w:val="28"/>
          <w:shd w:val="clear" w:color="auto" w:fill="FFFFFF"/>
        </w:rPr>
      </w:pPr>
      <w:r w:rsidRPr="00956C2A">
        <w:rPr>
          <w:rFonts w:ascii="Arial" w:hAnsi="Arial" w:cs="Arial"/>
        </w:rPr>
        <w:t xml:space="preserve">El pasado 11 de marzo de 2020, la Organización Mundial de la Salud - OMS-, calificó el brote de COVID-19 (Coronavirus) como una pandemia; por lo que el Ministerio de Salud y Protección Social, mediante Resolución 385 de 12 de marzo de 2020, declaró «la emergencia sanitaria en todo el territorio nacional hasta el 30 de mayo de 2020». </w:t>
      </w:r>
    </w:p>
    <w:p w:rsidR="00727C81" w:rsidRPr="00956C2A" w:rsidRDefault="00727C81" w:rsidP="00727C81">
      <w:pPr>
        <w:spacing w:line="360" w:lineRule="auto"/>
        <w:jc w:val="both"/>
        <w:rPr>
          <w:rFonts w:ascii="Arial" w:hAnsi="Arial" w:cs="Arial"/>
        </w:rPr>
      </w:pPr>
    </w:p>
    <w:p w:rsidR="00727C81" w:rsidRPr="00956C2A" w:rsidRDefault="00727C81" w:rsidP="00727C81">
      <w:pPr>
        <w:spacing w:line="360" w:lineRule="auto"/>
        <w:jc w:val="both"/>
        <w:rPr>
          <w:rFonts w:ascii="Arial" w:hAnsi="Arial" w:cs="Arial"/>
        </w:rPr>
      </w:pPr>
      <w:r w:rsidRPr="00956C2A">
        <w:rPr>
          <w:rFonts w:ascii="Arial" w:hAnsi="Arial" w:cs="Arial"/>
        </w:rPr>
        <w:t>Posteriormente, el señor Presidente de la República, por medio del Decreto Declarativo 417 de 17 de marzo de 2020, declaró o estableció el «Estado de Emergencia Económica, Social y Ecológica en todo el territorio nacional, por el término de 30 días»; con el fin de adoptar todas las medidas necesarias para conjurar la crisis e impedir la propagación del COVID-19.</w:t>
      </w:r>
    </w:p>
    <w:p w:rsidR="00F8183B" w:rsidRDefault="00F8183B" w:rsidP="00727C81">
      <w:pPr>
        <w:spacing w:line="360" w:lineRule="auto"/>
        <w:jc w:val="both"/>
        <w:rPr>
          <w:rFonts w:ascii="Arial" w:hAnsi="Arial" w:cs="Arial"/>
        </w:rPr>
      </w:pPr>
    </w:p>
    <w:p w:rsidR="001F42EB" w:rsidRPr="00956C2A" w:rsidRDefault="00727C81" w:rsidP="00727C81">
      <w:pPr>
        <w:spacing w:line="360" w:lineRule="auto"/>
        <w:jc w:val="both"/>
        <w:rPr>
          <w:rFonts w:ascii="Arial" w:hAnsi="Arial" w:cs="Arial"/>
        </w:rPr>
      </w:pPr>
      <w:r w:rsidRPr="00956C2A">
        <w:rPr>
          <w:rFonts w:ascii="Arial" w:hAnsi="Arial" w:cs="Arial"/>
        </w:rPr>
        <w:t xml:space="preserve">El Municipio San Juan Bautista Guacarí del Valle del Cauca remitió vía correo electrónico para el trámite de </w:t>
      </w:r>
      <w:r w:rsidRPr="00956C2A">
        <w:rPr>
          <w:rFonts w:ascii="Arial" w:hAnsi="Arial" w:cs="Arial"/>
          <w:b/>
          <w:bCs/>
        </w:rPr>
        <w:t>control inmediato de legalidad</w:t>
      </w:r>
      <w:r w:rsidRPr="00956C2A">
        <w:rPr>
          <w:rFonts w:ascii="Arial" w:hAnsi="Arial" w:cs="Arial"/>
        </w:rPr>
        <w:t xml:space="preserve"> consagrado en el artículo 136 del Código de Procedimiento Administrativo y de lo Contencioso Administrativo (en adelante </w:t>
      </w:r>
      <w:r w:rsidRPr="00956C2A">
        <w:rPr>
          <w:rFonts w:ascii="Arial" w:hAnsi="Arial" w:cs="Arial"/>
        </w:rPr>
        <w:lastRenderedPageBreak/>
        <w:t xml:space="preserve">CPACA), el </w:t>
      </w:r>
      <w:r w:rsidRPr="00956C2A">
        <w:rPr>
          <w:rFonts w:ascii="Arial" w:hAnsi="Arial" w:cs="Arial"/>
          <w:b/>
        </w:rPr>
        <w:t xml:space="preserve">Decreto </w:t>
      </w:r>
      <w:r w:rsidRPr="008D17E0">
        <w:rPr>
          <w:rFonts w:ascii="Arial" w:hAnsi="Arial" w:cs="Arial"/>
        </w:rPr>
        <w:t>No. 100-0028-</w:t>
      </w:r>
      <w:r w:rsidRPr="00956C2A">
        <w:rPr>
          <w:rFonts w:ascii="Arial" w:hAnsi="Arial" w:cs="Arial"/>
          <w:b/>
        </w:rPr>
        <w:t>06</w:t>
      </w:r>
      <w:r w:rsidR="004A6C15" w:rsidRPr="00956C2A">
        <w:rPr>
          <w:rFonts w:ascii="Arial" w:hAnsi="Arial" w:cs="Arial"/>
          <w:b/>
        </w:rPr>
        <w:t>9</w:t>
      </w:r>
      <w:r w:rsidRPr="00956C2A">
        <w:rPr>
          <w:rFonts w:ascii="Arial" w:hAnsi="Arial" w:cs="Arial"/>
          <w:b/>
        </w:rPr>
        <w:t xml:space="preserve"> </w:t>
      </w:r>
      <w:r w:rsidRPr="008D17E0">
        <w:rPr>
          <w:rFonts w:ascii="Arial" w:hAnsi="Arial" w:cs="Arial"/>
        </w:rPr>
        <w:t xml:space="preserve">del </w:t>
      </w:r>
      <w:r w:rsidR="004A6C15" w:rsidRPr="008D17E0">
        <w:rPr>
          <w:rFonts w:ascii="Arial" w:hAnsi="Arial" w:cs="Arial"/>
        </w:rPr>
        <w:t>20</w:t>
      </w:r>
      <w:r w:rsidRPr="008D17E0">
        <w:rPr>
          <w:rFonts w:ascii="Arial" w:hAnsi="Arial" w:cs="Arial"/>
        </w:rPr>
        <w:t xml:space="preserve"> de marzo de 2020</w:t>
      </w:r>
      <w:r w:rsidRPr="00956C2A">
        <w:rPr>
          <w:rFonts w:ascii="Arial" w:hAnsi="Arial" w:cs="Arial"/>
        </w:rPr>
        <w:t>,</w:t>
      </w:r>
      <w:r w:rsidR="001F42EB" w:rsidRPr="00956C2A">
        <w:rPr>
          <w:rFonts w:ascii="Arial" w:hAnsi="Arial" w:cs="Arial"/>
        </w:rPr>
        <w:t xml:space="preserve"> </w:t>
      </w:r>
      <w:r w:rsidRPr="00956C2A">
        <w:rPr>
          <w:rFonts w:ascii="Arial" w:hAnsi="Arial" w:cs="Arial"/>
        </w:rPr>
        <w:t>expedido por la Alcaldía Municipal de San Juan Bautista de Guacarí “</w:t>
      </w:r>
      <w:r w:rsidR="001F42EB" w:rsidRPr="00956C2A">
        <w:rPr>
          <w:rFonts w:ascii="Arial" w:hAnsi="Arial" w:cs="Arial"/>
        </w:rPr>
        <w:t>Por el cual se modifica y se prorroga y la vigencia del Decreto 100-028-</w:t>
      </w:r>
      <w:r w:rsidR="001F42EB" w:rsidRPr="008D17E0">
        <w:rPr>
          <w:rFonts w:ascii="Arial" w:hAnsi="Arial" w:cs="Arial"/>
          <w:b/>
        </w:rPr>
        <w:t>063</w:t>
      </w:r>
      <w:r w:rsidR="001F42EB" w:rsidRPr="00956C2A">
        <w:rPr>
          <w:rFonts w:ascii="Arial" w:hAnsi="Arial" w:cs="Arial"/>
        </w:rPr>
        <w:t xml:space="preserve"> del 18 de marzo de 2020 “por medio del cual se dictan medidas de protección frente al coronavirus covid 2019 y se dictan otras disposiciones”</w:t>
      </w:r>
    </w:p>
    <w:p w:rsidR="001F42EB" w:rsidRPr="00956C2A" w:rsidRDefault="001F42EB" w:rsidP="00727C81">
      <w:pPr>
        <w:spacing w:line="360" w:lineRule="auto"/>
        <w:jc w:val="both"/>
        <w:rPr>
          <w:rFonts w:ascii="Arial" w:hAnsi="Arial" w:cs="Arial"/>
          <w:b/>
        </w:rPr>
      </w:pPr>
    </w:p>
    <w:p w:rsidR="00727C81" w:rsidRPr="00956C2A" w:rsidRDefault="00727C81" w:rsidP="00727C81">
      <w:pPr>
        <w:spacing w:line="360" w:lineRule="auto"/>
        <w:jc w:val="both"/>
        <w:rPr>
          <w:rFonts w:ascii="Arial" w:hAnsi="Arial" w:cs="Arial"/>
        </w:rPr>
      </w:pPr>
      <w:r w:rsidRPr="00956C2A">
        <w:rPr>
          <w:rFonts w:ascii="Arial" w:hAnsi="Arial" w:cs="Arial"/>
        </w:rPr>
        <w:t>Con el fin de adelantar el examen de control inmediato de legalidad, se atenderá el trámite previsto en el art. 185 del CPACA.</w:t>
      </w:r>
    </w:p>
    <w:p w:rsidR="00727C81" w:rsidRPr="00956C2A" w:rsidRDefault="00727C81" w:rsidP="00727C81">
      <w:pPr>
        <w:rPr>
          <w:rFonts w:ascii="Arial" w:hAnsi="Arial" w:cs="Arial"/>
        </w:rPr>
      </w:pPr>
    </w:p>
    <w:p w:rsidR="00727C81" w:rsidRPr="00956C2A" w:rsidRDefault="00727C81" w:rsidP="00727C81">
      <w:pPr>
        <w:spacing w:line="360" w:lineRule="auto"/>
        <w:jc w:val="both"/>
        <w:rPr>
          <w:lang w:val="es-CO"/>
        </w:rPr>
      </w:pPr>
      <w:r w:rsidRPr="00956C2A">
        <w:rPr>
          <w:rFonts w:ascii="Arial" w:hAnsi="Arial" w:cs="Arial"/>
        </w:rPr>
        <w:t>Igualmente, de conformidad con el numeral 4 del art. 18</w:t>
      </w:r>
      <w:r w:rsidR="00420096" w:rsidRPr="00956C2A">
        <w:rPr>
          <w:rFonts w:ascii="Arial" w:hAnsi="Arial" w:cs="Arial"/>
        </w:rPr>
        <w:t>5</w:t>
      </w:r>
      <w:r w:rsidRPr="00956C2A">
        <w:rPr>
          <w:rFonts w:ascii="Arial" w:hAnsi="Arial" w:cs="Arial"/>
        </w:rPr>
        <w:t xml:space="preserve"> del CPACA el Magistrado Sustanciador encuentra necesario decretar la práctica de una prueba en el sentido de ordenar al Ministerio del Interior </w:t>
      </w:r>
      <w:r w:rsidRPr="00956C2A">
        <w:rPr>
          <w:rFonts w:ascii="Arial" w:hAnsi="Arial" w:cs="Arial"/>
          <w:lang w:val="es-CO"/>
        </w:rPr>
        <w:t>que certifique si las medidas tomadas en el Decreto objeto de control, fueron previamente coordinadas y comunicadas en virtud del parágrafo 1</w:t>
      </w:r>
      <w:r w:rsidRPr="00956C2A">
        <w:rPr>
          <w:rStyle w:val="Refdenotaalpie"/>
          <w:rFonts w:ascii="Arial" w:hAnsi="Arial" w:cs="Arial"/>
          <w:lang w:val="es-CO"/>
        </w:rPr>
        <w:footnoteReference w:id="4"/>
      </w:r>
      <w:r w:rsidRPr="00956C2A">
        <w:rPr>
          <w:rFonts w:ascii="Arial" w:hAnsi="Arial" w:cs="Arial"/>
          <w:lang w:val="es-CO"/>
        </w:rPr>
        <w:t xml:space="preserve"> del art. 2 y el art. 3 del Decreto 418 del 18 de marzo de 2020 “</w:t>
      </w:r>
      <w:r w:rsidRPr="00956C2A">
        <w:rPr>
          <w:rFonts w:ascii="Arial" w:hAnsi="Arial" w:cs="Arial"/>
        </w:rPr>
        <w:t>Por el cual se dictan medidas transitorias para expedir normas en materia de orden público.</w:t>
      </w:r>
      <w:r w:rsidRPr="00956C2A">
        <w:rPr>
          <w:rFonts w:ascii="Arial" w:hAnsi="Arial" w:cs="Arial"/>
          <w:lang w:val="es-CO"/>
        </w:rPr>
        <w:t>”</w:t>
      </w:r>
      <w:r w:rsidRPr="00956C2A">
        <w:t xml:space="preserve"> </w:t>
      </w:r>
      <w:r w:rsidRPr="00956C2A">
        <w:rPr>
          <w:lang w:val="es-CO"/>
        </w:rPr>
        <w:t xml:space="preserve"> </w:t>
      </w:r>
    </w:p>
    <w:p w:rsidR="00727C81" w:rsidRPr="00956C2A" w:rsidRDefault="00727C81" w:rsidP="00727C81">
      <w:pPr>
        <w:pStyle w:val="Prrafodelista"/>
        <w:ind w:left="0"/>
        <w:rPr>
          <w:rFonts w:ascii="Arial" w:hAnsi="Arial" w:cs="Arial"/>
          <w:lang w:val="es-CO"/>
        </w:rPr>
      </w:pPr>
    </w:p>
    <w:p w:rsidR="00727C81" w:rsidRPr="00956C2A" w:rsidRDefault="00727C81" w:rsidP="00727C81">
      <w:pPr>
        <w:spacing w:line="360" w:lineRule="auto"/>
        <w:jc w:val="both"/>
        <w:rPr>
          <w:rFonts w:ascii="Arial" w:hAnsi="Arial" w:cs="Arial"/>
        </w:rPr>
      </w:pPr>
      <w:r w:rsidRPr="00956C2A">
        <w:rPr>
          <w:rFonts w:ascii="Arial" w:hAnsi="Arial" w:cs="Arial"/>
        </w:rPr>
        <w:t>Asimismo, comoquiera que el Consejo Superior de la Judicatura mediante ACUERDO PCSJA20-11518 16 de marzo de 2020 “Por el cual se complementan las medidas transitorias de salubridad pública adoptadas mediante el Acuerdo 11517 de 2020” dispuso, entre otros, que los funcionarios y empleados judiciales trabajen desde sus casas, se hace necesario adelantar todas las actuaciones que se deriven de esta providencia a través de los medios electrónicos, como lo contempla el art. 186 del CPACA, que estipula:</w:t>
      </w:r>
    </w:p>
    <w:p w:rsidR="00727C81" w:rsidRPr="00956C2A" w:rsidRDefault="00727C81" w:rsidP="00727C81">
      <w:pPr>
        <w:spacing w:line="360" w:lineRule="auto"/>
        <w:jc w:val="both"/>
        <w:rPr>
          <w:rFonts w:ascii="Arial" w:hAnsi="Arial" w:cs="Arial"/>
        </w:rPr>
      </w:pPr>
    </w:p>
    <w:p w:rsidR="00727C81" w:rsidRPr="00956C2A" w:rsidRDefault="00727C81" w:rsidP="00727C81">
      <w:pPr>
        <w:spacing w:line="240" w:lineRule="atLeast"/>
        <w:ind w:left="708"/>
        <w:jc w:val="both"/>
        <w:rPr>
          <w:rFonts w:ascii="Arial" w:hAnsi="Arial" w:cs="Arial"/>
          <w:sz w:val="22"/>
          <w:szCs w:val="22"/>
        </w:rPr>
      </w:pPr>
      <w:r w:rsidRPr="00956C2A">
        <w:rPr>
          <w:rFonts w:ascii="Arial" w:hAnsi="Arial" w:cs="Arial"/>
          <w:sz w:val="22"/>
          <w:szCs w:val="22"/>
        </w:rPr>
        <w:t>“</w:t>
      </w:r>
      <w:r w:rsidRPr="00956C2A">
        <w:rPr>
          <w:rFonts w:ascii="Arial" w:hAnsi="Arial" w:cs="Arial"/>
          <w:b/>
          <w:vanish/>
          <w:sz w:val="22"/>
          <w:szCs w:val="22"/>
        </w:rPr>
        <w:t>&amp;$</w:t>
      </w:r>
      <w:r w:rsidRPr="00956C2A">
        <w:rPr>
          <w:rFonts w:ascii="Arial" w:hAnsi="Arial" w:cs="Arial"/>
          <w:b/>
          <w:sz w:val="22"/>
          <w:szCs w:val="22"/>
        </w:rPr>
        <w:t xml:space="preserve">ARTÍCULO 186. </w:t>
      </w:r>
      <w:r w:rsidRPr="00956C2A">
        <w:rPr>
          <w:rFonts w:ascii="Arial" w:hAnsi="Arial" w:cs="Arial"/>
          <w:b/>
          <w:iCs/>
          <w:sz w:val="22"/>
          <w:szCs w:val="22"/>
        </w:rPr>
        <w:t xml:space="preserve">ACTUACIONES A TRAVÉS DE MEDIOS ELECTRÓNICOS. </w:t>
      </w:r>
      <w:r w:rsidRPr="00956C2A">
        <w:rPr>
          <w:rFonts w:ascii="Arial" w:hAnsi="Arial" w:cs="Arial"/>
          <w:sz w:val="22"/>
          <w:szCs w:val="22"/>
        </w:rPr>
        <w:t>Todas las actuaciones judiciales susceptibles de surtirse en forma escrita se podrán realizar a través de medios electrónicos, siempre y cuando en su envío y recepción se garantice su autenticidad, integridad, conservación y posterior consulta, de conformidad con la ley. La autoridad judicial deberá contar con mecanismos que permitan acusar recibo de la información recibida, a través de este medio.</w:t>
      </w:r>
    </w:p>
    <w:p w:rsidR="00727C81" w:rsidRPr="00956C2A" w:rsidRDefault="00727C81" w:rsidP="00727C81">
      <w:pPr>
        <w:spacing w:line="240" w:lineRule="atLeast"/>
        <w:ind w:left="708"/>
        <w:jc w:val="both"/>
        <w:rPr>
          <w:rFonts w:ascii="Arial" w:hAnsi="Arial" w:cs="Arial"/>
          <w:b/>
          <w:bCs/>
          <w:sz w:val="22"/>
          <w:szCs w:val="22"/>
        </w:rPr>
      </w:pPr>
    </w:p>
    <w:p w:rsidR="00727C81" w:rsidRPr="00956C2A" w:rsidRDefault="00727C81" w:rsidP="00727C81">
      <w:pPr>
        <w:spacing w:line="240" w:lineRule="atLeast"/>
        <w:ind w:left="708"/>
        <w:jc w:val="both"/>
        <w:rPr>
          <w:rFonts w:ascii="Arial" w:hAnsi="Arial" w:cs="Arial"/>
          <w:sz w:val="22"/>
          <w:szCs w:val="22"/>
        </w:rPr>
      </w:pPr>
      <w:r w:rsidRPr="00956C2A">
        <w:rPr>
          <w:rFonts w:ascii="Arial" w:hAnsi="Arial" w:cs="Arial"/>
          <w:b/>
          <w:sz w:val="22"/>
          <w:szCs w:val="22"/>
        </w:rPr>
        <w:t>PARÁGRAFO.</w:t>
      </w:r>
      <w:r w:rsidRPr="00956C2A">
        <w:rPr>
          <w:rFonts w:ascii="Arial" w:hAnsi="Arial" w:cs="Arial"/>
          <w:sz w:val="22"/>
          <w:szCs w:val="22"/>
        </w:rPr>
        <w:t xml:space="preserve"> La Sala Administrativa del Consejo Superior de la Judicatura adoptará las medidas necesarias para que en un plazo no mayor de cinco (5) años, contados a partir de la vigencia del presente Código, sea implementado con todas las condiciones técnicas necesarias </w:t>
      </w:r>
      <w:r w:rsidRPr="00956C2A">
        <w:rPr>
          <w:rFonts w:ascii="Arial" w:hAnsi="Arial" w:cs="Arial"/>
          <w:b/>
          <w:sz w:val="22"/>
          <w:szCs w:val="22"/>
        </w:rPr>
        <w:t>el expediente judicial electrónico</w:t>
      </w:r>
      <w:r w:rsidRPr="00956C2A">
        <w:rPr>
          <w:rFonts w:ascii="Arial" w:hAnsi="Arial" w:cs="Arial"/>
          <w:sz w:val="22"/>
          <w:szCs w:val="22"/>
        </w:rPr>
        <w:t>, que consistirá en un conjunto de documentos electrónicos correspondientes a las actuaciones judiciales que puedan adelantarse en forma escrita dentro de un proceso.”</w:t>
      </w:r>
    </w:p>
    <w:p w:rsidR="00727C81" w:rsidRPr="00956C2A" w:rsidRDefault="00727C81" w:rsidP="00727C81">
      <w:pPr>
        <w:spacing w:line="360" w:lineRule="auto"/>
        <w:jc w:val="both"/>
        <w:rPr>
          <w:rFonts w:ascii="Arial" w:hAnsi="Arial" w:cs="Arial"/>
          <w:b/>
          <w:bCs/>
        </w:rPr>
      </w:pPr>
    </w:p>
    <w:p w:rsidR="00727C81" w:rsidRPr="00956C2A" w:rsidRDefault="00727C81" w:rsidP="00727C81">
      <w:pPr>
        <w:spacing w:line="360" w:lineRule="auto"/>
        <w:jc w:val="both"/>
        <w:rPr>
          <w:rFonts w:ascii="Arial" w:hAnsi="Arial" w:cs="Arial"/>
        </w:rPr>
      </w:pPr>
      <w:r w:rsidRPr="00956C2A">
        <w:rPr>
          <w:rFonts w:ascii="Arial" w:hAnsi="Arial" w:cs="Arial"/>
        </w:rPr>
        <w:t xml:space="preserve">Para lo cual, es necesario disponer las formas cómo se garantizará la publicidad en el presente trámite y en virtud de ello, se ordena a las partes interesadas, Ministerio Público y terceros que toda comunicación sea dirigida a través de los medios electrónicos destinados para este Tribunal a través de los siguientes correos electrónicos: </w:t>
      </w:r>
    </w:p>
    <w:p w:rsidR="00727C81" w:rsidRPr="00956C2A" w:rsidRDefault="00727C81" w:rsidP="00727C81">
      <w:pPr>
        <w:spacing w:line="360" w:lineRule="auto"/>
        <w:jc w:val="both"/>
        <w:rPr>
          <w:rFonts w:ascii="Arial" w:hAnsi="Arial" w:cs="Arial"/>
          <w:b/>
          <w:bCs/>
        </w:rPr>
      </w:pPr>
    </w:p>
    <w:p w:rsidR="00727C81" w:rsidRPr="00956C2A" w:rsidRDefault="00727C81" w:rsidP="00727C81">
      <w:pPr>
        <w:numPr>
          <w:ilvl w:val="0"/>
          <w:numId w:val="3"/>
        </w:numPr>
        <w:spacing w:line="360" w:lineRule="auto"/>
        <w:jc w:val="both"/>
        <w:rPr>
          <w:rFonts w:ascii="Arial" w:hAnsi="Arial" w:cs="Arial"/>
          <w:shd w:val="clear" w:color="auto" w:fill="FFFFFF"/>
        </w:rPr>
      </w:pPr>
      <w:r w:rsidRPr="00956C2A">
        <w:rPr>
          <w:rFonts w:ascii="Arial" w:hAnsi="Arial" w:cs="Arial"/>
          <w:shd w:val="clear" w:color="auto" w:fill="FFFFFF"/>
        </w:rPr>
        <w:t xml:space="preserve">Correo de la Secretaria Tribunal Administrativo - Valle Del Cauca - Seccional Cali: </w:t>
      </w:r>
      <w:hyperlink r:id="rId8" w:history="1">
        <w:r w:rsidRPr="00956C2A">
          <w:rPr>
            <w:rStyle w:val="Hipervnculo"/>
            <w:rFonts w:ascii="Arial" w:hAnsi="Arial" w:cs="Arial"/>
            <w:color w:val="auto"/>
            <w:shd w:val="clear" w:color="auto" w:fill="FFFFFF"/>
          </w:rPr>
          <w:t>s01tadvalle@cendoj.ramajudicial.gov.co</w:t>
        </w:r>
      </w:hyperlink>
    </w:p>
    <w:p w:rsidR="00727C81" w:rsidRPr="00956C2A" w:rsidRDefault="005B054A" w:rsidP="00727C81">
      <w:pPr>
        <w:spacing w:line="360" w:lineRule="auto"/>
        <w:ind w:left="720"/>
        <w:jc w:val="both"/>
        <w:rPr>
          <w:rStyle w:val="Hipervnculo"/>
          <w:rFonts w:ascii="Arial" w:hAnsi="Arial" w:cs="Arial"/>
          <w:color w:val="auto"/>
          <w:shd w:val="clear" w:color="auto" w:fill="FFFFFF"/>
        </w:rPr>
      </w:pPr>
      <w:hyperlink r:id="rId9" w:history="1">
        <w:r w:rsidR="00727C81" w:rsidRPr="00956C2A">
          <w:rPr>
            <w:rStyle w:val="Hipervnculo"/>
            <w:rFonts w:ascii="Arial" w:hAnsi="Arial" w:cs="Arial"/>
            <w:color w:val="auto"/>
            <w:shd w:val="clear" w:color="auto" w:fill="FFFFFF"/>
          </w:rPr>
          <w:t>s02tadvalle@cendoj.ramajudicial.gov.co</w:t>
        </w:r>
      </w:hyperlink>
    </w:p>
    <w:p w:rsidR="00727C81" w:rsidRPr="00956C2A" w:rsidRDefault="00727C81" w:rsidP="00727C81">
      <w:pPr>
        <w:spacing w:line="360" w:lineRule="auto"/>
        <w:ind w:left="720"/>
        <w:jc w:val="both"/>
        <w:rPr>
          <w:rFonts w:ascii="Arial" w:hAnsi="Arial" w:cs="Arial"/>
          <w:sz w:val="6"/>
          <w:szCs w:val="6"/>
          <w:shd w:val="clear" w:color="auto" w:fill="FFFFFF"/>
        </w:rPr>
      </w:pPr>
    </w:p>
    <w:p w:rsidR="00727C81" w:rsidRPr="00956C2A" w:rsidRDefault="00727C81" w:rsidP="00727C81">
      <w:pPr>
        <w:numPr>
          <w:ilvl w:val="0"/>
          <w:numId w:val="3"/>
        </w:numPr>
        <w:spacing w:line="360" w:lineRule="auto"/>
        <w:jc w:val="both"/>
        <w:rPr>
          <w:rFonts w:ascii="Arial" w:hAnsi="Arial" w:cs="Arial"/>
          <w:shd w:val="clear" w:color="auto" w:fill="FFFFFF"/>
        </w:rPr>
      </w:pPr>
      <w:r w:rsidRPr="00956C2A">
        <w:rPr>
          <w:rFonts w:ascii="Arial" w:hAnsi="Arial" w:cs="Arial"/>
          <w:shd w:val="clear" w:color="auto" w:fill="FFFFFF"/>
        </w:rPr>
        <w:t xml:space="preserve">Correo del Despacho: </w:t>
      </w:r>
      <w:hyperlink r:id="rId10" w:history="1">
        <w:r w:rsidRPr="00956C2A">
          <w:rPr>
            <w:rStyle w:val="Hipervnculo"/>
            <w:rFonts w:ascii="Arial" w:hAnsi="Arial" w:cs="Arial"/>
            <w:color w:val="auto"/>
            <w:bdr w:val="none" w:sz="0" w:space="0" w:color="auto" w:frame="1"/>
            <w:lang w:val="es-CO" w:eastAsia="es-CO"/>
          </w:rPr>
          <w:t>oborjas@cendoj.ramajudicial.gov.co</w:t>
        </w:r>
      </w:hyperlink>
      <w:r w:rsidRPr="00956C2A">
        <w:rPr>
          <w:rFonts w:ascii="Arial" w:hAnsi="Arial" w:cs="Arial"/>
          <w:bdr w:val="none" w:sz="0" w:space="0" w:color="auto" w:frame="1"/>
          <w:lang w:val="es-CO" w:eastAsia="es-CO"/>
        </w:rPr>
        <w:t xml:space="preserve"> </w:t>
      </w:r>
    </w:p>
    <w:p w:rsidR="005F773F" w:rsidRPr="00956C2A" w:rsidRDefault="005F773F" w:rsidP="005F773F">
      <w:pPr>
        <w:pStyle w:val="Prrafodelista"/>
        <w:spacing w:line="360" w:lineRule="auto"/>
        <w:ind w:left="0"/>
        <w:jc w:val="both"/>
        <w:rPr>
          <w:rFonts w:ascii="Arial" w:hAnsi="Arial" w:cs="Arial"/>
          <w:b/>
        </w:rPr>
      </w:pPr>
    </w:p>
    <w:p w:rsidR="00727C81" w:rsidRPr="00956C2A" w:rsidRDefault="00727C81" w:rsidP="005F773F">
      <w:pPr>
        <w:pStyle w:val="Prrafodelista"/>
        <w:spacing w:line="360" w:lineRule="auto"/>
        <w:ind w:left="0"/>
        <w:jc w:val="both"/>
        <w:rPr>
          <w:rFonts w:ascii="Arial" w:hAnsi="Arial" w:cs="Arial"/>
        </w:rPr>
      </w:pPr>
      <w:r w:rsidRPr="00956C2A">
        <w:rPr>
          <w:rFonts w:ascii="Arial" w:hAnsi="Arial" w:cs="Arial"/>
          <w:b/>
        </w:rPr>
        <w:t xml:space="preserve">Competencia: </w:t>
      </w:r>
      <w:r w:rsidRPr="00956C2A">
        <w:rPr>
          <w:rFonts w:ascii="Arial" w:hAnsi="Arial" w:cs="Arial"/>
        </w:rPr>
        <w:t xml:space="preserve">Esta Corporación tiene competencia para conocer del escrito de control inmediato de legalidad, de conformidad con el art. 151 del CPACA, que señala: </w:t>
      </w:r>
    </w:p>
    <w:p w:rsidR="00727C81" w:rsidRPr="00956C2A" w:rsidRDefault="00727C81" w:rsidP="00727C81">
      <w:pPr>
        <w:spacing w:line="360" w:lineRule="auto"/>
        <w:jc w:val="both"/>
        <w:rPr>
          <w:rFonts w:ascii="Arial" w:hAnsi="Arial" w:cs="Arial"/>
        </w:rPr>
      </w:pPr>
    </w:p>
    <w:p w:rsidR="00727C81" w:rsidRPr="00956C2A" w:rsidRDefault="00727C81" w:rsidP="00727C81">
      <w:pPr>
        <w:ind w:left="708"/>
        <w:jc w:val="both"/>
        <w:rPr>
          <w:rFonts w:ascii="Arial" w:hAnsi="Arial" w:cs="Arial"/>
          <w:sz w:val="22"/>
          <w:szCs w:val="22"/>
        </w:rPr>
      </w:pPr>
      <w:r w:rsidRPr="00956C2A">
        <w:rPr>
          <w:rFonts w:ascii="Arial" w:hAnsi="Arial" w:cs="Arial"/>
          <w:sz w:val="22"/>
          <w:szCs w:val="22"/>
        </w:rPr>
        <w:t>“</w:t>
      </w:r>
      <w:r w:rsidRPr="00956C2A">
        <w:rPr>
          <w:rFonts w:ascii="Arial" w:hAnsi="Arial" w:cs="Arial"/>
          <w:b/>
          <w:sz w:val="22"/>
          <w:szCs w:val="22"/>
        </w:rPr>
        <w:t xml:space="preserve">ARTÍCULO 151. </w:t>
      </w:r>
      <w:r w:rsidRPr="00956C2A">
        <w:rPr>
          <w:rFonts w:ascii="Arial" w:hAnsi="Arial" w:cs="Arial"/>
          <w:b/>
          <w:iCs/>
          <w:sz w:val="22"/>
          <w:szCs w:val="22"/>
        </w:rPr>
        <w:t>COMPETENCIA DE LOS TRIBUNALES ADMINISTRATIVOS EN ÚNICA INSTANCIA</w:t>
      </w:r>
      <w:r w:rsidRPr="00956C2A">
        <w:rPr>
          <w:rFonts w:ascii="Arial" w:hAnsi="Arial" w:cs="Arial"/>
          <w:i/>
          <w:iCs/>
          <w:sz w:val="22"/>
          <w:szCs w:val="22"/>
        </w:rPr>
        <w:t xml:space="preserve">. </w:t>
      </w:r>
      <w:r w:rsidRPr="00956C2A">
        <w:rPr>
          <w:rFonts w:ascii="Arial" w:hAnsi="Arial" w:cs="Arial"/>
          <w:sz w:val="22"/>
          <w:szCs w:val="22"/>
        </w:rPr>
        <w:t xml:space="preserve">Los Tribunales Administrativos conocerán de los siguientes procesos privativamente y en </w:t>
      </w:r>
      <w:r w:rsidRPr="00956C2A">
        <w:rPr>
          <w:rFonts w:ascii="Arial" w:hAnsi="Arial" w:cs="Arial"/>
          <w:b/>
          <w:sz w:val="22"/>
          <w:szCs w:val="22"/>
        </w:rPr>
        <w:t>única</w:t>
      </w:r>
      <w:r w:rsidRPr="00956C2A">
        <w:rPr>
          <w:rFonts w:ascii="Arial" w:hAnsi="Arial" w:cs="Arial"/>
          <w:sz w:val="22"/>
          <w:szCs w:val="22"/>
        </w:rPr>
        <w:t xml:space="preserve"> instancia:</w:t>
      </w:r>
    </w:p>
    <w:p w:rsidR="00727C81" w:rsidRPr="00956C2A" w:rsidRDefault="00727C81" w:rsidP="00727C81">
      <w:pPr>
        <w:ind w:left="708"/>
        <w:jc w:val="both"/>
        <w:rPr>
          <w:rFonts w:ascii="Arial" w:hAnsi="Arial" w:cs="Arial"/>
          <w:sz w:val="22"/>
          <w:szCs w:val="22"/>
        </w:rPr>
      </w:pPr>
    </w:p>
    <w:p w:rsidR="00727C81" w:rsidRPr="00956C2A" w:rsidRDefault="00727C81" w:rsidP="00727C81">
      <w:pPr>
        <w:spacing w:line="240" w:lineRule="atLeast"/>
        <w:ind w:left="708"/>
        <w:jc w:val="both"/>
        <w:rPr>
          <w:rFonts w:ascii="Arial" w:hAnsi="Arial" w:cs="Arial"/>
          <w:sz w:val="22"/>
          <w:szCs w:val="22"/>
        </w:rPr>
      </w:pPr>
      <w:r w:rsidRPr="00956C2A">
        <w:rPr>
          <w:rFonts w:ascii="Arial" w:hAnsi="Arial" w:cs="Arial"/>
          <w:sz w:val="22"/>
          <w:szCs w:val="22"/>
        </w:rPr>
        <w:t xml:space="preserve">14. </w:t>
      </w:r>
      <w:r w:rsidRPr="00956C2A">
        <w:rPr>
          <w:rFonts w:ascii="Arial" w:hAnsi="Arial" w:cs="Arial"/>
          <w:b/>
          <w:sz w:val="22"/>
          <w:szCs w:val="22"/>
        </w:rPr>
        <w:t>Del control inmediato de legalidad</w:t>
      </w:r>
      <w:r w:rsidRPr="00956C2A">
        <w:rPr>
          <w:rFonts w:ascii="Arial" w:hAnsi="Arial" w:cs="Arial"/>
          <w:sz w:val="22"/>
          <w:szCs w:val="22"/>
        </w:rPr>
        <w:t xml:space="preserve"> de los actos de carácter general que sean proferidos en ejercicio de la función administrativa durante los Estados de Excepción y como desarrollo de los decretos legislativos que fueren dictados </w:t>
      </w:r>
      <w:r w:rsidRPr="00956C2A">
        <w:rPr>
          <w:rFonts w:ascii="Arial" w:hAnsi="Arial" w:cs="Arial"/>
          <w:b/>
          <w:sz w:val="22"/>
          <w:szCs w:val="22"/>
        </w:rPr>
        <w:t>por autoridades territoriales departamentales y municipales</w:t>
      </w:r>
      <w:r w:rsidRPr="00956C2A">
        <w:rPr>
          <w:rFonts w:ascii="Arial" w:hAnsi="Arial" w:cs="Arial"/>
          <w:sz w:val="22"/>
          <w:szCs w:val="22"/>
        </w:rPr>
        <w:t>, cuya competencia corresponderá al tribunal del lugar donde se expidan.”</w:t>
      </w:r>
    </w:p>
    <w:p w:rsidR="00727C81" w:rsidRPr="00956C2A" w:rsidRDefault="00727C81" w:rsidP="00727C81">
      <w:pPr>
        <w:spacing w:line="360" w:lineRule="auto"/>
        <w:jc w:val="both"/>
        <w:rPr>
          <w:rFonts w:ascii="Arial" w:hAnsi="Arial" w:cs="Arial"/>
        </w:rPr>
      </w:pPr>
    </w:p>
    <w:p w:rsidR="00727C81" w:rsidRPr="00956C2A" w:rsidRDefault="00727C81" w:rsidP="00727C81">
      <w:pPr>
        <w:spacing w:line="360" w:lineRule="auto"/>
        <w:jc w:val="both"/>
        <w:rPr>
          <w:rFonts w:ascii="Arial" w:hAnsi="Arial" w:cs="Arial"/>
        </w:rPr>
      </w:pPr>
      <w:r w:rsidRPr="00956C2A">
        <w:rPr>
          <w:rFonts w:ascii="Arial" w:hAnsi="Arial" w:cs="Arial"/>
        </w:rPr>
        <w:t>Así mismo, el art. 20 de la Ley 137 de 1994 señala:</w:t>
      </w:r>
    </w:p>
    <w:p w:rsidR="00727C81" w:rsidRPr="00956C2A" w:rsidRDefault="00727C81" w:rsidP="00727C81">
      <w:pPr>
        <w:spacing w:line="360" w:lineRule="auto"/>
        <w:jc w:val="both"/>
        <w:rPr>
          <w:rFonts w:ascii="Arial" w:hAnsi="Arial" w:cs="Arial"/>
        </w:rPr>
      </w:pPr>
    </w:p>
    <w:p w:rsidR="00727C81" w:rsidRPr="00956C2A" w:rsidRDefault="00727C81" w:rsidP="00727C81">
      <w:pPr>
        <w:ind w:left="708"/>
        <w:jc w:val="both"/>
        <w:rPr>
          <w:rFonts w:ascii="Arial" w:hAnsi="Arial" w:cs="Arial"/>
          <w:sz w:val="22"/>
          <w:szCs w:val="22"/>
        </w:rPr>
      </w:pPr>
      <w:r w:rsidRPr="00956C2A">
        <w:rPr>
          <w:rFonts w:ascii="Arial" w:hAnsi="Arial" w:cs="Arial"/>
          <w:sz w:val="22"/>
          <w:szCs w:val="22"/>
        </w:rPr>
        <w:t>“</w:t>
      </w:r>
      <w:r w:rsidRPr="00956C2A">
        <w:rPr>
          <w:rFonts w:ascii="Arial" w:hAnsi="Arial" w:cs="Arial"/>
          <w:b/>
          <w:vanish/>
          <w:sz w:val="22"/>
          <w:szCs w:val="22"/>
        </w:rPr>
        <w:t>&amp;$</w:t>
      </w:r>
      <w:r w:rsidRPr="00956C2A">
        <w:rPr>
          <w:rFonts w:ascii="Arial" w:hAnsi="Arial" w:cs="Arial"/>
          <w:b/>
          <w:sz w:val="22"/>
          <w:szCs w:val="22"/>
        </w:rPr>
        <w:t>ARTÍCULO 20. CONTROL DE LEGALIDAD</w:t>
      </w:r>
      <w:r w:rsidRPr="00956C2A">
        <w:rPr>
          <w:rFonts w:ascii="Arial" w:hAnsi="Arial" w:cs="Arial"/>
          <w:sz w:val="22"/>
          <w:szCs w:val="22"/>
        </w:rPr>
        <w:t xml:space="preserve">. Las medidas de carácter general que sean dictadas en ejercicio de la función administrativa y como desarrollo de los decretos legislativos durante los Estados de Excepción, tendrán un control inmediato de legalidad, </w:t>
      </w:r>
      <w:r w:rsidRPr="00956C2A">
        <w:rPr>
          <w:rFonts w:ascii="Arial" w:hAnsi="Arial" w:cs="Arial"/>
          <w:b/>
          <w:sz w:val="22"/>
          <w:szCs w:val="22"/>
        </w:rPr>
        <w:t>ejercido por la autoridad de lo contencioso administrativo en el lugar donde se expidan si se tratare de entidades territoriales</w:t>
      </w:r>
      <w:r w:rsidRPr="00956C2A">
        <w:rPr>
          <w:rFonts w:ascii="Arial" w:hAnsi="Arial" w:cs="Arial"/>
          <w:sz w:val="22"/>
          <w:szCs w:val="22"/>
        </w:rPr>
        <w:t xml:space="preserve"> o del Consejo de Estado si emanaren de autoridades nacionales. (…)”</w:t>
      </w:r>
    </w:p>
    <w:p w:rsidR="00727C81" w:rsidRPr="00956C2A" w:rsidRDefault="00727C81" w:rsidP="00727C81">
      <w:pPr>
        <w:jc w:val="both"/>
        <w:rPr>
          <w:rFonts w:ascii="Arial" w:hAnsi="Arial" w:cs="Arial"/>
        </w:rPr>
      </w:pPr>
    </w:p>
    <w:p w:rsidR="00727C81" w:rsidRPr="00956C2A" w:rsidRDefault="00727C81" w:rsidP="00727C81">
      <w:pPr>
        <w:jc w:val="both"/>
        <w:rPr>
          <w:rFonts w:ascii="Arial" w:hAnsi="Arial" w:cs="Arial"/>
        </w:rPr>
      </w:pPr>
      <w:r w:rsidRPr="00956C2A">
        <w:rPr>
          <w:rFonts w:ascii="Arial" w:hAnsi="Arial" w:cs="Arial"/>
        </w:rPr>
        <w:t xml:space="preserve">Con fundamento en lo anterior le corresponde a este Tribunal conocer del presente medio de control. </w:t>
      </w:r>
    </w:p>
    <w:p w:rsidR="000622F1" w:rsidRPr="00956C2A" w:rsidRDefault="000622F1" w:rsidP="000622F1">
      <w:pPr>
        <w:pStyle w:val="Prrafodelista"/>
        <w:spacing w:line="360" w:lineRule="auto"/>
        <w:ind w:left="0"/>
        <w:jc w:val="both"/>
        <w:rPr>
          <w:rFonts w:ascii="Arial" w:hAnsi="Arial" w:cs="Arial"/>
          <w:b/>
        </w:rPr>
      </w:pPr>
    </w:p>
    <w:p w:rsidR="00727C81" w:rsidRPr="00956C2A" w:rsidRDefault="00727C81" w:rsidP="000622F1">
      <w:pPr>
        <w:pStyle w:val="Prrafodelista"/>
        <w:spacing w:line="360" w:lineRule="auto"/>
        <w:ind w:left="0"/>
        <w:jc w:val="both"/>
        <w:rPr>
          <w:rFonts w:ascii="Arial" w:hAnsi="Arial" w:cs="Arial"/>
          <w:b/>
        </w:rPr>
      </w:pPr>
      <w:r w:rsidRPr="00956C2A">
        <w:rPr>
          <w:rFonts w:ascii="Arial" w:hAnsi="Arial" w:cs="Arial"/>
          <w:b/>
        </w:rPr>
        <w:t xml:space="preserve">Oportunidad: </w:t>
      </w:r>
      <w:r w:rsidRPr="00956C2A">
        <w:rPr>
          <w:rFonts w:ascii="Arial" w:hAnsi="Arial" w:cs="Arial"/>
          <w:bCs/>
        </w:rPr>
        <w:t xml:space="preserve">De conformidad con el inciso 2 del art. 20 de la Ley 137 de 1994, señala lo siguiente: </w:t>
      </w:r>
      <w:r w:rsidRPr="00956C2A">
        <w:rPr>
          <w:rFonts w:ascii="Arial" w:hAnsi="Arial" w:cs="Arial"/>
          <w:b/>
        </w:rPr>
        <w:t xml:space="preserve"> </w:t>
      </w:r>
    </w:p>
    <w:p w:rsidR="00727C81" w:rsidRPr="00956C2A" w:rsidRDefault="00727C81" w:rsidP="00727C81">
      <w:pPr>
        <w:spacing w:line="360" w:lineRule="auto"/>
        <w:jc w:val="both"/>
        <w:rPr>
          <w:rFonts w:ascii="Arial" w:hAnsi="Arial" w:cs="Arial"/>
          <w:bCs/>
          <w:sz w:val="22"/>
          <w:szCs w:val="22"/>
        </w:rPr>
      </w:pPr>
      <w:r w:rsidRPr="00956C2A">
        <w:rPr>
          <w:rFonts w:ascii="Arial" w:hAnsi="Arial" w:cs="Arial"/>
          <w:b/>
        </w:rPr>
        <w:tab/>
      </w:r>
      <w:r w:rsidRPr="00956C2A">
        <w:rPr>
          <w:rFonts w:ascii="Arial" w:hAnsi="Arial" w:cs="Arial"/>
          <w:bCs/>
          <w:sz w:val="22"/>
          <w:szCs w:val="22"/>
        </w:rPr>
        <w:t>(…)</w:t>
      </w:r>
    </w:p>
    <w:p w:rsidR="00727C81" w:rsidRPr="00956C2A" w:rsidRDefault="00727C81" w:rsidP="00727C81">
      <w:pPr>
        <w:ind w:left="708"/>
        <w:jc w:val="both"/>
        <w:rPr>
          <w:rFonts w:ascii="Arial" w:hAnsi="Arial" w:cs="Arial"/>
          <w:sz w:val="22"/>
          <w:szCs w:val="22"/>
        </w:rPr>
      </w:pPr>
      <w:r w:rsidRPr="00956C2A">
        <w:rPr>
          <w:rFonts w:ascii="Arial" w:hAnsi="Arial" w:cs="Arial"/>
          <w:sz w:val="22"/>
          <w:szCs w:val="22"/>
        </w:rPr>
        <w:t xml:space="preserve">Las autoridades competentes que los expidan enviarán los actos administrativos a la jurisdicción contencioso-administrativa indicada, dentro de las cuarenta y ocho (48) horas siguientes a su expedición. </w:t>
      </w:r>
    </w:p>
    <w:p w:rsidR="00727C81" w:rsidRPr="00956C2A" w:rsidRDefault="00727C81" w:rsidP="00727C81">
      <w:pPr>
        <w:spacing w:line="360" w:lineRule="auto"/>
        <w:jc w:val="both"/>
        <w:rPr>
          <w:rFonts w:ascii="Arial" w:hAnsi="Arial" w:cs="Arial"/>
          <w:bCs/>
        </w:rPr>
      </w:pPr>
      <w:r w:rsidRPr="00956C2A">
        <w:rPr>
          <w:rFonts w:ascii="Arial" w:hAnsi="Arial" w:cs="Arial"/>
          <w:b/>
        </w:rPr>
        <w:tab/>
      </w:r>
    </w:p>
    <w:p w:rsidR="00727C81" w:rsidRPr="00956C2A" w:rsidRDefault="00727C81" w:rsidP="00727C81">
      <w:pPr>
        <w:spacing w:line="360" w:lineRule="auto"/>
        <w:jc w:val="both"/>
        <w:rPr>
          <w:rFonts w:ascii="Arial" w:hAnsi="Arial" w:cs="Arial"/>
        </w:rPr>
      </w:pPr>
      <w:r w:rsidRPr="00956C2A">
        <w:rPr>
          <w:rFonts w:ascii="Arial" w:hAnsi="Arial" w:cs="Arial"/>
          <w:bCs/>
        </w:rPr>
        <w:t>De conformidad con lo anterior, prima facie se observa que el acto administrativo susceptible de control (</w:t>
      </w:r>
      <w:r w:rsidRPr="00956C2A">
        <w:rPr>
          <w:rFonts w:ascii="Arial" w:hAnsi="Arial" w:cs="Arial"/>
        </w:rPr>
        <w:t xml:space="preserve">Decreto 063 de 2020) fue expedido el 18 de marzo de 2020; no obstante, se debe de precisar que mediante los Acuerdos PCSJA20-11517 y PCSJA20- 11521 y PCSJA20-11526 expedidos por el Consejo Superior de la Judicatura se suspendió los términos de las actuaciones judiciales y estableció algunas excepciones, dentro de las cuales no contempló este medio de control. </w:t>
      </w:r>
    </w:p>
    <w:p w:rsidR="00727C81" w:rsidRPr="00956C2A" w:rsidRDefault="00727C81" w:rsidP="00727C81">
      <w:pPr>
        <w:spacing w:line="360" w:lineRule="auto"/>
        <w:jc w:val="both"/>
        <w:rPr>
          <w:rFonts w:ascii="Arial" w:hAnsi="Arial" w:cs="Arial"/>
        </w:rPr>
      </w:pPr>
    </w:p>
    <w:p w:rsidR="00727C81" w:rsidRPr="00956C2A" w:rsidRDefault="00727C81" w:rsidP="00727C81">
      <w:pPr>
        <w:spacing w:line="360" w:lineRule="auto"/>
        <w:jc w:val="both"/>
        <w:rPr>
          <w:rFonts w:ascii="Arial" w:hAnsi="Arial" w:cs="Arial"/>
        </w:rPr>
      </w:pPr>
      <w:r w:rsidRPr="00956C2A">
        <w:rPr>
          <w:rFonts w:ascii="Arial" w:hAnsi="Arial" w:cs="Arial"/>
        </w:rPr>
        <w:lastRenderedPageBreak/>
        <w:t xml:space="preserve">Posteriormente, mediante ACUERDO PCSJA20-11529 25 de marzo de 2020 “Por el cual se establece una excepción a la suspensión de términos en el Consejo de Estado y en los tribunales administrativos” se resolvió lo siguiente: </w:t>
      </w:r>
    </w:p>
    <w:p w:rsidR="00727C81" w:rsidRPr="00956C2A" w:rsidRDefault="00727C81" w:rsidP="00727C81">
      <w:pPr>
        <w:ind w:left="708"/>
        <w:jc w:val="both"/>
        <w:rPr>
          <w:rFonts w:ascii="Arial" w:hAnsi="Arial" w:cs="Arial"/>
          <w:sz w:val="22"/>
          <w:szCs w:val="22"/>
        </w:rPr>
      </w:pPr>
    </w:p>
    <w:p w:rsidR="00727C81" w:rsidRPr="00956C2A" w:rsidRDefault="00727C81" w:rsidP="00727C81">
      <w:pPr>
        <w:ind w:left="708"/>
        <w:jc w:val="both"/>
        <w:rPr>
          <w:rFonts w:ascii="Arial" w:hAnsi="Arial" w:cs="Arial"/>
          <w:sz w:val="22"/>
          <w:szCs w:val="22"/>
        </w:rPr>
      </w:pPr>
      <w:r w:rsidRPr="00956C2A">
        <w:rPr>
          <w:rFonts w:ascii="Arial" w:hAnsi="Arial" w:cs="Arial"/>
          <w:sz w:val="22"/>
          <w:szCs w:val="22"/>
        </w:rPr>
        <w:t>“ARTÍCULO 1. Exceptuar de la suspensión de términos adoptada por el Consejo Superior de la Judicatura en los acuerdos PCSJA20-11517, 11521 y 11526 de marzo de 2020, las actuaciones que adelanten el Consejo de Estado y los tribunales administrativos con ocasión del control inmediato de legalidad que deben adelantar de conformidad con las competencias establecidas en el artículo 20 de la Ley 137 de 1994 y en los artículos 111, numeral 8, 136 y 151, numeral 14, del Código de Procedimiento Administrativo y de lo Contencioso Administrativo.”</w:t>
      </w:r>
    </w:p>
    <w:p w:rsidR="00727C81" w:rsidRPr="00956C2A" w:rsidRDefault="00727C81" w:rsidP="00727C81">
      <w:pPr>
        <w:spacing w:line="360" w:lineRule="auto"/>
        <w:jc w:val="both"/>
        <w:rPr>
          <w:rFonts w:ascii="Arial" w:hAnsi="Arial" w:cs="Arial"/>
          <w:bCs/>
        </w:rPr>
      </w:pPr>
    </w:p>
    <w:p w:rsidR="00727C81" w:rsidRPr="00956C2A" w:rsidRDefault="00727C81" w:rsidP="000622F1">
      <w:pPr>
        <w:spacing w:line="360" w:lineRule="auto"/>
        <w:jc w:val="both"/>
        <w:rPr>
          <w:rFonts w:ascii="Arial" w:hAnsi="Arial" w:cs="Arial"/>
        </w:rPr>
      </w:pPr>
      <w:r w:rsidRPr="00956C2A">
        <w:rPr>
          <w:rFonts w:ascii="Arial" w:hAnsi="Arial" w:cs="Arial"/>
          <w:b/>
        </w:rPr>
        <w:t xml:space="preserve">Requisitos formales: </w:t>
      </w:r>
      <w:r w:rsidRPr="00956C2A">
        <w:rPr>
          <w:rFonts w:ascii="Arial" w:hAnsi="Arial" w:cs="Arial"/>
          <w:bCs/>
        </w:rPr>
        <w:t xml:space="preserve">De conformidad con el art. 185 del CPACA, tan solo se debe aportar </w:t>
      </w:r>
      <w:r w:rsidRPr="00956C2A">
        <w:rPr>
          <w:rFonts w:ascii="Arial" w:hAnsi="Arial" w:cs="Arial"/>
        </w:rPr>
        <w:t>copia auténtica del texto de los actos administrativos a los que se refiere el control inmediato de legalidad de que trata el artículo 136 ibídem, el cual fue allegado en el escrito respectivo. Por lo que se concluye que la solicitud debe avocarse.</w:t>
      </w:r>
      <w:r w:rsidRPr="00956C2A">
        <w:rPr>
          <w:rFonts w:ascii="Arial" w:hAnsi="Arial" w:cs="Arial"/>
          <w:vanish/>
        </w:rPr>
        <w:t>1745</w:t>
      </w:r>
    </w:p>
    <w:p w:rsidR="00727C81" w:rsidRPr="00956C2A" w:rsidRDefault="00727C81" w:rsidP="000622F1">
      <w:pPr>
        <w:spacing w:line="360" w:lineRule="auto"/>
        <w:ind w:right="-5"/>
        <w:jc w:val="both"/>
        <w:rPr>
          <w:rFonts w:ascii="Arial" w:hAnsi="Arial" w:cs="Arial"/>
          <w:lang w:val="es-CO"/>
        </w:rPr>
      </w:pPr>
    </w:p>
    <w:p w:rsidR="00727C81" w:rsidRPr="00956C2A" w:rsidRDefault="00727C81" w:rsidP="000622F1">
      <w:pPr>
        <w:spacing w:line="360" w:lineRule="auto"/>
        <w:ind w:right="-5"/>
        <w:jc w:val="both"/>
        <w:rPr>
          <w:rFonts w:ascii="Arial" w:hAnsi="Arial" w:cs="Arial"/>
          <w:lang w:val="es-CO"/>
        </w:rPr>
      </w:pPr>
      <w:r w:rsidRPr="00956C2A">
        <w:rPr>
          <w:rFonts w:ascii="Arial" w:hAnsi="Arial" w:cs="Arial"/>
          <w:lang w:val="es-CO"/>
        </w:rPr>
        <w:t>En mérito de lo expuesto, el Tribunal Administrativo del Valle del Cauca,</w:t>
      </w:r>
    </w:p>
    <w:p w:rsidR="00727C81" w:rsidRPr="00956C2A" w:rsidRDefault="00727C81" w:rsidP="000622F1">
      <w:pPr>
        <w:pStyle w:val="Textoindependiente"/>
        <w:jc w:val="center"/>
        <w:rPr>
          <w:b/>
        </w:rPr>
      </w:pPr>
    </w:p>
    <w:p w:rsidR="00727C81" w:rsidRPr="00956C2A" w:rsidRDefault="00727C81" w:rsidP="000622F1">
      <w:pPr>
        <w:pStyle w:val="Textoindependiente"/>
        <w:jc w:val="center"/>
        <w:rPr>
          <w:b/>
        </w:rPr>
      </w:pPr>
      <w:r w:rsidRPr="00956C2A">
        <w:rPr>
          <w:b/>
        </w:rPr>
        <w:t>RESUELVE:</w:t>
      </w:r>
    </w:p>
    <w:p w:rsidR="00727C81" w:rsidRPr="00956C2A" w:rsidRDefault="00727C81" w:rsidP="000622F1">
      <w:pPr>
        <w:pStyle w:val="Textoindependiente"/>
        <w:jc w:val="center"/>
        <w:rPr>
          <w:b/>
        </w:rPr>
      </w:pPr>
    </w:p>
    <w:p w:rsidR="001F42EB" w:rsidRPr="00956C2A" w:rsidRDefault="001F42EB" w:rsidP="000622F1">
      <w:pPr>
        <w:pStyle w:val="western"/>
        <w:shd w:val="clear" w:color="auto" w:fill="FFFFFF"/>
        <w:spacing w:before="0" w:beforeAutospacing="0" w:after="0" w:afterAutospacing="0" w:line="360" w:lineRule="auto"/>
        <w:jc w:val="both"/>
        <w:rPr>
          <w:rFonts w:ascii="Arial" w:hAnsi="Arial" w:cs="Arial"/>
        </w:rPr>
      </w:pPr>
      <w:r w:rsidRPr="00956C2A">
        <w:rPr>
          <w:rFonts w:ascii="Arial" w:hAnsi="Arial" w:cs="Arial"/>
          <w:b/>
          <w:bCs/>
        </w:rPr>
        <w:t>PRIMERO:</w:t>
      </w:r>
      <w:r w:rsidRPr="00956C2A">
        <w:rPr>
          <w:rFonts w:ascii="Arial" w:hAnsi="Arial" w:cs="Arial"/>
        </w:rPr>
        <w:t> </w:t>
      </w:r>
      <w:r w:rsidRPr="00956C2A">
        <w:rPr>
          <w:rFonts w:ascii="Arial" w:hAnsi="Arial" w:cs="Arial"/>
          <w:b/>
          <w:bCs/>
        </w:rPr>
        <w:t>DECRETAR </w:t>
      </w:r>
      <w:r w:rsidRPr="00956C2A">
        <w:rPr>
          <w:rFonts w:ascii="Arial" w:hAnsi="Arial" w:cs="Arial"/>
        </w:rPr>
        <w:t>la acumulación procesal del expediente con radicado </w:t>
      </w:r>
      <w:r w:rsidRPr="00956C2A">
        <w:rPr>
          <w:rFonts w:ascii="Arial" w:hAnsi="Arial" w:cs="Arial"/>
          <w:lang w:val="es-ES"/>
        </w:rPr>
        <w:t xml:space="preserve">No. </w:t>
      </w:r>
      <w:r w:rsidRPr="00956C2A">
        <w:rPr>
          <w:rFonts w:ascii="Arial" w:hAnsi="Arial" w:cs="Arial"/>
        </w:rPr>
        <w:t>76001-23-33-000-2020-00323-00 donde se realiza el control inmediato de legalidad del Decreto No. 100-028-</w:t>
      </w:r>
      <w:r w:rsidRPr="00F8183B">
        <w:rPr>
          <w:rFonts w:ascii="Arial" w:hAnsi="Arial" w:cs="Arial"/>
          <w:b/>
        </w:rPr>
        <w:t>069</w:t>
      </w:r>
      <w:r w:rsidRPr="00956C2A">
        <w:rPr>
          <w:rFonts w:ascii="Arial" w:hAnsi="Arial" w:cs="Arial"/>
        </w:rPr>
        <w:t xml:space="preserve"> del 20 de marzo de 2020, al expediente con </w:t>
      </w:r>
      <w:r w:rsidRPr="00F8183B">
        <w:rPr>
          <w:rFonts w:ascii="Arial" w:hAnsi="Arial" w:cs="Arial"/>
        </w:rPr>
        <w:t>No.</w:t>
      </w:r>
      <w:r w:rsidRPr="00F8183B">
        <w:rPr>
          <w:rFonts w:ascii="Arial" w:hAnsi="Arial" w:cs="Arial"/>
          <w:bCs/>
        </w:rPr>
        <w:t>76001-23-33-000-2020-00321-00</w:t>
      </w:r>
      <w:r w:rsidRPr="00956C2A">
        <w:rPr>
          <w:rFonts w:ascii="Arial" w:hAnsi="Arial" w:cs="Arial"/>
          <w:b/>
          <w:bCs/>
        </w:rPr>
        <w:t xml:space="preserve"> </w:t>
      </w:r>
      <w:r w:rsidR="00F8183B">
        <w:rPr>
          <w:rFonts w:ascii="Arial" w:hAnsi="Arial" w:cs="Arial"/>
        </w:rPr>
        <w:t>, en el que se</w:t>
      </w:r>
      <w:r w:rsidRPr="00956C2A">
        <w:rPr>
          <w:rFonts w:ascii="Arial" w:hAnsi="Arial" w:cs="Arial"/>
        </w:rPr>
        <w:t xml:space="preserve"> </w:t>
      </w:r>
      <w:r w:rsidR="00F8183B">
        <w:rPr>
          <w:rFonts w:ascii="Arial" w:hAnsi="Arial" w:cs="Arial"/>
        </w:rPr>
        <w:t xml:space="preserve">tramita </w:t>
      </w:r>
      <w:r w:rsidRPr="00956C2A">
        <w:rPr>
          <w:rFonts w:ascii="Arial" w:hAnsi="Arial" w:cs="Arial"/>
        </w:rPr>
        <w:t xml:space="preserve"> el control</w:t>
      </w:r>
      <w:r w:rsidR="00F8183B">
        <w:rPr>
          <w:rFonts w:ascii="Arial" w:hAnsi="Arial" w:cs="Arial"/>
        </w:rPr>
        <w:t xml:space="preserve"> inmediato de legalidad</w:t>
      </w:r>
      <w:r w:rsidRPr="00956C2A">
        <w:rPr>
          <w:rFonts w:ascii="Arial" w:hAnsi="Arial" w:cs="Arial"/>
        </w:rPr>
        <w:t xml:space="preserve"> del Decreto No. 100-028-</w:t>
      </w:r>
      <w:r w:rsidRPr="00F8183B">
        <w:rPr>
          <w:rFonts w:ascii="Arial" w:hAnsi="Arial" w:cs="Arial"/>
          <w:b/>
        </w:rPr>
        <w:t xml:space="preserve">063 </w:t>
      </w:r>
      <w:r w:rsidRPr="00956C2A">
        <w:rPr>
          <w:rFonts w:ascii="Arial" w:hAnsi="Arial" w:cs="Arial"/>
        </w:rPr>
        <w:t>del 18 de marzo de 2020 expedido por la Alcaldía Municipal de San Juan Bautista de Guacarí, para que sean decididos conjuntamente, de conformidad con lo expuesto en la parte motiva de esta providencia.</w:t>
      </w:r>
    </w:p>
    <w:p w:rsidR="00EE73EA" w:rsidRPr="00956C2A" w:rsidRDefault="00EE73EA" w:rsidP="000622F1">
      <w:pPr>
        <w:spacing w:line="360" w:lineRule="auto"/>
        <w:jc w:val="both"/>
        <w:rPr>
          <w:rFonts w:ascii="Arial" w:hAnsi="Arial" w:cs="Arial"/>
          <w:b/>
          <w:lang w:val="es-CO"/>
        </w:rPr>
      </w:pPr>
    </w:p>
    <w:p w:rsidR="001F42EB" w:rsidRPr="00956C2A" w:rsidRDefault="001F42EB" w:rsidP="001F42EB">
      <w:pPr>
        <w:spacing w:line="360" w:lineRule="auto"/>
        <w:jc w:val="both"/>
        <w:rPr>
          <w:rFonts w:ascii="Arial" w:hAnsi="Arial" w:cs="Arial"/>
          <w:sz w:val="26"/>
          <w:szCs w:val="26"/>
        </w:rPr>
      </w:pPr>
      <w:r w:rsidRPr="00956C2A">
        <w:rPr>
          <w:rFonts w:ascii="Arial" w:hAnsi="Arial" w:cs="Arial"/>
          <w:b/>
          <w:lang w:val="es-CO"/>
        </w:rPr>
        <w:t xml:space="preserve">SEGUNDO: </w:t>
      </w:r>
      <w:r w:rsidR="00727C81" w:rsidRPr="00956C2A">
        <w:rPr>
          <w:rFonts w:ascii="Arial" w:hAnsi="Arial" w:cs="Arial"/>
          <w:b/>
          <w:lang w:val="es-CO"/>
        </w:rPr>
        <w:t>AVOCAR</w:t>
      </w:r>
      <w:r w:rsidR="00727C81" w:rsidRPr="00956C2A">
        <w:rPr>
          <w:rFonts w:ascii="Arial" w:hAnsi="Arial" w:cs="Arial"/>
        </w:rPr>
        <w:t xml:space="preserve"> </w:t>
      </w:r>
      <w:r w:rsidR="00727C81" w:rsidRPr="00956C2A">
        <w:rPr>
          <w:rFonts w:ascii="Arial" w:hAnsi="Arial" w:cs="Arial"/>
          <w:lang w:val="es-CO"/>
        </w:rPr>
        <w:t xml:space="preserve">en </w:t>
      </w:r>
      <w:r w:rsidR="00727C81" w:rsidRPr="00956C2A">
        <w:rPr>
          <w:rFonts w:ascii="Arial" w:hAnsi="Arial" w:cs="Arial"/>
          <w:b/>
          <w:bCs/>
          <w:lang w:val="es-CO"/>
        </w:rPr>
        <w:t>única instancia</w:t>
      </w:r>
      <w:r w:rsidR="00727C81" w:rsidRPr="00956C2A">
        <w:rPr>
          <w:rFonts w:ascii="Arial" w:hAnsi="Arial" w:cs="Arial"/>
          <w:lang w:val="es-CO"/>
        </w:rPr>
        <w:t>, el conocimiento de</w:t>
      </w:r>
      <w:r w:rsidR="00727C81" w:rsidRPr="00956C2A">
        <w:rPr>
          <w:rFonts w:ascii="Arial" w:hAnsi="Arial" w:cs="Arial"/>
        </w:rPr>
        <w:t xml:space="preserve"> control inmediato de legalidad del Decreto No. </w:t>
      </w:r>
      <w:r w:rsidR="00727C81" w:rsidRPr="00956C2A">
        <w:rPr>
          <w:rFonts w:ascii="Arial" w:hAnsi="Arial" w:cs="Arial"/>
          <w:lang w:val="es-CO"/>
        </w:rPr>
        <w:t>100-028-</w:t>
      </w:r>
      <w:r w:rsidR="00727C81" w:rsidRPr="00F8183B">
        <w:rPr>
          <w:rFonts w:ascii="Arial" w:hAnsi="Arial" w:cs="Arial"/>
          <w:b/>
          <w:lang w:val="es-CO"/>
        </w:rPr>
        <w:t>06</w:t>
      </w:r>
      <w:r w:rsidRPr="00F8183B">
        <w:rPr>
          <w:rFonts w:ascii="Arial" w:hAnsi="Arial" w:cs="Arial"/>
          <w:b/>
          <w:lang w:val="es-CO"/>
        </w:rPr>
        <w:t>9</w:t>
      </w:r>
      <w:r w:rsidR="00727C81" w:rsidRPr="00F8183B">
        <w:rPr>
          <w:rFonts w:ascii="Arial" w:hAnsi="Arial" w:cs="Arial"/>
          <w:b/>
          <w:lang w:val="es-CO"/>
        </w:rPr>
        <w:t xml:space="preserve"> </w:t>
      </w:r>
      <w:r w:rsidR="00727C81" w:rsidRPr="00956C2A">
        <w:rPr>
          <w:rFonts w:ascii="Arial" w:hAnsi="Arial" w:cs="Arial"/>
        </w:rPr>
        <w:t xml:space="preserve">del </w:t>
      </w:r>
      <w:r w:rsidRPr="00956C2A">
        <w:rPr>
          <w:rFonts w:ascii="Arial" w:hAnsi="Arial" w:cs="Arial"/>
        </w:rPr>
        <w:t>20</w:t>
      </w:r>
      <w:r w:rsidR="00727C81" w:rsidRPr="00956C2A">
        <w:rPr>
          <w:rFonts w:ascii="Arial" w:hAnsi="Arial" w:cs="Arial"/>
        </w:rPr>
        <w:t xml:space="preserve"> de marzo de 2020 expedido por la Alcaldía Municipal de San Juan Bautista </w:t>
      </w:r>
      <w:r w:rsidR="00727C81" w:rsidRPr="00956C2A">
        <w:rPr>
          <w:rFonts w:ascii="Arial" w:hAnsi="Arial" w:cs="Arial"/>
          <w:lang w:val="es-CO"/>
        </w:rPr>
        <w:t xml:space="preserve">de </w:t>
      </w:r>
      <w:r w:rsidR="00727C81" w:rsidRPr="00956C2A">
        <w:rPr>
          <w:rFonts w:ascii="Arial" w:hAnsi="Arial" w:cs="Arial"/>
        </w:rPr>
        <w:t>Guacar</w:t>
      </w:r>
      <w:r w:rsidRPr="00956C2A">
        <w:rPr>
          <w:rFonts w:ascii="Arial" w:hAnsi="Arial" w:cs="Arial"/>
        </w:rPr>
        <w:t>í “Por el cual se modifica y se prorroga y la vigencia del Decreto 100-028-063 del 18 de marzo de 2020  “por medio del cual se dictan medidas de protección frente al coronavirus covid 2019 y se dictan otras disposiciones”</w:t>
      </w:r>
    </w:p>
    <w:p w:rsidR="001F42EB" w:rsidRPr="00956C2A" w:rsidRDefault="001F42EB" w:rsidP="001F42EB">
      <w:pPr>
        <w:spacing w:line="360" w:lineRule="auto"/>
        <w:ind w:right="51"/>
        <w:jc w:val="both"/>
        <w:rPr>
          <w:sz w:val="22"/>
          <w:szCs w:val="22"/>
          <w:lang w:val="es-MX" w:eastAsia="en-US"/>
        </w:rPr>
      </w:pPr>
    </w:p>
    <w:p w:rsidR="00727C81" w:rsidRPr="00956C2A" w:rsidRDefault="001F42EB" w:rsidP="00727C81">
      <w:pPr>
        <w:pStyle w:val="Textoindependiente"/>
        <w:rPr>
          <w:rFonts w:cs="Arial"/>
          <w:b/>
          <w:lang w:val="es-CO"/>
        </w:rPr>
      </w:pPr>
      <w:r w:rsidRPr="00956C2A">
        <w:rPr>
          <w:b/>
          <w:bCs/>
          <w:lang w:val="es-CO"/>
        </w:rPr>
        <w:t xml:space="preserve">TERCERO: </w:t>
      </w:r>
      <w:r w:rsidR="00727C81" w:rsidRPr="00956C2A">
        <w:rPr>
          <w:rFonts w:cs="Arial"/>
          <w:b/>
          <w:bCs/>
          <w:lang w:val="es-CO"/>
        </w:rPr>
        <w:t>NOTIFICAR</w:t>
      </w:r>
      <w:r w:rsidR="00727C81" w:rsidRPr="00956C2A">
        <w:rPr>
          <w:rFonts w:cs="Arial"/>
        </w:rPr>
        <w:t xml:space="preserve"> inmediatamente </w:t>
      </w:r>
      <w:r w:rsidR="00727C81" w:rsidRPr="00956C2A">
        <w:rPr>
          <w:rFonts w:cs="Arial"/>
          <w:b/>
          <w:lang w:val="es-CO"/>
        </w:rPr>
        <w:t xml:space="preserve">a través del correo electrónico </w:t>
      </w:r>
      <w:r w:rsidR="00727C81" w:rsidRPr="00956C2A">
        <w:t>o a través de los diferentes medios virtuales que en estos momentos estén a disposición de la Secretaría</w:t>
      </w:r>
      <w:r w:rsidR="00727C81" w:rsidRPr="00956C2A">
        <w:rPr>
          <w:lang w:val="es-CO"/>
        </w:rPr>
        <w:t xml:space="preserve">, </w:t>
      </w:r>
      <w:r w:rsidR="00727C81" w:rsidRPr="00956C2A">
        <w:rPr>
          <w:rFonts w:cs="Arial"/>
        </w:rPr>
        <w:t>la iniciación del presente asunto al</w:t>
      </w:r>
      <w:r w:rsidR="00727C81" w:rsidRPr="00956C2A">
        <w:rPr>
          <w:rFonts w:cs="Arial"/>
          <w:lang w:val="es-CO"/>
        </w:rPr>
        <w:t xml:space="preserve"> Alcalde del Municipio de </w:t>
      </w:r>
      <w:r w:rsidR="00727C81" w:rsidRPr="00956C2A">
        <w:rPr>
          <w:rFonts w:cs="Arial"/>
        </w:rPr>
        <w:t xml:space="preserve">San Juan Bautista </w:t>
      </w:r>
      <w:r w:rsidR="00727C81" w:rsidRPr="00956C2A">
        <w:rPr>
          <w:rFonts w:cs="Arial"/>
          <w:lang w:val="es-CO"/>
        </w:rPr>
        <w:t xml:space="preserve">de </w:t>
      </w:r>
      <w:r w:rsidR="00727C81" w:rsidRPr="00956C2A">
        <w:rPr>
          <w:rFonts w:cs="Arial"/>
        </w:rPr>
        <w:t>Guacarí</w:t>
      </w:r>
      <w:r w:rsidR="00727C81" w:rsidRPr="00956C2A">
        <w:rPr>
          <w:rFonts w:cs="Arial"/>
          <w:lang w:val="es-CO"/>
        </w:rPr>
        <w:t>, a la Gobernadora del Departamento del Valle del Cauca y al Ministerio del Interior para que si a bien lo tienen, se pronuncien al respecto, adjuntando copia del Decreto objeto de control.</w:t>
      </w:r>
    </w:p>
    <w:p w:rsidR="00727C81" w:rsidRPr="00956C2A" w:rsidRDefault="00727C81" w:rsidP="00727C81">
      <w:pPr>
        <w:pStyle w:val="Textoindependiente"/>
        <w:rPr>
          <w:rFonts w:cs="Arial"/>
          <w:lang w:val="es-CO"/>
        </w:rPr>
      </w:pPr>
    </w:p>
    <w:p w:rsidR="00727C81" w:rsidRPr="00956C2A" w:rsidRDefault="001F42EB" w:rsidP="00727C81">
      <w:pPr>
        <w:pStyle w:val="Textoindependiente"/>
        <w:rPr>
          <w:rFonts w:cs="Arial"/>
          <w:b/>
          <w:lang w:val="es-CO"/>
        </w:rPr>
      </w:pPr>
      <w:r w:rsidRPr="00956C2A">
        <w:rPr>
          <w:rFonts w:cs="Arial"/>
          <w:b/>
          <w:bCs/>
          <w:lang w:val="es-CO"/>
        </w:rPr>
        <w:t xml:space="preserve">CUARTO: </w:t>
      </w:r>
      <w:r w:rsidR="00727C81" w:rsidRPr="00956C2A">
        <w:rPr>
          <w:rFonts w:cs="Arial"/>
          <w:b/>
          <w:bCs/>
          <w:lang w:val="es-CO"/>
        </w:rPr>
        <w:t>NOTIFICAR personalmente</w:t>
      </w:r>
      <w:r w:rsidR="00727C81" w:rsidRPr="00956C2A">
        <w:rPr>
          <w:rFonts w:cs="Arial"/>
        </w:rPr>
        <w:t xml:space="preserve"> </w:t>
      </w:r>
      <w:r w:rsidR="00727C81" w:rsidRPr="00956C2A">
        <w:rPr>
          <w:rFonts w:cs="Arial"/>
          <w:lang w:val="es-CO"/>
        </w:rPr>
        <w:t>a través del correo electrónico</w:t>
      </w:r>
      <w:r w:rsidR="00727C81" w:rsidRPr="00956C2A">
        <w:rPr>
          <w:rFonts w:cs="Arial"/>
          <w:b/>
          <w:lang w:val="es-CO"/>
        </w:rPr>
        <w:t xml:space="preserve"> </w:t>
      </w:r>
      <w:r w:rsidR="00727C81" w:rsidRPr="00956C2A">
        <w:rPr>
          <w:rFonts w:cs="Arial"/>
          <w:bCs/>
          <w:lang w:val="es-CO"/>
        </w:rPr>
        <w:t xml:space="preserve">o </w:t>
      </w:r>
      <w:r w:rsidR="00727C81" w:rsidRPr="00956C2A">
        <w:t>a través de los diferentes medios virtuales que en estos momentos estén a disposición de la Secretaría</w:t>
      </w:r>
      <w:r w:rsidR="00727C81" w:rsidRPr="00956C2A">
        <w:rPr>
          <w:lang w:val="es-CO"/>
        </w:rPr>
        <w:t>,</w:t>
      </w:r>
      <w:r w:rsidR="00727C81" w:rsidRPr="00956C2A">
        <w:rPr>
          <w:rFonts w:cs="Arial"/>
          <w:b/>
          <w:lang w:val="es-CO"/>
        </w:rPr>
        <w:t xml:space="preserve"> </w:t>
      </w:r>
      <w:r w:rsidR="00727C81" w:rsidRPr="00956C2A">
        <w:rPr>
          <w:rFonts w:cs="Arial"/>
          <w:bCs/>
          <w:lang w:val="es-CO"/>
        </w:rPr>
        <w:t xml:space="preserve">al señor Agente del Ministerio Público, </w:t>
      </w:r>
      <w:r w:rsidR="00727C81" w:rsidRPr="00956C2A">
        <w:rPr>
          <w:rFonts w:cs="Arial"/>
          <w:lang w:val="es-CO"/>
        </w:rPr>
        <w:t>FRANKLIN MORENO MILLAN, adjuntando copia del decreto objeto de control.</w:t>
      </w:r>
    </w:p>
    <w:p w:rsidR="00727C81" w:rsidRPr="00956C2A" w:rsidRDefault="00727C81" w:rsidP="00727C81">
      <w:pPr>
        <w:pStyle w:val="Textoindependiente"/>
        <w:rPr>
          <w:b/>
          <w:bCs/>
          <w:lang w:val="es-CO"/>
        </w:rPr>
      </w:pPr>
    </w:p>
    <w:p w:rsidR="00727C81" w:rsidRPr="00956C2A" w:rsidRDefault="001F42EB" w:rsidP="00727C81">
      <w:pPr>
        <w:pStyle w:val="Textoindependiente"/>
        <w:rPr>
          <w:lang w:val="es-CO"/>
        </w:rPr>
      </w:pPr>
      <w:r w:rsidRPr="00956C2A">
        <w:rPr>
          <w:b/>
          <w:bCs/>
          <w:lang w:val="es-CO"/>
        </w:rPr>
        <w:t>QUINTO</w:t>
      </w:r>
      <w:r w:rsidR="00727C81" w:rsidRPr="00956C2A">
        <w:rPr>
          <w:lang w:val="es-CO"/>
        </w:rPr>
        <w:t xml:space="preserve">: </w:t>
      </w:r>
      <w:r w:rsidR="00727C81" w:rsidRPr="00956C2A">
        <w:rPr>
          <w:b/>
          <w:bCs/>
          <w:lang w:val="es-CO"/>
        </w:rPr>
        <w:t>FIJAR</w:t>
      </w:r>
      <w:r w:rsidR="00727C81" w:rsidRPr="00956C2A">
        <w:rPr>
          <w:lang w:val="es-CO"/>
        </w:rPr>
        <w:t xml:space="preserve"> </w:t>
      </w:r>
      <w:r w:rsidR="00727C81" w:rsidRPr="00956C2A">
        <w:rPr>
          <w:b/>
          <w:bCs/>
          <w:lang w:val="es-CO"/>
        </w:rPr>
        <w:t>i)</w:t>
      </w:r>
      <w:r w:rsidR="00727C81" w:rsidRPr="00956C2A">
        <w:rPr>
          <w:lang w:val="es-CO"/>
        </w:rPr>
        <w:t xml:space="preserve"> en la sección “novedades” d</w:t>
      </w:r>
      <w:r w:rsidR="00727C81" w:rsidRPr="00956C2A">
        <w:rPr>
          <w:rFonts w:cs="Arial"/>
        </w:rPr>
        <w:t>e</w:t>
      </w:r>
      <w:r w:rsidR="00727C81" w:rsidRPr="00956C2A">
        <w:rPr>
          <w:rFonts w:cs="Arial"/>
          <w:lang w:val="es-CO"/>
        </w:rPr>
        <w:t>l</w:t>
      </w:r>
      <w:r w:rsidR="00727C81" w:rsidRPr="00956C2A">
        <w:rPr>
          <w:rFonts w:cs="Arial"/>
        </w:rPr>
        <w:t xml:space="preserve"> sitio web de</w:t>
      </w:r>
      <w:r w:rsidR="00727C81" w:rsidRPr="00956C2A">
        <w:rPr>
          <w:rFonts w:cs="Arial"/>
          <w:lang w:val="es-CO"/>
        </w:rPr>
        <w:t xml:space="preserve"> la Rama Judicial (</w:t>
      </w:r>
      <w:hyperlink r:id="rId11" w:history="1">
        <w:r w:rsidR="00727C81" w:rsidRPr="00956C2A">
          <w:rPr>
            <w:rStyle w:val="Hipervnculo"/>
            <w:rFonts w:cs="Arial"/>
            <w:color w:val="auto"/>
            <w:lang w:val="es-CO"/>
          </w:rPr>
          <w:t>www.ramajudicial.gov.co</w:t>
        </w:r>
      </w:hyperlink>
      <w:r w:rsidR="00727C81" w:rsidRPr="00956C2A">
        <w:rPr>
          <w:rFonts w:cs="Arial"/>
          <w:lang w:val="es-CO"/>
        </w:rPr>
        <w:t xml:space="preserve">), </w:t>
      </w:r>
      <w:r w:rsidR="00727C81" w:rsidRPr="00956C2A">
        <w:rPr>
          <w:rFonts w:cs="Arial"/>
          <w:b/>
          <w:bCs/>
          <w:lang w:val="es-CO"/>
        </w:rPr>
        <w:t>ii)</w:t>
      </w:r>
      <w:r w:rsidR="00727C81" w:rsidRPr="00956C2A">
        <w:rPr>
          <w:rFonts w:cs="Arial"/>
          <w:lang w:val="es-CO"/>
        </w:rPr>
        <w:t xml:space="preserve"> en la </w:t>
      </w:r>
      <w:r w:rsidR="00727C81" w:rsidRPr="00956C2A">
        <w:rPr>
          <w:lang w:val="es-CO"/>
        </w:rPr>
        <w:t xml:space="preserve">sección “aviso a la comunidad” de la Secretaría del Tribunal Administrativo del Valle del Cauca de la página web de la rama judicial y </w:t>
      </w:r>
      <w:r w:rsidR="00727C81" w:rsidRPr="00956C2A">
        <w:rPr>
          <w:b/>
          <w:bCs/>
          <w:lang w:val="es-CO"/>
        </w:rPr>
        <w:t>iii)</w:t>
      </w:r>
      <w:r w:rsidR="00727C81" w:rsidRPr="00956C2A">
        <w:rPr>
          <w:lang w:val="es-CO"/>
        </w:rPr>
        <w:t xml:space="preserve"> </w:t>
      </w:r>
      <w:r w:rsidR="00727C81" w:rsidRPr="00956C2A">
        <w:t xml:space="preserve"> a través de los diferentes medios virtuales que en estos momentos estén a disposición de la Secretaría</w:t>
      </w:r>
      <w:r w:rsidR="00727C81" w:rsidRPr="00956C2A">
        <w:rPr>
          <w:lang w:val="es-CO"/>
        </w:rPr>
        <w:t xml:space="preserve"> del Tribunal</w:t>
      </w:r>
      <w:r w:rsidR="00727C81" w:rsidRPr="00956C2A">
        <w:t xml:space="preserve"> conforme con lo establecido en los artículos 185 y 186 del CPACA;</w:t>
      </w:r>
      <w:r w:rsidR="00727C81" w:rsidRPr="00956C2A">
        <w:rPr>
          <w:lang w:val="es-CO"/>
        </w:rPr>
        <w:t xml:space="preserve"> un aviso por el </w:t>
      </w:r>
      <w:r w:rsidR="00727C81" w:rsidRPr="00956C2A">
        <w:rPr>
          <w:rFonts w:cs="Arial"/>
          <w:b/>
        </w:rPr>
        <w:t>término de diez (10) días</w:t>
      </w:r>
      <w:r w:rsidR="00727C81" w:rsidRPr="00956C2A">
        <w:rPr>
          <w:lang w:val="es-CO"/>
        </w:rPr>
        <w:t xml:space="preserve">, durante los cuales </w:t>
      </w:r>
      <w:r w:rsidR="00727C81" w:rsidRPr="00956C2A">
        <w:rPr>
          <w:rFonts w:cs="Arial"/>
          <w:b/>
        </w:rPr>
        <w:t xml:space="preserve">cualquier ciudadano </w:t>
      </w:r>
      <w:r w:rsidR="00727C81" w:rsidRPr="00956C2A">
        <w:rPr>
          <w:rFonts w:cs="Arial"/>
          <w:b/>
          <w:lang w:val="es-CO"/>
        </w:rPr>
        <w:t>podrá intervenir</w:t>
      </w:r>
      <w:r w:rsidR="00727C81" w:rsidRPr="00956C2A">
        <w:rPr>
          <w:rFonts w:cs="Arial"/>
        </w:rPr>
        <w:t xml:space="preserve"> def</w:t>
      </w:r>
      <w:r w:rsidR="00727C81" w:rsidRPr="00956C2A">
        <w:rPr>
          <w:rFonts w:cs="Arial"/>
          <w:lang w:val="es-CO"/>
        </w:rPr>
        <w:t xml:space="preserve">endiendo o impugnando </w:t>
      </w:r>
      <w:r w:rsidR="00727C81" w:rsidRPr="00956C2A">
        <w:rPr>
          <w:rFonts w:cs="Arial"/>
        </w:rPr>
        <w:t xml:space="preserve">la legalidad del acto </w:t>
      </w:r>
      <w:r w:rsidR="00727C81" w:rsidRPr="00956C2A">
        <w:rPr>
          <w:rFonts w:cs="Arial"/>
          <w:lang w:val="es-CO"/>
        </w:rPr>
        <w:t>objeto de control (Num. 2 del art. 18</w:t>
      </w:r>
      <w:r w:rsidR="00420096" w:rsidRPr="00956C2A">
        <w:rPr>
          <w:rFonts w:cs="Arial"/>
          <w:lang w:val="es-CO"/>
        </w:rPr>
        <w:t>5</w:t>
      </w:r>
      <w:r w:rsidR="00727C81" w:rsidRPr="00956C2A">
        <w:rPr>
          <w:rFonts w:cs="Arial"/>
          <w:lang w:val="es-CO"/>
        </w:rPr>
        <w:t xml:space="preserve"> del CPACA), adjuntando en el respectivo aviso copia del decreto objeto de control.</w:t>
      </w:r>
      <w:r w:rsidR="00727C81" w:rsidRPr="00956C2A">
        <w:rPr>
          <w:lang w:val="es-CO"/>
        </w:rPr>
        <w:t xml:space="preserve"> </w:t>
      </w:r>
      <w:r w:rsidR="00727C81" w:rsidRPr="00956C2A">
        <w:rPr>
          <w:rFonts w:cs="Arial"/>
          <w:lang w:val="es-CO"/>
        </w:rPr>
        <w:t xml:space="preserve">Los escritos de la ciudadanía se recibirán </w:t>
      </w:r>
      <w:r w:rsidR="00727C81" w:rsidRPr="00956C2A">
        <w:rPr>
          <w:rFonts w:cs="Arial"/>
          <w:b/>
          <w:lang w:val="es-CO"/>
        </w:rPr>
        <w:t xml:space="preserve">a través de los correos electrónicos indicados en esta providencia. </w:t>
      </w:r>
    </w:p>
    <w:p w:rsidR="00727C81" w:rsidRPr="00956C2A" w:rsidRDefault="00727C81" w:rsidP="00727C81">
      <w:pPr>
        <w:pStyle w:val="Textoindependiente"/>
        <w:rPr>
          <w:rFonts w:cs="Arial"/>
          <w:b/>
          <w:lang w:val="es-CO"/>
        </w:rPr>
      </w:pPr>
    </w:p>
    <w:p w:rsidR="00727C81" w:rsidRPr="00956C2A" w:rsidRDefault="001F42EB" w:rsidP="00727C81">
      <w:pPr>
        <w:pStyle w:val="Textoindependiente"/>
      </w:pPr>
      <w:r w:rsidRPr="00956C2A">
        <w:rPr>
          <w:b/>
          <w:bCs/>
          <w:lang w:val="es-CO"/>
        </w:rPr>
        <w:t>SEXTO</w:t>
      </w:r>
      <w:r w:rsidR="00727C81" w:rsidRPr="00956C2A">
        <w:rPr>
          <w:b/>
          <w:bCs/>
          <w:lang w:val="es-CO"/>
        </w:rPr>
        <w:t>:</w:t>
      </w:r>
      <w:r w:rsidR="00727C81" w:rsidRPr="00956C2A">
        <w:rPr>
          <w:b/>
          <w:bCs/>
        </w:rPr>
        <w:t xml:space="preserve"> ORDENAR</w:t>
      </w:r>
      <w:r w:rsidR="00727C81" w:rsidRPr="00956C2A">
        <w:t xml:space="preserve"> al </w:t>
      </w:r>
      <w:r w:rsidR="00727C81" w:rsidRPr="00956C2A">
        <w:rPr>
          <w:lang w:val="es-CO"/>
        </w:rPr>
        <w:t xml:space="preserve">Alcalde del Municipio de </w:t>
      </w:r>
      <w:r w:rsidR="00727C81" w:rsidRPr="00956C2A">
        <w:rPr>
          <w:rFonts w:cs="Arial"/>
        </w:rPr>
        <w:t xml:space="preserve">San Juan Bautista </w:t>
      </w:r>
      <w:r w:rsidR="00727C81" w:rsidRPr="00956C2A">
        <w:rPr>
          <w:rFonts w:cs="Arial"/>
          <w:lang w:val="es-CO"/>
        </w:rPr>
        <w:t xml:space="preserve">de </w:t>
      </w:r>
      <w:r w:rsidR="00727C81" w:rsidRPr="00956C2A">
        <w:rPr>
          <w:rFonts w:cs="Arial"/>
        </w:rPr>
        <w:t xml:space="preserve">Guacarí </w:t>
      </w:r>
      <w:r w:rsidR="00727C81" w:rsidRPr="00956C2A">
        <w:t xml:space="preserve">o a quien él delegue para tales efectos, que a través de la página web oficial de esa </w:t>
      </w:r>
      <w:r w:rsidR="00727C81" w:rsidRPr="00956C2A">
        <w:rPr>
          <w:lang w:val="es-CO"/>
        </w:rPr>
        <w:t>entidad municipal</w:t>
      </w:r>
      <w:r w:rsidR="00727C81" w:rsidRPr="00956C2A">
        <w:t xml:space="preserve">, se publique este proveído a fin de que todos los interesados tengan conocimiento de la iniciación de la presente causa judicial. La Secretaría </w:t>
      </w:r>
      <w:r w:rsidR="00727C81" w:rsidRPr="00956C2A">
        <w:rPr>
          <w:lang w:val="es-CO"/>
        </w:rPr>
        <w:t xml:space="preserve">del Tribunal </w:t>
      </w:r>
      <w:r w:rsidR="00727C81" w:rsidRPr="00956C2A">
        <w:t>requerirá a la referida agencia estatal para que presente un informe sobre el cumplimiento de esta orden.</w:t>
      </w:r>
    </w:p>
    <w:p w:rsidR="00727C81" w:rsidRPr="00956C2A" w:rsidRDefault="00727C81" w:rsidP="00727C81">
      <w:pPr>
        <w:pStyle w:val="Textoindependiente"/>
      </w:pPr>
    </w:p>
    <w:p w:rsidR="00727C81" w:rsidRPr="00956C2A" w:rsidRDefault="00727C81" w:rsidP="00727C81">
      <w:pPr>
        <w:pStyle w:val="Textoindependiente"/>
        <w:rPr>
          <w:lang w:val="es-CO"/>
        </w:rPr>
      </w:pPr>
      <w:r w:rsidRPr="00956C2A">
        <w:rPr>
          <w:b/>
          <w:bCs/>
          <w:lang w:val="es-CO"/>
        </w:rPr>
        <w:t>S</w:t>
      </w:r>
      <w:r w:rsidR="001F42EB" w:rsidRPr="00956C2A">
        <w:rPr>
          <w:b/>
          <w:bCs/>
          <w:lang w:val="es-CO"/>
        </w:rPr>
        <w:t>ÉPTIMO</w:t>
      </w:r>
      <w:r w:rsidRPr="00956C2A">
        <w:rPr>
          <w:b/>
          <w:bCs/>
          <w:lang w:val="es-CO"/>
        </w:rPr>
        <w:t>:</w:t>
      </w:r>
      <w:r w:rsidRPr="00956C2A">
        <w:rPr>
          <w:b/>
          <w:bCs/>
        </w:rPr>
        <w:t xml:space="preserve"> ORDENAR</w:t>
      </w:r>
      <w:r w:rsidRPr="00956C2A">
        <w:t xml:space="preserve"> al </w:t>
      </w:r>
      <w:r w:rsidRPr="00956C2A">
        <w:rPr>
          <w:lang w:val="es-CO"/>
        </w:rPr>
        <w:t xml:space="preserve">Alcalde del Municipio de </w:t>
      </w:r>
      <w:r w:rsidRPr="00956C2A">
        <w:rPr>
          <w:rFonts w:cs="Arial"/>
        </w:rPr>
        <w:t xml:space="preserve">San Juan Bautista </w:t>
      </w:r>
      <w:r w:rsidRPr="00956C2A">
        <w:rPr>
          <w:rFonts w:cs="Arial"/>
          <w:lang w:val="es-CO"/>
        </w:rPr>
        <w:t xml:space="preserve">de </w:t>
      </w:r>
      <w:r w:rsidRPr="00956C2A">
        <w:rPr>
          <w:rFonts w:cs="Arial"/>
        </w:rPr>
        <w:t xml:space="preserve">Guacarí </w:t>
      </w:r>
      <w:r w:rsidRPr="00956C2A">
        <w:t>o a quien él delegue para tales efectos debe aportar todas las pruebas que tengan en su poder y pretenda hacer valer en el proceso. Igualmente, está en la obligación legal de suministrar los antecedentes administrativos de</w:t>
      </w:r>
      <w:r w:rsidR="00F8183B">
        <w:t xml:space="preserve">l referido decreto conforme al </w:t>
      </w:r>
      <w:r w:rsidR="00435FDB">
        <w:t>parágrafo primero del art. 175 del CPACA</w:t>
      </w:r>
      <w:r w:rsidRPr="00956C2A">
        <w:t>, so pena de las sanciones</w:t>
      </w:r>
      <w:r w:rsidR="00435FDB">
        <w:t xml:space="preserve"> disciplinarias</w:t>
      </w:r>
      <w:r w:rsidRPr="00956C2A">
        <w:t xml:space="preserve"> </w:t>
      </w:r>
      <w:r w:rsidR="00435FDB">
        <w:t xml:space="preserve">mencionadas </w:t>
      </w:r>
      <w:r w:rsidRPr="00956C2A">
        <w:t xml:space="preserve"> en </w:t>
      </w:r>
      <w:r w:rsidR="00435FDB">
        <w:t>el mismo parágrafo</w:t>
      </w:r>
      <w:r w:rsidRPr="00956C2A">
        <w:rPr>
          <w:lang w:val="es-CO"/>
        </w:rPr>
        <w:t xml:space="preserve">. </w:t>
      </w:r>
    </w:p>
    <w:p w:rsidR="00727C81" w:rsidRPr="00956C2A" w:rsidRDefault="00727C81" w:rsidP="00727C81">
      <w:pPr>
        <w:pStyle w:val="Textoindependiente"/>
        <w:rPr>
          <w:rFonts w:cs="Arial"/>
          <w:b/>
        </w:rPr>
      </w:pPr>
    </w:p>
    <w:p w:rsidR="00727C81" w:rsidRPr="00956C2A" w:rsidRDefault="001F42EB" w:rsidP="00727C81">
      <w:pPr>
        <w:pStyle w:val="Textoindependiente"/>
        <w:rPr>
          <w:rFonts w:cs="Arial"/>
          <w:b/>
          <w:lang w:val="es-CO"/>
        </w:rPr>
      </w:pPr>
      <w:r w:rsidRPr="00956C2A">
        <w:rPr>
          <w:rFonts w:cs="Arial"/>
          <w:b/>
          <w:lang w:val="es-CO"/>
        </w:rPr>
        <w:t>OCTAVO</w:t>
      </w:r>
      <w:r w:rsidR="00727C81" w:rsidRPr="00956C2A">
        <w:rPr>
          <w:rFonts w:cs="Arial"/>
          <w:b/>
          <w:lang w:val="es-CO"/>
        </w:rPr>
        <w:t>:</w:t>
      </w:r>
      <w:r w:rsidR="00727C81" w:rsidRPr="00956C2A">
        <w:rPr>
          <w:rFonts w:cs="Arial"/>
          <w:bCs/>
          <w:lang w:val="es-CO"/>
        </w:rPr>
        <w:t xml:space="preserve"> </w:t>
      </w:r>
      <w:r w:rsidR="00727C81" w:rsidRPr="00956C2A">
        <w:rPr>
          <w:rFonts w:cs="Arial"/>
          <w:b/>
          <w:lang w:val="es-CO"/>
        </w:rPr>
        <w:t>PRESCINDIR</w:t>
      </w:r>
      <w:r w:rsidR="00727C81" w:rsidRPr="00956C2A">
        <w:rPr>
          <w:rFonts w:cs="Arial"/>
          <w:bCs/>
          <w:lang w:val="es-CO"/>
        </w:rPr>
        <w:t xml:space="preserve"> de la invitación </w:t>
      </w:r>
      <w:r w:rsidR="00727C81" w:rsidRPr="00956C2A">
        <w:rPr>
          <w:rFonts w:cs="Arial"/>
          <w:bCs/>
        </w:rPr>
        <w:t>a entidades públicas, organizaciones privadas y</w:t>
      </w:r>
      <w:r w:rsidR="00727C81" w:rsidRPr="00956C2A">
        <w:rPr>
          <w:rFonts w:cs="Arial"/>
          <w:bCs/>
          <w:lang w:val="es-CO"/>
        </w:rPr>
        <w:t>/o</w:t>
      </w:r>
      <w:r w:rsidR="00727C81" w:rsidRPr="00956C2A">
        <w:rPr>
          <w:rFonts w:cs="Arial"/>
          <w:bCs/>
        </w:rPr>
        <w:t xml:space="preserve"> a expertos en las materias relacionadas con el tema del proceso</w:t>
      </w:r>
      <w:r w:rsidR="00727C81" w:rsidRPr="00956C2A">
        <w:rPr>
          <w:rFonts w:cs="Arial"/>
          <w:bCs/>
          <w:lang w:val="es-CO"/>
        </w:rPr>
        <w:t>, de que trata el numeral 3 del artículo 18</w:t>
      </w:r>
      <w:r w:rsidR="00420096" w:rsidRPr="00956C2A">
        <w:rPr>
          <w:rFonts w:cs="Arial"/>
          <w:bCs/>
          <w:lang w:val="es-CO"/>
        </w:rPr>
        <w:t>5</w:t>
      </w:r>
      <w:r w:rsidR="00727C81" w:rsidRPr="00956C2A">
        <w:rPr>
          <w:rFonts w:cs="Arial"/>
          <w:bCs/>
          <w:lang w:val="es-CO"/>
        </w:rPr>
        <w:t xml:space="preserve"> del CPACA. </w:t>
      </w:r>
    </w:p>
    <w:p w:rsidR="00727C81" w:rsidRPr="00956C2A" w:rsidRDefault="00727C81" w:rsidP="00727C81">
      <w:pPr>
        <w:pStyle w:val="Textoindependiente"/>
        <w:rPr>
          <w:rFonts w:cs="Arial"/>
          <w:b/>
          <w:lang w:val="es-CO"/>
        </w:rPr>
      </w:pPr>
    </w:p>
    <w:p w:rsidR="00727C81" w:rsidRPr="00956C2A" w:rsidRDefault="001F42EB" w:rsidP="00727C81">
      <w:pPr>
        <w:pStyle w:val="Textoindependiente"/>
        <w:rPr>
          <w:lang w:val="es-CO"/>
        </w:rPr>
      </w:pPr>
      <w:r w:rsidRPr="00956C2A">
        <w:rPr>
          <w:rFonts w:cs="Arial"/>
          <w:b/>
          <w:lang w:val="es-CO"/>
        </w:rPr>
        <w:t>NOVENO</w:t>
      </w:r>
      <w:r w:rsidR="00727C81" w:rsidRPr="00956C2A">
        <w:rPr>
          <w:rFonts w:cs="Arial"/>
          <w:b/>
          <w:lang w:val="es-CO"/>
        </w:rPr>
        <w:t xml:space="preserve">: </w:t>
      </w:r>
      <w:r w:rsidR="00727C81" w:rsidRPr="00956C2A">
        <w:t xml:space="preserve">Decretar la práctica de las siguientes </w:t>
      </w:r>
      <w:r w:rsidR="00727C81" w:rsidRPr="00956C2A">
        <w:rPr>
          <w:b/>
          <w:bCs/>
        </w:rPr>
        <w:t>PRUEBAS</w:t>
      </w:r>
      <w:r w:rsidR="00727C81" w:rsidRPr="00956C2A">
        <w:t xml:space="preserve"> por el término de </w:t>
      </w:r>
      <w:r w:rsidR="00727C81" w:rsidRPr="00956C2A">
        <w:rPr>
          <w:lang w:val="es-CO"/>
        </w:rPr>
        <w:t>cinco</w:t>
      </w:r>
      <w:r w:rsidR="00727C81" w:rsidRPr="00956C2A">
        <w:t xml:space="preserve"> (</w:t>
      </w:r>
      <w:r w:rsidR="00727C81" w:rsidRPr="00956C2A">
        <w:rPr>
          <w:lang w:val="es-CO"/>
        </w:rPr>
        <w:t>5</w:t>
      </w:r>
      <w:r w:rsidR="00727C81" w:rsidRPr="00956C2A">
        <w:t>) días, para lo cual la secretaría</w:t>
      </w:r>
      <w:r w:rsidR="00727C81" w:rsidRPr="00956C2A">
        <w:rPr>
          <w:lang w:val="es-CO"/>
        </w:rPr>
        <w:t xml:space="preserve"> </w:t>
      </w:r>
      <w:r w:rsidR="00727C81" w:rsidRPr="00956C2A">
        <w:t>de</w:t>
      </w:r>
      <w:r w:rsidR="00727C81" w:rsidRPr="00956C2A">
        <w:rPr>
          <w:lang w:val="es-CO"/>
        </w:rPr>
        <w:t>l Tribunal</w:t>
      </w:r>
      <w:r w:rsidR="00727C81" w:rsidRPr="00956C2A">
        <w:t xml:space="preserve"> librará</w:t>
      </w:r>
      <w:r w:rsidR="00727C81" w:rsidRPr="00956C2A">
        <w:rPr>
          <w:lang w:val="es-CO"/>
        </w:rPr>
        <w:t xml:space="preserve"> por medio electrónico</w:t>
      </w:r>
      <w:r w:rsidR="00727C81" w:rsidRPr="00956C2A">
        <w:t xml:space="preserve"> la comunicación respectiva</w:t>
      </w:r>
      <w:r w:rsidR="00727C81" w:rsidRPr="00956C2A">
        <w:rPr>
          <w:lang w:val="es-CO"/>
        </w:rPr>
        <w:t xml:space="preserve"> </w:t>
      </w:r>
      <w:r w:rsidR="00727C81" w:rsidRPr="00956C2A">
        <w:rPr>
          <w:rFonts w:cs="Arial"/>
        </w:rPr>
        <w:t xml:space="preserve">al Ministerio del Interior </w:t>
      </w:r>
      <w:r w:rsidR="00727C81" w:rsidRPr="00956C2A">
        <w:rPr>
          <w:rFonts w:cs="Arial"/>
          <w:lang w:val="es-CO"/>
        </w:rPr>
        <w:t xml:space="preserve">que certifique si las medidas tomadas en el decreto </w:t>
      </w:r>
      <w:r w:rsidR="00727C81" w:rsidRPr="00956C2A">
        <w:rPr>
          <w:rFonts w:cs="Arial"/>
          <w:lang w:val="es-CO"/>
        </w:rPr>
        <w:lastRenderedPageBreak/>
        <w:t>objeto de control, fueron previamente coordinadas y comunicadas en virtud del parágrafo 1</w:t>
      </w:r>
      <w:r w:rsidR="00727C81" w:rsidRPr="00956C2A">
        <w:rPr>
          <w:rStyle w:val="Refdenotaalpie"/>
          <w:rFonts w:cs="Arial"/>
          <w:lang w:val="es-CO"/>
        </w:rPr>
        <w:footnoteReference w:id="5"/>
      </w:r>
      <w:r w:rsidR="00727C81" w:rsidRPr="00956C2A">
        <w:rPr>
          <w:rFonts w:cs="Arial"/>
          <w:lang w:val="es-CO"/>
        </w:rPr>
        <w:t xml:space="preserve"> del art. 2 y el art. 3 del Decreto 418 del 18 de marzo de 2020 “</w:t>
      </w:r>
      <w:r w:rsidR="00727C81" w:rsidRPr="00956C2A">
        <w:rPr>
          <w:rFonts w:cs="Arial"/>
        </w:rPr>
        <w:t>Por el cual se dictan medidas transitorias para expedir normas en materia de orden público</w:t>
      </w:r>
    </w:p>
    <w:p w:rsidR="00727C81" w:rsidRPr="00956C2A" w:rsidRDefault="00727C81" w:rsidP="00727C81">
      <w:pPr>
        <w:pStyle w:val="Textoindependiente"/>
        <w:rPr>
          <w:rFonts w:cs="Arial"/>
          <w:lang w:val="es-CO" w:eastAsia="es-CO"/>
        </w:rPr>
      </w:pPr>
    </w:p>
    <w:p w:rsidR="00727C81" w:rsidRPr="00956C2A" w:rsidRDefault="001F42EB" w:rsidP="00727C81">
      <w:pPr>
        <w:pStyle w:val="Textoindependiente"/>
        <w:rPr>
          <w:rFonts w:cs="Arial"/>
          <w:lang w:val="es-CO"/>
        </w:rPr>
      </w:pPr>
      <w:r w:rsidRPr="00956C2A">
        <w:rPr>
          <w:rFonts w:cs="Arial"/>
          <w:b/>
          <w:bCs/>
          <w:lang w:val="es-CO" w:eastAsia="es-CO"/>
        </w:rPr>
        <w:t>DÉCIMO</w:t>
      </w:r>
      <w:r w:rsidR="00727C81" w:rsidRPr="00956C2A">
        <w:rPr>
          <w:rFonts w:cs="Arial"/>
          <w:b/>
          <w:bCs/>
          <w:lang w:val="es-CO" w:eastAsia="es-CO"/>
        </w:rPr>
        <w:t>:</w:t>
      </w:r>
      <w:r w:rsidR="00727C81" w:rsidRPr="00956C2A">
        <w:rPr>
          <w:rFonts w:cs="Arial"/>
          <w:lang w:val="es-CO" w:eastAsia="es-CO"/>
        </w:rPr>
        <w:t xml:space="preserve"> </w:t>
      </w:r>
      <w:r w:rsidR="00727C81" w:rsidRPr="00956C2A">
        <w:rPr>
          <w:rFonts w:cs="Arial"/>
        </w:rPr>
        <w:t>Expirado el término de fijación en lista</w:t>
      </w:r>
      <w:r w:rsidR="00727C81" w:rsidRPr="00956C2A">
        <w:rPr>
          <w:rFonts w:cs="Arial"/>
          <w:lang w:val="es-CO"/>
        </w:rPr>
        <w:t xml:space="preserve"> y el término probatorio</w:t>
      </w:r>
      <w:r w:rsidR="00727C81" w:rsidRPr="00956C2A">
        <w:rPr>
          <w:rFonts w:cs="Arial"/>
        </w:rPr>
        <w:t xml:space="preserve">, pasará el asunto al </w:t>
      </w:r>
      <w:r w:rsidR="00727C81" w:rsidRPr="00956C2A">
        <w:rPr>
          <w:rFonts w:cs="Arial"/>
          <w:lang w:val="es-CO"/>
        </w:rPr>
        <w:t xml:space="preserve">Ministerio Público delegado para este Despacho Judicial doctor FRANKLIN MORENO MILLAN </w:t>
      </w:r>
      <w:r w:rsidR="00727C81" w:rsidRPr="00956C2A">
        <w:rPr>
          <w:rFonts w:cs="Arial"/>
        </w:rPr>
        <w:t>para que dentro de los diez (10) días siguientes rinda el concepto de rigor (</w:t>
      </w:r>
      <w:r w:rsidR="00727C81" w:rsidRPr="00956C2A">
        <w:rPr>
          <w:rFonts w:cs="Arial"/>
          <w:lang w:val="es-CO"/>
        </w:rPr>
        <w:t>Núm. 5 del art. 18</w:t>
      </w:r>
      <w:r w:rsidR="00420096" w:rsidRPr="00956C2A">
        <w:rPr>
          <w:rFonts w:cs="Arial"/>
          <w:lang w:val="es-CO"/>
        </w:rPr>
        <w:t>5</w:t>
      </w:r>
      <w:r w:rsidR="00727C81" w:rsidRPr="00956C2A">
        <w:rPr>
          <w:rFonts w:cs="Arial"/>
          <w:lang w:val="es-CO"/>
        </w:rPr>
        <w:t xml:space="preserve"> del CPACA).</w:t>
      </w:r>
    </w:p>
    <w:p w:rsidR="00727C81" w:rsidRPr="00956C2A" w:rsidRDefault="00727C81" w:rsidP="00727C81">
      <w:pPr>
        <w:pStyle w:val="Textoindependiente"/>
        <w:spacing w:line="240" w:lineRule="auto"/>
        <w:rPr>
          <w:rFonts w:cs="Arial"/>
          <w:b/>
        </w:rPr>
      </w:pPr>
    </w:p>
    <w:p w:rsidR="00727C81" w:rsidRPr="00956C2A" w:rsidRDefault="001F42EB" w:rsidP="00727C81">
      <w:pPr>
        <w:pStyle w:val="Textoindependiente"/>
        <w:rPr>
          <w:lang w:val="es-CO"/>
        </w:rPr>
      </w:pPr>
      <w:r w:rsidRPr="00956C2A">
        <w:rPr>
          <w:b/>
        </w:rPr>
        <w:t>DÉCIMO PRIMERO</w:t>
      </w:r>
      <w:r w:rsidR="00727C81" w:rsidRPr="00956C2A">
        <w:rPr>
          <w:b/>
          <w:lang w:val="es-CO"/>
        </w:rPr>
        <w:t>:</w:t>
      </w:r>
      <w:r w:rsidR="00727C81" w:rsidRPr="00956C2A">
        <w:rPr>
          <w:lang w:val="es-CO"/>
        </w:rPr>
        <w:t xml:space="preserve"> Reiterar que, l</w:t>
      </w:r>
      <w:r w:rsidR="00727C81" w:rsidRPr="00956C2A">
        <w:t xml:space="preserve">as comunicaciones y respuestas con ocasión de este trámite se </w:t>
      </w:r>
      <w:r w:rsidR="00727C81" w:rsidRPr="00956C2A">
        <w:rPr>
          <w:lang w:val="es-CO"/>
        </w:rPr>
        <w:t xml:space="preserve">recibirán </w:t>
      </w:r>
      <w:r w:rsidR="00727C81" w:rsidRPr="00956C2A">
        <w:t>en las siguientes cuentas de correo electrónico:</w:t>
      </w:r>
    </w:p>
    <w:p w:rsidR="00727C81" w:rsidRPr="00956C2A" w:rsidRDefault="005B054A" w:rsidP="00727C81">
      <w:pPr>
        <w:jc w:val="both"/>
        <w:rPr>
          <w:rStyle w:val="Hipervnculo"/>
          <w:rFonts w:ascii="Arial" w:hAnsi="Arial" w:cs="Arial"/>
          <w:color w:val="auto"/>
          <w:shd w:val="clear" w:color="auto" w:fill="FFFFFF"/>
        </w:rPr>
      </w:pPr>
      <w:hyperlink r:id="rId12" w:history="1">
        <w:r w:rsidR="00727C81" w:rsidRPr="00956C2A">
          <w:rPr>
            <w:rStyle w:val="Hipervnculo"/>
            <w:rFonts w:ascii="Arial" w:hAnsi="Arial" w:cs="Arial"/>
            <w:color w:val="auto"/>
            <w:shd w:val="clear" w:color="auto" w:fill="FFFFFF"/>
          </w:rPr>
          <w:t>s01tadvalle@cendoj.ramajudicial.gov.co</w:t>
        </w:r>
      </w:hyperlink>
    </w:p>
    <w:p w:rsidR="00727C81" w:rsidRPr="00956C2A" w:rsidRDefault="005B054A" w:rsidP="00727C81">
      <w:pPr>
        <w:jc w:val="both"/>
        <w:rPr>
          <w:rFonts w:ascii="Arial" w:hAnsi="Arial" w:cs="Arial"/>
          <w:shd w:val="clear" w:color="auto" w:fill="FFFFFF"/>
        </w:rPr>
      </w:pPr>
      <w:hyperlink r:id="rId13" w:history="1">
        <w:r w:rsidR="00727C81" w:rsidRPr="00956C2A">
          <w:rPr>
            <w:rStyle w:val="Hipervnculo"/>
            <w:rFonts w:ascii="Arial" w:hAnsi="Arial" w:cs="Arial"/>
            <w:color w:val="auto"/>
            <w:shd w:val="clear" w:color="auto" w:fill="FFFFFF"/>
          </w:rPr>
          <w:t>s02tadvalle@cendoj.ramajudicial.gov.co</w:t>
        </w:r>
      </w:hyperlink>
    </w:p>
    <w:p w:rsidR="001F42EB" w:rsidRPr="00956C2A" w:rsidRDefault="005B054A" w:rsidP="00727C81">
      <w:pPr>
        <w:jc w:val="both"/>
        <w:rPr>
          <w:rFonts w:ascii="Arial" w:hAnsi="Arial" w:cs="Arial"/>
          <w:bdr w:val="none" w:sz="0" w:space="0" w:color="auto" w:frame="1"/>
          <w:lang w:val="es-CO" w:eastAsia="es-CO"/>
        </w:rPr>
      </w:pPr>
      <w:hyperlink r:id="rId14" w:history="1">
        <w:r w:rsidR="00727C81" w:rsidRPr="00956C2A">
          <w:rPr>
            <w:rStyle w:val="Hipervnculo"/>
            <w:rFonts w:ascii="Arial" w:hAnsi="Arial" w:cs="Arial"/>
            <w:color w:val="auto"/>
            <w:bdr w:val="none" w:sz="0" w:space="0" w:color="auto" w:frame="1"/>
            <w:lang w:val="es-CO" w:eastAsia="es-CO"/>
          </w:rPr>
          <w:t>oborjas@cendoj.ramajudicial.gov.co</w:t>
        </w:r>
      </w:hyperlink>
      <w:r w:rsidR="00727C81" w:rsidRPr="00956C2A">
        <w:rPr>
          <w:rFonts w:ascii="Arial" w:hAnsi="Arial" w:cs="Arial"/>
          <w:bdr w:val="none" w:sz="0" w:space="0" w:color="auto" w:frame="1"/>
          <w:lang w:val="es-CO" w:eastAsia="es-CO"/>
        </w:rPr>
        <w:t xml:space="preserve"> </w:t>
      </w:r>
    </w:p>
    <w:p w:rsidR="001F42EB" w:rsidRPr="00956C2A" w:rsidRDefault="001F42EB" w:rsidP="00727C81">
      <w:pPr>
        <w:jc w:val="both"/>
        <w:rPr>
          <w:rFonts w:ascii="Arial" w:hAnsi="Arial" w:cs="Arial"/>
          <w:bdr w:val="none" w:sz="0" w:space="0" w:color="auto" w:frame="1"/>
          <w:lang w:val="es-CO" w:eastAsia="es-CO"/>
        </w:rPr>
      </w:pPr>
    </w:p>
    <w:p w:rsidR="001F42EB" w:rsidRPr="00956C2A" w:rsidRDefault="001F42EB" w:rsidP="001F42EB">
      <w:pPr>
        <w:pStyle w:val="western"/>
        <w:shd w:val="clear" w:color="auto" w:fill="FFFFFF"/>
        <w:spacing w:before="0" w:beforeAutospacing="0" w:after="0" w:afterAutospacing="0" w:line="363" w:lineRule="atLeast"/>
        <w:jc w:val="both"/>
        <w:rPr>
          <w:rFonts w:ascii="Calibri" w:hAnsi="Calibri" w:cs="Calibri"/>
          <w:sz w:val="22"/>
          <w:szCs w:val="22"/>
          <w:lang w:val="es-ES"/>
        </w:rPr>
      </w:pPr>
      <w:r w:rsidRPr="00956C2A">
        <w:rPr>
          <w:rFonts w:ascii="Arial" w:hAnsi="Arial" w:cs="Arial"/>
          <w:b/>
          <w:bCs/>
        </w:rPr>
        <w:t>DÉCIMO SEGUNDO:</w:t>
      </w:r>
      <w:r w:rsidRPr="00956C2A">
        <w:rPr>
          <w:rFonts w:ascii="Arial" w:hAnsi="Arial" w:cs="Arial"/>
        </w:rPr>
        <w:t> Por Secretaría de la Sección, notifíquese de la anterior decisión al despacho del doctor Víctor Adolfo Hernández Diaz, y </w:t>
      </w:r>
      <w:r w:rsidRPr="00956C2A">
        <w:rPr>
          <w:rFonts w:ascii="Arial" w:hAnsi="Arial" w:cs="Arial"/>
          <w:lang w:val="es-ES"/>
        </w:rPr>
        <w:t>realícense las anotaciones a que haya lugar en ambos procesos y la compensación en el reparto a que hubiese a lugar.</w:t>
      </w:r>
    </w:p>
    <w:p w:rsidR="00727C81" w:rsidRPr="00956C2A" w:rsidRDefault="00727C81" w:rsidP="00115A95">
      <w:pPr>
        <w:pStyle w:val="Textoindependiente"/>
        <w:spacing w:line="240" w:lineRule="auto"/>
        <w:rPr>
          <w:rFonts w:cs="Arial"/>
          <w:b/>
        </w:rPr>
      </w:pPr>
    </w:p>
    <w:p w:rsidR="00727C81" w:rsidRPr="00956C2A" w:rsidRDefault="00727C81" w:rsidP="00727C81">
      <w:pPr>
        <w:pStyle w:val="Textoindependiente"/>
        <w:spacing w:line="240" w:lineRule="auto"/>
        <w:jc w:val="center"/>
        <w:rPr>
          <w:b/>
        </w:rPr>
      </w:pPr>
      <w:r w:rsidRPr="00956C2A">
        <w:rPr>
          <w:b/>
        </w:rPr>
        <w:t>NOTIFÍQUESE Y CÚMPLASE</w:t>
      </w:r>
    </w:p>
    <w:p w:rsidR="00727C81" w:rsidRPr="00956C2A" w:rsidRDefault="00115A95" w:rsidP="00727C81">
      <w:pPr>
        <w:pStyle w:val="Textoindependiente"/>
        <w:spacing w:line="240" w:lineRule="auto"/>
        <w:jc w:val="center"/>
      </w:pPr>
      <w:r w:rsidRPr="00956C2A">
        <w:rPr>
          <w:noProof/>
          <w:lang w:val="es-CO" w:eastAsia="es-CO"/>
        </w:rPr>
        <w:drawing>
          <wp:anchor distT="0" distB="0" distL="114300" distR="114300" simplePos="0" relativeHeight="251658240" behindDoc="0" locked="0" layoutInCell="1" allowOverlap="1" wp14:anchorId="3C4A17CA" wp14:editId="017F7B6D">
            <wp:simplePos x="0" y="0"/>
            <wp:positionH relativeFrom="margin">
              <wp:posOffset>1710690</wp:posOffset>
            </wp:positionH>
            <wp:positionV relativeFrom="paragraph">
              <wp:posOffset>69215</wp:posOffset>
            </wp:positionV>
            <wp:extent cx="2543175" cy="1419225"/>
            <wp:effectExtent l="0" t="0" r="9525" b="9525"/>
            <wp:wrapSquare wrapText="bothSides"/>
            <wp:docPr id="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BEBA8EAE-BF5A-486C-A8C5-ECC9F3942E4B}">
                          <a14:imgProps xmlns:a14="http://schemas.microsoft.com/office/drawing/2010/main">
                            <a14:imgLayer r:embed="rId16">
                              <a14:imgEffect>
                                <a14:brightnessContrast bright="20000"/>
                              </a14:imgEffect>
                            </a14:imgLayer>
                          </a14:imgProps>
                        </a:ext>
                        <a:ext uri="{28A0092B-C50C-407E-A947-70E740481C1C}">
                          <a14:useLocalDpi xmlns:a14="http://schemas.microsoft.com/office/drawing/2010/main" val="0"/>
                        </a:ext>
                      </a:extLst>
                    </a:blip>
                    <a:srcRect/>
                    <a:stretch>
                      <a:fillRect/>
                    </a:stretch>
                  </pic:blipFill>
                  <pic:spPr bwMode="auto">
                    <a:xfrm>
                      <a:off x="0" y="0"/>
                      <a:ext cx="2543175" cy="1419225"/>
                    </a:xfrm>
                    <a:prstGeom prst="rect">
                      <a:avLst/>
                    </a:prstGeom>
                    <a:noFill/>
                    <a:ln>
                      <a:noFill/>
                    </a:ln>
                  </pic:spPr>
                </pic:pic>
              </a:graphicData>
            </a:graphic>
            <wp14:sizeRelV relativeFrom="margin">
              <wp14:pctHeight>0</wp14:pctHeight>
            </wp14:sizeRelV>
          </wp:anchor>
        </w:drawing>
      </w:r>
    </w:p>
    <w:p w:rsidR="00727C81" w:rsidRPr="00956C2A" w:rsidRDefault="00727C81" w:rsidP="00727C81">
      <w:pPr>
        <w:spacing w:line="360" w:lineRule="auto"/>
        <w:rPr>
          <w:rFonts w:ascii="Arial" w:hAnsi="Arial" w:cs="Arial"/>
          <w:b/>
        </w:rPr>
      </w:pPr>
    </w:p>
    <w:p w:rsidR="00727C81" w:rsidRPr="00956C2A" w:rsidRDefault="00727C81" w:rsidP="00727C81">
      <w:pPr>
        <w:spacing w:line="360" w:lineRule="auto"/>
        <w:rPr>
          <w:rFonts w:ascii="Arial" w:hAnsi="Arial" w:cs="Arial"/>
          <w:b/>
        </w:rPr>
      </w:pPr>
    </w:p>
    <w:p w:rsidR="00727C81" w:rsidRPr="00956C2A" w:rsidRDefault="00727C81" w:rsidP="00727C81">
      <w:pPr>
        <w:jc w:val="center"/>
        <w:rPr>
          <w:rFonts w:ascii="Arial" w:hAnsi="Arial" w:cs="Arial"/>
          <w:b/>
        </w:rPr>
      </w:pPr>
    </w:p>
    <w:p w:rsidR="00727C81" w:rsidRPr="00956C2A" w:rsidRDefault="00727C81" w:rsidP="00727C81">
      <w:pPr>
        <w:rPr>
          <w:rFonts w:ascii="Arial" w:hAnsi="Arial" w:cs="Arial"/>
        </w:rPr>
      </w:pPr>
    </w:p>
    <w:p w:rsidR="00727C81" w:rsidRPr="00956C2A" w:rsidRDefault="00727C81" w:rsidP="00727C81">
      <w:pPr>
        <w:rPr>
          <w:rFonts w:ascii="Arial" w:hAnsi="Arial" w:cs="Arial"/>
        </w:rPr>
      </w:pPr>
    </w:p>
    <w:p w:rsidR="00727C81" w:rsidRPr="00956C2A" w:rsidRDefault="00727C81" w:rsidP="00727C81">
      <w:pPr>
        <w:rPr>
          <w:rFonts w:ascii="Arial" w:hAnsi="Arial" w:cs="Arial"/>
        </w:rPr>
      </w:pPr>
    </w:p>
    <w:p w:rsidR="00727C81" w:rsidRPr="00956C2A" w:rsidRDefault="00727C81" w:rsidP="00727C81">
      <w:pPr>
        <w:rPr>
          <w:rFonts w:ascii="Arial" w:hAnsi="Arial" w:cs="Arial"/>
        </w:rPr>
      </w:pPr>
    </w:p>
    <w:p w:rsidR="00727C81" w:rsidRPr="00956C2A" w:rsidRDefault="00727C81" w:rsidP="00727C81">
      <w:pPr>
        <w:rPr>
          <w:rFonts w:ascii="Arial" w:hAnsi="Arial" w:cs="Arial"/>
        </w:rPr>
      </w:pPr>
    </w:p>
    <w:p w:rsidR="00727C81" w:rsidRPr="00956C2A" w:rsidRDefault="00727C81" w:rsidP="00727C81">
      <w:pPr>
        <w:rPr>
          <w:rFonts w:ascii="Arial" w:hAnsi="Arial" w:cs="Arial"/>
        </w:rPr>
      </w:pPr>
    </w:p>
    <w:p w:rsidR="00727C81" w:rsidRPr="00956C2A" w:rsidRDefault="00727C81" w:rsidP="00727C81">
      <w:pPr>
        <w:rPr>
          <w:rFonts w:ascii="Arial" w:hAnsi="Arial" w:cs="Arial"/>
        </w:rPr>
      </w:pPr>
    </w:p>
    <w:p w:rsidR="00727C81" w:rsidRPr="00956C2A" w:rsidRDefault="00727C81" w:rsidP="00727C81">
      <w:pPr>
        <w:rPr>
          <w:rFonts w:ascii="Arial" w:hAnsi="Arial" w:cs="Arial"/>
          <w:b/>
        </w:rPr>
      </w:pPr>
    </w:p>
    <w:p w:rsidR="00727C81" w:rsidRPr="00956C2A" w:rsidRDefault="00727C81" w:rsidP="00727C81">
      <w:pPr>
        <w:rPr>
          <w:rFonts w:ascii="Arial" w:hAnsi="Arial" w:cs="Arial"/>
          <w:b/>
        </w:rPr>
      </w:pPr>
    </w:p>
    <w:p w:rsidR="00727C81" w:rsidRPr="00956C2A" w:rsidRDefault="00727C81" w:rsidP="00727C81"/>
    <w:p w:rsidR="00727C81" w:rsidRPr="00956C2A" w:rsidRDefault="00727C81" w:rsidP="00663AFE">
      <w:pPr>
        <w:spacing w:line="360" w:lineRule="auto"/>
        <w:jc w:val="both"/>
        <w:rPr>
          <w:sz w:val="28"/>
          <w:szCs w:val="28"/>
          <w:shd w:val="clear" w:color="auto" w:fill="FFFFFF"/>
        </w:rPr>
      </w:pPr>
    </w:p>
    <w:p w:rsidR="005215D9" w:rsidRPr="00956C2A" w:rsidRDefault="005215D9"/>
    <w:sectPr w:rsidR="005215D9" w:rsidRPr="00956C2A" w:rsidSect="00266886">
      <w:headerReference w:type="default" r:id="rId17"/>
      <w:headerReference w:type="first" r:id="rId18"/>
      <w:pgSz w:w="12240" w:h="20160" w:code="5"/>
      <w:pgMar w:top="2835" w:right="1134" w:bottom="1701" w:left="1701" w:header="1701" w:footer="113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054A" w:rsidRDefault="005B054A" w:rsidP="00195D04">
      <w:r>
        <w:separator/>
      </w:r>
    </w:p>
  </w:endnote>
  <w:endnote w:type="continuationSeparator" w:id="0">
    <w:p w:rsidR="005B054A" w:rsidRDefault="005B054A" w:rsidP="00195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054A" w:rsidRDefault="005B054A" w:rsidP="00195D04">
      <w:r>
        <w:separator/>
      </w:r>
    </w:p>
  </w:footnote>
  <w:footnote w:type="continuationSeparator" w:id="0">
    <w:p w:rsidR="005B054A" w:rsidRDefault="005B054A" w:rsidP="00195D04">
      <w:r>
        <w:continuationSeparator/>
      </w:r>
    </w:p>
  </w:footnote>
  <w:footnote w:id="1">
    <w:p w:rsidR="00663AFE" w:rsidRDefault="00663AFE" w:rsidP="00663AFE">
      <w:pPr>
        <w:pStyle w:val="Textonotapie"/>
      </w:pPr>
      <w:r w:rsidRPr="006F54AB">
        <w:rPr>
          <w:vertAlign w:val="superscript"/>
        </w:rPr>
        <w:footnoteRef/>
      </w:r>
      <w:r w:rsidRPr="006F54AB">
        <w:t xml:space="preserve"> MP. Mauricio González Cuervo.</w:t>
      </w:r>
    </w:p>
  </w:footnote>
  <w:footnote w:id="2">
    <w:p w:rsidR="00B77BB6" w:rsidRPr="00B77BB6" w:rsidRDefault="00B77BB6">
      <w:pPr>
        <w:pStyle w:val="Textonotapie"/>
        <w:rPr>
          <w:lang w:val="es-CO"/>
        </w:rPr>
      </w:pPr>
      <w:r>
        <w:rPr>
          <w:rStyle w:val="Refdenotaalpie"/>
        </w:rPr>
        <w:footnoteRef/>
      </w:r>
      <w:r>
        <w:t xml:space="preserve"> </w:t>
      </w:r>
      <w:r>
        <w:rPr>
          <w:color w:val="2D2D2D"/>
          <w:shd w:val="clear" w:color="auto" w:fill="FFFFFF"/>
        </w:rPr>
        <w:t>Corte Constitucional, sentencia C-320/97 (M.P. Alejandro Martínez Caballero).</w:t>
      </w:r>
    </w:p>
  </w:footnote>
  <w:footnote w:id="3">
    <w:p w:rsidR="0070109D" w:rsidRDefault="0070109D" w:rsidP="0070109D">
      <w:pPr>
        <w:pStyle w:val="Textonotapie"/>
        <w:jc w:val="both"/>
        <w:rPr>
          <w:rFonts w:ascii="Arial" w:hAnsi="Arial" w:cs="Arial"/>
          <w:sz w:val="18"/>
          <w:szCs w:val="18"/>
        </w:rPr>
      </w:pPr>
      <w:r>
        <w:rPr>
          <w:rStyle w:val="Refdenotaalpie"/>
          <w:rFonts w:ascii="Arial" w:hAnsi="Arial" w:cs="Arial"/>
          <w:sz w:val="18"/>
          <w:szCs w:val="18"/>
        </w:rPr>
        <w:footnoteRef/>
      </w:r>
      <w:r>
        <w:rPr>
          <w:rFonts w:ascii="Arial" w:hAnsi="Arial" w:cs="Arial"/>
          <w:sz w:val="18"/>
          <w:szCs w:val="18"/>
        </w:rPr>
        <w:t xml:space="preserve"> </w:t>
      </w:r>
      <w:r>
        <w:rPr>
          <w:rFonts w:ascii="Arial" w:hAnsi="Arial" w:cs="Arial"/>
          <w:sz w:val="18"/>
          <w:szCs w:val="18"/>
          <w:lang w:val="es-CO"/>
        </w:rPr>
        <w:t xml:space="preserve">Esto es un cambio sustancial del </w:t>
      </w:r>
      <w:r>
        <w:rPr>
          <w:rFonts w:ascii="Arial" w:hAnsi="Arial" w:cs="Arial"/>
          <w:sz w:val="18"/>
          <w:szCs w:val="18"/>
        </w:rPr>
        <w:t xml:space="preserve">Código de Procedimiento Administrativo y de lo Contencioso Administrativo puesto que en el artículo 145 del Código Contencioso Administrativo se establecía que la </w:t>
      </w:r>
      <w:r>
        <w:rPr>
          <w:rFonts w:ascii="Arial" w:hAnsi="Arial" w:cs="Arial"/>
          <w:iCs/>
          <w:color w:val="000000"/>
          <w:sz w:val="18"/>
          <w:szCs w:val="18"/>
          <w:bdr w:val="none" w:sz="0" w:space="0" w:color="auto" w:frame="1"/>
          <w:lang w:val="es-ES_tradnl"/>
        </w:rPr>
        <w:t>acumulación de pretensiones procedería en la forma establecida en el Código de Procedimiento Civil.</w:t>
      </w:r>
    </w:p>
  </w:footnote>
  <w:footnote w:id="4">
    <w:p w:rsidR="00727C81" w:rsidRPr="009F5BF4" w:rsidRDefault="00727C81" w:rsidP="00727C81">
      <w:pPr>
        <w:pStyle w:val="Textonotapie"/>
        <w:jc w:val="both"/>
        <w:rPr>
          <w:rFonts w:ascii="Arial" w:hAnsi="Arial" w:cs="Arial"/>
          <w:i w:val="0"/>
          <w:lang w:val="es-CO"/>
        </w:rPr>
      </w:pPr>
      <w:r w:rsidRPr="009F5BF4">
        <w:rPr>
          <w:rStyle w:val="Refdenotaalpie"/>
          <w:rFonts w:ascii="Arial" w:hAnsi="Arial" w:cs="Arial"/>
          <w:i w:val="0"/>
        </w:rPr>
        <w:footnoteRef/>
      </w:r>
      <w:r w:rsidRPr="009F5BF4">
        <w:rPr>
          <w:rFonts w:ascii="Arial" w:hAnsi="Arial" w:cs="Arial"/>
          <w:i w:val="0"/>
        </w:rPr>
        <w:t xml:space="preserve"> Parágrafo 1: Las disposiciones que para el manejo del orden público expidan las autoridades departamentales, distritales y municipales, deberán ser previamente coordinadas y estar en concordancia con las instrucciones dadas por el presidente de la República</w:t>
      </w:r>
    </w:p>
  </w:footnote>
  <w:footnote w:id="5">
    <w:p w:rsidR="00727C81" w:rsidRPr="00735386" w:rsidRDefault="00727C81" w:rsidP="00727C81">
      <w:pPr>
        <w:pStyle w:val="Textonotapie"/>
        <w:jc w:val="both"/>
        <w:rPr>
          <w:rFonts w:ascii="Arial" w:hAnsi="Arial" w:cs="Arial"/>
          <w:i w:val="0"/>
          <w:lang w:val="es-CO"/>
        </w:rPr>
      </w:pPr>
      <w:r w:rsidRPr="00735386">
        <w:rPr>
          <w:rStyle w:val="Refdenotaalpie"/>
          <w:rFonts w:ascii="Arial" w:hAnsi="Arial" w:cs="Arial"/>
          <w:i w:val="0"/>
        </w:rPr>
        <w:footnoteRef/>
      </w:r>
      <w:r w:rsidRPr="00735386">
        <w:rPr>
          <w:rFonts w:ascii="Arial" w:hAnsi="Arial" w:cs="Arial"/>
          <w:i w:val="0"/>
        </w:rPr>
        <w:t xml:space="preserve"> Parágrafo 1: Las disposiciones que para el manejo del orden público expidan las autoridades departamentales, distritales y municipales, deberán ser previamente coordinadas y estar en concordancia con las instrucciones dadas por el presidente de la República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B85" w:rsidRPr="009A77F2" w:rsidRDefault="00E6347F" w:rsidP="00194B85">
    <w:pPr>
      <w:tabs>
        <w:tab w:val="center" w:pos="4252"/>
        <w:tab w:val="right" w:pos="8820"/>
      </w:tabs>
      <w:jc w:val="both"/>
      <w:rPr>
        <w:rFonts w:ascii="Arial" w:hAnsi="Arial"/>
        <w:sz w:val="20"/>
        <w:szCs w:val="20"/>
      </w:rPr>
    </w:pPr>
    <w:r w:rsidRPr="009A77F2">
      <w:rPr>
        <w:noProof/>
        <w:sz w:val="20"/>
        <w:szCs w:val="20"/>
        <w:lang w:val="es-CO" w:eastAsia="es-CO"/>
      </w:rPr>
      <w:drawing>
        <wp:anchor distT="0" distB="0" distL="114300" distR="114300" simplePos="0" relativeHeight="251659264" behindDoc="0" locked="0" layoutInCell="1" allowOverlap="1">
          <wp:simplePos x="0" y="0"/>
          <wp:positionH relativeFrom="column">
            <wp:posOffset>3787140</wp:posOffset>
          </wp:positionH>
          <wp:positionV relativeFrom="paragraph">
            <wp:posOffset>3175</wp:posOffset>
          </wp:positionV>
          <wp:extent cx="733425" cy="504825"/>
          <wp:effectExtent l="0" t="0" r="0" b="0"/>
          <wp:wrapSquare wrapText="bothSides"/>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425" cy="504825"/>
                  </a:xfrm>
                  <a:prstGeom prst="rect">
                    <a:avLst/>
                  </a:prstGeom>
                  <a:noFill/>
                  <a:ln>
                    <a:noFill/>
                  </a:ln>
                </pic:spPr>
              </pic:pic>
            </a:graphicData>
          </a:graphic>
        </wp:anchor>
      </w:drawing>
    </w:r>
    <w:r w:rsidRPr="009A77F2">
      <w:rPr>
        <w:rFonts w:ascii="Arial" w:hAnsi="Arial"/>
        <w:sz w:val="20"/>
        <w:szCs w:val="20"/>
      </w:rPr>
      <w:t>Tribunal Administrativo del Valle del Cauca</w:t>
    </w:r>
    <w:r w:rsidRPr="009A77F2">
      <w:rPr>
        <w:rFonts w:ascii="Arial" w:hAnsi="Arial"/>
        <w:sz w:val="20"/>
        <w:szCs w:val="20"/>
      </w:rPr>
      <w:tab/>
    </w:r>
    <w:r w:rsidRPr="009A77F2">
      <w:rPr>
        <w:rFonts w:ascii="Arial" w:hAnsi="Arial"/>
        <w:sz w:val="20"/>
        <w:szCs w:val="20"/>
      </w:rPr>
      <w:tab/>
      <w:t xml:space="preserve"> </w:t>
    </w:r>
    <w:r w:rsidRPr="009A77F2">
      <w:rPr>
        <w:rFonts w:ascii="Arial" w:hAnsi="Arial"/>
        <w:snapToGrid w:val="0"/>
        <w:sz w:val="20"/>
        <w:szCs w:val="20"/>
      </w:rPr>
      <w:t xml:space="preserve">Página </w:t>
    </w:r>
    <w:r w:rsidRPr="009A77F2">
      <w:rPr>
        <w:rFonts w:ascii="Arial" w:hAnsi="Arial"/>
        <w:snapToGrid w:val="0"/>
        <w:sz w:val="20"/>
        <w:szCs w:val="20"/>
      </w:rPr>
      <w:fldChar w:fldCharType="begin"/>
    </w:r>
    <w:r w:rsidRPr="009A77F2">
      <w:rPr>
        <w:rFonts w:ascii="Arial" w:hAnsi="Arial"/>
        <w:snapToGrid w:val="0"/>
        <w:sz w:val="20"/>
        <w:szCs w:val="20"/>
      </w:rPr>
      <w:instrText xml:space="preserve"> PAGE </w:instrText>
    </w:r>
    <w:r w:rsidRPr="009A77F2">
      <w:rPr>
        <w:rFonts w:ascii="Arial" w:hAnsi="Arial"/>
        <w:snapToGrid w:val="0"/>
        <w:sz w:val="20"/>
        <w:szCs w:val="20"/>
      </w:rPr>
      <w:fldChar w:fldCharType="separate"/>
    </w:r>
    <w:r w:rsidR="00BC0670">
      <w:rPr>
        <w:rFonts w:ascii="Arial" w:hAnsi="Arial"/>
        <w:noProof/>
        <w:snapToGrid w:val="0"/>
        <w:sz w:val="20"/>
        <w:szCs w:val="20"/>
      </w:rPr>
      <w:t>3</w:t>
    </w:r>
    <w:r w:rsidRPr="009A77F2">
      <w:rPr>
        <w:rFonts w:ascii="Arial" w:hAnsi="Arial"/>
        <w:snapToGrid w:val="0"/>
        <w:sz w:val="20"/>
        <w:szCs w:val="20"/>
      </w:rPr>
      <w:fldChar w:fldCharType="end"/>
    </w:r>
    <w:r w:rsidRPr="009A77F2">
      <w:rPr>
        <w:rFonts w:ascii="Arial" w:hAnsi="Arial"/>
        <w:snapToGrid w:val="0"/>
        <w:sz w:val="20"/>
        <w:szCs w:val="20"/>
      </w:rPr>
      <w:t xml:space="preserve"> de </w:t>
    </w:r>
    <w:r w:rsidRPr="009A77F2">
      <w:rPr>
        <w:rFonts w:ascii="Arial" w:hAnsi="Arial"/>
        <w:snapToGrid w:val="0"/>
        <w:sz w:val="20"/>
        <w:szCs w:val="20"/>
      </w:rPr>
      <w:fldChar w:fldCharType="begin"/>
    </w:r>
    <w:r w:rsidRPr="009A77F2">
      <w:rPr>
        <w:rFonts w:ascii="Arial" w:hAnsi="Arial"/>
        <w:snapToGrid w:val="0"/>
        <w:sz w:val="20"/>
        <w:szCs w:val="20"/>
      </w:rPr>
      <w:instrText xml:space="preserve"> NUMPAGES </w:instrText>
    </w:r>
    <w:r w:rsidRPr="009A77F2">
      <w:rPr>
        <w:rFonts w:ascii="Arial" w:hAnsi="Arial"/>
        <w:snapToGrid w:val="0"/>
        <w:sz w:val="20"/>
        <w:szCs w:val="20"/>
      </w:rPr>
      <w:fldChar w:fldCharType="separate"/>
    </w:r>
    <w:r w:rsidR="00BC0670">
      <w:rPr>
        <w:rFonts w:ascii="Arial" w:hAnsi="Arial"/>
        <w:noProof/>
        <w:snapToGrid w:val="0"/>
        <w:sz w:val="20"/>
        <w:szCs w:val="20"/>
      </w:rPr>
      <w:t>12</w:t>
    </w:r>
    <w:r w:rsidRPr="009A77F2">
      <w:rPr>
        <w:rFonts w:ascii="Arial" w:hAnsi="Arial"/>
        <w:snapToGrid w:val="0"/>
        <w:sz w:val="20"/>
        <w:szCs w:val="20"/>
      </w:rPr>
      <w:fldChar w:fldCharType="end"/>
    </w:r>
  </w:p>
  <w:p w:rsidR="005F773F" w:rsidRDefault="00E6347F" w:rsidP="00194B85">
    <w:pPr>
      <w:tabs>
        <w:tab w:val="center" w:pos="4252"/>
        <w:tab w:val="right" w:pos="8504"/>
      </w:tabs>
      <w:jc w:val="both"/>
      <w:rPr>
        <w:rFonts w:ascii="Arial" w:hAnsi="Arial"/>
        <w:sz w:val="20"/>
        <w:szCs w:val="20"/>
      </w:rPr>
    </w:pPr>
    <w:r w:rsidRPr="009A77F2">
      <w:rPr>
        <w:rFonts w:ascii="Arial" w:hAnsi="Arial"/>
        <w:sz w:val="20"/>
        <w:szCs w:val="20"/>
      </w:rPr>
      <w:t xml:space="preserve">Proceso No. </w:t>
    </w:r>
    <w:r>
      <w:rPr>
        <w:rFonts w:ascii="Arial" w:hAnsi="Arial"/>
        <w:sz w:val="20"/>
        <w:szCs w:val="20"/>
      </w:rPr>
      <w:t>2020-0</w:t>
    </w:r>
    <w:r w:rsidR="005F773F">
      <w:rPr>
        <w:rFonts w:ascii="Arial" w:hAnsi="Arial"/>
        <w:sz w:val="20"/>
        <w:szCs w:val="20"/>
      </w:rPr>
      <w:t>00321 acumulado 2020-00323</w:t>
    </w:r>
  </w:p>
  <w:p w:rsidR="00194B85" w:rsidRPr="00266886" w:rsidRDefault="00E6347F" w:rsidP="00776D00">
    <w:pPr>
      <w:tabs>
        <w:tab w:val="center" w:pos="4252"/>
        <w:tab w:val="right" w:pos="8504"/>
      </w:tabs>
      <w:jc w:val="both"/>
      <w:rPr>
        <w:rFonts w:ascii="Arial" w:hAnsi="Arial"/>
        <w:b/>
        <w:bCs/>
        <w:sz w:val="20"/>
        <w:szCs w:val="20"/>
      </w:rPr>
    </w:pPr>
    <w:r w:rsidRPr="00266886">
      <w:rPr>
        <w:rFonts w:ascii="Arial" w:hAnsi="Arial"/>
        <w:b/>
        <w:bCs/>
        <w:sz w:val="16"/>
        <w:szCs w:val="16"/>
      </w:rPr>
      <w:t xml:space="preserve">CONTROL INMEDIATO DE LEGALIDAD DE ACTOS ADMINISTRATIVOS </w:t>
    </w:r>
    <w:r w:rsidRPr="00266886">
      <w:rPr>
        <w:rFonts w:ascii="Arial" w:hAnsi="Arial"/>
        <w:b/>
        <w:bCs/>
        <w:sz w:val="20"/>
        <w:szCs w:val="2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879" w:rsidRDefault="005B054A" w:rsidP="005F773F">
    <w:pPr>
      <w:spacing w:line="276" w:lineRule="auto"/>
      <w:rPr>
        <w:rFonts w:ascii="Arial" w:hAnsi="Arial" w:cs="Arial"/>
        <w:b/>
      </w:rPr>
    </w:pPr>
  </w:p>
  <w:p w:rsidR="00194B85" w:rsidRPr="001850BF" w:rsidRDefault="00E6347F" w:rsidP="00194B85">
    <w:pPr>
      <w:spacing w:line="276" w:lineRule="auto"/>
      <w:jc w:val="center"/>
      <w:rPr>
        <w:rFonts w:ascii="Arial" w:hAnsi="Arial" w:cs="Arial"/>
        <w:b/>
      </w:rPr>
    </w:pPr>
    <w:r w:rsidRPr="001850BF">
      <w:rPr>
        <w:rFonts w:ascii="Arial" w:hAnsi="Arial" w:cs="Arial"/>
        <w:b/>
      </w:rPr>
      <w:t>REPÚBLICA DE COLOMBIA</w:t>
    </w:r>
  </w:p>
  <w:p w:rsidR="00194B85" w:rsidRPr="001850BF" w:rsidRDefault="00E6347F" w:rsidP="00194B85">
    <w:pPr>
      <w:spacing w:line="276" w:lineRule="auto"/>
      <w:jc w:val="center"/>
      <w:rPr>
        <w:rFonts w:ascii="Arial" w:hAnsi="Arial" w:cs="Arial"/>
        <w:b/>
      </w:rPr>
    </w:pPr>
    <w:r w:rsidRPr="001850BF">
      <w:rPr>
        <w:rFonts w:ascii="Arial" w:hAnsi="Arial" w:cs="Arial"/>
        <w:noProof/>
        <w:lang w:val="es-CO" w:eastAsia="es-CO"/>
      </w:rPr>
      <w:drawing>
        <wp:anchor distT="0" distB="0" distL="114300" distR="114300" simplePos="0" relativeHeight="251660288" behindDoc="0" locked="0" layoutInCell="1" allowOverlap="1">
          <wp:simplePos x="0" y="0"/>
          <wp:positionH relativeFrom="column">
            <wp:posOffset>2320290</wp:posOffset>
          </wp:positionH>
          <wp:positionV relativeFrom="paragraph">
            <wp:posOffset>53975</wp:posOffset>
          </wp:positionV>
          <wp:extent cx="962025" cy="652145"/>
          <wp:effectExtent l="0" t="0" r="0" b="0"/>
          <wp:wrapSquare wrapText="bothSides"/>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652145"/>
                  </a:xfrm>
                  <a:prstGeom prst="rect">
                    <a:avLst/>
                  </a:prstGeom>
                  <a:noFill/>
                  <a:ln>
                    <a:noFill/>
                  </a:ln>
                </pic:spPr>
              </pic:pic>
            </a:graphicData>
          </a:graphic>
        </wp:anchor>
      </w:drawing>
    </w:r>
  </w:p>
  <w:p w:rsidR="00194B85" w:rsidRPr="001850BF" w:rsidRDefault="005B054A" w:rsidP="00194B85">
    <w:pPr>
      <w:spacing w:line="276" w:lineRule="auto"/>
      <w:jc w:val="center"/>
      <w:rPr>
        <w:rFonts w:ascii="Arial" w:hAnsi="Arial" w:cs="Arial"/>
        <w:b/>
      </w:rPr>
    </w:pPr>
  </w:p>
  <w:p w:rsidR="00194B85" w:rsidRPr="001850BF" w:rsidRDefault="005B054A" w:rsidP="00194B85">
    <w:pPr>
      <w:spacing w:line="276" w:lineRule="auto"/>
      <w:jc w:val="center"/>
      <w:rPr>
        <w:rFonts w:ascii="Arial" w:hAnsi="Arial" w:cs="Arial"/>
        <w:b/>
      </w:rPr>
    </w:pPr>
  </w:p>
  <w:p w:rsidR="00194B85" w:rsidRPr="001850BF" w:rsidRDefault="005B054A" w:rsidP="00194B85">
    <w:pPr>
      <w:spacing w:line="276" w:lineRule="auto"/>
      <w:jc w:val="center"/>
      <w:rPr>
        <w:rFonts w:ascii="Arial" w:hAnsi="Arial" w:cs="Arial"/>
        <w:b/>
      </w:rPr>
    </w:pPr>
  </w:p>
  <w:p w:rsidR="00194B85" w:rsidRPr="001850BF" w:rsidRDefault="00E6347F" w:rsidP="00194B85">
    <w:pPr>
      <w:pStyle w:val="Encabezado"/>
      <w:spacing w:line="276" w:lineRule="auto"/>
      <w:jc w:val="center"/>
      <w:rPr>
        <w:rFonts w:ascii="Arial" w:hAnsi="Arial" w:cs="Arial"/>
      </w:rPr>
    </w:pPr>
    <w:r w:rsidRPr="001850BF">
      <w:rPr>
        <w:rFonts w:ascii="Arial" w:hAnsi="Arial" w:cs="Arial"/>
        <w:b/>
      </w:rPr>
      <w:t>TRIBUNAL ADMINISTRATIVO DEL VALLE DEL CAUCA</w:t>
    </w:r>
  </w:p>
  <w:p w:rsidR="00194B85" w:rsidRDefault="005B054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2A357C"/>
    <w:multiLevelType w:val="hybridMultilevel"/>
    <w:tmpl w:val="B09CCD7E"/>
    <w:lvl w:ilvl="0" w:tplc="883CD16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36713B0D"/>
    <w:multiLevelType w:val="hybridMultilevel"/>
    <w:tmpl w:val="E110C5D2"/>
    <w:lvl w:ilvl="0" w:tplc="E73EB56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37351E98"/>
    <w:multiLevelType w:val="hybridMultilevel"/>
    <w:tmpl w:val="B34A9ABC"/>
    <w:lvl w:ilvl="0" w:tplc="9F700540">
      <w:start w:val="3"/>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487B6C5F"/>
    <w:multiLevelType w:val="hybridMultilevel"/>
    <w:tmpl w:val="6FBC041C"/>
    <w:lvl w:ilvl="0" w:tplc="F1889FC4">
      <w:start w:val="1"/>
      <w:numFmt w:val="decimal"/>
      <w:lvlText w:val="%1."/>
      <w:lvlJc w:val="left"/>
      <w:pPr>
        <w:ind w:left="720" w:hanging="360"/>
      </w:pPr>
      <w:rPr>
        <w:rFonts w:ascii="Arial" w:hAnsi="Arial" w:cs="Arial"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4AF43666"/>
    <w:multiLevelType w:val="hybridMultilevel"/>
    <w:tmpl w:val="FEA25B36"/>
    <w:lvl w:ilvl="0" w:tplc="1988E69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583234D1"/>
    <w:multiLevelType w:val="hybridMultilevel"/>
    <w:tmpl w:val="92CABA52"/>
    <w:lvl w:ilvl="0" w:tplc="81AC19D6">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5BBD3AF8"/>
    <w:multiLevelType w:val="multilevel"/>
    <w:tmpl w:val="04AA37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74897261"/>
    <w:multiLevelType w:val="hybridMultilevel"/>
    <w:tmpl w:val="D73A539E"/>
    <w:lvl w:ilvl="0" w:tplc="335482BC">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3"/>
  </w:num>
  <w:num w:numId="3">
    <w:abstractNumId w:val="7"/>
  </w:num>
  <w:num w:numId="4">
    <w:abstractNumId w:val="6"/>
  </w:num>
  <w:num w:numId="5">
    <w:abstractNumId w:val="0"/>
  </w:num>
  <w:num w:numId="6">
    <w:abstractNumId w:val="4"/>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D04"/>
    <w:rsid w:val="000622F1"/>
    <w:rsid w:val="000909AD"/>
    <w:rsid w:val="000F5967"/>
    <w:rsid w:val="00115A95"/>
    <w:rsid w:val="001322AE"/>
    <w:rsid w:val="00135E5F"/>
    <w:rsid w:val="00195D04"/>
    <w:rsid w:val="001A5063"/>
    <w:rsid w:val="001B1881"/>
    <w:rsid w:val="001C1751"/>
    <w:rsid w:val="001F42EB"/>
    <w:rsid w:val="00206E5F"/>
    <w:rsid w:val="00223C5D"/>
    <w:rsid w:val="002428FE"/>
    <w:rsid w:val="00253CEE"/>
    <w:rsid w:val="002824F0"/>
    <w:rsid w:val="002D0C98"/>
    <w:rsid w:val="003752F2"/>
    <w:rsid w:val="00386572"/>
    <w:rsid w:val="003A1EC0"/>
    <w:rsid w:val="003B3D47"/>
    <w:rsid w:val="00420096"/>
    <w:rsid w:val="00435FDB"/>
    <w:rsid w:val="00463978"/>
    <w:rsid w:val="004A6C15"/>
    <w:rsid w:val="004C64DB"/>
    <w:rsid w:val="005215D9"/>
    <w:rsid w:val="00560A3A"/>
    <w:rsid w:val="00565C83"/>
    <w:rsid w:val="005B054A"/>
    <w:rsid w:val="005B2A66"/>
    <w:rsid w:val="005C09C9"/>
    <w:rsid w:val="005F659A"/>
    <w:rsid w:val="005F773F"/>
    <w:rsid w:val="00616C98"/>
    <w:rsid w:val="00663AFE"/>
    <w:rsid w:val="006E78CE"/>
    <w:rsid w:val="0070109D"/>
    <w:rsid w:val="00721445"/>
    <w:rsid w:val="00727C81"/>
    <w:rsid w:val="00735386"/>
    <w:rsid w:val="007378FF"/>
    <w:rsid w:val="00750D17"/>
    <w:rsid w:val="0075657C"/>
    <w:rsid w:val="007E196E"/>
    <w:rsid w:val="00825296"/>
    <w:rsid w:val="008B0C82"/>
    <w:rsid w:val="008D17E0"/>
    <w:rsid w:val="00901291"/>
    <w:rsid w:val="009251A2"/>
    <w:rsid w:val="00956C2A"/>
    <w:rsid w:val="009D64B6"/>
    <w:rsid w:val="009E0DFD"/>
    <w:rsid w:val="009F5BF4"/>
    <w:rsid w:val="00A347AE"/>
    <w:rsid w:val="00AE55F1"/>
    <w:rsid w:val="00B53CDE"/>
    <w:rsid w:val="00B77BB6"/>
    <w:rsid w:val="00B9773E"/>
    <w:rsid w:val="00BC0670"/>
    <w:rsid w:val="00C12929"/>
    <w:rsid w:val="00C22253"/>
    <w:rsid w:val="00C822F5"/>
    <w:rsid w:val="00CD29C8"/>
    <w:rsid w:val="00CE495E"/>
    <w:rsid w:val="00D52F97"/>
    <w:rsid w:val="00DC2440"/>
    <w:rsid w:val="00E6347F"/>
    <w:rsid w:val="00E84160"/>
    <w:rsid w:val="00EC4946"/>
    <w:rsid w:val="00EE73EA"/>
    <w:rsid w:val="00F016F7"/>
    <w:rsid w:val="00F0262B"/>
    <w:rsid w:val="00F8183B"/>
    <w:rsid w:val="00F9677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76285B-B8B4-4195-A32F-A0082B012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5D04"/>
    <w:pPr>
      <w:widowControl w:val="0"/>
      <w:autoSpaceDE w:val="0"/>
      <w:autoSpaceDN w:val="0"/>
      <w:adjustRightInd w:val="0"/>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95D04"/>
    <w:pPr>
      <w:tabs>
        <w:tab w:val="center" w:pos="4419"/>
        <w:tab w:val="right" w:pos="8838"/>
      </w:tabs>
    </w:pPr>
  </w:style>
  <w:style w:type="character" w:customStyle="1" w:styleId="EncabezadoCar">
    <w:name w:val="Encabezado Car"/>
    <w:basedOn w:val="Fuentedeprrafopredeter"/>
    <w:link w:val="Encabezado"/>
    <w:uiPriority w:val="99"/>
    <w:rsid w:val="00195D04"/>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rsid w:val="00195D04"/>
    <w:pPr>
      <w:widowControl/>
      <w:autoSpaceDE/>
      <w:autoSpaceDN/>
      <w:adjustRightInd/>
      <w:spacing w:line="360" w:lineRule="auto"/>
      <w:jc w:val="both"/>
    </w:pPr>
    <w:rPr>
      <w:rFonts w:ascii="Arial" w:hAnsi="Arial"/>
    </w:rPr>
  </w:style>
  <w:style w:type="character" w:customStyle="1" w:styleId="TextoindependienteCar">
    <w:name w:val="Texto independiente Car"/>
    <w:basedOn w:val="Fuentedeprrafopredeter"/>
    <w:link w:val="Textoindependiente"/>
    <w:rsid w:val="00195D04"/>
    <w:rPr>
      <w:rFonts w:ascii="Arial" w:eastAsia="Times New Roman" w:hAnsi="Arial" w:cs="Times New Roman"/>
      <w:sz w:val="24"/>
      <w:szCs w:val="24"/>
      <w:lang w:eastAsia="es-ES"/>
    </w:rPr>
  </w:style>
  <w:style w:type="paragraph" w:styleId="Textonotapie">
    <w:name w:val="footnote text"/>
    <w:aliases w:val="Footnote Text Char Char Char Char Char,Footnote Text Char Char Char Char,Footnote reference,FA Fu,Footnote Text Char Char Char Car,Footnote Text Char Char Char Car Car,texto de nota al pie,Footnote Text Char Char Char,Ref. de nota al pie1"/>
    <w:basedOn w:val="Normal"/>
    <w:link w:val="TextonotapieCar"/>
    <w:unhideWhenUsed/>
    <w:qFormat/>
    <w:rsid w:val="00195D04"/>
    <w:pPr>
      <w:widowControl/>
      <w:autoSpaceDE/>
      <w:autoSpaceDN/>
      <w:adjustRightInd/>
    </w:pPr>
    <w:rPr>
      <w:rFonts w:ascii="Georgia" w:hAnsi="Georgia"/>
      <w:i/>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 Car1,Footnote Text Char Char Char Car Car Car,texto de nota al pie Car"/>
    <w:basedOn w:val="Fuentedeprrafopredeter"/>
    <w:link w:val="Textonotapie"/>
    <w:rsid w:val="00195D04"/>
    <w:rPr>
      <w:rFonts w:ascii="Georgia" w:eastAsia="Times New Roman" w:hAnsi="Georgia" w:cs="Times New Roman"/>
      <w:i/>
      <w:sz w:val="20"/>
      <w:szCs w:val="20"/>
    </w:rPr>
  </w:style>
  <w:style w:type="character" w:styleId="Refdenotaalpie">
    <w:name w:val="footnote reference"/>
    <w:aliases w:val="Texto de nota al pie"/>
    <w:unhideWhenUsed/>
    <w:rsid w:val="00195D04"/>
    <w:rPr>
      <w:vertAlign w:val="superscript"/>
    </w:rPr>
  </w:style>
  <w:style w:type="paragraph" w:styleId="Prrafodelista">
    <w:name w:val="List Paragraph"/>
    <w:basedOn w:val="Normal"/>
    <w:uiPriority w:val="34"/>
    <w:qFormat/>
    <w:rsid w:val="00195D04"/>
    <w:pPr>
      <w:ind w:left="708"/>
    </w:pPr>
  </w:style>
  <w:style w:type="character" w:styleId="Hipervnculo">
    <w:name w:val="Hyperlink"/>
    <w:uiPriority w:val="99"/>
    <w:unhideWhenUsed/>
    <w:rsid w:val="00195D04"/>
    <w:rPr>
      <w:color w:val="0563C1"/>
      <w:u w:val="single"/>
    </w:rPr>
  </w:style>
  <w:style w:type="paragraph" w:customStyle="1" w:styleId="Default">
    <w:name w:val="Default"/>
    <w:rsid w:val="00C22253"/>
    <w:pPr>
      <w:autoSpaceDE w:val="0"/>
      <w:autoSpaceDN w:val="0"/>
      <w:adjustRightInd w:val="0"/>
      <w:spacing w:after="0" w:line="240" w:lineRule="auto"/>
    </w:pPr>
    <w:rPr>
      <w:rFonts w:ascii="Corbel" w:hAnsi="Corbel" w:cs="Corbel"/>
      <w:color w:val="000000"/>
      <w:sz w:val="24"/>
      <w:szCs w:val="24"/>
    </w:rPr>
  </w:style>
  <w:style w:type="paragraph" w:styleId="Sinespaciado">
    <w:name w:val="No Spacing"/>
    <w:uiPriority w:val="1"/>
    <w:qFormat/>
    <w:rsid w:val="00B9773E"/>
    <w:pPr>
      <w:spacing w:after="0" w:line="240" w:lineRule="auto"/>
    </w:pPr>
    <w:rPr>
      <w:rFonts w:ascii="Calibri" w:eastAsia="Calibri" w:hAnsi="Calibri" w:cs="Times New Roman"/>
    </w:rPr>
  </w:style>
  <w:style w:type="character" w:customStyle="1" w:styleId="apple-converted-space">
    <w:name w:val="apple-converted-space"/>
    <w:rsid w:val="00B9773E"/>
  </w:style>
  <w:style w:type="character" w:styleId="Textoennegrita">
    <w:name w:val="Strong"/>
    <w:basedOn w:val="Fuentedeprrafopredeter"/>
    <w:uiPriority w:val="22"/>
    <w:qFormat/>
    <w:rsid w:val="00B9773E"/>
    <w:rPr>
      <w:b/>
      <w:bCs/>
    </w:rPr>
  </w:style>
  <w:style w:type="paragraph" w:styleId="NormalWeb">
    <w:name w:val="Normal (Web)"/>
    <w:basedOn w:val="Normal"/>
    <w:uiPriority w:val="99"/>
    <w:unhideWhenUsed/>
    <w:rsid w:val="005C09C9"/>
    <w:pPr>
      <w:widowControl/>
      <w:autoSpaceDE/>
      <w:autoSpaceDN/>
      <w:adjustRightInd/>
      <w:spacing w:before="100" w:beforeAutospacing="1" w:after="100" w:afterAutospacing="1"/>
    </w:pPr>
    <w:rPr>
      <w:lang w:val="es-CO" w:eastAsia="es-CO"/>
    </w:rPr>
  </w:style>
  <w:style w:type="character" w:customStyle="1" w:styleId="baj">
    <w:name w:val="b_aj"/>
    <w:basedOn w:val="Fuentedeprrafopredeter"/>
    <w:rsid w:val="005C09C9"/>
  </w:style>
  <w:style w:type="paragraph" w:customStyle="1" w:styleId="western">
    <w:name w:val="western"/>
    <w:basedOn w:val="Normal"/>
    <w:rsid w:val="00727C81"/>
    <w:pPr>
      <w:widowControl/>
      <w:autoSpaceDE/>
      <w:autoSpaceDN/>
      <w:adjustRightInd/>
      <w:spacing w:before="100" w:beforeAutospacing="1" w:after="100" w:afterAutospacing="1"/>
    </w:pPr>
    <w:rPr>
      <w:lang w:val="es-CO" w:eastAsia="es-CO"/>
    </w:rPr>
  </w:style>
  <w:style w:type="paragraph" w:styleId="Piedepgina">
    <w:name w:val="footer"/>
    <w:basedOn w:val="Normal"/>
    <w:link w:val="PiedepginaCar"/>
    <w:uiPriority w:val="99"/>
    <w:unhideWhenUsed/>
    <w:rsid w:val="005F773F"/>
    <w:pPr>
      <w:tabs>
        <w:tab w:val="center" w:pos="4419"/>
        <w:tab w:val="right" w:pos="8838"/>
      </w:tabs>
    </w:pPr>
  </w:style>
  <w:style w:type="character" w:customStyle="1" w:styleId="PiedepginaCar">
    <w:name w:val="Pie de página Car"/>
    <w:basedOn w:val="Fuentedeprrafopredeter"/>
    <w:link w:val="Piedepgina"/>
    <w:uiPriority w:val="99"/>
    <w:rsid w:val="005F773F"/>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5908384">
      <w:bodyDiv w:val="1"/>
      <w:marLeft w:val="0"/>
      <w:marRight w:val="0"/>
      <w:marTop w:val="0"/>
      <w:marBottom w:val="0"/>
      <w:divBdr>
        <w:top w:val="none" w:sz="0" w:space="0" w:color="auto"/>
        <w:left w:val="none" w:sz="0" w:space="0" w:color="auto"/>
        <w:bottom w:val="none" w:sz="0" w:space="0" w:color="auto"/>
        <w:right w:val="none" w:sz="0" w:space="0" w:color="auto"/>
      </w:divBdr>
    </w:div>
    <w:div w:id="815414298">
      <w:bodyDiv w:val="1"/>
      <w:marLeft w:val="0"/>
      <w:marRight w:val="0"/>
      <w:marTop w:val="0"/>
      <w:marBottom w:val="0"/>
      <w:divBdr>
        <w:top w:val="none" w:sz="0" w:space="0" w:color="auto"/>
        <w:left w:val="none" w:sz="0" w:space="0" w:color="auto"/>
        <w:bottom w:val="none" w:sz="0" w:space="0" w:color="auto"/>
        <w:right w:val="none" w:sz="0" w:space="0" w:color="auto"/>
      </w:divBdr>
    </w:div>
    <w:div w:id="923680856">
      <w:bodyDiv w:val="1"/>
      <w:marLeft w:val="0"/>
      <w:marRight w:val="0"/>
      <w:marTop w:val="0"/>
      <w:marBottom w:val="0"/>
      <w:divBdr>
        <w:top w:val="none" w:sz="0" w:space="0" w:color="auto"/>
        <w:left w:val="none" w:sz="0" w:space="0" w:color="auto"/>
        <w:bottom w:val="none" w:sz="0" w:space="0" w:color="auto"/>
        <w:right w:val="none" w:sz="0" w:space="0" w:color="auto"/>
      </w:divBdr>
    </w:div>
    <w:div w:id="1456095736">
      <w:bodyDiv w:val="1"/>
      <w:marLeft w:val="0"/>
      <w:marRight w:val="0"/>
      <w:marTop w:val="0"/>
      <w:marBottom w:val="0"/>
      <w:divBdr>
        <w:top w:val="none" w:sz="0" w:space="0" w:color="auto"/>
        <w:left w:val="none" w:sz="0" w:space="0" w:color="auto"/>
        <w:bottom w:val="none" w:sz="0" w:space="0" w:color="auto"/>
        <w:right w:val="none" w:sz="0" w:space="0" w:color="auto"/>
      </w:divBdr>
    </w:div>
    <w:div w:id="2041083365">
      <w:bodyDiv w:val="1"/>
      <w:marLeft w:val="0"/>
      <w:marRight w:val="0"/>
      <w:marTop w:val="0"/>
      <w:marBottom w:val="0"/>
      <w:divBdr>
        <w:top w:val="none" w:sz="0" w:space="0" w:color="auto"/>
        <w:left w:val="none" w:sz="0" w:space="0" w:color="auto"/>
        <w:bottom w:val="none" w:sz="0" w:space="0" w:color="auto"/>
        <w:right w:val="none" w:sz="0" w:space="0" w:color="auto"/>
      </w:divBdr>
    </w:div>
    <w:div w:id="2146846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01tadvalle@cendoj.ramajudicial.gov.co" TargetMode="External"/><Relationship Id="rId13" Type="http://schemas.openxmlformats.org/officeDocument/2006/relationships/hyperlink" Target="mailto:s02tadvalle@cendoj.ramajudicial.gov.co"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01tadvalle@cendoj.ramajudicial.gov.co" TargetMode="External"/><Relationship Id="rId17" Type="http://schemas.openxmlformats.org/officeDocument/2006/relationships/header" Target="header1.xml"/><Relationship Id="rId2" Type="http://schemas.openxmlformats.org/officeDocument/2006/relationships/numbering" Target="numbering.xml"/><Relationship Id="rId16" Type="http://schemas.microsoft.com/office/2007/relationships/hdphoto" Target="NUL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amajudicial.gov.co"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mailto:oborjas@cendoj.ramajudicial.gov.co"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02tadvalle@cendoj.ramajudicial.gov.co" TargetMode="External"/><Relationship Id="rId14" Type="http://schemas.openxmlformats.org/officeDocument/2006/relationships/hyperlink" Target="mailto:oborjas@cendoj.ramajudicial.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C19A1-DFEB-4999-A3B9-A500DC06C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4711</Words>
  <Characters>25916</Characters>
  <Application>Microsoft Office Word</Application>
  <DocSecurity>0</DocSecurity>
  <Lines>215</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acer</cp:lastModifiedBy>
  <cp:revision>2</cp:revision>
  <dcterms:created xsi:type="dcterms:W3CDTF">2020-04-14T14:52:00Z</dcterms:created>
  <dcterms:modified xsi:type="dcterms:W3CDTF">2020-04-14T14:52:00Z</dcterms:modified>
</cp:coreProperties>
</file>