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74" w:rsidRDefault="00682A74" w:rsidP="00682A74">
      <w:pPr>
        <w:pStyle w:val="Encabezado"/>
        <w:framePr w:hSpace="142" w:wrap="auto" w:vAnchor="text" w:hAnchor="page" w:x="1806" w:y="56"/>
        <w:rPr>
          <w:rFonts w:ascii="Brush Script MT" w:hAnsi="Brush Script MT"/>
          <w:b/>
          <w:sz w:val="40"/>
        </w:rPr>
      </w:pPr>
      <w:bookmarkStart w:id="0" w:name="_GoBack"/>
      <w:bookmarkEnd w:id="0"/>
      <w:r>
        <w:rPr>
          <w:noProof/>
          <w:lang w:val="es-ES"/>
        </w:rPr>
        <w:drawing>
          <wp:inline distT="0" distB="0" distL="0" distR="0" wp14:anchorId="4D1BECF2" wp14:editId="435DEA03">
            <wp:extent cx="1079500" cy="1074420"/>
            <wp:effectExtent l="0" t="0" r="6350" b="0"/>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4256" cy="1079154"/>
                    </a:xfrm>
                    <a:prstGeom prst="rect">
                      <a:avLst/>
                    </a:prstGeom>
                    <a:noFill/>
                    <a:ln>
                      <a:noFill/>
                    </a:ln>
                  </pic:spPr>
                </pic:pic>
              </a:graphicData>
            </a:graphic>
          </wp:inline>
        </w:drawing>
      </w:r>
    </w:p>
    <w:p w:rsidR="00682A74" w:rsidRPr="00A70754" w:rsidRDefault="00682A74" w:rsidP="00682A74">
      <w:pPr>
        <w:pStyle w:val="Encabezado"/>
        <w:rPr>
          <w:sz w:val="18"/>
          <w:szCs w:val="18"/>
        </w:rPr>
      </w:pPr>
      <w:r>
        <w:tab/>
      </w:r>
      <w:r w:rsidRPr="00A70754">
        <w:rPr>
          <w:sz w:val="18"/>
          <w:szCs w:val="18"/>
        </w:rPr>
        <w:t xml:space="preserve"> </w:t>
      </w:r>
    </w:p>
    <w:p w:rsidR="00682A74" w:rsidRPr="00AF20D5" w:rsidRDefault="00682A74" w:rsidP="00682A74">
      <w:pPr>
        <w:pStyle w:val="Encabezado"/>
        <w:spacing w:line="360" w:lineRule="auto"/>
        <w:jc w:val="center"/>
        <w:rPr>
          <w:rFonts w:ascii="FrankRuehl" w:hAnsi="FrankRuehl" w:cs="FrankRuehl"/>
          <w:b/>
          <w:szCs w:val="28"/>
        </w:rPr>
      </w:pPr>
      <w:r w:rsidRPr="00AF20D5">
        <w:rPr>
          <w:rFonts w:ascii="FrankRuehl" w:hAnsi="FrankRuehl" w:cs="FrankRuehl"/>
          <w:b/>
          <w:szCs w:val="28"/>
        </w:rPr>
        <w:t>Tribunal Administrativo de Antioquia</w:t>
      </w:r>
    </w:p>
    <w:p w:rsidR="00682A74" w:rsidRPr="00AF20D5" w:rsidRDefault="00682A74" w:rsidP="00682A74">
      <w:pPr>
        <w:pStyle w:val="Encabezado"/>
        <w:spacing w:line="360" w:lineRule="auto"/>
        <w:jc w:val="center"/>
        <w:rPr>
          <w:rFonts w:ascii="Bookman Old Style" w:hAnsi="Bookman Old Style" w:cs="Century Gothic"/>
          <w:b/>
          <w:bCs/>
          <w:szCs w:val="28"/>
          <w:lang w:val="es-ES"/>
        </w:rPr>
      </w:pPr>
      <w:r w:rsidRPr="00AF20D5">
        <w:rPr>
          <w:rFonts w:ascii="FrankRuehl" w:hAnsi="FrankRuehl" w:cs="FrankRuehl"/>
          <w:b/>
          <w:szCs w:val="28"/>
        </w:rPr>
        <w:t>Sala Plena De Oralidad</w:t>
      </w:r>
    </w:p>
    <w:p w:rsidR="00682A74" w:rsidRPr="00AF20D5" w:rsidRDefault="00682A74" w:rsidP="00682A74">
      <w:pPr>
        <w:pStyle w:val="Encabezado"/>
        <w:spacing w:line="360" w:lineRule="auto"/>
        <w:jc w:val="center"/>
        <w:rPr>
          <w:rFonts w:ascii="Bookman Old Style" w:hAnsi="Bookman Old Style" w:cs="Century Gothic"/>
          <w:b/>
          <w:bCs/>
          <w:szCs w:val="28"/>
          <w:lang w:val="es-ES"/>
        </w:rPr>
      </w:pPr>
      <w:r w:rsidRPr="00AF20D5">
        <w:rPr>
          <w:rFonts w:ascii="FrankRuehl" w:hAnsi="FrankRuehl" w:cs="FrankRuehl"/>
          <w:b/>
          <w:szCs w:val="28"/>
        </w:rPr>
        <w:t xml:space="preserve">Magistrado Ponente: Rafael Darío Restrepo Quijano </w:t>
      </w:r>
    </w:p>
    <w:p w:rsidR="00682A74" w:rsidRDefault="00682A74" w:rsidP="00682A74">
      <w:pPr>
        <w:suppressAutoHyphens/>
        <w:spacing w:line="480" w:lineRule="auto"/>
        <w:jc w:val="both"/>
        <w:rPr>
          <w:rFonts w:ascii="Arial" w:hAnsi="Arial" w:cs="Arial"/>
          <w:spacing w:val="-3"/>
          <w:szCs w:val="24"/>
          <w:lang w:val="es-CO"/>
        </w:rPr>
      </w:pPr>
    </w:p>
    <w:p w:rsidR="00682A74" w:rsidRPr="009E4F21" w:rsidRDefault="00682A74" w:rsidP="00682A74">
      <w:pPr>
        <w:jc w:val="both"/>
        <w:rPr>
          <w:rFonts w:ascii="Bookman Old Style" w:hAnsi="Bookman Old Style" w:cs="Arial"/>
          <w:b/>
          <w:sz w:val="24"/>
          <w:szCs w:val="24"/>
        </w:rPr>
      </w:pPr>
      <w:r w:rsidRPr="009E4F21">
        <w:rPr>
          <w:rFonts w:ascii="Bookman Old Style" w:hAnsi="Bookman Old Style" w:cs="Arial"/>
          <w:b/>
          <w:sz w:val="24"/>
          <w:szCs w:val="24"/>
        </w:rPr>
        <w:t xml:space="preserve">Medellín, </w:t>
      </w:r>
      <w:r w:rsidR="00786879">
        <w:rPr>
          <w:rFonts w:ascii="Bookman Old Style" w:hAnsi="Bookman Old Style" w:cs="Arial"/>
          <w:b/>
          <w:sz w:val="24"/>
          <w:szCs w:val="24"/>
        </w:rPr>
        <w:t>quince (15) de mayo</w:t>
      </w:r>
      <w:r w:rsidRPr="009E4F21">
        <w:rPr>
          <w:rFonts w:ascii="Bookman Old Style" w:hAnsi="Bookman Old Style" w:cs="Arial"/>
          <w:b/>
          <w:sz w:val="24"/>
          <w:szCs w:val="24"/>
        </w:rPr>
        <w:t xml:space="preserve"> de dos mil veinte (2020)</w:t>
      </w:r>
    </w:p>
    <w:p w:rsidR="00682A74" w:rsidRDefault="00682A74" w:rsidP="00682A74">
      <w:pPr>
        <w:spacing w:line="360" w:lineRule="auto"/>
        <w:jc w:val="both"/>
        <w:rPr>
          <w:rFonts w:ascii="Bookman Old Style" w:hAnsi="Bookman Old Style" w:cs="Arial"/>
          <w:b/>
          <w:sz w:val="24"/>
          <w:szCs w:val="24"/>
        </w:rPr>
      </w:pPr>
    </w:p>
    <w:p w:rsidR="00682A74" w:rsidRPr="00EC477B" w:rsidRDefault="00682A74" w:rsidP="00682A74">
      <w:pPr>
        <w:spacing w:line="360" w:lineRule="auto"/>
        <w:jc w:val="both"/>
        <w:rPr>
          <w:rFonts w:ascii="Bookman Old Style" w:hAnsi="Bookman Old Style" w:cs="Arial"/>
          <w:b/>
          <w:sz w:val="22"/>
          <w:szCs w:val="22"/>
        </w:rPr>
      </w:pPr>
      <w:r w:rsidRPr="00EC477B">
        <w:rPr>
          <w:rFonts w:ascii="Bookman Old Style" w:hAnsi="Bookman Old Style" w:cs="Arial"/>
          <w:b/>
          <w:sz w:val="22"/>
          <w:szCs w:val="22"/>
        </w:rPr>
        <w:t xml:space="preserve">REFERENCIA: </w:t>
      </w:r>
      <w:r w:rsidRPr="00EC477B">
        <w:rPr>
          <w:rFonts w:ascii="Bookman Old Style" w:hAnsi="Bookman Old Style" w:cs="Arial"/>
          <w:b/>
          <w:sz w:val="22"/>
          <w:szCs w:val="22"/>
        </w:rPr>
        <w:tab/>
        <w:t>CONSULTA INCIDENTE DE DESACATO</w:t>
      </w:r>
    </w:p>
    <w:p w:rsidR="00682A74" w:rsidRPr="00EC477B" w:rsidRDefault="00682A74" w:rsidP="00682A74">
      <w:pPr>
        <w:spacing w:line="360" w:lineRule="auto"/>
        <w:ind w:left="2124" w:hanging="2124"/>
        <w:jc w:val="both"/>
        <w:rPr>
          <w:rFonts w:ascii="Bookman Old Style" w:hAnsi="Bookman Old Style" w:cs="Arial"/>
          <w:b/>
          <w:sz w:val="22"/>
          <w:szCs w:val="22"/>
        </w:rPr>
      </w:pPr>
      <w:r w:rsidRPr="00EC477B">
        <w:rPr>
          <w:rFonts w:ascii="Bookman Old Style" w:hAnsi="Bookman Old Style" w:cs="Arial"/>
          <w:b/>
          <w:sz w:val="22"/>
          <w:szCs w:val="22"/>
        </w:rPr>
        <w:t>DEMANDANTE:</w:t>
      </w:r>
      <w:r w:rsidRPr="00EC477B">
        <w:rPr>
          <w:rFonts w:ascii="Bookman Old Style" w:hAnsi="Bookman Old Style" w:cs="Arial"/>
          <w:b/>
          <w:sz w:val="22"/>
          <w:szCs w:val="22"/>
        </w:rPr>
        <w:tab/>
      </w:r>
      <w:r>
        <w:rPr>
          <w:rFonts w:ascii="Bookman Old Style" w:hAnsi="Bookman Old Style" w:cs="Arial"/>
          <w:b/>
          <w:sz w:val="22"/>
          <w:szCs w:val="22"/>
        </w:rPr>
        <w:t>FERNANDO DE JESÚS HERNÁNDEZ GARCÍA</w:t>
      </w:r>
    </w:p>
    <w:p w:rsidR="00682A74" w:rsidRPr="00EC477B" w:rsidRDefault="00682A74" w:rsidP="00682A74">
      <w:pPr>
        <w:tabs>
          <w:tab w:val="left" w:pos="-720"/>
        </w:tabs>
        <w:suppressAutoHyphens/>
        <w:spacing w:line="360" w:lineRule="auto"/>
        <w:ind w:left="2124" w:hanging="2124"/>
        <w:jc w:val="both"/>
        <w:rPr>
          <w:rFonts w:ascii="Bookman Old Style" w:hAnsi="Bookman Old Style" w:cs="Arial"/>
          <w:b/>
          <w:spacing w:val="-3"/>
          <w:sz w:val="22"/>
          <w:szCs w:val="22"/>
        </w:rPr>
      </w:pPr>
      <w:r w:rsidRPr="00EC477B">
        <w:rPr>
          <w:rFonts w:ascii="Bookman Old Style" w:hAnsi="Bookman Old Style" w:cs="Arial"/>
          <w:b/>
          <w:spacing w:val="-3"/>
          <w:sz w:val="22"/>
          <w:szCs w:val="22"/>
        </w:rPr>
        <w:t>DEMANDADO:</w:t>
      </w:r>
      <w:r w:rsidRPr="00EC477B">
        <w:rPr>
          <w:rFonts w:ascii="Bookman Old Style" w:hAnsi="Bookman Old Style" w:cs="Arial"/>
          <w:b/>
          <w:spacing w:val="-3"/>
          <w:sz w:val="22"/>
          <w:szCs w:val="22"/>
        </w:rPr>
        <w:tab/>
      </w:r>
      <w:r w:rsidRPr="004974E3">
        <w:rPr>
          <w:rFonts w:ascii="Bookman Old Style" w:hAnsi="Bookman Old Style" w:cs="Arial"/>
          <w:b/>
          <w:sz w:val="22"/>
          <w:szCs w:val="22"/>
        </w:rPr>
        <w:t>UNIDAD ADMINISTRATIVA ESPECIAL PARA LA ATENCIÓN</w:t>
      </w:r>
      <w:r w:rsidRPr="004974E3">
        <w:rPr>
          <w:rFonts w:ascii="Bookman Old Style" w:hAnsi="Bookman Old Style" w:cs="Arial"/>
          <w:b/>
          <w:spacing w:val="-4"/>
          <w:sz w:val="22"/>
          <w:szCs w:val="22"/>
        </w:rPr>
        <w:t xml:space="preserve"> Y REPARACIÓN INTEGRAL A LAS VÍCTIMAS</w:t>
      </w:r>
      <w:r w:rsidRPr="00EC477B">
        <w:rPr>
          <w:rFonts w:ascii="Bookman Old Style" w:hAnsi="Bookman Old Style" w:cs="Arial"/>
          <w:b/>
          <w:spacing w:val="-3"/>
          <w:sz w:val="22"/>
          <w:szCs w:val="22"/>
        </w:rPr>
        <w:t xml:space="preserve"> </w:t>
      </w:r>
    </w:p>
    <w:p w:rsidR="00682A74" w:rsidRPr="00EC477B" w:rsidRDefault="00682A74" w:rsidP="00682A74">
      <w:pPr>
        <w:spacing w:line="360" w:lineRule="auto"/>
        <w:jc w:val="both"/>
        <w:rPr>
          <w:rFonts w:ascii="Bookman Old Style" w:hAnsi="Bookman Old Style" w:cs="Arial"/>
          <w:b/>
          <w:sz w:val="22"/>
          <w:szCs w:val="22"/>
        </w:rPr>
      </w:pPr>
      <w:r w:rsidRPr="00EC477B">
        <w:rPr>
          <w:rFonts w:ascii="Bookman Old Style" w:hAnsi="Bookman Old Style" w:cs="Arial"/>
          <w:b/>
          <w:spacing w:val="-3"/>
          <w:sz w:val="22"/>
          <w:szCs w:val="22"/>
        </w:rPr>
        <w:t xml:space="preserve">RADICADO: </w:t>
      </w:r>
      <w:r w:rsidRPr="00EC477B">
        <w:rPr>
          <w:rFonts w:ascii="Bookman Old Style" w:hAnsi="Bookman Old Style" w:cs="Arial"/>
          <w:b/>
          <w:spacing w:val="-3"/>
          <w:sz w:val="22"/>
          <w:szCs w:val="22"/>
        </w:rPr>
        <w:tab/>
      </w:r>
      <w:r>
        <w:rPr>
          <w:rFonts w:ascii="Bookman Old Style" w:hAnsi="Bookman Old Style" w:cs="Arial"/>
          <w:b/>
          <w:spacing w:val="-3"/>
          <w:sz w:val="22"/>
          <w:szCs w:val="22"/>
        </w:rPr>
        <w:tab/>
        <w:t>05001-33-33</w:t>
      </w:r>
      <w:r w:rsidRPr="00EC477B">
        <w:rPr>
          <w:rFonts w:ascii="Bookman Old Style" w:hAnsi="Bookman Old Style" w:cs="Arial"/>
          <w:b/>
          <w:spacing w:val="-3"/>
          <w:sz w:val="22"/>
          <w:szCs w:val="22"/>
        </w:rPr>
        <w:t>-0</w:t>
      </w:r>
      <w:r>
        <w:rPr>
          <w:rFonts w:ascii="Bookman Old Style" w:hAnsi="Bookman Old Style" w:cs="Arial"/>
          <w:b/>
          <w:spacing w:val="-3"/>
          <w:sz w:val="22"/>
          <w:szCs w:val="22"/>
        </w:rPr>
        <w:t>16-2020-00036</w:t>
      </w:r>
      <w:r w:rsidRPr="00EC477B">
        <w:rPr>
          <w:rFonts w:ascii="Bookman Old Style" w:hAnsi="Bookman Old Style" w:cs="Arial"/>
          <w:b/>
          <w:spacing w:val="-3"/>
          <w:sz w:val="22"/>
          <w:szCs w:val="22"/>
        </w:rPr>
        <w:t>-0</w:t>
      </w:r>
      <w:r w:rsidR="00786879">
        <w:rPr>
          <w:rFonts w:ascii="Bookman Old Style" w:hAnsi="Bookman Old Style" w:cs="Arial"/>
          <w:b/>
          <w:spacing w:val="-3"/>
          <w:sz w:val="22"/>
          <w:szCs w:val="22"/>
        </w:rPr>
        <w:t>2</w:t>
      </w:r>
    </w:p>
    <w:p w:rsidR="00682A74" w:rsidRPr="00EC477B" w:rsidRDefault="00682A74" w:rsidP="00682A74">
      <w:pPr>
        <w:spacing w:line="360" w:lineRule="auto"/>
        <w:ind w:left="2124" w:hanging="2124"/>
        <w:jc w:val="both"/>
        <w:rPr>
          <w:rFonts w:ascii="Bookman Old Style" w:hAnsi="Bookman Old Style" w:cs="Arial"/>
          <w:sz w:val="22"/>
          <w:szCs w:val="22"/>
        </w:rPr>
      </w:pPr>
      <w:r w:rsidRPr="00EC477B">
        <w:rPr>
          <w:rFonts w:ascii="Bookman Old Style" w:hAnsi="Bookman Old Style" w:cs="Arial"/>
          <w:b/>
          <w:sz w:val="22"/>
          <w:szCs w:val="22"/>
        </w:rPr>
        <w:t>PROCEDENCIA:</w:t>
      </w:r>
      <w:r w:rsidRPr="00EC477B">
        <w:rPr>
          <w:rFonts w:ascii="Bookman Old Style" w:hAnsi="Bookman Old Style" w:cs="Arial"/>
          <w:b/>
          <w:sz w:val="22"/>
          <w:szCs w:val="22"/>
        </w:rPr>
        <w:tab/>
      </w:r>
      <w:r>
        <w:rPr>
          <w:rFonts w:ascii="Bookman Old Style" w:hAnsi="Bookman Old Style" w:cs="Arial"/>
          <w:sz w:val="22"/>
          <w:szCs w:val="22"/>
        </w:rPr>
        <w:t xml:space="preserve">Juzgado Dieciséis </w:t>
      </w:r>
      <w:r w:rsidRPr="00EC477B">
        <w:rPr>
          <w:rFonts w:ascii="Bookman Old Style" w:hAnsi="Bookman Old Style" w:cs="Arial"/>
          <w:sz w:val="22"/>
          <w:szCs w:val="22"/>
        </w:rPr>
        <w:t>Administrativo</w:t>
      </w:r>
      <w:r>
        <w:rPr>
          <w:rFonts w:ascii="Bookman Old Style" w:hAnsi="Bookman Old Style" w:cs="Arial"/>
          <w:sz w:val="22"/>
          <w:szCs w:val="22"/>
        </w:rPr>
        <w:t xml:space="preserve"> Oral</w:t>
      </w:r>
      <w:r w:rsidRPr="00EC477B">
        <w:rPr>
          <w:rFonts w:ascii="Bookman Old Style" w:hAnsi="Bookman Old Style" w:cs="Arial"/>
          <w:sz w:val="22"/>
          <w:szCs w:val="22"/>
        </w:rPr>
        <w:t xml:space="preserve"> del Circuito de Medellín</w:t>
      </w:r>
    </w:p>
    <w:p w:rsidR="00682A74" w:rsidRPr="00EC477B" w:rsidRDefault="00682A74" w:rsidP="00682A74">
      <w:pPr>
        <w:spacing w:line="276" w:lineRule="auto"/>
        <w:jc w:val="both"/>
        <w:rPr>
          <w:rFonts w:ascii="Bookman Old Style" w:hAnsi="Bookman Old Style" w:cs="Arial"/>
          <w:sz w:val="22"/>
          <w:szCs w:val="22"/>
        </w:rPr>
      </w:pPr>
    </w:p>
    <w:p w:rsidR="00682A74" w:rsidRPr="00A76282" w:rsidRDefault="00682A74" w:rsidP="00682A74">
      <w:pPr>
        <w:jc w:val="both"/>
        <w:rPr>
          <w:rFonts w:ascii="Bookman Old Style" w:hAnsi="Bookman Old Style" w:cs="Arial"/>
          <w:b/>
          <w:sz w:val="22"/>
          <w:szCs w:val="22"/>
          <w:u w:val="single"/>
        </w:rPr>
      </w:pPr>
      <w:r w:rsidRPr="00EC477B">
        <w:rPr>
          <w:rFonts w:ascii="Bookman Old Style" w:hAnsi="Bookman Old Style" w:cs="Arial"/>
          <w:b/>
          <w:sz w:val="22"/>
          <w:szCs w:val="22"/>
        </w:rPr>
        <w:t>INTERLOCUTORIO No.</w:t>
      </w:r>
      <w:r>
        <w:rPr>
          <w:rFonts w:ascii="Bookman Old Style" w:hAnsi="Bookman Old Style" w:cs="Arial"/>
          <w:b/>
          <w:sz w:val="22"/>
          <w:szCs w:val="22"/>
        </w:rPr>
        <w:t xml:space="preserve"> </w:t>
      </w:r>
      <w:r w:rsidR="00A76282">
        <w:rPr>
          <w:rFonts w:ascii="Bookman Old Style" w:hAnsi="Bookman Old Style" w:cs="Arial"/>
          <w:b/>
          <w:sz w:val="22"/>
          <w:szCs w:val="22"/>
          <w:u w:val="single"/>
        </w:rPr>
        <w:t>134</w:t>
      </w:r>
    </w:p>
    <w:p w:rsidR="00682A74" w:rsidRPr="00EC477B" w:rsidRDefault="00682A74" w:rsidP="00682A74">
      <w:pPr>
        <w:spacing w:line="432" w:lineRule="auto"/>
        <w:jc w:val="both"/>
        <w:rPr>
          <w:rFonts w:ascii="Bookman Old Style" w:hAnsi="Bookman Old Style" w:cs="Arial"/>
          <w:b/>
          <w:sz w:val="22"/>
          <w:szCs w:val="22"/>
        </w:rPr>
      </w:pPr>
    </w:p>
    <w:p w:rsidR="00682A74" w:rsidRPr="00EC477B" w:rsidRDefault="00682A74" w:rsidP="00682A74">
      <w:pPr>
        <w:pBdr>
          <w:top w:val="single" w:sz="4" w:space="1" w:color="auto"/>
          <w:left w:val="single" w:sz="4" w:space="4" w:color="auto"/>
          <w:bottom w:val="single" w:sz="4" w:space="1" w:color="auto"/>
          <w:right w:val="single" w:sz="4" w:space="4" w:color="auto"/>
        </w:pBdr>
        <w:jc w:val="both"/>
        <w:rPr>
          <w:rFonts w:ascii="Bookman Old Style" w:hAnsi="Bookman Old Style" w:cs="Arial"/>
          <w:i/>
          <w:sz w:val="22"/>
          <w:szCs w:val="22"/>
        </w:rPr>
      </w:pPr>
      <w:r w:rsidRPr="00EC477B">
        <w:rPr>
          <w:rFonts w:ascii="Bookman Old Style" w:hAnsi="Bookman Old Style" w:cs="Arial"/>
          <w:b/>
          <w:i/>
          <w:sz w:val="22"/>
          <w:szCs w:val="22"/>
        </w:rPr>
        <w:t xml:space="preserve">ASUNTO: </w:t>
      </w:r>
      <w:r w:rsidRPr="00E818AB">
        <w:rPr>
          <w:rFonts w:ascii="Bookman Old Style" w:hAnsi="Bookman Old Style" w:cs="Arial"/>
          <w:i/>
          <w:sz w:val="22"/>
          <w:szCs w:val="22"/>
        </w:rPr>
        <w:t>Resuelve consulta sobre incidente de desacato.</w:t>
      </w:r>
      <w:r w:rsidR="00786879">
        <w:rPr>
          <w:rFonts w:ascii="Bookman Old Style" w:hAnsi="Bookman Old Style" w:cs="Arial"/>
          <w:i/>
          <w:sz w:val="22"/>
          <w:szCs w:val="22"/>
        </w:rPr>
        <w:t xml:space="preserve"> Confirma</w:t>
      </w:r>
      <w:r w:rsidRPr="00E818AB">
        <w:rPr>
          <w:rFonts w:ascii="Bookman Old Style" w:hAnsi="Bookman Old Style" w:cs="Arial"/>
          <w:i/>
          <w:sz w:val="22"/>
          <w:szCs w:val="22"/>
        </w:rPr>
        <w:t xml:space="preserve"> decisión de primera instancia</w:t>
      </w:r>
      <w:r>
        <w:rPr>
          <w:rFonts w:ascii="Bookman Old Style" w:hAnsi="Bookman Old Style" w:cs="Arial"/>
          <w:i/>
          <w:sz w:val="22"/>
          <w:szCs w:val="22"/>
        </w:rPr>
        <w:t>.</w:t>
      </w:r>
    </w:p>
    <w:p w:rsidR="00682A74" w:rsidRPr="00962291" w:rsidRDefault="00682A74" w:rsidP="00682A74">
      <w:pPr>
        <w:pStyle w:val="Sangra2detindependiente1"/>
        <w:spacing w:line="432" w:lineRule="auto"/>
        <w:ind w:firstLine="0"/>
        <w:rPr>
          <w:rFonts w:ascii="Bookman Old Style" w:hAnsi="Bookman Old Style" w:cs="Arial"/>
          <w:b/>
          <w:szCs w:val="24"/>
        </w:rPr>
      </w:pPr>
    </w:p>
    <w:p w:rsidR="00682A74" w:rsidRDefault="00682A74" w:rsidP="00682A74">
      <w:pPr>
        <w:pStyle w:val="Sangra2detindependiente1"/>
        <w:ind w:firstLine="0"/>
        <w:rPr>
          <w:rFonts w:ascii="Bookman Old Style" w:hAnsi="Bookman Old Style" w:cs="Arial"/>
          <w:szCs w:val="24"/>
        </w:rPr>
      </w:pPr>
      <w:r w:rsidRPr="00962291">
        <w:rPr>
          <w:rFonts w:ascii="Bookman Old Style" w:hAnsi="Bookman Old Style" w:cs="Arial"/>
          <w:szCs w:val="24"/>
        </w:rPr>
        <w:t>En virtud de lo dispuesto en el artículo 52 del Decreto 2591 de 1991, la Sala</w:t>
      </w:r>
      <w:r>
        <w:rPr>
          <w:rFonts w:ascii="Bookman Old Style" w:hAnsi="Bookman Old Style" w:cs="Arial"/>
          <w:szCs w:val="24"/>
        </w:rPr>
        <w:t xml:space="preserve"> procede a revisar,</w:t>
      </w:r>
      <w:r w:rsidRPr="00962291">
        <w:rPr>
          <w:rFonts w:ascii="Bookman Old Style" w:hAnsi="Bookman Old Style" w:cs="Arial"/>
          <w:szCs w:val="24"/>
        </w:rPr>
        <w:t xml:space="preserve"> en grado jurisdiccional d</w:t>
      </w:r>
      <w:r>
        <w:rPr>
          <w:rFonts w:ascii="Bookman Old Style" w:hAnsi="Bookman Old Style" w:cs="Arial"/>
          <w:szCs w:val="24"/>
        </w:rPr>
        <w:t xml:space="preserve">e consulta, la providencia del </w:t>
      </w:r>
      <w:r w:rsidR="00786879">
        <w:rPr>
          <w:rFonts w:ascii="Bookman Old Style" w:hAnsi="Bookman Old Style" w:cs="Arial"/>
          <w:szCs w:val="24"/>
        </w:rPr>
        <w:t>05 de mayo</w:t>
      </w:r>
      <w:r>
        <w:rPr>
          <w:rFonts w:ascii="Bookman Old Style" w:hAnsi="Bookman Old Style" w:cs="Arial"/>
          <w:szCs w:val="24"/>
        </w:rPr>
        <w:t xml:space="preserve"> de 2020</w:t>
      </w:r>
      <w:r w:rsidRPr="00962291">
        <w:rPr>
          <w:rFonts w:ascii="Bookman Old Style" w:hAnsi="Bookman Old Style" w:cs="Arial"/>
          <w:szCs w:val="24"/>
        </w:rPr>
        <w:t xml:space="preserve">, proferida por el </w:t>
      </w:r>
      <w:r>
        <w:rPr>
          <w:rFonts w:ascii="Bookman Old Style" w:hAnsi="Bookman Old Style" w:cs="Arial"/>
          <w:szCs w:val="24"/>
        </w:rPr>
        <w:t xml:space="preserve">Juzgado Dieciséis </w:t>
      </w:r>
      <w:r w:rsidRPr="00962291">
        <w:rPr>
          <w:rFonts w:ascii="Bookman Old Style" w:hAnsi="Bookman Old Style" w:cs="Arial"/>
          <w:szCs w:val="24"/>
        </w:rPr>
        <w:t xml:space="preserve">Administrativo </w:t>
      </w:r>
      <w:r>
        <w:rPr>
          <w:rFonts w:ascii="Bookman Old Style" w:hAnsi="Bookman Old Style" w:cs="Arial"/>
          <w:szCs w:val="24"/>
        </w:rPr>
        <w:t xml:space="preserve">Oral </w:t>
      </w:r>
      <w:r w:rsidRPr="00962291">
        <w:rPr>
          <w:rFonts w:ascii="Bookman Old Style" w:hAnsi="Bookman Old Style" w:cs="Arial"/>
          <w:szCs w:val="24"/>
        </w:rPr>
        <w:t xml:space="preserve">del Circuito de Medellín, mediante la cual </w:t>
      </w:r>
      <w:r>
        <w:rPr>
          <w:rFonts w:ascii="Bookman Old Style" w:hAnsi="Bookman Old Style" w:cs="Arial"/>
          <w:szCs w:val="24"/>
        </w:rPr>
        <w:t xml:space="preserve">se </w:t>
      </w:r>
      <w:r w:rsidRPr="00962291">
        <w:rPr>
          <w:rFonts w:ascii="Bookman Old Style" w:hAnsi="Bookman Old Style" w:cs="Arial"/>
          <w:szCs w:val="24"/>
        </w:rPr>
        <w:t xml:space="preserve">resolvió estimar la solicitud de desacato </w:t>
      </w:r>
      <w:r>
        <w:rPr>
          <w:rFonts w:ascii="Bookman Old Style" w:hAnsi="Bookman Old Style" w:cs="Arial"/>
          <w:szCs w:val="24"/>
        </w:rPr>
        <w:t xml:space="preserve">presentada por Fernando de Jesús Hernández García </w:t>
      </w:r>
      <w:r w:rsidRPr="00962291">
        <w:rPr>
          <w:rFonts w:ascii="Bookman Old Style" w:hAnsi="Bookman Old Style" w:cs="Arial"/>
          <w:szCs w:val="24"/>
        </w:rPr>
        <w:t>y como consecue</w:t>
      </w:r>
      <w:r>
        <w:rPr>
          <w:rFonts w:ascii="Bookman Old Style" w:hAnsi="Bookman Old Style" w:cs="Arial"/>
          <w:szCs w:val="24"/>
        </w:rPr>
        <w:t>ncia, sancionar con multa de dos (2) salarios mínimos legales mensuales vigentes al señor Ramón Alberto Rodríguez Andrade, Director General</w:t>
      </w:r>
      <w:r>
        <w:rPr>
          <w:rFonts w:ascii="Bookman Old Style" w:hAnsi="Bookman Old Style" w:cs="Arial"/>
          <w:spacing w:val="-2"/>
          <w:szCs w:val="24"/>
        </w:rPr>
        <w:t xml:space="preserve"> </w:t>
      </w:r>
      <w:r>
        <w:rPr>
          <w:rFonts w:ascii="Bookman Old Style" w:hAnsi="Bookman Old Style" w:cs="Arial"/>
          <w:szCs w:val="24"/>
        </w:rPr>
        <w:t xml:space="preserve">de la Unidad Administrativa </w:t>
      </w:r>
      <w:r w:rsidRPr="002A51C4">
        <w:rPr>
          <w:rFonts w:ascii="Bookman Old Style" w:hAnsi="Bookman Old Style" w:cs="Arial"/>
          <w:spacing w:val="-2"/>
          <w:szCs w:val="24"/>
        </w:rPr>
        <w:t>Especial para la Atención y Reparación Integral a las Víctimas –UARIV-,</w:t>
      </w:r>
      <w:r>
        <w:rPr>
          <w:rFonts w:ascii="Bookman Old Style" w:hAnsi="Bookman Old Style" w:cs="Arial"/>
          <w:szCs w:val="24"/>
        </w:rPr>
        <w:t xml:space="preserve"> por el incumplimiento al</w:t>
      </w:r>
      <w:r w:rsidRPr="00962291">
        <w:rPr>
          <w:rFonts w:ascii="Bookman Old Style" w:hAnsi="Bookman Old Style" w:cs="Arial"/>
          <w:szCs w:val="24"/>
        </w:rPr>
        <w:t xml:space="preserve"> fallo de tutela proferido</w:t>
      </w:r>
      <w:r>
        <w:rPr>
          <w:rFonts w:ascii="Bookman Old Style" w:hAnsi="Bookman Old Style" w:cs="Arial"/>
          <w:szCs w:val="24"/>
        </w:rPr>
        <w:t xml:space="preserve"> el 14 de febrero de 2020.  </w:t>
      </w:r>
    </w:p>
    <w:p w:rsidR="00682A74" w:rsidRDefault="00682A74" w:rsidP="00682A74">
      <w:pPr>
        <w:pStyle w:val="Sangra2detindependiente1"/>
        <w:ind w:firstLine="0"/>
        <w:rPr>
          <w:rFonts w:ascii="Bookman Old Style" w:hAnsi="Bookman Old Style" w:cs="Arial"/>
          <w:szCs w:val="24"/>
        </w:rPr>
      </w:pPr>
    </w:p>
    <w:p w:rsidR="00682A74" w:rsidRDefault="00682A74" w:rsidP="00682A74">
      <w:pPr>
        <w:spacing w:line="360" w:lineRule="auto"/>
        <w:jc w:val="center"/>
        <w:rPr>
          <w:rFonts w:ascii="Bookman Old Style" w:hAnsi="Bookman Old Style" w:cs="Arial"/>
          <w:b/>
          <w:sz w:val="24"/>
          <w:szCs w:val="24"/>
        </w:rPr>
      </w:pPr>
      <w:r w:rsidRPr="00962291">
        <w:rPr>
          <w:rFonts w:ascii="Bookman Old Style" w:hAnsi="Bookman Old Style" w:cs="Arial"/>
          <w:b/>
          <w:sz w:val="24"/>
          <w:szCs w:val="24"/>
        </w:rPr>
        <w:t>ANTECEDENTES</w:t>
      </w:r>
    </w:p>
    <w:p w:rsidR="00682A74" w:rsidRPr="00575D34" w:rsidRDefault="00682A74" w:rsidP="00682A74">
      <w:pPr>
        <w:ind w:firstLine="709"/>
        <w:jc w:val="center"/>
        <w:rPr>
          <w:rFonts w:ascii="Bookman Old Style" w:hAnsi="Bookman Old Style" w:cs="Arial"/>
          <w:b/>
          <w:sz w:val="24"/>
          <w:szCs w:val="24"/>
        </w:rPr>
      </w:pPr>
    </w:p>
    <w:p w:rsidR="00682A74" w:rsidRDefault="00682A74" w:rsidP="00682A74">
      <w:pPr>
        <w:spacing w:line="360" w:lineRule="auto"/>
        <w:jc w:val="both"/>
        <w:rPr>
          <w:rFonts w:ascii="Bookman Old Style" w:hAnsi="Bookman Old Style" w:cs="Arial"/>
          <w:sz w:val="24"/>
          <w:szCs w:val="24"/>
        </w:rPr>
      </w:pPr>
      <w:r>
        <w:rPr>
          <w:rFonts w:ascii="Bookman Old Style" w:hAnsi="Bookman Old Style" w:cs="Arial"/>
          <w:sz w:val="24"/>
          <w:szCs w:val="24"/>
        </w:rPr>
        <w:t>Fernando de Jesús Hernández García</w:t>
      </w:r>
      <w:r w:rsidRPr="00F1661D">
        <w:rPr>
          <w:rFonts w:ascii="Bookman Old Style" w:hAnsi="Bookman Old Style" w:cs="Arial"/>
          <w:sz w:val="24"/>
          <w:szCs w:val="24"/>
        </w:rPr>
        <w:t>,</w:t>
      </w:r>
      <w:r>
        <w:rPr>
          <w:rFonts w:ascii="Bookman Old Style" w:hAnsi="Bookman Old Style" w:cs="Arial"/>
          <w:sz w:val="24"/>
          <w:szCs w:val="24"/>
        </w:rPr>
        <w:t xml:space="preserve"> </w:t>
      </w:r>
      <w:r w:rsidRPr="00FC6B69">
        <w:rPr>
          <w:rFonts w:ascii="Bookman Old Style" w:hAnsi="Bookman Old Style" w:cs="Arial"/>
          <w:sz w:val="24"/>
          <w:szCs w:val="24"/>
        </w:rPr>
        <w:t xml:space="preserve">presentó acción de tutela en contra de la Unidad </w:t>
      </w:r>
      <w:r>
        <w:rPr>
          <w:rFonts w:ascii="Bookman Old Style" w:hAnsi="Bookman Old Style" w:cs="Arial"/>
          <w:sz w:val="24"/>
          <w:szCs w:val="24"/>
        </w:rPr>
        <w:t xml:space="preserve">Administrativa Especial para </w:t>
      </w:r>
      <w:r w:rsidRPr="00FC6B69">
        <w:rPr>
          <w:rFonts w:ascii="Bookman Old Style" w:hAnsi="Bookman Old Style" w:cs="Arial"/>
          <w:sz w:val="24"/>
          <w:szCs w:val="24"/>
        </w:rPr>
        <w:t>la Atención y Reparación Integral a las Víctimas con</w:t>
      </w:r>
      <w:r>
        <w:rPr>
          <w:rFonts w:ascii="Bookman Old Style" w:hAnsi="Bookman Old Style" w:cs="Arial"/>
          <w:sz w:val="24"/>
          <w:szCs w:val="24"/>
        </w:rPr>
        <w:t xml:space="preserve"> el fin de que le fuera</w:t>
      </w:r>
      <w:r w:rsidRPr="00FC6B69">
        <w:rPr>
          <w:rFonts w:ascii="Bookman Old Style" w:hAnsi="Bookman Old Style" w:cs="Arial"/>
          <w:sz w:val="24"/>
          <w:szCs w:val="24"/>
        </w:rPr>
        <w:t xml:space="preserve"> </w:t>
      </w:r>
      <w:r>
        <w:rPr>
          <w:rFonts w:ascii="Bookman Old Style" w:hAnsi="Bookman Old Style" w:cs="Arial"/>
          <w:sz w:val="24"/>
          <w:szCs w:val="24"/>
        </w:rPr>
        <w:t>amparado su derecho fundamental de petición.</w:t>
      </w:r>
    </w:p>
    <w:p w:rsidR="00682A74" w:rsidRDefault="00682A74" w:rsidP="00682A74">
      <w:pPr>
        <w:jc w:val="both"/>
        <w:rPr>
          <w:rFonts w:ascii="Bookman Old Style" w:hAnsi="Bookman Old Style" w:cs="Arial"/>
          <w:sz w:val="24"/>
          <w:szCs w:val="24"/>
        </w:rPr>
      </w:pPr>
    </w:p>
    <w:p w:rsidR="00682A74" w:rsidRPr="000229D1" w:rsidRDefault="00682A74" w:rsidP="00682A74">
      <w:pPr>
        <w:pStyle w:val="Default"/>
        <w:spacing w:line="360" w:lineRule="auto"/>
        <w:jc w:val="both"/>
        <w:rPr>
          <w:rFonts w:ascii="Bookman Old Style" w:hAnsi="Bookman Old Style" w:cs="Arial"/>
          <w:sz w:val="22"/>
          <w:szCs w:val="22"/>
        </w:rPr>
      </w:pPr>
      <w:r w:rsidRPr="000229D1">
        <w:rPr>
          <w:rFonts w:ascii="Bookman Old Style" w:hAnsi="Bookman Old Style" w:cs="Arial"/>
        </w:rPr>
        <w:t>La tutela, amparando el derecho fundamental invocado por el peticionario, fue concedida por el Juzgado Dieciséis Administrativo Oral del Circuito de Medellín, mediante fallo proferido el 14 de febrero de 2020, en el que se ordenó a la Unidad Administrativa Especial para la Atención y Reparación Integral a las Víctimas:</w:t>
      </w:r>
      <w:r w:rsidRPr="000229D1">
        <w:rPr>
          <w:rFonts w:ascii="Bookman Old Style" w:hAnsi="Bookman Old Style" w:cs="Arial"/>
          <w:i/>
          <w:sz w:val="22"/>
          <w:szCs w:val="22"/>
        </w:rPr>
        <w:t xml:space="preserve"> “…</w:t>
      </w:r>
      <w:r w:rsidRPr="000229D1">
        <w:rPr>
          <w:rFonts w:ascii="Bookman Old Style" w:hAnsi="Bookman Old Style"/>
          <w:i/>
        </w:rPr>
        <w:t xml:space="preserve"> </w:t>
      </w:r>
      <w:r w:rsidRPr="000229D1">
        <w:rPr>
          <w:rFonts w:ascii="Bookman Old Style" w:hAnsi="Bookman Old Style"/>
          <w:i/>
          <w:iCs/>
          <w:sz w:val="22"/>
          <w:szCs w:val="22"/>
        </w:rPr>
        <w:t xml:space="preserve">que en un término perentorio de cuarenta y ocho (48) horas hábiles, contadas a partir de la notificación del presente fallo, RESUELVA DE MANERA CLARA, CONCRETA Y DE FONDO, la solicitud del </w:t>
      </w:r>
      <w:r w:rsidRPr="000229D1">
        <w:rPr>
          <w:rFonts w:ascii="Bookman Old Style" w:hAnsi="Bookman Old Style"/>
          <w:b/>
          <w:bCs/>
          <w:i/>
          <w:iCs/>
          <w:sz w:val="22"/>
          <w:szCs w:val="22"/>
        </w:rPr>
        <w:t xml:space="preserve">catorce (14) de enero de 2020, </w:t>
      </w:r>
      <w:r w:rsidRPr="000229D1">
        <w:rPr>
          <w:rFonts w:ascii="Bookman Old Style" w:hAnsi="Bookman Old Style"/>
          <w:i/>
          <w:iCs/>
          <w:sz w:val="22"/>
          <w:szCs w:val="22"/>
        </w:rPr>
        <w:t xml:space="preserve">donde se solicita resolver sobre la entrega de la indemnización administrativa del señor </w:t>
      </w:r>
      <w:proofErr w:type="spellStart"/>
      <w:r w:rsidRPr="000229D1">
        <w:rPr>
          <w:rFonts w:ascii="Bookman Old Style" w:hAnsi="Bookman Old Style"/>
          <w:i/>
          <w:iCs/>
          <w:sz w:val="22"/>
          <w:szCs w:val="22"/>
        </w:rPr>
        <w:t>Yober</w:t>
      </w:r>
      <w:proofErr w:type="spellEnd"/>
      <w:r w:rsidRPr="000229D1">
        <w:rPr>
          <w:rFonts w:ascii="Bookman Old Style" w:hAnsi="Bookman Old Style"/>
          <w:i/>
          <w:iCs/>
          <w:sz w:val="22"/>
          <w:szCs w:val="22"/>
        </w:rPr>
        <w:t xml:space="preserve"> Alexander Molina Tejada, quien se encuentra privado de la liberta</w:t>
      </w:r>
      <w:r>
        <w:rPr>
          <w:rFonts w:ascii="Bookman Old Style" w:hAnsi="Bookman Old Style"/>
          <w:i/>
          <w:iCs/>
          <w:sz w:val="22"/>
          <w:szCs w:val="22"/>
        </w:rPr>
        <w:t xml:space="preserve"> </w:t>
      </w:r>
      <w:r w:rsidRPr="000229D1">
        <w:rPr>
          <w:rFonts w:ascii="Bookman Old Style" w:hAnsi="Bookman Old Style"/>
          <w:bCs/>
          <w:i/>
          <w:iCs/>
          <w:sz w:val="22"/>
          <w:szCs w:val="22"/>
        </w:rPr>
        <w:t>(sic)</w:t>
      </w:r>
      <w:r>
        <w:rPr>
          <w:rStyle w:val="Refdenotaalpie"/>
          <w:rFonts w:ascii="Bookman Old Style" w:hAnsi="Bookman Old Style" w:cs="Arial"/>
          <w:sz w:val="22"/>
          <w:szCs w:val="22"/>
        </w:rPr>
        <w:t>”</w:t>
      </w:r>
      <w:r w:rsidRPr="000229D1">
        <w:rPr>
          <w:rStyle w:val="Refdenotaalpie"/>
          <w:rFonts w:ascii="Bookman Old Style" w:hAnsi="Bookman Old Style" w:cs="Arial"/>
          <w:sz w:val="22"/>
          <w:szCs w:val="22"/>
        </w:rPr>
        <w:footnoteReference w:id="1"/>
      </w:r>
      <w:r w:rsidRPr="000229D1">
        <w:rPr>
          <w:rFonts w:ascii="Bookman Old Style" w:hAnsi="Bookman Old Style" w:cs="Arial"/>
          <w:i/>
          <w:sz w:val="22"/>
          <w:szCs w:val="22"/>
        </w:rPr>
        <w:t>.</w:t>
      </w:r>
    </w:p>
    <w:p w:rsidR="00682A74" w:rsidRDefault="00682A74" w:rsidP="00682A74">
      <w:pPr>
        <w:suppressAutoHyphens/>
        <w:ind w:right="-27"/>
        <w:jc w:val="both"/>
        <w:rPr>
          <w:rFonts w:ascii="Bookman Old Style" w:hAnsi="Bookman Old Style" w:cs="Arial"/>
          <w:sz w:val="24"/>
          <w:szCs w:val="24"/>
        </w:rPr>
      </w:pPr>
    </w:p>
    <w:p w:rsidR="00682A74" w:rsidRDefault="00682A74" w:rsidP="00682A74">
      <w:pPr>
        <w:suppressAutoHyphens/>
        <w:spacing w:line="360" w:lineRule="auto"/>
        <w:ind w:right="-27"/>
        <w:jc w:val="both"/>
        <w:rPr>
          <w:rFonts w:ascii="Bookman Old Style" w:hAnsi="Bookman Old Style" w:cs="Arial"/>
          <w:sz w:val="24"/>
          <w:szCs w:val="24"/>
        </w:rPr>
      </w:pPr>
      <w:r>
        <w:rPr>
          <w:rFonts w:ascii="Bookman Old Style" w:hAnsi="Bookman Old Style" w:cs="Arial"/>
          <w:sz w:val="24"/>
          <w:szCs w:val="24"/>
        </w:rPr>
        <w:t xml:space="preserve">Por cuanto no se dio cumplimiento a lo ordenado en el fallo de tutela, la parte demandante, mediante escrito presentado ante el Juzgado Dieciséis Administrativo Oral del Circuito de </w:t>
      </w:r>
      <w:r w:rsidR="00786879">
        <w:rPr>
          <w:rFonts w:ascii="Bookman Old Style" w:hAnsi="Bookman Old Style" w:cs="Arial"/>
          <w:sz w:val="24"/>
          <w:szCs w:val="24"/>
        </w:rPr>
        <w:t>Medellín</w:t>
      </w:r>
      <w:r>
        <w:rPr>
          <w:rFonts w:ascii="Bookman Old Style" w:hAnsi="Bookman Old Style" w:cs="Arial"/>
          <w:sz w:val="24"/>
          <w:szCs w:val="24"/>
        </w:rPr>
        <w:t xml:space="preserve">, solicitó dar inicio al incidente de desacato. </w:t>
      </w:r>
    </w:p>
    <w:p w:rsidR="00682A74" w:rsidRDefault="00682A74" w:rsidP="00682A74">
      <w:pPr>
        <w:suppressAutoHyphens/>
        <w:ind w:right="-27"/>
        <w:jc w:val="both"/>
        <w:rPr>
          <w:rFonts w:ascii="Bookman Old Style" w:hAnsi="Bookman Old Style" w:cs="Arial"/>
          <w:sz w:val="24"/>
          <w:szCs w:val="24"/>
        </w:rPr>
      </w:pPr>
    </w:p>
    <w:p w:rsidR="00682A74" w:rsidRDefault="00682A74" w:rsidP="00682A74">
      <w:pPr>
        <w:suppressAutoHyphens/>
        <w:spacing w:line="360" w:lineRule="auto"/>
        <w:ind w:right="-27"/>
        <w:jc w:val="both"/>
        <w:rPr>
          <w:rFonts w:ascii="Bookman Old Style" w:hAnsi="Bookman Old Style" w:cs="Arial"/>
          <w:sz w:val="24"/>
          <w:szCs w:val="24"/>
          <w:lang w:val="es-CO"/>
        </w:rPr>
      </w:pPr>
      <w:r>
        <w:rPr>
          <w:rFonts w:ascii="Bookman Old Style" w:hAnsi="Bookman Old Style" w:cs="Arial"/>
          <w:sz w:val="24"/>
          <w:szCs w:val="24"/>
        </w:rPr>
        <w:t xml:space="preserve">Atendiendo a lo peticionado, el Juzgado Dieciséis Administrativo Oral del Circuito de Medellín, mediante providencia del </w:t>
      </w:r>
      <w:r w:rsidR="00786879">
        <w:rPr>
          <w:rFonts w:ascii="Bookman Old Style" w:hAnsi="Bookman Old Style" w:cs="Arial"/>
          <w:sz w:val="24"/>
          <w:szCs w:val="24"/>
        </w:rPr>
        <w:t>24 de abril</w:t>
      </w:r>
      <w:r>
        <w:rPr>
          <w:rFonts w:ascii="Bookman Old Style" w:hAnsi="Bookman Old Style" w:cs="Arial"/>
          <w:sz w:val="24"/>
          <w:szCs w:val="24"/>
        </w:rPr>
        <w:t xml:space="preserve"> de 2020,</w:t>
      </w:r>
      <w:r w:rsidRPr="00B00CFA">
        <w:rPr>
          <w:rFonts w:ascii="Bookman Old Style" w:hAnsi="Bookman Old Style" w:cs="Arial"/>
          <w:sz w:val="24"/>
          <w:szCs w:val="24"/>
        </w:rPr>
        <w:t xml:space="preserve"> abrió incidente en contra de</w:t>
      </w:r>
      <w:r>
        <w:rPr>
          <w:rFonts w:ascii="Bookman Old Style" w:hAnsi="Bookman Old Style" w:cs="Arial"/>
          <w:sz w:val="24"/>
          <w:szCs w:val="24"/>
        </w:rPr>
        <w:t xml:space="preserve"> Ramón Alberto Rodríguez Andrade, Director General de la Unidad Administrativa Especial de Atención y Reparación Integral a las Víctimas, </w:t>
      </w:r>
      <w:r w:rsidRPr="004502D0">
        <w:rPr>
          <w:rFonts w:ascii="Bookman Old Style" w:hAnsi="Bookman Old Style" w:cs="Arial"/>
          <w:spacing w:val="-2"/>
          <w:sz w:val="24"/>
          <w:szCs w:val="24"/>
        </w:rPr>
        <w:t xml:space="preserve">concediéndole un término de </w:t>
      </w:r>
      <w:r>
        <w:rPr>
          <w:rFonts w:ascii="Bookman Old Style" w:hAnsi="Bookman Old Style" w:cs="Arial"/>
          <w:spacing w:val="-2"/>
          <w:sz w:val="24"/>
          <w:szCs w:val="24"/>
        </w:rPr>
        <w:t>tres (3) días</w:t>
      </w:r>
      <w:r w:rsidRPr="004502D0">
        <w:rPr>
          <w:rFonts w:ascii="Bookman Old Style" w:hAnsi="Bookman Old Style" w:cs="Arial"/>
          <w:spacing w:val="-2"/>
          <w:sz w:val="24"/>
          <w:szCs w:val="24"/>
        </w:rPr>
        <w:t xml:space="preserve"> para que ejerciera su defensa y contradicción</w:t>
      </w:r>
      <w:r>
        <w:rPr>
          <w:rFonts w:ascii="Bookman Old Style" w:hAnsi="Bookman Old Style" w:cs="Arial"/>
          <w:spacing w:val="-2"/>
          <w:sz w:val="24"/>
          <w:szCs w:val="24"/>
        </w:rPr>
        <w:t xml:space="preserve">. </w:t>
      </w:r>
    </w:p>
    <w:p w:rsidR="00682A74" w:rsidRDefault="00682A74" w:rsidP="00682A74">
      <w:pPr>
        <w:suppressAutoHyphens/>
        <w:ind w:right="-27"/>
        <w:jc w:val="both"/>
        <w:rPr>
          <w:rFonts w:ascii="Bookman Old Style" w:hAnsi="Bookman Old Style" w:cs="Arial"/>
          <w:sz w:val="24"/>
          <w:szCs w:val="24"/>
          <w:lang w:val="es-CO"/>
        </w:rPr>
      </w:pPr>
    </w:p>
    <w:p w:rsidR="00682A74" w:rsidRDefault="00682A74" w:rsidP="00682A74">
      <w:pPr>
        <w:suppressAutoHyphens/>
        <w:spacing w:line="360" w:lineRule="auto"/>
        <w:ind w:right="-27"/>
        <w:jc w:val="both"/>
        <w:rPr>
          <w:rFonts w:ascii="Bookman Old Style" w:hAnsi="Bookman Old Style" w:cs="Arial"/>
          <w:sz w:val="24"/>
          <w:szCs w:val="24"/>
        </w:rPr>
      </w:pPr>
      <w:r>
        <w:rPr>
          <w:rFonts w:ascii="Bookman Old Style" w:hAnsi="Bookman Old Style" w:cs="Arial"/>
          <w:sz w:val="24"/>
          <w:szCs w:val="24"/>
          <w:lang w:val="es-CO"/>
        </w:rPr>
        <w:t xml:space="preserve">Es así que, el A quo, </w:t>
      </w:r>
      <w:r>
        <w:rPr>
          <w:rFonts w:ascii="Bookman Old Style" w:hAnsi="Bookman Old Style" w:cs="Arial"/>
          <w:sz w:val="24"/>
          <w:szCs w:val="24"/>
        </w:rPr>
        <w:t xml:space="preserve">mediante providencia del </w:t>
      </w:r>
      <w:r w:rsidR="00786879">
        <w:rPr>
          <w:rFonts w:ascii="Bookman Old Style" w:hAnsi="Bookman Old Style" w:cs="Arial"/>
          <w:sz w:val="24"/>
          <w:szCs w:val="24"/>
        </w:rPr>
        <w:t>05 de mayo</w:t>
      </w:r>
      <w:r>
        <w:rPr>
          <w:rFonts w:ascii="Bookman Old Style" w:hAnsi="Bookman Old Style" w:cs="Arial"/>
          <w:sz w:val="24"/>
          <w:szCs w:val="24"/>
        </w:rPr>
        <w:t xml:space="preserve"> de 2020, luego de estudiar el asunto y realizar las precisiones del caso, decidió estimar la solicitud de desacato formulada por el </w:t>
      </w:r>
      <w:proofErr w:type="spellStart"/>
      <w:r>
        <w:rPr>
          <w:rFonts w:ascii="Bookman Old Style" w:hAnsi="Bookman Old Style" w:cs="Arial"/>
          <w:sz w:val="24"/>
          <w:szCs w:val="24"/>
        </w:rPr>
        <w:t>incidentista</w:t>
      </w:r>
      <w:proofErr w:type="spellEnd"/>
      <w:r>
        <w:rPr>
          <w:rFonts w:ascii="Bookman Old Style" w:hAnsi="Bookman Old Style" w:cs="Arial"/>
          <w:sz w:val="24"/>
          <w:szCs w:val="24"/>
        </w:rPr>
        <w:t>. En consecuencia, resolvió sancionar al señor Ramón Alberto Rodríguez Andrade</w:t>
      </w:r>
      <w:r w:rsidRPr="00D85346">
        <w:rPr>
          <w:rFonts w:ascii="Bookman Old Style" w:hAnsi="Bookman Old Style" w:cs="Arial"/>
          <w:spacing w:val="-2"/>
          <w:sz w:val="24"/>
          <w:szCs w:val="24"/>
        </w:rPr>
        <w:t xml:space="preserve">, </w:t>
      </w:r>
      <w:r>
        <w:rPr>
          <w:rFonts w:ascii="Bookman Old Style" w:hAnsi="Bookman Old Style" w:cs="Arial"/>
          <w:sz w:val="24"/>
          <w:szCs w:val="24"/>
        </w:rPr>
        <w:t>con multa de dos (2) salarios mínimos legales mensuales vigentes, toda vez que al no dar cumplimiento al fallo de tutela, se demostró su actuar negligente y renuente. Por último, se dispuso la consulta de la decisión ante el</w:t>
      </w:r>
      <w:r w:rsidRPr="00962291">
        <w:rPr>
          <w:rFonts w:ascii="Bookman Old Style" w:hAnsi="Bookman Old Style" w:cs="Arial"/>
          <w:sz w:val="24"/>
          <w:szCs w:val="24"/>
        </w:rPr>
        <w:t xml:space="preserve"> Tribu</w:t>
      </w:r>
      <w:r>
        <w:rPr>
          <w:rFonts w:ascii="Bookman Old Style" w:hAnsi="Bookman Old Style" w:cs="Arial"/>
          <w:sz w:val="24"/>
          <w:szCs w:val="24"/>
        </w:rPr>
        <w:t>nal Administrativo de Antioquia, en atención a lo dispuesto en el artículo 52 del Decreto 2591 de 1991.</w:t>
      </w:r>
    </w:p>
    <w:p w:rsidR="00682A74" w:rsidRDefault="00682A74" w:rsidP="00682A74">
      <w:pPr>
        <w:suppressAutoHyphens/>
        <w:ind w:right="-27"/>
        <w:jc w:val="both"/>
        <w:rPr>
          <w:rFonts w:ascii="Bookman Old Style" w:hAnsi="Bookman Old Style" w:cs="Arial"/>
          <w:sz w:val="24"/>
          <w:szCs w:val="24"/>
        </w:rPr>
      </w:pPr>
    </w:p>
    <w:p w:rsidR="00682A74" w:rsidRPr="00132D47" w:rsidRDefault="00682A74" w:rsidP="00682A74">
      <w:pPr>
        <w:suppressAutoHyphens/>
        <w:spacing w:line="360" w:lineRule="auto"/>
        <w:ind w:right="-27"/>
        <w:jc w:val="both"/>
        <w:rPr>
          <w:rFonts w:ascii="Bookman Old Style" w:hAnsi="Bookman Old Style" w:cs="Arial"/>
          <w:sz w:val="24"/>
          <w:szCs w:val="24"/>
          <w:lang w:val="es-CO"/>
        </w:rPr>
      </w:pPr>
      <w:r w:rsidRPr="00132D47">
        <w:rPr>
          <w:rFonts w:ascii="Bookman Old Style" w:hAnsi="Bookman Old Style" w:cs="Arial"/>
          <w:sz w:val="24"/>
          <w:szCs w:val="24"/>
          <w:lang w:val="es-CO"/>
        </w:rPr>
        <w:t xml:space="preserve">Esbozados así los motivos que dieron lugar a la imposición de la sanción por desacato, entra el Despacho a decidir la presente consulta previas las siguientes, </w:t>
      </w:r>
    </w:p>
    <w:p w:rsidR="00682A74" w:rsidRPr="002D70E9" w:rsidRDefault="00682A74" w:rsidP="00682A74">
      <w:pPr>
        <w:suppressAutoHyphens/>
        <w:spacing w:line="360" w:lineRule="auto"/>
        <w:jc w:val="center"/>
        <w:rPr>
          <w:rFonts w:ascii="Bookman Old Style" w:hAnsi="Bookman Old Style" w:cs="Arial"/>
          <w:b/>
          <w:sz w:val="24"/>
          <w:szCs w:val="24"/>
        </w:rPr>
      </w:pPr>
      <w:r w:rsidRPr="002D70E9">
        <w:rPr>
          <w:rFonts w:ascii="Bookman Old Style" w:hAnsi="Bookman Old Style"/>
          <w:b/>
          <w:sz w:val="24"/>
          <w:szCs w:val="24"/>
        </w:rPr>
        <w:lastRenderedPageBreak/>
        <w:t xml:space="preserve">CONSIDERACIONES </w:t>
      </w:r>
    </w:p>
    <w:p w:rsidR="00682A74" w:rsidRDefault="00682A74" w:rsidP="00682A74">
      <w:pPr>
        <w:pStyle w:val="Textoindependiente3"/>
        <w:spacing w:line="240" w:lineRule="auto"/>
        <w:rPr>
          <w:rFonts w:ascii="Bookman Old Style" w:hAnsi="Bookman Old Style"/>
        </w:rPr>
      </w:pPr>
    </w:p>
    <w:p w:rsidR="00682A74" w:rsidRPr="00160F3F" w:rsidRDefault="00682A74" w:rsidP="00682A74">
      <w:pPr>
        <w:jc w:val="both"/>
        <w:rPr>
          <w:rFonts w:ascii="Bookman Old Style" w:hAnsi="Bookman Old Style"/>
          <w:b/>
          <w:sz w:val="24"/>
          <w:szCs w:val="24"/>
          <w:lang w:val="es-CO"/>
        </w:rPr>
      </w:pPr>
      <w:r>
        <w:rPr>
          <w:rFonts w:ascii="Bookman Old Style" w:hAnsi="Bookman Old Style"/>
          <w:b/>
          <w:sz w:val="24"/>
          <w:szCs w:val="24"/>
          <w:lang w:val="es-CO"/>
        </w:rPr>
        <w:t>Incidente de Desacato</w:t>
      </w:r>
      <w:r w:rsidRPr="00160F3F">
        <w:rPr>
          <w:rFonts w:ascii="Bookman Old Style" w:hAnsi="Bookman Old Style"/>
          <w:b/>
          <w:sz w:val="24"/>
          <w:szCs w:val="24"/>
          <w:lang w:val="es-CO"/>
        </w:rPr>
        <w:t xml:space="preserve"> </w:t>
      </w:r>
    </w:p>
    <w:p w:rsidR="00682A74" w:rsidRPr="00320011" w:rsidRDefault="00682A74" w:rsidP="00682A74">
      <w:pPr>
        <w:jc w:val="both"/>
        <w:rPr>
          <w:rFonts w:ascii="Bookman Old Style" w:hAnsi="Bookman Old Style"/>
          <w:sz w:val="24"/>
          <w:szCs w:val="24"/>
        </w:rPr>
      </w:pPr>
    </w:p>
    <w:p w:rsidR="00682A74" w:rsidRDefault="00682A74" w:rsidP="00682A74">
      <w:pPr>
        <w:spacing w:line="360" w:lineRule="auto"/>
        <w:jc w:val="both"/>
        <w:rPr>
          <w:rFonts w:ascii="Bookman Old Style" w:hAnsi="Bookman Old Style"/>
          <w:sz w:val="24"/>
          <w:szCs w:val="24"/>
          <w:lang w:val="es-CO"/>
        </w:rPr>
      </w:pPr>
      <w:r>
        <w:rPr>
          <w:rFonts w:ascii="Bookman Old Style" w:hAnsi="Bookman Old Style"/>
          <w:sz w:val="24"/>
          <w:szCs w:val="24"/>
          <w:lang w:val="es-CO"/>
        </w:rPr>
        <w:t xml:space="preserve">El desacato es un mecanismo de creación legal que procede a petición de la parte interesada, a fin de que el juez constitucional en ejercicio de sus potestades disciplinarias sancione con multa o arresto a quien con responsabilidad subjetiva incumpla las órdenes proferidas mediante sentencias que buscan proteger los derechos fundamentales. </w:t>
      </w:r>
    </w:p>
    <w:p w:rsidR="00682A74" w:rsidRPr="004F5CE4" w:rsidRDefault="00682A74" w:rsidP="00682A74">
      <w:pPr>
        <w:jc w:val="both"/>
        <w:rPr>
          <w:rFonts w:ascii="Bookman Old Style" w:hAnsi="Bookman Old Style"/>
          <w:sz w:val="24"/>
          <w:szCs w:val="24"/>
          <w:lang w:val="es-CO"/>
        </w:rPr>
      </w:pPr>
    </w:p>
    <w:p w:rsidR="00682A74" w:rsidRDefault="00682A74" w:rsidP="00682A74">
      <w:pPr>
        <w:spacing w:line="360" w:lineRule="auto"/>
        <w:jc w:val="both"/>
        <w:rPr>
          <w:rFonts w:ascii="Bookman Old Style" w:hAnsi="Bookman Old Style"/>
          <w:sz w:val="24"/>
          <w:szCs w:val="24"/>
          <w:lang w:val="es-CO"/>
        </w:rPr>
      </w:pPr>
      <w:r>
        <w:rPr>
          <w:rFonts w:ascii="Bookman Old Style" w:hAnsi="Bookman Old Style"/>
          <w:sz w:val="24"/>
          <w:szCs w:val="24"/>
          <w:lang w:val="es-CO"/>
        </w:rPr>
        <w:t>En armonía con lo anterior, debe precisarse que la figura del desacato ha sido entendida como una medida de carácter coercitivo</w:t>
      </w:r>
      <w:r>
        <w:rPr>
          <w:rStyle w:val="Refdenotaalpie"/>
          <w:rFonts w:ascii="Bookman Old Style" w:hAnsi="Bookman Old Style"/>
          <w:sz w:val="24"/>
          <w:szCs w:val="24"/>
          <w:lang w:val="es-CO"/>
        </w:rPr>
        <w:footnoteReference w:id="2"/>
      </w:r>
      <w:r>
        <w:rPr>
          <w:rFonts w:ascii="Bookman Old Style" w:hAnsi="Bookman Old Style"/>
          <w:sz w:val="24"/>
          <w:szCs w:val="24"/>
          <w:lang w:val="es-CO"/>
        </w:rPr>
        <w:t>, con la que cuenta el juez para lograr el cumplimiento de las obligaciones que emanan de sentencias de tutela proferidas para evitar o reparar la vulneración de derechos constitucionales.</w:t>
      </w:r>
    </w:p>
    <w:p w:rsidR="00682A74" w:rsidRDefault="00682A74" w:rsidP="00682A74">
      <w:pPr>
        <w:jc w:val="both"/>
        <w:rPr>
          <w:rFonts w:ascii="Bookman Old Style" w:hAnsi="Bookman Old Style"/>
          <w:sz w:val="24"/>
          <w:szCs w:val="24"/>
          <w:lang w:val="es-CO"/>
        </w:rPr>
      </w:pPr>
    </w:p>
    <w:p w:rsidR="00682A74" w:rsidRDefault="00682A74" w:rsidP="00682A74">
      <w:pPr>
        <w:spacing w:line="360" w:lineRule="auto"/>
        <w:jc w:val="both"/>
        <w:rPr>
          <w:rFonts w:ascii="Bookman Old Style" w:hAnsi="Bookman Old Style"/>
          <w:sz w:val="24"/>
          <w:szCs w:val="24"/>
          <w:lang w:val="es-CO"/>
        </w:rPr>
      </w:pPr>
      <w:r w:rsidRPr="00EC2619">
        <w:rPr>
          <w:rFonts w:ascii="Bookman Old Style" w:hAnsi="Bookman Old Style"/>
          <w:sz w:val="24"/>
          <w:szCs w:val="24"/>
          <w:lang w:val="es-CO"/>
        </w:rPr>
        <w:t xml:space="preserve">Concretamente, el fundamento legal del desacato está consagrado en los artículos 52 y 27 del Decreto 2591 de 1991, en virtud de los cuales se establece: </w:t>
      </w:r>
    </w:p>
    <w:p w:rsidR="00682A74" w:rsidRDefault="00682A74" w:rsidP="00682A74">
      <w:pPr>
        <w:ind w:left="708"/>
        <w:jc w:val="both"/>
        <w:rPr>
          <w:rFonts w:ascii="Bookman Old Style" w:hAnsi="Bookman Old Style"/>
          <w:b/>
          <w:i/>
          <w:sz w:val="22"/>
          <w:szCs w:val="22"/>
          <w:lang w:val="es-CO"/>
        </w:rPr>
      </w:pPr>
    </w:p>
    <w:p w:rsidR="00682A74" w:rsidRPr="000C1AAF" w:rsidRDefault="00682A74" w:rsidP="00682A74">
      <w:pPr>
        <w:ind w:left="708"/>
        <w:jc w:val="both"/>
        <w:rPr>
          <w:rFonts w:ascii="Bookman Old Style" w:hAnsi="Bookman Old Style"/>
          <w:sz w:val="24"/>
          <w:szCs w:val="24"/>
          <w:lang w:val="es-CO"/>
        </w:rPr>
      </w:pPr>
      <w:r w:rsidRPr="00320011">
        <w:rPr>
          <w:rFonts w:ascii="Bookman Old Style" w:hAnsi="Bookman Old Style"/>
          <w:b/>
          <w:i/>
          <w:sz w:val="22"/>
          <w:szCs w:val="22"/>
          <w:lang w:val="es-CO"/>
        </w:rPr>
        <w:t>“Artículo 52.</w:t>
      </w:r>
      <w:r w:rsidRPr="00320011">
        <w:rPr>
          <w:rFonts w:ascii="Bookman Old Style" w:hAnsi="Bookman Old Style"/>
          <w:i/>
          <w:sz w:val="22"/>
          <w:szCs w:val="22"/>
          <w:lang w:val="es-CO"/>
        </w:rPr>
        <w:t xml:space="preserve"> Desacato. La persona que incumpliere una orden de un juez proferida con base en el presente Decreto, incurrirá en desacato sancionable con arresto hasta de seis (6) meses y multa hasta de veinte (20) salarios mínimos mensuales, salvo que en este Decreto ya se hubiere señalado una consecuencia jurídica distinta y sin perjuicio de las sanciones penales a que hubiere lugar.</w:t>
      </w:r>
    </w:p>
    <w:p w:rsidR="00682A74" w:rsidRPr="00320011" w:rsidRDefault="00682A74" w:rsidP="00682A74">
      <w:pPr>
        <w:spacing w:before="100" w:beforeAutospacing="1" w:after="100" w:afterAutospacing="1"/>
        <w:ind w:left="708"/>
        <w:jc w:val="both"/>
        <w:rPr>
          <w:rFonts w:ascii="Bookman Old Style" w:hAnsi="Bookman Old Style"/>
          <w:i/>
          <w:sz w:val="22"/>
          <w:szCs w:val="22"/>
          <w:lang w:val="es-CO"/>
        </w:rPr>
      </w:pPr>
      <w:r w:rsidRPr="00320011">
        <w:rPr>
          <w:rFonts w:ascii="Bookman Old Style" w:hAnsi="Bookman Old Style"/>
          <w:i/>
          <w:sz w:val="22"/>
          <w:szCs w:val="22"/>
          <w:lang w:val="es-CO"/>
        </w:rPr>
        <w:t>La sanción será impuesta por el mismo juez mediante trámite incidental y será consultada al superior jerárquico quien decidirá dentro de los tres días siguientes si debe revocarse la sanción”</w:t>
      </w:r>
    </w:p>
    <w:p w:rsidR="00682A74" w:rsidRDefault="00682A74" w:rsidP="00682A74">
      <w:pPr>
        <w:ind w:left="708"/>
        <w:jc w:val="both"/>
        <w:rPr>
          <w:rFonts w:ascii="Bookman Old Style" w:hAnsi="Bookman Old Style"/>
          <w:i/>
          <w:sz w:val="22"/>
          <w:szCs w:val="22"/>
          <w:lang w:val="es-CO"/>
        </w:rPr>
      </w:pPr>
      <w:r w:rsidRPr="00320011">
        <w:rPr>
          <w:rFonts w:ascii="Bookman Old Style" w:hAnsi="Bookman Old Style"/>
          <w:b/>
          <w:i/>
          <w:sz w:val="22"/>
          <w:szCs w:val="22"/>
          <w:lang w:val="es-CO"/>
        </w:rPr>
        <w:t>“Artículo 27.</w:t>
      </w:r>
      <w:r w:rsidRPr="00320011">
        <w:rPr>
          <w:rFonts w:ascii="Bookman Old Style" w:hAnsi="Bookman Old Style"/>
          <w:i/>
          <w:sz w:val="22"/>
          <w:szCs w:val="22"/>
          <w:lang w:val="es-CO"/>
        </w:rPr>
        <w:t xml:space="preserve"> (…) El juez podrá sancionar por desacato al responsable y al superior ha</w:t>
      </w:r>
      <w:r>
        <w:rPr>
          <w:rFonts w:ascii="Bookman Old Style" w:hAnsi="Bookman Old Style"/>
          <w:i/>
          <w:sz w:val="22"/>
          <w:szCs w:val="22"/>
          <w:lang w:val="es-CO"/>
        </w:rPr>
        <w:t>sta que cumpla su sentencia (…)”.</w:t>
      </w:r>
    </w:p>
    <w:p w:rsidR="00682A74" w:rsidRDefault="00682A74" w:rsidP="00682A74">
      <w:pPr>
        <w:ind w:left="708"/>
        <w:jc w:val="both"/>
        <w:rPr>
          <w:rFonts w:ascii="Bookman Old Style" w:hAnsi="Bookman Old Style"/>
          <w:i/>
          <w:sz w:val="22"/>
          <w:szCs w:val="22"/>
          <w:lang w:val="es-CO"/>
        </w:rPr>
      </w:pPr>
    </w:p>
    <w:p w:rsidR="00682A74" w:rsidRDefault="00682A74" w:rsidP="00682A74">
      <w:pPr>
        <w:spacing w:line="360" w:lineRule="auto"/>
        <w:jc w:val="both"/>
        <w:rPr>
          <w:rFonts w:ascii="Bookman Old Style" w:hAnsi="Bookman Old Style"/>
          <w:sz w:val="24"/>
          <w:szCs w:val="24"/>
        </w:rPr>
      </w:pPr>
      <w:r w:rsidRPr="000E1813">
        <w:rPr>
          <w:rFonts w:ascii="Bookman Old Style" w:hAnsi="Bookman Old Style"/>
          <w:sz w:val="24"/>
          <w:szCs w:val="24"/>
        </w:rPr>
        <w:t xml:space="preserve">De </w:t>
      </w:r>
      <w:r>
        <w:rPr>
          <w:rFonts w:ascii="Bookman Old Style" w:hAnsi="Bookman Old Style"/>
          <w:sz w:val="24"/>
          <w:szCs w:val="24"/>
        </w:rPr>
        <w:t>esta manera, se tiene que el desacato se convierte en uno de los instrumentos con los que dispone el juez para lograr la protección de los derechos fundamentales, cuya violación ha sido evidenciada a partir de una providencia judicial que surgió con ocasión de la resolución de una acción de tutela. Dicho mecanismo consiste en la posibilidad de imponer ciertas sanciones con el propósito de obtener el cumplimiento de lo ordenado en la respectiva sentencia</w:t>
      </w:r>
      <w:r>
        <w:rPr>
          <w:rStyle w:val="Refdenotaalpie"/>
          <w:rFonts w:ascii="Bookman Old Style" w:hAnsi="Bookman Old Style"/>
          <w:sz w:val="24"/>
          <w:szCs w:val="24"/>
        </w:rPr>
        <w:footnoteReference w:id="3"/>
      </w:r>
      <w:r>
        <w:rPr>
          <w:rFonts w:ascii="Bookman Old Style" w:hAnsi="Bookman Old Style"/>
          <w:sz w:val="24"/>
          <w:szCs w:val="24"/>
        </w:rPr>
        <w:t xml:space="preserve">. </w:t>
      </w:r>
    </w:p>
    <w:p w:rsidR="00A76282" w:rsidRDefault="00A76282" w:rsidP="00A76282">
      <w:pPr>
        <w:jc w:val="both"/>
        <w:rPr>
          <w:rFonts w:ascii="Bookman Old Style" w:hAnsi="Bookman Old Style"/>
          <w:sz w:val="24"/>
          <w:szCs w:val="24"/>
        </w:rPr>
      </w:pPr>
    </w:p>
    <w:p w:rsidR="00682A74" w:rsidRDefault="00682A74" w:rsidP="00682A74">
      <w:pPr>
        <w:spacing w:line="360" w:lineRule="auto"/>
        <w:jc w:val="both"/>
        <w:rPr>
          <w:rFonts w:ascii="Bookman Old Style" w:hAnsi="Bookman Old Style"/>
          <w:sz w:val="24"/>
          <w:szCs w:val="24"/>
        </w:rPr>
      </w:pPr>
      <w:r>
        <w:rPr>
          <w:rFonts w:ascii="Bookman Old Style" w:hAnsi="Bookman Old Style"/>
          <w:sz w:val="24"/>
          <w:szCs w:val="24"/>
        </w:rPr>
        <w:lastRenderedPageBreak/>
        <w:t xml:space="preserve">Acorde con lo establecido legalmente, el desacato tiene un carácter incidental, el cual puede finalizar con la expedición de un auto que imponga una sanción de hasta de seis (6) meses de arresto y multa hasta de veinte (20) salarios mínimos mensuales, salvo que en el referido decreto se haya señalado una consecuencia jurídica diferente y sin perjuicio de las sanciones penales a las que haya lugar. </w:t>
      </w:r>
    </w:p>
    <w:p w:rsidR="00682A74" w:rsidRDefault="00682A74" w:rsidP="00682A74">
      <w:pPr>
        <w:jc w:val="both"/>
        <w:rPr>
          <w:rFonts w:ascii="Bookman Old Style" w:hAnsi="Bookman Old Style"/>
          <w:sz w:val="24"/>
          <w:szCs w:val="24"/>
        </w:rPr>
      </w:pPr>
    </w:p>
    <w:p w:rsidR="00682A74" w:rsidRPr="00DC5788" w:rsidRDefault="00682A74" w:rsidP="00682A74">
      <w:pPr>
        <w:spacing w:line="360" w:lineRule="auto"/>
        <w:jc w:val="both"/>
        <w:rPr>
          <w:rFonts w:ascii="Bookman Old Style" w:hAnsi="Bookman Old Style"/>
          <w:sz w:val="24"/>
          <w:szCs w:val="24"/>
        </w:rPr>
      </w:pPr>
      <w:r>
        <w:rPr>
          <w:rFonts w:ascii="Bookman Old Style" w:hAnsi="Bookman Old Style"/>
          <w:sz w:val="24"/>
          <w:szCs w:val="24"/>
        </w:rPr>
        <w:t>Bajo este contexto, se encuentra que el procedimiento del desacato puede concluir con uno de los siguientes supuestos: (i) la expedición de una decisión adversa al accionado, circunstancia en la cual debe surtirse el grado jurisdiccional de consulta ante el superior jerárquico con el propósito de que se revise la actuación de primera instancia, quien después de confirmar la respectiva medida deja en firme o no la mencionada decisión para que proceda su ejecución, y (ii) la emisión de un fallo que no impone sanción alguna, evento en el cual se da por terminado el respectivo incidente con una decisión ejecutoriada.</w:t>
      </w:r>
    </w:p>
    <w:p w:rsidR="00682A74" w:rsidRDefault="00682A74" w:rsidP="00682A74">
      <w:pPr>
        <w:spacing w:line="360" w:lineRule="auto"/>
        <w:jc w:val="both"/>
        <w:rPr>
          <w:rFonts w:ascii="Bookman Old Style" w:hAnsi="Bookman Old Style"/>
          <w:sz w:val="24"/>
          <w:szCs w:val="24"/>
          <w:lang w:val="es-CO"/>
        </w:rPr>
      </w:pPr>
    </w:p>
    <w:p w:rsidR="00682A74" w:rsidRPr="00DC5788" w:rsidRDefault="00682A74" w:rsidP="00682A74">
      <w:pPr>
        <w:jc w:val="both"/>
        <w:rPr>
          <w:rFonts w:ascii="Bookman Old Style" w:hAnsi="Bookman Old Style"/>
          <w:sz w:val="24"/>
          <w:szCs w:val="24"/>
        </w:rPr>
      </w:pPr>
      <w:r w:rsidRPr="00DC5788">
        <w:rPr>
          <w:rFonts w:ascii="Bookman Old Style" w:hAnsi="Bookman Old Style"/>
          <w:b/>
          <w:sz w:val="24"/>
          <w:szCs w:val="24"/>
        </w:rPr>
        <w:t>Finalidad</w:t>
      </w:r>
      <w:r>
        <w:rPr>
          <w:rFonts w:ascii="Bookman Old Style" w:hAnsi="Bookman Old Style"/>
          <w:b/>
          <w:bCs/>
          <w:sz w:val="24"/>
          <w:szCs w:val="24"/>
          <w:lang w:val="es-CO"/>
        </w:rPr>
        <w:t xml:space="preserve"> del incidente de</w:t>
      </w:r>
      <w:r w:rsidRPr="00DC5788">
        <w:rPr>
          <w:rFonts w:ascii="Bookman Old Style" w:hAnsi="Bookman Old Style"/>
          <w:b/>
          <w:bCs/>
          <w:sz w:val="24"/>
          <w:szCs w:val="24"/>
          <w:lang w:val="es-CO"/>
        </w:rPr>
        <w:t xml:space="preserve"> desacato</w:t>
      </w:r>
    </w:p>
    <w:p w:rsidR="00682A74" w:rsidRDefault="00682A74" w:rsidP="00682A74">
      <w:pPr>
        <w:jc w:val="both"/>
        <w:rPr>
          <w:b/>
          <w:bCs/>
          <w:sz w:val="24"/>
          <w:szCs w:val="24"/>
          <w:lang w:val="es-CO"/>
        </w:rPr>
      </w:pPr>
    </w:p>
    <w:p w:rsidR="00682A74" w:rsidRDefault="00682A74" w:rsidP="00682A74">
      <w:pPr>
        <w:spacing w:line="360" w:lineRule="auto"/>
        <w:jc w:val="both"/>
        <w:rPr>
          <w:rFonts w:ascii="Bookman Old Style" w:hAnsi="Bookman Old Style"/>
          <w:sz w:val="24"/>
          <w:szCs w:val="24"/>
        </w:rPr>
      </w:pPr>
      <w:r>
        <w:rPr>
          <w:rFonts w:ascii="Bookman Old Style" w:hAnsi="Bookman Old Style"/>
          <w:sz w:val="24"/>
          <w:szCs w:val="24"/>
        </w:rPr>
        <w:t xml:space="preserve">Ahora bien, en este punto ya ha quedado claro que el juez constitucional además de tener la obligación de velar por la observancia de la sentencia de tutela, tiene la posibilidad de tramitar a petición de parte, un incidente de desacato. De acuerdo con esto, se encuentra que el </w:t>
      </w:r>
      <w:r w:rsidRPr="00320011">
        <w:rPr>
          <w:rFonts w:ascii="Bookman Old Style" w:hAnsi="Bookman Old Style"/>
          <w:b/>
          <w:sz w:val="24"/>
          <w:szCs w:val="24"/>
          <w:u w:val="single"/>
        </w:rPr>
        <w:t>principal propósito de este trámite se centra en conseguir que el obligado obedezca la orden impuesta en la providencia originada a partir de la resolución de un recurso de amparo constitucional</w:t>
      </w:r>
      <w:r>
        <w:rPr>
          <w:rFonts w:ascii="Bookman Old Style" w:hAnsi="Bookman Old Style"/>
          <w:sz w:val="24"/>
          <w:szCs w:val="24"/>
        </w:rPr>
        <w:t>. Por tal motivo, debe precisarse que la finalidad del mencionado incidente no es la imposición de una sanción en sí misma, sino que debe considerarse como una de las formas de buscar el cumplimiento de la respectiva sentencia</w:t>
      </w:r>
      <w:r>
        <w:rPr>
          <w:rStyle w:val="Refdenotaalpie"/>
          <w:rFonts w:ascii="Bookman Old Style" w:hAnsi="Bookman Old Style"/>
          <w:sz w:val="24"/>
          <w:szCs w:val="24"/>
        </w:rPr>
        <w:footnoteReference w:id="4"/>
      </w:r>
      <w:r>
        <w:rPr>
          <w:rFonts w:ascii="Bookman Old Style" w:hAnsi="Bookman Old Style"/>
          <w:sz w:val="24"/>
          <w:szCs w:val="24"/>
        </w:rPr>
        <w:t xml:space="preserve">. (Negrilla y Subrayado con intención). </w:t>
      </w:r>
    </w:p>
    <w:p w:rsidR="00682A74" w:rsidRDefault="00682A74" w:rsidP="00682A74">
      <w:pPr>
        <w:jc w:val="both"/>
        <w:rPr>
          <w:rFonts w:ascii="Bookman Old Style" w:hAnsi="Bookman Old Style"/>
          <w:sz w:val="24"/>
          <w:szCs w:val="24"/>
        </w:rPr>
      </w:pPr>
    </w:p>
    <w:p w:rsidR="00682A74" w:rsidRDefault="00682A74" w:rsidP="00682A74">
      <w:pPr>
        <w:spacing w:line="360" w:lineRule="auto"/>
        <w:jc w:val="both"/>
        <w:rPr>
          <w:rFonts w:ascii="Bookman Old Style" w:hAnsi="Bookman Old Style"/>
          <w:spacing w:val="-2"/>
          <w:sz w:val="24"/>
          <w:szCs w:val="24"/>
        </w:rPr>
      </w:pPr>
      <w:r w:rsidRPr="009A2EA3">
        <w:rPr>
          <w:rFonts w:ascii="Bookman Old Style" w:hAnsi="Bookman Old Style"/>
          <w:spacing w:val="-2"/>
          <w:sz w:val="24"/>
          <w:szCs w:val="24"/>
        </w:rPr>
        <w:t>En este orden de ideas, la doctrina constitucional</w:t>
      </w:r>
      <w:r w:rsidRPr="009A2EA3">
        <w:rPr>
          <w:rStyle w:val="Refdenotaalpie"/>
          <w:rFonts w:ascii="Bookman Old Style" w:hAnsi="Bookman Old Style"/>
          <w:spacing w:val="-2"/>
          <w:sz w:val="24"/>
          <w:szCs w:val="24"/>
        </w:rPr>
        <w:footnoteReference w:id="5"/>
      </w:r>
      <w:r w:rsidRPr="009A2EA3">
        <w:rPr>
          <w:rFonts w:ascii="Bookman Old Style" w:hAnsi="Bookman Old Style"/>
          <w:spacing w:val="-2"/>
          <w:sz w:val="24"/>
          <w:szCs w:val="24"/>
        </w:rPr>
        <w:t xml:space="preserve"> ha precisado que la imposición o no de una sanción en el curso del incidente por desacato puede llevar a que el accionado se persuada del cumplimiento de la orden de tutela. En tal sentido, en caso de que se empiece a tramitar un </w:t>
      </w:r>
      <w:r w:rsidRPr="009A2EA3">
        <w:rPr>
          <w:rFonts w:ascii="Bookman Old Style" w:hAnsi="Bookman Old Style"/>
          <w:spacing w:val="-2"/>
          <w:sz w:val="24"/>
          <w:szCs w:val="24"/>
        </w:rPr>
        <w:lastRenderedPageBreak/>
        <w:t>incidente de desacato y el accionado, reconociendo que se ha desatendido lo ordenado por el juez de tutela y quiera evitar la imposición de una sanción, deberá acatar la sentencia. De igual manera, en el supuesto en que se haya adelantado todo el procedimiento y deci</w:t>
      </w:r>
      <w:r>
        <w:rPr>
          <w:rFonts w:ascii="Bookman Old Style" w:hAnsi="Bookman Old Style"/>
          <w:spacing w:val="-2"/>
          <w:sz w:val="24"/>
          <w:szCs w:val="24"/>
        </w:rPr>
        <w:t>dido sancionar al responsable, e</w:t>
      </w:r>
      <w:r w:rsidRPr="009A2EA3">
        <w:rPr>
          <w:rFonts w:ascii="Bookman Old Style" w:hAnsi="Bookman Old Style"/>
          <w:spacing w:val="-2"/>
          <w:sz w:val="24"/>
          <w:szCs w:val="24"/>
        </w:rPr>
        <w:t xml:space="preserve">ste podrá evitar que se imponga la multa o el arresto cumpliendo el fallo que lo obliga a proteger los derechos del actor. </w:t>
      </w:r>
    </w:p>
    <w:p w:rsidR="00682A74" w:rsidRDefault="00682A74" w:rsidP="00682A74">
      <w:pPr>
        <w:jc w:val="both"/>
        <w:rPr>
          <w:rFonts w:ascii="Bookman Old Style" w:hAnsi="Bookman Old Style"/>
          <w:spacing w:val="-2"/>
          <w:sz w:val="24"/>
          <w:szCs w:val="24"/>
        </w:rPr>
      </w:pPr>
    </w:p>
    <w:p w:rsidR="00682A74" w:rsidRDefault="00682A74" w:rsidP="00682A74">
      <w:pPr>
        <w:spacing w:line="360" w:lineRule="auto"/>
        <w:jc w:val="both"/>
        <w:rPr>
          <w:rFonts w:ascii="Bookman Old Style" w:hAnsi="Bookman Old Style"/>
          <w:sz w:val="24"/>
          <w:szCs w:val="24"/>
        </w:rPr>
      </w:pPr>
      <w:r>
        <w:rPr>
          <w:rFonts w:ascii="Bookman Old Style" w:hAnsi="Bookman Old Style"/>
          <w:sz w:val="24"/>
          <w:szCs w:val="24"/>
          <w:lang w:val="es-CO"/>
        </w:rPr>
        <w:t>Adicionalmente, el incidente de</w:t>
      </w:r>
      <w:r w:rsidRPr="00170121">
        <w:rPr>
          <w:rFonts w:ascii="Bookman Old Style" w:hAnsi="Bookman Old Style"/>
          <w:sz w:val="24"/>
          <w:szCs w:val="24"/>
          <w:lang w:val="es-CO"/>
        </w:rPr>
        <w:t xml:space="preserve"> desacato debe entenderse como un instrumento procesal para garantizar plenamente el derecho constitucional a la administración de justicia del accionante (art. </w:t>
      </w:r>
      <w:smartTag w:uri="urn:schemas-microsoft-com:office:smarttags" w:element="metricconverter">
        <w:smartTagPr>
          <w:attr w:name="ProductID" w:val="229 C"/>
        </w:smartTagPr>
        <w:r w:rsidRPr="00170121">
          <w:rPr>
            <w:rFonts w:ascii="Bookman Old Style" w:hAnsi="Bookman Old Style"/>
            <w:sz w:val="24"/>
            <w:szCs w:val="24"/>
            <w:lang w:val="es-CO"/>
          </w:rPr>
          <w:t>229 C</w:t>
        </w:r>
      </w:smartTag>
      <w:r>
        <w:rPr>
          <w:rFonts w:ascii="Bookman Old Style" w:hAnsi="Bookman Old Style"/>
          <w:sz w:val="24"/>
          <w:szCs w:val="24"/>
          <w:lang w:val="es-CO"/>
        </w:rPr>
        <w:t>.P.), puesto que e</w:t>
      </w:r>
      <w:r w:rsidRPr="00170121">
        <w:rPr>
          <w:rFonts w:ascii="Bookman Old Style" w:hAnsi="Bookman Old Style"/>
          <w:sz w:val="24"/>
          <w:szCs w:val="24"/>
          <w:lang w:val="es-CO"/>
        </w:rPr>
        <w:t xml:space="preserve">ste permite la materialización de la decisión emitida en sede de tutela, </w:t>
      </w:r>
      <w:r>
        <w:rPr>
          <w:rFonts w:ascii="Bookman Old Style" w:hAnsi="Bookman Old Style"/>
          <w:sz w:val="24"/>
          <w:szCs w:val="24"/>
          <w:lang w:val="es-CO"/>
        </w:rPr>
        <w:t xml:space="preserve">pues, </w:t>
      </w:r>
      <w:r w:rsidRPr="00170121">
        <w:rPr>
          <w:rFonts w:ascii="Bookman Old Style" w:hAnsi="Bookman Old Style"/>
          <w:sz w:val="24"/>
          <w:szCs w:val="24"/>
          <w:lang w:val="es-CO"/>
        </w:rPr>
        <w:t>no basta con que se otorgue a las personas la posibilidad de acudir a la tutela y que con ella se protejan sus derechos fundamentales, sino que existan medios que ayuden al cabal cumplimiento de la orden proferida por el juez constitucional.</w:t>
      </w:r>
    </w:p>
    <w:p w:rsidR="00682A74" w:rsidRDefault="00682A74" w:rsidP="00682A74">
      <w:pPr>
        <w:spacing w:line="360" w:lineRule="auto"/>
        <w:jc w:val="both"/>
        <w:rPr>
          <w:rFonts w:ascii="Bookman Old Style" w:hAnsi="Bookman Old Style"/>
          <w:sz w:val="24"/>
          <w:szCs w:val="24"/>
        </w:rPr>
      </w:pPr>
    </w:p>
    <w:p w:rsidR="00682A74" w:rsidRDefault="00682A74" w:rsidP="00682A74">
      <w:pPr>
        <w:jc w:val="both"/>
        <w:rPr>
          <w:rFonts w:ascii="Bookman Old Style" w:hAnsi="Bookman Old Style"/>
          <w:b/>
          <w:sz w:val="24"/>
          <w:szCs w:val="24"/>
          <w:lang w:val="es-CO"/>
        </w:rPr>
      </w:pPr>
      <w:r w:rsidRPr="00835176">
        <w:rPr>
          <w:rFonts w:ascii="Bookman Old Style" w:hAnsi="Bookman Old Style"/>
          <w:b/>
          <w:sz w:val="24"/>
          <w:szCs w:val="24"/>
          <w:lang w:val="es-CO"/>
        </w:rPr>
        <w:t xml:space="preserve">De la consulta </w:t>
      </w:r>
    </w:p>
    <w:p w:rsidR="00682A74" w:rsidRPr="00835176" w:rsidRDefault="00682A74" w:rsidP="00682A74">
      <w:pPr>
        <w:jc w:val="both"/>
        <w:rPr>
          <w:rFonts w:ascii="Bookman Old Style" w:hAnsi="Bookman Old Style"/>
          <w:b/>
          <w:sz w:val="24"/>
          <w:szCs w:val="24"/>
          <w:lang w:val="es-CO"/>
        </w:rPr>
      </w:pPr>
    </w:p>
    <w:p w:rsidR="00682A74" w:rsidRDefault="00682A74" w:rsidP="00682A74">
      <w:pPr>
        <w:spacing w:line="360" w:lineRule="auto"/>
        <w:jc w:val="both"/>
        <w:rPr>
          <w:rFonts w:ascii="Bookman Old Style" w:hAnsi="Bookman Old Style"/>
          <w:sz w:val="24"/>
          <w:szCs w:val="24"/>
          <w:lang w:val="es-CO"/>
        </w:rPr>
      </w:pPr>
      <w:r w:rsidRPr="00835176">
        <w:rPr>
          <w:rFonts w:ascii="Bookman Old Style" w:hAnsi="Bookman Old Style"/>
          <w:sz w:val="24"/>
          <w:szCs w:val="24"/>
          <w:lang w:val="es-CO"/>
        </w:rPr>
        <w:t xml:space="preserve">Se ha establecido por parte del Alto Tribunal Constitucional que la finalidad del grado jurisdiccional de consulta está prevista para proteger los derechos del </w:t>
      </w:r>
      <w:r>
        <w:rPr>
          <w:rFonts w:ascii="Bookman Old Style" w:hAnsi="Bookman Old Style"/>
          <w:sz w:val="24"/>
          <w:szCs w:val="24"/>
          <w:lang w:val="es-CO"/>
        </w:rPr>
        <w:t>accionado, toda vez que e</w:t>
      </w:r>
      <w:r w:rsidRPr="00835176">
        <w:rPr>
          <w:rFonts w:ascii="Bookman Old Style" w:hAnsi="Bookman Old Style"/>
          <w:sz w:val="24"/>
          <w:szCs w:val="24"/>
          <w:lang w:val="es-CO"/>
        </w:rPr>
        <w:t>ste se encuentra en un</w:t>
      </w:r>
      <w:r>
        <w:rPr>
          <w:rFonts w:ascii="Bookman Old Style" w:hAnsi="Bookman Old Style"/>
          <w:sz w:val="24"/>
          <w:szCs w:val="24"/>
          <w:lang w:val="es-CO"/>
        </w:rPr>
        <w:t>a situación de indefensión, l</w:t>
      </w:r>
      <w:r w:rsidRPr="00835176">
        <w:rPr>
          <w:rFonts w:ascii="Bookman Old Style" w:hAnsi="Bookman Old Style"/>
          <w:sz w:val="24"/>
          <w:szCs w:val="24"/>
          <w:lang w:val="es-CO"/>
        </w:rPr>
        <w:t xml:space="preserve">o anterior, por cuanto se trata de un sujeto a quien se le ha impuesto una sanción de multa o privación de la libertad por el incumplimiento </w:t>
      </w:r>
      <w:r>
        <w:rPr>
          <w:rFonts w:ascii="Bookman Old Style" w:hAnsi="Bookman Old Style"/>
          <w:sz w:val="24"/>
          <w:szCs w:val="24"/>
          <w:lang w:val="es-CO"/>
        </w:rPr>
        <w:t>de una orden contenida en un fallo</w:t>
      </w:r>
      <w:r w:rsidRPr="00835176">
        <w:rPr>
          <w:rFonts w:ascii="Bookman Old Style" w:hAnsi="Bookman Old Style"/>
          <w:sz w:val="24"/>
          <w:szCs w:val="24"/>
          <w:lang w:val="es-CO"/>
        </w:rPr>
        <w:t xml:space="preserve"> de tutela. En este contexto, se encuentra que la consulta al proceder sin necesidad de solicitud de las partes comprometidas en el trámite, debe ser considerada como un mecanismo automático que conduce al superior a establecer la legalidad de la decisión adoptada por el inferior, generalmente con base en motivos de interés público o con el objetivo de proteger a una de las partes dentro del mencionado procedimiento. De tal forma que, su estudio debe limitarse a la primera providencia, por tanto, la consulta del incidente no puede extenderse al análisis de la legalidad de la sentencia de tutela en la cual se dio la ord</w:t>
      </w:r>
      <w:r>
        <w:rPr>
          <w:rFonts w:ascii="Bookman Old Style" w:hAnsi="Bookman Old Style"/>
          <w:sz w:val="24"/>
          <w:szCs w:val="24"/>
          <w:lang w:val="es-CO"/>
        </w:rPr>
        <w:t>en que se alega como incumplida</w:t>
      </w:r>
      <w:r w:rsidRPr="00835176">
        <w:rPr>
          <w:rStyle w:val="Refdenotaalpie"/>
          <w:rFonts w:ascii="Bookman Old Style" w:hAnsi="Bookman Old Style"/>
          <w:sz w:val="24"/>
          <w:szCs w:val="24"/>
          <w:lang w:val="es-CO"/>
        </w:rPr>
        <w:footnoteReference w:id="6"/>
      </w:r>
      <w:r>
        <w:rPr>
          <w:rFonts w:ascii="Bookman Old Style" w:hAnsi="Bookman Old Style"/>
          <w:sz w:val="24"/>
          <w:szCs w:val="24"/>
          <w:lang w:val="es-CO"/>
        </w:rPr>
        <w:t>.</w:t>
      </w:r>
    </w:p>
    <w:p w:rsidR="00682A74" w:rsidRPr="007E28B4" w:rsidRDefault="00682A74" w:rsidP="00682A74">
      <w:pPr>
        <w:jc w:val="both"/>
        <w:rPr>
          <w:rFonts w:ascii="Bookman Old Style" w:hAnsi="Bookman Old Style"/>
          <w:sz w:val="24"/>
          <w:szCs w:val="24"/>
          <w:lang w:val="es-CO"/>
        </w:rPr>
      </w:pPr>
    </w:p>
    <w:p w:rsidR="00682A74" w:rsidRDefault="00682A74" w:rsidP="00682A74">
      <w:pPr>
        <w:spacing w:line="360" w:lineRule="auto"/>
        <w:ind w:right="51"/>
        <w:jc w:val="both"/>
        <w:rPr>
          <w:rFonts w:ascii="Bookman Old Style" w:hAnsi="Bookman Old Style"/>
          <w:sz w:val="24"/>
          <w:szCs w:val="24"/>
        </w:rPr>
      </w:pPr>
      <w:r w:rsidRPr="00835176">
        <w:rPr>
          <w:rFonts w:ascii="Bookman Old Style" w:hAnsi="Bookman Old Style"/>
          <w:sz w:val="24"/>
          <w:szCs w:val="24"/>
        </w:rPr>
        <w:t xml:space="preserve">De acuerdo con las consideraciones que han sido expuestas hasta ahora, se encuentra que constituye un deber ineludible del juez de tutela </w:t>
      </w:r>
      <w:r w:rsidRPr="00835176">
        <w:rPr>
          <w:rFonts w:ascii="Bookman Old Style" w:hAnsi="Bookman Old Style"/>
          <w:sz w:val="24"/>
          <w:szCs w:val="24"/>
        </w:rPr>
        <w:lastRenderedPageBreak/>
        <w:t>verificar si efectivamente existió incumplimiento parcial o integral de la orden proferida en la</w:t>
      </w:r>
      <w:r>
        <w:rPr>
          <w:rFonts w:ascii="Bookman Old Style" w:hAnsi="Bookman Old Style"/>
          <w:sz w:val="24"/>
          <w:szCs w:val="24"/>
        </w:rPr>
        <w:t xml:space="preserve"> sentencia, con lo cual, una vez precisada la anterior situación tiene la obligación de indagar cuáles fueron las razones por las que el accionado no cumplió con la decisión tomada dentro del proceso; lo anterior a fin de establecer las medidas necesarias para proteger efectivamente los derechos fundamentales invocados por el </w:t>
      </w:r>
      <w:proofErr w:type="spellStart"/>
      <w:r>
        <w:rPr>
          <w:rFonts w:ascii="Bookman Old Style" w:hAnsi="Bookman Old Style"/>
          <w:sz w:val="24"/>
          <w:szCs w:val="24"/>
        </w:rPr>
        <w:t>tutelante</w:t>
      </w:r>
      <w:proofErr w:type="spellEnd"/>
      <w:r>
        <w:rPr>
          <w:rFonts w:ascii="Bookman Old Style" w:hAnsi="Bookman Old Style"/>
          <w:sz w:val="24"/>
          <w:szCs w:val="24"/>
        </w:rPr>
        <w:t xml:space="preserve">. </w:t>
      </w:r>
    </w:p>
    <w:p w:rsidR="00682A74" w:rsidRDefault="00682A74" w:rsidP="00682A74">
      <w:pPr>
        <w:ind w:right="51"/>
        <w:jc w:val="both"/>
        <w:rPr>
          <w:rFonts w:ascii="Bookman Old Style" w:hAnsi="Bookman Old Style"/>
          <w:sz w:val="24"/>
          <w:szCs w:val="24"/>
        </w:rPr>
      </w:pPr>
    </w:p>
    <w:p w:rsidR="00682A74" w:rsidRDefault="00682A74" w:rsidP="00682A74">
      <w:pPr>
        <w:spacing w:line="360" w:lineRule="auto"/>
        <w:jc w:val="both"/>
        <w:rPr>
          <w:rFonts w:ascii="Bookman Old Style" w:hAnsi="Bookman Old Style"/>
          <w:sz w:val="24"/>
          <w:szCs w:val="24"/>
          <w:lang w:val="es-CO"/>
        </w:rPr>
      </w:pPr>
      <w:r w:rsidRPr="00835176">
        <w:rPr>
          <w:rFonts w:ascii="Bookman Old Style" w:hAnsi="Bookman Old Style"/>
          <w:sz w:val="24"/>
          <w:szCs w:val="24"/>
          <w:lang w:val="es-CO"/>
        </w:rPr>
        <w:t>Igualmente, el juez al tr</w:t>
      </w:r>
      <w:r>
        <w:rPr>
          <w:rFonts w:ascii="Bookman Old Style" w:hAnsi="Bookman Old Style"/>
          <w:sz w:val="24"/>
          <w:szCs w:val="24"/>
          <w:lang w:val="es-CO"/>
        </w:rPr>
        <w:t>a</w:t>
      </w:r>
      <w:r w:rsidRPr="00835176">
        <w:rPr>
          <w:rFonts w:ascii="Bookman Old Style" w:hAnsi="Bookman Old Style"/>
          <w:sz w:val="24"/>
          <w:szCs w:val="24"/>
          <w:lang w:val="es-CO"/>
        </w:rPr>
        <w:t>mitar el respectivo incidente tiene el deber constitucional de indagar por la presencia de elementos que van dirigidos a demostrar la responsabilidad subjetiva de quien incurre en desacato, por tanto</w:t>
      </w:r>
      <w:r>
        <w:rPr>
          <w:rFonts w:ascii="Bookman Old Style" w:hAnsi="Bookman Old Style"/>
          <w:sz w:val="24"/>
          <w:szCs w:val="24"/>
          <w:lang w:val="es-CO"/>
        </w:rPr>
        <w:t>,</w:t>
      </w:r>
      <w:r w:rsidRPr="00835176">
        <w:rPr>
          <w:rFonts w:ascii="Bookman Old Style" w:hAnsi="Bookman Old Style"/>
          <w:sz w:val="24"/>
          <w:szCs w:val="24"/>
          <w:lang w:val="es-CO"/>
        </w:rPr>
        <w:t xml:space="preserve"> dentro del proceso debe aparecer probada la negligencia de la persona que desconoció el referido fallo, lo cual conlleva a que no pueda presumi</w:t>
      </w:r>
      <w:r>
        <w:rPr>
          <w:rFonts w:ascii="Bookman Old Style" w:hAnsi="Bookman Old Style"/>
          <w:sz w:val="24"/>
          <w:szCs w:val="24"/>
          <w:lang w:val="es-CO"/>
        </w:rPr>
        <w:t>rse la responsabilidad por el so</w:t>
      </w:r>
      <w:r w:rsidRPr="00835176">
        <w:rPr>
          <w:rFonts w:ascii="Bookman Old Style" w:hAnsi="Bookman Old Style"/>
          <w:sz w:val="24"/>
          <w:szCs w:val="24"/>
          <w:lang w:val="es-CO"/>
        </w:rPr>
        <w:t>lo hecho del incumplimiento. De acuerdo con ello, el juzgador tiene la obligación de determinar a partir de la verificación de la existencia de responsabilidad subjetiva del accionado cuál debe ser la sanción adecuada</w:t>
      </w:r>
      <w:r>
        <w:rPr>
          <w:rFonts w:ascii="Bookman Old Style" w:hAnsi="Bookman Old Style"/>
          <w:sz w:val="24"/>
          <w:szCs w:val="24"/>
          <w:lang w:val="es-CO"/>
        </w:rPr>
        <w:t xml:space="preserve"> </w:t>
      </w:r>
      <w:r w:rsidRPr="00835176">
        <w:rPr>
          <w:rFonts w:ascii="Bookman Old Style" w:hAnsi="Bookman Old Style"/>
          <w:sz w:val="24"/>
          <w:szCs w:val="24"/>
          <w:lang w:val="es-CO"/>
        </w:rPr>
        <w:t>-proporcionada y razonable- a los hechos</w:t>
      </w:r>
      <w:r w:rsidRPr="00835176">
        <w:rPr>
          <w:rStyle w:val="Refdenotaalpie"/>
          <w:rFonts w:ascii="Bookman Old Style" w:hAnsi="Bookman Old Style"/>
          <w:sz w:val="24"/>
          <w:szCs w:val="24"/>
          <w:lang w:val="es-CO"/>
        </w:rPr>
        <w:footnoteReference w:id="7"/>
      </w:r>
      <w:r w:rsidRPr="00835176">
        <w:rPr>
          <w:rFonts w:ascii="Bookman Old Style" w:hAnsi="Bookman Old Style"/>
          <w:sz w:val="24"/>
          <w:szCs w:val="24"/>
          <w:lang w:val="es-CO"/>
        </w:rPr>
        <w:t>.</w:t>
      </w:r>
    </w:p>
    <w:p w:rsidR="00682A74" w:rsidRDefault="00682A74" w:rsidP="00682A74">
      <w:pPr>
        <w:spacing w:line="360" w:lineRule="auto"/>
        <w:jc w:val="both"/>
        <w:rPr>
          <w:rFonts w:ascii="Bookman Old Style" w:hAnsi="Bookman Old Style"/>
          <w:sz w:val="24"/>
          <w:szCs w:val="24"/>
          <w:lang w:val="es-CO"/>
        </w:rPr>
      </w:pPr>
    </w:p>
    <w:p w:rsidR="00786879" w:rsidRDefault="00786879" w:rsidP="00786879">
      <w:pPr>
        <w:shd w:val="clear" w:color="auto" w:fill="FFFFFF"/>
        <w:jc w:val="both"/>
        <w:rPr>
          <w:rFonts w:ascii="Bookman Old Style" w:hAnsi="Bookman Old Style"/>
          <w:b/>
          <w:color w:val="000000"/>
          <w:sz w:val="24"/>
          <w:szCs w:val="24"/>
        </w:rPr>
      </w:pPr>
      <w:r>
        <w:rPr>
          <w:rFonts w:ascii="Bookman Old Style" w:hAnsi="Bookman Old Style"/>
          <w:b/>
          <w:color w:val="000000"/>
          <w:sz w:val="24"/>
          <w:szCs w:val="24"/>
        </w:rPr>
        <w:t>De la responsabilidad subjetiva</w:t>
      </w:r>
    </w:p>
    <w:p w:rsidR="00786879" w:rsidRDefault="00786879" w:rsidP="00786879">
      <w:pPr>
        <w:shd w:val="clear" w:color="auto" w:fill="FFFFFF"/>
        <w:jc w:val="both"/>
        <w:rPr>
          <w:rFonts w:ascii="Bookman Old Style" w:hAnsi="Bookman Old Style"/>
          <w:color w:val="000000"/>
          <w:sz w:val="24"/>
          <w:szCs w:val="24"/>
        </w:rPr>
      </w:pPr>
    </w:p>
    <w:p w:rsidR="00786879" w:rsidRDefault="00786879" w:rsidP="00786879">
      <w:pPr>
        <w:shd w:val="clear" w:color="auto" w:fill="FFFFFF"/>
        <w:spacing w:line="360" w:lineRule="auto"/>
        <w:jc w:val="both"/>
        <w:rPr>
          <w:rFonts w:ascii="Bookman Old Style" w:hAnsi="Bookman Old Style"/>
          <w:color w:val="000000"/>
          <w:sz w:val="24"/>
          <w:szCs w:val="24"/>
        </w:rPr>
      </w:pPr>
      <w:r>
        <w:rPr>
          <w:rFonts w:ascii="Bookman Old Style" w:hAnsi="Bookman Old Style"/>
          <w:color w:val="000000"/>
          <w:sz w:val="24"/>
          <w:szCs w:val="24"/>
        </w:rPr>
        <w:t xml:space="preserve">Sobre el particular, la Corte Constitucional se ha pronunciado en varias oportunidades en los siguientes términos: </w:t>
      </w:r>
    </w:p>
    <w:p w:rsidR="00786879" w:rsidRDefault="00786879" w:rsidP="00786879">
      <w:pPr>
        <w:shd w:val="clear" w:color="auto" w:fill="FFFFFF"/>
        <w:jc w:val="both"/>
        <w:rPr>
          <w:rFonts w:ascii="Bookman Old Style" w:hAnsi="Bookman Old Style"/>
          <w:color w:val="000000"/>
          <w:sz w:val="24"/>
          <w:szCs w:val="24"/>
        </w:rPr>
      </w:pPr>
    </w:p>
    <w:p w:rsidR="00786879" w:rsidRDefault="00786879" w:rsidP="00786879">
      <w:pPr>
        <w:shd w:val="clear" w:color="auto" w:fill="FFFFFF"/>
        <w:ind w:left="567"/>
        <w:jc w:val="both"/>
        <w:rPr>
          <w:rFonts w:ascii="Bookman Old Style" w:hAnsi="Bookman Old Style"/>
          <w:color w:val="000000"/>
          <w:sz w:val="22"/>
          <w:szCs w:val="22"/>
        </w:rPr>
      </w:pPr>
      <w:r>
        <w:rPr>
          <w:rFonts w:ascii="Bookman Old Style" w:hAnsi="Bookman Old Style"/>
          <w:color w:val="000000"/>
          <w:sz w:val="24"/>
          <w:szCs w:val="24"/>
        </w:rPr>
        <w:t>“</w:t>
      </w:r>
      <w:r>
        <w:rPr>
          <w:rFonts w:ascii="Bookman Old Style" w:hAnsi="Bookman Old Style"/>
          <w:b/>
          <w:i/>
          <w:color w:val="000000"/>
          <w:sz w:val="22"/>
          <w:szCs w:val="22"/>
          <w:u w:val="single"/>
        </w:rPr>
        <w:t>El desacato consiste en una conducta que, mirada objetivamente por el juez, implica que el fallo de tutela no ha sido cumplido. Desde el punto de vista subjetivo, la responsabilidad de quien ha dado lugar a ese incumplimiento debe ser deducida en concreto, en cabeza de las personas a quienes está dirigido el mandato judicial</w:t>
      </w:r>
      <w:r>
        <w:rPr>
          <w:rFonts w:ascii="Bookman Old Style" w:hAnsi="Bookman Old Style"/>
          <w:i/>
          <w:color w:val="000000"/>
          <w:sz w:val="22"/>
          <w:szCs w:val="22"/>
        </w:rPr>
        <w:t>, lo que significa que éstas deben gozar de la oportunidad de defenderse dentro del incidente y estar rodeadas de todas las garantías procesales. El concepto de desacato, por otra parte, según se puede leer en la norma transcrita, alude de manera genérica a cualquier modalidad de incumplimiento de órdenes proferidas por los jueces con base en el Decreto 2591 de 1991, de lo cual resulta que no solamente puede configurarse a partir de la desatención, burla o incumplimiento de lo dispuesto en el fallo de tutela sino también de la desobediencia a otras decisiones adoptadas por el juez en el curso del proceso..</w:t>
      </w:r>
      <w:r>
        <w:rPr>
          <w:rFonts w:ascii="Bookman Old Style" w:hAnsi="Bookman Old Style"/>
          <w:color w:val="000000"/>
          <w:sz w:val="22"/>
          <w:szCs w:val="22"/>
        </w:rPr>
        <w:t>.</w:t>
      </w:r>
    </w:p>
    <w:p w:rsidR="00786879" w:rsidRDefault="00786879" w:rsidP="00786879">
      <w:pPr>
        <w:shd w:val="clear" w:color="auto" w:fill="FFFFFF"/>
        <w:ind w:left="567"/>
        <w:jc w:val="both"/>
        <w:rPr>
          <w:rFonts w:ascii="Bookman Old Style" w:hAnsi="Bookman Old Style"/>
          <w:color w:val="000000"/>
          <w:sz w:val="22"/>
          <w:szCs w:val="22"/>
        </w:rPr>
      </w:pPr>
    </w:p>
    <w:p w:rsidR="00786879" w:rsidRDefault="00786879" w:rsidP="00786879">
      <w:pPr>
        <w:shd w:val="clear" w:color="auto" w:fill="FFFFFF"/>
        <w:ind w:left="567"/>
        <w:jc w:val="both"/>
        <w:rPr>
          <w:rFonts w:ascii="Bookman Old Style" w:hAnsi="Bookman Old Style"/>
          <w:color w:val="000000"/>
          <w:sz w:val="24"/>
          <w:szCs w:val="24"/>
        </w:rPr>
      </w:pPr>
      <w:r>
        <w:rPr>
          <w:rFonts w:ascii="Bookman Old Style" w:hAnsi="Bookman Old Style"/>
          <w:color w:val="000000"/>
          <w:sz w:val="24"/>
          <w:szCs w:val="24"/>
        </w:rPr>
        <w:t xml:space="preserve">(…) </w:t>
      </w:r>
    </w:p>
    <w:p w:rsidR="00786879" w:rsidRDefault="00786879" w:rsidP="00786879">
      <w:pPr>
        <w:shd w:val="clear" w:color="auto" w:fill="FFFFFF"/>
        <w:ind w:left="567"/>
        <w:jc w:val="both"/>
        <w:rPr>
          <w:rFonts w:ascii="Bookman Old Style" w:hAnsi="Bookman Old Style"/>
          <w:color w:val="000000"/>
          <w:sz w:val="24"/>
          <w:szCs w:val="24"/>
        </w:rPr>
      </w:pPr>
    </w:p>
    <w:p w:rsidR="00786879" w:rsidRDefault="00786879" w:rsidP="00786879">
      <w:pPr>
        <w:shd w:val="clear" w:color="auto" w:fill="FFFFFF"/>
        <w:ind w:left="567"/>
        <w:jc w:val="both"/>
        <w:rPr>
          <w:rFonts w:ascii="Bookman Old Style" w:hAnsi="Bookman Old Style"/>
          <w:color w:val="000000"/>
          <w:sz w:val="24"/>
          <w:szCs w:val="24"/>
        </w:rPr>
      </w:pPr>
      <w:r>
        <w:rPr>
          <w:rFonts w:ascii="Bookman Old Style" w:hAnsi="Bookman Old Style"/>
          <w:i/>
          <w:color w:val="000000"/>
          <w:sz w:val="22"/>
          <w:szCs w:val="22"/>
        </w:rPr>
        <w:t xml:space="preserve">“En cumplimiento del deber procesal que tiene el juez de dictar providencias revestidas de justicia, de frente a la realidad fáctica, y atendiendo a que </w:t>
      </w:r>
      <w:r>
        <w:rPr>
          <w:rFonts w:ascii="Bookman Old Style" w:hAnsi="Bookman Old Style"/>
          <w:i/>
          <w:color w:val="000000"/>
          <w:sz w:val="22"/>
          <w:szCs w:val="22"/>
        </w:rPr>
        <w:lastRenderedPageBreak/>
        <w:t>debe mediar responsabilidad subjetiva, es de vital importancia que la vinculación que se haga de quienes se pretende deducir esa responsabilidad, sea</w:t>
      </w:r>
      <w:r>
        <w:rPr>
          <w:rFonts w:ascii="Bookman Old Style" w:hAnsi="Bookman Old Style"/>
          <w:b/>
          <w:i/>
          <w:color w:val="000000"/>
          <w:sz w:val="22"/>
          <w:szCs w:val="22"/>
        </w:rPr>
        <w:t xml:space="preserve"> </w:t>
      </w:r>
      <w:r>
        <w:rPr>
          <w:rFonts w:ascii="Bookman Old Style" w:hAnsi="Bookman Old Style"/>
          <w:b/>
          <w:i/>
          <w:color w:val="000000"/>
          <w:sz w:val="22"/>
          <w:szCs w:val="22"/>
          <w:u w:val="single"/>
        </w:rPr>
        <w:t>personal por excelencia</w:t>
      </w:r>
      <w:r>
        <w:rPr>
          <w:rFonts w:ascii="Bookman Old Style" w:hAnsi="Bookman Old Style"/>
          <w:b/>
          <w:i/>
          <w:color w:val="000000"/>
          <w:sz w:val="22"/>
          <w:szCs w:val="22"/>
        </w:rPr>
        <w:t xml:space="preserve">, </w:t>
      </w:r>
      <w:r>
        <w:rPr>
          <w:rFonts w:ascii="Bookman Old Style" w:hAnsi="Bookman Old Style"/>
          <w:i/>
          <w:color w:val="000000"/>
          <w:sz w:val="22"/>
          <w:szCs w:val="22"/>
        </w:rPr>
        <w:t>es decir señalando los nombres</w:t>
      </w:r>
      <w:r>
        <w:rPr>
          <w:rFonts w:ascii="Bookman Old Style" w:hAnsi="Bookman Old Style"/>
          <w:b/>
          <w:i/>
          <w:color w:val="000000"/>
          <w:sz w:val="22"/>
          <w:szCs w:val="22"/>
        </w:rPr>
        <w:t xml:space="preserve"> </w:t>
      </w:r>
      <w:r>
        <w:rPr>
          <w:rFonts w:ascii="Bookman Old Style" w:hAnsi="Bookman Old Style"/>
          <w:i/>
          <w:color w:val="000000"/>
          <w:sz w:val="22"/>
          <w:szCs w:val="22"/>
        </w:rPr>
        <w:t>y apellidos, y en lo posible con su número de identificación, de manera que pueda individualizarse dentro de todo el trámite incidental quien está llamado a dar cumplimiento a lo ordenado</w:t>
      </w:r>
      <w:r>
        <w:rPr>
          <w:rFonts w:ascii="Bookman Old Style" w:hAnsi="Bookman Old Style"/>
          <w:color w:val="000000"/>
          <w:sz w:val="24"/>
          <w:szCs w:val="24"/>
        </w:rPr>
        <w:t>.”</w:t>
      </w:r>
      <w:r>
        <w:rPr>
          <w:rStyle w:val="Refdenotaalpie"/>
          <w:rFonts w:ascii="Bookman Old Style" w:hAnsi="Bookman Old Style"/>
          <w:color w:val="000000"/>
          <w:sz w:val="24"/>
          <w:szCs w:val="24"/>
        </w:rPr>
        <w:t xml:space="preserve"> </w:t>
      </w:r>
      <w:r>
        <w:rPr>
          <w:rStyle w:val="Refdenotaalpie"/>
          <w:rFonts w:ascii="Bookman Old Style" w:hAnsi="Bookman Old Style"/>
          <w:color w:val="000000"/>
          <w:sz w:val="24"/>
          <w:szCs w:val="24"/>
        </w:rPr>
        <w:footnoteReference w:id="8"/>
      </w:r>
      <w:r>
        <w:rPr>
          <w:rFonts w:ascii="Bookman Old Style" w:hAnsi="Bookman Old Style"/>
          <w:color w:val="000000"/>
          <w:sz w:val="24"/>
          <w:szCs w:val="24"/>
        </w:rPr>
        <w:t xml:space="preserve"> (Negrilla fuera del Texto).</w:t>
      </w:r>
    </w:p>
    <w:p w:rsidR="00786879" w:rsidRDefault="00786879" w:rsidP="00786879">
      <w:pPr>
        <w:shd w:val="clear" w:color="auto" w:fill="FFFFFF"/>
        <w:jc w:val="both"/>
        <w:rPr>
          <w:rFonts w:ascii="Bookman Old Style" w:hAnsi="Bookman Old Style"/>
          <w:color w:val="000000"/>
          <w:sz w:val="24"/>
          <w:szCs w:val="24"/>
        </w:rPr>
      </w:pPr>
    </w:p>
    <w:p w:rsidR="00786879" w:rsidRDefault="00786879" w:rsidP="00786879">
      <w:pPr>
        <w:shd w:val="clear" w:color="auto" w:fill="FFFFFF"/>
        <w:ind w:firstLine="567"/>
        <w:jc w:val="both"/>
        <w:rPr>
          <w:rFonts w:ascii="Bookman Old Style" w:hAnsi="Bookman Old Style"/>
          <w:color w:val="000000"/>
          <w:sz w:val="24"/>
          <w:szCs w:val="24"/>
        </w:rPr>
      </w:pPr>
      <w:r>
        <w:rPr>
          <w:rFonts w:ascii="Bookman Old Style" w:hAnsi="Bookman Old Style"/>
          <w:color w:val="000000"/>
          <w:sz w:val="24"/>
          <w:szCs w:val="24"/>
        </w:rPr>
        <w:t>(…)</w:t>
      </w:r>
    </w:p>
    <w:p w:rsidR="00786879" w:rsidRDefault="00786879" w:rsidP="00786879">
      <w:pPr>
        <w:shd w:val="clear" w:color="auto" w:fill="FFFFFF"/>
        <w:jc w:val="both"/>
        <w:rPr>
          <w:rFonts w:ascii="Bookman Old Style" w:hAnsi="Bookman Old Style"/>
          <w:color w:val="000000"/>
          <w:sz w:val="24"/>
          <w:szCs w:val="24"/>
        </w:rPr>
      </w:pPr>
    </w:p>
    <w:p w:rsidR="00786879" w:rsidRDefault="00786879" w:rsidP="00786879">
      <w:pPr>
        <w:shd w:val="clear" w:color="auto" w:fill="FFFFFF"/>
        <w:ind w:left="567"/>
        <w:jc w:val="both"/>
        <w:rPr>
          <w:rFonts w:ascii="Bookman Old Style" w:hAnsi="Bookman Old Style"/>
          <w:color w:val="000000"/>
          <w:sz w:val="22"/>
          <w:szCs w:val="22"/>
        </w:rPr>
      </w:pPr>
      <w:r>
        <w:rPr>
          <w:rFonts w:ascii="Bookman Old Style" w:hAnsi="Bookman Old Style"/>
          <w:i/>
          <w:color w:val="000000"/>
          <w:sz w:val="22"/>
          <w:szCs w:val="22"/>
        </w:rPr>
        <w:t>“…</w:t>
      </w:r>
      <w:r>
        <w:rPr>
          <w:rFonts w:ascii="Bookman Old Style" w:hAnsi="Bookman Old Style"/>
          <w:b/>
          <w:i/>
          <w:color w:val="000000"/>
          <w:sz w:val="22"/>
          <w:szCs w:val="22"/>
          <w:u w:val="single"/>
        </w:rPr>
        <w:t>que cualquier modalidad de proceso sancionatorio, exige la presencia o participación del supuesto infractor, en aras de ejercitar la debida contradicción a la acusación que pesa en su contra</w:t>
      </w:r>
      <w:r>
        <w:rPr>
          <w:rFonts w:ascii="Bookman Old Style" w:hAnsi="Bookman Old Style"/>
          <w:i/>
          <w:color w:val="000000"/>
          <w:sz w:val="22"/>
          <w:szCs w:val="22"/>
        </w:rPr>
        <w:t>”</w:t>
      </w:r>
      <w:r>
        <w:rPr>
          <w:rStyle w:val="Refdenotaalpie"/>
          <w:rFonts w:ascii="Bookman Old Style" w:hAnsi="Bookman Old Style"/>
          <w:i/>
          <w:color w:val="000000"/>
          <w:sz w:val="22"/>
          <w:szCs w:val="22"/>
        </w:rPr>
        <w:footnoteReference w:id="9"/>
      </w:r>
      <w:r>
        <w:rPr>
          <w:rFonts w:ascii="Bookman Old Style" w:hAnsi="Bookman Old Style"/>
          <w:i/>
          <w:color w:val="000000"/>
          <w:sz w:val="22"/>
          <w:szCs w:val="22"/>
        </w:rPr>
        <w:t xml:space="preserve"> </w:t>
      </w:r>
      <w:r>
        <w:rPr>
          <w:rFonts w:ascii="Bookman Old Style" w:hAnsi="Bookman Old Style"/>
          <w:color w:val="000000"/>
          <w:sz w:val="22"/>
          <w:szCs w:val="22"/>
        </w:rPr>
        <w:t xml:space="preserve">(Negrilla y subraya propias de la Sala). </w:t>
      </w:r>
    </w:p>
    <w:p w:rsidR="00786879" w:rsidRDefault="00786879" w:rsidP="00786879">
      <w:pPr>
        <w:shd w:val="clear" w:color="auto" w:fill="FFFFFF"/>
        <w:spacing w:line="276" w:lineRule="auto"/>
        <w:jc w:val="both"/>
        <w:rPr>
          <w:rFonts w:ascii="Bookman Old Style" w:hAnsi="Bookman Old Style"/>
          <w:color w:val="000000"/>
          <w:sz w:val="24"/>
          <w:szCs w:val="24"/>
        </w:rPr>
      </w:pPr>
    </w:p>
    <w:p w:rsidR="00786879" w:rsidRDefault="00786879" w:rsidP="00786879">
      <w:pPr>
        <w:shd w:val="clear" w:color="auto" w:fill="FFFFFF"/>
        <w:spacing w:line="360" w:lineRule="auto"/>
        <w:jc w:val="both"/>
        <w:rPr>
          <w:rFonts w:ascii="Bookman Old Style" w:hAnsi="Bookman Old Style"/>
          <w:color w:val="000000"/>
          <w:sz w:val="24"/>
          <w:szCs w:val="24"/>
        </w:rPr>
      </w:pPr>
      <w:r>
        <w:rPr>
          <w:rFonts w:ascii="Bookman Old Style" w:hAnsi="Bookman Old Style"/>
          <w:color w:val="000000"/>
          <w:sz w:val="24"/>
          <w:szCs w:val="24"/>
        </w:rPr>
        <w:t xml:space="preserve">El Alto Tribunal ha sido enfático en resaltar, que la determinación del nombre y apellido, como mínimo, de quien ostenta el cargo en virtud del cual se adquiere la obligación de cumplir con la orden impartida en la sentencia judicial, brinda la certeza de que la persona respecto de la cual se adelantó la investigación y que tuvo la oportunidad de defenderse sea el mismo que se sancione, si es el caso; pues, es factible que al iniciarse el respectivo incidente de desacato se dirija en contra de un funcionario, pero que en el curso del mismo éste sea reemplazado por otro respecto del cual no podrá derivarse la responsabilidad en la que haya incurrido el anterior, debiéndosele entonces respetar dentro de todas las etapas propias de este trámite el derecho de defensa, atendiendo a las implicaciones pecuniarias -multa- y personales –privación de libertad- que pueden impartirse mediante el mismo. De esto modo, por el hecho de ser sumario, el trámite del incidente de desacato no faculta al operador jurídico para ignorar el derecho de defensa del que finalmente puede ser sancionado. </w:t>
      </w:r>
    </w:p>
    <w:p w:rsidR="00786879" w:rsidRDefault="00786879" w:rsidP="00786879">
      <w:pPr>
        <w:shd w:val="clear" w:color="auto" w:fill="FFFFFF"/>
        <w:jc w:val="both"/>
        <w:rPr>
          <w:rFonts w:ascii="Bookman Old Style" w:hAnsi="Bookman Old Style"/>
          <w:color w:val="000000"/>
          <w:sz w:val="24"/>
          <w:szCs w:val="24"/>
        </w:rPr>
      </w:pPr>
    </w:p>
    <w:p w:rsidR="00786879" w:rsidRDefault="00786879" w:rsidP="00786879">
      <w:pPr>
        <w:shd w:val="clear" w:color="auto" w:fill="FFFFFF"/>
        <w:spacing w:line="360" w:lineRule="auto"/>
        <w:jc w:val="both"/>
        <w:rPr>
          <w:rFonts w:ascii="Bookman Old Style" w:hAnsi="Bookman Old Style"/>
          <w:color w:val="000000"/>
          <w:sz w:val="24"/>
          <w:szCs w:val="24"/>
        </w:rPr>
      </w:pPr>
      <w:r>
        <w:rPr>
          <w:rFonts w:ascii="Bookman Old Style" w:hAnsi="Bookman Old Style"/>
          <w:color w:val="000000"/>
          <w:sz w:val="24"/>
          <w:szCs w:val="24"/>
        </w:rPr>
        <w:t xml:space="preserve">En los mismos términos se ha pronunciado el Consejo de Estado en varias oportunidades, al señalar que la sanción por desacato no se puede imponer a la entidad sino al servidor público que, vinculado en debida forma al trámite incidental, resulta responsable del incumplimiento del fallo. En concreto, ha dicho: </w:t>
      </w:r>
    </w:p>
    <w:p w:rsidR="00786879" w:rsidRDefault="00786879" w:rsidP="00786879">
      <w:pPr>
        <w:shd w:val="clear" w:color="auto" w:fill="FFFFFF"/>
        <w:jc w:val="both"/>
        <w:rPr>
          <w:rFonts w:ascii="Bookman Old Style" w:hAnsi="Bookman Old Style"/>
          <w:color w:val="000000"/>
          <w:sz w:val="24"/>
          <w:szCs w:val="24"/>
        </w:rPr>
      </w:pPr>
    </w:p>
    <w:p w:rsidR="00786879" w:rsidRDefault="00786879" w:rsidP="00786879">
      <w:pPr>
        <w:shd w:val="clear" w:color="auto" w:fill="FFFFFF"/>
        <w:ind w:left="567"/>
        <w:jc w:val="both"/>
        <w:rPr>
          <w:rFonts w:ascii="Bookman Old Style" w:hAnsi="Bookman Old Style"/>
          <w:i/>
          <w:color w:val="000000"/>
          <w:sz w:val="22"/>
          <w:szCs w:val="22"/>
        </w:rPr>
      </w:pPr>
      <w:r>
        <w:rPr>
          <w:rFonts w:ascii="Bookman Old Style" w:hAnsi="Bookman Old Style"/>
          <w:i/>
          <w:color w:val="000000"/>
          <w:sz w:val="22"/>
          <w:szCs w:val="22"/>
        </w:rPr>
        <w:t xml:space="preserve">“Adicionalmente, si se trata de una sanción no puede imponérsele sino a quien ha sido sujeto en el respectivo proceso, en este caso en el incidente. </w:t>
      </w:r>
      <w:r>
        <w:rPr>
          <w:rFonts w:ascii="Bookman Old Style" w:hAnsi="Bookman Old Style"/>
          <w:b/>
          <w:i/>
          <w:color w:val="000000"/>
          <w:sz w:val="22"/>
          <w:szCs w:val="22"/>
        </w:rPr>
        <w:t xml:space="preserve">De ahí que no sea legítima la expresión “o quien haga sus veces”, pues bien podría tratarse de persona natural diferente al momento </w:t>
      </w:r>
      <w:r>
        <w:rPr>
          <w:rFonts w:ascii="Bookman Old Style" w:hAnsi="Bookman Old Style"/>
          <w:b/>
          <w:i/>
          <w:color w:val="000000"/>
          <w:sz w:val="22"/>
          <w:szCs w:val="22"/>
        </w:rPr>
        <w:lastRenderedPageBreak/>
        <w:t>de decidirse o quedar en firme el auto</w:t>
      </w:r>
      <w:r>
        <w:rPr>
          <w:rFonts w:ascii="Bookman Old Style" w:hAnsi="Bookman Old Style"/>
          <w:i/>
          <w:color w:val="000000"/>
          <w:sz w:val="22"/>
          <w:szCs w:val="22"/>
        </w:rPr>
        <w:t>. No se trata en estos casos de la entidad, sino de quien debió, como autoridad, cumplir la orden.”</w:t>
      </w:r>
      <w:r>
        <w:rPr>
          <w:rStyle w:val="Refdenotaalpie"/>
          <w:rFonts w:ascii="Bookman Old Style" w:hAnsi="Bookman Old Style"/>
          <w:i/>
          <w:color w:val="000000"/>
          <w:sz w:val="22"/>
          <w:szCs w:val="22"/>
        </w:rPr>
        <w:footnoteReference w:id="10"/>
      </w:r>
    </w:p>
    <w:p w:rsidR="00786879" w:rsidRDefault="00786879" w:rsidP="00786879">
      <w:pPr>
        <w:shd w:val="clear" w:color="auto" w:fill="FFFFFF"/>
        <w:ind w:left="567"/>
        <w:jc w:val="both"/>
        <w:rPr>
          <w:rFonts w:ascii="Bookman Old Style" w:hAnsi="Bookman Old Style"/>
          <w:i/>
          <w:color w:val="000000"/>
          <w:sz w:val="22"/>
          <w:szCs w:val="22"/>
        </w:rPr>
      </w:pPr>
    </w:p>
    <w:p w:rsidR="00786879" w:rsidRDefault="00786879" w:rsidP="00786879">
      <w:pPr>
        <w:shd w:val="clear" w:color="auto" w:fill="FFFFFF"/>
        <w:spacing w:line="360" w:lineRule="auto"/>
        <w:jc w:val="both"/>
        <w:rPr>
          <w:rFonts w:ascii="Bookman Old Style" w:hAnsi="Bookman Old Style"/>
          <w:color w:val="000000"/>
          <w:sz w:val="24"/>
          <w:szCs w:val="24"/>
        </w:rPr>
      </w:pPr>
      <w:r>
        <w:rPr>
          <w:rFonts w:ascii="Bookman Old Style" w:hAnsi="Bookman Old Style"/>
          <w:color w:val="000000"/>
          <w:sz w:val="24"/>
          <w:szCs w:val="24"/>
        </w:rPr>
        <w:t xml:space="preserve">De esta forma, resulta pertinente recordar que la primera providencia que se dicte en el trámite de un procedimiento resulta muy importante para la debida integración del contradictorio, pues con ella, se garantiza al justiciable, la publicidad del juicio, la bilateralidad de la audiencia, la defensa y contradicción, así como el acceso a la administración de justicia; todo lo cual encierra la garantía al debido proceso contenida en el Art. 29 de nuestra Constitución Política. Del mismo modo, en la providencia mediante la cual se impone la respectiva sanción debe quedar plenamente definido e identificado el funcionario que desatendió la orden impartida en el fallo de tutela y que por ende se hizo acreedor a la respectiva sanción, ya sea multa o arresto. </w:t>
      </w:r>
    </w:p>
    <w:p w:rsidR="00786879" w:rsidRDefault="00786879" w:rsidP="00682A74">
      <w:pPr>
        <w:spacing w:line="360" w:lineRule="auto"/>
        <w:jc w:val="both"/>
        <w:rPr>
          <w:rFonts w:ascii="Bookman Old Style" w:hAnsi="Bookman Old Style"/>
          <w:sz w:val="24"/>
          <w:szCs w:val="24"/>
          <w:lang w:val="es-CO"/>
        </w:rPr>
      </w:pPr>
    </w:p>
    <w:p w:rsidR="00682A74" w:rsidRDefault="00682A74" w:rsidP="00682A74">
      <w:pPr>
        <w:suppressAutoHyphens/>
        <w:spacing w:line="360" w:lineRule="auto"/>
        <w:jc w:val="center"/>
        <w:rPr>
          <w:rFonts w:ascii="Bookman Old Style" w:hAnsi="Bookman Old Style" w:cs="Arial"/>
          <w:b/>
          <w:sz w:val="24"/>
          <w:szCs w:val="24"/>
          <w:lang w:val="es-CO"/>
        </w:rPr>
      </w:pPr>
      <w:r w:rsidRPr="00AD4F9C">
        <w:rPr>
          <w:rFonts w:ascii="Bookman Old Style" w:hAnsi="Bookman Old Style" w:cs="Arial"/>
          <w:b/>
          <w:sz w:val="24"/>
          <w:szCs w:val="24"/>
          <w:lang w:val="es-CO"/>
        </w:rPr>
        <w:t>CASO CONCRETO</w:t>
      </w:r>
    </w:p>
    <w:p w:rsidR="00682A74" w:rsidRPr="006F44B2" w:rsidRDefault="00682A74" w:rsidP="00682A74">
      <w:pPr>
        <w:suppressAutoHyphens/>
        <w:jc w:val="both"/>
        <w:rPr>
          <w:rFonts w:ascii="Bookman Old Style" w:hAnsi="Bookman Old Style" w:cs="Arial"/>
          <w:b/>
          <w:sz w:val="24"/>
          <w:szCs w:val="24"/>
          <w:lang w:val="es-CO"/>
        </w:rPr>
      </w:pPr>
    </w:p>
    <w:p w:rsidR="00682A74" w:rsidRDefault="00682A74" w:rsidP="00682A74">
      <w:pPr>
        <w:suppressAutoHyphens/>
        <w:spacing w:line="360" w:lineRule="auto"/>
        <w:jc w:val="both"/>
        <w:rPr>
          <w:rFonts w:ascii="Bookman Old Style" w:hAnsi="Bookman Old Style" w:cs="Arial"/>
          <w:sz w:val="24"/>
          <w:szCs w:val="24"/>
        </w:rPr>
      </w:pPr>
      <w:r>
        <w:rPr>
          <w:rFonts w:ascii="Bookman Old Style" w:hAnsi="Bookman Old Style" w:cs="Arial"/>
          <w:sz w:val="24"/>
          <w:szCs w:val="24"/>
          <w:lang w:val="es-CO"/>
        </w:rPr>
        <w:t xml:space="preserve">En el caso </w:t>
      </w:r>
      <w:r w:rsidRPr="00500529">
        <w:rPr>
          <w:rFonts w:ascii="Bookman Old Style" w:hAnsi="Bookman Old Style" w:cs="Arial"/>
          <w:i/>
          <w:sz w:val="24"/>
          <w:szCs w:val="24"/>
          <w:lang w:val="es-CO"/>
        </w:rPr>
        <w:t>sub júdice</w:t>
      </w:r>
      <w:r>
        <w:rPr>
          <w:rFonts w:ascii="Bookman Old Style" w:hAnsi="Bookman Old Style" w:cs="Arial"/>
          <w:sz w:val="24"/>
          <w:szCs w:val="24"/>
          <w:lang w:val="es-CO"/>
        </w:rPr>
        <w:t xml:space="preserve"> el Juzgado Dieciséis Administrativo Oral del Circuito de Medellín, mediante providencia del </w:t>
      </w:r>
      <w:r w:rsidR="00786879">
        <w:rPr>
          <w:rFonts w:ascii="Bookman Old Style" w:hAnsi="Bookman Old Style" w:cs="Arial"/>
          <w:sz w:val="24"/>
          <w:szCs w:val="24"/>
          <w:lang w:val="es-CO"/>
        </w:rPr>
        <w:t>05 de mayo</w:t>
      </w:r>
      <w:r>
        <w:rPr>
          <w:rFonts w:ascii="Bookman Old Style" w:hAnsi="Bookman Old Style" w:cs="Arial"/>
          <w:sz w:val="24"/>
          <w:szCs w:val="24"/>
          <w:lang w:val="es-CO"/>
        </w:rPr>
        <w:t xml:space="preserve"> de 2020, decidió sancionar con multa </w:t>
      </w:r>
      <w:r>
        <w:rPr>
          <w:rFonts w:ascii="Bookman Old Style" w:hAnsi="Bookman Old Style"/>
          <w:sz w:val="24"/>
          <w:szCs w:val="24"/>
          <w:lang w:val="es-CO"/>
        </w:rPr>
        <w:t>a Ramón Alberto Rodríguez Andrade, Director General</w:t>
      </w:r>
      <w:r>
        <w:rPr>
          <w:rFonts w:ascii="Bookman Old Style" w:hAnsi="Bookman Old Style" w:cs="Arial"/>
          <w:spacing w:val="-2"/>
          <w:sz w:val="24"/>
          <w:szCs w:val="24"/>
        </w:rPr>
        <w:t xml:space="preserve"> </w:t>
      </w:r>
      <w:r w:rsidRPr="00D85346">
        <w:rPr>
          <w:rFonts w:ascii="Bookman Old Style" w:hAnsi="Bookman Old Style" w:cs="Arial"/>
          <w:sz w:val="24"/>
          <w:szCs w:val="24"/>
        </w:rPr>
        <w:t xml:space="preserve">de la Unidad Administrativa </w:t>
      </w:r>
      <w:r w:rsidRPr="00D85346">
        <w:rPr>
          <w:rFonts w:ascii="Bookman Old Style" w:hAnsi="Bookman Old Style" w:cs="Arial"/>
          <w:spacing w:val="-2"/>
          <w:sz w:val="24"/>
          <w:szCs w:val="24"/>
        </w:rPr>
        <w:t>Especial para la Atención y Reparación Integral a las Víctimas –UARIV-</w:t>
      </w:r>
      <w:r>
        <w:rPr>
          <w:rFonts w:ascii="Bookman Old Style" w:hAnsi="Bookman Old Style" w:cs="Arial"/>
          <w:spacing w:val="-2"/>
          <w:sz w:val="24"/>
          <w:szCs w:val="24"/>
        </w:rPr>
        <w:t>,</w:t>
      </w:r>
      <w:r>
        <w:rPr>
          <w:rFonts w:ascii="Bookman Old Style" w:hAnsi="Bookman Old Style" w:cs="Arial"/>
          <w:sz w:val="24"/>
          <w:szCs w:val="24"/>
        </w:rPr>
        <w:t xml:space="preserve"> por incumplimiento a decisión judicial.</w:t>
      </w:r>
    </w:p>
    <w:p w:rsidR="00682A74" w:rsidRDefault="00682A74" w:rsidP="00682A74">
      <w:pPr>
        <w:suppressAutoHyphens/>
        <w:jc w:val="both"/>
        <w:rPr>
          <w:rFonts w:ascii="Bookman Old Style" w:hAnsi="Bookman Old Style" w:cs="Arial"/>
          <w:spacing w:val="-2"/>
          <w:sz w:val="24"/>
          <w:szCs w:val="24"/>
          <w:lang w:val="es-CO"/>
        </w:rPr>
      </w:pPr>
    </w:p>
    <w:p w:rsidR="003A3896" w:rsidRDefault="003A3896" w:rsidP="003A3896">
      <w:pPr>
        <w:spacing w:line="360" w:lineRule="auto"/>
        <w:jc w:val="both"/>
        <w:rPr>
          <w:rFonts w:ascii="Bookman Old Style" w:hAnsi="Bookman Old Style" w:cs="Arial"/>
          <w:sz w:val="24"/>
          <w:szCs w:val="24"/>
          <w:lang w:val="es-CO"/>
        </w:rPr>
      </w:pPr>
      <w:r w:rsidRPr="00580079">
        <w:rPr>
          <w:rFonts w:ascii="Bookman Old Style" w:hAnsi="Bookman Old Style" w:cs="Arial"/>
          <w:sz w:val="24"/>
          <w:szCs w:val="24"/>
          <w:lang w:val="es-CO"/>
        </w:rPr>
        <w:t>Respecto del cumplimiento de las sentencias, es preciso anotar que nuestra Constitución Política dispone en su artículo 228, que las decisiones judiciales son independientes y que la administración de justicia es una función pública. De la misma manera el artículo 86</w:t>
      </w:r>
      <w:r>
        <w:rPr>
          <w:rFonts w:ascii="Bookman Old Style" w:hAnsi="Bookman Old Style" w:cs="Arial"/>
          <w:sz w:val="24"/>
          <w:szCs w:val="24"/>
          <w:lang w:val="es-CO"/>
        </w:rPr>
        <w:t xml:space="preserve"> superior, instituye</w:t>
      </w:r>
      <w:r w:rsidRPr="00580079">
        <w:rPr>
          <w:rFonts w:ascii="Bookman Old Style" w:hAnsi="Bookman Old Style" w:cs="Arial"/>
          <w:sz w:val="24"/>
          <w:szCs w:val="24"/>
          <w:lang w:val="es-CO"/>
        </w:rPr>
        <w:t xml:space="preserve"> la acción de tutela como mecanismo judicial excepcional de protección de los derechos fundamentales, y señala que las decisiones que se tomen en el trámite de la misma son de inmediato cumplimiento. Con ello, se pretende señalar que las decisiones judiciales gozan de la suficiente fuerza jurídica para que sean respetadas y cumplidas por todos los administrados e incluso por las mismas autoridades cuando ellas le sean contrarias. </w:t>
      </w:r>
    </w:p>
    <w:p w:rsidR="003A3896" w:rsidRDefault="003A3896" w:rsidP="003A3896">
      <w:pPr>
        <w:jc w:val="both"/>
        <w:rPr>
          <w:rFonts w:ascii="Bookman Old Style" w:hAnsi="Bookman Old Style" w:cs="Arial"/>
          <w:sz w:val="24"/>
          <w:szCs w:val="24"/>
          <w:lang w:val="es-CO"/>
        </w:rPr>
      </w:pPr>
    </w:p>
    <w:p w:rsidR="003A3896" w:rsidRPr="00580079" w:rsidRDefault="003A3896" w:rsidP="003A3896">
      <w:pPr>
        <w:spacing w:line="360" w:lineRule="auto"/>
        <w:jc w:val="both"/>
        <w:rPr>
          <w:rFonts w:ascii="Bookman Old Style" w:hAnsi="Bookman Old Style" w:cs="Arial"/>
          <w:sz w:val="24"/>
          <w:szCs w:val="24"/>
          <w:lang w:val="es-CO"/>
        </w:rPr>
      </w:pPr>
      <w:r>
        <w:rPr>
          <w:rFonts w:ascii="Bookman Old Style" w:hAnsi="Bookman Old Style" w:cs="Arial"/>
          <w:sz w:val="24"/>
          <w:szCs w:val="24"/>
          <w:lang w:val="es-CO"/>
        </w:rPr>
        <w:lastRenderedPageBreak/>
        <w:t>Determinada de esta forma</w:t>
      </w:r>
      <w:r w:rsidRPr="00580079">
        <w:rPr>
          <w:rFonts w:ascii="Bookman Old Style" w:hAnsi="Bookman Old Style" w:cs="Arial"/>
          <w:sz w:val="24"/>
          <w:szCs w:val="24"/>
          <w:lang w:val="es-CO"/>
        </w:rPr>
        <w:t xml:space="preserve"> la importancia en el respeto y cumplimiento estricto e inmediato de las sentencias, incluidos los fallos de tutela, debe señalarse igualmente que las órdenes impartidas por un juez, se dictan de acuerdo con las circunstancias fácticas y jurídicas existentes al momento de tomarse dicha decisión. De este modo, quien esté obligado a cumplir </w:t>
      </w:r>
      <w:r>
        <w:rPr>
          <w:rFonts w:ascii="Bookman Old Style" w:hAnsi="Bookman Old Style" w:cs="Arial"/>
          <w:sz w:val="24"/>
          <w:szCs w:val="24"/>
          <w:lang w:val="es-CO"/>
        </w:rPr>
        <w:t xml:space="preserve">la </w:t>
      </w:r>
      <w:r w:rsidRPr="00580079">
        <w:rPr>
          <w:rFonts w:ascii="Bookman Old Style" w:hAnsi="Bookman Old Style" w:cs="Arial"/>
          <w:sz w:val="24"/>
          <w:szCs w:val="24"/>
          <w:lang w:val="es-CO"/>
        </w:rPr>
        <w:t xml:space="preserve">orden, deberá agotar pronta y eficazmente todas las actuaciones que le permitan cumplir con la misma, y ello debe forzosamente hacerse en el término judicialmente señalado, o en su defecto, en uno razonablemente justo que permita asegurar que la decisión se cumpla en su integridad. </w:t>
      </w:r>
    </w:p>
    <w:p w:rsidR="003A3896" w:rsidRDefault="003A3896" w:rsidP="003A3896">
      <w:pPr>
        <w:suppressAutoHyphens/>
        <w:jc w:val="both"/>
        <w:rPr>
          <w:rFonts w:ascii="Bookman Old Style" w:hAnsi="Bookman Old Style"/>
          <w:sz w:val="24"/>
          <w:szCs w:val="24"/>
          <w:lang w:val="es-CO"/>
        </w:rPr>
      </w:pPr>
    </w:p>
    <w:p w:rsidR="003A3896" w:rsidRDefault="003A3896" w:rsidP="003A3896">
      <w:pPr>
        <w:spacing w:line="360" w:lineRule="auto"/>
        <w:jc w:val="both"/>
        <w:rPr>
          <w:rFonts w:ascii="Bookman Old Style" w:hAnsi="Bookman Old Style" w:cs="Arial"/>
          <w:sz w:val="24"/>
          <w:szCs w:val="24"/>
          <w:lang w:val="es-CO"/>
        </w:rPr>
      </w:pPr>
      <w:r>
        <w:rPr>
          <w:rFonts w:ascii="Bookman Old Style" w:hAnsi="Bookman Old Style" w:cs="Arial"/>
          <w:sz w:val="24"/>
          <w:szCs w:val="24"/>
          <w:lang w:val="es-CO"/>
        </w:rPr>
        <w:t xml:space="preserve">Del estudio de la totalidad de las actuaciones que se siguieron dentro del trámite de desacato, encuentra el Despacho que se surtieron con observancia del derecho de defensa y contradicción, en tanto que se identificó y notificó al funcionario llamado a dar cumplimiento a la orden judicial. </w:t>
      </w:r>
    </w:p>
    <w:p w:rsidR="003A3896" w:rsidRDefault="003A3896" w:rsidP="003A3896">
      <w:pPr>
        <w:jc w:val="both"/>
        <w:rPr>
          <w:rFonts w:ascii="Bookman Old Style" w:hAnsi="Bookman Old Style" w:cs="Arial"/>
          <w:spacing w:val="-16"/>
          <w:sz w:val="24"/>
          <w:szCs w:val="24"/>
          <w:lang w:val="es-CO"/>
        </w:rPr>
      </w:pPr>
    </w:p>
    <w:p w:rsidR="003A3896" w:rsidRDefault="003A3896" w:rsidP="003A3896">
      <w:pPr>
        <w:spacing w:line="360" w:lineRule="auto"/>
        <w:jc w:val="both"/>
        <w:rPr>
          <w:rFonts w:ascii="Bookman Old Style" w:hAnsi="Bookman Old Style" w:cs="Arial"/>
          <w:sz w:val="24"/>
          <w:szCs w:val="24"/>
          <w:lang w:val="es-CO"/>
        </w:rPr>
      </w:pPr>
      <w:r>
        <w:rPr>
          <w:rFonts w:ascii="Bookman Old Style" w:hAnsi="Bookman Old Style" w:cs="Arial"/>
          <w:sz w:val="24"/>
          <w:szCs w:val="24"/>
          <w:lang w:val="es-CO"/>
        </w:rPr>
        <w:t xml:space="preserve">En estos términos, y al no encontrarse acreditado el cumplimiento del fallo de tutela por parte de quien así debía proceder, se confirmará la providencia objeto de la consulta. </w:t>
      </w:r>
    </w:p>
    <w:p w:rsidR="003A3896" w:rsidRDefault="003A3896" w:rsidP="00682A74">
      <w:pPr>
        <w:suppressAutoHyphens/>
        <w:jc w:val="both"/>
        <w:rPr>
          <w:rFonts w:ascii="Bookman Old Style" w:hAnsi="Bookman Old Style" w:cs="Arial"/>
          <w:spacing w:val="-2"/>
          <w:sz w:val="24"/>
          <w:szCs w:val="24"/>
          <w:lang w:val="es-CO"/>
        </w:rPr>
      </w:pPr>
    </w:p>
    <w:p w:rsidR="00682A74" w:rsidRDefault="00682A74" w:rsidP="00682A74">
      <w:pPr>
        <w:spacing w:line="360" w:lineRule="auto"/>
        <w:jc w:val="both"/>
        <w:rPr>
          <w:rFonts w:ascii="Bookman Old Style" w:hAnsi="Bookman Old Style" w:cs="Arial"/>
          <w:sz w:val="24"/>
          <w:szCs w:val="24"/>
          <w:lang w:val="es-CO"/>
        </w:rPr>
      </w:pPr>
      <w:r>
        <w:rPr>
          <w:rFonts w:ascii="Bookman Old Style" w:hAnsi="Bookman Old Style" w:cs="Arial"/>
          <w:sz w:val="24"/>
          <w:szCs w:val="24"/>
          <w:lang w:val="es-CO"/>
        </w:rPr>
        <w:t>Del estudio de la totalidad de las actuaciones que se siguieron dentro del trámite de desacato, encuentra el Despacho que se surtieron con observancia del derecho de defensa y contradicción, en tanto que se identificó y notificó al funcionario llamado a dar cumplimiento a la orden judicial</w:t>
      </w:r>
      <w:r w:rsidR="00A76282">
        <w:rPr>
          <w:rFonts w:ascii="Bookman Old Style" w:hAnsi="Bookman Old Style" w:cs="Arial"/>
          <w:sz w:val="24"/>
          <w:szCs w:val="24"/>
          <w:lang w:val="es-CO"/>
        </w:rPr>
        <w:t>, quien guardó silencio.</w:t>
      </w:r>
      <w:r>
        <w:rPr>
          <w:rFonts w:ascii="Bookman Old Style" w:hAnsi="Bookman Old Style" w:cs="Arial"/>
          <w:sz w:val="24"/>
          <w:szCs w:val="24"/>
          <w:lang w:val="es-CO"/>
        </w:rPr>
        <w:t xml:space="preserve"> </w:t>
      </w:r>
    </w:p>
    <w:p w:rsidR="00682A74" w:rsidRDefault="00682A74" w:rsidP="00682A74">
      <w:pPr>
        <w:jc w:val="both"/>
        <w:rPr>
          <w:rFonts w:ascii="Bookman Old Style" w:hAnsi="Bookman Old Style" w:cs="Arial"/>
          <w:spacing w:val="-16"/>
          <w:sz w:val="24"/>
          <w:szCs w:val="24"/>
          <w:lang w:val="es-CO"/>
        </w:rPr>
      </w:pPr>
    </w:p>
    <w:p w:rsidR="00682A74" w:rsidRDefault="00682A74" w:rsidP="00682A74">
      <w:pPr>
        <w:spacing w:line="360" w:lineRule="auto"/>
        <w:jc w:val="both"/>
        <w:rPr>
          <w:rFonts w:ascii="Bookman Old Style" w:hAnsi="Bookman Old Style" w:cs="Arial"/>
          <w:sz w:val="24"/>
          <w:szCs w:val="24"/>
          <w:lang w:val="es-CO"/>
        </w:rPr>
      </w:pPr>
      <w:r w:rsidRPr="00892708">
        <w:rPr>
          <w:rFonts w:ascii="Bookman Old Style" w:hAnsi="Bookman Old Style" w:cs="Arial"/>
          <w:sz w:val="24"/>
          <w:szCs w:val="24"/>
          <w:lang w:val="es-CO"/>
        </w:rPr>
        <w:t xml:space="preserve">Por último, </w:t>
      </w:r>
      <w:r>
        <w:rPr>
          <w:rFonts w:ascii="Bookman Old Style" w:hAnsi="Bookman Old Style" w:cs="Arial"/>
          <w:sz w:val="24"/>
          <w:szCs w:val="24"/>
          <w:lang w:val="es-CO"/>
        </w:rPr>
        <w:t xml:space="preserve">considera importante el Despacho, </w:t>
      </w:r>
      <w:r w:rsidRPr="00892708">
        <w:rPr>
          <w:rFonts w:ascii="Bookman Old Style" w:hAnsi="Bookman Old Style" w:cs="Arial"/>
          <w:sz w:val="24"/>
          <w:szCs w:val="24"/>
          <w:lang w:val="es-CO"/>
        </w:rPr>
        <w:t>conminar</w:t>
      </w:r>
      <w:r>
        <w:rPr>
          <w:rFonts w:ascii="Bookman Old Style" w:hAnsi="Bookman Old Style" w:cs="Arial"/>
          <w:sz w:val="24"/>
          <w:szCs w:val="24"/>
          <w:lang w:val="es-CO"/>
        </w:rPr>
        <w:t xml:space="preserve"> al doctor </w:t>
      </w:r>
      <w:r>
        <w:rPr>
          <w:rFonts w:ascii="Bookman Old Style" w:hAnsi="Bookman Old Style"/>
          <w:sz w:val="24"/>
          <w:szCs w:val="24"/>
          <w:lang w:val="es-CO"/>
        </w:rPr>
        <w:t>Ramón Alberto Rodríguez Andrade, Director General</w:t>
      </w:r>
      <w:r>
        <w:rPr>
          <w:rFonts w:ascii="Bookman Old Style" w:hAnsi="Bookman Old Style" w:cs="Arial"/>
          <w:spacing w:val="-2"/>
          <w:sz w:val="24"/>
          <w:szCs w:val="24"/>
        </w:rPr>
        <w:t xml:space="preserve"> </w:t>
      </w:r>
      <w:r w:rsidRPr="00D85346">
        <w:rPr>
          <w:rFonts w:ascii="Bookman Old Style" w:hAnsi="Bookman Old Style" w:cs="Arial"/>
          <w:sz w:val="24"/>
          <w:szCs w:val="24"/>
        </w:rPr>
        <w:t xml:space="preserve">de la Unidad Administrativa </w:t>
      </w:r>
      <w:r w:rsidRPr="00D85346">
        <w:rPr>
          <w:rFonts w:ascii="Bookman Old Style" w:hAnsi="Bookman Old Style" w:cs="Arial"/>
          <w:spacing w:val="-2"/>
          <w:sz w:val="24"/>
          <w:szCs w:val="24"/>
        </w:rPr>
        <w:t>Especial para la Atención y Reparación Integral a las Víctimas –UARIV-</w:t>
      </w:r>
      <w:r>
        <w:rPr>
          <w:rFonts w:ascii="Bookman Old Style" w:hAnsi="Bookman Old Style" w:cs="Arial"/>
          <w:sz w:val="24"/>
          <w:szCs w:val="24"/>
          <w:lang w:val="es-CO"/>
        </w:rPr>
        <w:t>,</w:t>
      </w:r>
      <w:r w:rsidRPr="00892708">
        <w:rPr>
          <w:rFonts w:ascii="Bookman Old Style" w:hAnsi="Bookman Old Style" w:cs="Arial"/>
          <w:sz w:val="24"/>
          <w:szCs w:val="24"/>
          <w:lang w:val="es-CO"/>
        </w:rPr>
        <w:t xml:space="preserve"> para que en lo sucesivo acate oportunamente las órdenes judiciales y vele porque el personal a su cargo observe el mismo comportamiento</w:t>
      </w:r>
      <w:r>
        <w:rPr>
          <w:rFonts w:ascii="Bookman Old Style" w:hAnsi="Bookman Old Style" w:cs="Arial"/>
          <w:sz w:val="24"/>
          <w:szCs w:val="24"/>
          <w:lang w:val="es-CO"/>
        </w:rPr>
        <w:t>.</w:t>
      </w:r>
    </w:p>
    <w:p w:rsidR="00682A74" w:rsidRPr="005E26C5" w:rsidRDefault="00682A74" w:rsidP="00682A74">
      <w:pPr>
        <w:spacing w:line="360" w:lineRule="auto"/>
        <w:jc w:val="both"/>
        <w:rPr>
          <w:rFonts w:ascii="Bookman Old Style" w:hAnsi="Bookman Old Style" w:cs="Arial"/>
          <w:sz w:val="24"/>
          <w:szCs w:val="24"/>
          <w:lang w:val="es-CO"/>
        </w:rPr>
      </w:pPr>
    </w:p>
    <w:p w:rsidR="00682A74" w:rsidRDefault="00682A74" w:rsidP="00682A74">
      <w:pPr>
        <w:pStyle w:val="Textoindependiente3"/>
        <w:spacing w:line="240" w:lineRule="auto"/>
        <w:jc w:val="center"/>
        <w:rPr>
          <w:rFonts w:ascii="Bookman Old Style" w:hAnsi="Bookman Old Style"/>
          <w:b/>
        </w:rPr>
      </w:pPr>
      <w:r w:rsidRPr="00D7608F">
        <w:rPr>
          <w:rFonts w:ascii="Bookman Old Style" w:hAnsi="Bookman Old Style"/>
          <w:b/>
        </w:rPr>
        <w:t>DECISIÓN</w:t>
      </w:r>
    </w:p>
    <w:p w:rsidR="00682A74" w:rsidRPr="00962291" w:rsidRDefault="00682A74" w:rsidP="00682A74">
      <w:pPr>
        <w:pStyle w:val="Textoindependiente3"/>
        <w:spacing w:line="240" w:lineRule="auto"/>
        <w:rPr>
          <w:rFonts w:ascii="Bookman Old Style" w:hAnsi="Bookman Old Style"/>
        </w:rPr>
      </w:pPr>
    </w:p>
    <w:p w:rsidR="00682A74" w:rsidRPr="00962291" w:rsidRDefault="00682A74" w:rsidP="00682A74">
      <w:pPr>
        <w:pStyle w:val="Textoindependiente3"/>
        <w:rPr>
          <w:rFonts w:ascii="Bookman Old Style" w:hAnsi="Bookman Old Style"/>
        </w:rPr>
      </w:pPr>
      <w:r w:rsidRPr="00962291">
        <w:rPr>
          <w:rFonts w:ascii="Bookman Old Style" w:hAnsi="Bookman Old Style"/>
        </w:rPr>
        <w:t xml:space="preserve">En mérito de lo expuesto, </w:t>
      </w:r>
      <w:r w:rsidRPr="00E5585D">
        <w:rPr>
          <w:rFonts w:ascii="Bookman Old Style" w:hAnsi="Bookman Old Style"/>
        </w:rPr>
        <w:t>el</w:t>
      </w:r>
      <w:r w:rsidRPr="00D7608F">
        <w:rPr>
          <w:rFonts w:ascii="Bookman Old Style" w:hAnsi="Bookman Old Style"/>
          <w:b/>
        </w:rPr>
        <w:t xml:space="preserve"> TRIBUNAL ADMINISTRATIVO DE ANTIOQUIA, SALA DE DECISIÓN</w:t>
      </w:r>
      <w:r>
        <w:rPr>
          <w:rFonts w:ascii="Bookman Old Style" w:hAnsi="Bookman Old Style"/>
          <w:b/>
        </w:rPr>
        <w:t xml:space="preserve"> ORAL</w:t>
      </w:r>
      <w:r w:rsidRPr="00962291">
        <w:rPr>
          <w:rFonts w:ascii="Bookman Old Style" w:hAnsi="Bookman Old Style"/>
        </w:rPr>
        <w:t xml:space="preserve">, </w:t>
      </w:r>
    </w:p>
    <w:p w:rsidR="00682A74" w:rsidRDefault="00682A74" w:rsidP="00682A74">
      <w:pPr>
        <w:pStyle w:val="Ttulo2"/>
        <w:spacing w:before="0" w:after="0"/>
        <w:jc w:val="center"/>
        <w:rPr>
          <w:rFonts w:ascii="Bookman Old Style" w:hAnsi="Bookman Old Style"/>
          <w:i w:val="0"/>
        </w:rPr>
      </w:pPr>
    </w:p>
    <w:p w:rsidR="00682A74" w:rsidRDefault="00682A74" w:rsidP="00682A74">
      <w:pPr>
        <w:pStyle w:val="Ttulo2"/>
        <w:spacing w:before="0" w:after="0"/>
        <w:jc w:val="center"/>
        <w:rPr>
          <w:rFonts w:ascii="Bookman Old Style" w:hAnsi="Bookman Old Style"/>
          <w:i w:val="0"/>
        </w:rPr>
      </w:pPr>
      <w:r w:rsidRPr="00962291">
        <w:rPr>
          <w:rFonts w:ascii="Bookman Old Style" w:hAnsi="Bookman Old Style"/>
          <w:i w:val="0"/>
        </w:rPr>
        <w:t>RESUELVE</w:t>
      </w:r>
    </w:p>
    <w:p w:rsidR="00682A74" w:rsidRPr="00AC1709" w:rsidRDefault="00682A74" w:rsidP="00682A74"/>
    <w:p w:rsidR="00682A74" w:rsidRDefault="00682A74" w:rsidP="00682A74">
      <w:pPr>
        <w:pStyle w:val="Textoindependiente"/>
        <w:spacing w:after="0" w:line="360" w:lineRule="auto"/>
        <w:jc w:val="both"/>
        <w:rPr>
          <w:rFonts w:ascii="Bookman Old Style" w:hAnsi="Bookman Old Style" w:cs="Arial"/>
          <w:bCs/>
          <w:sz w:val="24"/>
          <w:szCs w:val="24"/>
        </w:rPr>
      </w:pPr>
      <w:r w:rsidRPr="00962291">
        <w:rPr>
          <w:rFonts w:ascii="Bookman Old Style" w:hAnsi="Bookman Old Style" w:cs="Arial"/>
          <w:b/>
          <w:sz w:val="24"/>
          <w:szCs w:val="24"/>
        </w:rPr>
        <w:t>PRIMERO</w:t>
      </w:r>
      <w:r>
        <w:rPr>
          <w:rFonts w:ascii="Bookman Old Style" w:hAnsi="Bookman Old Style" w:cs="Arial"/>
          <w:b/>
          <w:sz w:val="24"/>
          <w:szCs w:val="24"/>
        </w:rPr>
        <w:t xml:space="preserve">: </w:t>
      </w:r>
      <w:r w:rsidR="00EC40CB">
        <w:rPr>
          <w:rFonts w:ascii="Bookman Old Style" w:hAnsi="Bookman Old Style" w:cs="Arial"/>
          <w:b/>
          <w:bCs/>
          <w:sz w:val="24"/>
          <w:szCs w:val="24"/>
        </w:rPr>
        <w:t>CONFIRM</w:t>
      </w:r>
      <w:r>
        <w:rPr>
          <w:rFonts w:ascii="Bookman Old Style" w:hAnsi="Bookman Old Style" w:cs="Arial"/>
          <w:b/>
          <w:bCs/>
          <w:sz w:val="24"/>
          <w:szCs w:val="24"/>
        </w:rPr>
        <w:t>AR</w:t>
      </w:r>
      <w:r w:rsidRPr="00161FC3">
        <w:rPr>
          <w:rFonts w:ascii="Bookman Old Style" w:hAnsi="Bookman Old Style" w:cs="Arial"/>
          <w:bCs/>
          <w:sz w:val="24"/>
          <w:szCs w:val="24"/>
        </w:rPr>
        <w:t xml:space="preserve"> </w:t>
      </w:r>
      <w:r w:rsidRPr="008B4E14">
        <w:rPr>
          <w:rFonts w:ascii="Bookman Old Style" w:hAnsi="Bookman Old Style" w:cs="Arial"/>
          <w:bCs/>
          <w:spacing w:val="-2"/>
          <w:sz w:val="24"/>
          <w:szCs w:val="24"/>
          <w:lang w:val="es-CO"/>
        </w:rPr>
        <w:t>la</w:t>
      </w:r>
      <w:r w:rsidRPr="008B4E14">
        <w:rPr>
          <w:rFonts w:ascii="Bookman Old Style" w:hAnsi="Bookman Old Style" w:cs="Arial"/>
          <w:b/>
          <w:bCs/>
          <w:spacing w:val="-2"/>
          <w:sz w:val="24"/>
          <w:szCs w:val="24"/>
          <w:lang w:val="es-CO"/>
        </w:rPr>
        <w:t xml:space="preserve"> </w:t>
      </w:r>
      <w:r w:rsidRPr="008B4E14">
        <w:rPr>
          <w:rFonts w:ascii="Bookman Old Style" w:hAnsi="Bookman Old Style" w:cs="Arial"/>
          <w:bCs/>
          <w:spacing w:val="-2"/>
          <w:sz w:val="24"/>
          <w:szCs w:val="24"/>
          <w:lang w:val="es-CO"/>
        </w:rPr>
        <w:t xml:space="preserve">providencia proferida </w:t>
      </w:r>
      <w:r>
        <w:rPr>
          <w:rFonts w:ascii="Bookman Old Style" w:hAnsi="Bookman Old Style" w:cs="Arial"/>
          <w:bCs/>
          <w:sz w:val="24"/>
          <w:szCs w:val="24"/>
        </w:rPr>
        <w:t xml:space="preserve">el </w:t>
      </w:r>
      <w:r w:rsidR="00786879">
        <w:rPr>
          <w:rFonts w:ascii="Bookman Old Style" w:hAnsi="Bookman Old Style" w:cs="Arial"/>
          <w:bCs/>
          <w:sz w:val="24"/>
          <w:szCs w:val="24"/>
        </w:rPr>
        <w:t>05 de mayo</w:t>
      </w:r>
      <w:r>
        <w:rPr>
          <w:rFonts w:ascii="Bookman Old Style" w:hAnsi="Bookman Old Style" w:cs="Arial"/>
          <w:bCs/>
          <w:sz w:val="24"/>
          <w:szCs w:val="24"/>
        </w:rPr>
        <w:t xml:space="preserve"> de 2020, por el Juzgado Dieciséis Administrativo Oral del Circuito de Medellín, objeto de la consulta, por las razones expuestas.</w:t>
      </w:r>
    </w:p>
    <w:p w:rsidR="00682A74" w:rsidRPr="006C3F44" w:rsidRDefault="00682A74" w:rsidP="00682A74">
      <w:pPr>
        <w:pStyle w:val="Textoindependiente"/>
        <w:spacing w:after="0"/>
        <w:jc w:val="both"/>
        <w:rPr>
          <w:sz w:val="24"/>
          <w:szCs w:val="24"/>
          <w:lang w:val="es-ES"/>
        </w:rPr>
      </w:pPr>
    </w:p>
    <w:p w:rsidR="003A3896" w:rsidRDefault="003A3896" w:rsidP="00682A74">
      <w:pPr>
        <w:spacing w:line="360" w:lineRule="auto"/>
        <w:jc w:val="both"/>
        <w:rPr>
          <w:rFonts w:ascii="Bookman Old Style" w:hAnsi="Bookman Old Style" w:cs="Arial"/>
          <w:b/>
          <w:sz w:val="24"/>
          <w:szCs w:val="24"/>
        </w:rPr>
      </w:pPr>
      <w:r w:rsidRPr="000A52B2">
        <w:rPr>
          <w:rFonts w:ascii="Bookman Old Style" w:hAnsi="Bookman Old Style"/>
          <w:b/>
          <w:sz w:val="24"/>
          <w:szCs w:val="24"/>
          <w:lang w:val="es-ES"/>
        </w:rPr>
        <w:t>SEGUNDO</w:t>
      </w:r>
      <w:r>
        <w:rPr>
          <w:rFonts w:ascii="Bookman Old Style" w:hAnsi="Bookman Old Style" w:cs="Arial"/>
          <w:b/>
          <w:sz w:val="24"/>
          <w:szCs w:val="24"/>
        </w:rPr>
        <w:t xml:space="preserve">: ADVERTIR </w:t>
      </w:r>
      <w:r w:rsidRPr="008F20AC">
        <w:rPr>
          <w:rFonts w:ascii="Bookman Old Style" w:hAnsi="Bookman Old Style" w:cs="Arial"/>
          <w:sz w:val="24"/>
          <w:szCs w:val="24"/>
        </w:rPr>
        <w:t>a</w:t>
      </w:r>
      <w:r>
        <w:rPr>
          <w:rFonts w:ascii="Bookman Old Style" w:hAnsi="Bookman Old Style" w:cs="Arial"/>
          <w:sz w:val="24"/>
          <w:szCs w:val="24"/>
        </w:rPr>
        <w:t>l señor Ramón Alberto Rodríguez Andrade, Director General</w:t>
      </w:r>
      <w:r>
        <w:rPr>
          <w:rFonts w:ascii="Bookman Old Style" w:hAnsi="Bookman Old Style" w:cs="Arial"/>
          <w:spacing w:val="-2"/>
          <w:sz w:val="24"/>
          <w:szCs w:val="24"/>
        </w:rPr>
        <w:t xml:space="preserve"> </w:t>
      </w:r>
      <w:r w:rsidRPr="00D85346">
        <w:rPr>
          <w:rFonts w:ascii="Bookman Old Style" w:hAnsi="Bookman Old Style" w:cs="Arial"/>
          <w:sz w:val="24"/>
          <w:szCs w:val="24"/>
        </w:rPr>
        <w:t xml:space="preserve">de la Unidad Administrativa </w:t>
      </w:r>
      <w:r w:rsidRPr="00D85346">
        <w:rPr>
          <w:rFonts w:ascii="Bookman Old Style" w:hAnsi="Bookman Old Style" w:cs="Arial"/>
          <w:spacing w:val="-2"/>
          <w:sz w:val="24"/>
          <w:szCs w:val="24"/>
        </w:rPr>
        <w:t>Especial para la Atención y Reparación Integral a las Víctimas –UARIV-</w:t>
      </w:r>
      <w:r>
        <w:rPr>
          <w:rFonts w:ascii="Bookman Old Style" w:hAnsi="Bookman Old Style" w:cs="Arial"/>
          <w:sz w:val="24"/>
          <w:szCs w:val="24"/>
        </w:rPr>
        <w:t>,</w:t>
      </w:r>
      <w:r w:rsidRPr="008F20AC">
        <w:rPr>
          <w:rFonts w:ascii="Bookman Old Style" w:hAnsi="Bookman Old Style" w:cs="Arial"/>
          <w:sz w:val="24"/>
          <w:szCs w:val="24"/>
        </w:rPr>
        <w:t xml:space="preserve"> que debe </w:t>
      </w:r>
      <w:r w:rsidRPr="008F20AC">
        <w:rPr>
          <w:rFonts w:ascii="Bookman Old Style" w:hAnsi="Bookman Old Style" w:cs="Arial"/>
          <w:b/>
          <w:sz w:val="24"/>
          <w:szCs w:val="24"/>
        </w:rPr>
        <w:t>CUMPLIR DE INMEDIATO</w:t>
      </w:r>
      <w:r w:rsidRPr="008F20AC">
        <w:rPr>
          <w:rFonts w:ascii="Bookman Old Style" w:hAnsi="Bookman Old Style" w:cs="Arial"/>
          <w:sz w:val="24"/>
          <w:szCs w:val="24"/>
        </w:rPr>
        <w:t xml:space="preserve"> el fallo de tutela proferido el</w:t>
      </w:r>
      <w:r w:rsidR="00AF20D5">
        <w:rPr>
          <w:rFonts w:ascii="Bookman Old Style" w:hAnsi="Bookman Old Style" w:cs="Arial"/>
          <w:sz w:val="24"/>
          <w:szCs w:val="24"/>
        </w:rPr>
        <w:t xml:space="preserve"> 14 de febrero de 2020.</w:t>
      </w:r>
    </w:p>
    <w:p w:rsidR="003A3896" w:rsidRDefault="003A3896" w:rsidP="00AF20D5">
      <w:pPr>
        <w:jc w:val="both"/>
        <w:rPr>
          <w:rFonts w:ascii="Bookman Old Style" w:hAnsi="Bookman Old Style" w:cs="Arial"/>
          <w:b/>
          <w:sz w:val="24"/>
          <w:szCs w:val="24"/>
        </w:rPr>
      </w:pPr>
    </w:p>
    <w:p w:rsidR="00682A74" w:rsidRDefault="003A3896" w:rsidP="00682A74">
      <w:pPr>
        <w:spacing w:line="360" w:lineRule="auto"/>
        <w:jc w:val="both"/>
        <w:rPr>
          <w:rFonts w:ascii="Bookman Old Style" w:hAnsi="Bookman Old Style" w:cs="Arial"/>
          <w:b/>
          <w:sz w:val="24"/>
          <w:szCs w:val="24"/>
        </w:rPr>
      </w:pPr>
      <w:r>
        <w:rPr>
          <w:rFonts w:ascii="Bookman Old Style" w:hAnsi="Bookman Old Style" w:cs="Arial"/>
          <w:b/>
          <w:sz w:val="24"/>
          <w:szCs w:val="24"/>
        </w:rPr>
        <w:t xml:space="preserve">TERCERO: </w:t>
      </w:r>
      <w:r w:rsidR="00682A74">
        <w:rPr>
          <w:rFonts w:ascii="Bookman Old Style" w:hAnsi="Bookman Old Style" w:cs="Arial"/>
          <w:b/>
          <w:sz w:val="24"/>
          <w:szCs w:val="24"/>
        </w:rPr>
        <w:t>CONMINAR</w:t>
      </w:r>
      <w:r w:rsidR="00682A74">
        <w:rPr>
          <w:rFonts w:ascii="Bookman Old Style" w:hAnsi="Bookman Old Style" w:cs="Arial"/>
          <w:sz w:val="24"/>
          <w:szCs w:val="24"/>
        </w:rPr>
        <w:t xml:space="preserve"> </w:t>
      </w:r>
      <w:r w:rsidR="00682A74" w:rsidRPr="00E5585D">
        <w:rPr>
          <w:rFonts w:ascii="Bookman Old Style" w:hAnsi="Bookman Old Style" w:cs="Arial"/>
          <w:sz w:val="24"/>
          <w:szCs w:val="24"/>
        </w:rPr>
        <w:t>a</w:t>
      </w:r>
      <w:r w:rsidR="00682A74">
        <w:rPr>
          <w:rFonts w:ascii="Bookman Old Style" w:hAnsi="Bookman Old Style" w:cs="Arial"/>
          <w:sz w:val="24"/>
          <w:szCs w:val="24"/>
        </w:rPr>
        <w:t xml:space="preserve">l señor </w:t>
      </w:r>
      <w:r w:rsidR="00682A74">
        <w:rPr>
          <w:rFonts w:ascii="Bookman Old Style" w:hAnsi="Bookman Old Style" w:cs="Arial"/>
          <w:sz w:val="24"/>
          <w:szCs w:val="24"/>
          <w:lang w:val="es-CO"/>
        </w:rPr>
        <w:t>Ramón Alberto Rodríguez Andrade, Director General</w:t>
      </w:r>
      <w:r w:rsidR="00682A74">
        <w:rPr>
          <w:rFonts w:ascii="Bookman Old Style" w:hAnsi="Bookman Old Style" w:cs="Arial"/>
          <w:spacing w:val="-2"/>
          <w:sz w:val="24"/>
          <w:szCs w:val="24"/>
        </w:rPr>
        <w:t xml:space="preserve"> </w:t>
      </w:r>
      <w:r w:rsidR="00682A74" w:rsidRPr="00D85346">
        <w:rPr>
          <w:rFonts w:ascii="Bookman Old Style" w:hAnsi="Bookman Old Style" w:cs="Arial"/>
          <w:sz w:val="24"/>
          <w:szCs w:val="24"/>
        </w:rPr>
        <w:t xml:space="preserve">de la Unidad Administrativa </w:t>
      </w:r>
      <w:r w:rsidR="00682A74" w:rsidRPr="00D85346">
        <w:rPr>
          <w:rFonts w:ascii="Bookman Old Style" w:hAnsi="Bookman Old Style" w:cs="Arial"/>
          <w:spacing w:val="-2"/>
          <w:sz w:val="24"/>
          <w:szCs w:val="24"/>
        </w:rPr>
        <w:t>Especial para la Atención y Reparación Integral a las Víctimas –UARIV-</w:t>
      </w:r>
      <w:r w:rsidR="00682A74">
        <w:rPr>
          <w:rFonts w:ascii="Bookman Old Style" w:hAnsi="Bookman Old Style" w:cs="Arial"/>
          <w:sz w:val="24"/>
          <w:szCs w:val="24"/>
        </w:rPr>
        <w:t>,</w:t>
      </w:r>
      <w:r w:rsidR="00682A74" w:rsidRPr="00D54FFC">
        <w:rPr>
          <w:rFonts w:ascii="Bookman Old Style" w:hAnsi="Bookman Old Style" w:cs="Arial"/>
          <w:sz w:val="24"/>
          <w:szCs w:val="24"/>
        </w:rPr>
        <w:t xml:space="preserve"> </w:t>
      </w:r>
      <w:r w:rsidR="00682A74">
        <w:rPr>
          <w:rFonts w:ascii="Bookman Old Style" w:hAnsi="Bookman Old Style" w:cs="Arial"/>
          <w:sz w:val="24"/>
          <w:szCs w:val="24"/>
        </w:rPr>
        <w:t xml:space="preserve">para que en lo sucesivo acate oportunamente las órdenes judiciales y vele porque el personal a su cargo observe el mismo comportamiento. </w:t>
      </w:r>
    </w:p>
    <w:p w:rsidR="00682A74" w:rsidRPr="00397618" w:rsidRDefault="00682A74" w:rsidP="00682A74">
      <w:pPr>
        <w:pStyle w:val="Textoindependiente"/>
        <w:spacing w:after="0"/>
        <w:jc w:val="both"/>
        <w:rPr>
          <w:rFonts w:ascii="Bookman Old Style" w:hAnsi="Bookman Old Style" w:cs="Arial"/>
          <w:b/>
          <w:sz w:val="24"/>
          <w:szCs w:val="24"/>
        </w:rPr>
      </w:pPr>
    </w:p>
    <w:p w:rsidR="00682A74" w:rsidRPr="00D54FFC" w:rsidRDefault="003A3896" w:rsidP="00682A74">
      <w:pPr>
        <w:pStyle w:val="Textoindependiente"/>
        <w:spacing w:after="0" w:line="360" w:lineRule="auto"/>
        <w:jc w:val="both"/>
        <w:rPr>
          <w:rFonts w:ascii="Bookman Old Style" w:hAnsi="Bookman Old Style" w:cs="Arial"/>
          <w:b/>
          <w:sz w:val="24"/>
          <w:szCs w:val="24"/>
        </w:rPr>
      </w:pPr>
      <w:r>
        <w:rPr>
          <w:rFonts w:ascii="Bookman Old Style" w:hAnsi="Bookman Old Style" w:cs="Arial"/>
          <w:b/>
          <w:sz w:val="24"/>
          <w:szCs w:val="24"/>
        </w:rPr>
        <w:t>CUART</w:t>
      </w:r>
      <w:r w:rsidR="00682A74">
        <w:rPr>
          <w:rFonts w:ascii="Bookman Old Style" w:hAnsi="Bookman Old Style" w:cs="Arial"/>
          <w:b/>
          <w:sz w:val="24"/>
          <w:szCs w:val="24"/>
        </w:rPr>
        <w:t>O</w:t>
      </w:r>
      <w:r w:rsidR="00682A74" w:rsidRPr="00397618">
        <w:rPr>
          <w:rFonts w:ascii="Bookman Old Style" w:hAnsi="Bookman Old Style" w:cs="Arial"/>
          <w:b/>
          <w:sz w:val="24"/>
          <w:szCs w:val="24"/>
        </w:rPr>
        <w:t xml:space="preserve">: </w:t>
      </w:r>
      <w:r w:rsidR="00682A74">
        <w:rPr>
          <w:rFonts w:ascii="Bookman Old Style" w:hAnsi="Bookman Old Style" w:cs="Arial"/>
          <w:sz w:val="24"/>
          <w:szCs w:val="24"/>
        </w:rPr>
        <w:t>E</w:t>
      </w:r>
      <w:r w:rsidR="00682A74" w:rsidRPr="00E1146A">
        <w:rPr>
          <w:rFonts w:ascii="Bookman Old Style" w:hAnsi="Bookman Old Style" w:cs="Arial"/>
          <w:sz w:val="24"/>
          <w:szCs w:val="24"/>
        </w:rPr>
        <w:t>jecutoriada</w:t>
      </w:r>
      <w:r w:rsidR="00682A74">
        <w:rPr>
          <w:rFonts w:ascii="Bookman Old Style" w:hAnsi="Bookman Old Style" w:cs="Arial"/>
          <w:b/>
          <w:sz w:val="24"/>
          <w:szCs w:val="24"/>
        </w:rPr>
        <w:t xml:space="preserve"> </w:t>
      </w:r>
      <w:r w:rsidR="00682A74" w:rsidRPr="00397618">
        <w:rPr>
          <w:rFonts w:ascii="Bookman Old Style" w:hAnsi="Bookman Old Style" w:cs="Arial"/>
          <w:sz w:val="24"/>
          <w:szCs w:val="24"/>
        </w:rPr>
        <w:t>la presente providencia</w:t>
      </w:r>
      <w:r w:rsidR="00682A74" w:rsidRPr="002A1D2C">
        <w:rPr>
          <w:rFonts w:ascii="Bookman Old Style" w:hAnsi="Bookman Old Style" w:cs="Arial"/>
          <w:sz w:val="24"/>
          <w:szCs w:val="24"/>
        </w:rPr>
        <w:t>,</w:t>
      </w:r>
      <w:r w:rsidR="00682A74">
        <w:rPr>
          <w:rFonts w:ascii="Bookman Old Style" w:hAnsi="Bookman Old Style" w:cs="Arial"/>
          <w:b/>
          <w:sz w:val="24"/>
          <w:szCs w:val="24"/>
        </w:rPr>
        <w:t xml:space="preserve"> </w:t>
      </w:r>
      <w:r w:rsidR="00682A74" w:rsidRPr="002A1D2C">
        <w:rPr>
          <w:rFonts w:ascii="Bookman Old Style" w:hAnsi="Bookman Old Style" w:cs="Arial"/>
          <w:b/>
          <w:sz w:val="24"/>
          <w:szCs w:val="24"/>
        </w:rPr>
        <w:t>ENVIAR</w:t>
      </w:r>
      <w:r w:rsidR="00682A74" w:rsidRPr="002A1D2C">
        <w:rPr>
          <w:rFonts w:ascii="Bookman Old Style" w:hAnsi="Bookman Old Style" w:cs="Arial"/>
          <w:sz w:val="24"/>
          <w:szCs w:val="24"/>
        </w:rPr>
        <w:t xml:space="preserve"> el expediente al Juzgado de origen.</w:t>
      </w:r>
    </w:p>
    <w:p w:rsidR="00682A74" w:rsidRDefault="00682A74" w:rsidP="00682A74">
      <w:pPr>
        <w:suppressAutoHyphens/>
        <w:spacing w:line="360" w:lineRule="auto"/>
        <w:jc w:val="both"/>
        <w:rPr>
          <w:rFonts w:ascii="Bookman Old Style" w:hAnsi="Bookman Old Style" w:cs="Arial"/>
          <w:b/>
          <w:spacing w:val="-3"/>
          <w:sz w:val="24"/>
          <w:szCs w:val="24"/>
        </w:rPr>
      </w:pPr>
    </w:p>
    <w:p w:rsidR="00682A74" w:rsidRDefault="00682A74" w:rsidP="00682A74">
      <w:pPr>
        <w:suppressAutoHyphens/>
        <w:jc w:val="center"/>
        <w:rPr>
          <w:rFonts w:ascii="Bookman Old Style" w:hAnsi="Bookman Old Style" w:cs="Arial"/>
          <w:b/>
          <w:spacing w:val="-3"/>
          <w:sz w:val="24"/>
          <w:szCs w:val="24"/>
        </w:rPr>
      </w:pPr>
      <w:r>
        <w:rPr>
          <w:rFonts w:ascii="Bookman Old Style" w:hAnsi="Bookman Old Style" w:cs="Arial"/>
          <w:b/>
          <w:spacing w:val="-3"/>
          <w:sz w:val="24"/>
          <w:szCs w:val="24"/>
        </w:rPr>
        <w:t xml:space="preserve">NOTIFÍQUESE </w:t>
      </w:r>
      <w:r w:rsidRPr="00962291">
        <w:rPr>
          <w:rFonts w:ascii="Bookman Old Style" w:hAnsi="Bookman Old Style" w:cs="Arial"/>
          <w:b/>
          <w:spacing w:val="-3"/>
          <w:sz w:val="24"/>
          <w:szCs w:val="24"/>
        </w:rPr>
        <w:t>Y CÚMPLASE</w:t>
      </w:r>
    </w:p>
    <w:p w:rsidR="00682A74" w:rsidRDefault="00682A74" w:rsidP="00682A74">
      <w:pPr>
        <w:suppressAutoHyphens/>
        <w:rPr>
          <w:rFonts w:ascii="Bookman Old Style" w:hAnsi="Bookman Old Style" w:cs="Arial"/>
          <w:b/>
          <w:spacing w:val="-3"/>
          <w:sz w:val="22"/>
          <w:szCs w:val="22"/>
        </w:rPr>
      </w:pPr>
    </w:p>
    <w:p w:rsidR="00682A74" w:rsidRDefault="00682A74" w:rsidP="00682A74">
      <w:pPr>
        <w:suppressAutoHyphens/>
        <w:rPr>
          <w:rFonts w:ascii="Bookman Old Style" w:hAnsi="Bookman Old Style" w:cs="Arial"/>
          <w:b/>
          <w:spacing w:val="-3"/>
          <w:sz w:val="22"/>
          <w:szCs w:val="22"/>
        </w:rPr>
      </w:pPr>
    </w:p>
    <w:p w:rsidR="00AF20D5" w:rsidRDefault="00AF20D5" w:rsidP="00682A74">
      <w:pPr>
        <w:suppressAutoHyphens/>
        <w:rPr>
          <w:rFonts w:ascii="Bookman Old Style" w:hAnsi="Bookman Old Style" w:cs="Arial"/>
          <w:b/>
          <w:spacing w:val="-3"/>
          <w:sz w:val="22"/>
          <w:szCs w:val="22"/>
        </w:rPr>
      </w:pPr>
    </w:p>
    <w:p w:rsidR="00AF20D5" w:rsidRDefault="00AF20D5" w:rsidP="00682A74">
      <w:pPr>
        <w:suppressAutoHyphens/>
        <w:rPr>
          <w:rFonts w:ascii="Bookman Old Style" w:hAnsi="Bookman Old Style" w:cs="Arial"/>
          <w:b/>
          <w:spacing w:val="-3"/>
          <w:sz w:val="22"/>
          <w:szCs w:val="22"/>
        </w:rPr>
      </w:pPr>
    </w:p>
    <w:p w:rsidR="00682A74" w:rsidRDefault="00682A74" w:rsidP="00682A74">
      <w:pPr>
        <w:suppressAutoHyphens/>
        <w:rPr>
          <w:rFonts w:ascii="Bookman Old Style" w:hAnsi="Bookman Old Style" w:cs="Arial"/>
          <w:b/>
          <w:spacing w:val="-3"/>
          <w:sz w:val="22"/>
          <w:szCs w:val="22"/>
        </w:rPr>
      </w:pPr>
    </w:p>
    <w:p w:rsidR="00682A74" w:rsidRDefault="00682A74" w:rsidP="00682A74">
      <w:pPr>
        <w:suppressAutoHyphens/>
        <w:ind w:firstLine="709"/>
        <w:jc w:val="center"/>
        <w:rPr>
          <w:rFonts w:ascii="Bookman Old Style" w:hAnsi="Bookman Old Style" w:cs="Arial"/>
          <w:b/>
          <w:spacing w:val="-3"/>
          <w:sz w:val="24"/>
          <w:szCs w:val="24"/>
        </w:rPr>
      </w:pPr>
      <w:r>
        <w:rPr>
          <w:rFonts w:ascii="Bookman Old Style" w:hAnsi="Bookman Old Style" w:cs="Arial"/>
          <w:b/>
          <w:spacing w:val="-3"/>
          <w:sz w:val="24"/>
          <w:szCs w:val="24"/>
        </w:rPr>
        <w:t>RAFAEL DARÍ</w:t>
      </w:r>
      <w:r w:rsidRPr="00962291">
        <w:rPr>
          <w:rFonts w:ascii="Bookman Old Style" w:hAnsi="Bookman Old Style" w:cs="Arial"/>
          <w:b/>
          <w:spacing w:val="-3"/>
          <w:sz w:val="24"/>
          <w:szCs w:val="24"/>
        </w:rPr>
        <w:t>O RESTREPO QUIJANO</w:t>
      </w:r>
    </w:p>
    <w:p w:rsidR="00AF20D5" w:rsidRDefault="00682A74" w:rsidP="00682A74">
      <w:pPr>
        <w:suppressAutoHyphens/>
        <w:ind w:firstLine="709"/>
        <w:jc w:val="center"/>
        <w:rPr>
          <w:rFonts w:ascii="Bookman Old Style" w:hAnsi="Bookman Old Style" w:cs="Arial"/>
          <w:b/>
          <w:spacing w:val="-3"/>
          <w:sz w:val="24"/>
          <w:szCs w:val="24"/>
        </w:rPr>
      </w:pPr>
      <w:r>
        <w:rPr>
          <w:rFonts w:ascii="Bookman Old Style" w:hAnsi="Bookman Old Style" w:cs="Arial"/>
          <w:b/>
          <w:spacing w:val="-3"/>
          <w:sz w:val="24"/>
          <w:szCs w:val="24"/>
        </w:rPr>
        <w:t>MA</w:t>
      </w:r>
      <w:r w:rsidRPr="009C753C">
        <w:rPr>
          <w:rFonts w:ascii="Bookman Old Style" w:hAnsi="Bookman Old Style" w:cs="Arial"/>
          <w:b/>
          <w:spacing w:val="-3"/>
          <w:sz w:val="24"/>
          <w:szCs w:val="24"/>
        </w:rPr>
        <w:t>GISTRADO</w:t>
      </w:r>
      <w:r w:rsidR="00AF20D5">
        <w:rPr>
          <w:rFonts w:ascii="Bookman Old Style" w:hAnsi="Bookman Old Style" w:cs="Arial"/>
          <w:b/>
          <w:spacing w:val="-3"/>
          <w:sz w:val="24"/>
          <w:szCs w:val="24"/>
        </w:rPr>
        <w:t xml:space="preserve"> </w:t>
      </w:r>
    </w:p>
    <w:p w:rsidR="00682A74" w:rsidRDefault="00AF20D5" w:rsidP="00682A74">
      <w:pPr>
        <w:suppressAutoHyphens/>
        <w:ind w:firstLine="709"/>
        <w:jc w:val="center"/>
        <w:rPr>
          <w:rFonts w:ascii="Bookman Old Style" w:hAnsi="Bookman Old Style" w:cs="Arial"/>
          <w:b/>
          <w:spacing w:val="-3"/>
          <w:sz w:val="24"/>
          <w:szCs w:val="24"/>
        </w:rPr>
      </w:pPr>
      <w:r>
        <w:rPr>
          <w:rFonts w:ascii="Bookman Old Style" w:hAnsi="Bookman Old Style" w:cs="Arial"/>
          <w:b/>
          <w:spacing w:val="-3"/>
          <w:sz w:val="24"/>
          <w:szCs w:val="24"/>
        </w:rPr>
        <w:t xml:space="preserve"> </w:t>
      </w:r>
      <w:r w:rsidR="00682A74">
        <w:rPr>
          <w:rFonts w:ascii="Bookman Old Style" w:hAnsi="Bookman Old Style" w:cs="Arial"/>
          <w:b/>
          <w:spacing w:val="-3"/>
          <w:sz w:val="24"/>
          <w:szCs w:val="24"/>
        </w:rPr>
        <w:t>(Original firmado)</w:t>
      </w:r>
    </w:p>
    <w:p w:rsidR="00682A74" w:rsidRDefault="00682A74" w:rsidP="00682A74">
      <w:pPr>
        <w:suppressAutoHyphens/>
        <w:ind w:firstLine="709"/>
        <w:jc w:val="center"/>
        <w:rPr>
          <w:rFonts w:ascii="Bookman Old Style" w:hAnsi="Bookman Old Style" w:cs="Arial"/>
          <w:b/>
          <w:spacing w:val="-3"/>
          <w:sz w:val="24"/>
          <w:szCs w:val="24"/>
        </w:rPr>
      </w:pPr>
    </w:p>
    <w:tbl>
      <w:tblPr>
        <w:tblStyle w:val="Tablaconcuadrcula"/>
        <w:tblpPr w:leftFromText="141" w:rightFromText="141" w:vertAnchor="text" w:horzAnchor="margin" w:tblpXSpec="center" w:tblpY="180"/>
        <w:tblW w:w="4995" w:type="dxa"/>
        <w:tblLook w:val="01E0" w:firstRow="1" w:lastRow="1" w:firstColumn="1" w:lastColumn="1" w:noHBand="0" w:noVBand="0"/>
      </w:tblPr>
      <w:tblGrid>
        <w:gridCol w:w="4995"/>
      </w:tblGrid>
      <w:tr w:rsidR="00682A74" w:rsidRPr="009F638E" w:rsidTr="003937CF">
        <w:trPr>
          <w:trHeight w:val="2258"/>
        </w:trPr>
        <w:tc>
          <w:tcPr>
            <w:tcW w:w="4995" w:type="dxa"/>
          </w:tcPr>
          <w:p w:rsidR="00682A74" w:rsidRDefault="00682A74" w:rsidP="003937CF">
            <w:pPr>
              <w:spacing w:line="276" w:lineRule="auto"/>
              <w:jc w:val="center"/>
              <w:rPr>
                <w:rFonts w:ascii="Bookman Old Style" w:hAnsi="Bookman Old Style" w:cstheme="minorBidi"/>
                <w:b/>
                <w:spacing w:val="-3"/>
                <w:sz w:val="14"/>
                <w:szCs w:val="18"/>
                <w:lang w:eastAsia="en-US"/>
              </w:rPr>
            </w:pPr>
          </w:p>
          <w:p w:rsidR="00682A74" w:rsidRPr="006F768D" w:rsidRDefault="00682A74" w:rsidP="003937CF">
            <w:pPr>
              <w:spacing w:line="276" w:lineRule="auto"/>
              <w:jc w:val="center"/>
              <w:rPr>
                <w:rFonts w:ascii="Bookman Old Style" w:hAnsi="Bookman Old Style" w:cstheme="minorBidi"/>
                <w:b/>
                <w:spacing w:val="-3"/>
                <w:sz w:val="14"/>
                <w:szCs w:val="18"/>
                <w:lang w:eastAsia="en-US"/>
              </w:rPr>
            </w:pPr>
            <w:r w:rsidRPr="006F768D">
              <w:rPr>
                <w:rFonts w:ascii="Bookman Old Style" w:hAnsi="Bookman Old Style" w:cstheme="minorBidi"/>
                <w:b/>
                <w:spacing w:val="-3"/>
                <w:sz w:val="14"/>
                <w:szCs w:val="18"/>
                <w:lang w:eastAsia="en-US"/>
              </w:rPr>
              <w:t>TRIBUNAL ADMINISTRATIVO DE ANTIOQUIA</w:t>
            </w:r>
          </w:p>
          <w:p w:rsidR="00682A74" w:rsidRPr="006F768D" w:rsidRDefault="00682A74" w:rsidP="003937CF">
            <w:pPr>
              <w:spacing w:line="276" w:lineRule="auto"/>
              <w:jc w:val="center"/>
              <w:rPr>
                <w:rFonts w:ascii="Bookman Old Style" w:hAnsi="Bookman Old Style" w:cstheme="minorBidi"/>
                <w:b/>
                <w:spacing w:val="-3"/>
                <w:sz w:val="14"/>
                <w:szCs w:val="18"/>
                <w:lang w:eastAsia="en-US"/>
              </w:rPr>
            </w:pPr>
            <w:r w:rsidRPr="006F768D">
              <w:rPr>
                <w:rFonts w:ascii="Bookman Old Style" w:hAnsi="Bookman Old Style" w:cstheme="minorBidi"/>
                <w:b/>
                <w:spacing w:val="-3"/>
                <w:sz w:val="14"/>
                <w:szCs w:val="18"/>
                <w:lang w:eastAsia="en-US"/>
              </w:rPr>
              <w:t xml:space="preserve">EN ANOTACIÓN POR ESTADOS DE HOY </w:t>
            </w:r>
          </w:p>
          <w:p w:rsidR="00682A74" w:rsidRPr="006F768D" w:rsidRDefault="00682A74" w:rsidP="003937CF">
            <w:pPr>
              <w:spacing w:line="276" w:lineRule="auto"/>
              <w:jc w:val="center"/>
              <w:rPr>
                <w:rFonts w:ascii="Bookman Old Style" w:hAnsi="Bookman Old Style" w:cstheme="minorBidi"/>
                <w:b/>
                <w:spacing w:val="-3"/>
                <w:sz w:val="14"/>
                <w:szCs w:val="18"/>
                <w:lang w:eastAsia="en-US"/>
              </w:rPr>
            </w:pPr>
          </w:p>
          <w:p w:rsidR="00682A74" w:rsidRPr="006F768D" w:rsidRDefault="00AF20D5" w:rsidP="003937CF">
            <w:pPr>
              <w:spacing w:line="276" w:lineRule="auto"/>
              <w:jc w:val="center"/>
              <w:rPr>
                <w:rFonts w:ascii="Bookman Old Style" w:hAnsi="Bookman Old Style" w:cstheme="minorBidi"/>
                <w:spacing w:val="-3"/>
                <w:sz w:val="14"/>
                <w:szCs w:val="18"/>
                <w:u w:val="single"/>
                <w:lang w:eastAsia="en-US"/>
              </w:rPr>
            </w:pPr>
            <w:r>
              <w:rPr>
                <w:rFonts w:ascii="Bookman Old Style" w:hAnsi="Bookman Old Style" w:cstheme="minorBidi"/>
                <w:b/>
                <w:spacing w:val="-3"/>
                <w:sz w:val="14"/>
                <w:szCs w:val="18"/>
                <w:lang w:eastAsia="en-US"/>
              </w:rPr>
              <w:t>Diecinueve (19) de mayo</w:t>
            </w:r>
            <w:r w:rsidR="00682A74" w:rsidRPr="006F768D">
              <w:rPr>
                <w:rFonts w:ascii="Bookman Old Style" w:hAnsi="Bookman Old Style" w:cstheme="minorBidi"/>
                <w:b/>
                <w:spacing w:val="-3"/>
                <w:sz w:val="14"/>
                <w:szCs w:val="18"/>
                <w:lang w:eastAsia="en-US"/>
              </w:rPr>
              <w:t xml:space="preserve"> de 2020</w:t>
            </w:r>
          </w:p>
          <w:p w:rsidR="00682A74" w:rsidRPr="006F768D" w:rsidRDefault="00682A74" w:rsidP="003937CF">
            <w:pPr>
              <w:spacing w:line="276" w:lineRule="auto"/>
              <w:jc w:val="center"/>
              <w:rPr>
                <w:rFonts w:ascii="Bookman Old Style" w:hAnsi="Bookman Old Style" w:cstheme="minorBidi"/>
                <w:spacing w:val="-3"/>
                <w:sz w:val="14"/>
                <w:szCs w:val="18"/>
                <w:lang w:eastAsia="en-US"/>
              </w:rPr>
            </w:pPr>
            <w:r w:rsidRPr="006F768D">
              <w:rPr>
                <w:rFonts w:ascii="Bookman Old Style" w:hAnsi="Bookman Old Style" w:cstheme="minorBidi"/>
                <w:spacing w:val="-3"/>
                <w:sz w:val="14"/>
                <w:szCs w:val="18"/>
                <w:lang w:eastAsia="en-US"/>
              </w:rPr>
              <w:t>____________________________</w:t>
            </w:r>
          </w:p>
          <w:p w:rsidR="00682A74" w:rsidRPr="006F768D" w:rsidRDefault="00682A74" w:rsidP="003937CF">
            <w:pPr>
              <w:spacing w:line="276" w:lineRule="auto"/>
              <w:jc w:val="center"/>
              <w:rPr>
                <w:rFonts w:ascii="Bookman Old Style" w:hAnsi="Bookman Old Style" w:cstheme="minorBidi"/>
                <w:b/>
                <w:spacing w:val="-3"/>
                <w:sz w:val="14"/>
                <w:szCs w:val="18"/>
                <w:lang w:eastAsia="en-US"/>
              </w:rPr>
            </w:pPr>
            <w:r w:rsidRPr="006F768D">
              <w:rPr>
                <w:rFonts w:ascii="Bookman Old Style" w:hAnsi="Bookman Old Style" w:cstheme="minorBidi"/>
                <w:b/>
                <w:spacing w:val="-3"/>
                <w:sz w:val="14"/>
                <w:szCs w:val="18"/>
                <w:lang w:eastAsia="en-US"/>
              </w:rPr>
              <w:t>FUE NOTIFICADO EL AUTO ANTERIOR</w:t>
            </w:r>
            <w:r w:rsidRPr="006F768D">
              <w:rPr>
                <w:rFonts w:ascii="Bookman Old Style" w:hAnsi="Bookman Old Style" w:cstheme="minorBidi"/>
                <w:noProof/>
                <w:sz w:val="22"/>
                <w:szCs w:val="22"/>
                <w:lang w:val="es-ES"/>
              </w:rPr>
              <w:drawing>
                <wp:anchor distT="0" distB="0" distL="114300" distR="114300" simplePos="0" relativeHeight="251659264" behindDoc="1" locked="0" layoutInCell="1" allowOverlap="1" wp14:anchorId="04E756BA" wp14:editId="39F6C4AF">
                  <wp:simplePos x="0" y="0"/>
                  <wp:positionH relativeFrom="margin">
                    <wp:posOffset>692785</wp:posOffset>
                  </wp:positionH>
                  <wp:positionV relativeFrom="paragraph">
                    <wp:posOffset>74295</wp:posOffset>
                  </wp:positionV>
                  <wp:extent cx="914400" cy="482600"/>
                  <wp:effectExtent l="0" t="0" r="0" b="0"/>
                  <wp:wrapNone/>
                  <wp:docPr id="1" name="Imagen 1" descr="C:\Documents and Settings\camilo.gil\Escritorio\FIRMA JUDITH.JPG"/>
                  <wp:cNvGraphicFramePr/>
                  <a:graphic xmlns:a="http://schemas.openxmlformats.org/drawingml/2006/main">
                    <a:graphicData uri="http://schemas.openxmlformats.org/drawingml/2006/picture">
                      <pic:pic xmlns:pic="http://schemas.openxmlformats.org/drawingml/2006/picture">
                        <pic:nvPicPr>
                          <pic:cNvPr id="5" name="Imagen 5" descr="C:\Documents and Settings\camilo.gil\Escritorio\FIRMA JUDITH.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48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82A74" w:rsidRPr="006F768D" w:rsidRDefault="00682A74" w:rsidP="003937CF">
            <w:pPr>
              <w:spacing w:after="200" w:line="276" w:lineRule="auto"/>
              <w:jc w:val="center"/>
              <w:rPr>
                <w:rFonts w:ascii="Bookman Old Style" w:hAnsi="Bookman Old Style" w:cstheme="minorBidi"/>
                <w:b/>
                <w:spacing w:val="-3"/>
                <w:sz w:val="14"/>
                <w:szCs w:val="18"/>
                <w:lang w:eastAsia="en-US"/>
              </w:rPr>
            </w:pPr>
          </w:p>
          <w:p w:rsidR="00682A74" w:rsidRPr="006F768D" w:rsidRDefault="00682A74" w:rsidP="003937CF">
            <w:pPr>
              <w:spacing w:after="200" w:line="276" w:lineRule="auto"/>
              <w:jc w:val="center"/>
              <w:rPr>
                <w:rFonts w:ascii="Bookman Old Style" w:hAnsi="Bookman Old Style" w:cstheme="minorBidi"/>
                <w:spacing w:val="-3"/>
                <w:sz w:val="14"/>
                <w:szCs w:val="22"/>
                <w:lang w:eastAsia="en-US"/>
              </w:rPr>
            </w:pPr>
            <w:r w:rsidRPr="006F768D">
              <w:rPr>
                <w:rFonts w:ascii="Bookman Old Style" w:hAnsi="Bookman Old Style" w:cstheme="minorBidi"/>
                <w:spacing w:val="-3"/>
                <w:sz w:val="14"/>
                <w:szCs w:val="22"/>
                <w:lang w:eastAsia="en-US"/>
              </w:rPr>
              <w:t>___________________</w:t>
            </w:r>
          </w:p>
          <w:p w:rsidR="00682A74" w:rsidRPr="006F768D" w:rsidRDefault="00682A74" w:rsidP="003937CF">
            <w:pPr>
              <w:spacing w:after="200" w:line="276" w:lineRule="auto"/>
              <w:jc w:val="center"/>
              <w:rPr>
                <w:rFonts w:ascii="Bookman Old Style" w:hAnsi="Bookman Old Style" w:cstheme="minorBidi"/>
                <w:b/>
                <w:spacing w:val="-3"/>
                <w:sz w:val="14"/>
                <w:szCs w:val="18"/>
                <w:lang w:eastAsia="en-US"/>
              </w:rPr>
            </w:pPr>
            <w:r w:rsidRPr="006F768D">
              <w:rPr>
                <w:rFonts w:ascii="Bookman Old Style" w:hAnsi="Bookman Old Style" w:cstheme="minorBidi"/>
                <w:b/>
                <w:spacing w:val="-3"/>
                <w:sz w:val="14"/>
                <w:szCs w:val="18"/>
                <w:lang w:eastAsia="en-US"/>
              </w:rPr>
              <w:t>SECRETARIA GENERAL</w:t>
            </w:r>
          </w:p>
        </w:tc>
      </w:tr>
    </w:tbl>
    <w:p w:rsidR="00682A74" w:rsidRDefault="00682A74" w:rsidP="00682A74">
      <w:pPr>
        <w:suppressAutoHyphens/>
        <w:jc w:val="center"/>
      </w:pPr>
    </w:p>
    <w:p w:rsidR="00682A74" w:rsidRDefault="00682A74" w:rsidP="00682A74">
      <w:pPr>
        <w:suppressAutoHyphens/>
        <w:jc w:val="center"/>
      </w:pPr>
    </w:p>
    <w:p w:rsidR="00682A74" w:rsidRDefault="00682A74" w:rsidP="00682A74"/>
    <w:p w:rsidR="00682A74" w:rsidRDefault="00682A74" w:rsidP="00682A74"/>
    <w:p w:rsidR="00682A74" w:rsidRDefault="00682A74" w:rsidP="00682A74"/>
    <w:p w:rsidR="00682A74" w:rsidRDefault="00682A74" w:rsidP="00682A74"/>
    <w:p w:rsidR="00682A74" w:rsidRDefault="00682A74" w:rsidP="00682A74"/>
    <w:p w:rsidR="00682A74" w:rsidRDefault="00682A74" w:rsidP="00682A74"/>
    <w:p w:rsidR="00682A74" w:rsidRDefault="00682A74" w:rsidP="00682A74"/>
    <w:p w:rsidR="00F8663D" w:rsidRDefault="00F8663D"/>
    <w:sectPr w:rsidR="00F8663D" w:rsidSect="00AF20D5">
      <w:headerReference w:type="even" r:id="rId9"/>
      <w:headerReference w:type="default" r:id="rId10"/>
      <w:footerReference w:type="even" r:id="rId11"/>
      <w:footerReference w:type="default" r:id="rId12"/>
      <w:pgSz w:w="12242" w:h="18722" w:code="14"/>
      <w:pgMar w:top="1985" w:right="1474" w:bottom="1474" w:left="2098" w:header="964" w:footer="964" w:gutter="0"/>
      <w:paperSrc w:first="261" w:other="261"/>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1C7" w:rsidRDefault="00DE61C7" w:rsidP="00682A74">
      <w:r>
        <w:separator/>
      </w:r>
    </w:p>
  </w:endnote>
  <w:endnote w:type="continuationSeparator" w:id="0">
    <w:p w:rsidR="00DE61C7" w:rsidRDefault="00DE61C7" w:rsidP="0068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FrankRuehl">
    <w:altName w:val="Times New Roman"/>
    <w:charset w:val="00"/>
    <w:family w:val="swiss"/>
    <w:pitch w:val="variable"/>
    <w:sig w:usb0="00000000"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35" w:rsidRDefault="00F52E04" w:rsidP="0007443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4435" w:rsidRDefault="00DE61C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35" w:rsidRPr="008F7785" w:rsidRDefault="00F52E04" w:rsidP="00074435">
    <w:pPr>
      <w:pStyle w:val="Piedepgina"/>
      <w:framePr w:wrap="around" w:vAnchor="text" w:hAnchor="page" w:x="6106" w:y="70"/>
      <w:rPr>
        <w:rStyle w:val="Nmerodepgina"/>
        <w:sz w:val="24"/>
        <w:szCs w:val="24"/>
      </w:rPr>
    </w:pPr>
    <w:r w:rsidRPr="008F7785">
      <w:rPr>
        <w:rStyle w:val="Nmerodepgina"/>
        <w:sz w:val="24"/>
        <w:szCs w:val="24"/>
      </w:rPr>
      <w:fldChar w:fldCharType="begin"/>
    </w:r>
    <w:r w:rsidRPr="008F7785">
      <w:rPr>
        <w:rStyle w:val="Nmerodepgina"/>
        <w:sz w:val="24"/>
        <w:szCs w:val="24"/>
      </w:rPr>
      <w:instrText xml:space="preserve">PAGE  </w:instrText>
    </w:r>
    <w:r w:rsidRPr="008F7785">
      <w:rPr>
        <w:rStyle w:val="Nmerodepgina"/>
        <w:sz w:val="24"/>
        <w:szCs w:val="24"/>
      </w:rPr>
      <w:fldChar w:fldCharType="separate"/>
    </w:r>
    <w:r w:rsidR="008D3358">
      <w:rPr>
        <w:rStyle w:val="Nmerodepgina"/>
        <w:noProof/>
        <w:sz w:val="24"/>
        <w:szCs w:val="24"/>
      </w:rPr>
      <w:t>10</w:t>
    </w:r>
    <w:r w:rsidRPr="008F7785">
      <w:rPr>
        <w:rStyle w:val="Nmerodepgina"/>
        <w:sz w:val="24"/>
        <w:szCs w:val="24"/>
      </w:rPr>
      <w:fldChar w:fldCharType="end"/>
    </w:r>
  </w:p>
  <w:p w:rsidR="00074435" w:rsidRDefault="00DE61C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1C7" w:rsidRDefault="00DE61C7" w:rsidP="00682A74">
      <w:r>
        <w:separator/>
      </w:r>
    </w:p>
  </w:footnote>
  <w:footnote w:type="continuationSeparator" w:id="0">
    <w:p w:rsidR="00DE61C7" w:rsidRDefault="00DE61C7" w:rsidP="00682A74">
      <w:r>
        <w:continuationSeparator/>
      </w:r>
    </w:p>
  </w:footnote>
  <w:footnote w:id="1">
    <w:p w:rsidR="00682A74" w:rsidRPr="00F1661D" w:rsidRDefault="00682A74" w:rsidP="00682A74">
      <w:pPr>
        <w:pStyle w:val="Textonotapie"/>
        <w:rPr>
          <w:rFonts w:ascii="Bookman Old Style" w:hAnsi="Bookman Old Style"/>
          <w:sz w:val="16"/>
          <w:szCs w:val="16"/>
          <w:lang w:val="es-CO"/>
        </w:rPr>
      </w:pPr>
      <w:r w:rsidRPr="00F1661D">
        <w:rPr>
          <w:rStyle w:val="Refdenotaalpie"/>
          <w:rFonts w:ascii="Bookman Old Style" w:hAnsi="Bookman Old Style"/>
          <w:sz w:val="16"/>
          <w:szCs w:val="16"/>
        </w:rPr>
        <w:footnoteRef/>
      </w:r>
      <w:r w:rsidRPr="00F1661D">
        <w:rPr>
          <w:rFonts w:ascii="Bookman Old Style" w:hAnsi="Bookman Old Style"/>
          <w:sz w:val="16"/>
          <w:szCs w:val="16"/>
        </w:rPr>
        <w:t xml:space="preserve"> </w:t>
      </w:r>
      <w:r w:rsidRPr="00F1661D">
        <w:rPr>
          <w:rFonts w:ascii="Bookman Old Style" w:hAnsi="Bookman Old Style"/>
          <w:sz w:val="16"/>
          <w:szCs w:val="16"/>
          <w:lang w:val="es-CO"/>
        </w:rPr>
        <w:t xml:space="preserve">Folio </w:t>
      </w:r>
      <w:r>
        <w:rPr>
          <w:rFonts w:ascii="Bookman Old Style" w:hAnsi="Bookman Old Style"/>
          <w:sz w:val="16"/>
          <w:szCs w:val="16"/>
          <w:lang w:val="es-CO"/>
        </w:rPr>
        <w:t>2.</w:t>
      </w:r>
    </w:p>
  </w:footnote>
  <w:footnote w:id="2">
    <w:p w:rsidR="00682A74" w:rsidRPr="00F1661D" w:rsidRDefault="00682A74" w:rsidP="00682A74">
      <w:pPr>
        <w:pStyle w:val="Textonotapie"/>
        <w:rPr>
          <w:rFonts w:ascii="Bookman Old Style" w:hAnsi="Bookman Old Style"/>
          <w:sz w:val="16"/>
          <w:szCs w:val="16"/>
        </w:rPr>
      </w:pPr>
      <w:r w:rsidRPr="00F1661D">
        <w:rPr>
          <w:rStyle w:val="Refdenotaalpie"/>
          <w:rFonts w:ascii="Bookman Old Style" w:hAnsi="Bookman Old Style"/>
          <w:sz w:val="16"/>
          <w:szCs w:val="16"/>
        </w:rPr>
        <w:footnoteRef/>
      </w:r>
      <w:r w:rsidRPr="00F1661D">
        <w:rPr>
          <w:rFonts w:ascii="Bookman Old Style" w:hAnsi="Bookman Old Style"/>
          <w:sz w:val="16"/>
          <w:szCs w:val="16"/>
        </w:rPr>
        <w:t xml:space="preserve"> </w:t>
      </w:r>
      <w:r w:rsidRPr="00F1661D">
        <w:rPr>
          <w:rFonts w:ascii="Bookman Old Style" w:hAnsi="Bookman Old Style"/>
          <w:sz w:val="16"/>
          <w:szCs w:val="16"/>
          <w:lang w:val="es-CO"/>
        </w:rPr>
        <w:t>Sentencia T-188 de 2002.</w:t>
      </w:r>
    </w:p>
  </w:footnote>
  <w:footnote w:id="3">
    <w:p w:rsidR="00682A74" w:rsidRPr="00F1661D" w:rsidRDefault="00682A74" w:rsidP="00682A74">
      <w:pPr>
        <w:pStyle w:val="Textonotapie"/>
        <w:rPr>
          <w:rFonts w:ascii="Bookman Old Style" w:hAnsi="Bookman Old Style"/>
          <w:sz w:val="16"/>
          <w:szCs w:val="16"/>
        </w:rPr>
      </w:pPr>
      <w:r w:rsidRPr="00F1661D">
        <w:rPr>
          <w:rStyle w:val="Refdenotaalpie"/>
          <w:rFonts w:ascii="Bookman Old Style" w:hAnsi="Bookman Old Style"/>
          <w:sz w:val="16"/>
          <w:szCs w:val="16"/>
        </w:rPr>
        <w:footnoteRef/>
      </w:r>
      <w:r w:rsidRPr="00F1661D">
        <w:rPr>
          <w:rFonts w:ascii="Bookman Old Style" w:hAnsi="Bookman Old Style"/>
          <w:sz w:val="16"/>
          <w:szCs w:val="16"/>
        </w:rPr>
        <w:t xml:space="preserve">  Sentencia T- 171 de 2009, Magistrado Ponente, Humberto Antonio Sierra Porto. </w:t>
      </w:r>
    </w:p>
  </w:footnote>
  <w:footnote w:id="4">
    <w:p w:rsidR="00682A74" w:rsidRPr="00F1661D" w:rsidRDefault="00682A74" w:rsidP="00682A74">
      <w:pPr>
        <w:jc w:val="both"/>
        <w:rPr>
          <w:rFonts w:ascii="Bookman Old Style" w:hAnsi="Bookman Old Style"/>
          <w:sz w:val="16"/>
          <w:szCs w:val="16"/>
        </w:rPr>
      </w:pPr>
      <w:r w:rsidRPr="00F1661D">
        <w:rPr>
          <w:rStyle w:val="Refdenotaalpie"/>
          <w:rFonts w:ascii="Bookman Old Style" w:hAnsi="Bookman Old Style"/>
          <w:sz w:val="16"/>
          <w:szCs w:val="16"/>
        </w:rPr>
        <w:footnoteRef/>
      </w:r>
      <w:r w:rsidRPr="00F1661D">
        <w:rPr>
          <w:rFonts w:ascii="Bookman Old Style" w:hAnsi="Bookman Old Style"/>
          <w:sz w:val="16"/>
          <w:szCs w:val="16"/>
        </w:rPr>
        <w:t xml:space="preserve"> </w:t>
      </w:r>
      <w:r w:rsidRPr="00F1661D">
        <w:rPr>
          <w:rFonts w:ascii="Bookman Old Style" w:hAnsi="Bookman Old Style"/>
          <w:sz w:val="16"/>
          <w:szCs w:val="16"/>
          <w:lang w:val="es-CO"/>
        </w:rPr>
        <w:t>Ver sentencia T-421 de 2003 y T-368 de 2005. Adicionalmente, ver artículos 23, 27, 52 y 53 del Decreto 2591 de 1991.</w:t>
      </w:r>
    </w:p>
  </w:footnote>
  <w:footnote w:id="5">
    <w:p w:rsidR="00682A74" w:rsidRPr="00F1661D" w:rsidRDefault="00682A74" w:rsidP="00682A74">
      <w:pPr>
        <w:pStyle w:val="Textonotapie"/>
        <w:rPr>
          <w:rFonts w:ascii="Bookman Old Style" w:hAnsi="Bookman Old Style"/>
          <w:sz w:val="16"/>
          <w:szCs w:val="16"/>
        </w:rPr>
      </w:pPr>
      <w:r w:rsidRPr="00F1661D">
        <w:rPr>
          <w:rStyle w:val="Refdenotaalpie"/>
          <w:rFonts w:ascii="Bookman Old Style" w:hAnsi="Bookman Old Style"/>
          <w:sz w:val="16"/>
          <w:szCs w:val="16"/>
        </w:rPr>
        <w:footnoteRef/>
      </w:r>
      <w:r w:rsidRPr="00F1661D">
        <w:rPr>
          <w:rFonts w:ascii="Bookman Old Style" w:hAnsi="Bookman Old Style"/>
          <w:sz w:val="16"/>
          <w:szCs w:val="16"/>
        </w:rPr>
        <w:t xml:space="preserve"> </w:t>
      </w:r>
      <w:r w:rsidRPr="00F1661D">
        <w:rPr>
          <w:rFonts w:ascii="Bookman Old Style" w:hAnsi="Bookman Old Style"/>
          <w:sz w:val="16"/>
          <w:szCs w:val="16"/>
          <w:lang w:val="es-CO"/>
        </w:rPr>
        <w:t>Ver sentencia T-421 de 2003.</w:t>
      </w:r>
    </w:p>
  </w:footnote>
  <w:footnote w:id="6">
    <w:p w:rsidR="00682A74" w:rsidRPr="00F1661D" w:rsidRDefault="00682A74" w:rsidP="00682A74">
      <w:pPr>
        <w:pStyle w:val="Textonotapie"/>
        <w:rPr>
          <w:rFonts w:ascii="Bookman Old Style" w:hAnsi="Bookman Old Style"/>
          <w:sz w:val="16"/>
          <w:szCs w:val="16"/>
        </w:rPr>
      </w:pPr>
      <w:r w:rsidRPr="00F1661D">
        <w:rPr>
          <w:rStyle w:val="Refdenotaalpie"/>
          <w:rFonts w:ascii="Bookman Old Style" w:hAnsi="Bookman Old Style"/>
          <w:sz w:val="16"/>
          <w:szCs w:val="16"/>
        </w:rPr>
        <w:footnoteRef/>
      </w:r>
      <w:r w:rsidRPr="00F1661D">
        <w:rPr>
          <w:rFonts w:ascii="Bookman Old Style" w:hAnsi="Bookman Old Style"/>
          <w:sz w:val="16"/>
          <w:szCs w:val="16"/>
        </w:rPr>
        <w:t xml:space="preserve"> Ver sentencia C-533 de 1993. </w:t>
      </w:r>
    </w:p>
  </w:footnote>
  <w:footnote w:id="7">
    <w:p w:rsidR="00682A74" w:rsidRPr="00F1661D" w:rsidRDefault="00682A74" w:rsidP="00682A74">
      <w:pPr>
        <w:pStyle w:val="Textonotapie"/>
        <w:rPr>
          <w:rFonts w:ascii="Bookman Old Style" w:hAnsi="Bookman Old Style"/>
          <w:sz w:val="16"/>
          <w:szCs w:val="16"/>
        </w:rPr>
      </w:pPr>
      <w:r w:rsidRPr="00F1661D">
        <w:rPr>
          <w:rStyle w:val="Refdenotaalpie"/>
          <w:rFonts w:ascii="Bookman Old Style" w:hAnsi="Bookman Old Style"/>
          <w:sz w:val="16"/>
          <w:szCs w:val="16"/>
        </w:rPr>
        <w:footnoteRef/>
      </w:r>
      <w:r w:rsidRPr="00F1661D">
        <w:rPr>
          <w:rFonts w:ascii="Bookman Old Style" w:hAnsi="Bookman Old Style"/>
          <w:sz w:val="16"/>
          <w:szCs w:val="16"/>
        </w:rPr>
        <w:t xml:space="preserve">  Ver entre otras, la sentencia T- 1113 de 2005.</w:t>
      </w:r>
    </w:p>
  </w:footnote>
  <w:footnote w:id="8">
    <w:p w:rsidR="00786879" w:rsidRDefault="00786879" w:rsidP="00786879">
      <w:pPr>
        <w:pStyle w:val="Textonotapie"/>
        <w:jc w:val="both"/>
        <w:rPr>
          <w:rFonts w:ascii="Bookman Old Style" w:hAnsi="Bookman Old Style"/>
          <w:sz w:val="16"/>
          <w:szCs w:val="16"/>
          <w:lang w:val="es-CO"/>
        </w:rPr>
      </w:pPr>
      <w:r>
        <w:rPr>
          <w:rStyle w:val="Refdenotaalpie"/>
          <w:rFonts w:ascii="Bookman Old Style" w:hAnsi="Bookman Old Style"/>
          <w:sz w:val="16"/>
          <w:szCs w:val="16"/>
        </w:rPr>
        <w:footnoteRef/>
      </w:r>
      <w:r>
        <w:rPr>
          <w:rFonts w:ascii="Bookman Old Style" w:hAnsi="Bookman Old Style"/>
          <w:sz w:val="16"/>
          <w:szCs w:val="16"/>
        </w:rPr>
        <w:t xml:space="preserve"> </w:t>
      </w:r>
      <w:r>
        <w:rPr>
          <w:rFonts w:ascii="Bookman Old Style" w:hAnsi="Bookman Old Style"/>
          <w:sz w:val="16"/>
          <w:szCs w:val="16"/>
          <w:lang w:val="es-CO"/>
        </w:rPr>
        <w:t xml:space="preserve">Ver entre otras la sentencia </w:t>
      </w:r>
      <w:r>
        <w:rPr>
          <w:rFonts w:ascii="Bookman Old Style" w:hAnsi="Bookman Old Style"/>
          <w:color w:val="000000"/>
          <w:sz w:val="16"/>
          <w:szCs w:val="16"/>
        </w:rPr>
        <w:t xml:space="preserve">T-766 de 1998, con Ponencia del Magistrado, </w:t>
      </w:r>
      <w:r>
        <w:rPr>
          <w:rFonts w:ascii="Bookman Old Style" w:hAnsi="Bookman Old Style"/>
          <w:color w:val="000000"/>
          <w:sz w:val="16"/>
          <w:szCs w:val="16"/>
          <w:lang w:val="es-CO"/>
        </w:rPr>
        <w:t xml:space="preserve">José Gregorio Hernández Galindo. </w:t>
      </w:r>
    </w:p>
  </w:footnote>
  <w:footnote w:id="9">
    <w:p w:rsidR="00786879" w:rsidRDefault="00786879" w:rsidP="00786879">
      <w:pPr>
        <w:pStyle w:val="Textonotapie"/>
        <w:rPr>
          <w:rFonts w:ascii="Bookman Old Style" w:hAnsi="Bookman Old Style"/>
          <w:sz w:val="16"/>
          <w:szCs w:val="16"/>
          <w:lang w:val="es-CO"/>
        </w:rPr>
      </w:pPr>
      <w:r>
        <w:rPr>
          <w:rStyle w:val="Refdenotaalpie"/>
          <w:rFonts w:ascii="Bookman Old Style" w:hAnsi="Bookman Old Style"/>
          <w:sz w:val="16"/>
          <w:szCs w:val="16"/>
        </w:rPr>
        <w:footnoteRef/>
      </w:r>
      <w:r>
        <w:rPr>
          <w:rFonts w:ascii="Bookman Old Style" w:hAnsi="Bookman Old Style"/>
          <w:sz w:val="16"/>
          <w:szCs w:val="16"/>
        </w:rPr>
        <w:t xml:space="preserve"> Ver entre otras la sentencia C-644 del 8 de julio de 2004, Magistrado Ponente: Rodrigo Escobar Gil. </w:t>
      </w:r>
    </w:p>
  </w:footnote>
  <w:footnote w:id="10">
    <w:p w:rsidR="00786879" w:rsidRDefault="00786879" w:rsidP="00786879">
      <w:pPr>
        <w:pStyle w:val="Textonotapie"/>
        <w:jc w:val="both"/>
        <w:rPr>
          <w:rFonts w:ascii="Bookman Old Style" w:hAnsi="Bookman Old Style"/>
          <w:sz w:val="16"/>
          <w:szCs w:val="16"/>
          <w:lang w:val="es-CO"/>
        </w:rPr>
      </w:pPr>
      <w:r>
        <w:rPr>
          <w:rStyle w:val="Refdenotaalpie"/>
          <w:rFonts w:ascii="Bookman Old Style" w:hAnsi="Bookman Old Style"/>
          <w:sz w:val="16"/>
          <w:szCs w:val="16"/>
        </w:rPr>
        <w:footnoteRef/>
      </w:r>
      <w:r>
        <w:rPr>
          <w:rFonts w:ascii="Bookman Old Style" w:hAnsi="Bookman Old Style"/>
          <w:sz w:val="16"/>
          <w:szCs w:val="16"/>
        </w:rPr>
        <w:t xml:space="preserve"> </w:t>
      </w:r>
      <w:r>
        <w:rPr>
          <w:rFonts w:ascii="Bookman Old Style" w:hAnsi="Bookman Old Style"/>
          <w:sz w:val="16"/>
          <w:szCs w:val="16"/>
          <w:lang w:val="es-CO"/>
        </w:rPr>
        <w:t>CONSEJO DE ESTADO, Sección Quinta M.P. Álvaro González Murcia, Expediente Nro. 2000-90021-01 (AC-9514). Actor: Departamento de Cundinamarca, Fondo de Pensiones Públicas de Cundinamarca.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35" w:rsidRDefault="00F52E04">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74435" w:rsidRDefault="00DE61C7">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35" w:rsidRPr="00DF698B" w:rsidRDefault="00F52E04">
    <w:pPr>
      <w:framePr w:wrap="around" w:vAnchor="text" w:hAnchor="margin" w:xAlign="right" w:y="1"/>
      <w:tabs>
        <w:tab w:val="left" w:pos="-720"/>
      </w:tabs>
      <w:suppressAutoHyphens/>
      <w:ind w:left="2124" w:hanging="2124"/>
      <w:jc w:val="both"/>
      <w:rPr>
        <w:rFonts w:ascii="Bookman Old Style" w:hAnsi="Bookman Old Style"/>
        <w:spacing w:val="-3"/>
        <w:sz w:val="16"/>
        <w:szCs w:val="16"/>
      </w:rPr>
    </w:pPr>
    <w:r w:rsidRPr="00DF698B">
      <w:rPr>
        <w:rFonts w:ascii="Bookman Old Style" w:hAnsi="Bookman Old Style" w:cs="Arial"/>
        <w:sz w:val="16"/>
        <w:szCs w:val="16"/>
      </w:rPr>
      <w:t>DEMANDANTE:</w:t>
    </w:r>
    <w:r>
      <w:rPr>
        <w:rFonts w:ascii="Bookman Old Style" w:hAnsi="Bookman Old Style" w:cs="Arial"/>
        <w:sz w:val="16"/>
        <w:szCs w:val="16"/>
      </w:rPr>
      <w:t xml:space="preserve"> </w:t>
    </w:r>
    <w:r>
      <w:rPr>
        <w:rFonts w:ascii="Bookman Old Style" w:hAnsi="Bookman Old Style" w:cs="Arial"/>
        <w:sz w:val="16"/>
        <w:szCs w:val="16"/>
      </w:rPr>
      <w:tab/>
      <w:t>FERNANDO DE JESÙS HERNÀNDEZ GARCÌA</w:t>
    </w:r>
  </w:p>
  <w:p w:rsidR="00074435" w:rsidRPr="00DF698B" w:rsidRDefault="00F52E04">
    <w:pPr>
      <w:framePr w:wrap="around" w:vAnchor="text" w:hAnchor="margin" w:xAlign="right" w:y="1"/>
      <w:jc w:val="both"/>
      <w:rPr>
        <w:rFonts w:ascii="Bookman Old Style" w:hAnsi="Bookman Old Style"/>
        <w:spacing w:val="-3"/>
        <w:sz w:val="16"/>
        <w:szCs w:val="16"/>
      </w:rPr>
    </w:pPr>
    <w:r w:rsidRPr="00DF698B">
      <w:rPr>
        <w:rFonts w:ascii="Bookman Old Style" w:hAnsi="Bookman Old Style"/>
        <w:spacing w:val="-3"/>
        <w:sz w:val="16"/>
        <w:szCs w:val="16"/>
      </w:rPr>
      <w:t xml:space="preserve">RADICADO: </w:t>
    </w:r>
    <w:r w:rsidRPr="00DF698B">
      <w:rPr>
        <w:rFonts w:ascii="Bookman Old Style" w:hAnsi="Bookman Old Style"/>
        <w:spacing w:val="-3"/>
        <w:sz w:val="16"/>
        <w:szCs w:val="16"/>
      </w:rPr>
      <w:tab/>
    </w:r>
    <w:r>
      <w:rPr>
        <w:rFonts w:ascii="Bookman Old Style" w:hAnsi="Bookman Old Style"/>
        <w:spacing w:val="-3"/>
        <w:sz w:val="16"/>
        <w:szCs w:val="16"/>
      </w:rPr>
      <w:tab/>
    </w:r>
    <w:r w:rsidRPr="00DF698B">
      <w:rPr>
        <w:rFonts w:ascii="Bookman Old Style" w:hAnsi="Bookman Old Style"/>
        <w:spacing w:val="-3"/>
        <w:sz w:val="16"/>
        <w:szCs w:val="16"/>
      </w:rPr>
      <w:t>05001</w:t>
    </w:r>
    <w:r w:rsidR="00786879">
      <w:rPr>
        <w:rFonts w:ascii="Bookman Old Style" w:hAnsi="Bookman Old Style"/>
        <w:spacing w:val="-3"/>
        <w:sz w:val="16"/>
        <w:szCs w:val="16"/>
      </w:rPr>
      <w:t>-33-33-016-2020-00036-02</w:t>
    </w:r>
  </w:p>
  <w:p w:rsidR="00074435" w:rsidRDefault="00F52E04">
    <w:pPr>
      <w:framePr w:wrap="around" w:vAnchor="text" w:hAnchor="margin" w:xAlign="right" w:y="1"/>
      <w:jc w:val="both"/>
      <w:rPr>
        <w:rFonts w:ascii="Arial" w:hAnsi="Arial" w:cs="Arial"/>
        <w:sz w:val="16"/>
        <w:szCs w:val="16"/>
      </w:rPr>
    </w:pPr>
    <w:r w:rsidRPr="00DF698B">
      <w:rPr>
        <w:rFonts w:ascii="Bookman Old Style" w:hAnsi="Bookman Old Style"/>
        <w:spacing w:val="-3"/>
        <w:sz w:val="16"/>
        <w:szCs w:val="16"/>
      </w:rPr>
      <w:t>ASUNTO:</w:t>
    </w:r>
    <w:r w:rsidRPr="00DF698B">
      <w:rPr>
        <w:rFonts w:ascii="Bookman Old Style" w:hAnsi="Bookman Old Style"/>
        <w:spacing w:val="-3"/>
        <w:sz w:val="16"/>
        <w:szCs w:val="16"/>
      </w:rPr>
      <w:tab/>
    </w:r>
    <w:r w:rsidRPr="00DF698B">
      <w:rPr>
        <w:rFonts w:ascii="Bookman Old Style" w:hAnsi="Bookman Old Style"/>
        <w:spacing w:val="-3"/>
        <w:sz w:val="16"/>
        <w:szCs w:val="16"/>
      </w:rPr>
      <w:tab/>
      <w:t>RESUELVE CONSULTA SOBRE INCIDENTE DE DESACATO</w:t>
    </w:r>
  </w:p>
  <w:p w:rsidR="00074435" w:rsidRDefault="00DE61C7">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74"/>
    <w:rsid w:val="00056C86"/>
    <w:rsid w:val="00182A40"/>
    <w:rsid w:val="003A3896"/>
    <w:rsid w:val="00682A74"/>
    <w:rsid w:val="00786879"/>
    <w:rsid w:val="008D3358"/>
    <w:rsid w:val="00A76282"/>
    <w:rsid w:val="00AF20D5"/>
    <w:rsid w:val="00CB0625"/>
    <w:rsid w:val="00DE61C7"/>
    <w:rsid w:val="00EC40CB"/>
    <w:rsid w:val="00F52E04"/>
    <w:rsid w:val="00F866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A74"/>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es-ES_tradnl" w:eastAsia="es-ES"/>
    </w:rPr>
  </w:style>
  <w:style w:type="paragraph" w:styleId="Ttulo2">
    <w:name w:val="heading 2"/>
    <w:basedOn w:val="Normal"/>
    <w:next w:val="Normal"/>
    <w:link w:val="Ttulo2Car"/>
    <w:qFormat/>
    <w:rsid w:val="00682A74"/>
    <w:pPr>
      <w:keepNext/>
      <w:spacing w:before="240" w:after="60"/>
      <w:outlineLvl w:val="1"/>
    </w:pPr>
    <w:rPr>
      <w:rFonts w:ascii="Arial" w:hAnsi="Arial"/>
      <w:b/>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82A74"/>
    <w:rPr>
      <w:rFonts w:ascii="Arial" w:eastAsia="Times New Roman" w:hAnsi="Arial" w:cs="Times New Roman"/>
      <w:b/>
      <w:i/>
      <w:sz w:val="24"/>
      <w:szCs w:val="20"/>
      <w:lang w:val="es-ES_tradnl" w:eastAsia="es-ES"/>
    </w:rPr>
  </w:style>
  <w:style w:type="paragraph" w:styleId="Textoindependiente">
    <w:name w:val="Body Text"/>
    <w:basedOn w:val="Normal"/>
    <w:link w:val="TextoindependienteCar"/>
    <w:rsid w:val="00682A74"/>
    <w:pPr>
      <w:spacing w:after="120"/>
    </w:pPr>
    <w:rPr>
      <w:sz w:val="20"/>
    </w:rPr>
  </w:style>
  <w:style w:type="character" w:customStyle="1" w:styleId="TextoindependienteCar">
    <w:name w:val="Texto independiente Car"/>
    <w:basedOn w:val="Fuentedeprrafopredeter"/>
    <w:link w:val="Textoindependiente"/>
    <w:rsid w:val="00682A74"/>
    <w:rPr>
      <w:rFonts w:ascii="Times New Roman" w:eastAsia="Times New Roman" w:hAnsi="Times New Roman" w:cs="Times New Roman"/>
      <w:sz w:val="20"/>
      <w:szCs w:val="20"/>
      <w:lang w:val="es-ES_tradnl" w:eastAsia="es-ES"/>
    </w:rPr>
  </w:style>
  <w:style w:type="paragraph" w:customStyle="1" w:styleId="Sangra2detindependiente1">
    <w:name w:val="Sangría 2 de t. independiente1"/>
    <w:basedOn w:val="Normal"/>
    <w:rsid w:val="00682A74"/>
    <w:pPr>
      <w:spacing w:line="360" w:lineRule="auto"/>
      <w:ind w:firstLine="708"/>
      <w:jc w:val="both"/>
    </w:pPr>
    <w:rPr>
      <w:rFonts w:ascii="Arial" w:hAnsi="Arial"/>
      <w:sz w:val="24"/>
    </w:rPr>
  </w:style>
  <w:style w:type="paragraph" w:styleId="Textonotapie">
    <w:name w:val="footnote text"/>
    <w:aliases w:val="Footnote Text Char Char Char Char Char,Footnote Text Char Char Char Char,Footnote reference,FA Fu,Footnote Text Char Char Char,texto de nota al pie,Footnote Text Char,Footnote Text Char Char Char Char Char Char Char Char,texto de nota al"/>
    <w:basedOn w:val="Normal"/>
    <w:link w:val="TextonotapieCar"/>
    <w:rsid w:val="00682A74"/>
    <w:rPr>
      <w:sz w:val="20"/>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ar,texto de nota al Car"/>
    <w:basedOn w:val="Fuentedeprrafopredeter"/>
    <w:link w:val="Textonotapie"/>
    <w:rsid w:val="00682A74"/>
    <w:rPr>
      <w:rFonts w:ascii="Times New Roman" w:eastAsia="Times New Roman" w:hAnsi="Times New Roman" w:cs="Times New Roman"/>
      <w:sz w:val="20"/>
      <w:szCs w:val="20"/>
      <w:lang w:val="es-ES_tradnl" w:eastAsia="es-ES"/>
    </w:rPr>
  </w:style>
  <w:style w:type="character" w:styleId="Refdenotaalpie">
    <w:name w:val="footnote reference"/>
    <w:aliases w:val="Texto de nota al pie,referencia nota al pie"/>
    <w:rsid w:val="00682A74"/>
    <w:rPr>
      <w:vertAlign w:val="superscript"/>
    </w:rPr>
  </w:style>
  <w:style w:type="paragraph" w:styleId="Encabezado">
    <w:name w:val="header"/>
    <w:basedOn w:val="Normal"/>
    <w:link w:val="EncabezadoCar"/>
    <w:rsid w:val="00682A74"/>
    <w:pPr>
      <w:tabs>
        <w:tab w:val="center" w:pos="4419"/>
        <w:tab w:val="right" w:pos="8838"/>
      </w:tabs>
    </w:pPr>
  </w:style>
  <w:style w:type="character" w:customStyle="1" w:styleId="EncabezadoCar">
    <w:name w:val="Encabezado Car"/>
    <w:basedOn w:val="Fuentedeprrafopredeter"/>
    <w:link w:val="Encabezado"/>
    <w:rsid w:val="00682A74"/>
    <w:rPr>
      <w:rFonts w:ascii="Times New Roman" w:eastAsia="Times New Roman" w:hAnsi="Times New Roman" w:cs="Times New Roman"/>
      <w:sz w:val="28"/>
      <w:szCs w:val="20"/>
      <w:lang w:val="es-ES_tradnl" w:eastAsia="es-ES"/>
    </w:rPr>
  </w:style>
  <w:style w:type="character" w:styleId="Nmerodepgina">
    <w:name w:val="page number"/>
    <w:basedOn w:val="Fuentedeprrafopredeter"/>
    <w:rsid w:val="00682A74"/>
  </w:style>
  <w:style w:type="paragraph" w:styleId="Piedepgina">
    <w:name w:val="footer"/>
    <w:basedOn w:val="Normal"/>
    <w:link w:val="PiedepginaCar"/>
    <w:rsid w:val="00682A74"/>
    <w:pPr>
      <w:tabs>
        <w:tab w:val="center" w:pos="4419"/>
        <w:tab w:val="right" w:pos="8838"/>
      </w:tabs>
    </w:pPr>
  </w:style>
  <w:style w:type="character" w:customStyle="1" w:styleId="PiedepginaCar">
    <w:name w:val="Pie de página Car"/>
    <w:basedOn w:val="Fuentedeprrafopredeter"/>
    <w:link w:val="Piedepgina"/>
    <w:rsid w:val="00682A74"/>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682A74"/>
    <w:pPr>
      <w:spacing w:line="360" w:lineRule="auto"/>
      <w:jc w:val="both"/>
    </w:pPr>
    <w:rPr>
      <w:rFonts w:ascii="Arial" w:hAnsi="Arial"/>
      <w:sz w:val="24"/>
      <w:szCs w:val="24"/>
    </w:rPr>
  </w:style>
  <w:style w:type="character" w:customStyle="1" w:styleId="Textoindependiente3Car">
    <w:name w:val="Texto independiente 3 Car"/>
    <w:basedOn w:val="Fuentedeprrafopredeter"/>
    <w:link w:val="Textoindependiente3"/>
    <w:rsid w:val="00682A74"/>
    <w:rPr>
      <w:rFonts w:ascii="Arial" w:eastAsia="Times New Roman" w:hAnsi="Arial" w:cs="Times New Roman"/>
      <w:sz w:val="24"/>
      <w:szCs w:val="24"/>
      <w:lang w:val="es-ES_tradnl" w:eastAsia="es-ES"/>
    </w:rPr>
  </w:style>
  <w:style w:type="table" w:styleId="Tablaconcuadrcula">
    <w:name w:val="Table Grid"/>
    <w:basedOn w:val="Tablanormal"/>
    <w:rsid w:val="00682A7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82A74"/>
    <w:pPr>
      <w:autoSpaceDE w:val="0"/>
      <w:autoSpaceDN w:val="0"/>
      <w:adjustRightInd w:val="0"/>
      <w:spacing w:after="0" w:line="240" w:lineRule="auto"/>
    </w:pPr>
    <w:rPr>
      <w:rFonts w:ascii="Century Gothic" w:hAnsi="Century Gothic" w:cs="Century Gothic"/>
      <w:color w:val="000000"/>
      <w:sz w:val="24"/>
      <w:szCs w:val="24"/>
    </w:rPr>
  </w:style>
  <w:style w:type="paragraph" w:styleId="Textodeglobo">
    <w:name w:val="Balloon Text"/>
    <w:basedOn w:val="Normal"/>
    <w:link w:val="TextodegloboCar"/>
    <w:uiPriority w:val="99"/>
    <w:semiHidden/>
    <w:unhideWhenUsed/>
    <w:rsid w:val="008D3358"/>
    <w:rPr>
      <w:rFonts w:ascii="Tahoma" w:hAnsi="Tahoma" w:cs="Tahoma"/>
      <w:sz w:val="16"/>
      <w:szCs w:val="16"/>
    </w:rPr>
  </w:style>
  <w:style w:type="character" w:customStyle="1" w:styleId="TextodegloboCar">
    <w:name w:val="Texto de globo Car"/>
    <w:basedOn w:val="Fuentedeprrafopredeter"/>
    <w:link w:val="Textodeglobo"/>
    <w:uiPriority w:val="99"/>
    <w:semiHidden/>
    <w:rsid w:val="008D3358"/>
    <w:rPr>
      <w:rFonts w:ascii="Tahoma" w:eastAsia="Times New Roman" w:hAnsi="Tahoma" w:cs="Tahoma"/>
      <w:sz w:val="16"/>
      <w:szCs w:val="16"/>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A74"/>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es-ES_tradnl" w:eastAsia="es-ES"/>
    </w:rPr>
  </w:style>
  <w:style w:type="paragraph" w:styleId="Ttulo2">
    <w:name w:val="heading 2"/>
    <w:basedOn w:val="Normal"/>
    <w:next w:val="Normal"/>
    <w:link w:val="Ttulo2Car"/>
    <w:qFormat/>
    <w:rsid w:val="00682A74"/>
    <w:pPr>
      <w:keepNext/>
      <w:spacing w:before="240" w:after="60"/>
      <w:outlineLvl w:val="1"/>
    </w:pPr>
    <w:rPr>
      <w:rFonts w:ascii="Arial" w:hAnsi="Arial"/>
      <w:b/>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82A74"/>
    <w:rPr>
      <w:rFonts w:ascii="Arial" w:eastAsia="Times New Roman" w:hAnsi="Arial" w:cs="Times New Roman"/>
      <w:b/>
      <w:i/>
      <w:sz w:val="24"/>
      <w:szCs w:val="20"/>
      <w:lang w:val="es-ES_tradnl" w:eastAsia="es-ES"/>
    </w:rPr>
  </w:style>
  <w:style w:type="paragraph" w:styleId="Textoindependiente">
    <w:name w:val="Body Text"/>
    <w:basedOn w:val="Normal"/>
    <w:link w:val="TextoindependienteCar"/>
    <w:rsid w:val="00682A74"/>
    <w:pPr>
      <w:spacing w:after="120"/>
    </w:pPr>
    <w:rPr>
      <w:sz w:val="20"/>
    </w:rPr>
  </w:style>
  <w:style w:type="character" w:customStyle="1" w:styleId="TextoindependienteCar">
    <w:name w:val="Texto independiente Car"/>
    <w:basedOn w:val="Fuentedeprrafopredeter"/>
    <w:link w:val="Textoindependiente"/>
    <w:rsid w:val="00682A74"/>
    <w:rPr>
      <w:rFonts w:ascii="Times New Roman" w:eastAsia="Times New Roman" w:hAnsi="Times New Roman" w:cs="Times New Roman"/>
      <w:sz w:val="20"/>
      <w:szCs w:val="20"/>
      <w:lang w:val="es-ES_tradnl" w:eastAsia="es-ES"/>
    </w:rPr>
  </w:style>
  <w:style w:type="paragraph" w:customStyle="1" w:styleId="Sangra2detindependiente1">
    <w:name w:val="Sangría 2 de t. independiente1"/>
    <w:basedOn w:val="Normal"/>
    <w:rsid w:val="00682A74"/>
    <w:pPr>
      <w:spacing w:line="360" w:lineRule="auto"/>
      <w:ind w:firstLine="708"/>
      <w:jc w:val="both"/>
    </w:pPr>
    <w:rPr>
      <w:rFonts w:ascii="Arial" w:hAnsi="Arial"/>
      <w:sz w:val="24"/>
    </w:rPr>
  </w:style>
  <w:style w:type="paragraph" w:styleId="Textonotapie">
    <w:name w:val="footnote text"/>
    <w:aliases w:val="Footnote Text Char Char Char Char Char,Footnote Text Char Char Char Char,Footnote reference,FA Fu,Footnote Text Char Char Char,texto de nota al pie,Footnote Text Char,Footnote Text Char Char Char Char Char Char Char Char,texto de nota al"/>
    <w:basedOn w:val="Normal"/>
    <w:link w:val="TextonotapieCar"/>
    <w:rsid w:val="00682A74"/>
    <w:rPr>
      <w:sz w:val="20"/>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ar,texto de nota al Car"/>
    <w:basedOn w:val="Fuentedeprrafopredeter"/>
    <w:link w:val="Textonotapie"/>
    <w:rsid w:val="00682A74"/>
    <w:rPr>
      <w:rFonts w:ascii="Times New Roman" w:eastAsia="Times New Roman" w:hAnsi="Times New Roman" w:cs="Times New Roman"/>
      <w:sz w:val="20"/>
      <w:szCs w:val="20"/>
      <w:lang w:val="es-ES_tradnl" w:eastAsia="es-ES"/>
    </w:rPr>
  </w:style>
  <w:style w:type="character" w:styleId="Refdenotaalpie">
    <w:name w:val="footnote reference"/>
    <w:aliases w:val="Texto de nota al pie,referencia nota al pie"/>
    <w:rsid w:val="00682A74"/>
    <w:rPr>
      <w:vertAlign w:val="superscript"/>
    </w:rPr>
  </w:style>
  <w:style w:type="paragraph" w:styleId="Encabezado">
    <w:name w:val="header"/>
    <w:basedOn w:val="Normal"/>
    <w:link w:val="EncabezadoCar"/>
    <w:rsid w:val="00682A74"/>
    <w:pPr>
      <w:tabs>
        <w:tab w:val="center" w:pos="4419"/>
        <w:tab w:val="right" w:pos="8838"/>
      </w:tabs>
    </w:pPr>
  </w:style>
  <w:style w:type="character" w:customStyle="1" w:styleId="EncabezadoCar">
    <w:name w:val="Encabezado Car"/>
    <w:basedOn w:val="Fuentedeprrafopredeter"/>
    <w:link w:val="Encabezado"/>
    <w:rsid w:val="00682A74"/>
    <w:rPr>
      <w:rFonts w:ascii="Times New Roman" w:eastAsia="Times New Roman" w:hAnsi="Times New Roman" w:cs="Times New Roman"/>
      <w:sz w:val="28"/>
      <w:szCs w:val="20"/>
      <w:lang w:val="es-ES_tradnl" w:eastAsia="es-ES"/>
    </w:rPr>
  </w:style>
  <w:style w:type="character" w:styleId="Nmerodepgina">
    <w:name w:val="page number"/>
    <w:basedOn w:val="Fuentedeprrafopredeter"/>
    <w:rsid w:val="00682A74"/>
  </w:style>
  <w:style w:type="paragraph" w:styleId="Piedepgina">
    <w:name w:val="footer"/>
    <w:basedOn w:val="Normal"/>
    <w:link w:val="PiedepginaCar"/>
    <w:rsid w:val="00682A74"/>
    <w:pPr>
      <w:tabs>
        <w:tab w:val="center" w:pos="4419"/>
        <w:tab w:val="right" w:pos="8838"/>
      </w:tabs>
    </w:pPr>
  </w:style>
  <w:style w:type="character" w:customStyle="1" w:styleId="PiedepginaCar">
    <w:name w:val="Pie de página Car"/>
    <w:basedOn w:val="Fuentedeprrafopredeter"/>
    <w:link w:val="Piedepgina"/>
    <w:rsid w:val="00682A74"/>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682A74"/>
    <w:pPr>
      <w:spacing w:line="360" w:lineRule="auto"/>
      <w:jc w:val="both"/>
    </w:pPr>
    <w:rPr>
      <w:rFonts w:ascii="Arial" w:hAnsi="Arial"/>
      <w:sz w:val="24"/>
      <w:szCs w:val="24"/>
    </w:rPr>
  </w:style>
  <w:style w:type="character" w:customStyle="1" w:styleId="Textoindependiente3Car">
    <w:name w:val="Texto independiente 3 Car"/>
    <w:basedOn w:val="Fuentedeprrafopredeter"/>
    <w:link w:val="Textoindependiente3"/>
    <w:rsid w:val="00682A74"/>
    <w:rPr>
      <w:rFonts w:ascii="Arial" w:eastAsia="Times New Roman" w:hAnsi="Arial" w:cs="Times New Roman"/>
      <w:sz w:val="24"/>
      <w:szCs w:val="24"/>
      <w:lang w:val="es-ES_tradnl" w:eastAsia="es-ES"/>
    </w:rPr>
  </w:style>
  <w:style w:type="table" w:styleId="Tablaconcuadrcula">
    <w:name w:val="Table Grid"/>
    <w:basedOn w:val="Tablanormal"/>
    <w:rsid w:val="00682A7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82A74"/>
    <w:pPr>
      <w:autoSpaceDE w:val="0"/>
      <w:autoSpaceDN w:val="0"/>
      <w:adjustRightInd w:val="0"/>
      <w:spacing w:after="0" w:line="240" w:lineRule="auto"/>
    </w:pPr>
    <w:rPr>
      <w:rFonts w:ascii="Century Gothic" w:hAnsi="Century Gothic" w:cs="Century Gothic"/>
      <w:color w:val="000000"/>
      <w:sz w:val="24"/>
      <w:szCs w:val="24"/>
    </w:rPr>
  </w:style>
  <w:style w:type="paragraph" w:styleId="Textodeglobo">
    <w:name w:val="Balloon Text"/>
    <w:basedOn w:val="Normal"/>
    <w:link w:val="TextodegloboCar"/>
    <w:uiPriority w:val="99"/>
    <w:semiHidden/>
    <w:unhideWhenUsed/>
    <w:rsid w:val="008D3358"/>
    <w:rPr>
      <w:rFonts w:ascii="Tahoma" w:hAnsi="Tahoma" w:cs="Tahoma"/>
      <w:sz w:val="16"/>
      <w:szCs w:val="16"/>
    </w:rPr>
  </w:style>
  <w:style w:type="character" w:customStyle="1" w:styleId="TextodegloboCar">
    <w:name w:val="Texto de globo Car"/>
    <w:basedOn w:val="Fuentedeprrafopredeter"/>
    <w:link w:val="Textodeglobo"/>
    <w:uiPriority w:val="99"/>
    <w:semiHidden/>
    <w:rsid w:val="008D3358"/>
    <w:rPr>
      <w:rFonts w:ascii="Tahoma" w:eastAsia="Times New Roman"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3040</Words>
  <Characters>16726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Alejo Giraldo</dc:creator>
  <cp:lastModifiedBy>Usuario de Windows</cp:lastModifiedBy>
  <cp:revision>2</cp:revision>
  <dcterms:created xsi:type="dcterms:W3CDTF">2020-05-18T23:59:00Z</dcterms:created>
  <dcterms:modified xsi:type="dcterms:W3CDTF">2020-05-18T23:59:00Z</dcterms:modified>
</cp:coreProperties>
</file>