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4AEEB9F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A0C55">
        <w:rPr>
          <w:rFonts w:ascii="Tahoma" w:hAnsi="Tahoma" w:cs="Tahoma"/>
          <w:sz w:val="24"/>
          <w:szCs w:val="24"/>
          <w:lang w:val="es-ES"/>
        </w:rPr>
        <w:t>de los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siguiente</w:t>
      </w:r>
      <w:r w:rsidR="000A0C55">
        <w:rPr>
          <w:rFonts w:ascii="Tahoma" w:hAnsi="Tahoma" w:cs="Tahoma"/>
          <w:sz w:val="24"/>
          <w:szCs w:val="24"/>
          <w:lang w:val="es-ES"/>
        </w:rPr>
        <w:t>s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</w:t>
      </w:r>
      <w:r w:rsidR="000A0C55">
        <w:rPr>
          <w:rFonts w:ascii="Tahoma" w:hAnsi="Tahoma" w:cs="Tahoma"/>
          <w:sz w:val="24"/>
          <w:szCs w:val="24"/>
          <w:lang w:val="es-ES"/>
        </w:rPr>
        <w:t>s</w:t>
      </w:r>
      <w:r w:rsidRPr="00B30A7F">
        <w:rPr>
          <w:rFonts w:ascii="Tahoma" w:hAnsi="Tahoma" w:cs="Tahoma"/>
          <w:sz w:val="24"/>
          <w:szCs w:val="24"/>
          <w:lang w:val="es-ES"/>
        </w:rPr>
        <w:t>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53811007" w14:textId="6E58882A" w:rsidR="002F6740" w:rsidRPr="007F3E45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7F3E45">
        <w:rPr>
          <w:rFonts w:ascii="Tahoma" w:hAnsi="Tahoma" w:cs="Tahoma"/>
          <w:sz w:val="24"/>
          <w:szCs w:val="24"/>
          <w:lang w:val="es-ES"/>
        </w:rPr>
        <w:tab/>
      </w:r>
      <w:r w:rsidR="002F6740" w:rsidRPr="007F3E45">
        <w:rPr>
          <w:rFonts w:ascii="Tahoma" w:hAnsi="Tahoma" w:cs="Tahoma"/>
          <w:sz w:val="24"/>
          <w:szCs w:val="24"/>
        </w:rPr>
        <w:t>L</w:t>
      </w:r>
      <w:r w:rsidR="007448F5" w:rsidRPr="007F3E45">
        <w:rPr>
          <w:rFonts w:ascii="Tahoma" w:hAnsi="Tahoma" w:cs="Tahoma"/>
          <w:sz w:val="24"/>
          <w:szCs w:val="24"/>
        </w:rPr>
        <w:t>a</w:t>
      </w:r>
      <w:r w:rsidR="002F6740" w:rsidRPr="007F3E45">
        <w:rPr>
          <w:rFonts w:ascii="Tahoma" w:hAnsi="Tahoma" w:cs="Tahoma"/>
          <w:sz w:val="24"/>
          <w:szCs w:val="24"/>
        </w:rPr>
        <w:t xml:space="preserve"> P</w:t>
      </w:r>
      <w:r w:rsidR="007448F5" w:rsidRPr="007F3E45">
        <w:rPr>
          <w:rFonts w:ascii="Tahoma" w:hAnsi="Tahoma" w:cs="Tahoma"/>
          <w:sz w:val="24"/>
          <w:szCs w:val="24"/>
        </w:rPr>
        <w:t>aloma</w:t>
      </w:r>
    </w:p>
    <w:p w14:paraId="2EAE315E" w14:textId="5E2D413C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B25EC9" w:rsidRPr="00F52B30">
        <w:rPr>
          <w:rFonts w:ascii="Tahoma" w:hAnsi="Tahoma" w:cs="Tahoma"/>
          <w:sz w:val="24"/>
          <w:szCs w:val="24"/>
          <w:lang w:val="es-ES"/>
        </w:rPr>
        <w:t>N</w:t>
      </w:r>
      <w:r w:rsidR="007448F5">
        <w:rPr>
          <w:rFonts w:ascii="Tahoma" w:hAnsi="Tahoma" w:cs="Tahoma"/>
          <w:sz w:val="24"/>
          <w:szCs w:val="24"/>
          <w:lang w:val="es-ES"/>
        </w:rPr>
        <w:t>ariño</w:t>
      </w:r>
      <w:r w:rsidR="00B25EC9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35579486" w14:textId="306C803C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2F6740" w:rsidRPr="002F6740">
        <w:rPr>
          <w:rFonts w:ascii="Tahoma" w:hAnsi="Tahoma" w:cs="Tahoma"/>
          <w:sz w:val="24"/>
          <w:szCs w:val="24"/>
          <w:lang w:val="es-ES"/>
        </w:rPr>
        <w:t>Policarpa</w:t>
      </w:r>
    </w:p>
    <w:p w14:paraId="5F2F170B" w14:textId="77777777" w:rsidR="002F6740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2F6740" w:rsidRPr="002F6740">
        <w:rPr>
          <w:rFonts w:ascii="Tahoma" w:hAnsi="Tahoma" w:cs="Tahoma"/>
          <w:sz w:val="24"/>
          <w:szCs w:val="24"/>
          <w:lang w:val="es-ES"/>
        </w:rPr>
        <w:t xml:space="preserve">Ejido </w:t>
      </w:r>
    </w:p>
    <w:p w14:paraId="28BD6968" w14:textId="6C0C4944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2F6740" w:rsidRPr="002F6740">
        <w:rPr>
          <w:rFonts w:ascii="Tahoma" w:hAnsi="Tahoma" w:cs="Tahoma"/>
          <w:sz w:val="24"/>
          <w:szCs w:val="24"/>
          <w:lang w:val="es-ES"/>
        </w:rPr>
        <w:t>Ejido</w:t>
      </w:r>
    </w:p>
    <w:p w14:paraId="456BF5CD" w14:textId="7BB44808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2F6740" w:rsidRPr="002F6740">
        <w:rPr>
          <w:rFonts w:ascii="Tahoma" w:hAnsi="Tahoma" w:cs="Tahoma"/>
          <w:sz w:val="24"/>
          <w:szCs w:val="24"/>
          <w:lang w:val="es-ES"/>
        </w:rPr>
        <w:t xml:space="preserve">248-32298 </w:t>
      </w:r>
      <w:r w:rsidR="00C71AE0" w:rsidRPr="002F6740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2F6740">
        <w:rPr>
          <w:rFonts w:ascii="Tahoma" w:hAnsi="Tahoma" w:cs="Tahoma"/>
          <w:color w:val="000000"/>
          <w:sz w:val="24"/>
          <w:szCs w:val="24"/>
        </w:rPr>
        <w:t>La Union</w:t>
      </w:r>
    </w:p>
    <w:p w14:paraId="19337CA2" w14:textId="077B3DA9" w:rsidR="003D69A5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80639B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297985">
        <w:rPr>
          <w:rFonts w:ascii="Tahoma" w:hAnsi="Tahoma" w:cs="Tahoma"/>
          <w:sz w:val="24"/>
          <w:szCs w:val="24"/>
          <w:lang w:val="es-ES"/>
        </w:rPr>
        <w:t>No reporta</w:t>
      </w:r>
    </w:p>
    <w:p w14:paraId="0143123B" w14:textId="77777777" w:rsidR="002F6740" w:rsidRPr="00B25EC9" w:rsidRDefault="002F6740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09B3EBE1" w14:textId="588EF5A4" w:rsidR="00D01B69" w:rsidRDefault="008D51CF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F6740">
        <w:rPr>
          <w:rFonts w:ascii="Tahoma" w:hAnsi="Tahoma" w:cs="Tahoma"/>
          <w:b/>
          <w:bCs/>
          <w:sz w:val="24"/>
          <w:szCs w:val="24"/>
          <w:lang w:val="es-ES"/>
        </w:rPr>
        <w:t xml:space="preserve">NORTE: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Partiendo desde el punto 1 en línea quebrada en dirección nororiente, pasando por los puntos</w:t>
      </w:r>
      <w:r w:rsidR="002F6740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2,3,4,5,6,7,8,9,10 y 11 hasta llegar al punto 12 con predio de Rosario Vega Camino al medio</w:t>
      </w:r>
      <w:r w:rsidR="002F6740">
        <w:rPr>
          <w:rFonts w:ascii="Tahoma" w:hAnsi="Tahoma" w:cs="Tahoma"/>
          <w:sz w:val="24"/>
          <w:szCs w:val="24"/>
          <w:lang w:val="es-ES"/>
        </w:rPr>
        <w:t>,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 xml:space="preserve"> en una distancia de 149.2 metros.</w:t>
      </w:r>
      <w:r w:rsidR="00D2213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8D51CF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D2213A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Partiendo desde el punto 12 en línea recta, en dirección, hasta llegar al punto 13 con predio</w:t>
      </w:r>
      <w:r w:rsidR="002F6740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de Chepe Renato, en una distancia de 87.131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AE345F" w:rsidRPr="00230673">
        <w:rPr>
          <w:rFonts w:ascii="Tahoma" w:hAnsi="Tahoma" w:cs="Tahoma"/>
          <w:b/>
          <w:bCs/>
          <w:sz w:val="24"/>
          <w:szCs w:val="24"/>
          <w:lang w:val="es-ES"/>
        </w:rPr>
        <w:t>SUR</w:t>
      </w:r>
      <w:r w:rsidR="004C2D58">
        <w:rPr>
          <w:rFonts w:ascii="Tahoma" w:hAnsi="Tahoma" w:cs="Tahoma"/>
          <w:b/>
          <w:bCs/>
          <w:sz w:val="24"/>
          <w:szCs w:val="24"/>
          <w:lang w:val="es-ES"/>
        </w:rPr>
        <w:t xml:space="preserve">: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Partiendo desde el punto 13 en línea quebrada en dirección Suroccidente, pasando por los</w:t>
      </w:r>
      <w:r w:rsidR="002F6740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puntos 14,15 y 16, hasta llegar al punto 17, con predio de Edilberto Mora, en una distancia</w:t>
      </w:r>
      <w:r w:rsidR="002F6740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de</w:t>
      </w:r>
      <w:r w:rsidR="002F6740" w:rsidRPr="002F6740"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195.7</w:t>
      </w:r>
      <w:r w:rsidR="002F6740">
        <w:rPr>
          <w:rFonts w:ascii="Tahoma" w:hAnsi="Tahoma" w:cs="Tahoma"/>
          <w:sz w:val="24"/>
          <w:szCs w:val="24"/>
          <w:lang w:val="es-ES"/>
        </w:rPr>
        <w:t>mts.</w:t>
      </w:r>
      <w:r w:rsidR="00D2213A">
        <w:rPr>
          <w:rFonts w:ascii="Tahoma" w:hAnsi="Tahoma" w:cs="Tahoma"/>
          <w:sz w:val="24"/>
          <w:szCs w:val="24"/>
          <w:lang w:val="es-ES"/>
        </w:rPr>
        <w:t xml:space="preserve"> </w:t>
      </w:r>
      <w:r w:rsidR="00AE345F" w:rsidRPr="00146B45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AE345F" w:rsidRPr="00146B45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Partiendo desde el punto 17 en línea quebrada en dirección norte, pasando por los puntos</w:t>
      </w:r>
      <w:r w:rsidR="002F6740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18,19 y 20 hasta llegar al punto 1, con predio de Luciano Egas, en una distancia de 176.5</w:t>
      </w:r>
      <w:r w:rsidR="002F6740">
        <w:rPr>
          <w:rFonts w:ascii="Tahoma" w:hAnsi="Tahoma" w:cs="Tahoma"/>
          <w:sz w:val="24"/>
          <w:szCs w:val="24"/>
          <w:lang w:val="es-ES"/>
        </w:rPr>
        <w:t xml:space="preserve"> </w:t>
      </w:r>
      <w:r w:rsidR="002F6740" w:rsidRPr="002F6740">
        <w:rPr>
          <w:rFonts w:ascii="Tahoma" w:hAnsi="Tahoma" w:cs="Tahoma"/>
          <w:sz w:val="24"/>
          <w:szCs w:val="24"/>
          <w:lang w:val="es-ES"/>
        </w:rPr>
        <w:t>metros</w:t>
      </w:r>
      <w:r w:rsidR="002F6740">
        <w:rPr>
          <w:rFonts w:ascii="Tahoma" w:hAnsi="Tahoma" w:cs="Tahoma"/>
          <w:sz w:val="24"/>
          <w:szCs w:val="24"/>
          <w:lang w:val="es-ES"/>
        </w:rPr>
        <w:t>.</w:t>
      </w:r>
      <w:r w:rsidR="00D2213A">
        <w:rPr>
          <w:rFonts w:ascii="Tahoma" w:hAnsi="Tahoma" w:cs="Tahoma"/>
          <w:sz w:val="24"/>
          <w:szCs w:val="24"/>
          <w:lang w:val="es-ES"/>
        </w:rPr>
        <w:t xml:space="preserve"> </w:t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 w:rsidRPr="00843552">
        <w:rPr>
          <w:rFonts w:ascii="Tahoma" w:hAnsi="Tahoma" w:cs="Tahoma"/>
          <w:sz w:val="24"/>
          <w:szCs w:val="24"/>
          <w:lang w:val="es-ES"/>
        </w:rPr>
        <w:tab/>
      </w:r>
      <w:r w:rsidR="00843552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6B788D2A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E73399" w:rsidRPr="00E73399">
        <w:t xml:space="preserve"> </w:t>
      </w:r>
      <w:r w:rsidR="00E73399" w:rsidRPr="00E73399">
        <w:rPr>
          <w:color w:val="auto"/>
          <w:lang w:val="es-ES"/>
        </w:rPr>
        <w:t>520013121004-2020-00</w:t>
      </w:r>
      <w:r w:rsidR="006A0B73">
        <w:rPr>
          <w:color w:val="auto"/>
          <w:lang w:val="es-ES"/>
        </w:rPr>
        <w:t>0</w:t>
      </w:r>
      <w:r w:rsidR="00297985">
        <w:rPr>
          <w:color w:val="auto"/>
          <w:lang w:val="es-ES"/>
        </w:rPr>
        <w:t>124</w:t>
      </w:r>
      <w:r w:rsidR="00E73399" w:rsidRPr="00E73399">
        <w:rPr>
          <w:color w:val="auto"/>
          <w:lang w:val="es-ES"/>
        </w:rPr>
        <w:t>-00</w:t>
      </w:r>
      <w:r w:rsidR="000A0C55">
        <w:rPr>
          <w:color w:val="auto"/>
          <w:lang w:val="es-ES"/>
        </w:rPr>
        <w:t xml:space="preserve"> y</w:t>
      </w:r>
      <w:r w:rsidR="00397323" w:rsidRPr="00547AC8">
        <w:rPr>
          <w:color w:val="auto"/>
          <w:lang w:val="es-ES"/>
        </w:rPr>
        <w:t xml:space="preserve">, </w:t>
      </w:r>
      <w:r w:rsidR="00397323" w:rsidRPr="00547AC8">
        <w:rPr>
          <w:color w:val="auto"/>
          <w:lang w:val="es-ES"/>
        </w:rPr>
        <w:lastRenderedPageBreak/>
        <w:t xml:space="preserve">formulado por </w:t>
      </w:r>
      <w:bookmarkStart w:id="1" w:name="_GoBack"/>
      <w:proofErr w:type="spellStart"/>
      <w:r w:rsidR="00297985" w:rsidRPr="00297985">
        <w:t>Edilma</w:t>
      </w:r>
      <w:proofErr w:type="spellEnd"/>
      <w:r w:rsidR="00297985" w:rsidRPr="00297985">
        <w:t xml:space="preserve"> Socorro </w:t>
      </w:r>
      <w:proofErr w:type="spellStart"/>
      <w:r w:rsidR="00297985" w:rsidRPr="00297985">
        <w:t>Agreda</w:t>
      </w:r>
      <w:bookmarkEnd w:id="1"/>
      <w:proofErr w:type="spellEnd"/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297985" w:rsidRPr="00297985">
        <w:t>27.187.356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Javier Eduardo </w:t>
      </w:r>
      <w:proofErr w:type="spellStart"/>
      <w:r w:rsidRPr="00B30A7F">
        <w:rPr>
          <w:rFonts w:ascii="Tahoma" w:hAnsi="Tahoma" w:cs="Tahoma"/>
          <w:b/>
          <w:sz w:val="24"/>
          <w:szCs w:val="24"/>
          <w:lang w:val="es-ES"/>
        </w:rPr>
        <w:t>Goyes</w:t>
      </w:r>
      <w:proofErr w:type="spellEnd"/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F9EEB" w14:textId="77777777" w:rsidR="00ED256D" w:rsidRDefault="00ED256D" w:rsidP="0056257E">
      <w:r>
        <w:separator/>
      </w:r>
    </w:p>
  </w:endnote>
  <w:endnote w:type="continuationSeparator" w:id="0">
    <w:p w14:paraId="4F97E628" w14:textId="77777777" w:rsidR="00ED256D" w:rsidRDefault="00ED256D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3CDD67D1" w:rsidR="003D299F" w:rsidRPr="001B20AC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520013121004-2020-00</w:t>
          </w:r>
          <w:r w:rsidR="00297985">
            <w:rPr>
              <w:rFonts w:ascii="Tahoma" w:hAnsi="Tahoma" w:cs="Tahoma"/>
              <w:sz w:val="12"/>
              <w:szCs w:val="12"/>
              <w:lang w:val="es-CO"/>
            </w:rPr>
            <w:t>124</w:t>
          </w:r>
          <w:r w:rsidRPr="00E73399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ED256D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ED256D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CF0F31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  <w:r w:rsidR="004673B1">
      <w:rPr>
        <w:rFonts w:cs="Arial"/>
        <w:sz w:val="16"/>
        <w:lang w:val="es-CO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7C802" w14:textId="77777777" w:rsidR="00ED256D" w:rsidRDefault="00ED256D" w:rsidP="0056257E">
      <w:r>
        <w:separator/>
      </w:r>
    </w:p>
  </w:footnote>
  <w:footnote w:type="continuationSeparator" w:id="0">
    <w:p w14:paraId="2C8E1267" w14:textId="77777777" w:rsidR="00ED256D" w:rsidRDefault="00ED256D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97985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97BE3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77A"/>
    <w:rsid w:val="007361A9"/>
    <w:rsid w:val="007448F5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3E45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56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2EAD"/>
    <w:rsid w:val="00FC3283"/>
    <w:rsid w:val="00FC4C58"/>
    <w:rsid w:val="00FD4274"/>
    <w:rsid w:val="00FD5856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F5C7-D8A1-4E1C-8C46-C2C7BC4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121</cp:revision>
  <cp:lastPrinted>2020-02-24T13:34:00Z</cp:lastPrinted>
  <dcterms:created xsi:type="dcterms:W3CDTF">2019-09-30T16:47:00Z</dcterms:created>
  <dcterms:modified xsi:type="dcterms:W3CDTF">2021-11-16T04:14:00Z</dcterms:modified>
</cp:coreProperties>
</file>