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C9" w:rsidRPr="006B2B5B" w:rsidRDefault="001506C9" w:rsidP="00B20203">
      <w:pPr>
        <w:spacing w:after="0"/>
        <w:jc w:val="center"/>
        <w:rPr>
          <w:rFonts w:ascii="Calibri" w:eastAsia="Calibri" w:hAnsi="Calibri" w:cs="Times New Roman"/>
          <w:sz w:val="24"/>
          <w:szCs w:val="24"/>
          <w:lang w:val="es-CO"/>
        </w:rPr>
      </w:pPr>
      <w:r w:rsidRPr="006B2B5B">
        <w:rPr>
          <w:rFonts w:ascii="Century Gothic" w:eastAsia="Calibri" w:hAnsi="Century Gothic" w:cs="Tahoma"/>
          <w:noProof/>
          <w:sz w:val="24"/>
          <w:szCs w:val="24"/>
          <w:lang w:val="es-CO" w:eastAsia="es-CO"/>
        </w:rPr>
        <w:drawing>
          <wp:inline distT="0" distB="0" distL="0" distR="0" wp14:anchorId="517C6284" wp14:editId="2BDC4097">
            <wp:extent cx="631825" cy="6648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825" cy="664845"/>
                    </a:xfrm>
                    <a:prstGeom prst="rect">
                      <a:avLst/>
                    </a:prstGeom>
                    <a:noFill/>
                    <a:ln>
                      <a:noFill/>
                    </a:ln>
                  </pic:spPr>
                </pic:pic>
              </a:graphicData>
            </a:graphic>
          </wp:inline>
        </w:drawing>
      </w:r>
    </w:p>
    <w:p w:rsidR="001506C9" w:rsidRPr="006B2B5B" w:rsidRDefault="001506C9" w:rsidP="00B20203">
      <w:pPr>
        <w:spacing w:after="0" w:line="240" w:lineRule="auto"/>
        <w:jc w:val="center"/>
        <w:rPr>
          <w:rFonts w:ascii="Century Gothic" w:eastAsia="Calibri" w:hAnsi="Century Gothic" w:cs="Tahoma"/>
          <w:b/>
          <w:sz w:val="24"/>
          <w:szCs w:val="24"/>
          <w:lang w:val="es-CO"/>
        </w:rPr>
      </w:pPr>
      <w:r w:rsidRPr="006B2B5B">
        <w:rPr>
          <w:rFonts w:ascii="Century Gothic" w:eastAsia="Calibri" w:hAnsi="Century Gothic" w:cs="Tahoma"/>
          <w:b/>
          <w:sz w:val="24"/>
          <w:szCs w:val="24"/>
          <w:lang w:val="es-CO"/>
        </w:rPr>
        <w:t>REPUBLICA DE COLOMBIA</w:t>
      </w:r>
    </w:p>
    <w:p w:rsidR="001506C9" w:rsidRPr="006B2B5B" w:rsidRDefault="001506C9" w:rsidP="00B20203">
      <w:pPr>
        <w:spacing w:after="0" w:line="240" w:lineRule="auto"/>
        <w:jc w:val="center"/>
        <w:rPr>
          <w:rFonts w:ascii="Century Gothic" w:eastAsia="Calibri" w:hAnsi="Century Gothic" w:cs="Tahoma"/>
          <w:b/>
          <w:sz w:val="24"/>
          <w:szCs w:val="24"/>
          <w:lang w:val="es-CO"/>
        </w:rPr>
      </w:pPr>
      <w:r w:rsidRPr="006B2B5B">
        <w:rPr>
          <w:rFonts w:ascii="Century Gothic" w:eastAsia="Calibri" w:hAnsi="Century Gothic" w:cs="Tahoma"/>
          <w:b/>
          <w:sz w:val="24"/>
          <w:szCs w:val="24"/>
          <w:lang w:val="es-CO"/>
        </w:rPr>
        <w:t>DISTRITO JUDICIAL DE CUCUTA</w:t>
      </w:r>
    </w:p>
    <w:p w:rsidR="001506C9" w:rsidRPr="006B2B5B" w:rsidRDefault="001506C9" w:rsidP="00B20203">
      <w:pPr>
        <w:spacing w:after="0" w:line="240" w:lineRule="auto"/>
        <w:jc w:val="center"/>
        <w:rPr>
          <w:rFonts w:ascii="Century Gothic" w:eastAsia="Calibri" w:hAnsi="Century Gothic" w:cs="Tahoma"/>
          <w:b/>
          <w:sz w:val="24"/>
          <w:szCs w:val="24"/>
          <w:lang w:val="es-CO"/>
        </w:rPr>
      </w:pPr>
      <w:r w:rsidRPr="006B2B5B">
        <w:rPr>
          <w:rFonts w:ascii="Century Gothic" w:eastAsia="Calibri" w:hAnsi="Century Gothic" w:cs="Tahoma"/>
          <w:b/>
          <w:sz w:val="24"/>
          <w:szCs w:val="24"/>
          <w:lang w:val="es-CO"/>
        </w:rPr>
        <w:t xml:space="preserve">JUZGADO CUARTO CIVIL MUNICIPAL DE CUCUTA </w:t>
      </w:r>
    </w:p>
    <w:p w:rsidR="001506C9" w:rsidRPr="006B2B5B" w:rsidRDefault="001506C9" w:rsidP="00B20203">
      <w:pPr>
        <w:tabs>
          <w:tab w:val="left" w:pos="180"/>
          <w:tab w:val="center" w:pos="4420"/>
        </w:tabs>
        <w:spacing w:after="0" w:line="240" w:lineRule="auto"/>
        <w:rPr>
          <w:rFonts w:ascii="Century Gothic" w:eastAsia="Calibri" w:hAnsi="Century Gothic" w:cs="Tahoma"/>
          <w:b/>
          <w:sz w:val="24"/>
          <w:szCs w:val="24"/>
          <w:lang w:val="es-CO"/>
        </w:rPr>
      </w:pPr>
    </w:p>
    <w:p w:rsidR="001506C9" w:rsidRPr="006B2B5B" w:rsidRDefault="001506C9" w:rsidP="00B20203">
      <w:pPr>
        <w:tabs>
          <w:tab w:val="left" w:pos="180"/>
          <w:tab w:val="center" w:pos="4420"/>
        </w:tabs>
        <w:spacing w:after="0" w:line="240" w:lineRule="auto"/>
        <w:rPr>
          <w:rFonts w:ascii="Century Gothic" w:eastAsia="Calibri" w:hAnsi="Century Gothic" w:cs="Tahoma"/>
          <w:b/>
          <w:sz w:val="24"/>
          <w:szCs w:val="24"/>
          <w:lang w:val="es-CO"/>
        </w:rPr>
      </w:pPr>
    </w:p>
    <w:p w:rsidR="001506C9" w:rsidRPr="006B2B5B" w:rsidRDefault="001506C9" w:rsidP="00B20203">
      <w:pPr>
        <w:tabs>
          <w:tab w:val="left" w:pos="180"/>
          <w:tab w:val="center" w:pos="4420"/>
        </w:tabs>
        <w:spacing w:after="0" w:line="240" w:lineRule="auto"/>
        <w:jc w:val="center"/>
        <w:rPr>
          <w:rFonts w:ascii="Century Gothic" w:eastAsia="Calibri" w:hAnsi="Century Gothic" w:cs="Tahoma"/>
          <w:b/>
          <w:sz w:val="24"/>
          <w:szCs w:val="24"/>
          <w:lang w:val="es-CO"/>
        </w:rPr>
      </w:pPr>
      <w:r w:rsidRPr="006B2B5B">
        <w:rPr>
          <w:rFonts w:ascii="Century Gothic" w:eastAsia="Calibri" w:hAnsi="Century Gothic" w:cs="Tahoma"/>
          <w:b/>
          <w:sz w:val="24"/>
          <w:szCs w:val="24"/>
          <w:lang w:val="es-CO"/>
        </w:rPr>
        <w:t>AVISO IMPORTANTE</w:t>
      </w:r>
    </w:p>
    <w:p w:rsidR="00951A45" w:rsidRPr="006B2B5B" w:rsidRDefault="00951A45" w:rsidP="00B20203">
      <w:pPr>
        <w:tabs>
          <w:tab w:val="left" w:pos="180"/>
          <w:tab w:val="center" w:pos="4420"/>
        </w:tabs>
        <w:spacing w:after="0" w:line="240" w:lineRule="auto"/>
        <w:rPr>
          <w:rFonts w:ascii="Century Gothic" w:eastAsia="Calibri" w:hAnsi="Century Gothic" w:cs="Tahoma"/>
          <w:b/>
          <w:sz w:val="24"/>
          <w:szCs w:val="24"/>
          <w:lang w:val="es-CO"/>
        </w:rPr>
      </w:pPr>
    </w:p>
    <w:p w:rsidR="001506C9" w:rsidRPr="006B2B5B" w:rsidRDefault="001506C9" w:rsidP="00B20203">
      <w:pPr>
        <w:tabs>
          <w:tab w:val="left" w:pos="180"/>
          <w:tab w:val="center" w:pos="4420"/>
        </w:tabs>
        <w:spacing w:after="0" w:line="240" w:lineRule="auto"/>
        <w:jc w:val="center"/>
        <w:rPr>
          <w:rFonts w:ascii="Century Gothic" w:eastAsia="Calibri" w:hAnsi="Century Gothic" w:cs="Tahoma"/>
          <w:b/>
          <w:sz w:val="24"/>
          <w:szCs w:val="24"/>
          <w:lang w:val="es-CO"/>
        </w:rPr>
      </w:pPr>
      <w:r w:rsidRPr="006B2B5B">
        <w:rPr>
          <w:rFonts w:ascii="Century Gothic" w:eastAsia="Calibri" w:hAnsi="Century Gothic" w:cs="Tahoma"/>
          <w:b/>
          <w:sz w:val="24"/>
          <w:szCs w:val="24"/>
          <w:lang w:val="es-CO"/>
        </w:rPr>
        <w:t xml:space="preserve">SEÑORES USUARIOS DEL JUZGADO CUARTO CIVIL MUNICIPAL DE </w:t>
      </w:r>
      <w:r w:rsidR="00351E20" w:rsidRPr="006B2B5B">
        <w:rPr>
          <w:rFonts w:ascii="Century Gothic" w:eastAsia="Calibri" w:hAnsi="Century Gothic" w:cs="Tahoma"/>
          <w:b/>
          <w:sz w:val="24"/>
          <w:szCs w:val="24"/>
          <w:lang w:val="es-CO"/>
        </w:rPr>
        <w:t xml:space="preserve">ORALIDAD DE </w:t>
      </w:r>
      <w:r w:rsidRPr="006B2B5B">
        <w:rPr>
          <w:rFonts w:ascii="Century Gothic" w:eastAsia="Calibri" w:hAnsi="Century Gothic" w:cs="Tahoma"/>
          <w:b/>
          <w:sz w:val="24"/>
          <w:szCs w:val="24"/>
          <w:lang w:val="es-CO"/>
        </w:rPr>
        <w:t>CÙCUTA</w:t>
      </w:r>
    </w:p>
    <w:p w:rsidR="001506C9" w:rsidRPr="006B2B5B" w:rsidRDefault="001506C9" w:rsidP="00B20203">
      <w:pPr>
        <w:tabs>
          <w:tab w:val="left" w:pos="180"/>
          <w:tab w:val="center" w:pos="4420"/>
        </w:tabs>
        <w:spacing w:after="0" w:line="240" w:lineRule="auto"/>
        <w:rPr>
          <w:rFonts w:ascii="Century Gothic" w:eastAsia="Calibri" w:hAnsi="Century Gothic" w:cs="Tahoma"/>
          <w:b/>
          <w:sz w:val="24"/>
          <w:szCs w:val="24"/>
          <w:lang w:val="es-CO"/>
        </w:rPr>
      </w:pPr>
    </w:p>
    <w:p w:rsidR="00951A45" w:rsidRPr="006B2B5B" w:rsidRDefault="00951A45" w:rsidP="00B20203">
      <w:pPr>
        <w:tabs>
          <w:tab w:val="left" w:pos="180"/>
          <w:tab w:val="center" w:pos="4420"/>
        </w:tabs>
        <w:spacing w:after="0" w:line="480" w:lineRule="auto"/>
        <w:rPr>
          <w:rFonts w:ascii="Century Gothic" w:eastAsia="Calibri" w:hAnsi="Century Gothic" w:cs="Tahoma"/>
          <w:b/>
          <w:sz w:val="24"/>
          <w:szCs w:val="24"/>
          <w:lang w:val="es-CO"/>
        </w:rPr>
      </w:pPr>
    </w:p>
    <w:p w:rsidR="00951A45" w:rsidRPr="006B2B5B" w:rsidRDefault="001506C9" w:rsidP="00351E20">
      <w:pPr>
        <w:tabs>
          <w:tab w:val="left" w:pos="180"/>
          <w:tab w:val="center" w:pos="4420"/>
        </w:tabs>
        <w:spacing w:after="0" w:line="480" w:lineRule="auto"/>
        <w:jc w:val="both"/>
        <w:rPr>
          <w:rFonts w:ascii="Century Gothic" w:eastAsia="Calibri" w:hAnsi="Century Gothic" w:cs="Tahoma"/>
          <w:sz w:val="24"/>
          <w:szCs w:val="24"/>
          <w:lang w:val="es-CO"/>
        </w:rPr>
      </w:pPr>
      <w:r w:rsidRPr="006B2B5B">
        <w:rPr>
          <w:rFonts w:ascii="Century Gothic" w:eastAsia="Calibri" w:hAnsi="Century Gothic" w:cs="Tahoma"/>
          <w:sz w:val="24"/>
          <w:szCs w:val="24"/>
          <w:lang w:val="es-CO"/>
        </w:rPr>
        <w:t xml:space="preserve">El Juzgado Cuarto Civil Municipal de la ciudad, </w:t>
      </w:r>
      <w:r w:rsidR="00F55B0A" w:rsidRPr="006B2B5B">
        <w:rPr>
          <w:rFonts w:ascii="Century Gothic" w:eastAsia="Calibri" w:hAnsi="Century Gothic" w:cs="Tahoma"/>
          <w:sz w:val="24"/>
          <w:szCs w:val="24"/>
          <w:lang w:val="es-CO"/>
        </w:rPr>
        <w:t>en acatamiento a las directrices dadas por el Consejo Superior de la Judicatura Seccional Norte de Santander, respecto a la digitalización de todos los procesos de esta Sede Judicial, con el fin de brindar una mejor prestación del servicio de administración de justicia ante la virtualidad que afrontamos por cuenta de la pandemia del COVID19,</w:t>
      </w:r>
      <w:r w:rsidR="00351E20" w:rsidRPr="006B2B5B">
        <w:rPr>
          <w:rFonts w:ascii="Century Gothic" w:eastAsia="Calibri" w:hAnsi="Century Gothic" w:cs="Tahoma"/>
          <w:sz w:val="24"/>
          <w:szCs w:val="24"/>
          <w:lang w:val="es-CO"/>
        </w:rPr>
        <w:t xml:space="preserve"> ordenó </w:t>
      </w:r>
      <w:r w:rsidR="00351E20" w:rsidRPr="006B2B5B">
        <w:rPr>
          <w:rFonts w:ascii="Century Gothic" w:eastAsia="Calibri" w:hAnsi="Century Gothic" w:cs="Tahoma"/>
          <w:b/>
          <w:sz w:val="24"/>
          <w:szCs w:val="24"/>
          <w:u w:val="single"/>
          <w:lang w:val="es-CO"/>
        </w:rPr>
        <w:t>suspender términos</w:t>
      </w:r>
      <w:r w:rsidR="00351E20" w:rsidRPr="006B2B5B">
        <w:rPr>
          <w:rFonts w:ascii="Century Gothic" w:eastAsia="Calibri" w:hAnsi="Century Gothic" w:cs="Tahoma"/>
          <w:sz w:val="24"/>
          <w:szCs w:val="24"/>
          <w:lang w:val="es-CO"/>
        </w:rPr>
        <w:t xml:space="preserve"> para este Órgano Judicial desde el viernes 19 de febrero hasta el </w:t>
      </w:r>
      <w:r w:rsidR="00F55B0A" w:rsidRPr="006B2B5B">
        <w:rPr>
          <w:rFonts w:ascii="Century Gothic" w:eastAsia="Calibri" w:hAnsi="Century Gothic" w:cs="Tahoma"/>
          <w:sz w:val="24"/>
          <w:szCs w:val="24"/>
          <w:lang w:val="es-CO"/>
        </w:rPr>
        <w:t xml:space="preserve"> </w:t>
      </w:r>
      <w:r w:rsidR="00351E20" w:rsidRPr="006B2B5B">
        <w:rPr>
          <w:rFonts w:ascii="Century Gothic" w:eastAsia="Calibri" w:hAnsi="Century Gothic" w:cs="Tahoma"/>
          <w:sz w:val="24"/>
          <w:szCs w:val="24"/>
          <w:lang w:val="es-CO"/>
        </w:rPr>
        <w:t>martes 23 de febrero de la anualidad.</w:t>
      </w:r>
    </w:p>
    <w:p w:rsidR="00351E20" w:rsidRPr="006B2B5B" w:rsidRDefault="00351E20" w:rsidP="00351E20">
      <w:pPr>
        <w:tabs>
          <w:tab w:val="left" w:pos="180"/>
          <w:tab w:val="center" w:pos="4420"/>
        </w:tabs>
        <w:spacing w:after="0" w:line="480" w:lineRule="auto"/>
        <w:jc w:val="both"/>
        <w:rPr>
          <w:rFonts w:ascii="Century Gothic" w:eastAsia="Calibri" w:hAnsi="Century Gothic" w:cs="Tahoma"/>
          <w:sz w:val="24"/>
          <w:szCs w:val="24"/>
          <w:lang w:val="es-CO"/>
        </w:rPr>
      </w:pPr>
    </w:p>
    <w:p w:rsidR="009B32A8" w:rsidRPr="006B2B5B" w:rsidRDefault="00951A45" w:rsidP="00403DCC">
      <w:pPr>
        <w:tabs>
          <w:tab w:val="left" w:pos="180"/>
          <w:tab w:val="center" w:pos="4420"/>
        </w:tabs>
        <w:spacing w:after="0" w:line="480" w:lineRule="auto"/>
        <w:jc w:val="both"/>
        <w:rPr>
          <w:rFonts w:ascii="Century Gothic" w:eastAsia="Calibri" w:hAnsi="Century Gothic" w:cs="Tahoma"/>
          <w:sz w:val="24"/>
          <w:szCs w:val="24"/>
          <w:lang w:val="es-CO"/>
        </w:rPr>
      </w:pPr>
      <w:r w:rsidRPr="006B2B5B">
        <w:rPr>
          <w:rFonts w:ascii="Century Gothic" w:eastAsia="Calibri" w:hAnsi="Century Gothic" w:cs="Tahoma"/>
          <w:sz w:val="24"/>
          <w:szCs w:val="24"/>
          <w:lang w:val="es-CO"/>
        </w:rPr>
        <w:t>Además, se les informa que las</w:t>
      </w:r>
      <w:r w:rsidRPr="006B2B5B">
        <w:rPr>
          <w:rFonts w:ascii="Century Gothic" w:eastAsia="Calibri" w:hAnsi="Century Gothic" w:cs="Tahoma"/>
          <w:b/>
          <w:sz w:val="24"/>
          <w:szCs w:val="24"/>
          <w:lang w:val="es-CO"/>
        </w:rPr>
        <w:t xml:space="preserve"> </w:t>
      </w:r>
      <w:r w:rsidRPr="006B2B5B">
        <w:rPr>
          <w:rFonts w:ascii="Century Gothic" w:eastAsia="Calibri" w:hAnsi="Century Gothic" w:cs="Tahoma"/>
          <w:b/>
          <w:sz w:val="24"/>
          <w:szCs w:val="24"/>
          <w:u w:val="single"/>
          <w:lang w:val="es-CO"/>
        </w:rPr>
        <w:t>diligencias</w:t>
      </w:r>
      <w:r w:rsidR="00F55B0A" w:rsidRPr="006B2B5B">
        <w:rPr>
          <w:rFonts w:ascii="Century Gothic" w:eastAsia="Calibri" w:hAnsi="Century Gothic" w:cs="Tahoma"/>
          <w:sz w:val="24"/>
          <w:szCs w:val="24"/>
          <w:lang w:val="es-CO"/>
        </w:rPr>
        <w:t xml:space="preserve"> que se están programadas desde el </w:t>
      </w:r>
      <w:r w:rsidR="006B2B5B">
        <w:rPr>
          <w:rFonts w:ascii="Century Gothic" w:eastAsia="Calibri" w:hAnsi="Century Gothic" w:cs="Tahoma"/>
          <w:sz w:val="24"/>
          <w:szCs w:val="24"/>
          <w:lang w:val="es-CO"/>
        </w:rPr>
        <w:t>martes 16 de febrero de 2021</w:t>
      </w:r>
      <w:r w:rsidR="00F55B0A" w:rsidRPr="006B2B5B">
        <w:rPr>
          <w:rFonts w:ascii="Century Gothic" w:eastAsia="Calibri" w:hAnsi="Century Gothic" w:cs="Tahoma"/>
          <w:sz w:val="24"/>
          <w:szCs w:val="24"/>
          <w:lang w:val="es-CO"/>
        </w:rPr>
        <w:t xml:space="preserve"> </w:t>
      </w:r>
      <w:r w:rsidR="006B2B5B">
        <w:rPr>
          <w:rFonts w:ascii="Century Gothic" w:eastAsia="Calibri" w:hAnsi="Century Gothic" w:cs="Tahoma"/>
          <w:sz w:val="24"/>
          <w:szCs w:val="24"/>
          <w:lang w:val="es-CO"/>
        </w:rPr>
        <w:t>serán suspen</w:t>
      </w:r>
      <w:bookmarkStart w:id="0" w:name="_GoBack"/>
      <w:bookmarkEnd w:id="0"/>
      <w:r w:rsidR="006B2B5B">
        <w:rPr>
          <w:rFonts w:ascii="Century Gothic" w:eastAsia="Calibri" w:hAnsi="Century Gothic" w:cs="Tahoma"/>
          <w:sz w:val="24"/>
          <w:szCs w:val="24"/>
          <w:lang w:val="es-CO"/>
        </w:rPr>
        <w:t>didas</w:t>
      </w:r>
      <w:r w:rsidR="00A271B2">
        <w:rPr>
          <w:rFonts w:ascii="Century Gothic" w:eastAsia="Calibri" w:hAnsi="Century Gothic" w:cs="Tahoma"/>
          <w:sz w:val="24"/>
          <w:szCs w:val="24"/>
          <w:lang w:val="es-CO"/>
        </w:rPr>
        <w:t xml:space="preserve"> hasta nueva orden y una vez sean entregados por la empresa de digitalización, serán reprogramadas</w:t>
      </w:r>
      <w:r w:rsidR="006B2B5B">
        <w:rPr>
          <w:rFonts w:ascii="Century Gothic" w:eastAsia="Calibri" w:hAnsi="Century Gothic" w:cs="Tahoma"/>
          <w:sz w:val="24"/>
          <w:szCs w:val="24"/>
          <w:lang w:val="es-CO"/>
        </w:rPr>
        <w:t xml:space="preserve">; </w:t>
      </w:r>
      <w:r w:rsidR="0046636E" w:rsidRPr="006B2B5B">
        <w:rPr>
          <w:rFonts w:ascii="Century Gothic" w:eastAsia="Calibri" w:hAnsi="Century Gothic" w:cs="Tahoma"/>
          <w:sz w:val="24"/>
          <w:szCs w:val="24"/>
          <w:lang w:val="es-CO"/>
        </w:rPr>
        <w:t xml:space="preserve">decisión, </w:t>
      </w:r>
      <w:r w:rsidR="00F55B0A" w:rsidRPr="006B2B5B">
        <w:rPr>
          <w:rFonts w:ascii="Century Gothic" w:eastAsia="Calibri" w:hAnsi="Century Gothic" w:cs="Tahoma"/>
          <w:sz w:val="24"/>
          <w:szCs w:val="24"/>
          <w:lang w:val="es-CO"/>
        </w:rPr>
        <w:t xml:space="preserve">que será </w:t>
      </w:r>
      <w:r w:rsidR="0046636E" w:rsidRPr="006B2B5B">
        <w:rPr>
          <w:rFonts w:ascii="Century Gothic" w:eastAsia="Calibri" w:hAnsi="Century Gothic" w:cs="Tahoma"/>
          <w:sz w:val="24"/>
          <w:szCs w:val="24"/>
          <w:lang w:val="es-CO"/>
        </w:rPr>
        <w:t>comunicada</w:t>
      </w:r>
      <w:r w:rsidR="00F55B0A" w:rsidRPr="006B2B5B">
        <w:rPr>
          <w:rFonts w:ascii="Century Gothic" w:eastAsia="Calibri" w:hAnsi="Century Gothic" w:cs="Tahoma"/>
          <w:sz w:val="24"/>
          <w:szCs w:val="24"/>
          <w:lang w:val="es-CO"/>
        </w:rPr>
        <w:t xml:space="preserve"> </w:t>
      </w:r>
      <w:r w:rsidR="006B2B5B">
        <w:rPr>
          <w:rFonts w:ascii="Century Gothic" w:eastAsia="Calibri" w:hAnsi="Century Gothic" w:cs="Tahoma"/>
          <w:sz w:val="24"/>
          <w:szCs w:val="24"/>
          <w:lang w:val="es-CO"/>
        </w:rPr>
        <w:t xml:space="preserve">igualmente </w:t>
      </w:r>
      <w:r w:rsidR="00F55B0A" w:rsidRPr="006B2B5B">
        <w:rPr>
          <w:rFonts w:ascii="Century Gothic" w:eastAsia="Calibri" w:hAnsi="Century Gothic" w:cs="Tahoma"/>
          <w:sz w:val="24"/>
          <w:szCs w:val="24"/>
          <w:lang w:val="es-CO"/>
        </w:rPr>
        <w:t xml:space="preserve">por este mismo medio de avisos, aquello, </w:t>
      </w:r>
      <w:r w:rsidR="0046636E" w:rsidRPr="006B2B5B">
        <w:rPr>
          <w:rFonts w:ascii="Century Gothic" w:eastAsia="Calibri" w:hAnsi="Century Gothic" w:cs="Tahoma"/>
          <w:sz w:val="24"/>
          <w:szCs w:val="24"/>
          <w:lang w:val="es-CO"/>
        </w:rPr>
        <w:t>debido a que iteramos</w:t>
      </w:r>
      <w:r w:rsidR="00F55B0A" w:rsidRPr="006B2B5B">
        <w:rPr>
          <w:rFonts w:ascii="Century Gothic" w:eastAsia="Calibri" w:hAnsi="Century Gothic" w:cs="Tahoma"/>
          <w:sz w:val="24"/>
          <w:szCs w:val="24"/>
          <w:lang w:val="es-CO"/>
        </w:rPr>
        <w:t xml:space="preserve"> nos encontramos en proceso de digitalización </w:t>
      </w:r>
      <w:r w:rsidR="006B2B5B">
        <w:rPr>
          <w:rFonts w:ascii="Century Gothic" w:eastAsia="Calibri" w:hAnsi="Century Gothic" w:cs="Tahoma"/>
          <w:sz w:val="24"/>
          <w:szCs w:val="24"/>
          <w:lang w:val="es-CO"/>
        </w:rPr>
        <w:t xml:space="preserve">de todos los </w:t>
      </w:r>
      <w:r w:rsidR="00F55B0A" w:rsidRPr="006B2B5B">
        <w:rPr>
          <w:rFonts w:ascii="Century Gothic" w:eastAsia="Calibri" w:hAnsi="Century Gothic" w:cs="Tahoma"/>
          <w:sz w:val="24"/>
          <w:szCs w:val="24"/>
          <w:lang w:val="es-CO"/>
        </w:rPr>
        <w:t xml:space="preserve">expediente </w:t>
      </w:r>
      <w:r w:rsidR="006B2B5B">
        <w:rPr>
          <w:rFonts w:ascii="Century Gothic" w:eastAsia="Calibri" w:hAnsi="Century Gothic" w:cs="Tahoma"/>
          <w:sz w:val="24"/>
          <w:szCs w:val="24"/>
          <w:lang w:val="es-CO"/>
        </w:rPr>
        <w:t>en su totalidad.</w:t>
      </w:r>
      <w:r w:rsidR="00F55B0A" w:rsidRPr="006B2B5B">
        <w:rPr>
          <w:rFonts w:ascii="Century Gothic" w:eastAsia="Calibri" w:hAnsi="Century Gothic" w:cs="Tahoma"/>
          <w:sz w:val="24"/>
          <w:szCs w:val="24"/>
          <w:lang w:val="es-CO"/>
        </w:rPr>
        <w:t xml:space="preserve">  </w:t>
      </w:r>
    </w:p>
    <w:p w:rsidR="009B32A8" w:rsidRPr="006B2B5B" w:rsidRDefault="009B32A8" w:rsidP="00403DCC">
      <w:pPr>
        <w:tabs>
          <w:tab w:val="left" w:pos="180"/>
          <w:tab w:val="center" w:pos="4420"/>
        </w:tabs>
        <w:spacing w:after="0" w:line="480" w:lineRule="auto"/>
        <w:jc w:val="both"/>
        <w:rPr>
          <w:rFonts w:ascii="Century Gothic" w:eastAsia="Calibri" w:hAnsi="Century Gothic" w:cs="Tahoma"/>
          <w:sz w:val="24"/>
          <w:szCs w:val="24"/>
          <w:lang w:val="es-CO"/>
        </w:rPr>
      </w:pPr>
    </w:p>
    <w:p w:rsidR="001506C9" w:rsidRPr="006B2B5B" w:rsidRDefault="009B32A8" w:rsidP="00403DCC">
      <w:pPr>
        <w:tabs>
          <w:tab w:val="left" w:pos="180"/>
          <w:tab w:val="center" w:pos="4420"/>
        </w:tabs>
        <w:spacing w:after="0" w:line="480" w:lineRule="auto"/>
        <w:jc w:val="both"/>
        <w:rPr>
          <w:rFonts w:ascii="Century Gothic" w:eastAsia="Calibri" w:hAnsi="Century Gothic" w:cs="Tahoma"/>
          <w:sz w:val="24"/>
          <w:szCs w:val="24"/>
          <w:lang w:val="es-CO"/>
        </w:rPr>
      </w:pPr>
      <w:r w:rsidRPr="006B2B5B">
        <w:rPr>
          <w:rFonts w:ascii="Century Gothic" w:eastAsia="Calibri" w:hAnsi="Century Gothic" w:cs="Tahoma"/>
          <w:sz w:val="24"/>
          <w:szCs w:val="24"/>
          <w:lang w:val="es-CO"/>
        </w:rPr>
        <w:lastRenderedPageBreak/>
        <w:t>Por último,</w:t>
      </w:r>
      <w:r w:rsidR="00385FA6" w:rsidRPr="006B2B5B">
        <w:rPr>
          <w:rFonts w:ascii="Century Gothic" w:eastAsia="Calibri" w:hAnsi="Century Gothic" w:cs="Tahoma"/>
          <w:sz w:val="24"/>
          <w:szCs w:val="24"/>
          <w:lang w:val="es-CO"/>
        </w:rPr>
        <w:t xml:space="preserve"> con relación </w:t>
      </w:r>
      <w:r w:rsidR="006B2B5B" w:rsidRPr="006B2B5B">
        <w:rPr>
          <w:rFonts w:ascii="Century Gothic" w:eastAsia="Calibri" w:hAnsi="Century Gothic" w:cs="Tahoma"/>
          <w:sz w:val="24"/>
          <w:szCs w:val="24"/>
          <w:lang w:val="es-CO"/>
        </w:rPr>
        <w:t xml:space="preserve">a las diligencias de remate, debido a la almoneda en una diligencia que se programa netamente por petición de parte, se dispone dejar los expedientes en secretaria para que las partes soliciten lo que consideren pertinente, como quiera que legalmente no podemos reprogramarlas automáticamente, sin petición del interesado. </w:t>
      </w:r>
    </w:p>
    <w:p w:rsidR="001506C9" w:rsidRPr="006B2B5B" w:rsidRDefault="001506C9" w:rsidP="00B20203">
      <w:pPr>
        <w:spacing w:after="0" w:line="240" w:lineRule="auto"/>
        <w:rPr>
          <w:rFonts w:ascii="Century Gothic" w:eastAsia="Calibri" w:hAnsi="Century Gothic" w:cs="Tahoma"/>
          <w:sz w:val="24"/>
          <w:szCs w:val="24"/>
          <w:lang w:val="es-CO"/>
        </w:rPr>
      </w:pPr>
      <w:r w:rsidRPr="006B2B5B">
        <w:rPr>
          <w:rFonts w:ascii="Century Gothic" w:eastAsia="Calibri" w:hAnsi="Century Gothic" w:cs="Tahoma"/>
          <w:sz w:val="24"/>
          <w:szCs w:val="24"/>
          <w:lang w:val="es-CO"/>
        </w:rPr>
        <w:t xml:space="preserve">                                             </w:t>
      </w:r>
      <w:r w:rsidR="00403DCC" w:rsidRPr="006B2B5B">
        <w:rPr>
          <w:rFonts w:ascii="Century Gothic" w:eastAsia="Calibri" w:hAnsi="Century Gothic" w:cs="Tahoma"/>
          <w:sz w:val="24"/>
          <w:szCs w:val="24"/>
          <w:lang w:val="es-CO"/>
        </w:rPr>
        <w:t xml:space="preserve">    </w:t>
      </w:r>
      <w:r w:rsidRPr="006B2B5B">
        <w:rPr>
          <w:rFonts w:ascii="Century Gothic" w:eastAsia="Calibri" w:hAnsi="Century Gothic" w:cs="Tahoma"/>
          <w:sz w:val="24"/>
          <w:szCs w:val="24"/>
          <w:lang w:val="es-CO"/>
        </w:rPr>
        <w:t xml:space="preserve">    </w:t>
      </w:r>
      <w:r w:rsidRPr="006B2B5B">
        <w:rPr>
          <w:rFonts w:ascii="Century Gothic" w:eastAsia="Calibri" w:hAnsi="Century Gothic" w:cs="Tahoma"/>
          <w:noProof/>
          <w:sz w:val="24"/>
          <w:szCs w:val="24"/>
          <w:lang w:val="es-CO" w:eastAsia="es-CO"/>
        </w:rPr>
        <w:drawing>
          <wp:inline distT="0" distB="0" distL="0" distR="0" wp14:anchorId="667EA4A5" wp14:editId="237F44DB">
            <wp:extent cx="1638604" cy="1423051"/>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3504" cy="1435991"/>
                    </a:xfrm>
                    <a:prstGeom prst="rect">
                      <a:avLst/>
                    </a:prstGeom>
                    <a:noFill/>
                  </pic:spPr>
                </pic:pic>
              </a:graphicData>
            </a:graphic>
          </wp:inline>
        </w:drawing>
      </w:r>
    </w:p>
    <w:p w:rsidR="001506C9" w:rsidRPr="006B2B5B" w:rsidRDefault="001506C9" w:rsidP="00B20203">
      <w:pPr>
        <w:spacing w:after="0" w:line="240" w:lineRule="auto"/>
        <w:rPr>
          <w:rFonts w:ascii="Century Gothic" w:eastAsia="Calibri" w:hAnsi="Century Gothic" w:cs="Tahoma"/>
          <w:b/>
          <w:sz w:val="24"/>
          <w:szCs w:val="24"/>
          <w:lang w:val="es-CO"/>
        </w:rPr>
      </w:pPr>
      <w:r w:rsidRPr="006B2B5B">
        <w:rPr>
          <w:rFonts w:ascii="Century Gothic" w:eastAsia="Calibri" w:hAnsi="Century Gothic" w:cs="Tahoma"/>
          <w:sz w:val="24"/>
          <w:szCs w:val="24"/>
          <w:lang w:val="es-CO"/>
        </w:rPr>
        <w:t xml:space="preserve">                                     </w:t>
      </w:r>
      <w:r w:rsidR="00403DCC" w:rsidRPr="006B2B5B">
        <w:rPr>
          <w:rFonts w:ascii="Century Gothic" w:eastAsia="Calibri" w:hAnsi="Century Gothic" w:cs="Tahoma"/>
          <w:sz w:val="24"/>
          <w:szCs w:val="24"/>
          <w:lang w:val="es-CO"/>
        </w:rPr>
        <w:t xml:space="preserve">       </w:t>
      </w:r>
      <w:r w:rsidRPr="006B2B5B">
        <w:rPr>
          <w:rFonts w:ascii="Century Gothic" w:eastAsia="Calibri" w:hAnsi="Century Gothic" w:cs="Tahoma"/>
          <w:b/>
          <w:sz w:val="24"/>
          <w:szCs w:val="24"/>
          <w:lang w:val="es-CO"/>
        </w:rPr>
        <w:t>CARLOS ARMANDO VARON PATIÑO</w:t>
      </w:r>
    </w:p>
    <w:p w:rsidR="00403DCC" w:rsidRPr="006B2B5B" w:rsidRDefault="00403DCC" w:rsidP="00403DCC">
      <w:pPr>
        <w:spacing w:after="0" w:line="240" w:lineRule="auto"/>
        <w:jc w:val="center"/>
        <w:rPr>
          <w:rFonts w:ascii="Century Gothic" w:eastAsia="Calibri" w:hAnsi="Century Gothic" w:cs="Tahoma"/>
          <w:sz w:val="24"/>
          <w:szCs w:val="24"/>
          <w:lang w:val="es-CO"/>
        </w:rPr>
      </w:pPr>
      <w:r w:rsidRPr="006B2B5B">
        <w:rPr>
          <w:rFonts w:ascii="Century Gothic" w:eastAsia="Calibri" w:hAnsi="Century Gothic" w:cs="Tahoma"/>
          <w:b/>
          <w:sz w:val="24"/>
          <w:szCs w:val="24"/>
          <w:lang w:val="es-CO"/>
        </w:rPr>
        <w:t>JUEZ</w:t>
      </w:r>
    </w:p>
    <w:p w:rsidR="005B778F" w:rsidRPr="006B2B5B" w:rsidRDefault="005B778F" w:rsidP="00B20203">
      <w:pPr>
        <w:spacing w:after="0"/>
        <w:rPr>
          <w:sz w:val="24"/>
          <w:szCs w:val="24"/>
        </w:rPr>
      </w:pPr>
    </w:p>
    <w:sectPr w:rsidR="005B778F" w:rsidRPr="006B2B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C9"/>
    <w:rsid w:val="00113D86"/>
    <w:rsid w:val="001506C9"/>
    <w:rsid w:val="00351E20"/>
    <w:rsid w:val="00380E68"/>
    <w:rsid w:val="00385FA6"/>
    <w:rsid w:val="00403DCC"/>
    <w:rsid w:val="0046636E"/>
    <w:rsid w:val="005B778F"/>
    <w:rsid w:val="005F3E17"/>
    <w:rsid w:val="006B2B5B"/>
    <w:rsid w:val="00951A45"/>
    <w:rsid w:val="009B32A8"/>
    <w:rsid w:val="00A271B2"/>
    <w:rsid w:val="00B20203"/>
    <w:rsid w:val="00F55B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A212D-6342-4068-BE08-8267194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LENOVO</cp:lastModifiedBy>
  <cp:revision>3</cp:revision>
  <dcterms:created xsi:type="dcterms:W3CDTF">2021-02-17T18:15:00Z</dcterms:created>
  <dcterms:modified xsi:type="dcterms:W3CDTF">2021-02-17T18:29:00Z</dcterms:modified>
</cp:coreProperties>
</file>