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0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634885" cy="81981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85" cy="81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4"/>
        <w:rPr>
          <w:rFonts w:ascii="Times New Roman"/>
          <w:i w:val="0"/>
          <w:sz w:val="16"/>
        </w:rPr>
      </w:pPr>
    </w:p>
    <w:p>
      <w:pPr>
        <w:spacing w:line="230" w:lineRule="auto" w:before="108"/>
        <w:ind w:left="3568" w:right="3562" w:firstLine="395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República de Colombia</w:t>
      </w:r>
      <w:r>
        <w:rPr>
          <w:rFonts w:ascii="Verdana" w:hAnsi="Verdana"/>
          <w:i/>
          <w:spacing w:val="1"/>
          <w:sz w:val="18"/>
        </w:rPr>
        <w:t> </w:t>
      </w:r>
      <w:r>
        <w:rPr>
          <w:rFonts w:ascii="Verdana" w:hAnsi="Verdana"/>
          <w:i/>
          <w:sz w:val="18"/>
        </w:rPr>
        <w:t>Rama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Judicial</w:t>
      </w:r>
      <w:r>
        <w:rPr>
          <w:rFonts w:ascii="Verdana" w:hAnsi="Verdana"/>
          <w:i/>
          <w:spacing w:val="-4"/>
          <w:sz w:val="18"/>
        </w:rPr>
        <w:t> </w:t>
      </w:r>
      <w:r>
        <w:rPr>
          <w:rFonts w:ascii="Verdana" w:hAnsi="Verdana"/>
          <w:i/>
          <w:sz w:val="18"/>
        </w:rPr>
        <w:t>del</w:t>
      </w:r>
      <w:r>
        <w:rPr>
          <w:rFonts w:ascii="Verdana" w:hAnsi="Verdana"/>
          <w:i/>
          <w:spacing w:val="-4"/>
          <w:sz w:val="18"/>
        </w:rPr>
        <w:t> </w:t>
      </w:r>
      <w:r>
        <w:rPr>
          <w:rFonts w:ascii="Verdana" w:hAnsi="Verdana"/>
          <w:i/>
          <w:sz w:val="18"/>
        </w:rPr>
        <w:t>Poder</w:t>
      </w:r>
      <w:r>
        <w:rPr>
          <w:rFonts w:ascii="Verdana" w:hAnsi="Verdana"/>
          <w:i/>
          <w:spacing w:val="-4"/>
          <w:sz w:val="18"/>
        </w:rPr>
        <w:t> </w:t>
      </w:r>
      <w:r>
        <w:rPr>
          <w:rFonts w:ascii="Verdana" w:hAnsi="Verdana"/>
          <w:i/>
          <w:sz w:val="18"/>
        </w:rPr>
        <w:t>Público</w:t>
      </w:r>
    </w:p>
    <w:p>
      <w:pPr>
        <w:spacing w:line="230" w:lineRule="auto" w:before="0"/>
        <w:ind w:left="4446" w:right="1914" w:hanging="2511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Juzgado Treinta y Uno de Pequeñas Causas y Competencia Múltiple</w:t>
      </w:r>
      <w:r>
        <w:rPr>
          <w:rFonts w:ascii="Verdana" w:hAnsi="Verdana"/>
          <w:i/>
          <w:spacing w:val="-61"/>
          <w:sz w:val="18"/>
        </w:rPr>
        <w:t> </w:t>
      </w:r>
      <w:r>
        <w:rPr>
          <w:rFonts w:ascii="Verdana" w:hAnsi="Verdana"/>
          <w:i/>
          <w:sz w:val="18"/>
        </w:rPr>
        <w:t>Bogotá D.C.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Title"/>
      </w:pPr>
      <w:r>
        <w:rPr/>
        <w:t>INGRESO</w:t>
      </w:r>
      <w:r>
        <w:rPr>
          <w:spacing w:val="-12"/>
        </w:rPr>
        <w:t> </w:t>
      </w:r>
      <w:r>
        <w:rPr/>
        <w:t>USUARIOS</w:t>
      </w:r>
      <w:r>
        <w:rPr>
          <w:spacing w:val="-11"/>
        </w:rPr>
        <w:t> </w:t>
      </w:r>
      <w:r>
        <w:rPr/>
        <w:t>INSTALACIONES</w:t>
      </w:r>
      <w:r>
        <w:rPr>
          <w:spacing w:val="-11"/>
        </w:rPr>
        <w:t> </w:t>
      </w:r>
      <w:r>
        <w:rPr/>
        <w:t>DEL</w:t>
      </w:r>
      <w:r>
        <w:rPr>
          <w:spacing w:val="-16"/>
        </w:rPr>
        <w:t> </w:t>
      </w:r>
      <w:r>
        <w:rPr/>
        <w:t>JUZGADO</w:t>
      </w:r>
    </w:p>
    <w:p>
      <w:pPr>
        <w:pStyle w:val="BodyText"/>
        <w:rPr>
          <w:b/>
          <w:i w:val="0"/>
          <w:sz w:val="30"/>
        </w:rPr>
      </w:pPr>
    </w:p>
    <w:p>
      <w:pPr>
        <w:pStyle w:val="BodyText"/>
        <w:spacing w:before="10"/>
        <w:rPr>
          <w:b/>
          <w:i w:val="0"/>
          <w:sz w:val="35"/>
        </w:rPr>
      </w:pPr>
    </w:p>
    <w:p>
      <w:pPr>
        <w:spacing w:line="379" w:lineRule="auto" w:before="1"/>
        <w:ind w:left="101" w:right="99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Teniendo en cuenta lo dispuesto por el Acuerdo PCSJA21-11840 del 26 de</w:t>
      </w:r>
      <w:r>
        <w:rPr>
          <w:spacing w:val="1"/>
          <w:sz w:val="28"/>
        </w:rPr>
        <w:t> </w:t>
      </w:r>
      <w:r>
        <w:rPr>
          <w:sz w:val="28"/>
        </w:rPr>
        <w:t>agosto proferido por el Consejo Superior de la Judicatura, el usuario de la</w:t>
      </w:r>
      <w:r>
        <w:rPr>
          <w:spacing w:val="1"/>
          <w:sz w:val="28"/>
        </w:rPr>
        <w:t> </w:t>
      </w:r>
      <w:r>
        <w:rPr>
          <w:sz w:val="28"/>
        </w:rPr>
        <w:t>administración de la Justicia que acude al Juzgado 31 de Pequeñas Causas y</w:t>
      </w:r>
      <w:r>
        <w:rPr>
          <w:spacing w:val="1"/>
          <w:sz w:val="28"/>
        </w:rPr>
        <w:t> </w:t>
      </w:r>
      <w:r>
        <w:rPr>
          <w:sz w:val="28"/>
        </w:rPr>
        <w:t>Competencia</w:t>
      </w:r>
      <w:r>
        <w:rPr>
          <w:spacing w:val="40"/>
          <w:sz w:val="28"/>
        </w:rPr>
        <w:t> </w:t>
      </w:r>
      <w:r>
        <w:rPr>
          <w:sz w:val="28"/>
        </w:rPr>
        <w:t>Múltiple</w:t>
      </w:r>
      <w:r>
        <w:rPr>
          <w:spacing w:val="41"/>
          <w:sz w:val="28"/>
        </w:rPr>
        <w:t> </w:t>
      </w:r>
      <w:r>
        <w:rPr>
          <w:sz w:val="28"/>
        </w:rPr>
        <w:t>de</w:t>
      </w:r>
      <w:r>
        <w:rPr>
          <w:spacing w:val="40"/>
          <w:sz w:val="28"/>
        </w:rPr>
        <w:t> </w:t>
      </w:r>
      <w:r>
        <w:rPr>
          <w:sz w:val="28"/>
        </w:rPr>
        <w:t>Bogotá,</w:t>
      </w:r>
      <w:r>
        <w:rPr>
          <w:spacing w:val="41"/>
          <w:sz w:val="28"/>
        </w:rPr>
        <w:t> </w:t>
      </w:r>
      <w:r>
        <w:rPr>
          <w:sz w:val="28"/>
        </w:rPr>
        <w:t>pone</w:t>
      </w:r>
      <w:r>
        <w:rPr>
          <w:spacing w:val="40"/>
          <w:sz w:val="28"/>
        </w:rPr>
        <w:t> </w:t>
      </w:r>
      <w:r>
        <w:rPr>
          <w:sz w:val="28"/>
        </w:rPr>
        <w:t>de</w:t>
      </w:r>
      <w:r>
        <w:rPr>
          <w:spacing w:val="41"/>
          <w:sz w:val="28"/>
        </w:rPr>
        <w:t> </w:t>
      </w:r>
      <w:r>
        <w:rPr>
          <w:sz w:val="28"/>
        </w:rPr>
        <w:t>presente</w:t>
      </w:r>
      <w:r>
        <w:rPr>
          <w:spacing w:val="40"/>
          <w:sz w:val="28"/>
        </w:rPr>
        <w:t> </w:t>
      </w:r>
      <w:r>
        <w:rPr>
          <w:sz w:val="28"/>
        </w:rPr>
        <w:t>que</w:t>
      </w:r>
      <w:r>
        <w:rPr>
          <w:spacing w:val="25"/>
          <w:sz w:val="28"/>
        </w:rPr>
        <w:t> </w:t>
      </w:r>
      <w:r>
        <w:rPr>
          <w:rFonts w:ascii="Arial" w:hAnsi="Arial"/>
          <w:b/>
          <w:sz w:val="28"/>
          <w:u w:val="thick"/>
        </w:rPr>
        <w:t>no</w:t>
      </w:r>
      <w:r>
        <w:rPr>
          <w:rFonts w:ascii="Arial" w:hAnsi="Arial"/>
          <w:b/>
          <w:spacing w:val="26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tiene</w:t>
      </w:r>
      <w:r>
        <w:rPr>
          <w:rFonts w:ascii="Arial" w:hAnsi="Arial"/>
          <w:b/>
          <w:spacing w:val="25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acceso</w:t>
      </w:r>
      <w:r>
        <w:rPr>
          <w:rFonts w:ascii="Arial" w:hAnsi="Arial"/>
          <w:b/>
          <w:spacing w:val="25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a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  <w:u w:val="thick"/>
        </w:rPr>
        <w:t>los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medios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tecnológicos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y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canales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atención</w:t>
      </w:r>
      <w:r>
        <w:rPr>
          <w:rFonts w:ascii="Arial" w:hAnsi="Arial"/>
          <w:b/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revisar</w:t>
      </w:r>
      <w:r>
        <w:rPr>
          <w:spacing w:val="78"/>
          <w:sz w:val="28"/>
        </w:rPr>
        <w:t> </w:t>
      </w:r>
      <w:r>
        <w:rPr>
          <w:sz w:val="28"/>
        </w:rPr>
        <w:t>los</w:t>
      </w:r>
      <w:r>
        <w:rPr>
          <w:spacing w:val="1"/>
          <w:sz w:val="28"/>
        </w:rPr>
        <w:t> </w:t>
      </w:r>
      <w:r>
        <w:rPr>
          <w:sz w:val="28"/>
        </w:rPr>
        <w:t>expedientes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forma</w:t>
      </w:r>
      <w:r>
        <w:rPr>
          <w:spacing w:val="1"/>
          <w:sz w:val="28"/>
        </w:rPr>
        <w:t> </w:t>
      </w:r>
      <w:r>
        <w:rPr>
          <w:sz w:val="28"/>
        </w:rPr>
        <w:t>virtual</w:t>
      </w:r>
      <w:r>
        <w:rPr>
          <w:spacing w:val="1"/>
          <w:sz w:val="28"/>
        </w:rPr>
        <w:t> </w:t>
      </w:r>
      <w:r>
        <w:rPr>
          <w:sz w:val="28"/>
        </w:rPr>
        <w:t>y/o</w:t>
      </w:r>
      <w:r>
        <w:rPr>
          <w:spacing w:val="1"/>
          <w:sz w:val="28"/>
        </w:rPr>
        <w:t> </w:t>
      </w:r>
      <w:r>
        <w:rPr>
          <w:rFonts w:ascii="Arial" w:hAnsi="Arial"/>
          <w:b/>
          <w:sz w:val="28"/>
          <w:u w:val="thick"/>
        </w:rPr>
        <w:t>considera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indispensable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acceder</w:t>
      </w:r>
      <w:r>
        <w:rPr>
          <w:rFonts w:ascii="Arial" w:hAnsi="Arial"/>
          <w:b/>
          <w:spacing w:val="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  <w:u w:val="thick"/>
        </w:rPr>
        <w:t>expediente</w:t>
      </w:r>
      <w:r>
        <w:rPr>
          <w:rFonts w:ascii="Arial" w:hAnsi="Arial"/>
          <w:b/>
          <w:spacing w:val="-2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forma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física.</w:t>
      </w:r>
    </w:p>
    <w:p>
      <w:pPr>
        <w:pStyle w:val="BodyText"/>
        <w:rPr>
          <w:b/>
          <w:i w:val="0"/>
          <w:sz w:val="30"/>
        </w:rPr>
      </w:pPr>
    </w:p>
    <w:p>
      <w:pPr>
        <w:pStyle w:val="BodyText"/>
        <w:spacing w:before="8"/>
        <w:rPr>
          <w:b/>
          <w:i w:val="0"/>
          <w:sz w:val="26"/>
        </w:rPr>
      </w:pPr>
    </w:p>
    <w:p>
      <w:pPr>
        <w:pStyle w:val="BodyText"/>
        <w:spacing w:line="271" w:lineRule="auto"/>
        <w:ind w:left="101" w:right="99"/>
        <w:jc w:val="both"/>
      </w:pPr>
      <w:r>
        <w:rPr>
          <w:b/>
          <w:u w:val="thick"/>
        </w:rPr>
        <w:t>NOTA:</w:t>
      </w:r>
      <w:r>
        <w:rPr>
          <w:b/>
        </w:rPr>
        <w:t> </w:t>
      </w:r>
      <w:r>
        <w:rPr/>
        <w:t>Se hace la expresa constancia de la situación descrita, en consideración a que el Juzgado</w:t>
      </w:r>
      <w:r>
        <w:rPr>
          <w:spacing w:val="1"/>
        </w:rPr>
        <w:t> </w:t>
      </w:r>
      <w:r>
        <w:rPr/>
        <w:t>consolida la estadística de personas que acuden a la sede física a efectos de facilitar eventuales</w:t>
      </w:r>
      <w:r>
        <w:rPr>
          <w:spacing w:val="1"/>
        </w:rPr>
        <w:t> </w:t>
      </w:r>
      <w:r>
        <w:rPr/>
        <w:t>cercos epidemiológicos, así como de informar a la DESAJ Bogotá Cundinamarca, el número de</w:t>
      </w:r>
      <w:r>
        <w:rPr>
          <w:spacing w:val="1"/>
        </w:rPr>
        <w:t> </w:t>
      </w:r>
      <w:r>
        <w:rPr/>
        <w:t>usuarios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asisten</w:t>
      </w:r>
      <w:r>
        <w:rPr>
          <w:spacing w:val="-2"/>
        </w:rPr>
        <w:t> </w:t>
      </w:r>
      <w:r>
        <w:rPr/>
        <w:t>periódicamente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Estrado.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spacing w:before="0"/>
        <w:ind w:left="101" w:right="0" w:firstLine="0"/>
        <w:jc w:val="left"/>
        <w:rPr>
          <w:sz w:val="28"/>
        </w:rPr>
      </w:pPr>
      <w:r>
        <w:rPr>
          <w:sz w:val="28"/>
        </w:rPr>
        <w:t>En</w:t>
      </w:r>
      <w:r>
        <w:rPr>
          <w:spacing w:val="-6"/>
          <w:sz w:val="28"/>
        </w:rPr>
        <w:t> </w:t>
      </w:r>
      <w:r>
        <w:rPr>
          <w:sz w:val="28"/>
        </w:rPr>
        <w:t>constancia</w:t>
      </w:r>
      <w:r>
        <w:rPr>
          <w:spacing w:val="-5"/>
          <w:sz w:val="28"/>
        </w:rPr>
        <w:t> </w:t>
      </w:r>
      <w:r>
        <w:rPr>
          <w:sz w:val="28"/>
        </w:rPr>
        <w:t>los</w:t>
      </w:r>
      <w:r>
        <w:rPr>
          <w:spacing w:val="-6"/>
          <w:sz w:val="28"/>
        </w:rPr>
        <w:t> </w:t>
      </w:r>
      <w:r>
        <w:rPr>
          <w:sz w:val="28"/>
        </w:rPr>
        <w:t>datos</w:t>
      </w:r>
      <w:r>
        <w:rPr>
          <w:spacing w:val="-6"/>
          <w:sz w:val="28"/>
        </w:rPr>
        <w:t> </w:t>
      </w:r>
      <w:r>
        <w:rPr>
          <w:sz w:val="28"/>
        </w:rPr>
        <w:t>requeridos</w:t>
      </w:r>
      <w:r>
        <w:rPr>
          <w:spacing w:val="-5"/>
          <w:sz w:val="28"/>
        </w:rPr>
        <w:t> </w:t>
      </w:r>
      <w:r>
        <w:rPr>
          <w:sz w:val="28"/>
        </w:rPr>
        <w:t>son:</w:t>
      </w:r>
    </w:p>
    <w:p>
      <w:pPr>
        <w:spacing w:line="240" w:lineRule="auto" w:before="1"/>
        <w:rPr>
          <w:sz w:val="28"/>
        </w:rPr>
      </w:pPr>
    </w:p>
    <w:p>
      <w:pPr>
        <w:spacing w:before="0"/>
        <w:ind w:left="101" w:right="0" w:firstLine="0"/>
        <w:jc w:val="left"/>
        <w:rPr>
          <w:sz w:val="28"/>
        </w:rPr>
      </w:pPr>
      <w:r>
        <w:rPr>
          <w:sz w:val="28"/>
        </w:rPr>
        <w:t>Nombre:</w:t>
      </w:r>
    </w:p>
    <w:p>
      <w:pPr>
        <w:spacing w:before="38"/>
        <w:ind w:left="101" w:right="0" w:firstLine="0"/>
        <w:jc w:val="left"/>
        <w:rPr>
          <w:sz w:val="28"/>
        </w:rPr>
      </w:pPr>
      <w:r>
        <w:rPr>
          <w:sz w:val="28"/>
        </w:rPr>
        <w:t>CC:</w:t>
      </w:r>
    </w:p>
    <w:p>
      <w:pPr>
        <w:spacing w:before="38"/>
        <w:ind w:left="101" w:right="0" w:firstLine="0"/>
        <w:jc w:val="left"/>
        <w:rPr>
          <w:sz w:val="28"/>
        </w:rPr>
      </w:pPr>
      <w:r>
        <w:rPr>
          <w:sz w:val="28"/>
        </w:rPr>
        <w:t>Correo</w:t>
      </w:r>
      <w:r>
        <w:rPr>
          <w:spacing w:val="-9"/>
          <w:sz w:val="28"/>
        </w:rPr>
        <w:t> </w:t>
      </w:r>
      <w:r>
        <w:rPr>
          <w:sz w:val="28"/>
        </w:rPr>
        <w:t>electrónico:</w:t>
      </w:r>
    </w:p>
    <w:p>
      <w:pPr>
        <w:spacing w:before="38"/>
        <w:ind w:left="101" w:right="0" w:firstLine="0"/>
        <w:jc w:val="left"/>
        <w:rPr>
          <w:sz w:val="28"/>
        </w:rPr>
      </w:pPr>
      <w:r>
        <w:rPr>
          <w:sz w:val="28"/>
        </w:rPr>
        <w:t>Teléfono</w:t>
      </w:r>
      <w:r>
        <w:rPr>
          <w:spacing w:val="-16"/>
          <w:sz w:val="28"/>
        </w:rPr>
        <w:t> </w:t>
      </w:r>
      <w:r>
        <w:rPr>
          <w:sz w:val="28"/>
        </w:rPr>
        <w:t>de</w:t>
      </w:r>
      <w:r>
        <w:rPr>
          <w:spacing w:val="-16"/>
          <w:sz w:val="28"/>
        </w:rPr>
        <w:t> </w:t>
      </w:r>
      <w:r>
        <w:rPr>
          <w:sz w:val="28"/>
        </w:rPr>
        <w:t>contacto:</w:t>
      </w:r>
    </w:p>
    <w:p>
      <w:pPr>
        <w:spacing w:before="38"/>
        <w:ind w:left="101" w:right="0" w:firstLine="0"/>
        <w:jc w:val="left"/>
        <w:rPr>
          <w:sz w:val="28"/>
        </w:rPr>
      </w:pPr>
      <w:r>
        <w:rPr>
          <w:sz w:val="28"/>
        </w:rPr>
        <w:t>Expediente(s)</w:t>
      </w:r>
      <w:r>
        <w:rPr>
          <w:spacing w:val="-12"/>
          <w:sz w:val="28"/>
        </w:rPr>
        <w:t> </w:t>
      </w:r>
      <w:r>
        <w:rPr>
          <w:sz w:val="28"/>
        </w:rPr>
        <w:t>revisado(s):</w:t>
      </w:r>
    </w:p>
    <w:p>
      <w:pPr>
        <w:spacing w:before="38"/>
        <w:ind w:left="101" w:right="0" w:firstLine="0"/>
        <w:jc w:val="left"/>
        <w:rPr>
          <w:sz w:val="28"/>
        </w:rPr>
      </w:pPr>
      <w:r>
        <w:rPr>
          <w:sz w:val="28"/>
        </w:rPr>
        <w:t>Firma:</w:t>
      </w:r>
    </w:p>
    <w:p>
      <w:pPr>
        <w:spacing w:line="240" w:lineRule="auto" w:before="7"/>
        <w:rPr>
          <w:sz w:val="34"/>
        </w:rPr>
      </w:pPr>
    </w:p>
    <w:p>
      <w:pPr>
        <w:spacing w:line="268" w:lineRule="auto" w:before="0"/>
        <w:ind w:left="101" w:right="107" w:firstLine="0"/>
        <w:jc w:val="both"/>
        <w:rPr>
          <w:sz w:val="28"/>
        </w:rPr>
      </w:pPr>
      <w:r>
        <w:rPr>
          <w:sz w:val="28"/>
        </w:rPr>
        <w:t>La información suministrada será administrada por el Juzgado en acatamiento</w:t>
      </w:r>
      <w:r>
        <w:rPr>
          <w:spacing w:val="-75"/>
          <w:sz w:val="28"/>
        </w:rPr>
        <w:t> </w:t>
      </w:r>
      <w:r>
        <w:rPr>
          <w:sz w:val="28"/>
        </w:rPr>
        <w:t>estricto de las disposiciones contenidas en la Ley 1581 de 2012 que alude a la</w:t>
      </w:r>
      <w:r>
        <w:rPr>
          <w:spacing w:val="-75"/>
          <w:sz w:val="28"/>
        </w:rPr>
        <w:t> </w:t>
      </w:r>
      <w:r>
        <w:rPr>
          <w:sz w:val="28"/>
        </w:rPr>
        <w:t>protección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datos.</w:t>
      </w:r>
    </w:p>
    <w:p>
      <w:pPr>
        <w:spacing w:line="240" w:lineRule="auto" w:before="5"/>
        <w:rPr>
          <w:sz w:val="24"/>
        </w:rPr>
      </w:pPr>
    </w:p>
    <w:p>
      <w:pPr>
        <w:spacing w:line="278" w:lineRule="auto" w:before="0"/>
        <w:ind w:left="101" w:right="5716" w:firstLine="0"/>
        <w:jc w:val="left"/>
        <w:rPr>
          <w:sz w:val="18"/>
        </w:rPr>
      </w:pPr>
      <w:r>
        <w:rPr>
          <w:sz w:val="18"/>
        </w:rPr>
        <w:t>Elaboró: Sandra Milena Pinzón Naranjo - Secretaria</w:t>
      </w:r>
      <w:r>
        <w:rPr>
          <w:spacing w:val="-48"/>
          <w:sz w:val="18"/>
        </w:rPr>
        <w:t> </w:t>
      </w:r>
      <w:r>
        <w:rPr>
          <w:sz w:val="18"/>
        </w:rPr>
        <w:t>Aprobó: Juan Fernando Barrera Peñaranda - Juez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3"/>
        </w:rPr>
      </w:pPr>
    </w:p>
    <w:p>
      <w:pPr>
        <w:spacing w:line="242" w:lineRule="auto" w:before="0"/>
        <w:ind w:left="2964" w:right="295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Casa de Justicia Localidad San Cristóbal – Sur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Diagonal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31C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SUR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3-67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Este.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Tel.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2060614.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</w:rPr>
        <w:t>E-mail</w:t>
      </w:r>
      <w:r>
        <w:rPr>
          <w:rFonts w:ascii="Arial" w:hAnsi="Arial"/>
          <w:b/>
          <w:spacing w:val="9"/>
          <w:sz w:val="18"/>
        </w:rPr>
        <w:t> </w:t>
      </w:r>
      <w:hyperlink r:id="rId6">
        <w:r>
          <w:rPr>
            <w:rFonts w:ascii="Arial" w:hAnsi="Arial"/>
            <w:b/>
            <w:color w:val="0462C1"/>
            <w:spacing w:val="-1"/>
            <w:sz w:val="18"/>
            <w:u w:val="thick" w:color="0462C1"/>
          </w:rPr>
          <w:t>j31pccmbta@cendoj.ramajudicial.gov.co</w:t>
        </w:r>
      </w:hyperlink>
      <w:r>
        <w:rPr>
          <w:rFonts w:ascii="Arial" w:hAnsi="Arial"/>
          <w:b/>
          <w:color w:val="0462C1"/>
          <w:spacing w:val="-47"/>
          <w:sz w:val="18"/>
        </w:rPr>
        <w:t> </w:t>
      </w:r>
      <w:r>
        <w:rPr>
          <w:rFonts w:ascii="Arial" w:hAnsi="Arial"/>
          <w:b/>
          <w:sz w:val="18"/>
        </w:rPr>
        <w:t>Bogotá D.C.</w:t>
      </w:r>
    </w:p>
    <w:sectPr>
      <w:type w:val="continuous"/>
      <w:pgSz w:w="12240" w:h="20160"/>
      <w:pgMar w:top="740" w:bottom="280" w:left="1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346" w:right="1347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31pccmbta@cendoj.ramajudicial.gov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PRESENCIALIDAD USUARIOS</dc:title>
  <dcterms:created xsi:type="dcterms:W3CDTF">2021-09-02T00:20:47Z</dcterms:created>
  <dcterms:modified xsi:type="dcterms:W3CDTF">2021-09-02T00:20:47Z</dcterms:modified>
</cp:coreProperties>
</file>