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sz w:val="28"/>
          <w:szCs w:val="28"/>
        </w:rPr>
        <w:drawing xmlns:a="http://schemas.openxmlformats.org/drawingml/2006/main">
          <wp:inline distT="0" distB="0" distL="0" distR="0">
            <wp:extent cx="800100" cy="876300"/>
            <wp:effectExtent l="0" t="0" r="0" b="0"/>
            <wp:docPr id="1073741825" name="officeArt object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scudo" descr="escud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SECRETARIA DE LA SALA PENAL TRIBUNAL SUPERIOR DISTRITO JUDICIAL MANIZALES</w:t>
      </w:r>
    </w:p>
    <w:p>
      <w:pPr>
        <w:pStyle w:val="Cuerpo"/>
        <w:jc w:val="center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ESTADO NOTIFICATORIO No. 01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5</w:t>
      </w:r>
    </w:p>
    <w:p>
      <w:pPr>
        <w:pStyle w:val="Cuerpo"/>
        <w:jc w:val="center"/>
        <w:rPr>
          <w:rStyle w:val="Ninguno"/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6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octubre de 2020</w:t>
      </w:r>
    </w:p>
    <w:p>
      <w:pPr>
        <w:pStyle w:val="heading 1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</w:pPr>
    </w:p>
    <w:p>
      <w:pPr>
        <w:pStyle w:val="Cuerpo"/>
        <w:tabs>
          <w:tab w:val="left" w:pos="672"/>
        </w:tabs>
        <w:spacing w:line="276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En cumplimiento a lo establecido por el 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culo 295 del 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digo General del Proceso, se notifica a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Arial" w:hAnsi="Arial"/>
          <w:sz w:val="24"/>
          <w:szCs w:val="24"/>
          <w:rtl w:val="0"/>
        </w:rPr>
        <w:t>l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Arial" w:hAnsi="Arial"/>
          <w:sz w:val="24"/>
          <w:szCs w:val="24"/>
          <w:rtl w:val="0"/>
        </w:rPr>
        <w:t xml:space="preserve"> se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</w:rPr>
        <w:t>or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Arial" w:hAnsi="Arial"/>
          <w:sz w:val="24"/>
          <w:szCs w:val="24"/>
          <w:rtl w:val="0"/>
        </w:rPr>
        <w:t xml:space="preserve">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MARINA PEDROZA HERN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NDEZ,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el auto de fecha veintitr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(23) de septiembre de los corrientes, por medio del cual se orden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su vinculaci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la acci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n de tutela radicada 2020-002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20</w:t>
      </w:r>
      <w:r>
        <w:rPr>
          <w:rStyle w:val="Ninguno"/>
          <w:rFonts w:ascii="Arial" w:hAnsi="Arial"/>
          <w:sz w:val="24"/>
          <w:szCs w:val="24"/>
          <w:rtl w:val="0"/>
        </w:rPr>
        <w:t>-00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, como parte en el proceso penal radicado </w:t>
      </w:r>
      <w:r>
        <w:rPr>
          <w:rStyle w:val="Ninguno"/>
          <w:rFonts w:ascii="Arial" w:hAnsi="Arial"/>
          <w:sz w:val="24"/>
          <w:szCs w:val="24"/>
          <w:rtl w:val="0"/>
        </w:rPr>
        <w:t>2017 80362 00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. En dicho prove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do se dispuso: </w:t>
      </w:r>
    </w:p>
    <w:p>
      <w:pPr>
        <w:pStyle w:val="Cuerpo"/>
        <w:tabs>
          <w:tab w:val="left" w:pos="672"/>
        </w:tabs>
        <w:spacing w:line="276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tabs>
          <w:tab w:val="left" w:pos="672"/>
        </w:tabs>
        <w:spacing w:line="276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“…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se ordena vincular al Juzgado Penal del Circuito de La Dorada, asi</w:t>
      </w:r>
      <w:r>
        <w:rPr>
          <w:rStyle w:val="Ninguno"/>
          <w:rFonts w:ascii="Arial" w:hAnsi="Arial" w:hint="default"/>
          <w:sz w:val="24"/>
          <w:szCs w:val="24"/>
          <w:rtl w:val="0"/>
        </w:rPr>
        <w:t xml:space="preserve">́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como las partes e intervinientes del proceso penal radicado 2017 80362 00, el procesado Ronal Humberto Hurtado Leo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el Defensor Juan Pablo Botero Echeverry, las vi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ctimas Osmar Herrera Trejos y Marina Pedroza Herna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ndez (occisa Mari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Camila Herrera Pedroza), el Apoderado de las Victimas Dr. Guillermo Segura Marti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nez, al Ministerio Pu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blico Dr. Mario Fernando Noren</w:t>
      </w:r>
      <w:r>
        <w:rPr>
          <w:rStyle w:val="Ninguno"/>
          <w:rFonts w:ascii="Arial" w:hAnsi="Arial" w:hint="default"/>
          <w:sz w:val="24"/>
          <w:szCs w:val="24"/>
          <w:rtl w:val="0"/>
        </w:rPr>
        <w:t>̃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Chica, motivo por el cual, en el te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</w:rPr>
        <w:t>rmino de un (1) di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a informe allegara</w:t>
      </w:r>
      <w:r>
        <w:rPr>
          <w:rStyle w:val="Ninguno"/>
          <w:rFonts w:ascii="Arial" w:hAnsi="Arial" w:hint="default"/>
          <w:sz w:val="24"/>
          <w:szCs w:val="24"/>
          <w:rtl w:val="0"/>
        </w:rPr>
        <w:t xml:space="preserve">́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los datos de ubicacio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los citados sujetos procesales.En consecuencia, notifi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quese la admisio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la presente demanda, para que en un te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rmino de dos (2) di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as, si a bien lo tienen, se pronuncien con relacio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a los hechos y pretensiones de la misma, de la cual se le corre traslado para que ejerzan sus derechos de defensa y de contradiccio</w:t>
      </w:r>
      <w:r>
        <w:rPr>
          <w:rStyle w:val="Ninguno"/>
          <w:rFonts w:ascii="Arial" w:hAnsi="Arial" w:hint="default"/>
          <w:sz w:val="24"/>
          <w:szCs w:val="24"/>
          <w:rtl w:val="0"/>
        </w:rPr>
        <w:t>́</w:t>
      </w:r>
      <w:r>
        <w:rPr>
          <w:rStyle w:val="Ninguno"/>
          <w:rFonts w:ascii="Arial" w:hAnsi="Arial"/>
          <w:sz w:val="24"/>
          <w:szCs w:val="24"/>
          <w:rtl w:val="0"/>
        </w:rPr>
        <w:t>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…”</w:t>
      </w:r>
    </w:p>
    <w:p>
      <w:pPr>
        <w:pStyle w:val="Cuerpo"/>
        <w:tabs>
          <w:tab w:val="left" w:pos="672"/>
        </w:tabs>
        <w:spacing w:line="276" w:lineRule="auto"/>
        <w:jc w:val="both"/>
        <w:rPr>
          <w:rStyle w:val="Ninguno"/>
        </w:rPr>
      </w:pPr>
    </w:p>
    <w:p>
      <w:pPr>
        <w:pStyle w:val="Cuerpo"/>
        <w:spacing w:line="360" w:lineRule="auto"/>
        <w:jc w:val="both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fija en lugar p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blico de la Secretar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(p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gina web de la rama judicial) el 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seis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6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) de octubre de dos mil veinte (2020) a las ocho (8:00) de la ma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Cuerpo"/>
        <w:tabs>
          <w:tab w:val="left" w:pos="1780"/>
        </w:tabs>
        <w:jc w:val="both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tabs>
          <w:tab w:val="left" w:pos="1780"/>
        </w:tabs>
        <w:jc w:val="both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tabs>
          <w:tab w:val="left" w:pos="1780"/>
        </w:tabs>
        <w:jc w:val="center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cs="Arial" w:hAnsi="Arial" w:eastAsia="Arial"/>
          <w:sz w:val="22"/>
          <w:szCs w:val="22"/>
        </w:rPr>
        <w:drawing xmlns:a="http://schemas.openxmlformats.org/drawingml/2006/main">
          <wp:inline distT="0" distB="0" distL="0" distR="0">
            <wp:extent cx="1276132" cy="519665"/>
            <wp:effectExtent l="0" t="0" r="0" b="0"/>
            <wp:docPr id="1073741826" name="officeArt object" descr="WhatsApp Image 2020-05-20 at 10.36.04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hatsApp Image 2020-05-20 at 10.36.04 PM.jpeg" descr="WhatsApp Image 2020-05-20 at 10.36.04 PM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32" cy="519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tabs>
          <w:tab w:val="left" w:pos="1780"/>
        </w:tabs>
        <w:jc w:val="both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tabs>
          <w:tab w:val="left" w:pos="1780"/>
        </w:tabs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Valentina R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 Gonz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lez</w:t>
      </w:r>
    </w:p>
    <w:p>
      <w:pPr>
        <w:pStyle w:val="Cuerpo"/>
        <w:tabs>
          <w:tab w:val="left" w:pos="1780"/>
        </w:tabs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Secretaria</w:t>
      </w:r>
    </w:p>
    <w:p>
      <w:pPr>
        <w:pStyle w:val="Cuerpo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"/>
        <w:spacing w:line="360" w:lineRule="auto"/>
        <w:jc w:val="both"/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desfija en lugar p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blico de la Secretar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(p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gina web de la rama judicial) el 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seis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6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) de octubre de dos mil veinte (2020) a las cinco (5:00) de la tarde.</w:t>
      </w:r>
    </w:p>
    <w:p>
      <w:pPr>
        <w:pStyle w:val="Cuerpo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"/>
        <w:jc w:val="center"/>
        <w:rPr>
          <w:rStyle w:val="Ninguno"/>
          <w:b w:val="1"/>
          <w:bCs w:val="1"/>
          <w:sz w:val="28"/>
          <w:szCs w:val="28"/>
        </w:rPr>
      </w:pPr>
      <w:r>
        <w:rPr>
          <w:rStyle w:val="Ninguno"/>
          <w:rFonts w:ascii="Arial" w:cs="Arial" w:hAnsi="Arial" w:eastAsia="Arial"/>
          <w:sz w:val="22"/>
          <w:szCs w:val="22"/>
        </w:rPr>
        <w:drawing xmlns:a="http://schemas.openxmlformats.org/drawingml/2006/main">
          <wp:inline distT="0" distB="0" distL="0" distR="0">
            <wp:extent cx="1276132" cy="519665"/>
            <wp:effectExtent l="0" t="0" r="0" b="0"/>
            <wp:docPr id="1073741827" name="officeArt object" descr="WhatsApp Image 2020-05-20 at 10.36.04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hatsApp Image 2020-05-20 at 10.36.04 PM.jpeg" descr="WhatsApp Image 2020-05-20 at 10.36.04 PM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32" cy="519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"/>
        <w:tabs>
          <w:tab w:val="left" w:pos="1780"/>
        </w:tabs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Valentina R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 Gonz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lez</w:t>
      </w:r>
    </w:p>
    <w:p>
      <w:pPr>
        <w:pStyle w:val="Cuerpo"/>
        <w:tabs>
          <w:tab w:val="left" w:pos="1780"/>
        </w:tabs>
        <w:jc w:val="center"/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Secretaria</w:t>
      </w:r>
    </w:p>
    <w:sectPr>
      <w:headerReference w:type="default" r:id="rId6"/>
      <w:footerReference w:type="default" r:id="rId7"/>
      <w:pgSz w:w="12240" w:h="1872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School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heading 1">
    <w:name w:val="heading 1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Century Schoolbook" w:cs="Century Schoolbook" w:hAnsi="Century Schoolbook" w:eastAsia="Century Schoolbook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