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A4" w:rsidRPr="00E549B9" w:rsidRDefault="00F75DA4" w:rsidP="00F75DA4">
      <w:pPr>
        <w:pStyle w:val="Encabezado"/>
        <w:jc w:val="right"/>
        <w:rPr>
          <w:rFonts w:ascii="Arial" w:hAnsi="Arial" w:cs="Arial"/>
          <w:b/>
          <w:sz w:val="36"/>
          <w:szCs w:val="36"/>
        </w:rPr>
      </w:pPr>
      <w:r w:rsidRPr="00E549B9">
        <w:rPr>
          <w:rFonts w:ascii="Arial" w:hAnsi="Arial" w:cs="Arial"/>
          <w:b/>
          <w:sz w:val="36"/>
          <w:szCs w:val="36"/>
        </w:rPr>
        <w:t xml:space="preserve">OBSERVATORIO DE DELITOS SEXUALES </w:t>
      </w:r>
    </w:p>
    <w:p w:rsidR="00F75DA4" w:rsidRPr="00E549B9" w:rsidRDefault="00F75DA4" w:rsidP="00F75DA4">
      <w:pPr>
        <w:pStyle w:val="Encabezado"/>
        <w:jc w:val="right"/>
        <w:rPr>
          <w:rFonts w:ascii="Arial" w:hAnsi="Arial" w:cs="Arial"/>
          <w:b/>
          <w:sz w:val="36"/>
          <w:szCs w:val="36"/>
        </w:rPr>
      </w:pPr>
      <w:r w:rsidRPr="00E549B9">
        <w:rPr>
          <w:rFonts w:ascii="Arial" w:hAnsi="Arial" w:cs="Arial"/>
          <w:b/>
          <w:sz w:val="36"/>
          <w:szCs w:val="36"/>
        </w:rPr>
        <w:t>CONTRA NIÑOS, NIÑAS Y ADOLESCENTES</w:t>
      </w:r>
    </w:p>
    <w:p w:rsidR="00F75DA4" w:rsidRPr="00AD791C" w:rsidRDefault="00F75DA4" w:rsidP="00F75DA4">
      <w:pPr>
        <w:pStyle w:val="Encabezado"/>
        <w:pBdr>
          <w:top w:val="single" w:sz="4" w:space="1" w:color="auto"/>
        </w:pBdr>
        <w:jc w:val="right"/>
        <w:rPr>
          <w:rFonts w:ascii="Arial" w:hAnsi="Arial" w:cs="Arial"/>
          <w:b/>
          <w:sz w:val="48"/>
          <w:szCs w:val="48"/>
        </w:rPr>
      </w:pPr>
      <w:r w:rsidRPr="00AD791C">
        <w:rPr>
          <w:rFonts w:ascii="Arial" w:hAnsi="Arial" w:cs="Arial"/>
          <w:b/>
          <w:sz w:val="48"/>
          <w:szCs w:val="48"/>
        </w:rPr>
        <w:t xml:space="preserve"> </w:t>
      </w:r>
    </w:p>
    <w:p w:rsidR="00F75DA4" w:rsidRPr="00AD791C" w:rsidRDefault="00F75DA4" w:rsidP="00E549B9">
      <w:pPr>
        <w:pStyle w:val="Encabezado"/>
        <w:jc w:val="both"/>
        <w:rPr>
          <w:rFonts w:ascii="Arial" w:hAnsi="Arial" w:cs="Arial"/>
          <w:b/>
        </w:rPr>
      </w:pPr>
      <w:r w:rsidRPr="00AD791C">
        <w:rPr>
          <w:rFonts w:ascii="Arial" w:hAnsi="Arial" w:cs="Arial"/>
          <w:b/>
        </w:rPr>
        <w:t>INDICE NORMATIVO</w:t>
      </w:r>
    </w:p>
    <w:p w:rsidR="00F75DA4" w:rsidRPr="00AD791C" w:rsidRDefault="00F75DA4" w:rsidP="00E549B9">
      <w:pPr>
        <w:pStyle w:val="Encabezado"/>
        <w:jc w:val="both"/>
        <w:rPr>
          <w:rFonts w:ascii="Arial" w:hAnsi="Arial" w:cs="Arial"/>
          <w:b/>
        </w:rPr>
      </w:pPr>
    </w:p>
    <w:p w:rsidR="00AD791C" w:rsidRDefault="00F75DA4" w:rsidP="00E549B9">
      <w:pPr>
        <w:pStyle w:val="Encabezado"/>
        <w:numPr>
          <w:ilvl w:val="0"/>
          <w:numId w:val="1"/>
        </w:numPr>
        <w:jc w:val="both"/>
        <w:rPr>
          <w:rFonts w:ascii="Arial" w:hAnsi="Arial" w:cs="Arial"/>
          <w:b/>
        </w:rPr>
      </w:pPr>
      <w:r w:rsidRPr="00AD791C">
        <w:rPr>
          <w:rFonts w:ascii="Arial" w:hAnsi="Arial" w:cs="Arial"/>
          <w:b/>
        </w:rPr>
        <w:t xml:space="preserve">NORMAS SOBRE DELITOS SEXUALES CONTRA NIÑOS NIÑAS Y ADOLESCENTES </w:t>
      </w:r>
    </w:p>
    <w:p w:rsidR="00AD791C" w:rsidRDefault="00AD791C" w:rsidP="00E549B9">
      <w:pPr>
        <w:pStyle w:val="Encabezado"/>
        <w:ind w:left="720"/>
        <w:jc w:val="both"/>
        <w:rPr>
          <w:rFonts w:ascii="Arial" w:hAnsi="Arial" w:cs="Arial"/>
          <w:b/>
        </w:rPr>
      </w:pPr>
    </w:p>
    <w:p w:rsidR="005F33CC" w:rsidRPr="00AD791C" w:rsidRDefault="00F75DA4" w:rsidP="00E549B9">
      <w:pPr>
        <w:pStyle w:val="Encabezado"/>
        <w:numPr>
          <w:ilvl w:val="1"/>
          <w:numId w:val="4"/>
        </w:numPr>
        <w:jc w:val="both"/>
        <w:rPr>
          <w:rFonts w:ascii="Arial" w:hAnsi="Arial" w:cs="Arial"/>
          <w:b/>
        </w:rPr>
      </w:pPr>
      <w:r w:rsidRPr="00AD791C">
        <w:rPr>
          <w:rFonts w:ascii="Arial" w:hAnsi="Arial" w:cs="Arial"/>
          <w:b/>
        </w:rPr>
        <w:t xml:space="preserve">INSTRUMENTOS DE DERECHO INTERNACIONAL </w:t>
      </w:r>
    </w:p>
    <w:p w:rsidR="004E25DD" w:rsidRPr="00AD791C" w:rsidRDefault="004E25DD" w:rsidP="00E549B9">
      <w:pPr>
        <w:pStyle w:val="Encabezado"/>
        <w:ind w:left="720"/>
        <w:jc w:val="both"/>
        <w:rPr>
          <w:rFonts w:ascii="Arial" w:hAnsi="Arial" w:cs="Arial"/>
          <w:b/>
        </w:rPr>
      </w:pP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 xml:space="preserve">Protocolo facultativo Convención derechos del niño </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 xml:space="preserve">Declaración Universal de los Derechos Humanos </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Estatuto de Roma de la Corte Penal Internacional CPI</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Declaración de los derechos del Niño.</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Convención sobre los derechos del Niño</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Convenio Trabajo Infantil</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 xml:space="preserve">Protocolo de prevención Trata  </w:t>
      </w:r>
    </w:p>
    <w:p w:rsidR="005F33CC" w:rsidRDefault="004E25DD" w:rsidP="00E549B9">
      <w:pPr>
        <w:pStyle w:val="Encabezado"/>
        <w:numPr>
          <w:ilvl w:val="2"/>
          <w:numId w:val="1"/>
        </w:numPr>
        <w:jc w:val="both"/>
        <w:rPr>
          <w:rFonts w:ascii="Arial" w:hAnsi="Arial" w:cs="Arial"/>
        </w:rPr>
      </w:pPr>
      <w:r w:rsidRPr="00AD791C">
        <w:rPr>
          <w:rFonts w:ascii="Arial" w:hAnsi="Arial" w:cs="Arial"/>
        </w:rPr>
        <w:t xml:space="preserve">Declaración de Ginebra </w:t>
      </w:r>
    </w:p>
    <w:p w:rsidR="00AD791C" w:rsidRDefault="00AD791C" w:rsidP="00E549B9">
      <w:pPr>
        <w:pStyle w:val="Encabezado"/>
        <w:ind w:left="1080"/>
        <w:jc w:val="both"/>
        <w:rPr>
          <w:rFonts w:ascii="Arial" w:hAnsi="Arial" w:cs="Arial"/>
        </w:rPr>
      </w:pPr>
    </w:p>
    <w:p w:rsidR="00AD791C" w:rsidRPr="00AD791C" w:rsidRDefault="00AD791C" w:rsidP="00E549B9">
      <w:pPr>
        <w:pStyle w:val="Encabezado"/>
        <w:ind w:left="1080"/>
        <w:jc w:val="both"/>
        <w:rPr>
          <w:rFonts w:ascii="Arial" w:hAnsi="Arial" w:cs="Arial"/>
        </w:rPr>
      </w:pPr>
    </w:p>
    <w:p w:rsidR="004E25DD" w:rsidRPr="00AD791C" w:rsidRDefault="004E25DD" w:rsidP="00E549B9">
      <w:pPr>
        <w:pStyle w:val="Encabezado"/>
        <w:ind w:left="1080"/>
        <w:jc w:val="both"/>
        <w:rPr>
          <w:rFonts w:ascii="Arial" w:hAnsi="Arial" w:cs="Arial"/>
          <w:b/>
        </w:rPr>
      </w:pPr>
    </w:p>
    <w:p w:rsidR="00CE7BC6" w:rsidRPr="00AD791C" w:rsidRDefault="007C1F90" w:rsidP="00E549B9">
      <w:pPr>
        <w:pStyle w:val="Encabezado"/>
        <w:numPr>
          <w:ilvl w:val="1"/>
          <w:numId w:val="4"/>
        </w:numPr>
        <w:jc w:val="both"/>
        <w:rPr>
          <w:rFonts w:ascii="Arial" w:hAnsi="Arial" w:cs="Arial"/>
          <w:b/>
        </w:rPr>
      </w:pPr>
      <w:r w:rsidRPr="00AD791C">
        <w:rPr>
          <w:rFonts w:ascii="Arial" w:hAnsi="Arial" w:cs="Arial"/>
          <w:b/>
        </w:rPr>
        <w:t xml:space="preserve"> NORMAS DE DERECHO NACIONAL</w:t>
      </w:r>
    </w:p>
    <w:p w:rsidR="004E25DD" w:rsidRPr="00AD791C" w:rsidRDefault="007C1F90" w:rsidP="00E549B9">
      <w:pPr>
        <w:pStyle w:val="Encabezado"/>
        <w:ind w:left="720"/>
        <w:jc w:val="both"/>
        <w:rPr>
          <w:rFonts w:ascii="Arial" w:hAnsi="Arial" w:cs="Arial"/>
          <w:b/>
        </w:rPr>
      </w:pPr>
      <w:r w:rsidRPr="00AD791C">
        <w:rPr>
          <w:rFonts w:ascii="Arial" w:hAnsi="Arial" w:cs="Arial"/>
          <w:b/>
        </w:rPr>
        <w:t xml:space="preserve"> </w:t>
      </w:r>
    </w:p>
    <w:p w:rsidR="007C1F90" w:rsidRPr="00AD791C" w:rsidRDefault="007C1F90" w:rsidP="00E549B9">
      <w:pPr>
        <w:pStyle w:val="Encabezado"/>
        <w:numPr>
          <w:ilvl w:val="2"/>
          <w:numId w:val="4"/>
        </w:numPr>
        <w:ind w:left="1428"/>
        <w:jc w:val="both"/>
        <w:rPr>
          <w:rFonts w:ascii="Arial" w:hAnsi="Arial" w:cs="Arial"/>
        </w:rPr>
      </w:pPr>
      <w:r w:rsidRPr="00AD791C">
        <w:rPr>
          <w:rFonts w:ascii="Arial" w:hAnsi="Arial" w:cs="Arial"/>
        </w:rPr>
        <w:t>Constitución Política de Colombia 1991</w:t>
      </w:r>
    </w:p>
    <w:p w:rsidR="007C1F90" w:rsidRPr="00AD791C" w:rsidRDefault="007C1F90" w:rsidP="00E549B9">
      <w:pPr>
        <w:pStyle w:val="Encabezado"/>
        <w:numPr>
          <w:ilvl w:val="2"/>
          <w:numId w:val="4"/>
        </w:numPr>
        <w:ind w:left="1428"/>
        <w:jc w:val="both"/>
        <w:rPr>
          <w:rFonts w:ascii="Arial" w:hAnsi="Arial" w:cs="Arial"/>
        </w:rPr>
      </w:pPr>
      <w:r w:rsidRPr="00AD791C">
        <w:rPr>
          <w:rFonts w:ascii="Arial" w:hAnsi="Arial" w:cs="Arial"/>
        </w:rPr>
        <w:t>Ley 679 de 2001</w:t>
      </w:r>
      <w:r w:rsidR="00CE7BC6" w:rsidRPr="00AD791C">
        <w:rPr>
          <w:rFonts w:ascii="Arial" w:hAnsi="Arial" w:cs="Arial"/>
        </w:rPr>
        <w:t xml:space="preserve">.  </w:t>
      </w:r>
      <w:r w:rsidRPr="00AD791C">
        <w:rPr>
          <w:rFonts w:ascii="Arial" w:hAnsi="Arial" w:cs="Arial"/>
        </w:rPr>
        <w:t xml:space="preserve"> Estatuto para prevenir y contrarrestar la explotación, la pornografía y el turismo sexual con menores, en desarrollo del artículo 44 de la Constitución.</w:t>
      </w:r>
    </w:p>
    <w:p w:rsidR="007C1F90" w:rsidRPr="00AD791C" w:rsidRDefault="007C1F90" w:rsidP="00E549B9">
      <w:pPr>
        <w:pStyle w:val="Encabezado"/>
        <w:numPr>
          <w:ilvl w:val="2"/>
          <w:numId w:val="4"/>
        </w:numPr>
        <w:ind w:left="1428"/>
        <w:jc w:val="both"/>
        <w:rPr>
          <w:rFonts w:ascii="Arial" w:hAnsi="Arial" w:cs="Arial"/>
        </w:rPr>
      </w:pPr>
      <w:r w:rsidRPr="00AD791C">
        <w:rPr>
          <w:rFonts w:ascii="Arial" w:hAnsi="Arial" w:cs="Arial"/>
        </w:rPr>
        <w:t>Ley 985 de 2005</w:t>
      </w:r>
      <w:r w:rsidR="00CE7BC6" w:rsidRPr="00AD791C">
        <w:rPr>
          <w:rFonts w:ascii="Arial" w:hAnsi="Arial" w:cs="Arial"/>
        </w:rPr>
        <w:t>, p</w:t>
      </w:r>
      <w:r w:rsidRPr="00AD791C">
        <w:rPr>
          <w:rFonts w:ascii="Arial" w:hAnsi="Arial" w:cs="Arial"/>
        </w:rPr>
        <w:t>or la cual se adoptan medidas contra la trata de personas y normas para la atención y protección de las víctimas de la misma</w:t>
      </w:r>
    </w:p>
    <w:p w:rsidR="007C1F90" w:rsidRPr="00AD791C" w:rsidRDefault="00CE7BC6" w:rsidP="00E549B9">
      <w:pPr>
        <w:pStyle w:val="Encabezado"/>
        <w:numPr>
          <w:ilvl w:val="2"/>
          <w:numId w:val="4"/>
        </w:numPr>
        <w:ind w:left="1428"/>
        <w:jc w:val="both"/>
        <w:rPr>
          <w:rFonts w:ascii="Arial" w:hAnsi="Arial" w:cs="Arial"/>
        </w:rPr>
      </w:pPr>
      <w:r w:rsidRPr="00AD791C">
        <w:rPr>
          <w:rFonts w:ascii="Arial" w:hAnsi="Arial" w:cs="Arial"/>
        </w:rPr>
        <w:t>Ley 1336 de 2009, por la cual se adiciona y robustece la Ley 679 de 2001, de lucha contra la explotación, la pornografía y el turismo sexual con niños, niñas y adolescentes.</w:t>
      </w:r>
    </w:p>
    <w:p w:rsidR="00CE7BC6" w:rsidRPr="00AD791C" w:rsidRDefault="00CE7BC6" w:rsidP="00E549B9">
      <w:pPr>
        <w:pStyle w:val="Encabezado"/>
        <w:numPr>
          <w:ilvl w:val="2"/>
          <w:numId w:val="4"/>
        </w:numPr>
        <w:ind w:left="1428"/>
        <w:jc w:val="both"/>
        <w:rPr>
          <w:rFonts w:ascii="Arial" w:hAnsi="Arial" w:cs="Arial"/>
        </w:rPr>
      </w:pPr>
      <w:r w:rsidRPr="00AD791C">
        <w:rPr>
          <w:rFonts w:ascii="Arial" w:hAnsi="Arial" w:cs="Arial"/>
        </w:rPr>
        <w:t>Ley 1652 de 2013,  por medio de la cual se dictan disposiciones acerca de la entrevista y el testimonio en procesos penales de niños, niñas y adolescentes víctimas de delitos contra la libertad, integridad y formación sexuales</w:t>
      </w:r>
    </w:p>
    <w:p w:rsidR="007C1F90" w:rsidRDefault="007C1F90" w:rsidP="00E549B9">
      <w:pPr>
        <w:jc w:val="both"/>
        <w:rPr>
          <w:rFonts w:ascii="Arial" w:hAnsi="Arial" w:cs="Arial"/>
        </w:rPr>
      </w:pPr>
    </w:p>
    <w:p w:rsidR="00E549B9" w:rsidRPr="00AD791C" w:rsidRDefault="00E549B9" w:rsidP="00E549B9">
      <w:pPr>
        <w:jc w:val="both"/>
        <w:rPr>
          <w:rFonts w:ascii="Arial" w:hAnsi="Arial" w:cs="Arial"/>
        </w:rPr>
      </w:pPr>
    </w:p>
    <w:p w:rsidR="00CE7BC6" w:rsidRPr="00AD791C" w:rsidRDefault="00CE7BC6" w:rsidP="00E549B9">
      <w:pPr>
        <w:pStyle w:val="Prrafodelista"/>
        <w:numPr>
          <w:ilvl w:val="1"/>
          <w:numId w:val="4"/>
        </w:numPr>
        <w:jc w:val="both"/>
        <w:rPr>
          <w:rFonts w:ascii="Arial" w:hAnsi="Arial" w:cs="Arial"/>
          <w:b/>
        </w:rPr>
      </w:pPr>
      <w:r w:rsidRPr="00AD791C">
        <w:rPr>
          <w:rFonts w:ascii="Arial" w:hAnsi="Arial" w:cs="Arial"/>
          <w:b/>
        </w:rPr>
        <w:lastRenderedPageBreak/>
        <w:t>PROYECTOS DE LEY EN CURSO</w:t>
      </w:r>
    </w:p>
    <w:p w:rsidR="007C1F90" w:rsidRPr="00AD791C" w:rsidRDefault="00CE7BC6" w:rsidP="00E549B9">
      <w:pPr>
        <w:pStyle w:val="Prrafodelista"/>
        <w:jc w:val="both"/>
        <w:rPr>
          <w:rFonts w:ascii="Arial" w:hAnsi="Arial" w:cs="Arial"/>
          <w:b/>
        </w:rPr>
      </w:pPr>
      <w:r w:rsidRPr="00AD791C">
        <w:rPr>
          <w:rFonts w:ascii="Arial" w:hAnsi="Arial" w:cs="Arial"/>
          <w:b/>
        </w:rPr>
        <w:t xml:space="preserve"> </w:t>
      </w:r>
    </w:p>
    <w:p w:rsidR="007C1F90" w:rsidRPr="00AD791C" w:rsidRDefault="00CE7BC6" w:rsidP="00E549B9">
      <w:pPr>
        <w:pStyle w:val="Prrafodelista"/>
        <w:numPr>
          <w:ilvl w:val="2"/>
          <w:numId w:val="4"/>
        </w:numPr>
        <w:jc w:val="both"/>
        <w:rPr>
          <w:rFonts w:ascii="Arial" w:hAnsi="Arial" w:cs="Arial"/>
        </w:rPr>
      </w:pPr>
      <w:r w:rsidRPr="00AD791C">
        <w:rPr>
          <w:rFonts w:ascii="Arial" w:hAnsi="Arial" w:cs="Arial"/>
        </w:rPr>
        <w:t>Proyecto de Acto Legislativo 036 De 2013 Cámara.  Por el cual se modifica el artículo 34 de la Constitución Política de Colombia, para permitir la Prisión Perpetua Revisable a partir de los 40 años de prisión exclusivamente cuando la víctima de los delitos de homicidio, acceso carnal violento, secuestro o explotación sexual, sea un menor de 14 años o menor de 18 años con discapacidad y se dictan otras disposiciones</w:t>
      </w:r>
    </w:p>
    <w:p w:rsidR="00422942" w:rsidRPr="00AD791C" w:rsidRDefault="00422942" w:rsidP="00E549B9">
      <w:pPr>
        <w:pStyle w:val="Prrafodelista"/>
        <w:numPr>
          <w:ilvl w:val="2"/>
          <w:numId w:val="4"/>
        </w:numPr>
        <w:jc w:val="both"/>
        <w:rPr>
          <w:rFonts w:ascii="Arial" w:hAnsi="Arial" w:cs="Arial"/>
        </w:rPr>
      </w:pPr>
      <w:r w:rsidRPr="00AD791C">
        <w:rPr>
          <w:rFonts w:ascii="Arial" w:hAnsi="Arial" w:cs="Arial"/>
        </w:rPr>
        <w:t>Proyecto de Ley no. 099 de 2013 Senado.  “por medio de la cual se modifica el artículo 219 de la ley 599 de 2000”</w:t>
      </w:r>
    </w:p>
    <w:p w:rsidR="00422942" w:rsidRPr="00AD791C" w:rsidRDefault="00422942" w:rsidP="00E549B9">
      <w:pPr>
        <w:pStyle w:val="Prrafodelista"/>
        <w:numPr>
          <w:ilvl w:val="2"/>
          <w:numId w:val="4"/>
        </w:numPr>
        <w:jc w:val="both"/>
        <w:rPr>
          <w:rFonts w:ascii="Arial" w:hAnsi="Arial" w:cs="Arial"/>
        </w:rPr>
      </w:pPr>
      <w:r w:rsidRPr="00AD791C">
        <w:rPr>
          <w:rFonts w:ascii="Arial" w:hAnsi="Arial" w:cs="Arial"/>
        </w:rPr>
        <w:t>Proyecto de Ley 172 De 2014 Senado. por la cual se expide el Estatuto de Protección contra el Abuso Sexual Infantil y se dictan otras disposiciones.</w:t>
      </w:r>
    </w:p>
    <w:p w:rsidR="00422942" w:rsidRPr="00AD791C" w:rsidRDefault="00422942" w:rsidP="00E549B9">
      <w:pPr>
        <w:pStyle w:val="Prrafodelista"/>
        <w:numPr>
          <w:ilvl w:val="2"/>
          <w:numId w:val="4"/>
        </w:numPr>
        <w:jc w:val="both"/>
        <w:rPr>
          <w:rFonts w:ascii="Arial" w:hAnsi="Arial" w:cs="Arial"/>
        </w:rPr>
      </w:pPr>
      <w:r w:rsidRPr="00AD791C">
        <w:rPr>
          <w:rFonts w:ascii="Arial" w:hAnsi="Arial" w:cs="Arial"/>
        </w:rPr>
        <w:t>Proyecto de Ley 112 de 2014 Senado.  por la cual se crea el tipo penal de acoso sexual en transporte público, el cual se adicionará al Título IV, de los Delitos contra la Libertad, Integridad y Formación Sexuales de la Ley 599 de 2000, Código Penal Colombiano.</w:t>
      </w:r>
    </w:p>
    <w:p w:rsidR="00422942" w:rsidRDefault="00AD791C" w:rsidP="00E549B9">
      <w:pPr>
        <w:pStyle w:val="Prrafodelista"/>
        <w:numPr>
          <w:ilvl w:val="2"/>
          <w:numId w:val="4"/>
        </w:numPr>
        <w:jc w:val="both"/>
        <w:rPr>
          <w:rFonts w:ascii="Arial" w:hAnsi="Arial" w:cs="Arial"/>
        </w:rPr>
      </w:pPr>
      <w:r w:rsidRPr="00AD791C">
        <w:rPr>
          <w:rFonts w:ascii="Arial" w:hAnsi="Arial" w:cs="Arial"/>
        </w:rPr>
        <w:t xml:space="preserve">Proyecto de ley 115 de 2014 Senado. </w:t>
      </w:r>
      <w:r w:rsidR="00422942" w:rsidRPr="00AD791C">
        <w:rPr>
          <w:rFonts w:ascii="Arial" w:hAnsi="Arial" w:cs="Arial"/>
        </w:rPr>
        <w:t>por medio de la cual se modifica parcialmente la Ley 906 de 2004 en relación con las medidas de aseguramiento privativas de la libertad</w:t>
      </w:r>
      <w:r w:rsidRPr="00AD791C">
        <w:rPr>
          <w:rFonts w:ascii="Arial" w:hAnsi="Arial" w:cs="Arial"/>
        </w:rPr>
        <w:t>.</w:t>
      </w:r>
    </w:p>
    <w:p w:rsidR="00216518" w:rsidRPr="00AD791C" w:rsidRDefault="00216518" w:rsidP="00216518">
      <w:pPr>
        <w:pStyle w:val="Prrafodelista"/>
        <w:ind w:left="2160"/>
        <w:jc w:val="both"/>
        <w:rPr>
          <w:rFonts w:ascii="Arial" w:hAnsi="Arial" w:cs="Arial"/>
        </w:rPr>
      </w:pPr>
    </w:p>
    <w:p w:rsidR="007C1F90" w:rsidRPr="00AD791C" w:rsidRDefault="00216518" w:rsidP="00E549B9">
      <w:pPr>
        <w:jc w:val="both"/>
        <w:rPr>
          <w:rFonts w:ascii="Arial" w:hAnsi="Arial" w:cs="Arial"/>
        </w:rPr>
      </w:pPr>
      <w:r w:rsidRPr="00216518">
        <w:rPr>
          <w:rFonts w:ascii="Arial" w:hAnsi="Arial" w:cs="Arial"/>
          <w:b/>
        </w:rPr>
        <w:t>1.4</w:t>
      </w:r>
      <w:r>
        <w:rPr>
          <w:rFonts w:ascii="Arial" w:hAnsi="Arial" w:cs="Arial"/>
        </w:rPr>
        <w:t xml:space="preserve"> </w:t>
      </w:r>
      <w:r w:rsidRPr="00216518">
        <w:rPr>
          <w:rFonts w:ascii="Arial" w:hAnsi="Arial" w:cs="Arial"/>
          <w:b/>
        </w:rPr>
        <w:t>MATRIZ COMPONENTE NORMATIVO INDIZADO</w:t>
      </w:r>
      <w:r>
        <w:rPr>
          <w:rFonts w:ascii="Arial" w:hAnsi="Arial" w:cs="Arial"/>
        </w:rPr>
        <w:t>.</w:t>
      </w:r>
    </w:p>
    <w:p w:rsidR="007C1F90" w:rsidRPr="00AD791C" w:rsidRDefault="007C1F90" w:rsidP="00E549B9">
      <w:pPr>
        <w:jc w:val="both"/>
        <w:rPr>
          <w:rFonts w:ascii="Arial" w:hAnsi="Arial" w:cs="Arial"/>
        </w:rPr>
      </w:pPr>
      <w:bookmarkStart w:id="0" w:name="_GoBack"/>
      <w:bookmarkEnd w:id="0"/>
    </w:p>
    <w:p w:rsidR="007C1F90" w:rsidRPr="00AD791C" w:rsidRDefault="007C1F90" w:rsidP="00E549B9">
      <w:pPr>
        <w:jc w:val="both"/>
        <w:rPr>
          <w:rFonts w:ascii="Arial" w:hAnsi="Arial" w:cs="Arial"/>
        </w:rPr>
      </w:pPr>
    </w:p>
    <w:p w:rsidR="00F75DA4" w:rsidRPr="00AD791C" w:rsidRDefault="00F75DA4" w:rsidP="007C1F90">
      <w:pPr>
        <w:ind w:firstLine="708"/>
        <w:rPr>
          <w:rFonts w:ascii="Arial" w:hAnsi="Arial" w:cs="Arial"/>
        </w:rPr>
      </w:pPr>
    </w:p>
    <w:p w:rsidR="00F75DA4" w:rsidRPr="00AD791C" w:rsidRDefault="00F75DA4">
      <w:pPr>
        <w:rPr>
          <w:rFonts w:ascii="Arial" w:hAnsi="Arial" w:cs="Arial"/>
        </w:rPr>
      </w:pPr>
      <w:r w:rsidRPr="00AD791C">
        <w:rPr>
          <w:rFonts w:ascii="Arial" w:hAnsi="Arial" w:cs="Arial"/>
          <w:noProof/>
          <w:lang w:eastAsia="es-CO"/>
        </w:rPr>
        <w:lastRenderedPageBreak/>
        <w:drawing>
          <wp:inline distT="0" distB="0" distL="0" distR="0" wp14:anchorId="45CACF29" wp14:editId="0E2EFDA4">
            <wp:extent cx="8258810" cy="4645660"/>
            <wp:effectExtent l="0" t="0" r="889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58810" cy="4645660"/>
                    </a:xfrm>
                    <a:prstGeom prst="rect">
                      <a:avLst/>
                    </a:prstGeom>
                  </pic:spPr>
                </pic:pic>
              </a:graphicData>
            </a:graphic>
          </wp:inline>
        </w:drawing>
      </w:r>
    </w:p>
    <w:sectPr w:rsidR="00F75DA4" w:rsidRPr="00AD791C" w:rsidSect="00E549B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E0B" w:rsidRDefault="00703E0B" w:rsidP="00F75DA4">
      <w:pPr>
        <w:spacing w:after="0" w:line="240" w:lineRule="auto"/>
      </w:pPr>
      <w:r>
        <w:separator/>
      </w:r>
    </w:p>
  </w:endnote>
  <w:endnote w:type="continuationSeparator" w:id="0">
    <w:p w:rsidR="00703E0B" w:rsidRDefault="00703E0B" w:rsidP="00F7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E0B" w:rsidRDefault="00703E0B" w:rsidP="00F75DA4">
      <w:pPr>
        <w:spacing w:after="0" w:line="240" w:lineRule="auto"/>
      </w:pPr>
      <w:r>
        <w:separator/>
      </w:r>
    </w:p>
  </w:footnote>
  <w:footnote w:type="continuationSeparator" w:id="0">
    <w:p w:rsidR="00703E0B" w:rsidRDefault="00703E0B" w:rsidP="00F75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A4" w:rsidRDefault="00F75DA4" w:rsidP="00F75DA4">
    <w:pPr>
      <w:pStyle w:val="Encabezado"/>
      <w:jc w:val="right"/>
      <w:rPr>
        <w:b/>
        <w:sz w:val="48"/>
        <w:szCs w:val="48"/>
      </w:rPr>
    </w:pPr>
    <w:r>
      <w:rPr>
        <w:b/>
        <w:noProof/>
        <w:sz w:val="48"/>
        <w:szCs w:val="48"/>
        <w:lang w:eastAsia="es-CO"/>
      </w:rPr>
      <w:drawing>
        <wp:anchor distT="0" distB="0" distL="114300" distR="114300" simplePos="0" relativeHeight="251658240" behindDoc="1" locked="0" layoutInCell="1" allowOverlap="1">
          <wp:simplePos x="0" y="0"/>
          <wp:positionH relativeFrom="column">
            <wp:posOffset>733425</wp:posOffset>
          </wp:positionH>
          <wp:positionV relativeFrom="paragraph">
            <wp:posOffset>126365</wp:posOffset>
          </wp:positionV>
          <wp:extent cx="691515" cy="918210"/>
          <wp:effectExtent l="0" t="0" r="0" b="0"/>
          <wp:wrapThrough wrapText="bothSides">
            <wp:wrapPolygon edited="0">
              <wp:start x="0" y="0"/>
              <wp:lineTo x="0" y="21062"/>
              <wp:lineTo x="20826" y="21062"/>
              <wp:lineTo x="20826" y="0"/>
              <wp:lineTo x="0" y="0"/>
            </wp:wrapPolygon>
          </wp:wrapThrough>
          <wp:docPr id="2" name="Imagen 2" descr="logo Consejo Superio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sejo Superio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DA4" w:rsidRDefault="00F75DA4" w:rsidP="00F75DA4">
    <w:pPr>
      <w:pStyle w:val="Encabezado"/>
      <w:jc w:val="right"/>
      <w:rPr>
        <w:b/>
        <w:sz w:val="48"/>
        <w:szCs w:val="48"/>
      </w:rPr>
    </w:pPr>
  </w:p>
  <w:p w:rsidR="00F75DA4" w:rsidRDefault="00F75DA4" w:rsidP="00F75DA4">
    <w:pPr>
      <w:pStyle w:val="Encabezado"/>
      <w:jc w:val="right"/>
      <w:rPr>
        <w:b/>
        <w:sz w:val="48"/>
        <w:szCs w:val="48"/>
      </w:rPr>
    </w:pPr>
  </w:p>
  <w:p w:rsidR="00F75DA4" w:rsidRPr="00F75DA4" w:rsidRDefault="00F75DA4" w:rsidP="00F75DA4">
    <w:pPr>
      <w:pStyle w:val="Encabezado"/>
      <w:tabs>
        <w:tab w:val="left" w:pos="2805"/>
      </w:tabs>
      <w:jc w:val="center"/>
      <w:rPr>
        <w:b/>
        <w:i/>
      </w:rPr>
    </w:pPr>
    <w:r w:rsidRPr="00F75DA4">
      <w:rPr>
        <w:b/>
        <w:i/>
      </w:rPr>
      <w:t xml:space="preserve">Consejo Superior de la Judicatura </w:t>
    </w:r>
  </w:p>
  <w:p w:rsidR="00F75DA4" w:rsidRDefault="00F75DA4" w:rsidP="00F75DA4">
    <w:pPr>
      <w:pStyle w:val="Encabezado"/>
      <w:tabs>
        <w:tab w:val="left" w:pos="2805"/>
      </w:tabs>
      <w:jc w:val="center"/>
      <w:rPr>
        <w:b/>
        <w:sz w:val="48"/>
        <w:szCs w:val="48"/>
      </w:rPr>
    </w:pPr>
    <w:r w:rsidRPr="00F75DA4">
      <w:rPr>
        <w:b/>
        <w:i/>
      </w:rPr>
      <w:t>Sala Administrativa</w:t>
    </w:r>
    <w:r>
      <w:rPr>
        <w:b/>
        <w:sz w:val="48"/>
        <w:szCs w:val="48"/>
      </w:rPr>
      <w:t xml:space="preserve"> </w:t>
    </w:r>
  </w:p>
  <w:p w:rsidR="00F75DA4" w:rsidRDefault="00F75DA4" w:rsidP="00F75DA4">
    <w:pPr>
      <w:pStyle w:val="Encabezado"/>
      <w:jc w:val="right"/>
      <w:rPr>
        <w:b/>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D74DA"/>
    <w:multiLevelType w:val="multilevel"/>
    <w:tmpl w:val="51A6B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F0442CD"/>
    <w:multiLevelType w:val="multilevel"/>
    <w:tmpl w:val="F4A62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8755497"/>
    <w:multiLevelType w:val="multilevel"/>
    <w:tmpl w:val="BB0659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E7A126A"/>
    <w:multiLevelType w:val="multilevel"/>
    <w:tmpl w:val="57E42D1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A4"/>
    <w:rsid w:val="00216518"/>
    <w:rsid w:val="00422942"/>
    <w:rsid w:val="004E25DD"/>
    <w:rsid w:val="005F33CC"/>
    <w:rsid w:val="00703E0B"/>
    <w:rsid w:val="007C1F90"/>
    <w:rsid w:val="00985964"/>
    <w:rsid w:val="00AD791C"/>
    <w:rsid w:val="00C350A5"/>
    <w:rsid w:val="00CE7BC6"/>
    <w:rsid w:val="00E549B9"/>
    <w:rsid w:val="00F75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99A4F4-91D2-454F-8D07-0C2D2EAA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5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5DA4"/>
  </w:style>
  <w:style w:type="paragraph" w:styleId="Piedepgina">
    <w:name w:val="footer"/>
    <w:basedOn w:val="Normal"/>
    <w:link w:val="PiedepginaCar"/>
    <w:uiPriority w:val="99"/>
    <w:unhideWhenUsed/>
    <w:rsid w:val="00F75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DA4"/>
  </w:style>
  <w:style w:type="paragraph" w:styleId="Prrafodelista">
    <w:name w:val="List Paragraph"/>
    <w:basedOn w:val="Normal"/>
    <w:uiPriority w:val="34"/>
    <w:qFormat/>
    <w:rsid w:val="00CE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1ABE-CA7C-48E0-B8CB-7A54AECE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Claudia Caro Bernal</dc:creator>
  <cp:keywords/>
  <dc:description/>
  <cp:lastModifiedBy>Diana Claudia Caro Bernal</cp:lastModifiedBy>
  <cp:revision>2</cp:revision>
  <dcterms:created xsi:type="dcterms:W3CDTF">2015-09-14T15:22:00Z</dcterms:created>
  <dcterms:modified xsi:type="dcterms:W3CDTF">2015-09-14T16:49:00Z</dcterms:modified>
</cp:coreProperties>
</file>