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70E0192" w14:textId="77777777" w:rsidR="006F73F4" w:rsidRPr="00104F9A" w:rsidRDefault="006F73F4" w:rsidP="00A069BB">
      <w:pPr>
        <w:keepNext/>
        <w:tabs>
          <w:tab w:val="left" w:pos="284"/>
        </w:tabs>
        <w:spacing w:line="360" w:lineRule="auto"/>
        <w:jc w:val="center"/>
        <w:outlineLvl w:val="2"/>
        <w:rPr>
          <w:rFonts w:ascii="Garamond" w:hAnsi="Garamond" w:cs="Arial"/>
          <w:b/>
          <w:bCs/>
          <w:sz w:val="28"/>
          <w:szCs w:val="28"/>
        </w:rPr>
      </w:pPr>
      <w:bookmarkStart w:id="0" w:name="_Hlk41979542"/>
      <w:r w:rsidRPr="00104F9A">
        <w:rPr>
          <w:rFonts w:ascii="Garamond" w:hAnsi="Garamond" w:cs="Arial"/>
          <w:b/>
          <w:bCs/>
          <w:sz w:val="28"/>
          <w:szCs w:val="28"/>
        </w:rPr>
        <w:t>REPÚBLICA DE COLOMBIA</w:t>
      </w:r>
    </w:p>
    <w:p w14:paraId="6F5F35EC" w14:textId="77777777" w:rsidR="006F73F4" w:rsidRPr="00104F9A" w:rsidRDefault="006F73F4" w:rsidP="00A069BB">
      <w:pPr>
        <w:keepNext/>
        <w:tabs>
          <w:tab w:val="left" w:pos="284"/>
        </w:tabs>
        <w:spacing w:line="360" w:lineRule="auto"/>
        <w:jc w:val="center"/>
        <w:outlineLvl w:val="2"/>
        <w:rPr>
          <w:rFonts w:ascii="Garamond" w:hAnsi="Garamond" w:cs="Arial"/>
          <w:b/>
          <w:bCs/>
          <w:sz w:val="28"/>
          <w:szCs w:val="28"/>
        </w:rPr>
      </w:pPr>
      <w:r w:rsidRPr="00104F9A">
        <w:rPr>
          <w:rFonts w:ascii="Garamond" w:hAnsi="Garamond" w:cs="Arial"/>
          <w:b/>
          <w:bCs/>
          <w:sz w:val="28"/>
          <w:szCs w:val="28"/>
        </w:rPr>
        <w:t>RAMA JUDICIAL</w:t>
      </w:r>
    </w:p>
    <w:p w14:paraId="32A4908D" w14:textId="77777777" w:rsidR="006F73F4" w:rsidRPr="00104F9A" w:rsidRDefault="006F73F4" w:rsidP="00A069BB">
      <w:pPr>
        <w:tabs>
          <w:tab w:val="left" w:pos="284"/>
          <w:tab w:val="left" w:pos="2175"/>
        </w:tabs>
        <w:spacing w:line="360" w:lineRule="auto"/>
        <w:jc w:val="center"/>
        <w:rPr>
          <w:rFonts w:ascii="Garamond" w:hAnsi="Garamond" w:cs="Arial"/>
          <w:b/>
          <w:bCs/>
          <w:spacing w:val="-3"/>
          <w:sz w:val="28"/>
          <w:szCs w:val="28"/>
        </w:rPr>
      </w:pPr>
      <w:r w:rsidRPr="00104F9A">
        <w:rPr>
          <w:rFonts w:ascii="Garamond" w:hAnsi="Garamond"/>
          <w:noProof/>
          <w:sz w:val="28"/>
          <w:szCs w:val="28"/>
        </w:rPr>
        <w:drawing>
          <wp:inline distT="0" distB="0" distL="0" distR="0" wp14:anchorId="68D317D5" wp14:editId="4CB2596A">
            <wp:extent cx="678426" cy="582639"/>
            <wp:effectExtent l="0" t="0" r="762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1">
                      <a:extLst>
                        <a:ext uri="{28A0092B-C50C-407E-A947-70E740481C1C}">
                          <a14:useLocalDpi xmlns:a14="http://schemas.microsoft.com/office/drawing/2010/main" val="0"/>
                        </a:ext>
                      </a:extLst>
                    </a:blip>
                    <a:srcRect b="31541"/>
                    <a:stretch>
                      <a:fillRect/>
                    </a:stretch>
                  </pic:blipFill>
                  <pic:spPr>
                    <a:xfrm>
                      <a:off x="0" y="0"/>
                      <a:ext cx="685987" cy="589133"/>
                    </a:xfrm>
                    <a:prstGeom prst="rect">
                      <a:avLst/>
                    </a:prstGeom>
                  </pic:spPr>
                </pic:pic>
              </a:graphicData>
            </a:graphic>
          </wp:inline>
        </w:drawing>
      </w:r>
    </w:p>
    <w:p w14:paraId="6E4A47C3" w14:textId="77777777" w:rsidR="006F73F4" w:rsidRPr="00104F9A" w:rsidRDefault="006F73F4" w:rsidP="00A069BB">
      <w:pPr>
        <w:tabs>
          <w:tab w:val="left" w:pos="284"/>
        </w:tabs>
        <w:spacing w:line="360" w:lineRule="auto"/>
        <w:jc w:val="center"/>
        <w:rPr>
          <w:rFonts w:ascii="Garamond" w:hAnsi="Garamond" w:cs="Arial"/>
          <w:b/>
          <w:bCs/>
          <w:sz w:val="28"/>
          <w:szCs w:val="28"/>
        </w:rPr>
      </w:pPr>
      <w:r w:rsidRPr="00104F9A">
        <w:rPr>
          <w:rFonts w:ascii="Garamond" w:hAnsi="Garamond" w:cs="Arial"/>
          <w:b/>
          <w:bCs/>
          <w:sz w:val="28"/>
          <w:szCs w:val="28"/>
        </w:rPr>
        <w:t>TRIBUNAL SUPERIOR DE BOGOTÁ D.C.</w:t>
      </w:r>
    </w:p>
    <w:p w14:paraId="32AFFC2D" w14:textId="340D7BA7" w:rsidR="006F73F4" w:rsidRPr="00104F9A" w:rsidRDefault="006F73F4" w:rsidP="00A069BB">
      <w:pPr>
        <w:tabs>
          <w:tab w:val="left" w:pos="284"/>
        </w:tabs>
        <w:spacing w:line="360" w:lineRule="auto"/>
        <w:jc w:val="center"/>
        <w:rPr>
          <w:rFonts w:ascii="Garamond" w:hAnsi="Garamond" w:cs="Arial"/>
          <w:b/>
          <w:bCs/>
          <w:sz w:val="28"/>
          <w:szCs w:val="28"/>
        </w:rPr>
      </w:pPr>
      <w:r w:rsidRPr="00104F9A">
        <w:rPr>
          <w:rFonts w:ascii="Garamond" w:hAnsi="Garamond" w:cs="Arial"/>
          <w:b/>
          <w:bCs/>
          <w:sz w:val="28"/>
          <w:szCs w:val="28"/>
        </w:rPr>
        <w:t xml:space="preserve">SALA </w:t>
      </w:r>
      <w:r w:rsidR="002C4DE5" w:rsidRPr="00104F9A">
        <w:rPr>
          <w:rFonts w:ascii="Garamond" w:hAnsi="Garamond" w:cs="Arial"/>
          <w:b/>
          <w:bCs/>
          <w:sz w:val="28"/>
          <w:szCs w:val="28"/>
        </w:rPr>
        <w:t>SEGUNDA</w:t>
      </w:r>
      <w:r w:rsidRPr="00104F9A">
        <w:rPr>
          <w:rFonts w:ascii="Garamond" w:hAnsi="Garamond" w:cs="Arial"/>
          <w:b/>
          <w:bCs/>
          <w:sz w:val="28"/>
          <w:szCs w:val="28"/>
        </w:rPr>
        <w:t xml:space="preserve"> CIVIL DE DECISIÓN</w:t>
      </w:r>
    </w:p>
    <w:bookmarkEnd w:id="0"/>
    <w:p w14:paraId="246A1966" w14:textId="77777777" w:rsidR="006F73F4" w:rsidRPr="00104F9A" w:rsidRDefault="006F73F4" w:rsidP="00A069BB">
      <w:pPr>
        <w:tabs>
          <w:tab w:val="left" w:pos="284"/>
        </w:tabs>
        <w:jc w:val="center"/>
        <w:rPr>
          <w:rFonts w:ascii="Garamond" w:hAnsi="Garamond" w:cs="Arial"/>
          <w:sz w:val="28"/>
          <w:szCs w:val="28"/>
        </w:rPr>
      </w:pPr>
    </w:p>
    <w:p w14:paraId="155D29BC" w14:textId="105D090A" w:rsidR="006F73F4" w:rsidRPr="00104F9A" w:rsidRDefault="00EA2AE2" w:rsidP="00A069BB">
      <w:pPr>
        <w:tabs>
          <w:tab w:val="left" w:pos="284"/>
        </w:tabs>
        <w:spacing w:line="360" w:lineRule="auto"/>
        <w:jc w:val="center"/>
        <w:rPr>
          <w:rFonts w:ascii="Garamond" w:hAnsi="Garamond" w:cs="Arial"/>
          <w:sz w:val="28"/>
          <w:szCs w:val="28"/>
        </w:rPr>
      </w:pPr>
      <w:r w:rsidRPr="00104F9A">
        <w:rPr>
          <w:rFonts w:ascii="Garamond" w:hAnsi="Garamond" w:cs="Arial"/>
          <w:sz w:val="28"/>
          <w:szCs w:val="28"/>
        </w:rPr>
        <w:t xml:space="preserve">Bogotá D.C., </w:t>
      </w:r>
      <w:r w:rsidR="008C6DBA" w:rsidRPr="00104F9A">
        <w:rPr>
          <w:rFonts w:ascii="Garamond" w:hAnsi="Garamond" w:cs="Arial"/>
          <w:sz w:val="28"/>
          <w:szCs w:val="28"/>
        </w:rPr>
        <w:t>nueve (9)</w:t>
      </w:r>
      <w:r w:rsidR="002C4DE5" w:rsidRPr="00104F9A">
        <w:rPr>
          <w:rFonts w:ascii="Garamond" w:hAnsi="Garamond" w:cs="Arial"/>
          <w:sz w:val="28"/>
          <w:szCs w:val="28"/>
        </w:rPr>
        <w:t xml:space="preserve"> de</w:t>
      </w:r>
      <w:r w:rsidR="00D40CE2" w:rsidRPr="00104F9A">
        <w:rPr>
          <w:rFonts w:ascii="Garamond" w:hAnsi="Garamond" w:cs="Arial"/>
          <w:sz w:val="28"/>
          <w:szCs w:val="28"/>
        </w:rPr>
        <w:t xml:space="preserve"> </w:t>
      </w:r>
      <w:r w:rsidR="00BF4867" w:rsidRPr="00104F9A">
        <w:rPr>
          <w:rFonts w:ascii="Garamond" w:hAnsi="Garamond" w:cs="Arial"/>
          <w:sz w:val="28"/>
          <w:szCs w:val="28"/>
        </w:rPr>
        <w:t>juni</w:t>
      </w:r>
      <w:r w:rsidR="00E96CE4" w:rsidRPr="00104F9A">
        <w:rPr>
          <w:rFonts w:ascii="Garamond" w:hAnsi="Garamond" w:cs="Arial"/>
          <w:sz w:val="28"/>
          <w:szCs w:val="28"/>
        </w:rPr>
        <w:t>o</w:t>
      </w:r>
      <w:r w:rsidR="002C4DE5" w:rsidRPr="00104F9A">
        <w:rPr>
          <w:rFonts w:ascii="Garamond" w:hAnsi="Garamond" w:cs="Arial"/>
          <w:sz w:val="28"/>
          <w:szCs w:val="28"/>
        </w:rPr>
        <w:t xml:space="preserve"> de dos mil veintiuno (2021)</w:t>
      </w:r>
    </w:p>
    <w:p w14:paraId="3216D64F" w14:textId="77777777" w:rsidR="006F73F4" w:rsidRPr="00104F9A" w:rsidRDefault="006F73F4" w:rsidP="00A069BB">
      <w:pPr>
        <w:tabs>
          <w:tab w:val="left" w:pos="284"/>
        </w:tabs>
        <w:jc w:val="both"/>
        <w:rPr>
          <w:rFonts w:ascii="Garamond" w:hAnsi="Garamond" w:cs="Arial"/>
          <w:sz w:val="28"/>
          <w:szCs w:val="28"/>
        </w:rPr>
      </w:pPr>
    </w:p>
    <w:p w14:paraId="31285357" w14:textId="280A6446" w:rsidR="006F73F4" w:rsidRPr="00104F9A" w:rsidRDefault="006F73F4" w:rsidP="00A069BB">
      <w:pPr>
        <w:tabs>
          <w:tab w:val="left" w:pos="2977"/>
        </w:tabs>
        <w:spacing w:line="360" w:lineRule="auto"/>
        <w:ind w:left="1985" w:right="902" w:hanging="1418"/>
        <w:jc w:val="both"/>
        <w:rPr>
          <w:rFonts w:ascii="Garamond" w:hAnsi="Garamond" w:cs="Arial"/>
          <w:b/>
          <w:bCs/>
        </w:rPr>
      </w:pPr>
      <w:r w:rsidRPr="00104F9A">
        <w:rPr>
          <w:rFonts w:ascii="Garamond" w:hAnsi="Garamond" w:cs="Arial"/>
          <w:b/>
          <w:bCs/>
        </w:rPr>
        <w:t xml:space="preserve">Radicación: </w:t>
      </w:r>
      <w:r w:rsidRPr="00104F9A">
        <w:rPr>
          <w:rFonts w:ascii="Garamond" w:hAnsi="Garamond" w:cs="Arial"/>
          <w:b/>
          <w:bCs/>
        </w:rPr>
        <w:tab/>
      </w:r>
      <w:bookmarkStart w:id="1" w:name="_Hlk73455347"/>
      <w:r w:rsidR="000F6B4C" w:rsidRPr="00104F9A">
        <w:rPr>
          <w:rFonts w:ascii="Garamond" w:hAnsi="Garamond" w:cs="Arial"/>
        </w:rPr>
        <w:t xml:space="preserve">11001 31 03 </w:t>
      </w:r>
      <w:r w:rsidR="000F6B4C" w:rsidRPr="00104F9A">
        <w:rPr>
          <w:rFonts w:ascii="Garamond" w:hAnsi="Garamond" w:cs="Arial"/>
          <w:b/>
          <w:bCs/>
        </w:rPr>
        <w:t>0</w:t>
      </w:r>
      <w:r w:rsidR="00216AED" w:rsidRPr="00104F9A">
        <w:rPr>
          <w:rFonts w:ascii="Garamond" w:hAnsi="Garamond" w:cs="Arial"/>
          <w:b/>
          <w:bCs/>
        </w:rPr>
        <w:t>1</w:t>
      </w:r>
      <w:r w:rsidR="00BB196F" w:rsidRPr="00104F9A">
        <w:rPr>
          <w:rFonts w:ascii="Garamond" w:hAnsi="Garamond" w:cs="Arial"/>
          <w:b/>
          <w:bCs/>
        </w:rPr>
        <w:t>3</w:t>
      </w:r>
      <w:r w:rsidR="000F6B4C" w:rsidRPr="00104F9A">
        <w:rPr>
          <w:rFonts w:ascii="Garamond" w:hAnsi="Garamond" w:cs="Arial"/>
        </w:rPr>
        <w:t xml:space="preserve"> </w:t>
      </w:r>
      <w:r w:rsidR="000F6B4C" w:rsidRPr="00104F9A">
        <w:rPr>
          <w:rFonts w:ascii="Garamond" w:hAnsi="Garamond" w:cs="Arial"/>
          <w:b/>
        </w:rPr>
        <w:t>2021 00</w:t>
      </w:r>
      <w:r w:rsidR="00BB196F" w:rsidRPr="00104F9A">
        <w:rPr>
          <w:rFonts w:ascii="Garamond" w:hAnsi="Garamond" w:cs="Arial"/>
          <w:b/>
        </w:rPr>
        <w:t>179</w:t>
      </w:r>
      <w:r w:rsidR="000F6B4C" w:rsidRPr="00104F9A">
        <w:rPr>
          <w:rFonts w:ascii="Garamond" w:hAnsi="Garamond" w:cs="Arial"/>
          <w:b/>
        </w:rPr>
        <w:t xml:space="preserve"> </w:t>
      </w:r>
      <w:r w:rsidR="000F6B4C" w:rsidRPr="00104F9A">
        <w:rPr>
          <w:rFonts w:ascii="Garamond" w:hAnsi="Garamond" w:cs="Arial"/>
        </w:rPr>
        <w:t>0</w:t>
      </w:r>
      <w:r w:rsidR="00BB196F" w:rsidRPr="00104F9A">
        <w:rPr>
          <w:rFonts w:ascii="Garamond" w:hAnsi="Garamond" w:cs="Arial"/>
        </w:rPr>
        <w:t>1</w:t>
      </w:r>
      <w:bookmarkEnd w:id="1"/>
      <w:r w:rsidR="000F6B4C" w:rsidRPr="00104F9A">
        <w:rPr>
          <w:rFonts w:ascii="Garamond" w:hAnsi="Garamond" w:cs="Arial"/>
        </w:rPr>
        <w:t>.</w:t>
      </w:r>
    </w:p>
    <w:p w14:paraId="731204BF" w14:textId="77777777" w:rsidR="006F73F4" w:rsidRPr="00104F9A" w:rsidRDefault="006F73F4" w:rsidP="00A069BB">
      <w:pPr>
        <w:tabs>
          <w:tab w:val="left" w:pos="2977"/>
        </w:tabs>
        <w:spacing w:line="360" w:lineRule="auto"/>
        <w:ind w:left="1985" w:right="902" w:hanging="1418"/>
        <w:jc w:val="both"/>
        <w:rPr>
          <w:rFonts w:ascii="Garamond" w:hAnsi="Garamond" w:cs="Arial"/>
          <w:b/>
          <w:bCs/>
        </w:rPr>
      </w:pPr>
      <w:r w:rsidRPr="00104F9A">
        <w:rPr>
          <w:rFonts w:ascii="Garamond" w:hAnsi="Garamond" w:cs="Arial"/>
          <w:b/>
          <w:bCs/>
        </w:rPr>
        <w:t xml:space="preserve">Tipo: </w:t>
      </w:r>
      <w:r w:rsidRPr="00104F9A">
        <w:rPr>
          <w:rFonts w:ascii="Garamond" w:hAnsi="Garamond" w:cs="Arial"/>
          <w:b/>
          <w:bCs/>
        </w:rPr>
        <w:tab/>
      </w:r>
      <w:r w:rsidRPr="00104F9A">
        <w:rPr>
          <w:rFonts w:ascii="Garamond" w:hAnsi="Garamond" w:cs="Arial"/>
        </w:rPr>
        <w:t>Impugnación.</w:t>
      </w:r>
    </w:p>
    <w:p w14:paraId="154D12EB" w14:textId="44E40FAE" w:rsidR="006F73F4" w:rsidRPr="00104F9A" w:rsidRDefault="006F73F4" w:rsidP="00A069BB">
      <w:pPr>
        <w:tabs>
          <w:tab w:val="left" w:pos="2977"/>
        </w:tabs>
        <w:spacing w:line="360" w:lineRule="auto"/>
        <w:ind w:left="1985" w:right="902" w:hanging="1418"/>
        <w:jc w:val="both"/>
        <w:rPr>
          <w:rFonts w:ascii="Garamond" w:hAnsi="Garamond" w:cs="Arial"/>
          <w:b/>
          <w:bCs/>
        </w:rPr>
      </w:pPr>
      <w:r w:rsidRPr="00104F9A">
        <w:rPr>
          <w:rFonts w:ascii="Garamond" w:hAnsi="Garamond" w:cs="Arial"/>
          <w:b/>
          <w:bCs/>
        </w:rPr>
        <w:t>Accionante:</w:t>
      </w:r>
      <w:r w:rsidRPr="00104F9A">
        <w:rPr>
          <w:rFonts w:ascii="Garamond" w:hAnsi="Garamond" w:cs="Arial"/>
          <w:b/>
          <w:bCs/>
        </w:rPr>
        <w:tab/>
      </w:r>
      <w:bookmarkStart w:id="2" w:name="_Hlk73776620"/>
      <w:r w:rsidR="00BB196F" w:rsidRPr="00104F9A">
        <w:rPr>
          <w:rFonts w:ascii="Garamond" w:hAnsi="Garamond" w:cs="Arial"/>
        </w:rPr>
        <w:t>Alex Humberto Cardozo Martínez</w:t>
      </w:r>
      <w:bookmarkEnd w:id="2"/>
      <w:r w:rsidR="008F6143" w:rsidRPr="00104F9A">
        <w:rPr>
          <w:rFonts w:ascii="Garamond" w:hAnsi="Garamond" w:cs="Arial"/>
        </w:rPr>
        <w:t>.</w:t>
      </w:r>
      <w:r w:rsidR="00216AED" w:rsidRPr="00104F9A">
        <w:rPr>
          <w:rFonts w:ascii="Garamond" w:hAnsi="Garamond" w:cs="Arial"/>
        </w:rPr>
        <w:t xml:space="preserve"> </w:t>
      </w:r>
    </w:p>
    <w:p w14:paraId="38EBADA6" w14:textId="6F845D7A" w:rsidR="00596AC0" w:rsidRPr="00104F9A" w:rsidRDefault="006F73F4" w:rsidP="00A069BB">
      <w:pPr>
        <w:tabs>
          <w:tab w:val="left" w:pos="2977"/>
          <w:tab w:val="left" w:pos="5103"/>
        </w:tabs>
        <w:spacing w:line="360" w:lineRule="auto"/>
        <w:ind w:left="1985" w:right="902" w:hanging="1418"/>
        <w:jc w:val="both"/>
        <w:rPr>
          <w:rFonts w:ascii="Garamond" w:hAnsi="Garamond" w:cs="Arial"/>
        </w:rPr>
      </w:pPr>
      <w:r w:rsidRPr="00104F9A">
        <w:rPr>
          <w:rFonts w:ascii="Garamond" w:hAnsi="Garamond" w:cs="Arial"/>
          <w:b/>
          <w:bCs/>
        </w:rPr>
        <w:t>Accionad</w:t>
      </w:r>
      <w:r w:rsidR="00A10067" w:rsidRPr="00104F9A">
        <w:rPr>
          <w:rFonts w:ascii="Garamond" w:hAnsi="Garamond" w:cs="Arial"/>
          <w:b/>
          <w:bCs/>
        </w:rPr>
        <w:t>a</w:t>
      </w:r>
      <w:r w:rsidRPr="00104F9A">
        <w:rPr>
          <w:rFonts w:ascii="Garamond" w:hAnsi="Garamond" w:cs="Arial"/>
          <w:b/>
          <w:bCs/>
        </w:rPr>
        <w:t xml:space="preserve">: </w:t>
      </w:r>
      <w:r w:rsidRPr="00104F9A">
        <w:rPr>
          <w:rFonts w:ascii="Garamond" w:hAnsi="Garamond" w:cs="Arial"/>
          <w:b/>
          <w:bCs/>
        </w:rPr>
        <w:tab/>
      </w:r>
      <w:bookmarkStart w:id="3" w:name="_Hlk50116049"/>
      <w:r w:rsidR="00BB196F" w:rsidRPr="00104F9A">
        <w:rPr>
          <w:rFonts w:ascii="Garamond" w:hAnsi="Garamond" w:cs="Arial"/>
        </w:rPr>
        <w:t>Juzgado Trece de Pequeñas Causas y Competencias</w:t>
      </w:r>
      <w:r w:rsidR="008C6DBA" w:rsidRPr="00104F9A">
        <w:rPr>
          <w:rFonts w:ascii="Garamond" w:hAnsi="Garamond" w:cs="Arial"/>
        </w:rPr>
        <w:t xml:space="preserve"> Múltiples de Bogota</w:t>
      </w:r>
      <w:r w:rsidR="00A74787" w:rsidRPr="00104F9A">
        <w:rPr>
          <w:rFonts w:ascii="Garamond" w:hAnsi="Garamond" w:cs="Arial"/>
        </w:rPr>
        <w:t>, D.C</w:t>
      </w:r>
      <w:r w:rsidR="00A10067" w:rsidRPr="00104F9A">
        <w:rPr>
          <w:rFonts w:ascii="Garamond" w:hAnsi="Garamond" w:cs="Arial"/>
        </w:rPr>
        <w:t>.</w:t>
      </w:r>
      <w:r w:rsidR="002565ED" w:rsidRPr="00104F9A">
        <w:rPr>
          <w:rFonts w:ascii="Garamond" w:hAnsi="Garamond" w:cs="Arial"/>
        </w:rPr>
        <w:t xml:space="preserve"> </w:t>
      </w:r>
    </w:p>
    <w:bookmarkEnd w:id="3"/>
    <w:p w14:paraId="704F9781" w14:textId="77777777" w:rsidR="006F73F4" w:rsidRPr="00104F9A" w:rsidRDefault="006F73F4" w:rsidP="00A069BB">
      <w:pPr>
        <w:tabs>
          <w:tab w:val="left" w:pos="284"/>
        </w:tabs>
        <w:jc w:val="both"/>
        <w:rPr>
          <w:rFonts w:ascii="Garamond" w:hAnsi="Garamond" w:cs="Arial"/>
          <w:bCs/>
          <w:sz w:val="28"/>
          <w:szCs w:val="28"/>
        </w:rPr>
      </w:pPr>
    </w:p>
    <w:p w14:paraId="38741C0F" w14:textId="77777777" w:rsidR="006F73F4" w:rsidRPr="00104F9A" w:rsidRDefault="006F73F4" w:rsidP="00A069BB">
      <w:pPr>
        <w:tabs>
          <w:tab w:val="left" w:pos="284"/>
        </w:tabs>
        <w:spacing w:line="360" w:lineRule="auto"/>
        <w:jc w:val="center"/>
        <w:rPr>
          <w:rFonts w:ascii="Garamond" w:hAnsi="Garamond" w:cs="Arial"/>
          <w:b/>
          <w:sz w:val="28"/>
          <w:szCs w:val="28"/>
        </w:rPr>
      </w:pPr>
      <w:r w:rsidRPr="00104F9A">
        <w:rPr>
          <w:rFonts w:ascii="Garamond" w:hAnsi="Garamond" w:cs="Arial"/>
          <w:bCs/>
          <w:sz w:val="28"/>
          <w:szCs w:val="28"/>
        </w:rPr>
        <w:t>Magistrada Sustanciadora:</w:t>
      </w:r>
      <w:r w:rsidRPr="00104F9A">
        <w:rPr>
          <w:rFonts w:ascii="Garamond" w:hAnsi="Garamond" w:cs="Arial"/>
          <w:b/>
          <w:sz w:val="28"/>
          <w:szCs w:val="28"/>
        </w:rPr>
        <w:t xml:space="preserve"> ADRIANA AYALA PULGARÍN</w:t>
      </w:r>
    </w:p>
    <w:p w14:paraId="59655060" w14:textId="77777777" w:rsidR="006F73F4" w:rsidRPr="00104F9A" w:rsidRDefault="006F73F4" w:rsidP="00A069BB">
      <w:pPr>
        <w:tabs>
          <w:tab w:val="left" w:pos="284"/>
        </w:tabs>
        <w:jc w:val="center"/>
        <w:rPr>
          <w:rFonts w:ascii="Garamond" w:hAnsi="Garamond" w:cs="Arial"/>
          <w:b/>
          <w:sz w:val="28"/>
          <w:szCs w:val="28"/>
        </w:rPr>
      </w:pPr>
    </w:p>
    <w:p w14:paraId="1EC9666B" w14:textId="66210B2F" w:rsidR="006F73F4" w:rsidRPr="00104F9A" w:rsidRDefault="00EA2AE2" w:rsidP="00A069BB">
      <w:pPr>
        <w:tabs>
          <w:tab w:val="left" w:pos="284"/>
        </w:tabs>
        <w:spacing w:line="360" w:lineRule="auto"/>
        <w:jc w:val="center"/>
        <w:rPr>
          <w:rFonts w:ascii="Garamond" w:hAnsi="Garamond" w:cs="Arial"/>
          <w:b/>
          <w:sz w:val="28"/>
          <w:szCs w:val="28"/>
        </w:rPr>
      </w:pPr>
      <w:r w:rsidRPr="00104F9A">
        <w:rPr>
          <w:rFonts w:ascii="Garamond" w:hAnsi="Garamond" w:cs="Arial"/>
          <w:bCs/>
          <w:sz w:val="28"/>
          <w:szCs w:val="28"/>
        </w:rPr>
        <w:t xml:space="preserve">[Discutido y aprobado en sesión de Sala de </w:t>
      </w:r>
      <w:r w:rsidR="0024623B" w:rsidRPr="00104F9A">
        <w:rPr>
          <w:rFonts w:ascii="Garamond" w:hAnsi="Garamond" w:cs="Arial"/>
          <w:bCs/>
          <w:sz w:val="28"/>
          <w:szCs w:val="28"/>
        </w:rPr>
        <w:t>la misma fecha</w:t>
      </w:r>
      <w:r w:rsidR="006D1B20" w:rsidRPr="00104F9A">
        <w:rPr>
          <w:rFonts w:ascii="Garamond" w:hAnsi="Garamond" w:cs="Arial"/>
          <w:bCs/>
          <w:sz w:val="28"/>
          <w:szCs w:val="28"/>
        </w:rPr>
        <w:t xml:space="preserve"> </w:t>
      </w:r>
      <w:r w:rsidRPr="00104F9A">
        <w:rPr>
          <w:rFonts w:ascii="Garamond" w:hAnsi="Garamond" w:cs="Arial"/>
          <w:bCs/>
          <w:sz w:val="28"/>
          <w:szCs w:val="28"/>
        </w:rPr>
        <w:t xml:space="preserve">acta No. </w:t>
      </w:r>
      <w:r w:rsidR="008C6DBA" w:rsidRPr="00104F9A">
        <w:rPr>
          <w:rFonts w:ascii="Garamond" w:hAnsi="Garamond" w:cs="Arial"/>
          <w:bCs/>
          <w:sz w:val="28"/>
          <w:szCs w:val="28"/>
        </w:rPr>
        <w:t>23</w:t>
      </w:r>
      <w:r w:rsidRPr="00104F9A">
        <w:rPr>
          <w:rFonts w:ascii="Garamond" w:hAnsi="Garamond" w:cs="Arial"/>
          <w:bCs/>
          <w:sz w:val="28"/>
          <w:szCs w:val="28"/>
        </w:rPr>
        <w:t>]</w:t>
      </w:r>
    </w:p>
    <w:p w14:paraId="2F6ACDCB" w14:textId="440314BF" w:rsidR="006F73F4" w:rsidRPr="00104F9A" w:rsidRDefault="006F73F4" w:rsidP="00A069BB">
      <w:pPr>
        <w:tabs>
          <w:tab w:val="left" w:pos="284"/>
        </w:tabs>
        <w:jc w:val="both"/>
        <w:rPr>
          <w:rFonts w:ascii="Garamond" w:hAnsi="Garamond" w:cs="Arial"/>
          <w:sz w:val="28"/>
          <w:szCs w:val="28"/>
        </w:rPr>
      </w:pPr>
    </w:p>
    <w:p w14:paraId="453FADF1" w14:textId="3A5F60C3" w:rsidR="00A74787" w:rsidRPr="00104F9A" w:rsidRDefault="00A74787" w:rsidP="00A069BB">
      <w:pPr>
        <w:tabs>
          <w:tab w:val="left" w:pos="284"/>
        </w:tabs>
        <w:spacing w:line="360" w:lineRule="auto"/>
        <w:jc w:val="center"/>
        <w:rPr>
          <w:rFonts w:ascii="Garamond" w:hAnsi="Garamond" w:cs="Arial"/>
          <w:b/>
          <w:bCs/>
          <w:sz w:val="28"/>
          <w:szCs w:val="28"/>
        </w:rPr>
      </w:pPr>
      <w:r w:rsidRPr="00104F9A">
        <w:rPr>
          <w:rFonts w:ascii="Garamond" w:hAnsi="Garamond" w:cs="Arial"/>
          <w:b/>
          <w:bCs/>
          <w:sz w:val="28"/>
          <w:szCs w:val="28"/>
        </w:rPr>
        <w:t>OBJETO DE LA DECISIÓN</w:t>
      </w:r>
    </w:p>
    <w:p w14:paraId="18537E13" w14:textId="77777777" w:rsidR="00A74787" w:rsidRPr="00104F9A" w:rsidRDefault="00A74787" w:rsidP="00A069BB">
      <w:pPr>
        <w:tabs>
          <w:tab w:val="left" w:pos="284"/>
        </w:tabs>
        <w:jc w:val="both"/>
        <w:rPr>
          <w:rFonts w:ascii="Garamond" w:hAnsi="Garamond" w:cs="Arial"/>
          <w:bCs/>
          <w:sz w:val="28"/>
          <w:szCs w:val="28"/>
        </w:rPr>
      </w:pPr>
    </w:p>
    <w:p w14:paraId="2F65C40E" w14:textId="5436F61C" w:rsidR="006F73F4" w:rsidRPr="00104F9A" w:rsidRDefault="00A74787" w:rsidP="00A069BB">
      <w:pPr>
        <w:tabs>
          <w:tab w:val="left" w:pos="284"/>
        </w:tabs>
        <w:spacing w:line="360" w:lineRule="auto"/>
        <w:ind w:firstLine="567"/>
        <w:jc w:val="both"/>
        <w:rPr>
          <w:rFonts w:ascii="Garamond" w:hAnsi="Garamond" w:cs="Arial"/>
          <w:b/>
          <w:sz w:val="28"/>
          <w:szCs w:val="28"/>
        </w:rPr>
      </w:pPr>
      <w:r w:rsidRPr="00104F9A">
        <w:rPr>
          <w:rFonts w:ascii="Garamond" w:hAnsi="Garamond" w:cs="Arial"/>
          <w:bCs/>
          <w:sz w:val="28"/>
          <w:szCs w:val="28"/>
        </w:rPr>
        <w:t>Resolver</w:t>
      </w:r>
      <w:r w:rsidR="006F73F4" w:rsidRPr="00104F9A">
        <w:rPr>
          <w:rFonts w:ascii="Garamond" w:hAnsi="Garamond" w:cs="Arial"/>
          <w:bCs/>
          <w:sz w:val="28"/>
          <w:szCs w:val="28"/>
        </w:rPr>
        <w:t xml:space="preserve"> la impugnación interpuesta por</w:t>
      </w:r>
      <w:r w:rsidR="004A08DC" w:rsidRPr="00104F9A">
        <w:rPr>
          <w:rFonts w:ascii="Garamond" w:hAnsi="Garamond" w:cs="Arial"/>
          <w:bCs/>
          <w:sz w:val="28"/>
          <w:szCs w:val="28"/>
        </w:rPr>
        <w:t xml:space="preserve"> </w:t>
      </w:r>
      <w:r w:rsidR="008C6DBA" w:rsidRPr="00104F9A">
        <w:rPr>
          <w:rFonts w:ascii="Garamond" w:hAnsi="Garamond" w:cs="Arial"/>
          <w:bCs/>
          <w:sz w:val="28"/>
          <w:szCs w:val="28"/>
        </w:rPr>
        <w:t>Alex Humberto Cardozo Martínez</w:t>
      </w:r>
      <w:r w:rsidRPr="00104F9A">
        <w:rPr>
          <w:rFonts w:ascii="Garamond" w:hAnsi="Garamond" w:cs="Arial"/>
          <w:bCs/>
          <w:sz w:val="28"/>
          <w:szCs w:val="28"/>
        </w:rPr>
        <w:t xml:space="preserve"> [accionante]</w:t>
      </w:r>
      <w:r w:rsidR="00743AEC" w:rsidRPr="00104F9A">
        <w:rPr>
          <w:rFonts w:ascii="Garamond" w:hAnsi="Garamond" w:cs="Arial"/>
          <w:bCs/>
          <w:sz w:val="28"/>
          <w:szCs w:val="28"/>
        </w:rPr>
        <w:t xml:space="preserve">, </w:t>
      </w:r>
      <w:r w:rsidR="006F73F4" w:rsidRPr="00104F9A">
        <w:rPr>
          <w:rFonts w:ascii="Garamond" w:hAnsi="Garamond" w:cs="Arial"/>
          <w:bCs/>
          <w:sz w:val="28"/>
          <w:szCs w:val="28"/>
        </w:rPr>
        <w:t>contra</w:t>
      </w:r>
      <w:r w:rsidR="00AB263B" w:rsidRPr="00104F9A">
        <w:rPr>
          <w:rFonts w:ascii="Garamond" w:hAnsi="Garamond" w:cs="Arial"/>
          <w:bCs/>
          <w:sz w:val="28"/>
          <w:szCs w:val="28"/>
        </w:rPr>
        <w:t xml:space="preserve"> </w:t>
      </w:r>
      <w:bookmarkStart w:id="4" w:name="_Hlk71527915"/>
      <w:bookmarkStart w:id="5" w:name="_Hlk66955519"/>
      <w:r w:rsidRPr="00104F9A">
        <w:rPr>
          <w:rFonts w:ascii="Garamond" w:hAnsi="Garamond" w:cs="Arial"/>
          <w:bCs/>
          <w:sz w:val="28"/>
          <w:szCs w:val="28"/>
        </w:rPr>
        <w:t>el fallo</w:t>
      </w:r>
      <w:r w:rsidR="006F73F4" w:rsidRPr="00104F9A">
        <w:rPr>
          <w:rFonts w:ascii="Garamond" w:hAnsi="Garamond" w:cs="Arial"/>
          <w:bCs/>
          <w:sz w:val="28"/>
          <w:szCs w:val="28"/>
        </w:rPr>
        <w:t xml:space="preserve"> </w:t>
      </w:r>
      <w:bookmarkStart w:id="6" w:name="_Hlk68230193"/>
      <w:r w:rsidR="006F73F4" w:rsidRPr="00104F9A">
        <w:rPr>
          <w:rFonts w:ascii="Garamond" w:hAnsi="Garamond" w:cs="Arial"/>
          <w:bCs/>
          <w:sz w:val="28"/>
          <w:szCs w:val="28"/>
        </w:rPr>
        <w:t xml:space="preserve">de </w:t>
      </w:r>
      <w:bookmarkStart w:id="7" w:name="_Hlk42025505"/>
      <w:r w:rsidR="00BF4867" w:rsidRPr="00104F9A">
        <w:rPr>
          <w:rFonts w:ascii="Garamond" w:hAnsi="Garamond" w:cs="Arial"/>
          <w:bCs/>
          <w:sz w:val="28"/>
          <w:szCs w:val="28"/>
        </w:rPr>
        <w:t>21</w:t>
      </w:r>
      <w:r w:rsidR="008B4939" w:rsidRPr="00104F9A">
        <w:rPr>
          <w:rFonts w:ascii="Garamond" w:hAnsi="Garamond" w:cs="Arial"/>
          <w:bCs/>
          <w:sz w:val="28"/>
          <w:szCs w:val="28"/>
        </w:rPr>
        <w:t xml:space="preserve"> de</w:t>
      </w:r>
      <w:r w:rsidR="00BF4867" w:rsidRPr="00104F9A">
        <w:rPr>
          <w:rFonts w:ascii="Garamond" w:hAnsi="Garamond" w:cs="Arial"/>
          <w:bCs/>
          <w:sz w:val="28"/>
          <w:szCs w:val="28"/>
        </w:rPr>
        <w:t xml:space="preserve"> </w:t>
      </w:r>
      <w:r w:rsidR="00BE3D61" w:rsidRPr="00104F9A">
        <w:rPr>
          <w:rFonts w:ascii="Garamond" w:hAnsi="Garamond" w:cs="Arial"/>
          <w:bCs/>
          <w:sz w:val="28"/>
          <w:szCs w:val="28"/>
        </w:rPr>
        <w:t>mayo</w:t>
      </w:r>
      <w:r w:rsidR="001D5FF7" w:rsidRPr="00104F9A">
        <w:rPr>
          <w:rFonts w:ascii="Garamond" w:hAnsi="Garamond" w:cs="Arial"/>
          <w:bCs/>
          <w:sz w:val="28"/>
          <w:szCs w:val="28"/>
        </w:rPr>
        <w:t xml:space="preserve"> </w:t>
      </w:r>
      <w:r w:rsidR="008B4939" w:rsidRPr="00104F9A">
        <w:rPr>
          <w:rFonts w:ascii="Garamond" w:hAnsi="Garamond" w:cs="Arial"/>
          <w:bCs/>
          <w:sz w:val="28"/>
          <w:szCs w:val="28"/>
        </w:rPr>
        <w:t>de 202</w:t>
      </w:r>
      <w:r w:rsidR="00FD5718" w:rsidRPr="00104F9A">
        <w:rPr>
          <w:rFonts w:ascii="Garamond" w:hAnsi="Garamond" w:cs="Arial"/>
          <w:bCs/>
          <w:sz w:val="28"/>
          <w:szCs w:val="28"/>
        </w:rPr>
        <w:t>1</w:t>
      </w:r>
      <w:r w:rsidR="006F73F4" w:rsidRPr="00104F9A">
        <w:rPr>
          <w:rFonts w:ascii="Garamond" w:hAnsi="Garamond" w:cs="Arial"/>
          <w:bCs/>
          <w:sz w:val="28"/>
          <w:szCs w:val="28"/>
        </w:rPr>
        <w:t>, proferid</w:t>
      </w:r>
      <w:r w:rsidR="00A069BB" w:rsidRPr="00104F9A">
        <w:rPr>
          <w:rFonts w:ascii="Garamond" w:hAnsi="Garamond" w:cs="Arial"/>
          <w:bCs/>
          <w:sz w:val="28"/>
          <w:szCs w:val="28"/>
        </w:rPr>
        <w:t>o</w:t>
      </w:r>
      <w:r w:rsidR="006F73F4" w:rsidRPr="00104F9A">
        <w:rPr>
          <w:rFonts w:ascii="Garamond" w:hAnsi="Garamond" w:cs="Arial"/>
          <w:bCs/>
          <w:sz w:val="28"/>
          <w:szCs w:val="28"/>
        </w:rPr>
        <w:t xml:space="preserve"> por el Juzgado </w:t>
      </w:r>
      <w:r w:rsidR="00BF4867" w:rsidRPr="00104F9A">
        <w:rPr>
          <w:rFonts w:ascii="Garamond" w:hAnsi="Garamond" w:cs="Arial"/>
          <w:bCs/>
          <w:sz w:val="28"/>
          <w:szCs w:val="28"/>
        </w:rPr>
        <w:t>Trece</w:t>
      </w:r>
      <w:r w:rsidR="00247CE2" w:rsidRPr="00104F9A">
        <w:rPr>
          <w:rFonts w:ascii="Garamond" w:hAnsi="Garamond" w:cs="Arial"/>
          <w:bCs/>
          <w:sz w:val="28"/>
          <w:szCs w:val="28"/>
        </w:rPr>
        <w:t xml:space="preserve"> </w:t>
      </w:r>
      <w:r w:rsidR="006F73F4" w:rsidRPr="00104F9A">
        <w:rPr>
          <w:rFonts w:ascii="Garamond" w:hAnsi="Garamond" w:cs="Arial"/>
          <w:bCs/>
          <w:sz w:val="28"/>
          <w:szCs w:val="28"/>
        </w:rPr>
        <w:t>Civil del Circuito</w:t>
      </w:r>
      <w:bookmarkEnd w:id="4"/>
      <w:bookmarkEnd w:id="5"/>
      <w:bookmarkEnd w:id="6"/>
      <w:bookmarkEnd w:id="7"/>
      <w:r w:rsidR="00247CE2" w:rsidRPr="00104F9A">
        <w:rPr>
          <w:rFonts w:ascii="Garamond" w:hAnsi="Garamond" w:cs="Arial"/>
          <w:bCs/>
          <w:sz w:val="28"/>
          <w:szCs w:val="28"/>
        </w:rPr>
        <w:t xml:space="preserve"> de Bogotá</w:t>
      </w:r>
      <w:r w:rsidR="00A069BB" w:rsidRPr="00104F9A">
        <w:rPr>
          <w:rFonts w:ascii="Garamond" w:hAnsi="Garamond" w:cs="Arial"/>
          <w:bCs/>
          <w:sz w:val="28"/>
          <w:szCs w:val="28"/>
        </w:rPr>
        <w:t>,</w:t>
      </w:r>
      <w:r w:rsidRPr="00104F9A">
        <w:rPr>
          <w:rFonts w:ascii="Garamond" w:hAnsi="Garamond" w:cs="Arial"/>
          <w:bCs/>
          <w:sz w:val="28"/>
          <w:szCs w:val="28"/>
        </w:rPr>
        <w:t xml:space="preserve"> dentro del asunto bajo epígrafe</w:t>
      </w:r>
      <w:r w:rsidR="006F73F4" w:rsidRPr="00104F9A">
        <w:rPr>
          <w:rFonts w:ascii="Garamond" w:hAnsi="Garamond" w:cs="Arial"/>
          <w:bCs/>
          <w:sz w:val="28"/>
          <w:szCs w:val="28"/>
        </w:rPr>
        <w:t>.</w:t>
      </w:r>
    </w:p>
    <w:p w14:paraId="6E1F28B9" w14:textId="77777777" w:rsidR="006F73F4" w:rsidRPr="00104F9A" w:rsidRDefault="006F73F4" w:rsidP="00A069BB">
      <w:pPr>
        <w:pStyle w:val="Subttulo"/>
        <w:tabs>
          <w:tab w:val="left" w:pos="284"/>
        </w:tabs>
        <w:spacing w:line="240" w:lineRule="auto"/>
        <w:jc w:val="both"/>
        <w:rPr>
          <w:rFonts w:ascii="Garamond" w:hAnsi="Garamond" w:cs="Arial"/>
          <w:szCs w:val="28"/>
          <w:lang w:val="es-ES"/>
        </w:rPr>
      </w:pPr>
    </w:p>
    <w:p w14:paraId="3C6A20AB" w14:textId="6C57C8C0" w:rsidR="006F73F4" w:rsidRPr="00104F9A" w:rsidRDefault="006F73F4" w:rsidP="00A069BB">
      <w:pPr>
        <w:pStyle w:val="Subttulo"/>
        <w:rPr>
          <w:rFonts w:ascii="Garamond" w:hAnsi="Garamond" w:cs="Arial"/>
          <w:szCs w:val="28"/>
          <w:lang w:val="es-ES"/>
        </w:rPr>
      </w:pPr>
      <w:r w:rsidRPr="00104F9A">
        <w:rPr>
          <w:rFonts w:ascii="Garamond" w:hAnsi="Garamond" w:cs="Arial"/>
          <w:szCs w:val="28"/>
          <w:lang w:val="es-ES"/>
        </w:rPr>
        <w:t>ANTECEDENTES</w:t>
      </w:r>
    </w:p>
    <w:p w14:paraId="4E74037B" w14:textId="77777777" w:rsidR="006F73F4" w:rsidRPr="00104F9A" w:rsidRDefault="006F73F4" w:rsidP="00A069BB">
      <w:pPr>
        <w:pStyle w:val="Prrafodelista"/>
        <w:tabs>
          <w:tab w:val="left" w:pos="284"/>
        </w:tabs>
        <w:ind w:left="0"/>
        <w:jc w:val="both"/>
        <w:rPr>
          <w:rFonts w:ascii="Garamond" w:hAnsi="Garamond" w:cs="Arial"/>
          <w:sz w:val="28"/>
          <w:szCs w:val="28"/>
        </w:rPr>
      </w:pPr>
    </w:p>
    <w:p w14:paraId="2A319922" w14:textId="33EC2764" w:rsidR="00057B31" w:rsidRPr="00104F9A" w:rsidRDefault="00BE3D61" w:rsidP="00A069BB">
      <w:pPr>
        <w:pStyle w:val="Prrafodelista"/>
        <w:numPr>
          <w:ilvl w:val="0"/>
          <w:numId w:val="15"/>
        </w:numPr>
        <w:tabs>
          <w:tab w:val="left" w:pos="993"/>
        </w:tabs>
        <w:spacing w:line="360" w:lineRule="auto"/>
        <w:ind w:left="0" w:firstLine="567"/>
        <w:jc w:val="both"/>
        <w:rPr>
          <w:rFonts w:ascii="Garamond" w:hAnsi="Garamond" w:cs="Arial"/>
          <w:i/>
          <w:iCs/>
          <w:sz w:val="28"/>
          <w:szCs w:val="28"/>
        </w:rPr>
      </w:pPr>
      <w:r w:rsidRPr="00104F9A">
        <w:rPr>
          <w:rFonts w:ascii="Garamond" w:hAnsi="Garamond" w:cs="Arial"/>
          <w:sz w:val="28"/>
          <w:szCs w:val="28"/>
        </w:rPr>
        <w:t>El</w:t>
      </w:r>
      <w:r w:rsidR="00C816FB" w:rsidRPr="00104F9A">
        <w:rPr>
          <w:rFonts w:ascii="Garamond" w:hAnsi="Garamond" w:cs="Arial"/>
          <w:sz w:val="28"/>
          <w:szCs w:val="28"/>
        </w:rPr>
        <w:t xml:space="preserve"> accionante implor</w:t>
      </w:r>
      <w:r w:rsidR="00675FC5" w:rsidRPr="00104F9A">
        <w:rPr>
          <w:rFonts w:ascii="Garamond" w:hAnsi="Garamond" w:cs="Arial"/>
          <w:sz w:val="28"/>
          <w:szCs w:val="28"/>
        </w:rPr>
        <w:t>ó</w:t>
      </w:r>
      <w:r w:rsidR="00A10067" w:rsidRPr="00104F9A">
        <w:rPr>
          <w:rFonts w:ascii="Garamond" w:hAnsi="Garamond" w:cs="Arial"/>
          <w:sz w:val="28"/>
          <w:szCs w:val="28"/>
        </w:rPr>
        <w:t xml:space="preserve"> </w:t>
      </w:r>
      <w:r w:rsidR="006D1B20" w:rsidRPr="00104F9A">
        <w:rPr>
          <w:rFonts w:ascii="Garamond" w:hAnsi="Garamond" w:cs="Arial"/>
          <w:sz w:val="28"/>
          <w:szCs w:val="28"/>
        </w:rPr>
        <w:t>la protección de</w:t>
      </w:r>
      <w:r w:rsidR="00C816FB" w:rsidRPr="00104F9A">
        <w:rPr>
          <w:rFonts w:ascii="Garamond" w:hAnsi="Garamond" w:cs="Arial"/>
          <w:sz w:val="28"/>
          <w:szCs w:val="28"/>
        </w:rPr>
        <w:t xml:space="preserve"> su</w:t>
      </w:r>
      <w:r w:rsidRPr="00104F9A">
        <w:rPr>
          <w:rFonts w:ascii="Garamond" w:hAnsi="Garamond" w:cs="Arial"/>
          <w:sz w:val="28"/>
          <w:szCs w:val="28"/>
        </w:rPr>
        <w:t>s</w:t>
      </w:r>
      <w:r w:rsidR="00F36694" w:rsidRPr="00104F9A">
        <w:rPr>
          <w:rFonts w:ascii="Garamond" w:hAnsi="Garamond" w:cs="Arial"/>
          <w:sz w:val="28"/>
          <w:szCs w:val="28"/>
        </w:rPr>
        <w:t xml:space="preserve"> d</w:t>
      </w:r>
      <w:r w:rsidR="006D1B20" w:rsidRPr="00104F9A">
        <w:rPr>
          <w:rFonts w:ascii="Garamond" w:hAnsi="Garamond" w:cs="Arial"/>
          <w:sz w:val="28"/>
          <w:szCs w:val="28"/>
        </w:rPr>
        <w:t>erecho</w:t>
      </w:r>
      <w:r w:rsidRPr="00104F9A">
        <w:rPr>
          <w:rFonts w:ascii="Garamond" w:hAnsi="Garamond" w:cs="Arial"/>
          <w:sz w:val="28"/>
          <w:szCs w:val="28"/>
        </w:rPr>
        <w:t>s</w:t>
      </w:r>
      <w:r w:rsidR="006D1B20" w:rsidRPr="00104F9A">
        <w:rPr>
          <w:rFonts w:ascii="Garamond" w:hAnsi="Garamond" w:cs="Arial"/>
          <w:sz w:val="28"/>
          <w:szCs w:val="28"/>
        </w:rPr>
        <w:t xml:space="preserve"> fundamental</w:t>
      </w:r>
      <w:r w:rsidRPr="00104F9A">
        <w:rPr>
          <w:rFonts w:ascii="Garamond" w:hAnsi="Garamond" w:cs="Arial"/>
          <w:sz w:val="28"/>
          <w:szCs w:val="28"/>
        </w:rPr>
        <w:t>es</w:t>
      </w:r>
      <w:r w:rsidR="00057B31" w:rsidRPr="00104F9A">
        <w:rPr>
          <w:rFonts w:ascii="Garamond" w:hAnsi="Garamond" w:cs="Arial"/>
          <w:sz w:val="28"/>
          <w:szCs w:val="28"/>
        </w:rPr>
        <w:t xml:space="preserve"> al</w:t>
      </w:r>
      <w:r w:rsidR="00BF4867" w:rsidRPr="00104F9A">
        <w:rPr>
          <w:rFonts w:ascii="Garamond" w:hAnsi="Garamond" w:cs="Arial"/>
          <w:sz w:val="28"/>
          <w:szCs w:val="28"/>
        </w:rPr>
        <w:t xml:space="preserve"> debido proceso, </w:t>
      </w:r>
      <w:r w:rsidR="008C6DBA" w:rsidRPr="00104F9A">
        <w:rPr>
          <w:rFonts w:ascii="Garamond" w:hAnsi="Garamond" w:cs="Arial"/>
          <w:sz w:val="28"/>
          <w:szCs w:val="28"/>
        </w:rPr>
        <w:t>así como</w:t>
      </w:r>
      <w:r w:rsidR="00BF4867" w:rsidRPr="00104F9A">
        <w:rPr>
          <w:rFonts w:ascii="Garamond" w:hAnsi="Garamond" w:cs="Arial"/>
          <w:sz w:val="28"/>
          <w:szCs w:val="28"/>
        </w:rPr>
        <w:t xml:space="preserve"> acceso a la administración de justicia </w:t>
      </w:r>
      <w:r w:rsidR="00057B31" w:rsidRPr="00104F9A">
        <w:rPr>
          <w:rFonts w:ascii="Garamond" w:hAnsi="Garamond" w:cs="Arial"/>
          <w:sz w:val="28"/>
          <w:szCs w:val="28"/>
        </w:rPr>
        <w:t>y</w:t>
      </w:r>
      <w:r w:rsidR="007C6AF9" w:rsidRPr="00104F9A">
        <w:rPr>
          <w:rFonts w:ascii="Garamond" w:hAnsi="Garamond" w:cs="Arial"/>
          <w:sz w:val="28"/>
          <w:szCs w:val="28"/>
        </w:rPr>
        <w:t>,</w:t>
      </w:r>
      <w:r w:rsidR="009E31FA" w:rsidRPr="00104F9A">
        <w:rPr>
          <w:rFonts w:ascii="Garamond" w:hAnsi="Garamond" w:cs="Arial"/>
          <w:sz w:val="28"/>
          <w:szCs w:val="28"/>
        </w:rPr>
        <w:t xml:space="preserve"> </w:t>
      </w:r>
      <w:r w:rsidR="000F6B4C" w:rsidRPr="00104F9A">
        <w:rPr>
          <w:rFonts w:ascii="Garamond" w:hAnsi="Garamond" w:cs="Arial"/>
          <w:sz w:val="28"/>
          <w:szCs w:val="28"/>
        </w:rPr>
        <w:t>en</w:t>
      </w:r>
      <w:r w:rsidR="009E31FA" w:rsidRPr="00104F9A">
        <w:rPr>
          <w:rFonts w:ascii="Garamond" w:hAnsi="Garamond" w:cs="Arial"/>
          <w:sz w:val="28"/>
          <w:szCs w:val="28"/>
        </w:rPr>
        <w:t xml:space="preserve"> consecuencia</w:t>
      </w:r>
      <w:r w:rsidR="007C6AF9" w:rsidRPr="00104F9A">
        <w:rPr>
          <w:rFonts w:ascii="Garamond" w:hAnsi="Garamond" w:cs="Arial"/>
          <w:sz w:val="28"/>
          <w:szCs w:val="28"/>
        </w:rPr>
        <w:t xml:space="preserve">, </w:t>
      </w:r>
      <w:r w:rsidR="004D17EC" w:rsidRPr="00104F9A">
        <w:rPr>
          <w:rFonts w:ascii="Garamond" w:hAnsi="Garamond" w:cs="Arial"/>
          <w:sz w:val="28"/>
          <w:szCs w:val="28"/>
        </w:rPr>
        <w:t>ordenar</w:t>
      </w:r>
      <w:r w:rsidR="00BF4867" w:rsidRPr="00104F9A">
        <w:rPr>
          <w:rFonts w:ascii="Garamond" w:hAnsi="Garamond" w:cs="Arial"/>
          <w:i/>
          <w:iCs/>
          <w:sz w:val="28"/>
          <w:szCs w:val="28"/>
        </w:rPr>
        <w:t xml:space="preserve"> “</w:t>
      </w:r>
      <w:r w:rsidR="00BF4867" w:rsidRPr="00104F9A">
        <w:rPr>
          <w:rFonts w:ascii="Garamond" w:hAnsi="Garamond"/>
          <w:sz w:val="28"/>
          <w:szCs w:val="28"/>
        </w:rPr>
        <w:t>al</w:t>
      </w:r>
      <w:r w:rsidR="00BF4867" w:rsidRPr="00104F9A">
        <w:rPr>
          <w:rFonts w:ascii="Garamond" w:hAnsi="Garamond" w:cs="Arial"/>
          <w:i/>
          <w:iCs/>
          <w:sz w:val="28"/>
          <w:szCs w:val="28"/>
        </w:rPr>
        <w:t xml:space="preserve"> </w:t>
      </w:r>
      <w:r w:rsidR="008C6DBA" w:rsidRPr="00104F9A">
        <w:rPr>
          <w:rFonts w:ascii="Garamond" w:hAnsi="Garamond" w:cs="Arial"/>
          <w:i/>
          <w:iCs/>
          <w:sz w:val="28"/>
          <w:szCs w:val="28"/>
        </w:rPr>
        <w:t>Juzgado Trece de Pequeñas Causas y Competencias Múltiples de Bogota</w:t>
      </w:r>
      <w:r w:rsidR="00BF4867" w:rsidRPr="00104F9A">
        <w:rPr>
          <w:rFonts w:ascii="Garamond" w:hAnsi="Garamond" w:cs="Arial"/>
          <w:i/>
          <w:iCs/>
          <w:sz w:val="28"/>
          <w:szCs w:val="28"/>
        </w:rPr>
        <w:t xml:space="preserve"> D.C. se sirva revocar la providencia que confirmó el rechazo </w:t>
      </w:r>
      <w:bookmarkStart w:id="8" w:name="_Hlk73776631"/>
      <w:r w:rsidR="00BF4867" w:rsidRPr="00104F9A">
        <w:rPr>
          <w:rFonts w:ascii="Garamond" w:hAnsi="Garamond" w:cs="Arial"/>
          <w:i/>
          <w:iCs/>
          <w:sz w:val="28"/>
          <w:szCs w:val="28"/>
        </w:rPr>
        <w:t>de la demanda con No. de radicado 11001400305520200017100</w:t>
      </w:r>
      <w:bookmarkEnd w:id="8"/>
      <w:r w:rsidR="00BF4867" w:rsidRPr="00104F9A">
        <w:rPr>
          <w:rFonts w:ascii="Garamond" w:hAnsi="Garamond" w:cs="Arial"/>
          <w:i/>
          <w:iCs/>
          <w:sz w:val="28"/>
          <w:szCs w:val="28"/>
        </w:rPr>
        <w:t>, para que, dentro de un término perentorio, dé prelación a este expediente y se sirva emitir la providencia correspondiente</w:t>
      </w:r>
      <w:r w:rsidR="00C35DDF" w:rsidRPr="00104F9A">
        <w:rPr>
          <w:rFonts w:ascii="Garamond" w:hAnsi="Garamond" w:cs="Arial"/>
          <w:i/>
          <w:iCs/>
          <w:sz w:val="28"/>
          <w:szCs w:val="28"/>
        </w:rPr>
        <w:t>”</w:t>
      </w:r>
      <w:r w:rsidR="008C6DBA" w:rsidRPr="00104F9A">
        <w:rPr>
          <w:rFonts w:ascii="Garamond" w:hAnsi="Garamond" w:cs="Arial"/>
          <w:i/>
          <w:iCs/>
          <w:sz w:val="28"/>
          <w:szCs w:val="28"/>
        </w:rPr>
        <w:t>.</w:t>
      </w:r>
    </w:p>
    <w:p w14:paraId="005E6E7B" w14:textId="77777777" w:rsidR="00F05119" w:rsidRPr="00104F9A" w:rsidRDefault="00F05119" w:rsidP="00A069BB">
      <w:pPr>
        <w:pStyle w:val="Prrafodelista"/>
        <w:tabs>
          <w:tab w:val="left" w:pos="993"/>
        </w:tabs>
        <w:ind w:left="0" w:firstLine="567"/>
        <w:jc w:val="both"/>
        <w:rPr>
          <w:rFonts w:ascii="Garamond" w:hAnsi="Garamond" w:cs="Arial"/>
          <w:sz w:val="28"/>
          <w:szCs w:val="28"/>
        </w:rPr>
      </w:pPr>
    </w:p>
    <w:p w14:paraId="6C1D1832" w14:textId="7E773C66" w:rsidR="003C7E95" w:rsidRPr="00104F9A" w:rsidRDefault="006F73F4" w:rsidP="00094F02">
      <w:pPr>
        <w:pStyle w:val="Prrafodelista"/>
        <w:numPr>
          <w:ilvl w:val="0"/>
          <w:numId w:val="15"/>
        </w:numPr>
        <w:tabs>
          <w:tab w:val="left" w:pos="284"/>
          <w:tab w:val="left" w:pos="993"/>
        </w:tabs>
        <w:spacing w:line="360" w:lineRule="auto"/>
        <w:ind w:left="0" w:firstLine="567"/>
        <w:jc w:val="both"/>
        <w:rPr>
          <w:rFonts w:ascii="Garamond" w:hAnsi="Garamond" w:cs="Arial"/>
          <w:sz w:val="28"/>
          <w:szCs w:val="28"/>
        </w:rPr>
      </w:pPr>
      <w:r w:rsidRPr="00104F9A">
        <w:rPr>
          <w:rFonts w:ascii="Garamond" w:hAnsi="Garamond" w:cs="Arial"/>
          <w:sz w:val="28"/>
          <w:szCs w:val="28"/>
        </w:rPr>
        <w:t xml:space="preserve">Como sustento de lo pretendido </w:t>
      </w:r>
      <w:r w:rsidR="009A5C03" w:rsidRPr="00104F9A">
        <w:rPr>
          <w:rFonts w:ascii="Garamond" w:hAnsi="Garamond" w:cs="Arial"/>
          <w:sz w:val="28"/>
          <w:szCs w:val="28"/>
        </w:rPr>
        <w:t>indic</w:t>
      </w:r>
      <w:r w:rsidR="003B100C" w:rsidRPr="00104F9A">
        <w:rPr>
          <w:rFonts w:ascii="Garamond" w:hAnsi="Garamond" w:cs="Arial"/>
          <w:sz w:val="28"/>
          <w:szCs w:val="28"/>
        </w:rPr>
        <w:t>ó</w:t>
      </w:r>
      <w:r w:rsidRPr="00104F9A">
        <w:rPr>
          <w:rFonts w:ascii="Garamond" w:hAnsi="Garamond" w:cs="Arial"/>
          <w:sz w:val="28"/>
          <w:szCs w:val="28"/>
        </w:rPr>
        <w:t>, en síntesis,</w:t>
      </w:r>
      <w:r w:rsidR="00031E02" w:rsidRPr="00104F9A">
        <w:rPr>
          <w:rFonts w:ascii="Garamond" w:hAnsi="Garamond" w:cs="Arial"/>
          <w:sz w:val="28"/>
          <w:szCs w:val="28"/>
        </w:rPr>
        <w:t xml:space="preserve"> </w:t>
      </w:r>
      <w:bookmarkStart w:id="9" w:name="_Hlk71548933"/>
      <w:r w:rsidR="00F506B0" w:rsidRPr="00104F9A">
        <w:rPr>
          <w:rFonts w:ascii="Garamond" w:hAnsi="Garamond" w:cs="Arial"/>
          <w:sz w:val="28"/>
          <w:szCs w:val="28"/>
        </w:rPr>
        <w:t>que</w:t>
      </w:r>
      <w:r w:rsidR="005C2B73" w:rsidRPr="00104F9A">
        <w:rPr>
          <w:rFonts w:ascii="Garamond" w:hAnsi="Garamond" w:cs="Arial"/>
          <w:sz w:val="28"/>
          <w:szCs w:val="28"/>
        </w:rPr>
        <w:t xml:space="preserve"> </w:t>
      </w:r>
      <w:r w:rsidR="008C6DBA" w:rsidRPr="00104F9A">
        <w:rPr>
          <w:rFonts w:ascii="Garamond" w:hAnsi="Garamond" w:cs="Arial"/>
          <w:sz w:val="28"/>
          <w:szCs w:val="28"/>
        </w:rPr>
        <w:t xml:space="preserve">mediante auto de 18 de noviembre de 2020, el juzgado accionado le rechazó una </w:t>
      </w:r>
      <w:r w:rsidR="005C2B73" w:rsidRPr="00104F9A">
        <w:rPr>
          <w:rFonts w:ascii="Garamond" w:hAnsi="Garamond" w:cs="Arial"/>
          <w:sz w:val="28"/>
          <w:szCs w:val="28"/>
        </w:rPr>
        <w:t xml:space="preserve">demanda de protección al </w:t>
      </w:r>
      <w:r w:rsidR="005C2B73" w:rsidRPr="00104F9A">
        <w:rPr>
          <w:rFonts w:ascii="Garamond" w:hAnsi="Garamond" w:cs="Arial"/>
          <w:sz w:val="28"/>
          <w:szCs w:val="28"/>
        </w:rPr>
        <w:lastRenderedPageBreak/>
        <w:t xml:space="preserve">consumidor financiero </w:t>
      </w:r>
      <w:r w:rsidR="008C6DBA" w:rsidRPr="00104F9A">
        <w:rPr>
          <w:rFonts w:ascii="Garamond" w:hAnsi="Garamond" w:cs="Arial"/>
          <w:sz w:val="28"/>
          <w:szCs w:val="28"/>
        </w:rPr>
        <w:t>que presentó</w:t>
      </w:r>
      <w:r w:rsidR="00DA24D1" w:rsidRPr="00104F9A">
        <w:rPr>
          <w:rFonts w:ascii="Garamond" w:hAnsi="Garamond" w:cs="Arial"/>
          <w:sz w:val="28"/>
          <w:szCs w:val="28"/>
        </w:rPr>
        <w:t xml:space="preserve"> en contra de Mapfre Seguros Generales de Colombia Ltda</w:t>
      </w:r>
      <w:r w:rsidR="009262A4">
        <w:rPr>
          <w:rFonts w:ascii="Garamond" w:hAnsi="Garamond" w:cs="Arial"/>
          <w:sz w:val="28"/>
          <w:szCs w:val="28"/>
        </w:rPr>
        <w:t>.</w:t>
      </w:r>
      <w:r w:rsidR="008C6DBA" w:rsidRPr="00104F9A">
        <w:rPr>
          <w:rFonts w:ascii="Garamond" w:hAnsi="Garamond" w:cs="Arial"/>
          <w:sz w:val="28"/>
          <w:szCs w:val="28"/>
        </w:rPr>
        <w:t>,</w:t>
      </w:r>
      <w:r w:rsidR="005C2B73" w:rsidRPr="00104F9A">
        <w:rPr>
          <w:rFonts w:ascii="Garamond" w:hAnsi="Garamond" w:cs="Arial"/>
          <w:sz w:val="28"/>
          <w:szCs w:val="28"/>
        </w:rPr>
        <w:t xml:space="preserve"> </w:t>
      </w:r>
      <w:r w:rsidR="008C6DBA" w:rsidRPr="00104F9A">
        <w:rPr>
          <w:rFonts w:ascii="Garamond" w:hAnsi="Garamond" w:cs="Arial"/>
          <w:sz w:val="28"/>
          <w:szCs w:val="28"/>
        </w:rPr>
        <w:t>argumentando</w:t>
      </w:r>
      <w:r w:rsidR="005C2B73" w:rsidRPr="00104F9A">
        <w:rPr>
          <w:rFonts w:ascii="Garamond" w:hAnsi="Garamond" w:cs="Arial"/>
          <w:sz w:val="28"/>
          <w:szCs w:val="28"/>
        </w:rPr>
        <w:t xml:space="preserve"> que no</w:t>
      </w:r>
      <w:r w:rsidR="008C6DBA" w:rsidRPr="00104F9A">
        <w:rPr>
          <w:rFonts w:ascii="Garamond" w:hAnsi="Garamond" w:cs="Arial"/>
          <w:sz w:val="28"/>
          <w:szCs w:val="28"/>
        </w:rPr>
        <w:t xml:space="preserve"> se</w:t>
      </w:r>
      <w:r w:rsidR="005C2B73" w:rsidRPr="00104F9A">
        <w:rPr>
          <w:rFonts w:ascii="Garamond" w:hAnsi="Garamond" w:cs="Arial"/>
          <w:sz w:val="28"/>
          <w:szCs w:val="28"/>
        </w:rPr>
        <w:t xml:space="preserve"> agotó el </w:t>
      </w:r>
      <w:r w:rsidR="008C6DBA" w:rsidRPr="00104F9A">
        <w:rPr>
          <w:rFonts w:ascii="Garamond" w:hAnsi="Garamond" w:cs="Arial"/>
          <w:i/>
          <w:iCs/>
          <w:sz w:val="28"/>
          <w:szCs w:val="28"/>
        </w:rPr>
        <w:t>“</w:t>
      </w:r>
      <w:r w:rsidR="005C2B73" w:rsidRPr="00104F9A">
        <w:rPr>
          <w:rFonts w:ascii="Garamond" w:hAnsi="Garamond" w:cs="Arial"/>
          <w:i/>
          <w:iCs/>
          <w:sz w:val="28"/>
          <w:szCs w:val="28"/>
        </w:rPr>
        <w:t>requisito de procedibilidad</w:t>
      </w:r>
      <w:r w:rsidR="008C6DBA" w:rsidRPr="00104F9A">
        <w:rPr>
          <w:rFonts w:ascii="Garamond" w:hAnsi="Garamond" w:cs="Arial"/>
          <w:i/>
          <w:iCs/>
          <w:sz w:val="28"/>
          <w:szCs w:val="28"/>
        </w:rPr>
        <w:t>”</w:t>
      </w:r>
      <w:r w:rsidR="00A74787" w:rsidRPr="00104F9A">
        <w:rPr>
          <w:rFonts w:ascii="Garamond" w:hAnsi="Garamond" w:cs="Arial"/>
          <w:sz w:val="28"/>
          <w:szCs w:val="28"/>
        </w:rPr>
        <w:t xml:space="preserve">, en la medida en que no se realizó una </w:t>
      </w:r>
      <w:r w:rsidR="00A74787" w:rsidRPr="00104F9A">
        <w:rPr>
          <w:rFonts w:ascii="Garamond" w:hAnsi="Garamond" w:cs="Arial"/>
          <w:i/>
          <w:iCs/>
          <w:sz w:val="28"/>
          <w:szCs w:val="28"/>
        </w:rPr>
        <w:t>“conciliación prejudicial”</w:t>
      </w:r>
      <w:r w:rsidR="008C6DBA" w:rsidRPr="00104F9A">
        <w:rPr>
          <w:rFonts w:ascii="Garamond" w:hAnsi="Garamond" w:cs="Arial"/>
          <w:sz w:val="28"/>
          <w:szCs w:val="28"/>
        </w:rPr>
        <w:t xml:space="preserve">; agregó que </w:t>
      </w:r>
      <w:r w:rsidR="005C2B73" w:rsidRPr="00104F9A">
        <w:rPr>
          <w:rFonts w:ascii="Garamond" w:hAnsi="Garamond" w:cs="Arial"/>
          <w:sz w:val="28"/>
          <w:szCs w:val="28"/>
        </w:rPr>
        <w:t xml:space="preserve">radicó recurso de reposición contra dicho </w:t>
      </w:r>
      <w:r w:rsidR="008C6DBA" w:rsidRPr="00104F9A">
        <w:rPr>
          <w:rFonts w:ascii="Garamond" w:hAnsi="Garamond" w:cs="Arial"/>
          <w:sz w:val="28"/>
          <w:szCs w:val="28"/>
        </w:rPr>
        <w:t>proveído,</w:t>
      </w:r>
      <w:r w:rsidR="005C2B73" w:rsidRPr="00104F9A">
        <w:rPr>
          <w:rFonts w:ascii="Garamond" w:hAnsi="Garamond" w:cs="Arial"/>
          <w:sz w:val="28"/>
          <w:szCs w:val="28"/>
        </w:rPr>
        <w:t xml:space="preserve"> aclarando que s</w:t>
      </w:r>
      <w:r w:rsidR="008C6DBA" w:rsidRPr="00104F9A">
        <w:rPr>
          <w:rFonts w:ascii="Garamond" w:hAnsi="Garamond" w:cs="Arial"/>
          <w:sz w:val="28"/>
          <w:szCs w:val="28"/>
        </w:rPr>
        <w:t>í</w:t>
      </w:r>
      <w:r w:rsidR="005C2B73" w:rsidRPr="00104F9A">
        <w:rPr>
          <w:rFonts w:ascii="Garamond" w:hAnsi="Garamond" w:cs="Arial"/>
          <w:sz w:val="28"/>
          <w:szCs w:val="28"/>
        </w:rPr>
        <w:t xml:space="preserve"> cumplió con l</w:t>
      </w:r>
      <w:r w:rsidR="008C6DBA" w:rsidRPr="00104F9A">
        <w:rPr>
          <w:rFonts w:ascii="Garamond" w:hAnsi="Garamond" w:cs="Arial"/>
          <w:sz w:val="28"/>
          <w:szCs w:val="28"/>
        </w:rPr>
        <w:t>a antedicha exigencia</w:t>
      </w:r>
      <w:r w:rsidR="00DA24D1" w:rsidRPr="00104F9A">
        <w:rPr>
          <w:rFonts w:ascii="Garamond" w:hAnsi="Garamond" w:cs="Arial"/>
          <w:sz w:val="28"/>
          <w:szCs w:val="28"/>
        </w:rPr>
        <w:t xml:space="preserve">, al haber realizado la </w:t>
      </w:r>
      <w:r w:rsidR="00DA24D1" w:rsidRPr="00104F9A">
        <w:rPr>
          <w:rFonts w:ascii="Garamond" w:hAnsi="Garamond" w:cs="Arial"/>
          <w:i/>
          <w:iCs/>
          <w:sz w:val="28"/>
          <w:szCs w:val="28"/>
        </w:rPr>
        <w:t>“reclamación directa”</w:t>
      </w:r>
      <w:r w:rsidR="00DA24D1" w:rsidRPr="00104F9A">
        <w:rPr>
          <w:rFonts w:ascii="Garamond" w:hAnsi="Garamond" w:cs="Arial"/>
          <w:sz w:val="28"/>
          <w:szCs w:val="28"/>
        </w:rPr>
        <w:t xml:space="preserve"> ante la demandada</w:t>
      </w:r>
      <w:r w:rsidR="008C6DBA" w:rsidRPr="00104F9A">
        <w:rPr>
          <w:rFonts w:ascii="Garamond" w:hAnsi="Garamond" w:cs="Arial"/>
          <w:sz w:val="28"/>
          <w:szCs w:val="28"/>
        </w:rPr>
        <w:t>; no obstante,</w:t>
      </w:r>
      <w:r w:rsidR="005C2B73" w:rsidRPr="00104F9A">
        <w:rPr>
          <w:rFonts w:ascii="Garamond" w:hAnsi="Garamond" w:cs="Arial"/>
          <w:sz w:val="28"/>
          <w:szCs w:val="28"/>
        </w:rPr>
        <w:t xml:space="preserve"> el 11 de marzo de 2021</w:t>
      </w:r>
      <w:r w:rsidR="00A069BB" w:rsidRPr="00104F9A">
        <w:rPr>
          <w:rFonts w:ascii="Garamond" w:hAnsi="Garamond" w:cs="Arial"/>
          <w:sz w:val="28"/>
          <w:szCs w:val="28"/>
        </w:rPr>
        <w:t>,</w:t>
      </w:r>
      <w:r w:rsidR="005C2B73" w:rsidRPr="00104F9A">
        <w:rPr>
          <w:rFonts w:ascii="Garamond" w:hAnsi="Garamond" w:cs="Arial"/>
          <w:sz w:val="28"/>
          <w:szCs w:val="28"/>
        </w:rPr>
        <w:t xml:space="preserve"> </w:t>
      </w:r>
      <w:r w:rsidR="008C6DBA" w:rsidRPr="00104F9A">
        <w:rPr>
          <w:rFonts w:ascii="Garamond" w:hAnsi="Garamond" w:cs="Arial"/>
          <w:sz w:val="28"/>
          <w:szCs w:val="28"/>
        </w:rPr>
        <w:t>se ratificó la determinación,</w:t>
      </w:r>
      <w:r w:rsidR="005C2B73" w:rsidRPr="00104F9A">
        <w:rPr>
          <w:rFonts w:ascii="Garamond" w:hAnsi="Garamond" w:cs="Arial"/>
          <w:sz w:val="28"/>
          <w:szCs w:val="28"/>
        </w:rPr>
        <w:t xml:space="preserve"> </w:t>
      </w:r>
      <w:r w:rsidR="008C6DBA" w:rsidRPr="00104F9A">
        <w:rPr>
          <w:rFonts w:ascii="Garamond" w:hAnsi="Garamond" w:cs="Arial"/>
          <w:sz w:val="28"/>
          <w:szCs w:val="28"/>
        </w:rPr>
        <w:t>incurriéndose</w:t>
      </w:r>
      <w:r w:rsidR="005C2B73" w:rsidRPr="00104F9A">
        <w:rPr>
          <w:rFonts w:ascii="Garamond" w:hAnsi="Garamond" w:cs="Arial"/>
          <w:sz w:val="28"/>
          <w:szCs w:val="28"/>
        </w:rPr>
        <w:t xml:space="preserve"> en un defecto procedimental por exceso ritual manifiesto</w:t>
      </w:r>
      <w:bookmarkEnd w:id="9"/>
      <w:r w:rsidR="008C6DBA" w:rsidRPr="00104F9A">
        <w:rPr>
          <w:rFonts w:ascii="Garamond" w:hAnsi="Garamond" w:cs="Arial"/>
          <w:sz w:val="28"/>
          <w:szCs w:val="28"/>
        </w:rPr>
        <w:t>.</w:t>
      </w:r>
      <w:r w:rsidR="005A4902" w:rsidRPr="00104F9A">
        <w:rPr>
          <w:rStyle w:val="Refdenotaalpie"/>
          <w:rFonts w:ascii="Garamond" w:hAnsi="Garamond"/>
          <w:sz w:val="28"/>
          <w:szCs w:val="28"/>
        </w:rPr>
        <w:footnoteReference w:id="2"/>
      </w:r>
    </w:p>
    <w:p w14:paraId="3A99B846" w14:textId="77777777" w:rsidR="00130695" w:rsidRPr="00104F9A" w:rsidRDefault="00130695" w:rsidP="008E12BD">
      <w:pPr>
        <w:tabs>
          <w:tab w:val="left" w:pos="284"/>
          <w:tab w:val="left" w:pos="993"/>
        </w:tabs>
        <w:spacing w:line="360" w:lineRule="auto"/>
        <w:ind w:firstLine="567"/>
        <w:jc w:val="both"/>
        <w:rPr>
          <w:rFonts w:ascii="Garamond" w:hAnsi="Garamond" w:cs="Arial"/>
          <w:sz w:val="28"/>
          <w:szCs w:val="28"/>
        </w:rPr>
      </w:pPr>
    </w:p>
    <w:p w14:paraId="4E333EC2" w14:textId="6C0B29C6" w:rsidR="008F594D" w:rsidRPr="00104F9A" w:rsidRDefault="008C6DBA" w:rsidP="00094F02">
      <w:pPr>
        <w:pStyle w:val="Prrafodelista"/>
        <w:numPr>
          <w:ilvl w:val="0"/>
          <w:numId w:val="15"/>
        </w:numPr>
        <w:tabs>
          <w:tab w:val="left" w:pos="284"/>
          <w:tab w:val="left" w:pos="993"/>
        </w:tabs>
        <w:spacing w:line="360" w:lineRule="auto"/>
        <w:ind w:left="0" w:firstLine="567"/>
        <w:jc w:val="both"/>
        <w:rPr>
          <w:rFonts w:ascii="Garamond" w:hAnsi="Garamond" w:cs="Arial"/>
          <w:sz w:val="28"/>
          <w:szCs w:val="28"/>
        </w:rPr>
      </w:pPr>
      <w:r w:rsidRPr="00104F9A">
        <w:rPr>
          <w:rFonts w:ascii="Garamond" w:hAnsi="Garamond" w:cs="Arial"/>
          <w:sz w:val="28"/>
          <w:szCs w:val="28"/>
        </w:rPr>
        <w:t>Admitida</w:t>
      </w:r>
      <w:r w:rsidR="00DD1823" w:rsidRPr="00104F9A">
        <w:rPr>
          <w:rFonts w:ascii="Garamond" w:hAnsi="Garamond" w:cs="Arial"/>
          <w:sz w:val="28"/>
          <w:szCs w:val="28"/>
        </w:rPr>
        <w:t xml:space="preserve"> la acción</w:t>
      </w:r>
      <w:r w:rsidR="009E2045" w:rsidRPr="00104F9A">
        <w:rPr>
          <w:rFonts w:ascii="Garamond" w:hAnsi="Garamond" w:cs="Arial"/>
          <w:sz w:val="28"/>
          <w:szCs w:val="28"/>
        </w:rPr>
        <w:t xml:space="preserve"> </w:t>
      </w:r>
      <w:r w:rsidR="00DD1823" w:rsidRPr="00104F9A">
        <w:rPr>
          <w:rFonts w:ascii="Garamond" w:hAnsi="Garamond" w:cs="Arial"/>
          <w:sz w:val="28"/>
          <w:szCs w:val="28"/>
        </w:rPr>
        <w:t>se ordenó su enteramiento</w:t>
      </w:r>
      <w:r w:rsidR="00761B4D" w:rsidRPr="00104F9A">
        <w:rPr>
          <w:rFonts w:ascii="Garamond" w:hAnsi="Garamond" w:cs="Arial"/>
          <w:sz w:val="28"/>
          <w:szCs w:val="28"/>
        </w:rPr>
        <w:t xml:space="preserve"> a </w:t>
      </w:r>
      <w:r w:rsidR="001D5FBD" w:rsidRPr="00104F9A">
        <w:rPr>
          <w:rFonts w:ascii="Garamond" w:hAnsi="Garamond" w:cs="Arial"/>
          <w:sz w:val="28"/>
          <w:szCs w:val="28"/>
        </w:rPr>
        <w:t xml:space="preserve">la </w:t>
      </w:r>
      <w:r w:rsidR="009523B9" w:rsidRPr="00104F9A">
        <w:rPr>
          <w:rFonts w:ascii="Garamond" w:hAnsi="Garamond" w:cs="Arial"/>
          <w:sz w:val="28"/>
          <w:szCs w:val="28"/>
        </w:rPr>
        <w:t>autorida</w:t>
      </w:r>
      <w:r w:rsidR="00EF329A" w:rsidRPr="00104F9A">
        <w:rPr>
          <w:rFonts w:ascii="Garamond" w:hAnsi="Garamond" w:cs="Arial"/>
          <w:sz w:val="28"/>
          <w:szCs w:val="28"/>
        </w:rPr>
        <w:t>d</w:t>
      </w:r>
      <w:r w:rsidR="009523B9" w:rsidRPr="00104F9A">
        <w:rPr>
          <w:rFonts w:ascii="Garamond" w:hAnsi="Garamond" w:cs="Arial"/>
          <w:sz w:val="28"/>
          <w:szCs w:val="28"/>
        </w:rPr>
        <w:t xml:space="preserve"> </w:t>
      </w:r>
      <w:r w:rsidR="00DD1823" w:rsidRPr="00104F9A">
        <w:rPr>
          <w:rFonts w:ascii="Garamond" w:hAnsi="Garamond" w:cs="Arial"/>
          <w:sz w:val="28"/>
          <w:szCs w:val="28"/>
        </w:rPr>
        <w:t>accionada</w:t>
      </w:r>
      <w:r w:rsidR="005A4902" w:rsidRPr="00104F9A">
        <w:rPr>
          <w:rStyle w:val="Refdenotaalpie"/>
          <w:rFonts w:ascii="Garamond" w:hAnsi="Garamond" w:cs="Arial"/>
          <w:sz w:val="28"/>
          <w:szCs w:val="28"/>
        </w:rPr>
        <w:footnoteReference w:id="3"/>
      </w:r>
      <w:r w:rsidR="00A069BB" w:rsidRPr="00104F9A">
        <w:rPr>
          <w:rFonts w:ascii="Garamond" w:hAnsi="Garamond" w:cs="Arial"/>
          <w:sz w:val="28"/>
          <w:szCs w:val="28"/>
        </w:rPr>
        <w:t xml:space="preserve"> la que</w:t>
      </w:r>
      <w:r w:rsidR="009E2045" w:rsidRPr="00104F9A">
        <w:rPr>
          <w:rFonts w:ascii="Garamond" w:hAnsi="Garamond" w:cs="Arial"/>
          <w:sz w:val="28"/>
          <w:szCs w:val="28"/>
        </w:rPr>
        <w:t>,</w:t>
      </w:r>
      <w:r w:rsidRPr="00104F9A">
        <w:rPr>
          <w:rFonts w:ascii="Garamond" w:hAnsi="Garamond" w:cs="Arial"/>
          <w:sz w:val="28"/>
          <w:szCs w:val="28"/>
        </w:rPr>
        <w:t xml:space="preserve"> por su parte, informó</w:t>
      </w:r>
      <w:r w:rsidR="00892AC2" w:rsidRPr="00104F9A">
        <w:rPr>
          <w:rFonts w:ascii="Garamond" w:hAnsi="Garamond" w:cs="Arial"/>
          <w:sz w:val="28"/>
          <w:szCs w:val="28"/>
        </w:rPr>
        <w:t xml:space="preserve"> que el demandante no enmend</w:t>
      </w:r>
      <w:r w:rsidR="00B23F6E" w:rsidRPr="00104F9A">
        <w:rPr>
          <w:rFonts w:ascii="Garamond" w:hAnsi="Garamond" w:cs="Arial"/>
          <w:sz w:val="28"/>
          <w:szCs w:val="28"/>
        </w:rPr>
        <w:t>ó</w:t>
      </w:r>
      <w:r w:rsidR="00892AC2" w:rsidRPr="00104F9A">
        <w:rPr>
          <w:rFonts w:ascii="Garamond" w:hAnsi="Garamond" w:cs="Arial"/>
          <w:sz w:val="28"/>
          <w:szCs w:val="28"/>
        </w:rPr>
        <w:t xml:space="preserve"> en debida forma lo correspondiente al agotamiento de la conciliación prejudicial como requisito de procedibilidad</w:t>
      </w:r>
      <w:r w:rsidR="00B23F6E" w:rsidRPr="00104F9A">
        <w:rPr>
          <w:rFonts w:ascii="Garamond" w:hAnsi="Garamond" w:cs="Arial"/>
          <w:sz w:val="28"/>
          <w:szCs w:val="28"/>
        </w:rPr>
        <w:t>,</w:t>
      </w:r>
      <w:r w:rsidR="00892AC2" w:rsidRPr="00104F9A">
        <w:rPr>
          <w:rFonts w:ascii="Garamond" w:hAnsi="Garamond" w:cs="Arial"/>
          <w:sz w:val="28"/>
          <w:szCs w:val="28"/>
        </w:rPr>
        <w:t xml:space="preserve"> omitiendo lo reglado en los artículos 3</w:t>
      </w:r>
      <w:r w:rsidR="00DA24D1" w:rsidRPr="00104F9A">
        <w:rPr>
          <w:rFonts w:ascii="Garamond" w:hAnsi="Garamond" w:cs="Arial"/>
          <w:sz w:val="28"/>
          <w:szCs w:val="28"/>
        </w:rPr>
        <w:t>8 de la Ley 640 de 2001</w:t>
      </w:r>
      <w:r w:rsidR="00892AC2" w:rsidRPr="00104F9A">
        <w:rPr>
          <w:rFonts w:ascii="Garamond" w:hAnsi="Garamond" w:cs="Arial"/>
          <w:sz w:val="28"/>
          <w:szCs w:val="28"/>
        </w:rPr>
        <w:t xml:space="preserve"> y 621 de la </w:t>
      </w:r>
      <w:r w:rsidR="00B23F6E" w:rsidRPr="00104F9A">
        <w:rPr>
          <w:rFonts w:ascii="Garamond" w:hAnsi="Garamond" w:cs="Arial"/>
          <w:sz w:val="28"/>
          <w:szCs w:val="28"/>
        </w:rPr>
        <w:t>L</w:t>
      </w:r>
      <w:r w:rsidR="00892AC2" w:rsidRPr="00104F9A">
        <w:rPr>
          <w:rFonts w:ascii="Garamond" w:hAnsi="Garamond" w:cs="Arial"/>
          <w:sz w:val="28"/>
          <w:szCs w:val="28"/>
        </w:rPr>
        <w:t>ey 1564 de 2012</w:t>
      </w:r>
      <w:r w:rsidR="00A069BB" w:rsidRPr="00104F9A">
        <w:rPr>
          <w:rFonts w:ascii="Garamond" w:hAnsi="Garamond" w:cs="Arial"/>
          <w:sz w:val="28"/>
          <w:szCs w:val="28"/>
        </w:rPr>
        <w:t>;</w:t>
      </w:r>
      <w:r w:rsidR="00892AC2" w:rsidRPr="00104F9A">
        <w:rPr>
          <w:rFonts w:ascii="Garamond" w:hAnsi="Garamond" w:cs="Arial"/>
          <w:sz w:val="28"/>
          <w:szCs w:val="28"/>
        </w:rPr>
        <w:t xml:space="preserve"> lo cual no puede suplirse </w:t>
      </w:r>
      <w:r w:rsidR="00B23F6E" w:rsidRPr="00104F9A">
        <w:rPr>
          <w:rFonts w:ascii="Garamond" w:hAnsi="Garamond" w:cs="Arial"/>
          <w:sz w:val="28"/>
          <w:szCs w:val="28"/>
        </w:rPr>
        <w:t>con</w:t>
      </w:r>
      <w:r w:rsidR="00892AC2" w:rsidRPr="00104F9A">
        <w:rPr>
          <w:rFonts w:ascii="Garamond" w:hAnsi="Garamond" w:cs="Arial"/>
          <w:sz w:val="28"/>
          <w:szCs w:val="28"/>
        </w:rPr>
        <w:t xml:space="preserve"> la reclamación directa del consumidor al proveedor del servicio</w:t>
      </w:r>
      <w:r w:rsidR="008E12BD" w:rsidRPr="00104F9A">
        <w:rPr>
          <w:rFonts w:ascii="Garamond" w:hAnsi="Garamond" w:cs="Arial"/>
          <w:sz w:val="28"/>
          <w:szCs w:val="28"/>
        </w:rPr>
        <w:t>;</w:t>
      </w:r>
      <w:r w:rsidR="00892AC2" w:rsidRPr="00104F9A">
        <w:rPr>
          <w:rFonts w:ascii="Garamond" w:hAnsi="Garamond" w:cs="Arial"/>
          <w:sz w:val="28"/>
          <w:szCs w:val="28"/>
        </w:rPr>
        <w:t xml:space="preserve"> argumento que también </w:t>
      </w:r>
      <w:r w:rsidR="008E12BD" w:rsidRPr="00104F9A">
        <w:rPr>
          <w:rFonts w:ascii="Garamond" w:hAnsi="Garamond" w:cs="Arial"/>
          <w:sz w:val="28"/>
          <w:szCs w:val="28"/>
        </w:rPr>
        <w:t xml:space="preserve">utilizó </w:t>
      </w:r>
      <w:r w:rsidR="00892AC2" w:rsidRPr="00104F9A">
        <w:rPr>
          <w:rFonts w:ascii="Garamond" w:hAnsi="Garamond" w:cs="Arial"/>
          <w:sz w:val="28"/>
          <w:szCs w:val="28"/>
        </w:rPr>
        <w:t xml:space="preserve">en el recurso de reposición. </w:t>
      </w:r>
    </w:p>
    <w:p w14:paraId="1EFB7983" w14:textId="77777777" w:rsidR="008F594D" w:rsidRPr="00104F9A" w:rsidRDefault="008F594D" w:rsidP="008E12BD">
      <w:pPr>
        <w:pStyle w:val="Prrafodelista"/>
        <w:spacing w:line="360" w:lineRule="auto"/>
        <w:ind w:left="0" w:firstLine="567"/>
        <w:jc w:val="both"/>
        <w:rPr>
          <w:rFonts w:ascii="Garamond" w:hAnsi="Garamond" w:cs="Arial"/>
          <w:sz w:val="28"/>
          <w:szCs w:val="28"/>
        </w:rPr>
      </w:pPr>
    </w:p>
    <w:p w14:paraId="296A25E4" w14:textId="7EC3D141" w:rsidR="009073C3" w:rsidRPr="00104F9A" w:rsidRDefault="008F594D" w:rsidP="00094F02">
      <w:pPr>
        <w:pStyle w:val="Prrafodelista"/>
        <w:tabs>
          <w:tab w:val="left" w:pos="284"/>
          <w:tab w:val="left" w:pos="993"/>
        </w:tabs>
        <w:spacing w:line="360" w:lineRule="auto"/>
        <w:ind w:left="0" w:firstLine="567"/>
        <w:jc w:val="both"/>
        <w:rPr>
          <w:rFonts w:ascii="Garamond" w:hAnsi="Garamond" w:cs="Arial"/>
          <w:sz w:val="28"/>
          <w:szCs w:val="28"/>
        </w:rPr>
      </w:pPr>
      <w:r w:rsidRPr="00104F9A">
        <w:rPr>
          <w:rFonts w:ascii="Garamond" w:hAnsi="Garamond" w:cs="Arial"/>
          <w:sz w:val="28"/>
          <w:szCs w:val="28"/>
        </w:rPr>
        <w:t xml:space="preserve">Aseveró, que </w:t>
      </w:r>
      <w:r w:rsidRPr="00104F9A">
        <w:rPr>
          <w:rFonts w:ascii="Garamond" w:hAnsi="Garamond" w:cs="Arial"/>
          <w:i/>
          <w:iCs/>
          <w:sz w:val="28"/>
          <w:szCs w:val="28"/>
        </w:rPr>
        <w:t>“así lo autoriza el artículo 58 de la Ley 640 de 2001, norma que citó el tutelante en el escrito de subsanación, toda vez que la misma en su literal g) del numeral 5º, claramente reza que: “Se dará por cumplido el requisito de procedibilidad de reclamación directa en todos los casos en que se presente un acta de audiencia de conciliación emitida por cualquier centro de conciliación legalmente establecido”</w:t>
      </w:r>
      <w:r w:rsidRPr="00104F9A">
        <w:rPr>
          <w:rFonts w:ascii="Garamond" w:hAnsi="Garamond" w:cs="Arial"/>
          <w:sz w:val="28"/>
          <w:szCs w:val="28"/>
        </w:rPr>
        <w:t xml:space="preserve">. </w:t>
      </w:r>
      <w:r w:rsidR="00892AC2" w:rsidRPr="00104F9A">
        <w:rPr>
          <w:rFonts w:ascii="Garamond" w:hAnsi="Garamond" w:cs="Arial"/>
          <w:sz w:val="28"/>
          <w:szCs w:val="28"/>
        </w:rPr>
        <w:t>Concluyó que fue acertado el rechazo de plano de la demanda y que no se ha vulnerado ningún derecho del tutelante</w:t>
      </w:r>
      <w:r w:rsidRPr="00104F9A">
        <w:rPr>
          <w:rFonts w:ascii="Garamond" w:hAnsi="Garamond" w:cs="Arial"/>
          <w:sz w:val="28"/>
          <w:szCs w:val="28"/>
        </w:rPr>
        <w:t xml:space="preserve">, ya que </w:t>
      </w:r>
      <w:r w:rsidRPr="00104F9A">
        <w:rPr>
          <w:rFonts w:ascii="Garamond" w:hAnsi="Garamond" w:cs="Arial"/>
          <w:i/>
          <w:iCs/>
          <w:sz w:val="28"/>
          <w:szCs w:val="28"/>
        </w:rPr>
        <w:t xml:space="preserve">“las determinaciones adoptadas se amparan por el principio constitucional de </w:t>
      </w:r>
      <w:bookmarkStart w:id="10" w:name="_Hlk73783821"/>
      <w:r w:rsidRPr="00104F9A">
        <w:rPr>
          <w:rFonts w:ascii="Garamond" w:hAnsi="Garamond" w:cs="Arial"/>
          <w:i/>
          <w:iCs/>
          <w:sz w:val="28"/>
          <w:szCs w:val="28"/>
        </w:rPr>
        <w:t>autonomía e independencia judicial</w:t>
      </w:r>
      <w:bookmarkEnd w:id="10"/>
      <w:r w:rsidRPr="00104F9A">
        <w:rPr>
          <w:rFonts w:ascii="Garamond" w:hAnsi="Garamond" w:cs="Arial"/>
          <w:i/>
          <w:iCs/>
          <w:sz w:val="28"/>
          <w:szCs w:val="28"/>
        </w:rPr>
        <w:t>.</w:t>
      </w:r>
      <w:r w:rsidRPr="00104F9A">
        <w:rPr>
          <w:rStyle w:val="Refdenotaalpie"/>
          <w:rFonts w:ascii="Garamond" w:hAnsi="Garamond" w:cs="Arial"/>
          <w:sz w:val="28"/>
          <w:szCs w:val="28"/>
        </w:rPr>
        <w:t>”.</w:t>
      </w:r>
      <w:r w:rsidR="00A57AB5" w:rsidRPr="00104F9A">
        <w:rPr>
          <w:rStyle w:val="Refdenotaalpie"/>
          <w:rFonts w:ascii="Garamond" w:hAnsi="Garamond" w:cs="Arial"/>
          <w:sz w:val="28"/>
          <w:szCs w:val="28"/>
        </w:rPr>
        <w:footnoteReference w:id="4"/>
      </w:r>
      <w:r w:rsidR="0052072D" w:rsidRPr="00104F9A">
        <w:rPr>
          <w:rFonts w:ascii="Garamond" w:hAnsi="Garamond" w:cs="Arial"/>
          <w:sz w:val="28"/>
          <w:szCs w:val="28"/>
        </w:rPr>
        <w:t xml:space="preserve"> </w:t>
      </w:r>
    </w:p>
    <w:p w14:paraId="4676F921" w14:textId="77777777" w:rsidR="00C012F1" w:rsidRPr="00104F9A" w:rsidRDefault="00C012F1" w:rsidP="008E12BD">
      <w:pPr>
        <w:spacing w:line="360" w:lineRule="auto"/>
        <w:jc w:val="both"/>
        <w:rPr>
          <w:rFonts w:ascii="Garamond" w:hAnsi="Garamond" w:cs="Arial"/>
          <w:sz w:val="28"/>
          <w:szCs w:val="28"/>
        </w:rPr>
      </w:pPr>
    </w:p>
    <w:p w14:paraId="0FD8A6B3" w14:textId="487F8E60" w:rsidR="001D1B85" w:rsidRPr="00104F9A" w:rsidRDefault="00A65A28" w:rsidP="00094F02">
      <w:pPr>
        <w:tabs>
          <w:tab w:val="left" w:pos="284"/>
          <w:tab w:val="left" w:pos="3402"/>
          <w:tab w:val="left" w:pos="3969"/>
        </w:tabs>
        <w:spacing w:line="360" w:lineRule="auto"/>
        <w:jc w:val="center"/>
        <w:rPr>
          <w:rFonts w:ascii="Garamond" w:hAnsi="Garamond" w:cs="Arial"/>
          <w:b/>
          <w:sz w:val="28"/>
          <w:szCs w:val="28"/>
        </w:rPr>
      </w:pPr>
      <w:r w:rsidRPr="00104F9A">
        <w:rPr>
          <w:rFonts w:ascii="Garamond" w:hAnsi="Garamond" w:cs="Arial"/>
          <w:b/>
          <w:sz w:val="28"/>
          <w:szCs w:val="28"/>
        </w:rPr>
        <w:t>S</w:t>
      </w:r>
      <w:r w:rsidR="001D1B85" w:rsidRPr="00104F9A">
        <w:rPr>
          <w:rFonts w:ascii="Garamond" w:hAnsi="Garamond" w:cs="Arial"/>
          <w:b/>
          <w:sz w:val="28"/>
          <w:szCs w:val="28"/>
        </w:rPr>
        <w:t>ENTENCIA IMPUGNADA</w:t>
      </w:r>
    </w:p>
    <w:p w14:paraId="057FE105" w14:textId="77777777" w:rsidR="001D1B85" w:rsidRPr="00104F9A" w:rsidRDefault="001D1B85" w:rsidP="008E12BD">
      <w:pPr>
        <w:tabs>
          <w:tab w:val="left" w:pos="284"/>
        </w:tabs>
        <w:spacing w:line="360" w:lineRule="auto"/>
        <w:jc w:val="both"/>
        <w:rPr>
          <w:rFonts w:ascii="Garamond" w:hAnsi="Garamond" w:cs="Arial"/>
          <w:sz w:val="28"/>
          <w:szCs w:val="28"/>
        </w:rPr>
      </w:pPr>
    </w:p>
    <w:p w14:paraId="0DC50BD0" w14:textId="2BC0995C" w:rsidR="00050949" w:rsidRPr="00104F9A" w:rsidRDefault="008B3D89" w:rsidP="00094F02">
      <w:pPr>
        <w:tabs>
          <w:tab w:val="left" w:pos="284"/>
        </w:tabs>
        <w:spacing w:line="360" w:lineRule="auto"/>
        <w:ind w:firstLine="567"/>
        <w:jc w:val="both"/>
        <w:rPr>
          <w:rFonts w:ascii="Garamond" w:hAnsi="Garamond" w:cs="Arial"/>
          <w:sz w:val="28"/>
          <w:szCs w:val="28"/>
        </w:rPr>
      </w:pPr>
      <w:r w:rsidRPr="00104F9A">
        <w:rPr>
          <w:rFonts w:ascii="Garamond" w:hAnsi="Garamond" w:cs="Arial"/>
          <w:sz w:val="28"/>
          <w:szCs w:val="28"/>
        </w:rPr>
        <w:t>El</w:t>
      </w:r>
      <w:r w:rsidR="00A005B2" w:rsidRPr="00104F9A">
        <w:rPr>
          <w:rFonts w:ascii="Garamond" w:hAnsi="Garamond" w:cs="Arial"/>
          <w:sz w:val="28"/>
          <w:szCs w:val="28"/>
        </w:rPr>
        <w:t xml:space="preserve"> </w:t>
      </w:r>
      <w:r w:rsidR="00B23F6E" w:rsidRPr="00104F9A">
        <w:rPr>
          <w:rFonts w:ascii="Garamond" w:hAnsi="Garamond" w:cs="Arial"/>
          <w:sz w:val="28"/>
          <w:szCs w:val="28"/>
        </w:rPr>
        <w:t>J</w:t>
      </w:r>
      <w:r w:rsidR="00A005B2" w:rsidRPr="00104F9A">
        <w:rPr>
          <w:rFonts w:ascii="Garamond" w:hAnsi="Garamond" w:cs="Arial"/>
          <w:sz w:val="28"/>
          <w:szCs w:val="28"/>
        </w:rPr>
        <w:t xml:space="preserve">uez a </w:t>
      </w:r>
      <w:r w:rsidR="00A005B2" w:rsidRPr="00104F9A">
        <w:rPr>
          <w:rFonts w:ascii="Garamond" w:hAnsi="Garamond" w:cs="Arial"/>
          <w:i/>
          <w:iCs/>
          <w:sz w:val="28"/>
          <w:szCs w:val="28"/>
        </w:rPr>
        <w:t>quo</w:t>
      </w:r>
      <w:r w:rsidR="00EE336C" w:rsidRPr="00104F9A">
        <w:rPr>
          <w:rFonts w:ascii="Garamond" w:hAnsi="Garamond" w:cs="Arial"/>
          <w:sz w:val="28"/>
          <w:szCs w:val="28"/>
        </w:rPr>
        <w:t xml:space="preserve"> </w:t>
      </w:r>
      <w:r w:rsidR="00D03EF8" w:rsidRPr="00104F9A">
        <w:rPr>
          <w:rFonts w:ascii="Garamond" w:hAnsi="Garamond" w:cs="Arial"/>
          <w:sz w:val="28"/>
          <w:szCs w:val="28"/>
        </w:rPr>
        <w:t xml:space="preserve">negó </w:t>
      </w:r>
      <w:r w:rsidR="00A74C65" w:rsidRPr="00104F9A">
        <w:rPr>
          <w:rFonts w:ascii="Garamond" w:hAnsi="Garamond" w:cs="Arial"/>
          <w:sz w:val="28"/>
          <w:szCs w:val="28"/>
        </w:rPr>
        <w:t>el amparo</w:t>
      </w:r>
      <w:r w:rsidR="00D03EF8" w:rsidRPr="00104F9A">
        <w:rPr>
          <w:rFonts w:ascii="Garamond" w:hAnsi="Garamond" w:cs="Arial"/>
          <w:sz w:val="28"/>
          <w:szCs w:val="28"/>
        </w:rPr>
        <w:t xml:space="preserve">, </w:t>
      </w:r>
      <w:r w:rsidR="00094F02" w:rsidRPr="00104F9A">
        <w:rPr>
          <w:rFonts w:ascii="Garamond" w:hAnsi="Garamond" w:cs="Arial"/>
          <w:sz w:val="28"/>
          <w:szCs w:val="28"/>
        </w:rPr>
        <w:t>tras considerar</w:t>
      </w:r>
      <w:r w:rsidR="00D03EF8" w:rsidRPr="00104F9A">
        <w:rPr>
          <w:rFonts w:ascii="Garamond" w:hAnsi="Garamond" w:cs="Arial"/>
          <w:sz w:val="28"/>
          <w:szCs w:val="28"/>
        </w:rPr>
        <w:t xml:space="preserve"> que la actuaci</w:t>
      </w:r>
      <w:r w:rsidR="00B23F6E" w:rsidRPr="00104F9A">
        <w:rPr>
          <w:rFonts w:ascii="Garamond" w:hAnsi="Garamond" w:cs="Arial"/>
          <w:sz w:val="28"/>
          <w:szCs w:val="28"/>
        </w:rPr>
        <w:t>ón</w:t>
      </w:r>
      <w:r w:rsidR="00D03EF8" w:rsidRPr="00104F9A">
        <w:rPr>
          <w:rFonts w:ascii="Garamond" w:hAnsi="Garamond" w:cs="Arial"/>
          <w:sz w:val="28"/>
          <w:szCs w:val="28"/>
        </w:rPr>
        <w:t xml:space="preserve"> realizada por el despacho accionado “</w:t>
      </w:r>
      <w:r w:rsidR="00D03EF8" w:rsidRPr="00104F9A">
        <w:rPr>
          <w:rFonts w:ascii="Garamond" w:hAnsi="Garamond" w:cs="Arial"/>
          <w:i/>
          <w:iCs/>
          <w:sz w:val="28"/>
          <w:szCs w:val="28"/>
        </w:rPr>
        <w:t>se compagina con la prueba que en su momento obraba en el expediente, estando debidamente motivada y ajustada a derecho la decisión finalmente tomada</w:t>
      </w:r>
      <w:r w:rsidR="00D03EF8" w:rsidRPr="00104F9A">
        <w:rPr>
          <w:rFonts w:ascii="Garamond" w:hAnsi="Garamond" w:cs="Arial"/>
          <w:sz w:val="28"/>
          <w:szCs w:val="28"/>
        </w:rPr>
        <w:t>”</w:t>
      </w:r>
      <w:r w:rsidR="00094F02" w:rsidRPr="00104F9A">
        <w:rPr>
          <w:rFonts w:ascii="Garamond" w:hAnsi="Garamond" w:cs="Arial"/>
          <w:sz w:val="28"/>
          <w:szCs w:val="28"/>
        </w:rPr>
        <w:t>; indicó que</w:t>
      </w:r>
      <w:r w:rsidR="00B23F6E" w:rsidRPr="00104F9A">
        <w:rPr>
          <w:rFonts w:ascii="Garamond" w:hAnsi="Garamond" w:cs="Arial"/>
          <w:sz w:val="28"/>
          <w:szCs w:val="28"/>
        </w:rPr>
        <w:t xml:space="preserve"> </w:t>
      </w:r>
      <w:r w:rsidR="00B23F6E" w:rsidRPr="00104F9A">
        <w:rPr>
          <w:rFonts w:ascii="Garamond" w:hAnsi="Garamond" w:cs="Arial"/>
          <w:i/>
          <w:iCs/>
          <w:sz w:val="28"/>
          <w:szCs w:val="28"/>
        </w:rPr>
        <w:t xml:space="preserve">“si bien el requisito de procedibilidad de conciliación extrajudicial, no es exigible ante la Superintendencia de Industria y Comercio </w:t>
      </w:r>
      <w:r w:rsidR="009555C4" w:rsidRPr="00104F9A">
        <w:rPr>
          <w:rFonts w:ascii="Garamond" w:hAnsi="Garamond" w:cs="Arial"/>
          <w:i/>
          <w:iCs/>
          <w:sz w:val="28"/>
          <w:szCs w:val="28"/>
        </w:rPr>
        <w:t>–</w:t>
      </w:r>
      <w:r w:rsidR="00B23F6E" w:rsidRPr="00104F9A">
        <w:rPr>
          <w:rFonts w:ascii="Garamond" w:hAnsi="Garamond" w:cs="Arial"/>
          <w:i/>
          <w:iCs/>
          <w:sz w:val="28"/>
          <w:szCs w:val="28"/>
        </w:rPr>
        <w:t xml:space="preserve"> SIC</w:t>
      </w:r>
      <w:r w:rsidR="009555C4" w:rsidRPr="00104F9A">
        <w:rPr>
          <w:rFonts w:ascii="Garamond" w:hAnsi="Garamond" w:cs="Arial"/>
          <w:i/>
          <w:iCs/>
          <w:sz w:val="28"/>
          <w:szCs w:val="28"/>
        </w:rPr>
        <w:t>, autoridad administrativa, si lo es ante la jurisdicción civil ordinaria”</w:t>
      </w:r>
      <w:r w:rsidR="00094F02" w:rsidRPr="00104F9A">
        <w:rPr>
          <w:rFonts w:ascii="Garamond" w:hAnsi="Garamond" w:cs="Arial"/>
          <w:sz w:val="28"/>
          <w:szCs w:val="28"/>
        </w:rPr>
        <w:t xml:space="preserve">, </w:t>
      </w:r>
      <w:r w:rsidR="00094F02" w:rsidRPr="00104F9A">
        <w:rPr>
          <w:rFonts w:ascii="Garamond" w:hAnsi="Garamond" w:cs="Arial"/>
          <w:sz w:val="28"/>
          <w:szCs w:val="28"/>
        </w:rPr>
        <w:lastRenderedPageBreak/>
        <w:t>f</w:t>
      </w:r>
      <w:r w:rsidR="008F594D" w:rsidRPr="00104F9A">
        <w:rPr>
          <w:rFonts w:ascii="Garamond" w:hAnsi="Garamond" w:cs="Arial"/>
          <w:sz w:val="28"/>
          <w:szCs w:val="28"/>
        </w:rPr>
        <w:t>undament</w:t>
      </w:r>
      <w:r w:rsidR="00094F02" w:rsidRPr="00104F9A">
        <w:rPr>
          <w:rFonts w:ascii="Garamond" w:hAnsi="Garamond" w:cs="Arial"/>
          <w:sz w:val="28"/>
          <w:szCs w:val="28"/>
        </w:rPr>
        <w:t>ando</w:t>
      </w:r>
      <w:r w:rsidR="008F594D" w:rsidRPr="00104F9A">
        <w:rPr>
          <w:rFonts w:ascii="Garamond" w:hAnsi="Garamond" w:cs="Arial"/>
          <w:sz w:val="28"/>
          <w:szCs w:val="28"/>
        </w:rPr>
        <w:t xml:space="preserve"> su veredicto, adicionalmente, en la Sentencia STC8508-2020 de la Corte Suprema de Justicia.</w:t>
      </w:r>
      <w:r w:rsidR="00392357" w:rsidRPr="00104F9A">
        <w:rPr>
          <w:rStyle w:val="Refdenotaalpie"/>
          <w:rFonts w:ascii="Garamond" w:hAnsi="Garamond" w:cs="Arial"/>
          <w:sz w:val="28"/>
          <w:szCs w:val="28"/>
        </w:rPr>
        <w:footnoteReference w:id="5"/>
      </w:r>
    </w:p>
    <w:p w14:paraId="49A826B9" w14:textId="77777777" w:rsidR="00B23F6E" w:rsidRPr="00104F9A" w:rsidRDefault="00B23F6E" w:rsidP="00A069BB">
      <w:pPr>
        <w:tabs>
          <w:tab w:val="left" w:pos="284"/>
        </w:tabs>
        <w:jc w:val="both"/>
        <w:rPr>
          <w:rFonts w:ascii="Garamond" w:hAnsi="Garamond" w:cs="Arial"/>
          <w:sz w:val="28"/>
          <w:szCs w:val="28"/>
        </w:rPr>
      </w:pPr>
    </w:p>
    <w:p w14:paraId="28CC7BFC" w14:textId="5B8E8F5E" w:rsidR="001D1B85" w:rsidRPr="00104F9A" w:rsidRDefault="00A65A28" w:rsidP="00A069BB">
      <w:pPr>
        <w:tabs>
          <w:tab w:val="left" w:pos="284"/>
        </w:tabs>
        <w:spacing w:line="360" w:lineRule="auto"/>
        <w:jc w:val="center"/>
        <w:rPr>
          <w:rFonts w:ascii="Garamond" w:hAnsi="Garamond" w:cs="Arial"/>
          <w:b/>
          <w:bCs/>
          <w:sz w:val="28"/>
          <w:szCs w:val="28"/>
        </w:rPr>
      </w:pPr>
      <w:r w:rsidRPr="00104F9A">
        <w:rPr>
          <w:rFonts w:ascii="Garamond" w:hAnsi="Garamond" w:cs="Arial"/>
          <w:b/>
          <w:bCs/>
          <w:sz w:val="28"/>
          <w:szCs w:val="28"/>
        </w:rPr>
        <w:t>I</w:t>
      </w:r>
      <w:r w:rsidR="001D1B85" w:rsidRPr="00104F9A">
        <w:rPr>
          <w:rFonts w:ascii="Garamond" w:hAnsi="Garamond" w:cs="Arial"/>
          <w:b/>
          <w:bCs/>
          <w:sz w:val="28"/>
          <w:szCs w:val="28"/>
        </w:rPr>
        <w:t>MPUGNACIÓN</w:t>
      </w:r>
    </w:p>
    <w:p w14:paraId="47BD31A3" w14:textId="77777777" w:rsidR="001D1B85" w:rsidRPr="00104F9A" w:rsidRDefault="001D1B85" w:rsidP="00A069BB">
      <w:pPr>
        <w:tabs>
          <w:tab w:val="left" w:pos="284"/>
        </w:tabs>
        <w:jc w:val="both"/>
        <w:rPr>
          <w:rFonts w:ascii="Garamond" w:hAnsi="Garamond" w:cs="Arial"/>
          <w:b/>
          <w:bCs/>
          <w:sz w:val="28"/>
          <w:szCs w:val="28"/>
        </w:rPr>
      </w:pPr>
    </w:p>
    <w:p w14:paraId="4F6FD777" w14:textId="6B33E55E" w:rsidR="00BE72C6" w:rsidRPr="00104F9A" w:rsidRDefault="00913693" w:rsidP="00A069BB">
      <w:pPr>
        <w:tabs>
          <w:tab w:val="left" w:pos="284"/>
        </w:tabs>
        <w:spacing w:line="360" w:lineRule="auto"/>
        <w:ind w:firstLine="567"/>
        <w:jc w:val="both"/>
        <w:rPr>
          <w:rFonts w:ascii="Garamond" w:hAnsi="Garamond" w:cs="Arial"/>
          <w:sz w:val="28"/>
          <w:szCs w:val="28"/>
        </w:rPr>
      </w:pPr>
      <w:r w:rsidRPr="00104F9A">
        <w:rPr>
          <w:rFonts w:ascii="Garamond" w:hAnsi="Garamond" w:cs="Arial"/>
          <w:sz w:val="28"/>
          <w:szCs w:val="28"/>
        </w:rPr>
        <w:t xml:space="preserve">Inconforme, el </w:t>
      </w:r>
      <w:r w:rsidR="008F594D" w:rsidRPr="00104F9A">
        <w:rPr>
          <w:rFonts w:ascii="Garamond" w:hAnsi="Garamond" w:cs="Arial"/>
          <w:sz w:val="28"/>
          <w:szCs w:val="28"/>
        </w:rPr>
        <w:t>promotor de la acción señaló que</w:t>
      </w:r>
      <w:r w:rsidRPr="00104F9A">
        <w:rPr>
          <w:rFonts w:ascii="Garamond" w:hAnsi="Garamond" w:cs="Arial"/>
          <w:sz w:val="28"/>
          <w:szCs w:val="28"/>
        </w:rPr>
        <w:t xml:space="preserve"> no</w:t>
      </w:r>
      <w:r w:rsidR="008F594D" w:rsidRPr="00104F9A">
        <w:rPr>
          <w:rFonts w:ascii="Garamond" w:hAnsi="Garamond" w:cs="Arial"/>
          <w:sz w:val="28"/>
          <w:szCs w:val="28"/>
        </w:rPr>
        <w:t xml:space="preserve"> se</w:t>
      </w:r>
      <w:r w:rsidRPr="00104F9A">
        <w:rPr>
          <w:rFonts w:ascii="Garamond" w:hAnsi="Garamond" w:cs="Arial"/>
          <w:sz w:val="28"/>
          <w:szCs w:val="28"/>
        </w:rPr>
        <w:t xml:space="preserve"> tomó en consideración que la conciliación como requisito de procedibilidad puede agotarse de otras formas, lo cual no aplica únicamente en procesos ventilados a</w:t>
      </w:r>
      <w:r w:rsidR="00094F02" w:rsidRPr="00104F9A">
        <w:rPr>
          <w:rFonts w:ascii="Garamond" w:hAnsi="Garamond" w:cs="Arial"/>
          <w:sz w:val="28"/>
          <w:szCs w:val="28"/>
        </w:rPr>
        <w:t>nte</w:t>
      </w:r>
      <w:r w:rsidRPr="00104F9A">
        <w:rPr>
          <w:rFonts w:ascii="Garamond" w:hAnsi="Garamond" w:cs="Arial"/>
          <w:sz w:val="28"/>
          <w:szCs w:val="28"/>
        </w:rPr>
        <w:t xml:space="preserve"> la</w:t>
      </w:r>
      <w:r w:rsidR="008F594D" w:rsidRPr="00104F9A">
        <w:rPr>
          <w:rFonts w:ascii="Garamond" w:hAnsi="Garamond" w:cs="Arial"/>
          <w:sz w:val="28"/>
          <w:szCs w:val="28"/>
        </w:rPr>
        <w:t>s</w:t>
      </w:r>
      <w:r w:rsidRPr="00104F9A">
        <w:rPr>
          <w:rFonts w:ascii="Garamond" w:hAnsi="Garamond" w:cs="Arial"/>
          <w:sz w:val="28"/>
          <w:szCs w:val="28"/>
        </w:rPr>
        <w:t xml:space="preserve"> </w:t>
      </w:r>
      <w:r w:rsidR="008F594D" w:rsidRPr="00104F9A">
        <w:rPr>
          <w:rFonts w:ascii="Garamond" w:hAnsi="Garamond" w:cs="Arial"/>
          <w:sz w:val="28"/>
          <w:szCs w:val="28"/>
        </w:rPr>
        <w:t>s</w:t>
      </w:r>
      <w:r w:rsidRPr="00104F9A">
        <w:rPr>
          <w:rFonts w:ascii="Garamond" w:hAnsi="Garamond" w:cs="Arial"/>
          <w:sz w:val="28"/>
          <w:szCs w:val="28"/>
        </w:rPr>
        <w:t>uperintendencia</w:t>
      </w:r>
      <w:r w:rsidR="008F594D" w:rsidRPr="00104F9A">
        <w:rPr>
          <w:rFonts w:ascii="Garamond" w:hAnsi="Garamond" w:cs="Arial"/>
          <w:sz w:val="28"/>
          <w:szCs w:val="28"/>
        </w:rPr>
        <w:t>s</w:t>
      </w:r>
      <w:r w:rsidRPr="00104F9A">
        <w:rPr>
          <w:rFonts w:ascii="Garamond" w:hAnsi="Garamond" w:cs="Arial"/>
          <w:sz w:val="28"/>
          <w:szCs w:val="28"/>
        </w:rPr>
        <w:t xml:space="preserve">, </w:t>
      </w:r>
      <w:r w:rsidR="00094F02" w:rsidRPr="00104F9A">
        <w:rPr>
          <w:rFonts w:ascii="Garamond" w:hAnsi="Garamond" w:cs="Arial"/>
          <w:sz w:val="28"/>
          <w:szCs w:val="28"/>
        </w:rPr>
        <w:t>y</w:t>
      </w:r>
      <w:r w:rsidRPr="00104F9A">
        <w:rPr>
          <w:rFonts w:ascii="Garamond" w:hAnsi="Garamond" w:cs="Arial"/>
          <w:sz w:val="28"/>
          <w:szCs w:val="28"/>
        </w:rPr>
        <w:t xml:space="preserve"> no </w:t>
      </w:r>
      <w:r w:rsidR="008F594D" w:rsidRPr="00104F9A">
        <w:rPr>
          <w:rFonts w:ascii="Garamond" w:hAnsi="Garamond" w:cs="Arial"/>
          <w:sz w:val="28"/>
          <w:szCs w:val="28"/>
        </w:rPr>
        <w:t xml:space="preserve">se </w:t>
      </w:r>
      <w:r w:rsidRPr="00104F9A">
        <w:rPr>
          <w:rFonts w:ascii="Garamond" w:hAnsi="Garamond" w:cs="Arial"/>
          <w:sz w:val="28"/>
          <w:szCs w:val="28"/>
        </w:rPr>
        <w:t>consider</w:t>
      </w:r>
      <w:r w:rsidR="008F594D" w:rsidRPr="00104F9A">
        <w:rPr>
          <w:rFonts w:ascii="Garamond" w:hAnsi="Garamond" w:cs="Arial"/>
          <w:sz w:val="28"/>
          <w:szCs w:val="28"/>
        </w:rPr>
        <w:t>ó</w:t>
      </w:r>
      <w:r w:rsidRPr="00104F9A">
        <w:rPr>
          <w:rFonts w:ascii="Garamond" w:hAnsi="Garamond" w:cs="Arial"/>
          <w:sz w:val="28"/>
          <w:szCs w:val="28"/>
        </w:rPr>
        <w:t xml:space="preserve"> que la tutela es el único recurso disponible para garantizar su protección como consumidor</w:t>
      </w:r>
      <w:r w:rsidR="008F594D" w:rsidRPr="00104F9A">
        <w:rPr>
          <w:rFonts w:ascii="Garamond" w:hAnsi="Garamond" w:cs="Arial"/>
          <w:sz w:val="28"/>
          <w:szCs w:val="28"/>
        </w:rPr>
        <w:t>.</w:t>
      </w:r>
      <w:r w:rsidR="00365975" w:rsidRPr="00104F9A">
        <w:rPr>
          <w:rStyle w:val="Refdenotaalpie"/>
          <w:rFonts w:ascii="Garamond" w:hAnsi="Garamond" w:cs="Arial"/>
          <w:sz w:val="28"/>
          <w:szCs w:val="28"/>
        </w:rPr>
        <w:footnoteReference w:id="6"/>
      </w:r>
      <w:r w:rsidR="008C6DBA" w:rsidRPr="00104F9A">
        <w:rPr>
          <w:rFonts w:ascii="Garamond" w:hAnsi="Garamond" w:cs="Arial"/>
          <w:sz w:val="28"/>
          <w:szCs w:val="28"/>
        </w:rPr>
        <w:t xml:space="preserve"> </w:t>
      </w:r>
    </w:p>
    <w:p w14:paraId="1ABFC0BF" w14:textId="77777777" w:rsidR="00C901CA" w:rsidRPr="00104F9A" w:rsidRDefault="00C901CA" w:rsidP="00A069BB">
      <w:pPr>
        <w:tabs>
          <w:tab w:val="left" w:pos="284"/>
        </w:tabs>
        <w:jc w:val="both"/>
        <w:rPr>
          <w:rFonts w:ascii="Garamond" w:hAnsi="Garamond" w:cs="Arial"/>
          <w:sz w:val="28"/>
          <w:szCs w:val="28"/>
        </w:rPr>
      </w:pPr>
    </w:p>
    <w:p w14:paraId="7FB2D65D" w14:textId="7ADCFA09" w:rsidR="00151353" w:rsidRPr="00104F9A" w:rsidRDefault="001D1B85" w:rsidP="00A069BB">
      <w:pPr>
        <w:pStyle w:val="Textoindependiente21"/>
        <w:tabs>
          <w:tab w:val="left" w:pos="284"/>
        </w:tabs>
        <w:jc w:val="center"/>
        <w:rPr>
          <w:rFonts w:ascii="Garamond" w:hAnsi="Garamond" w:cs="Arial"/>
          <w:b/>
          <w:szCs w:val="28"/>
          <w:lang w:val="es-ES"/>
        </w:rPr>
      </w:pPr>
      <w:r w:rsidRPr="00104F9A">
        <w:rPr>
          <w:rFonts w:ascii="Garamond" w:hAnsi="Garamond" w:cs="Arial"/>
          <w:b/>
          <w:szCs w:val="28"/>
          <w:lang w:val="es-ES"/>
        </w:rPr>
        <w:t>CONSIDERACIONES</w:t>
      </w:r>
    </w:p>
    <w:p w14:paraId="39980761" w14:textId="77777777" w:rsidR="00091DA9" w:rsidRPr="00104F9A" w:rsidRDefault="00091DA9" w:rsidP="00A069BB">
      <w:pPr>
        <w:pStyle w:val="Textoindependiente21"/>
        <w:tabs>
          <w:tab w:val="left" w:pos="284"/>
        </w:tabs>
        <w:spacing w:line="240" w:lineRule="auto"/>
        <w:rPr>
          <w:rFonts w:ascii="Garamond" w:hAnsi="Garamond" w:cs="Arial"/>
          <w:b/>
          <w:szCs w:val="28"/>
          <w:lang w:val="es-ES"/>
        </w:rPr>
      </w:pPr>
    </w:p>
    <w:p w14:paraId="607183B6" w14:textId="3AF66132" w:rsidR="00AE33CE" w:rsidRDefault="00AE33CE" w:rsidP="00A069BB">
      <w:pPr>
        <w:numPr>
          <w:ilvl w:val="0"/>
          <w:numId w:val="22"/>
        </w:numPr>
        <w:pBdr>
          <w:top w:val="nil"/>
          <w:left w:val="nil"/>
          <w:bottom w:val="nil"/>
          <w:right w:val="nil"/>
          <w:between w:val="nil"/>
        </w:pBdr>
        <w:tabs>
          <w:tab w:val="left" w:pos="993"/>
        </w:tabs>
        <w:spacing w:line="360" w:lineRule="auto"/>
        <w:ind w:left="0" w:firstLine="567"/>
        <w:contextualSpacing/>
        <w:jc w:val="both"/>
        <w:rPr>
          <w:rFonts w:ascii="Garamond" w:hAnsi="Garamond"/>
          <w:sz w:val="28"/>
          <w:szCs w:val="28"/>
        </w:rPr>
      </w:pPr>
      <w:r w:rsidRPr="00104F9A">
        <w:rPr>
          <w:rFonts w:ascii="Garamond" w:hAnsi="Garamond"/>
          <w:sz w:val="28"/>
          <w:szCs w:val="28"/>
        </w:rPr>
        <w:t xml:space="preserve">Tal como lo ha reconocido la jurisprudencia, la acción de tutela contra providencias judiciales se encuentra condicionada por tres exigencias, a saber: </w:t>
      </w:r>
      <w:r w:rsidRPr="00104F9A">
        <w:rPr>
          <w:rFonts w:ascii="Garamond" w:hAnsi="Garamond"/>
          <w:i/>
          <w:iCs/>
          <w:sz w:val="28"/>
          <w:szCs w:val="28"/>
        </w:rPr>
        <w:t>i)</w:t>
      </w:r>
      <w:r w:rsidRPr="00104F9A">
        <w:rPr>
          <w:rFonts w:ascii="Garamond" w:hAnsi="Garamond"/>
          <w:sz w:val="28"/>
          <w:szCs w:val="28"/>
        </w:rPr>
        <w:t xml:space="preserve"> que se verifiquen todos sus requisitos de procedibilidad [legitimación en la causa, subsidiariedad e inmediatez], algunos de los cuales se particularizan cuando el acto que se cuestiona es la decisión de una autoridad jurisdiccional, siguiendo el precedente reiterado, entre muchas otras, en la Sentencia C-590 de 2005</w:t>
      </w:r>
      <w:r w:rsidRPr="00104F9A">
        <w:rPr>
          <w:rStyle w:val="Refdenotaalpie"/>
          <w:rFonts w:ascii="Garamond" w:hAnsi="Garamond"/>
          <w:sz w:val="28"/>
          <w:szCs w:val="28"/>
        </w:rPr>
        <w:footnoteReference w:id="7"/>
      </w:r>
      <w:r w:rsidRPr="00104F9A">
        <w:rPr>
          <w:rFonts w:ascii="Garamond" w:hAnsi="Garamond"/>
          <w:sz w:val="28"/>
          <w:szCs w:val="28"/>
        </w:rPr>
        <w:t xml:space="preserve">; </w:t>
      </w:r>
      <w:r w:rsidRPr="00104F9A">
        <w:rPr>
          <w:rFonts w:ascii="Garamond" w:hAnsi="Garamond"/>
          <w:i/>
          <w:iCs/>
          <w:sz w:val="28"/>
          <w:szCs w:val="28"/>
        </w:rPr>
        <w:t>ii)</w:t>
      </w:r>
      <w:r w:rsidRPr="00104F9A">
        <w:rPr>
          <w:rFonts w:ascii="Garamond" w:hAnsi="Garamond"/>
          <w:sz w:val="28"/>
          <w:szCs w:val="28"/>
        </w:rPr>
        <w:t xml:space="preserve"> </w:t>
      </w:r>
      <w:r w:rsidRPr="00104F9A">
        <w:rPr>
          <w:rFonts w:ascii="Garamond" w:hAnsi="Garamond"/>
          <w:b/>
          <w:bCs/>
          <w:sz w:val="28"/>
          <w:szCs w:val="28"/>
        </w:rPr>
        <w:t>que se materialice alguna violación de los derechos fundamentales de los accionantes, mediante la configuración de algún específico defecto reconocido por la jurisprudencia constitucional, en la sentencia que se censura</w:t>
      </w:r>
      <w:r w:rsidRPr="00104F9A">
        <w:rPr>
          <w:rStyle w:val="Refdenotaalpie"/>
          <w:rFonts w:ascii="Garamond" w:hAnsi="Garamond"/>
          <w:sz w:val="28"/>
          <w:szCs w:val="28"/>
        </w:rPr>
        <w:footnoteReference w:id="8"/>
      </w:r>
      <w:r w:rsidRPr="00104F9A">
        <w:rPr>
          <w:rFonts w:ascii="Garamond" w:hAnsi="Garamond"/>
          <w:sz w:val="28"/>
          <w:szCs w:val="28"/>
        </w:rPr>
        <w:t xml:space="preserve">, y </w:t>
      </w:r>
      <w:r w:rsidRPr="00104F9A">
        <w:rPr>
          <w:rFonts w:ascii="Garamond" w:hAnsi="Garamond"/>
          <w:i/>
          <w:iCs/>
          <w:sz w:val="28"/>
          <w:szCs w:val="28"/>
        </w:rPr>
        <w:t>iii)</w:t>
      </w:r>
      <w:r w:rsidRPr="00104F9A">
        <w:rPr>
          <w:rFonts w:ascii="Garamond" w:hAnsi="Garamond"/>
          <w:sz w:val="28"/>
          <w:szCs w:val="28"/>
        </w:rPr>
        <w:t xml:space="preserve"> que, en la valoración de las dos exigencias anteriores, se acredite que se trata de un caso </w:t>
      </w:r>
      <w:r w:rsidRPr="00104F9A">
        <w:rPr>
          <w:rFonts w:ascii="Garamond" w:hAnsi="Garamond"/>
          <w:i/>
          <w:sz w:val="28"/>
          <w:szCs w:val="28"/>
        </w:rPr>
        <w:t>“definitivamente incompatible con el alcance y límite de los derechos fundamentales que han sido desarrollados por la Corte Constitucional o cuando se genera una anomalía de tal entidad que es necesaria la intervención del juez constitucional”</w:t>
      </w:r>
      <w:r w:rsidRPr="00104F9A">
        <w:rPr>
          <w:rStyle w:val="Refdenotaalpie"/>
          <w:rFonts w:ascii="Garamond" w:hAnsi="Garamond"/>
          <w:sz w:val="28"/>
          <w:szCs w:val="28"/>
        </w:rPr>
        <w:footnoteReference w:id="9"/>
      </w:r>
      <w:r w:rsidRPr="00104F9A">
        <w:rPr>
          <w:rFonts w:ascii="Garamond" w:hAnsi="Garamond"/>
          <w:sz w:val="28"/>
          <w:szCs w:val="28"/>
        </w:rPr>
        <w:t>.</w:t>
      </w:r>
    </w:p>
    <w:p w14:paraId="18FBA112" w14:textId="77777777" w:rsidR="00104F9A" w:rsidRPr="00104F9A" w:rsidRDefault="00104F9A" w:rsidP="00104F9A">
      <w:pPr>
        <w:pBdr>
          <w:top w:val="nil"/>
          <w:left w:val="nil"/>
          <w:bottom w:val="nil"/>
          <w:right w:val="nil"/>
          <w:between w:val="nil"/>
        </w:pBdr>
        <w:tabs>
          <w:tab w:val="left" w:pos="993"/>
        </w:tabs>
        <w:spacing w:line="360" w:lineRule="auto"/>
        <w:ind w:left="567"/>
        <w:contextualSpacing/>
        <w:jc w:val="both"/>
        <w:rPr>
          <w:rFonts w:ascii="Garamond" w:hAnsi="Garamond"/>
          <w:sz w:val="28"/>
          <w:szCs w:val="28"/>
        </w:rPr>
      </w:pPr>
    </w:p>
    <w:p w14:paraId="32077D3C" w14:textId="0D8881AE" w:rsidR="00AE33CE" w:rsidRPr="00104F9A" w:rsidRDefault="00094F02" w:rsidP="00A069BB">
      <w:pPr>
        <w:pStyle w:val="Prrafodelista"/>
        <w:numPr>
          <w:ilvl w:val="0"/>
          <w:numId w:val="22"/>
        </w:numPr>
        <w:tabs>
          <w:tab w:val="left" w:pos="1134"/>
        </w:tabs>
        <w:spacing w:line="360" w:lineRule="auto"/>
        <w:ind w:left="0" w:firstLine="567"/>
        <w:jc w:val="both"/>
        <w:rPr>
          <w:rFonts w:ascii="Garamond" w:hAnsi="Garamond" w:cs="Arial"/>
          <w:sz w:val="28"/>
          <w:szCs w:val="28"/>
        </w:rPr>
      </w:pPr>
      <w:r w:rsidRPr="00104F9A">
        <w:rPr>
          <w:rFonts w:ascii="Garamond" w:hAnsi="Garamond" w:cs="Arial"/>
          <w:sz w:val="28"/>
          <w:szCs w:val="28"/>
        </w:rPr>
        <w:lastRenderedPageBreak/>
        <w:t>De tal manera,</w:t>
      </w:r>
      <w:r w:rsidR="00AE33CE" w:rsidRPr="00104F9A">
        <w:rPr>
          <w:rFonts w:ascii="Garamond" w:hAnsi="Garamond" w:cs="Arial"/>
          <w:sz w:val="28"/>
          <w:szCs w:val="28"/>
        </w:rPr>
        <w:t xml:space="preserve"> </w:t>
      </w:r>
      <w:r w:rsidR="00AE33CE" w:rsidRPr="00104F9A">
        <w:rPr>
          <w:rFonts w:ascii="Garamond" w:hAnsi="Garamond" w:cs="Arial"/>
          <w:iCs/>
          <w:sz w:val="28"/>
          <w:szCs w:val="28"/>
        </w:rPr>
        <w:t xml:space="preserve">dicho medio de protección </w:t>
      </w:r>
      <w:r w:rsidR="00AE33CE" w:rsidRPr="00104F9A">
        <w:rPr>
          <w:rFonts w:ascii="Garamond" w:hAnsi="Garamond" w:cs="Arial"/>
          <w:bCs/>
          <w:iCs/>
          <w:sz w:val="28"/>
          <w:szCs w:val="28"/>
        </w:rPr>
        <w:t>sólo puede abrirse paso, cuando se establezcan dos situaciones específicas</w:t>
      </w:r>
      <w:r w:rsidR="00AE33CE" w:rsidRPr="00104F9A">
        <w:rPr>
          <w:rFonts w:ascii="Garamond" w:hAnsi="Garamond" w:cs="Arial"/>
          <w:bCs/>
          <w:i/>
          <w:sz w:val="28"/>
          <w:szCs w:val="28"/>
        </w:rPr>
        <w:t>: “1ª existencia de una vía de hecho,</w:t>
      </w:r>
      <w:r w:rsidR="00AE33CE" w:rsidRPr="00104F9A">
        <w:rPr>
          <w:rFonts w:ascii="Garamond" w:hAnsi="Garamond" w:cs="Arial"/>
          <w:i/>
          <w:sz w:val="28"/>
          <w:szCs w:val="28"/>
        </w:rPr>
        <w:t xml:space="preserve"> y 2ª ausencia de mecanismos judiciales para atacarla”</w:t>
      </w:r>
      <w:r w:rsidR="00AE33CE" w:rsidRPr="00104F9A">
        <w:rPr>
          <w:rStyle w:val="Refdenotaalpie"/>
          <w:rFonts w:ascii="Garamond" w:hAnsi="Garamond" w:cs="Arial"/>
          <w:sz w:val="28"/>
          <w:szCs w:val="28"/>
        </w:rPr>
        <w:footnoteReference w:id="10"/>
      </w:r>
      <w:r w:rsidR="00AE33CE" w:rsidRPr="00104F9A">
        <w:rPr>
          <w:rFonts w:ascii="Garamond" w:hAnsi="Garamond" w:cs="Arial"/>
          <w:i/>
          <w:sz w:val="28"/>
          <w:szCs w:val="28"/>
        </w:rPr>
        <w:t xml:space="preserve">. </w:t>
      </w:r>
      <w:r w:rsidR="00AE33CE" w:rsidRPr="00104F9A">
        <w:rPr>
          <w:rFonts w:ascii="Garamond" w:hAnsi="Garamond" w:cs="Arial"/>
          <w:sz w:val="28"/>
          <w:szCs w:val="28"/>
        </w:rPr>
        <w:t xml:space="preserve">Sobre el punto, la Corte Constitucional ha precisado que la primera se configura cuando existe una ostensible transgresión del ordenamiento jurídico con ocasión de un </w:t>
      </w:r>
      <w:r w:rsidR="00AE33CE" w:rsidRPr="00104F9A">
        <w:rPr>
          <w:rFonts w:ascii="Garamond" w:hAnsi="Garamond" w:cs="Arial"/>
          <w:i/>
          <w:sz w:val="28"/>
          <w:szCs w:val="28"/>
        </w:rPr>
        <w:t>“defecto sustantivo o material”</w:t>
      </w:r>
      <w:r w:rsidR="00AE33CE" w:rsidRPr="00104F9A">
        <w:rPr>
          <w:rFonts w:ascii="Garamond" w:hAnsi="Garamond" w:cs="Arial"/>
          <w:sz w:val="28"/>
          <w:szCs w:val="28"/>
        </w:rPr>
        <w:t xml:space="preserve"> que surge, entre otros casos, cuando</w:t>
      </w:r>
      <w:r w:rsidR="00AE33CE" w:rsidRPr="00104F9A">
        <w:rPr>
          <w:rFonts w:ascii="Garamond" w:hAnsi="Garamond" w:cs="Arial"/>
          <w:i/>
          <w:sz w:val="28"/>
          <w:szCs w:val="28"/>
        </w:rPr>
        <w:t xml:space="preserve"> “pese a la autonomía judicial, la interpretación o aplicación de la norma al caso concreto, no se encuentra, prima facie, dentro del margen de interpretación razonable o la aplicación final de la regla es inaceptable por tratarse de una interpretación contraevidente (interpretación contra </w:t>
      </w:r>
      <w:proofErr w:type="spellStart"/>
      <w:r w:rsidR="00AE33CE" w:rsidRPr="00104F9A">
        <w:rPr>
          <w:rFonts w:ascii="Garamond" w:hAnsi="Garamond" w:cs="Arial"/>
          <w:i/>
          <w:sz w:val="28"/>
          <w:szCs w:val="28"/>
        </w:rPr>
        <w:t>legem</w:t>
      </w:r>
      <w:proofErr w:type="spellEnd"/>
      <w:r w:rsidR="00AE33CE" w:rsidRPr="00104F9A">
        <w:rPr>
          <w:rFonts w:ascii="Garamond" w:hAnsi="Garamond" w:cs="Arial"/>
          <w:i/>
          <w:sz w:val="28"/>
          <w:szCs w:val="28"/>
        </w:rPr>
        <w:t>) o claramente perjudicial para los intereses legítimos de una de las partes o cuando en una decisión judicial se aplica una norma jurídica de manera manifiestamente errada, sacando del marco de la juridicidad y de la hermenéutica jurídica aceptable tal decisión judicial”</w:t>
      </w:r>
      <w:r w:rsidR="00AE33CE" w:rsidRPr="00104F9A">
        <w:rPr>
          <w:rStyle w:val="Refdenotaalpie"/>
          <w:rFonts w:ascii="Garamond" w:hAnsi="Garamond" w:cs="Arial"/>
          <w:sz w:val="28"/>
          <w:szCs w:val="28"/>
        </w:rPr>
        <w:footnoteReference w:id="11"/>
      </w:r>
      <w:r w:rsidR="00AE33CE" w:rsidRPr="00104F9A">
        <w:rPr>
          <w:rFonts w:ascii="Garamond" w:hAnsi="Garamond" w:cs="Arial"/>
          <w:sz w:val="28"/>
          <w:szCs w:val="28"/>
        </w:rPr>
        <w:t>.</w:t>
      </w:r>
    </w:p>
    <w:p w14:paraId="645C4654" w14:textId="77777777" w:rsidR="00AE33CE" w:rsidRPr="00104F9A" w:rsidRDefault="00AE33CE" w:rsidP="00A069BB">
      <w:pPr>
        <w:pStyle w:val="Prrafodelista"/>
        <w:pBdr>
          <w:top w:val="nil"/>
          <w:left w:val="nil"/>
          <w:bottom w:val="nil"/>
          <w:right w:val="nil"/>
          <w:between w:val="nil"/>
        </w:pBdr>
        <w:tabs>
          <w:tab w:val="left" w:pos="993"/>
        </w:tabs>
        <w:spacing w:line="360" w:lineRule="auto"/>
        <w:ind w:left="0" w:firstLine="567"/>
        <w:jc w:val="both"/>
        <w:rPr>
          <w:rFonts w:ascii="Garamond" w:hAnsi="Garamond"/>
          <w:sz w:val="28"/>
          <w:szCs w:val="28"/>
        </w:rPr>
      </w:pPr>
    </w:p>
    <w:p w14:paraId="4302F50F" w14:textId="085EE438" w:rsidR="00AE33CE" w:rsidRPr="00104F9A" w:rsidRDefault="00AE33CE" w:rsidP="00A069BB">
      <w:pPr>
        <w:numPr>
          <w:ilvl w:val="0"/>
          <w:numId w:val="22"/>
        </w:numPr>
        <w:pBdr>
          <w:top w:val="nil"/>
          <w:left w:val="nil"/>
          <w:bottom w:val="nil"/>
          <w:right w:val="nil"/>
          <w:between w:val="nil"/>
        </w:pBdr>
        <w:tabs>
          <w:tab w:val="left" w:pos="1134"/>
        </w:tabs>
        <w:spacing w:line="360" w:lineRule="auto"/>
        <w:ind w:left="0" w:firstLine="567"/>
        <w:jc w:val="both"/>
        <w:rPr>
          <w:rFonts w:ascii="Garamond" w:hAnsi="Garamond" w:cs="Arial"/>
          <w:sz w:val="28"/>
          <w:szCs w:val="28"/>
        </w:rPr>
      </w:pPr>
      <w:r w:rsidRPr="00104F9A">
        <w:rPr>
          <w:rFonts w:ascii="Garamond" w:hAnsi="Garamond" w:cs="Arial"/>
          <w:sz w:val="28"/>
          <w:szCs w:val="28"/>
        </w:rPr>
        <w:t xml:space="preserve">En el caso de marras se encuentra acreditado </w:t>
      </w:r>
      <w:r w:rsidR="00E664B6" w:rsidRPr="00104F9A">
        <w:rPr>
          <w:rFonts w:ascii="Garamond" w:hAnsi="Garamond" w:cs="Arial"/>
          <w:sz w:val="28"/>
          <w:szCs w:val="28"/>
        </w:rPr>
        <w:t>que Alex Humberto Cardozo Martínez [accionante] presentó demanda de protección al consumidor financiero en contra de Mapfre Seguros Generales de Colombia Ltda</w:t>
      </w:r>
      <w:r w:rsidR="00104F9A">
        <w:rPr>
          <w:rFonts w:ascii="Garamond" w:hAnsi="Garamond" w:cs="Arial"/>
          <w:sz w:val="28"/>
          <w:szCs w:val="28"/>
        </w:rPr>
        <w:t>.</w:t>
      </w:r>
      <w:r w:rsidR="00E664B6" w:rsidRPr="00104F9A">
        <w:rPr>
          <w:rFonts w:ascii="Garamond" w:hAnsi="Garamond" w:cs="Arial"/>
          <w:sz w:val="28"/>
          <w:szCs w:val="28"/>
        </w:rPr>
        <w:t xml:space="preserve">, a la cual le correspondió </w:t>
      </w:r>
      <w:r w:rsidR="00094F02" w:rsidRPr="00104F9A">
        <w:rPr>
          <w:rFonts w:ascii="Garamond" w:hAnsi="Garamond" w:cs="Arial"/>
          <w:sz w:val="28"/>
          <w:szCs w:val="28"/>
        </w:rPr>
        <w:t>por</w:t>
      </w:r>
      <w:r w:rsidR="00E664B6" w:rsidRPr="00104F9A">
        <w:rPr>
          <w:rFonts w:ascii="Garamond" w:hAnsi="Garamond" w:cs="Arial"/>
          <w:sz w:val="28"/>
          <w:szCs w:val="28"/>
        </w:rPr>
        <w:t xml:space="preserve"> radicado</w:t>
      </w:r>
      <w:r w:rsidR="00094F02" w:rsidRPr="00104F9A">
        <w:rPr>
          <w:rFonts w:ascii="Garamond" w:hAnsi="Garamond" w:cs="Arial"/>
          <w:sz w:val="28"/>
          <w:szCs w:val="28"/>
        </w:rPr>
        <w:t xml:space="preserve"> el No.</w:t>
      </w:r>
      <w:r w:rsidR="00E664B6" w:rsidRPr="00104F9A">
        <w:rPr>
          <w:rFonts w:ascii="Garamond" w:hAnsi="Garamond" w:cs="Arial"/>
          <w:sz w:val="28"/>
          <w:szCs w:val="28"/>
        </w:rPr>
        <w:t xml:space="preserve"> 11001400305520200017100; líbelo que fue inadmitido</w:t>
      </w:r>
      <w:r w:rsidR="00834275" w:rsidRPr="00104F9A">
        <w:rPr>
          <w:rFonts w:ascii="Garamond" w:hAnsi="Garamond" w:cs="Arial"/>
          <w:sz w:val="28"/>
          <w:szCs w:val="28"/>
        </w:rPr>
        <w:t xml:space="preserve"> por el Juzgado Trece de Pequeñas Causas y Competencia Múltiple de Bogotá D.C.,</w:t>
      </w:r>
      <w:r w:rsidR="00E664B6" w:rsidRPr="00104F9A">
        <w:rPr>
          <w:rFonts w:ascii="Garamond" w:hAnsi="Garamond" w:cs="Arial"/>
          <w:sz w:val="28"/>
          <w:szCs w:val="28"/>
        </w:rPr>
        <w:t xml:space="preserve"> para que el interesado demostrara </w:t>
      </w:r>
      <w:r w:rsidR="00094F02" w:rsidRPr="00104F9A">
        <w:rPr>
          <w:rFonts w:ascii="Garamond" w:hAnsi="Garamond" w:cs="Arial"/>
          <w:sz w:val="28"/>
          <w:szCs w:val="28"/>
        </w:rPr>
        <w:t xml:space="preserve">haber agotado </w:t>
      </w:r>
      <w:r w:rsidR="00E664B6" w:rsidRPr="00104F9A">
        <w:rPr>
          <w:rFonts w:ascii="Garamond" w:hAnsi="Garamond" w:cs="Arial"/>
          <w:sz w:val="28"/>
          <w:szCs w:val="28"/>
        </w:rPr>
        <w:t>el requisito de procedibilidad de que trata la Ley 640 de 2001</w:t>
      </w:r>
      <w:r w:rsidR="00834275" w:rsidRPr="00104F9A">
        <w:rPr>
          <w:rFonts w:ascii="Garamond" w:hAnsi="Garamond" w:cs="Arial"/>
          <w:sz w:val="28"/>
          <w:szCs w:val="28"/>
        </w:rPr>
        <w:t xml:space="preserve"> -conciliación prejudicial-</w:t>
      </w:r>
      <w:r w:rsidR="00E664B6" w:rsidRPr="00104F9A">
        <w:rPr>
          <w:rFonts w:ascii="Garamond" w:hAnsi="Garamond" w:cs="Arial"/>
          <w:sz w:val="28"/>
          <w:szCs w:val="28"/>
        </w:rPr>
        <w:t xml:space="preserve"> ante lo cual, el demandante manifestó haber ejercido la </w:t>
      </w:r>
      <w:r w:rsidR="00E664B6" w:rsidRPr="00104F9A">
        <w:rPr>
          <w:rFonts w:ascii="Garamond" w:hAnsi="Garamond" w:cs="Arial"/>
          <w:i/>
          <w:iCs/>
          <w:sz w:val="28"/>
          <w:szCs w:val="28"/>
        </w:rPr>
        <w:t>“reclamación directa”</w:t>
      </w:r>
      <w:r w:rsidR="00E664B6" w:rsidRPr="00104F9A">
        <w:rPr>
          <w:rFonts w:ascii="Garamond" w:hAnsi="Garamond" w:cs="Arial"/>
          <w:sz w:val="28"/>
          <w:szCs w:val="28"/>
        </w:rPr>
        <w:t xml:space="preserve"> referida en el estatuto financiero. No obstante, </w:t>
      </w:r>
      <w:r w:rsidR="00834275" w:rsidRPr="00104F9A">
        <w:rPr>
          <w:rFonts w:ascii="Garamond" w:hAnsi="Garamond" w:cs="Arial"/>
          <w:sz w:val="28"/>
          <w:szCs w:val="28"/>
        </w:rPr>
        <w:t>dicha autoridad</w:t>
      </w:r>
      <w:r w:rsidR="00E664B6" w:rsidRPr="00104F9A">
        <w:rPr>
          <w:rFonts w:ascii="Garamond" w:hAnsi="Garamond" w:cs="Arial"/>
          <w:sz w:val="28"/>
          <w:szCs w:val="28"/>
        </w:rPr>
        <w:t xml:space="preserve"> rechazó el petitorio, </w:t>
      </w:r>
      <w:r w:rsidR="00094F02" w:rsidRPr="00104F9A">
        <w:rPr>
          <w:rFonts w:ascii="Garamond" w:hAnsi="Garamond" w:cs="Arial"/>
          <w:sz w:val="28"/>
          <w:szCs w:val="28"/>
        </w:rPr>
        <w:t>argumentando</w:t>
      </w:r>
      <w:r w:rsidR="00E664B6" w:rsidRPr="00104F9A">
        <w:rPr>
          <w:rFonts w:ascii="Garamond" w:hAnsi="Garamond" w:cs="Arial"/>
          <w:sz w:val="28"/>
          <w:szCs w:val="28"/>
        </w:rPr>
        <w:t xml:space="preserve"> que el agotamiento de </w:t>
      </w:r>
      <w:r w:rsidR="00834275" w:rsidRPr="00104F9A">
        <w:rPr>
          <w:rFonts w:ascii="Garamond" w:hAnsi="Garamond" w:cs="Arial"/>
          <w:sz w:val="28"/>
          <w:szCs w:val="28"/>
        </w:rPr>
        <w:t>ese</w:t>
      </w:r>
      <w:r w:rsidR="00E664B6" w:rsidRPr="00104F9A">
        <w:rPr>
          <w:rFonts w:ascii="Garamond" w:hAnsi="Garamond" w:cs="Arial"/>
          <w:sz w:val="28"/>
          <w:szCs w:val="28"/>
        </w:rPr>
        <w:t xml:space="preserve"> reclamo, no </w:t>
      </w:r>
      <w:r w:rsidR="00834275" w:rsidRPr="00104F9A">
        <w:rPr>
          <w:rFonts w:ascii="Garamond" w:hAnsi="Garamond" w:cs="Arial"/>
          <w:sz w:val="28"/>
          <w:szCs w:val="28"/>
        </w:rPr>
        <w:t>suple</w:t>
      </w:r>
      <w:r w:rsidR="00E664B6" w:rsidRPr="00104F9A">
        <w:rPr>
          <w:rFonts w:ascii="Garamond" w:hAnsi="Garamond" w:cs="Arial"/>
          <w:sz w:val="28"/>
          <w:szCs w:val="28"/>
        </w:rPr>
        <w:t xml:space="preserve"> la mencionada exigencia.</w:t>
      </w:r>
    </w:p>
    <w:p w14:paraId="319953D2" w14:textId="77777777" w:rsidR="00A069BB" w:rsidRPr="00104F9A" w:rsidRDefault="00A069BB" w:rsidP="00A069BB">
      <w:pPr>
        <w:pBdr>
          <w:top w:val="nil"/>
          <w:left w:val="nil"/>
          <w:bottom w:val="nil"/>
          <w:right w:val="nil"/>
          <w:between w:val="nil"/>
        </w:pBdr>
        <w:tabs>
          <w:tab w:val="left" w:pos="1134"/>
        </w:tabs>
        <w:spacing w:line="360" w:lineRule="auto"/>
        <w:ind w:firstLine="567"/>
        <w:jc w:val="both"/>
        <w:rPr>
          <w:rFonts w:ascii="Garamond" w:hAnsi="Garamond" w:cs="Arial"/>
          <w:sz w:val="28"/>
          <w:szCs w:val="28"/>
        </w:rPr>
      </w:pPr>
    </w:p>
    <w:p w14:paraId="77BB87B2" w14:textId="12193A38" w:rsidR="00E664B6" w:rsidRDefault="00E664B6" w:rsidP="00A069BB">
      <w:pPr>
        <w:pBdr>
          <w:top w:val="nil"/>
          <w:left w:val="nil"/>
          <w:bottom w:val="nil"/>
          <w:right w:val="nil"/>
          <w:between w:val="nil"/>
        </w:pBdr>
        <w:tabs>
          <w:tab w:val="left" w:pos="1134"/>
        </w:tabs>
        <w:spacing w:line="360" w:lineRule="auto"/>
        <w:ind w:firstLine="567"/>
        <w:jc w:val="both"/>
        <w:rPr>
          <w:rFonts w:ascii="Garamond" w:hAnsi="Garamond" w:cs="Arial"/>
          <w:sz w:val="28"/>
          <w:szCs w:val="28"/>
        </w:rPr>
      </w:pPr>
      <w:r w:rsidRPr="00104F9A">
        <w:rPr>
          <w:rFonts w:ascii="Garamond" w:hAnsi="Garamond" w:cs="Arial"/>
          <w:sz w:val="28"/>
          <w:szCs w:val="28"/>
        </w:rPr>
        <w:t>Para</w:t>
      </w:r>
      <w:r w:rsidR="00834275" w:rsidRPr="00104F9A">
        <w:rPr>
          <w:rFonts w:ascii="Garamond" w:hAnsi="Garamond" w:cs="Arial"/>
          <w:sz w:val="28"/>
          <w:szCs w:val="28"/>
        </w:rPr>
        <w:t xml:space="preserve"> apuntalar su </w:t>
      </w:r>
      <w:r w:rsidR="00B90F7D" w:rsidRPr="00104F9A">
        <w:rPr>
          <w:rFonts w:ascii="Garamond" w:hAnsi="Garamond" w:cs="Arial"/>
          <w:sz w:val="28"/>
          <w:szCs w:val="28"/>
        </w:rPr>
        <w:t>decisión</w:t>
      </w:r>
      <w:r w:rsidR="00094F02" w:rsidRPr="00104F9A">
        <w:rPr>
          <w:rFonts w:ascii="Garamond" w:hAnsi="Garamond" w:cs="Arial"/>
          <w:sz w:val="28"/>
          <w:szCs w:val="28"/>
        </w:rPr>
        <w:t>, el juzgado</w:t>
      </w:r>
      <w:r w:rsidR="00B90F7D" w:rsidRPr="00104F9A">
        <w:rPr>
          <w:rFonts w:ascii="Garamond" w:hAnsi="Garamond" w:cs="Arial"/>
          <w:sz w:val="28"/>
          <w:szCs w:val="28"/>
        </w:rPr>
        <w:t xml:space="preserve"> recordó que, conforme a lo establecido en el literal g) del numeral 5° del artículo 58 de la Ley </w:t>
      </w:r>
      <w:r w:rsidR="00B90F7D" w:rsidRPr="00104F9A">
        <w:rPr>
          <w:rFonts w:ascii="Garamond" w:hAnsi="Garamond" w:cs="Arial"/>
          <w:i/>
          <w:iCs/>
          <w:sz w:val="28"/>
          <w:szCs w:val="28"/>
        </w:rPr>
        <w:t>“640”</w:t>
      </w:r>
      <w:r w:rsidR="00B90F7D" w:rsidRPr="00104F9A">
        <w:rPr>
          <w:rFonts w:ascii="Garamond" w:hAnsi="Garamond" w:cs="Arial"/>
          <w:sz w:val="28"/>
          <w:szCs w:val="28"/>
        </w:rPr>
        <w:t xml:space="preserve"> -en realidad es la 1480 de 2011- </w:t>
      </w:r>
      <w:r w:rsidR="00B90F7D" w:rsidRPr="00104F9A">
        <w:rPr>
          <w:rFonts w:ascii="Garamond" w:hAnsi="Garamond" w:cs="Arial"/>
          <w:i/>
          <w:iCs/>
          <w:sz w:val="28"/>
          <w:szCs w:val="28"/>
        </w:rPr>
        <w:t>“Se dará por cumplido el requisito de procedibilidad de reclamación directa en todos los casos en que se presente un acta de audiencia de conciliación emitida por cualquier centro de conciliación legalmente establecido”</w:t>
      </w:r>
      <w:r w:rsidR="00B90F7D" w:rsidRPr="00104F9A">
        <w:rPr>
          <w:rFonts w:ascii="Garamond" w:hAnsi="Garamond" w:cs="Arial"/>
          <w:sz w:val="28"/>
          <w:szCs w:val="28"/>
        </w:rPr>
        <w:t xml:space="preserve">; esto, aunado a </w:t>
      </w:r>
      <w:r w:rsidR="00094F02" w:rsidRPr="00104F9A">
        <w:rPr>
          <w:rFonts w:ascii="Garamond" w:hAnsi="Garamond" w:cs="Arial"/>
          <w:sz w:val="28"/>
          <w:szCs w:val="28"/>
        </w:rPr>
        <w:t xml:space="preserve">que </w:t>
      </w:r>
      <w:r w:rsidR="00B90F7D" w:rsidRPr="00104F9A">
        <w:rPr>
          <w:rFonts w:ascii="Garamond" w:hAnsi="Garamond" w:cs="Arial"/>
          <w:sz w:val="28"/>
          <w:szCs w:val="28"/>
        </w:rPr>
        <w:t xml:space="preserve">la </w:t>
      </w:r>
      <w:r w:rsidR="00B90F7D" w:rsidRPr="00104F9A">
        <w:rPr>
          <w:rFonts w:ascii="Garamond" w:hAnsi="Garamond" w:cs="Arial"/>
          <w:i/>
          <w:iCs/>
          <w:sz w:val="28"/>
          <w:szCs w:val="28"/>
        </w:rPr>
        <w:t>“naturaleza declarativa de las prete</w:t>
      </w:r>
      <w:r w:rsidR="004164A1" w:rsidRPr="00104F9A">
        <w:rPr>
          <w:rFonts w:ascii="Garamond" w:hAnsi="Garamond" w:cs="Arial"/>
          <w:i/>
          <w:iCs/>
          <w:sz w:val="28"/>
          <w:szCs w:val="28"/>
        </w:rPr>
        <w:t>n</w:t>
      </w:r>
      <w:r w:rsidR="00B90F7D" w:rsidRPr="00104F9A">
        <w:rPr>
          <w:rFonts w:ascii="Garamond" w:hAnsi="Garamond" w:cs="Arial"/>
          <w:i/>
          <w:iCs/>
          <w:sz w:val="28"/>
          <w:szCs w:val="28"/>
        </w:rPr>
        <w:t>siones invocadas</w:t>
      </w:r>
      <w:r w:rsidR="00B90F7D" w:rsidRPr="00104F9A">
        <w:rPr>
          <w:rFonts w:ascii="Garamond" w:hAnsi="Garamond" w:cs="Arial"/>
          <w:sz w:val="28"/>
          <w:szCs w:val="28"/>
        </w:rPr>
        <w:t xml:space="preserve"> </w:t>
      </w:r>
      <w:r w:rsidR="004164A1" w:rsidRPr="00104F9A">
        <w:rPr>
          <w:rFonts w:ascii="Garamond" w:hAnsi="Garamond" w:cs="Arial"/>
          <w:sz w:val="28"/>
          <w:szCs w:val="28"/>
        </w:rPr>
        <w:t xml:space="preserve">[…] </w:t>
      </w:r>
      <w:r w:rsidR="004164A1" w:rsidRPr="00104F9A">
        <w:rPr>
          <w:rFonts w:ascii="Garamond" w:hAnsi="Garamond" w:cs="Arial"/>
          <w:i/>
          <w:iCs/>
          <w:sz w:val="28"/>
          <w:szCs w:val="28"/>
        </w:rPr>
        <w:t>requería, para abrirle paso a la demanda, que previamente se agotara la audiencia extrajudicial de conciliac</w:t>
      </w:r>
      <w:r w:rsidR="00A74787" w:rsidRPr="00104F9A">
        <w:rPr>
          <w:rFonts w:ascii="Garamond" w:hAnsi="Garamond" w:cs="Arial"/>
          <w:i/>
          <w:iCs/>
          <w:sz w:val="28"/>
          <w:szCs w:val="28"/>
        </w:rPr>
        <w:t>i</w:t>
      </w:r>
      <w:r w:rsidR="004164A1" w:rsidRPr="00104F9A">
        <w:rPr>
          <w:rFonts w:ascii="Garamond" w:hAnsi="Garamond" w:cs="Arial"/>
          <w:i/>
          <w:iCs/>
          <w:sz w:val="28"/>
          <w:szCs w:val="28"/>
        </w:rPr>
        <w:t>ón”</w:t>
      </w:r>
      <w:r w:rsidR="004164A1" w:rsidRPr="00104F9A">
        <w:rPr>
          <w:rFonts w:ascii="Garamond" w:hAnsi="Garamond" w:cs="Arial"/>
          <w:sz w:val="28"/>
          <w:szCs w:val="28"/>
        </w:rPr>
        <w:t>.</w:t>
      </w:r>
      <w:r w:rsidR="004164A1" w:rsidRPr="00104F9A">
        <w:rPr>
          <w:rStyle w:val="Refdenotaalpie"/>
          <w:rFonts w:ascii="Garamond" w:hAnsi="Garamond" w:cs="Arial"/>
          <w:sz w:val="28"/>
          <w:szCs w:val="28"/>
        </w:rPr>
        <w:footnoteReference w:id="12"/>
      </w:r>
    </w:p>
    <w:p w14:paraId="3A0BD946" w14:textId="2489D561" w:rsidR="00094F02" w:rsidRPr="00104F9A" w:rsidRDefault="00145BCD" w:rsidP="00A069BB">
      <w:pPr>
        <w:pStyle w:val="Prrafodelista"/>
        <w:numPr>
          <w:ilvl w:val="0"/>
          <w:numId w:val="22"/>
        </w:numPr>
        <w:pBdr>
          <w:top w:val="nil"/>
          <w:left w:val="nil"/>
          <w:bottom w:val="nil"/>
          <w:right w:val="nil"/>
          <w:between w:val="nil"/>
        </w:pBdr>
        <w:tabs>
          <w:tab w:val="left" w:pos="1134"/>
        </w:tabs>
        <w:spacing w:line="360" w:lineRule="auto"/>
        <w:ind w:left="0" w:firstLine="567"/>
        <w:jc w:val="both"/>
        <w:rPr>
          <w:rFonts w:ascii="Garamond" w:hAnsi="Garamond" w:cs="Arial"/>
          <w:sz w:val="28"/>
          <w:szCs w:val="28"/>
        </w:rPr>
      </w:pPr>
      <w:r w:rsidRPr="00104F9A">
        <w:rPr>
          <w:rFonts w:ascii="Garamond" w:hAnsi="Garamond" w:cs="Arial"/>
          <w:sz w:val="28"/>
          <w:szCs w:val="28"/>
        </w:rPr>
        <w:lastRenderedPageBreak/>
        <w:t xml:space="preserve">Analizada con detalle la situación </w:t>
      </w:r>
      <w:r w:rsidR="00094F02" w:rsidRPr="00104F9A">
        <w:rPr>
          <w:rFonts w:ascii="Garamond" w:hAnsi="Garamond" w:cs="Arial"/>
          <w:sz w:val="28"/>
          <w:szCs w:val="28"/>
        </w:rPr>
        <w:t xml:space="preserve">se encuentran materializados </w:t>
      </w:r>
      <w:r w:rsidR="00094F02" w:rsidRPr="00104F9A">
        <w:rPr>
          <w:rFonts w:ascii="Garamond" w:hAnsi="Garamond" w:cs="Arial"/>
          <w:b/>
          <w:bCs/>
          <w:sz w:val="28"/>
          <w:szCs w:val="28"/>
        </w:rPr>
        <w:t>todos</w:t>
      </w:r>
      <w:r w:rsidR="00094F02" w:rsidRPr="00104F9A">
        <w:rPr>
          <w:rFonts w:ascii="Garamond" w:hAnsi="Garamond" w:cs="Arial"/>
          <w:sz w:val="28"/>
          <w:szCs w:val="28"/>
        </w:rPr>
        <w:t xml:space="preserve"> los requisitos generales de procedencia de la acción tuitiva, con vista en que: (i) del caso aflora una evidente </w:t>
      </w:r>
      <w:r w:rsidR="00094F02" w:rsidRPr="00104F9A">
        <w:rPr>
          <w:rFonts w:ascii="Garamond" w:hAnsi="Garamond" w:cs="Arial"/>
          <w:i/>
          <w:iCs/>
          <w:sz w:val="28"/>
          <w:szCs w:val="28"/>
        </w:rPr>
        <w:t>“relevancia constitucional”</w:t>
      </w:r>
      <w:r w:rsidR="00094F02" w:rsidRPr="00104F9A">
        <w:rPr>
          <w:rFonts w:ascii="Garamond" w:hAnsi="Garamond" w:cs="Arial"/>
          <w:sz w:val="28"/>
          <w:szCs w:val="28"/>
        </w:rPr>
        <w:t xml:space="preserve"> que involucra la posible vulneración de los derechos fundamentales del accionante como </w:t>
      </w:r>
      <w:r w:rsidR="00094F02" w:rsidRPr="00104F9A">
        <w:rPr>
          <w:rFonts w:ascii="Garamond" w:hAnsi="Garamond" w:cs="Arial"/>
          <w:i/>
          <w:iCs/>
          <w:sz w:val="28"/>
          <w:szCs w:val="28"/>
        </w:rPr>
        <w:t>“consumidor financiero”</w:t>
      </w:r>
      <w:r w:rsidR="00094F02" w:rsidRPr="00104F9A">
        <w:rPr>
          <w:rFonts w:ascii="Garamond" w:hAnsi="Garamond" w:cs="Arial"/>
          <w:sz w:val="28"/>
          <w:szCs w:val="28"/>
        </w:rPr>
        <w:t xml:space="preserve">; (ii) </w:t>
      </w:r>
      <w:r w:rsidRPr="00104F9A">
        <w:rPr>
          <w:rFonts w:ascii="Garamond" w:hAnsi="Garamond" w:cs="Arial"/>
          <w:sz w:val="28"/>
          <w:szCs w:val="28"/>
        </w:rPr>
        <w:t xml:space="preserve">para conjurar el predicamento esbozado no existen otros medios, ya que se trata de un proceso </w:t>
      </w:r>
      <w:r w:rsidRPr="00104F9A">
        <w:rPr>
          <w:rFonts w:ascii="Garamond" w:hAnsi="Garamond" w:cs="Arial"/>
          <w:i/>
          <w:iCs/>
          <w:sz w:val="28"/>
          <w:szCs w:val="28"/>
        </w:rPr>
        <w:t>“verbal sumario”</w:t>
      </w:r>
      <w:r w:rsidRPr="00104F9A">
        <w:rPr>
          <w:rFonts w:ascii="Garamond" w:hAnsi="Garamond" w:cs="Arial"/>
          <w:sz w:val="28"/>
          <w:szCs w:val="28"/>
        </w:rPr>
        <w:t xml:space="preserve"> que, en principio, se tramita en única instancia, y ya se agotó el único recurso que el interesado tenía [reposición]; </w:t>
      </w:r>
      <w:r w:rsidR="00094F02" w:rsidRPr="00104F9A">
        <w:rPr>
          <w:rFonts w:ascii="Garamond" w:hAnsi="Garamond" w:cs="Arial"/>
          <w:sz w:val="28"/>
          <w:szCs w:val="28"/>
        </w:rPr>
        <w:t xml:space="preserve">(iii) </w:t>
      </w:r>
      <w:r w:rsidRPr="00104F9A">
        <w:rPr>
          <w:rFonts w:ascii="Garamond" w:hAnsi="Garamond" w:cs="Arial"/>
          <w:sz w:val="28"/>
          <w:szCs w:val="28"/>
        </w:rPr>
        <w:t>la decisión cuestionada data del 11 de marzo de 2021</w:t>
      </w:r>
      <w:r w:rsidR="00094F02" w:rsidRPr="00104F9A">
        <w:rPr>
          <w:rFonts w:ascii="Garamond" w:hAnsi="Garamond" w:cs="Arial"/>
          <w:sz w:val="28"/>
          <w:szCs w:val="28"/>
        </w:rPr>
        <w:t>,</w:t>
      </w:r>
      <w:r w:rsidRPr="00104F9A">
        <w:rPr>
          <w:rFonts w:ascii="Garamond" w:hAnsi="Garamond" w:cs="Arial"/>
          <w:sz w:val="28"/>
          <w:szCs w:val="28"/>
        </w:rPr>
        <w:t xml:space="preserve"> por lo</w:t>
      </w:r>
      <w:r w:rsidR="00094F02" w:rsidRPr="00104F9A">
        <w:rPr>
          <w:rFonts w:ascii="Garamond" w:hAnsi="Garamond" w:cs="Arial"/>
          <w:sz w:val="28"/>
          <w:szCs w:val="28"/>
        </w:rPr>
        <w:t xml:space="preserve"> que </w:t>
      </w:r>
      <w:r w:rsidRPr="00104F9A">
        <w:rPr>
          <w:rFonts w:ascii="Garamond" w:hAnsi="Garamond" w:cs="Arial"/>
          <w:sz w:val="28"/>
          <w:szCs w:val="28"/>
        </w:rPr>
        <w:t>se interpuso dentro</w:t>
      </w:r>
      <w:r w:rsidR="00094F02" w:rsidRPr="00104F9A">
        <w:rPr>
          <w:rFonts w:ascii="Garamond" w:hAnsi="Garamond" w:cs="Arial"/>
          <w:sz w:val="28"/>
          <w:szCs w:val="28"/>
        </w:rPr>
        <w:t xml:space="preserve"> </w:t>
      </w:r>
      <w:r w:rsidRPr="00104F9A">
        <w:rPr>
          <w:rFonts w:ascii="Garamond" w:hAnsi="Garamond" w:cs="Arial"/>
          <w:sz w:val="28"/>
          <w:szCs w:val="28"/>
        </w:rPr>
        <w:t>de</w:t>
      </w:r>
      <w:r w:rsidR="00094F02" w:rsidRPr="00104F9A">
        <w:rPr>
          <w:rFonts w:ascii="Garamond" w:hAnsi="Garamond" w:cs="Arial"/>
          <w:sz w:val="28"/>
          <w:szCs w:val="28"/>
        </w:rPr>
        <w:t xml:space="preserve"> un término razonable y proporcionado a partir del hecho que originó la presunta vulneración</w:t>
      </w:r>
      <w:r w:rsidRPr="00104F9A">
        <w:rPr>
          <w:rFonts w:ascii="Garamond" w:hAnsi="Garamond" w:cs="Arial"/>
          <w:sz w:val="28"/>
          <w:szCs w:val="28"/>
        </w:rPr>
        <w:t xml:space="preserve"> [2 meses</w:t>
      </w:r>
      <w:r w:rsidRPr="00104F9A">
        <w:rPr>
          <w:rStyle w:val="Refdenotaalpie"/>
          <w:rFonts w:ascii="Garamond" w:hAnsi="Garamond" w:cs="Arial"/>
          <w:sz w:val="28"/>
          <w:szCs w:val="28"/>
        </w:rPr>
        <w:footnoteReference w:id="13"/>
      </w:r>
      <w:r w:rsidRPr="00104F9A">
        <w:rPr>
          <w:rFonts w:ascii="Garamond" w:hAnsi="Garamond" w:cs="Arial"/>
          <w:sz w:val="28"/>
          <w:szCs w:val="28"/>
        </w:rPr>
        <w:t>]</w:t>
      </w:r>
      <w:r w:rsidR="00094F02" w:rsidRPr="00104F9A">
        <w:rPr>
          <w:rFonts w:ascii="Garamond" w:hAnsi="Garamond" w:cs="Arial"/>
          <w:sz w:val="28"/>
          <w:szCs w:val="28"/>
        </w:rPr>
        <w:t xml:space="preserve">; (iv) </w:t>
      </w:r>
      <w:r w:rsidRPr="00104F9A">
        <w:rPr>
          <w:rFonts w:ascii="Garamond" w:hAnsi="Garamond" w:cs="Arial"/>
          <w:sz w:val="28"/>
          <w:szCs w:val="28"/>
        </w:rPr>
        <w:t>la</w:t>
      </w:r>
      <w:r w:rsidR="00094F02" w:rsidRPr="00104F9A">
        <w:rPr>
          <w:rFonts w:ascii="Garamond" w:hAnsi="Garamond" w:cs="Arial"/>
          <w:sz w:val="28"/>
          <w:szCs w:val="28"/>
        </w:rPr>
        <w:t xml:space="preserve"> irregularidad procesal </w:t>
      </w:r>
      <w:r w:rsidRPr="00104F9A">
        <w:rPr>
          <w:rFonts w:ascii="Garamond" w:hAnsi="Garamond" w:cs="Arial"/>
          <w:sz w:val="28"/>
          <w:szCs w:val="28"/>
        </w:rPr>
        <w:t xml:space="preserve">alegada </w:t>
      </w:r>
      <w:r w:rsidR="009262A4">
        <w:rPr>
          <w:rFonts w:ascii="Garamond" w:hAnsi="Garamond" w:cs="Arial"/>
          <w:sz w:val="28"/>
          <w:szCs w:val="28"/>
        </w:rPr>
        <w:t>podría tener</w:t>
      </w:r>
      <w:r w:rsidR="00094F02" w:rsidRPr="00104F9A">
        <w:rPr>
          <w:rFonts w:ascii="Garamond" w:hAnsi="Garamond" w:cs="Arial"/>
          <w:sz w:val="28"/>
          <w:szCs w:val="28"/>
        </w:rPr>
        <w:t xml:space="preserve"> efecto decisivo en la providencia que se impugna; (v) el tutelante identifi</w:t>
      </w:r>
      <w:r w:rsidRPr="00104F9A">
        <w:rPr>
          <w:rFonts w:ascii="Garamond" w:hAnsi="Garamond" w:cs="Arial"/>
          <w:sz w:val="28"/>
          <w:szCs w:val="28"/>
        </w:rPr>
        <w:t>có</w:t>
      </w:r>
      <w:r w:rsidR="00094F02" w:rsidRPr="00104F9A">
        <w:rPr>
          <w:rFonts w:ascii="Garamond" w:hAnsi="Garamond" w:cs="Arial"/>
          <w:sz w:val="28"/>
          <w:szCs w:val="28"/>
        </w:rPr>
        <w:t xml:space="preserve"> de manera razonable los hechos que generaron la vulneración y los derechos </w:t>
      </w:r>
      <w:r w:rsidR="009262A4">
        <w:rPr>
          <w:rFonts w:ascii="Garamond" w:hAnsi="Garamond" w:cs="Arial"/>
          <w:sz w:val="28"/>
          <w:szCs w:val="28"/>
        </w:rPr>
        <w:t>transgredidos</w:t>
      </w:r>
      <w:r w:rsidR="00094F02" w:rsidRPr="00104F9A">
        <w:rPr>
          <w:rFonts w:ascii="Garamond" w:hAnsi="Garamond" w:cs="Arial"/>
          <w:sz w:val="28"/>
          <w:szCs w:val="28"/>
        </w:rPr>
        <w:t xml:space="preserve">, </w:t>
      </w:r>
      <w:r w:rsidRPr="00104F9A">
        <w:rPr>
          <w:rFonts w:ascii="Garamond" w:hAnsi="Garamond" w:cs="Arial"/>
          <w:sz w:val="28"/>
          <w:szCs w:val="28"/>
        </w:rPr>
        <w:t xml:space="preserve">los que fueron </w:t>
      </w:r>
      <w:r w:rsidR="00094F02" w:rsidRPr="00104F9A">
        <w:rPr>
          <w:rFonts w:ascii="Garamond" w:hAnsi="Garamond" w:cs="Arial"/>
          <w:sz w:val="28"/>
          <w:szCs w:val="28"/>
        </w:rPr>
        <w:t xml:space="preserve">alegados en el proceso </w:t>
      </w:r>
      <w:r w:rsidRPr="00104F9A">
        <w:rPr>
          <w:rFonts w:ascii="Garamond" w:hAnsi="Garamond" w:cs="Arial"/>
          <w:sz w:val="28"/>
          <w:szCs w:val="28"/>
        </w:rPr>
        <w:t>referido</w:t>
      </w:r>
      <w:r w:rsidR="00094F02" w:rsidRPr="00104F9A">
        <w:rPr>
          <w:rFonts w:ascii="Garamond" w:hAnsi="Garamond" w:cs="Arial"/>
          <w:sz w:val="28"/>
          <w:szCs w:val="28"/>
        </w:rPr>
        <w:t xml:space="preserve"> y, finalmente, (vi) no se </w:t>
      </w:r>
      <w:r w:rsidRPr="00104F9A">
        <w:rPr>
          <w:rFonts w:ascii="Garamond" w:hAnsi="Garamond" w:cs="Arial"/>
          <w:sz w:val="28"/>
          <w:szCs w:val="28"/>
        </w:rPr>
        <w:t>trata de una tutela contra</w:t>
      </w:r>
      <w:r w:rsidR="00094F02" w:rsidRPr="00104F9A">
        <w:rPr>
          <w:rFonts w:ascii="Garamond" w:hAnsi="Garamond" w:cs="Arial"/>
          <w:sz w:val="28"/>
          <w:szCs w:val="28"/>
        </w:rPr>
        <w:t xml:space="preserve"> </w:t>
      </w:r>
      <w:r w:rsidRPr="00104F9A">
        <w:rPr>
          <w:rFonts w:ascii="Garamond" w:hAnsi="Garamond" w:cs="Arial"/>
          <w:sz w:val="28"/>
          <w:szCs w:val="28"/>
        </w:rPr>
        <w:t>un fallo del mismo linaje.</w:t>
      </w:r>
    </w:p>
    <w:p w14:paraId="744A4389" w14:textId="77777777" w:rsidR="00145BCD" w:rsidRPr="00104F9A" w:rsidRDefault="00145BCD" w:rsidP="00145BCD">
      <w:pPr>
        <w:pStyle w:val="Prrafodelista"/>
        <w:pBdr>
          <w:top w:val="nil"/>
          <w:left w:val="nil"/>
          <w:bottom w:val="nil"/>
          <w:right w:val="nil"/>
          <w:between w:val="nil"/>
        </w:pBdr>
        <w:tabs>
          <w:tab w:val="left" w:pos="1134"/>
        </w:tabs>
        <w:spacing w:line="360" w:lineRule="auto"/>
        <w:ind w:left="567"/>
        <w:jc w:val="both"/>
        <w:rPr>
          <w:rFonts w:ascii="Garamond" w:hAnsi="Garamond" w:cs="Arial"/>
          <w:sz w:val="28"/>
          <w:szCs w:val="28"/>
        </w:rPr>
      </w:pPr>
    </w:p>
    <w:p w14:paraId="00792299" w14:textId="5D32DEDA" w:rsidR="006B1194" w:rsidRPr="00104F9A" w:rsidRDefault="0099524D" w:rsidP="00134774">
      <w:pPr>
        <w:pStyle w:val="Prrafodelista"/>
        <w:numPr>
          <w:ilvl w:val="0"/>
          <w:numId w:val="22"/>
        </w:numPr>
        <w:pBdr>
          <w:top w:val="nil"/>
          <w:left w:val="nil"/>
          <w:bottom w:val="nil"/>
          <w:right w:val="nil"/>
          <w:between w:val="nil"/>
        </w:pBdr>
        <w:tabs>
          <w:tab w:val="left" w:pos="1134"/>
        </w:tabs>
        <w:spacing w:line="360" w:lineRule="auto"/>
        <w:ind w:left="0" w:firstLine="567"/>
        <w:jc w:val="both"/>
        <w:rPr>
          <w:rFonts w:ascii="Garamond" w:hAnsi="Garamond" w:cs="Arial"/>
          <w:sz w:val="28"/>
          <w:szCs w:val="28"/>
        </w:rPr>
      </w:pPr>
      <w:r w:rsidRPr="00104F9A">
        <w:rPr>
          <w:rFonts w:ascii="Garamond" w:hAnsi="Garamond" w:cs="Arial"/>
          <w:sz w:val="28"/>
          <w:szCs w:val="28"/>
        </w:rPr>
        <w:t xml:space="preserve"> </w:t>
      </w:r>
      <w:r w:rsidR="00834275" w:rsidRPr="00104F9A">
        <w:rPr>
          <w:rFonts w:ascii="Garamond" w:hAnsi="Garamond" w:cs="Arial"/>
          <w:sz w:val="28"/>
          <w:szCs w:val="28"/>
        </w:rPr>
        <w:t xml:space="preserve"> la Ley 14</w:t>
      </w:r>
      <w:r w:rsidR="006B1194" w:rsidRPr="00104F9A">
        <w:rPr>
          <w:rFonts w:ascii="Garamond" w:hAnsi="Garamond" w:cs="Arial"/>
          <w:sz w:val="28"/>
          <w:szCs w:val="28"/>
        </w:rPr>
        <w:t>80</w:t>
      </w:r>
      <w:r w:rsidR="00834275" w:rsidRPr="00104F9A">
        <w:rPr>
          <w:rFonts w:ascii="Garamond" w:hAnsi="Garamond" w:cs="Arial"/>
          <w:sz w:val="28"/>
          <w:szCs w:val="28"/>
        </w:rPr>
        <w:t xml:space="preserve"> de 2011</w:t>
      </w:r>
      <w:r w:rsidR="00834275" w:rsidRPr="00104F9A">
        <w:rPr>
          <w:rStyle w:val="Refdenotaalpie"/>
          <w:rFonts w:ascii="Garamond" w:hAnsi="Garamond" w:cs="Arial"/>
          <w:sz w:val="28"/>
          <w:szCs w:val="28"/>
        </w:rPr>
        <w:footnoteReference w:id="14"/>
      </w:r>
      <w:r w:rsidR="00834275" w:rsidRPr="00104F9A">
        <w:rPr>
          <w:rFonts w:ascii="Garamond" w:hAnsi="Garamond" w:cs="Arial"/>
          <w:sz w:val="28"/>
          <w:szCs w:val="28"/>
        </w:rPr>
        <w:t xml:space="preserve"> estatuye una acción especial para que los consumidores reclamen la protección de sus derechos, ante eventuales transgresiones, a la cual pueden acudir, </w:t>
      </w:r>
      <w:r w:rsidR="00834275" w:rsidRPr="00104F9A">
        <w:rPr>
          <w:rFonts w:ascii="Garamond" w:hAnsi="Garamond" w:cs="Arial"/>
          <w:i/>
          <w:iCs/>
          <w:sz w:val="28"/>
          <w:szCs w:val="28"/>
        </w:rPr>
        <w:t>“a prevención”</w:t>
      </w:r>
      <w:r w:rsidR="00834275" w:rsidRPr="00104F9A">
        <w:rPr>
          <w:rFonts w:ascii="Garamond" w:hAnsi="Garamond" w:cs="Arial"/>
          <w:sz w:val="28"/>
          <w:szCs w:val="28"/>
        </w:rPr>
        <w:t xml:space="preserve"> ante el juez competente o la superintendencia especializada en la materia de que se trate. [artículo 58]</w:t>
      </w:r>
      <w:r w:rsidR="006B1194" w:rsidRPr="00104F9A">
        <w:rPr>
          <w:rFonts w:ascii="Garamond" w:hAnsi="Garamond" w:cs="Arial"/>
          <w:sz w:val="28"/>
          <w:szCs w:val="28"/>
        </w:rPr>
        <w:t xml:space="preserve"> </w:t>
      </w:r>
      <w:r w:rsidR="00834275" w:rsidRPr="00104F9A">
        <w:rPr>
          <w:rFonts w:ascii="Garamond" w:hAnsi="Garamond" w:cs="Arial"/>
          <w:sz w:val="28"/>
          <w:szCs w:val="28"/>
        </w:rPr>
        <w:t xml:space="preserve">En ella, prevalece el principio </w:t>
      </w:r>
      <w:r w:rsidR="00834275" w:rsidRPr="00104F9A">
        <w:rPr>
          <w:rFonts w:ascii="Garamond" w:hAnsi="Garamond" w:cs="Arial"/>
          <w:i/>
          <w:iCs/>
          <w:sz w:val="28"/>
          <w:szCs w:val="28"/>
        </w:rPr>
        <w:t>“pro consumidor”</w:t>
      </w:r>
      <w:r w:rsidR="00834275" w:rsidRPr="00104F9A">
        <w:rPr>
          <w:rFonts w:ascii="Garamond" w:hAnsi="Garamond" w:cs="Arial"/>
          <w:sz w:val="28"/>
          <w:szCs w:val="28"/>
        </w:rPr>
        <w:t xml:space="preserve"> establecido en su artículo 4°</w:t>
      </w:r>
      <w:r w:rsidR="00834275" w:rsidRPr="00104F9A">
        <w:rPr>
          <w:rStyle w:val="Refdenotaalpie"/>
          <w:rFonts w:ascii="Garamond" w:hAnsi="Garamond" w:cs="Arial"/>
          <w:sz w:val="28"/>
          <w:szCs w:val="28"/>
        </w:rPr>
        <w:footnoteReference w:id="15"/>
      </w:r>
      <w:r w:rsidR="006B1194" w:rsidRPr="00104F9A">
        <w:rPr>
          <w:rFonts w:ascii="Garamond" w:hAnsi="Garamond" w:cs="Arial"/>
          <w:sz w:val="28"/>
          <w:szCs w:val="28"/>
        </w:rPr>
        <w:t xml:space="preserve"> y se destacan reglas específicas para que dichos usuarios puedan acceder a la administración de justicia.</w:t>
      </w:r>
      <w:r w:rsidR="00145BCD" w:rsidRPr="00104F9A">
        <w:rPr>
          <w:rFonts w:ascii="Garamond" w:hAnsi="Garamond" w:cs="Arial"/>
          <w:sz w:val="28"/>
          <w:szCs w:val="28"/>
        </w:rPr>
        <w:t xml:space="preserve"> P</w:t>
      </w:r>
      <w:r w:rsidR="006B1194" w:rsidRPr="00104F9A">
        <w:rPr>
          <w:rFonts w:ascii="Garamond" w:hAnsi="Garamond" w:cs="Arial"/>
          <w:sz w:val="28"/>
          <w:szCs w:val="28"/>
        </w:rPr>
        <w:t>or ello, el precitado artículo 58 señal</w:t>
      </w:r>
      <w:r w:rsidR="006269F9" w:rsidRPr="00104F9A">
        <w:rPr>
          <w:rFonts w:ascii="Garamond" w:hAnsi="Garamond" w:cs="Arial"/>
          <w:sz w:val="28"/>
          <w:szCs w:val="28"/>
        </w:rPr>
        <w:t>a</w:t>
      </w:r>
      <w:r w:rsidR="009C0FE5" w:rsidRPr="00104F9A">
        <w:rPr>
          <w:rFonts w:ascii="Garamond" w:hAnsi="Garamond" w:cs="Arial"/>
          <w:sz w:val="28"/>
          <w:szCs w:val="28"/>
        </w:rPr>
        <w:t>,</w:t>
      </w:r>
      <w:r w:rsidR="006B1194" w:rsidRPr="00104F9A">
        <w:rPr>
          <w:rFonts w:ascii="Garamond" w:hAnsi="Garamond" w:cs="Arial"/>
          <w:sz w:val="28"/>
          <w:szCs w:val="28"/>
        </w:rPr>
        <w:t xml:space="preserve"> expresamente</w:t>
      </w:r>
      <w:r w:rsidR="00145BCD" w:rsidRPr="00104F9A">
        <w:rPr>
          <w:rFonts w:ascii="Garamond" w:hAnsi="Garamond" w:cs="Arial"/>
          <w:sz w:val="28"/>
          <w:szCs w:val="28"/>
        </w:rPr>
        <w:t>:</w:t>
      </w:r>
      <w:r w:rsidR="006B1194" w:rsidRPr="00104F9A">
        <w:rPr>
          <w:rFonts w:ascii="Garamond" w:hAnsi="Garamond" w:cs="Arial"/>
          <w:sz w:val="28"/>
          <w:szCs w:val="28"/>
        </w:rPr>
        <w:t xml:space="preserve"> </w:t>
      </w:r>
    </w:p>
    <w:p w14:paraId="6BDD19F6" w14:textId="77777777" w:rsidR="006B1194" w:rsidRPr="00104F9A" w:rsidRDefault="006B1194" w:rsidP="00A069BB">
      <w:pPr>
        <w:pStyle w:val="Prrafodelista"/>
        <w:pBdr>
          <w:top w:val="nil"/>
          <w:left w:val="nil"/>
          <w:bottom w:val="nil"/>
          <w:right w:val="nil"/>
          <w:between w:val="nil"/>
        </w:pBdr>
        <w:tabs>
          <w:tab w:val="left" w:pos="1134"/>
        </w:tabs>
        <w:ind w:left="0"/>
        <w:jc w:val="both"/>
        <w:rPr>
          <w:rFonts w:ascii="Garamond" w:hAnsi="Garamond" w:cs="Arial"/>
          <w:sz w:val="28"/>
          <w:szCs w:val="28"/>
        </w:rPr>
      </w:pPr>
    </w:p>
    <w:p w14:paraId="368AF7B7"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i/>
          <w:iCs/>
        </w:rPr>
      </w:pPr>
      <w:r w:rsidRPr="00104F9A">
        <w:rPr>
          <w:rFonts w:ascii="Garamond" w:hAnsi="Garamond" w:cs="Arial"/>
          <w:i/>
          <w:iCs/>
        </w:rPr>
        <w:t xml:space="preserve">“Los procesos que versen sobre violación a los derechos de los consumidores establecidos en normas generales o especiales en todos los sectores de la economía, a excepción de la responsabilidad por producto defectuoso y de las acciones de grupo o las populares, se tramitarán por el procedimiento </w:t>
      </w:r>
      <w:r w:rsidRPr="00104F9A">
        <w:rPr>
          <w:rFonts w:ascii="Garamond" w:hAnsi="Garamond" w:cs="Arial"/>
          <w:b/>
          <w:bCs/>
          <w:i/>
          <w:iCs/>
        </w:rPr>
        <w:t>verbal sumario</w:t>
      </w:r>
      <w:r w:rsidRPr="00104F9A">
        <w:rPr>
          <w:rFonts w:ascii="Garamond" w:hAnsi="Garamond" w:cs="Arial"/>
          <w:i/>
          <w:iCs/>
        </w:rPr>
        <w:t>, con observancia de las siguientes reglas especiales:</w:t>
      </w:r>
      <w:r w:rsidRPr="00104F9A">
        <w:rPr>
          <w:rFonts w:ascii="Garamond" w:hAnsi="Garamond"/>
          <w:i/>
          <w:iCs/>
        </w:rPr>
        <w:t xml:space="preserve"> </w:t>
      </w:r>
    </w:p>
    <w:p w14:paraId="26B5428D"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i/>
          <w:iCs/>
        </w:rPr>
      </w:pPr>
    </w:p>
    <w:p w14:paraId="0FFBB74E" w14:textId="0C4DFB7B"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r w:rsidRPr="00104F9A">
        <w:rPr>
          <w:rFonts w:ascii="Garamond" w:hAnsi="Garamond" w:cs="Arial"/>
          <w:i/>
          <w:iCs/>
        </w:rPr>
        <w:t xml:space="preserve">1. La Superintendencia de Industria y Comercio </w:t>
      </w:r>
      <w:r w:rsidRPr="00104F9A">
        <w:rPr>
          <w:rFonts w:ascii="Garamond" w:hAnsi="Garamond" w:cs="Arial"/>
          <w:i/>
          <w:iCs/>
          <w:u w:val="single"/>
        </w:rPr>
        <w:t xml:space="preserve">o el Juez competente conocerán </w:t>
      </w:r>
      <w:r w:rsidRPr="00104F9A">
        <w:rPr>
          <w:rFonts w:ascii="Garamond" w:hAnsi="Garamond" w:cs="Arial"/>
          <w:b/>
          <w:bCs/>
          <w:i/>
          <w:iCs/>
          <w:u w:val="single"/>
        </w:rPr>
        <w:t>a prevención</w:t>
      </w:r>
      <w:r w:rsidRPr="00104F9A">
        <w:rPr>
          <w:rFonts w:ascii="Garamond" w:hAnsi="Garamond" w:cs="Arial"/>
          <w:i/>
          <w:iCs/>
        </w:rPr>
        <w:t xml:space="preserve">. </w:t>
      </w:r>
    </w:p>
    <w:p w14:paraId="46B3F6F0"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p>
    <w:p w14:paraId="492FF6F4"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r w:rsidRPr="00104F9A">
        <w:rPr>
          <w:rFonts w:ascii="Garamond" w:hAnsi="Garamond" w:cs="Arial"/>
          <w:i/>
          <w:iCs/>
        </w:rPr>
        <w:t xml:space="preserve">La Superintendencia de Industria y Comercio tiene competencia en todo el territorio nacional </w:t>
      </w:r>
      <w:r w:rsidRPr="00104F9A">
        <w:rPr>
          <w:rFonts w:ascii="Garamond" w:hAnsi="Garamond" w:cs="Arial"/>
          <w:b/>
          <w:bCs/>
          <w:i/>
          <w:iCs/>
        </w:rPr>
        <w:t>y reemplaza</w:t>
      </w:r>
      <w:r w:rsidRPr="00104F9A">
        <w:rPr>
          <w:rFonts w:ascii="Garamond" w:hAnsi="Garamond" w:cs="Arial"/>
          <w:i/>
          <w:iCs/>
        </w:rPr>
        <w:t xml:space="preserve"> al juez de primera o única instancia competente por razón de la cuantía y el territorio. </w:t>
      </w:r>
    </w:p>
    <w:p w14:paraId="29D06A72"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p>
    <w:p w14:paraId="3B9071C7"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r w:rsidRPr="00104F9A">
        <w:rPr>
          <w:rFonts w:ascii="Garamond" w:hAnsi="Garamond" w:cs="Arial"/>
          <w:i/>
          <w:iCs/>
        </w:rPr>
        <w:t xml:space="preserve">2. </w:t>
      </w:r>
      <w:r w:rsidRPr="00104F9A">
        <w:rPr>
          <w:rFonts w:ascii="Garamond" w:hAnsi="Garamond" w:cs="Arial"/>
          <w:b/>
          <w:bCs/>
          <w:i/>
          <w:iCs/>
        </w:rPr>
        <w:t>Será también competente el juez del lugar donde se haya comercializado o adquirido el producto, o realizado la relación de consumo</w:t>
      </w:r>
      <w:r w:rsidRPr="00104F9A">
        <w:rPr>
          <w:rFonts w:ascii="Garamond" w:hAnsi="Garamond" w:cs="Arial"/>
          <w:i/>
          <w:iCs/>
        </w:rPr>
        <w:t xml:space="preserve">. </w:t>
      </w:r>
    </w:p>
    <w:p w14:paraId="54236B4A"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p>
    <w:p w14:paraId="4CBE20F2" w14:textId="7B07B4D4" w:rsidR="006B1194" w:rsidRPr="00104F9A" w:rsidRDefault="00145BCD" w:rsidP="00A069BB">
      <w:pPr>
        <w:pStyle w:val="Prrafodelista"/>
        <w:pBdr>
          <w:top w:val="nil"/>
          <w:left w:val="nil"/>
          <w:bottom w:val="nil"/>
          <w:right w:val="nil"/>
          <w:between w:val="nil"/>
        </w:pBdr>
        <w:tabs>
          <w:tab w:val="left" w:pos="1134"/>
        </w:tabs>
        <w:ind w:left="567"/>
        <w:jc w:val="both"/>
        <w:rPr>
          <w:rFonts w:ascii="Garamond" w:hAnsi="Garamond" w:cs="Arial"/>
        </w:rPr>
      </w:pPr>
      <w:r w:rsidRPr="00104F9A">
        <w:rPr>
          <w:rFonts w:ascii="Garamond" w:hAnsi="Garamond" w:cs="Arial"/>
        </w:rPr>
        <w:t>[…]</w:t>
      </w:r>
    </w:p>
    <w:p w14:paraId="7439B3EA"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r w:rsidRPr="00104F9A">
        <w:rPr>
          <w:rFonts w:ascii="Garamond" w:hAnsi="Garamond" w:cs="Arial"/>
          <w:i/>
          <w:iCs/>
        </w:rPr>
        <w:lastRenderedPageBreak/>
        <w:t xml:space="preserve">5. </w:t>
      </w:r>
      <w:r w:rsidRPr="00104F9A">
        <w:rPr>
          <w:rFonts w:ascii="Garamond" w:hAnsi="Garamond" w:cs="Arial"/>
          <w:b/>
          <w:bCs/>
          <w:i/>
          <w:iCs/>
        </w:rPr>
        <w:t xml:space="preserve">A la demanda deberá acompañarse </w:t>
      </w:r>
      <w:r w:rsidRPr="00104F9A">
        <w:rPr>
          <w:rFonts w:ascii="Garamond" w:hAnsi="Garamond" w:cs="Arial"/>
          <w:b/>
          <w:bCs/>
          <w:i/>
          <w:iCs/>
          <w:u w:val="single"/>
        </w:rPr>
        <w:t>la reclamación directa</w:t>
      </w:r>
      <w:r w:rsidRPr="00104F9A">
        <w:rPr>
          <w:rFonts w:ascii="Garamond" w:hAnsi="Garamond" w:cs="Arial"/>
          <w:b/>
          <w:bCs/>
          <w:i/>
          <w:iCs/>
        </w:rPr>
        <w:t xml:space="preserve"> hecha por el demandante al productor y/o proveedor, reclamación que podrá ser presentada por escrito, telefónica o verbalmente, con observancia de las siguientes reglas:</w:t>
      </w:r>
      <w:r w:rsidRPr="00104F9A">
        <w:rPr>
          <w:rFonts w:ascii="Garamond" w:hAnsi="Garamond" w:cs="Arial"/>
          <w:i/>
          <w:iCs/>
        </w:rPr>
        <w:t xml:space="preserve"> </w:t>
      </w:r>
    </w:p>
    <w:p w14:paraId="3BD5FE13"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p>
    <w:p w14:paraId="1B80E052" w14:textId="60C0C33C" w:rsidR="006B1194" w:rsidRPr="00104F9A" w:rsidRDefault="006269F9" w:rsidP="00A069BB">
      <w:pPr>
        <w:pStyle w:val="Prrafodelista"/>
        <w:pBdr>
          <w:top w:val="nil"/>
          <w:left w:val="nil"/>
          <w:bottom w:val="nil"/>
          <w:right w:val="nil"/>
          <w:between w:val="nil"/>
        </w:pBdr>
        <w:tabs>
          <w:tab w:val="left" w:pos="1134"/>
        </w:tabs>
        <w:ind w:left="567"/>
        <w:jc w:val="both"/>
        <w:rPr>
          <w:rFonts w:ascii="Garamond" w:hAnsi="Garamond" w:cs="Arial"/>
        </w:rPr>
      </w:pPr>
      <w:r w:rsidRPr="00104F9A">
        <w:rPr>
          <w:rFonts w:ascii="Garamond" w:hAnsi="Garamond" w:cs="Arial"/>
        </w:rPr>
        <w:t>[…]</w:t>
      </w:r>
    </w:p>
    <w:p w14:paraId="19E361A5"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p>
    <w:p w14:paraId="4325BFC6"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b/>
          <w:bCs/>
          <w:i/>
          <w:iCs/>
        </w:rPr>
      </w:pPr>
      <w:r w:rsidRPr="00104F9A">
        <w:rPr>
          <w:rFonts w:ascii="Garamond" w:hAnsi="Garamond" w:cs="Arial"/>
          <w:i/>
          <w:iCs/>
        </w:rPr>
        <w:t xml:space="preserve">b) </w:t>
      </w:r>
      <w:r w:rsidRPr="00104F9A">
        <w:rPr>
          <w:rFonts w:ascii="Garamond" w:hAnsi="Garamond" w:cs="Arial"/>
          <w:b/>
          <w:bCs/>
          <w:i/>
          <w:iCs/>
        </w:rPr>
        <w:t>La reclamación se entenderá presentada por escrito cuando se utilicen medios electrónicos.</w:t>
      </w:r>
      <w:r w:rsidRPr="00104F9A">
        <w:rPr>
          <w:rFonts w:ascii="Garamond" w:hAnsi="Garamond" w:cs="Arial"/>
          <w:i/>
          <w:iCs/>
        </w:rPr>
        <w:t xml:space="preserve"> Quien disponga de la vía telefónica para recibir reclamaciones, deberá garantizar que queden grabadas. </w:t>
      </w:r>
      <w:r w:rsidRPr="00104F9A">
        <w:rPr>
          <w:rFonts w:ascii="Garamond" w:hAnsi="Garamond" w:cs="Arial"/>
          <w:i/>
          <w:iCs/>
          <w:u w:val="single"/>
        </w:rPr>
        <w:t>En caso de que la reclamación sea verbal, el productor o proveedor deberá expedir constancia escrita del recibo de la misma, con la fecha de presentación y el objeto de reclamo.</w:t>
      </w:r>
      <w:r w:rsidRPr="00104F9A">
        <w:rPr>
          <w:rFonts w:ascii="Garamond" w:hAnsi="Garamond" w:cs="Arial"/>
          <w:i/>
          <w:iCs/>
        </w:rPr>
        <w:t xml:space="preserve"> </w:t>
      </w:r>
      <w:r w:rsidRPr="00104F9A">
        <w:rPr>
          <w:rFonts w:ascii="Garamond" w:hAnsi="Garamond" w:cs="Arial"/>
          <w:b/>
          <w:bCs/>
          <w:i/>
          <w:iCs/>
        </w:rPr>
        <w:t xml:space="preserve">El consumidor también podrá remitir la reclamación mediante correo con constancia de envío a la dirección del establecimiento de comercio donde adquirió el producto y/o a la dirección del productor del bien o servicio. </w:t>
      </w:r>
    </w:p>
    <w:p w14:paraId="3933717B"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p>
    <w:p w14:paraId="1C5D5A90" w14:textId="66AE9E2A" w:rsidR="006B1194" w:rsidRPr="00104F9A" w:rsidRDefault="006269F9" w:rsidP="00A069BB">
      <w:pPr>
        <w:pStyle w:val="Prrafodelista"/>
        <w:pBdr>
          <w:top w:val="nil"/>
          <w:left w:val="nil"/>
          <w:bottom w:val="nil"/>
          <w:right w:val="nil"/>
          <w:between w:val="nil"/>
        </w:pBdr>
        <w:tabs>
          <w:tab w:val="left" w:pos="1134"/>
        </w:tabs>
        <w:ind w:left="567"/>
        <w:jc w:val="both"/>
        <w:rPr>
          <w:rFonts w:ascii="Garamond" w:hAnsi="Garamond" w:cs="Arial"/>
        </w:rPr>
      </w:pPr>
      <w:r w:rsidRPr="00104F9A">
        <w:rPr>
          <w:rFonts w:ascii="Garamond" w:hAnsi="Garamond" w:cs="Arial"/>
        </w:rPr>
        <w:t>[…]</w:t>
      </w:r>
      <w:r w:rsidR="006B1194" w:rsidRPr="00104F9A">
        <w:rPr>
          <w:rFonts w:ascii="Garamond" w:hAnsi="Garamond" w:cs="Arial"/>
        </w:rPr>
        <w:t xml:space="preserve"> </w:t>
      </w:r>
    </w:p>
    <w:p w14:paraId="1DFC3CF1"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p>
    <w:p w14:paraId="70BABE71"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r w:rsidRPr="00104F9A">
        <w:rPr>
          <w:rFonts w:ascii="Garamond" w:hAnsi="Garamond" w:cs="Arial"/>
          <w:i/>
          <w:iCs/>
        </w:rPr>
        <w:t xml:space="preserve">f) </w:t>
      </w:r>
      <w:r w:rsidRPr="00104F9A">
        <w:rPr>
          <w:rFonts w:ascii="Garamond" w:hAnsi="Garamond" w:cs="Arial"/>
          <w:i/>
          <w:iCs/>
          <w:u w:val="single"/>
        </w:rPr>
        <w:t xml:space="preserve">Si la respuesta es negativa, o si la atención, la reparación, o la prestación realizada a título de efectividad de la garantía no es satisfactoria, </w:t>
      </w:r>
      <w:r w:rsidRPr="00104F9A">
        <w:rPr>
          <w:rFonts w:ascii="Garamond" w:hAnsi="Garamond" w:cs="Arial"/>
          <w:b/>
          <w:bCs/>
          <w:i/>
          <w:iCs/>
          <w:u w:val="single"/>
        </w:rPr>
        <w:t>el consumidor podrá acudir ante el juez competente o la Superintendencia</w:t>
      </w:r>
      <w:r w:rsidRPr="00104F9A">
        <w:rPr>
          <w:rFonts w:ascii="Garamond" w:hAnsi="Garamond" w:cs="Arial"/>
          <w:i/>
          <w:iCs/>
        </w:rPr>
        <w:t xml:space="preserve">. </w:t>
      </w:r>
    </w:p>
    <w:p w14:paraId="54387F2B"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p>
    <w:p w14:paraId="167388FD" w14:textId="61A00340" w:rsidR="006B1194" w:rsidRPr="00104F9A" w:rsidRDefault="006269F9" w:rsidP="00A069BB">
      <w:pPr>
        <w:pStyle w:val="Prrafodelista"/>
        <w:pBdr>
          <w:top w:val="nil"/>
          <w:left w:val="nil"/>
          <w:bottom w:val="nil"/>
          <w:right w:val="nil"/>
          <w:between w:val="nil"/>
        </w:pBdr>
        <w:tabs>
          <w:tab w:val="left" w:pos="1134"/>
        </w:tabs>
        <w:ind w:left="567"/>
        <w:jc w:val="both"/>
        <w:rPr>
          <w:rFonts w:ascii="Garamond" w:hAnsi="Garamond" w:cs="Arial"/>
        </w:rPr>
      </w:pPr>
      <w:r w:rsidRPr="00104F9A">
        <w:rPr>
          <w:rFonts w:ascii="Garamond" w:hAnsi="Garamond" w:cs="Arial"/>
        </w:rPr>
        <w:t>[…]</w:t>
      </w:r>
    </w:p>
    <w:p w14:paraId="17837BB0"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p>
    <w:p w14:paraId="2A2CC7A9"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b/>
          <w:bCs/>
          <w:i/>
          <w:iCs/>
        </w:rPr>
      </w:pPr>
      <w:r w:rsidRPr="00104F9A">
        <w:rPr>
          <w:rFonts w:ascii="Garamond" w:hAnsi="Garamond" w:cs="Arial"/>
          <w:b/>
          <w:bCs/>
          <w:i/>
          <w:iCs/>
        </w:rPr>
        <w:t xml:space="preserve">g) Se dará por cumplido el requisito de procedibilidad de reclamación directa en todos los casos en que se presente un acta de audiencia de conciliación emitida por cualquier centro de conciliación legalmente establecido. </w:t>
      </w:r>
    </w:p>
    <w:p w14:paraId="3D2BC5DD" w14:textId="77777777" w:rsidR="006B1194" w:rsidRPr="00104F9A" w:rsidRDefault="006B1194" w:rsidP="00A069BB">
      <w:pPr>
        <w:pStyle w:val="Prrafodelista"/>
        <w:pBdr>
          <w:top w:val="nil"/>
          <w:left w:val="nil"/>
          <w:bottom w:val="nil"/>
          <w:right w:val="nil"/>
          <w:between w:val="nil"/>
        </w:pBdr>
        <w:tabs>
          <w:tab w:val="left" w:pos="1134"/>
        </w:tabs>
        <w:ind w:left="567"/>
        <w:jc w:val="both"/>
        <w:rPr>
          <w:rFonts w:ascii="Garamond" w:hAnsi="Garamond" w:cs="Arial"/>
          <w:i/>
          <w:iCs/>
        </w:rPr>
      </w:pPr>
    </w:p>
    <w:p w14:paraId="4082E6BC" w14:textId="4D018811" w:rsidR="006B1194" w:rsidRPr="00104F9A" w:rsidRDefault="006B1194" w:rsidP="006269F9">
      <w:pPr>
        <w:pStyle w:val="Prrafodelista"/>
        <w:pBdr>
          <w:top w:val="nil"/>
          <w:left w:val="nil"/>
          <w:bottom w:val="nil"/>
          <w:right w:val="nil"/>
          <w:between w:val="nil"/>
        </w:pBdr>
        <w:tabs>
          <w:tab w:val="left" w:pos="1134"/>
        </w:tabs>
        <w:ind w:left="567"/>
        <w:jc w:val="both"/>
        <w:rPr>
          <w:rFonts w:ascii="Garamond" w:hAnsi="Garamond" w:cs="Arial"/>
          <w:u w:val="single"/>
        </w:rPr>
      </w:pPr>
      <w:r w:rsidRPr="00104F9A">
        <w:rPr>
          <w:rFonts w:ascii="Garamond" w:hAnsi="Garamond" w:cs="Arial"/>
          <w:i/>
          <w:iCs/>
        </w:rPr>
        <w:t xml:space="preserve">6. </w:t>
      </w:r>
      <w:r w:rsidRPr="00104F9A">
        <w:rPr>
          <w:rFonts w:ascii="Garamond" w:hAnsi="Garamond" w:cs="Arial"/>
          <w:i/>
          <w:iCs/>
          <w:u w:val="single"/>
        </w:rPr>
        <w:t>La demanda deberá identificar plenamente al productor o proveedor. En caso de que el consumidor no cuente con dicha información, deberá indicar el sitio donde se adquirió el producto o se suministró el servicio, o el medio por el cual se adquirió y cualquier otra información adicional que permita a la Superintendencia de Industria y Comercio individualizar y vincular al proceso al productor o proveedor, tales como direcciones, teléfonos, correos electrónicos, entre otros.</w:t>
      </w:r>
      <w:r w:rsidRPr="00104F9A">
        <w:rPr>
          <w:rFonts w:ascii="Garamond" w:hAnsi="Garamond" w:cs="Arial"/>
          <w:i/>
          <w:iCs/>
        </w:rPr>
        <w:t>”</w:t>
      </w:r>
      <w:r w:rsidR="006269F9" w:rsidRPr="00104F9A">
        <w:rPr>
          <w:rFonts w:ascii="Garamond" w:hAnsi="Garamond" w:cs="Arial"/>
          <w:i/>
          <w:iCs/>
        </w:rPr>
        <w:t xml:space="preserve"> </w:t>
      </w:r>
      <w:r w:rsidR="006269F9" w:rsidRPr="00104F9A">
        <w:rPr>
          <w:rFonts w:ascii="Garamond" w:hAnsi="Garamond" w:cs="Arial"/>
          <w:sz w:val="28"/>
          <w:szCs w:val="28"/>
        </w:rPr>
        <w:t>[Énfasis no original]</w:t>
      </w:r>
    </w:p>
    <w:p w14:paraId="29140D7D" w14:textId="77777777" w:rsidR="00B90F7D" w:rsidRPr="00104F9A" w:rsidRDefault="00B90F7D" w:rsidP="00A069BB">
      <w:pPr>
        <w:pBdr>
          <w:top w:val="nil"/>
          <w:left w:val="nil"/>
          <w:bottom w:val="nil"/>
          <w:right w:val="nil"/>
          <w:between w:val="nil"/>
        </w:pBdr>
        <w:tabs>
          <w:tab w:val="left" w:pos="1134"/>
        </w:tabs>
        <w:spacing w:line="360" w:lineRule="auto"/>
        <w:jc w:val="both"/>
        <w:rPr>
          <w:rFonts w:ascii="Garamond" w:hAnsi="Garamond" w:cs="Arial"/>
          <w:sz w:val="28"/>
          <w:szCs w:val="28"/>
        </w:rPr>
      </w:pPr>
    </w:p>
    <w:p w14:paraId="3250C765" w14:textId="4ECDDF06" w:rsidR="006B1194" w:rsidRPr="00104F9A" w:rsidRDefault="00857231" w:rsidP="008E12BD">
      <w:pPr>
        <w:pStyle w:val="Prrafodelista"/>
        <w:numPr>
          <w:ilvl w:val="0"/>
          <w:numId w:val="22"/>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t>Del anterior plexo normativo se desprenden las siguientes conclusiones, aplicables al caso concreto:</w:t>
      </w:r>
    </w:p>
    <w:p w14:paraId="1495A851" w14:textId="2C570C59" w:rsidR="00857231" w:rsidRPr="00104F9A" w:rsidRDefault="00857231" w:rsidP="009C0FE5">
      <w:pPr>
        <w:tabs>
          <w:tab w:val="left" w:pos="1134"/>
        </w:tabs>
        <w:ind w:firstLine="567"/>
        <w:jc w:val="both"/>
        <w:rPr>
          <w:rFonts w:ascii="Garamond" w:hAnsi="Garamond"/>
          <w:bCs/>
          <w:sz w:val="28"/>
          <w:szCs w:val="28"/>
        </w:rPr>
      </w:pPr>
    </w:p>
    <w:p w14:paraId="22817073" w14:textId="7CC2110A" w:rsidR="00857231" w:rsidRPr="00104F9A" w:rsidRDefault="00857231" w:rsidP="008E12BD">
      <w:pPr>
        <w:pStyle w:val="Prrafodelista"/>
        <w:numPr>
          <w:ilvl w:val="0"/>
          <w:numId w:val="30"/>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t xml:space="preserve">El consumidor puede presentar la demanda ante el juez competente o la superintendencia respectiva, </w:t>
      </w:r>
      <w:r w:rsidRPr="00104F9A">
        <w:rPr>
          <w:rFonts w:ascii="Garamond" w:hAnsi="Garamond"/>
          <w:bCs/>
          <w:i/>
          <w:iCs/>
          <w:sz w:val="28"/>
          <w:szCs w:val="28"/>
        </w:rPr>
        <w:t>“a prevención”</w:t>
      </w:r>
      <w:r w:rsidRPr="00104F9A">
        <w:rPr>
          <w:rFonts w:ascii="Garamond" w:hAnsi="Garamond"/>
          <w:bCs/>
          <w:sz w:val="28"/>
          <w:szCs w:val="28"/>
        </w:rPr>
        <w:t>.</w:t>
      </w:r>
    </w:p>
    <w:p w14:paraId="3C14B7ED" w14:textId="77777777" w:rsidR="00A069BB" w:rsidRPr="00104F9A" w:rsidRDefault="00A069BB" w:rsidP="009C0FE5">
      <w:pPr>
        <w:pStyle w:val="Prrafodelista"/>
        <w:tabs>
          <w:tab w:val="left" w:pos="1134"/>
        </w:tabs>
        <w:ind w:left="567"/>
        <w:jc w:val="both"/>
        <w:rPr>
          <w:rFonts w:ascii="Garamond" w:hAnsi="Garamond"/>
          <w:bCs/>
          <w:sz w:val="28"/>
          <w:szCs w:val="28"/>
        </w:rPr>
      </w:pPr>
    </w:p>
    <w:p w14:paraId="36DEC7C9" w14:textId="02B0B886" w:rsidR="00857231" w:rsidRPr="00104F9A" w:rsidRDefault="00857231" w:rsidP="008E12BD">
      <w:pPr>
        <w:pStyle w:val="Prrafodelista"/>
        <w:numPr>
          <w:ilvl w:val="0"/>
          <w:numId w:val="30"/>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t>La norma especial aplicable es el precitado estatuto del consumidor</w:t>
      </w:r>
      <w:r w:rsidR="006269F9" w:rsidRPr="00104F9A">
        <w:rPr>
          <w:rFonts w:ascii="Garamond" w:hAnsi="Garamond"/>
          <w:bCs/>
          <w:sz w:val="28"/>
          <w:szCs w:val="28"/>
        </w:rPr>
        <w:t xml:space="preserve"> [L.1480/11]</w:t>
      </w:r>
      <w:r w:rsidRPr="00104F9A">
        <w:rPr>
          <w:rFonts w:ascii="Garamond" w:hAnsi="Garamond"/>
          <w:bCs/>
          <w:sz w:val="28"/>
          <w:szCs w:val="28"/>
        </w:rPr>
        <w:t>, aunque su trámite será verbal y/o verbal sumario -según fuere el caso- siguiendo los derroteros de la Ley 1564 de 2012</w:t>
      </w:r>
      <w:r w:rsidR="006269F9" w:rsidRPr="00104F9A">
        <w:rPr>
          <w:rStyle w:val="Refdenotaalpie"/>
          <w:rFonts w:ascii="Garamond" w:hAnsi="Garamond"/>
          <w:bCs/>
          <w:sz w:val="28"/>
          <w:szCs w:val="28"/>
        </w:rPr>
        <w:footnoteReference w:id="16"/>
      </w:r>
      <w:r w:rsidR="009C0FE5" w:rsidRPr="00104F9A">
        <w:rPr>
          <w:rFonts w:ascii="Garamond" w:hAnsi="Garamond"/>
          <w:bCs/>
          <w:sz w:val="28"/>
          <w:szCs w:val="28"/>
        </w:rPr>
        <w:t xml:space="preserve"> y la jurisprudencia proferida en tal sentido,</w:t>
      </w:r>
      <w:r w:rsidR="006269F9" w:rsidRPr="00104F9A">
        <w:rPr>
          <w:rFonts w:ascii="Garamond" w:hAnsi="Garamond"/>
          <w:bCs/>
          <w:sz w:val="28"/>
          <w:szCs w:val="28"/>
        </w:rPr>
        <w:t xml:space="preserve"> en lo pertinente.</w:t>
      </w:r>
    </w:p>
    <w:p w14:paraId="58015D5A" w14:textId="77777777" w:rsidR="00A069BB" w:rsidRPr="00104F9A" w:rsidRDefault="00A069BB" w:rsidP="009C0FE5">
      <w:pPr>
        <w:tabs>
          <w:tab w:val="left" w:pos="1134"/>
        </w:tabs>
        <w:jc w:val="both"/>
        <w:rPr>
          <w:rFonts w:ascii="Garamond" w:hAnsi="Garamond"/>
          <w:bCs/>
          <w:sz w:val="28"/>
          <w:szCs w:val="28"/>
        </w:rPr>
      </w:pPr>
    </w:p>
    <w:p w14:paraId="38679437" w14:textId="2D6D5FA5" w:rsidR="00857231" w:rsidRDefault="00857231" w:rsidP="00A069BB">
      <w:pPr>
        <w:pStyle w:val="Prrafodelista"/>
        <w:numPr>
          <w:ilvl w:val="0"/>
          <w:numId w:val="30"/>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t xml:space="preserve">Como requisito de procedibilidad se estableció la </w:t>
      </w:r>
      <w:r w:rsidRPr="00104F9A">
        <w:rPr>
          <w:rFonts w:ascii="Garamond" w:hAnsi="Garamond"/>
          <w:bCs/>
          <w:i/>
          <w:iCs/>
          <w:sz w:val="28"/>
          <w:szCs w:val="28"/>
        </w:rPr>
        <w:t>“reclamación directa”</w:t>
      </w:r>
      <w:r w:rsidRPr="00104F9A">
        <w:rPr>
          <w:rFonts w:ascii="Garamond" w:hAnsi="Garamond"/>
          <w:bCs/>
          <w:sz w:val="28"/>
          <w:szCs w:val="28"/>
        </w:rPr>
        <w:t xml:space="preserve"> ante el proveedor o vendedor del bien y/o servicio [demandado].</w:t>
      </w:r>
    </w:p>
    <w:p w14:paraId="01D29754" w14:textId="49896AB5" w:rsidR="00857231" w:rsidRPr="00104F9A" w:rsidRDefault="00857231" w:rsidP="00A069BB">
      <w:pPr>
        <w:pStyle w:val="Prrafodelista"/>
        <w:numPr>
          <w:ilvl w:val="0"/>
          <w:numId w:val="30"/>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lastRenderedPageBreak/>
        <w:t xml:space="preserve">Dicha reclamación </w:t>
      </w:r>
      <w:r w:rsidR="0031688E" w:rsidRPr="00104F9A">
        <w:rPr>
          <w:rFonts w:ascii="Garamond" w:hAnsi="Garamond"/>
          <w:b/>
          <w:sz w:val="28"/>
          <w:szCs w:val="28"/>
          <w:u w:val="single"/>
        </w:rPr>
        <w:t>también se satisface</w:t>
      </w:r>
      <w:r w:rsidRPr="00104F9A">
        <w:rPr>
          <w:rFonts w:ascii="Garamond" w:hAnsi="Garamond"/>
          <w:bCs/>
          <w:sz w:val="28"/>
          <w:szCs w:val="28"/>
        </w:rPr>
        <w:t xml:space="preserve"> </w:t>
      </w:r>
      <w:r w:rsidRPr="00104F9A">
        <w:rPr>
          <w:rFonts w:ascii="Garamond" w:hAnsi="Garamond"/>
          <w:bCs/>
          <w:i/>
          <w:iCs/>
          <w:sz w:val="28"/>
          <w:szCs w:val="28"/>
        </w:rPr>
        <w:t>“en todos los casos en que se presente un acta de audiencia de conciliación emitida por cualquier centro de conciliación legalmente establecido”</w:t>
      </w:r>
      <w:r w:rsidRPr="00104F9A">
        <w:rPr>
          <w:rFonts w:ascii="Garamond" w:hAnsi="Garamond"/>
          <w:bCs/>
          <w:sz w:val="28"/>
          <w:szCs w:val="28"/>
        </w:rPr>
        <w:t>; es decir,</w:t>
      </w:r>
      <w:r w:rsidR="0031688E" w:rsidRPr="00104F9A">
        <w:rPr>
          <w:rFonts w:ascii="Garamond" w:hAnsi="Garamond"/>
          <w:bCs/>
          <w:sz w:val="28"/>
          <w:szCs w:val="28"/>
        </w:rPr>
        <w:t xml:space="preserve"> que</w:t>
      </w:r>
      <w:r w:rsidRPr="00104F9A">
        <w:rPr>
          <w:rFonts w:ascii="Garamond" w:hAnsi="Garamond"/>
          <w:bCs/>
          <w:sz w:val="28"/>
          <w:szCs w:val="28"/>
        </w:rPr>
        <w:t xml:space="preserve"> a falta de la primera -reclamación-, es posible presentar la segunda -conciliación-, obviamente</w:t>
      </w:r>
      <w:r w:rsidR="006269F9" w:rsidRPr="00104F9A">
        <w:rPr>
          <w:rFonts w:ascii="Garamond" w:hAnsi="Garamond"/>
          <w:bCs/>
          <w:sz w:val="28"/>
          <w:szCs w:val="28"/>
        </w:rPr>
        <w:t>,</w:t>
      </w:r>
      <w:r w:rsidRPr="00104F9A">
        <w:rPr>
          <w:rFonts w:ascii="Garamond" w:hAnsi="Garamond"/>
          <w:bCs/>
          <w:sz w:val="28"/>
          <w:szCs w:val="28"/>
        </w:rPr>
        <w:t xml:space="preserve"> fallida o desierta, pero no </w:t>
      </w:r>
      <w:r w:rsidR="0031688E" w:rsidRPr="00104F9A">
        <w:rPr>
          <w:rFonts w:ascii="Garamond" w:hAnsi="Garamond"/>
          <w:bCs/>
          <w:sz w:val="28"/>
          <w:szCs w:val="28"/>
        </w:rPr>
        <w:t>con acuerdo</w:t>
      </w:r>
      <w:r w:rsidRPr="00104F9A">
        <w:rPr>
          <w:rFonts w:ascii="Garamond" w:hAnsi="Garamond"/>
          <w:bCs/>
          <w:sz w:val="28"/>
          <w:szCs w:val="28"/>
        </w:rPr>
        <w:t>, pues</w:t>
      </w:r>
      <w:r w:rsidR="006269F9" w:rsidRPr="00104F9A">
        <w:rPr>
          <w:rFonts w:ascii="Garamond" w:hAnsi="Garamond"/>
          <w:bCs/>
          <w:sz w:val="28"/>
          <w:szCs w:val="28"/>
        </w:rPr>
        <w:t>,</w:t>
      </w:r>
      <w:r w:rsidRPr="00104F9A">
        <w:rPr>
          <w:rFonts w:ascii="Garamond" w:hAnsi="Garamond"/>
          <w:bCs/>
          <w:sz w:val="28"/>
          <w:szCs w:val="28"/>
        </w:rPr>
        <w:t xml:space="preserve"> ésta última tendría efectos de </w:t>
      </w:r>
      <w:r w:rsidRPr="00104F9A">
        <w:rPr>
          <w:rFonts w:ascii="Garamond" w:hAnsi="Garamond"/>
          <w:bCs/>
          <w:i/>
          <w:iCs/>
          <w:sz w:val="28"/>
          <w:szCs w:val="28"/>
        </w:rPr>
        <w:t>“cosa juzgada”</w:t>
      </w:r>
      <w:r w:rsidRPr="00104F9A">
        <w:rPr>
          <w:rFonts w:ascii="Garamond" w:hAnsi="Garamond"/>
          <w:bCs/>
          <w:sz w:val="28"/>
          <w:szCs w:val="28"/>
        </w:rPr>
        <w:t>.</w:t>
      </w:r>
    </w:p>
    <w:p w14:paraId="236C5056" w14:textId="74E6C1BE" w:rsidR="00C901CA" w:rsidRPr="00104F9A" w:rsidRDefault="00C901CA" w:rsidP="00A069BB">
      <w:pPr>
        <w:tabs>
          <w:tab w:val="left" w:pos="1134"/>
        </w:tabs>
        <w:ind w:firstLine="567"/>
        <w:jc w:val="both"/>
        <w:rPr>
          <w:rFonts w:ascii="Garamond" w:hAnsi="Garamond"/>
          <w:bCs/>
          <w:sz w:val="28"/>
          <w:szCs w:val="28"/>
        </w:rPr>
      </w:pPr>
    </w:p>
    <w:p w14:paraId="53A38118" w14:textId="11ACC596" w:rsidR="0031688E" w:rsidRPr="00104F9A" w:rsidRDefault="0031688E" w:rsidP="00A069BB">
      <w:pPr>
        <w:pStyle w:val="Prrafodelista"/>
        <w:numPr>
          <w:ilvl w:val="0"/>
          <w:numId w:val="22"/>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t>Es verdad que el artículo 35 de la Ley 640 de 2001</w:t>
      </w:r>
      <w:r w:rsidRPr="00104F9A">
        <w:rPr>
          <w:rStyle w:val="Refdenotaalpie"/>
          <w:rFonts w:ascii="Garamond" w:hAnsi="Garamond"/>
          <w:bCs/>
          <w:sz w:val="28"/>
          <w:szCs w:val="28"/>
        </w:rPr>
        <w:footnoteReference w:id="17"/>
      </w:r>
      <w:r w:rsidRPr="00104F9A">
        <w:rPr>
          <w:rFonts w:ascii="Garamond" w:hAnsi="Garamond"/>
          <w:bCs/>
          <w:sz w:val="28"/>
          <w:szCs w:val="28"/>
        </w:rPr>
        <w:t xml:space="preserve"> establece que </w:t>
      </w:r>
      <w:r w:rsidRPr="00104F9A">
        <w:rPr>
          <w:rFonts w:ascii="Garamond" w:hAnsi="Garamond"/>
          <w:bCs/>
          <w:i/>
          <w:iCs/>
          <w:sz w:val="28"/>
          <w:szCs w:val="28"/>
        </w:rPr>
        <w:t>“En los asuntos susceptibles de conciliación, la conciliación extrajudicial en derecho es requisito de procedibilidad para acudir”</w:t>
      </w:r>
      <w:r w:rsidRPr="00104F9A">
        <w:rPr>
          <w:rFonts w:ascii="Garamond" w:hAnsi="Garamond"/>
          <w:bCs/>
          <w:sz w:val="28"/>
          <w:szCs w:val="28"/>
        </w:rPr>
        <w:t xml:space="preserve"> entre otras jurisdicciones, a la </w:t>
      </w:r>
      <w:r w:rsidRPr="00104F9A">
        <w:rPr>
          <w:rFonts w:ascii="Garamond" w:hAnsi="Garamond"/>
          <w:bCs/>
          <w:i/>
          <w:iCs/>
          <w:sz w:val="28"/>
          <w:szCs w:val="28"/>
        </w:rPr>
        <w:t>“civil”</w:t>
      </w:r>
      <w:r w:rsidRPr="00104F9A">
        <w:rPr>
          <w:rFonts w:ascii="Garamond" w:hAnsi="Garamond"/>
          <w:bCs/>
          <w:sz w:val="28"/>
          <w:szCs w:val="28"/>
        </w:rPr>
        <w:t>; sin embargo, como viene de verse, en materia de protección al consumidor, el agotamiento de tal requisito cuenta con una norma esp</w:t>
      </w:r>
      <w:r w:rsidR="006269F9" w:rsidRPr="00104F9A">
        <w:rPr>
          <w:rFonts w:ascii="Garamond" w:hAnsi="Garamond"/>
          <w:bCs/>
          <w:sz w:val="28"/>
          <w:szCs w:val="28"/>
        </w:rPr>
        <w:t>e</w:t>
      </w:r>
      <w:r w:rsidRPr="00104F9A">
        <w:rPr>
          <w:rFonts w:ascii="Garamond" w:hAnsi="Garamond"/>
          <w:bCs/>
          <w:sz w:val="28"/>
          <w:szCs w:val="28"/>
        </w:rPr>
        <w:t>cial que</w:t>
      </w:r>
      <w:r w:rsidR="006269F9" w:rsidRPr="00104F9A">
        <w:rPr>
          <w:rFonts w:ascii="Garamond" w:hAnsi="Garamond"/>
          <w:bCs/>
          <w:sz w:val="28"/>
          <w:szCs w:val="28"/>
        </w:rPr>
        <w:t>,</w:t>
      </w:r>
      <w:r w:rsidRPr="00104F9A">
        <w:rPr>
          <w:rFonts w:ascii="Garamond" w:hAnsi="Garamond"/>
          <w:bCs/>
          <w:sz w:val="28"/>
          <w:szCs w:val="28"/>
        </w:rPr>
        <w:t xml:space="preserve"> de manera alguna</w:t>
      </w:r>
      <w:r w:rsidR="006269F9" w:rsidRPr="00104F9A">
        <w:rPr>
          <w:rFonts w:ascii="Garamond" w:hAnsi="Garamond"/>
          <w:bCs/>
          <w:sz w:val="28"/>
          <w:szCs w:val="28"/>
        </w:rPr>
        <w:t>,</w:t>
      </w:r>
      <w:r w:rsidRPr="00104F9A">
        <w:rPr>
          <w:rFonts w:ascii="Garamond" w:hAnsi="Garamond"/>
          <w:bCs/>
          <w:sz w:val="28"/>
          <w:szCs w:val="28"/>
        </w:rPr>
        <w:t xml:space="preserve"> puede equiparase a las exigencia de los asuntos de conocimiento </w:t>
      </w:r>
      <w:r w:rsidR="009C0FE5" w:rsidRPr="00104F9A">
        <w:rPr>
          <w:rFonts w:ascii="Garamond" w:hAnsi="Garamond"/>
          <w:bCs/>
          <w:sz w:val="28"/>
          <w:szCs w:val="28"/>
        </w:rPr>
        <w:t xml:space="preserve">genérico </w:t>
      </w:r>
      <w:r w:rsidRPr="00104F9A">
        <w:rPr>
          <w:rFonts w:ascii="Garamond" w:hAnsi="Garamond"/>
          <w:bCs/>
          <w:sz w:val="28"/>
          <w:szCs w:val="28"/>
        </w:rPr>
        <w:t>de los jueces en la especialidad civil</w:t>
      </w:r>
      <w:r w:rsidR="006269F9" w:rsidRPr="00104F9A">
        <w:rPr>
          <w:rFonts w:ascii="Garamond" w:hAnsi="Garamond"/>
          <w:bCs/>
          <w:sz w:val="28"/>
          <w:szCs w:val="28"/>
        </w:rPr>
        <w:t xml:space="preserve">, y menos con base en dicha normatividad </w:t>
      </w:r>
      <w:r w:rsidR="009C0FE5" w:rsidRPr="00104F9A">
        <w:rPr>
          <w:rFonts w:ascii="Garamond" w:hAnsi="Garamond"/>
          <w:bCs/>
          <w:sz w:val="28"/>
          <w:szCs w:val="28"/>
        </w:rPr>
        <w:t xml:space="preserve">-por la </w:t>
      </w:r>
      <w:r w:rsidR="006269F9" w:rsidRPr="00104F9A">
        <w:rPr>
          <w:rFonts w:ascii="Garamond" w:hAnsi="Garamond"/>
          <w:bCs/>
          <w:sz w:val="28"/>
          <w:szCs w:val="28"/>
        </w:rPr>
        <w:t>especialidad del asunto</w:t>
      </w:r>
      <w:r w:rsidR="009C0FE5" w:rsidRPr="00104F9A">
        <w:rPr>
          <w:rFonts w:ascii="Garamond" w:hAnsi="Garamond"/>
          <w:bCs/>
          <w:sz w:val="28"/>
          <w:szCs w:val="28"/>
        </w:rPr>
        <w:t>-</w:t>
      </w:r>
      <w:r w:rsidRPr="00104F9A">
        <w:rPr>
          <w:rFonts w:ascii="Garamond" w:hAnsi="Garamond"/>
          <w:bCs/>
          <w:sz w:val="28"/>
          <w:szCs w:val="28"/>
        </w:rPr>
        <w:t>.</w:t>
      </w:r>
    </w:p>
    <w:p w14:paraId="422F3AA5" w14:textId="77777777" w:rsidR="00A069BB" w:rsidRPr="00104F9A" w:rsidRDefault="00A069BB" w:rsidP="00A069BB">
      <w:pPr>
        <w:pStyle w:val="Prrafodelista"/>
        <w:tabs>
          <w:tab w:val="left" w:pos="1134"/>
        </w:tabs>
        <w:ind w:left="567"/>
        <w:jc w:val="both"/>
        <w:rPr>
          <w:rFonts w:ascii="Garamond" w:hAnsi="Garamond"/>
          <w:bCs/>
          <w:sz w:val="28"/>
          <w:szCs w:val="28"/>
        </w:rPr>
      </w:pPr>
    </w:p>
    <w:p w14:paraId="090B913B" w14:textId="3355734C" w:rsidR="0031688E" w:rsidRPr="00104F9A" w:rsidRDefault="0031688E" w:rsidP="00A069BB">
      <w:pPr>
        <w:pStyle w:val="Prrafodelista"/>
        <w:numPr>
          <w:ilvl w:val="0"/>
          <w:numId w:val="22"/>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t>De tal manera, emerge evidente la transgresión de los derechos cuya protección fue invocada, ya que, como en efecto lo denunció el impugnante, la autoridad fustigada incurr</w:t>
      </w:r>
      <w:r w:rsidR="006269F9" w:rsidRPr="00104F9A">
        <w:rPr>
          <w:rFonts w:ascii="Garamond" w:hAnsi="Garamond"/>
          <w:bCs/>
          <w:sz w:val="28"/>
          <w:szCs w:val="28"/>
        </w:rPr>
        <w:t>ió</w:t>
      </w:r>
      <w:r w:rsidRPr="00104F9A">
        <w:rPr>
          <w:rFonts w:ascii="Garamond" w:hAnsi="Garamond"/>
          <w:bCs/>
          <w:sz w:val="28"/>
          <w:szCs w:val="28"/>
        </w:rPr>
        <w:t xml:space="preserve"> en un</w:t>
      </w:r>
      <w:r w:rsidR="00D71EE4" w:rsidRPr="00104F9A">
        <w:rPr>
          <w:rFonts w:ascii="Garamond" w:hAnsi="Garamond"/>
          <w:bCs/>
          <w:sz w:val="28"/>
          <w:szCs w:val="28"/>
        </w:rPr>
        <w:t xml:space="preserve"> defecto procedimental absoluto por</w:t>
      </w:r>
      <w:r w:rsidRPr="00104F9A">
        <w:rPr>
          <w:rFonts w:ascii="Garamond" w:hAnsi="Garamond"/>
          <w:bCs/>
          <w:sz w:val="28"/>
          <w:szCs w:val="28"/>
        </w:rPr>
        <w:t xml:space="preserve"> </w:t>
      </w:r>
      <w:r w:rsidR="006269F9" w:rsidRPr="00104F9A">
        <w:rPr>
          <w:rFonts w:ascii="Garamond" w:hAnsi="Garamond"/>
          <w:bCs/>
          <w:i/>
          <w:iCs/>
          <w:sz w:val="28"/>
          <w:szCs w:val="28"/>
        </w:rPr>
        <w:t>“</w:t>
      </w:r>
      <w:r w:rsidRPr="00104F9A">
        <w:rPr>
          <w:rFonts w:ascii="Garamond" w:hAnsi="Garamond"/>
          <w:bCs/>
          <w:i/>
          <w:iCs/>
          <w:sz w:val="28"/>
          <w:szCs w:val="28"/>
        </w:rPr>
        <w:t>exceso ritual manifiesto</w:t>
      </w:r>
      <w:r w:rsidR="006269F9" w:rsidRPr="00104F9A">
        <w:rPr>
          <w:rFonts w:ascii="Garamond" w:hAnsi="Garamond"/>
          <w:bCs/>
          <w:i/>
          <w:iCs/>
          <w:sz w:val="28"/>
          <w:szCs w:val="28"/>
        </w:rPr>
        <w:t>”</w:t>
      </w:r>
      <w:r w:rsidRPr="00104F9A">
        <w:rPr>
          <w:rFonts w:ascii="Garamond" w:hAnsi="Garamond"/>
          <w:bCs/>
          <w:sz w:val="28"/>
          <w:szCs w:val="28"/>
        </w:rPr>
        <w:t xml:space="preserve">, al exigirle </w:t>
      </w:r>
      <w:r w:rsidR="00D71EE4" w:rsidRPr="00104F9A">
        <w:rPr>
          <w:rFonts w:ascii="Garamond" w:hAnsi="Garamond"/>
          <w:bCs/>
          <w:sz w:val="28"/>
          <w:szCs w:val="28"/>
        </w:rPr>
        <w:t>el</w:t>
      </w:r>
      <w:r w:rsidRPr="00104F9A">
        <w:rPr>
          <w:rFonts w:ascii="Garamond" w:hAnsi="Garamond"/>
          <w:bCs/>
          <w:sz w:val="28"/>
          <w:szCs w:val="28"/>
        </w:rPr>
        <w:t xml:space="preserve"> doble agotamiento de un requisito de procedibilidad que se encuentra perfectamente delimitado por el Legislador</w:t>
      </w:r>
      <w:r w:rsidR="008E12BD" w:rsidRPr="00104F9A">
        <w:rPr>
          <w:rFonts w:ascii="Garamond" w:hAnsi="Garamond"/>
          <w:bCs/>
          <w:sz w:val="28"/>
          <w:szCs w:val="28"/>
        </w:rPr>
        <w:t>, para un solo evento.</w:t>
      </w:r>
    </w:p>
    <w:p w14:paraId="64A8AF69" w14:textId="77777777" w:rsidR="00D71EE4" w:rsidRPr="00104F9A" w:rsidRDefault="00D71EE4" w:rsidP="00D71EE4">
      <w:pPr>
        <w:pStyle w:val="Prrafodelista"/>
        <w:rPr>
          <w:rFonts w:ascii="Garamond" w:hAnsi="Garamond"/>
          <w:bCs/>
          <w:sz w:val="28"/>
          <w:szCs w:val="28"/>
        </w:rPr>
      </w:pPr>
    </w:p>
    <w:p w14:paraId="50ABAA14" w14:textId="53F86B1C" w:rsidR="00D71EE4" w:rsidRPr="00104F9A" w:rsidRDefault="00D71EE4" w:rsidP="00A069BB">
      <w:pPr>
        <w:pStyle w:val="Prrafodelista"/>
        <w:numPr>
          <w:ilvl w:val="0"/>
          <w:numId w:val="22"/>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t>Sobre dicho tópico en particular, la Corte Constitucional, ha sostenido:</w:t>
      </w:r>
    </w:p>
    <w:p w14:paraId="2430EB52" w14:textId="77777777" w:rsidR="00D71EE4" w:rsidRPr="00104F9A" w:rsidRDefault="00D71EE4" w:rsidP="00D71EE4">
      <w:pPr>
        <w:pStyle w:val="Prrafodelista"/>
        <w:rPr>
          <w:rFonts w:ascii="Garamond" w:hAnsi="Garamond"/>
          <w:bCs/>
          <w:sz w:val="28"/>
          <w:szCs w:val="28"/>
        </w:rPr>
      </w:pPr>
    </w:p>
    <w:p w14:paraId="79AA06D5" w14:textId="77777777" w:rsidR="008E12BD" w:rsidRPr="00104F9A" w:rsidRDefault="00D71EE4" w:rsidP="008E12BD">
      <w:pPr>
        <w:pStyle w:val="Prrafodelista"/>
        <w:tabs>
          <w:tab w:val="left" w:pos="1134"/>
        </w:tabs>
        <w:ind w:left="567"/>
        <w:jc w:val="both"/>
        <w:rPr>
          <w:rFonts w:ascii="Garamond" w:hAnsi="Garamond"/>
          <w:bCs/>
          <w:i/>
          <w:iCs/>
        </w:rPr>
      </w:pPr>
      <w:r w:rsidRPr="00104F9A">
        <w:rPr>
          <w:rFonts w:ascii="Garamond" w:hAnsi="Garamond"/>
          <w:bCs/>
          <w:i/>
          <w:iCs/>
        </w:rPr>
        <w:t>“</w:t>
      </w:r>
      <w:r w:rsidR="008E12BD" w:rsidRPr="00104F9A">
        <w:rPr>
          <w:rFonts w:ascii="Garamond" w:hAnsi="Garamond"/>
          <w:bCs/>
          <w:i/>
          <w:iCs/>
        </w:rPr>
        <w:t>el defecto procedimental por exceso ritual manifiesto se presenta en los casos donde el juez o magistrado obstaculiza “la efectividad de los derechos constitucionales por motivos formales”</w:t>
      </w:r>
      <w:r w:rsidR="008E12BD" w:rsidRPr="00104F9A">
        <w:rPr>
          <w:rFonts w:ascii="Garamond" w:hAnsi="Garamond"/>
          <w:bCs/>
          <w:i/>
          <w:iCs/>
          <w:vertAlign w:val="superscript"/>
        </w:rPr>
        <w:footnoteReference w:id="18"/>
      </w:r>
      <w:r w:rsidR="008E12BD" w:rsidRPr="00104F9A">
        <w:rPr>
          <w:rFonts w:ascii="Garamond" w:hAnsi="Garamond"/>
          <w:bCs/>
          <w:i/>
          <w:iCs/>
        </w:rPr>
        <w:t>, es decir, el procedimiento es una barrera para la eficacia del derecho sustancial y en ese sentido, deniegan justicia, por “(i) aplicar disposiciones procesales que se oponen a la vigencia de derechos constitucionales en un caso concreto; (ii) exigir el cumplimiento de requisitos formales de forma irreflexiva y que en determinadas circunstancias puedan constituir cargas imposibles de cumplir para las partes, siempre que esa situación se encuentre comprobada; o (iii), incurrir en un rigorismo procedimental en la apreciación de las pruebas”</w:t>
      </w:r>
      <w:r w:rsidR="008E12BD" w:rsidRPr="00104F9A">
        <w:rPr>
          <w:rFonts w:ascii="Garamond" w:hAnsi="Garamond"/>
          <w:bCs/>
          <w:i/>
          <w:iCs/>
          <w:vertAlign w:val="superscript"/>
        </w:rPr>
        <w:footnoteReference w:id="19"/>
      </w:r>
      <w:r w:rsidR="008E12BD" w:rsidRPr="00104F9A">
        <w:rPr>
          <w:rFonts w:ascii="Garamond" w:hAnsi="Garamond"/>
          <w:bCs/>
          <w:i/>
          <w:iCs/>
        </w:rPr>
        <w:t>.</w:t>
      </w:r>
    </w:p>
    <w:p w14:paraId="0AD50F18" w14:textId="77777777" w:rsidR="008E12BD" w:rsidRPr="00104F9A" w:rsidRDefault="008E12BD" w:rsidP="008E12BD">
      <w:pPr>
        <w:pStyle w:val="Prrafodelista"/>
        <w:tabs>
          <w:tab w:val="left" w:pos="1134"/>
        </w:tabs>
        <w:ind w:left="567"/>
        <w:jc w:val="both"/>
        <w:rPr>
          <w:rFonts w:ascii="Garamond" w:hAnsi="Garamond"/>
          <w:bCs/>
          <w:i/>
          <w:iCs/>
        </w:rPr>
      </w:pPr>
    </w:p>
    <w:p w14:paraId="7C31F92B" w14:textId="424F2351" w:rsidR="00D71EE4" w:rsidRPr="00104F9A" w:rsidRDefault="008E12BD" w:rsidP="008E12BD">
      <w:pPr>
        <w:pStyle w:val="Prrafodelista"/>
        <w:tabs>
          <w:tab w:val="left" w:pos="1134"/>
        </w:tabs>
        <w:ind w:left="567"/>
        <w:jc w:val="both"/>
        <w:rPr>
          <w:rFonts w:ascii="Garamond" w:hAnsi="Garamond"/>
          <w:bCs/>
          <w:sz w:val="28"/>
          <w:szCs w:val="28"/>
        </w:rPr>
      </w:pPr>
      <w:r w:rsidRPr="00104F9A">
        <w:rPr>
          <w:rFonts w:ascii="Garamond" w:hAnsi="Garamond"/>
          <w:bCs/>
          <w:i/>
          <w:iCs/>
        </w:rPr>
        <w:t xml:space="preserve">Igualmente, </w:t>
      </w:r>
      <w:r w:rsidR="009C0FE5" w:rsidRPr="00104F9A">
        <w:rPr>
          <w:rFonts w:ascii="Garamond" w:hAnsi="Garamond"/>
          <w:bCs/>
        </w:rPr>
        <w:t>[se]</w:t>
      </w:r>
      <w:r w:rsidRPr="00104F9A">
        <w:rPr>
          <w:rFonts w:ascii="Garamond" w:hAnsi="Garamond"/>
          <w:bCs/>
          <w:i/>
          <w:iCs/>
        </w:rPr>
        <w:t xml:space="preserve"> ha reiterado que el funcionario judicial “incurre en un defecto procedimental por exceso ritual manifiesto cuando (i) no tiene presente que el derecho procesal es un medio para la realización efectiva de los derechos de los ciudadanos, (ii) renuncia conscientemente a la verdad jurídica objetiva pese a los hechos probados en el caso concreto, (iii) por la aplicación en exceso rigurosa del derecho procesal, (iv) pese a que dicha actuación devenga en el desconocimiento de derechos fundamentales”</w:t>
      </w:r>
      <w:r w:rsidRPr="00104F9A">
        <w:rPr>
          <w:rFonts w:ascii="Garamond" w:hAnsi="Garamond"/>
          <w:bCs/>
          <w:i/>
          <w:iCs/>
          <w:vertAlign w:val="superscript"/>
        </w:rPr>
        <w:footnoteReference w:id="20"/>
      </w:r>
      <w:r w:rsidRPr="00104F9A">
        <w:rPr>
          <w:rFonts w:ascii="Garamond" w:hAnsi="Garamond"/>
          <w:bCs/>
          <w:i/>
          <w:iCs/>
        </w:rPr>
        <w:t>.</w:t>
      </w:r>
      <w:r w:rsidR="00D71EE4" w:rsidRPr="00104F9A">
        <w:rPr>
          <w:rFonts w:ascii="Garamond" w:hAnsi="Garamond"/>
          <w:bCs/>
          <w:i/>
          <w:iCs/>
        </w:rPr>
        <w:t>”.</w:t>
      </w:r>
      <w:r w:rsidRPr="00104F9A">
        <w:rPr>
          <w:rStyle w:val="Refdenotaalpie"/>
          <w:rFonts w:ascii="Garamond" w:hAnsi="Garamond"/>
          <w:bCs/>
          <w:i/>
          <w:iCs/>
        </w:rPr>
        <w:footnoteReference w:id="21"/>
      </w:r>
    </w:p>
    <w:p w14:paraId="270555C5" w14:textId="77777777" w:rsidR="00A069BB" w:rsidRPr="00104F9A" w:rsidRDefault="00A069BB" w:rsidP="00A069BB">
      <w:pPr>
        <w:tabs>
          <w:tab w:val="left" w:pos="1134"/>
        </w:tabs>
        <w:jc w:val="both"/>
        <w:rPr>
          <w:rFonts w:ascii="Garamond" w:hAnsi="Garamond"/>
          <w:bCs/>
          <w:sz w:val="28"/>
          <w:szCs w:val="28"/>
        </w:rPr>
      </w:pPr>
    </w:p>
    <w:p w14:paraId="730D0154" w14:textId="40AA1DC9" w:rsidR="00036D67" w:rsidRPr="00104F9A" w:rsidRDefault="0031688E" w:rsidP="00A069BB">
      <w:pPr>
        <w:pStyle w:val="Prrafodelista"/>
        <w:numPr>
          <w:ilvl w:val="0"/>
          <w:numId w:val="22"/>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lastRenderedPageBreak/>
        <w:t xml:space="preserve">Las decisiones del Juez encartado se muestran -como mínimo- desacertadas, ya que muy a pesar de </w:t>
      </w:r>
      <w:r w:rsidR="00036D67" w:rsidRPr="00104F9A">
        <w:rPr>
          <w:rFonts w:ascii="Garamond" w:hAnsi="Garamond"/>
          <w:bCs/>
          <w:sz w:val="28"/>
          <w:szCs w:val="28"/>
        </w:rPr>
        <w:t xml:space="preserve">la </w:t>
      </w:r>
      <w:r w:rsidR="00036D67" w:rsidRPr="00104F9A">
        <w:rPr>
          <w:rFonts w:ascii="Garamond" w:hAnsi="Garamond"/>
          <w:bCs/>
          <w:i/>
          <w:iCs/>
          <w:sz w:val="28"/>
          <w:szCs w:val="28"/>
        </w:rPr>
        <w:t>“autonomía e independencia</w:t>
      </w:r>
      <w:r w:rsidR="006269F9" w:rsidRPr="00104F9A">
        <w:rPr>
          <w:rFonts w:ascii="Garamond" w:hAnsi="Garamond"/>
          <w:bCs/>
          <w:i/>
          <w:iCs/>
          <w:sz w:val="28"/>
          <w:szCs w:val="28"/>
        </w:rPr>
        <w:t xml:space="preserve"> judicial</w:t>
      </w:r>
      <w:r w:rsidR="00036D67" w:rsidRPr="00104F9A">
        <w:rPr>
          <w:rFonts w:ascii="Garamond" w:hAnsi="Garamond"/>
          <w:bCs/>
          <w:i/>
          <w:iCs/>
          <w:sz w:val="28"/>
          <w:szCs w:val="28"/>
        </w:rPr>
        <w:t>”</w:t>
      </w:r>
      <w:r w:rsidR="00036D67" w:rsidRPr="00104F9A">
        <w:rPr>
          <w:rFonts w:ascii="Garamond" w:hAnsi="Garamond"/>
          <w:bCs/>
          <w:sz w:val="28"/>
          <w:szCs w:val="28"/>
        </w:rPr>
        <w:t xml:space="preserve"> que le asiste, no resulta de recibo la hermenéutica utilizada, </w:t>
      </w:r>
      <w:r w:rsidR="006269F9" w:rsidRPr="00104F9A">
        <w:rPr>
          <w:rFonts w:ascii="Garamond" w:hAnsi="Garamond"/>
          <w:bCs/>
          <w:sz w:val="28"/>
          <w:szCs w:val="28"/>
        </w:rPr>
        <w:t>habida cuenta</w:t>
      </w:r>
      <w:r w:rsidR="00036D67" w:rsidRPr="00104F9A">
        <w:rPr>
          <w:rFonts w:ascii="Garamond" w:hAnsi="Garamond"/>
          <w:bCs/>
          <w:sz w:val="28"/>
          <w:szCs w:val="28"/>
        </w:rPr>
        <w:t xml:space="preserve"> que</w:t>
      </w:r>
      <w:r w:rsidR="006269F9" w:rsidRPr="00104F9A">
        <w:rPr>
          <w:rFonts w:ascii="Garamond" w:hAnsi="Garamond"/>
          <w:bCs/>
          <w:sz w:val="28"/>
          <w:szCs w:val="28"/>
        </w:rPr>
        <w:t>, so capa de</w:t>
      </w:r>
      <w:r w:rsidR="00036D67" w:rsidRPr="00104F9A">
        <w:rPr>
          <w:rFonts w:ascii="Garamond" w:hAnsi="Garamond"/>
          <w:bCs/>
          <w:sz w:val="28"/>
          <w:szCs w:val="28"/>
        </w:rPr>
        <w:t xml:space="preserve"> un </w:t>
      </w:r>
      <w:r w:rsidR="006269F9" w:rsidRPr="00104F9A">
        <w:rPr>
          <w:rFonts w:ascii="Garamond" w:hAnsi="Garamond"/>
          <w:bCs/>
          <w:sz w:val="28"/>
          <w:szCs w:val="28"/>
        </w:rPr>
        <w:t>notorio</w:t>
      </w:r>
      <w:r w:rsidR="00036D67" w:rsidRPr="00104F9A">
        <w:rPr>
          <w:rFonts w:ascii="Garamond" w:hAnsi="Garamond"/>
          <w:bCs/>
          <w:sz w:val="28"/>
          <w:szCs w:val="28"/>
        </w:rPr>
        <w:t xml:space="preserve"> error de interpretación de la norma especial, </w:t>
      </w:r>
      <w:r w:rsidR="009C0FE5" w:rsidRPr="00104F9A">
        <w:rPr>
          <w:rFonts w:ascii="Garamond" w:hAnsi="Garamond"/>
          <w:bCs/>
          <w:sz w:val="28"/>
          <w:szCs w:val="28"/>
        </w:rPr>
        <w:t>é</w:t>
      </w:r>
      <w:r w:rsidR="006269F9" w:rsidRPr="00104F9A">
        <w:rPr>
          <w:rFonts w:ascii="Garamond" w:hAnsi="Garamond"/>
          <w:bCs/>
          <w:sz w:val="28"/>
          <w:szCs w:val="28"/>
        </w:rPr>
        <w:t xml:space="preserve">ste </w:t>
      </w:r>
      <w:r w:rsidR="00036D67" w:rsidRPr="00104F9A">
        <w:rPr>
          <w:rFonts w:ascii="Garamond" w:hAnsi="Garamond"/>
          <w:bCs/>
          <w:sz w:val="28"/>
          <w:szCs w:val="28"/>
        </w:rPr>
        <w:t xml:space="preserve">terminó por </w:t>
      </w:r>
      <w:r w:rsidR="006269F9" w:rsidRPr="00104F9A">
        <w:rPr>
          <w:rFonts w:ascii="Garamond" w:hAnsi="Garamond"/>
          <w:bCs/>
          <w:sz w:val="28"/>
          <w:szCs w:val="28"/>
        </w:rPr>
        <w:t>demandar</w:t>
      </w:r>
      <w:r w:rsidR="00036D67" w:rsidRPr="00104F9A">
        <w:rPr>
          <w:rFonts w:ascii="Garamond" w:hAnsi="Garamond"/>
          <w:bCs/>
          <w:sz w:val="28"/>
          <w:szCs w:val="28"/>
        </w:rPr>
        <w:t xml:space="preserve"> un requisito para admitir </w:t>
      </w:r>
      <w:r w:rsidR="006269F9" w:rsidRPr="00104F9A">
        <w:rPr>
          <w:rFonts w:ascii="Garamond" w:hAnsi="Garamond"/>
          <w:bCs/>
          <w:sz w:val="28"/>
          <w:szCs w:val="28"/>
        </w:rPr>
        <w:t>la</w:t>
      </w:r>
      <w:r w:rsidR="00036D67" w:rsidRPr="00104F9A">
        <w:rPr>
          <w:rFonts w:ascii="Garamond" w:hAnsi="Garamond"/>
          <w:bCs/>
          <w:sz w:val="28"/>
          <w:szCs w:val="28"/>
        </w:rPr>
        <w:t xml:space="preserve"> querella que, como ya se </w:t>
      </w:r>
      <w:r w:rsidR="006269F9" w:rsidRPr="00104F9A">
        <w:rPr>
          <w:rFonts w:ascii="Garamond" w:hAnsi="Garamond"/>
          <w:bCs/>
          <w:sz w:val="28"/>
          <w:szCs w:val="28"/>
        </w:rPr>
        <w:t>dijo</w:t>
      </w:r>
      <w:r w:rsidR="00036D67" w:rsidRPr="00104F9A">
        <w:rPr>
          <w:rFonts w:ascii="Garamond" w:hAnsi="Garamond"/>
          <w:bCs/>
          <w:sz w:val="28"/>
          <w:szCs w:val="28"/>
        </w:rPr>
        <w:t>, cuenta con dos formas distintas de agotamiento, bien sea, bajo los presupuestos de la reclamación directa, ora en términos de conciliación prejudicial</w:t>
      </w:r>
      <w:r w:rsidR="006269F9" w:rsidRPr="00104F9A">
        <w:rPr>
          <w:rFonts w:ascii="Garamond" w:hAnsi="Garamond"/>
          <w:bCs/>
          <w:sz w:val="28"/>
          <w:szCs w:val="28"/>
        </w:rPr>
        <w:t>, pero, de ninguna manera, ambos.</w:t>
      </w:r>
    </w:p>
    <w:p w14:paraId="57160F5F" w14:textId="77777777" w:rsidR="00A069BB" w:rsidRPr="00104F9A" w:rsidRDefault="00A069BB" w:rsidP="00A069BB">
      <w:pPr>
        <w:tabs>
          <w:tab w:val="left" w:pos="1134"/>
        </w:tabs>
        <w:jc w:val="both"/>
        <w:rPr>
          <w:rFonts w:ascii="Garamond" w:hAnsi="Garamond"/>
          <w:bCs/>
          <w:sz w:val="28"/>
          <w:szCs w:val="28"/>
        </w:rPr>
      </w:pPr>
    </w:p>
    <w:p w14:paraId="49A7E50F" w14:textId="3D1861C4" w:rsidR="0031688E" w:rsidRPr="00104F9A" w:rsidRDefault="00036D67" w:rsidP="00A069BB">
      <w:pPr>
        <w:pStyle w:val="Prrafodelista"/>
        <w:numPr>
          <w:ilvl w:val="0"/>
          <w:numId w:val="22"/>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t xml:space="preserve">Nótese que si bien en la Sentencia STC8508-2020 de la Corte Suprema de Justicia, citada por </w:t>
      </w:r>
      <w:r w:rsidR="00291B00" w:rsidRPr="00104F9A">
        <w:rPr>
          <w:rFonts w:ascii="Garamond" w:hAnsi="Garamond"/>
          <w:bCs/>
          <w:sz w:val="28"/>
          <w:szCs w:val="28"/>
        </w:rPr>
        <w:t>el</w:t>
      </w:r>
      <w:r w:rsidRPr="00104F9A">
        <w:rPr>
          <w:rFonts w:ascii="Garamond" w:hAnsi="Garamond"/>
          <w:bCs/>
          <w:sz w:val="28"/>
          <w:szCs w:val="28"/>
        </w:rPr>
        <w:t xml:space="preserve"> </w:t>
      </w:r>
      <w:r w:rsidR="00291B00" w:rsidRPr="00104F9A">
        <w:rPr>
          <w:rFonts w:ascii="Garamond" w:hAnsi="Garamond"/>
          <w:bCs/>
          <w:i/>
          <w:iCs/>
          <w:sz w:val="28"/>
          <w:szCs w:val="28"/>
        </w:rPr>
        <w:t>a quo</w:t>
      </w:r>
      <w:r w:rsidRPr="00104F9A">
        <w:rPr>
          <w:rFonts w:ascii="Garamond" w:hAnsi="Garamond"/>
          <w:bCs/>
          <w:sz w:val="28"/>
          <w:szCs w:val="28"/>
        </w:rPr>
        <w:t xml:space="preserve"> para respaldar su decisión, si bien es cierto</w:t>
      </w:r>
      <w:r w:rsidR="00602BD5" w:rsidRPr="00104F9A">
        <w:rPr>
          <w:rFonts w:ascii="Garamond" w:hAnsi="Garamond"/>
          <w:bCs/>
          <w:sz w:val="28"/>
          <w:szCs w:val="28"/>
        </w:rPr>
        <w:t>,</w:t>
      </w:r>
      <w:r w:rsidRPr="00104F9A">
        <w:rPr>
          <w:rFonts w:ascii="Garamond" w:hAnsi="Garamond"/>
          <w:bCs/>
          <w:sz w:val="28"/>
          <w:szCs w:val="28"/>
        </w:rPr>
        <w:t xml:space="preserve"> se señaló textualmente el literal g), numeral 5° del artículo 58 de la Ley 1480 </w:t>
      </w:r>
      <w:r w:rsidRPr="00104F9A">
        <w:rPr>
          <w:rFonts w:ascii="Garamond" w:hAnsi="Garamond"/>
          <w:bCs/>
          <w:i/>
          <w:iCs/>
          <w:sz w:val="28"/>
          <w:szCs w:val="28"/>
        </w:rPr>
        <w:t>supra</w:t>
      </w:r>
      <w:r w:rsidRPr="00104F9A">
        <w:rPr>
          <w:rFonts w:ascii="Garamond" w:hAnsi="Garamond"/>
          <w:bCs/>
          <w:sz w:val="28"/>
          <w:szCs w:val="28"/>
        </w:rPr>
        <w:t xml:space="preserve"> referida</w:t>
      </w:r>
      <w:r w:rsidR="00602BD5" w:rsidRPr="00104F9A">
        <w:rPr>
          <w:rStyle w:val="Refdenotaalpie"/>
          <w:rFonts w:ascii="Garamond" w:hAnsi="Garamond"/>
          <w:bCs/>
          <w:sz w:val="28"/>
          <w:szCs w:val="28"/>
        </w:rPr>
        <w:footnoteReference w:id="22"/>
      </w:r>
      <w:r w:rsidRPr="00104F9A">
        <w:rPr>
          <w:rFonts w:ascii="Garamond" w:hAnsi="Garamond"/>
          <w:bCs/>
          <w:sz w:val="28"/>
          <w:szCs w:val="28"/>
        </w:rPr>
        <w:t xml:space="preserve">, </w:t>
      </w:r>
      <w:r w:rsidR="00602BD5" w:rsidRPr="00104F9A">
        <w:rPr>
          <w:rFonts w:ascii="Garamond" w:hAnsi="Garamond"/>
          <w:bCs/>
          <w:sz w:val="28"/>
          <w:szCs w:val="28"/>
        </w:rPr>
        <w:t>esa</w:t>
      </w:r>
      <w:r w:rsidRPr="00104F9A">
        <w:rPr>
          <w:rFonts w:ascii="Garamond" w:hAnsi="Garamond"/>
          <w:bCs/>
          <w:sz w:val="28"/>
          <w:szCs w:val="28"/>
        </w:rPr>
        <w:t xml:space="preserve"> no fue </w:t>
      </w:r>
      <w:r w:rsidR="00602BD5" w:rsidRPr="00104F9A">
        <w:rPr>
          <w:rFonts w:ascii="Garamond" w:hAnsi="Garamond"/>
          <w:bCs/>
          <w:sz w:val="28"/>
          <w:szCs w:val="28"/>
        </w:rPr>
        <w:t>l</w:t>
      </w:r>
      <w:r w:rsidRPr="00104F9A">
        <w:rPr>
          <w:rFonts w:ascii="Garamond" w:hAnsi="Garamond"/>
          <w:bCs/>
          <w:sz w:val="28"/>
          <w:szCs w:val="28"/>
        </w:rPr>
        <w:t>a conclusión</w:t>
      </w:r>
      <w:r w:rsidR="00602BD5" w:rsidRPr="00104F9A">
        <w:rPr>
          <w:rFonts w:ascii="Garamond" w:hAnsi="Garamond"/>
          <w:bCs/>
          <w:sz w:val="28"/>
          <w:szCs w:val="28"/>
        </w:rPr>
        <w:t xml:space="preserve"> y/o </w:t>
      </w:r>
      <w:r w:rsidR="00602BD5" w:rsidRPr="00104F9A">
        <w:rPr>
          <w:rFonts w:ascii="Garamond" w:hAnsi="Garamond"/>
          <w:bCs/>
          <w:i/>
          <w:iCs/>
          <w:sz w:val="28"/>
          <w:szCs w:val="28"/>
        </w:rPr>
        <w:t>ratio decidendi</w:t>
      </w:r>
      <w:r w:rsidRPr="00104F9A">
        <w:rPr>
          <w:rFonts w:ascii="Garamond" w:hAnsi="Garamond"/>
          <w:bCs/>
          <w:sz w:val="28"/>
          <w:szCs w:val="28"/>
        </w:rPr>
        <w:t xml:space="preserve"> </w:t>
      </w:r>
      <w:r w:rsidR="00602BD5" w:rsidRPr="00104F9A">
        <w:rPr>
          <w:rFonts w:ascii="Garamond" w:hAnsi="Garamond"/>
          <w:bCs/>
          <w:sz w:val="28"/>
          <w:szCs w:val="28"/>
        </w:rPr>
        <w:t>establecida por</w:t>
      </w:r>
      <w:r w:rsidRPr="00104F9A">
        <w:rPr>
          <w:rFonts w:ascii="Garamond" w:hAnsi="Garamond"/>
          <w:bCs/>
          <w:sz w:val="28"/>
          <w:szCs w:val="28"/>
        </w:rPr>
        <w:t xml:space="preserve"> dicha Corporación, ni así se puede entender, ya que, se </w:t>
      </w:r>
      <w:r w:rsidR="009C0FE5" w:rsidRPr="00104F9A">
        <w:rPr>
          <w:rFonts w:ascii="Garamond" w:hAnsi="Garamond"/>
          <w:bCs/>
          <w:sz w:val="28"/>
          <w:szCs w:val="28"/>
        </w:rPr>
        <w:t>insiste</w:t>
      </w:r>
      <w:r w:rsidRPr="00104F9A">
        <w:rPr>
          <w:rFonts w:ascii="Garamond" w:hAnsi="Garamond"/>
          <w:bCs/>
          <w:sz w:val="28"/>
          <w:szCs w:val="28"/>
        </w:rPr>
        <w:t>, tal aparte constituyó la transcripción de dicho canon normativo</w:t>
      </w:r>
      <w:r w:rsidR="00602BD5" w:rsidRPr="00104F9A">
        <w:rPr>
          <w:rFonts w:ascii="Garamond" w:hAnsi="Garamond"/>
          <w:bCs/>
          <w:sz w:val="28"/>
          <w:szCs w:val="28"/>
        </w:rPr>
        <w:t xml:space="preserve">, más no una </w:t>
      </w:r>
      <w:r w:rsidR="009C0FE5" w:rsidRPr="00104F9A">
        <w:rPr>
          <w:rFonts w:ascii="Garamond" w:hAnsi="Garamond"/>
          <w:bCs/>
          <w:sz w:val="28"/>
          <w:szCs w:val="28"/>
        </w:rPr>
        <w:t>de varias inferencias</w:t>
      </w:r>
      <w:r w:rsidR="00602BD5" w:rsidRPr="00104F9A">
        <w:rPr>
          <w:rFonts w:ascii="Garamond" w:hAnsi="Garamond"/>
          <w:bCs/>
          <w:sz w:val="28"/>
          <w:szCs w:val="28"/>
        </w:rPr>
        <w:t xml:space="preserve"> del evocado fallo</w:t>
      </w:r>
      <w:r w:rsidR="009C0FE5" w:rsidRPr="00104F9A">
        <w:rPr>
          <w:rFonts w:ascii="Garamond" w:hAnsi="Garamond"/>
          <w:bCs/>
          <w:sz w:val="28"/>
          <w:szCs w:val="28"/>
        </w:rPr>
        <w:t>, en el interior del cual,</w:t>
      </w:r>
      <w:r w:rsidR="00D71EE4" w:rsidRPr="00104F9A">
        <w:rPr>
          <w:rFonts w:ascii="Garamond" w:hAnsi="Garamond"/>
          <w:bCs/>
          <w:sz w:val="28"/>
          <w:szCs w:val="28"/>
        </w:rPr>
        <w:t xml:space="preserve"> en todo caso, se trató un escenario diametralmente distante al </w:t>
      </w:r>
      <w:r w:rsidR="009C0FE5" w:rsidRPr="00104F9A">
        <w:rPr>
          <w:rFonts w:ascii="Garamond" w:hAnsi="Garamond"/>
          <w:bCs/>
          <w:sz w:val="28"/>
          <w:szCs w:val="28"/>
        </w:rPr>
        <w:t>estudiado en este juicio</w:t>
      </w:r>
      <w:r w:rsidR="00D71EE4" w:rsidRPr="00104F9A">
        <w:rPr>
          <w:rFonts w:ascii="Garamond" w:hAnsi="Garamond"/>
          <w:bCs/>
          <w:sz w:val="28"/>
          <w:szCs w:val="28"/>
        </w:rPr>
        <w:t>, al que ni siquiera los presupuestos fácticos le eran aplicables</w:t>
      </w:r>
      <w:r w:rsidR="00602BD5" w:rsidRPr="00104F9A">
        <w:rPr>
          <w:rFonts w:ascii="Garamond" w:hAnsi="Garamond"/>
          <w:bCs/>
          <w:sz w:val="28"/>
          <w:szCs w:val="28"/>
        </w:rPr>
        <w:t>.</w:t>
      </w:r>
      <w:r w:rsidR="008E12BD" w:rsidRPr="00104F9A">
        <w:rPr>
          <w:rFonts w:ascii="Garamond" w:hAnsi="Garamond"/>
          <w:bCs/>
          <w:sz w:val="28"/>
          <w:szCs w:val="28"/>
        </w:rPr>
        <w:t xml:space="preserve"> </w:t>
      </w:r>
    </w:p>
    <w:p w14:paraId="1B40EC43" w14:textId="77777777" w:rsidR="00A069BB" w:rsidRPr="00104F9A" w:rsidRDefault="00A069BB" w:rsidP="00A069BB">
      <w:pPr>
        <w:tabs>
          <w:tab w:val="left" w:pos="1134"/>
        </w:tabs>
        <w:ind w:firstLine="567"/>
        <w:jc w:val="both"/>
        <w:rPr>
          <w:rFonts w:ascii="Garamond" w:hAnsi="Garamond"/>
          <w:bCs/>
          <w:sz w:val="28"/>
          <w:szCs w:val="28"/>
        </w:rPr>
      </w:pPr>
    </w:p>
    <w:p w14:paraId="24EDDA71" w14:textId="37A4576A" w:rsidR="0031688E" w:rsidRPr="00104F9A" w:rsidRDefault="0031688E" w:rsidP="00A069BB">
      <w:pPr>
        <w:pStyle w:val="Prrafodelista"/>
        <w:numPr>
          <w:ilvl w:val="0"/>
          <w:numId w:val="22"/>
        </w:numPr>
        <w:tabs>
          <w:tab w:val="left" w:pos="1134"/>
        </w:tabs>
        <w:spacing w:line="360" w:lineRule="auto"/>
        <w:ind w:left="0" w:firstLine="567"/>
        <w:jc w:val="both"/>
        <w:rPr>
          <w:rFonts w:ascii="Garamond" w:hAnsi="Garamond"/>
          <w:bCs/>
          <w:sz w:val="28"/>
          <w:szCs w:val="28"/>
        </w:rPr>
      </w:pPr>
      <w:r w:rsidRPr="00104F9A">
        <w:rPr>
          <w:rFonts w:ascii="Garamond" w:hAnsi="Garamond"/>
          <w:bCs/>
          <w:sz w:val="28"/>
          <w:szCs w:val="28"/>
        </w:rPr>
        <w:t>Corolario de lo anterior es que se revocará el fallo impugnado, para conceder el amparo.</w:t>
      </w:r>
    </w:p>
    <w:p w14:paraId="79694D5A" w14:textId="77777777" w:rsidR="00A27C9B" w:rsidRPr="00104F9A" w:rsidRDefault="00A27C9B" w:rsidP="00A069BB">
      <w:pPr>
        <w:jc w:val="both"/>
        <w:rPr>
          <w:rFonts w:ascii="Garamond" w:hAnsi="Garamond" w:cs="Arial"/>
          <w:b/>
          <w:sz w:val="28"/>
          <w:szCs w:val="28"/>
        </w:rPr>
      </w:pPr>
    </w:p>
    <w:p w14:paraId="6F633EB6" w14:textId="5503448A" w:rsidR="001D1B85" w:rsidRPr="00104F9A" w:rsidRDefault="001D1B85" w:rsidP="00A069BB">
      <w:pPr>
        <w:spacing w:line="360" w:lineRule="auto"/>
        <w:jc w:val="center"/>
        <w:rPr>
          <w:rFonts w:ascii="Garamond" w:hAnsi="Garamond" w:cs="Arial"/>
          <w:b/>
          <w:sz w:val="28"/>
          <w:szCs w:val="28"/>
        </w:rPr>
      </w:pPr>
      <w:r w:rsidRPr="00104F9A">
        <w:rPr>
          <w:rFonts w:ascii="Garamond" w:hAnsi="Garamond" w:cs="Arial"/>
          <w:b/>
          <w:sz w:val="28"/>
          <w:szCs w:val="28"/>
        </w:rPr>
        <w:t>DECISIÓN</w:t>
      </w:r>
    </w:p>
    <w:p w14:paraId="4D69B5FE" w14:textId="77777777" w:rsidR="001D1B85" w:rsidRPr="00104F9A" w:rsidRDefault="001D1B85" w:rsidP="00A069BB">
      <w:pPr>
        <w:jc w:val="both"/>
        <w:rPr>
          <w:rFonts w:ascii="Garamond" w:hAnsi="Garamond" w:cs="Arial"/>
          <w:sz w:val="28"/>
          <w:szCs w:val="28"/>
        </w:rPr>
      </w:pPr>
    </w:p>
    <w:p w14:paraId="47CFEE0D" w14:textId="15FF2F0B" w:rsidR="00F069D0" w:rsidRPr="00104F9A" w:rsidRDefault="001D1B85" w:rsidP="00A069BB">
      <w:pPr>
        <w:spacing w:line="360" w:lineRule="auto"/>
        <w:ind w:firstLine="567"/>
        <w:jc w:val="both"/>
        <w:rPr>
          <w:rFonts w:ascii="Garamond" w:hAnsi="Garamond" w:cs="Arial"/>
          <w:b/>
          <w:sz w:val="28"/>
          <w:szCs w:val="28"/>
        </w:rPr>
      </w:pPr>
      <w:r w:rsidRPr="00104F9A">
        <w:rPr>
          <w:rFonts w:ascii="Garamond" w:hAnsi="Garamond" w:cs="Arial"/>
          <w:sz w:val="28"/>
          <w:szCs w:val="28"/>
        </w:rPr>
        <w:t xml:space="preserve">Por lo expuesto, el Tribunal Superior de Bogotá, en Sala </w:t>
      </w:r>
      <w:r w:rsidR="0000279A" w:rsidRPr="00104F9A">
        <w:rPr>
          <w:rFonts w:ascii="Garamond" w:hAnsi="Garamond" w:cs="Arial"/>
          <w:sz w:val="28"/>
          <w:szCs w:val="28"/>
        </w:rPr>
        <w:t>Segunda</w:t>
      </w:r>
      <w:r w:rsidRPr="00104F9A">
        <w:rPr>
          <w:rFonts w:ascii="Garamond" w:hAnsi="Garamond" w:cs="Arial"/>
          <w:sz w:val="28"/>
          <w:szCs w:val="28"/>
        </w:rPr>
        <w:t xml:space="preserve"> Civil de Decisión, administrando justicia en nombre de la República de Colombia y por autoridad de la ley,</w:t>
      </w:r>
    </w:p>
    <w:p w14:paraId="4093E890" w14:textId="067E393D" w:rsidR="00C56F15" w:rsidRPr="00104F9A" w:rsidRDefault="00C56F15" w:rsidP="00A069BB">
      <w:pPr>
        <w:spacing w:line="360" w:lineRule="auto"/>
        <w:jc w:val="both"/>
        <w:rPr>
          <w:rFonts w:ascii="Garamond" w:hAnsi="Garamond" w:cs="Arial"/>
          <w:b/>
          <w:sz w:val="28"/>
          <w:szCs w:val="28"/>
        </w:rPr>
      </w:pPr>
    </w:p>
    <w:p w14:paraId="57E556AB" w14:textId="1ED3DB61" w:rsidR="001D1B85" w:rsidRPr="00104F9A" w:rsidRDefault="001D1B85" w:rsidP="00A069BB">
      <w:pPr>
        <w:spacing w:line="360" w:lineRule="auto"/>
        <w:jc w:val="center"/>
        <w:rPr>
          <w:rFonts w:ascii="Garamond" w:hAnsi="Garamond" w:cs="Arial"/>
          <w:b/>
          <w:sz w:val="28"/>
          <w:szCs w:val="28"/>
        </w:rPr>
      </w:pPr>
      <w:r w:rsidRPr="00104F9A">
        <w:rPr>
          <w:rFonts w:ascii="Garamond" w:hAnsi="Garamond" w:cs="Arial"/>
          <w:b/>
          <w:sz w:val="28"/>
          <w:szCs w:val="28"/>
        </w:rPr>
        <w:t>RESUELVE</w:t>
      </w:r>
    </w:p>
    <w:p w14:paraId="143AB7E3" w14:textId="77777777" w:rsidR="001D1B85" w:rsidRPr="00104F9A" w:rsidRDefault="001D1B85" w:rsidP="00A069BB">
      <w:pPr>
        <w:jc w:val="both"/>
        <w:rPr>
          <w:rFonts w:ascii="Garamond" w:hAnsi="Garamond" w:cs="Arial"/>
          <w:sz w:val="28"/>
          <w:szCs w:val="28"/>
        </w:rPr>
      </w:pPr>
    </w:p>
    <w:p w14:paraId="00273110" w14:textId="77777777" w:rsidR="00A74787" w:rsidRPr="00104F9A" w:rsidRDefault="001D1B85" w:rsidP="00A069BB">
      <w:pPr>
        <w:spacing w:line="360" w:lineRule="auto"/>
        <w:ind w:firstLine="567"/>
        <w:jc w:val="both"/>
        <w:rPr>
          <w:rFonts w:ascii="Garamond" w:hAnsi="Garamond" w:cs="Arial"/>
          <w:bCs/>
          <w:sz w:val="28"/>
          <w:szCs w:val="28"/>
        </w:rPr>
      </w:pPr>
      <w:r w:rsidRPr="00104F9A">
        <w:rPr>
          <w:rFonts w:ascii="Garamond" w:hAnsi="Garamond" w:cs="Arial"/>
          <w:b/>
          <w:sz w:val="28"/>
          <w:szCs w:val="28"/>
        </w:rPr>
        <w:t xml:space="preserve">PRIMERO: </w:t>
      </w:r>
      <w:r w:rsidR="00A74787" w:rsidRPr="00104F9A">
        <w:rPr>
          <w:rFonts w:ascii="Garamond" w:hAnsi="Garamond" w:cs="Arial"/>
          <w:b/>
          <w:sz w:val="28"/>
          <w:szCs w:val="28"/>
        </w:rPr>
        <w:t>REVOCAR</w:t>
      </w:r>
      <w:r w:rsidR="00AA6F07" w:rsidRPr="00104F9A">
        <w:rPr>
          <w:rFonts w:ascii="Garamond" w:hAnsi="Garamond" w:cs="Arial"/>
          <w:b/>
          <w:sz w:val="28"/>
          <w:szCs w:val="28"/>
        </w:rPr>
        <w:t xml:space="preserve"> </w:t>
      </w:r>
      <w:r w:rsidRPr="00104F9A">
        <w:rPr>
          <w:rFonts w:ascii="Garamond" w:hAnsi="Garamond" w:cs="Arial"/>
          <w:sz w:val="28"/>
          <w:szCs w:val="28"/>
        </w:rPr>
        <w:t>la</w:t>
      </w:r>
      <w:r w:rsidR="000620C7" w:rsidRPr="00104F9A">
        <w:rPr>
          <w:rFonts w:ascii="Garamond" w:hAnsi="Garamond" w:cs="Arial"/>
          <w:sz w:val="28"/>
          <w:szCs w:val="28"/>
        </w:rPr>
        <w:t xml:space="preserve"> sentencia de </w:t>
      </w:r>
      <w:r w:rsidR="009555C4" w:rsidRPr="00104F9A">
        <w:rPr>
          <w:rFonts w:ascii="Garamond" w:hAnsi="Garamond" w:cs="Arial"/>
          <w:sz w:val="28"/>
          <w:szCs w:val="28"/>
        </w:rPr>
        <w:t>21 de mayo de 2021, proferida por el Juzgado Trece Civil del Circuito de Bogotá</w:t>
      </w:r>
      <w:r w:rsidR="00743AEC" w:rsidRPr="00104F9A">
        <w:rPr>
          <w:rFonts w:ascii="Garamond" w:hAnsi="Garamond" w:cs="Arial"/>
          <w:bCs/>
          <w:sz w:val="28"/>
          <w:szCs w:val="28"/>
        </w:rPr>
        <w:t>.</w:t>
      </w:r>
      <w:r w:rsidR="00A74787" w:rsidRPr="00104F9A">
        <w:rPr>
          <w:rFonts w:ascii="Garamond" w:hAnsi="Garamond" w:cs="Arial"/>
          <w:bCs/>
          <w:sz w:val="28"/>
          <w:szCs w:val="28"/>
        </w:rPr>
        <w:t xml:space="preserve"> En consecuencia, </w:t>
      </w:r>
      <w:r w:rsidR="00A74787" w:rsidRPr="00104F9A">
        <w:rPr>
          <w:rFonts w:ascii="Garamond" w:hAnsi="Garamond" w:cs="Arial"/>
          <w:b/>
          <w:sz w:val="28"/>
          <w:szCs w:val="28"/>
        </w:rPr>
        <w:t>CONCEDER</w:t>
      </w:r>
      <w:r w:rsidR="00A74787" w:rsidRPr="00104F9A">
        <w:rPr>
          <w:rFonts w:ascii="Garamond" w:hAnsi="Garamond" w:cs="Arial"/>
          <w:bCs/>
          <w:sz w:val="28"/>
          <w:szCs w:val="28"/>
        </w:rPr>
        <w:t xml:space="preserve"> el amparo solicitado.</w:t>
      </w:r>
    </w:p>
    <w:p w14:paraId="4A30F713" w14:textId="77777777" w:rsidR="00A74787" w:rsidRPr="00104F9A" w:rsidRDefault="00A74787" w:rsidP="00A069BB">
      <w:pPr>
        <w:ind w:firstLine="567"/>
        <w:jc w:val="both"/>
        <w:rPr>
          <w:rFonts w:ascii="Garamond" w:hAnsi="Garamond" w:cs="Arial"/>
          <w:bCs/>
          <w:sz w:val="28"/>
          <w:szCs w:val="28"/>
        </w:rPr>
      </w:pPr>
    </w:p>
    <w:p w14:paraId="32A29DBC" w14:textId="5F13D2F8" w:rsidR="003B100C" w:rsidRPr="00104F9A" w:rsidRDefault="00A74787" w:rsidP="00A069BB">
      <w:pPr>
        <w:spacing w:line="360" w:lineRule="auto"/>
        <w:ind w:firstLine="567"/>
        <w:jc w:val="both"/>
        <w:rPr>
          <w:rFonts w:ascii="Garamond" w:hAnsi="Garamond"/>
          <w:sz w:val="28"/>
          <w:szCs w:val="28"/>
        </w:rPr>
      </w:pPr>
      <w:r w:rsidRPr="00104F9A">
        <w:rPr>
          <w:rFonts w:ascii="Garamond" w:hAnsi="Garamond" w:cs="Arial"/>
          <w:b/>
          <w:sz w:val="28"/>
          <w:szCs w:val="28"/>
        </w:rPr>
        <w:lastRenderedPageBreak/>
        <w:t>SEGUNDO: DEJAR SIN VALOR NI EFECTO</w:t>
      </w:r>
      <w:r w:rsidRPr="00104F9A">
        <w:rPr>
          <w:rFonts w:ascii="Garamond" w:hAnsi="Garamond" w:cs="Arial"/>
          <w:bCs/>
          <w:sz w:val="28"/>
          <w:szCs w:val="28"/>
        </w:rPr>
        <w:t xml:space="preserve"> </w:t>
      </w:r>
      <w:r w:rsidR="00A069BB" w:rsidRPr="00104F9A">
        <w:rPr>
          <w:rFonts w:ascii="Garamond" w:hAnsi="Garamond" w:cs="Arial"/>
          <w:bCs/>
          <w:sz w:val="28"/>
          <w:szCs w:val="28"/>
        </w:rPr>
        <w:t>e</w:t>
      </w:r>
      <w:r w:rsidRPr="00104F9A">
        <w:rPr>
          <w:rFonts w:ascii="Garamond" w:hAnsi="Garamond" w:cs="Arial"/>
          <w:bCs/>
          <w:sz w:val="28"/>
          <w:szCs w:val="28"/>
        </w:rPr>
        <w:t xml:space="preserve">l auto proferido el 11 de marzo de 2021, dentro del proceso radicado bajo el No. </w:t>
      </w:r>
      <w:r w:rsidRPr="00104F9A">
        <w:rPr>
          <w:rFonts w:ascii="Garamond" w:hAnsi="Garamond"/>
          <w:sz w:val="28"/>
          <w:szCs w:val="28"/>
        </w:rPr>
        <w:t xml:space="preserve">11001400305520200017100 para que, dentro del término de diez (10) días, contados a partir de la notificación del presente fallo, el Juzgado Trece de Pequeñas Causas y Competencia Múltiple de Bogotá D.C., </w:t>
      </w:r>
      <w:r w:rsidR="00A069BB" w:rsidRPr="00104F9A">
        <w:rPr>
          <w:rFonts w:ascii="Garamond" w:hAnsi="Garamond"/>
          <w:sz w:val="28"/>
          <w:szCs w:val="28"/>
        </w:rPr>
        <w:t>decida nuevamente el recurso de reposición presentado por el señor Alex Humberto Cardozo Martínez</w:t>
      </w:r>
      <w:r w:rsidRPr="00104F9A">
        <w:rPr>
          <w:rFonts w:ascii="Garamond" w:hAnsi="Garamond"/>
          <w:sz w:val="28"/>
          <w:szCs w:val="28"/>
        </w:rPr>
        <w:t>, con base en los argumentos expuestos en la parte considerativa.</w:t>
      </w:r>
    </w:p>
    <w:p w14:paraId="2C4DE8BB" w14:textId="77777777" w:rsidR="00A74787" w:rsidRPr="00104F9A" w:rsidRDefault="00A74787" w:rsidP="00A069BB">
      <w:pPr>
        <w:ind w:firstLine="567"/>
        <w:jc w:val="both"/>
        <w:rPr>
          <w:rFonts w:ascii="Garamond" w:hAnsi="Garamond" w:cs="Arial"/>
          <w:bCs/>
          <w:sz w:val="28"/>
          <w:szCs w:val="28"/>
        </w:rPr>
      </w:pPr>
    </w:p>
    <w:p w14:paraId="1426C5D6" w14:textId="0F9370A3" w:rsidR="00F162C3" w:rsidRPr="00104F9A" w:rsidRDefault="00A74787" w:rsidP="00A069BB">
      <w:pPr>
        <w:spacing w:line="360" w:lineRule="auto"/>
        <w:ind w:firstLine="567"/>
        <w:jc w:val="both"/>
        <w:rPr>
          <w:rFonts w:ascii="Garamond" w:hAnsi="Garamond" w:cs="Arial"/>
          <w:sz w:val="28"/>
          <w:szCs w:val="28"/>
        </w:rPr>
      </w:pPr>
      <w:r w:rsidRPr="00104F9A">
        <w:rPr>
          <w:rFonts w:ascii="Garamond" w:hAnsi="Garamond" w:cs="Arial"/>
          <w:b/>
          <w:sz w:val="28"/>
          <w:szCs w:val="28"/>
        </w:rPr>
        <w:t>TERCERO</w:t>
      </w:r>
      <w:r w:rsidR="001D1B85" w:rsidRPr="00104F9A">
        <w:rPr>
          <w:rFonts w:ascii="Garamond" w:hAnsi="Garamond" w:cs="Arial"/>
          <w:b/>
          <w:sz w:val="28"/>
          <w:szCs w:val="28"/>
        </w:rPr>
        <w:t xml:space="preserve">: </w:t>
      </w:r>
      <w:r w:rsidR="00F162C3" w:rsidRPr="00104F9A">
        <w:rPr>
          <w:rFonts w:ascii="Garamond" w:hAnsi="Garamond" w:cs="Arial"/>
          <w:b/>
          <w:sz w:val="28"/>
          <w:szCs w:val="28"/>
        </w:rPr>
        <w:t>NOTIFICAR</w:t>
      </w:r>
      <w:r w:rsidR="00F162C3" w:rsidRPr="00104F9A">
        <w:rPr>
          <w:rFonts w:ascii="Garamond" w:hAnsi="Garamond" w:cs="Arial"/>
          <w:sz w:val="28"/>
          <w:szCs w:val="28"/>
        </w:rPr>
        <w:t xml:space="preserve"> inmediatamente esta decisión a todos los interesados por el medio más expedito.</w:t>
      </w:r>
    </w:p>
    <w:p w14:paraId="1060C703" w14:textId="77777777" w:rsidR="00F162C3" w:rsidRPr="00104F9A" w:rsidRDefault="00F162C3" w:rsidP="00A069BB">
      <w:pPr>
        <w:ind w:firstLine="567"/>
        <w:jc w:val="both"/>
        <w:rPr>
          <w:rFonts w:ascii="Garamond" w:hAnsi="Garamond" w:cs="Arial"/>
          <w:sz w:val="28"/>
          <w:szCs w:val="28"/>
        </w:rPr>
      </w:pPr>
    </w:p>
    <w:p w14:paraId="7AC01F1C" w14:textId="4B198552" w:rsidR="001D1B85" w:rsidRPr="00104F9A" w:rsidRDefault="00A74787" w:rsidP="00A069BB">
      <w:pPr>
        <w:spacing w:line="360" w:lineRule="auto"/>
        <w:ind w:firstLine="567"/>
        <w:jc w:val="both"/>
        <w:rPr>
          <w:rFonts w:ascii="Garamond" w:hAnsi="Garamond" w:cs="Arial"/>
          <w:sz w:val="28"/>
          <w:szCs w:val="28"/>
        </w:rPr>
      </w:pPr>
      <w:r w:rsidRPr="00104F9A">
        <w:rPr>
          <w:rFonts w:ascii="Garamond" w:hAnsi="Garamond" w:cs="Arial"/>
          <w:b/>
          <w:bCs/>
          <w:sz w:val="28"/>
          <w:szCs w:val="28"/>
        </w:rPr>
        <w:t>CUARTO</w:t>
      </w:r>
      <w:r w:rsidR="00F162C3" w:rsidRPr="00104F9A">
        <w:rPr>
          <w:rFonts w:ascii="Garamond" w:hAnsi="Garamond" w:cs="Arial"/>
          <w:b/>
          <w:bCs/>
          <w:sz w:val="28"/>
          <w:szCs w:val="28"/>
        </w:rPr>
        <w:t>:</w:t>
      </w:r>
      <w:r w:rsidR="00F162C3" w:rsidRPr="00104F9A">
        <w:rPr>
          <w:rFonts w:ascii="Garamond" w:hAnsi="Garamond" w:cs="Arial"/>
          <w:sz w:val="28"/>
          <w:szCs w:val="28"/>
        </w:rPr>
        <w:t xml:space="preserve"> </w:t>
      </w:r>
      <w:r w:rsidR="001D1B85" w:rsidRPr="00104F9A">
        <w:rPr>
          <w:rFonts w:ascii="Garamond" w:hAnsi="Garamond" w:cs="Arial"/>
          <w:b/>
          <w:sz w:val="28"/>
          <w:szCs w:val="28"/>
        </w:rPr>
        <w:t>REMITIR</w:t>
      </w:r>
      <w:r w:rsidR="001D1B85" w:rsidRPr="00104F9A">
        <w:rPr>
          <w:rFonts w:ascii="Garamond" w:hAnsi="Garamond" w:cs="Arial"/>
          <w:sz w:val="28"/>
          <w:szCs w:val="28"/>
        </w:rPr>
        <w:t xml:space="preserve"> la presente actuación a la Corte Constitucional para su eventual revisión.</w:t>
      </w:r>
    </w:p>
    <w:p w14:paraId="2E32FF2F" w14:textId="77777777" w:rsidR="00FB2E82" w:rsidRPr="00104F9A" w:rsidRDefault="00FB2E82" w:rsidP="00A069BB">
      <w:pPr>
        <w:jc w:val="both"/>
        <w:rPr>
          <w:rFonts w:ascii="Garamond" w:hAnsi="Garamond" w:cs="Arial"/>
          <w:sz w:val="28"/>
          <w:szCs w:val="28"/>
        </w:rPr>
      </w:pPr>
    </w:p>
    <w:p w14:paraId="143D87C9" w14:textId="77777777" w:rsidR="009555C4" w:rsidRPr="00104F9A" w:rsidRDefault="009555C4" w:rsidP="00A069BB">
      <w:pPr>
        <w:spacing w:line="360" w:lineRule="auto"/>
        <w:jc w:val="center"/>
        <w:rPr>
          <w:rFonts w:ascii="Garamond" w:hAnsi="Garamond" w:cs="Arial"/>
          <w:b/>
          <w:sz w:val="28"/>
          <w:szCs w:val="28"/>
        </w:rPr>
      </w:pPr>
      <w:r w:rsidRPr="00104F9A">
        <w:rPr>
          <w:rFonts w:ascii="Garamond" w:hAnsi="Garamond" w:cs="Arial"/>
          <w:b/>
          <w:sz w:val="28"/>
          <w:szCs w:val="28"/>
        </w:rPr>
        <w:t>NOTIFÍQUESE y CÚMPLASE,</w:t>
      </w:r>
    </w:p>
    <w:p w14:paraId="178EDFBF" w14:textId="10611C04" w:rsidR="009555C4" w:rsidRPr="00104F9A" w:rsidRDefault="009555C4" w:rsidP="00A069BB">
      <w:pPr>
        <w:spacing w:line="360" w:lineRule="auto"/>
        <w:jc w:val="center"/>
        <w:rPr>
          <w:rFonts w:ascii="Garamond" w:hAnsi="Garamond" w:cs="Arial"/>
          <w:sz w:val="28"/>
          <w:szCs w:val="28"/>
        </w:rPr>
      </w:pPr>
    </w:p>
    <w:p w14:paraId="5F2A5EED" w14:textId="77777777" w:rsidR="009555C4" w:rsidRPr="00104F9A" w:rsidRDefault="009555C4" w:rsidP="00A069BB">
      <w:pPr>
        <w:spacing w:line="360" w:lineRule="auto"/>
        <w:jc w:val="center"/>
        <w:rPr>
          <w:rFonts w:ascii="Garamond" w:hAnsi="Garamond" w:cs="Arial"/>
          <w:sz w:val="28"/>
          <w:szCs w:val="28"/>
        </w:rPr>
      </w:pPr>
    </w:p>
    <w:p w14:paraId="7788A14E" w14:textId="77777777" w:rsidR="009555C4" w:rsidRPr="00104F9A" w:rsidRDefault="009555C4" w:rsidP="00A069BB">
      <w:pPr>
        <w:spacing w:line="360" w:lineRule="auto"/>
        <w:jc w:val="center"/>
        <w:rPr>
          <w:rFonts w:ascii="Garamond" w:hAnsi="Garamond" w:cs="Arial"/>
          <w:b/>
          <w:sz w:val="28"/>
          <w:szCs w:val="28"/>
        </w:rPr>
      </w:pPr>
      <w:r w:rsidRPr="00104F9A">
        <w:rPr>
          <w:rFonts w:ascii="Garamond" w:hAnsi="Garamond" w:cs="Arial"/>
          <w:b/>
          <w:sz w:val="28"/>
          <w:szCs w:val="28"/>
        </w:rPr>
        <w:t>ADRIANA AYALA PULGARÍN</w:t>
      </w:r>
    </w:p>
    <w:p w14:paraId="4FA12D2A" w14:textId="333162BC" w:rsidR="009555C4" w:rsidRDefault="009555C4" w:rsidP="00A069BB">
      <w:pPr>
        <w:spacing w:line="360" w:lineRule="auto"/>
        <w:jc w:val="center"/>
        <w:rPr>
          <w:rFonts w:ascii="Garamond" w:hAnsi="Garamond" w:cs="Arial"/>
          <w:bCs/>
          <w:sz w:val="28"/>
          <w:szCs w:val="28"/>
        </w:rPr>
      </w:pPr>
      <w:r w:rsidRPr="00104F9A">
        <w:rPr>
          <w:rFonts w:ascii="Garamond" w:hAnsi="Garamond" w:cs="Arial"/>
          <w:bCs/>
          <w:sz w:val="28"/>
          <w:szCs w:val="28"/>
        </w:rPr>
        <w:t>Magistrada</w:t>
      </w:r>
    </w:p>
    <w:p w14:paraId="08A58B62" w14:textId="77777777" w:rsidR="002152ED" w:rsidRDefault="002152ED" w:rsidP="00A069BB">
      <w:pPr>
        <w:spacing w:line="360" w:lineRule="auto"/>
        <w:jc w:val="center"/>
        <w:rPr>
          <w:rFonts w:ascii="Garamond" w:hAnsi="Garamond" w:cs="Arial"/>
          <w:bCs/>
          <w:sz w:val="28"/>
          <w:szCs w:val="28"/>
        </w:rPr>
      </w:pPr>
    </w:p>
    <w:p w14:paraId="32E7302C" w14:textId="243C728A" w:rsidR="00E73323" w:rsidRDefault="00E73323" w:rsidP="00A069BB">
      <w:pPr>
        <w:spacing w:line="360" w:lineRule="auto"/>
        <w:jc w:val="center"/>
        <w:rPr>
          <w:rFonts w:ascii="Garamond" w:hAnsi="Garamond" w:cs="Arial"/>
          <w:bCs/>
          <w:sz w:val="28"/>
          <w:szCs w:val="28"/>
        </w:rPr>
      </w:pPr>
    </w:p>
    <w:p w14:paraId="557D04AB" w14:textId="2EA415B4" w:rsidR="00E36135" w:rsidRPr="00104F9A" w:rsidRDefault="00E36135" w:rsidP="00E36135">
      <w:pPr>
        <w:spacing w:line="360" w:lineRule="auto"/>
        <w:jc w:val="center"/>
        <w:rPr>
          <w:rFonts w:ascii="Garamond" w:hAnsi="Garamond" w:cs="Arial"/>
          <w:b/>
          <w:sz w:val="28"/>
          <w:szCs w:val="28"/>
        </w:rPr>
      </w:pPr>
      <w:r>
        <w:rPr>
          <w:rFonts w:ascii="Garamond" w:hAnsi="Garamond" w:cs="Arial"/>
          <w:b/>
          <w:sz w:val="28"/>
          <w:szCs w:val="28"/>
        </w:rPr>
        <w:t>MARÍA PATRICIA CRUZ MIRANDA</w:t>
      </w:r>
    </w:p>
    <w:p w14:paraId="38290497" w14:textId="77777777" w:rsidR="00E36135" w:rsidRDefault="00E36135" w:rsidP="00E36135">
      <w:pPr>
        <w:spacing w:line="360" w:lineRule="auto"/>
        <w:jc w:val="center"/>
        <w:rPr>
          <w:rFonts w:ascii="Garamond" w:hAnsi="Garamond" w:cs="Arial"/>
          <w:bCs/>
          <w:sz w:val="28"/>
          <w:szCs w:val="28"/>
        </w:rPr>
      </w:pPr>
      <w:r w:rsidRPr="00104F9A">
        <w:rPr>
          <w:rFonts w:ascii="Garamond" w:hAnsi="Garamond" w:cs="Arial"/>
          <w:bCs/>
          <w:sz w:val="28"/>
          <w:szCs w:val="28"/>
        </w:rPr>
        <w:t>Magistrada</w:t>
      </w:r>
    </w:p>
    <w:p w14:paraId="3E02D713" w14:textId="18A1E0FC" w:rsidR="00E36135" w:rsidRDefault="00E36135" w:rsidP="00A069BB">
      <w:pPr>
        <w:spacing w:line="360" w:lineRule="auto"/>
        <w:jc w:val="center"/>
        <w:rPr>
          <w:rFonts w:ascii="Garamond" w:hAnsi="Garamond" w:cs="Arial"/>
          <w:bCs/>
          <w:sz w:val="28"/>
          <w:szCs w:val="28"/>
        </w:rPr>
      </w:pPr>
    </w:p>
    <w:p w14:paraId="1540EC01" w14:textId="76AAAEA3" w:rsidR="00E36135" w:rsidRDefault="00E36135" w:rsidP="00A069BB">
      <w:pPr>
        <w:spacing w:line="360" w:lineRule="auto"/>
        <w:jc w:val="center"/>
        <w:rPr>
          <w:rFonts w:ascii="Garamond" w:hAnsi="Garamond" w:cs="Arial"/>
          <w:bCs/>
          <w:sz w:val="28"/>
          <w:szCs w:val="28"/>
        </w:rPr>
      </w:pPr>
    </w:p>
    <w:p w14:paraId="05D7D792" w14:textId="2D67ED6A" w:rsidR="00E36135" w:rsidRPr="00104F9A" w:rsidRDefault="00E36135" w:rsidP="00E36135">
      <w:pPr>
        <w:spacing w:line="360" w:lineRule="auto"/>
        <w:jc w:val="center"/>
        <w:rPr>
          <w:rFonts w:ascii="Garamond" w:hAnsi="Garamond" w:cs="Arial"/>
          <w:b/>
          <w:sz w:val="28"/>
          <w:szCs w:val="28"/>
        </w:rPr>
      </w:pPr>
      <w:r>
        <w:rPr>
          <w:rFonts w:ascii="Garamond" w:hAnsi="Garamond" w:cs="Arial"/>
          <w:b/>
          <w:sz w:val="28"/>
          <w:szCs w:val="28"/>
        </w:rPr>
        <w:t>JORGE EDUARDO FERREIRA VARGAS</w:t>
      </w:r>
    </w:p>
    <w:p w14:paraId="4475B3C9" w14:textId="6A5C693C" w:rsidR="00E36135" w:rsidRDefault="00E36135" w:rsidP="00E36135">
      <w:pPr>
        <w:spacing w:line="360" w:lineRule="auto"/>
        <w:jc w:val="center"/>
        <w:rPr>
          <w:rFonts w:ascii="Garamond" w:hAnsi="Garamond" w:cs="Arial"/>
          <w:bCs/>
          <w:sz w:val="28"/>
          <w:szCs w:val="28"/>
        </w:rPr>
      </w:pPr>
      <w:r w:rsidRPr="00104F9A">
        <w:rPr>
          <w:rFonts w:ascii="Garamond" w:hAnsi="Garamond" w:cs="Arial"/>
          <w:bCs/>
          <w:sz w:val="28"/>
          <w:szCs w:val="28"/>
        </w:rPr>
        <w:t>Magistrad</w:t>
      </w:r>
      <w:r>
        <w:rPr>
          <w:rFonts w:ascii="Garamond" w:hAnsi="Garamond" w:cs="Arial"/>
          <w:bCs/>
          <w:sz w:val="28"/>
          <w:szCs w:val="28"/>
        </w:rPr>
        <w:t>o</w:t>
      </w:r>
    </w:p>
    <w:p w14:paraId="0CFA9FF9" w14:textId="77777777" w:rsidR="00E36135" w:rsidRPr="00104F9A" w:rsidRDefault="00E36135" w:rsidP="00A069BB">
      <w:pPr>
        <w:spacing w:line="360" w:lineRule="auto"/>
        <w:jc w:val="center"/>
        <w:rPr>
          <w:rFonts w:ascii="Garamond" w:hAnsi="Garamond" w:cs="Arial"/>
          <w:bCs/>
          <w:sz w:val="28"/>
          <w:szCs w:val="28"/>
        </w:rPr>
      </w:pPr>
    </w:p>
    <w:p w14:paraId="7423C27D" w14:textId="1AE9262E" w:rsidR="00104F9A" w:rsidRPr="00104F9A" w:rsidRDefault="00104F9A" w:rsidP="00A069BB">
      <w:pPr>
        <w:spacing w:line="360" w:lineRule="auto"/>
        <w:jc w:val="center"/>
        <w:rPr>
          <w:rFonts w:ascii="Garamond" w:hAnsi="Garamond" w:cs="Arial"/>
          <w:bCs/>
          <w:sz w:val="28"/>
          <w:szCs w:val="28"/>
        </w:rPr>
      </w:pPr>
    </w:p>
    <w:p w14:paraId="37856011" w14:textId="5CD01642" w:rsidR="00F9498B" w:rsidRPr="00104F9A" w:rsidRDefault="00F9498B" w:rsidP="00A069BB">
      <w:pPr>
        <w:spacing w:line="360" w:lineRule="auto"/>
        <w:jc w:val="center"/>
        <w:rPr>
          <w:rFonts w:ascii="Garamond" w:hAnsi="Garamond" w:cs="Arial"/>
          <w:bCs/>
          <w:sz w:val="28"/>
          <w:szCs w:val="28"/>
        </w:rPr>
      </w:pPr>
    </w:p>
    <w:p w14:paraId="6BD341DA" w14:textId="77777777" w:rsidR="00104F9A" w:rsidRPr="00104F9A" w:rsidRDefault="00104F9A">
      <w:pPr>
        <w:spacing w:line="360" w:lineRule="auto"/>
        <w:jc w:val="center"/>
        <w:rPr>
          <w:rFonts w:ascii="Garamond" w:hAnsi="Garamond" w:cs="Arial"/>
          <w:bCs/>
          <w:sz w:val="28"/>
          <w:szCs w:val="28"/>
        </w:rPr>
      </w:pPr>
    </w:p>
    <w:sectPr w:rsidR="00104F9A" w:rsidRPr="00104F9A" w:rsidSect="00A069BB">
      <w:headerReference w:type="even" r:id="rId12"/>
      <w:headerReference w:type="default" r:id="rId13"/>
      <w:footerReference w:type="even" r:id="rId14"/>
      <w:footerReference w:type="default" r:id="rId15"/>
      <w:headerReference w:type="first" r:id="rId16"/>
      <w:footerReference w:type="first" r:id="rId17"/>
      <w:pgSz w:w="12191" w:h="18654" w:code="5"/>
      <w:pgMar w:top="1701" w:right="1134" w:bottom="1701" w:left="1701" w:header="1134" w:footer="113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5593" w14:textId="77777777" w:rsidR="006D7EDB" w:rsidRDefault="006D7EDB" w:rsidP="009B100F">
      <w:r>
        <w:separator/>
      </w:r>
    </w:p>
  </w:endnote>
  <w:endnote w:type="continuationSeparator" w:id="0">
    <w:p w14:paraId="31BAC198" w14:textId="77777777" w:rsidR="006D7EDB" w:rsidRDefault="006D7EDB" w:rsidP="009B100F">
      <w:r>
        <w:continuationSeparator/>
      </w:r>
    </w:p>
  </w:endnote>
  <w:endnote w:type="continuationNotice" w:id="1">
    <w:p w14:paraId="29CEE79A" w14:textId="77777777" w:rsidR="006D7EDB" w:rsidRDefault="006D7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F2B3" w14:textId="77777777" w:rsidR="00743AEC" w:rsidRDefault="00743AEC" w:rsidP="0050109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3E7BE4" w14:textId="77777777" w:rsidR="00743AEC" w:rsidRDefault="00743AEC" w:rsidP="0050109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i/>
        <w:iCs/>
        <w:sz w:val="20"/>
      </w:rPr>
      <w:id w:val="2057813333"/>
      <w:docPartObj>
        <w:docPartGallery w:val="Page Numbers (Bottom of Page)"/>
        <w:docPartUnique/>
      </w:docPartObj>
    </w:sdtPr>
    <w:sdtEndPr/>
    <w:sdtContent>
      <w:p w14:paraId="71F294AE" w14:textId="66A03F30" w:rsidR="00743AEC" w:rsidRPr="000B6166" w:rsidRDefault="00743AEC" w:rsidP="009555C4">
        <w:pPr>
          <w:pStyle w:val="Piedepgina"/>
          <w:jc w:val="right"/>
          <w:rPr>
            <w:rFonts w:ascii="Arial Narrow" w:hAnsi="Arial Narrow"/>
            <w:i/>
            <w:iCs/>
            <w:sz w:val="20"/>
          </w:rPr>
        </w:pPr>
        <w:r w:rsidRPr="003637AE">
          <w:rPr>
            <w:rFonts w:ascii="Arial Narrow" w:hAnsi="Arial Narrow"/>
            <w:i/>
            <w:iCs/>
            <w:sz w:val="20"/>
          </w:rPr>
          <w:fldChar w:fldCharType="begin"/>
        </w:r>
        <w:r w:rsidRPr="003637AE">
          <w:rPr>
            <w:rFonts w:ascii="Arial Narrow" w:hAnsi="Arial Narrow"/>
            <w:i/>
            <w:iCs/>
            <w:sz w:val="20"/>
          </w:rPr>
          <w:instrText>PAGE   \* MERGEFORMAT</w:instrText>
        </w:r>
        <w:r w:rsidRPr="003637AE">
          <w:rPr>
            <w:rFonts w:ascii="Arial Narrow" w:hAnsi="Arial Narrow"/>
            <w:i/>
            <w:iCs/>
            <w:sz w:val="20"/>
          </w:rPr>
          <w:fldChar w:fldCharType="separate"/>
        </w:r>
        <w:r w:rsidRPr="00D05D93">
          <w:rPr>
            <w:rFonts w:ascii="Arial Narrow" w:hAnsi="Arial Narrow"/>
            <w:i/>
            <w:iCs/>
            <w:noProof/>
            <w:sz w:val="20"/>
            <w:lang w:val="es-ES"/>
          </w:rPr>
          <w:t>5</w:t>
        </w:r>
        <w:r w:rsidRPr="003637AE">
          <w:rPr>
            <w:rFonts w:ascii="Arial Narrow" w:hAnsi="Arial Narrow"/>
            <w:i/>
            <w:iCs/>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1042" w14:textId="77777777" w:rsidR="00104F9A" w:rsidRDefault="00104F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D55B" w14:textId="77777777" w:rsidR="006D7EDB" w:rsidRDefault="006D7EDB" w:rsidP="009B100F">
      <w:r>
        <w:separator/>
      </w:r>
    </w:p>
  </w:footnote>
  <w:footnote w:type="continuationSeparator" w:id="0">
    <w:p w14:paraId="45439CC3" w14:textId="77777777" w:rsidR="006D7EDB" w:rsidRDefault="006D7EDB" w:rsidP="009B100F">
      <w:r>
        <w:continuationSeparator/>
      </w:r>
    </w:p>
  </w:footnote>
  <w:footnote w:type="continuationNotice" w:id="1">
    <w:p w14:paraId="669F5EED" w14:textId="77777777" w:rsidR="006D7EDB" w:rsidRDefault="006D7EDB"/>
  </w:footnote>
  <w:footnote w:id="2">
    <w:p w14:paraId="7C104E73" w14:textId="2EB29D58" w:rsidR="00743AEC" w:rsidRPr="008E12BD" w:rsidRDefault="00743AEC"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w:t>
      </w:r>
      <w:r w:rsidRPr="008E12BD">
        <w:rPr>
          <w:rFonts w:ascii="Arial Narrow" w:hAnsi="Arial Narrow"/>
          <w:i/>
          <w:iCs/>
          <w:lang w:val="es-CO"/>
        </w:rPr>
        <w:t>Cfr. Archivo “0</w:t>
      </w:r>
      <w:r w:rsidR="009073C3" w:rsidRPr="008E12BD">
        <w:rPr>
          <w:rFonts w:ascii="Arial Narrow" w:hAnsi="Arial Narrow"/>
          <w:i/>
          <w:iCs/>
          <w:lang w:val="es-CO"/>
        </w:rPr>
        <w:t xml:space="preserve">1 </w:t>
      </w:r>
      <w:r w:rsidR="00913693" w:rsidRPr="008E12BD">
        <w:rPr>
          <w:rFonts w:ascii="Arial Narrow" w:hAnsi="Arial Narrow"/>
          <w:i/>
          <w:iCs/>
          <w:lang w:val="es-CO"/>
        </w:rPr>
        <w:t>Escrito</w:t>
      </w:r>
      <w:r w:rsidR="002911A1" w:rsidRPr="008E12BD">
        <w:rPr>
          <w:rFonts w:ascii="Arial Narrow" w:hAnsi="Arial Narrow"/>
          <w:i/>
          <w:iCs/>
          <w:lang w:val="es-CO"/>
        </w:rPr>
        <w:t>Tutela</w:t>
      </w:r>
      <w:r w:rsidRPr="008E12BD">
        <w:rPr>
          <w:rFonts w:ascii="Arial Narrow" w:hAnsi="Arial Narrow"/>
          <w:i/>
          <w:iCs/>
          <w:lang w:val="es-CO"/>
        </w:rPr>
        <w:t>”.</w:t>
      </w:r>
      <w:r w:rsidR="009073C3" w:rsidRPr="008E12BD">
        <w:rPr>
          <w:rFonts w:ascii="Arial Narrow" w:hAnsi="Arial Narrow"/>
          <w:i/>
          <w:iCs/>
          <w:lang w:val="es-CO"/>
        </w:rPr>
        <w:t xml:space="preserve"> </w:t>
      </w:r>
    </w:p>
  </w:footnote>
  <w:footnote w:id="3">
    <w:p w14:paraId="54AB916F" w14:textId="1C54B719" w:rsidR="00743AEC" w:rsidRPr="008E12BD" w:rsidRDefault="00743AEC"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w:t>
      </w:r>
      <w:r w:rsidRPr="008E12BD">
        <w:rPr>
          <w:rFonts w:ascii="Arial Narrow" w:hAnsi="Arial Narrow"/>
          <w:i/>
          <w:iCs/>
          <w:lang w:val="es-CO"/>
        </w:rPr>
        <w:t>Cfr. Archivo “</w:t>
      </w:r>
      <w:r w:rsidR="00913693" w:rsidRPr="008E12BD">
        <w:rPr>
          <w:rFonts w:ascii="Arial Narrow" w:hAnsi="Arial Narrow"/>
          <w:i/>
          <w:iCs/>
          <w:lang w:val="es-CO"/>
        </w:rPr>
        <w:t>04</w:t>
      </w:r>
      <w:r w:rsidR="009073C3" w:rsidRPr="008E12BD">
        <w:rPr>
          <w:rFonts w:ascii="Arial Narrow" w:hAnsi="Arial Narrow"/>
          <w:i/>
          <w:iCs/>
          <w:lang w:val="es-CO"/>
        </w:rPr>
        <w:t xml:space="preserve"> </w:t>
      </w:r>
      <w:r w:rsidRPr="008E12BD">
        <w:rPr>
          <w:rFonts w:ascii="Arial Narrow" w:hAnsi="Arial Narrow"/>
          <w:i/>
          <w:iCs/>
          <w:lang w:val="es-CO"/>
        </w:rPr>
        <w:t>A</w:t>
      </w:r>
      <w:r w:rsidR="009073C3" w:rsidRPr="008E12BD">
        <w:rPr>
          <w:rFonts w:ascii="Arial Narrow" w:hAnsi="Arial Narrow"/>
          <w:i/>
          <w:iCs/>
          <w:lang w:val="es-CO"/>
        </w:rPr>
        <w:t>u</w:t>
      </w:r>
      <w:r w:rsidR="00913693" w:rsidRPr="008E12BD">
        <w:rPr>
          <w:rFonts w:ascii="Arial Narrow" w:hAnsi="Arial Narrow"/>
          <w:i/>
          <w:iCs/>
          <w:lang w:val="es-CO"/>
        </w:rPr>
        <w:t>toAdmisorio</w:t>
      </w:r>
      <w:r w:rsidRPr="008E12BD">
        <w:rPr>
          <w:rFonts w:ascii="Arial Narrow" w:hAnsi="Arial Narrow"/>
          <w:i/>
          <w:iCs/>
          <w:lang w:val="es-CO"/>
        </w:rPr>
        <w:t xml:space="preserve">”. </w:t>
      </w:r>
    </w:p>
  </w:footnote>
  <w:footnote w:id="4">
    <w:p w14:paraId="3655EDCC" w14:textId="346C9F9C" w:rsidR="00A57AB5" w:rsidRPr="008E12BD" w:rsidRDefault="00A57AB5"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w:t>
      </w:r>
      <w:r w:rsidRPr="008E12BD">
        <w:rPr>
          <w:rFonts w:ascii="Arial Narrow" w:hAnsi="Arial Narrow"/>
          <w:i/>
          <w:iCs/>
          <w:lang w:val="es-CO"/>
        </w:rPr>
        <w:t>Cfr. Archivo “0</w:t>
      </w:r>
      <w:r w:rsidR="003E0C54" w:rsidRPr="008E12BD">
        <w:rPr>
          <w:rFonts w:ascii="Arial Narrow" w:hAnsi="Arial Narrow"/>
          <w:i/>
          <w:iCs/>
          <w:lang w:val="es-CO"/>
        </w:rPr>
        <w:t>6</w:t>
      </w:r>
      <w:r w:rsidRPr="008E12BD">
        <w:rPr>
          <w:rFonts w:ascii="Arial Narrow" w:hAnsi="Arial Narrow"/>
          <w:i/>
          <w:iCs/>
          <w:lang w:val="es-CO"/>
        </w:rPr>
        <w:t xml:space="preserve"> </w:t>
      </w:r>
      <w:r w:rsidR="003E0C54" w:rsidRPr="008E12BD">
        <w:rPr>
          <w:rFonts w:ascii="Arial Narrow" w:hAnsi="Arial Narrow"/>
          <w:i/>
          <w:iCs/>
          <w:lang w:val="es-CO"/>
        </w:rPr>
        <w:t>ContestacionJuz13PCausas</w:t>
      </w:r>
      <w:r w:rsidRPr="008E12BD">
        <w:rPr>
          <w:rFonts w:ascii="Arial Narrow" w:hAnsi="Arial Narrow"/>
          <w:i/>
          <w:iCs/>
          <w:lang w:val="es-CO"/>
        </w:rPr>
        <w:t>”.</w:t>
      </w:r>
    </w:p>
  </w:footnote>
  <w:footnote w:id="5">
    <w:p w14:paraId="2B3C1C9F" w14:textId="1F85E003" w:rsidR="00743AEC" w:rsidRPr="008E12BD" w:rsidRDefault="00743AEC"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w:t>
      </w:r>
      <w:r w:rsidR="009172B2" w:rsidRPr="008E12BD">
        <w:rPr>
          <w:rFonts w:ascii="Arial Narrow" w:hAnsi="Arial Narrow"/>
          <w:i/>
          <w:iCs/>
          <w:lang w:val="es-CO"/>
        </w:rPr>
        <w:t>Cfr. Archivo “</w:t>
      </w:r>
      <w:r w:rsidR="003E0C54" w:rsidRPr="008E12BD">
        <w:rPr>
          <w:rFonts w:ascii="Arial Narrow" w:hAnsi="Arial Narrow"/>
          <w:i/>
          <w:iCs/>
          <w:lang w:val="es-CO"/>
        </w:rPr>
        <w:t>07 Sentencia</w:t>
      </w:r>
      <w:r w:rsidR="009172B2" w:rsidRPr="008E12BD">
        <w:rPr>
          <w:rFonts w:ascii="Arial Narrow" w:hAnsi="Arial Narrow"/>
          <w:i/>
          <w:iCs/>
          <w:lang w:val="es-CO"/>
        </w:rPr>
        <w:t>”.</w:t>
      </w:r>
    </w:p>
  </w:footnote>
  <w:footnote w:id="6">
    <w:p w14:paraId="633D2805" w14:textId="7ED12A97" w:rsidR="00743AEC" w:rsidRPr="008E12BD" w:rsidRDefault="00743AEC"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Style w:val="Refdenotaalpie"/>
          <w:rFonts w:ascii="Arial Narrow" w:hAnsi="Arial Narrow"/>
          <w:i/>
          <w:iCs/>
        </w:rPr>
        <w:t xml:space="preserve"> </w:t>
      </w:r>
      <w:r w:rsidR="009172B2" w:rsidRPr="008E12BD">
        <w:rPr>
          <w:rFonts w:ascii="Arial Narrow" w:hAnsi="Arial Narrow"/>
          <w:i/>
          <w:iCs/>
          <w:lang w:val="es-CO"/>
        </w:rPr>
        <w:t>Cfr. Archivo “</w:t>
      </w:r>
      <w:r w:rsidR="003E0C54" w:rsidRPr="008E12BD">
        <w:rPr>
          <w:rFonts w:ascii="Arial Narrow" w:hAnsi="Arial Narrow"/>
          <w:i/>
          <w:iCs/>
          <w:lang w:val="es-CO"/>
        </w:rPr>
        <w:t>09</w:t>
      </w:r>
      <w:r w:rsidR="009172B2" w:rsidRPr="008E12BD">
        <w:rPr>
          <w:rFonts w:ascii="Arial Narrow" w:hAnsi="Arial Narrow"/>
          <w:i/>
          <w:iCs/>
          <w:lang w:val="es-CO"/>
        </w:rPr>
        <w:t xml:space="preserve"> </w:t>
      </w:r>
      <w:r w:rsidR="003E0C54" w:rsidRPr="008E12BD">
        <w:rPr>
          <w:rFonts w:ascii="Arial Narrow" w:hAnsi="Arial Narrow"/>
          <w:i/>
          <w:iCs/>
          <w:lang w:val="es-CO"/>
        </w:rPr>
        <w:t>EscritoRecursoImpugnacion</w:t>
      </w:r>
      <w:r w:rsidR="009172B2" w:rsidRPr="008E12BD">
        <w:rPr>
          <w:rFonts w:ascii="Arial Narrow" w:hAnsi="Arial Narrow"/>
          <w:i/>
          <w:iCs/>
          <w:lang w:val="es-CO"/>
        </w:rPr>
        <w:t>”.</w:t>
      </w:r>
    </w:p>
  </w:footnote>
  <w:footnote w:id="7">
    <w:p w14:paraId="6380138B" w14:textId="77777777" w:rsidR="00AE33CE" w:rsidRPr="008E12BD" w:rsidRDefault="00AE33CE" w:rsidP="008E12BD">
      <w:pPr>
        <w:pStyle w:val="Textonotapie"/>
        <w:jc w:val="both"/>
        <w:rPr>
          <w:rFonts w:ascii="Arial Narrow" w:hAnsi="Arial Narrow" w:cs="Arial"/>
          <w:i/>
          <w:iCs/>
        </w:rPr>
      </w:pPr>
      <w:r w:rsidRPr="008E12BD">
        <w:rPr>
          <w:rStyle w:val="Refdenotaalpie"/>
          <w:rFonts w:ascii="Arial Narrow" w:hAnsi="Arial Narrow" w:cs="Arial"/>
          <w:i/>
          <w:iCs/>
        </w:rPr>
        <w:footnoteRef/>
      </w:r>
      <w:r w:rsidRPr="008E12BD">
        <w:rPr>
          <w:rFonts w:ascii="Arial Narrow" w:hAnsi="Arial Narrow" w:cs="Arial"/>
          <w:i/>
          <w:iCs/>
        </w:rPr>
        <w:t xml:space="preserve"> “(i) Que el caso tenga relevancia constitucional, esto es, que involucre la posible vulneración de los derechos fundamentales de las partes; (ii) que se cumpla con el presupuesto de subsidiariedad, es decir, que al interior del proceso se hubiesen agotado todos los medios de defensa judiciales al alcance del afectado, salvo que se trate de evitar un perjuicio irremediable; (iii) que se cumpla el requisito de inmediatez, esto es, que la tutela se hubiese interpuesto en un término razonable y proporcionado a partir del hecho que originó la presunta vulneración; (iv) que se trate de una irregularidad procesal con un efecto decisivo en la providencia que se impugna; (v) que el tutelante identifique, de manera razonable, los hechos que generaron la vulneración y los derechos vulnerados, así como, de haber sido posible, la etapa en que fueron alegados en el proceso ordinario y, finalmente, (vi) que la decisión judicial que se cuestione no sea de tutela”. Sentencia T-269 de 2018.</w:t>
      </w:r>
    </w:p>
  </w:footnote>
  <w:footnote w:id="8">
    <w:p w14:paraId="437AA632" w14:textId="77777777" w:rsidR="00AE33CE" w:rsidRPr="008E12BD" w:rsidRDefault="00AE33CE" w:rsidP="008E12BD">
      <w:pPr>
        <w:pStyle w:val="Textonotapie"/>
        <w:jc w:val="both"/>
        <w:rPr>
          <w:rFonts w:ascii="Arial Narrow" w:hAnsi="Arial Narrow" w:cs="Arial"/>
          <w:i/>
          <w:iCs/>
        </w:rPr>
      </w:pPr>
      <w:r w:rsidRPr="008E12BD">
        <w:rPr>
          <w:rStyle w:val="Refdenotaalpie"/>
          <w:rFonts w:ascii="Arial Narrow" w:hAnsi="Arial Narrow" w:cs="Arial"/>
          <w:i/>
          <w:iCs/>
        </w:rPr>
        <w:footnoteRef/>
      </w:r>
      <w:r w:rsidRPr="008E12BD">
        <w:rPr>
          <w:rFonts w:ascii="Arial Narrow" w:hAnsi="Arial Narrow" w:cs="Arial"/>
          <w:i/>
          <w:iCs/>
        </w:rPr>
        <w:t xml:space="preserve"> Esto es, si la providencia adolece de un defecto “material o sustantivo, fáctico, procedimental, decisión sin motivación, desconocimiento del precedente, orgánico, error inducido o violación directa de la Constitución”. Sentencia T-269 de 2018.</w:t>
      </w:r>
    </w:p>
  </w:footnote>
  <w:footnote w:id="9">
    <w:p w14:paraId="534698D1" w14:textId="77777777" w:rsidR="00AE33CE" w:rsidRPr="008E12BD" w:rsidRDefault="00AE33CE" w:rsidP="008E12BD">
      <w:pPr>
        <w:pStyle w:val="Textonotapie"/>
        <w:jc w:val="both"/>
        <w:rPr>
          <w:rFonts w:ascii="Arial Narrow" w:hAnsi="Arial Narrow" w:cs="Arial"/>
          <w:i/>
          <w:iCs/>
        </w:rPr>
      </w:pPr>
      <w:r w:rsidRPr="008E12BD">
        <w:rPr>
          <w:rStyle w:val="Refdenotaalpie"/>
          <w:rFonts w:ascii="Arial Narrow" w:hAnsi="Arial Narrow" w:cs="Arial"/>
          <w:i/>
          <w:iCs/>
        </w:rPr>
        <w:footnoteRef/>
      </w:r>
      <w:r w:rsidRPr="008E12BD">
        <w:rPr>
          <w:rFonts w:ascii="Arial Narrow" w:hAnsi="Arial Narrow" w:cs="Arial"/>
          <w:i/>
          <w:iCs/>
        </w:rPr>
        <w:t xml:space="preserve"> Cfr. Sentencia SU-050 de 2018, parafraseando lo dicho en las sentencias SU-573 de 2017, SU-050 de 2017 y SU-917 de 2010. </w:t>
      </w:r>
      <w:r w:rsidRPr="008E12BD">
        <w:rPr>
          <w:rFonts w:ascii="Arial Narrow" w:hAnsi="Arial Narrow" w:cs="Arial"/>
          <w:i/>
          <w:iCs/>
          <w:lang w:val="es-CO"/>
        </w:rPr>
        <w:t xml:space="preserve">Reiterado en Sentencia SU-573 de 2019 M.P. </w:t>
      </w:r>
      <w:r w:rsidRPr="008E12BD">
        <w:rPr>
          <w:rFonts w:ascii="Arial Narrow" w:hAnsi="Arial Narrow" w:cs="Arial"/>
          <w:i/>
          <w:iCs/>
        </w:rPr>
        <w:t>Carlos Bernal Pulido.</w:t>
      </w:r>
    </w:p>
  </w:footnote>
  <w:footnote w:id="10">
    <w:p w14:paraId="56615CCC" w14:textId="77777777" w:rsidR="00AE33CE" w:rsidRPr="008E12BD" w:rsidRDefault="00AE33CE" w:rsidP="008E12BD">
      <w:pPr>
        <w:pStyle w:val="Textonotapie"/>
        <w:jc w:val="both"/>
        <w:rPr>
          <w:rFonts w:ascii="Arial Narrow" w:hAnsi="Arial Narrow" w:cs="Arial"/>
          <w:i/>
          <w:iCs/>
        </w:rPr>
      </w:pPr>
      <w:r w:rsidRPr="008E12BD">
        <w:rPr>
          <w:rStyle w:val="Refdenotaalpie"/>
          <w:rFonts w:ascii="Arial Narrow" w:hAnsi="Arial Narrow" w:cs="Arial"/>
          <w:i/>
          <w:iCs/>
        </w:rPr>
        <w:footnoteRef/>
      </w:r>
      <w:r w:rsidRPr="008E12BD">
        <w:rPr>
          <w:rFonts w:ascii="Arial Narrow" w:hAnsi="Arial Narrow" w:cs="Arial"/>
          <w:i/>
          <w:iCs/>
        </w:rPr>
        <w:t xml:space="preserve"> Cfr. Corte Suprema de Justicia - Sala de Casación Civil, </w:t>
      </w:r>
      <w:proofErr w:type="spellStart"/>
      <w:r w:rsidRPr="008E12BD">
        <w:rPr>
          <w:rFonts w:ascii="Arial Narrow" w:hAnsi="Arial Narrow" w:cs="Arial"/>
          <w:i/>
          <w:iCs/>
        </w:rPr>
        <w:t>Exp</w:t>
      </w:r>
      <w:proofErr w:type="spellEnd"/>
      <w:r w:rsidRPr="008E12BD">
        <w:rPr>
          <w:rFonts w:ascii="Arial Narrow" w:hAnsi="Arial Narrow" w:cs="Arial"/>
          <w:i/>
          <w:iCs/>
        </w:rPr>
        <w:t>. No. T- 5000122100002002-0004-01.</w:t>
      </w:r>
    </w:p>
  </w:footnote>
  <w:footnote w:id="11">
    <w:p w14:paraId="7031D3E6" w14:textId="77777777" w:rsidR="00AE33CE" w:rsidRPr="008E12BD" w:rsidRDefault="00AE33CE" w:rsidP="008E12BD">
      <w:pPr>
        <w:pStyle w:val="Textonotapie"/>
        <w:jc w:val="both"/>
        <w:rPr>
          <w:rFonts w:ascii="Arial Narrow" w:hAnsi="Arial Narrow" w:cs="Arial"/>
          <w:i/>
          <w:iCs/>
        </w:rPr>
      </w:pPr>
      <w:r w:rsidRPr="008E12BD">
        <w:rPr>
          <w:rStyle w:val="Refdenotaalpie"/>
          <w:rFonts w:ascii="Arial Narrow" w:hAnsi="Arial Narrow" w:cs="Arial"/>
          <w:i/>
          <w:iCs/>
        </w:rPr>
        <w:footnoteRef/>
      </w:r>
      <w:r w:rsidRPr="008E12BD">
        <w:rPr>
          <w:rFonts w:ascii="Arial Narrow" w:hAnsi="Arial Narrow" w:cs="Arial"/>
          <w:i/>
          <w:iCs/>
        </w:rPr>
        <w:t xml:space="preserve"> Cfr. Corte Constitucional. Sentencia T- 031 del 8 de febrero de 2016.</w:t>
      </w:r>
    </w:p>
  </w:footnote>
  <w:footnote w:id="12">
    <w:p w14:paraId="214DD5A2" w14:textId="42029162" w:rsidR="004164A1" w:rsidRPr="008E12BD" w:rsidRDefault="004164A1"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w:t>
      </w:r>
      <w:r w:rsidRPr="008E12BD">
        <w:rPr>
          <w:rFonts w:ascii="Arial Narrow" w:hAnsi="Arial Narrow"/>
          <w:i/>
          <w:iCs/>
          <w:lang w:val="es-CO"/>
        </w:rPr>
        <w:t>Cfr. Auto de 17 de noviembre de 2020. Exp. 2020-00557.</w:t>
      </w:r>
    </w:p>
  </w:footnote>
  <w:footnote w:id="13">
    <w:p w14:paraId="708CCFA5" w14:textId="1B9973C9" w:rsidR="00145BCD" w:rsidRPr="008E12BD" w:rsidRDefault="00145BCD"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w:t>
      </w:r>
      <w:r w:rsidRPr="008E12BD">
        <w:rPr>
          <w:rFonts w:ascii="Arial Narrow" w:hAnsi="Arial Narrow"/>
          <w:i/>
          <w:iCs/>
          <w:lang w:val="es-CO"/>
        </w:rPr>
        <w:t>Cfr. Acta de reparto 7 de mayo de 2021.</w:t>
      </w:r>
    </w:p>
  </w:footnote>
  <w:footnote w:id="14">
    <w:p w14:paraId="114AD699" w14:textId="2C786158" w:rsidR="00834275" w:rsidRPr="008E12BD" w:rsidRDefault="00834275"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por medio de la cual se expide el Estatuto del Consumidor y se dictan otras disposiciones.</w:t>
      </w:r>
    </w:p>
  </w:footnote>
  <w:footnote w:id="15">
    <w:p w14:paraId="667611C6" w14:textId="108737BF" w:rsidR="00834275" w:rsidRPr="008E12BD" w:rsidRDefault="00834275"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“Las normas de esta ley deberán interpretarse en la forma más favorable al consumidor. En caso de duda se resolverá en favor del consumidor.”</w:t>
      </w:r>
    </w:p>
  </w:footnote>
  <w:footnote w:id="16">
    <w:p w14:paraId="52F3B926" w14:textId="77777777" w:rsidR="006269F9" w:rsidRPr="008E12BD" w:rsidRDefault="006269F9"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w:t>
      </w:r>
      <w:r w:rsidRPr="008E12BD">
        <w:rPr>
          <w:rFonts w:ascii="Arial Narrow" w:hAnsi="Arial Narrow"/>
          <w:i/>
          <w:iCs/>
          <w:lang w:val="es-CO"/>
        </w:rPr>
        <w:t>Código General del Proceso.</w:t>
      </w:r>
    </w:p>
  </w:footnote>
  <w:footnote w:id="17">
    <w:p w14:paraId="10737F1C" w14:textId="74149C56" w:rsidR="0031688E" w:rsidRPr="008E12BD" w:rsidRDefault="0031688E"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Por la cual se modifican normas relativas a la conciliación y se dictan otras disposiciones35</w:t>
      </w:r>
    </w:p>
  </w:footnote>
  <w:footnote w:id="18">
    <w:p w14:paraId="5BB49B0A" w14:textId="77777777" w:rsidR="008E12BD" w:rsidRPr="008E12BD" w:rsidRDefault="008E12BD" w:rsidP="008E12BD">
      <w:pPr>
        <w:pStyle w:val="Textonotapie"/>
        <w:jc w:val="both"/>
        <w:rPr>
          <w:rFonts w:ascii="Arial Narrow" w:hAnsi="Arial Narrow"/>
          <w:i/>
          <w:iCs/>
        </w:rPr>
      </w:pPr>
      <w:r w:rsidRPr="008E12BD">
        <w:rPr>
          <w:rStyle w:val="Refdenotaalpie"/>
          <w:rFonts w:ascii="Arial Narrow" w:hAnsi="Arial Narrow"/>
          <w:i/>
          <w:iCs/>
        </w:rPr>
        <w:footnoteRef/>
      </w:r>
      <w:r w:rsidRPr="008E12BD">
        <w:rPr>
          <w:rFonts w:ascii="Arial Narrow" w:hAnsi="Arial Narrow"/>
          <w:i/>
          <w:iCs/>
        </w:rPr>
        <w:t xml:space="preserve"> </w:t>
      </w:r>
      <w:r w:rsidRPr="008E12BD">
        <w:rPr>
          <w:rFonts w:ascii="Arial Narrow" w:hAnsi="Arial Narrow"/>
          <w:i/>
          <w:iCs/>
          <w:lang w:val="es-CO"/>
        </w:rPr>
        <w:t>Sentencia T-264 de 2009.</w:t>
      </w:r>
    </w:p>
  </w:footnote>
  <w:footnote w:id="19">
    <w:p w14:paraId="3AACB104" w14:textId="77777777" w:rsidR="008E12BD" w:rsidRPr="008E12BD" w:rsidRDefault="008E12BD" w:rsidP="008E12BD">
      <w:pPr>
        <w:pStyle w:val="Textonotapie"/>
        <w:jc w:val="both"/>
        <w:rPr>
          <w:rFonts w:ascii="Arial Narrow" w:hAnsi="Arial Narrow"/>
          <w:i/>
          <w:iCs/>
        </w:rPr>
      </w:pPr>
      <w:r w:rsidRPr="008E12BD">
        <w:rPr>
          <w:rStyle w:val="Refdenotaalpie"/>
          <w:rFonts w:ascii="Arial Narrow" w:hAnsi="Arial Narrow"/>
          <w:i/>
          <w:iCs/>
        </w:rPr>
        <w:footnoteRef/>
      </w:r>
      <w:r w:rsidRPr="008E12BD">
        <w:rPr>
          <w:rFonts w:ascii="Arial Narrow" w:hAnsi="Arial Narrow"/>
          <w:i/>
          <w:iCs/>
        </w:rPr>
        <w:t xml:space="preserve"> </w:t>
      </w:r>
      <w:r w:rsidRPr="008E12BD">
        <w:rPr>
          <w:rFonts w:ascii="Arial Narrow" w:hAnsi="Arial Narrow"/>
          <w:i/>
          <w:iCs/>
          <w:lang w:val="es-CO"/>
        </w:rPr>
        <w:t>Sentencia SU-636 de 2015.</w:t>
      </w:r>
    </w:p>
  </w:footnote>
  <w:footnote w:id="20">
    <w:p w14:paraId="0E0FACE4" w14:textId="77777777" w:rsidR="008E12BD" w:rsidRPr="008E12BD" w:rsidRDefault="008E12BD" w:rsidP="008E12BD">
      <w:pPr>
        <w:pStyle w:val="Textonotapie"/>
        <w:jc w:val="both"/>
        <w:rPr>
          <w:rFonts w:ascii="Arial Narrow" w:hAnsi="Arial Narrow"/>
          <w:i/>
          <w:iCs/>
        </w:rPr>
      </w:pPr>
      <w:r w:rsidRPr="008E12BD">
        <w:rPr>
          <w:rStyle w:val="Refdenotaalpie"/>
          <w:rFonts w:ascii="Arial Narrow" w:hAnsi="Arial Narrow"/>
          <w:i/>
          <w:iCs/>
        </w:rPr>
        <w:footnoteRef/>
      </w:r>
      <w:r w:rsidRPr="008E12BD">
        <w:rPr>
          <w:rFonts w:ascii="Arial Narrow" w:hAnsi="Arial Narrow"/>
          <w:i/>
          <w:iCs/>
        </w:rPr>
        <w:t xml:space="preserve"> Sentencia T-429 de 2011.</w:t>
      </w:r>
    </w:p>
  </w:footnote>
  <w:footnote w:id="21">
    <w:p w14:paraId="552267FA" w14:textId="11D8B45C" w:rsidR="008E12BD" w:rsidRPr="008E12BD" w:rsidRDefault="008E12BD"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w:t>
      </w:r>
      <w:r w:rsidRPr="008E12BD">
        <w:rPr>
          <w:rFonts w:ascii="Arial Narrow" w:hAnsi="Arial Narrow"/>
          <w:i/>
          <w:iCs/>
          <w:lang w:val="es-CO"/>
        </w:rPr>
        <w:t>Reiterado, entre muchas otras, en Sentencia SU355 de 2017 M.P. Iván Humberto Escrucería Mayolo.</w:t>
      </w:r>
    </w:p>
  </w:footnote>
  <w:footnote w:id="22">
    <w:p w14:paraId="67A7532C" w14:textId="2BBE77B8" w:rsidR="00602BD5" w:rsidRPr="008E12BD" w:rsidRDefault="00602BD5" w:rsidP="008E12BD">
      <w:pPr>
        <w:pStyle w:val="Textonotapie"/>
        <w:jc w:val="both"/>
        <w:rPr>
          <w:rFonts w:ascii="Arial Narrow" w:hAnsi="Arial Narrow"/>
          <w:i/>
          <w:iCs/>
          <w:lang w:val="es-CO"/>
        </w:rPr>
      </w:pPr>
      <w:r w:rsidRPr="008E12BD">
        <w:rPr>
          <w:rStyle w:val="Refdenotaalpie"/>
          <w:rFonts w:ascii="Arial Narrow" w:hAnsi="Arial Narrow"/>
          <w:i/>
          <w:iCs/>
        </w:rPr>
        <w:footnoteRef/>
      </w:r>
      <w:r w:rsidRPr="008E12BD">
        <w:rPr>
          <w:rFonts w:ascii="Arial Narrow" w:hAnsi="Arial Narrow"/>
          <w:i/>
          <w:iCs/>
        </w:rPr>
        <w:t xml:space="preserve"> “Se dará por cumplido el requisito de procedibilidad de reclamación directa en todos los casos en que se presente un acta de audiencia de conciliación emitida por cualquier centro de conciliación legalmente establecido”.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DE7C" w14:textId="77777777" w:rsidR="00104F9A" w:rsidRDefault="00104F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4220" w14:textId="11D63CF9" w:rsidR="00743AEC" w:rsidRPr="005A4902" w:rsidRDefault="00743AEC" w:rsidP="001E69CC">
    <w:pPr>
      <w:pStyle w:val="Encabezado"/>
      <w:jc w:val="right"/>
      <w:rPr>
        <w:rFonts w:ascii="Arial Narrow" w:hAnsi="Arial Narrow"/>
        <w:i/>
        <w:color w:val="000000" w:themeColor="text1"/>
        <w:sz w:val="20"/>
        <w:szCs w:val="20"/>
      </w:rPr>
    </w:pPr>
    <w:r w:rsidRPr="005A4902">
      <w:rPr>
        <w:rFonts w:ascii="Arial Narrow" w:hAnsi="Arial Narrow"/>
        <w:i/>
        <w:color w:val="000000" w:themeColor="text1"/>
        <w:sz w:val="20"/>
        <w:szCs w:val="20"/>
      </w:rPr>
      <w:t xml:space="preserve">Rad: </w:t>
    </w:r>
    <w:r w:rsidR="006156D4" w:rsidRPr="006156D4">
      <w:rPr>
        <w:rFonts w:ascii="Arial Narrow" w:hAnsi="Arial Narrow"/>
        <w:i/>
        <w:color w:val="000000" w:themeColor="text1"/>
        <w:sz w:val="20"/>
        <w:szCs w:val="20"/>
        <w:lang w:val="es-ES_tradnl"/>
      </w:rPr>
      <w:t xml:space="preserve">110013103 </w:t>
    </w:r>
    <w:r w:rsidR="006156D4" w:rsidRPr="006156D4">
      <w:rPr>
        <w:rFonts w:ascii="Arial Narrow" w:hAnsi="Arial Narrow"/>
        <w:b/>
        <w:bCs/>
        <w:i/>
        <w:color w:val="000000" w:themeColor="text1"/>
        <w:sz w:val="20"/>
        <w:szCs w:val="20"/>
        <w:lang w:val="es-ES_tradnl"/>
      </w:rPr>
      <w:t>013 2021 00179</w:t>
    </w:r>
    <w:r w:rsidR="006156D4" w:rsidRPr="006156D4">
      <w:rPr>
        <w:rFonts w:ascii="Arial Narrow" w:hAnsi="Arial Narrow"/>
        <w:i/>
        <w:color w:val="000000" w:themeColor="text1"/>
        <w:sz w:val="20"/>
        <w:szCs w:val="20"/>
        <w:lang w:val="es-ES_tradnl"/>
      </w:rPr>
      <w:t xml:space="preserve"> 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4BDA" w14:textId="77777777" w:rsidR="00104F9A" w:rsidRDefault="0010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BDC"/>
    <w:multiLevelType w:val="hybridMultilevel"/>
    <w:tmpl w:val="97D2C0B0"/>
    <w:lvl w:ilvl="0" w:tplc="EB58492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15:restartNumberingAfterBreak="0">
    <w:nsid w:val="012061C9"/>
    <w:multiLevelType w:val="hybridMultilevel"/>
    <w:tmpl w:val="CAE43AB8"/>
    <w:lvl w:ilvl="0" w:tplc="030AF4FC">
      <w:start w:val="1"/>
      <w:numFmt w:val="decimal"/>
      <w:lvlText w:val="%1."/>
      <w:lvlJc w:val="left"/>
      <w:pPr>
        <w:ind w:left="720" w:hanging="360"/>
      </w:pPr>
      <w:rPr>
        <w:rFonts w:hint="default"/>
        <w:b/>
        <w:b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9C2275"/>
    <w:multiLevelType w:val="hybridMultilevel"/>
    <w:tmpl w:val="C0864756"/>
    <w:lvl w:ilvl="0" w:tplc="090668CC">
      <w:start w:val="1"/>
      <w:numFmt w:val="decimal"/>
      <w:lvlText w:val="%1."/>
      <w:lvlJc w:val="left"/>
      <w:pPr>
        <w:ind w:left="927" w:hanging="360"/>
      </w:pPr>
      <w:rPr>
        <w:rFonts w:hint="default"/>
        <w:b/>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22735AE2"/>
    <w:multiLevelType w:val="hybridMultilevel"/>
    <w:tmpl w:val="71AE9CEE"/>
    <w:lvl w:ilvl="0" w:tplc="EF96FED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C76045"/>
    <w:multiLevelType w:val="multilevel"/>
    <w:tmpl w:val="33BE59F0"/>
    <w:lvl w:ilvl="0">
      <w:start w:val="1"/>
      <w:numFmt w:val="decimal"/>
      <w:lvlText w:val="%1."/>
      <w:lvlJc w:val="left"/>
      <w:pPr>
        <w:ind w:left="720" w:hanging="360"/>
      </w:pPr>
      <w:rPr>
        <w:rFonts w:ascii="Garamond" w:hAnsi="Garamond" w:cs="Times New Roman" w:hint="default"/>
        <w:b/>
        <w:bCs/>
        <w:i w:val="0"/>
      </w:rPr>
    </w:lvl>
    <w:lvl w:ilvl="1">
      <w:start w:val="1"/>
      <w:numFmt w:val="decimal"/>
      <w:isLgl/>
      <w:lvlText w:val="%1.%2."/>
      <w:lvlJc w:val="left"/>
      <w:pPr>
        <w:ind w:left="720" w:hanging="720"/>
      </w:pPr>
      <w:rPr>
        <w:rFonts w:hint="default"/>
        <w:b/>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A0F47F0"/>
    <w:multiLevelType w:val="multilevel"/>
    <w:tmpl w:val="3864E628"/>
    <w:lvl w:ilvl="0">
      <w:start w:val="1"/>
      <w:numFmt w:val="decimal"/>
      <w:lvlText w:val="%1."/>
      <w:lvlJc w:val="left"/>
      <w:pPr>
        <w:ind w:left="927" w:hanging="360"/>
      </w:pPr>
      <w:rPr>
        <w:rFonts w:hint="default"/>
        <w:b/>
        <w:bCs w:val="0"/>
      </w:rPr>
    </w:lvl>
    <w:lvl w:ilvl="1">
      <w:start w:val="1"/>
      <w:numFmt w:val="decimal"/>
      <w:isLgl/>
      <w:lvlText w:val="%1.%2."/>
      <w:lvlJc w:val="left"/>
      <w:pPr>
        <w:ind w:left="1287" w:hanging="720"/>
      </w:pPr>
      <w:rPr>
        <w:rFonts w:hint="default"/>
        <w:b/>
        <w:bCs w:val="0"/>
      </w:rPr>
    </w:lvl>
    <w:lvl w:ilvl="2">
      <w:start w:val="1"/>
      <w:numFmt w:val="decimal"/>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6" w15:restartNumberingAfterBreak="0">
    <w:nsid w:val="339A6419"/>
    <w:multiLevelType w:val="multilevel"/>
    <w:tmpl w:val="08CE3656"/>
    <w:lvl w:ilvl="0">
      <w:start w:val="1"/>
      <w:numFmt w:val="decimal"/>
      <w:lvlText w:val="%1."/>
      <w:lvlJc w:val="left"/>
      <w:pPr>
        <w:ind w:left="927" w:hanging="360"/>
      </w:pPr>
      <w:rPr>
        <w:rFonts w:hint="default"/>
        <w:b/>
        <w:bCs/>
        <w:i w:val="0"/>
        <w:iCs/>
      </w:rPr>
    </w:lvl>
    <w:lvl w:ilvl="1">
      <w:start w:val="1"/>
      <w:numFmt w:val="decimal"/>
      <w:isLgl/>
      <w:lvlText w:val="%1.%2."/>
      <w:lvlJc w:val="left"/>
      <w:pPr>
        <w:ind w:left="1287" w:hanging="720"/>
      </w:pPr>
      <w:rPr>
        <w:rFonts w:hint="default"/>
        <w:b/>
        <w:bCs/>
      </w:rPr>
    </w:lvl>
    <w:lvl w:ilvl="2">
      <w:start w:val="1"/>
      <w:numFmt w:val="decimalZero"/>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7102D3D"/>
    <w:multiLevelType w:val="hybridMultilevel"/>
    <w:tmpl w:val="B20E7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694BBB"/>
    <w:multiLevelType w:val="hybridMultilevel"/>
    <w:tmpl w:val="FD30BF8A"/>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6B2DA4"/>
    <w:multiLevelType w:val="hybridMultilevel"/>
    <w:tmpl w:val="BA70F7DC"/>
    <w:lvl w:ilvl="0" w:tplc="4FF83FBE">
      <w:start w:val="1"/>
      <w:numFmt w:val="decimal"/>
      <w:lvlText w:val="%1."/>
      <w:lvlJc w:val="left"/>
      <w:pPr>
        <w:ind w:left="927" w:hanging="360"/>
      </w:pPr>
      <w:rPr>
        <w:rFonts w:hint="default"/>
        <w:b/>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3A3016"/>
    <w:multiLevelType w:val="hybridMultilevel"/>
    <w:tmpl w:val="EEE208C0"/>
    <w:lvl w:ilvl="0" w:tplc="19982DB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04748D"/>
    <w:multiLevelType w:val="multilevel"/>
    <w:tmpl w:val="3A30B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B22C5"/>
    <w:multiLevelType w:val="multilevel"/>
    <w:tmpl w:val="9E466AE2"/>
    <w:lvl w:ilvl="0">
      <w:start w:val="2"/>
      <w:numFmt w:val="decimal"/>
      <w:lvlText w:val="%1."/>
      <w:lvlJc w:val="left"/>
      <w:pPr>
        <w:ind w:left="390" w:hanging="390"/>
      </w:pPr>
      <w:rPr>
        <w:rFonts w:hint="default"/>
        <w:b/>
        <w:bCs w:val="0"/>
        <w:i w:val="0"/>
      </w:rPr>
    </w:lvl>
    <w:lvl w:ilvl="1">
      <w:start w:val="1"/>
      <w:numFmt w:val="decimal"/>
      <w:lvlText w:val="%1.%2."/>
      <w:lvlJc w:val="left"/>
      <w:pPr>
        <w:ind w:left="720" w:hanging="720"/>
      </w:pPr>
      <w:rPr>
        <w:rFonts w:hint="default"/>
        <w:b/>
        <w:bCs w:val="0"/>
        <w:i w:val="0"/>
      </w:rPr>
    </w:lvl>
    <w:lvl w:ilvl="2">
      <w:start w:val="1"/>
      <w:numFmt w:val="decimal"/>
      <w:lvlText w:val="%1.%2.%3."/>
      <w:lvlJc w:val="left"/>
      <w:pPr>
        <w:ind w:left="1080" w:hanging="108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800" w:hanging="180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520" w:hanging="2520"/>
      </w:pPr>
      <w:rPr>
        <w:rFonts w:hint="default"/>
        <w:i w:val="0"/>
      </w:rPr>
    </w:lvl>
  </w:abstractNum>
  <w:abstractNum w:abstractNumId="13" w15:restartNumberingAfterBreak="0">
    <w:nsid w:val="4B3B4E29"/>
    <w:multiLevelType w:val="hybridMultilevel"/>
    <w:tmpl w:val="F3A8175C"/>
    <w:lvl w:ilvl="0" w:tplc="AB06BAC0">
      <w:start w:val="1"/>
      <w:numFmt w:val="lowerRoman"/>
      <w:lvlText w:val="(%1)"/>
      <w:lvlJc w:val="left"/>
      <w:pPr>
        <w:ind w:left="1080" w:hanging="72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FB0E9C"/>
    <w:multiLevelType w:val="hybridMultilevel"/>
    <w:tmpl w:val="9D3A4DE2"/>
    <w:lvl w:ilvl="0" w:tplc="4668745A">
      <w:start w:val="1"/>
      <w:numFmt w:val="upperRoman"/>
      <w:lvlText w:val="%1."/>
      <w:lvlJc w:val="left"/>
      <w:pPr>
        <w:ind w:left="1005" w:hanging="720"/>
      </w:pPr>
      <w:rPr>
        <w:rFonts w:hint="default"/>
        <w:b/>
        <w:bCs w:val="0"/>
        <w:sz w:val="28"/>
        <w:szCs w:val="28"/>
      </w:rPr>
    </w:lvl>
    <w:lvl w:ilvl="1" w:tplc="240A0019" w:tentative="1">
      <w:start w:val="1"/>
      <w:numFmt w:val="lowerLetter"/>
      <w:lvlText w:val="%2."/>
      <w:lvlJc w:val="left"/>
      <w:pPr>
        <w:ind w:left="1365" w:hanging="360"/>
      </w:pPr>
    </w:lvl>
    <w:lvl w:ilvl="2" w:tplc="240A001B" w:tentative="1">
      <w:start w:val="1"/>
      <w:numFmt w:val="lowerRoman"/>
      <w:lvlText w:val="%3."/>
      <w:lvlJc w:val="right"/>
      <w:pPr>
        <w:ind w:left="2085" w:hanging="180"/>
      </w:pPr>
    </w:lvl>
    <w:lvl w:ilvl="3" w:tplc="240A000F" w:tentative="1">
      <w:start w:val="1"/>
      <w:numFmt w:val="decimal"/>
      <w:lvlText w:val="%4."/>
      <w:lvlJc w:val="left"/>
      <w:pPr>
        <w:ind w:left="2805" w:hanging="360"/>
      </w:pPr>
    </w:lvl>
    <w:lvl w:ilvl="4" w:tplc="240A0019" w:tentative="1">
      <w:start w:val="1"/>
      <w:numFmt w:val="lowerLetter"/>
      <w:lvlText w:val="%5."/>
      <w:lvlJc w:val="left"/>
      <w:pPr>
        <w:ind w:left="3525" w:hanging="360"/>
      </w:pPr>
    </w:lvl>
    <w:lvl w:ilvl="5" w:tplc="240A001B" w:tentative="1">
      <w:start w:val="1"/>
      <w:numFmt w:val="lowerRoman"/>
      <w:lvlText w:val="%6."/>
      <w:lvlJc w:val="right"/>
      <w:pPr>
        <w:ind w:left="4245" w:hanging="180"/>
      </w:pPr>
    </w:lvl>
    <w:lvl w:ilvl="6" w:tplc="240A000F" w:tentative="1">
      <w:start w:val="1"/>
      <w:numFmt w:val="decimal"/>
      <w:lvlText w:val="%7."/>
      <w:lvlJc w:val="left"/>
      <w:pPr>
        <w:ind w:left="4965" w:hanging="360"/>
      </w:pPr>
    </w:lvl>
    <w:lvl w:ilvl="7" w:tplc="240A0019" w:tentative="1">
      <w:start w:val="1"/>
      <w:numFmt w:val="lowerLetter"/>
      <w:lvlText w:val="%8."/>
      <w:lvlJc w:val="left"/>
      <w:pPr>
        <w:ind w:left="5685" w:hanging="360"/>
      </w:pPr>
    </w:lvl>
    <w:lvl w:ilvl="8" w:tplc="240A001B" w:tentative="1">
      <w:start w:val="1"/>
      <w:numFmt w:val="lowerRoman"/>
      <w:lvlText w:val="%9."/>
      <w:lvlJc w:val="right"/>
      <w:pPr>
        <w:ind w:left="6405" w:hanging="180"/>
      </w:pPr>
    </w:lvl>
  </w:abstractNum>
  <w:abstractNum w:abstractNumId="15" w15:restartNumberingAfterBreak="0">
    <w:nsid w:val="4E4F66DC"/>
    <w:multiLevelType w:val="multilevel"/>
    <w:tmpl w:val="C05C0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5F223D"/>
    <w:multiLevelType w:val="multilevel"/>
    <w:tmpl w:val="1204A152"/>
    <w:lvl w:ilvl="0">
      <w:start w:val="1"/>
      <w:numFmt w:val="decimal"/>
      <w:lvlText w:val="%1."/>
      <w:lvlJc w:val="left"/>
      <w:pPr>
        <w:ind w:left="720" w:hanging="360"/>
      </w:pPr>
      <w:rPr>
        <w:rFonts w:hint="default"/>
        <w:b/>
        <w:bCs/>
        <w:i w:val="0"/>
        <w:iCs/>
      </w:rPr>
    </w:lvl>
    <w:lvl w:ilvl="1">
      <w:start w:val="2"/>
      <w:numFmt w:val="decimal"/>
      <w:isLgl/>
      <w:lvlText w:val="%1.%2."/>
      <w:lvlJc w:val="left"/>
      <w:pPr>
        <w:ind w:left="1287" w:hanging="720"/>
      </w:pPr>
      <w:rPr>
        <w:rFonts w:hint="default"/>
        <w:b/>
        <w:bCs/>
        <w:i w:val="0"/>
      </w:rPr>
    </w:lvl>
    <w:lvl w:ilvl="2">
      <w:start w:val="1"/>
      <w:numFmt w:val="decimal"/>
      <w:isLgl/>
      <w:lvlText w:val="%1.%2.%3."/>
      <w:lvlJc w:val="left"/>
      <w:pPr>
        <w:ind w:left="1854" w:hanging="1080"/>
      </w:pPr>
      <w:rPr>
        <w:rFonts w:hint="default"/>
        <w:i w:val="0"/>
      </w:rPr>
    </w:lvl>
    <w:lvl w:ilvl="3">
      <w:start w:val="1"/>
      <w:numFmt w:val="decimal"/>
      <w:isLgl/>
      <w:lvlText w:val="%1.%2.%3.%4."/>
      <w:lvlJc w:val="left"/>
      <w:pPr>
        <w:ind w:left="2061" w:hanging="1080"/>
      </w:pPr>
      <w:rPr>
        <w:rFonts w:hint="default"/>
        <w:i w:val="0"/>
      </w:rPr>
    </w:lvl>
    <w:lvl w:ilvl="4">
      <w:start w:val="1"/>
      <w:numFmt w:val="decimal"/>
      <w:isLgl/>
      <w:lvlText w:val="%1.%2.%3.%4.%5."/>
      <w:lvlJc w:val="left"/>
      <w:pPr>
        <w:ind w:left="2628" w:hanging="1440"/>
      </w:pPr>
      <w:rPr>
        <w:rFonts w:hint="default"/>
        <w:i w:val="0"/>
      </w:rPr>
    </w:lvl>
    <w:lvl w:ilvl="5">
      <w:start w:val="1"/>
      <w:numFmt w:val="decimal"/>
      <w:isLgl/>
      <w:lvlText w:val="%1.%2.%3.%4.%5.%6."/>
      <w:lvlJc w:val="left"/>
      <w:pPr>
        <w:ind w:left="3195" w:hanging="1800"/>
      </w:pPr>
      <w:rPr>
        <w:rFonts w:hint="default"/>
        <w:i w:val="0"/>
      </w:rPr>
    </w:lvl>
    <w:lvl w:ilvl="6">
      <w:start w:val="1"/>
      <w:numFmt w:val="decimal"/>
      <w:isLgl/>
      <w:lvlText w:val="%1.%2.%3.%4.%5.%6.%7."/>
      <w:lvlJc w:val="left"/>
      <w:pPr>
        <w:ind w:left="3402" w:hanging="1800"/>
      </w:pPr>
      <w:rPr>
        <w:rFonts w:hint="default"/>
        <w:i w:val="0"/>
      </w:rPr>
    </w:lvl>
    <w:lvl w:ilvl="7">
      <w:start w:val="1"/>
      <w:numFmt w:val="decimal"/>
      <w:isLgl/>
      <w:lvlText w:val="%1.%2.%3.%4.%5.%6.%7.%8."/>
      <w:lvlJc w:val="left"/>
      <w:pPr>
        <w:ind w:left="3969" w:hanging="2160"/>
      </w:pPr>
      <w:rPr>
        <w:rFonts w:hint="default"/>
        <w:i w:val="0"/>
      </w:rPr>
    </w:lvl>
    <w:lvl w:ilvl="8">
      <w:start w:val="1"/>
      <w:numFmt w:val="decimal"/>
      <w:isLgl/>
      <w:lvlText w:val="%1.%2.%3.%4.%5.%6.%7.%8.%9."/>
      <w:lvlJc w:val="left"/>
      <w:pPr>
        <w:ind w:left="4536" w:hanging="2520"/>
      </w:pPr>
      <w:rPr>
        <w:rFonts w:hint="default"/>
        <w:i w:val="0"/>
      </w:rPr>
    </w:lvl>
  </w:abstractNum>
  <w:abstractNum w:abstractNumId="17" w15:restartNumberingAfterBreak="0">
    <w:nsid w:val="510B4DDD"/>
    <w:multiLevelType w:val="hybridMultilevel"/>
    <w:tmpl w:val="DC728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8255F30"/>
    <w:multiLevelType w:val="hybridMultilevel"/>
    <w:tmpl w:val="A8E87E52"/>
    <w:lvl w:ilvl="0" w:tplc="B3A08074">
      <w:start w:val="1"/>
      <w:numFmt w:val="decimal"/>
      <w:lvlText w:val="%1."/>
      <w:lvlJc w:val="left"/>
      <w:pPr>
        <w:ind w:left="720" w:hanging="360"/>
      </w:pPr>
      <w:rPr>
        <w:rFonts w:ascii="Garamond" w:hAnsi="Garamond" w:cs="Arial" w:hint="default"/>
        <w:b/>
        <w:bCs/>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6E426A"/>
    <w:multiLevelType w:val="hybridMultilevel"/>
    <w:tmpl w:val="8BE8A6A0"/>
    <w:lvl w:ilvl="0" w:tplc="D0F29146">
      <w:start w:val="1"/>
      <w:numFmt w:val="decimal"/>
      <w:lvlText w:val="%1."/>
      <w:lvlJc w:val="left"/>
      <w:pPr>
        <w:ind w:left="927" w:hanging="360"/>
      </w:pPr>
      <w:rPr>
        <w:rFonts w:hint="default"/>
        <w:b/>
        <w:bCs/>
        <w:i w:val="0"/>
        <w:iCs w:val="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5A22040F"/>
    <w:multiLevelType w:val="hybridMultilevel"/>
    <w:tmpl w:val="CAC2251C"/>
    <w:lvl w:ilvl="0" w:tplc="FBEE91CC">
      <w:start w:val="1"/>
      <w:numFmt w:val="lowerLetter"/>
      <w:lvlText w:val="%1)"/>
      <w:lvlJc w:val="left"/>
      <w:pPr>
        <w:ind w:left="1256" w:hanging="348"/>
      </w:pPr>
      <w:rPr>
        <w:rFonts w:ascii="Times New Roman" w:eastAsia="Times New Roman" w:hAnsi="Times New Roman" w:cs="Times New Roman" w:hint="default"/>
        <w:spacing w:val="-18"/>
        <w:w w:val="99"/>
        <w:sz w:val="24"/>
        <w:szCs w:val="24"/>
        <w:lang w:val="es-ES" w:eastAsia="en-US" w:bidi="ar-SA"/>
      </w:rPr>
    </w:lvl>
    <w:lvl w:ilvl="1" w:tplc="A872B2F0">
      <w:numFmt w:val="bullet"/>
      <w:lvlText w:val="-"/>
      <w:lvlJc w:val="left"/>
      <w:pPr>
        <w:ind w:left="1628" w:hanging="360"/>
      </w:pPr>
      <w:rPr>
        <w:rFonts w:ascii="Times New Roman" w:eastAsia="Times New Roman" w:hAnsi="Times New Roman" w:cs="Times New Roman" w:hint="default"/>
        <w:spacing w:val="-20"/>
        <w:w w:val="99"/>
        <w:sz w:val="24"/>
        <w:szCs w:val="24"/>
        <w:lang w:val="es-ES" w:eastAsia="en-US" w:bidi="ar-SA"/>
      </w:rPr>
    </w:lvl>
    <w:lvl w:ilvl="2" w:tplc="41D85A8A">
      <w:numFmt w:val="bullet"/>
      <w:lvlText w:val="•"/>
      <w:lvlJc w:val="left"/>
      <w:pPr>
        <w:ind w:left="2506" w:hanging="360"/>
      </w:pPr>
      <w:rPr>
        <w:rFonts w:hint="default"/>
        <w:lang w:val="es-ES" w:eastAsia="en-US" w:bidi="ar-SA"/>
      </w:rPr>
    </w:lvl>
    <w:lvl w:ilvl="3" w:tplc="C3947BF2">
      <w:numFmt w:val="bullet"/>
      <w:lvlText w:val="•"/>
      <w:lvlJc w:val="left"/>
      <w:pPr>
        <w:ind w:left="3393" w:hanging="360"/>
      </w:pPr>
      <w:rPr>
        <w:rFonts w:hint="default"/>
        <w:lang w:val="es-ES" w:eastAsia="en-US" w:bidi="ar-SA"/>
      </w:rPr>
    </w:lvl>
    <w:lvl w:ilvl="4" w:tplc="73969F6E">
      <w:numFmt w:val="bullet"/>
      <w:lvlText w:val="•"/>
      <w:lvlJc w:val="left"/>
      <w:pPr>
        <w:ind w:left="4280" w:hanging="360"/>
      </w:pPr>
      <w:rPr>
        <w:rFonts w:hint="default"/>
        <w:lang w:val="es-ES" w:eastAsia="en-US" w:bidi="ar-SA"/>
      </w:rPr>
    </w:lvl>
    <w:lvl w:ilvl="5" w:tplc="DBF607F6">
      <w:numFmt w:val="bullet"/>
      <w:lvlText w:val="•"/>
      <w:lvlJc w:val="left"/>
      <w:pPr>
        <w:ind w:left="5167" w:hanging="360"/>
      </w:pPr>
      <w:rPr>
        <w:rFonts w:hint="default"/>
        <w:lang w:val="es-ES" w:eastAsia="en-US" w:bidi="ar-SA"/>
      </w:rPr>
    </w:lvl>
    <w:lvl w:ilvl="6" w:tplc="B14A0624">
      <w:numFmt w:val="bullet"/>
      <w:lvlText w:val="•"/>
      <w:lvlJc w:val="left"/>
      <w:pPr>
        <w:ind w:left="6054" w:hanging="360"/>
      </w:pPr>
      <w:rPr>
        <w:rFonts w:hint="default"/>
        <w:lang w:val="es-ES" w:eastAsia="en-US" w:bidi="ar-SA"/>
      </w:rPr>
    </w:lvl>
    <w:lvl w:ilvl="7" w:tplc="03426AC8">
      <w:numFmt w:val="bullet"/>
      <w:lvlText w:val="•"/>
      <w:lvlJc w:val="left"/>
      <w:pPr>
        <w:ind w:left="6941" w:hanging="360"/>
      </w:pPr>
      <w:rPr>
        <w:rFonts w:hint="default"/>
        <w:lang w:val="es-ES" w:eastAsia="en-US" w:bidi="ar-SA"/>
      </w:rPr>
    </w:lvl>
    <w:lvl w:ilvl="8" w:tplc="D84ED07A">
      <w:numFmt w:val="bullet"/>
      <w:lvlText w:val="•"/>
      <w:lvlJc w:val="left"/>
      <w:pPr>
        <w:ind w:left="7828" w:hanging="360"/>
      </w:pPr>
      <w:rPr>
        <w:rFonts w:hint="default"/>
        <w:lang w:val="es-ES" w:eastAsia="en-US" w:bidi="ar-SA"/>
      </w:rPr>
    </w:lvl>
  </w:abstractNum>
  <w:abstractNum w:abstractNumId="21" w15:restartNumberingAfterBreak="0">
    <w:nsid w:val="5EC458ED"/>
    <w:multiLevelType w:val="hybridMultilevel"/>
    <w:tmpl w:val="AAA4F4B4"/>
    <w:lvl w:ilvl="0" w:tplc="6198A2BC">
      <w:start w:val="1"/>
      <w:numFmt w:val="decimal"/>
      <w:lvlText w:val="%1."/>
      <w:lvlJc w:val="left"/>
      <w:pPr>
        <w:ind w:left="720" w:hanging="360"/>
      </w:pPr>
      <w:rPr>
        <w:rFonts w:hint="default"/>
        <w:b/>
        <w:b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0417942"/>
    <w:multiLevelType w:val="hybridMultilevel"/>
    <w:tmpl w:val="3B56AE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06B2BA2"/>
    <w:multiLevelType w:val="hybridMultilevel"/>
    <w:tmpl w:val="0AE666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AD0B9D"/>
    <w:multiLevelType w:val="hybridMultilevel"/>
    <w:tmpl w:val="C8EC7FBE"/>
    <w:lvl w:ilvl="0" w:tplc="EFD43A24">
      <w:start w:val="1"/>
      <w:numFmt w:val="decimal"/>
      <w:lvlText w:val="%1."/>
      <w:lvlJc w:val="left"/>
      <w:pPr>
        <w:ind w:left="360" w:hanging="360"/>
      </w:pPr>
      <w:rPr>
        <w:rFonts w:ascii="Times New Roman" w:hAnsi="Times New Roman" w:cs="Times New Roman" w:hint="default"/>
        <w:b w:val="0"/>
        <w:i w:val="0"/>
        <w:sz w:val="28"/>
        <w:szCs w:val="28"/>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66947995"/>
    <w:multiLevelType w:val="hybridMultilevel"/>
    <w:tmpl w:val="74148B3C"/>
    <w:lvl w:ilvl="0" w:tplc="1848CF94">
      <w:start w:val="1"/>
      <w:numFmt w:val="decimal"/>
      <w:lvlText w:val="%1."/>
      <w:lvlJc w:val="left"/>
      <w:pPr>
        <w:ind w:left="927" w:hanging="360"/>
      </w:pPr>
      <w:rPr>
        <w:rFonts w:hint="default"/>
        <w:b/>
        <w:bCs w:val="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74180805"/>
    <w:multiLevelType w:val="hybridMultilevel"/>
    <w:tmpl w:val="B4E43E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81D4366"/>
    <w:multiLevelType w:val="hybridMultilevel"/>
    <w:tmpl w:val="A252D364"/>
    <w:lvl w:ilvl="0" w:tplc="56B60632">
      <w:start w:val="1"/>
      <w:numFmt w:val="decimal"/>
      <w:lvlText w:val="%1."/>
      <w:lvlJc w:val="left"/>
      <w:pPr>
        <w:ind w:left="720" w:hanging="360"/>
      </w:pPr>
      <w:rPr>
        <w:rFonts w:ascii="Garamond" w:hAnsi="Garamond" w:cs="Arial" w:hint="default"/>
        <w:b/>
        <w:bCs/>
        <w:i w:val="0"/>
        <w:iCs w:val="0"/>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AC47EAE"/>
    <w:multiLevelType w:val="hybridMultilevel"/>
    <w:tmpl w:val="BA70F7DC"/>
    <w:lvl w:ilvl="0" w:tplc="4FF83FBE">
      <w:start w:val="1"/>
      <w:numFmt w:val="decimal"/>
      <w:lvlText w:val="%1."/>
      <w:lvlJc w:val="left"/>
      <w:pPr>
        <w:ind w:left="927" w:hanging="360"/>
      </w:pPr>
      <w:rPr>
        <w:rFonts w:hint="default"/>
        <w:b/>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7C96602B"/>
    <w:multiLevelType w:val="hybridMultilevel"/>
    <w:tmpl w:val="F6B2B4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2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14"/>
  </w:num>
  <w:num w:numId="7">
    <w:abstractNumId w:val="9"/>
  </w:num>
  <w:num w:numId="8">
    <w:abstractNumId w:val="25"/>
  </w:num>
  <w:num w:numId="9">
    <w:abstractNumId w:val="16"/>
  </w:num>
  <w:num w:numId="10">
    <w:abstractNumId w:val="3"/>
  </w:num>
  <w:num w:numId="11">
    <w:abstractNumId w:val="5"/>
  </w:num>
  <w:num w:numId="12">
    <w:abstractNumId w:val="2"/>
  </w:num>
  <w:num w:numId="13">
    <w:abstractNumId w:val="1"/>
  </w:num>
  <w:num w:numId="14">
    <w:abstractNumId w:val="6"/>
  </w:num>
  <w:num w:numId="15">
    <w:abstractNumId w:val="27"/>
  </w:num>
  <w:num w:numId="16">
    <w:abstractNumId w:val="28"/>
  </w:num>
  <w:num w:numId="17">
    <w:abstractNumId w:val="19"/>
  </w:num>
  <w:num w:numId="18">
    <w:abstractNumId w:val="0"/>
  </w:num>
  <w:num w:numId="19">
    <w:abstractNumId w:val="18"/>
  </w:num>
  <w:num w:numId="20">
    <w:abstractNumId w:val="20"/>
  </w:num>
  <w:num w:numId="21">
    <w:abstractNumId w:val="12"/>
  </w:num>
  <w:num w:numId="22">
    <w:abstractNumId w:val="21"/>
  </w:num>
  <w:num w:numId="23">
    <w:abstractNumId w:val="26"/>
  </w:num>
  <w:num w:numId="24">
    <w:abstractNumId w:val="11"/>
  </w:num>
  <w:num w:numId="25">
    <w:abstractNumId w:val="15"/>
  </w:num>
  <w:num w:numId="26">
    <w:abstractNumId w:val="7"/>
  </w:num>
  <w:num w:numId="27">
    <w:abstractNumId w:val="22"/>
  </w:num>
  <w:num w:numId="28">
    <w:abstractNumId w:val="23"/>
  </w:num>
  <w:num w:numId="29">
    <w:abstractNumId w:val="4"/>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0F"/>
    <w:rsid w:val="00000C41"/>
    <w:rsid w:val="00000CE7"/>
    <w:rsid w:val="00001120"/>
    <w:rsid w:val="00001123"/>
    <w:rsid w:val="00002213"/>
    <w:rsid w:val="0000279A"/>
    <w:rsid w:val="00002DFE"/>
    <w:rsid w:val="00002E2C"/>
    <w:rsid w:val="00004AEC"/>
    <w:rsid w:val="00010B56"/>
    <w:rsid w:val="000122DF"/>
    <w:rsid w:val="00013423"/>
    <w:rsid w:val="00014771"/>
    <w:rsid w:val="00015A1F"/>
    <w:rsid w:val="00020321"/>
    <w:rsid w:val="00024063"/>
    <w:rsid w:val="00024AA6"/>
    <w:rsid w:val="00031E02"/>
    <w:rsid w:val="00034472"/>
    <w:rsid w:val="00035A0F"/>
    <w:rsid w:val="00036D67"/>
    <w:rsid w:val="00044E4A"/>
    <w:rsid w:val="00045603"/>
    <w:rsid w:val="00050367"/>
    <w:rsid w:val="00050949"/>
    <w:rsid w:val="0005131A"/>
    <w:rsid w:val="0005398D"/>
    <w:rsid w:val="00053A32"/>
    <w:rsid w:val="00056713"/>
    <w:rsid w:val="00057B31"/>
    <w:rsid w:val="00061C69"/>
    <w:rsid w:val="000620C7"/>
    <w:rsid w:val="00065CC0"/>
    <w:rsid w:val="0007073D"/>
    <w:rsid w:val="00071A6E"/>
    <w:rsid w:val="00071F25"/>
    <w:rsid w:val="00074F22"/>
    <w:rsid w:val="0007610B"/>
    <w:rsid w:val="00083710"/>
    <w:rsid w:val="000851BC"/>
    <w:rsid w:val="00087938"/>
    <w:rsid w:val="00091DA9"/>
    <w:rsid w:val="0009364F"/>
    <w:rsid w:val="00094F02"/>
    <w:rsid w:val="0009639D"/>
    <w:rsid w:val="00097287"/>
    <w:rsid w:val="000A0588"/>
    <w:rsid w:val="000A2EE0"/>
    <w:rsid w:val="000A35B8"/>
    <w:rsid w:val="000A3914"/>
    <w:rsid w:val="000A6500"/>
    <w:rsid w:val="000A7CC6"/>
    <w:rsid w:val="000B39BD"/>
    <w:rsid w:val="000B3BB0"/>
    <w:rsid w:val="000B6166"/>
    <w:rsid w:val="000C0D0E"/>
    <w:rsid w:val="000C2B92"/>
    <w:rsid w:val="000C5124"/>
    <w:rsid w:val="000C5CC0"/>
    <w:rsid w:val="000D37B9"/>
    <w:rsid w:val="000D4AFE"/>
    <w:rsid w:val="000D55B4"/>
    <w:rsid w:val="000D6F3F"/>
    <w:rsid w:val="000E1D97"/>
    <w:rsid w:val="000F17A9"/>
    <w:rsid w:val="000F1BC7"/>
    <w:rsid w:val="000F39E1"/>
    <w:rsid w:val="000F437E"/>
    <w:rsid w:val="000F4F94"/>
    <w:rsid w:val="000F6B4C"/>
    <w:rsid w:val="00104C20"/>
    <w:rsid w:val="00104F9A"/>
    <w:rsid w:val="001066CA"/>
    <w:rsid w:val="00106BE7"/>
    <w:rsid w:val="001157BE"/>
    <w:rsid w:val="00116E04"/>
    <w:rsid w:val="0012143C"/>
    <w:rsid w:val="001233F7"/>
    <w:rsid w:val="00130695"/>
    <w:rsid w:val="001306C3"/>
    <w:rsid w:val="0013374D"/>
    <w:rsid w:val="00133BC7"/>
    <w:rsid w:val="00134F7E"/>
    <w:rsid w:val="00137730"/>
    <w:rsid w:val="0014077B"/>
    <w:rsid w:val="001423B6"/>
    <w:rsid w:val="00145BCD"/>
    <w:rsid w:val="0014625F"/>
    <w:rsid w:val="001465D8"/>
    <w:rsid w:val="00146A9F"/>
    <w:rsid w:val="00150466"/>
    <w:rsid w:val="001509A4"/>
    <w:rsid w:val="00151353"/>
    <w:rsid w:val="00154CBE"/>
    <w:rsid w:val="00156539"/>
    <w:rsid w:val="00162AEE"/>
    <w:rsid w:val="00162E35"/>
    <w:rsid w:val="00167EC2"/>
    <w:rsid w:val="00171F34"/>
    <w:rsid w:val="00173681"/>
    <w:rsid w:val="00181F4C"/>
    <w:rsid w:val="00183F7E"/>
    <w:rsid w:val="001910ED"/>
    <w:rsid w:val="0019274F"/>
    <w:rsid w:val="00194637"/>
    <w:rsid w:val="00194656"/>
    <w:rsid w:val="00197215"/>
    <w:rsid w:val="00197AA7"/>
    <w:rsid w:val="001A0A3E"/>
    <w:rsid w:val="001A2284"/>
    <w:rsid w:val="001A28DC"/>
    <w:rsid w:val="001A2A89"/>
    <w:rsid w:val="001A7932"/>
    <w:rsid w:val="001B44D0"/>
    <w:rsid w:val="001B7767"/>
    <w:rsid w:val="001B7C8B"/>
    <w:rsid w:val="001C47AE"/>
    <w:rsid w:val="001C78B3"/>
    <w:rsid w:val="001D1B85"/>
    <w:rsid w:val="001D25C2"/>
    <w:rsid w:val="001D3EBA"/>
    <w:rsid w:val="001D58EB"/>
    <w:rsid w:val="001D5C76"/>
    <w:rsid w:val="001D5FBD"/>
    <w:rsid w:val="001D5FF7"/>
    <w:rsid w:val="001E357F"/>
    <w:rsid w:val="001E4938"/>
    <w:rsid w:val="001E64F0"/>
    <w:rsid w:val="001E69CC"/>
    <w:rsid w:val="001E6DE1"/>
    <w:rsid w:val="001F09F1"/>
    <w:rsid w:val="001F0F0F"/>
    <w:rsid w:val="001F1E53"/>
    <w:rsid w:val="001F260C"/>
    <w:rsid w:val="001F6349"/>
    <w:rsid w:val="002001B3"/>
    <w:rsid w:val="0020211D"/>
    <w:rsid w:val="002047CC"/>
    <w:rsid w:val="002062B9"/>
    <w:rsid w:val="00207977"/>
    <w:rsid w:val="00212DB2"/>
    <w:rsid w:val="002152ED"/>
    <w:rsid w:val="0021604D"/>
    <w:rsid w:val="00216AED"/>
    <w:rsid w:val="002236EC"/>
    <w:rsid w:val="002275AD"/>
    <w:rsid w:val="00232C09"/>
    <w:rsid w:val="00233853"/>
    <w:rsid w:val="0023723E"/>
    <w:rsid w:val="002413B8"/>
    <w:rsid w:val="00244E36"/>
    <w:rsid w:val="0024623B"/>
    <w:rsid w:val="00247CE2"/>
    <w:rsid w:val="002514F0"/>
    <w:rsid w:val="00251E2B"/>
    <w:rsid w:val="00252C44"/>
    <w:rsid w:val="0025344A"/>
    <w:rsid w:val="002565ED"/>
    <w:rsid w:val="00257088"/>
    <w:rsid w:val="00261EB6"/>
    <w:rsid w:val="00265C09"/>
    <w:rsid w:val="0026631B"/>
    <w:rsid w:val="00267A4F"/>
    <w:rsid w:val="00272A9F"/>
    <w:rsid w:val="0027536D"/>
    <w:rsid w:val="00276F42"/>
    <w:rsid w:val="002775F4"/>
    <w:rsid w:val="0028013D"/>
    <w:rsid w:val="00281441"/>
    <w:rsid w:val="002815B6"/>
    <w:rsid w:val="00282ACD"/>
    <w:rsid w:val="00290364"/>
    <w:rsid w:val="002911A1"/>
    <w:rsid w:val="00291B00"/>
    <w:rsid w:val="00293CC5"/>
    <w:rsid w:val="00294657"/>
    <w:rsid w:val="00295C7C"/>
    <w:rsid w:val="002967C4"/>
    <w:rsid w:val="00296ABC"/>
    <w:rsid w:val="00297894"/>
    <w:rsid w:val="002A41D0"/>
    <w:rsid w:val="002A76A6"/>
    <w:rsid w:val="002B240F"/>
    <w:rsid w:val="002B3B9D"/>
    <w:rsid w:val="002C133C"/>
    <w:rsid w:val="002C276A"/>
    <w:rsid w:val="002C3B24"/>
    <w:rsid w:val="002C3CC8"/>
    <w:rsid w:val="002C4084"/>
    <w:rsid w:val="002C4DE5"/>
    <w:rsid w:val="002C7E20"/>
    <w:rsid w:val="002D0702"/>
    <w:rsid w:val="002D5FA3"/>
    <w:rsid w:val="002D684E"/>
    <w:rsid w:val="002E0A60"/>
    <w:rsid w:val="002E5FFD"/>
    <w:rsid w:val="002F2265"/>
    <w:rsid w:val="002F75FA"/>
    <w:rsid w:val="003021E5"/>
    <w:rsid w:val="0030758D"/>
    <w:rsid w:val="003079D0"/>
    <w:rsid w:val="00307AF3"/>
    <w:rsid w:val="00313B34"/>
    <w:rsid w:val="003154CA"/>
    <w:rsid w:val="00316570"/>
    <w:rsid w:val="0031688E"/>
    <w:rsid w:val="0032148D"/>
    <w:rsid w:val="00323594"/>
    <w:rsid w:val="003246F0"/>
    <w:rsid w:val="00326426"/>
    <w:rsid w:val="0032773A"/>
    <w:rsid w:val="003332DB"/>
    <w:rsid w:val="0033597A"/>
    <w:rsid w:val="00335F28"/>
    <w:rsid w:val="003360CC"/>
    <w:rsid w:val="003409EB"/>
    <w:rsid w:val="00341DAB"/>
    <w:rsid w:val="003421EE"/>
    <w:rsid w:val="00342F2E"/>
    <w:rsid w:val="003520B3"/>
    <w:rsid w:val="00352918"/>
    <w:rsid w:val="00353087"/>
    <w:rsid w:val="00357114"/>
    <w:rsid w:val="003606D7"/>
    <w:rsid w:val="003608A3"/>
    <w:rsid w:val="003636F7"/>
    <w:rsid w:val="003637AE"/>
    <w:rsid w:val="00365975"/>
    <w:rsid w:val="00366E83"/>
    <w:rsid w:val="00366F6E"/>
    <w:rsid w:val="003738BD"/>
    <w:rsid w:val="00376C1A"/>
    <w:rsid w:val="00380B53"/>
    <w:rsid w:val="00382B36"/>
    <w:rsid w:val="00383550"/>
    <w:rsid w:val="00392357"/>
    <w:rsid w:val="00392832"/>
    <w:rsid w:val="0039287F"/>
    <w:rsid w:val="00397741"/>
    <w:rsid w:val="003A4376"/>
    <w:rsid w:val="003A4CFF"/>
    <w:rsid w:val="003A6634"/>
    <w:rsid w:val="003B100C"/>
    <w:rsid w:val="003B38C3"/>
    <w:rsid w:val="003C13EF"/>
    <w:rsid w:val="003C5BE8"/>
    <w:rsid w:val="003C76A6"/>
    <w:rsid w:val="003C7E95"/>
    <w:rsid w:val="003D4D33"/>
    <w:rsid w:val="003D5435"/>
    <w:rsid w:val="003E0C54"/>
    <w:rsid w:val="003E2ED1"/>
    <w:rsid w:val="003E534F"/>
    <w:rsid w:val="003E6079"/>
    <w:rsid w:val="003E6F73"/>
    <w:rsid w:val="003E74AD"/>
    <w:rsid w:val="003F4071"/>
    <w:rsid w:val="003F65EC"/>
    <w:rsid w:val="003F6BE5"/>
    <w:rsid w:val="00400DFA"/>
    <w:rsid w:val="00411488"/>
    <w:rsid w:val="004116B0"/>
    <w:rsid w:val="004121E8"/>
    <w:rsid w:val="00412C94"/>
    <w:rsid w:val="00415224"/>
    <w:rsid w:val="004164A1"/>
    <w:rsid w:val="00416E4B"/>
    <w:rsid w:val="00417868"/>
    <w:rsid w:val="004178A6"/>
    <w:rsid w:val="00417ABD"/>
    <w:rsid w:val="00420B4B"/>
    <w:rsid w:val="004247B4"/>
    <w:rsid w:val="004325AD"/>
    <w:rsid w:val="00434211"/>
    <w:rsid w:val="00434D53"/>
    <w:rsid w:val="00436AF1"/>
    <w:rsid w:val="0043788B"/>
    <w:rsid w:val="00437C26"/>
    <w:rsid w:val="004436D8"/>
    <w:rsid w:val="004458FE"/>
    <w:rsid w:val="00445AEA"/>
    <w:rsid w:val="00457A55"/>
    <w:rsid w:val="00463D16"/>
    <w:rsid w:val="00464A0F"/>
    <w:rsid w:val="00464C11"/>
    <w:rsid w:val="00467435"/>
    <w:rsid w:val="00467BF0"/>
    <w:rsid w:val="00481CFF"/>
    <w:rsid w:val="0048675C"/>
    <w:rsid w:val="004907D6"/>
    <w:rsid w:val="0049130F"/>
    <w:rsid w:val="00492572"/>
    <w:rsid w:val="00496024"/>
    <w:rsid w:val="0049724D"/>
    <w:rsid w:val="004A08DC"/>
    <w:rsid w:val="004A3E15"/>
    <w:rsid w:val="004B1425"/>
    <w:rsid w:val="004B6E91"/>
    <w:rsid w:val="004B7874"/>
    <w:rsid w:val="004C15FA"/>
    <w:rsid w:val="004C2588"/>
    <w:rsid w:val="004C4B64"/>
    <w:rsid w:val="004C53D7"/>
    <w:rsid w:val="004C75EB"/>
    <w:rsid w:val="004D17EC"/>
    <w:rsid w:val="004D41F6"/>
    <w:rsid w:val="004D5BCC"/>
    <w:rsid w:val="004E2D8C"/>
    <w:rsid w:val="004E4CDE"/>
    <w:rsid w:val="00501092"/>
    <w:rsid w:val="00501918"/>
    <w:rsid w:val="005034BD"/>
    <w:rsid w:val="00505B9F"/>
    <w:rsid w:val="00510666"/>
    <w:rsid w:val="00510B55"/>
    <w:rsid w:val="00514C38"/>
    <w:rsid w:val="0051506B"/>
    <w:rsid w:val="00517E9B"/>
    <w:rsid w:val="00520075"/>
    <w:rsid w:val="0052072D"/>
    <w:rsid w:val="00520F26"/>
    <w:rsid w:val="00523F7B"/>
    <w:rsid w:val="005276F5"/>
    <w:rsid w:val="0053066C"/>
    <w:rsid w:val="00533523"/>
    <w:rsid w:val="00537638"/>
    <w:rsid w:val="00542684"/>
    <w:rsid w:val="00542961"/>
    <w:rsid w:val="005432E1"/>
    <w:rsid w:val="00543E9D"/>
    <w:rsid w:val="00547D03"/>
    <w:rsid w:val="0055020C"/>
    <w:rsid w:val="005537CB"/>
    <w:rsid w:val="00556255"/>
    <w:rsid w:val="00557B4F"/>
    <w:rsid w:val="00561942"/>
    <w:rsid w:val="00561B1B"/>
    <w:rsid w:val="00562E50"/>
    <w:rsid w:val="005644AF"/>
    <w:rsid w:val="00564B60"/>
    <w:rsid w:val="005650D9"/>
    <w:rsid w:val="005677A4"/>
    <w:rsid w:val="00573169"/>
    <w:rsid w:val="0057721A"/>
    <w:rsid w:val="00580B70"/>
    <w:rsid w:val="005819BD"/>
    <w:rsid w:val="00586C95"/>
    <w:rsid w:val="005878A2"/>
    <w:rsid w:val="00596AC0"/>
    <w:rsid w:val="00597FEC"/>
    <w:rsid w:val="005A02FA"/>
    <w:rsid w:val="005A3776"/>
    <w:rsid w:val="005A4675"/>
    <w:rsid w:val="005A4902"/>
    <w:rsid w:val="005A5D10"/>
    <w:rsid w:val="005B41E6"/>
    <w:rsid w:val="005B5606"/>
    <w:rsid w:val="005C103E"/>
    <w:rsid w:val="005C222C"/>
    <w:rsid w:val="005C2B73"/>
    <w:rsid w:val="005C3499"/>
    <w:rsid w:val="005D27A1"/>
    <w:rsid w:val="005D2ECA"/>
    <w:rsid w:val="005D3239"/>
    <w:rsid w:val="005D3CB2"/>
    <w:rsid w:val="005D4E18"/>
    <w:rsid w:val="005D533D"/>
    <w:rsid w:val="005D60C3"/>
    <w:rsid w:val="005D6441"/>
    <w:rsid w:val="005E0388"/>
    <w:rsid w:val="005E08DD"/>
    <w:rsid w:val="005E16C5"/>
    <w:rsid w:val="005E7A20"/>
    <w:rsid w:val="005F0060"/>
    <w:rsid w:val="005F20B5"/>
    <w:rsid w:val="005F60CC"/>
    <w:rsid w:val="005F7690"/>
    <w:rsid w:val="006005EE"/>
    <w:rsid w:val="0060187B"/>
    <w:rsid w:val="00602BD5"/>
    <w:rsid w:val="00606494"/>
    <w:rsid w:val="006067EB"/>
    <w:rsid w:val="00607E25"/>
    <w:rsid w:val="00610F61"/>
    <w:rsid w:val="00611F5A"/>
    <w:rsid w:val="006156D4"/>
    <w:rsid w:val="00622D61"/>
    <w:rsid w:val="00623E0C"/>
    <w:rsid w:val="006261D5"/>
    <w:rsid w:val="006269F9"/>
    <w:rsid w:val="0063021B"/>
    <w:rsid w:val="0063135B"/>
    <w:rsid w:val="006370D4"/>
    <w:rsid w:val="00637A7F"/>
    <w:rsid w:val="006409B4"/>
    <w:rsid w:val="0064369D"/>
    <w:rsid w:val="00643F5B"/>
    <w:rsid w:val="0064785F"/>
    <w:rsid w:val="00650639"/>
    <w:rsid w:val="00650B1D"/>
    <w:rsid w:val="006515FE"/>
    <w:rsid w:val="00651BC8"/>
    <w:rsid w:val="006537A9"/>
    <w:rsid w:val="00657A53"/>
    <w:rsid w:val="00657B7A"/>
    <w:rsid w:val="00660122"/>
    <w:rsid w:val="00661EDB"/>
    <w:rsid w:val="006659DB"/>
    <w:rsid w:val="006665C8"/>
    <w:rsid w:val="0066795F"/>
    <w:rsid w:val="00670278"/>
    <w:rsid w:val="006710CD"/>
    <w:rsid w:val="00672C54"/>
    <w:rsid w:val="00673ACC"/>
    <w:rsid w:val="00675AF8"/>
    <w:rsid w:val="00675FC5"/>
    <w:rsid w:val="00676FA0"/>
    <w:rsid w:val="00680D21"/>
    <w:rsid w:val="006823F9"/>
    <w:rsid w:val="00682BDF"/>
    <w:rsid w:val="006853C7"/>
    <w:rsid w:val="0068563A"/>
    <w:rsid w:val="00686088"/>
    <w:rsid w:val="0069484E"/>
    <w:rsid w:val="006952D8"/>
    <w:rsid w:val="00695721"/>
    <w:rsid w:val="006964DC"/>
    <w:rsid w:val="00697D0F"/>
    <w:rsid w:val="006A2D18"/>
    <w:rsid w:val="006A3615"/>
    <w:rsid w:val="006A649D"/>
    <w:rsid w:val="006A6549"/>
    <w:rsid w:val="006A7D51"/>
    <w:rsid w:val="006B1194"/>
    <w:rsid w:val="006B23A6"/>
    <w:rsid w:val="006B47FE"/>
    <w:rsid w:val="006B4E22"/>
    <w:rsid w:val="006B7B1C"/>
    <w:rsid w:val="006C0CF4"/>
    <w:rsid w:val="006C397A"/>
    <w:rsid w:val="006C594E"/>
    <w:rsid w:val="006C7412"/>
    <w:rsid w:val="006D1B20"/>
    <w:rsid w:val="006D1F38"/>
    <w:rsid w:val="006D66F7"/>
    <w:rsid w:val="006D6A76"/>
    <w:rsid w:val="006D7EDB"/>
    <w:rsid w:val="006E01CB"/>
    <w:rsid w:val="006E0260"/>
    <w:rsid w:val="006E77D6"/>
    <w:rsid w:val="006F337D"/>
    <w:rsid w:val="006F73F4"/>
    <w:rsid w:val="007011AE"/>
    <w:rsid w:val="00703048"/>
    <w:rsid w:val="007045B5"/>
    <w:rsid w:val="00706BB3"/>
    <w:rsid w:val="007109AD"/>
    <w:rsid w:val="00710A61"/>
    <w:rsid w:val="00712AAA"/>
    <w:rsid w:val="00712B01"/>
    <w:rsid w:val="007130EE"/>
    <w:rsid w:val="007133C9"/>
    <w:rsid w:val="007146B9"/>
    <w:rsid w:val="0072057F"/>
    <w:rsid w:val="007235CF"/>
    <w:rsid w:val="00723AA0"/>
    <w:rsid w:val="00726260"/>
    <w:rsid w:val="00726BC6"/>
    <w:rsid w:val="007276F8"/>
    <w:rsid w:val="007309D5"/>
    <w:rsid w:val="00730C6D"/>
    <w:rsid w:val="0073137F"/>
    <w:rsid w:val="00734135"/>
    <w:rsid w:val="00737222"/>
    <w:rsid w:val="0074156C"/>
    <w:rsid w:val="00743AEC"/>
    <w:rsid w:val="00746CBC"/>
    <w:rsid w:val="007472EB"/>
    <w:rsid w:val="007514EA"/>
    <w:rsid w:val="00754E54"/>
    <w:rsid w:val="007565BE"/>
    <w:rsid w:val="00761B4D"/>
    <w:rsid w:val="007661C3"/>
    <w:rsid w:val="00771427"/>
    <w:rsid w:val="00772D5D"/>
    <w:rsid w:val="007734E5"/>
    <w:rsid w:val="00777B12"/>
    <w:rsid w:val="00780921"/>
    <w:rsid w:val="00780C04"/>
    <w:rsid w:val="00780E46"/>
    <w:rsid w:val="00783A15"/>
    <w:rsid w:val="00784774"/>
    <w:rsid w:val="00785DA3"/>
    <w:rsid w:val="00793FF2"/>
    <w:rsid w:val="007A0DA6"/>
    <w:rsid w:val="007A2EE3"/>
    <w:rsid w:val="007A3162"/>
    <w:rsid w:val="007A3899"/>
    <w:rsid w:val="007A4016"/>
    <w:rsid w:val="007A5C16"/>
    <w:rsid w:val="007B1C8E"/>
    <w:rsid w:val="007B5EA0"/>
    <w:rsid w:val="007B644D"/>
    <w:rsid w:val="007C5B38"/>
    <w:rsid w:val="007C685E"/>
    <w:rsid w:val="007C6AF9"/>
    <w:rsid w:val="007D24BE"/>
    <w:rsid w:val="007E324C"/>
    <w:rsid w:val="007E4501"/>
    <w:rsid w:val="007E61D5"/>
    <w:rsid w:val="007E6F44"/>
    <w:rsid w:val="007F01D2"/>
    <w:rsid w:val="007F2E27"/>
    <w:rsid w:val="007F4202"/>
    <w:rsid w:val="007F5DB6"/>
    <w:rsid w:val="007F6863"/>
    <w:rsid w:val="00801D05"/>
    <w:rsid w:val="00804A1B"/>
    <w:rsid w:val="00806FC0"/>
    <w:rsid w:val="0081364A"/>
    <w:rsid w:val="00817B41"/>
    <w:rsid w:val="0082461C"/>
    <w:rsid w:val="0082704C"/>
    <w:rsid w:val="00827F2C"/>
    <w:rsid w:val="00827F6C"/>
    <w:rsid w:val="00830913"/>
    <w:rsid w:val="00830BF9"/>
    <w:rsid w:val="0083198D"/>
    <w:rsid w:val="00834275"/>
    <w:rsid w:val="00834355"/>
    <w:rsid w:val="00841165"/>
    <w:rsid w:val="008439FA"/>
    <w:rsid w:val="0084414B"/>
    <w:rsid w:val="008458C4"/>
    <w:rsid w:val="008468BF"/>
    <w:rsid w:val="0084747F"/>
    <w:rsid w:val="00853A5F"/>
    <w:rsid w:val="0085416E"/>
    <w:rsid w:val="0085437A"/>
    <w:rsid w:val="008561DD"/>
    <w:rsid w:val="00856DF5"/>
    <w:rsid w:val="00857231"/>
    <w:rsid w:val="00861EC0"/>
    <w:rsid w:val="0086373D"/>
    <w:rsid w:val="008646FB"/>
    <w:rsid w:val="008654BD"/>
    <w:rsid w:val="0086692B"/>
    <w:rsid w:val="00871183"/>
    <w:rsid w:val="00871D25"/>
    <w:rsid w:val="0087206E"/>
    <w:rsid w:val="00874F86"/>
    <w:rsid w:val="0088007D"/>
    <w:rsid w:val="00882389"/>
    <w:rsid w:val="0088399F"/>
    <w:rsid w:val="00883B86"/>
    <w:rsid w:val="008842C2"/>
    <w:rsid w:val="00892826"/>
    <w:rsid w:val="00892AC2"/>
    <w:rsid w:val="0089315E"/>
    <w:rsid w:val="0089400A"/>
    <w:rsid w:val="00896F0B"/>
    <w:rsid w:val="008A1688"/>
    <w:rsid w:val="008A2DF7"/>
    <w:rsid w:val="008A3C21"/>
    <w:rsid w:val="008A568A"/>
    <w:rsid w:val="008A7CE0"/>
    <w:rsid w:val="008B223A"/>
    <w:rsid w:val="008B3D89"/>
    <w:rsid w:val="008B4939"/>
    <w:rsid w:val="008B52B7"/>
    <w:rsid w:val="008C2934"/>
    <w:rsid w:val="008C3E84"/>
    <w:rsid w:val="008C6DBA"/>
    <w:rsid w:val="008D08A7"/>
    <w:rsid w:val="008D7DD5"/>
    <w:rsid w:val="008E0BF0"/>
    <w:rsid w:val="008E12BD"/>
    <w:rsid w:val="008E4253"/>
    <w:rsid w:val="008E44C2"/>
    <w:rsid w:val="008E5E64"/>
    <w:rsid w:val="008E7B32"/>
    <w:rsid w:val="008F22BE"/>
    <w:rsid w:val="008F42CF"/>
    <w:rsid w:val="008F4427"/>
    <w:rsid w:val="008F4F09"/>
    <w:rsid w:val="008F594D"/>
    <w:rsid w:val="008F6143"/>
    <w:rsid w:val="00901F05"/>
    <w:rsid w:val="00903ECE"/>
    <w:rsid w:val="00904010"/>
    <w:rsid w:val="0090418B"/>
    <w:rsid w:val="009066C9"/>
    <w:rsid w:val="009073C3"/>
    <w:rsid w:val="00910316"/>
    <w:rsid w:val="009117E2"/>
    <w:rsid w:val="00913693"/>
    <w:rsid w:val="00914EFE"/>
    <w:rsid w:val="009172B2"/>
    <w:rsid w:val="009174AC"/>
    <w:rsid w:val="00922FFF"/>
    <w:rsid w:val="009262A4"/>
    <w:rsid w:val="00932236"/>
    <w:rsid w:val="00933522"/>
    <w:rsid w:val="009356B7"/>
    <w:rsid w:val="0093597F"/>
    <w:rsid w:val="009359C3"/>
    <w:rsid w:val="00936AC1"/>
    <w:rsid w:val="0093710A"/>
    <w:rsid w:val="00937B74"/>
    <w:rsid w:val="00940762"/>
    <w:rsid w:val="00941566"/>
    <w:rsid w:val="00945531"/>
    <w:rsid w:val="00945E26"/>
    <w:rsid w:val="00947E87"/>
    <w:rsid w:val="009513C3"/>
    <w:rsid w:val="009523B9"/>
    <w:rsid w:val="00952F35"/>
    <w:rsid w:val="0095314B"/>
    <w:rsid w:val="009553E2"/>
    <w:rsid w:val="009555C4"/>
    <w:rsid w:val="009613E8"/>
    <w:rsid w:val="009614E4"/>
    <w:rsid w:val="009642D4"/>
    <w:rsid w:val="00964FC2"/>
    <w:rsid w:val="0097153C"/>
    <w:rsid w:val="00971D9C"/>
    <w:rsid w:val="0097396B"/>
    <w:rsid w:val="00976B27"/>
    <w:rsid w:val="009778F8"/>
    <w:rsid w:val="00977940"/>
    <w:rsid w:val="00980B17"/>
    <w:rsid w:val="00981672"/>
    <w:rsid w:val="0098250F"/>
    <w:rsid w:val="009848B4"/>
    <w:rsid w:val="00992E18"/>
    <w:rsid w:val="0099524D"/>
    <w:rsid w:val="00995B86"/>
    <w:rsid w:val="00995F4A"/>
    <w:rsid w:val="00997993"/>
    <w:rsid w:val="009A00BF"/>
    <w:rsid w:val="009A088B"/>
    <w:rsid w:val="009A1DE1"/>
    <w:rsid w:val="009A5C03"/>
    <w:rsid w:val="009B076E"/>
    <w:rsid w:val="009B100F"/>
    <w:rsid w:val="009B4CEE"/>
    <w:rsid w:val="009B6C2A"/>
    <w:rsid w:val="009C0FE5"/>
    <w:rsid w:val="009C2ACC"/>
    <w:rsid w:val="009C45BB"/>
    <w:rsid w:val="009C6C0E"/>
    <w:rsid w:val="009C7878"/>
    <w:rsid w:val="009D10D2"/>
    <w:rsid w:val="009D2A3D"/>
    <w:rsid w:val="009E1CFD"/>
    <w:rsid w:val="009E2045"/>
    <w:rsid w:val="009E31FA"/>
    <w:rsid w:val="009E3541"/>
    <w:rsid w:val="009E3901"/>
    <w:rsid w:val="009F0DFA"/>
    <w:rsid w:val="009F5BE6"/>
    <w:rsid w:val="009F77CE"/>
    <w:rsid w:val="00A005B2"/>
    <w:rsid w:val="00A02527"/>
    <w:rsid w:val="00A04878"/>
    <w:rsid w:val="00A05486"/>
    <w:rsid w:val="00A065E4"/>
    <w:rsid w:val="00A069BB"/>
    <w:rsid w:val="00A10067"/>
    <w:rsid w:val="00A1122F"/>
    <w:rsid w:val="00A144CA"/>
    <w:rsid w:val="00A148B4"/>
    <w:rsid w:val="00A16AF4"/>
    <w:rsid w:val="00A1774B"/>
    <w:rsid w:val="00A17C8A"/>
    <w:rsid w:val="00A27C9B"/>
    <w:rsid w:val="00A304EE"/>
    <w:rsid w:val="00A36FE5"/>
    <w:rsid w:val="00A379C8"/>
    <w:rsid w:val="00A42D9C"/>
    <w:rsid w:val="00A432DB"/>
    <w:rsid w:val="00A43BE2"/>
    <w:rsid w:val="00A45932"/>
    <w:rsid w:val="00A46911"/>
    <w:rsid w:val="00A47379"/>
    <w:rsid w:val="00A50050"/>
    <w:rsid w:val="00A52999"/>
    <w:rsid w:val="00A52B5B"/>
    <w:rsid w:val="00A53DF6"/>
    <w:rsid w:val="00A54553"/>
    <w:rsid w:val="00A56886"/>
    <w:rsid w:val="00A57AB5"/>
    <w:rsid w:val="00A57C3E"/>
    <w:rsid w:val="00A60110"/>
    <w:rsid w:val="00A605DB"/>
    <w:rsid w:val="00A648D7"/>
    <w:rsid w:val="00A65A28"/>
    <w:rsid w:val="00A70C96"/>
    <w:rsid w:val="00A74787"/>
    <w:rsid w:val="00A74C65"/>
    <w:rsid w:val="00A7614A"/>
    <w:rsid w:val="00A764BB"/>
    <w:rsid w:val="00A77F7C"/>
    <w:rsid w:val="00A77FC3"/>
    <w:rsid w:val="00A80C7D"/>
    <w:rsid w:val="00A87EFC"/>
    <w:rsid w:val="00A912E0"/>
    <w:rsid w:val="00A9417F"/>
    <w:rsid w:val="00AA0840"/>
    <w:rsid w:val="00AA23F2"/>
    <w:rsid w:val="00AA2C51"/>
    <w:rsid w:val="00AA6F07"/>
    <w:rsid w:val="00AB02C0"/>
    <w:rsid w:val="00AB07F4"/>
    <w:rsid w:val="00AB263B"/>
    <w:rsid w:val="00AB2FA4"/>
    <w:rsid w:val="00AB3967"/>
    <w:rsid w:val="00AB5E24"/>
    <w:rsid w:val="00AB7616"/>
    <w:rsid w:val="00AD37FB"/>
    <w:rsid w:val="00AD601F"/>
    <w:rsid w:val="00AE30AF"/>
    <w:rsid w:val="00AE33CE"/>
    <w:rsid w:val="00AE5AB8"/>
    <w:rsid w:val="00AE6936"/>
    <w:rsid w:val="00AE7CD4"/>
    <w:rsid w:val="00AE7EEE"/>
    <w:rsid w:val="00AF301B"/>
    <w:rsid w:val="00AF469A"/>
    <w:rsid w:val="00AF590A"/>
    <w:rsid w:val="00B003E7"/>
    <w:rsid w:val="00B03AB2"/>
    <w:rsid w:val="00B04D4E"/>
    <w:rsid w:val="00B10C94"/>
    <w:rsid w:val="00B11EC8"/>
    <w:rsid w:val="00B13121"/>
    <w:rsid w:val="00B1377D"/>
    <w:rsid w:val="00B1454A"/>
    <w:rsid w:val="00B204F7"/>
    <w:rsid w:val="00B20809"/>
    <w:rsid w:val="00B22AF3"/>
    <w:rsid w:val="00B2312E"/>
    <w:rsid w:val="00B23D21"/>
    <w:rsid w:val="00B23F6E"/>
    <w:rsid w:val="00B24748"/>
    <w:rsid w:val="00B24805"/>
    <w:rsid w:val="00B25E2E"/>
    <w:rsid w:val="00B270F7"/>
    <w:rsid w:val="00B30040"/>
    <w:rsid w:val="00B3443C"/>
    <w:rsid w:val="00B353AF"/>
    <w:rsid w:val="00B37751"/>
    <w:rsid w:val="00B4040B"/>
    <w:rsid w:val="00B40BC2"/>
    <w:rsid w:val="00B4111E"/>
    <w:rsid w:val="00B43CCE"/>
    <w:rsid w:val="00B46294"/>
    <w:rsid w:val="00B515AC"/>
    <w:rsid w:val="00B51914"/>
    <w:rsid w:val="00B534B6"/>
    <w:rsid w:val="00B54958"/>
    <w:rsid w:val="00B54B12"/>
    <w:rsid w:val="00B7083C"/>
    <w:rsid w:val="00B7098E"/>
    <w:rsid w:val="00B71166"/>
    <w:rsid w:val="00B76832"/>
    <w:rsid w:val="00B779BF"/>
    <w:rsid w:val="00B800A1"/>
    <w:rsid w:val="00B80724"/>
    <w:rsid w:val="00B81ACA"/>
    <w:rsid w:val="00B82D2E"/>
    <w:rsid w:val="00B84C2C"/>
    <w:rsid w:val="00B85B45"/>
    <w:rsid w:val="00B86423"/>
    <w:rsid w:val="00B867D7"/>
    <w:rsid w:val="00B86845"/>
    <w:rsid w:val="00B90F7D"/>
    <w:rsid w:val="00B922B8"/>
    <w:rsid w:val="00B971E5"/>
    <w:rsid w:val="00BA3DA3"/>
    <w:rsid w:val="00BA5792"/>
    <w:rsid w:val="00BA7E08"/>
    <w:rsid w:val="00BB1128"/>
    <w:rsid w:val="00BB196F"/>
    <w:rsid w:val="00BB24A6"/>
    <w:rsid w:val="00BB43E2"/>
    <w:rsid w:val="00BB4463"/>
    <w:rsid w:val="00BB59F4"/>
    <w:rsid w:val="00BB7A00"/>
    <w:rsid w:val="00BC04A8"/>
    <w:rsid w:val="00BC146B"/>
    <w:rsid w:val="00BC2821"/>
    <w:rsid w:val="00BC2E15"/>
    <w:rsid w:val="00BC5AA6"/>
    <w:rsid w:val="00BC5DE5"/>
    <w:rsid w:val="00BC7B48"/>
    <w:rsid w:val="00BD1216"/>
    <w:rsid w:val="00BD5E70"/>
    <w:rsid w:val="00BD64CA"/>
    <w:rsid w:val="00BD6556"/>
    <w:rsid w:val="00BD6C86"/>
    <w:rsid w:val="00BE1C83"/>
    <w:rsid w:val="00BE30ED"/>
    <w:rsid w:val="00BE3D61"/>
    <w:rsid w:val="00BE5CF0"/>
    <w:rsid w:val="00BE72C6"/>
    <w:rsid w:val="00BE75C6"/>
    <w:rsid w:val="00BF4215"/>
    <w:rsid w:val="00BF4867"/>
    <w:rsid w:val="00BF7852"/>
    <w:rsid w:val="00BF79A1"/>
    <w:rsid w:val="00C00BED"/>
    <w:rsid w:val="00C012F1"/>
    <w:rsid w:val="00C0719B"/>
    <w:rsid w:val="00C120D3"/>
    <w:rsid w:val="00C134CD"/>
    <w:rsid w:val="00C15CFC"/>
    <w:rsid w:val="00C1692D"/>
    <w:rsid w:val="00C210E0"/>
    <w:rsid w:val="00C22805"/>
    <w:rsid w:val="00C23C34"/>
    <w:rsid w:val="00C30A6C"/>
    <w:rsid w:val="00C31724"/>
    <w:rsid w:val="00C32C56"/>
    <w:rsid w:val="00C345E7"/>
    <w:rsid w:val="00C34AB5"/>
    <w:rsid w:val="00C35DDF"/>
    <w:rsid w:val="00C36507"/>
    <w:rsid w:val="00C42818"/>
    <w:rsid w:val="00C43294"/>
    <w:rsid w:val="00C45261"/>
    <w:rsid w:val="00C503C6"/>
    <w:rsid w:val="00C5054B"/>
    <w:rsid w:val="00C51B4A"/>
    <w:rsid w:val="00C5347D"/>
    <w:rsid w:val="00C545B1"/>
    <w:rsid w:val="00C55DF0"/>
    <w:rsid w:val="00C55F3A"/>
    <w:rsid w:val="00C56B4B"/>
    <w:rsid w:val="00C56E97"/>
    <w:rsid w:val="00C56F15"/>
    <w:rsid w:val="00C57FF1"/>
    <w:rsid w:val="00C62B76"/>
    <w:rsid w:val="00C64C19"/>
    <w:rsid w:val="00C73195"/>
    <w:rsid w:val="00C7470B"/>
    <w:rsid w:val="00C76C6B"/>
    <w:rsid w:val="00C804BA"/>
    <w:rsid w:val="00C80CC8"/>
    <w:rsid w:val="00C816FB"/>
    <w:rsid w:val="00C82DEF"/>
    <w:rsid w:val="00C84211"/>
    <w:rsid w:val="00C856F4"/>
    <w:rsid w:val="00C901CA"/>
    <w:rsid w:val="00C95BFF"/>
    <w:rsid w:val="00CA0069"/>
    <w:rsid w:val="00CA4398"/>
    <w:rsid w:val="00CA62E6"/>
    <w:rsid w:val="00CB50F7"/>
    <w:rsid w:val="00CB7AF1"/>
    <w:rsid w:val="00CB7C09"/>
    <w:rsid w:val="00CC0900"/>
    <w:rsid w:val="00CC2A3D"/>
    <w:rsid w:val="00CC364E"/>
    <w:rsid w:val="00CC6D16"/>
    <w:rsid w:val="00CD0026"/>
    <w:rsid w:val="00CD0A23"/>
    <w:rsid w:val="00CD0E4A"/>
    <w:rsid w:val="00CD2A33"/>
    <w:rsid w:val="00CE013F"/>
    <w:rsid w:val="00CE0332"/>
    <w:rsid w:val="00CE13BC"/>
    <w:rsid w:val="00CE39F0"/>
    <w:rsid w:val="00CE3BD0"/>
    <w:rsid w:val="00CE639A"/>
    <w:rsid w:val="00CE794B"/>
    <w:rsid w:val="00CF02CF"/>
    <w:rsid w:val="00CF2207"/>
    <w:rsid w:val="00CF22B0"/>
    <w:rsid w:val="00CF39D5"/>
    <w:rsid w:val="00CF7605"/>
    <w:rsid w:val="00D011D1"/>
    <w:rsid w:val="00D03EF8"/>
    <w:rsid w:val="00D05D93"/>
    <w:rsid w:val="00D05E40"/>
    <w:rsid w:val="00D1155B"/>
    <w:rsid w:val="00D122B5"/>
    <w:rsid w:val="00D14058"/>
    <w:rsid w:val="00D21032"/>
    <w:rsid w:val="00D21ED5"/>
    <w:rsid w:val="00D24AA7"/>
    <w:rsid w:val="00D265C5"/>
    <w:rsid w:val="00D27E16"/>
    <w:rsid w:val="00D30480"/>
    <w:rsid w:val="00D348E9"/>
    <w:rsid w:val="00D3651B"/>
    <w:rsid w:val="00D40CE2"/>
    <w:rsid w:val="00D422F7"/>
    <w:rsid w:val="00D4346B"/>
    <w:rsid w:val="00D439E9"/>
    <w:rsid w:val="00D44744"/>
    <w:rsid w:val="00D45976"/>
    <w:rsid w:val="00D50322"/>
    <w:rsid w:val="00D5353D"/>
    <w:rsid w:val="00D53844"/>
    <w:rsid w:val="00D566FA"/>
    <w:rsid w:val="00D60B5C"/>
    <w:rsid w:val="00D62EF6"/>
    <w:rsid w:val="00D6515A"/>
    <w:rsid w:val="00D664E3"/>
    <w:rsid w:val="00D7142F"/>
    <w:rsid w:val="00D71EE4"/>
    <w:rsid w:val="00D7216F"/>
    <w:rsid w:val="00D73EBA"/>
    <w:rsid w:val="00D7458E"/>
    <w:rsid w:val="00D77531"/>
    <w:rsid w:val="00D77720"/>
    <w:rsid w:val="00D80BDD"/>
    <w:rsid w:val="00D86AE6"/>
    <w:rsid w:val="00D87A44"/>
    <w:rsid w:val="00D921A2"/>
    <w:rsid w:val="00D93183"/>
    <w:rsid w:val="00D9534A"/>
    <w:rsid w:val="00DA22DD"/>
    <w:rsid w:val="00DA24D1"/>
    <w:rsid w:val="00DA3991"/>
    <w:rsid w:val="00DA5E0E"/>
    <w:rsid w:val="00DB0BBF"/>
    <w:rsid w:val="00DB1809"/>
    <w:rsid w:val="00DC2579"/>
    <w:rsid w:val="00DC27EC"/>
    <w:rsid w:val="00DD1074"/>
    <w:rsid w:val="00DD1823"/>
    <w:rsid w:val="00DD412D"/>
    <w:rsid w:val="00DD609B"/>
    <w:rsid w:val="00DF0E9D"/>
    <w:rsid w:val="00DF5A29"/>
    <w:rsid w:val="00DF5E81"/>
    <w:rsid w:val="00DF70B7"/>
    <w:rsid w:val="00E00BFB"/>
    <w:rsid w:val="00E01206"/>
    <w:rsid w:val="00E06549"/>
    <w:rsid w:val="00E171A4"/>
    <w:rsid w:val="00E208A0"/>
    <w:rsid w:val="00E224A7"/>
    <w:rsid w:val="00E25E1A"/>
    <w:rsid w:val="00E265F0"/>
    <w:rsid w:val="00E32249"/>
    <w:rsid w:val="00E33FDD"/>
    <w:rsid w:val="00E34398"/>
    <w:rsid w:val="00E350BC"/>
    <w:rsid w:val="00E36135"/>
    <w:rsid w:val="00E5133A"/>
    <w:rsid w:val="00E53889"/>
    <w:rsid w:val="00E56CED"/>
    <w:rsid w:val="00E57AA5"/>
    <w:rsid w:val="00E60CFC"/>
    <w:rsid w:val="00E610FA"/>
    <w:rsid w:val="00E664B6"/>
    <w:rsid w:val="00E67CC3"/>
    <w:rsid w:val="00E702C7"/>
    <w:rsid w:val="00E72CD8"/>
    <w:rsid w:val="00E73323"/>
    <w:rsid w:val="00E73336"/>
    <w:rsid w:val="00E76851"/>
    <w:rsid w:val="00E773EE"/>
    <w:rsid w:val="00E826D9"/>
    <w:rsid w:val="00E92797"/>
    <w:rsid w:val="00E92E4D"/>
    <w:rsid w:val="00E93FC5"/>
    <w:rsid w:val="00E94B34"/>
    <w:rsid w:val="00E96BC3"/>
    <w:rsid w:val="00E96CE4"/>
    <w:rsid w:val="00E96F49"/>
    <w:rsid w:val="00EA031F"/>
    <w:rsid w:val="00EA2AE2"/>
    <w:rsid w:val="00EA7BD8"/>
    <w:rsid w:val="00EB1ABC"/>
    <w:rsid w:val="00EB1BC5"/>
    <w:rsid w:val="00EB3BD9"/>
    <w:rsid w:val="00EB565D"/>
    <w:rsid w:val="00EC2732"/>
    <w:rsid w:val="00EC2C44"/>
    <w:rsid w:val="00EC3645"/>
    <w:rsid w:val="00EC773C"/>
    <w:rsid w:val="00ED2EF0"/>
    <w:rsid w:val="00ED4868"/>
    <w:rsid w:val="00ED6610"/>
    <w:rsid w:val="00ED7DB6"/>
    <w:rsid w:val="00EE133B"/>
    <w:rsid w:val="00EE1B5D"/>
    <w:rsid w:val="00EE2273"/>
    <w:rsid w:val="00EE336C"/>
    <w:rsid w:val="00EE3644"/>
    <w:rsid w:val="00EE5051"/>
    <w:rsid w:val="00EE5DB9"/>
    <w:rsid w:val="00EE77B5"/>
    <w:rsid w:val="00EF0302"/>
    <w:rsid w:val="00EF329A"/>
    <w:rsid w:val="00EF3C74"/>
    <w:rsid w:val="00EF5C70"/>
    <w:rsid w:val="00EF7789"/>
    <w:rsid w:val="00F0049C"/>
    <w:rsid w:val="00F0108C"/>
    <w:rsid w:val="00F01D17"/>
    <w:rsid w:val="00F02EC2"/>
    <w:rsid w:val="00F05119"/>
    <w:rsid w:val="00F069D0"/>
    <w:rsid w:val="00F071DF"/>
    <w:rsid w:val="00F07A54"/>
    <w:rsid w:val="00F12B77"/>
    <w:rsid w:val="00F12E7B"/>
    <w:rsid w:val="00F1304B"/>
    <w:rsid w:val="00F1401C"/>
    <w:rsid w:val="00F15B1E"/>
    <w:rsid w:val="00F162C3"/>
    <w:rsid w:val="00F16E89"/>
    <w:rsid w:val="00F17E64"/>
    <w:rsid w:val="00F22A44"/>
    <w:rsid w:val="00F26E4D"/>
    <w:rsid w:val="00F26EFF"/>
    <w:rsid w:val="00F35181"/>
    <w:rsid w:val="00F36694"/>
    <w:rsid w:val="00F405FD"/>
    <w:rsid w:val="00F414DB"/>
    <w:rsid w:val="00F47003"/>
    <w:rsid w:val="00F506B0"/>
    <w:rsid w:val="00F50C39"/>
    <w:rsid w:val="00F52328"/>
    <w:rsid w:val="00F554B3"/>
    <w:rsid w:val="00F57C6B"/>
    <w:rsid w:val="00F60678"/>
    <w:rsid w:val="00F65CEB"/>
    <w:rsid w:val="00F73DAE"/>
    <w:rsid w:val="00F8038F"/>
    <w:rsid w:val="00F87F1F"/>
    <w:rsid w:val="00F87F95"/>
    <w:rsid w:val="00F91486"/>
    <w:rsid w:val="00F91A2C"/>
    <w:rsid w:val="00F9498B"/>
    <w:rsid w:val="00F96FC3"/>
    <w:rsid w:val="00FA06F4"/>
    <w:rsid w:val="00FA2D04"/>
    <w:rsid w:val="00FA2EC5"/>
    <w:rsid w:val="00FA66F8"/>
    <w:rsid w:val="00FA7CC0"/>
    <w:rsid w:val="00FB087D"/>
    <w:rsid w:val="00FB126D"/>
    <w:rsid w:val="00FB2E82"/>
    <w:rsid w:val="00FB46B0"/>
    <w:rsid w:val="00FB6A73"/>
    <w:rsid w:val="00FC158A"/>
    <w:rsid w:val="00FC3FA0"/>
    <w:rsid w:val="00FC5442"/>
    <w:rsid w:val="00FD3135"/>
    <w:rsid w:val="00FD31B5"/>
    <w:rsid w:val="00FD33E3"/>
    <w:rsid w:val="00FD5718"/>
    <w:rsid w:val="00FE0CB3"/>
    <w:rsid w:val="00FE193C"/>
    <w:rsid w:val="00FE3173"/>
    <w:rsid w:val="00FE40B8"/>
    <w:rsid w:val="00FE61DB"/>
    <w:rsid w:val="00FE6E25"/>
    <w:rsid w:val="00FF14BC"/>
    <w:rsid w:val="00FF4638"/>
    <w:rsid w:val="00FF5E13"/>
    <w:rsid w:val="00FF6126"/>
    <w:rsid w:val="00FF6864"/>
    <w:rsid w:val="00FF7315"/>
    <w:rsid w:val="00FF7F69"/>
    <w:rsid w:val="0142AE56"/>
    <w:rsid w:val="01B4FC10"/>
    <w:rsid w:val="03F44939"/>
    <w:rsid w:val="0ECBC3A8"/>
    <w:rsid w:val="2808D1D1"/>
    <w:rsid w:val="2D5D7869"/>
    <w:rsid w:val="336D2A44"/>
    <w:rsid w:val="35AE5BD0"/>
    <w:rsid w:val="387EF105"/>
    <w:rsid w:val="3992C981"/>
    <w:rsid w:val="3AF41915"/>
    <w:rsid w:val="3FDEB122"/>
    <w:rsid w:val="40044783"/>
    <w:rsid w:val="476D23A1"/>
    <w:rsid w:val="491E6C9C"/>
    <w:rsid w:val="49C96202"/>
    <w:rsid w:val="6256FDD0"/>
    <w:rsid w:val="6AA6AB21"/>
    <w:rsid w:val="6C9586B6"/>
    <w:rsid w:val="6D840BE9"/>
    <w:rsid w:val="72EDAB56"/>
    <w:rsid w:val="7BBDA7D3"/>
    <w:rsid w:val="7C1D0C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0880A"/>
  <w15:docId w15:val="{53381C5D-2F95-4374-A12D-9F597850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0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9B100F"/>
  </w:style>
  <w:style w:type="paragraph" w:styleId="Piedepgina">
    <w:name w:val="footer"/>
    <w:basedOn w:val="Normal"/>
    <w:link w:val="PiedepginaCar"/>
    <w:uiPriority w:val="99"/>
    <w:rsid w:val="009B100F"/>
    <w:pPr>
      <w:tabs>
        <w:tab w:val="center" w:pos="4252"/>
        <w:tab w:val="right" w:pos="8504"/>
      </w:tabs>
      <w:overflowPunct w:val="0"/>
      <w:autoSpaceDE w:val="0"/>
      <w:autoSpaceDN w:val="0"/>
      <w:adjustRightInd w:val="0"/>
      <w:textAlignment w:val="baseline"/>
    </w:pPr>
    <w:rPr>
      <w:spacing w:val="-3"/>
      <w:sz w:val="28"/>
      <w:szCs w:val="20"/>
      <w:lang w:val="es-ES_tradnl"/>
    </w:rPr>
  </w:style>
  <w:style w:type="character" w:customStyle="1" w:styleId="PiedepginaCar">
    <w:name w:val="Pie de página Car"/>
    <w:basedOn w:val="Fuentedeprrafopredeter"/>
    <w:link w:val="Piedepgina"/>
    <w:uiPriority w:val="99"/>
    <w:rsid w:val="009B100F"/>
    <w:rPr>
      <w:rFonts w:ascii="Times New Roman" w:eastAsia="Times New Roman" w:hAnsi="Times New Roman" w:cs="Times New Roman"/>
      <w:spacing w:val="-3"/>
      <w:sz w:val="28"/>
      <w:szCs w:val="20"/>
      <w:lang w:val="es-ES_tradnl" w:eastAsia="es-ES"/>
    </w:rPr>
  </w:style>
  <w:style w:type="paragraph" w:customStyle="1" w:styleId="Textoindependiente21">
    <w:name w:val="Texto independiente 21"/>
    <w:basedOn w:val="Normal"/>
    <w:rsid w:val="009B100F"/>
    <w:pPr>
      <w:overflowPunct w:val="0"/>
      <w:autoSpaceDE w:val="0"/>
      <w:autoSpaceDN w:val="0"/>
      <w:adjustRightInd w:val="0"/>
      <w:spacing w:line="360" w:lineRule="auto"/>
      <w:jc w:val="both"/>
      <w:textAlignment w:val="baseline"/>
    </w:pPr>
    <w:rPr>
      <w:rFonts w:ascii="Arial" w:hAnsi="Arial"/>
      <w:sz w:val="28"/>
      <w:szCs w:val="20"/>
      <w:lang w:val="es-ES_tradnl"/>
    </w:rPr>
  </w:style>
  <w:style w:type="paragraph" w:styleId="Subttulo">
    <w:name w:val="Subtitle"/>
    <w:basedOn w:val="Normal"/>
    <w:link w:val="SubttuloCar"/>
    <w:qFormat/>
    <w:rsid w:val="009B100F"/>
    <w:pPr>
      <w:overflowPunct w:val="0"/>
      <w:autoSpaceDE w:val="0"/>
      <w:autoSpaceDN w:val="0"/>
      <w:adjustRightInd w:val="0"/>
      <w:spacing w:line="360" w:lineRule="auto"/>
      <w:jc w:val="center"/>
      <w:textAlignment w:val="baseline"/>
    </w:pPr>
    <w:rPr>
      <w:rFonts w:ascii="Arial" w:hAnsi="Arial"/>
      <w:b/>
      <w:sz w:val="28"/>
      <w:szCs w:val="20"/>
      <w:lang w:val="es-ES_tradnl"/>
    </w:rPr>
  </w:style>
  <w:style w:type="character" w:customStyle="1" w:styleId="SubttuloCar">
    <w:name w:val="Subtítulo Car"/>
    <w:basedOn w:val="Fuentedeprrafopredeter"/>
    <w:link w:val="Subttulo"/>
    <w:rsid w:val="009B100F"/>
    <w:rPr>
      <w:rFonts w:ascii="Arial" w:eastAsia="Times New Roman" w:hAnsi="Arial" w:cs="Times New Roman"/>
      <w:b/>
      <w:sz w:val="28"/>
      <w:szCs w:val="20"/>
      <w:lang w:val="es-ES_tradnl" w:eastAsia="es-ES"/>
    </w:rPr>
  </w:style>
  <w:style w:type="paragraph" w:styleId="Textonotapie">
    <w:name w:val="footnote text"/>
    <w:aliases w:val="Footnote Text Char Char Char Char Char,Footnote Text Char Char Char Char,Footnote reference,FA Fu,Footnote Text Char Char Char,texto de nota al pie Car,Texto nota pie Car Car,Footnote Text Char Char Char Char Char Car,f,Footnote Text,ft,R"/>
    <w:basedOn w:val="Normal"/>
    <w:link w:val="TextonotapieCar1"/>
    <w:uiPriority w:val="99"/>
    <w:qFormat/>
    <w:rsid w:val="009B100F"/>
    <w:rPr>
      <w:sz w:val="20"/>
      <w:szCs w:val="20"/>
    </w:rPr>
  </w:style>
  <w:style w:type="character" w:customStyle="1" w:styleId="TextonotapieCar">
    <w:name w:val="Texto nota pie Car"/>
    <w:aliases w:val="Footnote Text Car,Footnote Text Char Car,Footnote referenc Car,Ref. de nota al pie1 Car,Footnote Text Char Char Char Char Char Char Char Char Car,ft Car,FA Fu Car1,FA Fu Car Car,texto de nota al pi Car"/>
    <w:basedOn w:val="Fuentedeprrafopredeter"/>
    <w:uiPriority w:val="99"/>
    <w:qFormat/>
    <w:rsid w:val="009B100F"/>
    <w:rPr>
      <w:rFonts w:ascii="Times New Roman" w:eastAsia="Times New Roman" w:hAnsi="Times New Roman" w:cs="Times New Roman"/>
      <w:sz w:val="20"/>
      <w:szCs w:val="20"/>
      <w:lang w:eastAsia="es-ES"/>
    </w:rPr>
  </w:style>
  <w:style w:type="character" w:styleId="Refdenotaalpie">
    <w:name w:val="footnote reference"/>
    <w:aliases w:val="Texto de nota al pie,Footnotes refss,Appel note de bas de page,FC,referencia nota al pie,Footnote number,BVI fnr,Footnote symbol,Footnote,Ref. de nota al pie 2,Fago Fußnotenzeichen,4_G,16 Point,Superscript 6 Point,Ref,de nota al pie"/>
    <w:link w:val="Piedepagina"/>
    <w:uiPriority w:val="99"/>
    <w:qFormat/>
    <w:rsid w:val="009B100F"/>
    <w:rPr>
      <w:vertAlign w:val="superscript"/>
    </w:rPr>
  </w:style>
  <w:style w:type="character" w:customStyle="1" w:styleId="TextonotapieCar1">
    <w:name w:val="Texto nota pie Car1"/>
    <w:aliases w:val="Footnote Text Char Char Char Char Char Car1,Footnote Text Char Char Char Char Car,Footnote reference Car,FA Fu Car,Footnote Text Char Char Char Car,texto de nota al pie Car Car,Texto nota pie Car Car Car,f Car,Footnote Text Car1"/>
    <w:link w:val="Textonotapie"/>
    <w:uiPriority w:val="99"/>
    <w:locked/>
    <w:rsid w:val="009B100F"/>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9B100F"/>
    <w:pPr>
      <w:overflowPunct w:val="0"/>
      <w:autoSpaceDE w:val="0"/>
      <w:autoSpaceDN w:val="0"/>
      <w:adjustRightInd w:val="0"/>
      <w:jc w:val="both"/>
      <w:textAlignment w:val="baseline"/>
    </w:pPr>
    <w:rPr>
      <w:rFonts w:ascii="Courier New" w:hAnsi="Courier New"/>
      <w:szCs w:val="20"/>
      <w:lang w:val="es-ES_tradnl"/>
    </w:rPr>
  </w:style>
  <w:style w:type="character" w:customStyle="1" w:styleId="TextoindependienteCar">
    <w:name w:val="Texto independiente Car"/>
    <w:basedOn w:val="Fuentedeprrafopredeter"/>
    <w:link w:val="Textoindependiente"/>
    <w:rsid w:val="009B100F"/>
    <w:rPr>
      <w:rFonts w:ascii="Courier New" w:eastAsia="Times New Roman" w:hAnsi="Courier New" w:cs="Times New Roman"/>
      <w:sz w:val="24"/>
      <w:szCs w:val="20"/>
      <w:lang w:val="es-ES_tradnl" w:eastAsia="es-ES"/>
    </w:rPr>
  </w:style>
  <w:style w:type="paragraph" w:styleId="Sinespaciado">
    <w:name w:val="No Spacing"/>
    <w:link w:val="SinespaciadoCar"/>
    <w:uiPriority w:val="1"/>
    <w:qFormat/>
    <w:rsid w:val="009B100F"/>
    <w:pPr>
      <w:spacing w:after="0"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9B100F"/>
    <w:pPr>
      <w:tabs>
        <w:tab w:val="center" w:pos="4252"/>
        <w:tab w:val="right" w:pos="8504"/>
      </w:tabs>
    </w:pPr>
  </w:style>
  <w:style w:type="character" w:customStyle="1" w:styleId="EncabezadoCar">
    <w:name w:val="Encabezado Car"/>
    <w:basedOn w:val="Fuentedeprrafopredeter"/>
    <w:link w:val="Encabezado"/>
    <w:uiPriority w:val="99"/>
    <w:rsid w:val="009B100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761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614A"/>
    <w:rPr>
      <w:rFonts w:ascii="Segoe UI" w:eastAsia="Times New Roman" w:hAnsi="Segoe UI" w:cs="Segoe UI"/>
      <w:sz w:val="18"/>
      <w:szCs w:val="18"/>
      <w:lang w:eastAsia="es-ES"/>
    </w:rPr>
  </w:style>
  <w:style w:type="table" w:styleId="Tablaconcuadrcula">
    <w:name w:val="Table Grid"/>
    <w:basedOn w:val="Tablanormal"/>
    <w:uiPriority w:val="39"/>
    <w:rsid w:val="00F15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5B1E"/>
    <w:pPr>
      <w:ind w:left="720"/>
      <w:contextualSpacing/>
    </w:pPr>
  </w:style>
  <w:style w:type="paragraph" w:customStyle="1" w:styleId="Piedepagina">
    <w:name w:val="Pie de pagina"/>
    <w:basedOn w:val="Normal"/>
    <w:link w:val="Refdenotaalpie"/>
    <w:uiPriority w:val="99"/>
    <w:rsid w:val="006D6A76"/>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paragraph">
    <w:name w:val="paragraph"/>
    <w:basedOn w:val="Normal"/>
    <w:rsid w:val="003637AE"/>
    <w:pPr>
      <w:spacing w:before="100" w:beforeAutospacing="1" w:after="100" w:afterAutospacing="1"/>
    </w:pPr>
    <w:rPr>
      <w:lang w:val="es-CO" w:eastAsia="es-CO"/>
    </w:rPr>
  </w:style>
  <w:style w:type="character" w:customStyle="1" w:styleId="textrun">
    <w:name w:val="textrun"/>
    <w:basedOn w:val="Fuentedeprrafopredeter"/>
    <w:rsid w:val="003637AE"/>
  </w:style>
  <w:style w:type="character" w:customStyle="1" w:styleId="normaltextrun">
    <w:name w:val="normaltextrun"/>
    <w:basedOn w:val="Fuentedeprrafopredeter"/>
    <w:rsid w:val="003637AE"/>
  </w:style>
  <w:style w:type="character" w:customStyle="1" w:styleId="eop">
    <w:name w:val="eop"/>
    <w:basedOn w:val="Fuentedeprrafopredeter"/>
    <w:rsid w:val="003637AE"/>
  </w:style>
  <w:style w:type="character" w:customStyle="1" w:styleId="spellingerror">
    <w:name w:val="spellingerror"/>
    <w:basedOn w:val="Fuentedeprrafopredeter"/>
    <w:rsid w:val="003637AE"/>
  </w:style>
  <w:style w:type="paragraph" w:styleId="Sangra3detindependiente">
    <w:name w:val="Body Text Indent 3"/>
    <w:basedOn w:val="Normal"/>
    <w:link w:val="Sangra3detindependienteCar"/>
    <w:uiPriority w:val="99"/>
    <w:semiHidden/>
    <w:unhideWhenUsed/>
    <w:rsid w:val="007B1C8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B1C8E"/>
    <w:rPr>
      <w:rFonts w:ascii="Times New Roman" w:eastAsia="Times New Roman" w:hAnsi="Times New Roman" w:cs="Times New Roman"/>
      <w:sz w:val="16"/>
      <w:szCs w:val="16"/>
      <w:lang w:eastAsia="es-ES"/>
    </w:rPr>
  </w:style>
  <w:style w:type="character" w:customStyle="1" w:styleId="SinespaciadoCar">
    <w:name w:val="Sin espaciado Car"/>
    <w:link w:val="Sinespaciado"/>
    <w:uiPriority w:val="1"/>
    <w:locked/>
    <w:rsid w:val="006409B4"/>
    <w:rPr>
      <w:rFonts w:ascii="Times New Roman" w:eastAsia="Times New Roman" w:hAnsi="Times New Roman" w:cs="Times New Roman"/>
      <w:sz w:val="24"/>
      <w:szCs w:val="24"/>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6409B4"/>
    <w:pPr>
      <w:jc w:val="both"/>
    </w:pPr>
    <w:rPr>
      <w:rFonts w:asciiTheme="minorHAnsi" w:eastAsiaTheme="minorHAnsi" w:hAnsiTheme="minorHAnsi" w:cstheme="minorBidi"/>
      <w:sz w:val="22"/>
      <w:szCs w:val="22"/>
      <w:vertAlign w:val="superscript"/>
      <w:lang w:eastAsia="en-US"/>
    </w:rPr>
  </w:style>
  <w:style w:type="character" w:styleId="Hipervnculo">
    <w:name w:val="Hyperlink"/>
    <w:basedOn w:val="Fuentedeprrafopredeter"/>
    <w:uiPriority w:val="99"/>
    <w:unhideWhenUsed/>
    <w:rsid w:val="005D27A1"/>
    <w:rPr>
      <w:color w:val="0563C1" w:themeColor="hyperlink"/>
      <w:u w:val="single"/>
    </w:rPr>
  </w:style>
  <w:style w:type="character" w:customStyle="1" w:styleId="Mencinsinresolver1">
    <w:name w:val="Mención sin resolver1"/>
    <w:basedOn w:val="Fuentedeprrafopredeter"/>
    <w:uiPriority w:val="99"/>
    <w:semiHidden/>
    <w:unhideWhenUsed/>
    <w:rsid w:val="005D27A1"/>
    <w:rPr>
      <w:color w:val="605E5C"/>
      <w:shd w:val="clear" w:color="auto" w:fill="E1DFDD"/>
    </w:rPr>
  </w:style>
  <w:style w:type="character" w:styleId="Mencinsinresolver">
    <w:name w:val="Unresolved Mention"/>
    <w:basedOn w:val="Fuentedeprrafopredeter"/>
    <w:uiPriority w:val="99"/>
    <w:semiHidden/>
    <w:unhideWhenUsed/>
    <w:rsid w:val="00D53844"/>
    <w:rPr>
      <w:color w:val="605E5C"/>
      <w:shd w:val="clear" w:color="auto" w:fill="E1DFDD"/>
    </w:rPr>
  </w:style>
  <w:style w:type="paragraph" w:styleId="NormalWeb">
    <w:name w:val="Normal (Web)"/>
    <w:basedOn w:val="Normal"/>
    <w:uiPriority w:val="99"/>
    <w:semiHidden/>
    <w:unhideWhenUsed/>
    <w:rsid w:val="00133BC7"/>
  </w:style>
  <w:style w:type="character" w:customStyle="1" w:styleId="superscript">
    <w:name w:val="superscript"/>
    <w:basedOn w:val="Fuentedeprrafopredeter"/>
    <w:rsid w:val="000C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4331">
      <w:bodyDiv w:val="1"/>
      <w:marLeft w:val="0"/>
      <w:marRight w:val="0"/>
      <w:marTop w:val="0"/>
      <w:marBottom w:val="0"/>
      <w:divBdr>
        <w:top w:val="none" w:sz="0" w:space="0" w:color="auto"/>
        <w:left w:val="none" w:sz="0" w:space="0" w:color="auto"/>
        <w:bottom w:val="none" w:sz="0" w:space="0" w:color="auto"/>
        <w:right w:val="none" w:sz="0" w:space="0" w:color="auto"/>
      </w:divBdr>
    </w:div>
    <w:div w:id="293565963">
      <w:bodyDiv w:val="1"/>
      <w:marLeft w:val="0"/>
      <w:marRight w:val="0"/>
      <w:marTop w:val="0"/>
      <w:marBottom w:val="0"/>
      <w:divBdr>
        <w:top w:val="none" w:sz="0" w:space="0" w:color="auto"/>
        <w:left w:val="none" w:sz="0" w:space="0" w:color="auto"/>
        <w:bottom w:val="none" w:sz="0" w:space="0" w:color="auto"/>
        <w:right w:val="none" w:sz="0" w:space="0" w:color="auto"/>
      </w:divBdr>
      <w:divsChild>
        <w:div w:id="2903409">
          <w:marLeft w:val="0"/>
          <w:marRight w:val="0"/>
          <w:marTop w:val="0"/>
          <w:marBottom w:val="0"/>
          <w:divBdr>
            <w:top w:val="none" w:sz="0" w:space="0" w:color="auto"/>
            <w:left w:val="none" w:sz="0" w:space="0" w:color="auto"/>
            <w:bottom w:val="none" w:sz="0" w:space="0" w:color="auto"/>
            <w:right w:val="none" w:sz="0" w:space="0" w:color="auto"/>
          </w:divBdr>
        </w:div>
        <w:div w:id="241183445">
          <w:marLeft w:val="0"/>
          <w:marRight w:val="0"/>
          <w:marTop w:val="0"/>
          <w:marBottom w:val="0"/>
          <w:divBdr>
            <w:top w:val="none" w:sz="0" w:space="0" w:color="auto"/>
            <w:left w:val="none" w:sz="0" w:space="0" w:color="auto"/>
            <w:bottom w:val="none" w:sz="0" w:space="0" w:color="auto"/>
            <w:right w:val="none" w:sz="0" w:space="0" w:color="auto"/>
          </w:divBdr>
        </w:div>
        <w:div w:id="599795040">
          <w:marLeft w:val="0"/>
          <w:marRight w:val="0"/>
          <w:marTop w:val="0"/>
          <w:marBottom w:val="0"/>
          <w:divBdr>
            <w:top w:val="none" w:sz="0" w:space="0" w:color="auto"/>
            <w:left w:val="none" w:sz="0" w:space="0" w:color="auto"/>
            <w:bottom w:val="none" w:sz="0" w:space="0" w:color="auto"/>
            <w:right w:val="none" w:sz="0" w:space="0" w:color="auto"/>
          </w:divBdr>
        </w:div>
        <w:div w:id="1080449119">
          <w:marLeft w:val="0"/>
          <w:marRight w:val="0"/>
          <w:marTop w:val="0"/>
          <w:marBottom w:val="0"/>
          <w:divBdr>
            <w:top w:val="none" w:sz="0" w:space="0" w:color="auto"/>
            <w:left w:val="none" w:sz="0" w:space="0" w:color="auto"/>
            <w:bottom w:val="none" w:sz="0" w:space="0" w:color="auto"/>
            <w:right w:val="none" w:sz="0" w:space="0" w:color="auto"/>
          </w:divBdr>
        </w:div>
        <w:div w:id="1645114009">
          <w:marLeft w:val="0"/>
          <w:marRight w:val="0"/>
          <w:marTop w:val="0"/>
          <w:marBottom w:val="0"/>
          <w:divBdr>
            <w:top w:val="none" w:sz="0" w:space="0" w:color="auto"/>
            <w:left w:val="none" w:sz="0" w:space="0" w:color="auto"/>
            <w:bottom w:val="none" w:sz="0" w:space="0" w:color="auto"/>
            <w:right w:val="none" w:sz="0" w:space="0" w:color="auto"/>
          </w:divBdr>
        </w:div>
        <w:div w:id="1758089256">
          <w:marLeft w:val="0"/>
          <w:marRight w:val="0"/>
          <w:marTop w:val="0"/>
          <w:marBottom w:val="0"/>
          <w:divBdr>
            <w:top w:val="none" w:sz="0" w:space="0" w:color="auto"/>
            <w:left w:val="none" w:sz="0" w:space="0" w:color="auto"/>
            <w:bottom w:val="none" w:sz="0" w:space="0" w:color="auto"/>
            <w:right w:val="none" w:sz="0" w:space="0" w:color="auto"/>
          </w:divBdr>
        </w:div>
        <w:div w:id="1965962603">
          <w:marLeft w:val="0"/>
          <w:marRight w:val="0"/>
          <w:marTop w:val="0"/>
          <w:marBottom w:val="0"/>
          <w:divBdr>
            <w:top w:val="none" w:sz="0" w:space="0" w:color="auto"/>
            <w:left w:val="none" w:sz="0" w:space="0" w:color="auto"/>
            <w:bottom w:val="none" w:sz="0" w:space="0" w:color="auto"/>
            <w:right w:val="none" w:sz="0" w:space="0" w:color="auto"/>
          </w:divBdr>
        </w:div>
      </w:divsChild>
    </w:div>
    <w:div w:id="316619458">
      <w:bodyDiv w:val="1"/>
      <w:marLeft w:val="0"/>
      <w:marRight w:val="0"/>
      <w:marTop w:val="0"/>
      <w:marBottom w:val="0"/>
      <w:divBdr>
        <w:top w:val="none" w:sz="0" w:space="0" w:color="auto"/>
        <w:left w:val="none" w:sz="0" w:space="0" w:color="auto"/>
        <w:bottom w:val="none" w:sz="0" w:space="0" w:color="auto"/>
        <w:right w:val="none" w:sz="0" w:space="0" w:color="auto"/>
      </w:divBdr>
    </w:div>
    <w:div w:id="412048960">
      <w:bodyDiv w:val="1"/>
      <w:marLeft w:val="0"/>
      <w:marRight w:val="0"/>
      <w:marTop w:val="0"/>
      <w:marBottom w:val="0"/>
      <w:divBdr>
        <w:top w:val="none" w:sz="0" w:space="0" w:color="auto"/>
        <w:left w:val="none" w:sz="0" w:space="0" w:color="auto"/>
        <w:bottom w:val="none" w:sz="0" w:space="0" w:color="auto"/>
        <w:right w:val="none" w:sz="0" w:space="0" w:color="auto"/>
      </w:divBdr>
    </w:div>
    <w:div w:id="422263070">
      <w:bodyDiv w:val="1"/>
      <w:marLeft w:val="0"/>
      <w:marRight w:val="0"/>
      <w:marTop w:val="0"/>
      <w:marBottom w:val="0"/>
      <w:divBdr>
        <w:top w:val="none" w:sz="0" w:space="0" w:color="auto"/>
        <w:left w:val="none" w:sz="0" w:space="0" w:color="auto"/>
        <w:bottom w:val="none" w:sz="0" w:space="0" w:color="auto"/>
        <w:right w:val="none" w:sz="0" w:space="0" w:color="auto"/>
      </w:divBdr>
    </w:div>
    <w:div w:id="474179245">
      <w:bodyDiv w:val="1"/>
      <w:marLeft w:val="0"/>
      <w:marRight w:val="0"/>
      <w:marTop w:val="0"/>
      <w:marBottom w:val="0"/>
      <w:divBdr>
        <w:top w:val="none" w:sz="0" w:space="0" w:color="auto"/>
        <w:left w:val="none" w:sz="0" w:space="0" w:color="auto"/>
        <w:bottom w:val="none" w:sz="0" w:space="0" w:color="auto"/>
        <w:right w:val="none" w:sz="0" w:space="0" w:color="auto"/>
      </w:divBdr>
    </w:div>
    <w:div w:id="491802611">
      <w:bodyDiv w:val="1"/>
      <w:marLeft w:val="0"/>
      <w:marRight w:val="0"/>
      <w:marTop w:val="0"/>
      <w:marBottom w:val="0"/>
      <w:divBdr>
        <w:top w:val="none" w:sz="0" w:space="0" w:color="auto"/>
        <w:left w:val="none" w:sz="0" w:space="0" w:color="auto"/>
        <w:bottom w:val="none" w:sz="0" w:space="0" w:color="auto"/>
        <w:right w:val="none" w:sz="0" w:space="0" w:color="auto"/>
      </w:divBdr>
    </w:div>
    <w:div w:id="601032065">
      <w:bodyDiv w:val="1"/>
      <w:marLeft w:val="0"/>
      <w:marRight w:val="0"/>
      <w:marTop w:val="0"/>
      <w:marBottom w:val="0"/>
      <w:divBdr>
        <w:top w:val="none" w:sz="0" w:space="0" w:color="auto"/>
        <w:left w:val="none" w:sz="0" w:space="0" w:color="auto"/>
        <w:bottom w:val="none" w:sz="0" w:space="0" w:color="auto"/>
        <w:right w:val="none" w:sz="0" w:space="0" w:color="auto"/>
      </w:divBdr>
    </w:div>
    <w:div w:id="837959353">
      <w:bodyDiv w:val="1"/>
      <w:marLeft w:val="0"/>
      <w:marRight w:val="0"/>
      <w:marTop w:val="0"/>
      <w:marBottom w:val="0"/>
      <w:divBdr>
        <w:top w:val="none" w:sz="0" w:space="0" w:color="auto"/>
        <w:left w:val="none" w:sz="0" w:space="0" w:color="auto"/>
        <w:bottom w:val="none" w:sz="0" w:space="0" w:color="auto"/>
        <w:right w:val="none" w:sz="0" w:space="0" w:color="auto"/>
      </w:divBdr>
    </w:div>
    <w:div w:id="1105342241">
      <w:bodyDiv w:val="1"/>
      <w:marLeft w:val="0"/>
      <w:marRight w:val="0"/>
      <w:marTop w:val="0"/>
      <w:marBottom w:val="0"/>
      <w:divBdr>
        <w:top w:val="none" w:sz="0" w:space="0" w:color="auto"/>
        <w:left w:val="none" w:sz="0" w:space="0" w:color="auto"/>
        <w:bottom w:val="none" w:sz="0" w:space="0" w:color="auto"/>
        <w:right w:val="none" w:sz="0" w:space="0" w:color="auto"/>
      </w:divBdr>
    </w:div>
    <w:div w:id="1240940768">
      <w:bodyDiv w:val="1"/>
      <w:marLeft w:val="0"/>
      <w:marRight w:val="0"/>
      <w:marTop w:val="0"/>
      <w:marBottom w:val="0"/>
      <w:divBdr>
        <w:top w:val="none" w:sz="0" w:space="0" w:color="auto"/>
        <w:left w:val="none" w:sz="0" w:space="0" w:color="auto"/>
        <w:bottom w:val="none" w:sz="0" w:space="0" w:color="auto"/>
        <w:right w:val="none" w:sz="0" w:space="0" w:color="auto"/>
      </w:divBdr>
    </w:div>
    <w:div w:id="1271743608">
      <w:bodyDiv w:val="1"/>
      <w:marLeft w:val="0"/>
      <w:marRight w:val="0"/>
      <w:marTop w:val="0"/>
      <w:marBottom w:val="0"/>
      <w:divBdr>
        <w:top w:val="none" w:sz="0" w:space="0" w:color="auto"/>
        <w:left w:val="none" w:sz="0" w:space="0" w:color="auto"/>
        <w:bottom w:val="none" w:sz="0" w:space="0" w:color="auto"/>
        <w:right w:val="none" w:sz="0" w:space="0" w:color="auto"/>
      </w:divBdr>
    </w:div>
    <w:div w:id="1283267283">
      <w:bodyDiv w:val="1"/>
      <w:marLeft w:val="0"/>
      <w:marRight w:val="0"/>
      <w:marTop w:val="0"/>
      <w:marBottom w:val="0"/>
      <w:divBdr>
        <w:top w:val="none" w:sz="0" w:space="0" w:color="auto"/>
        <w:left w:val="none" w:sz="0" w:space="0" w:color="auto"/>
        <w:bottom w:val="none" w:sz="0" w:space="0" w:color="auto"/>
        <w:right w:val="none" w:sz="0" w:space="0" w:color="auto"/>
      </w:divBdr>
    </w:div>
    <w:div w:id="1420639685">
      <w:bodyDiv w:val="1"/>
      <w:marLeft w:val="0"/>
      <w:marRight w:val="0"/>
      <w:marTop w:val="0"/>
      <w:marBottom w:val="0"/>
      <w:divBdr>
        <w:top w:val="none" w:sz="0" w:space="0" w:color="auto"/>
        <w:left w:val="none" w:sz="0" w:space="0" w:color="auto"/>
        <w:bottom w:val="none" w:sz="0" w:space="0" w:color="auto"/>
        <w:right w:val="none" w:sz="0" w:space="0" w:color="auto"/>
      </w:divBdr>
    </w:div>
    <w:div w:id="1439253657">
      <w:bodyDiv w:val="1"/>
      <w:marLeft w:val="0"/>
      <w:marRight w:val="0"/>
      <w:marTop w:val="0"/>
      <w:marBottom w:val="0"/>
      <w:divBdr>
        <w:top w:val="none" w:sz="0" w:space="0" w:color="auto"/>
        <w:left w:val="none" w:sz="0" w:space="0" w:color="auto"/>
        <w:bottom w:val="none" w:sz="0" w:space="0" w:color="auto"/>
        <w:right w:val="none" w:sz="0" w:space="0" w:color="auto"/>
      </w:divBdr>
      <w:divsChild>
        <w:div w:id="147945624">
          <w:marLeft w:val="0"/>
          <w:marRight w:val="0"/>
          <w:marTop w:val="0"/>
          <w:marBottom w:val="0"/>
          <w:divBdr>
            <w:top w:val="none" w:sz="0" w:space="0" w:color="auto"/>
            <w:left w:val="none" w:sz="0" w:space="0" w:color="auto"/>
            <w:bottom w:val="none" w:sz="0" w:space="0" w:color="auto"/>
            <w:right w:val="none" w:sz="0" w:space="0" w:color="auto"/>
          </w:divBdr>
        </w:div>
        <w:div w:id="373121814">
          <w:marLeft w:val="0"/>
          <w:marRight w:val="0"/>
          <w:marTop w:val="0"/>
          <w:marBottom w:val="0"/>
          <w:divBdr>
            <w:top w:val="none" w:sz="0" w:space="0" w:color="auto"/>
            <w:left w:val="none" w:sz="0" w:space="0" w:color="auto"/>
            <w:bottom w:val="none" w:sz="0" w:space="0" w:color="auto"/>
            <w:right w:val="none" w:sz="0" w:space="0" w:color="auto"/>
          </w:divBdr>
        </w:div>
        <w:div w:id="444427131">
          <w:marLeft w:val="0"/>
          <w:marRight w:val="0"/>
          <w:marTop w:val="0"/>
          <w:marBottom w:val="0"/>
          <w:divBdr>
            <w:top w:val="none" w:sz="0" w:space="0" w:color="auto"/>
            <w:left w:val="none" w:sz="0" w:space="0" w:color="auto"/>
            <w:bottom w:val="none" w:sz="0" w:space="0" w:color="auto"/>
            <w:right w:val="none" w:sz="0" w:space="0" w:color="auto"/>
          </w:divBdr>
        </w:div>
        <w:div w:id="2073847165">
          <w:marLeft w:val="0"/>
          <w:marRight w:val="0"/>
          <w:marTop w:val="0"/>
          <w:marBottom w:val="0"/>
          <w:divBdr>
            <w:top w:val="none" w:sz="0" w:space="0" w:color="auto"/>
            <w:left w:val="none" w:sz="0" w:space="0" w:color="auto"/>
            <w:bottom w:val="none" w:sz="0" w:space="0" w:color="auto"/>
            <w:right w:val="none" w:sz="0" w:space="0" w:color="auto"/>
          </w:divBdr>
        </w:div>
        <w:div w:id="2097046417">
          <w:marLeft w:val="0"/>
          <w:marRight w:val="0"/>
          <w:marTop w:val="0"/>
          <w:marBottom w:val="0"/>
          <w:divBdr>
            <w:top w:val="none" w:sz="0" w:space="0" w:color="auto"/>
            <w:left w:val="none" w:sz="0" w:space="0" w:color="auto"/>
            <w:bottom w:val="none" w:sz="0" w:space="0" w:color="auto"/>
            <w:right w:val="none" w:sz="0" w:space="0" w:color="auto"/>
          </w:divBdr>
        </w:div>
      </w:divsChild>
    </w:div>
    <w:div w:id="1465736214">
      <w:bodyDiv w:val="1"/>
      <w:marLeft w:val="0"/>
      <w:marRight w:val="0"/>
      <w:marTop w:val="0"/>
      <w:marBottom w:val="0"/>
      <w:divBdr>
        <w:top w:val="none" w:sz="0" w:space="0" w:color="auto"/>
        <w:left w:val="none" w:sz="0" w:space="0" w:color="auto"/>
        <w:bottom w:val="none" w:sz="0" w:space="0" w:color="auto"/>
        <w:right w:val="none" w:sz="0" w:space="0" w:color="auto"/>
      </w:divBdr>
      <w:divsChild>
        <w:div w:id="220026518">
          <w:marLeft w:val="0"/>
          <w:marRight w:val="0"/>
          <w:marTop w:val="0"/>
          <w:marBottom w:val="0"/>
          <w:divBdr>
            <w:top w:val="none" w:sz="0" w:space="0" w:color="auto"/>
            <w:left w:val="none" w:sz="0" w:space="0" w:color="auto"/>
            <w:bottom w:val="none" w:sz="0" w:space="0" w:color="auto"/>
            <w:right w:val="none" w:sz="0" w:space="0" w:color="auto"/>
          </w:divBdr>
        </w:div>
        <w:div w:id="307714404">
          <w:marLeft w:val="0"/>
          <w:marRight w:val="0"/>
          <w:marTop w:val="0"/>
          <w:marBottom w:val="0"/>
          <w:divBdr>
            <w:top w:val="none" w:sz="0" w:space="0" w:color="auto"/>
            <w:left w:val="none" w:sz="0" w:space="0" w:color="auto"/>
            <w:bottom w:val="none" w:sz="0" w:space="0" w:color="auto"/>
            <w:right w:val="none" w:sz="0" w:space="0" w:color="auto"/>
          </w:divBdr>
        </w:div>
        <w:div w:id="841823299">
          <w:marLeft w:val="0"/>
          <w:marRight w:val="0"/>
          <w:marTop w:val="0"/>
          <w:marBottom w:val="0"/>
          <w:divBdr>
            <w:top w:val="none" w:sz="0" w:space="0" w:color="auto"/>
            <w:left w:val="none" w:sz="0" w:space="0" w:color="auto"/>
            <w:bottom w:val="none" w:sz="0" w:space="0" w:color="auto"/>
            <w:right w:val="none" w:sz="0" w:space="0" w:color="auto"/>
          </w:divBdr>
        </w:div>
        <w:div w:id="1121727285">
          <w:marLeft w:val="0"/>
          <w:marRight w:val="0"/>
          <w:marTop w:val="0"/>
          <w:marBottom w:val="0"/>
          <w:divBdr>
            <w:top w:val="none" w:sz="0" w:space="0" w:color="auto"/>
            <w:left w:val="none" w:sz="0" w:space="0" w:color="auto"/>
            <w:bottom w:val="none" w:sz="0" w:space="0" w:color="auto"/>
            <w:right w:val="none" w:sz="0" w:space="0" w:color="auto"/>
          </w:divBdr>
        </w:div>
        <w:div w:id="1905794768">
          <w:marLeft w:val="0"/>
          <w:marRight w:val="0"/>
          <w:marTop w:val="0"/>
          <w:marBottom w:val="0"/>
          <w:divBdr>
            <w:top w:val="none" w:sz="0" w:space="0" w:color="auto"/>
            <w:left w:val="none" w:sz="0" w:space="0" w:color="auto"/>
            <w:bottom w:val="none" w:sz="0" w:space="0" w:color="auto"/>
            <w:right w:val="none" w:sz="0" w:space="0" w:color="auto"/>
          </w:divBdr>
        </w:div>
      </w:divsChild>
    </w:div>
    <w:div w:id="1513639492">
      <w:bodyDiv w:val="1"/>
      <w:marLeft w:val="0"/>
      <w:marRight w:val="0"/>
      <w:marTop w:val="0"/>
      <w:marBottom w:val="0"/>
      <w:divBdr>
        <w:top w:val="none" w:sz="0" w:space="0" w:color="auto"/>
        <w:left w:val="none" w:sz="0" w:space="0" w:color="auto"/>
        <w:bottom w:val="none" w:sz="0" w:space="0" w:color="auto"/>
        <w:right w:val="none" w:sz="0" w:space="0" w:color="auto"/>
      </w:divBdr>
      <w:divsChild>
        <w:div w:id="362748085">
          <w:marLeft w:val="0"/>
          <w:marRight w:val="0"/>
          <w:marTop w:val="0"/>
          <w:marBottom w:val="0"/>
          <w:divBdr>
            <w:top w:val="none" w:sz="0" w:space="0" w:color="auto"/>
            <w:left w:val="none" w:sz="0" w:space="0" w:color="auto"/>
            <w:bottom w:val="none" w:sz="0" w:space="0" w:color="auto"/>
            <w:right w:val="none" w:sz="0" w:space="0" w:color="auto"/>
          </w:divBdr>
        </w:div>
        <w:div w:id="1105077259">
          <w:marLeft w:val="0"/>
          <w:marRight w:val="0"/>
          <w:marTop w:val="0"/>
          <w:marBottom w:val="0"/>
          <w:divBdr>
            <w:top w:val="none" w:sz="0" w:space="0" w:color="auto"/>
            <w:left w:val="none" w:sz="0" w:space="0" w:color="auto"/>
            <w:bottom w:val="none" w:sz="0" w:space="0" w:color="auto"/>
            <w:right w:val="none" w:sz="0" w:space="0" w:color="auto"/>
          </w:divBdr>
        </w:div>
        <w:div w:id="1285845805">
          <w:marLeft w:val="0"/>
          <w:marRight w:val="0"/>
          <w:marTop w:val="0"/>
          <w:marBottom w:val="0"/>
          <w:divBdr>
            <w:top w:val="none" w:sz="0" w:space="0" w:color="auto"/>
            <w:left w:val="none" w:sz="0" w:space="0" w:color="auto"/>
            <w:bottom w:val="none" w:sz="0" w:space="0" w:color="auto"/>
            <w:right w:val="none" w:sz="0" w:space="0" w:color="auto"/>
          </w:divBdr>
        </w:div>
        <w:div w:id="1355959474">
          <w:marLeft w:val="0"/>
          <w:marRight w:val="0"/>
          <w:marTop w:val="0"/>
          <w:marBottom w:val="0"/>
          <w:divBdr>
            <w:top w:val="none" w:sz="0" w:space="0" w:color="auto"/>
            <w:left w:val="none" w:sz="0" w:space="0" w:color="auto"/>
            <w:bottom w:val="none" w:sz="0" w:space="0" w:color="auto"/>
            <w:right w:val="none" w:sz="0" w:space="0" w:color="auto"/>
          </w:divBdr>
        </w:div>
        <w:div w:id="1933002861">
          <w:marLeft w:val="0"/>
          <w:marRight w:val="0"/>
          <w:marTop w:val="0"/>
          <w:marBottom w:val="0"/>
          <w:divBdr>
            <w:top w:val="none" w:sz="0" w:space="0" w:color="auto"/>
            <w:left w:val="none" w:sz="0" w:space="0" w:color="auto"/>
            <w:bottom w:val="none" w:sz="0" w:space="0" w:color="auto"/>
            <w:right w:val="none" w:sz="0" w:space="0" w:color="auto"/>
          </w:divBdr>
        </w:div>
      </w:divsChild>
    </w:div>
    <w:div w:id="1661232413">
      <w:bodyDiv w:val="1"/>
      <w:marLeft w:val="0"/>
      <w:marRight w:val="0"/>
      <w:marTop w:val="0"/>
      <w:marBottom w:val="0"/>
      <w:divBdr>
        <w:top w:val="none" w:sz="0" w:space="0" w:color="auto"/>
        <w:left w:val="none" w:sz="0" w:space="0" w:color="auto"/>
        <w:bottom w:val="none" w:sz="0" w:space="0" w:color="auto"/>
        <w:right w:val="none" w:sz="0" w:space="0" w:color="auto"/>
      </w:divBdr>
      <w:divsChild>
        <w:div w:id="71898951">
          <w:marLeft w:val="0"/>
          <w:marRight w:val="0"/>
          <w:marTop w:val="0"/>
          <w:marBottom w:val="0"/>
          <w:divBdr>
            <w:top w:val="none" w:sz="0" w:space="0" w:color="auto"/>
            <w:left w:val="none" w:sz="0" w:space="0" w:color="auto"/>
            <w:bottom w:val="none" w:sz="0" w:space="0" w:color="auto"/>
            <w:right w:val="none" w:sz="0" w:space="0" w:color="auto"/>
          </w:divBdr>
        </w:div>
        <w:div w:id="282661991">
          <w:marLeft w:val="0"/>
          <w:marRight w:val="0"/>
          <w:marTop w:val="0"/>
          <w:marBottom w:val="0"/>
          <w:divBdr>
            <w:top w:val="none" w:sz="0" w:space="0" w:color="auto"/>
            <w:left w:val="none" w:sz="0" w:space="0" w:color="auto"/>
            <w:bottom w:val="none" w:sz="0" w:space="0" w:color="auto"/>
            <w:right w:val="none" w:sz="0" w:space="0" w:color="auto"/>
          </w:divBdr>
        </w:div>
        <w:div w:id="1034617452">
          <w:marLeft w:val="0"/>
          <w:marRight w:val="0"/>
          <w:marTop w:val="0"/>
          <w:marBottom w:val="0"/>
          <w:divBdr>
            <w:top w:val="none" w:sz="0" w:space="0" w:color="auto"/>
            <w:left w:val="none" w:sz="0" w:space="0" w:color="auto"/>
            <w:bottom w:val="none" w:sz="0" w:space="0" w:color="auto"/>
            <w:right w:val="none" w:sz="0" w:space="0" w:color="auto"/>
          </w:divBdr>
        </w:div>
      </w:divsChild>
    </w:div>
    <w:div w:id="1829789512">
      <w:bodyDiv w:val="1"/>
      <w:marLeft w:val="0"/>
      <w:marRight w:val="0"/>
      <w:marTop w:val="0"/>
      <w:marBottom w:val="0"/>
      <w:divBdr>
        <w:top w:val="none" w:sz="0" w:space="0" w:color="auto"/>
        <w:left w:val="none" w:sz="0" w:space="0" w:color="auto"/>
        <w:bottom w:val="none" w:sz="0" w:space="0" w:color="auto"/>
        <w:right w:val="none" w:sz="0" w:space="0" w:color="auto"/>
      </w:divBdr>
    </w:div>
    <w:div w:id="2014722768">
      <w:bodyDiv w:val="1"/>
      <w:marLeft w:val="0"/>
      <w:marRight w:val="0"/>
      <w:marTop w:val="0"/>
      <w:marBottom w:val="0"/>
      <w:divBdr>
        <w:top w:val="none" w:sz="0" w:space="0" w:color="auto"/>
        <w:left w:val="none" w:sz="0" w:space="0" w:color="auto"/>
        <w:bottom w:val="none" w:sz="0" w:space="0" w:color="auto"/>
        <w:right w:val="none" w:sz="0" w:space="0" w:color="auto"/>
      </w:divBdr>
    </w:div>
    <w:div w:id="2059669214">
      <w:bodyDiv w:val="1"/>
      <w:marLeft w:val="0"/>
      <w:marRight w:val="0"/>
      <w:marTop w:val="0"/>
      <w:marBottom w:val="0"/>
      <w:divBdr>
        <w:top w:val="none" w:sz="0" w:space="0" w:color="auto"/>
        <w:left w:val="none" w:sz="0" w:space="0" w:color="auto"/>
        <w:bottom w:val="none" w:sz="0" w:space="0" w:color="auto"/>
        <w:right w:val="none" w:sz="0" w:space="0" w:color="auto"/>
      </w:divBdr>
    </w:div>
    <w:div w:id="2078817661">
      <w:bodyDiv w:val="1"/>
      <w:marLeft w:val="0"/>
      <w:marRight w:val="0"/>
      <w:marTop w:val="0"/>
      <w:marBottom w:val="0"/>
      <w:divBdr>
        <w:top w:val="none" w:sz="0" w:space="0" w:color="auto"/>
        <w:left w:val="none" w:sz="0" w:space="0" w:color="auto"/>
        <w:bottom w:val="none" w:sz="0" w:space="0" w:color="auto"/>
        <w:right w:val="none" w:sz="0" w:space="0" w:color="auto"/>
      </w:divBdr>
      <w:divsChild>
        <w:div w:id="216672539">
          <w:marLeft w:val="0"/>
          <w:marRight w:val="0"/>
          <w:marTop w:val="0"/>
          <w:marBottom w:val="0"/>
          <w:divBdr>
            <w:top w:val="none" w:sz="0" w:space="0" w:color="auto"/>
            <w:left w:val="none" w:sz="0" w:space="0" w:color="auto"/>
            <w:bottom w:val="none" w:sz="0" w:space="0" w:color="auto"/>
            <w:right w:val="none" w:sz="0" w:space="0" w:color="auto"/>
          </w:divBdr>
        </w:div>
        <w:div w:id="621882498">
          <w:marLeft w:val="0"/>
          <w:marRight w:val="0"/>
          <w:marTop w:val="0"/>
          <w:marBottom w:val="0"/>
          <w:divBdr>
            <w:top w:val="none" w:sz="0" w:space="0" w:color="auto"/>
            <w:left w:val="none" w:sz="0" w:space="0" w:color="auto"/>
            <w:bottom w:val="none" w:sz="0" w:space="0" w:color="auto"/>
            <w:right w:val="none" w:sz="0" w:space="0" w:color="auto"/>
          </w:divBdr>
        </w:div>
        <w:div w:id="966079950">
          <w:marLeft w:val="0"/>
          <w:marRight w:val="0"/>
          <w:marTop w:val="0"/>
          <w:marBottom w:val="0"/>
          <w:divBdr>
            <w:top w:val="none" w:sz="0" w:space="0" w:color="auto"/>
            <w:left w:val="none" w:sz="0" w:space="0" w:color="auto"/>
            <w:bottom w:val="none" w:sz="0" w:space="0" w:color="auto"/>
            <w:right w:val="none" w:sz="0" w:space="0" w:color="auto"/>
          </w:divBdr>
        </w:div>
        <w:div w:id="1194031815">
          <w:marLeft w:val="0"/>
          <w:marRight w:val="0"/>
          <w:marTop w:val="0"/>
          <w:marBottom w:val="0"/>
          <w:divBdr>
            <w:top w:val="none" w:sz="0" w:space="0" w:color="auto"/>
            <w:left w:val="none" w:sz="0" w:space="0" w:color="auto"/>
            <w:bottom w:val="none" w:sz="0" w:space="0" w:color="auto"/>
            <w:right w:val="none" w:sz="0" w:space="0" w:color="auto"/>
          </w:divBdr>
        </w:div>
        <w:div w:id="1414275174">
          <w:marLeft w:val="0"/>
          <w:marRight w:val="0"/>
          <w:marTop w:val="0"/>
          <w:marBottom w:val="0"/>
          <w:divBdr>
            <w:top w:val="none" w:sz="0" w:space="0" w:color="auto"/>
            <w:left w:val="none" w:sz="0" w:space="0" w:color="auto"/>
            <w:bottom w:val="none" w:sz="0" w:space="0" w:color="auto"/>
            <w:right w:val="none" w:sz="0" w:space="0" w:color="auto"/>
          </w:divBdr>
        </w:div>
        <w:div w:id="1971595756">
          <w:marLeft w:val="0"/>
          <w:marRight w:val="0"/>
          <w:marTop w:val="0"/>
          <w:marBottom w:val="0"/>
          <w:divBdr>
            <w:top w:val="none" w:sz="0" w:space="0" w:color="auto"/>
            <w:left w:val="none" w:sz="0" w:space="0" w:color="auto"/>
            <w:bottom w:val="none" w:sz="0" w:space="0" w:color="auto"/>
            <w:right w:val="none" w:sz="0" w:space="0" w:color="auto"/>
          </w:divBdr>
        </w:div>
      </w:divsChild>
    </w:div>
    <w:div w:id="21018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ABEB0210B9F80489780DD7A5A06F3DB" ma:contentTypeVersion="13" ma:contentTypeDescription="Crear nuevo documento." ma:contentTypeScope="" ma:versionID="ca9323f5df103dd8e3cde980c651897c">
  <xsd:schema xmlns:xsd="http://www.w3.org/2001/XMLSchema" xmlns:xs="http://www.w3.org/2001/XMLSchema" xmlns:p="http://schemas.microsoft.com/office/2006/metadata/properties" xmlns:ns2="13c9172f-313c-4059-8e8c-b3325bc7eec8" xmlns:ns3="426914e6-564f-476f-93cd-2823150048dc" targetNamespace="http://schemas.microsoft.com/office/2006/metadata/properties" ma:root="true" ma:fieldsID="d38b1c1d08b91211ede9d08134bff7c9" ns2:_="" ns3:_="">
    <xsd:import namespace="13c9172f-313c-4059-8e8c-b3325bc7eec8"/>
    <xsd:import namespace="426914e6-564f-476f-93cd-2823150048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9172f-313c-4059-8e8c-b3325bc7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6914e6-564f-476f-93cd-2823150048dc"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7D306-491D-4E53-A0DC-6D142962B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2AF9B2-522D-4DA9-AD4B-7A6B70882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9172f-313c-4059-8e8c-b3325bc7eec8"/>
    <ds:schemaRef ds:uri="426914e6-564f-476f-93cd-282315004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CB786-2227-4B2C-8187-47FCCADF8E0D}">
  <ds:schemaRefs>
    <ds:schemaRef ds:uri="http://schemas.microsoft.com/sharepoint/v3/contenttype/forms"/>
  </ds:schemaRefs>
</ds:datastoreItem>
</file>

<file path=customXml/itemProps4.xml><?xml version="1.0" encoding="utf-8"?>
<ds:datastoreItem xmlns:ds="http://schemas.openxmlformats.org/officeDocument/2006/customXml" ds:itemID="{6D320F09-CFEC-EA47-9941-8F26136F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2700</Words>
  <Characters>14852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Gonzalez Quintero</dc:creator>
  <cp:keywords/>
  <dc:description/>
  <cp:lastModifiedBy>Edwin Stivens Oliveros Rojas</cp:lastModifiedBy>
  <cp:revision>4</cp:revision>
  <cp:lastPrinted>2020-07-14T20:28:00Z</cp:lastPrinted>
  <dcterms:created xsi:type="dcterms:W3CDTF">2021-06-09T17:19:00Z</dcterms:created>
  <dcterms:modified xsi:type="dcterms:W3CDTF">2021-06-09T21:48:00Z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0x0101004ABEB0210B9F80489780DD7A5A06F3DB</vt:lpwstr>
  </property>
</Properties>
</file>