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99"/>
        <w:gridCol w:w="2265"/>
        <w:gridCol w:w="2871"/>
        <w:gridCol w:w="2110"/>
        <w:gridCol w:w="4442"/>
        <w:gridCol w:w="1492"/>
        <w:gridCol w:w="1382"/>
      </w:tblGrid>
      <w:tr w:rsidR="00C73BB7" w:rsidRPr="00C73BB7" w:rsidTr="00C73BB7">
        <w:trPr>
          <w:trHeight w:val="107"/>
        </w:trPr>
        <w:tc>
          <w:tcPr>
            <w:tcW w:w="599" w:type="dxa"/>
          </w:tcPr>
          <w:p w:rsidR="001033AB" w:rsidRPr="00C73BB7" w:rsidRDefault="001033AB" w:rsidP="001033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  No. </w:t>
            </w:r>
          </w:p>
        </w:tc>
        <w:tc>
          <w:tcPr>
            <w:tcW w:w="2265" w:type="dxa"/>
          </w:tcPr>
          <w:p w:rsidR="001033AB" w:rsidRPr="00C73BB7" w:rsidRDefault="001033AB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RADICADO</w:t>
            </w:r>
          </w:p>
        </w:tc>
        <w:tc>
          <w:tcPr>
            <w:tcW w:w="2871" w:type="dxa"/>
          </w:tcPr>
          <w:p w:rsidR="001033AB" w:rsidRPr="00C73BB7" w:rsidRDefault="001033AB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110" w:type="dxa"/>
          </w:tcPr>
          <w:p w:rsidR="001033AB" w:rsidRPr="00C73BB7" w:rsidRDefault="001033AB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442" w:type="dxa"/>
          </w:tcPr>
          <w:p w:rsidR="001033AB" w:rsidRPr="00C73BB7" w:rsidRDefault="001033AB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1492" w:type="dxa"/>
          </w:tcPr>
          <w:p w:rsidR="001033AB" w:rsidRPr="00C73BB7" w:rsidRDefault="001033AB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82" w:type="dxa"/>
          </w:tcPr>
          <w:p w:rsidR="001033AB" w:rsidRPr="00C73BB7" w:rsidRDefault="001033AB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C73BB7" w:rsidRPr="00C73BB7" w:rsidTr="00C73BB7">
        <w:trPr>
          <w:trHeight w:val="598"/>
        </w:trPr>
        <w:tc>
          <w:tcPr>
            <w:tcW w:w="599" w:type="dxa"/>
          </w:tcPr>
          <w:p w:rsidR="001033AB" w:rsidRPr="00C73BB7" w:rsidRDefault="001033AB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65" w:type="dxa"/>
          </w:tcPr>
          <w:p w:rsidR="001033AB" w:rsidRPr="00C73BB7" w:rsidRDefault="009D40FE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08-001-33-33-014-2017-00247-00</w:t>
            </w:r>
          </w:p>
        </w:tc>
        <w:tc>
          <w:tcPr>
            <w:tcW w:w="2871" w:type="dxa"/>
          </w:tcPr>
          <w:p w:rsidR="009D40FE" w:rsidRPr="00C73BB7" w:rsidRDefault="009D40FE" w:rsidP="009D40FE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Protección de los Derechos e Intereses Colectivos.</w:t>
            </w:r>
          </w:p>
          <w:p w:rsidR="001033AB" w:rsidRPr="00C73BB7" w:rsidRDefault="001033AB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10" w:type="dxa"/>
          </w:tcPr>
          <w:p w:rsidR="001033AB" w:rsidRPr="00C73BB7" w:rsidRDefault="009D40FE" w:rsidP="009D40FE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Guillermo Álvarez Cantillo.</w:t>
            </w:r>
          </w:p>
        </w:tc>
        <w:tc>
          <w:tcPr>
            <w:tcW w:w="4442" w:type="dxa"/>
          </w:tcPr>
          <w:p w:rsidR="009D40FE" w:rsidRPr="00C73BB7" w:rsidRDefault="009D40FE" w:rsidP="009D40FE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Distrito Especial, Industrial y Portuario de Barranquilla.</w:t>
            </w:r>
          </w:p>
          <w:p w:rsidR="001033AB" w:rsidRPr="00C73BB7" w:rsidRDefault="009D40FE" w:rsidP="00C73BB7">
            <w:pPr>
              <w:pStyle w:val="Sinespaciad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Litisconsorte Necesario: Triple A S.A. E.S.P. </w:t>
            </w:r>
          </w:p>
        </w:tc>
        <w:tc>
          <w:tcPr>
            <w:tcW w:w="1492" w:type="dxa"/>
          </w:tcPr>
          <w:p w:rsidR="001033AB" w:rsidRPr="00C73BB7" w:rsidRDefault="009D40FE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 xml:space="preserve">AUTO FIJA FECHA DE AUDIENCIA </w:t>
            </w:r>
          </w:p>
        </w:tc>
        <w:tc>
          <w:tcPr>
            <w:tcW w:w="1382" w:type="dxa"/>
          </w:tcPr>
          <w:p w:rsidR="001033AB" w:rsidRPr="00C73BB7" w:rsidRDefault="009D40FE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9D40FE" w:rsidRPr="00C73BB7" w:rsidRDefault="009D40FE" w:rsidP="009D40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65" w:type="dxa"/>
          </w:tcPr>
          <w:p w:rsidR="009D40FE" w:rsidRPr="00C73BB7" w:rsidRDefault="009D40FE" w:rsidP="00C73BB7">
            <w:pPr>
              <w:pStyle w:val="Sinespaciado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08-001-33-33-014-2017-00202-00</w:t>
            </w:r>
          </w:p>
        </w:tc>
        <w:tc>
          <w:tcPr>
            <w:tcW w:w="2871" w:type="dxa"/>
          </w:tcPr>
          <w:p w:rsidR="009D40FE" w:rsidRPr="00C73BB7" w:rsidRDefault="009D40FE" w:rsidP="009D40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Nulidad y Restablecimiento del Derecho</w:t>
            </w:r>
          </w:p>
        </w:tc>
        <w:tc>
          <w:tcPr>
            <w:tcW w:w="2110" w:type="dxa"/>
          </w:tcPr>
          <w:p w:rsidR="009D40FE" w:rsidRPr="00C73BB7" w:rsidRDefault="009D40FE" w:rsidP="009D40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Cesar Ramiro </w:t>
            </w:r>
            <w:r w:rsidRPr="00C73BB7">
              <w:rPr>
                <w:rFonts w:ascii="Tahoma" w:hAnsi="Tahoma" w:cs="Tahoma"/>
                <w:b/>
                <w:sz w:val="20"/>
                <w:szCs w:val="20"/>
                <w:lang w:val="es-CO"/>
              </w:rPr>
              <w:t>Caicedo Arce</w:t>
            </w:r>
          </w:p>
        </w:tc>
        <w:tc>
          <w:tcPr>
            <w:tcW w:w="4442" w:type="dxa"/>
          </w:tcPr>
          <w:p w:rsidR="009D40FE" w:rsidRPr="00C73BB7" w:rsidRDefault="009D40FE" w:rsidP="009D40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Procuraduría General de la Nación</w:t>
            </w:r>
          </w:p>
        </w:tc>
        <w:tc>
          <w:tcPr>
            <w:tcW w:w="1492" w:type="dxa"/>
          </w:tcPr>
          <w:p w:rsidR="009D40FE" w:rsidRPr="00C73BB7" w:rsidRDefault="009D40FE" w:rsidP="009D40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 xml:space="preserve">AUTO FIJA FECHA DE AUDIENCIA </w:t>
            </w:r>
          </w:p>
        </w:tc>
        <w:tc>
          <w:tcPr>
            <w:tcW w:w="1382" w:type="dxa"/>
          </w:tcPr>
          <w:p w:rsidR="009D40FE" w:rsidRPr="00C73BB7" w:rsidRDefault="009D40FE" w:rsidP="009D40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725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265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08-001-33-33-014-2017-00543-00.</w:t>
            </w:r>
          </w:p>
        </w:tc>
        <w:tc>
          <w:tcPr>
            <w:tcW w:w="2871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Reparación Directa</w:t>
            </w:r>
          </w:p>
        </w:tc>
        <w:tc>
          <w:tcPr>
            <w:tcW w:w="2110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Paul Arturo Bolaño Reyes</w:t>
            </w:r>
          </w:p>
        </w:tc>
        <w:tc>
          <w:tcPr>
            <w:tcW w:w="4442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Instituto de Seguro Social I.S.S, Nación – Ministerio del Interior- COLPENSIONES</w:t>
            </w:r>
          </w:p>
        </w:tc>
        <w:tc>
          <w:tcPr>
            <w:tcW w:w="1492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INADMITE DEMANDA POR SEGUNDA VEZ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265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08-001-33-33-014-2017-00417-00</w:t>
            </w:r>
          </w:p>
        </w:tc>
        <w:tc>
          <w:tcPr>
            <w:tcW w:w="2871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Nulidad y Restablecimiento de Derecho</w:t>
            </w:r>
          </w:p>
        </w:tc>
        <w:tc>
          <w:tcPr>
            <w:tcW w:w="2110" w:type="dxa"/>
          </w:tcPr>
          <w:p w:rsidR="00A80671" w:rsidRPr="00C73BB7" w:rsidRDefault="00A80671" w:rsidP="00A80671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Javier Antonio </w:t>
            </w:r>
            <w:proofErr w:type="spellStart"/>
            <w:r w:rsidRPr="00C73BB7">
              <w:rPr>
                <w:rFonts w:ascii="Tahoma" w:hAnsi="Tahoma" w:cs="Tahoma"/>
                <w:b/>
                <w:sz w:val="20"/>
                <w:szCs w:val="20"/>
              </w:rPr>
              <w:t>Torreglosa</w:t>
            </w:r>
            <w:proofErr w:type="spellEnd"/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 Lugo</w:t>
            </w:r>
          </w:p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Nación – Ministerio de Defensa Nacional – Ejercito Nacional</w:t>
            </w:r>
          </w:p>
        </w:tc>
        <w:tc>
          <w:tcPr>
            <w:tcW w:w="1492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FIJA FECHA DE AUDIENCIA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265" w:type="dxa"/>
          </w:tcPr>
          <w:p w:rsidR="00A80671" w:rsidRPr="00C73BB7" w:rsidRDefault="00A80671" w:rsidP="00A80671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08-001-33-33-014-2017-00400-00</w:t>
            </w:r>
          </w:p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1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Nulidad y Restablecimiento de Derecho</w:t>
            </w:r>
          </w:p>
        </w:tc>
        <w:tc>
          <w:tcPr>
            <w:tcW w:w="2110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3BB7">
              <w:rPr>
                <w:rFonts w:ascii="Tahoma" w:hAnsi="Tahoma" w:cs="Tahoma"/>
                <w:b/>
                <w:sz w:val="20"/>
                <w:szCs w:val="20"/>
              </w:rPr>
              <w:t>Esilda</w:t>
            </w:r>
            <w:proofErr w:type="spellEnd"/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 María Hernández Romero</w:t>
            </w:r>
          </w:p>
        </w:tc>
        <w:tc>
          <w:tcPr>
            <w:tcW w:w="4442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Unidad Especial para la Gestión Pensional y Contribuciones Parafiscales para la Protección Social – UGPP.</w:t>
            </w:r>
          </w:p>
        </w:tc>
        <w:tc>
          <w:tcPr>
            <w:tcW w:w="149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FIJA FECHA DE AUDIENCIA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265" w:type="dxa"/>
          </w:tcPr>
          <w:p w:rsidR="00AB1552" w:rsidRPr="00C73BB7" w:rsidRDefault="00AB1552" w:rsidP="00AB1552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08-001-33-33-014-2017-00350-00</w:t>
            </w:r>
          </w:p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1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Nulidad y Restablecimiento de Derecho</w:t>
            </w:r>
          </w:p>
        </w:tc>
        <w:tc>
          <w:tcPr>
            <w:tcW w:w="2110" w:type="dxa"/>
          </w:tcPr>
          <w:p w:rsidR="00A80671" w:rsidRPr="00C73BB7" w:rsidRDefault="00AB1552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Isaac Sarmiento Soto</w:t>
            </w:r>
          </w:p>
        </w:tc>
        <w:tc>
          <w:tcPr>
            <w:tcW w:w="4442" w:type="dxa"/>
          </w:tcPr>
          <w:p w:rsidR="00A80671" w:rsidRPr="00C73BB7" w:rsidRDefault="00AB1552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Nación – Ministerio de Educación Nacional – Fondo Nacional de Prestaciones Sociales del Magisterio y  </w:t>
            </w:r>
            <w:r w:rsidRPr="00C73BB7">
              <w:rPr>
                <w:rFonts w:ascii="Tahoma" w:hAnsi="Tahoma" w:cs="Tahoma"/>
                <w:b/>
                <w:sz w:val="20"/>
                <w:szCs w:val="20"/>
                <w:lang w:val="es-CO"/>
              </w:rPr>
              <w:t>Departamento del Atlántico</w:t>
            </w:r>
          </w:p>
        </w:tc>
        <w:tc>
          <w:tcPr>
            <w:tcW w:w="149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FIJA FECHA DE AUDIENCIA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265" w:type="dxa"/>
          </w:tcPr>
          <w:p w:rsidR="00A80671" w:rsidRPr="00C73BB7" w:rsidRDefault="00AB1552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08-001-33-33-014-2017-00352-00</w:t>
            </w:r>
          </w:p>
        </w:tc>
        <w:tc>
          <w:tcPr>
            <w:tcW w:w="2871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Nulidad y Restablecimiento de Derecho</w:t>
            </w:r>
          </w:p>
        </w:tc>
        <w:tc>
          <w:tcPr>
            <w:tcW w:w="2110" w:type="dxa"/>
          </w:tcPr>
          <w:p w:rsidR="00AB1552" w:rsidRPr="00C73BB7" w:rsidRDefault="00AB1552" w:rsidP="00AB1552">
            <w:pPr>
              <w:pStyle w:val="Sinespaciado"/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Doris </w:t>
            </w:r>
            <w:proofErr w:type="spellStart"/>
            <w:r w:rsidRPr="00C73BB7">
              <w:rPr>
                <w:rFonts w:ascii="Tahoma" w:hAnsi="Tahoma" w:cs="Tahoma"/>
                <w:b/>
                <w:sz w:val="20"/>
                <w:szCs w:val="20"/>
              </w:rPr>
              <w:t>Orduz</w:t>
            </w:r>
            <w:proofErr w:type="spellEnd"/>
          </w:p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A80671" w:rsidRPr="00C73BB7" w:rsidRDefault="00AB1552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Nación – Ministerio de Defensa Nacional- Ejercito Nacional y otros</w:t>
            </w:r>
          </w:p>
        </w:tc>
        <w:tc>
          <w:tcPr>
            <w:tcW w:w="149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FIJA FECHA DE AUDIENCIA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265" w:type="dxa"/>
          </w:tcPr>
          <w:p w:rsidR="00A80671" w:rsidRPr="00C73BB7" w:rsidRDefault="00824A83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08-001-33-33-014-2017-00601-00</w:t>
            </w:r>
          </w:p>
        </w:tc>
        <w:tc>
          <w:tcPr>
            <w:tcW w:w="2871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Reparación Directa</w:t>
            </w:r>
          </w:p>
        </w:tc>
        <w:tc>
          <w:tcPr>
            <w:tcW w:w="2110" w:type="dxa"/>
          </w:tcPr>
          <w:p w:rsidR="00A80671" w:rsidRPr="00C73BB7" w:rsidRDefault="00824A83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Porfirio de Jesús Pinzón Cabrias</w:t>
            </w:r>
          </w:p>
        </w:tc>
        <w:tc>
          <w:tcPr>
            <w:tcW w:w="4442" w:type="dxa"/>
          </w:tcPr>
          <w:p w:rsidR="00A80671" w:rsidRPr="00C73BB7" w:rsidRDefault="00824A83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Distrito Especial, Industrial y Portuario de Barranquilla-Cárcel Distrital el Bosque de </w:t>
            </w:r>
            <w:r w:rsidRPr="00C73BB7">
              <w:rPr>
                <w:rFonts w:ascii="Tahoma" w:hAnsi="Tahoma" w:cs="Tahoma"/>
                <w:b/>
                <w:sz w:val="20"/>
                <w:szCs w:val="20"/>
              </w:rPr>
              <w:lastRenderedPageBreak/>
              <w:t>Barranquilla (Centro de Rehabilitación Masculino)</w:t>
            </w:r>
          </w:p>
        </w:tc>
        <w:tc>
          <w:tcPr>
            <w:tcW w:w="1492" w:type="dxa"/>
          </w:tcPr>
          <w:p w:rsidR="00A80671" w:rsidRPr="00C73BB7" w:rsidRDefault="00824A83" w:rsidP="00824A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lastRenderedPageBreak/>
              <w:t xml:space="preserve">AUTO INADMITE DEMANDA 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5" w:type="dxa"/>
          </w:tcPr>
          <w:p w:rsidR="00824A83" w:rsidRPr="00C73BB7" w:rsidRDefault="00824A83" w:rsidP="00824A83">
            <w:pPr>
              <w:pStyle w:val="Sinespaciado"/>
              <w:jc w:val="both"/>
              <w:rPr>
                <w:rFonts w:ascii="Tahoma" w:eastAsia="BatangChe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>08-001-33-33-014-2017-00306-00.</w:t>
            </w:r>
          </w:p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1" w:type="dxa"/>
          </w:tcPr>
          <w:p w:rsidR="00A80671" w:rsidRPr="00C73BB7" w:rsidRDefault="00824A83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>Ejecutivo.</w:t>
            </w:r>
          </w:p>
        </w:tc>
        <w:tc>
          <w:tcPr>
            <w:tcW w:w="2110" w:type="dxa"/>
          </w:tcPr>
          <w:p w:rsidR="00A80671" w:rsidRPr="00C73BB7" w:rsidRDefault="00824A83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 xml:space="preserve">Ebro Rafael </w:t>
            </w:r>
            <w:proofErr w:type="spellStart"/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>Verdeza</w:t>
            </w:r>
            <w:proofErr w:type="spellEnd"/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 xml:space="preserve"> Pacheco.</w:t>
            </w:r>
          </w:p>
        </w:tc>
        <w:tc>
          <w:tcPr>
            <w:tcW w:w="4442" w:type="dxa"/>
          </w:tcPr>
          <w:p w:rsidR="00A80671" w:rsidRPr="00C73BB7" w:rsidRDefault="00824A83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 xml:space="preserve">PAP </w:t>
            </w:r>
            <w:proofErr w:type="spellStart"/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>Fiduprevisora</w:t>
            </w:r>
            <w:proofErr w:type="spellEnd"/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 xml:space="preserve"> S.A. Defensa Jurídica del Extinto Departamento Administrativo de Seguridad (DAS).</w:t>
            </w:r>
          </w:p>
        </w:tc>
        <w:tc>
          <w:tcPr>
            <w:tcW w:w="1492" w:type="dxa"/>
          </w:tcPr>
          <w:p w:rsidR="00A80671" w:rsidRPr="00C73BB7" w:rsidRDefault="00824A83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CORRE TRASLADO DE LAS EXCEPCIONES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A80671" w:rsidRPr="00C73BB7" w:rsidRDefault="00A80671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265" w:type="dxa"/>
          </w:tcPr>
          <w:p w:rsidR="00A80671" w:rsidRPr="00C73BB7" w:rsidRDefault="00C648BD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08-001-33-33-014-2017-00419-00</w:t>
            </w:r>
          </w:p>
        </w:tc>
        <w:tc>
          <w:tcPr>
            <w:tcW w:w="2871" w:type="dxa"/>
          </w:tcPr>
          <w:p w:rsidR="00A80671" w:rsidRPr="00C73BB7" w:rsidRDefault="00C648BD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Nulidad y Restablecimiento de Derecho</w:t>
            </w:r>
          </w:p>
        </w:tc>
        <w:tc>
          <w:tcPr>
            <w:tcW w:w="2110" w:type="dxa"/>
          </w:tcPr>
          <w:p w:rsidR="00A80671" w:rsidRPr="00C73BB7" w:rsidRDefault="00C648BD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3BB7">
              <w:rPr>
                <w:rFonts w:ascii="Tahoma" w:hAnsi="Tahoma" w:cs="Tahoma"/>
                <w:b/>
                <w:sz w:val="20"/>
                <w:szCs w:val="20"/>
              </w:rPr>
              <w:t>Edinson</w:t>
            </w:r>
            <w:proofErr w:type="spellEnd"/>
            <w:r w:rsidRPr="00C73BB7">
              <w:rPr>
                <w:rFonts w:ascii="Tahoma" w:hAnsi="Tahoma" w:cs="Tahoma"/>
                <w:b/>
                <w:sz w:val="20"/>
                <w:szCs w:val="20"/>
              </w:rPr>
              <w:t xml:space="preserve"> Antonio Arroyo Puerta</w:t>
            </w:r>
          </w:p>
        </w:tc>
        <w:tc>
          <w:tcPr>
            <w:tcW w:w="4442" w:type="dxa"/>
          </w:tcPr>
          <w:p w:rsidR="00A80671" w:rsidRPr="00C73BB7" w:rsidRDefault="00C648BD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Nación – Ministerio de Defensa Nacional – Ejercito Nacional.</w:t>
            </w:r>
          </w:p>
        </w:tc>
        <w:tc>
          <w:tcPr>
            <w:tcW w:w="1492" w:type="dxa"/>
          </w:tcPr>
          <w:p w:rsidR="00A80671" w:rsidRPr="00C73BB7" w:rsidRDefault="00C648BD" w:rsidP="00A8067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FIJA FECHA DE AUDIENCIA</w:t>
            </w:r>
          </w:p>
        </w:tc>
        <w:tc>
          <w:tcPr>
            <w:tcW w:w="1382" w:type="dxa"/>
          </w:tcPr>
          <w:p w:rsidR="00A80671" w:rsidRPr="00C73BB7" w:rsidRDefault="00A80671" w:rsidP="00A80671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C648BD" w:rsidRPr="00C73BB7" w:rsidRDefault="00C648BD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265" w:type="dxa"/>
          </w:tcPr>
          <w:p w:rsidR="00C648BD" w:rsidRPr="00C73BB7" w:rsidRDefault="00C648BD" w:rsidP="00C648BD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08-001-33-33-014-2017-00345-00</w:t>
            </w:r>
          </w:p>
          <w:p w:rsidR="00C648BD" w:rsidRPr="00C73BB7" w:rsidRDefault="00C648BD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1" w:type="dxa"/>
          </w:tcPr>
          <w:p w:rsidR="00C648BD" w:rsidRPr="00C73BB7" w:rsidRDefault="00C648BD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eastAsia="BatangChe" w:hAnsi="Tahoma" w:cs="Tahoma"/>
                <w:b/>
                <w:sz w:val="20"/>
                <w:szCs w:val="20"/>
              </w:rPr>
              <w:t>Ejecutivo.</w:t>
            </w:r>
          </w:p>
        </w:tc>
        <w:tc>
          <w:tcPr>
            <w:tcW w:w="2110" w:type="dxa"/>
          </w:tcPr>
          <w:p w:rsidR="00C648BD" w:rsidRPr="00C73BB7" w:rsidRDefault="00C648BD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Graciela Martha Lozano Ramírez.</w:t>
            </w:r>
          </w:p>
        </w:tc>
        <w:tc>
          <w:tcPr>
            <w:tcW w:w="4442" w:type="dxa"/>
          </w:tcPr>
          <w:p w:rsidR="00C648BD" w:rsidRPr="00C73BB7" w:rsidRDefault="00C648BD" w:rsidP="00C648BD">
            <w:pPr>
              <w:pStyle w:val="Sinespaciad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Caja de Retiro de las Fuerzas Militares (CREMIL).</w:t>
            </w:r>
          </w:p>
          <w:p w:rsidR="00C648BD" w:rsidRPr="00C73BB7" w:rsidRDefault="00C648BD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2" w:type="dxa"/>
          </w:tcPr>
          <w:p w:rsidR="00C648BD" w:rsidRPr="00C73BB7" w:rsidRDefault="00C648BD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 xml:space="preserve">AUTO LIBRA MANDAMIENTO DE PAGO </w:t>
            </w:r>
          </w:p>
        </w:tc>
        <w:tc>
          <w:tcPr>
            <w:tcW w:w="1382" w:type="dxa"/>
          </w:tcPr>
          <w:p w:rsidR="00C648BD" w:rsidRPr="00C73BB7" w:rsidRDefault="00C648BD" w:rsidP="00C648BD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  <w:tr w:rsidR="00C73BB7" w:rsidRPr="00C73BB7" w:rsidTr="00C73BB7">
        <w:trPr>
          <w:trHeight w:val="243"/>
        </w:trPr>
        <w:tc>
          <w:tcPr>
            <w:tcW w:w="599" w:type="dxa"/>
          </w:tcPr>
          <w:p w:rsidR="00C648BD" w:rsidRPr="00C73BB7" w:rsidRDefault="00C648BD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265" w:type="dxa"/>
          </w:tcPr>
          <w:p w:rsidR="00C648BD" w:rsidRPr="00C73BB7" w:rsidRDefault="00167BCE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08-001-33-33-014-2017-00609-00</w:t>
            </w:r>
          </w:p>
        </w:tc>
        <w:tc>
          <w:tcPr>
            <w:tcW w:w="2871" w:type="dxa"/>
          </w:tcPr>
          <w:p w:rsidR="00C648BD" w:rsidRPr="00C73BB7" w:rsidRDefault="00167BCE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Nulidad y Restablecimiento de Derecho</w:t>
            </w:r>
          </w:p>
        </w:tc>
        <w:tc>
          <w:tcPr>
            <w:tcW w:w="2110" w:type="dxa"/>
          </w:tcPr>
          <w:p w:rsidR="00C648BD" w:rsidRPr="00C73BB7" w:rsidRDefault="00167BCE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Electrificadora del Caribe S.A. (ELECTRICARIBE S.A. E.S.P.)</w:t>
            </w:r>
          </w:p>
        </w:tc>
        <w:tc>
          <w:tcPr>
            <w:tcW w:w="4442" w:type="dxa"/>
          </w:tcPr>
          <w:p w:rsidR="00C648BD" w:rsidRPr="00C73BB7" w:rsidRDefault="00167BCE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b/>
                <w:sz w:val="20"/>
                <w:szCs w:val="20"/>
              </w:rPr>
              <w:t>Superintendencia de Servicios Públicos Domiciliarios</w:t>
            </w:r>
          </w:p>
        </w:tc>
        <w:tc>
          <w:tcPr>
            <w:tcW w:w="1492" w:type="dxa"/>
          </w:tcPr>
          <w:p w:rsidR="00C648BD" w:rsidRPr="00C73BB7" w:rsidRDefault="00167BCE" w:rsidP="00C648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382" w:type="dxa"/>
          </w:tcPr>
          <w:p w:rsidR="00C648BD" w:rsidRPr="00C73BB7" w:rsidRDefault="00C648BD" w:rsidP="00C648BD">
            <w:pPr>
              <w:rPr>
                <w:sz w:val="20"/>
                <w:szCs w:val="20"/>
              </w:rPr>
            </w:pPr>
            <w:r w:rsidRPr="00C73BB7">
              <w:rPr>
                <w:rFonts w:ascii="Tahoma" w:hAnsi="Tahoma" w:cs="Tahoma"/>
                <w:sz w:val="20"/>
                <w:szCs w:val="20"/>
              </w:rPr>
              <w:t>01/11/2017</w:t>
            </w:r>
          </w:p>
        </w:tc>
      </w:tr>
    </w:tbl>
    <w:p w:rsidR="00C73BB7" w:rsidRDefault="00C73BB7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A5B00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9DFA8FA" wp14:editId="546254C3">
            <wp:simplePos x="0" y="0"/>
            <wp:positionH relativeFrom="column">
              <wp:posOffset>4605655</wp:posOffset>
            </wp:positionH>
            <wp:positionV relativeFrom="paragraph">
              <wp:posOffset>346710</wp:posOffset>
            </wp:positionV>
            <wp:extent cx="1017905" cy="1569720"/>
            <wp:effectExtent l="0" t="0" r="0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115B50">
        <w:rPr>
          <w:rFonts w:ascii="Tahoma" w:hAnsi="Tahoma" w:cs="Tahoma"/>
          <w:sz w:val="20"/>
          <w:szCs w:val="20"/>
        </w:rPr>
        <w:t xml:space="preserve">  hoy</w:t>
      </w:r>
      <w:r w:rsidR="001033AB">
        <w:rPr>
          <w:rFonts w:ascii="Tahoma" w:hAnsi="Tahoma" w:cs="Tahoma"/>
          <w:sz w:val="20"/>
          <w:szCs w:val="20"/>
        </w:rPr>
        <w:t xml:space="preserve"> dos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115B50">
        <w:rPr>
          <w:rFonts w:ascii="Tahoma" w:hAnsi="Tahoma" w:cs="Tahoma"/>
          <w:sz w:val="20"/>
          <w:szCs w:val="20"/>
        </w:rPr>
        <w:t>0</w:t>
      </w:r>
      <w:r w:rsidR="001033AB">
        <w:rPr>
          <w:rFonts w:ascii="Tahoma" w:hAnsi="Tahoma" w:cs="Tahoma"/>
          <w:sz w:val="20"/>
          <w:szCs w:val="20"/>
        </w:rPr>
        <w:t>2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115B50">
        <w:rPr>
          <w:rFonts w:ascii="Tahoma" w:hAnsi="Tahoma" w:cs="Tahoma"/>
          <w:sz w:val="20"/>
          <w:szCs w:val="20"/>
        </w:rPr>
        <w:t xml:space="preserve">noviembre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B42667" w:rsidRPr="002E489C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>13</w:t>
                            </w:r>
                            <w:r w:rsidR="001033AB">
                              <w:rPr>
                                <w:rFonts w:ascii="Tahoma" w:hAnsi="Tahoma" w:cs="Tahoma"/>
                                <w:sz w:val="20"/>
                              </w:rPr>
                              <w:t>3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1033AB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>13</w:t>
                      </w:r>
                      <w:r w:rsidR="001033AB">
                        <w:rPr>
                          <w:rFonts w:ascii="Tahoma" w:hAnsi="Tahoma" w:cs="Tahoma"/>
                          <w:sz w:val="20"/>
                        </w:rPr>
                        <w:t>3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1033AB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C75207">
        <w:rPr>
          <w:rFonts w:ascii="Tahoma" w:hAnsi="Tahoma" w:cs="Tahoma"/>
          <w:sz w:val="160"/>
        </w:rPr>
        <w:t>3</w:t>
      </w:r>
      <w:r w:rsidR="001033AB">
        <w:rPr>
          <w:rFonts w:ascii="Tahoma" w:hAnsi="Tahoma" w:cs="Tahoma"/>
          <w:sz w:val="160"/>
        </w:rPr>
        <w:t>3</w:t>
      </w:r>
      <w:r>
        <w:rPr>
          <w:rFonts w:ascii="Tahoma" w:hAnsi="Tahoma" w:cs="Tahoma"/>
          <w:sz w:val="160"/>
        </w:rPr>
        <w:t xml:space="preserve"> DEL </w:t>
      </w:r>
      <w:r w:rsidR="003416AD">
        <w:rPr>
          <w:rFonts w:ascii="Tahoma" w:hAnsi="Tahoma" w:cs="Tahoma"/>
          <w:sz w:val="160"/>
        </w:rPr>
        <w:t>0</w:t>
      </w:r>
      <w:r w:rsidR="001033AB">
        <w:rPr>
          <w:rFonts w:ascii="Tahoma" w:hAnsi="Tahoma" w:cs="Tahoma"/>
          <w:sz w:val="160"/>
        </w:rPr>
        <w:t>2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</w:t>
      </w:r>
      <w:r w:rsidR="003416AD">
        <w:rPr>
          <w:rFonts w:ascii="Tahoma" w:hAnsi="Tahoma" w:cs="Tahoma"/>
          <w:sz w:val="160"/>
        </w:rPr>
        <w:t xml:space="preserve">NOVIEMBRE 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D6" w:rsidRDefault="00EB46D6" w:rsidP="00A624E3">
      <w:pPr>
        <w:spacing w:after="0" w:line="240" w:lineRule="auto"/>
      </w:pPr>
      <w:r>
        <w:separator/>
      </w:r>
    </w:p>
  </w:endnote>
  <w:endnote w:type="continuationSeparator" w:id="0">
    <w:p w:rsidR="00EB46D6" w:rsidRDefault="00EB46D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D6" w:rsidRDefault="00EB46D6" w:rsidP="00A624E3">
      <w:pPr>
        <w:spacing w:after="0" w:line="240" w:lineRule="auto"/>
      </w:pPr>
      <w:r>
        <w:separator/>
      </w:r>
    </w:p>
  </w:footnote>
  <w:footnote w:type="continuationSeparator" w:id="0">
    <w:p w:rsidR="00EB46D6" w:rsidRDefault="00EB46D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1033AB" w:rsidP="001033AB">
    <w:pPr>
      <w:pStyle w:val="Encabezado"/>
      <w:rPr>
        <w:rFonts w:ascii="Tahoma" w:hAnsi="Tahoma" w:cs="Tahoma"/>
        <w:b/>
      </w:rPr>
    </w:pPr>
    <w:r>
      <w:rPr>
        <w:noProof/>
        <w:lang w:eastAsia="es-ES"/>
      </w:rPr>
      <w:drawing>
        <wp:inline distT="0" distB="0" distL="0" distR="0" wp14:anchorId="6329A552" wp14:editId="4FB821F7">
          <wp:extent cx="819150" cy="914400"/>
          <wp:effectExtent l="0" t="0" r="0" b="0"/>
          <wp:docPr id="5" name="1 Imagen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 Imagen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  <w:t xml:space="preserve">       </w:t>
    </w:r>
    <w:r w:rsidR="00A624E3" w:rsidRPr="00DB4978">
      <w:rPr>
        <w:rFonts w:ascii="Tahoma" w:hAnsi="Tahoma" w:cs="Tahoma"/>
        <w:b/>
      </w:rPr>
      <w:t xml:space="preserve">JUZGADO CATORCE </w:t>
    </w:r>
    <w:r>
      <w:rPr>
        <w:rFonts w:ascii="Tahoma" w:hAnsi="Tahoma" w:cs="Tahoma"/>
        <w:b/>
      </w:rPr>
      <w:t xml:space="preserve">(14) </w:t>
    </w:r>
    <w:r w:rsidR="00A624E3" w:rsidRPr="00DB4978">
      <w:rPr>
        <w:rFonts w:ascii="Tahoma" w:hAnsi="Tahoma" w:cs="Tahoma"/>
        <w:b/>
      </w:rPr>
      <w:t>ADMINISTRATIVO</w:t>
    </w:r>
    <w:r>
      <w:rPr>
        <w:rFonts w:ascii="Tahoma" w:hAnsi="Tahoma" w:cs="Tahoma"/>
        <w:b/>
      </w:rPr>
      <w:t xml:space="preserve"> DEL CIRCUITO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115B50">
      <w:rPr>
        <w:rFonts w:ascii="Tahoma" w:hAnsi="Tahoma" w:cs="Tahoma"/>
        <w:b/>
      </w:rPr>
      <w:t>3</w:t>
    </w:r>
    <w:r w:rsidR="001033AB">
      <w:rPr>
        <w:rFonts w:ascii="Tahoma" w:hAnsi="Tahoma" w:cs="Tahoma"/>
        <w:b/>
      </w:rPr>
      <w:t>3</w:t>
    </w:r>
    <w:r w:rsidR="00115B50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115B50">
      <w:rPr>
        <w:rFonts w:ascii="Tahoma" w:hAnsi="Tahoma" w:cs="Tahoma"/>
        <w:b/>
      </w:rPr>
      <w:t>0</w:t>
    </w:r>
    <w:r w:rsidR="001033AB">
      <w:rPr>
        <w:rFonts w:ascii="Tahoma" w:hAnsi="Tahoma" w:cs="Tahoma"/>
        <w:b/>
      </w:rPr>
      <w:t>2</w:t>
    </w:r>
    <w:r w:rsidR="00115B5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>DE</w:t>
    </w:r>
    <w:r w:rsidR="00115B50">
      <w:rPr>
        <w:rFonts w:ascii="Tahoma" w:hAnsi="Tahoma" w:cs="Tahoma"/>
        <w:b/>
      </w:rPr>
      <w:t xml:space="preserve"> NOVIEMBRE</w:t>
    </w:r>
    <w:r w:rsidR="00041306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3A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67BCE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10BD"/>
    <w:rsid w:val="001C314E"/>
    <w:rsid w:val="001C5C13"/>
    <w:rsid w:val="001D2C60"/>
    <w:rsid w:val="001D3635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77F3D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00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2939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4A83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78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FE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0671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552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648BD"/>
    <w:rsid w:val="00C73BB7"/>
    <w:rsid w:val="00C75207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46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CADA-77A9-4D8B-8123-2BBC436E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11</cp:revision>
  <cp:lastPrinted>2017-10-31T21:03:00Z</cp:lastPrinted>
  <dcterms:created xsi:type="dcterms:W3CDTF">2017-10-31T20:49:00Z</dcterms:created>
  <dcterms:modified xsi:type="dcterms:W3CDTF">2017-11-01T20:51:00Z</dcterms:modified>
</cp:coreProperties>
</file>