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977"/>
        <w:gridCol w:w="4394"/>
        <w:gridCol w:w="2126"/>
        <w:gridCol w:w="1531"/>
      </w:tblGrid>
      <w:tr w:rsidR="00A624E3" w:rsidRPr="002E489C" w:rsidTr="0017597B">
        <w:trPr>
          <w:trHeight w:val="278"/>
        </w:trPr>
        <w:tc>
          <w:tcPr>
            <w:tcW w:w="144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693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977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394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12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53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6C0159" w:rsidRPr="002E489C" w:rsidTr="0017597B">
        <w:trPr>
          <w:trHeight w:val="626"/>
        </w:trPr>
        <w:tc>
          <w:tcPr>
            <w:tcW w:w="1447" w:type="dxa"/>
          </w:tcPr>
          <w:p w:rsidR="006C0159" w:rsidRDefault="00D90F23" w:rsidP="000E209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0E2099">
              <w:rPr>
                <w:rFonts w:ascii="Tahoma" w:hAnsi="Tahoma" w:cs="Tahoma"/>
                <w:sz w:val="20"/>
                <w:szCs w:val="20"/>
              </w:rPr>
              <w:t>0338</w:t>
            </w:r>
          </w:p>
        </w:tc>
        <w:tc>
          <w:tcPr>
            <w:tcW w:w="2693" w:type="dxa"/>
          </w:tcPr>
          <w:p w:rsidR="006C0159" w:rsidRDefault="000E2099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6C0159" w:rsidRDefault="000E2099" w:rsidP="000E209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GRISELDA DE LA ROSA DE BARRIOS </w:t>
            </w:r>
          </w:p>
        </w:tc>
        <w:tc>
          <w:tcPr>
            <w:tcW w:w="4394" w:type="dxa"/>
          </w:tcPr>
          <w:p w:rsidR="006C0159" w:rsidRDefault="000E2099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DEPARTAMENTO DEL ATLANTICO</w:t>
            </w:r>
          </w:p>
        </w:tc>
        <w:tc>
          <w:tcPr>
            <w:tcW w:w="2126" w:type="dxa"/>
          </w:tcPr>
          <w:p w:rsidR="006C0159" w:rsidRDefault="000E2099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NO REPONE</w:t>
            </w:r>
          </w:p>
        </w:tc>
        <w:tc>
          <w:tcPr>
            <w:tcW w:w="1531" w:type="dxa"/>
          </w:tcPr>
          <w:p w:rsidR="006C0159" w:rsidRDefault="000E2099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20/10/2017</w:t>
            </w:r>
          </w:p>
        </w:tc>
      </w:tr>
      <w:tr w:rsidR="000E2099" w:rsidRPr="002E489C" w:rsidTr="0017597B">
        <w:trPr>
          <w:trHeight w:val="626"/>
        </w:trPr>
        <w:tc>
          <w:tcPr>
            <w:tcW w:w="1447" w:type="dxa"/>
          </w:tcPr>
          <w:p w:rsidR="000E2099" w:rsidRDefault="000E2099" w:rsidP="000E209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F82570">
              <w:rPr>
                <w:rFonts w:ascii="Tahoma" w:hAnsi="Tahoma" w:cs="Tahoma"/>
                <w:sz w:val="20"/>
                <w:szCs w:val="20"/>
              </w:rPr>
              <w:t>0186</w:t>
            </w:r>
          </w:p>
        </w:tc>
        <w:tc>
          <w:tcPr>
            <w:tcW w:w="2693" w:type="dxa"/>
          </w:tcPr>
          <w:p w:rsidR="000E2099" w:rsidRDefault="00F82570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0E2099" w:rsidRDefault="00F82570" w:rsidP="000E209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JORGE ALFREDO CASANOVA ROSERO</w:t>
            </w:r>
          </w:p>
        </w:tc>
        <w:tc>
          <w:tcPr>
            <w:tcW w:w="4394" w:type="dxa"/>
          </w:tcPr>
          <w:p w:rsidR="000E2099" w:rsidRDefault="00F82570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DISTRITO ESPECIAL,INDUSTRIA Y PORTUARIA DE BARRANQUILLA </w:t>
            </w:r>
          </w:p>
        </w:tc>
        <w:tc>
          <w:tcPr>
            <w:tcW w:w="2126" w:type="dxa"/>
          </w:tcPr>
          <w:p w:rsidR="000E2099" w:rsidRDefault="00F82570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531" w:type="dxa"/>
          </w:tcPr>
          <w:p w:rsidR="000E2099" w:rsidRDefault="00F82570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20/10/2017</w:t>
            </w:r>
          </w:p>
        </w:tc>
      </w:tr>
      <w:tr w:rsidR="00F82570" w:rsidRPr="002E489C" w:rsidTr="0017597B">
        <w:trPr>
          <w:trHeight w:val="626"/>
        </w:trPr>
        <w:tc>
          <w:tcPr>
            <w:tcW w:w="1447" w:type="dxa"/>
          </w:tcPr>
          <w:p w:rsidR="00F82570" w:rsidRDefault="00F82570" w:rsidP="000E209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2017-0141</w:t>
            </w:r>
          </w:p>
        </w:tc>
        <w:tc>
          <w:tcPr>
            <w:tcW w:w="2693" w:type="dxa"/>
          </w:tcPr>
          <w:p w:rsidR="00F82570" w:rsidRDefault="00F82570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977" w:type="dxa"/>
          </w:tcPr>
          <w:p w:rsidR="00F82570" w:rsidRDefault="00F82570" w:rsidP="000E209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MARTHA IRENE SANDOVAL LIZARAZO</w:t>
            </w:r>
          </w:p>
        </w:tc>
        <w:tc>
          <w:tcPr>
            <w:tcW w:w="4394" w:type="dxa"/>
          </w:tcPr>
          <w:p w:rsidR="00F82570" w:rsidRDefault="00F82570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MINISTERIO DE EDUCACION NACIONAL-FONDO NACIONAL DE PRESTACIONES SOCIALES DEL MAGISTERIO – DEPARTAMENTO DEL ATLANTICO </w:t>
            </w:r>
          </w:p>
        </w:tc>
        <w:tc>
          <w:tcPr>
            <w:tcW w:w="2126" w:type="dxa"/>
          </w:tcPr>
          <w:p w:rsidR="00F82570" w:rsidRDefault="00A729F1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CORRE TRASLADO DE PRUEBAS </w:t>
            </w:r>
          </w:p>
        </w:tc>
        <w:tc>
          <w:tcPr>
            <w:tcW w:w="1531" w:type="dxa"/>
          </w:tcPr>
          <w:p w:rsidR="00F82570" w:rsidRDefault="00A729F1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20/10/2017</w:t>
            </w:r>
          </w:p>
        </w:tc>
      </w:tr>
      <w:tr w:rsidR="00F233DB" w:rsidRPr="002E489C" w:rsidTr="0017597B">
        <w:trPr>
          <w:trHeight w:val="626"/>
        </w:trPr>
        <w:tc>
          <w:tcPr>
            <w:tcW w:w="1447" w:type="dxa"/>
          </w:tcPr>
          <w:p w:rsidR="00F233DB" w:rsidRDefault="00F233DB" w:rsidP="000E209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2017-00128</w:t>
            </w:r>
          </w:p>
        </w:tc>
        <w:tc>
          <w:tcPr>
            <w:tcW w:w="2693" w:type="dxa"/>
          </w:tcPr>
          <w:p w:rsidR="00F233DB" w:rsidRDefault="00F233DB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977" w:type="dxa"/>
          </w:tcPr>
          <w:p w:rsidR="00F233DB" w:rsidRDefault="00F233DB" w:rsidP="000E209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FANNY MARIA MORENO RUIZ </w:t>
            </w:r>
          </w:p>
        </w:tc>
        <w:tc>
          <w:tcPr>
            <w:tcW w:w="4394" w:type="dxa"/>
          </w:tcPr>
          <w:p w:rsidR="00F233DB" w:rsidRDefault="00F233DB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DEPARTAMENTO DEL ATLANTICO</w:t>
            </w:r>
          </w:p>
        </w:tc>
        <w:tc>
          <w:tcPr>
            <w:tcW w:w="2126" w:type="dxa"/>
          </w:tcPr>
          <w:p w:rsidR="00F233DB" w:rsidRDefault="00F233DB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DECLARA DESIERTO EL RECURSO DE APELACION</w:t>
            </w:r>
          </w:p>
        </w:tc>
        <w:tc>
          <w:tcPr>
            <w:tcW w:w="1531" w:type="dxa"/>
          </w:tcPr>
          <w:p w:rsidR="00F233DB" w:rsidRDefault="00F233DB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20/10/2017</w:t>
            </w:r>
          </w:p>
        </w:tc>
      </w:tr>
      <w:tr w:rsidR="00F233DB" w:rsidRPr="002E489C" w:rsidTr="0017597B">
        <w:trPr>
          <w:trHeight w:val="626"/>
        </w:trPr>
        <w:tc>
          <w:tcPr>
            <w:tcW w:w="1447" w:type="dxa"/>
          </w:tcPr>
          <w:p w:rsidR="00F233DB" w:rsidRDefault="00F233DB" w:rsidP="000E209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2017-0536</w:t>
            </w:r>
          </w:p>
        </w:tc>
        <w:tc>
          <w:tcPr>
            <w:tcW w:w="2693" w:type="dxa"/>
          </w:tcPr>
          <w:p w:rsidR="00F233DB" w:rsidRDefault="00F233DB" w:rsidP="00D53DA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INCIDENTE DE DESACATO </w:t>
            </w:r>
          </w:p>
        </w:tc>
        <w:tc>
          <w:tcPr>
            <w:tcW w:w="2977" w:type="dxa"/>
          </w:tcPr>
          <w:p w:rsidR="00F233DB" w:rsidRDefault="00F233DB" w:rsidP="000E2099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RUBEN DARIO SALAS PALENCIA </w:t>
            </w:r>
          </w:p>
        </w:tc>
        <w:tc>
          <w:tcPr>
            <w:tcW w:w="4394" w:type="dxa"/>
          </w:tcPr>
          <w:p w:rsidR="00F233DB" w:rsidRDefault="00F233DB" w:rsidP="00D53DA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HOSPITAL JUAN DOMINGUEZ ROMERO </w:t>
            </w:r>
          </w:p>
        </w:tc>
        <w:tc>
          <w:tcPr>
            <w:tcW w:w="2126" w:type="dxa"/>
          </w:tcPr>
          <w:p w:rsidR="00F233DB" w:rsidRDefault="00F233DB" w:rsidP="00B9221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REHAZAR POR IMPROCEDENTE. </w:t>
            </w:r>
            <w:bookmarkStart w:id="0" w:name="_GoBack"/>
            <w:bookmarkEnd w:id="0"/>
          </w:p>
        </w:tc>
        <w:tc>
          <w:tcPr>
            <w:tcW w:w="1531" w:type="dxa"/>
          </w:tcPr>
          <w:p w:rsidR="00F233DB" w:rsidRDefault="00F233DB" w:rsidP="007902CF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20/10/2017</w:t>
            </w:r>
          </w:p>
        </w:tc>
      </w:tr>
    </w:tbl>
    <w:p w:rsidR="00F2786D" w:rsidRPr="002E489C" w:rsidRDefault="00F2786D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Pr="002E489C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0E2099">
        <w:rPr>
          <w:rFonts w:ascii="Tahoma" w:hAnsi="Tahoma" w:cs="Tahoma"/>
          <w:sz w:val="20"/>
          <w:szCs w:val="20"/>
        </w:rPr>
        <w:t xml:space="preserve">  hoy veintitrés </w:t>
      </w:r>
      <w:r w:rsidR="00D90F23">
        <w:rPr>
          <w:rFonts w:ascii="Tahoma" w:hAnsi="Tahoma" w:cs="Tahoma"/>
          <w:sz w:val="20"/>
          <w:szCs w:val="20"/>
        </w:rPr>
        <w:t xml:space="preserve"> </w:t>
      </w:r>
      <w:r w:rsidR="000C166B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0E2099">
        <w:rPr>
          <w:rFonts w:ascii="Tahoma" w:hAnsi="Tahoma" w:cs="Tahoma"/>
          <w:sz w:val="20"/>
          <w:szCs w:val="20"/>
        </w:rPr>
        <w:t>23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0E2099">
                              <w:rPr>
                                <w:rFonts w:ascii="Tahoma" w:hAnsi="Tahoma" w:cs="Tahoma"/>
                                <w:sz w:val="20"/>
                              </w:rPr>
                              <w:t>128</w:t>
                            </w:r>
                            <w:r w:rsidR="00D53DAF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0E2099">
                              <w:rPr>
                                <w:rFonts w:ascii="Tahoma" w:hAnsi="Tahoma" w:cs="Tahoma"/>
                                <w:sz w:val="20"/>
                              </w:rPr>
                              <w:t>23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0E2099">
                        <w:rPr>
                          <w:rFonts w:ascii="Tahoma" w:hAnsi="Tahoma" w:cs="Tahoma"/>
                          <w:sz w:val="20"/>
                        </w:rPr>
                        <w:t>128</w:t>
                      </w:r>
                      <w:r w:rsidR="00D53DAF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0E2099">
                        <w:rPr>
                          <w:rFonts w:ascii="Tahoma" w:hAnsi="Tahoma" w:cs="Tahoma"/>
                          <w:sz w:val="20"/>
                        </w:rPr>
                        <w:t>23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>ESTADO No. 1</w:t>
      </w:r>
      <w:r w:rsidR="00CA770B">
        <w:rPr>
          <w:rFonts w:ascii="Tahoma" w:hAnsi="Tahoma" w:cs="Tahoma"/>
          <w:sz w:val="160"/>
        </w:rPr>
        <w:t>28</w:t>
      </w:r>
      <w:r>
        <w:rPr>
          <w:rFonts w:ascii="Tahoma" w:hAnsi="Tahoma" w:cs="Tahoma"/>
          <w:sz w:val="160"/>
        </w:rPr>
        <w:t xml:space="preserve"> DEL </w:t>
      </w:r>
      <w:r w:rsidR="00CA770B">
        <w:rPr>
          <w:rFonts w:ascii="Tahoma" w:hAnsi="Tahoma" w:cs="Tahoma"/>
          <w:sz w:val="160"/>
        </w:rPr>
        <w:t>23</w:t>
      </w:r>
      <w:r w:rsidR="003A5B67">
        <w:rPr>
          <w:rFonts w:ascii="Tahoma" w:hAnsi="Tahoma" w:cs="Tahoma"/>
          <w:sz w:val="160"/>
        </w:rPr>
        <w:t xml:space="preserve"> </w:t>
      </w:r>
      <w:r w:rsidR="00E75DF9">
        <w:rPr>
          <w:rFonts w:ascii="Tahoma" w:hAnsi="Tahoma" w:cs="Tahoma"/>
          <w:sz w:val="160"/>
        </w:rPr>
        <w:t xml:space="preserve">DE OCTUBRE </w:t>
      </w:r>
      <w:r w:rsidRPr="00516CE2">
        <w:rPr>
          <w:rFonts w:ascii="Tahoma" w:hAnsi="Tahoma" w:cs="Tahoma"/>
          <w:sz w:val="160"/>
        </w:rPr>
        <w:t xml:space="preserve"> DE 2017</w:t>
      </w:r>
      <w:r w:rsidR="0064528E">
        <w:rPr>
          <w:rFonts w:ascii="Tahoma" w:hAnsi="Tahoma" w:cs="Tahoma"/>
          <w:sz w:val="160"/>
        </w:rPr>
        <w:t>.</w:t>
      </w:r>
    </w:p>
    <w:sectPr w:rsidR="001C0788" w:rsidRPr="003A5B67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36E" w:rsidRDefault="0012036E" w:rsidP="00A624E3">
      <w:pPr>
        <w:spacing w:after="0" w:line="240" w:lineRule="auto"/>
      </w:pPr>
      <w:r>
        <w:separator/>
      </w:r>
    </w:p>
  </w:endnote>
  <w:endnote w:type="continuationSeparator" w:id="0">
    <w:p w:rsidR="0012036E" w:rsidRDefault="0012036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36E" w:rsidRDefault="0012036E" w:rsidP="00A624E3">
      <w:pPr>
        <w:spacing w:after="0" w:line="240" w:lineRule="auto"/>
      </w:pPr>
      <w:r>
        <w:separator/>
      </w:r>
    </w:p>
  </w:footnote>
  <w:footnote w:type="continuationSeparator" w:id="0">
    <w:p w:rsidR="0012036E" w:rsidRDefault="0012036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0E2099">
      <w:rPr>
        <w:rFonts w:ascii="Tahoma" w:hAnsi="Tahoma" w:cs="Tahoma"/>
        <w:b/>
      </w:rPr>
      <w:t>28</w:t>
    </w:r>
    <w:r w:rsidR="00B34FB5">
      <w:rPr>
        <w:rFonts w:ascii="Tahoma" w:hAnsi="Tahoma" w:cs="Tahoma"/>
        <w:b/>
      </w:rPr>
      <w:t xml:space="preserve"> DE </w:t>
    </w:r>
    <w:r w:rsidR="000E2099">
      <w:rPr>
        <w:rFonts w:ascii="Tahoma" w:hAnsi="Tahoma" w:cs="Tahoma"/>
        <w:b/>
      </w:rPr>
      <w:t>23</w:t>
    </w:r>
    <w:r w:rsidR="00D53DAF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0C166B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55A4B"/>
    <w:rsid w:val="00056F47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099"/>
    <w:rsid w:val="000E21C7"/>
    <w:rsid w:val="000E77B6"/>
    <w:rsid w:val="000E7CC9"/>
    <w:rsid w:val="000E7E0B"/>
    <w:rsid w:val="001036DB"/>
    <w:rsid w:val="0011478A"/>
    <w:rsid w:val="0012036E"/>
    <w:rsid w:val="00120643"/>
    <w:rsid w:val="00126CF3"/>
    <w:rsid w:val="001278E8"/>
    <w:rsid w:val="001279F8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31C4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3635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16D65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863CC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2A21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D5A"/>
    <w:rsid w:val="00423C31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4528E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478D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281"/>
    <w:rsid w:val="00796A08"/>
    <w:rsid w:val="00797EEF"/>
    <w:rsid w:val="007A054E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E6D27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9F1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2F13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A770B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3DAF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2887"/>
    <w:rsid w:val="00E432B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3DB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80159"/>
    <w:rsid w:val="00F81011"/>
    <w:rsid w:val="00F8127F"/>
    <w:rsid w:val="00F82570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2DFA-4C15-425E-9E39-11E7662C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10</cp:revision>
  <cp:lastPrinted>2017-10-20T20:34:00Z</cp:lastPrinted>
  <dcterms:created xsi:type="dcterms:W3CDTF">2017-10-19T19:38:00Z</dcterms:created>
  <dcterms:modified xsi:type="dcterms:W3CDTF">2017-10-20T21:03:00Z</dcterms:modified>
</cp:coreProperties>
</file>