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3173"/>
        <w:gridCol w:w="2304"/>
        <w:gridCol w:w="2330"/>
        <w:gridCol w:w="2632"/>
        <w:gridCol w:w="2449"/>
        <w:gridCol w:w="2280"/>
      </w:tblGrid>
      <w:tr w:rsidR="00A624E3" w:rsidRPr="001B100C" w:rsidTr="003A222A">
        <w:trPr>
          <w:trHeight w:val="563"/>
        </w:trPr>
        <w:tc>
          <w:tcPr>
            <w:tcW w:w="317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304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330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2632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449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2280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3A222A">
        <w:trPr>
          <w:trHeight w:val="753"/>
        </w:trPr>
        <w:tc>
          <w:tcPr>
            <w:tcW w:w="3173" w:type="dxa"/>
          </w:tcPr>
          <w:p w:rsidR="003C4C00" w:rsidRPr="00705BA0" w:rsidRDefault="00825617" w:rsidP="00126CF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00027-2017</w:t>
            </w:r>
          </w:p>
        </w:tc>
        <w:tc>
          <w:tcPr>
            <w:tcW w:w="2304" w:type="dxa"/>
          </w:tcPr>
          <w:p w:rsidR="003C4C00" w:rsidRPr="00705BA0" w:rsidRDefault="0055759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 del  derecho</w:t>
            </w:r>
            <w:r w:rsidR="00825617">
              <w:rPr>
                <w:rFonts w:ascii="Tahoma" w:hAnsi="Tahoma" w:cs="Tahoma"/>
                <w:sz w:val="21"/>
                <w:szCs w:val="21"/>
              </w:rPr>
              <w:t xml:space="preserve">  </w:t>
            </w:r>
          </w:p>
        </w:tc>
        <w:tc>
          <w:tcPr>
            <w:tcW w:w="2330" w:type="dxa"/>
          </w:tcPr>
          <w:p w:rsidR="003C4C00" w:rsidRPr="00705BA0" w:rsidRDefault="0055759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Edna Valencia de Pacheco</w:t>
            </w:r>
          </w:p>
        </w:tc>
        <w:tc>
          <w:tcPr>
            <w:tcW w:w="2632" w:type="dxa"/>
          </w:tcPr>
          <w:p w:rsidR="003C4C00" w:rsidRDefault="005A0A1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Municipio de candelaria </w:t>
            </w:r>
          </w:p>
          <w:p w:rsidR="005A0A13" w:rsidRPr="00705BA0" w:rsidRDefault="005A0A1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 Atlántico ) </w:t>
            </w:r>
          </w:p>
        </w:tc>
        <w:tc>
          <w:tcPr>
            <w:tcW w:w="2449" w:type="dxa"/>
          </w:tcPr>
          <w:p w:rsidR="003C4C00" w:rsidRPr="00705BA0" w:rsidRDefault="005A0A1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Reprográmese la fecha para la celebración de audiencia inicial </w:t>
            </w:r>
          </w:p>
        </w:tc>
        <w:tc>
          <w:tcPr>
            <w:tcW w:w="2280" w:type="dxa"/>
          </w:tcPr>
          <w:p w:rsidR="003C4C00" w:rsidRPr="00705BA0" w:rsidRDefault="00D2319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0E7CC9" w:rsidRPr="001B100C" w:rsidTr="003A222A">
        <w:trPr>
          <w:trHeight w:val="768"/>
        </w:trPr>
        <w:tc>
          <w:tcPr>
            <w:tcW w:w="3173" w:type="dxa"/>
          </w:tcPr>
          <w:p w:rsidR="000E7CC9" w:rsidRPr="00705BA0" w:rsidRDefault="00D23199" w:rsidP="00E3475D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 xml:space="preserve">00454-2017 </w:t>
            </w:r>
          </w:p>
        </w:tc>
        <w:tc>
          <w:tcPr>
            <w:tcW w:w="2304" w:type="dxa"/>
          </w:tcPr>
          <w:p w:rsidR="000E7CC9" w:rsidRPr="00705BA0" w:rsidRDefault="005617E0" w:rsidP="00705BA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 del  derecho  </w:t>
            </w:r>
          </w:p>
        </w:tc>
        <w:tc>
          <w:tcPr>
            <w:tcW w:w="2330" w:type="dxa"/>
          </w:tcPr>
          <w:p w:rsidR="000E7CC9" w:rsidRPr="00705BA0" w:rsidRDefault="005617E0" w:rsidP="00705BA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Álvaro Ospin</w:t>
            </w:r>
            <w:bookmarkStart w:id="0" w:name="_GoBack"/>
            <w:r>
              <w:rPr>
                <w:rFonts w:ascii="Tahoma" w:hAnsi="Tahoma" w:cs="Tahoma"/>
                <w:sz w:val="21"/>
                <w:szCs w:val="21"/>
              </w:rPr>
              <w:t>a</w:t>
            </w:r>
            <w:bookmarkEnd w:id="0"/>
            <w:r>
              <w:rPr>
                <w:rFonts w:ascii="Tahoma" w:hAnsi="Tahoma" w:cs="Tahoma"/>
                <w:sz w:val="21"/>
                <w:szCs w:val="21"/>
              </w:rPr>
              <w:t xml:space="preserve"> Cortes </w:t>
            </w:r>
          </w:p>
        </w:tc>
        <w:tc>
          <w:tcPr>
            <w:tcW w:w="2632" w:type="dxa"/>
          </w:tcPr>
          <w:p w:rsidR="000E7CC9" w:rsidRPr="00705BA0" w:rsidRDefault="005617E0" w:rsidP="00705BA0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Distrito  especial  industrial  y  portuario  </w:t>
            </w:r>
          </w:p>
        </w:tc>
        <w:tc>
          <w:tcPr>
            <w:tcW w:w="2449" w:type="dxa"/>
          </w:tcPr>
          <w:p w:rsidR="000E7CC9" w:rsidRPr="00705BA0" w:rsidRDefault="002549AF" w:rsidP="00705BA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Déjese sin efecto  la notificación por estado No. 070 de 06/08/17</w:t>
            </w:r>
          </w:p>
        </w:tc>
        <w:tc>
          <w:tcPr>
            <w:tcW w:w="2280" w:type="dxa"/>
          </w:tcPr>
          <w:p w:rsidR="000E7CC9" w:rsidRPr="00705BA0" w:rsidRDefault="002549A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A70A0C" w:rsidRPr="001B100C" w:rsidTr="003A222A">
        <w:trPr>
          <w:trHeight w:val="1265"/>
        </w:trPr>
        <w:tc>
          <w:tcPr>
            <w:tcW w:w="3173" w:type="dxa"/>
          </w:tcPr>
          <w:p w:rsidR="00A70A0C" w:rsidRPr="00705BA0" w:rsidRDefault="000C07D3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00015-2017</w:t>
            </w:r>
          </w:p>
        </w:tc>
        <w:tc>
          <w:tcPr>
            <w:tcW w:w="2304" w:type="dxa"/>
          </w:tcPr>
          <w:p w:rsidR="00A70A0C" w:rsidRPr="00705BA0" w:rsidRDefault="000C07D3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 del  derecho  </w:t>
            </w:r>
          </w:p>
        </w:tc>
        <w:tc>
          <w:tcPr>
            <w:tcW w:w="2330" w:type="dxa"/>
          </w:tcPr>
          <w:p w:rsidR="00A70A0C" w:rsidRPr="00705BA0" w:rsidRDefault="000C07D3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Ricardo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Berdugo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Gilbert</w:t>
            </w:r>
          </w:p>
        </w:tc>
        <w:tc>
          <w:tcPr>
            <w:tcW w:w="2632" w:type="dxa"/>
          </w:tcPr>
          <w:p w:rsidR="00A70A0C" w:rsidRPr="00705BA0" w:rsidRDefault="007C73F4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Nación-ministerio de educación – fondo  nacional de prestaciones sociales del magisterio y  municipio  de soledad </w:t>
            </w:r>
          </w:p>
        </w:tc>
        <w:tc>
          <w:tcPr>
            <w:tcW w:w="2449" w:type="dxa"/>
          </w:tcPr>
          <w:p w:rsidR="00A70A0C" w:rsidRPr="00705BA0" w:rsidRDefault="00AC5694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Reprográmese la fecha para la celebración de audiencia inicial</w:t>
            </w:r>
          </w:p>
        </w:tc>
        <w:tc>
          <w:tcPr>
            <w:tcW w:w="2280" w:type="dxa"/>
          </w:tcPr>
          <w:p w:rsidR="00A70A0C" w:rsidRDefault="00843BF4" w:rsidP="00A70A0C">
            <w:r>
              <w:rPr>
                <w:rFonts w:ascii="Tahoma" w:hAnsi="Tahoma" w:cs="Tahoma"/>
                <w:sz w:val="21"/>
                <w:szCs w:val="21"/>
              </w:rPr>
              <w:t>16 de agosto  de    2017</w:t>
            </w:r>
          </w:p>
        </w:tc>
      </w:tr>
      <w:tr w:rsidR="00A70A0C" w:rsidRPr="001B100C" w:rsidTr="003A222A">
        <w:trPr>
          <w:trHeight w:val="1265"/>
        </w:trPr>
        <w:tc>
          <w:tcPr>
            <w:tcW w:w="3173" w:type="dxa"/>
          </w:tcPr>
          <w:p w:rsidR="00A70A0C" w:rsidRPr="00705BA0" w:rsidRDefault="00833818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00486-2017</w:t>
            </w:r>
          </w:p>
        </w:tc>
        <w:tc>
          <w:tcPr>
            <w:tcW w:w="2304" w:type="dxa"/>
          </w:tcPr>
          <w:p w:rsidR="00A70A0C" w:rsidRPr="00705BA0" w:rsidRDefault="00833818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 del  derecho  </w:t>
            </w:r>
          </w:p>
        </w:tc>
        <w:tc>
          <w:tcPr>
            <w:tcW w:w="2330" w:type="dxa"/>
          </w:tcPr>
          <w:p w:rsidR="00A70A0C" w:rsidRPr="00705BA0" w:rsidRDefault="00833818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Reinaldo Cabrera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Calderon</w:t>
            </w:r>
            <w:proofErr w:type="spellEnd"/>
          </w:p>
        </w:tc>
        <w:tc>
          <w:tcPr>
            <w:tcW w:w="2632" w:type="dxa"/>
          </w:tcPr>
          <w:p w:rsidR="00A70A0C" w:rsidRPr="00705BA0" w:rsidRDefault="00843BF4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Nación-ministerio de educación – fondo  nacional de prestaciones sociales del magisterio y  municipio  de soledad</w:t>
            </w:r>
          </w:p>
        </w:tc>
        <w:tc>
          <w:tcPr>
            <w:tcW w:w="2449" w:type="dxa"/>
          </w:tcPr>
          <w:p w:rsidR="00A70A0C" w:rsidRPr="00705BA0" w:rsidRDefault="00843BF4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Admítase la demanda </w:t>
            </w:r>
          </w:p>
        </w:tc>
        <w:tc>
          <w:tcPr>
            <w:tcW w:w="2280" w:type="dxa"/>
          </w:tcPr>
          <w:p w:rsidR="00A70A0C" w:rsidRDefault="00843BF4" w:rsidP="00A70A0C"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A70A0C" w:rsidRPr="001B100C" w:rsidTr="003A222A">
        <w:trPr>
          <w:trHeight w:val="1265"/>
        </w:trPr>
        <w:tc>
          <w:tcPr>
            <w:tcW w:w="3173" w:type="dxa"/>
          </w:tcPr>
          <w:p w:rsidR="00A70A0C" w:rsidRPr="00705BA0" w:rsidRDefault="00741C32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00246-2017</w:t>
            </w:r>
          </w:p>
        </w:tc>
        <w:tc>
          <w:tcPr>
            <w:tcW w:w="2304" w:type="dxa"/>
          </w:tcPr>
          <w:p w:rsidR="00A70A0C" w:rsidRPr="00705BA0" w:rsidRDefault="00741C32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Ejecutivo</w:t>
            </w:r>
          </w:p>
        </w:tc>
        <w:tc>
          <w:tcPr>
            <w:tcW w:w="2330" w:type="dxa"/>
          </w:tcPr>
          <w:p w:rsidR="00A70A0C" w:rsidRPr="00705BA0" w:rsidRDefault="005E7C30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Mirian Cervantes Vanegas y otros </w:t>
            </w:r>
          </w:p>
        </w:tc>
        <w:tc>
          <w:tcPr>
            <w:tcW w:w="2632" w:type="dxa"/>
          </w:tcPr>
          <w:p w:rsidR="00A70A0C" w:rsidRPr="00705BA0" w:rsidRDefault="005E7C30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Dirección distrital  de liquidaciones </w:t>
            </w:r>
          </w:p>
        </w:tc>
        <w:tc>
          <w:tcPr>
            <w:tcW w:w="2449" w:type="dxa"/>
          </w:tcPr>
          <w:p w:rsidR="00A70A0C" w:rsidRPr="00705BA0" w:rsidRDefault="00D17B29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Obedézcase y  cúmplase, lo  resuelto por el  tribunal en providencia de fecha 18/08/17 </w:t>
            </w:r>
          </w:p>
        </w:tc>
        <w:tc>
          <w:tcPr>
            <w:tcW w:w="2280" w:type="dxa"/>
          </w:tcPr>
          <w:p w:rsidR="00A70A0C" w:rsidRDefault="00D17B29" w:rsidP="00A70A0C"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A70A0C" w:rsidRPr="001B100C" w:rsidTr="003A222A">
        <w:trPr>
          <w:trHeight w:val="1024"/>
        </w:trPr>
        <w:tc>
          <w:tcPr>
            <w:tcW w:w="3173" w:type="dxa"/>
          </w:tcPr>
          <w:p w:rsidR="00A70A0C" w:rsidRPr="00705BA0" w:rsidRDefault="001621DC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000504-2017</w:t>
            </w:r>
          </w:p>
        </w:tc>
        <w:tc>
          <w:tcPr>
            <w:tcW w:w="2304" w:type="dxa"/>
          </w:tcPr>
          <w:p w:rsidR="00A70A0C" w:rsidRPr="00705BA0" w:rsidRDefault="001621DC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 del  derecho  </w:t>
            </w:r>
          </w:p>
        </w:tc>
        <w:tc>
          <w:tcPr>
            <w:tcW w:w="2330" w:type="dxa"/>
          </w:tcPr>
          <w:p w:rsidR="00A70A0C" w:rsidRPr="00705BA0" w:rsidRDefault="001621DC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Carlos Adolfo Vizcaíno Perez </w:t>
            </w:r>
          </w:p>
        </w:tc>
        <w:tc>
          <w:tcPr>
            <w:tcW w:w="2632" w:type="dxa"/>
          </w:tcPr>
          <w:p w:rsidR="00A70A0C" w:rsidRPr="00705BA0" w:rsidRDefault="00A67B63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proofErr w:type="spellStart"/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nacion</w:t>
            </w:r>
            <w:proofErr w:type="spellEnd"/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-ministerio de educación – fondo  nacional de prestaciones sociales del magisterio</w:t>
            </w:r>
          </w:p>
        </w:tc>
        <w:tc>
          <w:tcPr>
            <w:tcW w:w="2449" w:type="dxa"/>
          </w:tcPr>
          <w:p w:rsidR="00A70A0C" w:rsidRPr="00705BA0" w:rsidRDefault="00A67B63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Inadmitir la demanda </w:t>
            </w:r>
          </w:p>
        </w:tc>
        <w:tc>
          <w:tcPr>
            <w:tcW w:w="2280" w:type="dxa"/>
          </w:tcPr>
          <w:p w:rsidR="00A70A0C" w:rsidRDefault="001C314E" w:rsidP="00A70A0C"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A70A0C" w:rsidRPr="001B100C" w:rsidTr="003A222A">
        <w:trPr>
          <w:trHeight w:val="935"/>
        </w:trPr>
        <w:tc>
          <w:tcPr>
            <w:tcW w:w="3173" w:type="dxa"/>
          </w:tcPr>
          <w:p w:rsidR="00A70A0C" w:rsidRPr="00705BA0" w:rsidRDefault="00C46F2C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00505-2017</w:t>
            </w:r>
          </w:p>
        </w:tc>
        <w:tc>
          <w:tcPr>
            <w:tcW w:w="2304" w:type="dxa"/>
          </w:tcPr>
          <w:p w:rsidR="00A70A0C" w:rsidRPr="00705BA0" w:rsidRDefault="00C46F2C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Reparación directa </w:t>
            </w:r>
          </w:p>
        </w:tc>
        <w:tc>
          <w:tcPr>
            <w:tcW w:w="2330" w:type="dxa"/>
          </w:tcPr>
          <w:p w:rsidR="00A70A0C" w:rsidRPr="00705BA0" w:rsidRDefault="00C46F2C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Noe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Javier Pacheco</w:t>
            </w:r>
          </w:p>
        </w:tc>
        <w:tc>
          <w:tcPr>
            <w:tcW w:w="2632" w:type="dxa"/>
          </w:tcPr>
          <w:p w:rsidR="00A70A0C" w:rsidRPr="00705BA0" w:rsidRDefault="00C46F2C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Nación- superintendencia de sociedades-superintendencia financiera </w:t>
            </w:r>
            <w:r w:rsidR="00DB6CA2"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–fiscalía general de la nación y  grupo  empresarial aliados S.A.S </w:t>
            </w:r>
          </w:p>
        </w:tc>
        <w:tc>
          <w:tcPr>
            <w:tcW w:w="2449" w:type="dxa"/>
          </w:tcPr>
          <w:p w:rsidR="00A70A0C" w:rsidRPr="00705BA0" w:rsidRDefault="00DB6CA2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Inadmitir la demanda</w:t>
            </w:r>
          </w:p>
        </w:tc>
        <w:tc>
          <w:tcPr>
            <w:tcW w:w="2280" w:type="dxa"/>
          </w:tcPr>
          <w:p w:rsidR="00A70A0C" w:rsidRDefault="00DB6CA2" w:rsidP="00A70A0C"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A70A0C" w:rsidRPr="001B100C" w:rsidTr="003A222A">
        <w:trPr>
          <w:trHeight w:val="1009"/>
        </w:trPr>
        <w:tc>
          <w:tcPr>
            <w:tcW w:w="3173" w:type="dxa"/>
          </w:tcPr>
          <w:p w:rsidR="00A70A0C" w:rsidRPr="00705BA0" w:rsidRDefault="00C531BC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lastRenderedPageBreak/>
              <w:t>02498-2017</w:t>
            </w:r>
          </w:p>
        </w:tc>
        <w:tc>
          <w:tcPr>
            <w:tcW w:w="2304" w:type="dxa"/>
          </w:tcPr>
          <w:p w:rsidR="00A70A0C" w:rsidRPr="00705BA0" w:rsidRDefault="00C531BC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Ejecutivo contractual</w:t>
            </w:r>
          </w:p>
        </w:tc>
        <w:tc>
          <w:tcPr>
            <w:tcW w:w="2330" w:type="dxa"/>
          </w:tcPr>
          <w:p w:rsidR="00A70A0C" w:rsidRPr="00705BA0" w:rsidRDefault="00CF284F" w:rsidP="00CF284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Administradora publica cooperativa de municipios (coopmunicipios) </w:t>
            </w:r>
          </w:p>
        </w:tc>
        <w:tc>
          <w:tcPr>
            <w:tcW w:w="2632" w:type="dxa"/>
          </w:tcPr>
          <w:p w:rsidR="00A70A0C" w:rsidRPr="00705BA0" w:rsidRDefault="00CF284F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Municipio  de polo nuevo  Atlántico </w:t>
            </w:r>
          </w:p>
        </w:tc>
        <w:tc>
          <w:tcPr>
            <w:tcW w:w="2449" w:type="dxa"/>
          </w:tcPr>
          <w:p w:rsidR="00A70A0C" w:rsidRPr="00705BA0" w:rsidRDefault="00EB5A4F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No  acceder a insistir en el  embargo de las cuentas </w:t>
            </w:r>
          </w:p>
        </w:tc>
        <w:tc>
          <w:tcPr>
            <w:tcW w:w="2280" w:type="dxa"/>
          </w:tcPr>
          <w:p w:rsidR="00A70A0C" w:rsidRDefault="00EB5A4F" w:rsidP="00A70A0C"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A70A0C" w:rsidRPr="001B100C" w:rsidTr="003A222A">
        <w:trPr>
          <w:trHeight w:val="1265"/>
        </w:trPr>
        <w:tc>
          <w:tcPr>
            <w:tcW w:w="3173" w:type="dxa"/>
          </w:tcPr>
          <w:p w:rsidR="00A70A0C" w:rsidRPr="00705BA0" w:rsidRDefault="00055A4B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00485-2017</w:t>
            </w:r>
          </w:p>
        </w:tc>
        <w:tc>
          <w:tcPr>
            <w:tcW w:w="2304" w:type="dxa"/>
          </w:tcPr>
          <w:p w:rsidR="00A70A0C" w:rsidRPr="00705BA0" w:rsidRDefault="00055A4B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 del  derecho  </w:t>
            </w:r>
          </w:p>
        </w:tc>
        <w:tc>
          <w:tcPr>
            <w:tcW w:w="2330" w:type="dxa"/>
          </w:tcPr>
          <w:p w:rsidR="00A70A0C" w:rsidRPr="00705BA0" w:rsidRDefault="00CF164D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Jorge Eliecer Carrillo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Marimon</w:t>
            </w:r>
            <w:proofErr w:type="spellEnd"/>
          </w:p>
        </w:tc>
        <w:tc>
          <w:tcPr>
            <w:tcW w:w="2632" w:type="dxa"/>
          </w:tcPr>
          <w:p w:rsidR="00A70A0C" w:rsidRPr="00705BA0" w:rsidRDefault="000206C9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nación</w:t>
            </w:r>
            <w:r w:rsidR="00CF164D">
              <w:rPr>
                <w:rFonts w:ascii="Tahoma" w:hAnsi="Tahoma" w:cs="Tahoma"/>
                <w:iCs/>
                <w:sz w:val="21"/>
                <w:szCs w:val="21"/>
                <w:lang w:val="es-CO"/>
              </w:rPr>
              <w:t>-ministerio de educación – fondo  nacional de prestaciones sociales del magisterio</w:t>
            </w:r>
            <w:r w:rsidR="00197B4E"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- secretaria de educación </w:t>
            </w:r>
          </w:p>
        </w:tc>
        <w:tc>
          <w:tcPr>
            <w:tcW w:w="2449" w:type="dxa"/>
          </w:tcPr>
          <w:p w:rsidR="00A70A0C" w:rsidRPr="00705BA0" w:rsidRDefault="00CF164D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Admítase la demanda </w:t>
            </w:r>
          </w:p>
        </w:tc>
        <w:tc>
          <w:tcPr>
            <w:tcW w:w="2280" w:type="dxa"/>
          </w:tcPr>
          <w:p w:rsidR="00A70A0C" w:rsidRDefault="00197B4E" w:rsidP="00A70A0C"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3A222A" w:rsidRPr="001B100C" w:rsidTr="00B15BE9">
        <w:trPr>
          <w:trHeight w:val="679"/>
        </w:trPr>
        <w:tc>
          <w:tcPr>
            <w:tcW w:w="3173" w:type="dxa"/>
          </w:tcPr>
          <w:p w:rsidR="003A222A" w:rsidRDefault="003A222A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00492-2017</w:t>
            </w:r>
          </w:p>
        </w:tc>
        <w:tc>
          <w:tcPr>
            <w:tcW w:w="2304" w:type="dxa"/>
          </w:tcPr>
          <w:p w:rsidR="003A222A" w:rsidRDefault="003A222A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Tutela</w:t>
            </w:r>
          </w:p>
        </w:tc>
        <w:tc>
          <w:tcPr>
            <w:tcW w:w="2330" w:type="dxa"/>
          </w:tcPr>
          <w:p w:rsidR="003A222A" w:rsidRDefault="003A222A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Cenith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Conrado Miranda </w:t>
            </w:r>
          </w:p>
        </w:tc>
        <w:tc>
          <w:tcPr>
            <w:tcW w:w="2632" w:type="dxa"/>
          </w:tcPr>
          <w:p w:rsidR="003A222A" w:rsidRDefault="003A222A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Colpensiones </w:t>
            </w:r>
          </w:p>
        </w:tc>
        <w:tc>
          <w:tcPr>
            <w:tcW w:w="2449" w:type="dxa"/>
          </w:tcPr>
          <w:p w:rsidR="003A222A" w:rsidRDefault="00987E61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 requiere…</w:t>
            </w:r>
          </w:p>
        </w:tc>
        <w:tc>
          <w:tcPr>
            <w:tcW w:w="2280" w:type="dxa"/>
          </w:tcPr>
          <w:p w:rsidR="003A222A" w:rsidRDefault="00987E61" w:rsidP="00A70A0C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B15BE9" w:rsidRPr="001B100C" w:rsidTr="003A222A">
        <w:trPr>
          <w:trHeight w:val="1265"/>
        </w:trPr>
        <w:tc>
          <w:tcPr>
            <w:tcW w:w="3173" w:type="dxa"/>
          </w:tcPr>
          <w:p w:rsidR="00B15BE9" w:rsidRDefault="00B15BE9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00507-2017</w:t>
            </w:r>
          </w:p>
        </w:tc>
        <w:tc>
          <w:tcPr>
            <w:tcW w:w="2304" w:type="dxa"/>
          </w:tcPr>
          <w:p w:rsidR="00B15BE9" w:rsidRDefault="00B15BE9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Ejecutivo </w:t>
            </w:r>
          </w:p>
        </w:tc>
        <w:tc>
          <w:tcPr>
            <w:tcW w:w="2330" w:type="dxa"/>
          </w:tcPr>
          <w:p w:rsidR="00B15BE9" w:rsidRDefault="00B15BE9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Zoraida Sofía valencia Martínez </w:t>
            </w:r>
          </w:p>
        </w:tc>
        <w:tc>
          <w:tcPr>
            <w:tcW w:w="2632" w:type="dxa"/>
          </w:tcPr>
          <w:p w:rsidR="00B15BE9" w:rsidRDefault="002945CE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proofErr w:type="spellStart"/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Cajanal</w:t>
            </w:r>
            <w:proofErr w:type="spellEnd"/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 E.I.C.E. – unidad administrativa especial para la gestión </w:t>
            </w:r>
            <w:r w:rsidR="0054445D"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pensional y contribuciones parafiscales </w:t>
            </w:r>
          </w:p>
        </w:tc>
        <w:tc>
          <w:tcPr>
            <w:tcW w:w="2449" w:type="dxa"/>
          </w:tcPr>
          <w:p w:rsidR="00B15BE9" w:rsidRDefault="00DA10F9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Líbrese mandamiento  de pago</w:t>
            </w:r>
          </w:p>
        </w:tc>
        <w:tc>
          <w:tcPr>
            <w:tcW w:w="2280" w:type="dxa"/>
          </w:tcPr>
          <w:p w:rsidR="00B15BE9" w:rsidRDefault="00BA21C9" w:rsidP="00A70A0C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  <w:tr w:rsidR="00BA21C9" w:rsidRPr="001B100C" w:rsidTr="00BA21C9">
        <w:trPr>
          <w:trHeight w:val="821"/>
        </w:trPr>
        <w:tc>
          <w:tcPr>
            <w:tcW w:w="3173" w:type="dxa"/>
          </w:tcPr>
          <w:p w:rsidR="00BA21C9" w:rsidRDefault="004F6537" w:rsidP="00A70A0C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00506-2017</w:t>
            </w:r>
          </w:p>
        </w:tc>
        <w:tc>
          <w:tcPr>
            <w:tcW w:w="2304" w:type="dxa"/>
          </w:tcPr>
          <w:p w:rsidR="00BA21C9" w:rsidRDefault="004F6537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del derecho </w:t>
            </w:r>
          </w:p>
        </w:tc>
        <w:tc>
          <w:tcPr>
            <w:tcW w:w="2330" w:type="dxa"/>
          </w:tcPr>
          <w:p w:rsidR="00BA21C9" w:rsidRDefault="00DB3961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Alfonso Enrique Lopez Merlano</w:t>
            </w:r>
          </w:p>
        </w:tc>
        <w:tc>
          <w:tcPr>
            <w:tcW w:w="2632" w:type="dxa"/>
          </w:tcPr>
          <w:p w:rsidR="00BA21C9" w:rsidRDefault="00DB3961" w:rsidP="00A70A0C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Caja de sueldos de retiro  de la policía </w:t>
            </w:r>
          </w:p>
        </w:tc>
        <w:tc>
          <w:tcPr>
            <w:tcW w:w="2449" w:type="dxa"/>
          </w:tcPr>
          <w:p w:rsidR="00BA21C9" w:rsidRDefault="00DB3961" w:rsidP="00A70A0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Admítase la demanda </w:t>
            </w:r>
          </w:p>
        </w:tc>
        <w:tc>
          <w:tcPr>
            <w:tcW w:w="2280" w:type="dxa"/>
          </w:tcPr>
          <w:p w:rsidR="00BA21C9" w:rsidRDefault="00DB3961" w:rsidP="00A70A0C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 de agosto  de 2017</w:t>
            </w:r>
          </w:p>
        </w:tc>
      </w:tr>
    </w:tbl>
    <w:p w:rsidR="00364F1A" w:rsidRDefault="00364F1A" w:rsidP="00467ABE">
      <w:pPr>
        <w:jc w:val="both"/>
        <w:rPr>
          <w:rFonts w:ascii="Tahoma" w:hAnsi="Tahoma" w:cs="Tahoma"/>
        </w:rPr>
      </w:pPr>
    </w:p>
    <w:p w:rsidR="003D5426" w:rsidRP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 </w:t>
      </w:r>
      <w:r w:rsidR="00B3113D">
        <w:rPr>
          <w:rFonts w:ascii="Tahoma" w:hAnsi="Tahoma" w:cs="Tahoma"/>
        </w:rPr>
        <w:t>diecisiete</w:t>
      </w:r>
      <w:r w:rsidR="00EA110B">
        <w:rPr>
          <w:rFonts w:ascii="Tahoma" w:hAnsi="Tahoma" w:cs="Tahoma"/>
        </w:rPr>
        <w:t xml:space="preserve"> (</w:t>
      </w:r>
      <w:r w:rsidR="00B3113D">
        <w:rPr>
          <w:rFonts w:ascii="Tahoma" w:hAnsi="Tahoma" w:cs="Tahoma"/>
        </w:rPr>
        <w:t>17</w:t>
      </w:r>
      <w:r w:rsidR="001B100C" w:rsidRPr="00705BA0">
        <w:rPr>
          <w:rFonts w:ascii="Tahoma" w:hAnsi="Tahoma" w:cs="Tahoma"/>
        </w:rPr>
        <w:t xml:space="preserve">) de </w:t>
      </w:r>
      <w:r w:rsidR="000206C9">
        <w:rPr>
          <w:rFonts w:ascii="Tahoma" w:hAnsi="Tahoma" w:cs="Tahoma"/>
        </w:rPr>
        <w:t>agosto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A624E3" w:rsidRPr="001B100C" w:rsidRDefault="00B34FB5" w:rsidP="00467ABE">
      <w:pPr>
        <w:jc w:val="both"/>
        <w:rPr>
          <w:rFonts w:ascii="Tahoma" w:hAnsi="Tahoma" w:cs="Tahoma"/>
          <w:highlight w:val="yellow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7CC9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93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17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3113D">
                              <w:rPr>
                                <w:rFonts w:ascii="Tahoma" w:hAnsi="Tahoma" w:cs="Tahoma"/>
                                <w:sz w:val="20"/>
                              </w:rPr>
                              <w:t>AGOSTO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7CC9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93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17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3113D">
                        <w:rPr>
                          <w:rFonts w:ascii="Tahoma" w:hAnsi="Tahoma" w:cs="Tahoma"/>
                          <w:sz w:val="20"/>
                        </w:rPr>
                        <w:t>AGOSTO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1B100C" w:rsidRDefault="00A624E3" w:rsidP="00467ABE">
      <w:pPr>
        <w:pStyle w:val="Sinespaciado"/>
        <w:jc w:val="center"/>
        <w:rPr>
          <w:rFonts w:ascii="Tahoma" w:hAnsi="Tahoma" w:cs="Tahoma"/>
        </w:rPr>
      </w:pPr>
      <w:r w:rsidRPr="001B100C">
        <w:rPr>
          <w:rFonts w:ascii="Tahoma" w:hAnsi="Tahoma" w:cs="Tahoma"/>
        </w:rPr>
        <w:t>______________________________________________________________</w:t>
      </w:r>
    </w:p>
    <w:p w:rsidR="002E61B5" w:rsidRPr="001B100C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 </w:t>
      </w:r>
    </w:p>
    <w:p w:rsidR="00C15B94" w:rsidRDefault="00C15B94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516CE2">
      <w:pPr>
        <w:tabs>
          <w:tab w:val="left" w:pos="4870"/>
        </w:tabs>
        <w:jc w:val="both"/>
        <w:rPr>
          <w:rFonts w:ascii="Tahoma" w:hAnsi="Tahoma" w:cs="Tahoma"/>
        </w:rPr>
      </w:pPr>
      <w:r w:rsidRPr="00516CE2">
        <w:rPr>
          <w:rFonts w:ascii="Tahoma" w:hAnsi="Tahoma" w:cs="Tahoma"/>
          <w:sz w:val="160"/>
        </w:rPr>
        <w:lastRenderedPageBreak/>
        <w:t>ESTADO No. 093 DE 17 DE AGOSTO  DE 2017</w:t>
      </w:r>
      <w:r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B6" w:rsidRDefault="003A5EB6" w:rsidP="00A624E3">
      <w:pPr>
        <w:spacing w:after="0" w:line="240" w:lineRule="auto"/>
      </w:pPr>
      <w:r>
        <w:separator/>
      </w:r>
    </w:p>
  </w:endnote>
  <w:endnote w:type="continuationSeparator" w:id="0">
    <w:p w:rsidR="003A5EB6" w:rsidRDefault="003A5EB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B6" w:rsidRDefault="003A5EB6" w:rsidP="00A624E3">
      <w:pPr>
        <w:spacing w:after="0" w:line="240" w:lineRule="auto"/>
      </w:pPr>
      <w:r>
        <w:separator/>
      </w:r>
    </w:p>
  </w:footnote>
  <w:footnote w:type="continuationSeparator" w:id="0">
    <w:p w:rsidR="003A5EB6" w:rsidRDefault="003A5EB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0E7CC9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DB4978">
      <w:rPr>
        <w:rFonts w:ascii="Tahoma" w:hAnsi="Tahoma" w:cs="Tahoma"/>
        <w:b/>
      </w:rPr>
      <w:t>93</w:t>
    </w:r>
    <w:r w:rsidR="00B34FB5">
      <w:rPr>
        <w:rFonts w:ascii="Tahoma" w:hAnsi="Tahoma" w:cs="Tahoma"/>
        <w:b/>
      </w:rPr>
      <w:t xml:space="preserve"> DE </w:t>
    </w:r>
    <w:r w:rsidR="00DB4978">
      <w:rPr>
        <w:rFonts w:ascii="Tahoma" w:hAnsi="Tahoma" w:cs="Tahoma"/>
        <w:b/>
      </w:rPr>
      <w:t>17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B4978">
      <w:rPr>
        <w:rFonts w:ascii="Tahoma" w:hAnsi="Tahoma" w:cs="Tahoma"/>
        <w:b/>
      </w:rPr>
      <w:t>AGOSTO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314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46EA"/>
    <w:rsid w:val="003766D6"/>
    <w:rsid w:val="00384321"/>
    <w:rsid w:val="0038657C"/>
    <w:rsid w:val="00390561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315C5"/>
    <w:rsid w:val="00431EE8"/>
    <w:rsid w:val="0043586A"/>
    <w:rsid w:val="00437B73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B176F"/>
    <w:rsid w:val="00AB5B0E"/>
    <w:rsid w:val="00AC059C"/>
    <w:rsid w:val="00AC4491"/>
    <w:rsid w:val="00AC5694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E12EC"/>
    <w:rsid w:val="00BE6CD3"/>
    <w:rsid w:val="00BF078D"/>
    <w:rsid w:val="00BF0ED3"/>
    <w:rsid w:val="00BF2098"/>
    <w:rsid w:val="00BF7D5F"/>
    <w:rsid w:val="00C02205"/>
    <w:rsid w:val="00C023F6"/>
    <w:rsid w:val="00C05CDC"/>
    <w:rsid w:val="00C078A2"/>
    <w:rsid w:val="00C131B5"/>
    <w:rsid w:val="00C15B94"/>
    <w:rsid w:val="00C2314F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B5A4F"/>
    <w:rsid w:val="00EC545E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0797-6C89-41F2-983C-E5B3C63C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cp:lastPrinted>2017-08-16T21:43:00Z</cp:lastPrinted>
  <dcterms:created xsi:type="dcterms:W3CDTF">2017-08-16T21:54:00Z</dcterms:created>
  <dcterms:modified xsi:type="dcterms:W3CDTF">2017-08-17T12:12:00Z</dcterms:modified>
</cp:coreProperties>
</file>