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E8AB" w14:textId="77777777" w:rsidR="004A1D70" w:rsidRPr="002747CB" w:rsidRDefault="004A1D70" w:rsidP="004A1D70">
      <w:pPr>
        <w:jc w:val="center"/>
        <w:rPr>
          <w:rFonts w:cs="Arial"/>
          <w:b/>
          <w:sz w:val="24"/>
          <w:szCs w:val="24"/>
        </w:rPr>
      </w:pPr>
      <w:r w:rsidRPr="002747CB">
        <w:rPr>
          <w:rFonts w:cs="Arial"/>
          <w:b/>
          <w:sz w:val="24"/>
          <w:szCs w:val="24"/>
        </w:rPr>
        <w:t>Consejero Ponente: NICOLÁS YEPES CORRALES</w:t>
      </w:r>
    </w:p>
    <w:p w14:paraId="5BDFAB68" w14:textId="77777777" w:rsidR="004A1D70" w:rsidRPr="002747CB" w:rsidRDefault="004A1D70" w:rsidP="004A1D70">
      <w:pPr>
        <w:spacing w:line="360" w:lineRule="auto"/>
        <w:rPr>
          <w:rFonts w:cs="Arial"/>
          <w:sz w:val="24"/>
          <w:szCs w:val="24"/>
        </w:rPr>
      </w:pPr>
    </w:p>
    <w:p w14:paraId="2EBF92F8" w14:textId="0714A1EB" w:rsidR="004A1D70" w:rsidRPr="002747CB" w:rsidRDefault="004A1D70" w:rsidP="004A1D70">
      <w:pPr>
        <w:spacing w:line="360" w:lineRule="auto"/>
        <w:rPr>
          <w:rFonts w:cs="Arial"/>
          <w:sz w:val="24"/>
          <w:szCs w:val="24"/>
        </w:rPr>
      </w:pPr>
      <w:r w:rsidRPr="002747CB">
        <w:rPr>
          <w:rFonts w:cs="Arial"/>
          <w:sz w:val="24"/>
          <w:szCs w:val="24"/>
        </w:rPr>
        <w:t xml:space="preserve">Bogotá D.C, </w:t>
      </w:r>
      <w:r w:rsidR="00843E31">
        <w:rPr>
          <w:rFonts w:cs="Arial"/>
          <w:sz w:val="24"/>
          <w:szCs w:val="24"/>
        </w:rPr>
        <w:t>quince</w:t>
      </w:r>
      <w:r w:rsidRPr="002747CB">
        <w:rPr>
          <w:rFonts w:cs="Arial"/>
          <w:sz w:val="24"/>
          <w:szCs w:val="24"/>
        </w:rPr>
        <w:t xml:space="preserve"> (</w:t>
      </w:r>
      <w:r w:rsidR="00843E31">
        <w:rPr>
          <w:rFonts w:cs="Arial"/>
          <w:sz w:val="24"/>
          <w:szCs w:val="24"/>
        </w:rPr>
        <w:t>15</w:t>
      </w:r>
      <w:r w:rsidRPr="002747CB">
        <w:rPr>
          <w:rFonts w:cs="Arial"/>
          <w:sz w:val="24"/>
          <w:szCs w:val="24"/>
        </w:rPr>
        <w:t xml:space="preserve">) de </w:t>
      </w:r>
      <w:r w:rsidR="00843E31">
        <w:rPr>
          <w:rFonts w:cs="Arial"/>
          <w:sz w:val="24"/>
          <w:szCs w:val="24"/>
        </w:rPr>
        <w:t>octu</w:t>
      </w:r>
      <w:r w:rsidRPr="002747CB">
        <w:rPr>
          <w:rFonts w:cs="Arial"/>
          <w:sz w:val="24"/>
          <w:szCs w:val="24"/>
        </w:rPr>
        <w:t>bre de dos mil veintiuno (2021)</w:t>
      </w:r>
    </w:p>
    <w:p w14:paraId="0675F3F0" w14:textId="77777777" w:rsidR="004A1D70" w:rsidRPr="002747CB" w:rsidRDefault="004A1D70" w:rsidP="004A1D70">
      <w:pPr>
        <w:rPr>
          <w:rFonts w:cs="Arial"/>
          <w:sz w:val="24"/>
          <w:szCs w:val="24"/>
        </w:rPr>
      </w:pPr>
    </w:p>
    <w:p w14:paraId="761BE85F" w14:textId="77777777" w:rsidR="004A1D70" w:rsidRPr="002747CB" w:rsidRDefault="004A1D70" w:rsidP="004A1D70">
      <w:pPr>
        <w:spacing w:line="276" w:lineRule="auto"/>
        <w:rPr>
          <w:rFonts w:cs="Arial"/>
          <w:sz w:val="24"/>
          <w:szCs w:val="24"/>
        </w:rPr>
      </w:pPr>
      <w:r w:rsidRPr="002747CB">
        <w:rPr>
          <w:rFonts w:cs="Arial"/>
          <w:b/>
          <w:sz w:val="24"/>
          <w:szCs w:val="24"/>
        </w:rPr>
        <w:t xml:space="preserve">Radicación: </w:t>
      </w:r>
      <w:r w:rsidRPr="002747CB">
        <w:rPr>
          <w:rFonts w:cs="Arial"/>
          <w:sz w:val="24"/>
          <w:szCs w:val="24"/>
        </w:rPr>
        <w:t>11001-03-15-000-2021-05384-00</w:t>
      </w:r>
    </w:p>
    <w:p w14:paraId="27AE6878" w14:textId="77777777" w:rsidR="004A1D70" w:rsidRPr="002747CB" w:rsidRDefault="004A1D70" w:rsidP="004A1D70">
      <w:pPr>
        <w:spacing w:line="276" w:lineRule="auto"/>
        <w:rPr>
          <w:rFonts w:cs="Arial"/>
          <w:sz w:val="24"/>
          <w:szCs w:val="24"/>
        </w:rPr>
      </w:pPr>
      <w:r w:rsidRPr="002747CB">
        <w:rPr>
          <w:rFonts w:cs="Arial"/>
          <w:b/>
          <w:sz w:val="24"/>
          <w:szCs w:val="24"/>
        </w:rPr>
        <w:t xml:space="preserve">Accionante: </w:t>
      </w:r>
      <w:proofErr w:type="spellStart"/>
      <w:r w:rsidRPr="002747CB">
        <w:rPr>
          <w:rFonts w:cs="Arial"/>
          <w:sz w:val="24"/>
          <w:szCs w:val="24"/>
        </w:rPr>
        <w:t>Jonh</w:t>
      </w:r>
      <w:proofErr w:type="spellEnd"/>
      <w:r w:rsidRPr="002747CB">
        <w:rPr>
          <w:rFonts w:cs="Arial"/>
          <w:sz w:val="24"/>
          <w:szCs w:val="24"/>
        </w:rPr>
        <w:t xml:space="preserve"> William García Castro </w:t>
      </w:r>
    </w:p>
    <w:p w14:paraId="68EA830E" w14:textId="77777777" w:rsidR="004A1D70" w:rsidRPr="002747CB" w:rsidRDefault="004A1D70" w:rsidP="004A1D70">
      <w:pPr>
        <w:spacing w:line="276" w:lineRule="auto"/>
        <w:rPr>
          <w:rFonts w:cs="Arial"/>
          <w:sz w:val="24"/>
          <w:szCs w:val="24"/>
        </w:rPr>
      </w:pPr>
      <w:r w:rsidRPr="002747CB">
        <w:rPr>
          <w:rFonts w:cs="Arial"/>
          <w:b/>
          <w:sz w:val="24"/>
          <w:szCs w:val="24"/>
        </w:rPr>
        <w:t xml:space="preserve">Accionado: </w:t>
      </w:r>
      <w:r w:rsidRPr="002747CB">
        <w:rPr>
          <w:rFonts w:cs="Arial"/>
          <w:sz w:val="24"/>
          <w:szCs w:val="24"/>
        </w:rPr>
        <w:t xml:space="preserve">Subsección B de la Sección Primera del Tribunal Administrativo de Cundinamarca </w:t>
      </w:r>
    </w:p>
    <w:p w14:paraId="07B2AA86" w14:textId="77777777" w:rsidR="004A1D70" w:rsidRPr="002747CB" w:rsidRDefault="004A1D70" w:rsidP="004A1D70">
      <w:pPr>
        <w:spacing w:line="276" w:lineRule="auto"/>
        <w:rPr>
          <w:rFonts w:cs="Arial"/>
          <w:sz w:val="24"/>
          <w:szCs w:val="24"/>
        </w:rPr>
      </w:pPr>
      <w:r w:rsidRPr="002747CB">
        <w:rPr>
          <w:rFonts w:cs="Arial"/>
          <w:b/>
          <w:sz w:val="24"/>
          <w:szCs w:val="24"/>
        </w:rPr>
        <w:t>Asunto:</w:t>
      </w:r>
      <w:r w:rsidRPr="002747CB">
        <w:rPr>
          <w:rFonts w:cs="Arial"/>
          <w:sz w:val="24"/>
          <w:szCs w:val="24"/>
        </w:rPr>
        <w:t xml:space="preserve"> Acción de tutela – Sentencia de primera instancia</w:t>
      </w:r>
    </w:p>
    <w:p w14:paraId="6C448283" w14:textId="77777777" w:rsidR="001A40E4" w:rsidRPr="002747CB" w:rsidRDefault="001A40E4" w:rsidP="004A1D70">
      <w:pPr>
        <w:spacing w:line="360" w:lineRule="auto"/>
        <w:rPr>
          <w:sz w:val="24"/>
          <w:szCs w:val="24"/>
        </w:rPr>
      </w:pPr>
    </w:p>
    <w:p w14:paraId="1B4FBF66" w14:textId="77777777" w:rsidR="004A1D70" w:rsidRPr="002747CB" w:rsidRDefault="004A1D70" w:rsidP="004A1D70">
      <w:pPr>
        <w:spacing w:line="360" w:lineRule="auto"/>
        <w:rPr>
          <w:rFonts w:cs="Arial"/>
          <w:sz w:val="24"/>
          <w:szCs w:val="24"/>
        </w:rPr>
      </w:pPr>
      <w:r w:rsidRPr="002747CB">
        <w:rPr>
          <w:sz w:val="24"/>
          <w:szCs w:val="24"/>
        </w:rPr>
        <w:t xml:space="preserve">La Sala decide la acción de tutela ejercida por </w:t>
      </w:r>
      <w:proofErr w:type="spellStart"/>
      <w:r w:rsidRPr="002747CB">
        <w:rPr>
          <w:rFonts w:cs="Arial"/>
          <w:sz w:val="24"/>
          <w:szCs w:val="24"/>
        </w:rPr>
        <w:t>Jonh</w:t>
      </w:r>
      <w:proofErr w:type="spellEnd"/>
      <w:r w:rsidRPr="002747CB">
        <w:rPr>
          <w:rFonts w:cs="Arial"/>
          <w:sz w:val="24"/>
          <w:szCs w:val="24"/>
        </w:rPr>
        <w:t xml:space="preserve"> William García Castro, en nombre propio, en contra de la Subsección B de la Sección Primera del Tribunal Administrativo de Cundinamarca. </w:t>
      </w:r>
    </w:p>
    <w:p w14:paraId="5D6E5D6E" w14:textId="77777777" w:rsidR="004A1D70" w:rsidRPr="002747CB" w:rsidRDefault="004A1D70" w:rsidP="004A1D70">
      <w:pPr>
        <w:spacing w:line="360" w:lineRule="auto"/>
        <w:rPr>
          <w:rFonts w:cs="Arial"/>
          <w:sz w:val="24"/>
          <w:szCs w:val="24"/>
        </w:rPr>
      </w:pPr>
    </w:p>
    <w:p w14:paraId="6E0339B2" w14:textId="77777777" w:rsidR="004A1D70" w:rsidRPr="002747CB" w:rsidRDefault="004A1D70" w:rsidP="004A1D70">
      <w:pPr>
        <w:spacing w:line="360" w:lineRule="auto"/>
        <w:jc w:val="center"/>
        <w:rPr>
          <w:rFonts w:cs="Arial"/>
          <w:b/>
          <w:sz w:val="24"/>
          <w:szCs w:val="24"/>
        </w:rPr>
      </w:pPr>
      <w:r w:rsidRPr="002747CB">
        <w:rPr>
          <w:rFonts w:cs="Arial"/>
          <w:b/>
          <w:sz w:val="24"/>
          <w:szCs w:val="24"/>
        </w:rPr>
        <w:t>I.- ANTECEDENTES</w:t>
      </w:r>
    </w:p>
    <w:p w14:paraId="0CC961B8" w14:textId="77777777" w:rsidR="004A1D70" w:rsidRPr="002747CB" w:rsidRDefault="004A1D70" w:rsidP="004A1D70">
      <w:pPr>
        <w:spacing w:line="360" w:lineRule="auto"/>
        <w:rPr>
          <w:rFonts w:cs="Arial"/>
          <w:b/>
          <w:sz w:val="24"/>
          <w:szCs w:val="24"/>
        </w:rPr>
      </w:pPr>
    </w:p>
    <w:p w14:paraId="24B693A8" w14:textId="77777777" w:rsidR="004A1D70" w:rsidRPr="002747CB" w:rsidRDefault="004A1D70" w:rsidP="004A1D70">
      <w:pPr>
        <w:spacing w:line="360" w:lineRule="auto"/>
        <w:rPr>
          <w:rFonts w:cs="Arial"/>
          <w:b/>
          <w:sz w:val="24"/>
          <w:szCs w:val="24"/>
        </w:rPr>
      </w:pPr>
      <w:r w:rsidRPr="002747CB">
        <w:rPr>
          <w:rFonts w:cs="Arial"/>
          <w:b/>
          <w:sz w:val="24"/>
          <w:szCs w:val="24"/>
        </w:rPr>
        <w:t xml:space="preserve">1.- La solicitud de tutela </w:t>
      </w:r>
    </w:p>
    <w:p w14:paraId="0B4B5645" w14:textId="77777777" w:rsidR="004A1D70" w:rsidRPr="002747CB" w:rsidRDefault="004A1D70" w:rsidP="004A1D70">
      <w:pPr>
        <w:spacing w:line="360" w:lineRule="auto"/>
        <w:rPr>
          <w:rFonts w:cs="Arial"/>
          <w:b/>
          <w:sz w:val="24"/>
          <w:szCs w:val="24"/>
        </w:rPr>
      </w:pPr>
    </w:p>
    <w:p w14:paraId="64395E6B" w14:textId="04FCD448" w:rsidR="004A1D70" w:rsidRDefault="004A1D70" w:rsidP="004A1D70">
      <w:pPr>
        <w:spacing w:line="360" w:lineRule="auto"/>
        <w:rPr>
          <w:rFonts w:cs="Arial"/>
          <w:sz w:val="24"/>
          <w:szCs w:val="24"/>
        </w:rPr>
      </w:pPr>
      <w:r w:rsidRPr="002747CB">
        <w:rPr>
          <w:rFonts w:cs="Arial"/>
          <w:sz w:val="24"/>
          <w:szCs w:val="24"/>
        </w:rPr>
        <w:t>El 10 de agosto de 2021</w:t>
      </w:r>
      <w:r w:rsidRPr="002747CB">
        <w:rPr>
          <w:rStyle w:val="Refdenotaalpie"/>
          <w:rFonts w:cs="Arial"/>
          <w:sz w:val="24"/>
          <w:szCs w:val="24"/>
        </w:rPr>
        <w:footnoteReference w:id="1"/>
      </w:r>
      <w:r w:rsidR="00640CD9" w:rsidRPr="002747CB">
        <w:rPr>
          <w:rFonts w:cs="Arial"/>
          <w:sz w:val="24"/>
          <w:szCs w:val="24"/>
        </w:rPr>
        <w:t xml:space="preserve"> la parte actora interpuso acción de tutela</w:t>
      </w:r>
      <w:r w:rsidR="00A22187" w:rsidRPr="002747CB">
        <w:rPr>
          <w:rStyle w:val="Refdenotaalpie"/>
          <w:rFonts w:cs="Arial"/>
          <w:sz w:val="24"/>
          <w:szCs w:val="24"/>
        </w:rPr>
        <w:footnoteReference w:id="2"/>
      </w:r>
      <w:r w:rsidR="00640CD9" w:rsidRPr="002747CB">
        <w:rPr>
          <w:rFonts w:cs="Arial"/>
          <w:sz w:val="24"/>
          <w:szCs w:val="24"/>
        </w:rPr>
        <w:t xml:space="preserve"> en procura de la protección de su derecho fundamental </w:t>
      </w:r>
      <w:r w:rsidR="00A22187" w:rsidRPr="002747CB">
        <w:rPr>
          <w:rFonts w:cs="Arial"/>
          <w:sz w:val="24"/>
          <w:szCs w:val="24"/>
        </w:rPr>
        <w:t xml:space="preserve">al debido proceso, que consideró vulnerado con el fallo </w:t>
      </w:r>
      <w:r w:rsidR="00B5025F">
        <w:rPr>
          <w:rFonts w:cs="Arial"/>
          <w:sz w:val="24"/>
          <w:szCs w:val="24"/>
        </w:rPr>
        <w:t xml:space="preserve">dictado el 15 de julio de 2021 </w:t>
      </w:r>
      <w:r w:rsidR="00A22187" w:rsidRPr="002747CB">
        <w:rPr>
          <w:rFonts w:cs="Arial"/>
          <w:sz w:val="24"/>
          <w:szCs w:val="24"/>
        </w:rPr>
        <w:t xml:space="preserve">por la Subsección B de la Sección Primera del Tribunal Administrativo de Cundinamarca, mediante el que se desestimaron las pretensiones elevadas en el medio de control de nulidad </w:t>
      </w:r>
      <w:r w:rsidR="00843E31">
        <w:rPr>
          <w:rFonts w:cs="Arial"/>
          <w:sz w:val="24"/>
          <w:szCs w:val="24"/>
        </w:rPr>
        <w:t>con</w:t>
      </w:r>
      <w:r w:rsidR="00A22187" w:rsidRPr="002747CB">
        <w:rPr>
          <w:rFonts w:cs="Arial"/>
          <w:sz w:val="24"/>
          <w:szCs w:val="24"/>
        </w:rPr>
        <w:t xml:space="preserve"> radicado No. 11001-33-34-004-2015-00326-01</w:t>
      </w:r>
      <w:r w:rsidR="002747CB">
        <w:rPr>
          <w:rFonts w:cs="Arial"/>
          <w:sz w:val="24"/>
          <w:szCs w:val="24"/>
        </w:rPr>
        <w:t xml:space="preserve">. </w:t>
      </w:r>
    </w:p>
    <w:p w14:paraId="07E82869" w14:textId="77777777" w:rsidR="002747CB" w:rsidRDefault="002747CB" w:rsidP="004A1D70">
      <w:pPr>
        <w:spacing w:line="360" w:lineRule="auto"/>
        <w:rPr>
          <w:rFonts w:cs="Arial"/>
          <w:sz w:val="24"/>
          <w:szCs w:val="24"/>
        </w:rPr>
      </w:pPr>
    </w:p>
    <w:p w14:paraId="7062E915" w14:textId="77777777" w:rsidR="002747CB" w:rsidRDefault="002747CB" w:rsidP="004A1D70">
      <w:pPr>
        <w:spacing w:line="360" w:lineRule="auto"/>
        <w:rPr>
          <w:rFonts w:cs="Arial"/>
          <w:b/>
          <w:sz w:val="24"/>
          <w:szCs w:val="24"/>
        </w:rPr>
      </w:pPr>
      <w:r>
        <w:rPr>
          <w:rFonts w:cs="Arial"/>
          <w:b/>
          <w:sz w:val="24"/>
          <w:szCs w:val="24"/>
        </w:rPr>
        <w:t xml:space="preserve">1.1.- Hechos </w:t>
      </w:r>
    </w:p>
    <w:p w14:paraId="1D94B986" w14:textId="77777777" w:rsidR="002747CB" w:rsidRPr="00D05957" w:rsidRDefault="002747CB" w:rsidP="004A1D70">
      <w:pPr>
        <w:spacing w:line="360" w:lineRule="auto"/>
        <w:rPr>
          <w:rFonts w:cs="Arial"/>
          <w:sz w:val="24"/>
          <w:szCs w:val="24"/>
        </w:rPr>
      </w:pPr>
    </w:p>
    <w:p w14:paraId="65C8825E" w14:textId="70B40895" w:rsidR="00C75FDD" w:rsidRDefault="00D05957" w:rsidP="004A1D70">
      <w:pPr>
        <w:spacing w:line="360" w:lineRule="auto"/>
        <w:rPr>
          <w:rFonts w:cs="Arial"/>
          <w:sz w:val="24"/>
          <w:szCs w:val="24"/>
        </w:rPr>
      </w:pPr>
      <w:r>
        <w:rPr>
          <w:rFonts w:cs="Arial"/>
          <w:sz w:val="24"/>
          <w:szCs w:val="24"/>
        </w:rPr>
        <w:t>1.1.1.- La Al</w:t>
      </w:r>
      <w:r w:rsidR="002D7824">
        <w:rPr>
          <w:rFonts w:cs="Arial"/>
          <w:sz w:val="24"/>
          <w:szCs w:val="24"/>
        </w:rPr>
        <w:t xml:space="preserve">caldía Mayor de Bogotá expidió </w:t>
      </w:r>
      <w:r>
        <w:rPr>
          <w:rFonts w:cs="Arial"/>
          <w:sz w:val="24"/>
          <w:szCs w:val="24"/>
        </w:rPr>
        <w:t xml:space="preserve">el Decreto 603 del 26 de diciembre de 2013, </w:t>
      </w:r>
      <w:r w:rsidRPr="002D7824">
        <w:rPr>
          <w:rFonts w:cs="Arial"/>
          <w:i/>
          <w:sz w:val="24"/>
          <w:szCs w:val="24"/>
        </w:rPr>
        <w:t>“</w:t>
      </w:r>
      <w:r w:rsidR="002D7824">
        <w:rPr>
          <w:rFonts w:cs="Arial"/>
          <w:i/>
          <w:sz w:val="24"/>
          <w:szCs w:val="24"/>
        </w:rPr>
        <w:t>p</w:t>
      </w:r>
      <w:r w:rsidRPr="002D7824">
        <w:rPr>
          <w:rFonts w:cs="Arial"/>
          <w:i/>
          <w:sz w:val="24"/>
          <w:szCs w:val="24"/>
        </w:rPr>
        <w:t>or el cual se implementan estrategias para garantizar la suficiencia financiera del sistema integrado del transporte público (SITP)”.</w:t>
      </w:r>
      <w:r w:rsidR="005F50B9">
        <w:rPr>
          <w:rFonts w:cs="Arial"/>
          <w:sz w:val="24"/>
          <w:szCs w:val="24"/>
        </w:rPr>
        <w:t xml:space="preserve"> En aquel </w:t>
      </w:r>
      <w:r w:rsidR="002D7824">
        <w:rPr>
          <w:rFonts w:cs="Arial"/>
          <w:sz w:val="24"/>
          <w:szCs w:val="24"/>
        </w:rPr>
        <w:t xml:space="preserve">se </w:t>
      </w:r>
      <w:r w:rsidR="005F50B9">
        <w:rPr>
          <w:rFonts w:cs="Arial"/>
          <w:sz w:val="24"/>
          <w:szCs w:val="24"/>
        </w:rPr>
        <w:t xml:space="preserve">estableció un incentivo consistente en un 40% de descuento sobre la tarifa </w:t>
      </w:r>
      <w:r w:rsidR="000F412C">
        <w:rPr>
          <w:rFonts w:cs="Arial"/>
          <w:sz w:val="24"/>
          <w:szCs w:val="24"/>
        </w:rPr>
        <w:t>a pagar</w:t>
      </w:r>
      <w:r w:rsidR="005F50B9">
        <w:rPr>
          <w:rFonts w:cs="Arial"/>
          <w:sz w:val="24"/>
          <w:szCs w:val="24"/>
        </w:rPr>
        <w:t xml:space="preserve"> por el servicio del SITP</w:t>
      </w:r>
      <w:r w:rsidR="00843E31">
        <w:rPr>
          <w:rFonts w:cs="Arial"/>
          <w:sz w:val="24"/>
          <w:szCs w:val="24"/>
        </w:rPr>
        <w:t xml:space="preserve"> </w:t>
      </w:r>
      <w:r w:rsidR="005F50B9">
        <w:rPr>
          <w:rFonts w:cs="Arial"/>
          <w:sz w:val="24"/>
          <w:szCs w:val="24"/>
        </w:rPr>
        <w:t xml:space="preserve">para las personas mayores de 16 años registradas en las bases de datos del Sistema de Identificación de Potenciales Beneficiarios de Programas Sociales </w:t>
      </w:r>
      <w:r w:rsidR="00843E31">
        <w:rPr>
          <w:rFonts w:cs="Arial"/>
          <w:sz w:val="24"/>
          <w:szCs w:val="24"/>
        </w:rPr>
        <w:t>–</w:t>
      </w:r>
      <w:r w:rsidR="005F50B9">
        <w:rPr>
          <w:rFonts w:cs="Arial"/>
          <w:sz w:val="24"/>
          <w:szCs w:val="24"/>
        </w:rPr>
        <w:t xml:space="preserve"> SISBEN m</w:t>
      </w:r>
      <w:r w:rsidR="003550B0">
        <w:rPr>
          <w:rFonts w:cs="Arial"/>
          <w:sz w:val="24"/>
          <w:szCs w:val="24"/>
        </w:rPr>
        <w:t xml:space="preserve">etodología III, y que </w:t>
      </w:r>
      <w:r w:rsidR="00BA5A78">
        <w:rPr>
          <w:rFonts w:cs="Arial"/>
          <w:sz w:val="24"/>
          <w:szCs w:val="24"/>
        </w:rPr>
        <w:t>contaran</w:t>
      </w:r>
      <w:r w:rsidR="002D7824">
        <w:rPr>
          <w:rFonts w:cs="Arial"/>
          <w:sz w:val="24"/>
          <w:szCs w:val="24"/>
        </w:rPr>
        <w:t xml:space="preserve"> con puntajes entre 0</w:t>
      </w:r>
      <w:r w:rsidR="005F50B9">
        <w:rPr>
          <w:rFonts w:cs="Arial"/>
          <w:sz w:val="24"/>
          <w:szCs w:val="24"/>
        </w:rPr>
        <w:t xml:space="preserve"> a 40. </w:t>
      </w:r>
    </w:p>
    <w:p w14:paraId="403F75BE" w14:textId="77777777" w:rsidR="007D64F8" w:rsidRDefault="002C2705" w:rsidP="004A1D70">
      <w:pPr>
        <w:spacing w:line="360" w:lineRule="auto"/>
        <w:rPr>
          <w:rFonts w:cs="Arial"/>
          <w:sz w:val="24"/>
          <w:szCs w:val="24"/>
        </w:rPr>
      </w:pPr>
      <w:r w:rsidRPr="002661D7">
        <w:rPr>
          <w:rFonts w:cs="Arial"/>
          <w:sz w:val="24"/>
          <w:szCs w:val="24"/>
        </w:rPr>
        <w:lastRenderedPageBreak/>
        <w:t>1.1.2.- Los señores</w:t>
      </w:r>
      <w:r w:rsidR="00C75FDD" w:rsidRPr="002661D7">
        <w:rPr>
          <w:rFonts w:cs="Arial"/>
          <w:sz w:val="24"/>
          <w:szCs w:val="24"/>
        </w:rPr>
        <w:t xml:space="preserve"> Beatriz Clemencia Rojas Ortega</w:t>
      </w:r>
      <w:r w:rsidRPr="002661D7">
        <w:rPr>
          <w:rFonts w:cs="Arial"/>
          <w:sz w:val="24"/>
          <w:szCs w:val="24"/>
        </w:rPr>
        <w:t xml:space="preserve"> y </w:t>
      </w:r>
      <w:proofErr w:type="spellStart"/>
      <w:r w:rsidRPr="002661D7">
        <w:rPr>
          <w:rFonts w:cs="Arial"/>
          <w:sz w:val="24"/>
          <w:szCs w:val="24"/>
        </w:rPr>
        <w:t>Jonh</w:t>
      </w:r>
      <w:proofErr w:type="spellEnd"/>
      <w:r w:rsidRPr="002661D7">
        <w:rPr>
          <w:rFonts w:cs="Arial"/>
          <w:sz w:val="24"/>
          <w:szCs w:val="24"/>
        </w:rPr>
        <w:t xml:space="preserve"> William García Castro</w:t>
      </w:r>
      <w:r w:rsidR="00732CDD" w:rsidRPr="002661D7">
        <w:rPr>
          <w:rFonts w:cs="Arial"/>
          <w:sz w:val="24"/>
          <w:szCs w:val="24"/>
        </w:rPr>
        <w:t xml:space="preserve"> interpusieron</w:t>
      </w:r>
      <w:r w:rsidR="00C75FDD" w:rsidRPr="002661D7">
        <w:rPr>
          <w:rFonts w:cs="Arial"/>
          <w:sz w:val="24"/>
          <w:szCs w:val="24"/>
        </w:rPr>
        <w:t xml:space="preserve"> demanda en ejercicio del medio de control de nulidad </w:t>
      </w:r>
      <w:r w:rsidR="00EC37D9" w:rsidRPr="002661D7">
        <w:rPr>
          <w:rFonts w:cs="Arial"/>
          <w:sz w:val="24"/>
          <w:szCs w:val="24"/>
        </w:rPr>
        <w:t xml:space="preserve">simple </w:t>
      </w:r>
      <w:r w:rsidR="00C75FDD" w:rsidRPr="002661D7">
        <w:rPr>
          <w:rFonts w:cs="Arial"/>
          <w:sz w:val="24"/>
          <w:szCs w:val="24"/>
        </w:rPr>
        <w:t>en contra del anterior acto</w:t>
      </w:r>
      <w:r w:rsidR="00732CDD" w:rsidRPr="002661D7">
        <w:rPr>
          <w:rStyle w:val="Refdenotaalpie"/>
          <w:rFonts w:cs="Arial"/>
          <w:sz w:val="24"/>
          <w:szCs w:val="24"/>
        </w:rPr>
        <w:footnoteReference w:id="3"/>
      </w:r>
      <w:r w:rsidR="00832D13" w:rsidRPr="002661D7">
        <w:rPr>
          <w:rFonts w:cs="Arial"/>
          <w:sz w:val="24"/>
          <w:szCs w:val="24"/>
        </w:rPr>
        <w:t xml:space="preserve">. </w:t>
      </w:r>
    </w:p>
    <w:p w14:paraId="32A1AAAC" w14:textId="77777777" w:rsidR="007D64F8" w:rsidRDefault="007D64F8" w:rsidP="004A1D70">
      <w:pPr>
        <w:spacing w:line="360" w:lineRule="auto"/>
        <w:rPr>
          <w:rFonts w:cs="Arial"/>
          <w:sz w:val="24"/>
          <w:szCs w:val="24"/>
        </w:rPr>
      </w:pPr>
    </w:p>
    <w:p w14:paraId="1CCA669A" w14:textId="5D94DAFB" w:rsidR="0007454C" w:rsidRPr="007809DD" w:rsidRDefault="00BA5A78" w:rsidP="004A1D70">
      <w:pPr>
        <w:spacing w:line="360" w:lineRule="auto"/>
        <w:rPr>
          <w:rFonts w:cs="Arial"/>
          <w:sz w:val="24"/>
          <w:szCs w:val="24"/>
        </w:rPr>
      </w:pPr>
      <w:r w:rsidRPr="002661D7">
        <w:rPr>
          <w:rFonts w:cs="Arial"/>
          <w:sz w:val="24"/>
          <w:szCs w:val="24"/>
        </w:rPr>
        <w:t xml:space="preserve">Aquella </w:t>
      </w:r>
      <w:r w:rsidR="00CF18C5" w:rsidRPr="002661D7">
        <w:rPr>
          <w:rFonts w:cs="Arial"/>
          <w:sz w:val="24"/>
          <w:szCs w:val="24"/>
        </w:rPr>
        <w:t>se fundamentó en que el d</w:t>
      </w:r>
      <w:r w:rsidR="00832D13" w:rsidRPr="002661D7">
        <w:rPr>
          <w:rFonts w:cs="Arial"/>
          <w:sz w:val="24"/>
          <w:szCs w:val="24"/>
        </w:rPr>
        <w:t>ecre</w:t>
      </w:r>
      <w:r w:rsidR="00200B09" w:rsidRPr="002661D7">
        <w:rPr>
          <w:rFonts w:cs="Arial"/>
          <w:sz w:val="24"/>
          <w:szCs w:val="24"/>
        </w:rPr>
        <w:t>to era ilegal</w:t>
      </w:r>
      <w:r w:rsidRPr="002661D7">
        <w:rPr>
          <w:rFonts w:cs="Arial"/>
          <w:sz w:val="24"/>
          <w:szCs w:val="24"/>
        </w:rPr>
        <w:t xml:space="preserve"> por cuanto </w:t>
      </w:r>
      <w:r w:rsidR="000F412C" w:rsidRPr="002661D7">
        <w:rPr>
          <w:rFonts w:cs="Arial"/>
          <w:sz w:val="24"/>
          <w:szCs w:val="24"/>
        </w:rPr>
        <w:t xml:space="preserve">el incentivo </w:t>
      </w:r>
      <w:r w:rsidR="006C2225" w:rsidRPr="002661D7">
        <w:rPr>
          <w:rFonts w:cs="Arial"/>
          <w:sz w:val="24"/>
          <w:szCs w:val="24"/>
        </w:rPr>
        <w:t xml:space="preserve">planteado </w:t>
      </w:r>
      <w:r w:rsidR="000F412C" w:rsidRPr="002661D7">
        <w:rPr>
          <w:rFonts w:cs="Arial"/>
          <w:sz w:val="24"/>
          <w:szCs w:val="24"/>
        </w:rPr>
        <w:t>era realmente u</w:t>
      </w:r>
      <w:r w:rsidRPr="002661D7">
        <w:rPr>
          <w:rFonts w:cs="Arial"/>
          <w:sz w:val="24"/>
          <w:szCs w:val="24"/>
        </w:rPr>
        <w:t>n subsidio</w:t>
      </w:r>
      <w:r w:rsidR="000F412C" w:rsidRPr="002661D7">
        <w:rPr>
          <w:rFonts w:cs="Arial"/>
          <w:sz w:val="24"/>
          <w:szCs w:val="24"/>
        </w:rPr>
        <w:t xml:space="preserve"> y</w:t>
      </w:r>
      <w:r w:rsidR="00843E31">
        <w:rPr>
          <w:rFonts w:cs="Arial"/>
          <w:sz w:val="24"/>
          <w:szCs w:val="24"/>
        </w:rPr>
        <w:t>,</w:t>
      </w:r>
      <w:r w:rsidR="000F412C" w:rsidRPr="002661D7">
        <w:rPr>
          <w:rFonts w:cs="Arial"/>
          <w:sz w:val="24"/>
          <w:szCs w:val="24"/>
        </w:rPr>
        <w:t xml:space="preserve"> por ello, el único órgano competente para aprobar</w:t>
      </w:r>
      <w:r w:rsidR="006C2225" w:rsidRPr="002661D7">
        <w:rPr>
          <w:rFonts w:cs="Arial"/>
          <w:sz w:val="24"/>
          <w:szCs w:val="24"/>
        </w:rPr>
        <w:t>lo</w:t>
      </w:r>
      <w:r w:rsidR="000F412C" w:rsidRPr="002661D7">
        <w:rPr>
          <w:rFonts w:cs="Arial"/>
          <w:sz w:val="24"/>
          <w:szCs w:val="24"/>
        </w:rPr>
        <w:t xml:space="preserve"> era el Concejo</w:t>
      </w:r>
      <w:r w:rsidR="002661D7" w:rsidRPr="002661D7">
        <w:rPr>
          <w:rFonts w:cs="Arial"/>
          <w:sz w:val="24"/>
          <w:szCs w:val="24"/>
        </w:rPr>
        <w:t xml:space="preserve"> Distrital</w:t>
      </w:r>
      <w:r w:rsidR="006C2225" w:rsidRPr="002661D7">
        <w:rPr>
          <w:rFonts w:cs="Arial"/>
          <w:sz w:val="24"/>
          <w:szCs w:val="24"/>
        </w:rPr>
        <w:t xml:space="preserve"> mas no el Alcalde Mayor de Bogotá, </w:t>
      </w:r>
      <w:r w:rsidR="00832D13" w:rsidRPr="002661D7">
        <w:rPr>
          <w:rFonts w:cs="Arial"/>
          <w:sz w:val="24"/>
          <w:szCs w:val="24"/>
        </w:rPr>
        <w:t>desconociendo así los numerales 1 y 3 del artículo 3</w:t>
      </w:r>
      <w:r w:rsidR="007809DD" w:rsidRPr="002661D7">
        <w:rPr>
          <w:rFonts w:cs="Arial"/>
          <w:sz w:val="24"/>
          <w:szCs w:val="24"/>
        </w:rPr>
        <w:t>8 del Decreto Ley 1421 de 1993</w:t>
      </w:r>
      <w:r w:rsidR="00CF18C5" w:rsidRPr="002661D7">
        <w:rPr>
          <w:rStyle w:val="Refdenotaalpie"/>
          <w:rFonts w:cs="Arial"/>
          <w:sz w:val="24"/>
          <w:szCs w:val="24"/>
        </w:rPr>
        <w:footnoteReference w:id="4"/>
      </w:r>
      <w:r w:rsidR="00843E31">
        <w:rPr>
          <w:rFonts w:cs="Arial"/>
          <w:sz w:val="24"/>
          <w:szCs w:val="24"/>
        </w:rPr>
        <w:t>,</w:t>
      </w:r>
      <w:r w:rsidR="007809DD" w:rsidRPr="002661D7">
        <w:rPr>
          <w:rFonts w:cs="Arial"/>
          <w:sz w:val="24"/>
          <w:szCs w:val="24"/>
        </w:rPr>
        <w:t xml:space="preserve"> y 9 del artículo 3 de la Ley 105 de 1993</w:t>
      </w:r>
      <w:r w:rsidR="00EF228B" w:rsidRPr="002661D7">
        <w:rPr>
          <w:rStyle w:val="Refdenotaalpie"/>
          <w:rFonts w:cs="Arial"/>
          <w:sz w:val="24"/>
          <w:szCs w:val="24"/>
        </w:rPr>
        <w:footnoteReference w:id="5"/>
      </w:r>
      <w:r w:rsidR="00E24459" w:rsidRPr="002661D7">
        <w:rPr>
          <w:rFonts w:cs="Arial"/>
          <w:sz w:val="24"/>
          <w:szCs w:val="24"/>
        </w:rPr>
        <w:t>.</w:t>
      </w:r>
    </w:p>
    <w:p w14:paraId="698DF0D1" w14:textId="77777777" w:rsidR="00832D13" w:rsidRPr="007809DD" w:rsidRDefault="00832D13" w:rsidP="004A1D70">
      <w:pPr>
        <w:spacing w:line="360" w:lineRule="auto"/>
        <w:rPr>
          <w:rFonts w:cs="Arial"/>
          <w:sz w:val="24"/>
          <w:szCs w:val="24"/>
        </w:rPr>
      </w:pPr>
    </w:p>
    <w:p w14:paraId="055C62BD" w14:textId="1E32247D" w:rsidR="00832D13" w:rsidRPr="007809DD" w:rsidRDefault="00832D13" w:rsidP="004A1D70">
      <w:pPr>
        <w:spacing w:line="360" w:lineRule="auto"/>
        <w:rPr>
          <w:rFonts w:cs="Arial"/>
          <w:sz w:val="24"/>
          <w:szCs w:val="24"/>
        </w:rPr>
      </w:pPr>
      <w:r w:rsidRPr="007809DD">
        <w:rPr>
          <w:rFonts w:cs="Arial"/>
          <w:sz w:val="24"/>
          <w:szCs w:val="24"/>
        </w:rPr>
        <w:t xml:space="preserve">De igual </w:t>
      </w:r>
      <w:r w:rsidR="00E24459">
        <w:rPr>
          <w:rFonts w:cs="Arial"/>
          <w:sz w:val="24"/>
          <w:szCs w:val="24"/>
        </w:rPr>
        <w:t xml:space="preserve">forma, </w:t>
      </w:r>
      <w:r w:rsidR="007D64F8">
        <w:rPr>
          <w:rFonts w:cs="Arial"/>
          <w:sz w:val="24"/>
          <w:szCs w:val="24"/>
        </w:rPr>
        <w:t xml:space="preserve">alegaron </w:t>
      </w:r>
      <w:r w:rsidR="00E24459">
        <w:rPr>
          <w:rFonts w:cs="Arial"/>
          <w:sz w:val="24"/>
          <w:szCs w:val="24"/>
        </w:rPr>
        <w:t>que el decreto estaba</w:t>
      </w:r>
      <w:r w:rsidRPr="007809DD">
        <w:rPr>
          <w:rFonts w:cs="Arial"/>
          <w:sz w:val="24"/>
          <w:szCs w:val="24"/>
        </w:rPr>
        <w:t xml:space="preserve"> falsamente motivado, en la medida en que lo establecido no fue un incentivo o </w:t>
      </w:r>
      <w:r w:rsidR="00200B09">
        <w:rPr>
          <w:rFonts w:cs="Arial"/>
          <w:sz w:val="24"/>
          <w:szCs w:val="24"/>
        </w:rPr>
        <w:t>estrategia, sino una subvención;</w:t>
      </w:r>
      <w:r w:rsidRPr="007809DD">
        <w:rPr>
          <w:rFonts w:cs="Arial"/>
          <w:sz w:val="24"/>
          <w:szCs w:val="24"/>
        </w:rPr>
        <w:t xml:space="preserve"> además</w:t>
      </w:r>
      <w:r w:rsidR="00E24459">
        <w:rPr>
          <w:rFonts w:cs="Arial"/>
          <w:sz w:val="24"/>
          <w:szCs w:val="24"/>
        </w:rPr>
        <w:t>, reproch</w:t>
      </w:r>
      <w:r w:rsidR="007D64F8">
        <w:rPr>
          <w:rFonts w:cs="Arial"/>
          <w:sz w:val="24"/>
          <w:szCs w:val="24"/>
        </w:rPr>
        <w:t>aron</w:t>
      </w:r>
      <w:r w:rsidR="00E24459">
        <w:rPr>
          <w:rFonts w:cs="Arial"/>
          <w:sz w:val="24"/>
          <w:szCs w:val="24"/>
        </w:rPr>
        <w:t xml:space="preserve"> que no se hayan </w:t>
      </w:r>
      <w:r w:rsidR="00CF18C5">
        <w:rPr>
          <w:rFonts w:cs="Arial"/>
          <w:sz w:val="24"/>
          <w:szCs w:val="24"/>
        </w:rPr>
        <w:t>determinado</w:t>
      </w:r>
      <w:r w:rsidRPr="007809DD">
        <w:rPr>
          <w:rFonts w:cs="Arial"/>
          <w:sz w:val="24"/>
          <w:szCs w:val="24"/>
        </w:rPr>
        <w:t xml:space="preserve"> las condiciones y criterios de asignación, ni los límites y porcentajes de las partidas a asignar</w:t>
      </w:r>
      <w:r w:rsidR="00200B09">
        <w:rPr>
          <w:rFonts w:cs="Arial"/>
          <w:sz w:val="24"/>
          <w:szCs w:val="24"/>
        </w:rPr>
        <w:t xml:space="preserve"> en la referida ayuda económica</w:t>
      </w:r>
      <w:r w:rsidRPr="007809DD">
        <w:rPr>
          <w:rFonts w:cs="Arial"/>
          <w:sz w:val="24"/>
          <w:szCs w:val="24"/>
        </w:rPr>
        <w:t xml:space="preserve">; lo cual </w:t>
      </w:r>
      <w:r w:rsidR="00E24459">
        <w:rPr>
          <w:rFonts w:cs="Arial"/>
          <w:sz w:val="24"/>
          <w:szCs w:val="24"/>
        </w:rPr>
        <w:t xml:space="preserve">podría llegar a </w:t>
      </w:r>
      <w:r w:rsidRPr="007809DD">
        <w:rPr>
          <w:rFonts w:cs="Arial"/>
          <w:sz w:val="24"/>
          <w:szCs w:val="24"/>
        </w:rPr>
        <w:t>obstaculiza</w:t>
      </w:r>
      <w:r w:rsidR="00E24459">
        <w:rPr>
          <w:rFonts w:cs="Arial"/>
          <w:sz w:val="24"/>
          <w:szCs w:val="24"/>
        </w:rPr>
        <w:t>r</w:t>
      </w:r>
      <w:r w:rsidRPr="007809DD">
        <w:rPr>
          <w:rFonts w:cs="Arial"/>
          <w:sz w:val="24"/>
          <w:szCs w:val="24"/>
        </w:rPr>
        <w:t xml:space="preserve"> el control fi</w:t>
      </w:r>
      <w:r w:rsidR="00E24459">
        <w:rPr>
          <w:rFonts w:cs="Arial"/>
          <w:sz w:val="24"/>
          <w:szCs w:val="24"/>
        </w:rPr>
        <w:t xml:space="preserve">scal de los recursos públicos y </w:t>
      </w:r>
      <w:r w:rsidRPr="007809DD">
        <w:rPr>
          <w:rFonts w:cs="Arial"/>
          <w:sz w:val="24"/>
          <w:szCs w:val="24"/>
        </w:rPr>
        <w:t>facilita</w:t>
      </w:r>
      <w:r w:rsidR="00E24459">
        <w:rPr>
          <w:rFonts w:cs="Arial"/>
          <w:sz w:val="24"/>
          <w:szCs w:val="24"/>
        </w:rPr>
        <w:t>ría la desviación de poder</w:t>
      </w:r>
      <w:r w:rsidRPr="007809DD">
        <w:rPr>
          <w:rFonts w:cs="Arial"/>
          <w:i/>
          <w:sz w:val="24"/>
          <w:szCs w:val="24"/>
        </w:rPr>
        <w:t>.</w:t>
      </w:r>
      <w:r w:rsidRPr="007809DD">
        <w:rPr>
          <w:rFonts w:cs="Arial"/>
          <w:sz w:val="24"/>
          <w:szCs w:val="24"/>
        </w:rPr>
        <w:t xml:space="preserve"> </w:t>
      </w:r>
    </w:p>
    <w:p w14:paraId="07B023C7" w14:textId="77777777" w:rsidR="00E053AC" w:rsidRDefault="00E053AC" w:rsidP="004A1D70">
      <w:pPr>
        <w:spacing w:line="360" w:lineRule="auto"/>
        <w:rPr>
          <w:rFonts w:cs="Arial"/>
          <w:sz w:val="24"/>
          <w:szCs w:val="24"/>
        </w:rPr>
      </w:pPr>
    </w:p>
    <w:p w14:paraId="79D12DA3" w14:textId="5EC08AC9" w:rsidR="007809DD" w:rsidRDefault="007809DD" w:rsidP="004A1D70">
      <w:pPr>
        <w:spacing w:line="360" w:lineRule="auto"/>
        <w:rPr>
          <w:rFonts w:cs="Arial"/>
          <w:sz w:val="24"/>
          <w:szCs w:val="24"/>
        </w:rPr>
      </w:pPr>
      <w:r>
        <w:rPr>
          <w:rFonts w:cs="Arial"/>
          <w:sz w:val="24"/>
          <w:szCs w:val="24"/>
        </w:rPr>
        <w:t>También aduj</w:t>
      </w:r>
      <w:r w:rsidR="003E75F8">
        <w:rPr>
          <w:rFonts w:cs="Arial"/>
          <w:sz w:val="24"/>
          <w:szCs w:val="24"/>
        </w:rPr>
        <w:t>eron</w:t>
      </w:r>
      <w:r>
        <w:rPr>
          <w:rFonts w:cs="Arial"/>
          <w:sz w:val="24"/>
          <w:szCs w:val="24"/>
        </w:rPr>
        <w:t xml:space="preserve"> que si bien </w:t>
      </w:r>
      <w:r w:rsidR="00E24459">
        <w:rPr>
          <w:rFonts w:cs="Arial"/>
          <w:sz w:val="24"/>
          <w:szCs w:val="24"/>
        </w:rPr>
        <w:t xml:space="preserve">en </w:t>
      </w:r>
      <w:r>
        <w:rPr>
          <w:rFonts w:cs="Arial"/>
          <w:sz w:val="24"/>
          <w:szCs w:val="24"/>
        </w:rPr>
        <w:t xml:space="preserve">el Plan de Desarrollo </w:t>
      </w:r>
      <w:r w:rsidRPr="001A4B3C">
        <w:rPr>
          <w:rFonts w:cs="Arial"/>
          <w:sz w:val="24"/>
          <w:szCs w:val="24"/>
        </w:rPr>
        <w:t>contenido en el Acuerdo</w:t>
      </w:r>
      <w:r w:rsidR="00200B09" w:rsidRPr="001A4B3C">
        <w:rPr>
          <w:rFonts w:cs="Arial"/>
          <w:sz w:val="24"/>
          <w:szCs w:val="24"/>
        </w:rPr>
        <w:t xml:space="preserve"> </w:t>
      </w:r>
      <w:r w:rsidR="0005158F">
        <w:rPr>
          <w:rFonts w:cs="Arial"/>
          <w:sz w:val="24"/>
          <w:szCs w:val="24"/>
        </w:rPr>
        <w:t>D</w:t>
      </w:r>
      <w:r w:rsidR="00200B09" w:rsidRPr="001A4B3C">
        <w:rPr>
          <w:rFonts w:cs="Arial"/>
          <w:sz w:val="24"/>
          <w:szCs w:val="24"/>
        </w:rPr>
        <w:t>istrital</w:t>
      </w:r>
      <w:r>
        <w:rPr>
          <w:rFonts w:cs="Arial"/>
          <w:sz w:val="24"/>
          <w:szCs w:val="24"/>
        </w:rPr>
        <w:t xml:space="preserve"> 489 de 2012 se hizo mención </w:t>
      </w:r>
      <w:r w:rsidR="00267E25">
        <w:rPr>
          <w:rFonts w:cs="Arial"/>
          <w:sz w:val="24"/>
          <w:szCs w:val="24"/>
        </w:rPr>
        <w:t>a</w:t>
      </w:r>
      <w:r>
        <w:rPr>
          <w:rFonts w:cs="Arial"/>
          <w:sz w:val="24"/>
          <w:szCs w:val="24"/>
        </w:rPr>
        <w:t xml:space="preserve"> la adopción de tarifas diferenciales en transporte para </w:t>
      </w:r>
      <w:r w:rsidR="00E24459">
        <w:rPr>
          <w:rFonts w:cs="Arial"/>
          <w:sz w:val="24"/>
          <w:szCs w:val="24"/>
        </w:rPr>
        <w:t xml:space="preserve">los </w:t>
      </w:r>
      <w:r>
        <w:rPr>
          <w:rFonts w:cs="Arial"/>
          <w:sz w:val="24"/>
          <w:szCs w:val="24"/>
        </w:rPr>
        <w:t xml:space="preserve">grupos más vulnerables, </w:t>
      </w:r>
      <w:r w:rsidR="00267E25">
        <w:rPr>
          <w:rFonts w:cs="Arial"/>
          <w:sz w:val="24"/>
          <w:szCs w:val="24"/>
        </w:rPr>
        <w:t xml:space="preserve">a efectos de su implementación </w:t>
      </w:r>
      <w:r w:rsidR="00E24459">
        <w:rPr>
          <w:rFonts w:cs="Arial"/>
          <w:sz w:val="24"/>
          <w:szCs w:val="24"/>
        </w:rPr>
        <w:t xml:space="preserve">era necesaria la elaboración de </w:t>
      </w:r>
      <w:r>
        <w:rPr>
          <w:rFonts w:cs="Arial"/>
          <w:sz w:val="24"/>
          <w:szCs w:val="24"/>
        </w:rPr>
        <w:t xml:space="preserve">un modelo económico, financiero y operativo en el que se demostrara la sostenibilidad </w:t>
      </w:r>
      <w:r w:rsidR="00CF18C5">
        <w:rPr>
          <w:rFonts w:cs="Arial"/>
          <w:sz w:val="24"/>
          <w:szCs w:val="24"/>
        </w:rPr>
        <w:t xml:space="preserve">del sistema. Ante su ausencia, se transgredía </w:t>
      </w:r>
      <w:r w:rsidR="00D219AF">
        <w:rPr>
          <w:rFonts w:cs="Arial"/>
          <w:sz w:val="24"/>
          <w:szCs w:val="24"/>
        </w:rPr>
        <w:t xml:space="preserve">lo previsto en </w:t>
      </w:r>
      <w:r>
        <w:rPr>
          <w:rFonts w:cs="Arial"/>
          <w:sz w:val="24"/>
          <w:szCs w:val="24"/>
        </w:rPr>
        <w:t>el artículo 1 de la Resolución No. 0012333 del 28 de diciembre de 2012 proferida por el Ministerio de Transporte</w:t>
      </w:r>
      <w:r w:rsidR="00CF18C5">
        <w:rPr>
          <w:rStyle w:val="Refdenotaalpie"/>
          <w:rFonts w:cs="Arial"/>
          <w:sz w:val="24"/>
          <w:szCs w:val="24"/>
        </w:rPr>
        <w:footnoteReference w:id="6"/>
      </w:r>
      <w:r>
        <w:rPr>
          <w:rFonts w:cs="Arial"/>
          <w:sz w:val="24"/>
          <w:szCs w:val="24"/>
        </w:rPr>
        <w:t xml:space="preserve">. </w:t>
      </w:r>
    </w:p>
    <w:p w14:paraId="68D0CF55" w14:textId="77777777" w:rsidR="007809DD" w:rsidRDefault="007809DD" w:rsidP="004A1D70">
      <w:pPr>
        <w:spacing w:line="360" w:lineRule="auto"/>
        <w:rPr>
          <w:rFonts w:cs="Arial"/>
          <w:sz w:val="24"/>
          <w:szCs w:val="24"/>
        </w:rPr>
      </w:pPr>
    </w:p>
    <w:p w14:paraId="2C0E937F" w14:textId="3126E0C0" w:rsidR="00D05957" w:rsidRDefault="00E053AC" w:rsidP="004A1D70">
      <w:pPr>
        <w:spacing w:line="360" w:lineRule="auto"/>
        <w:rPr>
          <w:rFonts w:cs="Arial"/>
          <w:sz w:val="24"/>
          <w:szCs w:val="24"/>
        </w:rPr>
      </w:pPr>
      <w:r>
        <w:rPr>
          <w:rFonts w:cs="Arial"/>
          <w:sz w:val="24"/>
          <w:szCs w:val="24"/>
        </w:rPr>
        <w:t xml:space="preserve">1.1.3.- El asunto fue conocido en primera </w:t>
      </w:r>
      <w:r w:rsidRPr="00551B97">
        <w:rPr>
          <w:rFonts w:cs="Arial"/>
          <w:sz w:val="24"/>
          <w:szCs w:val="24"/>
        </w:rPr>
        <w:t>instancia por el Juzgado Cuarto Administrativo Oral de Bogotá, que mediante sentencia del 8 de septiembre de 2017</w:t>
      </w:r>
      <w:r w:rsidR="002C2705" w:rsidRPr="00551B97">
        <w:rPr>
          <w:rStyle w:val="Refdenotaalpie"/>
          <w:rFonts w:cs="Arial"/>
          <w:sz w:val="24"/>
          <w:szCs w:val="24"/>
        </w:rPr>
        <w:footnoteReference w:id="7"/>
      </w:r>
      <w:r w:rsidRPr="00551B97">
        <w:rPr>
          <w:rFonts w:cs="Arial"/>
          <w:sz w:val="24"/>
          <w:szCs w:val="24"/>
        </w:rPr>
        <w:t xml:space="preserve"> accedió</w:t>
      </w:r>
      <w:r>
        <w:rPr>
          <w:rFonts w:cs="Arial"/>
          <w:sz w:val="24"/>
          <w:szCs w:val="24"/>
        </w:rPr>
        <w:t xml:space="preserve"> a las </w:t>
      </w:r>
      <w:r>
        <w:rPr>
          <w:rFonts w:cs="Arial"/>
          <w:sz w:val="24"/>
          <w:szCs w:val="24"/>
        </w:rPr>
        <w:lastRenderedPageBreak/>
        <w:t>súplicas de la demanda</w:t>
      </w:r>
      <w:r w:rsidR="003617C3">
        <w:rPr>
          <w:rFonts w:cs="Arial"/>
          <w:sz w:val="24"/>
          <w:szCs w:val="24"/>
        </w:rPr>
        <w:t>. Al efecto, indicó que el Alcalde Mayor de Bogotá no tenía competencia para fijar el incentivo consistente en un 40% de descuento sobre la tarifa a pagar por el servicio del SITP para personas registradas en el SISBEN, pues sin perjuicio de la denominaci</w:t>
      </w:r>
      <w:r w:rsidR="00D874F8">
        <w:rPr>
          <w:rFonts w:cs="Arial"/>
          <w:sz w:val="24"/>
          <w:szCs w:val="24"/>
        </w:rPr>
        <w:t xml:space="preserve">ón que se le haya dado, se trataba realmente de una subvención. A partir de lo anterior, aseveró que si lo pretendido era dar este auxilio económico, aquello correspondía ser establecido y aprobado por el Concejo Distrital. </w:t>
      </w:r>
    </w:p>
    <w:p w14:paraId="674E112D" w14:textId="77777777" w:rsidR="00EF228B" w:rsidRDefault="00EF228B" w:rsidP="004A1D70">
      <w:pPr>
        <w:spacing w:line="360" w:lineRule="auto"/>
        <w:rPr>
          <w:rFonts w:cs="Arial"/>
          <w:sz w:val="24"/>
          <w:szCs w:val="24"/>
        </w:rPr>
      </w:pPr>
    </w:p>
    <w:p w14:paraId="463D4036" w14:textId="29E0F844" w:rsidR="005E7ED7" w:rsidRDefault="005E7ED7" w:rsidP="004A1D70">
      <w:pPr>
        <w:spacing w:line="360" w:lineRule="auto"/>
        <w:rPr>
          <w:rFonts w:cs="Arial"/>
          <w:sz w:val="24"/>
          <w:szCs w:val="24"/>
        </w:rPr>
      </w:pPr>
      <w:r>
        <w:rPr>
          <w:rFonts w:cs="Arial"/>
          <w:sz w:val="24"/>
          <w:szCs w:val="24"/>
        </w:rPr>
        <w:t>1.1.4.- La decisión fue impugnada</w:t>
      </w:r>
      <w:r w:rsidR="00551B97">
        <w:rPr>
          <w:rStyle w:val="Refdenotaalpie"/>
          <w:rFonts w:cs="Arial"/>
          <w:sz w:val="24"/>
          <w:szCs w:val="24"/>
        </w:rPr>
        <w:footnoteReference w:id="8"/>
      </w:r>
      <w:r>
        <w:rPr>
          <w:rFonts w:cs="Arial"/>
          <w:sz w:val="24"/>
          <w:szCs w:val="24"/>
        </w:rPr>
        <w:t xml:space="preserve">. La alzada fue desatada por la </w:t>
      </w:r>
      <w:r w:rsidRPr="002747CB">
        <w:rPr>
          <w:rFonts w:cs="Arial"/>
          <w:sz w:val="24"/>
          <w:szCs w:val="24"/>
        </w:rPr>
        <w:t>Subsección B de la Sección Primera del Tribunal Administrativo de Cundinamarca</w:t>
      </w:r>
      <w:r>
        <w:rPr>
          <w:rFonts w:cs="Arial"/>
          <w:sz w:val="24"/>
          <w:szCs w:val="24"/>
        </w:rPr>
        <w:t xml:space="preserve"> a través de sentencia del 15 de julio de 2021</w:t>
      </w:r>
      <w:r w:rsidR="00654882">
        <w:rPr>
          <w:rStyle w:val="Refdenotaalpie"/>
          <w:rFonts w:cs="Arial"/>
          <w:sz w:val="24"/>
          <w:szCs w:val="24"/>
        </w:rPr>
        <w:footnoteReference w:id="9"/>
      </w:r>
      <w:r>
        <w:rPr>
          <w:rFonts w:cs="Arial"/>
          <w:sz w:val="24"/>
          <w:szCs w:val="24"/>
        </w:rPr>
        <w:t xml:space="preserve">, mediante la que revocó la determinación del </w:t>
      </w:r>
      <w:r>
        <w:rPr>
          <w:rFonts w:cs="Arial"/>
          <w:i/>
          <w:sz w:val="24"/>
          <w:szCs w:val="24"/>
        </w:rPr>
        <w:t xml:space="preserve">a quo </w:t>
      </w:r>
      <w:r>
        <w:rPr>
          <w:rFonts w:cs="Arial"/>
          <w:sz w:val="24"/>
          <w:szCs w:val="24"/>
        </w:rPr>
        <w:t>y</w:t>
      </w:r>
      <w:r w:rsidR="00267E25">
        <w:rPr>
          <w:rFonts w:cs="Arial"/>
          <w:sz w:val="24"/>
          <w:szCs w:val="24"/>
        </w:rPr>
        <w:t>,</w:t>
      </w:r>
      <w:r>
        <w:rPr>
          <w:rFonts w:cs="Arial"/>
          <w:sz w:val="24"/>
          <w:szCs w:val="24"/>
        </w:rPr>
        <w:t xml:space="preserve"> en su lugar, </w:t>
      </w:r>
      <w:r w:rsidR="001C7BF3">
        <w:rPr>
          <w:rFonts w:cs="Arial"/>
          <w:sz w:val="24"/>
          <w:szCs w:val="24"/>
        </w:rPr>
        <w:t xml:space="preserve">negó </w:t>
      </w:r>
      <w:r w:rsidR="00A15C9A">
        <w:rPr>
          <w:rFonts w:cs="Arial"/>
          <w:sz w:val="24"/>
          <w:szCs w:val="24"/>
        </w:rPr>
        <w:t>las pretensiones</w:t>
      </w:r>
      <w:r w:rsidR="00DC765F">
        <w:rPr>
          <w:rFonts w:cs="Arial"/>
          <w:sz w:val="24"/>
          <w:szCs w:val="24"/>
        </w:rPr>
        <w:t xml:space="preserve">. </w:t>
      </w:r>
    </w:p>
    <w:p w14:paraId="36D51FA0" w14:textId="77777777" w:rsidR="00DC765F" w:rsidRDefault="00DC765F" w:rsidP="004A1D70">
      <w:pPr>
        <w:spacing w:line="360" w:lineRule="auto"/>
        <w:rPr>
          <w:rFonts w:cs="Arial"/>
          <w:sz w:val="24"/>
          <w:szCs w:val="24"/>
        </w:rPr>
      </w:pPr>
    </w:p>
    <w:p w14:paraId="292B05F5" w14:textId="5FEE4BE8" w:rsidR="0056495B" w:rsidRDefault="00DC765F" w:rsidP="004A1D70">
      <w:pPr>
        <w:spacing w:line="360" w:lineRule="auto"/>
        <w:rPr>
          <w:rFonts w:cs="Arial"/>
          <w:sz w:val="24"/>
          <w:szCs w:val="24"/>
        </w:rPr>
      </w:pPr>
      <w:r>
        <w:rPr>
          <w:rFonts w:cs="Arial"/>
          <w:sz w:val="24"/>
          <w:szCs w:val="24"/>
        </w:rPr>
        <w:t xml:space="preserve">Al </w:t>
      </w:r>
      <w:r w:rsidR="000F5D98">
        <w:rPr>
          <w:rFonts w:cs="Arial"/>
          <w:sz w:val="24"/>
          <w:szCs w:val="24"/>
        </w:rPr>
        <w:t>respecto, hizo referencia</w:t>
      </w:r>
      <w:r w:rsidR="0056495B">
        <w:rPr>
          <w:rFonts w:cs="Arial"/>
          <w:sz w:val="24"/>
          <w:szCs w:val="24"/>
        </w:rPr>
        <w:t xml:space="preserve"> a las normas citadas como f</w:t>
      </w:r>
      <w:r w:rsidR="007D37D2">
        <w:rPr>
          <w:rFonts w:cs="Arial"/>
          <w:sz w:val="24"/>
          <w:szCs w:val="24"/>
        </w:rPr>
        <w:t xml:space="preserve">undamento </w:t>
      </w:r>
      <w:r w:rsidR="00BC6DC8">
        <w:rPr>
          <w:rFonts w:cs="Arial"/>
          <w:sz w:val="24"/>
          <w:szCs w:val="24"/>
        </w:rPr>
        <w:t>d</w:t>
      </w:r>
      <w:r w:rsidR="007D37D2">
        <w:rPr>
          <w:rFonts w:cs="Arial"/>
          <w:sz w:val="24"/>
          <w:szCs w:val="24"/>
        </w:rPr>
        <w:t>el acto</w:t>
      </w:r>
      <w:r w:rsidR="007D37D2">
        <w:rPr>
          <w:rStyle w:val="Refdenotaalpie"/>
          <w:rFonts w:cs="Arial"/>
          <w:sz w:val="24"/>
          <w:szCs w:val="24"/>
        </w:rPr>
        <w:footnoteReference w:id="10"/>
      </w:r>
      <w:r w:rsidR="007D37D2">
        <w:rPr>
          <w:rFonts w:cs="Arial"/>
          <w:sz w:val="24"/>
          <w:szCs w:val="24"/>
        </w:rPr>
        <w:t xml:space="preserve">, para luego llegar a la conclusión de que el </w:t>
      </w:r>
      <w:r w:rsidR="001C7BF3">
        <w:rPr>
          <w:rFonts w:cs="Arial"/>
          <w:sz w:val="24"/>
          <w:szCs w:val="24"/>
        </w:rPr>
        <w:t>Alcalde Mayor de Bogotá sí tenía</w:t>
      </w:r>
      <w:r w:rsidR="007D37D2">
        <w:rPr>
          <w:rFonts w:cs="Arial"/>
          <w:sz w:val="24"/>
          <w:szCs w:val="24"/>
        </w:rPr>
        <w:t xml:space="preserve"> competencia legal y reglamentaria para emitir el decreto demandado, </w:t>
      </w:r>
      <w:r w:rsidR="001C7BF3">
        <w:rPr>
          <w:rFonts w:cs="Arial"/>
          <w:sz w:val="24"/>
          <w:szCs w:val="24"/>
        </w:rPr>
        <w:t>debido a que dentro de sus funciones y facultades se encontraban las de</w:t>
      </w:r>
      <w:r w:rsidR="007D37D2">
        <w:rPr>
          <w:rFonts w:cs="Arial"/>
          <w:sz w:val="24"/>
          <w:szCs w:val="24"/>
        </w:rPr>
        <w:t xml:space="preserve"> ejecutar políticas y condiciones para asegurar la efectiva y adecuada prestación del servicio de transporte público masivo en el </w:t>
      </w:r>
      <w:r w:rsidR="001124BE">
        <w:rPr>
          <w:rFonts w:cs="Arial"/>
          <w:sz w:val="24"/>
          <w:szCs w:val="24"/>
        </w:rPr>
        <w:t>Distrito C</w:t>
      </w:r>
      <w:r w:rsidR="007D37D2">
        <w:rPr>
          <w:rFonts w:cs="Arial"/>
          <w:sz w:val="24"/>
          <w:szCs w:val="24"/>
        </w:rPr>
        <w:t xml:space="preserve">apital. </w:t>
      </w:r>
    </w:p>
    <w:p w14:paraId="729050C2" w14:textId="77777777" w:rsidR="0056495B" w:rsidRDefault="0056495B" w:rsidP="004A1D70">
      <w:pPr>
        <w:spacing w:line="360" w:lineRule="auto"/>
        <w:rPr>
          <w:rFonts w:cs="Arial"/>
          <w:sz w:val="24"/>
          <w:szCs w:val="24"/>
        </w:rPr>
      </w:pPr>
    </w:p>
    <w:p w14:paraId="2B3D1BE4" w14:textId="4F56521D" w:rsidR="001425CF" w:rsidRDefault="001124BE" w:rsidP="004A1D70">
      <w:pPr>
        <w:spacing w:line="360" w:lineRule="auto"/>
        <w:rPr>
          <w:rFonts w:cs="Arial"/>
          <w:sz w:val="24"/>
          <w:szCs w:val="24"/>
        </w:rPr>
      </w:pPr>
      <w:r w:rsidRPr="001508EE">
        <w:rPr>
          <w:rFonts w:cs="Arial"/>
          <w:sz w:val="24"/>
          <w:szCs w:val="24"/>
        </w:rPr>
        <w:t xml:space="preserve">Ahora, </w:t>
      </w:r>
      <w:r w:rsidR="00AF5A92">
        <w:rPr>
          <w:rFonts w:cs="Arial"/>
          <w:sz w:val="24"/>
          <w:szCs w:val="24"/>
        </w:rPr>
        <w:t xml:space="preserve">frente a la adopción de una tarifa diferencial para la población perteneciente al SISBEN, sostuvo que ello </w:t>
      </w:r>
      <w:r w:rsidRPr="001508EE">
        <w:rPr>
          <w:rFonts w:cs="Arial"/>
          <w:sz w:val="24"/>
          <w:szCs w:val="24"/>
        </w:rPr>
        <w:t xml:space="preserve">era un instrumento de las autoridades para favorecer la ejecución de políticas </w:t>
      </w:r>
      <w:r w:rsidR="00A84900" w:rsidRPr="001508EE">
        <w:rPr>
          <w:rFonts w:cs="Arial"/>
          <w:sz w:val="24"/>
          <w:szCs w:val="24"/>
        </w:rPr>
        <w:t>públicas</w:t>
      </w:r>
      <w:r w:rsidRPr="001508EE">
        <w:rPr>
          <w:rFonts w:cs="Arial"/>
          <w:sz w:val="24"/>
          <w:szCs w:val="24"/>
        </w:rPr>
        <w:t xml:space="preserve"> de priorización dirigidas a los sectores más pobres y vulnerables</w:t>
      </w:r>
      <w:r w:rsidR="00A84900" w:rsidRPr="001508EE">
        <w:rPr>
          <w:rFonts w:cs="Arial"/>
          <w:sz w:val="24"/>
          <w:szCs w:val="24"/>
        </w:rPr>
        <w:t>, en ta</w:t>
      </w:r>
      <w:r w:rsidR="00426718">
        <w:rPr>
          <w:rFonts w:cs="Arial"/>
          <w:sz w:val="24"/>
          <w:szCs w:val="24"/>
        </w:rPr>
        <w:t>nto el problema de la movilidad</w:t>
      </w:r>
      <w:r w:rsidR="00A84900" w:rsidRPr="001508EE">
        <w:rPr>
          <w:rFonts w:cs="Arial"/>
          <w:sz w:val="24"/>
          <w:szCs w:val="24"/>
        </w:rPr>
        <w:t xml:space="preserve"> ocupa un lugar importante </w:t>
      </w:r>
      <w:r w:rsidR="003E75F8">
        <w:rPr>
          <w:rFonts w:cs="Arial"/>
          <w:sz w:val="24"/>
          <w:szCs w:val="24"/>
        </w:rPr>
        <w:t>en</w:t>
      </w:r>
      <w:r w:rsidR="00A84900" w:rsidRPr="001508EE">
        <w:rPr>
          <w:rFonts w:cs="Arial"/>
          <w:sz w:val="24"/>
          <w:szCs w:val="24"/>
        </w:rPr>
        <w:t xml:space="preserve"> los objetivos de los gobiernos nacional y municipal, lo cual se refleja en d</w:t>
      </w:r>
      <w:r w:rsidR="00426718">
        <w:rPr>
          <w:rFonts w:cs="Arial"/>
          <w:sz w:val="24"/>
          <w:szCs w:val="24"/>
        </w:rPr>
        <w:t>istintas normas</w:t>
      </w:r>
      <w:r w:rsidR="00820EAF">
        <w:rPr>
          <w:rFonts w:cs="Arial"/>
          <w:sz w:val="24"/>
          <w:szCs w:val="24"/>
        </w:rPr>
        <w:t xml:space="preserve"> expedidas </w:t>
      </w:r>
      <w:r w:rsidR="00820EAF" w:rsidRPr="00820EAF">
        <w:rPr>
          <w:rFonts w:cs="Arial"/>
          <w:sz w:val="24"/>
          <w:szCs w:val="24"/>
        </w:rPr>
        <w:t>relacionadas con el tema,</w:t>
      </w:r>
      <w:r w:rsidR="00A84900" w:rsidRPr="00820EAF">
        <w:rPr>
          <w:rFonts w:cs="Arial"/>
          <w:sz w:val="24"/>
          <w:szCs w:val="24"/>
        </w:rPr>
        <w:t xml:space="preserve"> como </w:t>
      </w:r>
      <w:r w:rsidR="00820EAF" w:rsidRPr="00820EAF">
        <w:rPr>
          <w:rFonts w:cs="Arial"/>
          <w:sz w:val="24"/>
          <w:szCs w:val="24"/>
        </w:rPr>
        <w:t xml:space="preserve">lo son </w:t>
      </w:r>
      <w:r w:rsidR="00A84900" w:rsidRPr="00820EAF">
        <w:rPr>
          <w:rFonts w:cs="Arial"/>
          <w:sz w:val="24"/>
          <w:szCs w:val="24"/>
        </w:rPr>
        <w:t>las Leyes 86 de 1989, 105 de 1991</w:t>
      </w:r>
      <w:r w:rsidR="001508EE" w:rsidRPr="00820EAF">
        <w:rPr>
          <w:rFonts w:cs="Arial"/>
          <w:sz w:val="24"/>
          <w:szCs w:val="24"/>
        </w:rPr>
        <w:t xml:space="preserve"> y 336 de</w:t>
      </w:r>
      <w:r w:rsidR="00A84900" w:rsidRPr="00820EAF">
        <w:rPr>
          <w:rFonts w:cs="Arial"/>
          <w:sz w:val="24"/>
          <w:szCs w:val="24"/>
        </w:rPr>
        <w:t xml:space="preserve"> 1996</w:t>
      </w:r>
      <w:r w:rsidR="009432BC" w:rsidRPr="00820EAF">
        <w:rPr>
          <w:rFonts w:cs="Arial"/>
          <w:sz w:val="24"/>
          <w:szCs w:val="24"/>
        </w:rPr>
        <w:t xml:space="preserve"> y el Decreto 2660 de 1998</w:t>
      </w:r>
      <w:r w:rsidR="00AF5A92" w:rsidRPr="00820EAF">
        <w:rPr>
          <w:rFonts w:cs="Arial"/>
          <w:sz w:val="24"/>
          <w:szCs w:val="24"/>
        </w:rPr>
        <w:t xml:space="preserve">. De igual forma, resaltó que el Decreto 603 pretendió dar prioridad a ese tipo </w:t>
      </w:r>
      <w:r w:rsidR="00A84900" w:rsidRPr="00820EAF">
        <w:rPr>
          <w:rFonts w:cs="Arial"/>
          <w:sz w:val="24"/>
          <w:szCs w:val="24"/>
        </w:rPr>
        <w:t xml:space="preserve">de servicio de transporte público de pasajeros, en tanto permite que </w:t>
      </w:r>
      <w:r w:rsidR="00820EAF" w:rsidRPr="00820EAF">
        <w:rPr>
          <w:rFonts w:cs="Arial"/>
          <w:sz w:val="24"/>
          <w:szCs w:val="24"/>
        </w:rPr>
        <w:t xml:space="preserve">su acceso sea masivo </w:t>
      </w:r>
      <w:r w:rsidR="00A84900" w:rsidRPr="00820EAF">
        <w:rPr>
          <w:rFonts w:cs="Arial"/>
          <w:sz w:val="24"/>
          <w:szCs w:val="24"/>
        </w:rPr>
        <w:t>respecto de la población menos favorecida de la ciudad.</w:t>
      </w:r>
      <w:r w:rsidR="00A84900" w:rsidRPr="001508EE">
        <w:rPr>
          <w:rFonts w:cs="Arial"/>
          <w:sz w:val="24"/>
          <w:szCs w:val="24"/>
        </w:rPr>
        <w:t xml:space="preserve"> </w:t>
      </w:r>
    </w:p>
    <w:p w14:paraId="3D98F003" w14:textId="77777777" w:rsidR="00F70A96" w:rsidRPr="001508EE" w:rsidRDefault="00F70A96" w:rsidP="004A1D70">
      <w:pPr>
        <w:spacing w:line="360" w:lineRule="auto"/>
        <w:rPr>
          <w:rFonts w:cs="Arial"/>
          <w:sz w:val="24"/>
          <w:szCs w:val="24"/>
        </w:rPr>
      </w:pPr>
    </w:p>
    <w:p w14:paraId="55AC5291" w14:textId="2B823199" w:rsidR="001508EE" w:rsidRPr="001508EE" w:rsidRDefault="00AF5A92" w:rsidP="004A1D70">
      <w:pPr>
        <w:spacing w:line="360" w:lineRule="auto"/>
        <w:rPr>
          <w:rFonts w:cs="Arial"/>
          <w:sz w:val="24"/>
          <w:szCs w:val="24"/>
        </w:rPr>
      </w:pPr>
      <w:r>
        <w:rPr>
          <w:rFonts w:cs="Arial"/>
          <w:sz w:val="24"/>
          <w:szCs w:val="24"/>
        </w:rPr>
        <w:t xml:space="preserve">En lo </w:t>
      </w:r>
      <w:r w:rsidRPr="00640F21">
        <w:rPr>
          <w:rFonts w:cs="Arial"/>
          <w:sz w:val="24"/>
          <w:szCs w:val="24"/>
        </w:rPr>
        <w:t xml:space="preserve">referente a que el </w:t>
      </w:r>
      <w:r w:rsidR="00B83864" w:rsidRPr="00640F21">
        <w:rPr>
          <w:rFonts w:cs="Arial"/>
          <w:sz w:val="24"/>
          <w:szCs w:val="24"/>
        </w:rPr>
        <w:t>a</w:t>
      </w:r>
      <w:r w:rsidR="001508EE" w:rsidRPr="00640F21">
        <w:rPr>
          <w:rFonts w:cs="Arial"/>
          <w:sz w:val="24"/>
          <w:szCs w:val="24"/>
        </w:rPr>
        <w:t>lcalde usurpó</w:t>
      </w:r>
      <w:r w:rsidR="001508EE" w:rsidRPr="001508EE">
        <w:rPr>
          <w:rFonts w:cs="Arial"/>
          <w:sz w:val="24"/>
          <w:szCs w:val="24"/>
        </w:rPr>
        <w:t xml:space="preserve"> las funciones del Concejo de Bogotá, afirmó </w:t>
      </w:r>
      <w:r>
        <w:rPr>
          <w:rFonts w:cs="Arial"/>
          <w:sz w:val="24"/>
          <w:szCs w:val="24"/>
        </w:rPr>
        <w:t>que las atribuciones ejercidas</w:t>
      </w:r>
      <w:r w:rsidR="00096AD2">
        <w:rPr>
          <w:rFonts w:cs="Arial"/>
          <w:sz w:val="24"/>
          <w:szCs w:val="24"/>
        </w:rPr>
        <w:t xml:space="preserve"> sí</w:t>
      </w:r>
      <w:r w:rsidR="001508EE" w:rsidRPr="001508EE">
        <w:rPr>
          <w:rFonts w:cs="Arial"/>
          <w:sz w:val="24"/>
          <w:szCs w:val="24"/>
        </w:rPr>
        <w:t xml:space="preserve"> correspond</w:t>
      </w:r>
      <w:r w:rsidR="001508EE">
        <w:rPr>
          <w:rFonts w:cs="Arial"/>
          <w:sz w:val="24"/>
          <w:szCs w:val="24"/>
        </w:rPr>
        <w:t xml:space="preserve">ían a ese funcionario, pues el cuerpo colegiado </w:t>
      </w:r>
      <w:r w:rsidR="001508EE">
        <w:rPr>
          <w:rFonts w:cs="Arial"/>
          <w:sz w:val="24"/>
          <w:szCs w:val="24"/>
        </w:rPr>
        <w:lastRenderedPageBreak/>
        <w:t xml:space="preserve">no aparece </w:t>
      </w:r>
      <w:r w:rsidR="002B4146">
        <w:rPr>
          <w:rFonts w:cs="Arial"/>
          <w:sz w:val="24"/>
          <w:szCs w:val="24"/>
        </w:rPr>
        <w:t>incluido</w:t>
      </w:r>
      <w:r w:rsidR="001508EE">
        <w:rPr>
          <w:rFonts w:cs="Arial"/>
          <w:sz w:val="24"/>
          <w:szCs w:val="24"/>
        </w:rPr>
        <w:t xml:space="preserve"> dentro de las autoridades señaladas en el artículo 10 del Decreto 170 de 2001</w:t>
      </w:r>
      <w:r w:rsidR="001508EE">
        <w:rPr>
          <w:rStyle w:val="Refdenotaalpie"/>
          <w:rFonts w:cs="Arial"/>
          <w:sz w:val="24"/>
          <w:szCs w:val="24"/>
        </w:rPr>
        <w:footnoteReference w:id="11"/>
      </w:r>
      <w:r w:rsidR="00F67C2A">
        <w:rPr>
          <w:rFonts w:cs="Arial"/>
          <w:sz w:val="24"/>
          <w:szCs w:val="24"/>
        </w:rPr>
        <w:t xml:space="preserve"> ni en el Decreto 1421 de 1993</w:t>
      </w:r>
      <w:r w:rsidR="00F67C2A">
        <w:rPr>
          <w:rStyle w:val="Refdenotaalpie"/>
          <w:rFonts w:cs="Arial"/>
          <w:sz w:val="24"/>
          <w:szCs w:val="24"/>
        </w:rPr>
        <w:footnoteReference w:id="12"/>
      </w:r>
      <w:r w:rsidR="00D14EA9">
        <w:rPr>
          <w:rFonts w:cs="Arial"/>
          <w:sz w:val="24"/>
          <w:szCs w:val="24"/>
        </w:rPr>
        <w:t xml:space="preserve">, a través de los que se otorgan atribuciones en materia de transporte público. </w:t>
      </w:r>
      <w:r w:rsidR="00096AD2">
        <w:rPr>
          <w:rFonts w:cs="Arial"/>
          <w:sz w:val="24"/>
          <w:szCs w:val="24"/>
        </w:rPr>
        <w:t xml:space="preserve">Al efecto, refirió que al </w:t>
      </w:r>
      <w:r w:rsidR="00E2477E">
        <w:rPr>
          <w:rFonts w:cs="Arial"/>
          <w:sz w:val="24"/>
          <w:szCs w:val="24"/>
        </w:rPr>
        <w:t>c</w:t>
      </w:r>
      <w:r w:rsidR="00E053FD">
        <w:rPr>
          <w:rFonts w:cs="Arial"/>
          <w:sz w:val="24"/>
          <w:szCs w:val="24"/>
        </w:rPr>
        <w:t>oncejo le corresponde definir el marco organizativo, funcional, financiero y demás aspectos relacionados con las funciones de las autoridades de transpo</w:t>
      </w:r>
      <w:r w:rsidR="00096AD2">
        <w:rPr>
          <w:rFonts w:cs="Arial"/>
          <w:sz w:val="24"/>
          <w:szCs w:val="24"/>
        </w:rPr>
        <w:t xml:space="preserve">rte competentes en el Distrito; mientras que al </w:t>
      </w:r>
      <w:r w:rsidR="00B83864">
        <w:rPr>
          <w:rFonts w:cs="Arial"/>
          <w:sz w:val="24"/>
          <w:szCs w:val="24"/>
        </w:rPr>
        <w:t>a</w:t>
      </w:r>
      <w:r w:rsidR="00CC5804">
        <w:rPr>
          <w:rFonts w:cs="Arial"/>
          <w:sz w:val="24"/>
          <w:szCs w:val="24"/>
        </w:rPr>
        <w:t>lcalde</w:t>
      </w:r>
      <w:r w:rsidR="00E053FD">
        <w:rPr>
          <w:rFonts w:cs="Arial"/>
          <w:sz w:val="24"/>
          <w:szCs w:val="24"/>
        </w:rPr>
        <w:t xml:space="preserve">, diseñar y ejecutar las políticas </w:t>
      </w:r>
      <w:r w:rsidR="00CC5804">
        <w:rPr>
          <w:rFonts w:cs="Arial"/>
          <w:sz w:val="24"/>
          <w:szCs w:val="24"/>
        </w:rPr>
        <w:t>públicas</w:t>
      </w:r>
      <w:r w:rsidR="00E053FD">
        <w:rPr>
          <w:rFonts w:cs="Arial"/>
          <w:sz w:val="24"/>
          <w:szCs w:val="24"/>
        </w:rPr>
        <w:t>, lo que implica</w:t>
      </w:r>
      <w:r w:rsidR="00096AD2">
        <w:rPr>
          <w:rFonts w:cs="Arial"/>
          <w:sz w:val="24"/>
          <w:szCs w:val="24"/>
        </w:rPr>
        <w:t>ba la facultad de</w:t>
      </w:r>
      <w:r w:rsidR="00E053FD">
        <w:rPr>
          <w:rFonts w:cs="Arial"/>
          <w:sz w:val="24"/>
          <w:szCs w:val="24"/>
        </w:rPr>
        <w:t xml:space="preserve"> tomar medidas específicas y de carácter operativo o técnico para el desarrollo de esa actividad en sus distintas modalidades. </w:t>
      </w:r>
    </w:p>
    <w:p w14:paraId="3E57E507" w14:textId="77777777" w:rsidR="001124BE" w:rsidRPr="00DC14BB" w:rsidRDefault="001124BE" w:rsidP="004A1D70">
      <w:pPr>
        <w:spacing w:line="360" w:lineRule="auto"/>
        <w:rPr>
          <w:rFonts w:cs="Arial"/>
          <w:sz w:val="24"/>
          <w:szCs w:val="24"/>
        </w:rPr>
      </w:pPr>
    </w:p>
    <w:p w14:paraId="06CC1FF9" w14:textId="1B70B767" w:rsidR="009720AA" w:rsidRDefault="00D40DD1" w:rsidP="004A1D70">
      <w:pPr>
        <w:spacing w:line="360" w:lineRule="auto"/>
        <w:rPr>
          <w:rFonts w:cs="Arial"/>
          <w:sz w:val="24"/>
          <w:szCs w:val="24"/>
        </w:rPr>
      </w:pPr>
      <w:r w:rsidRPr="00DC14BB">
        <w:rPr>
          <w:rFonts w:cs="Arial"/>
          <w:sz w:val="24"/>
          <w:szCs w:val="24"/>
        </w:rPr>
        <w:t xml:space="preserve">Respecto de la presunta creación de un subsidio para el pago de una tarifa diferencial, </w:t>
      </w:r>
      <w:r w:rsidR="00607D59">
        <w:rPr>
          <w:rFonts w:cs="Arial"/>
          <w:sz w:val="24"/>
          <w:szCs w:val="24"/>
        </w:rPr>
        <w:t>a</w:t>
      </w:r>
      <w:r w:rsidR="00844AA5" w:rsidRPr="00DC14BB">
        <w:rPr>
          <w:rFonts w:cs="Arial"/>
          <w:sz w:val="24"/>
          <w:szCs w:val="24"/>
        </w:rPr>
        <w:t>severó que el Decreto 603 de 2013 es una regulación sob</w:t>
      </w:r>
      <w:r w:rsidR="00CC5804">
        <w:rPr>
          <w:rFonts w:cs="Arial"/>
          <w:sz w:val="24"/>
          <w:szCs w:val="24"/>
        </w:rPr>
        <w:t>r</w:t>
      </w:r>
      <w:r w:rsidR="00844AA5" w:rsidRPr="00DC14BB">
        <w:rPr>
          <w:rFonts w:cs="Arial"/>
          <w:sz w:val="24"/>
          <w:szCs w:val="24"/>
        </w:rPr>
        <w:t xml:space="preserve">e una política </w:t>
      </w:r>
      <w:r w:rsidR="009720AA" w:rsidRPr="00DC14BB">
        <w:rPr>
          <w:rFonts w:cs="Arial"/>
          <w:sz w:val="24"/>
          <w:szCs w:val="24"/>
        </w:rPr>
        <w:t>pública</w:t>
      </w:r>
      <w:r w:rsidR="00844AA5" w:rsidRPr="00DC14BB">
        <w:rPr>
          <w:rFonts w:cs="Arial"/>
          <w:sz w:val="24"/>
          <w:szCs w:val="24"/>
        </w:rPr>
        <w:t xml:space="preserve"> dirigida a motivar a un sector de la población a utilizar el transporte masivo, lo cual no era posible asimilar a un subsidio con re</w:t>
      </w:r>
      <w:r w:rsidR="002F5E2E">
        <w:rPr>
          <w:rFonts w:cs="Arial"/>
          <w:sz w:val="24"/>
          <w:szCs w:val="24"/>
        </w:rPr>
        <w:t xml:space="preserve">cursos públicos, pues lo que el </w:t>
      </w:r>
      <w:r w:rsidR="00B83864">
        <w:rPr>
          <w:rFonts w:cs="Arial"/>
          <w:sz w:val="24"/>
          <w:szCs w:val="24"/>
        </w:rPr>
        <w:t>a</w:t>
      </w:r>
      <w:r w:rsidR="00844AA5" w:rsidRPr="00DC14BB">
        <w:rPr>
          <w:rFonts w:cs="Arial"/>
          <w:sz w:val="24"/>
          <w:szCs w:val="24"/>
        </w:rPr>
        <w:t>lcalde hizo fue establecer un porcentaje de descuento del 40% sobre la tarifa al usuario, respaldado en un modelo ec</w:t>
      </w:r>
      <w:r w:rsidR="00CC5804">
        <w:rPr>
          <w:rFonts w:cs="Arial"/>
          <w:sz w:val="24"/>
          <w:szCs w:val="24"/>
        </w:rPr>
        <w:t xml:space="preserve">onómico, financiero y operativo contenido en el </w:t>
      </w:r>
      <w:r w:rsidR="00CC5804" w:rsidRPr="00DC14BB">
        <w:rPr>
          <w:rFonts w:cs="Arial"/>
          <w:sz w:val="24"/>
          <w:szCs w:val="24"/>
        </w:rPr>
        <w:t xml:space="preserve">Acuerdo 489 de 2012 o </w:t>
      </w:r>
      <w:r w:rsidR="00CC5804" w:rsidRPr="00CC5804">
        <w:rPr>
          <w:rFonts w:cs="Arial"/>
          <w:i/>
          <w:sz w:val="24"/>
          <w:szCs w:val="24"/>
        </w:rPr>
        <w:t>Plan de Desarrollo Económico Social, Ambiental y de Obras Públicas para Bogotá</w:t>
      </w:r>
      <w:r w:rsidR="00CC5804">
        <w:rPr>
          <w:rFonts w:cs="Arial"/>
          <w:sz w:val="24"/>
          <w:szCs w:val="24"/>
        </w:rPr>
        <w:t>,</w:t>
      </w:r>
      <w:r w:rsidR="00844AA5" w:rsidRPr="00DC14BB">
        <w:rPr>
          <w:rFonts w:cs="Arial"/>
          <w:sz w:val="24"/>
          <w:szCs w:val="24"/>
        </w:rPr>
        <w:t xml:space="preserve"> en el que se demostraba que la aplicación de las tarifas garantizaba </w:t>
      </w:r>
      <w:r w:rsidR="00844AA5" w:rsidRPr="00002F67">
        <w:rPr>
          <w:rFonts w:cs="Arial"/>
          <w:sz w:val="24"/>
          <w:szCs w:val="24"/>
        </w:rPr>
        <w:t>la sostenibi</w:t>
      </w:r>
      <w:r w:rsidR="00CC5804" w:rsidRPr="00002F67">
        <w:rPr>
          <w:rFonts w:cs="Arial"/>
          <w:sz w:val="24"/>
          <w:szCs w:val="24"/>
        </w:rPr>
        <w:t>lidad del sistema</w:t>
      </w:r>
      <w:r w:rsidR="00CC5804" w:rsidRPr="00E2477E">
        <w:rPr>
          <w:rFonts w:cs="Arial"/>
          <w:sz w:val="24"/>
          <w:szCs w:val="24"/>
        </w:rPr>
        <w:t xml:space="preserve">. </w:t>
      </w:r>
      <w:r w:rsidR="009720AA" w:rsidRPr="00E2477E">
        <w:rPr>
          <w:rFonts w:cs="Arial"/>
          <w:sz w:val="24"/>
          <w:szCs w:val="24"/>
        </w:rPr>
        <w:t>De igual</w:t>
      </w:r>
      <w:r w:rsidR="009720AA" w:rsidRPr="00DC14BB">
        <w:rPr>
          <w:rFonts w:cs="Arial"/>
          <w:sz w:val="24"/>
          <w:szCs w:val="24"/>
        </w:rPr>
        <w:t xml:space="preserve"> forma, </w:t>
      </w:r>
      <w:r w:rsidR="007F2209">
        <w:rPr>
          <w:rFonts w:cs="Arial"/>
          <w:sz w:val="24"/>
          <w:szCs w:val="24"/>
        </w:rPr>
        <w:t xml:space="preserve">sostuvo que en el </w:t>
      </w:r>
      <w:r w:rsidR="009720AA" w:rsidRPr="00DC14BB">
        <w:rPr>
          <w:rFonts w:cs="Arial"/>
          <w:sz w:val="24"/>
          <w:szCs w:val="24"/>
        </w:rPr>
        <w:t>numeral 2 del artículo 20 del mencionado acuerdo</w:t>
      </w:r>
      <w:r w:rsidR="007F2209">
        <w:rPr>
          <w:rFonts w:cs="Arial"/>
          <w:sz w:val="24"/>
          <w:szCs w:val="24"/>
        </w:rPr>
        <w:t xml:space="preserve"> se</w:t>
      </w:r>
      <w:r w:rsidR="009720AA" w:rsidRPr="00DC14BB">
        <w:rPr>
          <w:rFonts w:cs="Arial"/>
          <w:sz w:val="24"/>
          <w:szCs w:val="24"/>
        </w:rPr>
        <w:t xml:space="preserve"> indicó que para el mejoramiento de la accesibilidad financiera al transporte </w:t>
      </w:r>
      <w:r w:rsidR="00DC14BB" w:rsidRPr="00DC14BB">
        <w:rPr>
          <w:rFonts w:cs="Arial"/>
          <w:sz w:val="24"/>
          <w:szCs w:val="24"/>
        </w:rPr>
        <w:t>público</w:t>
      </w:r>
      <w:r w:rsidR="009720AA" w:rsidRPr="00DC14BB">
        <w:rPr>
          <w:rFonts w:cs="Arial"/>
          <w:sz w:val="24"/>
          <w:szCs w:val="24"/>
        </w:rPr>
        <w:t xml:space="preserve">, se debían establecer y adoptar medidas y tarifas que permitieran mayor acceso a </w:t>
      </w:r>
      <w:r w:rsidR="00DC14BB" w:rsidRPr="00DC14BB">
        <w:rPr>
          <w:rFonts w:cs="Arial"/>
          <w:sz w:val="24"/>
          <w:szCs w:val="24"/>
        </w:rPr>
        <w:t>la poblaci</w:t>
      </w:r>
      <w:r w:rsidR="00D92A0C">
        <w:rPr>
          <w:rFonts w:cs="Arial"/>
          <w:sz w:val="24"/>
          <w:szCs w:val="24"/>
        </w:rPr>
        <w:t>ón con menor capacidad de pago.</w:t>
      </w:r>
    </w:p>
    <w:p w14:paraId="0E003A86" w14:textId="77777777" w:rsidR="00D92A0C" w:rsidRPr="00521682" w:rsidRDefault="00D92A0C" w:rsidP="004A1D70">
      <w:pPr>
        <w:spacing w:line="360" w:lineRule="auto"/>
        <w:rPr>
          <w:rFonts w:cs="Arial"/>
          <w:sz w:val="24"/>
          <w:szCs w:val="24"/>
        </w:rPr>
      </w:pPr>
    </w:p>
    <w:p w14:paraId="39D1CD6B" w14:textId="7A6AACD4" w:rsidR="00D92A0C" w:rsidRPr="00521682" w:rsidRDefault="00D92A0C" w:rsidP="004A1D70">
      <w:pPr>
        <w:spacing w:line="360" w:lineRule="auto"/>
        <w:rPr>
          <w:sz w:val="24"/>
          <w:szCs w:val="24"/>
        </w:rPr>
      </w:pPr>
      <w:r w:rsidRPr="00521682">
        <w:rPr>
          <w:rFonts w:cs="Arial"/>
          <w:sz w:val="24"/>
          <w:szCs w:val="24"/>
        </w:rPr>
        <w:t xml:space="preserve">Por otra parte, constató </w:t>
      </w:r>
      <w:r w:rsidR="00B16ACA" w:rsidRPr="00521682">
        <w:rPr>
          <w:rFonts w:cs="Arial"/>
          <w:sz w:val="24"/>
          <w:szCs w:val="24"/>
        </w:rPr>
        <w:t xml:space="preserve">que el </w:t>
      </w:r>
      <w:r w:rsidR="00F70A96">
        <w:rPr>
          <w:rFonts w:cs="Arial"/>
          <w:sz w:val="24"/>
          <w:szCs w:val="24"/>
        </w:rPr>
        <w:t>d</w:t>
      </w:r>
      <w:r w:rsidR="00B16ACA" w:rsidRPr="00521682">
        <w:rPr>
          <w:rFonts w:cs="Arial"/>
          <w:sz w:val="24"/>
          <w:szCs w:val="24"/>
        </w:rPr>
        <w:t>ecreto acusado se planteó el mod</w:t>
      </w:r>
      <w:r w:rsidR="002F34D2">
        <w:rPr>
          <w:rFonts w:cs="Arial"/>
          <w:sz w:val="24"/>
          <w:szCs w:val="24"/>
        </w:rPr>
        <w:t>elo económico a tener en cuenta, contenido en el Acta 10 de 2013 emitida por el CONFIS</w:t>
      </w:r>
      <w:r w:rsidR="002F34D2">
        <w:rPr>
          <w:rStyle w:val="Refdenotaalpie"/>
          <w:rFonts w:cs="Arial"/>
          <w:sz w:val="24"/>
          <w:szCs w:val="24"/>
        </w:rPr>
        <w:footnoteReference w:id="13"/>
      </w:r>
      <w:r w:rsidR="002F34D2">
        <w:rPr>
          <w:rFonts w:cs="Arial"/>
          <w:sz w:val="24"/>
          <w:szCs w:val="24"/>
        </w:rPr>
        <w:t xml:space="preserve"> </w:t>
      </w:r>
      <w:r w:rsidR="00846136" w:rsidRPr="00521682">
        <w:rPr>
          <w:rFonts w:cs="Arial"/>
          <w:sz w:val="24"/>
          <w:szCs w:val="24"/>
        </w:rPr>
        <w:t>y</w:t>
      </w:r>
      <w:r w:rsidR="00550557">
        <w:rPr>
          <w:rFonts w:cs="Arial"/>
          <w:sz w:val="24"/>
          <w:szCs w:val="24"/>
        </w:rPr>
        <w:t>,</w:t>
      </w:r>
      <w:r w:rsidR="00846136" w:rsidRPr="00521682">
        <w:rPr>
          <w:rFonts w:cs="Arial"/>
          <w:sz w:val="24"/>
          <w:szCs w:val="24"/>
        </w:rPr>
        <w:t xml:space="preserve"> además, tuvo </w:t>
      </w:r>
      <w:r w:rsidR="007F2209">
        <w:rPr>
          <w:rFonts w:cs="Arial"/>
          <w:sz w:val="24"/>
          <w:szCs w:val="24"/>
        </w:rPr>
        <w:t>en consideración</w:t>
      </w:r>
      <w:r w:rsidR="00846136" w:rsidRPr="00521682">
        <w:rPr>
          <w:rFonts w:cs="Arial"/>
          <w:sz w:val="24"/>
          <w:szCs w:val="24"/>
        </w:rPr>
        <w:t xml:space="preserve"> el estudio realizado por Transmilenio S.A. denominado </w:t>
      </w:r>
      <w:r w:rsidR="00846136" w:rsidRPr="00521682">
        <w:rPr>
          <w:i/>
          <w:sz w:val="24"/>
          <w:szCs w:val="24"/>
        </w:rPr>
        <w:t xml:space="preserve">“Estudio Técnico y Financiero soporte a la actualización tarifaria”, </w:t>
      </w:r>
      <w:r w:rsidR="007F2209">
        <w:rPr>
          <w:sz w:val="24"/>
          <w:szCs w:val="24"/>
        </w:rPr>
        <w:t>y</w:t>
      </w:r>
      <w:r w:rsidR="00846136" w:rsidRPr="00521682">
        <w:rPr>
          <w:sz w:val="24"/>
          <w:szCs w:val="24"/>
        </w:rPr>
        <w:t xml:space="preserve"> la certificación del 17 de diciembre de 2013, expedida por la Secretaría Distrital de Hacienda, con radicado No. 2013ee20795O</w:t>
      </w:r>
      <w:r w:rsidR="003E75F8">
        <w:rPr>
          <w:sz w:val="24"/>
          <w:szCs w:val="24"/>
        </w:rPr>
        <w:t>;</w:t>
      </w:r>
      <w:r w:rsidR="00846136" w:rsidRPr="00521682">
        <w:rPr>
          <w:sz w:val="24"/>
          <w:szCs w:val="24"/>
        </w:rPr>
        <w:t xml:space="preserve"> </w:t>
      </w:r>
      <w:r w:rsidR="007F2209">
        <w:rPr>
          <w:sz w:val="24"/>
          <w:szCs w:val="24"/>
        </w:rPr>
        <w:t>documentos a través de los</w:t>
      </w:r>
      <w:r w:rsidR="00846136" w:rsidRPr="00521682">
        <w:rPr>
          <w:sz w:val="24"/>
          <w:szCs w:val="24"/>
        </w:rPr>
        <w:t xml:space="preserve"> que </w:t>
      </w:r>
      <w:r w:rsidR="003E75F8">
        <w:rPr>
          <w:sz w:val="24"/>
          <w:szCs w:val="24"/>
        </w:rPr>
        <w:t>se verificó</w:t>
      </w:r>
      <w:r w:rsidR="00846136" w:rsidRPr="00521682">
        <w:rPr>
          <w:sz w:val="24"/>
          <w:szCs w:val="24"/>
        </w:rPr>
        <w:t xml:space="preserve"> el respaldo de recursos para adoptar la política de fijación de tarifas diferenciales en el sistema masivo de transporte. </w:t>
      </w:r>
    </w:p>
    <w:p w14:paraId="48A5C882" w14:textId="77777777" w:rsidR="00521682" w:rsidRPr="00521682" w:rsidRDefault="00521682" w:rsidP="004A1D70">
      <w:pPr>
        <w:spacing w:line="360" w:lineRule="auto"/>
        <w:rPr>
          <w:sz w:val="24"/>
          <w:szCs w:val="24"/>
        </w:rPr>
      </w:pPr>
    </w:p>
    <w:p w14:paraId="1B0A0CA7" w14:textId="32CF771C" w:rsidR="00521682" w:rsidRPr="0006510E" w:rsidRDefault="008F2246" w:rsidP="004A1D70">
      <w:pPr>
        <w:spacing w:line="360" w:lineRule="auto"/>
        <w:rPr>
          <w:rFonts w:cs="Arial"/>
          <w:sz w:val="24"/>
          <w:szCs w:val="24"/>
        </w:rPr>
      </w:pPr>
      <w:r>
        <w:rPr>
          <w:sz w:val="24"/>
          <w:szCs w:val="24"/>
        </w:rPr>
        <w:t>También</w:t>
      </w:r>
      <w:r w:rsidR="001E3ECF">
        <w:rPr>
          <w:sz w:val="24"/>
          <w:szCs w:val="24"/>
        </w:rPr>
        <w:t xml:space="preserve"> observó </w:t>
      </w:r>
      <w:r w:rsidR="00521682" w:rsidRPr="0006510E">
        <w:rPr>
          <w:sz w:val="24"/>
          <w:szCs w:val="24"/>
        </w:rPr>
        <w:t xml:space="preserve">que el Concejo Municipal, al evaluar el </w:t>
      </w:r>
      <w:r w:rsidR="007F2209">
        <w:rPr>
          <w:sz w:val="24"/>
          <w:szCs w:val="24"/>
        </w:rPr>
        <w:t>A</w:t>
      </w:r>
      <w:r w:rsidR="00521682" w:rsidRPr="0006510E">
        <w:rPr>
          <w:sz w:val="24"/>
          <w:szCs w:val="24"/>
        </w:rPr>
        <w:t xml:space="preserve">cuerdo 533 de 2013 </w:t>
      </w:r>
      <w:r w:rsidR="00550557">
        <w:rPr>
          <w:i/>
          <w:sz w:val="24"/>
          <w:szCs w:val="24"/>
        </w:rPr>
        <w:t>“</w:t>
      </w:r>
      <w:r w:rsidR="00521682" w:rsidRPr="0006510E">
        <w:rPr>
          <w:i/>
          <w:sz w:val="24"/>
          <w:szCs w:val="24"/>
        </w:rPr>
        <w:t xml:space="preserve">Por el cual se expide el presupuesto anual de rentas e ingresos y de gastos e inversiones de </w:t>
      </w:r>
      <w:r w:rsidR="00521682" w:rsidRPr="0006510E">
        <w:rPr>
          <w:i/>
          <w:sz w:val="24"/>
          <w:szCs w:val="24"/>
        </w:rPr>
        <w:lastRenderedPageBreak/>
        <w:t>Bogotá, Distrito Capital para la vigencia comprendida entre el 1 de enero y el 31 de diciembre de 2014 y se dictan otras disposiciones</w:t>
      </w:r>
      <w:r w:rsidR="00550557">
        <w:rPr>
          <w:i/>
          <w:sz w:val="24"/>
          <w:szCs w:val="24"/>
        </w:rPr>
        <w:t>”</w:t>
      </w:r>
      <w:r w:rsidR="00521682" w:rsidRPr="00A12774">
        <w:rPr>
          <w:iCs/>
          <w:sz w:val="24"/>
          <w:szCs w:val="24"/>
        </w:rPr>
        <w:t>,</w:t>
      </w:r>
      <w:r w:rsidR="007F2209">
        <w:rPr>
          <w:sz w:val="24"/>
          <w:szCs w:val="24"/>
        </w:rPr>
        <w:t xml:space="preserve"> tuvo conocimiento del presupuesto que sustentó</w:t>
      </w:r>
      <w:r w:rsidR="00521682" w:rsidRPr="0006510E">
        <w:rPr>
          <w:sz w:val="24"/>
          <w:szCs w:val="24"/>
        </w:rPr>
        <w:t xml:space="preserve"> la adopción de la</w:t>
      </w:r>
      <w:r w:rsidR="007F2209">
        <w:rPr>
          <w:sz w:val="24"/>
          <w:szCs w:val="24"/>
        </w:rPr>
        <w:t xml:space="preserve"> medida contenida en el</w:t>
      </w:r>
      <w:r w:rsidR="00C4206A">
        <w:rPr>
          <w:sz w:val="24"/>
          <w:szCs w:val="24"/>
        </w:rPr>
        <w:t xml:space="preserve"> Decreto 603 de 2013</w:t>
      </w:r>
      <w:r>
        <w:rPr>
          <w:sz w:val="24"/>
          <w:szCs w:val="24"/>
        </w:rPr>
        <w:t>, por lo que el asunto fue, en efecto, discutido y aprobado por el cuerpo colegiado</w:t>
      </w:r>
      <w:r w:rsidR="00C4206A">
        <w:rPr>
          <w:sz w:val="24"/>
          <w:szCs w:val="24"/>
        </w:rPr>
        <w:t xml:space="preserve">. </w:t>
      </w:r>
    </w:p>
    <w:p w14:paraId="6A10AC2E" w14:textId="77777777" w:rsidR="00903A87" w:rsidRPr="00521682" w:rsidRDefault="00903A87" w:rsidP="004A1D70">
      <w:pPr>
        <w:spacing w:line="360" w:lineRule="auto"/>
        <w:rPr>
          <w:rFonts w:cs="Arial"/>
          <w:sz w:val="24"/>
          <w:szCs w:val="24"/>
        </w:rPr>
      </w:pPr>
    </w:p>
    <w:p w14:paraId="1CAA5BAC" w14:textId="77777777" w:rsidR="002747CB" w:rsidRDefault="002747CB" w:rsidP="004A1D70">
      <w:pPr>
        <w:spacing w:line="360" w:lineRule="auto"/>
        <w:rPr>
          <w:rFonts w:cs="Arial"/>
          <w:b/>
          <w:sz w:val="24"/>
          <w:szCs w:val="24"/>
        </w:rPr>
      </w:pPr>
      <w:r w:rsidRPr="0004629A">
        <w:rPr>
          <w:rFonts w:cs="Arial"/>
          <w:b/>
          <w:sz w:val="24"/>
          <w:szCs w:val="24"/>
        </w:rPr>
        <w:t>1.2.- Fundamentos de la acción de tutela</w:t>
      </w:r>
      <w:r w:rsidRPr="00521682">
        <w:rPr>
          <w:rFonts w:cs="Arial"/>
          <w:b/>
          <w:sz w:val="24"/>
          <w:szCs w:val="24"/>
        </w:rPr>
        <w:t xml:space="preserve"> </w:t>
      </w:r>
    </w:p>
    <w:p w14:paraId="2DFF1153" w14:textId="77777777" w:rsidR="000B67D9" w:rsidRDefault="000B67D9" w:rsidP="004A1D70">
      <w:pPr>
        <w:spacing w:line="360" w:lineRule="auto"/>
        <w:rPr>
          <w:rFonts w:cs="Arial"/>
          <w:b/>
          <w:sz w:val="24"/>
          <w:szCs w:val="24"/>
        </w:rPr>
      </w:pPr>
    </w:p>
    <w:p w14:paraId="6E99F9E3" w14:textId="77777777" w:rsidR="00E84B04" w:rsidRDefault="000B67D9" w:rsidP="004A1D70">
      <w:pPr>
        <w:spacing w:line="360" w:lineRule="auto"/>
        <w:rPr>
          <w:rFonts w:cs="Arial"/>
          <w:sz w:val="24"/>
          <w:szCs w:val="24"/>
        </w:rPr>
      </w:pPr>
      <w:r>
        <w:rPr>
          <w:rFonts w:cs="Arial"/>
          <w:sz w:val="24"/>
          <w:szCs w:val="24"/>
        </w:rPr>
        <w:t>La parte tutelante adujo</w:t>
      </w:r>
      <w:r w:rsidR="00E84B04">
        <w:rPr>
          <w:rFonts w:cs="Arial"/>
          <w:sz w:val="24"/>
          <w:szCs w:val="24"/>
        </w:rPr>
        <w:t xml:space="preserve"> lo que sigue.</w:t>
      </w:r>
    </w:p>
    <w:p w14:paraId="3FB1F0B2" w14:textId="77777777" w:rsidR="00E84B04" w:rsidRDefault="00E84B04" w:rsidP="004A1D70">
      <w:pPr>
        <w:spacing w:line="360" w:lineRule="auto"/>
        <w:rPr>
          <w:rFonts w:cs="Arial"/>
          <w:sz w:val="24"/>
          <w:szCs w:val="24"/>
        </w:rPr>
      </w:pPr>
    </w:p>
    <w:p w14:paraId="7023D6C0" w14:textId="55029169" w:rsidR="00290BDC" w:rsidRDefault="00E84B04" w:rsidP="004A1D70">
      <w:pPr>
        <w:spacing w:line="360" w:lineRule="auto"/>
        <w:rPr>
          <w:sz w:val="24"/>
          <w:szCs w:val="24"/>
        </w:rPr>
      </w:pPr>
      <w:r>
        <w:rPr>
          <w:rFonts w:cs="Arial"/>
          <w:sz w:val="24"/>
          <w:szCs w:val="24"/>
        </w:rPr>
        <w:t>1.2.1.- E</w:t>
      </w:r>
      <w:r w:rsidR="000B67D9">
        <w:rPr>
          <w:sz w:val="24"/>
          <w:szCs w:val="24"/>
        </w:rPr>
        <w:t>l incentivo cont</w:t>
      </w:r>
      <w:r w:rsidR="002E4995">
        <w:rPr>
          <w:sz w:val="24"/>
          <w:szCs w:val="24"/>
        </w:rPr>
        <w:t>enido en el Decreto 603 de 2013</w:t>
      </w:r>
      <w:r>
        <w:rPr>
          <w:sz w:val="24"/>
          <w:szCs w:val="24"/>
        </w:rPr>
        <w:t xml:space="preserve"> era </w:t>
      </w:r>
      <w:r w:rsidR="002E4995">
        <w:rPr>
          <w:sz w:val="24"/>
          <w:szCs w:val="24"/>
        </w:rPr>
        <w:t xml:space="preserve">realmente </w:t>
      </w:r>
      <w:r>
        <w:rPr>
          <w:sz w:val="24"/>
          <w:szCs w:val="24"/>
        </w:rPr>
        <w:t xml:space="preserve">un subsidio </w:t>
      </w:r>
      <w:r w:rsidR="007E0F0D">
        <w:rPr>
          <w:sz w:val="24"/>
          <w:szCs w:val="24"/>
        </w:rPr>
        <w:t xml:space="preserve">financiado </w:t>
      </w:r>
      <w:r>
        <w:rPr>
          <w:sz w:val="24"/>
          <w:szCs w:val="24"/>
        </w:rPr>
        <w:t xml:space="preserve">con los recursos del transporte público. </w:t>
      </w:r>
      <w:r w:rsidR="00DC40E1">
        <w:rPr>
          <w:sz w:val="24"/>
          <w:szCs w:val="24"/>
        </w:rPr>
        <w:t>Al efecto, indicó que el Tribunal accionado se apartó de lo previsto por la Corte Constitucional en sentencia</w:t>
      </w:r>
      <w:r w:rsidR="003771BA">
        <w:rPr>
          <w:sz w:val="24"/>
          <w:szCs w:val="24"/>
        </w:rPr>
        <w:t>s</w:t>
      </w:r>
      <w:r w:rsidR="00DC40E1">
        <w:rPr>
          <w:sz w:val="24"/>
          <w:szCs w:val="24"/>
        </w:rPr>
        <w:t xml:space="preserve"> C</w:t>
      </w:r>
      <w:r w:rsidR="00F1372D">
        <w:rPr>
          <w:sz w:val="24"/>
          <w:szCs w:val="24"/>
        </w:rPr>
        <w:t>-324</w:t>
      </w:r>
      <w:r w:rsidR="00DC40E1">
        <w:rPr>
          <w:sz w:val="24"/>
          <w:szCs w:val="24"/>
        </w:rPr>
        <w:t xml:space="preserve"> de 2009</w:t>
      </w:r>
      <w:r w:rsidR="003771BA">
        <w:rPr>
          <w:sz w:val="24"/>
          <w:szCs w:val="24"/>
        </w:rPr>
        <w:t xml:space="preserve"> y C-323 del mismo año</w:t>
      </w:r>
      <w:r w:rsidR="00DC40E1">
        <w:rPr>
          <w:sz w:val="24"/>
          <w:szCs w:val="24"/>
        </w:rPr>
        <w:t>, en la</w:t>
      </w:r>
      <w:r w:rsidR="003771BA">
        <w:rPr>
          <w:sz w:val="24"/>
          <w:szCs w:val="24"/>
        </w:rPr>
        <w:t>s</w:t>
      </w:r>
      <w:r w:rsidR="00270162">
        <w:rPr>
          <w:sz w:val="24"/>
          <w:szCs w:val="24"/>
        </w:rPr>
        <w:t xml:space="preserve"> que se precisó en qué consistía</w:t>
      </w:r>
      <w:r w:rsidR="00DC40E1">
        <w:rPr>
          <w:sz w:val="24"/>
          <w:szCs w:val="24"/>
        </w:rPr>
        <w:t xml:space="preserve"> la prohibición del</w:t>
      </w:r>
      <w:r w:rsidR="00270162">
        <w:rPr>
          <w:sz w:val="24"/>
          <w:szCs w:val="24"/>
        </w:rPr>
        <w:t xml:space="preserve"> artículo 355 Constitucional de decretar auxilios o donaciones en favor de personas naturales o jurídicas de derecho privado</w:t>
      </w:r>
      <w:r w:rsidR="00290BDC">
        <w:rPr>
          <w:sz w:val="24"/>
          <w:szCs w:val="24"/>
        </w:rPr>
        <w:t>. Adicionalmente, resaltó que en la reunión del CONFIS y en el Acta 010 del 2013</w:t>
      </w:r>
      <w:r w:rsidR="00270162">
        <w:rPr>
          <w:sz w:val="24"/>
          <w:szCs w:val="24"/>
        </w:rPr>
        <w:t xml:space="preserve"> expedida </w:t>
      </w:r>
      <w:r w:rsidR="00270162" w:rsidRPr="00F70A96">
        <w:rPr>
          <w:sz w:val="24"/>
          <w:szCs w:val="24"/>
        </w:rPr>
        <w:t>por ese consejo,</w:t>
      </w:r>
      <w:r w:rsidR="00290BDC" w:rsidRPr="00F70A96">
        <w:rPr>
          <w:sz w:val="24"/>
          <w:szCs w:val="24"/>
        </w:rPr>
        <w:t xml:space="preserve"> se</w:t>
      </w:r>
      <w:r w:rsidR="00290BDC">
        <w:rPr>
          <w:sz w:val="24"/>
          <w:szCs w:val="24"/>
        </w:rPr>
        <w:t xml:space="preserve"> estableció qu</w:t>
      </w:r>
      <w:r w:rsidR="008776F7">
        <w:rPr>
          <w:sz w:val="24"/>
          <w:szCs w:val="24"/>
        </w:rPr>
        <w:t xml:space="preserve">e tal incentivo sí era un subsidio. </w:t>
      </w:r>
      <w:r w:rsidR="00290BDC">
        <w:rPr>
          <w:sz w:val="24"/>
          <w:szCs w:val="24"/>
        </w:rPr>
        <w:t xml:space="preserve"> </w:t>
      </w:r>
    </w:p>
    <w:p w14:paraId="56F9822E" w14:textId="77777777" w:rsidR="00290BDC" w:rsidRDefault="00290BDC" w:rsidP="004A1D70">
      <w:pPr>
        <w:spacing w:line="360" w:lineRule="auto"/>
        <w:rPr>
          <w:sz w:val="24"/>
          <w:szCs w:val="24"/>
        </w:rPr>
      </w:pPr>
    </w:p>
    <w:p w14:paraId="2D486635" w14:textId="74E0A989" w:rsidR="000B67D9" w:rsidRDefault="00290BDC" w:rsidP="004A1D70">
      <w:pPr>
        <w:spacing w:line="360" w:lineRule="auto"/>
        <w:rPr>
          <w:sz w:val="24"/>
          <w:szCs w:val="24"/>
        </w:rPr>
      </w:pPr>
      <w:r>
        <w:rPr>
          <w:sz w:val="24"/>
          <w:szCs w:val="24"/>
        </w:rPr>
        <w:t>1.2</w:t>
      </w:r>
      <w:r w:rsidR="00886583">
        <w:rPr>
          <w:sz w:val="24"/>
          <w:szCs w:val="24"/>
        </w:rPr>
        <w:t xml:space="preserve">.2.- </w:t>
      </w:r>
      <w:r w:rsidR="008776F7">
        <w:rPr>
          <w:sz w:val="24"/>
          <w:szCs w:val="24"/>
        </w:rPr>
        <w:t>N</w:t>
      </w:r>
      <w:r w:rsidR="00886583">
        <w:rPr>
          <w:sz w:val="24"/>
          <w:szCs w:val="24"/>
        </w:rPr>
        <w:t xml:space="preserve">o se cumplió con la elaboración de un modelo económico, financiero y operativo que demostrara que la aplicación de las </w:t>
      </w:r>
      <w:r w:rsidR="00EC593E">
        <w:rPr>
          <w:sz w:val="24"/>
          <w:szCs w:val="24"/>
        </w:rPr>
        <w:t>tarifas garantizaba</w:t>
      </w:r>
      <w:r w:rsidR="00886583">
        <w:rPr>
          <w:sz w:val="24"/>
          <w:szCs w:val="24"/>
        </w:rPr>
        <w:t xml:space="preserve"> la sostenibilidad del sistema de transporte en los </w:t>
      </w:r>
      <w:r w:rsidR="00886583" w:rsidRPr="005C12FE">
        <w:rPr>
          <w:sz w:val="24"/>
          <w:szCs w:val="24"/>
        </w:rPr>
        <w:t>términos de la Ley 80 de 1987</w:t>
      </w:r>
      <w:r w:rsidR="00886583" w:rsidRPr="005C12FE">
        <w:rPr>
          <w:rStyle w:val="Refdenotaalpie"/>
          <w:sz w:val="24"/>
          <w:szCs w:val="24"/>
        </w:rPr>
        <w:footnoteReference w:id="14"/>
      </w:r>
      <w:r w:rsidR="00EC593E">
        <w:rPr>
          <w:sz w:val="24"/>
          <w:szCs w:val="24"/>
        </w:rPr>
        <w:t>. De igual forma, aseguró</w:t>
      </w:r>
      <w:r w:rsidR="00750118">
        <w:rPr>
          <w:sz w:val="24"/>
          <w:szCs w:val="24"/>
        </w:rPr>
        <w:t xml:space="preserve"> que en el Acuerdo 533 de 2013 </w:t>
      </w:r>
      <w:r w:rsidR="00EC593E">
        <w:rPr>
          <w:sz w:val="24"/>
          <w:szCs w:val="24"/>
        </w:rPr>
        <w:t xml:space="preserve">del Concejo Distrital, </w:t>
      </w:r>
      <w:r w:rsidR="00750118">
        <w:rPr>
          <w:sz w:val="24"/>
          <w:szCs w:val="24"/>
        </w:rPr>
        <w:t xml:space="preserve">no se encuentra la aprobación del presupuesto ni el plan sobre el que se fundamentó el Decreto 603. </w:t>
      </w:r>
    </w:p>
    <w:p w14:paraId="7AF5FFA6" w14:textId="77777777" w:rsidR="00750118" w:rsidRDefault="00750118" w:rsidP="004A1D70">
      <w:pPr>
        <w:spacing w:line="360" w:lineRule="auto"/>
        <w:rPr>
          <w:sz w:val="24"/>
          <w:szCs w:val="24"/>
        </w:rPr>
      </w:pPr>
    </w:p>
    <w:p w14:paraId="4A5D7319" w14:textId="53BE02CB" w:rsidR="00750118" w:rsidRDefault="00750118" w:rsidP="004A1D70">
      <w:pPr>
        <w:spacing w:line="360" w:lineRule="auto"/>
        <w:rPr>
          <w:sz w:val="24"/>
          <w:szCs w:val="24"/>
        </w:rPr>
      </w:pPr>
      <w:r>
        <w:rPr>
          <w:sz w:val="24"/>
          <w:szCs w:val="24"/>
        </w:rPr>
        <w:t xml:space="preserve">1.2.3.- </w:t>
      </w:r>
      <w:r w:rsidR="00CA4EFA">
        <w:rPr>
          <w:sz w:val="24"/>
          <w:szCs w:val="24"/>
        </w:rPr>
        <w:t xml:space="preserve">La medida adoptada a través del </w:t>
      </w:r>
      <w:r w:rsidR="00F70A96">
        <w:rPr>
          <w:sz w:val="24"/>
          <w:szCs w:val="24"/>
        </w:rPr>
        <w:t>d</w:t>
      </w:r>
      <w:r w:rsidR="00CA4EFA">
        <w:rPr>
          <w:sz w:val="24"/>
          <w:szCs w:val="24"/>
        </w:rPr>
        <w:t>ecreto acusado fue una erogación injustificada, ineficiente y antieconómica, circunstancia que vulnera los preceptos constitucionales</w:t>
      </w:r>
      <w:r w:rsidR="008E0F22">
        <w:rPr>
          <w:rStyle w:val="Refdenotaalpie"/>
          <w:sz w:val="24"/>
          <w:szCs w:val="24"/>
        </w:rPr>
        <w:footnoteReference w:id="15"/>
      </w:r>
      <w:r w:rsidR="00CA4EFA">
        <w:rPr>
          <w:sz w:val="24"/>
          <w:szCs w:val="24"/>
        </w:rPr>
        <w:t xml:space="preserve">, legales </w:t>
      </w:r>
      <w:r w:rsidR="008E0F22">
        <w:rPr>
          <w:sz w:val="24"/>
          <w:szCs w:val="24"/>
        </w:rPr>
        <w:t xml:space="preserve">y jurisprudenciales, que prohíben expresamente su otorgamiento. </w:t>
      </w:r>
    </w:p>
    <w:p w14:paraId="07721783" w14:textId="77777777" w:rsidR="00B848DD" w:rsidRDefault="00B848DD" w:rsidP="004A1D70">
      <w:pPr>
        <w:spacing w:line="360" w:lineRule="auto"/>
        <w:rPr>
          <w:sz w:val="24"/>
          <w:szCs w:val="24"/>
        </w:rPr>
      </w:pPr>
    </w:p>
    <w:p w14:paraId="3EFCA4E7" w14:textId="655C6F25" w:rsidR="00B848DD" w:rsidRDefault="002E4995" w:rsidP="004A1D70">
      <w:pPr>
        <w:spacing w:line="360" w:lineRule="auto"/>
        <w:rPr>
          <w:rFonts w:cs="Arial"/>
          <w:sz w:val="24"/>
          <w:szCs w:val="24"/>
        </w:rPr>
      </w:pPr>
      <w:r>
        <w:rPr>
          <w:sz w:val="24"/>
          <w:szCs w:val="24"/>
        </w:rPr>
        <w:t>1.2.4.- L</w:t>
      </w:r>
      <w:r w:rsidR="00B848DD">
        <w:rPr>
          <w:sz w:val="24"/>
          <w:szCs w:val="24"/>
        </w:rPr>
        <w:t>os artículos 1, 3, 8, 24, 25, 26</w:t>
      </w:r>
      <w:r w:rsidR="001E3ECF">
        <w:rPr>
          <w:sz w:val="24"/>
          <w:szCs w:val="24"/>
        </w:rPr>
        <w:t xml:space="preserve"> y</w:t>
      </w:r>
      <w:r w:rsidR="00B848DD">
        <w:rPr>
          <w:sz w:val="24"/>
          <w:szCs w:val="24"/>
        </w:rPr>
        <w:t xml:space="preserve"> 313 de la Constitución; 3 de la Ley 105 de 1993; 12 del Decreto Ley 1421 de 1993</w:t>
      </w:r>
      <w:r w:rsidR="005C12FE">
        <w:rPr>
          <w:sz w:val="24"/>
          <w:szCs w:val="24"/>
        </w:rPr>
        <w:t xml:space="preserve">; y </w:t>
      </w:r>
      <w:r w:rsidR="00B848DD">
        <w:rPr>
          <w:sz w:val="24"/>
          <w:szCs w:val="24"/>
        </w:rPr>
        <w:t xml:space="preserve">29 de la Ley 1551 de 2012; </w:t>
      </w:r>
      <w:r w:rsidR="008E6DF2">
        <w:rPr>
          <w:sz w:val="24"/>
          <w:szCs w:val="24"/>
        </w:rPr>
        <w:t>fueron</w:t>
      </w:r>
      <w:r w:rsidR="00B848DD">
        <w:rPr>
          <w:sz w:val="24"/>
          <w:szCs w:val="24"/>
        </w:rPr>
        <w:t xml:space="preserve"> desconocidos por la </w:t>
      </w:r>
      <w:r w:rsidR="00B848DD" w:rsidRPr="002747CB">
        <w:rPr>
          <w:rFonts w:cs="Arial"/>
          <w:sz w:val="24"/>
          <w:szCs w:val="24"/>
        </w:rPr>
        <w:t>Subsección B de la Sección Primera del Tribunal Administrativo de Cundinamarca</w:t>
      </w:r>
      <w:r w:rsidR="00B848DD">
        <w:rPr>
          <w:rFonts w:cs="Arial"/>
          <w:sz w:val="24"/>
          <w:szCs w:val="24"/>
        </w:rPr>
        <w:t xml:space="preserve">. </w:t>
      </w:r>
    </w:p>
    <w:p w14:paraId="4202DD9E" w14:textId="77777777" w:rsidR="00BA4368" w:rsidRDefault="00BA4368" w:rsidP="004A1D70">
      <w:pPr>
        <w:spacing w:line="360" w:lineRule="auto"/>
        <w:rPr>
          <w:rFonts w:cs="Arial"/>
          <w:sz w:val="24"/>
          <w:szCs w:val="24"/>
        </w:rPr>
      </w:pPr>
    </w:p>
    <w:p w14:paraId="4E8B8BBB" w14:textId="22D1D249" w:rsidR="002747CB" w:rsidRDefault="00BA4368" w:rsidP="004A1D70">
      <w:pPr>
        <w:spacing w:line="360" w:lineRule="auto"/>
        <w:rPr>
          <w:rFonts w:cs="Arial"/>
          <w:sz w:val="24"/>
          <w:szCs w:val="24"/>
        </w:rPr>
      </w:pPr>
      <w:r>
        <w:rPr>
          <w:rFonts w:cs="Arial"/>
          <w:sz w:val="24"/>
          <w:szCs w:val="24"/>
        </w:rPr>
        <w:lastRenderedPageBreak/>
        <w:t xml:space="preserve">1.2.5.- Según el numeral 9 del artículo 3 de la Ley 105 de 1993, los encargados de autorizar la implementación de </w:t>
      </w:r>
      <w:r w:rsidR="008E6DF2">
        <w:rPr>
          <w:rFonts w:cs="Arial"/>
          <w:sz w:val="24"/>
          <w:szCs w:val="24"/>
        </w:rPr>
        <w:t xml:space="preserve">los subsidios son los </w:t>
      </w:r>
      <w:r w:rsidR="00A836A0">
        <w:rPr>
          <w:rFonts w:cs="Arial"/>
          <w:sz w:val="24"/>
          <w:szCs w:val="24"/>
        </w:rPr>
        <w:t>c</w:t>
      </w:r>
      <w:r w:rsidR="008E6DF2">
        <w:rPr>
          <w:rFonts w:cs="Arial"/>
          <w:sz w:val="24"/>
          <w:szCs w:val="24"/>
        </w:rPr>
        <w:t>oncejos m</w:t>
      </w:r>
      <w:r>
        <w:rPr>
          <w:rFonts w:cs="Arial"/>
          <w:sz w:val="24"/>
          <w:szCs w:val="24"/>
        </w:rPr>
        <w:t>unicipales</w:t>
      </w:r>
      <w:r w:rsidR="008E6DF2">
        <w:rPr>
          <w:rFonts w:cs="Arial"/>
          <w:sz w:val="24"/>
          <w:szCs w:val="24"/>
        </w:rPr>
        <w:t xml:space="preserve"> o distritales</w:t>
      </w:r>
      <w:r w:rsidR="008830A3">
        <w:rPr>
          <w:rFonts w:cs="Arial"/>
          <w:sz w:val="24"/>
          <w:szCs w:val="24"/>
        </w:rPr>
        <w:t>,</w:t>
      </w:r>
      <w:r w:rsidR="009D6626">
        <w:rPr>
          <w:rFonts w:cs="Arial"/>
          <w:sz w:val="24"/>
          <w:szCs w:val="24"/>
        </w:rPr>
        <w:t xml:space="preserve"> por lo que el A</w:t>
      </w:r>
      <w:r>
        <w:rPr>
          <w:rFonts w:cs="Arial"/>
          <w:sz w:val="24"/>
          <w:szCs w:val="24"/>
        </w:rPr>
        <w:t>lcalde de Bogotá se excedió e</w:t>
      </w:r>
      <w:r w:rsidR="007F1113">
        <w:rPr>
          <w:rFonts w:cs="Arial"/>
          <w:sz w:val="24"/>
          <w:szCs w:val="24"/>
        </w:rPr>
        <w:t xml:space="preserve">n el ejercicio de sus funciones. </w:t>
      </w:r>
    </w:p>
    <w:p w14:paraId="226FD340" w14:textId="77777777" w:rsidR="007F1113" w:rsidRDefault="007F1113" w:rsidP="004A1D70">
      <w:pPr>
        <w:spacing w:line="360" w:lineRule="auto"/>
        <w:rPr>
          <w:rFonts w:cs="Arial"/>
          <w:sz w:val="24"/>
          <w:szCs w:val="24"/>
        </w:rPr>
      </w:pPr>
    </w:p>
    <w:p w14:paraId="05613C76" w14:textId="42766BC2" w:rsidR="001D5A24" w:rsidRDefault="007F1113" w:rsidP="004A1D70">
      <w:pPr>
        <w:spacing w:line="360" w:lineRule="auto"/>
        <w:rPr>
          <w:rFonts w:cs="Arial"/>
          <w:sz w:val="24"/>
          <w:szCs w:val="24"/>
        </w:rPr>
      </w:pPr>
      <w:r>
        <w:rPr>
          <w:rFonts w:cs="Arial"/>
          <w:sz w:val="24"/>
          <w:szCs w:val="24"/>
        </w:rPr>
        <w:t>1.2.6.- El Tri</w:t>
      </w:r>
      <w:r w:rsidR="00DF5BCD">
        <w:rPr>
          <w:rFonts w:cs="Arial"/>
          <w:sz w:val="24"/>
          <w:szCs w:val="24"/>
        </w:rPr>
        <w:t xml:space="preserve">bunal accionado </w:t>
      </w:r>
      <w:r w:rsidR="008830A3">
        <w:rPr>
          <w:rFonts w:cs="Arial"/>
          <w:sz w:val="24"/>
          <w:szCs w:val="24"/>
        </w:rPr>
        <w:t xml:space="preserve">no tuvo en cuenta que </w:t>
      </w:r>
      <w:r w:rsidRPr="00FC55C6">
        <w:rPr>
          <w:rFonts w:cs="Arial"/>
          <w:sz w:val="24"/>
          <w:szCs w:val="24"/>
        </w:rPr>
        <w:t xml:space="preserve">el acto no </w:t>
      </w:r>
      <w:r w:rsidR="008830A3">
        <w:rPr>
          <w:rFonts w:cs="Arial"/>
          <w:sz w:val="24"/>
          <w:szCs w:val="24"/>
        </w:rPr>
        <w:t xml:space="preserve">fue debidamente motivado por cuanto el decreto no creó un incentivo o estrategia, sino una subvención. De igual forma, </w:t>
      </w:r>
      <w:r w:rsidR="001D5A24">
        <w:rPr>
          <w:rFonts w:cs="Arial"/>
          <w:sz w:val="24"/>
          <w:szCs w:val="24"/>
        </w:rPr>
        <w:t>inobservó que no se determinaron de manera concreta las condiciones y criterios de la asignación, ni los límites y porcentajes de las partidas a asignar y</w:t>
      </w:r>
      <w:r w:rsidR="001D5A24" w:rsidRPr="001D5A24">
        <w:rPr>
          <w:rFonts w:cs="Arial"/>
          <w:sz w:val="24"/>
          <w:szCs w:val="24"/>
        </w:rPr>
        <w:t xml:space="preserve"> </w:t>
      </w:r>
    </w:p>
    <w:p w14:paraId="3F8FE96A" w14:textId="77777777" w:rsidR="001D5A24" w:rsidRDefault="001D5A24" w:rsidP="004A1D70">
      <w:pPr>
        <w:spacing w:line="360" w:lineRule="auto"/>
        <w:rPr>
          <w:rFonts w:cs="Arial"/>
          <w:i/>
          <w:sz w:val="24"/>
          <w:szCs w:val="24"/>
        </w:rPr>
      </w:pPr>
    </w:p>
    <w:p w14:paraId="46EDFCF3" w14:textId="5410D894" w:rsidR="007F1113" w:rsidRPr="00C5107B" w:rsidRDefault="001D5A24" w:rsidP="00C5107B">
      <w:pPr>
        <w:ind w:left="567" w:right="567"/>
        <w:rPr>
          <w:rFonts w:cs="Arial"/>
          <w:i/>
          <w:sz w:val="22"/>
          <w:szCs w:val="22"/>
        </w:rPr>
      </w:pPr>
      <w:r w:rsidRPr="00C5107B">
        <w:rPr>
          <w:rFonts w:cs="Arial"/>
          <w:i/>
          <w:sz w:val="22"/>
          <w:szCs w:val="22"/>
        </w:rPr>
        <w:t>“</w:t>
      </w:r>
      <w:r w:rsidRPr="00C5107B">
        <w:rPr>
          <w:i/>
          <w:sz w:val="22"/>
          <w:szCs w:val="22"/>
        </w:rPr>
        <w:t>demás requisitos que aseguren la participación de las entidades destinatarias en condiciones de igualdad, lo que obstaculiza el control fiscal de los recursos públicos y facilita la desviación de poder, razón suficiente para encontrar fundado el cargo de inconstitucionalidad por violación al artículo 355 superior, además de que la asignación a que se hace mención, no fue autorizada en desarrollo de la facultad de intervención del Estado en la economía y por tanto corresponde a una subvención de naturaleza económica condicionada</w:t>
      </w:r>
      <w:r w:rsidRPr="00C5107B">
        <w:rPr>
          <w:rFonts w:cs="Arial"/>
          <w:i/>
          <w:sz w:val="22"/>
          <w:szCs w:val="22"/>
        </w:rPr>
        <w:t>”</w:t>
      </w:r>
      <w:r w:rsidRPr="00C5107B">
        <w:rPr>
          <w:rStyle w:val="Refdenotaalpie"/>
          <w:rFonts w:cs="Arial"/>
          <w:sz w:val="22"/>
          <w:szCs w:val="22"/>
        </w:rPr>
        <w:footnoteReference w:id="16"/>
      </w:r>
      <w:r w:rsidR="009D6626" w:rsidRPr="00C5107B">
        <w:rPr>
          <w:rFonts w:cs="Arial"/>
          <w:sz w:val="22"/>
          <w:szCs w:val="22"/>
        </w:rPr>
        <w:t>.</w:t>
      </w:r>
      <w:r w:rsidRPr="00C5107B">
        <w:rPr>
          <w:rFonts w:cs="Arial"/>
          <w:sz w:val="22"/>
          <w:szCs w:val="22"/>
        </w:rPr>
        <w:t xml:space="preserve"> </w:t>
      </w:r>
    </w:p>
    <w:p w14:paraId="2C630E34" w14:textId="77777777" w:rsidR="00F16C86" w:rsidRPr="00521682" w:rsidRDefault="00F16C86" w:rsidP="004A1D70">
      <w:pPr>
        <w:spacing w:line="360" w:lineRule="auto"/>
        <w:rPr>
          <w:rFonts w:cs="Arial"/>
          <w:b/>
          <w:sz w:val="24"/>
          <w:szCs w:val="24"/>
        </w:rPr>
      </w:pPr>
    </w:p>
    <w:p w14:paraId="5A7C7241" w14:textId="77777777" w:rsidR="002747CB" w:rsidRDefault="002747CB" w:rsidP="004A1D70">
      <w:pPr>
        <w:spacing w:line="360" w:lineRule="auto"/>
        <w:rPr>
          <w:b/>
          <w:sz w:val="24"/>
          <w:szCs w:val="24"/>
        </w:rPr>
      </w:pPr>
      <w:r>
        <w:rPr>
          <w:b/>
          <w:sz w:val="24"/>
          <w:szCs w:val="24"/>
        </w:rPr>
        <w:t xml:space="preserve">1.3.- Pretensión de la acción de tutela </w:t>
      </w:r>
    </w:p>
    <w:p w14:paraId="733801F9" w14:textId="77777777" w:rsidR="002747CB" w:rsidRDefault="002747CB" w:rsidP="004A1D70">
      <w:pPr>
        <w:spacing w:line="360" w:lineRule="auto"/>
        <w:rPr>
          <w:b/>
          <w:sz w:val="24"/>
          <w:szCs w:val="24"/>
        </w:rPr>
      </w:pPr>
    </w:p>
    <w:p w14:paraId="7B6BEDC2" w14:textId="47A4866A" w:rsidR="000A5516" w:rsidRDefault="00B355E0" w:rsidP="004A1D70">
      <w:pPr>
        <w:spacing w:line="360" w:lineRule="auto"/>
        <w:rPr>
          <w:sz w:val="24"/>
          <w:szCs w:val="24"/>
        </w:rPr>
      </w:pPr>
      <w:r w:rsidRPr="00B355E0">
        <w:rPr>
          <w:sz w:val="24"/>
          <w:szCs w:val="24"/>
        </w:rPr>
        <w:t xml:space="preserve">El peticionario solicitó </w:t>
      </w:r>
      <w:r w:rsidR="007A108D">
        <w:rPr>
          <w:sz w:val="24"/>
          <w:szCs w:val="24"/>
        </w:rPr>
        <w:t xml:space="preserve">conceder el </w:t>
      </w:r>
      <w:r w:rsidRPr="00B355E0">
        <w:rPr>
          <w:sz w:val="24"/>
          <w:szCs w:val="24"/>
        </w:rPr>
        <w:t xml:space="preserve">amparo </w:t>
      </w:r>
      <w:r w:rsidR="005C12FE">
        <w:rPr>
          <w:sz w:val="24"/>
          <w:szCs w:val="24"/>
        </w:rPr>
        <w:t>al</w:t>
      </w:r>
      <w:r w:rsidRPr="00B355E0">
        <w:rPr>
          <w:sz w:val="24"/>
          <w:szCs w:val="24"/>
        </w:rPr>
        <w:t xml:space="preserve"> derecho fundamental invocado</w:t>
      </w:r>
      <w:r w:rsidR="000A5516">
        <w:rPr>
          <w:sz w:val="24"/>
          <w:szCs w:val="24"/>
        </w:rPr>
        <w:t xml:space="preserve"> y</w:t>
      </w:r>
      <w:r w:rsidR="007A108D">
        <w:rPr>
          <w:sz w:val="24"/>
          <w:szCs w:val="24"/>
        </w:rPr>
        <w:t xml:space="preserve"> </w:t>
      </w:r>
      <w:r w:rsidR="005C12FE">
        <w:rPr>
          <w:sz w:val="24"/>
          <w:szCs w:val="24"/>
        </w:rPr>
        <w:t xml:space="preserve">que se revocara </w:t>
      </w:r>
      <w:r w:rsidR="007A108D">
        <w:rPr>
          <w:sz w:val="24"/>
          <w:szCs w:val="24"/>
        </w:rPr>
        <w:t xml:space="preserve">la sentencia dictada el 15 de julio de 2021 por la </w:t>
      </w:r>
      <w:r w:rsidR="007A108D" w:rsidRPr="002747CB">
        <w:rPr>
          <w:rFonts w:cs="Arial"/>
          <w:sz w:val="24"/>
          <w:szCs w:val="24"/>
        </w:rPr>
        <w:t>Subsección B de la Sección Primera del Tribunal Administrativo de Cundinamarca</w:t>
      </w:r>
      <w:r w:rsidR="000A5516">
        <w:rPr>
          <w:rFonts w:cs="Arial"/>
          <w:sz w:val="24"/>
          <w:szCs w:val="24"/>
        </w:rPr>
        <w:t>,</w:t>
      </w:r>
      <w:r w:rsidR="00B65FB3">
        <w:rPr>
          <w:rFonts w:cs="Arial"/>
          <w:sz w:val="24"/>
          <w:szCs w:val="24"/>
        </w:rPr>
        <w:t xml:space="preserve"> </w:t>
      </w:r>
      <w:r w:rsidR="00B65FB3" w:rsidRPr="00B65FB3">
        <w:rPr>
          <w:rFonts w:cs="Arial"/>
          <w:i/>
          <w:sz w:val="24"/>
          <w:szCs w:val="24"/>
        </w:rPr>
        <w:t xml:space="preserve">“por ir en contra de la constitución </w:t>
      </w:r>
      <w:r w:rsidR="000A5516">
        <w:rPr>
          <w:rFonts w:cs="Arial"/>
          <w:i/>
          <w:sz w:val="24"/>
          <w:szCs w:val="24"/>
        </w:rPr>
        <w:t xml:space="preserve">[y] </w:t>
      </w:r>
      <w:r w:rsidR="00B65FB3" w:rsidRPr="00B65FB3">
        <w:rPr>
          <w:i/>
          <w:sz w:val="24"/>
          <w:szCs w:val="24"/>
        </w:rPr>
        <w:t>la ley al no valorar las pruebas arrimadas al proceso en conjunto, pues no hay congruencia entre la sentencia y las pruebas, defecto sustantivo</w:t>
      </w:r>
      <w:r w:rsidR="00B65FB3" w:rsidRPr="00B65FB3">
        <w:rPr>
          <w:rFonts w:cs="Arial"/>
          <w:i/>
          <w:sz w:val="24"/>
          <w:szCs w:val="24"/>
        </w:rPr>
        <w:t>”</w:t>
      </w:r>
      <w:r w:rsidR="00B65FB3" w:rsidRPr="00EB1A1E">
        <w:rPr>
          <w:rStyle w:val="Refdenotaalpie"/>
          <w:rFonts w:cs="Arial"/>
          <w:sz w:val="24"/>
          <w:szCs w:val="24"/>
        </w:rPr>
        <w:footnoteReference w:id="17"/>
      </w:r>
      <w:r w:rsidR="007A108D" w:rsidRPr="00B65FB3">
        <w:rPr>
          <w:rFonts w:cs="Arial"/>
          <w:i/>
          <w:sz w:val="24"/>
          <w:szCs w:val="24"/>
        </w:rPr>
        <w:t xml:space="preserve">. </w:t>
      </w:r>
    </w:p>
    <w:p w14:paraId="6D6A8565" w14:textId="77777777" w:rsidR="002661D7" w:rsidRDefault="002661D7" w:rsidP="004A1D70">
      <w:pPr>
        <w:spacing w:line="360" w:lineRule="auto"/>
        <w:rPr>
          <w:sz w:val="24"/>
          <w:szCs w:val="24"/>
        </w:rPr>
      </w:pPr>
    </w:p>
    <w:p w14:paraId="111CF429" w14:textId="0476D767" w:rsidR="002747CB" w:rsidRDefault="002747CB" w:rsidP="002747CB">
      <w:pPr>
        <w:pStyle w:val="Sinespaciado"/>
        <w:spacing w:line="360" w:lineRule="auto"/>
        <w:jc w:val="both"/>
        <w:rPr>
          <w:rFonts w:ascii="Arial" w:hAnsi="Arial" w:cs="Arial"/>
          <w:b/>
          <w:sz w:val="24"/>
          <w:szCs w:val="24"/>
        </w:rPr>
      </w:pPr>
      <w:r w:rsidRPr="00022ADE">
        <w:rPr>
          <w:rFonts w:ascii="Arial" w:hAnsi="Arial" w:cs="Arial"/>
          <w:b/>
          <w:sz w:val="24"/>
          <w:szCs w:val="24"/>
        </w:rPr>
        <w:t xml:space="preserve">2.- Trámite de la acción de tutela </w:t>
      </w:r>
    </w:p>
    <w:p w14:paraId="1ECF77E0" w14:textId="77777777" w:rsidR="002747CB" w:rsidRDefault="002747CB" w:rsidP="002747CB">
      <w:pPr>
        <w:pStyle w:val="Sinespaciado"/>
        <w:spacing w:line="360" w:lineRule="auto"/>
        <w:jc w:val="both"/>
        <w:rPr>
          <w:rFonts w:ascii="Arial" w:hAnsi="Arial" w:cs="Arial"/>
          <w:b/>
          <w:sz w:val="24"/>
          <w:szCs w:val="24"/>
        </w:rPr>
      </w:pPr>
    </w:p>
    <w:p w14:paraId="1836A1F2" w14:textId="3BE8DCA7" w:rsidR="009263F8" w:rsidRDefault="009263F8" w:rsidP="002747CB">
      <w:pPr>
        <w:pStyle w:val="Sinespaciado"/>
        <w:spacing w:line="360" w:lineRule="auto"/>
        <w:jc w:val="both"/>
        <w:rPr>
          <w:rFonts w:ascii="Arial" w:hAnsi="Arial" w:cs="Arial"/>
          <w:sz w:val="24"/>
          <w:szCs w:val="24"/>
        </w:rPr>
      </w:pPr>
      <w:r>
        <w:rPr>
          <w:rFonts w:ascii="Arial" w:hAnsi="Arial" w:cs="Arial"/>
          <w:sz w:val="24"/>
          <w:szCs w:val="24"/>
        </w:rPr>
        <w:t>Mediante auto del 19 de agosto de 2021</w:t>
      </w:r>
      <w:r w:rsidR="00F25B3C">
        <w:rPr>
          <w:rFonts w:ascii="Arial" w:hAnsi="Arial" w:cs="Arial"/>
          <w:sz w:val="24"/>
          <w:szCs w:val="24"/>
        </w:rPr>
        <w:t xml:space="preserve"> se admitió la acción de tutela</w:t>
      </w:r>
      <w:r w:rsidR="0017116F">
        <w:rPr>
          <w:rStyle w:val="Refdenotaalpie"/>
          <w:rFonts w:ascii="Arial" w:hAnsi="Arial" w:cs="Arial"/>
          <w:sz w:val="24"/>
          <w:szCs w:val="24"/>
        </w:rPr>
        <w:footnoteReference w:id="18"/>
      </w:r>
      <w:r w:rsidR="00F25B3C">
        <w:rPr>
          <w:rFonts w:ascii="Arial" w:hAnsi="Arial" w:cs="Arial"/>
          <w:sz w:val="24"/>
          <w:szCs w:val="24"/>
        </w:rPr>
        <w:t xml:space="preserve"> y </w:t>
      </w:r>
      <w:r w:rsidR="005C12FE">
        <w:rPr>
          <w:rFonts w:ascii="Arial" w:hAnsi="Arial" w:cs="Arial"/>
          <w:sz w:val="24"/>
          <w:szCs w:val="24"/>
        </w:rPr>
        <w:t xml:space="preserve">se </w:t>
      </w:r>
      <w:r w:rsidR="00F25B3C">
        <w:rPr>
          <w:rFonts w:ascii="Arial" w:hAnsi="Arial" w:cs="Arial"/>
          <w:sz w:val="24"/>
          <w:szCs w:val="24"/>
        </w:rPr>
        <w:t>ordenó su notificación a las partes y a los terceros con interés</w:t>
      </w:r>
      <w:r w:rsidR="00F25B3C">
        <w:rPr>
          <w:rStyle w:val="Refdenotaalpie"/>
          <w:rFonts w:ascii="Arial" w:hAnsi="Arial" w:cs="Arial"/>
          <w:sz w:val="24"/>
          <w:szCs w:val="24"/>
        </w:rPr>
        <w:footnoteReference w:id="19"/>
      </w:r>
      <w:r w:rsidR="00F25B3C">
        <w:rPr>
          <w:rFonts w:ascii="Arial" w:hAnsi="Arial" w:cs="Arial"/>
          <w:sz w:val="24"/>
          <w:szCs w:val="24"/>
        </w:rPr>
        <w:t xml:space="preserve">.  </w:t>
      </w:r>
    </w:p>
    <w:p w14:paraId="64AF7932" w14:textId="77777777" w:rsidR="00C5107B" w:rsidRDefault="00C5107B" w:rsidP="002747CB">
      <w:pPr>
        <w:pStyle w:val="Sinespaciado"/>
        <w:spacing w:line="360" w:lineRule="auto"/>
        <w:jc w:val="both"/>
        <w:rPr>
          <w:rFonts w:ascii="Arial" w:hAnsi="Arial" w:cs="Arial"/>
          <w:b/>
          <w:sz w:val="24"/>
          <w:szCs w:val="24"/>
        </w:rPr>
      </w:pPr>
    </w:p>
    <w:p w14:paraId="5C13FD90" w14:textId="77777777" w:rsidR="00C5107B" w:rsidRDefault="00C5107B" w:rsidP="002747CB">
      <w:pPr>
        <w:pStyle w:val="Sinespaciado"/>
        <w:spacing w:line="360" w:lineRule="auto"/>
        <w:jc w:val="both"/>
        <w:rPr>
          <w:rFonts w:ascii="Arial" w:hAnsi="Arial" w:cs="Arial"/>
          <w:b/>
          <w:sz w:val="24"/>
          <w:szCs w:val="24"/>
        </w:rPr>
      </w:pPr>
    </w:p>
    <w:p w14:paraId="64BC3552" w14:textId="77777777" w:rsidR="00C5107B" w:rsidRDefault="00C5107B" w:rsidP="002747CB">
      <w:pPr>
        <w:pStyle w:val="Sinespaciado"/>
        <w:spacing w:line="360" w:lineRule="auto"/>
        <w:jc w:val="both"/>
        <w:rPr>
          <w:rFonts w:ascii="Arial" w:hAnsi="Arial" w:cs="Arial"/>
          <w:b/>
          <w:sz w:val="24"/>
          <w:szCs w:val="24"/>
        </w:rPr>
      </w:pPr>
    </w:p>
    <w:p w14:paraId="44EEFFB2" w14:textId="77777777" w:rsidR="00C5107B" w:rsidRDefault="00C5107B" w:rsidP="002747CB">
      <w:pPr>
        <w:pStyle w:val="Sinespaciado"/>
        <w:spacing w:line="360" w:lineRule="auto"/>
        <w:jc w:val="both"/>
        <w:rPr>
          <w:rFonts w:ascii="Arial" w:hAnsi="Arial" w:cs="Arial"/>
          <w:b/>
          <w:sz w:val="24"/>
          <w:szCs w:val="24"/>
        </w:rPr>
      </w:pPr>
    </w:p>
    <w:p w14:paraId="39CF154A" w14:textId="23566860" w:rsidR="009263F8" w:rsidRDefault="009263F8" w:rsidP="002747CB">
      <w:pPr>
        <w:pStyle w:val="Sinespaciado"/>
        <w:spacing w:line="360" w:lineRule="auto"/>
        <w:jc w:val="both"/>
        <w:rPr>
          <w:rFonts w:ascii="Arial" w:hAnsi="Arial" w:cs="Arial"/>
          <w:b/>
          <w:sz w:val="24"/>
          <w:szCs w:val="24"/>
        </w:rPr>
      </w:pPr>
      <w:r>
        <w:rPr>
          <w:rFonts w:ascii="Arial" w:hAnsi="Arial" w:cs="Arial"/>
          <w:b/>
          <w:sz w:val="24"/>
          <w:szCs w:val="24"/>
        </w:rPr>
        <w:lastRenderedPageBreak/>
        <w:t xml:space="preserve">2.1.- Contestaciones </w:t>
      </w:r>
    </w:p>
    <w:p w14:paraId="5870971E" w14:textId="77777777" w:rsidR="009263F8" w:rsidRDefault="009263F8" w:rsidP="002747CB">
      <w:pPr>
        <w:pStyle w:val="Sinespaciado"/>
        <w:spacing w:line="360" w:lineRule="auto"/>
        <w:jc w:val="both"/>
        <w:rPr>
          <w:rFonts w:ascii="Arial" w:hAnsi="Arial" w:cs="Arial"/>
          <w:sz w:val="24"/>
          <w:szCs w:val="24"/>
        </w:rPr>
      </w:pPr>
    </w:p>
    <w:p w14:paraId="72624591" w14:textId="3EF4889A" w:rsidR="003D6E0B" w:rsidRDefault="003D6E0B" w:rsidP="002747CB">
      <w:pPr>
        <w:pStyle w:val="Sinespaciado"/>
        <w:spacing w:line="360" w:lineRule="auto"/>
        <w:jc w:val="both"/>
        <w:rPr>
          <w:rFonts w:ascii="Arial" w:hAnsi="Arial" w:cs="Arial"/>
          <w:sz w:val="24"/>
          <w:szCs w:val="24"/>
        </w:rPr>
      </w:pPr>
      <w:r>
        <w:rPr>
          <w:rFonts w:ascii="Arial" w:hAnsi="Arial" w:cs="Arial"/>
          <w:sz w:val="24"/>
          <w:szCs w:val="24"/>
        </w:rPr>
        <w:t>2.1</w:t>
      </w:r>
      <w:r w:rsidRPr="004D7FC4">
        <w:rPr>
          <w:rFonts w:ascii="Arial" w:hAnsi="Arial" w:cs="Arial"/>
          <w:sz w:val="24"/>
          <w:szCs w:val="24"/>
        </w:rPr>
        <w:t>.1.- La Alcaldía Mayor de Bogotá, a través de la Directora Distrital de Gestión Judicial de la Secretaría Jurídica Distrital</w:t>
      </w:r>
      <w:r w:rsidRPr="004D7FC4">
        <w:rPr>
          <w:rStyle w:val="Refdenotaalpie"/>
          <w:rFonts w:ascii="Arial" w:hAnsi="Arial" w:cs="Arial"/>
          <w:sz w:val="24"/>
          <w:szCs w:val="24"/>
        </w:rPr>
        <w:footnoteReference w:id="20"/>
      </w:r>
      <w:r w:rsidR="00FC5803" w:rsidRPr="004D7FC4">
        <w:rPr>
          <w:rFonts w:ascii="Arial" w:hAnsi="Arial" w:cs="Arial"/>
          <w:sz w:val="24"/>
          <w:szCs w:val="24"/>
        </w:rPr>
        <w:t xml:space="preserve">, manifestó que en el escrito de tutela se </w:t>
      </w:r>
      <w:r w:rsidR="0017116F">
        <w:rPr>
          <w:rFonts w:ascii="Arial" w:hAnsi="Arial" w:cs="Arial"/>
          <w:sz w:val="24"/>
          <w:szCs w:val="24"/>
        </w:rPr>
        <w:t>planteó la inconformidad del accionante con la decisión</w:t>
      </w:r>
      <w:r w:rsidR="006F1E41" w:rsidRPr="004D7FC4">
        <w:rPr>
          <w:rFonts w:ascii="Arial" w:hAnsi="Arial" w:cs="Arial"/>
          <w:sz w:val="24"/>
          <w:szCs w:val="24"/>
        </w:rPr>
        <w:t xml:space="preserve"> adoptada por</w:t>
      </w:r>
      <w:r w:rsidR="00FC5803" w:rsidRPr="004D7FC4">
        <w:rPr>
          <w:rFonts w:ascii="Arial" w:hAnsi="Arial" w:cs="Arial"/>
          <w:sz w:val="24"/>
          <w:szCs w:val="24"/>
        </w:rPr>
        <w:t xml:space="preserve"> la Subsección B de la Sección Primera del Tribunal Administrativo de Cundinamarca</w:t>
      </w:r>
      <w:r w:rsidR="006F1E41" w:rsidRPr="004D7FC4">
        <w:rPr>
          <w:rFonts w:ascii="Arial" w:hAnsi="Arial" w:cs="Arial"/>
          <w:sz w:val="24"/>
          <w:szCs w:val="24"/>
        </w:rPr>
        <w:t xml:space="preserve"> en el proceso de nulidad ya conocido, pues se remite a los argumentos expuestos en el libelo introductorio del asunto ordinario, pretendiendo así generar una especie de tercera instancia. </w:t>
      </w:r>
      <w:r w:rsidR="00F16C86" w:rsidRPr="004D7FC4">
        <w:rPr>
          <w:rFonts w:ascii="Arial" w:hAnsi="Arial" w:cs="Arial"/>
          <w:sz w:val="24"/>
          <w:szCs w:val="24"/>
        </w:rPr>
        <w:t xml:space="preserve">Por otra parte, </w:t>
      </w:r>
      <w:r w:rsidR="0017116F">
        <w:rPr>
          <w:rFonts w:ascii="Arial" w:hAnsi="Arial" w:cs="Arial"/>
          <w:sz w:val="24"/>
          <w:szCs w:val="24"/>
        </w:rPr>
        <w:t xml:space="preserve">advirtió que </w:t>
      </w:r>
      <w:r w:rsidR="00F16C86" w:rsidRPr="004D7FC4">
        <w:rPr>
          <w:rFonts w:ascii="Arial" w:hAnsi="Arial" w:cs="Arial"/>
          <w:sz w:val="24"/>
          <w:szCs w:val="24"/>
        </w:rPr>
        <w:t>el tutelante no demostró que la decisión censurada vulnerara el derecho fundamental al debido proceso, ni explicó en qué consistió la supuesta incongruencia entre la decisión adoptada respecto de las pruebas aportadas</w:t>
      </w:r>
      <w:r w:rsidR="00782025">
        <w:rPr>
          <w:rFonts w:ascii="Arial" w:hAnsi="Arial" w:cs="Arial"/>
          <w:sz w:val="24"/>
          <w:szCs w:val="24"/>
        </w:rPr>
        <w:t xml:space="preserve"> con</w:t>
      </w:r>
      <w:r w:rsidR="00F16C86" w:rsidRPr="004D7FC4">
        <w:rPr>
          <w:rFonts w:ascii="Arial" w:hAnsi="Arial" w:cs="Arial"/>
          <w:sz w:val="24"/>
          <w:szCs w:val="24"/>
        </w:rPr>
        <w:t xml:space="preserve"> la demanda. Por esta</w:t>
      </w:r>
      <w:r w:rsidR="00891AC2">
        <w:rPr>
          <w:rFonts w:ascii="Arial" w:hAnsi="Arial" w:cs="Arial"/>
          <w:sz w:val="24"/>
          <w:szCs w:val="24"/>
        </w:rPr>
        <w:t>s razones, solicitó</w:t>
      </w:r>
      <w:r w:rsidR="00F16C86" w:rsidRPr="004D7FC4">
        <w:rPr>
          <w:rFonts w:ascii="Arial" w:hAnsi="Arial" w:cs="Arial"/>
          <w:sz w:val="24"/>
          <w:szCs w:val="24"/>
        </w:rPr>
        <w:t xml:space="preserve"> negar el amparo deprecado.</w:t>
      </w:r>
      <w:r w:rsidR="00F16C86">
        <w:rPr>
          <w:rFonts w:ascii="Arial" w:hAnsi="Arial" w:cs="Arial"/>
          <w:sz w:val="24"/>
          <w:szCs w:val="24"/>
        </w:rPr>
        <w:t xml:space="preserve">  </w:t>
      </w:r>
    </w:p>
    <w:p w14:paraId="3F13CC8E" w14:textId="77777777" w:rsidR="003D6E0B" w:rsidRDefault="003D6E0B" w:rsidP="002747CB">
      <w:pPr>
        <w:pStyle w:val="Sinespaciado"/>
        <w:spacing w:line="360" w:lineRule="auto"/>
        <w:jc w:val="both"/>
        <w:rPr>
          <w:rFonts w:ascii="Arial" w:hAnsi="Arial" w:cs="Arial"/>
          <w:sz w:val="24"/>
          <w:szCs w:val="24"/>
        </w:rPr>
      </w:pPr>
    </w:p>
    <w:p w14:paraId="759B273E" w14:textId="4BFCF55F" w:rsidR="003D6E0B" w:rsidRPr="009263F8" w:rsidRDefault="003D6E0B" w:rsidP="002747CB">
      <w:pPr>
        <w:pStyle w:val="Sinespaciado"/>
        <w:spacing w:line="360" w:lineRule="auto"/>
        <w:jc w:val="both"/>
        <w:rPr>
          <w:rFonts w:ascii="Arial" w:hAnsi="Arial" w:cs="Arial"/>
          <w:sz w:val="24"/>
          <w:szCs w:val="24"/>
        </w:rPr>
      </w:pPr>
      <w:r w:rsidRPr="004D7FC4">
        <w:rPr>
          <w:rFonts w:ascii="Arial" w:hAnsi="Arial" w:cs="Arial"/>
          <w:sz w:val="24"/>
          <w:szCs w:val="24"/>
        </w:rPr>
        <w:t>2.1.2.- La Subsección B de la Sección Primera del Tribunal Administrativo de Cundinamarca</w:t>
      </w:r>
      <w:r w:rsidRPr="004D7FC4">
        <w:rPr>
          <w:rStyle w:val="Refdenotaalpie"/>
          <w:rFonts w:ascii="Arial" w:hAnsi="Arial" w:cs="Arial"/>
          <w:sz w:val="24"/>
          <w:szCs w:val="24"/>
        </w:rPr>
        <w:footnoteReference w:id="21"/>
      </w:r>
      <w:r w:rsidR="004D7FC4" w:rsidRPr="004D7FC4">
        <w:rPr>
          <w:rFonts w:ascii="Arial" w:hAnsi="Arial" w:cs="Arial"/>
          <w:sz w:val="24"/>
          <w:szCs w:val="24"/>
        </w:rPr>
        <w:t xml:space="preserve"> informó el trámite que </w:t>
      </w:r>
      <w:r w:rsidR="00891AC2">
        <w:rPr>
          <w:rFonts w:ascii="Arial" w:hAnsi="Arial" w:cs="Arial"/>
          <w:sz w:val="24"/>
          <w:szCs w:val="24"/>
        </w:rPr>
        <w:t xml:space="preserve">se surtió al interior del </w:t>
      </w:r>
      <w:r w:rsidR="004D7FC4" w:rsidRPr="004D7FC4">
        <w:rPr>
          <w:rFonts w:ascii="Arial" w:hAnsi="Arial" w:cs="Arial"/>
          <w:sz w:val="24"/>
          <w:szCs w:val="24"/>
        </w:rPr>
        <w:t>proceso de nulidad simple y resumió los argumentos planteados en</w:t>
      </w:r>
      <w:r w:rsidR="00891AC2">
        <w:rPr>
          <w:rFonts w:ascii="Arial" w:hAnsi="Arial" w:cs="Arial"/>
          <w:sz w:val="24"/>
          <w:szCs w:val="24"/>
        </w:rPr>
        <w:t xml:space="preserve"> el fallo del 15 de julio de 2021. </w:t>
      </w:r>
    </w:p>
    <w:p w14:paraId="5C3D768C" w14:textId="77777777" w:rsidR="009263F8" w:rsidRPr="00022ADE" w:rsidRDefault="009263F8" w:rsidP="002747CB">
      <w:pPr>
        <w:pStyle w:val="Sinespaciado"/>
        <w:spacing w:line="360" w:lineRule="auto"/>
        <w:jc w:val="both"/>
        <w:rPr>
          <w:rFonts w:ascii="Arial" w:hAnsi="Arial" w:cs="Arial"/>
          <w:b/>
          <w:sz w:val="24"/>
          <w:szCs w:val="24"/>
        </w:rPr>
      </w:pPr>
    </w:p>
    <w:p w14:paraId="3CF9D0F8" w14:textId="77777777" w:rsidR="002747CB" w:rsidRDefault="002747CB" w:rsidP="002747CB">
      <w:pPr>
        <w:pStyle w:val="Sinespaciado1"/>
        <w:spacing w:line="360" w:lineRule="auto"/>
        <w:jc w:val="center"/>
        <w:rPr>
          <w:rFonts w:ascii="Arial" w:hAnsi="Arial" w:cs="Arial"/>
          <w:b/>
        </w:rPr>
      </w:pPr>
      <w:r w:rsidRPr="005F0D30">
        <w:rPr>
          <w:rFonts w:ascii="Arial" w:hAnsi="Arial" w:cs="Arial"/>
          <w:b/>
        </w:rPr>
        <w:t>II.- CONSIDERACIONES</w:t>
      </w:r>
    </w:p>
    <w:p w14:paraId="18922BBE" w14:textId="77777777" w:rsidR="00DF14AE" w:rsidRDefault="00DF14AE" w:rsidP="00BC336A">
      <w:pPr>
        <w:spacing w:line="360" w:lineRule="auto"/>
        <w:rPr>
          <w:rFonts w:cs="Arial"/>
          <w:b/>
          <w:sz w:val="24"/>
          <w:szCs w:val="24"/>
        </w:rPr>
      </w:pPr>
    </w:p>
    <w:p w14:paraId="56D29A73" w14:textId="17F7CD78" w:rsidR="002747CB" w:rsidRPr="00BC336A" w:rsidRDefault="002747CB" w:rsidP="00BC336A">
      <w:pPr>
        <w:spacing w:line="360" w:lineRule="auto"/>
        <w:rPr>
          <w:rFonts w:cs="Arial"/>
          <w:b/>
          <w:sz w:val="24"/>
          <w:szCs w:val="24"/>
        </w:rPr>
      </w:pPr>
      <w:r w:rsidRPr="00BC336A">
        <w:rPr>
          <w:rFonts w:cs="Arial"/>
          <w:b/>
          <w:sz w:val="24"/>
          <w:szCs w:val="24"/>
        </w:rPr>
        <w:t>1.- Competencia</w:t>
      </w:r>
    </w:p>
    <w:p w14:paraId="687C1E3E" w14:textId="77777777" w:rsidR="002747CB" w:rsidRPr="00BC336A" w:rsidRDefault="002747CB" w:rsidP="00BC336A">
      <w:pPr>
        <w:pStyle w:val="Sinespaciado1"/>
        <w:spacing w:line="360" w:lineRule="auto"/>
        <w:jc w:val="center"/>
        <w:rPr>
          <w:rFonts w:ascii="Arial" w:hAnsi="Arial" w:cs="Arial"/>
          <w:b/>
        </w:rPr>
      </w:pPr>
    </w:p>
    <w:p w14:paraId="7CA12303" w14:textId="77777777" w:rsidR="00495F26" w:rsidRPr="00606980" w:rsidRDefault="00495F26" w:rsidP="00BC336A">
      <w:pPr>
        <w:spacing w:line="360" w:lineRule="auto"/>
        <w:rPr>
          <w:rFonts w:cs="Arial"/>
          <w:color w:val="000000"/>
          <w:sz w:val="24"/>
          <w:szCs w:val="24"/>
        </w:rPr>
      </w:pPr>
      <w:r w:rsidRPr="00BC336A">
        <w:rPr>
          <w:rFonts w:cs="Arial"/>
          <w:color w:val="000000"/>
          <w:sz w:val="24"/>
          <w:szCs w:val="24"/>
        </w:rPr>
        <w:t xml:space="preserve">Esta Sala es competente para conocer de la acción de tutela presentada por </w:t>
      </w:r>
      <w:proofErr w:type="spellStart"/>
      <w:r w:rsidRPr="00BC336A">
        <w:rPr>
          <w:rFonts w:cs="Arial"/>
          <w:sz w:val="24"/>
          <w:szCs w:val="24"/>
        </w:rPr>
        <w:t>Jonh</w:t>
      </w:r>
      <w:proofErr w:type="spellEnd"/>
      <w:r w:rsidRPr="00BC336A">
        <w:rPr>
          <w:rFonts w:cs="Arial"/>
          <w:sz w:val="24"/>
          <w:szCs w:val="24"/>
        </w:rPr>
        <w:t xml:space="preserve"> William García Castro en contra de la Subsección B de la Sección Primera del Tribunal Administrativo de Cundinamarca, </w:t>
      </w:r>
      <w:r w:rsidRPr="00BC336A">
        <w:rPr>
          <w:rFonts w:cs="Arial"/>
          <w:color w:val="000000"/>
          <w:sz w:val="24"/>
          <w:szCs w:val="24"/>
        </w:rPr>
        <w:t xml:space="preserve">de conformidad </w:t>
      </w:r>
      <w:r w:rsidRPr="00BC336A">
        <w:rPr>
          <w:rFonts w:eastAsia="Arial" w:cs="Arial"/>
          <w:color w:val="000000"/>
          <w:sz w:val="24"/>
          <w:szCs w:val="24"/>
        </w:rPr>
        <w:t xml:space="preserve">con lo establecido en los artículos 86 de la Constitución, 37 del Decreto 2591 de 1991 y 13 del Acuerdo 080 de 2019 de la Sala </w:t>
      </w:r>
      <w:r w:rsidRPr="00606980">
        <w:rPr>
          <w:rFonts w:eastAsia="Arial" w:cs="Arial"/>
          <w:color w:val="000000"/>
          <w:sz w:val="24"/>
          <w:szCs w:val="24"/>
        </w:rPr>
        <w:t>Plena del Consejo de Estado.</w:t>
      </w:r>
    </w:p>
    <w:p w14:paraId="4CC918E9" w14:textId="77777777" w:rsidR="002747CB" w:rsidRPr="00606980" w:rsidRDefault="002747CB" w:rsidP="00BC336A">
      <w:pPr>
        <w:tabs>
          <w:tab w:val="left" w:pos="2749"/>
          <w:tab w:val="left" w:pos="2899"/>
        </w:tabs>
        <w:spacing w:line="360" w:lineRule="auto"/>
        <w:rPr>
          <w:sz w:val="24"/>
          <w:szCs w:val="24"/>
        </w:rPr>
      </w:pPr>
    </w:p>
    <w:p w14:paraId="59CD6EFF" w14:textId="77777777" w:rsidR="00BC336A" w:rsidRPr="00606980" w:rsidRDefault="00BC336A" w:rsidP="00BC336A">
      <w:pPr>
        <w:tabs>
          <w:tab w:val="left" w:pos="975"/>
        </w:tabs>
        <w:spacing w:line="360" w:lineRule="auto"/>
        <w:rPr>
          <w:rFonts w:cs="Arial"/>
          <w:b/>
          <w:color w:val="000000"/>
          <w:sz w:val="24"/>
          <w:szCs w:val="24"/>
        </w:rPr>
      </w:pPr>
      <w:r w:rsidRPr="00606980">
        <w:rPr>
          <w:rFonts w:cs="Arial"/>
          <w:b/>
          <w:color w:val="000000"/>
          <w:sz w:val="24"/>
          <w:szCs w:val="24"/>
        </w:rPr>
        <w:t xml:space="preserve">2.- Problema jurídico </w:t>
      </w:r>
    </w:p>
    <w:p w14:paraId="39280A00" w14:textId="77777777" w:rsidR="00BC336A" w:rsidRPr="00606980" w:rsidRDefault="00BC336A" w:rsidP="00BC336A">
      <w:pPr>
        <w:tabs>
          <w:tab w:val="left" w:pos="2712"/>
        </w:tabs>
        <w:spacing w:line="360" w:lineRule="auto"/>
        <w:rPr>
          <w:sz w:val="24"/>
          <w:szCs w:val="24"/>
        </w:rPr>
      </w:pPr>
    </w:p>
    <w:p w14:paraId="6775E8C2" w14:textId="047B5CC0" w:rsidR="007638EB" w:rsidRPr="00397729" w:rsidRDefault="007638EB" w:rsidP="007638EB">
      <w:pPr>
        <w:spacing w:line="360" w:lineRule="auto"/>
        <w:ind w:right="49"/>
        <w:rPr>
          <w:rFonts w:eastAsia="Arial" w:cs="Arial"/>
          <w:sz w:val="24"/>
          <w:szCs w:val="24"/>
        </w:rPr>
      </w:pPr>
      <w:r w:rsidRPr="00397729">
        <w:rPr>
          <w:rFonts w:eastAsia="Arial" w:cs="Arial"/>
          <w:sz w:val="24"/>
          <w:szCs w:val="24"/>
        </w:rPr>
        <w:t xml:space="preserve">La Sala verificará si la solicitud de amparo cumple con los requisitos generales de </w:t>
      </w:r>
      <w:proofErr w:type="spellStart"/>
      <w:r w:rsidRPr="00397729">
        <w:rPr>
          <w:rFonts w:eastAsia="Arial" w:cs="Arial"/>
          <w:sz w:val="24"/>
          <w:szCs w:val="24"/>
        </w:rPr>
        <w:t>procedibilidad</w:t>
      </w:r>
      <w:proofErr w:type="spellEnd"/>
      <w:r w:rsidRPr="00397729">
        <w:rPr>
          <w:rFonts w:eastAsia="Arial" w:cs="Arial"/>
          <w:sz w:val="24"/>
          <w:szCs w:val="24"/>
        </w:rPr>
        <w:t xml:space="preserve"> en contra de providencias judiciales, específicamente con </w:t>
      </w:r>
      <w:r w:rsidR="00397729" w:rsidRPr="00397729">
        <w:rPr>
          <w:rFonts w:eastAsia="Arial" w:cs="Arial"/>
          <w:sz w:val="24"/>
          <w:szCs w:val="24"/>
        </w:rPr>
        <w:t>los</w:t>
      </w:r>
      <w:r w:rsidRPr="00397729">
        <w:rPr>
          <w:rFonts w:eastAsia="Arial" w:cs="Arial"/>
          <w:sz w:val="24"/>
          <w:szCs w:val="24"/>
        </w:rPr>
        <w:t xml:space="preserve"> de relevancia constitucional</w:t>
      </w:r>
      <w:r w:rsidR="00397729" w:rsidRPr="00397729">
        <w:rPr>
          <w:rFonts w:eastAsia="Arial" w:cs="Arial"/>
          <w:sz w:val="24"/>
          <w:szCs w:val="24"/>
        </w:rPr>
        <w:t xml:space="preserve"> e identificación suficiente de los hechos y argumentos. E</w:t>
      </w:r>
      <w:r w:rsidRPr="00397729">
        <w:rPr>
          <w:rFonts w:eastAsia="Arial" w:cs="Arial"/>
          <w:sz w:val="24"/>
          <w:szCs w:val="24"/>
        </w:rPr>
        <w:t>n caso afirmativo, abordará el estudio de los defectos alegados.</w:t>
      </w:r>
    </w:p>
    <w:p w14:paraId="316F3DAF" w14:textId="77777777" w:rsidR="007638EB" w:rsidRDefault="007638EB" w:rsidP="00BC336A">
      <w:pPr>
        <w:tabs>
          <w:tab w:val="left" w:pos="2712"/>
        </w:tabs>
        <w:spacing w:line="360" w:lineRule="auto"/>
        <w:rPr>
          <w:sz w:val="24"/>
          <w:szCs w:val="24"/>
        </w:rPr>
      </w:pPr>
    </w:p>
    <w:p w14:paraId="501461EA" w14:textId="77777777" w:rsidR="00BC336A" w:rsidRPr="0002302D" w:rsidRDefault="00BC336A" w:rsidP="00BC336A">
      <w:pPr>
        <w:tabs>
          <w:tab w:val="left" w:pos="975"/>
        </w:tabs>
        <w:spacing w:line="360" w:lineRule="auto"/>
        <w:rPr>
          <w:rFonts w:cs="Arial"/>
          <w:b/>
          <w:color w:val="000000"/>
          <w:sz w:val="24"/>
          <w:szCs w:val="24"/>
        </w:rPr>
      </w:pPr>
      <w:r w:rsidRPr="00BC336A">
        <w:rPr>
          <w:b/>
          <w:sz w:val="24"/>
          <w:szCs w:val="24"/>
        </w:rPr>
        <w:lastRenderedPageBreak/>
        <w:t>3</w:t>
      </w:r>
      <w:r w:rsidRPr="00BC336A">
        <w:rPr>
          <w:rFonts w:cs="Arial"/>
          <w:b/>
          <w:color w:val="000000"/>
          <w:sz w:val="24"/>
          <w:szCs w:val="24"/>
        </w:rPr>
        <w:t>.-</w:t>
      </w:r>
      <w:r w:rsidRPr="0002302D">
        <w:rPr>
          <w:rFonts w:cs="Arial"/>
          <w:b/>
          <w:color w:val="000000"/>
          <w:sz w:val="24"/>
          <w:szCs w:val="24"/>
        </w:rPr>
        <w:t xml:space="preserve"> La acción de tutela en contra de providencias judiciales</w:t>
      </w:r>
    </w:p>
    <w:p w14:paraId="38FD2586" w14:textId="77777777" w:rsidR="00BC336A" w:rsidRPr="0002302D" w:rsidRDefault="00BC336A" w:rsidP="00BC336A">
      <w:pPr>
        <w:tabs>
          <w:tab w:val="left" w:pos="975"/>
        </w:tabs>
        <w:spacing w:line="360" w:lineRule="auto"/>
        <w:rPr>
          <w:rFonts w:cs="Arial"/>
          <w:b/>
          <w:color w:val="000000"/>
          <w:sz w:val="24"/>
          <w:szCs w:val="24"/>
        </w:rPr>
      </w:pPr>
    </w:p>
    <w:p w14:paraId="62956583" w14:textId="00C76DE4" w:rsidR="00BC336A" w:rsidRDefault="00BC336A" w:rsidP="00BC336A">
      <w:pPr>
        <w:spacing w:line="360" w:lineRule="auto"/>
        <w:rPr>
          <w:rFonts w:cs="Arial"/>
          <w:color w:val="000000"/>
          <w:sz w:val="24"/>
          <w:szCs w:val="24"/>
        </w:rPr>
      </w:pPr>
      <w:r w:rsidRPr="0002302D">
        <w:rPr>
          <w:rFonts w:cs="Arial"/>
          <w:color w:val="000000"/>
          <w:sz w:val="24"/>
          <w:szCs w:val="24"/>
        </w:rPr>
        <w:t xml:space="preserve">La Corte Constitucional en </w:t>
      </w:r>
      <w:r w:rsidR="00DF14AE">
        <w:rPr>
          <w:rFonts w:cs="Arial"/>
          <w:color w:val="000000"/>
          <w:sz w:val="24"/>
          <w:szCs w:val="24"/>
        </w:rPr>
        <w:t xml:space="preserve">la </w:t>
      </w:r>
      <w:r w:rsidRPr="0002302D">
        <w:rPr>
          <w:rFonts w:cs="Arial"/>
          <w:color w:val="000000"/>
          <w:sz w:val="24"/>
          <w:szCs w:val="24"/>
        </w:rPr>
        <w:t xml:space="preserve">sentencia C-590 del 2005 reconoció que la acción de tutela en contra de providencias judiciales está sujeta al cumplimiento de rigurosos requisitos de </w:t>
      </w:r>
      <w:proofErr w:type="spellStart"/>
      <w:r w:rsidRPr="0002302D">
        <w:rPr>
          <w:rFonts w:cs="Arial"/>
          <w:color w:val="000000"/>
          <w:sz w:val="24"/>
          <w:szCs w:val="24"/>
        </w:rPr>
        <w:t>procedibilidad</w:t>
      </w:r>
      <w:proofErr w:type="spellEnd"/>
      <w:r w:rsidRPr="0002302D">
        <w:rPr>
          <w:rStyle w:val="Refdenotaalpie"/>
          <w:rFonts w:cs="Arial"/>
          <w:color w:val="000000"/>
          <w:sz w:val="24"/>
          <w:szCs w:val="24"/>
        </w:rPr>
        <w:footnoteReference w:id="22"/>
      </w:r>
      <w:r w:rsidRPr="0002302D">
        <w:rPr>
          <w:rFonts w:cs="Arial"/>
          <w:color w:val="000000"/>
          <w:sz w:val="24"/>
          <w:szCs w:val="24"/>
        </w:rPr>
        <w:t xml:space="preserve"> y de procedencia</w:t>
      </w:r>
      <w:r w:rsidRPr="0002302D">
        <w:rPr>
          <w:rStyle w:val="Refdenotaalpie"/>
          <w:rFonts w:cs="Arial"/>
          <w:color w:val="000000"/>
          <w:sz w:val="24"/>
          <w:szCs w:val="24"/>
        </w:rPr>
        <w:footnoteReference w:id="23"/>
      </w:r>
      <w:r w:rsidRPr="0002302D">
        <w:rPr>
          <w:rFonts w:cs="Arial"/>
          <w:color w:val="000000"/>
          <w:sz w:val="24"/>
          <w:szCs w:val="24"/>
        </w:rPr>
        <w:t>, con el fin de determinar si se vulneraron o no los derechos de orden superior.</w:t>
      </w:r>
    </w:p>
    <w:p w14:paraId="186438A5" w14:textId="77777777" w:rsidR="00BC336A" w:rsidRDefault="00BC336A" w:rsidP="00BC336A">
      <w:pPr>
        <w:spacing w:line="360" w:lineRule="auto"/>
        <w:rPr>
          <w:rFonts w:cs="Arial"/>
          <w:color w:val="000000"/>
          <w:sz w:val="24"/>
          <w:szCs w:val="24"/>
        </w:rPr>
      </w:pPr>
    </w:p>
    <w:p w14:paraId="57DDD48D" w14:textId="77777777" w:rsidR="00BC336A" w:rsidRPr="0002302D" w:rsidRDefault="00BC336A" w:rsidP="00BC336A">
      <w:pPr>
        <w:pStyle w:val="Textosinformato"/>
        <w:spacing w:line="360" w:lineRule="auto"/>
        <w:jc w:val="both"/>
        <w:rPr>
          <w:rFonts w:ascii="Arial" w:hAnsi="Arial" w:cs="Arial"/>
          <w:b/>
          <w:color w:val="000000"/>
          <w:sz w:val="24"/>
          <w:szCs w:val="24"/>
        </w:rPr>
      </w:pPr>
      <w:r w:rsidRPr="00BC336A">
        <w:rPr>
          <w:rFonts w:ascii="Arial" w:hAnsi="Arial" w:cs="Arial"/>
          <w:b/>
          <w:color w:val="000000"/>
          <w:sz w:val="24"/>
          <w:szCs w:val="24"/>
        </w:rPr>
        <w:t>4.-</w:t>
      </w:r>
      <w:r>
        <w:rPr>
          <w:rFonts w:cs="Arial"/>
          <w:b/>
          <w:color w:val="000000"/>
          <w:sz w:val="24"/>
          <w:szCs w:val="24"/>
        </w:rPr>
        <w:t xml:space="preserve"> </w:t>
      </w:r>
      <w:r w:rsidRPr="0002302D">
        <w:rPr>
          <w:rFonts w:ascii="Arial" w:hAnsi="Arial" w:cs="Arial"/>
          <w:b/>
          <w:color w:val="000000"/>
          <w:sz w:val="24"/>
          <w:szCs w:val="24"/>
        </w:rPr>
        <w:t>El cumplimiento del requisito de relevancia constitucional en el caso concreto</w:t>
      </w:r>
    </w:p>
    <w:p w14:paraId="7430116B" w14:textId="77777777" w:rsidR="00BC336A" w:rsidRPr="0002302D" w:rsidRDefault="00BC336A" w:rsidP="00BC336A">
      <w:pPr>
        <w:pStyle w:val="Sinespaciado1"/>
        <w:spacing w:line="360" w:lineRule="auto"/>
        <w:jc w:val="both"/>
        <w:rPr>
          <w:rFonts w:ascii="Arial" w:hAnsi="Arial" w:cs="Arial"/>
          <w:color w:val="000000"/>
        </w:rPr>
      </w:pPr>
    </w:p>
    <w:p w14:paraId="73191ACC" w14:textId="77777777" w:rsidR="00BC336A" w:rsidRPr="0002302D" w:rsidRDefault="00BC336A" w:rsidP="00BC336A">
      <w:pPr>
        <w:pStyle w:val="Textosinformato"/>
        <w:spacing w:line="360" w:lineRule="auto"/>
        <w:jc w:val="both"/>
        <w:rPr>
          <w:rFonts w:ascii="Arial" w:eastAsia="MS Mincho" w:hAnsi="Arial" w:cs="Arial"/>
          <w:color w:val="000000"/>
          <w:sz w:val="24"/>
          <w:szCs w:val="24"/>
        </w:rPr>
      </w:pPr>
      <w:r>
        <w:rPr>
          <w:rFonts w:ascii="Arial" w:hAnsi="Arial" w:cs="Arial"/>
          <w:color w:val="000000"/>
          <w:sz w:val="24"/>
          <w:szCs w:val="24"/>
        </w:rPr>
        <w:t>4</w:t>
      </w:r>
      <w:r w:rsidRPr="0002302D">
        <w:rPr>
          <w:rFonts w:ascii="Arial" w:hAnsi="Arial" w:cs="Arial"/>
          <w:color w:val="000000"/>
          <w:sz w:val="24"/>
          <w:szCs w:val="24"/>
        </w:rPr>
        <w:t xml:space="preserve">.1.- Sobre este requisito, la Corte Constitucional ha señalado que el juez de tutela </w:t>
      </w:r>
      <w:r w:rsidRPr="00F70A96">
        <w:rPr>
          <w:rFonts w:ascii="Arial" w:hAnsi="Arial" w:cs="Arial"/>
          <w:i/>
          <w:color w:val="000000"/>
          <w:sz w:val="24"/>
          <w:szCs w:val="24"/>
        </w:rPr>
        <w:t>“</w:t>
      </w:r>
      <w:r w:rsidRPr="0002302D">
        <w:rPr>
          <w:rFonts w:ascii="Arial" w:hAnsi="Arial" w:cs="Arial"/>
          <w:i/>
          <w:color w:val="000000"/>
          <w:sz w:val="24"/>
          <w:szCs w:val="24"/>
          <w:shd w:val="clear" w:color="auto" w:fill="FFFFFF"/>
        </w:rPr>
        <w:t>no puede entrar a estudiar cuestiones que no tienen una clara y marcada importancia constitucional so pena de involucrarse en asuntos que corresponde definir a otras jurisdicciones</w:t>
      </w:r>
      <w:r w:rsidRPr="00F70A96">
        <w:rPr>
          <w:rFonts w:ascii="Arial" w:hAnsi="Arial" w:cs="Arial"/>
          <w:i/>
          <w:color w:val="000000"/>
          <w:sz w:val="24"/>
          <w:szCs w:val="24"/>
          <w:shd w:val="clear" w:color="auto" w:fill="FFFFFF"/>
        </w:rPr>
        <w:t>”</w:t>
      </w:r>
      <w:r w:rsidRPr="0002302D">
        <w:rPr>
          <w:rFonts w:ascii="Arial" w:hAnsi="Arial" w:cs="Arial"/>
          <w:color w:val="000000"/>
          <w:sz w:val="24"/>
          <w:szCs w:val="24"/>
          <w:shd w:val="clear" w:color="auto" w:fill="FFFFFF"/>
          <w:vertAlign w:val="superscript"/>
        </w:rPr>
        <w:footnoteReference w:id="24"/>
      </w:r>
      <w:r w:rsidRPr="0002302D">
        <w:rPr>
          <w:rFonts w:ascii="Arial" w:eastAsia="Verdana" w:hAnsi="Arial" w:cs="Arial"/>
          <w:color w:val="000000"/>
          <w:sz w:val="24"/>
          <w:szCs w:val="24"/>
        </w:rPr>
        <w:t>.</w:t>
      </w:r>
    </w:p>
    <w:p w14:paraId="2525F7BA" w14:textId="77777777" w:rsidR="00BC336A" w:rsidRPr="0002302D" w:rsidRDefault="00BC336A" w:rsidP="00BC336A">
      <w:pPr>
        <w:pStyle w:val="Textosinformato"/>
        <w:spacing w:line="360" w:lineRule="auto"/>
        <w:jc w:val="both"/>
        <w:rPr>
          <w:rFonts w:ascii="Arial" w:eastAsia="MS Mincho" w:hAnsi="Arial" w:cs="Arial"/>
          <w:color w:val="000000"/>
          <w:sz w:val="24"/>
          <w:szCs w:val="24"/>
        </w:rPr>
      </w:pPr>
    </w:p>
    <w:p w14:paraId="3C9D5889" w14:textId="77777777" w:rsidR="00BC336A" w:rsidRPr="0002302D" w:rsidRDefault="00BC336A" w:rsidP="00BC336A">
      <w:pPr>
        <w:pStyle w:val="Textosinformato"/>
        <w:spacing w:line="360" w:lineRule="auto"/>
        <w:jc w:val="both"/>
        <w:rPr>
          <w:rFonts w:ascii="Arial" w:hAnsi="Arial" w:cs="Arial"/>
          <w:color w:val="000000"/>
          <w:sz w:val="24"/>
          <w:szCs w:val="24"/>
        </w:rPr>
      </w:pPr>
      <w:r w:rsidRPr="0002302D">
        <w:rPr>
          <w:rFonts w:ascii="Arial" w:hAnsi="Arial" w:cs="Arial"/>
          <w:color w:val="000000"/>
          <w:sz w:val="24"/>
          <w:szCs w:val="24"/>
        </w:rPr>
        <w:t>En efecto, para determinar si una solicitud de amparo tiene o no relevancia constitucional, la Sala Plena del Consejo de Estado ha considerado necesario examinar dos elementos, a saber</w:t>
      </w:r>
      <w:r w:rsidRPr="0002302D">
        <w:rPr>
          <w:rFonts w:ascii="Arial" w:hAnsi="Arial" w:cs="Arial"/>
          <w:color w:val="000000"/>
          <w:sz w:val="24"/>
          <w:szCs w:val="24"/>
          <w:vertAlign w:val="superscript"/>
        </w:rPr>
        <w:footnoteReference w:id="25"/>
      </w:r>
      <w:r w:rsidRPr="0002302D">
        <w:rPr>
          <w:rFonts w:ascii="Arial" w:hAnsi="Arial" w:cs="Arial"/>
          <w:color w:val="000000"/>
          <w:sz w:val="24"/>
          <w:szCs w:val="24"/>
        </w:rPr>
        <w:t>: (i) que el actor cumpla su carga argumentativa, en donde justifique suficientemente la relevancia constitucional por vulneración de derechos fundamentales, ya que no basta que se aduzca la transgresión de aquellos; y (ii) que la acción de tutela no se erija en una instancia adicional al proceso ordinario en el cual fue proferida la providencia acusada, puesto que este mecanismo especial constitucional está instituido para proteger derechos fundamentales y no para discutir la discrepancia que el actor tenga frente a la decisión judicial.</w:t>
      </w:r>
    </w:p>
    <w:p w14:paraId="7B5A61EC" w14:textId="77777777" w:rsidR="00BC336A" w:rsidRPr="004B66A8" w:rsidRDefault="00BC336A" w:rsidP="00BC336A">
      <w:pPr>
        <w:spacing w:line="360" w:lineRule="auto"/>
        <w:rPr>
          <w:rFonts w:cs="Arial"/>
          <w:b/>
          <w:color w:val="000000"/>
          <w:sz w:val="24"/>
          <w:szCs w:val="24"/>
        </w:rPr>
      </w:pPr>
    </w:p>
    <w:p w14:paraId="19F6C689" w14:textId="4308AA12" w:rsidR="004B66A8" w:rsidRPr="004B66A8" w:rsidRDefault="004B66A8" w:rsidP="004B66A8">
      <w:pPr>
        <w:pStyle w:val="Sinespaciado1"/>
        <w:spacing w:line="360" w:lineRule="auto"/>
        <w:jc w:val="both"/>
        <w:rPr>
          <w:rFonts w:ascii="Arial" w:hAnsi="Arial" w:cs="Arial"/>
          <w:color w:val="000000"/>
          <w:lang w:eastAsia="es-CO"/>
        </w:rPr>
      </w:pPr>
      <w:r w:rsidRPr="004B66A8">
        <w:rPr>
          <w:rFonts w:ascii="Arial" w:hAnsi="Arial" w:cs="Arial"/>
          <w:color w:val="000000"/>
          <w:lang w:eastAsia="es-CO"/>
        </w:rPr>
        <w:t xml:space="preserve">4.2.- </w:t>
      </w:r>
      <w:r w:rsidRPr="004B66A8">
        <w:rPr>
          <w:rFonts w:ascii="Arial" w:hAnsi="Arial" w:cs="Arial"/>
          <w:i/>
          <w:color w:val="000000"/>
        </w:rPr>
        <w:t>Ab initio</w:t>
      </w:r>
      <w:r w:rsidRPr="004B66A8">
        <w:rPr>
          <w:rFonts w:ascii="Arial" w:hAnsi="Arial" w:cs="Arial"/>
          <w:color w:val="000000"/>
        </w:rPr>
        <w:t xml:space="preserve">, para la Sala se torna evidente que el amparo impetrado no satisface el requisito de relevancia constitucional, </w:t>
      </w:r>
      <w:r w:rsidRPr="004B66A8">
        <w:rPr>
          <w:rFonts w:ascii="Arial" w:eastAsia="Verdana" w:hAnsi="Arial" w:cs="Arial"/>
          <w:color w:val="000000"/>
        </w:rPr>
        <w:t xml:space="preserve">puesto que se advierte como un medio dirigido </w:t>
      </w:r>
      <w:r w:rsidRPr="004B66A8">
        <w:rPr>
          <w:rFonts w:ascii="Arial" w:hAnsi="Arial" w:cs="Arial"/>
          <w:color w:val="000000"/>
        </w:rPr>
        <w:t xml:space="preserve">a revivir el análisis jurídico efectuado por </w:t>
      </w:r>
      <w:r w:rsidRPr="004B66A8">
        <w:rPr>
          <w:rFonts w:ascii="Arial" w:hAnsi="Arial" w:cs="Arial"/>
        </w:rPr>
        <w:t>la Subsección B de la Sección Primera del Tribunal Administrativo de Cundinamarca</w:t>
      </w:r>
      <w:r w:rsidRPr="004B66A8">
        <w:rPr>
          <w:rFonts w:ascii="Arial" w:hAnsi="Arial" w:cs="Arial"/>
          <w:color w:val="000000"/>
        </w:rPr>
        <w:t xml:space="preserve"> dentro del proceso de nulidad </w:t>
      </w:r>
      <w:r w:rsidR="00DF14AE">
        <w:rPr>
          <w:rFonts w:ascii="Arial" w:hAnsi="Arial" w:cs="Arial"/>
          <w:color w:val="000000"/>
        </w:rPr>
        <w:t>con</w:t>
      </w:r>
      <w:r w:rsidRPr="004B66A8">
        <w:rPr>
          <w:rFonts w:ascii="Arial" w:hAnsi="Arial" w:cs="Arial"/>
          <w:color w:val="000000"/>
        </w:rPr>
        <w:t xml:space="preserve"> radicado No. </w:t>
      </w:r>
      <w:r w:rsidRPr="004B66A8">
        <w:rPr>
          <w:rFonts w:ascii="Arial" w:hAnsi="Arial" w:cs="Arial"/>
        </w:rPr>
        <w:lastRenderedPageBreak/>
        <w:t>11001-33-34-004-2015-00326-01</w:t>
      </w:r>
      <w:r w:rsidRPr="004B66A8">
        <w:rPr>
          <w:rFonts w:ascii="Arial" w:hAnsi="Arial" w:cs="Arial"/>
          <w:color w:val="000000"/>
        </w:rPr>
        <w:t>,</w:t>
      </w:r>
      <w:r w:rsidRPr="004B66A8">
        <w:rPr>
          <w:rFonts w:ascii="Arial" w:hAnsi="Arial" w:cs="Arial"/>
          <w:i/>
          <w:color w:val="000000"/>
        </w:rPr>
        <w:t xml:space="preserve"> </w:t>
      </w:r>
      <w:r w:rsidRPr="004B66A8">
        <w:rPr>
          <w:rFonts w:ascii="Arial" w:hAnsi="Arial" w:cs="Arial"/>
          <w:color w:val="000000"/>
        </w:rPr>
        <w:t>como si este mecanismo fuera una instancia adicional, según se explicará.</w:t>
      </w:r>
    </w:p>
    <w:p w14:paraId="48FD5CD5" w14:textId="3ADF321E" w:rsidR="004B66A8" w:rsidRPr="002C011B" w:rsidRDefault="004B66A8" w:rsidP="002C011B">
      <w:pPr>
        <w:spacing w:line="360" w:lineRule="auto"/>
        <w:rPr>
          <w:rFonts w:cs="Arial"/>
          <w:sz w:val="24"/>
          <w:szCs w:val="24"/>
        </w:rPr>
      </w:pPr>
    </w:p>
    <w:p w14:paraId="1F928177" w14:textId="4A4D6862" w:rsidR="00BC336A" w:rsidRDefault="005145A9" w:rsidP="002C011B">
      <w:pPr>
        <w:tabs>
          <w:tab w:val="left" w:pos="5174"/>
        </w:tabs>
        <w:spacing w:line="360" w:lineRule="auto"/>
        <w:rPr>
          <w:rFonts w:cs="Arial"/>
          <w:sz w:val="24"/>
          <w:szCs w:val="24"/>
        </w:rPr>
      </w:pPr>
      <w:r>
        <w:rPr>
          <w:sz w:val="24"/>
          <w:szCs w:val="24"/>
        </w:rPr>
        <w:t xml:space="preserve">4.3.- </w:t>
      </w:r>
      <w:proofErr w:type="spellStart"/>
      <w:r w:rsidRPr="002747CB">
        <w:rPr>
          <w:rFonts w:cs="Arial"/>
          <w:sz w:val="24"/>
          <w:szCs w:val="24"/>
        </w:rPr>
        <w:t>Jonh</w:t>
      </w:r>
      <w:proofErr w:type="spellEnd"/>
      <w:r w:rsidRPr="002747CB">
        <w:rPr>
          <w:rFonts w:cs="Arial"/>
          <w:sz w:val="24"/>
          <w:szCs w:val="24"/>
        </w:rPr>
        <w:t xml:space="preserve"> William García Castro</w:t>
      </w:r>
      <w:r>
        <w:rPr>
          <w:rFonts w:cs="Arial"/>
          <w:sz w:val="24"/>
          <w:szCs w:val="24"/>
        </w:rPr>
        <w:t xml:space="preserve">, en esencia, </w:t>
      </w:r>
      <w:r w:rsidR="00157C0B">
        <w:rPr>
          <w:rFonts w:cs="Arial"/>
          <w:sz w:val="24"/>
          <w:szCs w:val="24"/>
        </w:rPr>
        <w:t>fundamentó la acción de tutela en que el incentivo creado a través del Decreto 603 de 2013, consistente en un 40% de descuento sobre la tarifa que se paga por el servicio del SITP para las personas mayores de 16 años registradas en las bases de datos del SISBEN, constituía un verdadero subsidio, por lo que el Alcalde Mayor de Bogotá car</w:t>
      </w:r>
      <w:r w:rsidR="00734BF5">
        <w:rPr>
          <w:rFonts w:cs="Arial"/>
          <w:sz w:val="24"/>
          <w:szCs w:val="24"/>
        </w:rPr>
        <w:t>ecía de competencia para aprobarlo</w:t>
      </w:r>
      <w:r w:rsidR="00157C0B">
        <w:rPr>
          <w:rFonts w:cs="Arial"/>
          <w:sz w:val="24"/>
          <w:szCs w:val="24"/>
        </w:rPr>
        <w:t xml:space="preserve">, pues este debía ser objeto de debate en el Concejo Distrital y debía contar con un plan </w:t>
      </w:r>
      <w:r w:rsidR="00CE10B3">
        <w:rPr>
          <w:rFonts w:cs="Arial"/>
          <w:sz w:val="24"/>
          <w:szCs w:val="24"/>
        </w:rPr>
        <w:t xml:space="preserve">económico, </w:t>
      </w:r>
      <w:r w:rsidR="00157C0B">
        <w:rPr>
          <w:rFonts w:cs="Arial"/>
          <w:sz w:val="24"/>
          <w:szCs w:val="24"/>
        </w:rPr>
        <w:t xml:space="preserve">financiero </w:t>
      </w:r>
      <w:r w:rsidR="00CE10B3">
        <w:rPr>
          <w:rFonts w:cs="Arial"/>
          <w:sz w:val="24"/>
          <w:szCs w:val="24"/>
        </w:rPr>
        <w:t xml:space="preserve">y operacional </w:t>
      </w:r>
      <w:r w:rsidR="00157C0B">
        <w:rPr>
          <w:rFonts w:cs="Arial"/>
          <w:sz w:val="24"/>
          <w:szCs w:val="24"/>
        </w:rPr>
        <w:t xml:space="preserve">que lo soportara. </w:t>
      </w:r>
    </w:p>
    <w:p w14:paraId="6125389A" w14:textId="77777777" w:rsidR="00280BE7" w:rsidRDefault="00280BE7" w:rsidP="002C011B">
      <w:pPr>
        <w:tabs>
          <w:tab w:val="left" w:pos="5174"/>
        </w:tabs>
        <w:spacing w:line="360" w:lineRule="auto"/>
        <w:rPr>
          <w:rFonts w:cs="Arial"/>
          <w:sz w:val="24"/>
          <w:szCs w:val="24"/>
        </w:rPr>
      </w:pPr>
    </w:p>
    <w:p w14:paraId="6BF963C1" w14:textId="0D9C4A3E" w:rsidR="00280BE7" w:rsidRDefault="00280BE7" w:rsidP="002C011B">
      <w:pPr>
        <w:tabs>
          <w:tab w:val="left" w:pos="5174"/>
        </w:tabs>
        <w:spacing w:line="360" w:lineRule="auto"/>
        <w:rPr>
          <w:rFonts w:cs="Arial"/>
          <w:sz w:val="24"/>
          <w:szCs w:val="24"/>
        </w:rPr>
      </w:pPr>
      <w:r>
        <w:rPr>
          <w:rFonts w:cs="Arial"/>
          <w:sz w:val="24"/>
          <w:szCs w:val="24"/>
        </w:rPr>
        <w:t xml:space="preserve">4.3.1.- Ahora bien, al verificar los argumentos vertidos en la sentencia del 15 de julio de 2021, dictada por </w:t>
      </w:r>
      <w:r w:rsidRPr="002747CB">
        <w:rPr>
          <w:rFonts w:cs="Arial"/>
          <w:sz w:val="24"/>
          <w:szCs w:val="24"/>
        </w:rPr>
        <w:t>la Subsección B de la Sección Primera del Tribunal Administrativo de Cundinamarca</w:t>
      </w:r>
      <w:r w:rsidR="0095439C">
        <w:rPr>
          <w:rFonts w:cs="Arial"/>
          <w:sz w:val="24"/>
          <w:szCs w:val="24"/>
        </w:rPr>
        <w:t xml:space="preserve">, se dilucidan las siguientes conclusiones: </w:t>
      </w:r>
    </w:p>
    <w:p w14:paraId="7557476F" w14:textId="77777777" w:rsidR="008430E8" w:rsidRDefault="008430E8" w:rsidP="002C011B">
      <w:pPr>
        <w:tabs>
          <w:tab w:val="left" w:pos="5174"/>
        </w:tabs>
        <w:spacing w:line="360" w:lineRule="auto"/>
        <w:rPr>
          <w:rFonts w:cs="Arial"/>
          <w:sz w:val="24"/>
          <w:szCs w:val="24"/>
        </w:rPr>
      </w:pPr>
    </w:p>
    <w:p w14:paraId="0FC1E7FC" w14:textId="6A07B6E7" w:rsidR="002D6D0E" w:rsidRPr="00C5107B" w:rsidRDefault="006F63AA" w:rsidP="00C5107B">
      <w:pPr>
        <w:tabs>
          <w:tab w:val="left" w:pos="5174"/>
        </w:tabs>
        <w:ind w:left="567" w:right="617"/>
        <w:rPr>
          <w:rFonts w:cs="Arial"/>
          <w:i/>
          <w:sz w:val="22"/>
          <w:szCs w:val="22"/>
        </w:rPr>
      </w:pPr>
      <w:r w:rsidRPr="00C5107B">
        <w:rPr>
          <w:rFonts w:cs="Arial"/>
          <w:i/>
          <w:sz w:val="22"/>
          <w:szCs w:val="22"/>
        </w:rPr>
        <w:t>“</w:t>
      </w:r>
      <w:r w:rsidR="002D6D0E" w:rsidRPr="00C5107B">
        <w:rPr>
          <w:rFonts w:cs="Arial"/>
          <w:i/>
          <w:sz w:val="22"/>
          <w:szCs w:val="22"/>
        </w:rPr>
        <w:t>3) Por su parte el artículo 315 de la Constitución advierte las atribuciones que le competen a los alcaldes municipales así:</w:t>
      </w:r>
    </w:p>
    <w:p w14:paraId="4500A56B" w14:textId="77777777" w:rsidR="002D6D0E" w:rsidRPr="00C5107B" w:rsidRDefault="002D6D0E" w:rsidP="00C5107B">
      <w:pPr>
        <w:tabs>
          <w:tab w:val="left" w:pos="5174"/>
        </w:tabs>
        <w:ind w:left="567" w:right="617"/>
        <w:rPr>
          <w:rFonts w:cs="Arial"/>
          <w:i/>
          <w:sz w:val="22"/>
          <w:szCs w:val="22"/>
        </w:rPr>
      </w:pPr>
    </w:p>
    <w:p w14:paraId="44D6CA1F" w14:textId="543C90EC" w:rsidR="002D6D0E" w:rsidRPr="00C5107B" w:rsidRDefault="002D6D0E" w:rsidP="00C5107B">
      <w:pPr>
        <w:tabs>
          <w:tab w:val="left" w:pos="5174"/>
        </w:tabs>
        <w:ind w:left="567" w:right="617"/>
        <w:rPr>
          <w:rFonts w:cs="Arial"/>
          <w:i/>
          <w:sz w:val="22"/>
          <w:szCs w:val="22"/>
        </w:rPr>
      </w:pPr>
      <w:r w:rsidRPr="00C5107B">
        <w:rPr>
          <w:rFonts w:cs="Arial"/>
          <w:i/>
          <w:sz w:val="22"/>
          <w:szCs w:val="22"/>
        </w:rPr>
        <w:t>(…)</w:t>
      </w:r>
    </w:p>
    <w:p w14:paraId="2D93C5E9" w14:textId="77777777" w:rsidR="002D6D0E" w:rsidRPr="00C5107B" w:rsidRDefault="002D6D0E" w:rsidP="00C5107B">
      <w:pPr>
        <w:tabs>
          <w:tab w:val="left" w:pos="5174"/>
        </w:tabs>
        <w:ind w:left="567" w:right="617"/>
        <w:rPr>
          <w:rFonts w:cs="Arial"/>
          <w:i/>
          <w:sz w:val="22"/>
          <w:szCs w:val="22"/>
        </w:rPr>
      </w:pPr>
    </w:p>
    <w:p w14:paraId="0DBA2591" w14:textId="7694C7A7" w:rsidR="002D6D0E" w:rsidRPr="00C5107B" w:rsidRDefault="002D6D0E" w:rsidP="00C5107B">
      <w:pPr>
        <w:tabs>
          <w:tab w:val="left" w:pos="5174"/>
        </w:tabs>
        <w:ind w:left="567" w:right="617"/>
        <w:rPr>
          <w:rFonts w:cs="Arial"/>
          <w:i/>
          <w:color w:val="000000" w:themeColor="text1"/>
          <w:sz w:val="22"/>
          <w:szCs w:val="22"/>
        </w:rPr>
      </w:pPr>
      <w:r w:rsidRPr="00C5107B">
        <w:rPr>
          <w:rFonts w:cs="Arial"/>
          <w:i/>
          <w:color w:val="000000" w:themeColor="text1"/>
          <w:sz w:val="22"/>
          <w:szCs w:val="22"/>
        </w:rPr>
        <w:t xml:space="preserve">3. Dirigir la acción administrativa del municipio; asegurar el cumplimiento de las funciones y la prestación de los servicios a su cargo (…). </w:t>
      </w:r>
    </w:p>
    <w:p w14:paraId="63636133" w14:textId="77777777" w:rsidR="002D6D0E" w:rsidRPr="00C5107B" w:rsidRDefault="002D6D0E" w:rsidP="00C5107B">
      <w:pPr>
        <w:tabs>
          <w:tab w:val="left" w:pos="5174"/>
        </w:tabs>
        <w:ind w:left="567" w:right="617"/>
        <w:rPr>
          <w:rFonts w:cs="Arial"/>
          <w:i/>
          <w:sz w:val="22"/>
          <w:szCs w:val="22"/>
        </w:rPr>
      </w:pPr>
    </w:p>
    <w:p w14:paraId="3144CDE1" w14:textId="1CED7881" w:rsidR="006F63AA" w:rsidRPr="00C5107B" w:rsidRDefault="006F63AA" w:rsidP="00C5107B">
      <w:pPr>
        <w:tabs>
          <w:tab w:val="left" w:pos="5174"/>
        </w:tabs>
        <w:ind w:left="567" w:right="617"/>
        <w:rPr>
          <w:rFonts w:cs="Arial"/>
          <w:i/>
          <w:sz w:val="22"/>
          <w:szCs w:val="22"/>
        </w:rPr>
      </w:pPr>
      <w:r w:rsidRPr="00C5107B">
        <w:rPr>
          <w:rFonts w:cs="Arial"/>
          <w:i/>
          <w:sz w:val="22"/>
          <w:szCs w:val="22"/>
        </w:rPr>
        <w:t xml:space="preserve">La consideración de que el principio de reserva de ley en materia de transporte es compatible con el ejercicio de funciones de autoridades de tránsito por parte de los alcaldes municipales que la misma ley le otorga, constituye razón suficiente para negar la prosperidad al cargo según el cual el alcalde municipal no tenía competencia para dictar la medida cuestionada en este proceso. </w:t>
      </w:r>
    </w:p>
    <w:p w14:paraId="4DC171AD" w14:textId="77777777" w:rsidR="006F63AA" w:rsidRPr="00C5107B" w:rsidRDefault="006F63AA" w:rsidP="00C5107B">
      <w:pPr>
        <w:tabs>
          <w:tab w:val="left" w:pos="5174"/>
        </w:tabs>
        <w:ind w:left="567" w:right="617"/>
        <w:rPr>
          <w:rFonts w:cs="Arial"/>
          <w:i/>
          <w:sz w:val="22"/>
          <w:szCs w:val="22"/>
        </w:rPr>
      </w:pPr>
    </w:p>
    <w:p w14:paraId="61C3CD50" w14:textId="3C1EF4EE" w:rsidR="006F63AA" w:rsidRPr="00C5107B" w:rsidRDefault="006F63AA" w:rsidP="00C5107B">
      <w:pPr>
        <w:tabs>
          <w:tab w:val="left" w:pos="5174"/>
        </w:tabs>
        <w:ind w:left="567" w:right="617"/>
        <w:rPr>
          <w:rFonts w:cs="Arial"/>
          <w:i/>
          <w:sz w:val="22"/>
          <w:szCs w:val="22"/>
        </w:rPr>
      </w:pPr>
      <w:r w:rsidRPr="00C5107B">
        <w:rPr>
          <w:rFonts w:cs="Arial"/>
          <w:i/>
          <w:sz w:val="22"/>
          <w:szCs w:val="22"/>
        </w:rPr>
        <w:t>Además, el grado de autonomía de las autoridades locales para el ejercicio de sus funciones en materia de transporte y tránsito lo determina la ley</w:t>
      </w:r>
      <w:r w:rsidR="00EE516D" w:rsidRPr="00C5107B">
        <w:rPr>
          <w:rFonts w:cs="Arial"/>
          <w:i/>
          <w:sz w:val="22"/>
          <w:szCs w:val="22"/>
        </w:rPr>
        <w:t xml:space="preserve"> [artículo 6º del Código Nacional de Tránsito Terrestre]</w:t>
      </w:r>
      <w:r w:rsidRPr="00C5107B">
        <w:rPr>
          <w:rFonts w:cs="Arial"/>
          <w:i/>
          <w:sz w:val="22"/>
          <w:szCs w:val="22"/>
        </w:rPr>
        <w:t>, como ha señalado de modo reiterado la jurisprudencia de la Corte Constituc</w:t>
      </w:r>
      <w:r w:rsidR="00EE516D" w:rsidRPr="00C5107B">
        <w:rPr>
          <w:rFonts w:cs="Arial"/>
          <w:i/>
          <w:sz w:val="22"/>
          <w:szCs w:val="22"/>
        </w:rPr>
        <w:t>ional y el Consejo de Estado (…).</w:t>
      </w:r>
      <w:r w:rsidR="00AF6464" w:rsidRPr="00C5107B">
        <w:rPr>
          <w:rFonts w:cs="Arial"/>
          <w:i/>
          <w:sz w:val="22"/>
          <w:szCs w:val="22"/>
        </w:rPr>
        <w:t xml:space="preserve"> </w:t>
      </w:r>
    </w:p>
    <w:p w14:paraId="0D8FA063" w14:textId="77777777" w:rsidR="00F056C2" w:rsidRPr="00C5107B" w:rsidRDefault="00F056C2" w:rsidP="00C5107B">
      <w:pPr>
        <w:tabs>
          <w:tab w:val="left" w:pos="5174"/>
        </w:tabs>
        <w:ind w:left="567" w:right="617"/>
        <w:rPr>
          <w:rFonts w:cs="Arial"/>
          <w:i/>
          <w:sz w:val="22"/>
          <w:szCs w:val="22"/>
        </w:rPr>
      </w:pPr>
    </w:p>
    <w:p w14:paraId="36F0E367" w14:textId="77777777" w:rsidR="00F00499" w:rsidRPr="00C5107B" w:rsidRDefault="00F00499" w:rsidP="00C5107B">
      <w:pPr>
        <w:tabs>
          <w:tab w:val="left" w:pos="5174"/>
        </w:tabs>
        <w:ind w:left="567" w:right="617"/>
        <w:rPr>
          <w:rFonts w:cs="Arial"/>
          <w:i/>
          <w:sz w:val="22"/>
          <w:szCs w:val="22"/>
        </w:rPr>
      </w:pPr>
      <w:r w:rsidRPr="00C5107B">
        <w:rPr>
          <w:rFonts w:cs="Arial"/>
          <w:i/>
          <w:sz w:val="22"/>
          <w:szCs w:val="22"/>
        </w:rPr>
        <w:t>(…)</w:t>
      </w:r>
    </w:p>
    <w:p w14:paraId="7D48C887" w14:textId="77777777" w:rsidR="00F00499" w:rsidRPr="00C5107B" w:rsidRDefault="00F00499" w:rsidP="00C5107B">
      <w:pPr>
        <w:tabs>
          <w:tab w:val="left" w:pos="5174"/>
        </w:tabs>
        <w:ind w:left="567" w:right="617"/>
        <w:rPr>
          <w:rFonts w:cs="Arial"/>
          <w:i/>
          <w:sz w:val="22"/>
          <w:szCs w:val="22"/>
        </w:rPr>
      </w:pPr>
    </w:p>
    <w:p w14:paraId="36703472" w14:textId="77777777" w:rsidR="00F00499" w:rsidRPr="00C5107B" w:rsidRDefault="00F00499" w:rsidP="00C5107B">
      <w:pPr>
        <w:tabs>
          <w:tab w:val="left" w:pos="5174"/>
        </w:tabs>
        <w:ind w:left="567" w:right="617"/>
        <w:rPr>
          <w:rFonts w:cs="Arial"/>
          <w:i/>
          <w:sz w:val="22"/>
          <w:szCs w:val="22"/>
        </w:rPr>
      </w:pPr>
      <w:r w:rsidRPr="00C5107B">
        <w:rPr>
          <w:rFonts w:cs="Arial"/>
          <w:i/>
          <w:sz w:val="22"/>
          <w:szCs w:val="22"/>
        </w:rPr>
        <w:t>El artículo 6 del Código Nacional de Tránsito Terrestre, faculta a los organismos de tránsito para que, dentro de su respectiva jurisdicción, expida las normas y medidas necesarias para el mejor ordenamiento de tránsito de personas, animales y vehículos por las vías públicas, con sujeción a las disposiciones de dicho código y disposiciones reglamentarias; norma que habilita a los alcaldes sobre el entendido de que son los jefes de la administración local y máxima autoridad de policía.</w:t>
      </w:r>
    </w:p>
    <w:p w14:paraId="44FBECA9" w14:textId="77777777" w:rsidR="00F00499" w:rsidRPr="00C5107B" w:rsidRDefault="00F00499" w:rsidP="00C5107B">
      <w:pPr>
        <w:tabs>
          <w:tab w:val="left" w:pos="5174"/>
        </w:tabs>
        <w:ind w:left="567" w:right="617"/>
        <w:rPr>
          <w:rFonts w:cs="Arial"/>
          <w:i/>
          <w:sz w:val="22"/>
          <w:szCs w:val="22"/>
        </w:rPr>
      </w:pPr>
    </w:p>
    <w:p w14:paraId="1C92B50B" w14:textId="77777777" w:rsidR="00F00499" w:rsidRPr="00C5107B" w:rsidRDefault="00F00499" w:rsidP="00C5107B">
      <w:pPr>
        <w:tabs>
          <w:tab w:val="left" w:pos="5174"/>
        </w:tabs>
        <w:ind w:left="567" w:right="617"/>
        <w:rPr>
          <w:rFonts w:cs="Arial"/>
          <w:i/>
          <w:sz w:val="22"/>
          <w:szCs w:val="22"/>
        </w:rPr>
      </w:pPr>
      <w:r w:rsidRPr="00C5107B">
        <w:rPr>
          <w:rFonts w:cs="Arial"/>
          <w:i/>
          <w:sz w:val="22"/>
          <w:szCs w:val="22"/>
        </w:rPr>
        <w:t>(…)</w:t>
      </w:r>
    </w:p>
    <w:p w14:paraId="5D2DE52B" w14:textId="77777777" w:rsidR="00F00499" w:rsidRPr="00C5107B" w:rsidRDefault="00F00499" w:rsidP="00C5107B">
      <w:pPr>
        <w:tabs>
          <w:tab w:val="left" w:pos="5174"/>
        </w:tabs>
        <w:ind w:left="567" w:right="617"/>
        <w:rPr>
          <w:rFonts w:cs="Arial"/>
          <w:i/>
          <w:sz w:val="22"/>
          <w:szCs w:val="22"/>
        </w:rPr>
      </w:pPr>
    </w:p>
    <w:p w14:paraId="2F683906" w14:textId="7081CA75" w:rsidR="006F63AA" w:rsidRPr="00C5107B" w:rsidRDefault="00F00499" w:rsidP="00C5107B">
      <w:pPr>
        <w:tabs>
          <w:tab w:val="left" w:pos="5174"/>
        </w:tabs>
        <w:ind w:left="567" w:right="617"/>
        <w:rPr>
          <w:rFonts w:cs="Arial"/>
          <w:i/>
          <w:sz w:val="22"/>
          <w:szCs w:val="22"/>
        </w:rPr>
      </w:pPr>
      <w:r w:rsidRPr="00C5107B">
        <w:rPr>
          <w:rFonts w:cs="Arial"/>
          <w:i/>
          <w:sz w:val="22"/>
          <w:szCs w:val="22"/>
        </w:rPr>
        <w:t xml:space="preserve">Esta norma [La Ley 336 de 1996] autoriza a los alcaldes para organizar el transporte dentro de su jurisdicción, puesto que de acuerdo con el artículo 1º de la Ley 105 de 1993, dichos funcionarios son autoridades que integran el sistema nacional de transporte; condición que les reconoce igualmente el Decreto No. 170 de 5 de febrero de 2001, mediante el cual el Gobierno Nacional reglamentó el Servicio Público de </w:t>
      </w:r>
      <w:r w:rsidRPr="00C5107B">
        <w:rPr>
          <w:rFonts w:cs="Arial"/>
          <w:i/>
          <w:sz w:val="22"/>
          <w:szCs w:val="22"/>
        </w:rPr>
        <w:lastRenderedPageBreak/>
        <w:t xml:space="preserve">Transporte Terrestre Automotor Colectivo Metropolitano, Distrital y Municipal de Pasajeros, y estableció en el artículo 10 que “son autoridades de transporte competentes…en la Jurisdicción Distrital y Municipal: los Alcaldes Municipales y/o distritales o en los que estos deleguen tal atribución. </w:t>
      </w:r>
    </w:p>
    <w:p w14:paraId="0AA71F9D" w14:textId="77777777" w:rsidR="00EE516D" w:rsidRPr="00C5107B" w:rsidRDefault="00EE516D" w:rsidP="00C5107B">
      <w:pPr>
        <w:tabs>
          <w:tab w:val="left" w:pos="5174"/>
        </w:tabs>
        <w:ind w:left="567" w:right="617"/>
        <w:rPr>
          <w:rFonts w:cs="Arial"/>
          <w:i/>
          <w:sz w:val="22"/>
          <w:szCs w:val="22"/>
        </w:rPr>
      </w:pPr>
    </w:p>
    <w:p w14:paraId="369FE6DB" w14:textId="5CD0A4D4" w:rsidR="006F63AA" w:rsidRPr="00C5107B" w:rsidRDefault="00BB48BA" w:rsidP="00C5107B">
      <w:pPr>
        <w:tabs>
          <w:tab w:val="left" w:pos="5174"/>
        </w:tabs>
        <w:ind w:left="567" w:right="617"/>
        <w:rPr>
          <w:rFonts w:cs="Arial"/>
          <w:i/>
          <w:sz w:val="22"/>
          <w:szCs w:val="22"/>
        </w:rPr>
      </w:pPr>
      <w:r w:rsidRPr="00C5107B">
        <w:rPr>
          <w:rFonts w:cs="Arial"/>
          <w:i/>
          <w:sz w:val="22"/>
          <w:szCs w:val="22"/>
        </w:rPr>
        <w:t>(…)</w:t>
      </w:r>
    </w:p>
    <w:p w14:paraId="4B503015" w14:textId="77777777" w:rsidR="00BB48BA" w:rsidRPr="00C5107B" w:rsidRDefault="00BB48BA" w:rsidP="00C5107B">
      <w:pPr>
        <w:tabs>
          <w:tab w:val="left" w:pos="5174"/>
        </w:tabs>
        <w:ind w:left="567" w:right="617"/>
        <w:rPr>
          <w:rFonts w:cs="Arial"/>
          <w:i/>
          <w:sz w:val="22"/>
          <w:szCs w:val="22"/>
        </w:rPr>
      </w:pPr>
    </w:p>
    <w:p w14:paraId="79B35CA7" w14:textId="487472A5" w:rsidR="00497FEC" w:rsidRPr="00C5107B" w:rsidRDefault="00BB48BA" w:rsidP="00C5107B">
      <w:pPr>
        <w:tabs>
          <w:tab w:val="left" w:pos="5174"/>
        </w:tabs>
        <w:ind w:left="567" w:right="617"/>
        <w:rPr>
          <w:rFonts w:cs="Arial"/>
          <w:i/>
          <w:sz w:val="22"/>
          <w:szCs w:val="22"/>
        </w:rPr>
      </w:pPr>
      <w:r w:rsidRPr="00C5107B">
        <w:rPr>
          <w:rFonts w:cs="Arial"/>
          <w:i/>
          <w:sz w:val="22"/>
          <w:szCs w:val="22"/>
        </w:rPr>
        <w:t>Igual conclusión se puede hacer al revisar el objeto de la medida adoptada, como es la prestación del servicio de transporte público en el Distrito Capital, que es un servicio público que está a cargo de la autoridad municipal por ser su responsabilidad “asegurar su prestación eficiente a todos los habitantes del territorio”, tal como lo establece el artículo 365 de la Constitución Política.</w:t>
      </w:r>
      <w:r w:rsidR="00497FEC" w:rsidRPr="00C5107B">
        <w:rPr>
          <w:rFonts w:cs="Arial"/>
          <w:i/>
          <w:sz w:val="22"/>
          <w:szCs w:val="22"/>
        </w:rPr>
        <w:t xml:space="preserve"> (…)</w:t>
      </w:r>
      <w:r w:rsidR="00EE516D" w:rsidRPr="00C5107B">
        <w:rPr>
          <w:rFonts w:cs="Arial"/>
          <w:i/>
          <w:sz w:val="22"/>
          <w:szCs w:val="22"/>
        </w:rPr>
        <w:t>.</w:t>
      </w:r>
    </w:p>
    <w:p w14:paraId="39A4868E" w14:textId="77777777" w:rsidR="00497FEC" w:rsidRPr="00C5107B" w:rsidRDefault="00497FEC" w:rsidP="00C5107B">
      <w:pPr>
        <w:tabs>
          <w:tab w:val="left" w:pos="5174"/>
        </w:tabs>
        <w:ind w:left="567" w:right="617"/>
        <w:rPr>
          <w:rFonts w:cs="Arial"/>
          <w:i/>
          <w:sz w:val="22"/>
          <w:szCs w:val="22"/>
        </w:rPr>
      </w:pPr>
    </w:p>
    <w:p w14:paraId="06312666" w14:textId="77777777" w:rsidR="006F552A" w:rsidRPr="00C5107B" w:rsidRDefault="00497FEC" w:rsidP="00C5107B">
      <w:pPr>
        <w:tabs>
          <w:tab w:val="left" w:pos="5174"/>
        </w:tabs>
        <w:ind w:left="567" w:right="617"/>
        <w:rPr>
          <w:rFonts w:cs="Arial"/>
          <w:i/>
          <w:sz w:val="22"/>
          <w:szCs w:val="22"/>
        </w:rPr>
      </w:pPr>
      <w:r w:rsidRPr="00C5107B">
        <w:rPr>
          <w:rFonts w:cs="Arial"/>
          <w:i/>
          <w:sz w:val="22"/>
          <w:szCs w:val="22"/>
        </w:rPr>
        <w:t>5) En relación con la competencia para establecer medidas administrativas relacionadas con el funcionamiento la actividad de transporte público en la jurisdicción del Distrito Capital, se encuentra</w:t>
      </w:r>
      <w:r w:rsidR="006F552A" w:rsidRPr="00C5107B">
        <w:rPr>
          <w:rFonts w:cs="Arial"/>
          <w:i/>
          <w:sz w:val="22"/>
          <w:szCs w:val="22"/>
        </w:rPr>
        <w:t xml:space="preserve"> lo siguiente: (…)</w:t>
      </w:r>
    </w:p>
    <w:p w14:paraId="5EB407F0" w14:textId="77777777" w:rsidR="006F552A" w:rsidRPr="00C5107B" w:rsidRDefault="006F552A" w:rsidP="00C5107B">
      <w:pPr>
        <w:tabs>
          <w:tab w:val="left" w:pos="5174"/>
        </w:tabs>
        <w:ind w:left="567" w:right="617"/>
        <w:rPr>
          <w:rFonts w:cs="Arial"/>
          <w:i/>
          <w:sz w:val="22"/>
          <w:szCs w:val="22"/>
        </w:rPr>
      </w:pPr>
    </w:p>
    <w:p w14:paraId="197E55EB" w14:textId="02C4709D" w:rsidR="006F552A" w:rsidRDefault="006F552A" w:rsidP="00C5107B">
      <w:pPr>
        <w:tabs>
          <w:tab w:val="left" w:pos="5174"/>
        </w:tabs>
        <w:ind w:left="567" w:right="617"/>
        <w:rPr>
          <w:rFonts w:cs="Arial"/>
          <w:i/>
          <w:sz w:val="22"/>
          <w:szCs w:val="22"/>
        </w:rPr>
      </w:pPr>
      <w:r w:rsidRPr="00C5107B">
        <w:rPr>
          <w:rFonts w:cs="Arial"/>
          <w:i/>
          <w:sz w:val="22"/>
          <w:szCs w:val="22"/>
        </w:rPr>
        <w:t>(…)</w:t>
      </w:r>
    </w:p>
    <w:p w14:paraId="4520E651" w14:textId="77777777" w:rsidR="00EB69AE" w:rsidRPr="00C5107B" w:rsidRDefault="00EB69AE" w:rsidP="00C5107B">
      <w:pPr>
        <w:tabs>
          <w:tab w:val="left" w:pos="5174"/>
        </w:tabs>
        <w:ind w:left="567" w:right="617"/>
        <w:rPr>
          <w:rFonts w:cs="Arial"/>
          <w:i/>
          <w:sz w:val="22"/>
          <w:szCs w:val="22"/>
        </w:rPr>
      </w:pPr>
    </w:p>
    <w:p w14:paraId="29D5932A" w14:textId="2BE71B1B" w:rsidR="00A1284F" w:rsidRPr="00C5107B" w:rsidRDefault="006F552A" w:rsidP="00C5107B">
      <w:pPr>
        <w:tabs>
          <w:tab w:val="left" w:pos="5174"/>
        </w:tabs>
        <w:ind w:left="567" w:right="617"/>
        <w:rPr>
          <w:rFonts w:cs="Arial"/>
          <w:i/>
          <w:sz w:val="22"/>
          <w:szCs w:val="22"/>
        </w:rPr>
      </w:pPr>
      <w:r w:rsidRPr="00C5107B">
        <w:rPr>
          <w:rFonts w:cs="Arial"/>
          <w:i/>
          <w:sz w:val="22"/>
          <w:szCs w:val="22"/>
        </w:rPr>
        <w:t>Así las cosas, de los planteamientos esbozados previamente</w:t>
      </w:r>
      <w:r w:rsidR="00A1284F" w:rsidRPr="00C5107B">
        <w:rPr>
          <w:rFonts w:cs="Arial"/>
          <w:i/>
          <w:sz w:val="22"/>
          <w:szCs w:val="22"/>
        </w:rPr>
        <w:t xml:space="preserve"> [artículos 3 y 10 de la Ley 105 de 1993; 3 de la Ley 336 de 1996, el Decreto 170 de 2011]</w:t>
      </w:r>
      <w:r w:rsidRPr="00C5107B">
        <w:rPr>
          <w:rFonts w:cs="Arial"/>
          <w:i/>
          <w:sz w:val="22"/>
          <w:szCs w:val="22"/>
        </w:rPr>
        <w:t xml:space="preserve"> se puede concluir que es el alcalde Mayor de Bogotá la autoridad competente a nivel territorial, en cabeza de quien se encuentran las facultades de regular el servicio del transporte público en la ciudad, y no existe una autoridad con superior jerarquía para ello. </w:t>
      </w:r>
    </w:p>
    <w:p w14:paraId="78BDCF27" w14:textId="77777777" w:rsidR="00A1284F" w:rsidRPr="00C5107B" w:rsidRDefault="00A1284F" w:rsidP="00C5107B">
      <w:pPr>
        <w:tabs>
          <w:tab w:val="left" w:pos="5174"/>
        </w:tabs>
        <w:ind w:left="567" w:right="617"/>
        <w:rPr>
          <w:rFonts w:cs="Arial"/>
          <w:i/>
          <w:sz w:val="22"/>
          <w:szCs w:val="22"/>
        </w:rPr>
      </w:pPr>
    </w:p>
    <w:p w14:paraId="5C07B46C" w14:textId="77777777" w:rsidR="00A1284F" w:rsidRPr="00C5107B" w:rsidRDefault="006F552A" w:rsidP="00C5107B">
      <w:pPr>
        <w:tabs>
          <w:tab w:val="left" w:pos="5174"/>
        </w:tabs>
        <w:ind w:left="567" w:right="617"/>
        <w:rPr>
          <w:rFonts w:cs="Arial"/>
          <w:i/>
          <w:sz w:val="22"/>
          <w:szCs w:val="22"/>
        </w:rPr>
      </w:pPr>
      <w:r w:rsidRPr="00C5107B">
        <w:rPr>
          <w:rFonts w:cs="Arial"/>
          <w:i/>
          <w:sz w:val="22"/>
          <w:szCs w:val="22"/>
        </w:rPr>
        <w:t>Por tanto, el alcalde Mayor de Bogotá sí tiene competencia legal y reglamentaria para emitir el decreto demandado dada su naturaleza de criterios generales de organización que permiten ejecutar políticas y condiciones para asegurar su efectiva, eficiente, segura y adecuada prestación del servicio de transporte público / masivo en el Distrito Capital.</w:t>
      </w:r>
    </w:p>
    <w:p w14:paraId="0346B38B" w14:textId="77777777" w:rsidR="00A1284F" w:rsidRPr="00C5107B" w:rsidRDefault="00A1284F" w:rsidP="00C5107B">
      <w:pPr>
        <w:tabs>
          <w:tab w:val="left" w:pos="5174"/>
        </w:tabs>
        <w:ind w:left="567" w:right="617"/>
        <w:rPr>
          <w:rFonts w:cs="Arial"/>
          <w:i/>
          <w:sz w:val="22"/>
          <w:szCs w:val="22"/>
        </w:rPr>
      </w:pPr>
    </w:p>
    <w:p w14:paraId="0D932EB1" w14:textId="77777777" w:rsidR="00A1284F" w:rsidRPr="00C5107B" w:rsidRDefault="00A1284F" w:rsidP="00C5107B">
      <w:pPr>
        <w:tabs>
          <w:tab w:val="left" w:pos="5174"/>
        </w:tabs>
        <w:ind w:left="567" w:right="617"/>
        <w:rPr>
          <w:rFonts w:cs="Arial"/>
          <w:i/>
          <w:sz w:val="22"/>
          <w:szCs w:val="22"/>
        </w:rPr>
      </w:pPr>
      <w:r w:rsidRPr="00C5107B">
        <w:rPr>
          <w:rFonts w:cs="Arial"/>
          <w:i/>
          <w:sz w:val="22"/>
          <w:szCs w:val="22"/>
        </w:rPr>
        <w:t>(…)</w:t>
      </w:r>
    </w:p>
    <w:p w14:paraId="6E14FA95" w14:textId="77777777" w:rsidR="00A1284F" w:rsidRPr="00C5107B" w:rsidRDefault="00A1284F" w:rsidP="00C5107B">
      <w:pPr>
        <w:tabs>
          <w:tab w:val="left" w:pos="5174"/>
        </w:tabs>
        <w:ind w:left="567" w:right="617"/>
        <w:rPr>
          <w:rFonts w:cs="Arial"/>
          <w:i/>
          <w:sz w:val="22"/>
          <w:szCs w:val="22"/>
        </w:rPr>
      </w:pPr>
    </w:p>
    <w:p w14:paraId="4575F375" w14:textId="35C52D68" w:rsidR="00A1284F" w:rsidRPr="00C5107B" w:rsidRDefault="00A1284F" w:rsidP="00C5107B">
      <w:pPr>
        <w:tabs>
          <w:tab w:val="left" w:pos="5174"/>
        </w:tabs>
        <w:ind w:left="567" w:right="617"/>
        <w:rPr>
          <w:rFonts w:cs="Arial"/>
          <w:i/>
          <w:sz w:val="22"/>
          <w:szCs w:val="22"/>
        </w:rPr>
      </w:pPr>
      <w:r w:rsidRPr="00C5107B">
        <w:rPr>
          <w:rFonts w:cs="Arial"/>
          <w:i/>
          <w:sz w:val="22"/>
          <w:szCs w:val="22"/>
        </w:rPr>
        <w:t xml:space="preserve">7) Frente al argumento según el cual, se incurrió en presunta usurpación de funciones respecto del Concejo de Bogotá como quiera que, según el demandante, la expedición del Decreto 603 de 26 de diciembre de 2013 </w:t>
      </w:r>
      <w:r w:rsidR="00EE516D" w:rsidRPr="00C5107B">
        <w:rPr>
          <w:rFonts w:cs="Arial"/>
          <w:i/>
          <w:sz w:val="22"/>
          <w:szCs w:val="22"/>
        </w:rPr>
        <w:t>(…),</w:t>
      </w:r>
      <w:r w:rsidRPr="00C5107B">
        <w:rPr>
          <w:rFonts w:cs="Arial"/>
          <w:i/>
          <w:sz w:val="22"/>
          <w:szCs w:val="22"/>
        </w:rPr>
        <w:t xml:space="preserve"> se advierte que, no es cierto que dichas facultades se encuentran dadas al Concejo y no al Alcalde Mayor, puesto que las atribuciones de las autoridades distritales tienen su propio ámbito y nivel de competencias en materia de regulación de esa actividad del transporte. </w:t>
      </w:r>
    </w:p>
    <w:p w14:paraId="6198B350" w14:textId="77777777" w:rsidR="00A1284F" w:rsidRPr="00C5107B" w:rsidRDefault="00A1284F" w:rsidP="00C5107B">
      <w:pPr>
        <w:tabs>
          <w:tab w:val="left" w:pos="5174"/>
        </w:tabs>
        <w:ind w:left="567" w:right="617"/>
        <w:rPr>
          <w:rFonts w:cs="Arial"/>
          <w:i/>
          <w:sz w:val="22"/>
          <w:szCs w:val="22"/>
        </w:rPr>
      </w:pPr>
    </w:p>
    <w:p w14:paraId="5109F226" w14:textId="1A307C82" w:rsidR="00E2477E" w:rsidRDefault="00A1284F" w:rsidP="00C5107B">
      <w:pPr>
        <w:tabs>
          <w:tab w:val="left" w:pos="5174"/>
        </w:tabs>
        <w:ind w:left="567" w:right="617"/>
        <w:rPr>
          <w:rFonts w:cs="Arial"/>
          <w:i/>
          <w:sz w:val="22"/>
          <w:szCs w:val="22"/>
        </w:rPr>
      </w:pPr>
      <w:r w:rsidRPr="00C5107B">
        <w:rPr>
          <w:rFonts w:cs="Arial"/>
          <w:i/>
          <w:sz w:val="22"/>
          <w:szCs w:val="22"/>
        </w:rPr>
        <w:t>Se advierte que, el Concejo de Bogotá no aparece incluido dentro de las autoridades señaladas en el artículo 10 del Decreto 170 de 2001 “Por el cual se reglamenta el Servicio Público de Transporte Terrestre Automotor Colectivo Metropolitano, Distrital y Municipal de Pasajeros”, o en el Decreto 1421 de 1993 “Por el cual se reglamenta el Servicio Público de Transporte Terrestre Automotor Colectivo Metropolitano, Distrital y Municipal de Pasajeros”, en el cual se le otorgan atribuciones genéricas y no exclusivas en materia de transporte público, circunstancias que no son incompatibles ni se oponen a la atribuciones y funciones que tiene el Alcalde Mayor de Bogotá, sino que se complementan.</w:t>
      </w:r>
    </w:p>
    <w:p w14:paraId="512551DB" w14:textId="77777777" w:rsidR="00EB69AE" w:rsidRPr="00C5107B" w:rsidRDefault="00EB69AE" w:rsidP="00C5107B">
      <w:pPr>
        <w:tabs>
          <w:tab w:val="left" w:pos="5174"/>
        </w:tabs>
        <w:ind w:left="567" w:right="617"/>
        <w:rPr>
          <w:rFonts w:cs="Arial"/>
          <w:i/>
          <w:sz w:val="22"/>
          <w:szCs w:val="22"/>
        </w:rPr>
      </w:pPr>
    </w:p>
    <w:p w14:paraId="3A23F1AF" w14:textId="67EA26FF" w:rsidR="00A1284F" w:rsidRPr="00C5107B" w:rsidRDefault="00A1284F" w:rsidP="00C5107B">
      <w:pPr>
        <w:tabs>
          <w:tab w:val="left" w:pos="5174"/>
        </w:tabs>
        <w:ind w:left="567" w:right="617"/>
        <w:rPr>
          <w:rFonts w:cs="Arial"/>
          <w:i/>
          <w:sz w:val="22"/>
          <w:szCs w:val="22"/>
        </w:rPr>
      </w:pPr>
      <w:r w:rsidRPr="00C5107B">
        <w:rPr>
          <w:rFonts w:cs="Arial"/>
          <w:i/>
          <w:sz w:val="22"/>
          <w:szCs w:val="22"/>
        </w:rPr>
        <w:t xml:space="preserve">Es así que, al Concejo le corresponde dar o definir el marco organizativo, funcional, financiero y demás aspectos relacionados con las funciones de las autoridades de transporte competentes en el Distrito, y a </w:t>
      </w:r>
      <w:r w:rsidR="00DF14AE" w:rsidRPr="00C5107B">
        <w:rPr>
          <w:rFonts w:cs="Arial"/>
          <w:i/>
          <w:sz w:val="22"/>
          <w:szCs w:val="22"/>
        </w:rPr>
        <w:t>[e]</w:t>
      </w:r>
      <w:proofErr w:type="spellStart"/>
      <w:r w:rsidRPr="00C5107B">
        <w:rPr>
          <w:rFonts w:cs="Arial"/>
          <w:i/>
          <w:sz w:val="22"/>
          <w:szCs w:val="22"/>
        </w:rPr>
        <w:t>stas</w:t>
      </w:r>
      <w:proofErr w:type="spellEnd"/>
      <w:r w:rsidRPr="00C5107B">
        <w:rPr>
          <w:rFonts w:cs="Arial"/>
          <w:i/>
          <w:sz w:val="22"/>
          <w:szCs w:val="22"/>
        </w:rPr>
        <w:t xml:space="preserve"> les corresponde diseñar y ejecutar las políticas de esa actividad, lo cual implica tomar medidas específicas y de carácter operativo o técnico para el desarrollo de esa actividad en sus diferentes modalidades, a fin de perseguir la efectividad de los principios, fines y objetivos que le fija la ley.</w:t>
      </w:r>
    </w:p>
    <w:p w14:paraId="41C78561" w14:textId="77777777" w:rsidR="00A1284F" w:rsidRPr="00C5107B" w:rsidRDefault="00A1284F" w:rsidP="00C5107B">
      <w:pPr>
        <w:tabs>
          <w:tab w:val="left" w:pos="5174"/>
        </w:tabs>
        <w:ind w:left="567" w:right="617"/>
        <w:rPr>
          <w:rFonts w:cs="Arial"/>
          <w:i/>
          <w:sz w:val="22"/>
          <w:szCs w:val="22"/>
        </w:rPr>
      </w:pPr>
    </w:p>
    <w:p w14:paraId="336AF954" w14:textId="77777777" w:rsidR="00A1284F" w:rsidRPr="00C5107B" w:rsidRDefault="00A1284F" w:rsidP="00C5107B">
      <w:pPr>
        <w:tabs>
          <w:tab w:val="left" w:pos="5174"/>
        </w:tabs>
        <w:ind w:left="567" w:right="617"/>
        <w:rPr>
          <w:rFonts w:cs="Arial"/>
          <w:i/>
          <w:sz w:val="22"/>
          <w:szCs w:val="22"/>
        </w:rPr>
      </w:pPr>
      <w:r w:rsidRPr="00C5107B">
        <w:rPr>
          <w:rFonts w:cs="Arial"/>
          <w:i/>
          <w:sz w:val="22"/>
          <w:szCs w:val="22"/>
        </w:rPr>
        <w:t xml:space="preserve">8) En lo relacionado con la presunta creación de un subsidio para el pago de una tarifa diferencial, queda claro que no hubo tal situación en la adopción de la medida de tarifa diferencial, sino que se adoptó en virtud de desarrollar el factor de </w:t>
      </w:r>
      <w:r w:rsidRPr="00C5107B">
        <w:rPr>
          <w:rFonts w:cs="Arial"/>
          <w:i/>
          <w:sz w:val="22"/>
          <w:szCs w:val="22"/>
        </w:rPr>
        <w:lastRenderedPageBreak/>
        <w:t xml:space="preserve">accesibilidad y eficiencia del servicio, que es un componente del precio del pasaje que el usuario pagaría por el uso de ese servicio de transporte, que es calificado como un servicio público esencial, con todas las implicaciones sociales que ello tiene, tal como lo recoge el inciso primero del artículo 5° de la Ley 336 de 1996. </w:t>
      </w:r>
    </w:p>
    <w:p w14:paraId="56582D6F" w14:textId="77777777" w:rsidR="00A1284F" w:rsidRPr="00C5107B" w:rsidRDefault="00A1284F" w:rsidP="00C5107B">
      <w:pPr>
        <w:tabs>
          <w:tab w:val="left" w:pos="5174"/>
        </w:tabs>
        <w:ind w:left="567" w:right="617"/>
        <w:rPr>
          <w:rFonts w:cs="Arial"/>
          <w:i/>
          <w:sz w:val="22"/>
          <w:szCs w:val="22"/>
        </w:rPr>
      </w:pPr>
    </w:p>
    <w:p w14:paraId="009AEEB8" w14:textId="77777777" w:rsidR="00A1284F" w:rsidRPr="00C5107B" w:rsidRDefault="00A1284F" w:rsidP="00C5107B">
      <w:pPr>
        <w:tabs>
          <w:tab w:val="left" w:pos="5174"/>
        </w:tabs>
        <w:ind w:left="567" w:right="617"/>
        <w:rPr>
          <w:rFonts w:cs="Arial"/>
          <w:i/>
          <w:sz w:val="22"/>
          <w:szCs w:val="22"/>
        </w:rPr>
      </w:pPr>
      <w:r w:rsidRPr="00C5107B">
        <w:rPr>
          <w:rFonts w:cs="Arial"/>
          <w:i/>
          <w:sz w:val="22"/>
          <w:szCs w:val="22"/>
        </w:rPr>
        <w:t>(…)</w:t>
      </w:r>
    </w:p>
    <w:p w14:paraId="5F2636B9" w14:textId="77777777" w:rsidR="00A1284F" w:rsidRPr="00C5107B" w:rsidRDefault="00A1284F" w:rsidP="00C5107B">
      <w:pPr>
        <w:tabs>
          <w:tab w:val="left" w:pos="5174"/>
        </w:tabs>
        <w:ind w:left="567" w:right="617"/>
        <w:rPr>
          <w:rFonts w:cs="Arial"/>
          <w:i/>
          <w:sz w:val="22"/>
          <w:szCs w:val="22"/>
        </w:rPr>
      </w:pPr>
    </w:p>
    <w:p w14:paraId="53B9B6F0" w14:textId="296F95CF" w:rsidR="00622AF9" w:rsidRPr="00C5107B" w:rsidRDefault="00A1284F" w:rsidP="00C5107B">
      <w:pPr>
        <w:tabs>
          <w:tab w:val="left" w:pos="5174"/>
        </w:tabs>
        <w:ind w:left="567" w:right="617"/>
        <w:rPr>
          <w:rFonts w:cs="Arial"/>
          <w:i/>
          <w:sz w:val="22"/>
          <w:szCs w:val="22"/>
        </w:rPr>
      </w:pPr>
      <w:r w:rsidRPr="00C5107B">
        <w:rPr>
          <w:rFonts w:cs="Arial"/>
          <w:i/>
          <w:sz w:val="22"/>
          <w:szCs w:val="22"/>
        </w:rPr>
        <w:t xml:space="preserve">En este caso se trata de una política para incrementar el uso de servicio mediante una tarifa preferencial para una población y el Alcalde Mayor de Bogotá desarrolló sus funciones legales y reglamentarias propias al expedir el acto acusado en cuanto </w:t>
      </w:r>
      <w:r w:rsidR="00896A4D" w:rsidRPr="00C5107B">
        <w:rPr>
          <w:rFonts w:cs="Arial"/>
          <w:i/>
          <w:sz w:val="22"/>
          <w:szCs w:val="22"/>
        </w:rPr>
        <w:t>[e]</w:t>
      </w:r>
      <w:proofErr w:type="spellStart"/>
      <w:r w:rsidRPr="00C5107B">
        <w:rPr>
          <w:rFonts w:cs="Arial"/>
          <w:i/>
          <w:sz w:val="22"/>
          <w:szCs w:val="22"/>
        </w:rPr>
        <w:t>ste</w:t>
      </w:r>
      <w:proofErr w:type="spellEnd"/>
      <w:r w:rsidRPr="00C5107B">
        <w:rPr>
          <w:rFonts w:cs="Arial"/>
          <w:i/>
          <w:sz w:val="22"/>
          <w:szCs w:val="22"/>
        </w:rPr>
        <w:t xml:space="preserve"> contiene medidas que corresponden al diseño y ejecución de políticas locales dirigidas específicamente al transporte público, y no usurpó funciones y atribuciones de otras autoridades en esa materia.</w:t>
      </w:r>
    </w:p>
    <w:p w14:paraId="5E484257" w14:textId="77777777" w:rsidR="00622AF9" w:rsidRPr="00C5107B" w:rsidRDefault="00622AF9" w:rsidP="00C5107B">
      <w:pPr>
        <w:tabs>
          <w:tab w:val="left" w:pos="5174"/>
        </w:tabs>
        <w:ind w:left="567" w:right="617"/>
        <w:rPr>
          <w:rFonts w:cs="Arial"/>
          <w:i/>
          <w:sz w:val="22"/>
          <w:szCs w:val="22"/>
        </w:rPr>
      </w:pPr>
    </w:p>
    <w:p w14:paraId="21CE216F" w14:textId="77777777" w:rsidR="00622AF9" w:rsidRPr="00C5107B" w:rsidRDefault="00622AF9" w:rsidP="00C5107B">
      <w:pPr>
        <w:tabs>
          <w:tab w:val="left" w:pos="5174"/>
        </w:tabs>
        <w:ind w:left="567" w:right="617"/>
        <w:rPr>
          <w:rFonts w:cs="Arial"/>
          <w:i/>
          <w:sz w:val="22"/>
          <w:szCs w:val="22"/>
        </w:rPr>
      </w:pPr>
      <w:r w:rsidRPr="00C5107B">
        <w:rPr>
          <w:rFonts w:cs="Arial"/>
          <w:i/>
          <w:sz w:val="22"/>
          <w:szCs w:val="22"/>
        </w:rPr>
        <w:t>(…)</w:t>
      </w:r>
    </w:p>
    <w:p w14:paraId="2C9CDAFC" w14:textId="77777777" w:rsidR="00622AF9" w:rsidRPr="00C5107B" w:rsidRDefault="00622AF9" w:rsidP="00C5107B">
      <w:pPr>
        <w:tabs>
          <w:tab w:val="left" w:pos="5174"/>
        </w:tabs>
        <w:ind w:left="567" w:right="617"/>
        <w:rPr>
          <w:rFonts w:cs="Arial"/>
          <w:i/>
          <w:sz w:val="22"/>
          <w:szCs w:val="22"/>
        </w:rPr>
      </w:pPr>
    </w:p>
    <w:p w14:paraId="173CAC7B" w14:textId="064C4A6F" w:rsidR="00622AF9" w:rsidRPr="00C5107B" w:rsidRDefault="00622AF9" w:rsidP="00C5107B">
      <w:pPr>
        <w:tabs>
          <w:tab w:val="left" w:pos="5174"/>
        </w:tabs>
        <w:ind w:left="567" w:right="617"/>
        <w:rPr>
          <w:rFonts w:cs="Arial"/>
          <w:i/>
          <w:sz w:val="22"/>
          <w:szCs w:val="22"/>
        </w:rPr>
      </w:pPr>
      <w:r w:rsidRPr="00C5107B">
        <w:rPr>
          <w:rFonts w:cs="Arial"/>
          <w:i/>
          <w:sz w:val="22"/>
          <w:szCs w:val="22"/>
        </w:rPr>
        <w:t xml:space="preserve">En efecto, el Plan de Desarrollo Económico Social, Ambiental y de Obras Públicas para Bogotá, D.C, adoptado a través del Acuerdo 489 de 2012, en el artículo 20 establece que para el </w:t>
      </w:r>
      <w:r w:rsidR="009E1314" w:rsidRPr="00C5107B">
        <w:rPr>
          <w:rFonts w:cs="Arial"/>
          <w:i/>
          <w:sz w:val="22"/>
          <w:szCs w:val="22"/>
        </w:rPr>
        <w:t>“</w:t>
      </w:r>
      <w:r w:rsidRPr="00C5107B">
        <w:rPr>
          <w:rFonts w:cs="Arial"/>
          <w:i/>
          <w:sz w:val="22"/>
          <w:szCs w:val="22"/>
        </w:rPr>
        <w:t>Fortalecimiento y mejoramiento de la calidad y cobertura de servicios públicos”, se debe evaluar la estructura de costos de las empresas con el fin de mantener y mejorar la progresividad de la tarifa vinculada a la capacidad de pago y mejorar el acceso a las familias más pobres a servicios básicos que representan un monto importante de los ingresos familiares.</w:t>
      </w:r>
    </w:p>
    <w:p w14:paraId="722FDB03" w14:textId="77777777" w:rsidR="00622AF9" w:rsidRPr="00C5107B" w:rsidRDefault="00622AF9" w:rsidP="00C5107B">
      <w:pPr>
        <w:tabs>
          <w:tab w:val="left" w:pos="5174"/>
        </w:tabs>
        <w:ind w:left="567" w:right="617"/>
        <w:rPr>
          <w:rFonts w:cs="Arial"/>
          <w:i/>
          <w:sz w:val="22"/>
          <w:szCs w:val="22"/>
        </w:rPr>
      </w:pPr>
    </w:p>
    <w:p w14:paraId="74210363" w14:textId="77777777" w:rsidR="00622AF9" w:rsidRPr="00C5107B" w:rsidRDefault="00622AF9" w:rsidP="00C5107B">
      <w:pPr>
        <w:tabs>
          <w:tab w:val="left" w:pos="5174"/>
        </w:tabs>
        <w:ind w:left="567" w:right="617"/>
        <w:rPr>
          <w:rFonts w:cs="Arial"/>
          <w:i/>
          <w:sz w:val="22"/>
          <w:szCs w:val="22"/>
        </w:rPr>
      </w:pPr>
      <w:r w:rsidRPr="00C5107B">
        <w:rPr>
          <w:rFonts w:cs="Arial"/>
          <w:i/>
          <w:sz w:val="22"/>
          <w:szCs w:val="22"/>
        </w:rPr>
        <w:t>Asimismo, al referirse a los proyectos prioritarios de este programa indica en el numeral 2º del citado Acuerdo que, para el mejoramiento a la accesibilidad financiera al transporte público, se deben establecer y adoptar medidas y tarifas del transporte público que permitan mayor acceso a población con menor capacidad de pago, personas en condiciones de discapacidad y adultos mayores que posibilite a través del transporte público desplazarse a los diferentes sectores del Distrito Capital.</w:t>
      </w:r>
    </w:p>
    <w:p w14:paraId="5ED74AA6" w14:textId="77777777" w:rsidR="00622AF9" w:rsidRPr="00C5107B" w:rsidRDefault="00622AF9" w:rsidP="00C5107B">
      <w:pPr>
        <w:tabs>
          <w:tab w:val="left" w:pos="5174"/>
        </w:tabs>
        <w:ind w:left="567" w:right="617"/>
        <w:rPr>
          <w:rFonts w:cs="Arial"/>
          <w:i/>
          <w:sz w:val="22"/>
          <w:szCs w:val="22"/>
        </w:rPr>
      </w:pPr>
    </w:p>
    <w:p w14:paraId="5087D04D" w14:textId="77777777" w:rsidR="00622AF9" w:rsidRPr="00C5107B" w:rsidRDefault="00622AF9" w:rsidP="00C5107B">
      <w:pPr>
        <w:tabs>
          <w:tab w:val="left" w:pos="5174"/>
        </w:tabs>
        <w:ind w:left="567" w:right="617"/>
        <w:rPr>
          <w:rFonts w:cs="Arial"/>
          <w:i/>
          <w:sz w:val="22"/>
          <w:szCs w:val="22"/>
        </w:rPr>
      </w:pPr>
      <w:r w:rsidRPr="00C5107B">
        <w:rPr>
          <w:rFonts w:cs="Arial"/>
          <w:i/>
          <w:sz w:val="22"/>
          <w:szCs w:val="22"/>
        </w:rPr>
        <w:t>(…)</w:t>
      </w:r>
    </w:p>
    <w:p w14:paraId="3FD290E9" w14:textId="77777777" w:rsidR="00622AF9" w:rsidRPr="00C5107B" w:rsidRDefault="00622AF9" w:rsidP="00C5107B">
      <w:pPr>
        <w:tabs>
          <w:tab w:val="left" w:pos="5174"/>
        </w:tabs>
        <w:ind w:left="567" w:right="617"/>
        <w:rPr>
          <w:rFonts w:cs="Arial"/>
          <w:i/>
          <w:sz w:val="22"/>
          <w:szCs w:val="22"/>
        </w:rPr>
      </w:pPr>
    </w:p>
    <w:p w14:paraId="388E055B" w14:textId="77777777" w:rsidR="00622AF9" w:rsidRPr="00C5107B" w:rsidRDefault="00622AF9" w:rsidP="00C5107B">
      <w:pPr>
        <w:tabs>
          <w:tab w:val="left" w:pos="5174"/>
        </w:tabs>
        <w:ind w:left="567" w:right="617"/>
        <w:rPr>
          <w:rFonts w:cs="Arial"/>
          <w:i/>
          <w:sz w:val="22"/>
          <w:szCs w:val="22"/>
        </w:rPr>
      </w:pPr>
      <w:r w:rsidRPr="00C5107B">
        <w:rPr>
          <w:rFonts w:cs="Arial"/>
          <w:i/>
          <w:sz w:val="22"/>
          <w:szCs w:val="22"/>
        </w:rPr>
        <w:t xml:space="preserve">Adicionalmente, la medida adoptada se fundamentó en el estudio de Transmilenio S. A., denominado “Estudio Técnico y Financiero soporte a la actualización tarifaria” detallo en el título “Consideraciones y supuestos sobre efecto del beneficio a la población más pobre de la ciudad sobre la demanda del sistema” del Decreto demandado, que establece que un beneficio al transporte para la población beneficiada incrementará la demanda del SITP en 2,4 millones de viajes mensuales, lo cual repercute en la </w:t>
      </w:r>
      <w:proofErr w:type="spellStart"/>
      <w:r w:rsidRPr="00C5107B">
        <w:rPr>
          <w:rFonts w:cs="Arial"/>
          <w:i/>
          <w:sz w:val="22"/>
          <w:szCs w:val="22"/>
        </w:rPr>
        <w:t>costeabilidad</w:t>
      </w:r>
      <w:proofErr w:type="spellEnd"/>
      <w:r w:rsidRPr="00C5107B">
        <w:rPr>
          <w:rFonts w:cs="Arial"/>
          <w:i/>
          <w:sz w:val="22"/>
          <w:szCs w:val="22"/>
        </w:rPr>
        <w:t xml:space="preserve"> del sistema y garantía la accesibilidad de esta población menos beneficiada al sistema de transporte SITP, en desarrollo de la política pública planteada por la Alcaldía. </w:t>
      </w:r>
    </w:p>
    <w:p w14:paraId="5CD6D455" w14:textId="77777777" w:rsidR="00622AF9" w:rsidRPr="00C5107B" w:rsidRDefault="00622AF9" w:rsidP="00C5107B">
      <w:pPr>
        <w:tabs>
          <w:tab w:val="left" w:pos="5174"/>
        </w:tabs>
        <w:ind w:left="567" w:right="617"/>
        <w:rPr>
          <w:rFonts w:cs="Arial"/>
          <w:i/>
          <w:sz w:val="22"/>
          <w:szCs w:val="22"/>
        </w:rPr>
      </w:pPr>
    </w:p>
    <w:p w14:paraId="389C9BC5" w14:textId="77777777" w:rsidR="00622AF9" w:rsidRPr="00C5107B" w:rsidRDefault="00622AF9" w:rsidP="00C5107B">
      <w:pPr>
        <w:tabs>
          <w:tab w:val="left" w:pos="5174"/>
        </w:tabs>
        <w:ind w:left="567" w:right="617"/>
        <w:rPr>
          <w:rFonts w:cs="Arial"/>
          <w:i/>
          <w:sz w:val="22"/>
          <w:szCs w:val="22"/>
        </w:rPr>
      </w:pPr>
      <w:r w:rsidRPr="00C5107B">
        <w:rPr>
          <w:rFonts w:cs="Arial"/>
          <w:i/>
          <w:sz w:val="22"/>
          <w:szCs w:val="22"/>
        </w:rPr>
        <w:t>Igualmente, obra en el expediente a folio 66 en CD documento digitalizado, que contiene certificación de la Secretaría Distrital de Hacienda del 17 de diciembre del 2013, es decir previa a la expedición del decreto demandado, con radicado No. 2013ee20795O, en la cual se puede advertir el respaldo financiero de recursos para adoptar la política de fijación de tarifas diferenciales en el sistema masivo de transporte.</w:t>
      </w:r>
    </w:p>
    <w:p w14:paraId="7625A9CF" w14:textId="77777777" w:rsidR="00622AF9" w:rsidRPr="00C5107B" w:rsidRDefault="00622AF9" w:rsidP="00C5107B">
      <w:pPr>
        <w:tabs>
          <w:tab w:val="left" w:pos="5174"/>
        </w:tabs>
        <w:ind w:left="567" w:right="617"/>
        <w:rPr>
          <w:rFonts w:cs="Arial"/>
          <w:i/>
          <w:sz w:val="22"/>
          <w:szCs w:val="22"/>
        </w:rPr>
      </w:pPr>
    </w:p>
    <w:p w14:paraId="4B5042FF" w14:textId="77777777" w:rsidR="00622AF9" w:rsidRPr="00C5107B" w:rsidRDefault="00622AF9" w:rsidP="00C5107B">
      <w:pPr>
        <w:tabs>
          <w:tab w:val="left" w:pos="5174"/>
        </w:tabs>
        <w:ind w:left="567" w:right="617"/>
        <w:rPr>
          <w:rFonts w:cs="Arial"/>
          <w:i/>
          <w:sz w:val="22"/>
          <w:szCs w:val="22"/>
        </w:rPr>
      </w:pPr>
      <w:r w:rsidRPr="00C5107B">
        <w:rPr>
          <w:rFonts w:cs="Arial"/>
          <w:i/>
          <w:sz w:val="22"/>
          <w:szCs w:val="22"/>
        </w:rPr>
        <w:t>(…)</w:t>
      </w:r>
    </w:p>
    <w:p w14:paraId="2FDB523D" w14:textId="77777777" w:rsidR="00622AF9" w:rsidRPr="00C5107B" w:rsidRDefault="00622AF9" w:rsidP="00C5107B">
      <w:pPr>
        <w:tabs>
          <w:tab w:val="left" w:pos="5174"/>
        </w:tabs>
        <w:ind w:left="567" w:right="617"/>
        <w:rPr>
          <w:rFonts w:cs="Arial"/>
          <w:i/>
          <w:sz w:val="22"/>
          <w:szCs w:val="22"/>
        </w:rPr>
      </w:pPr>
    </w:p>
    <w:p w14:paraId="2B44F293" w14:textId="77777777" w:rsidR="00622AF9" w:rsidRPr="00C5107B" w:rsidRDefault="00622AF9" w:rsidP="00C5107B">
      <w:pPr>
        <w:tabs>
          <w:tab w:val="left" w:pos="5174"/>
        </w:tabs>
        <w:ind w:left="567" w:right="617"/>
        <w:rPr>
          <w:rFonts w:cs="Arial"/>
          <w:i/>
          <w:sz w:val="22"/>
          <w:szCs w:val="22"/>
        </w:rPr>
      </w:pPr>
      <w:r w:rsidRPr="00C5107B">
        <w:rPr>
          <w:rFonts w:cs="Arial"/>
          <w:i/>
          <w:sz w:val="22"/>
          <w:szCs w:val="22"/>
        </w:rPr>
        <w:t>La decisión se fundamentó igualmente en que la política integral tarifaria se encuentra contemplada en el presupuesto distrital aprobado mediante Acuerdo No. 533 de 2013 y está sujeta a la vigencia fiscal 2014, año de la implementación del SITP, destacando que es un incentivo para el acceso al transporte público y constituye un instrumento económico autorizado por la Constitución Política y las normas legales de competencia que se expusieron previamente.</w:t>
      </w:r>
    </w:p>
    <w:p w14:paraId="110DE58B" w14:textId="77777777" w:rsidR="00622AF9" w:rsidRPr="00C5107B" w:rsidRDefault="00622AF9" w:rsidP="00C5107B">
      <w:pPr>
        <w:tabs>
          <w:tab w:val="left" w:pos="5174"/>
        </w:tabs>
        <w:ind w:left="567" w:right="617"/>
        <w:rPr>
          <w:rFonts w:cs="Arial"/>
          <w:i/>
          <w:sz w:val="22"/>
          <w:szCs w:val="22"/>
        </w:rPr>
      </w:pPr>
    </w:p>
    <w:p w14:paraId="1BEB3329" w14:textId="1FC2151A" w:rsidR="00622AF9" w:rsidRPr="00C5107B" w:rsidRDefault="00622AF9" w:rsidP="00EB69AE">
      <w:pPr>
        <w:tabs>
          <w:tab w:val="left" w:pos="5174"/>
        </w:tabs>
        <w:ind w:left="567" w:right="617"/>
        <w:rPr>
          <w:rFonts w:cs="Arial"/>
          <w:i/>
          <w:sz w:val="22"/>
          <w:szCs w:val="22"/>
        </w:rPr>
      </w:pPr>
      <w:r w:rsidRPr="00C5107B">
        <w:rPr>
          <w:rFonts w:cs="Arial"/>
          <w:i/>
          <w:sz w:val="22"/>
          <w:szCs w:val="22"/>
        </w:rPr>
        <w:t>(…)</w:t>
      </w:r>
    </w:p>
    <w:p w14:paraId="5E517204" w14:textId="38D2FBEB" w:rsidR="00BB48BA" w:rsidRPr="00C5107B" w:rsidRDefault="00622AF9" w:rsidP="00C5107B">
      <w:pPr>
        <w:tabs>
          <w:tab w:val="left" w:pos="5174"/>
        </w:tabs>
        <w:ind w:left="567" w:right="617"/>
        <w:rPr>
          <w:rFonts w:cs="Arial"/>
          <w:i/>
          <w:sz w:val="22"/>
          <w:szCs w:val="22"/>
        </w:rPr>
      </w:pPr>
      <w:r w:rsidRPr="00C5107B">
        <w:rPr>
          <w:rFonts w:cs="Arial"/>
          <w:i/>
          <w:sz w:val="22"/>
          <w:szCs w:val="22"/>
        </w:rPr>
        <w:lastRenderedPageBreak/>
        <w:t xml:space="preserve">En consecuencia, para la Sala es claro que le corresponde al Alcalde, entre otras, la función de reglamentar las funciones y la eficiente prestación de los servicios a cargo del municipio, y se evidenció bajo los argumentos planeados en el Decreto 603 de 26 diciembre 2013, Por el cual se implementan estrategias para garantizar la suficiencia financiera del Sistema Integrado del Transporte Público -SITP, que no se contrapone a las funciones establecidas para los Concejos Municipales de conformidad con lo establecido en el artículo 313 y siguientes de la Constitución, y que en el Decreto demandado no se pretendió establecer un subsidio como erróneamente lo plantea el recurrente, lo cual no le es permitido sino a autoridades legislativas, sino </w:t>
      </w:r>
      <w:r w:rsidR="006A0C74" w:rsidRPr="00C5107B">
        <w:rPr>
          <w:rFonts w:cs="Arial"/>
          <w:i/>
          <w:sz w:val="22"/>
          <w:szCs w:val="22"/>
        </w:rPr>
        <w:t>el desarrollo de una política p[ú]</w:t>
      </w:r>
      <w:proofErr w:type="spellStart"/>
      <w:r w:rsidRPr="00C5107B">
        <w:rPr>
          <w:rFonts w:cs="Arial"/>
          <w:i/>
          <w:sz w:val="22"/>
          <w:szCs w:val="22"/>
        </w:rPr>
        <w:t>blica</w:t>
      </w:r>
      <w:proofErr w:type="spellEnd"/>
      <w:r w:rsidRPr="00C5107B">
        <w:rPr>
          <w:rFonts w:cs="Arial"/>
          <w:i/>
          <w:sz w:val="22"/>
          <w:szCs w:val="22"/>
        </w:rPr>
        <w:t xml:space="preserve"> de promoción del servicio a través de una tarifa diferencial a favor de una población determinada</w:t>
      </w:r>
      <w:r w:rsidR="00BB48BA" w:rsidRPr="00C5107B">
        <w:rPr>
          <w:rFonts w:cs="Arial"/>
          <w:i/>
          <w:sz w:val="22"/>
          <w:szCs w:val="22"/>
        </w:rPr>
        <w:t>”</w:t>
      </w:r>
      <w:r w:rsidR="006A0C74" w:rsidRPr="00C5107B">
        <w:rPr>
          <w:rStyle w:val="Refdenotaalpie"/>
          <w:rFonts w:cs="Arial"/>
          <w:sz w:val="22"/>
          <w:szCs w:val="22"/>
        </w:rPr>
        <w:footnoteReference w:id="26"/>
      </w:r>
      <w:r w:rsidR="006A0C74" w:rsidRPr="00C5107B">
        <w:rPr>
          <w:rFonts w:cs="Arial"/>
          <w:i/>
          <w:sz w:val="22"/>
          <w:szCs w:val="22"/>
        </w:rPr>
        <w:t>.</w:t>
      </w:r>
      <w:r w:rsidR="00BB48BA" w:rsidRPr="00C5107B">
        <w:rPr>
          <w:rFonts w:cs="Arial"/>
          <w:i/>
          <w:sz w:val="22"/>
          <w:szCs w:val="22"/>
        </w:rPr>
        <w:t xml:space="preserve"> </w:t>
      </w:r>
    </w:p>
    <w:p w14:paraId="3FD8F01C" w14:textId="77777777" w:rsidR="0095439C" w:rsidRDefault="0095439C" w:rsidP="002C011B">
      <w:pPr>
        <w:tabs>
          <w:tab w:val="left" w:pos="5174"/>
        </w:tabs>
        <w:spacing w:line="360" w:lineRule="auto"/>
        <w:rPr>
          <w:sz w:val="24"/>
          <w:szCs w:val="24"/>
        </w:rPr>
      </w:pPr>
    </w:p>
    <w:p w14:paraId="19099AAA" w14:textId="20924418" w:rsidR="008430E8" w:rsidRDefault="008430E8" w:rsidP="002C011B">
      <w:pPr>
        <w:tabs>
          <w:tab w:val="left" w:pos="5174"/>
        </w:tabs>
        <w:spacing w:line="360" w:lineRule="auto"/>
        <w:rPr>
          <w:sz w:val="24"/>
          <w:szCs w:val="24"/>
        </w:rPr>
      </w:pPr>
      <w:r>
        <w:rPr>
          <w:sz w:val="24"/>
          <w:szCs w:val="24"/>
        </w:rPr>
        <w:t xml:space="preserve">4.3.2.- En atención a lo anterior, la Sala advierte, de manera diáfana, que la discusión acerca de la naturaleza de la medida adoptada a </w:t>
      </w:r>
      <w:r w:rsidR="00B679A1">
        <w:rPr>
          <w:sz w:val="24"/>
          <w:szCs w:val="24"/>
        </w:rPr>
        <w:t>través del Decreto 603 de 2013,</w:t>
      </w:r>
      <w:r>
        <w:rPr>
          <w:sz w:val="24"/>
          <w:szCs w:val="24"/>
        </w:rPr>
        <w:t xml:space="preserve"> la </w:t>
      </w:r>
      <w:r w:rsidR="00CF7EB8">
        <w:rPr>
          <w:sz w:val="24"/>
          <w:szCs w:val="24"/>
        </w:rPr>
        <w:t>facultad</w:t>
      </w:r>
      <w:r>
        <w:rPr>
          <w:sz w:val="24"/>
          <w:szCs w:val="24"/>
        </w:rPr>
        <w:t xml:space="preserve"> de adoptarla por parte del Alcalde Mayor de Bogotá</w:t>
      </w:r>
      <w:r w:rsidR="00B679A1">
        <w:rPr>
          <w:sz w:val="24"/>
          <w:szCs w:val="24"/>
        </w:rPr>
        <w:t xml:space="preserve"> y la existencia de un plan económico y financiero que la soportara</w:t>
      </w:r>
      <w:r>
        <w:rPr>
          <w:sz w:val="24"/>
          <w:szCs w:val="24"/>
        </w:rPr>
        <w:t xml:space="preserve">, se suscitó y resolvió en el proceso ordinario. Al respecto, la autoridad judicial acusada analizó los preceptos constitucionales, legales y reglamentarios, a partir de los que consideró </w:t>
      </w:r>
      <w:r w:rsidR="003A3A64">
        <w:rPr>
          <w:sz w:val="24"/>
          <w:szCs w:val="24"/>
        </w:rPr>
        <w:t xml:space="preserve">que no se había incurrido en los reproches endilgados en la demanda de nulidad simple, sino que, por el </w:t>
      </w:r>
      <w:r w:rsidR="003A3A64" w:rsidRPr="00F70A96">
        <w:rPr>
          <w:sz w:val="24"/>
          <w:szCs w:val="24"/>
        </w:rPr>
        <w:t xml:space="preserve">contrario, el </w:t>
      </w:r>
      <w:r w:rsidR="00F70A96">
        <w:rPr>
          <w:sz w:val="24"/>
          <w:szCs w:val="24"/>
        </w:rPr>
        <w:t>d</w:t>
      </w:r>
      <w:r w:rsidR="003A3A64" w:rsidRPr="00F70A96">
        <w:rPr>
          <w:sz w:val="24"/>
          <w:szCs w:val="24"/>
        </w:rPr>
        <w:t>ecreto fue</w:t>
      </w:r>
      <w:r w:rsidR="003A3A64">
        <w:rPr>
          <w:sz w:val="24"/>
          <w:szCs w:val="24"/>
        </w:rPr>
        <w:t xml:space="preserve"> adoptado de conformidad con la normativa apl</w:t>
      </w:r>
      <w:r w:rsidR="00B85E4F">
        <w:rPr>
          <w:sz w:val="24"/>
          <w:szCs w:val="24"/>
        </w:rPr>
        <w:t xml:space="preserve">icable al caso e incluso, se determinó que estuvo orientada a fomentar y garantizar el acceso del servicio público de transporte para un sector menos favorecido de la población. </w:t>
      </w:r>
    </w:p>
    <w:p w14:paraId="36B38DCA" w14:textId="77777777" w:rsidR="00B85E4F" w:rsidRDefault="00B85E4F" w:rsidP="002C011B">
      <w:pPr>
        <w:tabs>
          <w:tab w:val="left" w:pos="5174"/>
        </w:tabs>
        <w:spacing w:line="360" w:lineRule="auto"/>
        <w:rPr>
          <w:sz w:val="24"/>
          <w:szCs w:val="24"/>
        </w:rPr>
      </w:pPr>
    </w:p>
    <w:p w14:paraId="21535261" w14:textId="2AC87C7F" w:rsidR="00B85E4F" w:rsidRDefault="00B85E4F" w:rsidP="002C011B">
      <w:pPr>
        <w:tabs>
          <w:tab w:val="left" w:pos="5174"/>
        </w:tabs>
        <w:spacing w:line="360" w:lineRule="auto"/>
        <w:rPr>
          <w:rFonts w:cs="Arial"/>
          <w:sz w:val="24"/>
          <w:szCs w:val="24"/>
        </w:rPr>
      </w:pPr>
      <w:r>
        <w:rPr>
          <w:sz w:val="24"/>
          <w:szCs w:val="24"/>
        </w:rPr>
        <w:t xml:space="preserve">Adicionalmente, debe precisarse que la censura </w:t>
      </w:r>
      <w:r>
        <w:rPr>
          <w:i/>
          <w:sz w:val="24"/>
          <w:szCs w:val="24"/>
        </w:rPr>
        <w:t xml:space="preserve">sub examine </w:t>
      </w:r>
      <w:r>
        <w:rPr>
          <w:sz w:val="24"/>
          <w:szCs w:val="24"/>
        </w:rPr>
        <w:t xml:space="preserve">es una réplica similar a la vertida en el libelo introductorio del medio de control de nulidad, </w:t>
      </w:r>
      <w:r w:rsidR="00453DBD">
        <w:rPr>
          <w:sz w:val="24"/>
          <w:szCs w:val="24"/>
        </w:rPr>
        <w:t>en tanto se plantea</w:t>
      </w:r>
      <w:r w:rsidR="007D3D88">
        <w:rPr>
          <w:sz w:val="24"/>
          <w:szCs w:val="24"/>
        </w:rPr>
        <w:t xml:space="preserve"> </w:t>
      </w:r>
      <w:r w:rsidR="00776666">
        <w:rPr>
          <w:sz w:val="24"/>
          <w:szCs w:val="24"/>
        </w:rPr>
        <w:t xml:space="preserve">que </w:t>
      </w:r>
      <w:r w:rsidR="00747EBA">
        <w:rPr>
          <w:sz w:val="24"/>
          <w:szCs w:val="24"/>
        </w:rPr>
        <w:t xml:space="preserve">(i) </w:t>
      </w:r>
      <w:r w:rsidR="00776666">
        <w:rPr>
          <w:sz w:val="24"/>
          <w:szCs w:val="24"/>
        </w:rPr>
        <w:t xml:space="preserve">la política </w:t>
      </w:r>
      <w:r w:rsidR="00747EBA">
        <w:rPr>
          <w:sz w:val="24"/>
          <w:szCs w:val="24"/>
        </w:rPr>
        <w:t>ideada</w:t>
      </w:r>
      <w:r w:rsidR="00776666">
        <w:rPr>
          <w:sz w:val="24"/>
          <w:szCs w:val="24"/>
        </w:rPr>
        <w:t xml:space="preserve"> a través del </w:t>
      </w:r>
      <w:r w:rsidR="00F70A96">
        <w:rPr>
          <w:sz w:val="24"/>
          <w:szCs w:val="24"/>
        </w:rPr>
        <w:t>d</w:t>
      </w:r>
      <w:r w:rsidR="00776666">
        <w:rPr>
          <w:sz w:val="24"/>
          <w:szCs w:val="24"/>
        </w:rPr>
        <w:t>e</w:t>
      </w:r>
      <w:r w:rsidR="00747EBA">
        <w:rPr>
          <w:sz w:val="24"/>
          <w:szCs w:val="24"/>
        </w:rPr>
        <w:t>creto demandado era un subsidio; (ii) se presentó</w:t>
      </w:r>
      <w:r w:rsidR="00776666">
        <w:rPr>
          <w:sz w:val="24"/>
          <w:szCs w:val="24"/>
        </w:rPr>
        <w:t xml:space="preserve"> </w:t>
      </w:r>
      <w:r w:rsidR="007D3D88">
        <w:rPr>
          <w:sz w:val="24"/>
          <w:szCs w:val="24"/>
        </w:rPr>
        <w:t xml:space="preserve">la transgresión de </w:t>
      </w:r>
      <w:r w:rsidR="002E4995">
        <w:rPr>
          <w:sz w:val="24"/>
          <w:szCs w:val="24"/>
        </w:rPr>
        <w:t xml:space="preserve">diversas normas </w:t>
      </w:r>
      <w:r w:rsidR="004333AD">
        <w:rPr>
          <w:sz w:val="24"/>
          <w:szCs w:val="24"/>
        </w:rPr>
        <w:t xml:space="preserve">que establecen la competencia de los </w:t>
      </w:r>
      <w:r w:rsidR="00A836A0">
        <w:rPr>
          <w:sz w:val="24"/>
          <w:szCs w:val="24"/>
        </w:rPr>
        <w:t>concejos distritales p</w:t>
      </w:r>
      <w:r w:rsidR="00145EDF">
        <w:rPr>
          <w:sz w:val="24"/>
          <w:szCs w:val="24"/>
        </w:rPr>
        <w:t xml:space="preserve">ara determinar </w:t>
      </w:r>
      <w:r w:rsidR="00776666">
        <w:rPr>
          <w:sz w:val="24"/>
          <w:szCs w:val="24"/>
        </w:rPr>
        <w:t>estas ayudas econ</w:t>
      </w:r>
      <w:r w:rsidR="00747EBA">
        <w:rPr>
          <w:sz w:val="24"/>
          <w:szCs w:val="24"/>
        </w:rPr>
        <w:t>ómicas; y (iii)</w:t>
      </w:r>
      <w:r w:rsidR="00214BDF">
        <w:rPr>
          <w:sz w:val="24"/>
          <w:szCs w:val="24"/>
        </w:rPr>
        <w:t xml:space="preserve"> la medida no estaba </w:t>
      </w:r>
      <w:r w:rsidR="00214BDF">
        <w:rPr>
          <w:rFonts w:cs="Arial"/>
          <w:sz w:val="24"/>
          <w:szCs w:val="24"/>
        </w:rPr>
        <w:t>respaldada por</w:t>
      </w:r>
      <w:r w:rsidR="00214BDF" w:rsidRPr="00DC14BB">
        <w:rPr>
          <w:rFonts w:cs="Arial"/>
          <w:sz w:val="24"/>
          <w:szCs w:val="24"/>
        </w:rPr>
        <w:t xml:space="preserve"> un modelo económico, financiero y op</w:t>
      </w:r>
      <w:r w:rsidR="00214BDF">
        <w:rPr>
          <w:rFonts w:cs="Arial"/>
          <w:sz w:val="24"/>
          <w:szCs w:val="24"/>
        </w:rPr>
        <w:t>erativo, en el que se demostrara</w:t>
      </w:r>
      <w:r w:rsidR="00214BDF" w:rsidRPr="00DC14BB">
        <w:rPr>
          <w:rFonts w:cs="Arial"/>
          <w:sz w:val="24"/>
          <w:szCs w:val="24"/>
        </w:rPr>
        <w:t xml:space="preserve"> </w:t>
      </w:r>
      <w:r w:rsidR="00BE2A13">
        <w:rPr>
          <w:rFonts w:cs="Arial"/>
          <w:sz w:val="24"/>
          <w:szCs w:val="24"/>
        </w:rPr>
        <w:t xml:space="preserve">su </w:t>
      </w:r>
      <w:r w:rsidR="00747EBA">
        <w:rPr>
          <w:rFonts w:cs="Arial"/>
          <w:sz w:val="24"/>
          <w:szCs w:val="24"/>
        </w:rPr>
        <w:t>sostenibilidad</w:t>
      </w:r>
      <w:r w:rsidR="00214BDF">
        <w:rPr>
          <w:rFonts w:cs="Arial"/>
          <w:sz w:val="24"/>
          <w:szCs w:val="24"/>
        </w:rPr>
        <w:t xml:space="preserve">. </w:t>
      </w:r>
    </w:p>
    <w:p w14:paraId="08BE8445" w14:textId="77777777" w:rsidR="000C0AF0" w:rsidRDefault="000C0AF0" w:rsidP="002C011B">
      <w:pPr>
        <w:tabs>
          <w:tab w:val="left" w:pos="5174"/>
        </w:tabs>
        <w:spacing w:line="360" w:lineRule="auto"/>
        <w:rPr>
          <w:rFonts w:cs="Arial"/>
          <w:sz w:val="24"/>
          <w:szCs w:val="24"/>
        </w:rPr>
      </w:pPr>
    </w:p>
    <w:p w14:paraId="77EB4D2E" w14:textId="750FAB80" w:rsidR="000C0AF0" w:rsidRDefault="000C0AF0" w:rsidP="000C0AF0">
      <w:pPr>
        <w:tabs>
          <w:tab w:val="left" w:pos="5174"/>
        </w:tabs>
        <w:spacing w:line="360" w:lineRule="auto"/>
        <w:rPr>
          <w:rFonts w:cs="Arial"/>
          <w:sz w:val="24"/>
          <w:szCs w:val="24"/>
        </w:rPr>
      </w:pPr>
      <w:r>
        <w:rPr>
          <w:rFonts w:cs="Arial"/>
          <w:sz w:val="24"/>
          <w:szCs w:val="24"/>
        </w:rPr>
        <w:t xml:space="preserve">4.3.3.- </w:t>
      </w:r>
      <w:r w:rsidRPr="0002302D">
        <w:rPr>
          <w:rFonts w:cs="Arial"/>
          <w:color w:val="000000"/>
          <w:sz w:val="24"/>
          <w:szCs w:val="24"/>
        </w:rPr>
        <w:t xml:space="preserve">Resulta claro, entonces, que la parte accionante pretende utilizar la acción de tutela como si </w:t>
      </w:r>
      <w:r w:rsidR="00BE2A13">
        <w:rPr>
          <w:rFonts w:cs="Arial"/>
          <w:color w:val="000000"/>
          <w:sz w:val="24"/>
          <w:szCs w:val="24"/>
        </w:rPr>
        <w:t xml:space="preserve">se </w:t>
      </w:r>
      <w:r w:rsidRPr="0002302D">
        <w:rPr>
          <w:rFonts w:cs="Arial"/>
          <w:color w:val="000000"/>
          <w:sz w:val="24"/>
          <w:szCs w:val="24"/>
        </w:rPr>
        <w:t>tratara de una instancia adicional, pues, como se vio, las críticas contenidas en el escrito tuitivo buscan reabrir el debate que tuvo lugar en el trámite ordinario, con el fin de que prevalezca la interpretación de la tutelante sobre la prohijada por la</w:t>
      </w:r>
      <w:r>
        <w:rPr>
          <w:rFonts w:cs="Arial"/>
          <w:color w:val="000000"/>
          <w:sz w:val="24"/>
          <w:szCs w:val="24"/>
        </w:rPr>
        <w:t xml:space="preserve"> </w:t>
      </w:r>
      <w:r w:rsidRPr="002747CB">
        <w:rPr>
          <w:rFonts w:cs="Arial"/>
          <w:sz w:val="24"/>
          <w:szCs w:val="24"/>
        </w:rPr>
        <w:t>Subsección B de la Sección Primera del Tribunal Administrativo de Cundinamarc</w:t>
      </w:r>
      <w:r>
        <w:rPr>
          <w:rFonts w:cs="Arial"/>
          <w:sz w:val="24"/>
          <w:szCs w:val="24"/>
        </w:rPr>
        <w:t xml:space="preserve">a. </w:t>
      </w:r>
    </w:p>
    <w:p w14:paraId="260C6D55" w14:textId="77777777" w:rsidR="000C0AF0" w:rsidRDefault="000C0AF0" w:rsidP="000C0AF0">
      <w:pPr>
        <w:tabs>
          <w:tab w:val="left" w:pos="5174"/>
        </w:tabs>
        <w:spacing w:line="360" w:lineRule="auto"/>
        <w:rPr>
          <w:rFonts w:cs="Arial"/>
          <w:sz w:val="24"/>
          <w:szCs w:val="24"/>
        </w:rPr>
      </w:pPr>
    </w:p>
    <w:p w14:paraId="4BF2F863" w14:textId="77777777" w:rsidR="000C0AF0" w:rsidRPr="0002302D" w:rsidRDefault="000C0AF0" w:rsidP="000C0AF0">
      <w:pPr>
        <w:pStyle w:val="Sinespaciado"/>
        <w:spacing w:line="360" w:lineRule="auto"/>
        <w:jc w:val="both"/>
        <w:rPr>
          <w:rFonts w:ascii="Arial" w:hAnsi="Arial" w:cs="Arial"/>
          <w:color w:val="000000"/>
          <w:sz w:val="24"/>
          <w:szCs w:val="24"/>
        </w:rPr>
      </w:pPr>
      <w:r w:rsidRPr="0002302D">
        <w:rPr>
          <w:rFonts w:ascii="Arial" w:hAnsi="Arial" w:cs="Arial"/>
          <w:color w:val="000000"/>
          <w:sz w:val="24"/>
          <w:szCs w:val="24"/>
        </w:rPr>
        <w:lastRenderedPageBreak/>
        <w:t>En punto de lo anterior, las denuncias acá formuladas están destinadas a plantear un desacuerdo frente a las conclusiones a las que arribó el juez natural de la causa, lo que impide estudiar el fondo de los defectos alegados.</w:t>
      </w:r>
    </w:p>
    <w:p w14:paraId="432FC9AD" w14:textId="77777777" w:rsidR="000C0AF0" w:rsidRPr="0002302D" w:rsidRDefault="000C0AF0" w:rsidP="000C0AF0">
      <w:pPr>
        <w:pStyle w:val="Sinespaciado"/>
        <w:spacing w:line="360" w:lineRule="auto"/>
        <w:jc w:val="both"/>
        <w:rPr>
          <w:rFonts w:ascii="Arial" w:hAnsi="Arial" w:cs="Arial"/>
          <w:color w:val="000000"/>
          <w:sz w:val="24"/>
          <w:szCs w:val="24"/>
        </w:rPr>
      </w:pPr>
    </w:p>
    <w:p w14:paraId="1B58D847" w14:textId="2B47FCAD" w:rsidR="000C0AF0" w:rsidRPr="0002302D" w:rsidRDefault="000C0AF0" w:rsidP="000C0AF0">
      <w:pPr>
        <w:pStyle w:val="Sinespaciado"/>
        <w:spacing w:line="360" w:lineRule="auto"/>
        <w:jc w:val="both"/>
        <w:rPr>
          <w:rFonts w:ascii="Arial" w:hAnsi="Arial" w:cs="Arial"/>
          <w:color w:val="000000"/>
          <w:sz w:val="24"/>
          <w:szCs w:val="24"/>
        </w:rPr>
      </w:pPr>
      <w:r w:rsidRPr="0002302D">
        <w:rPr>
          <w:rFonts w:ascii="Arial" w:hAnsi="Arial" w:cs="Arial"/>
          <w:color w:val="000000"/>
          <w:sz w:val="24"/>
          <w:szCs w:val="24"/>
        </w:rPr>
        <w:t xml:space="preserve">En este orden de ideas y en atención a la autonomía judicial y al carácter excepcionalísimo que reviste la tutela, se debe acotar que no basta con manifestar inconformidades respecto de las decisiones judiciales objeto de censura, ya que, de esa forma, la discusión queda restringida a asuntos de mera legalidad que no trascienden al plano constitucional. </w:t>
      </w:r>
    </w:p>
    <w:p w14:paraId="199A3514" w14:textId="77777777" w:rsidR="000C0AF0" w:rsidRPr="00AC6564" w:rsidRDefault="000C0AF0" w:rsidP="000C0AF0">
      <w:pPr>
        <w:tabs>
          <w:tab w:val="left" w:pos="5174"/>
        </w:tabs>
        <w:spacing w:line="360" w:lineRule="auto"/>
        <w:rPr>
          <w:sz w:val="24"/>
          <w:szCs w:val="24"/>
        </w:rPr>
      </w:pPr>
    </w:p>
    <w:p w14:paraId="7E4D6B6C" w14:textId="2E38B275" w:rsidR="00D43A87" w:rsidRDefault="008A7EAA" w:rsidP="002C011B">
      <w:pPr>
        <w:tabs>
          <w:tab w:val="left" w:pos="5174"/>
        </w:tabs>
        <w:spacing w:line="360" w:lineRule="auto"/>
        <w:rPr>
          <w:rFonts w:cs="Arial"/>
          <w:sz w:val="24"/>
          <w:szCs w:val="24"/>
        </w:rPr>
      </w:pPr>
      <w:r>
        <w:rPr>
          <w:rFonts w:cs="Arial"/>
          <w:sz w:val="24"/>
          <w:szCs w:val="24"/>
        </w:rPr>
        <w:t>4</w:t>
      </w:r>
      <w:r w:rsidR="000C0AF0">
        <w:rPr>
          <w:rFonts w:cs="Arial"/>
          <w:sz w:val="24"/>
          <w:szCs w:val="24"/>
        </w:rPr>
        <w:t xml:space="preserve">.4.- </w:t>
      </w:r>
      <w:r w:rsidR="000C0AF0" w:rsidRPr="0002302D">
        <w:rPr>
          <w:rFonts w:eastAsia="Verdana" w:cs="Arial"/>
          <w:color w:val="000000"/>
          <w:sz w:val="24"/>
          <w:szCs w:val="24"/>
        </w:rPr>
        <w:t xml:space="preserve">Al respecto, debe insistirse en que la procedencia de la acción de tutela en contra de decisiones judiciales es de carácter residual y no puede usarse para desconocer la autonomía e independencia judicial, ni los principios de cosa juzgada y seguridad jurídica, en razón a lo cual es concebida como un </w:t>
      </w:r>
      <w:r w:rsidR="000C0AF0" w:rsidRPr="00F70A96">
        <w:rPr>
          <w:rFonts w:eastAsia="Verdana" w:cs="Arial"/>
          <w:i/>
          <w:iCs/>
          <w:color w:val="000000"/>
          <w:sz w:val="24"/>
          <w:szCs w:val="24"/>
        </w:rPr>
        <w:t>“</w:t>
      </w:r>
      <w:r w:rsidR="000C0AF0" w:rsidRPr="0002302D">
        <w:rPr>
          <w:rFonts w:eastAsia="Verdana" w:cs="Arial"/>
          <w:i/>
          <w:color w:val="000000"/>
          <w:sz w:val="24"/>
          <w:szCs w:val="24"/>
        </w:rPr>
        <w:t>juicio de validez</w:t>
      </w:r>
      <w:r w:rsidR="000C0AF0" w:rsidRPr="00F70A96">
        <w:rPr>
          <w:rFonts w:eastAsia="Verdana" w:cs="Arial"/>
          <w:i/>
          <w:color w:val="000000"/>
          <w:sz w:val="24"/>
          <w:szCs w:val="24"/>
        </w:rPr>
        <w:t>”</w:t>
      </w:r>
      <w:r w:rsidR="000C0AF0" w:rsidRPr="0002302D">
        <w:rPr>
          <w:rFonts w:eastAsia="Verdana" w:cs="Arial"/>
          <w:iCs/>
          <w:color w:val="000000"/>
          <w:sz w:val="24"/>
          <w:szCs w:val="24"/>
        </w:rPr>
        <w:t xml:space="preserve"> </w:t>
      </w:r>
      <w:r w:rsidR="000C0AF0" w:rsidRPr="0002302D">
        <w:rPr>
          <w:rFonts w:eastAsia="Verdana" w:cs="Arial"/>
          <w:color w:val="000000"/>
          <w:sz w:val="24"/>
          <w:szCs w:val="24"/>
        </w:rPr>
        <w:t xml:space="preserve">y no como un </w:t>
      </w:r>
      <w:r w:rsidR="000C0AF0" w:rsidRPr="00F70A96">
        <w:rPr>
          <w:rFonts w:eastAsia="Verdana" w:cs="Arial"/>
          <w:i/>
          <w:color w:val="000000"/>
          <w:sz w:val="24"/>
          <w:szCs w:val="24"/>
        </w:rPr>
        <w:t>“</w:t>
      </w:r>
      <w:r w:rsidR="000C0AF0" w:rsidRPr="0002302D">
        <w:rPr>
          <w:rFonts w:eastAsia="Verdana" w:cs="Arial"/>
          <w:i/>
          <w:color w:val="000000"/>
          <w:sz w:val="24"/>
          <w:szCs w:val="24"/>
        </w:rPr>
        <w:t>juicio de corrección</w:t>
      </w:r>
      <w:r w:rsidR="000C0AF0" w:rsidRPr="00F70A96">
        <w:rPr>
          <w:rFonts w:eastAsia="Verdana" w:cs="Arial"/>
          <w:i/>
          <w:color w:val="000000"/>
          <w:sz w:val="24"/>
          <w:szCs w:val="24"/>
        </w:rPr>
        <w:t>”</w:t>
      </w:r>
      <w:r w:rsidR="000C0AF0" w:rsidRPr="0002302D">
        <w:rPr>
          <w:rFonts w:eastAsia="Verdana" w:cs="Arial"/>
          <w:i/>
          <w:color w:val="000000"/>
          <w:sz w:val="24"/>
          <w:szCs w:val="24"/>
        </w:rPr>
        <w:t xml:space="preserve"> </w:t>
      </w:r>
      <w:r w:rsidR="000C0AF0" w:rsidRPr="0002302D">
        <w:rPr>
          <w:rFonts w:eastAsia="Verdana" w:cs="Arial"/>
          <w:color w:val="000000"/>
          <w:sz w:val="24"/>
          <w:szCs w:val="24"/>
        </w:rPr>
        <w:t>de la decisión cuestionad</w:t>
      </w:r>
      <w:bookmarkStart w:id="0" w:name="_ftnref30"/>
      <w:r w:rsidR="000C0AF0" w:rsidRPr="0002302D">
        <w:rPr>
          <w:rFonts w:eastAsia="Verdana" w:cs="Arial"/>
          <w:color w:val="000000"/>
          <w:sz w:val="24"/>
          <w:szCs w:val="24"/>
        </w:rPr>
        <w:t>a</w:t>
      </w:r>
      <w:r w:rsidR="000C0AF0" w:rsidRPr="0002302D">
        <w:rPr>
          <w:rFonts w:eastAsia="Verdana" w:cs="Arial"/>
          <w:color w:val="000000"/>
          <w:sz w:val="24"/>
          <w:szCs w:val="24"/>
          <w:vertAlign w:val="superscript"/>
        </w:rPr>
        <w:footnoteReference w:id="27"/>
      </w:r>
      <w:bookmarkEnd w:id="0"/>
      <w:r w:rsidR="000C0AF0" w:rsidRPr="0002302D">
        <w:rPr>
          <w:rFonts w:eastAsia="Verdana" w:cs="Arial"/>
          <w:color w:val="000000"/>
          <w:sz w:val="24"/>
          <w:szCs w:val="24"/>
        </w:rPr>
        <w:t>, lo que se opone a que se use indebidamente como una nueva instancia para la discusión de los asuntos de índole probatoria o de interpretación del derecho, que se resolvieron en el curso del proceso ordinario</w:t>
      </w:r>
      <w:r w:rsidR="000C0AF0" w:rsidRPr="0002302D">
        <w:rPr>
          <w:rStyle w:val="Refdenotaalpie"/>
          <w:rFonts w:eastAsia="Verdana" w:cs="Arial"/>
          <w:color w:val="000000"/>
          <w:sz w:val="24"/>
          <w:szCs w:val="24"/>
        </w:rPr>
        <w:footnoteReference w:id="28"/>
      </w:r>
      <w:r w:rsidR="000C0AF0" w:rsidRPr="0002302D">
        <w:rPr>
          <w:rFonts w:eastAsia="Verdana" w:cs="Arial"/>
          <w:color w:val="000000"/>
          <w:sz w:val="24"/>
          <w:szCs w:val="24"/>
        </w:rPr>
        <w:t>.</w:t>
      </w:r>
    </w:p>
    <w:p w14:paraId="1E756701" w14:textId="77777777" w:rsidR="000C0AF0" w:rsidRDefault="000C0AF0" w:rsidP="002C011B">
      <w:pPr>
        <w:tabs>
          <w:tab w:val="left" w:pos="5174"/>
        </w:tabs>
        <w:spacing w:line="360" w:lineRule="auto"/>
        <w:rPr>
          <w:rFonts w:cs="Arial"/>
          <w:sz w:val="24"/>
          <w:szCs w:val="24"/>
        </w:rPr>
      </w:pPr>
    </w:p>
    <w:p w14:paraId="4780B70C" w14:textId="68DFFD32" w:rsidR="002839E8" w:rsidRDefault="008A7EAA" w:rsidP="002C011B">
      <w:pPr>
        <w:tabs>
          <w:tab w:val="left" w:pos="5174"/>
        </w:tabs>
        <w:spacing w:line="360" w:lineRule="auto"/>
        <w:rPr>
          <w:rFonts w:cs="Arial"/>
          <w:sz w:val="24"/>
          <w:szCs w:val="24"/>
        </w:rPr>
      </w:pPr>
      <w:r>
        <w:rPr>
          <w:rFonts w:cs="Arial"/>
          <w:sz w:val="24"/>
          <w:szCs w:val="24"/>
        </w:rPr>
        <w:t>4.</w:t>
      </w:r>
      <w:r w:rsidR="002839E8">
        <w:rPr>
          <w:rFonts w:cs="Arial"/>
          <w:sz w:val="24"/>
          <w:szCs w:val="24"/>
        </w:rPr>
        <w:t>5.-</w:t>
      </w:r>
      <w:r w:rsidR="002839E8" w:rsidRPr="002839E8">
        <w:rPr>
          <w:rFonts w:cs="Arial"/>
          <w:color w:val="000000"/>
          <w:sz w:val="24"/>
          <w:szCs w:val="24"/>
        </w:rPr>
        <w:t xml:space="preserve"> </w:t>
      </w:r>
      <w:r w:rsidR="002839E8" w:rsidRPr="0002302D">
        <w:rPr>
          <w:rFonts w:cs="Arial"/>
          <w:color w:val="000000"/>
          <w:sz w:val="24"/>
          <w:szCs w:val="24"/>
        </w:rPr>
        <w:t>En consecuencia, el presupuesto de relevancia constitucional, como se expuso, no se encuentra superado en este caso y hace que la acción constitucional resulte improcedente</w:t>
      </w:r>
      <w:r w:rsidR="002839E8">
        <w:rPr>
          <w:rFonts w:cs="Arial"/>
          <w:color w:val="000000"/>
          <w:sz w:val="24"/>
          <w:szCs w:val="24"/>
        </w:rPr>
        <w:t xml:space="preserve">. </w:t>
      </w:r>
    </w:p>
    <w:p w14:paraId="4D41383D" w14:textId="77777777" w:rsidR="00BE2A13" w:rsidRDefault="00BE2A13" w:rsidP="002C011B">
      <w:pPr>
        <w:tabs>
          <w:tab w:val="left" w:pos="5174"/>
        </w:tabs>
        <w:spacing w:line="360" w:lineRule="auto"/>
        <w:rPr>
          <w:rFonts w:cs="Arial"/>
          <w:sz w:val="24"/>
          <w:szCs w:val="24"/>
        </w:rPr>
      </w:pPr>
    </w:p>
    <w:p w14:paraId="7B30C2AC" w14:textId="1F7EADE1" w:rsidR="00434D08" w:rsidRPr="00434D08" w:rsidRDefault="00434D08" w:rsidP="002C011B">
      <w:pPr>
        <w:tabs>
          <w:tab w:val="left" w:pos="5174"/>
        </w:tabs>
        <w:spacing w:line="360" w:lineRule="auto"/>
        <w:rPr>
          <w:rFonts w:cs="Arial"/>
          <w:b/>
          <w:sz w:val="24"/>
          <w:szCs w:val="24"/>
        </w:rPr>
      </w:pPr>
      <w:r>
        <w:rPr>
          <w:rFonts w:cs="Arial"/>
          <w:b/>
          <w:sz w:val="24"/>
          <w:szCs w:val="24"/>
        </w:rPr>
        <w:t xml:space="preserve">5.- </w:t>
      </w:r>
      <w:r w:rsidR="00522645" w:rsidRPr="00522645">
        <w:rPr>
          <w:rFonts w:cs="Arial"/>
          <w:b/>
          <w:sz w:val="24"/>
          <w:szCs w:val="24"/>
        </w:rPr>
        <w:t xml:space="preserve">El </w:t>
      </w:r>
      <w:r w:rsidR="00DA1829" w:rsidRPr="00DA1829">
        <w:rPr>
          <w:rFonts w:eastAsia="Arial" w:cs="Arial"/>
          <w:b/>
          <w:sz w:val="24"/>
          <w:szCs w:val="24"/>
        </w:rPr>
        <w:t>requisito general de identificación suficiente de los hechos y argumentos de la tutela</w:t>
      </w:r>
    </w:p>
    <w:p w14:paraId="18A92D22" w14:textId="77777777" w:rsidR="00434D08" w:rsidRDefault="00434D08" w:rsidP="002C011B">
      <w:pPr>
        <w:tabs>
          <w:tab w:val="left" w:pos="5174"/>
        </w:tabs>
        <w:spacing w:line="360" w:lineRule="auto"/>
        <w:rPr>
          <w:rFonts w:cs="Arial"/>
          <w:sz w:val="24"/>
          <w:szCs w:val="24"/>
        </w:rPr>
      </w:pPr>
    </w:p>
    <w:p w14:paraId="2CB796C9" w14:textId="5F1B2DAC" w:rsidR="00522645" w:rsidRPr="00B5025F" w:rsidRDefault="00522645" w:rsidP="00B5025F">
      <w:pPr>
        <w:spacing w:line="360" w:lineRule="auto"/>
        <w:rPr>
          <w:rFonts w:eastAsia="Arial" w:cs="Arial"/>
          <w:sz w:val="24"/>
          <w:szCs w:val="24"/>
        </w:rPr>
      </w:pPr>
      <w:r w:rsidRPr="00B5025F">
        <w:rPr>
          <w:rFonts w:cs="Arial"/>
          <w:sz w:val="24"/>
          <w:szCs w:val="24"/>
        </w:rPr>
        <w:t xml:space="preserve">5.1.- </w:t>
      </w:r>
      <w:r w:rsidR="00B5025F" w:rsidRPr="00B5025F">
        <w:rPr>
          <w:rFonts w:cs="Arial"/>
          <w:color w:val="000000"/>
          <w:sz w:val="24"/>
          <w:szCs w:val="24"/>
        </w:rPr>
        <w:t>En relación con este aspecto, el Máximo Tribunal Constitucional ha considerado que</w:t>
      </w:r>
      <w:r w:rsidR="00B5025F" w:rsidRPr="00B5025F">
        <w:rPr>
          <w:rFonts w:eastAsia="Arial" w:cs="Arial"/>
          <w:color w:val="000000"/>
          <w:sz w:val="24"/>
          <w:szCs w:val="24"/>
        </w:rPr>
        <w:t xml:space="preserve"> </w:t>
      </w:r>
      <w:r w:rsidR="00B5025F" w:rsidRPr="00B5025F">
        <w:rPr>
          <w:rFonts w:eastAsia="Arial" w:cs="Arial"/>
          <w:i/>
          <w:iCs/>
          <w:color w:val="000000"/>
          <w:sz w:val="24"/>
          <w:szCs w:val="24"/>
        </w:rPr>
        <w:t>“</w:t>
      </w:r>
      <w:r w:rsidR="00B5025F" w:rsidRPr="00B5025F">
        <w:rPr>
          <w:rFonts w:eastAsia="Arial" w:cs="Arial"/>
          <w:i/>
          <w:color w:val="000000"/>
          <w:sz w:val="24"/>
          <w:szCs w:val="24"/>
        </w:rPr>
        <w:t>no se trata de rodear a la acción de tutela de exigencias formales contrarias a su naturaleza, sino de exigir que el actor tenga claridad y sea diligente en cuanto a la explicación del origen de la afectación de sus derechos y que dé cuenta de ello al momento de pretender su protección constitucional</w:t>
      </w:r>
      <w:r w:rsidR="00B5025F" w:rsidRPr="00B5025F">
        <w:rPr>
          <w:rFonts w:eastAsia="Arial" w:cs="Arial"/>
          <w:i/>
          <w:iCs/>
          <w:color w:val="000000"/>
          <w:sz w:val="24"/>
          <w:szCs w:val="24"/>
        </w:rPr>
        <w:t>”</w:t>
      </w:r>
      <w:r w:rsidR="00B5025F" w:rsidRPr="00B5025F">
        <w:rPr>
          <w:rStyle w:val="Refdenotaalpie"/>
          <w:rFonts w:cs="Arial"/>
          <w:color w:val="000000"/>
          <w:sz w:val="24"/>
          <w:szCs w:val="24"/>
        </w:rPr>
        <w:footnoteReference w:id="29"/>
      </w:r>
      <w:r w:rsidR="00B5025F" w:rsidRPr="00B5025F">
        <w:rPr>
          <w:rFonts w:cs="Arial"/>
          <w:color w:val="000000"/>
          <w:sz w:val="24"/>
          <w:szCs w:val="24"/>
        </w:rPr>
        <w:t>.</w:t>
      </w:r>
    </w:p>
    <w:p w14:paraId="2D353384" w14:textId="0FCEE7CD" w:rsidR="00434D08" w:rsidRDefault="00434D08" w:rsidP="002C011B">
      <w:pPr>
        <w:tabs>
          <w:tab w:val="left" w:pos="5174"/>
        </w:tabs>
        <w:spacing w:line="360" w:lineRule="auto"/>
        <w:rPr>
          <w:rFonts w:cs="Arial"/>
          <w:sz w:val="24"/>
          <w:szCs w:val="24"/>
        </w:rPr>
      </w:pPr>
    </w:p>
    <w:p w14:paraId="4F9881EC" w14:textId="59498F31" w:rsidR="003771BA" w:rsidRDefault="00522645" w:rsidP="002C011B">
      <w:pPr>
        <w:tabs>
          <w:tab w:val="left" w:pos="5174"/>
        </w:tabs>
        <w:spacing w:line="360" w:lineRule="auto"/>
        <w:rPr>
          <w:sz w:val="24"/>
          <w:szCs w:val="24"/>
        </w:rPr>
      </w:pPr>
      <w:r>
        <w:rPr>
          <w:rFonts w:cs="Arial"/>
          <w:sz w:val="24"/>
          <w:szCs w:val="24"/>
        </w:rPr>
        <w:t>5.2.- En concreto, e</w:t>
      </w:r>
      <w:r w:rsidR="00D43A87">
        <w:rPr>
          <w:rFonts w:cs="Arial"/>
          <w:sz w:val="24"/>
          <w:szCs w:val="24"/>
        </w:rPr>
        <w:t>n cuanto al presunto desconocimiento del precedente conte</w:t>
      </w:r>
      <w:r w:rsidR="00F1372D">
        <w:rPr>
          <w:rFonts w:cs="Arial"/>
          <w:sz w:val="24"/>
          <w:szCs w:val="24"/>
        </w:rPr>
        <w:t>nido en la</w:t>
      </w:r>
      <w:r w:rsidR="00D43A87">
        <w:rPr>
          <w:rFonts w:cs="Arial"/>
          <w:sz w:val="24"/>
          <w:szCs w:val="24"/>
        </w:rPr>
        <w:t xml:space="preserve"> sentencia</w:t>
      </w:r>
      <w:r w:rsidR="00F1372D">
        <w:rPr>
          <w:rFonts w:cs="Arial"/>
          <w:sz w:val="24"/>
          <w:szCs w:val="24"/>
        </w:rPr>
        <w:t xml:space="preserve"> </w:t>
      </w:r>
      <w:r w:rsidR="00F1372D">
        <w:rPr>
          <w:sz w:val="24"/>
          <w:szCs w:val="24"/>
        </w:rPr>
        <w:t>C-324</w:t>
      </w:r>
      <w:r w:rsidR="006F1CD6">
        <w:rPr>
          <w:sz w:val="24"/>
          <w:szCs w:val="24"/>
        </w:rPr>
        <w:t xml:space="preserve"> de 2009, se advierte que el accionante se limit</w:t>
      </w:r>
      <w:r w:rsidR="00F1372D">
        <w:rPr>
          <w:sz w:val="24"/>
          <w:szCs w:val="24"/>
        </w:rPr>
        <w:t>ó a traerla</w:t>
      </w:r>
      <w:r w:rsidR="006F1CD6">
        <w:rPr>
          <w:sz w:val="24"/>
          <w:szCs w:val="24"/>
        </w:rPr>
        <w:t xml:space="preserve"> a colación en su escrito de tutela y a explicar lo resuelto por el Alto Tribunal Constitucional </w:t>
      </w:r>
      <w:r w:rsidR="00A22AB9">
        <w:rPr>
          <w:sz w:val="24"/>
          <w:szCs w:val="24"/>
        </w:rPr>
        <w:t xml:space="preserve">frente al </w:t>
      </w:r>
      <w:r w:rsidR="00A22AB9">
        <w:rPr>
          <w:sz w:val="24"/>
          <w:szCs w:val="24"/>
        </w:rPr>
        <w:lastRenderedPageBreak/>
        <w:t>alcance d</w:t>
      </w:r>
      <w:r w:rsidR="00FE55F2">
        <w:rPr>
          <w:sz w:val="24"/>
          <w:szCs w:val="24"/>
        </w:rPr>
        <w:t>el artículo 355 Superior</w:t>
      </w:r>
      <w:r w:rsidR="00E26B72">
        <w:rPr>
          <w:sz w:val="24"/>
          <w:szCs w:val="24"/>
        </w:rPr>
        <w:t xml:space="preserve"> en lo </w:t>
      </w:r>
      <w:r w:rsidR="00933540">
        <w:rPr>
          <w:sz w:val="24"/>
          <w:szCs w:val="24"/>
        </w:rPr>
        <w:t xml:space="preserve">que tiene que ver </w:t>
      </w:r>
      <w:r w:rsidR="00EA64BC">
        <w:rPr>
          <w:sz w:val="24"/>
          <w:szCs w:val="24"/>
        </w:rPr>
        <w:t xml:space="preserve">con </w:t>
      </w:r>
      <w:r w:rsidR="00A22AB9">
        <w:rPr>
          <w:sz w:val="24"/>
          <w:szCs w:val="24"/>
        </w:rPr>
        <w:t xml:space="preserve">la prohibición de disponer de recursos públicos en favor de particulares, esto bajo el supuesto de que la medida adoptada por el Alcalde Mayor </w:t>
      </w:r>
      <w:r w:rsidR="00EA64BC">
        <w:rPr>
          <w:sz w:val="24"/>
          <w:szCs w:val="24"/>
        </w:rPr>
        <w:t xml:space="preserve">a través del </w:t>
      </w:r>
      <w:r w:rsidR="00F70A96">
        <w:rPr>
          <w:sz w:val="24"/>
          <w:szCs w:val="24"/>
        </w:rPr>
        <w:t>d</w:t>
      </w:r>
      <w:r w:rsidR="00EA64BC">
        <w:rPr>
          <w:sz w:val="24"/>
          <w:szCs w:val="24"/>
        </w:rPr>
        <w:t xml:space="preserve">ecreto demandado, </w:t>
      </w:r>
      <w:r w:rsidR="003771BA">
        <w:rPr>
          <w:sz w:val="24"/>
          <w:szCs w:val="24"/>
        </w:rPr>
        <w:t xml:space="preserve">era un subsidio, lo cual, como se vio, fue descartado por el juez natural de la causa. </w:t>
      </w:r>
    </w:p>
    <w:p w14:paraId="77300F91" w14:textId="77777777" w:rsidR="003771BA" w:rsidRDefault="003771BA" w:rsidP="002C011B">
      <w:pPr>
        <w:tabs>
          <w:tab w:val="left" w:pos="5174"/>
        </w:tabs>
        <w:spacing w:line="360" w:lineRule="auto"/>
        <w:rPr>
          <w:sz w:val="24"/>
          <w:szCs w:val="24"/>
        </w:rPr>
      </w:pPr>
    </w:p>
    <w:p w14:paraId="5D974CA8" w14:textId="0561E40E" w:rsidR="0026040B" w:rsidRDefault="002661D7" w:rsidP="002C011B">
      <w:pPr>
        <w:tabs>
          <w:tab w:val="left" w:pos="5174"/>
        </w:tabs>
        <w:spacing w:line="360" w:lineRule="auto"/>
        <w:rPr>
          <w:sz w:val="24"/>
          <w:szCs w:val="24"/>
        </w:rPr>
      </w:pPr>
      <w:r>
        <w:rPr>
          <w:sz w:val="24"/>
          <w:szCs w:val="24"/>
        </w:rPr>
        <w:t xml:space="preserve">5.2.1.- </w:t>
      </w:r>
      <w:r w:rsidR="00933540">
        <w:rPr>
          <w:sz w:val="24"/>
          <w:szCs w:val="24"/>
        </w:rPr>
        <w:t>Por otro lado, luego de estudiar el contenido de</w:t>
      </w:r>
      <w:r w:rsidR="003771BA" w:rsidRPr="003771BA">
        <w:rPr>
          <w:sz w:val="24"/>
          <w:szCs w:val="24"/>
        </w:rPr>
        <w:t xml:space="preserve"> la sentencia C-323 de 2009, en la que presuntamente se </w:t>
      </w:r>
      <w:r w:rsidR="003771BA" w:rsidRPr="003771BA">
        <w:rPr>
          <w:i/>
          <w:sz w:val="24"/>
          <w:szCs w:val="24"/>
        </w:rPr>
        <w:t xml:space="preserve">“ha ratificado el significado del subsidio y la relación con el incentivo el cual estableció la alcaldía de Bogotá pues por los mismos hechos el alcalde fue sancionado en un proceso </w:t>
      </w:r>
      <w:proofErr w:type="spellStart"/>
      <w:r w:rsidR="003771BA" w:rsidRPr="003771BA">
        <w:rPr>
          <w:i/>
          <w:sz w:val="24"/>
          <w:szCs w:val="24"/>
        </w:rPr>
        <w:t>adminitratativo</w:t>
      </w:r>
      <w:proofErr w:type="spellEnd"/>
      <w:r w:rsidR="003771BA" w:rsidRPr="003771BA">
        <w:rPr>
          <w:i/>
          <w:sz w:val="24"/>
          <w:szCs w:val="24"/>
        </w:rPr>
        <w:t xml:space="preserve"> (sic) de responsabilidad fiscal”</w:t>
      </w:r>
      <w:r w:rsidR="002745C1" w:rsidRPr="00EA64BC">
        <w:rPr>
          <w:rStyle w:val="Refdenotaalpie"/>
          <w:sz w:val="24"/>
          <w:szCs w:val="24"/>
        </w:rPr>
        <w:footnoteReference w:id="30"/>
      </w:r>
      <w:r w:rsidR="003771BA" w:rsidRPr="003771BA">
        <w:rPr>
          <w:i/>
          <w:sz w:val="24"/>
          <w:szCs w:val="24"/>
        </w:rPr>
        <w:t>,</w:t>
      </w:r>
      <w:r w:rsidR="003771BA" w:rsidRPr="003771BA">
        <w:rPr>
          <w:sz w:val="24"/>
          <w:szCs w:val="24"/>
        </w:rPr>
        <w:t xml:space="preserve"> </w:t>
      </w:r>
      <w:r w:rsidR="00933540">
        <w:rPr>
          <w:sz w:val="24"/>
          <w:szCs w:val="24"/>
        </w:rPr>
        <w:t xml:space="preserve">se </w:t>
      </w:r>
      <w:proofErr w:type="spellStart"/>
      <w:r w:rsidR="00933540">
        <w:rPr>
          <w:sz w:val="24"/>
          <w:szCs w:val="24"/>
        </w:rPr>
        <w:t>obesrva</w:t>
      </w:r>
      <w:proofErr w:type="spellEnd"/>
      <w:r w:rsidR="0004481D">
        <w:rPr>
          <w:sz w:val="24"/>
          <w:szCs w:val="24"/>
        </w:rPr>
        <w:t xml:space="preserve"> (sic)</w:t>
      </w:r>
      <w:r w:rsidR="00933540">
        <w:rPr>
          <w:sz w:val="24"/>
          <w:szCs w:val="24"/>
        </w:rPr>
        <w:t xml:space="preserve"> que esta providencia </w:t>
      </w:r>
      <w:r w:rsidR="003771BA" w:rsidRPr="003771BA">
        <w:rPr>
          <w:sz w:val="24"/>
          <w:szCs w:val="24"/>
        </w:rPr>
        <w:t xml:space="preserve">realmente estudió el proyecto de </w:t>
      </w:r>
      <w:r w:rsidR="007C26E0">
        <w:rPr>
          <w:sz w:val="24"/>
          <w:szCs w:val="24"/>
        </w:rPr>
        <w:t>L</w:t>
      </w:r>
      <w:r w:rsidR="003771BA" w:rsidRPr="003771BA">
        <w:rPr>
          <w:sz w:val="24"/>
          <w:szCs w:val="24"/>
        </w:rPr>
        <w:t xml:space="preserve">ey 164/06 Cámara - 074/07 Senado, </w:t>
      </w:r>
      <w:r w:rsidR="003771BA" w:rsidRPr="003771BA">
        <w:rPr>
          <w:i/>
          <w:sz w:val="24"/>
          <w:szCs w:val="24"/>
        </w:rPr>
        <w:t xml:space="preserve">“Por medio de la cual la Nación se asocia a la celebración de los treinta (30) </w:t>
      </w:r>
      <w:r w:rsidR="003771BA" w:rsidRPr="00933540">
        <w:rPr>
          <w:i/>
          <w:sz w:val="24"/>
          <w:szCs w:val="24"/>
        </w:rPr>
        <w:t xml:space="preserve">años de actividades académicas de la Universidad Popular del Cesar </w:t>
      </w:r>
      <w:r w:rsidR="00522645" w:rsidRPr="00933540">
        <w:rPr>
          <w:i/>
          <w:sz w:val="24"/>
          <w:szCs w:val="24"/>
        </w:rPr>
        <w:t>y se dictan otras disposiciones</w:t>
      </w:r>
      <w:r w:rsidR="003771BA" w:rsidRPr="00933540">
        <w:rPr>
          <w:i/>
          <w:sz w:val="24"/>
          <w:szCs w:val="24"/>
        </w:rPr>
        <w:t>”,</w:t>
      </w:r>
      <w:r w:rsidR="003771BA" w:rsidRPr="003771BA">
        <w:rPr>
          <w:sz w:val="24"/>
          <w:szCs w:val="24"/>
        </w:rPr>
        <w:t xml:space="preserve"> esto es, </w:t>
      </w:r>
      <w:r w:rsidR="00EA64BC">
        <w:rPr>
          <w:sz w:val="24"/>
          <w:szCs w:val="24"/>
        </w:rPr>
        <w:t>un tema diametralmente distinto</w:t>
      </w:r>
      <w:r w:rsidR="003771BA" w:rsidRPr="003771BA">
        <w:rPr>
          <w:sz w:val="24"/>
          <w:szCs w:val="24"/>
        </w:rPr>
        <w:t xml:space="preserve"> al aducido en el libelo introductorio del tr</w:t>
      </w:r>
      <w:r w:rsidR="0026040B">
        <w:rPr>
          <w:sz w:val="24"/>
          <w:szCs w:val="24"/>
        </w:rPr>
        <w:t>ámite constitucional.</w:t>
      </w:r>
      <w:r w:rsidR="003771BA" w:rsidRPr="003771BA">
        <w:rPr>
          <w:sz w:val="24"/>
          <w:szCs w:val="24"/>
        </w:rPr>
        <w:t xml:space="preserve"> </w:t>
      </w:r>
    </w:p>
    <w:p w14:paraId="0122072B" w14:textId="77777777" w:rsidR="0026040B" w:rsidRDefault="0026040B" w:rsidP="002C011B">
      <w:pPr>
        <w:tabs>
          <w:tab w:val="left" w:pos="5174"/>
        </w:tabs>
        <w:spacing w:line="360" w:lineRule="auto"/>
        <w:rPr>
          <w:sz w:val="24"/>
          <w:szCs w:val="24"/>
        </w:rPr>
      </w:pPr>
    </w:p>
    <w:p w14:paraId="7B1F1AF2" w14:textId="1C82263F" w:rsidR="00D43A87" w:rsidRDefault="002661D7" w:rsidP="002C011B">
      <w:pPr>
        <w:tabs>
          <w:tab w:val="left" w:pos="5174"/>
        </w:tabs>
        <w:spacing w:line="360" w:lineRule="auto"/>
        <w:rPr>
          <w:rFonts w:eastAsia="Arial" w:cs="Arial"/>
          <w:sz w:val="24"/>
          <w:szCs w:val="24"/>
        </w:rPr>
      </w:pPr>
      <w:r>
        <w:rPr>
          <w:sz w:val="24"/>
          <w:szCs w:val="24"/>
        </w:rPr>
        <w:t xml:space="preserve">5.2.2.- </w:t>
      </w:r>
      <w:r w:rsidR="00933540" w:rsidRPr="00933540">
        <w:rPr>
          <w:sz w:val="24"/>
          <w:szCs w:val="24"/>
        </w:rPr>
        <w:t>Por lo anterior</w:t>
      </w:r>
      <w:r w:rsidR="0026040B" w:rsidRPr="00933540">
        <w:rPr>
          <w:sz w:val="24"/>
          <w:szCs w:val="24"/>
        </w:rPr>
        <w:t xml:space="preserve">, se </w:t>
      </w:r>
      <w:r w:rsidR="0004481D">
        <w:rPr>
          <w:sz w:val="24"/>
          <w:szCs w:val="24"/>
        </w:rPr>
        <w:t>repara</w:t>
      </w:r>
      <w:r w:rsidR="0026040B" w:rsidRPr="00933540">
        <w:rPr>
          <w:sz w:val="24"/>
          <w:szCs w:val="24"/>
        </w:rPr>
        <w:t xml:space="preserve"> que el accionante no sustentó debidamente el defecto </w:t>
      </w:r>
      <w:r w:rsidR="00933540" w:rsidRPr="00933540">
        <w:rPr>
          <w:sz w:val="24"/>
          <w:szCs w:val="24"/>
        </w:rPr>
        <w:t>de desconocimiento del precedente</w:t>
      </w:r>
      <w:r w:rsidR="007C26E0">
        <w:rPr>
          <w:sz w:val="24"/>
          <w:szCs w:val="24"/>
        </w:rPr>
        <w:t>, en este caso, constitucional,</w:t>
      </w:r>
      <w:r w:rsidR="00933540" w:rsidRPr="00933540">
        <w:rPr>
          <w:sz w:val="24"/>
          <w:szCs w:val="24"/>
        </w:rPr>
        <w:t xml:space="preserve"> </w:t>
      </w:r>
      <w:r w:rsidR="0026040B" w:rsidRPr="00933540">
        <w:rPr>
          <w:sz w:val="24"/>
          <w:szCs w:val="24"/>
        </w:rPr>
        <w:t xml:space="preserve">en el que supuestamente incurrió la accionada, por lo que no se satisfizo el requisito de identificación </w:t>
      </w:r>
      <w:r w:rsidR="00001A68" w:rsidRPr="00933540">
        <w:rPr>
          <w:sz w:val="24"/>
          <w:szCs w:val="24"/>
        </w:rPr>
        <w:t xml:space="preserve">suficiente de los argumentos de la tutela, </w:t>
      </w:r>
      <w:r w:rsidR="00EA64BC" w:rsidRPr="00933540">
        <w:rPr>
          <w:sz w:val="24"/>
          <w:szCs w:val="24"/>
        </w:rPr>
        <w:t>lo cual</w:t>
      </w:r>
      <w:r w:rsidR="00001A68" w:rsidRPr="00933540">
        <w:rPr>
          <w:rFonts w:eastAsia="Arial" w:cs="Arial"/>
          <w:sz w:val="24"/>
          <w:szCs w:val="24"/>
        </w:rPr>
        <w:t xml:space="preserve"> impide que esta Sala adelante un análisis de fondo frente a este reproche.</w:t>
      </w:r>
      <w:r w:rsidR="00001A68">
        <w:rPr>
          <w:rFonts w:eastAsia="Arial" w:cs="Arial"/>
          <w:sz w:val="24"/>
          <w:szCs w:val="24"/>
        </w:rPr>
        <w:t xml:space="preserve"> </w:t>
      </w:r>
    </w:p>
    <w:p w14:paraId="2C6B7EA8" w14:textId="77777777" w:rsidR="002745C1" w:rsidRDefault="002745C1" w:rsidP="002C011B">
      <w:pPr>
        <w:tabs>
          <w:tab w:val="left" w:pos="5174"/>
        </w:tabs>
        <w:spacing w:line="360" w:lineRule="auto"/>
        <w:rPr>
          <w:rFonts w:eastAsia="Arial" w:cs="Arial"/>
          <w:sz w:val="24"/>
          <w:szCs w:val="24"/>
        </w:rPr>
      </w:pPr>
    </w:p>
    <w:p w14:paraId="04E652D9" w14:textId="2AD62F9F" w:rsidR="002745C1" w:rsidRDefault="00522645" w:rsidP="002C011B">
      <w:pPr>
        <w:tabs>
          <w:tab w:val="left" w:pos="5174"/>
        </w:tabs>
        <w:spacing w:line="360" w:lineRule="auto"/>
        <w:rPr>
          <w:rFonts w:eastAsia="Arial" w:cs="Arial"/>
          <w:sz w:val="24"/>
          <w:szCs w:val="24"/>
        </w:rPr>
      </w:pPr>
      <w:r>
        <w:rPr>
          <w:rFonts w:eastAsia="Arial" w:cs="Arial"/>
          <w:sz w:val="24"/>
          <w:szCs w:val="24"/>
        </w:rPr>
        <w:t>5.3</w:t>
      </w:r>
      <w:r w:rsidR="002745C1">
        <w:rPr>
          <w:rFonts w:eastAsia="Arial" w:cs="Arial"/>
          <w:sz w:val="24"/>
          <w:szCs w:val="24"/>
        </w:rPr>
        <w:t>.- Finalmente, en lo que tiene que ve</w:t>
      </w:r>
      <w:r w:rsidR="00EA64BC">
        <w:rPr>
          <w:rFonts w:eastAsia="Arial" w:cs="Arial"/>
          <w:sz w:val="24"/>
          <w:szCs w:val="24"/>
        </w:rPr>
        <w:t>r con la falta de congruencia entre la sentencia censurada y</w:t>
      </w:r>
      <w:r w:rsidR="002745C1">
        <w:rPr>
          <w:rFonts w:eastAsia="Arial" w:cs="Arial"/>
          <w:sz w:val="24"/>
          <w:szCs w:val="24"/>
        </w:rPr>
        <w:t xml:space="preserve"> las pruebas arrimadas al asunto ordinario, se </w:t>
      </w:r>
      <w:r w:rsidR="00933540">
        <w:rPr>
          <w:rFonts w:eastAsia="Arial" w:cs="Arial"/>
          <w:sz w:val="24"/>
          <w:szCs w:val="24"/>
        </w:rPr>
        <w:t xml:space="preserve">reflexiona </w:t>
      </w:r>
      <w:r w:rsidR="002745C1">
        <w:rPr>
          <w:rFonts w:eastAsia="Arial" w:cs="Arial"/>
          <w:sz w:val="24"/>
          <w:szCs w:val="24"/>
        </w:rPr>
        <w:t>que aquello corresponde a una simple afirmaci</w:t>
      </w:r>
      <w:r w:rsidR="00AC6564">
        <w:rPr>
          <w:rFonts w:eastAsia="Arial" w:cs="Arial"/>
          <w:sz w:val="24"/>
          <w:szCs w:val="24"/>
        </w:rPr>
        <w:t>ón</w:t>
      </w:r>
      <w:r w:rsidR="002745C1">
        <w:rPr>
          <w:rFonts w:eastAsia="Arial" w:cs="Arial"/>
          <w:sz w:val="24"/>
          <w:szCs w:val="24"/>
        </w:rPr>
        <w:t xml:space="preserve"> </w:t>
      </w:r>
      <w:r w:rsidR="00EA64BC">
        <w:rPr>
          <w:rFonts w:eastAsia="Arial" w:cs="Arial"/>
          <w:sz w:val="24"/>
          <w:szCs w:val="24"/>
        </w:rPr>
        <w:t>invocada por el actor</w:t>
      </w:r>
      <w:r w:rsidR="002745C1">
        <w:rPr>
          <w:rFonts w:eastAsia="Arial" w:cs="Arial"/>
          <w:sz w:val="24"/>
          <w:szCs w:val="24"/>
        </w:rPr>
        <w:t xml:space="preserve"> únicamente en </w:t>
      </w:r>
      <w:r w:rsidR="00F02D83">
        <w:rPr>
          <w:rFonts w:eastAsia="Arial" w:cs="Arial"/>
          <w:sz w:val="24"/>
          <w:szCs w:val="24"/>
        </w:rPr>
        <w:t xml:space="preserve">el </w:t>
      </w:r>
      <w:r w:rsidR="002745C1">
        <w:rPr>
          <w:rFonts w:eastAsia="Arial" w:cs="Arial"/>
          <w:sz w:val="24"/>
          <w:szCs w:val="24"/>
        </w:rPr>
        <w:t xml:space="preserve">acápite de </w:t>
      </w:r>
      <w:r w:rsidR="002745C1" w:rsidRPr="002745C1">
        <w:rPr>
          <w:rFonts w:eastAsia="Arial" w:cs="Arial"/>
          <w:i/>
          <w:sz w:val="24"/>
          <w:szCs w:val="24"/>
        </w:rPr>
        <w:t>“Pretensiones”</w:t>
      </w:r>
      <w:r w:rsidR="002745C1" w:rsidRPr="008228D4">
        <w:rPr>
          <w:rStyle w:val="Refdenotaalpie"/>
          <w:rFonts w:eastAsia="Arial" w:cs="Arial"/>
          <w:sz w:val="24"/>
          <w:szCs w:val="24"/>
        </w:rPr>
        <w:footnoteReference w:id="31"/>
      </w:r>
      <w:r w:rsidR="00AC6564">
        <w:rPr>
          <w:rFonts w:eastAsia="Arial" w:cs="Arial"/>
          <w:i/>
          <w:sz w:val="24"/>
          <w:szCs w:val="24"/>
        </w:rPr>
        <w:t xml:space="preserve"> </w:t>
      </w:r>
      <w:r w:rsidR="00AC6564">
        <w:rPr>
          <w:rFonts w:eastAsia="Arial" w:cs="Arial"/>
          <w:sz w:val="24"/>
          <w:szCs w:val="24"/>
        </w:rPr>
        <w:t xml:space="preserve">de la </w:t>
      </w:r>
      <w:r w:rsidR="00AC6564" w:rsidRPr="008B29FD">
        <w:rPr>
          <w:rFonts w:eastAsia="Arial" w:cs="Arial"/>
          <w:sz w:val="24"/>
          <w:szCs w:val="24"/>
        </w:rPr>
        <w:t>demanda de tutela, lo cual, de nuevo, imposibilita al juez constitu</w:t>
      </w:r>
      <w:r w:rsidR="005B224E" w:rsidRPr="008B29FD">
        <w:rPr>
          <w:rFonts w:eastAsia="Arial" w:cs="Arial"/>
          <w:sz w:val="24"/>
          <w:szCs w:val="24"/>
        </w:rPr>
        <w:t xml:space="preserve">cional </w:t>
      </w:r>
      <w:r w:rsidR="00F02D83">
        <w:rPr>
          <w:rFonts w:eastAsia="Arial" w:cs="Arial"/>
          <w:sz w:val="24"/>
          <w:szCs w:val="24"/>
        </w:rPr>
        <w:t>para</w:t>
      </w:r>
      <w:r w:rsidR="005B224E" w:rsidRPr="008B29FD">
        <w:rPr>
          <w:rFonts w:eastAsia="Arial" w:cs="Arial"/>
          <w:sz w:val="24"/>
          <w:szCs w:val="24"/>
        </w:rPr>
        <w:t xml:space="preserve"> pronunciarse sobre la configuración de</w:t>
      </w:r>
      <w:r w:rsidR="008B29FD" w:rsidRPr="008B29FD">
        <w:rPr>
          <w:rFonts w:eastAsia="Arial" w:cs="Arial"/>
          <w:sz w:val="24"/>
          <w:szCs w:val="24"/>
        </w:rPr>
        <w:t xml:space="preserve"> la censura alegada</w:t>
      </w:r>
      <w:r w:rsidR="00A87727" w:rsidRPr="008B29FD">
        <w:rPr>
          <w:rFonts w:eastAsia="Arial" w:cs="Arial"/>
          <w:sz w:val="24"/>
          <w:szCs w:val="24"/>
        </w:rPr>
        <w:t>, pues no se cumplió con la carga mínima de argume</w:t>
      </w:r>
      <w:r w:rsidR="00EA64BC" w:rsidRPr="008B29FD">
        <w:rPr>
          <w:rFonts w:eastAsia="Arial" w:cs="Arial"/>
          <w:sz w:val="24"/>
          <w:szCs w:val="24"/>
        </w:rPr>
        <w:t xml:space="preserve">ntación, </w:t>
      </w:r>
      <w:r w:rsidR="00A87727" w:rsidRPr="008B29FD">
        <w:rPr>
          <w:rFonts w:eastAsia="Arial" w:cs="Arial"/>
          <w:sz w:val="24"/>
          <w:szCs w:val="24"/>
        </w:rPr>
        <w:t>que le permita al juez constitucional comprender con suficiente claridad y de manera precisa el debate en torno a la vulneración de las garantías fundamentales invocadas</w:t>
      </w:r>
      <w:r w:rsidR="002F3DD7" w:rsidRPr="008B29FD">
        <w:rPr>
          <w:rFonts w:eastAsia="Arial" w:cs="Arial"/>
          <w:sz w:val="24"/>
          <w:szCs w:val="24"/>
        </w:rPr>
        <w:t>.</w:t>
      </w:r>
      <w:r w:rsidR="002F3DD7" w:rsidRPr="002F3DD7">
        <w:rPr>
          <w:rFonts w:eastAsia="Arial" w:cs="Arial"/>
          <w:sz w:val="24"/>
          <w:szCs w:val="24"/>
        </w:rPr>
        <w:t xml:space="preserve"> </w:t>
      </w:r>
    </w:p>
    <w:p w14:paraId="38BE8A22" w14:textId="77777777" w:rsidR="000C0AF0" w:rsidRDefault="000C0AF0" w:rsidP="002C011B">
      <w:pPr>
        <w:tabs>
          <w:tab w:val="left" w:pos="5174"/>
        </w:tabs>
        <w:spacing w:line="360" w:lineRule="auto"/>
        <w:rPr>
          <w:rFonts w:eastAsia="Arial" w:cs="Arial"/>
          <w:sz w:val="24"/>
          <w:szCs w:val="24"/>
        </w:rPr>
      </w:pPr>
    </w:p>
    <w:p w14:paraId="559128D1" w14:textId="36EE741A" w:rsidR="0004481D" w:rsidRDefault="0004481D" w:rsidP="0004481D">
      <w:pPr>
        <w:tabs>
          <w:tab w:val="left" w:pos="5174"/>
        </w:tabs>
        <w:spacing w:line="360" w:lineRule="auto"/>
        <w:rPr>
          <w:rFonts w:eastAsia="Arial" w:cs="Arial"/>
          <w:sz w:val="24"/>
          <w:szCs w:val="24"/>
        </w:rPr>
      </w:pPr>
      <w:r>
        <w:rPr>
          <w:rFonts w:eastAsia="Arial" w:cs="Arial"/>
          <w:sz w:val="24"/>
          <w:szCs w:val="24"/>
        </w:rPr>
        <w:t xml:space="preserve">5.4.- En este entendido, la Sala advierte que los cargos recién </w:t>
      </w:r>
      <w:r w:rsidR="007C26E0">
        <w:rPr>
          <w:rFonts w:eastAsia="Arial" w:cs="Arial"/>
          <w:sz w:val="24"/>
          <w:szCs w:val="24"/>
        </w:rPr>
        <w:t>nombrados</w:t>
      </w:r>
      <w:r>
        <w:rPr>
          <w:rFonts w:eastAsia="Arial" w:cs="Arial"/>
          <w:sz w:val="24"/>
          <w:szCs w:val="24"/>
        </w:rPr>
        <w:t xml:space="preserve">, no cumplen con el requisito estudiado en este acápite, por lo tanto, declarará improcedente el amparo frente a aquellos. </w:t>
      </w:r>
    </w:p>
    <w:p w14:paraId="3947BEB4" w14:textId="263649E1" w:rsidR="00A21B94" w:rsidRDefault="00522645" w:rsidP="002C011B">
      <w:pPr>
        <w:tabs>
          <w:tab w:val="left" w:pos="5174"/>
        </w:tabs>
        <w:spacing w:line="360" w:lineRule="auto"/>
        <w:rPr>
          <w:sz w:val="24"/>
          <w:szCs w:val="24"/>
        </w:rPr>
      </w:pPr>
      <w:r>
        <w:rPr>
          <w:sz w:val="24"/>
          <w:szCs w:val="24"/>
        </w:rPr>
        <w:lastRenderedPageBreak/>
        <w:t>6</w:t>
      </w:r>
      <w:r w:rsidR="00A21B94">
        <w:rPr>
          <w:sz w:val="24"/>
          <w:szCs w:val="24"/>
        </w:rPr>
        <w:t>.- En</w:t>
      </w:r>
      <w:r w:rsidR="0004481D">
        <w:rPr>
          <w:sz w:val="24"/>
          <w:szCs w:val="24"/>
        </w:rPr>
        <w:t xml:space="preserve"> suma, los</w:t>
      </w:r>
      <w:r w:rsidR="00A21B94">
        <w:rPr>
          <w:sz w:val="24"/>
          <w:szCs w:val="24"/>
        </w:rPr>
        <w:t xml:space="preserve"> presupuesto</w:t>
      </w:r>
      <w:r w:rsidR="0004481D">
        <w:rPr>
          <w:sz w:val="24"/>
          <w:szCs w:val="24"/>
        </w:rPr>
        <w:t>s</w:t>
      </w:r>
      <w:r w:rsidR="00A21B94">
        <w:rPr>
          <w:sz w:val="24"/>
          <w:szCs w:val="24"/>
        </w:rPr>
        <w:t xml:space="preserve"> de relevancia constitucional</w:t>
      </w:r>
      <w:r w:rsidR="0004481D">
        <w:rPr>
          <w:sz w:val="24"/>
          <w:szCs w:val="24"/>
        </w:rPr>
        <w:t xml:space="preserve"> y de </w:t>
      </w:r>
      <w:r w:rsidR="0004481D">
        <w:rPr>
          <w:rFonts w:eastAsia="Arial" w:cs="Arial"/>
          <w:sz w:val="24"/>
          <w:szCs w:val="24"/>
        </w:rPr>
        <w:t>identificación suficiente de los hechos y argumentos,</w:t>
      </w:r>
      <w:r w:rsidR="00A21B94">
        <w:rPr>
          <w:sz w:val="24"/>
          <w:szCs w:val="24"/>
        </w:rPr>
        <w:t xml:space="preserve"> como se expuso, no se encuentra</w:t>
      </w:r>
      <w:r w:rsidR="0004481D">
        <w:rPr>
          <w:sz w:val="24"/>
          <w:szCs w:val="24"/>
        </w:rPr>
        <w:t>n</w:t>
      </w:r>
      <w:r w:rsidR="00A21B94">
        <w:rPr>
          <w:sz w:val="24"/>
          <w:szCs w:val="24"/>
        </w:rPr>
        <w:t xml:space="preserve"> superado</w:t>
      </w:r>
      <w:r w:rsidR="0004481D">
        <w:rPr>
          <w:sz w:val="24"/>
          <w:szCs w:val="24"/>
        </w:rPr>
        <w:t>s</w:t>
      </w:r>
      <w:r w:rsidR="00A21B94">
        <w:rPr>
          <w:sz w:val="24"/>
          <w:szCs w:val="24"/>
        </w:rPr>
        <w:t xml:space="preserve"> en este caso y hace</w:t>
      </w:r>
      <w:r w:rsidR="0004481D">
        <w:rPr>
          <w:sz w:val="24"/>
          <w:szCs w:val="24"/>
        </w:rPr>
        <w:t>n</w:t>
      </w:r>
      <w:r w:rsidR="00A21B94">
        <w:rPr>
          <w:sz w:val="24"/>
          <w:szCs w:val="24"/>
        </w:rPr>
        <w:t xml:space="preserve"> que la acción constitucional resulte improcedente. </w:t>
      </w:r>
    </w:p>
    <w:p w14:paraId="677987BC" w14:textId="77777777" w:rsidR="00A21B94" w:rsidRDefault="00A21B94" w:rsidP="002C011B">
      <w:pPr>
        <w:tabs>
          <w:tab w:val="left" w:pos="5174"/>
        </w:tabs>
        <w:spacing w:line="360" w:lineRule="auto"/>
        <w:rPr>
          <w:sz w:val="24"/>
          <w:szCs w:val="24"/>
        </w:rPr>
      </w:pPr>
    </w:p>
    <w:p w14:paraId="42AADE17" w14:textId="77777777" w:rsidR="00A21B94" w:rsidRPr="0002302D" w:rsidRDefault="00A21B94" w:rsidP="00A21B94">
      <w:pPr>
        <w:pStyle w:val="Sinespaciado1"/>
        <w:spacing w:line="360" w:lineRule="auto"/>
        <w:jc w:val="both"/>
        <w:rPr>
          <w:rFonts w:ascii="Arial" w:hAnsi="Arial" w:cs="Arial"/>
          <w:color w:val="000000"/>
        </w:rPr>
      </w:pPr>
      <w:r w:rsidRPr="0002302D">
        <w:rPr>
          <w:rFonts w:ascii="Arial" w:eastAsia="Dotum" w:hAnsi="Arial" w:cs="Arial"/>
          <w:color w:val="000000"/>
        </w:rPr>
        <w:t xml:space="preserve">En mérito de lo expuesto, la </w:t>
      </w:r>
      <w:r w:rsidRPr="0002302D">
        <w:rPr>
          <w:rFonts w:ascii="Arial" w:hAnsi="Arial" w:cs="Arial"/>
          <w:color w:val="000000"/>
        </w:rPr>
        <w:t>Subsección C</w:t>
      </w:r>
      <w:r w:rsidRPr="0002302D">
        <w:rPr>
          <w:rFonts w:ascii="Arial" w:eastAsia="Dotum" w:hAnsi="Arial" w:cs="Arial"/>
          <w:color w:val="000000"/>
        </w:rPr>
        <w:t xml:space="preserve"> de la</w:t>
      </w:r>
      <w:r w:rsidRPr="0002302D">
        <w:rPr>
          <w:rFonts w:ascii="Arial" w:hAnsi="Arial" w:cs="Arial"/>
          <w:color w:val="000000"/>
        </w:rPr>
        <w:t xml:space="preserve"> Sección Tercera</w:t>
      </w:r>
      <w:r w:rsidRPr="0002302D">
        <w:rPr>
          <w:rFonts w:ascii="Arial" w:eastAsia="Dotum" w:hAnsi="Arial" w:cs="Arial"/>
          <w:color w:val="000000"/>
        </w:rPr>
        <w:t xml:space="preserve"> de la </w:t>
      </w:r>
      <w:r w:rsidRPr="0002302D">
        <w:rPr>
          <w:rFonts w:ascii="Arial" w:hAnsi="Arial" w:cs="Arial"/>
          <w:color w:val="000000"/>
        </w:rPr>
        <w:t>Sala de lo Contencioso Administrativo</w:t>
      </w:r>
      <w:r w:rsidRPr="0002302D">
        <w:rPr>
          <w:rFonts w:ascii="Arial" w:eastAsia="Dotum" w:hAnsi="Arial" w:cs="Arial"/>
          <w:color w:val="000000"/>
        </w:rPr>
        <w:t xml:space="preserve"> del </w:t>
      </w:r>
      <w:r w:rsidRPr="0002302D">
        <w:rPr>
          <w:rFonts w:ascii="Arial" w:hAnsi="Arial" w:cs="Arial"/>
          <w:color w:val="000000"/>
        </w:rPr>
        <w:t>Consejo de Estado, administrando justicia en nombre de la República y por autoridad de la ley,</w:t>
      </w:r>
    </w:p>
    <w:p w14:paraId="791B061C" w14:textId="77777777" w:rsidR="008C59DB" w:rsidRDefault="008C59DB" w:rsidP="002C011B">
      <w:pPr>
        <w:tabs>
          <w:tab w:val="left" w:pos="5174"/>
        </w:tabs>
        <w:spacing w:line="360" w:lineRule="auto"/>
        <w:rPr>
          <w:sz w:val="24"/>
          <w:szCs w:val="24"/>
        </w:rPr>
      </w:pPr>
    </w:p>
    <w:p w14:paraId="3016F1E5" w14:textId="1DDBC5D8" w:rsidR="00A21B94" w:rsidRDefault="00A21B94" w:rsidP="00A21B94">
      <w:pPr>
        <w:tabs>
          <w:tab w:val="left" w:pos="5174"/>
        </w:tabs>
        <w:spacing w:line="360" w:lineRule="auto"/>
        <w:jc w:val="center"/>
        <w:rPr>
          <w:b/>
          <w:sz w:val="24"/>
          <w:szCs w:val="24"/>
        </w:rPr>
      </w:pPr>
      <w:r>
        <w:rPr>
          <w:b/>
          <w:sz w:val="24"/>
          <w:szCs w:val="24"/>
        </w:rPr>
        <w:t xml:space="preserve">III.- RESUELVE </w:t>
      </w:r>
    </w:p>
    <w:p w14:paraId="7CDBF891" w14:textId="77777777" w:rsidR="00A21B94" w:rsidRDefault="00A21B94" w:rsidP="00A21B94">
      <w:pPr>
        <w:tabs>
          <w:tab w:val="left" w:pos="5174"/>
        </w:tabs>
        <w:spacing w:line="360" w:lineRule="auto"/>
        <w:rPr>
          <w:b/>
          <w:sz w:val="24"/>
          <w:szCs w:val="24"/>
        </w:rPr>
      </w:pPr>
    </w:p>
    <w:p w14:paraId="6262F9C7" w14:textId="20AD3228" w:rsidR="00A21B94" w:rsidRPr="0002302D" w:rsidRDefault="00A21B94" w:rsidP="00A21B94">
      <w:pPr>
        <w:tabs>
          <w:tab w:val="left" w:pos="975"/>
        </w:tabs>
        <w:spacing w:line="360" w:lineRule="auto"/>
        <w:rPr>
          <w:rFonts w:cs="Arial"/>
          <w:color w:val="000000"/>
          <w:sz w:val="24"/>
          <w:szCs w:val="24"/>
        </w:rPr>
      </w:pPr>
      <w:r w:rsidRPr="0002302D">
        <w:rPr>
          <w:rFonts w:cs="Arial"/>
          <w:b/>
          <w:color w:val="000000"/>
          <w:sz w:val="24"/>
          <w:szCs w:val="24"/>
        </w:rPr>
        <w:t>PRIMERO: DECLARAR</w:t>
      </w:r>
      <w:r w:rsidRPr="0002302D">
        <w:rPr>
          <w:rFonts w:cs="Arial"/>
          <w:color w:val="000000"/>
          <w:sz w:val="24"/>
          <w:szCs w:val="24"/>
        </w:rPr>
        <w:t xml:space="preserve"> improcedente</w:t>
      </w:r>
      <w:r w:rsidRPr="0002302D">
        <w:rPr>
          <w:rFonts w:cs="Arial"/>
          <w:b/>
          <w:color w:val="000000"/>
          <w:sz w:val="24"/>
          <w:szCs w:val="24"/>
        </w:rPr>
        <w:t xml:space="preserve"> </w:t>
      </w:r>
      <w:r w:rsidRPr="0002302D">
        <w:rPr>
          <w:rFonts w:eastAsia="Arial" w:cs="Arial"/>
          <w:color w:val="000000"/>
          <w:sz w:val="24"/>
          <w:szCs w:val="24"/>
        </w:rPr>
        <w:t xml:space="preserve">el amparo constitucional solicitado </w:t>
      </w:r>
      <w:proofErr w:type="spellStart"/>
      <w:r w:rsidRPr="00A21B94">
        <w:rPr>
          <w:rFonts w:cs="Arial"/>
          <w:color w:val="000000"/>
          <w:sz w:val="24"/>
          <w:szCs w:val="24"/>
        </w:rPr>
        <w:t>Jonh</w:t>
      </w:r>
      <w:proofErr w:type="spellEnd"/>
      <w:r w:rsidRPr="00A21B94">
        <w:rPr>
          <w:rFonts w:cs="Arial"/>
          <w:color w:val="000000"/>
          <w:sz w:val="24"/>
          <w:szCs w:val="24"/>
        </w:rPr>
        <w:t xml:space="preserve"> William García Castro</w:t>
      </w:r>
      <w:r w:rsidRPr="0002302D">
        <w:rPr>
          <w:rFonts w:cs="Arial"/>
          <w:color w:val="000000"/>
          <w:sz w:val="24"/>
          <w:szCs w:val="24"/>
        </w:rPr>
        <w:t xml:space="preserve">, de conformidad con las razones </w:t>
      </w:r>
      <w:r w:rsidRPr="0002302D">
        <w:rPr>
          <w:rFonts w:cs="Arial"/>
          <w:i/>
          <w:color w:val="000000"/>
          <w:sz w:val="24"/>
          <w:szCs w:val="24"/>
        </w:rPr>
        <w:t>ut supra</w:t>
      </w:r>
      <w:r w:rsidRPr="0002302D">
        <w:rPr>
          <w:rFonts w:cs="Arial"/>
          <w:color w:val="000000"/>
          <w:sz w:val="24"/>
          <w:szCs w:val="24"/>
        </w:rPr>
        <w:t>.</w:t>
      </w:r>
    </w:p>
    <w:p w14:paraId="0A152196" w14:textId="77777777" w:rsidR="00A21B94" w:rsidRPr="0002302D" w:rsidRDefault="00A21B94" w:rsidP="00A21B94">
      <w:pPr>
        <w:tabs>
          <w:tab w:val="left" w:pos="975"/>
        </w:tabs>
        <w:spacing w:line="360" w:lineRule="auto"/>
        <w:rPr>
          <w:rFonts w:cs="Arial"/>
          <w:color w:val="000000"/>
          <w:sz w:val="24"/>
          <w:szCs w:val="24"/>
        </w:rPr>
      </w:pPr>
    </w:p>
    <w:p w14:paraId="67B6263F" w14:textId="77777777" w:rsidR="00A21B94" w:rsidRPr="0002302D" w:rsidRDefault="00A21B94" w:rsidP="00A21B94">
      <w:pPr>
        <w:tabs>
          <w:tab w:val="left" w:pos="975"/>
        </w:tabs>
        <w:spacing w:line="360" w:lineRule="auto"/>
        <w:rPr>
          <w:rFonts w:cs="Arial"/>
          <w:color w:val="000000"/>
          <w:sz w:val="24"/>
          <w:szCs w:val="24"/>
        </w:rPr>
      </w:pPr>
      <w:r w:rsidRPr="0002302D">
        <w:rPr>
          <w:rFonts w:cs="Arial"/>
          <w:b/>
          <w:color w:val="000000"/>
          <w:sz w:val="24"/>
          <w:szCs w:val="24"/>
        </w:rPr>
        <w:t>SEGUNDO:</w:t>
      </w:r>
      <w:r w:rsidRPr="0002302D">
        <w:rPr>
          <w:rFonts w:cs="Arial"/>
          <w:color w:val="000000"/>
          <w:sz w:val="24"/>
          <w:szCs w:val="24"/>
        </w:rPr>
        <w:t xml:space="preserve"> </w:t>
      </w:r>
      <w:r w:rsidRPr="0002302D">
        <w:rPr>
          <w:rFonts w:cs="Arial"/>
          <w:b/>
          <w:color w:val="000000"/>
          <w:sz w:val="24"/>
          <w:szCs w:val="24"/>
        </w:rPr>
        <w:t xml:space="preserve">NOTIFICAR </w:t>
      </w:r>
      <w:r w:rsidRPr="0002302D">
        <w:rPr>
          <w:rFonts w:cs="Arial"/>
          <w:color w:val="000000"/>
          <w:sz w:val="24"/>
          <w:szCs w:val="24"/>
        </w:rPr>
        <w:t>la presente decisión a los interesados por el medio más expedito.</w:t>
      </w:r>
    </w:p>
    <w:p w14:paraId="51E625EA" w14:textId="77777777" w:rsidR="00A21B94" w:rsidRPr="0002302D" w:rsidRDefault="00A21B94" w:rsidP="00A21B94">
      <w:pPr>
        <w:tabs>
          <w:tab w:val="left" w:pos="975"/>
        </w:tabs>
        <w:spacing w:line="360" w:lineRule="auto"/>
        <w:rPr>
          <w:rFonts w:cs="Arial"/>
          <w:color w:val="000000"/>
          <w:sz w:val="24"/>
          <w:szCs w:val="24"/>
        </w:rPr>
      </w:pPr>
    </w:p>
    <w:p w14:paraId="76C61939" w14:textId="12B9D666" w:rsidR="00A21B94" w:rsidRPr="00233FE5" w:rsidRDefault="00A21B94" w:rsidP="00A21B94">
      <w:pPr>
        <w:pStyle w:val="Sinespaciado"/>
        <w:spacing w:line="360" w:lineRule="auto"/>
        <w:jc w:val="both"/>
        <w:rPr>
          <w:rFonts w:ascii="Arial" w:hAnsi="Arial" w:cs="Arial"/>
          <w:b/>
          <w:sz w:val="24"/>
          <w:szCs w:val="24"/>
          <w:lang w:eastAsia="es-CO"/>
        </w:rPr>
      </w:pPr>
      <w:r w:rsidRPr="0002302D">
        <w:rPr>
          <w:rFonts w:ascii="Arial" w:hAnsi="Arial" w:cs="Arial"/>
          <w:b/>
          <w:color w:val="000000"/>
          <w:sz w:val="24"/>
          <w:szCs w:val="24"/>
        </w:rPr>
        <w:t xml:space="preserve">TERCERO: </w:t>
      </w:r>
      <w:r w:rsidRPr="00233FE5">
        <w:rPr>
          <w:rFonts w:ascii="Arial" w:hAnsi="Arial" w:cs="Arial"/>
          <w:b/>
          <w:sz w:val="24"/>
          <w:szCs w:val="24"/>
          <w:lang w:eastAsia="es-CO"/>
        </w:rPr>
        <w:t xml:space="preserve">ENVIAR </w:t>
      </w:r>
      <w:r w:rsidRPr="00233FE5">
        <w:rPr>
          <w:rFonts w:ascii="Arial" w:hAnsi="Arial" w:cs="Arial"/>
          <w:bCs/>
          <w:sz w:val="24"/>
          <w:szCs w:val="24"/>
          <w:lang w:eastAsia="es-CO"/>
        </w:rPr>
        <w:t>la presente providencia a la Corte Constitucional para su eventual revisión, en caso de no ser impugnada.</w:t>
      </w:r>
    </w:p>
    <w:p w14:paraId="5EDB3E76" w14:textId="77777777" w:rsidR="001C2E7E" w:rsidRPr="0002302D" w:rsidRDefault="001C2E7E" w:rsidP="001C2E7E">
      <w:pPr>
        <w:spacing w:line="276" w:lineRule="auto"/>
        <w:jc w:val="center"/>
        <w:rPr>
          <w:rFonts w:eastAsia="Arial" w:cs="Arial"/>
          <w:b/>
          <w:color w:val="000000"/>
          <w:sz w:val="24"/>
          <w:szCs w:val="24"/>
          <w:lang w:eastAsia="es-ES_tradnl"/>
        </w:rPr>
      </w:pPr>
    </w:p>
    <w:p w14:paraId="6B0506FF" w14:textId="77777777" w:rsidR="00A21B94" w:rsidRPr="00233FE5" w:rsidRDefault="00A21B94" w:rsidP="001C2E7E">
      <w:pPr>
        <w:pStyle w:val="Sinespaciado1"/>
        <w:jc w:val="center"/>
        <w:rPr>
          <w:rFonts w:ascii="Arial" w:hAnsi="Arial" w:cs="Arial"/>
          <w:b/>
        </w:rPr>
      </w:pPr>
      <w:r w:rsidRPr="00233FE5">
        <w:rPr>
          <w:rFonts w:ascii="Arial" w:hAnsi="Arial" w:cs="Arial"/>
          <w:b/>
        </w:rPr>
        <w:t>CÓPIESE, NOTIFÍQUESE Y CÚMPLASE</w:t>
      </w:r>
    </w:p>
    <w:p w14:paraId="58DDC5E7" w14:textId="6EB833B0" w:rsidR="00A21B94" w:rsidRDefault="00A21B94" w:rsidP="00A21B94">
      <w:pPr>
        <w:pStyle w:val="Sinespaciado1"/>
        <w:jc w:val="center"/>
        <w:rPr>
          <w:rFonts w:ascii="Arial" w:hAnsi="Arial" w:cs="Arial"/>
          <w:b/>
        </w:rPr>
      </w:pPr>
    </w:p>
    <w:p w14:paraId="2BA3E3D8" w14:textId="77777777" w:rsidR="00C5107B" w:rsidRPr="00233FE5" w:rsidRDefault="00C5107B" w:rsidP="00A21B94">
      <w:pPr>
        <w:pStyle w:val="Sinespaciado1"/>
        <w:jc w:val="center"/>
        <w:rPr>
          <w:rFonts w:ascii="Arial" w:hAnsi="Arial" w:cs="Arial"/>
          <w:b/>
        </w:rPr>
      </w:pPr>
    </w:p>
    <w:p w14:paraId="4EFE1A4A" w14:textId="77777777" w:rsidR="00A21B94" w:rsidRPr="00D665BE" w:rsidRDefault="00A21B94" w:rsidP="00A21B94">
      <w:pPr>
        <w:pStyle w:val="Sinespaciado1"/>
        <w:jc w:val="center"/>
        <w:rPr>
          <w:rFonts w:ascii="Arial" w:hAnsi="Arial" w:cs="Arial"/>
          <w:b/>
        </w:rPr>
      </w:pPr>
      <w:r w:rsidRPr="00D665BE">
        <w:rPr>
          <w:rFonts w:ascii="Arial" w:hAnsi="Arial" w:cs="Arial"/>
          <w:b/>
        </w:rPr>
        <w:t>JAIME ENRIQUE RODRÍGUEZ NAVAS</w:t>
      </w:r>
    </w:p>
    <w:p w14:paraId="05436DE4" w14:textId="77777777" w:rsidR="00A21B94" w:rsidRPr="00D665BE" w:rsidRDefault="00A21B94" w:rsidP="00A21B94">
      <w:pPr>
        <w:pStyle w:val="Sinespaciado1"/>
        <w:jc w:val="center"/>
        <w:rPr>
          <w:rFonts w:ascii="Arial" w:hAnsi="Arial" w:cs="Arial"/>
          <w:b/>
        </w:rPr>
      </w:pPr>
      <w:r w:rsidRPr="00D665BE">
        <w:rPr>
          <w:rFonts w:ascii="Arial" w:hAnsi="Arial" w:cs="Arial"/>
          <w:b/>
        </w:rPr>
        <w:t>Presidente de la Sala</w:t>
      </w:r>
    </w:p>
    <w:p w14:paraId="06DB719D" w14:textId="77777777" w:rsidR="00A21B94" w:rsidRDefault="00A21B94" w:rsidP="00A21B94">
      <w:pPr>
        <w:pStyle w:val="Sinespaciado1"/>
        <w:jc w:val="center"/>
        <w:rPr>
          <w:rFonts w:ascii="Arial" w:hAnsi="Arial" w:cs="Arial"/>
          <w:b/>
        </w:rPr>
      </w:pPr>
    </w:p>
    <w:p w14:paraId="0B845F6E" w14:textId="77777777" w:rsidR="00A21B94" w:rsidRDefault="00A21B94" w:rsidP="00A21B94">
      <w:pPr>
        <w:pStyle w:val="Sinespaciado1"/>
        <w:jc w:val="center"/>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A21B94" w14:paraId="6E63FC68" w14:textId="77777777" w:rsidTr="004C461F">
        <w:tc>
          <w:tcPr>
            <w:tcW w:w="4698" w:type="dxa"/>
          </w:tcPr>
          <w:p w14:paraId="704DB0B6" w14:textId="77777777" w:rsidR="00A21B94" w:rsidRPr="006F3499" w:rsidRDefault="00A21B94" w:rsidP="004C461F">
            <w:pPr>
              <w:pStyle w:val="Sinespaciado1"/>
              <w:jc w:val="center"/>
              <w:rPr>
                <w:rFonts w:ascii="Arial" w:hAnsi="Arial" w:cs="Arial"/>
                <w:b/>
              </w:rPr>
            </w:pPr>
            <w:r w:rsidRPr="006F3499">
              <w:rPr>
                <w:rFonts w:ascii="Arial" w:hAnsi="Arial" w:cs="Arial"/>
                <w:b/>
              </w:rPr>
              <w:t>GUILLERMO SÁNCHEZ LUQUE</w:t>
            </w:r>
          </w:p>
          <w:p w14:paraId="74E8BDB9" w14:textId="77777777" w:rsidR="00A21B94" w:rsidRDefault="00A21B94" w:rsidP="004C461F">
            <w:pPr>
              <w:pStyle w:val="Sinespaciado1"/>
              <w:jc w:val="center"/>
              <w:rPr>
                <w:rFonts w:ascii="Arial" w:hAnsi="Arial" w:cs="Arial"/>
                <w:b/>
              </w:rPr>
            </w:pPr>
            <w:r w:rsidRPr="006F3499">
              <w:rPr>
                <w:rFonts w:ascii="Arial" w:hAnsi="Arial" w:cs="Arial"/>
                <w:b/>
              </w:rPr>
              <w:t>Consejero de Estado</w:t>
            </w:r>
          </w:p>
          <w:p w14:paraId="3CEED64A" w14:textId="77777777" w:rsidR="00D63739" w:rsidRPr="00D63739" w:rsidRDefault="00D63739" w:rsidP="00D63739">
            <w:pPr>
              <w:jc w:val="center"/>
              <w:rPr>
                <w:rFonts w:cs="Arial"/>
                <w:b/>
                <w:bCs/>
                <w:color w:val="000000"/>
                <w:sz w:val="22"/>
                <w:szCs w:val="22"/>
              </w:rPr>
            </w:pPr>
            <w:r w:rsidRPr="00D63739">
              <w:rPr>
                <w:rFonts w:cs="Arial"/>
                <w:b/>
                <w:bCs/>
                <w:color w:val="000000"/>
                <w:sz w:val="22"/>
                <w:szCs w:val="22"/>
              </w:rPr>
              <w:t>Aclaración de Voto</w:t>
            </w:r>
          </w:p>
          <w:p w14:paraId="79583BF8" w14:textId="319FB0E5" w:rsidR="00D63739" w:rsidRPr="00D63739" w:rsidRDefault="00D63739" w:rsidP="00D63739">
            <w:pPr>
              <w:jc w:val="center"/>
              <w:rPr>
                <w:rFonts w:cs="Arial"/>
                <w:b/>
                <w:bCs/>
                <w:sz w:val="22"/>
                <w:szCs w:val="22"/>
              </w:rPr>
            </w:pPr>
            <w:r w:rsidRPr="00D63739">
              <w:rPr>
                <w:rFonts w:cs="Arial"/>
                <w:b/>
                <w:bCs/>
                <w:color w:val="000000"/>
                <w:sz w:val="22"/>
                <w:szCs w:val="22"/>
              </w:rPr>
              <w:t>Cfr. Rad. 11001-03-15-000-2019-01299-00</w:t>
            </w:r>
          </w:p>
          <w:p w14:paraId="6F812755" w14:textId="4D774D99" w:rsidR="00D63739" w:rsidRDefault="00D63739" w:rsidP="004C461F">
            <w:pPr>
              <w:pStyle w:val="Sinespaciado1"/>
              <w:jc w:val="center"/>
              <w:rPr>
                <w:rFonts w:ascii="Arial" w:hAnsi="Arial" w:cs="Arial"/>
                <w:b/>
              </w:rPr>
            </w:pPr>
          </w:p>
        </w:tc>
        <w:tc>
          <w:tcPr>
            <w:tcW w:w="4698" w:type="dxa"/>
          </w:tcPr>
          <w:p w14:paraId="48CED367" w14:textId="77777777" w:rsidR="00A21B94" w:rsidRPr="00D665BE" w:rsidRDefault="00A21B94" w:rsidP="004C461F">
            <w:pPr>
              <w:pStyle w:val="Sinespaciado1"/>
              <w:jc w:val="center"/>
              <w:rPr>
                <w:rFonts w:ascii="Arial" w:hAnsi="Arial" w:cs="Arial"/>
                <w:b/>
              </w:rPr>
            </w:pPr>
            <w:r w:rsidRPr="00D665BE">
              <w:rPr>
                <w:rFonts w:ascii="Arial" w:hAnsi="Arial" w:cs="Arial"/>
                <w:b/>
              </w:rPr>
              <w:t>NICOLÁS YEPES CORRALES</w:t>
            </w:r>
          </w:p>
          <w:p w14:paraId="4190E312" w14:textId="77777777" w:rsidR="00A21B94" w:rsidRDefault="00A21B94" w:rsidP="004C461F">
            <w:pPr>
              <w:pStyle w:val="Sinespaciado1"/>
              <w:jc w:val="center"/>
              <w:rPr>
                <w:rFonts w:ascii="Arial" w:hAnsi="Arial" w:cs="Arial"/>
                <w:b/>
              </w:rPr>
            </w:pPr>
            <w:r w:rsidRPr="00D665BE">
              <w:rPr>
                <w:rFonts w:ascii="Arial" w:hAnsi="Arial" w:cs="Arial"/>
                <w:b/>
              </w:rPr>
              <w:t>Consejero Ponente</w:t>
            </w:r>
          </w:p>
        </w:tc>
      </w:tr>
    </w:tbl>
    <w:p w14:paraId="7B4ABA5A" w14:textId="77777777" w:rsidR="00A21B94" w:rsidRPr="00AC6564" w:rsidRDefault="00A21B94" w:rsidP="00A21B94">
      <w:pPr>
        <w:spacing w:line="276" w:lineRule="auto"/>
        <w:rPr>
          <w:sz w:val="24"/>
          <w:szCs w:val="24"/>
        </w:rPr>
      </w:pPr>
    </w:p>
    <w:sectPr w:rsidR="00A21B94" w:rsidRPr="00AC6564" w:rsidSect="00810B28">
      <w:headerReference w:type="default" r:id="rId10"/>
      <w:headerReference w:type="first" r:id="rId11"/>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550C" w14:textId="77777777" w:rsidR="00574B75" w:rsidRDefault="00574B75" w:rsidP="004A1D70">
      <w:r>
        <w:separator/>
      </w:r>
    </w:p>
  </w:endnote>
  <w:endnote w:type="continuationSeparator" w:id="0">
    <w:p w14:paraId="73DE6E84" w14:textId="77777777" w:rsidR="00574B75" w:rsidRDefault="00574B75" w:rsidP="004A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notTrueType/>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E80A" w14:textId="77777777" w:rsidR="00574B75" w:rsidRDefault="00574B75" w:rsidP="004A1D70">
      <w:r>
        <w:separator/>
      </w:r>
    </w:p>
  </w:footnote>
  <w:footnote w:type="continuationSeparator" w:id="0">
    <w:p w14:paraId="3D62E8D0" w14:textId="77777777" w:rsidR="00574B75" w:rsidRDefault="00574B75" w:rsidP="004A1D70">
      <w:r>
        <w:continuationSeparator/>
      </w:r>
    </w:p>
  </w:footnote>
  <w:footnote w:id="1">
    <w:p w14:paraId="5F923F34" w14:textId="77777777" w:rsidR="004A1D70" w:rsidRPr="00537A99" w:rsidRDefault="004A1D70">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Según el correo electrónico que obra en el documento con certificado 471BBD0CADDC1CA4 C40821E8E27F6573 3CE0B57ECA3E8157 0D81167C23F94F4E, en el expediente de tutela digital. </w:t>
      </w:r>
    </w:p>
  </w:footnote>
  <w:footnote w:id="2">
    <w:p w14:paraId="088F94FF" w14:textId="77777777" w:rsidR="00A22187" w:rsidRPr="00537A99" w:rsidRDefault="00A22187">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Obra en el documento con certificado 27F52707EDCC1E06 79C612CEDD034F86 D01DA6BE58F399DD 0463F7F08DBB222F, en el expediente de tutela digital. </w:t>
      </w:r>
    </w:p>
  </w:footnote>
  <w:footnote w:id="3">
    <w:p w14:paraId="6BF3FF4B" w14:textId="133FD35D" w:rsidR="00732CDD" w:rsidRPr="00537A99" w:rsidRDefault="00732CDD" w:rsidP="00732CDD">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Folios 39-49 del archivo “EXPEDIENTE 2015 326-08242021142601 (1)” que obra en el documento con certificado 58F46F171B097D73 7DCA31FA3061D5A0 FA78776CF3FD2E48 D9491AD638585EB3, en el expediente de tutela digital. </w:t>
      </w:r>
    </w:p>
  </w:footnote>
  <w:footnote w:id="4">
    <w:p w14:paraId="1D920EFB" w14:textId="0A1DDA2E" w:rsidR="00CF18C5" w:rsidRPr="00537A99" w:rsidRDefault="00CF18C5">
      <w:pPr>
        <w:pStyle w:val="Textonotapie"/>
        <w:rPr>
          <w:rFonts w:cs="Arial"/>
          <w:color w:val="000000" w:themeColor="text1"/>
          <w:sz w:val="18"/>
          <w:szCs w:val="18"/>
          <w:shd w:val="clear" w:color="auto" w:fill="FFFFFF"/>
        </w:rPr>
      </w:pPr>
      <w:r w:rsidRPr="00537A99">
        <w:rPr>
          <w:rStyle w:val="Refdenotaalpie"/>
          <w:color w:val="000000" w:themeColor="text1"/>
          <w:sz w:val="18"/>
          <w:szCs w:val="18"/>
        </w:rPr>
        <w:footnoteRef/>
      </w:r>
      <w:r w:rsidRPr="00537A99">
        <w:rPr>
          <w:color w:val="000000" w:themeColor="text1"/>
          <w:sz w:val="18"/>
          <w:szCs w:val="18"/>
        </w:rPr>
        <w:t xml:space="preserve"> “</w:t>
      </w:r>
      <w:r w:rsidRPr="00537A99">
        <w:rPr>
          <w:rFonts w:cs="Arial"/>
          <w:bCs/>
          <w:color w:val="000000" w:themeColor="text1"/>
          <w:sz w:val="18"/>
          <w:szCs w:val="18"/>
          <w:shd w:val="clear" w:color="auto" w:fill="FFFFFF"/>
        </w:rPr>
        <w:t>ARTÍCULO</w:t>
      </w:r>
      <w:r w:rsidRPr="00537A99">
        <w:rPr>
          <w:rFonts w:cs="Arial"/>
          <w:bCs/>
          <w:color w:val="000000" w:themeColor="text1"/>
          <w:sz w:val="18"/>
          <w:szCs w:val="18"/>
        </w:rPr>
        <w:t xml:space="preserve"> </w:t>
      </w:r>
      <w:r w:rsidRPr="00537A99">
        <w:rPr>
          <w:rFonts w:cs="Arial"/>
          <w:bCs/>
          <w:color w:val="000000" w:themeColor="text1"/>
          <w:sz w:val="18"/>
          <w:szCs w:val="18"/>
          <w:shd w:val="clear" w:color="auto" w:fill="FFFFFF"/>
        </w:rPr>
        <w:t>38. </w:t>
      </w:r>
      <w:r w:rsidRPr="00537A99">
        <w:rPr>
          <w:rFonts w:cs="Arial"/>
          <w:color w:val="000000" w:themeColor="text1"/>
          <w:sz w:val="18"/>
          <w:szCs w:val="18"/>
          <w:shd w:val="clear" w:color="auto" w:fill="FFFFFF"/>
        </w:rPr>
        <w:t>Atribuciones. Son atribuciones del alcalde mayor:</w:t>
      </w:r>
    </w:p>
    <w:p w14:paraId="49989242" w14:textId="6DE3786E" w:rsidR="00CF18C5" w:rsidRPr="00537A99" w:rsidRDefault="00CF18C5">
      <w:pPr>
        <w:pStyle w:val="Textonotapie"/>
        <w:rPr>
          <w:rFonts w:cs="Arial"/>
          <w:color w:val="000000" w:themeColor="text1"/>
          <w:sz w:val="18"/>
          <w:szCs w:val="18"/>
          <w:shd w:val="clear" w:color="auto" w:fill="FFFFFF"/>
        </w:rPr>
      </w:pPr>
      <w:r w:rsidRPr="00537A99">
        <w:rPr>
          <w:rFonts w:cs="Arial"/>
          <w:color w:val="000000" w:themeColor="text1"/>
          <w:sz w:val="18"/>
          <w:szCs w:val="18"/>
          <w:shd w:val="clear" w:color="auto" w:fill="FFFFFF"/>
        </w:rPr>
        <w:t>1ª Hacer cumplir la Constitución, la ley, los decretos del Gobierno Nacional y los acuerdos del Concejo.</w:t>
      </w:r>
    </w:p>
    <w:p w14:paraId="6ABCAD76" w14:textId="2084550F" w:rsidR="00CF18C5" w:rsidRPr="00537A99" w:rsidRDefault="00CF18C5">
      <w:pPr>
        <w:pStyle w:val="Textonotapie"/>
        <w:rPr>
          <w:rFonts w:cs="Arial"/>
          <w:color w:val="000000" w:themeColor="text1"/>
          <w:sz w:val="18"/>
          <w:szCs w:val="18"/>
          <w:shd w:val="clear" w:color="auto" w:fill="FFFFFF"/>
        </w:rPr>
      </w:pPr>
      <w:r w:rsidRPr="00537A99">
        <w:rPr>
          <w:rFonts w:cs="Arial"/>
          <w:color w:val="000000" w:themeColor="text1"/>
          <w:sz w:val="18"/>
          <w:szCs w:val="18"/>
          <w:shd w:val="clear" w:color="auto" w:fill="FFFFFF"/>
        </w:rPr>
        <w:t>(…)</w:t>
      </w:r>
    </w:p>
    <w:p w14:paraId="4A8FF7C4" w14:textId="2D7DD4B8" w:rsidR="00CF18C5" w:rsidRPr="00537A99" w:rsidRDefault="00CF18C5">
      <w:pPr>
        <w:pStyle w:val="Textonotapie"/>
        <w:rPr>
          <w:rFonts w:cs="Arial"/>
          <w:color w:val="000000" w:themeColor="text1"/>
          <w:sz w:val="18"/>
          <w:szCs w:val="18"/>
          <w:shd w:val="clear" w:color="auto" w:fill="FFFFFF"/>
        </w:rPr>
      </w:pPr>
      <w:r w:rsidRPr="00537A99">
        <w:rPr>
          <w:rFonts w:cs="Arial"/>
          <w:color w:val="000000" w:themeColor="text1"/>
          <w:sz w:val="18"/>
          <w:szCs w:val="18"/>
          <w:shd w:val="clear" w:color="auto" w:fill="FFFFFF"/>
        </w:rPr>
        <w:t>3ª Dirigir la acción administrativa y asegurar el cumplimiento de las funciones, la prestación de los servicios y la construcción de las obras a cargo del Distrito”</w:t>
      </w:r>
      <w:r w:rsidR="00F70A96" w:rsidRPr="00537A99">
        <w:rPr>
          <w:rFonts w:cs="Arial"/>
          <w:color w:val="000000" w:themeColor="text1"/>
          <w:sz w:val="18"/>
          <w:szCs w:val="18"/>
          <w:shd w:val="clear" w:color="auto" w:fill="FFFFFF"/>
        </w:rPr>
        <w:t>.</w:t>
      </w:r>
    </w:p>
  </w:footnote>
  <w:footnote w:id="5">
    <w:p w14:paraId="033E3CC5" w14:textId="367B4A94" w:rsidR="00EF228B" w:rsidRPr="00537A99" w:rsidRDefault="00EF228B">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“ARTÍCULO 3o. PRINCIPIOS DEL TRANSPORTE PÚBLICO. El transporte público es una industria encaminada a garantizar la movilización de personas o cosas por medio de vehículos apropiados a cada una de las infraestructuras del sector, en condiciones de libertad de acceso, calidad y seguridad de los usuarios sujeto a una contraprestación económica y se regirá por los siguientes principios: </w:t>
      </w:r>
    </w:p>
    <w:p w14:paraId="16A3CEE7" w14:textId="32931F1D" w:rsidR="00EF228B" w:rsidRPr="00537A99" w:rsidRDefault="00EF228B">
      <w:pPr>
        <w:pStyle w:val="Textonotapie"/>
        <w:rPr>
          <w:color w:val="000000" w:themeColor="text1"/>
          <w:sz w:val="18"/>
          <w:szCs w:val="18"/>
        </w:rPr>
      </w:pPr>
      <w:r w:rsidRPr="00537A99">
        <w:rPr>
          <w:color w:val="000000" w:themeColor="text1"/>
          <w:sz w:val="18"/>
          <w:szCs w:val="18"/>
        </w:rPr>
        <w:t>(…)</w:t>
      </w:r>
    </w:p>
    <w:p w14:paraId="511D6BA2" w14:textId="129C5401" w:rsidR="00EF228B" w:rsidRPr="00537A99" w:rsidRDefault="00EF228B">
      <w:pPr>
        <w:pStyle w:val="Textonotapie"/>
        <w:rPr>
          <w:color w:val="000000" w:themeColor="text1"/>
          <w:sz w:val="18"/>
          <w:szCs w:val="18"/>
        </w:rPr>
      </w:pPr>
      <w:r w:rsidRPr="00537A99">
        <w:rPr>
          <w:color w:val="000000" w:themeColor="text1"/>
          <w:sz w:val="18"/>
          <w:szCs w:val="18"/>
        </w:rPr>
        <w:t>9. DE LOS SUBSIDIOS A DETERMINADOS USUARIOS: (…)”</w:t>
      </w:r>
      <w:r w:rsidR="001A4B3C" w:rsidRPr="00537A99">
        <w:rPr>
          <w:color w:val="000000" w:themeColor="text1"/>
          <w:sz w:val="18"/>
          <w:szCs w:val="18"/>
        </w:rPr>
        <w:t>.</w:t>
      </w:r>
    </w:p>
  </w:footnote>
  <w:footnote w:id="6">
    <w:p w14:paraId="11447793" w14:textId="4803FDC5" w:rsidR="00CF18C5" w:rsidRPr="00537A99" w:rsidRDefault="00CF18C5">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“Por el cual se fijan los criterios que deberán observar las autoridades territoriales para la fijación de tarifas diferenciales, segmentadas o subsidiadas en los Sistemas Masivos, Integrados o Estratégicos de Transporte de Pasajeros”.</w:t>
      </w:r>
    </w:p>
  </w:footnote>
  <w:footnote w:id="7">
    <w:p w14:paraId="0DE96E25" w14:textId="124F6D34" w:rsidR="002C2705" w:rsidRPr="00537A99" w:rsidRDefault="002C2705">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Folios 196-220 del archivo “EXPEDIENTE 2015 326-08242021142601 (1)” que obra en el documento con certificado 58F46F171B097D73 7DCA31FA3061D5A0 FA78776CF3FD2E48 D9491AD638585EB3, en el expediente de tutela digital.</w:t>
      </w:r>
    </w:p>
  </w:footnote>
  <w:footnote w:id="8">
    <w:p w14:paraId="4F3343AD" w14:textId="0C1D1845" w:rsidR="00551B97" w:rsidRPr="00537A99" w:rsidRDefault="00551B97">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Folios 224-229 del archivo “EXPEDIENTE 2015 326-08242021142601 (1)” que obra en el documento con certificado 58F46F171B097D73 7DCA31FA3061D5A0 FA78776CF3FD2E48 D9491AD638585EB3, en el expediente de tutela digital.</w:t>
      </w:r>
    </w:p>
  </w:footnote>
  <w:footnote w:id="9">
    <w:p w14:paraId="7CB83390" w14:textId="77777777" w:rsidR="00654882" w:rsidRPr="00537A99" w:rsidRDefault="00654882">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Obra en el documento con certificado B05E82E61EEB5E94 A4D9FA6152F97A8A B3A9E3C0BDAC7F8A 8B14F4ACB0F3B4E3, en el expediente de tutela digital. </w:t>
      </w:r>
    </w:p>
  </w:footnote>
  <w:footnote w:id="10">
    <w:p w14:paraId="6DA3343F" w14:textId="0969EF61" w:rsidR="007D37D2" w:rsidRPr="00537A99" w:rsidRDefault="007D37D2">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Los artículo 315 y 365 de la Constitución; el Código Nacional de Tránsito Terrestre; la </w:t>
      </w:r>
      <w:r w:rsidRPr="00537A99">
        <w:rPr>
          <w:rFonts w:cs="Arial"/>
          <w:color w:val="000000" w:themeColor="text1"/>
          <w:sz w:val="18"/>
          <w:szCs w:val="18"/>
        </w:rPr>
        <w:t xml:space="preserve">Ley 336 de 1996, la Ley 105 de 1993; </w:t>
      </w:r>
      <w:r w:rsidR="00640F21" w:rsidRPr="00537A99">
        <w:rPr>
          <w:rFonts w:cs="Arial"/>
          <w:color w:val="000000" w:themeColor="text1"/>
          <w:sz w:val="18"/>
          <w:szCs w:val="18"/>
        </w:rPr>
        <w:t xml:space="preserve">y </w:t>
      </w:r>
      <w:r w:rsidRPr="00537A99">
        <w:rPr>
          <w:rFonts w:cs="Arial"/>
          <w:color w:val="000000" w:themeColor="text1"/>
          <w:sz w:val="18"/>
          <w:szCs w:val="18"/>
        </w:rPr>
        <w:t>el Decreto 170 del 5 de febrero de 2001</w:t>
      </w:r>
      <w:r w:rsidR="001A4B3C" w:rsidRPr="00537A99">
        <w:rPr>
          <w:rFonts w:cs="Arial"/>
          <w:color w:val="000000" w:themeColor="text1"/>
          <w:sz w:val="18"/>
          <w:szCs w:val="18"/>
        </w:rPr>
        <w:t>.</w:t>
      </w:r>
    </w:p>
  </w:footnote>
  <w:footnote w:id="11">
    <w:p w14:paraId="3C8C4080" w14:textId="435B425E" w:rsidR="001508EE" w:rsidRPr="00537A99" w:rsidRDefault="001508EE">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“Por el cual se reglamenta el Servicio Público de Transporte Terrestre Automotor Colectivo Metropolitano, Distrital y Municipal de Pasajeros”</w:t>
      </w:r>
      <w:r w:rsidR="001A4B3C" w:rsidRPr="00537A99">
        <w:rPr>
          <w:color w:val="000000" w:themeColor="text1"/>
          <w:sz w:val="18"/>
          <w:szCs w:val="18"/>
        </w:rPr>
        <w:t>.</w:t>
      </w:r>
    </w:p>
  </w:footnote>
  <w:footnote w:id="12">
    <w:p w14:paraId="2F110849" w14:textId="1F0DE2DF" w:rsidR="00F67C2A" w:rsidRPr="00537A99" w:rsidRDefault="00F67C2A">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“Por el cual se reglamenta el Servicio Público de Transporte Terrestre Automotor Colectivo Metropolitano, Distrital y Municipal de Pasajeros”</w:t>
      </w:r>
      <w:r w:rsidR="001A4B3C" w:rsidRPr="00537A99">
        <w:rPr>
          <w:color w:val="000000" w:themeColor="text1"/>
          <w:sz w:val="18"/>
          <w:szCs w:val="18"/>
        </w:rPr>
        <w:t>.</w:t>
      </w:r>
    </w:p>
  </w:footnote>
  <w:footnote w:id="13">
    <w:p w14:paraId="7324AA35" w14:textId="33BCE404" w:rsidR="002F34D2" w:rsidRPr="00537A99" w:rsidRDefault="002F34D2">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A través del que adoptó la focalización con base en la metodología del puntaje determinado por el SISBEN III con rangos entre 0 y 40 puntos, de conformidad con el estudio técnico del Banco Mundial "Diseño de una Política de Focalización de Subsidios al Transporte Público para los más Pobres", adoptado por la Secretaría Distrital de Movilidad en su estudio de "subsidios al transporte para las personas de menor capacidad de pago".</w:t>
      </w:r>
    </w:p>
  </w:footnote>
  <w:footnote w:id="14">
    <w:p w14:paraId="5F70E692" w14:textId="014DDB12" w:rsidR="00886583" w:rsidRPr="00537A99" w:rsidRDefault="00886583">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Según indica en el escrito de tutela, a folio 5 del documento con certificado 27F52707EDCC1E06 79C612CEDD034F86 D01DA6BE58F399DD 0463F7F08DBB222F, en el expediente de tutela digital</w:t>
      </w:r>
      <w:r w:rsidR="007F1113" w:rsidRPr="00537A99">
        <w:rPr>
          <w:color w:val="000000" w:themeColor="text1"/>
          <w:sz w:val="18"/>
          <w:szCs w:val="18"/>
        </w:rPr>
        <w:t>.</w:t>
      </w:r>
    </w:p>
  </w:footnote>
  <w:footnote w:id="15">
    <w:p w14:paraId="5CFE3774" w14:textId="7C4BF87E" w:rsidR="008E0F22" w:rsidRPr="00537A99" w:rsidRDefault="008E0F22">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En el artículo 335 de la Constitución. </w:t>
      </w:r>
    </w:p>
  </w:footnote>
  <w:footnote w:id="16">
    <w:p w14:paraId="6E00056B" w14:textId="2ADAE436" w:rsidR="001D5A24" w:rsidRPr="00537A99" w:rsidRDefault="001D5A24">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Folios 14-15 del documento con certificado 27F52707EDCC1E06 79C612CEDD034F86 D01DA6BE58F399DD 0463F7F08DBB222F, en el expediente de tutela digital.</w:t>
      </w:r>
    </w:p>
  </w:footnote>
  <w:footnote w:id="17">
    <w:p w14:paraId="51594914" w14:textId="29BF848C" w:rsidR="00B65FB3" w:rsidRPr="00537A99" w:rsidRDefault="00B65FB3">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Folio 3 del documento con certificado 27F52707EDCC1E06 79C612CEDD034F86 D01DA6BE58F399DD 0463F7F08DBB222F, en el expediente de tutela digital. </w:t>
      </w:r>
    </w:p>
  </w:footnote>
  <w:footnote w:id="18">
    <w:p w14:paraId="014FBCF3" w14:textId="77777777" w:rsidR="0017116F" w:rsidRPr="00537A99" w:rsidRDefault="0017116F" w:rsidP="0017116F">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Obra en el documento con certificado B2B3FA886BFA98F3 1B2BB876FA3A2C19 B7623103C4482D9E 82C4155380364DB6, en el expediente de tutela digital. </w:t>
      </w:r>
    </w:p>
  </w:footnote>
  <w:footnote w:id="19">
    <w:p w14:paraId="18188AFD" w14:textId="77777777" w:rsidR="00F25B3C" w:rsidRPr="00537A99" w:rsidRDefault="00F25B3C">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Los soportes de la notificación obran en los documentos con certificados 7886A1A8BBFB07AA 92BBC6AA9E4A9C9C 11E098AFF8FD851A 7DF453AF8A2A0AF0; 76E8C5A156E7EF6C 04864AAC45D9FB09 2C5714114CA27982 D3D2F0BF4FE87D2E; F3576EF42BD6FE6C D22C914536CFC7CF 791DB5850207135A D66A18E403A98D4E</w:t>
      </w:r>
      <w:r w:rsidR="009F2CBE" w:rsidRPr="00537A99">
        <w:rPr>
          <w:color w:val="000000" w:themeColor="text1"/>
          <w:sz w:val="18"/>
          <w:szCs w:val="18"/>
        </w:rPr>
        <w:t xml:space="preserve">; y 8D54AE0B8A75CAE7 8C36FEA780F2A81E 6BAAADB2AF5950C1 02C8747E5980937B, en el expediente de tutela digital. </w:t>
      </w:r>
    </w:p>
  </w:footnote>
  <w:footnote w:id="20">
    <w:p w14:paraId="0098D6EB" w14:textId="77777777" w:rsidR="003D6E0B" w:rsidRPr="00537A99" w:rsidRDefault="003D6E0B">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Obra en el documento con certificado 4A696CB2DCA7B954 0E41F607863BC566 28D20F766F2DDF62 319427945F3F4767, en el expediente de tutela digital. </w:t>
      </w:r>
    </w:p>
  </w:footnote>
  <w:footnote w:id="21">
    <w:p w14:paraId="0279A208" w14:textId="77777777" w:rsidR="003D6E0B" w:rsidRPr="00537A99" w:rsidRDefault="003D6E0B">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Obra en el documento con certificado 5AB548C04487F997 F5D3DF8153DBBC56 C426361C19F74F40 66E2B0F05808E7A0, en el expediente de tutela digital. </w:t>
      </w:r>
    </w:p>
  </w:footnote>
  <w:footnote w:id="22">
    <w:p w14:paraId="0F49CA47" w14:textId="77777777" w:rsidR="00BC336A" w:rsidRPr="00537A99" w:rsidRDefault="00BC336A" w:rsidP="00BC336A">
      <w:pPr>
        <w:ind w:right="51"/>
        <w:contextualSpacing/>
        <w:rPr>
          <w:rFonts w:cs="Arial"/>
          <w:color w:val="000000" w:themeColor="text1"/>
          <w:sz w:val="18"/>
          <w:szCs w:val="18"/>
        </w:rPr>
      </w:pPr>
      <w:r w:rsidRPr="00537A99">
        <w:rPr>
          <w:rStyle w:val="Refdenotaalpie"/>
          <w:rFonts w:cs="Arial"/>
          <w:color w:val="000000" w:themeColor="text1"/>
          <w:sz w:val="18"/>
          <w:szCs w:val="18"/>
        </w:rPr>
        <w:footnoteRef/>
      </w:r>
      <w:r w:rsidRPr="00537A99">
        <w:rPr>
          <w:rFonts w:cs="Arial"/>
          <w:color w:val="000000" w:themeColor="text1"/>
          <w:sz w:val="18"/>
          <w:szCs w:val="18"/>
        </w:rPr>
        <w:t xml:space="preserve"> De acuerdo con la sentencia C-590 del 2005, la tutela en contra de providencia judicial está sujeta al cumplimiento de los siguientes requisitos generales de </w:t>
      </w:r>
      <w:proofErr w:type="spellStart"/>
      <w:r w:rsidRPr="00537A99">
        <w:rPr>
          <w:rFonts w:cs="Arial"/>
          <w:color w:val="000000" w:themeColor="text1"/>
          <w:sz w:val="18"/>
          <w:szCs w:val="18"/>
        </w:rPr>
        <w:t>procedibilidad</w:t>
      </w:r>
      <w:proofErr w:type="spellEnd"/>
      <w:r w:rsidRPr="00537A99">
        <w:rPr>
          <w:rFonts w:cs="Arial"/>
          <w:color w:val="000000" w:themeColor="text1"/>
          <w:sz w:val="18"/>
          <w:szCs w:val="18"/>
        </w:rPr>
        <w:t xml:space="preserve">: que </w:t>
      </w:r>
      <w:r w:rsidRPr="00537A99">
        <w:rPr>
          <w:rFonts w:eastAsia="SimSun" w:cs="Arial"/>
          <w:color w:val="000000" w:themeColor="text1"/>
          <w:sz w:val="18"/>
          <w:szCs w:val="18"/>
          <w:lang w:eastAsia="es-CO"/>
        </w:rPr>
        <w:t>el asunto sometido a estudio del juez de tutela tenga relevancia constitucional; que el actor haya agotado los recursos judiciales ordinarios y extraordinarios antes de acudir al juez de tutela; que la petición cumpla con el requisito de inmediatez</w:t>
      </w:r>
      <w:r w:rsidRPr="00537A99">
        <w:rPr>
          <w:rFonts w:eastAsia="MS Mincho" w:cs="Arial"/>
          <w:color w:val="000000" w:themeColor="text1"/>
          <w:sz w:val="18"/>
          <w:szCs w:val="18"/>
          <w:lang w:eastAsia="es-CO"/>
        </w:rPr>
        <w:t xml:space="preserve">; </w:t>
      </w:r>
      <w:r w:rsidRPr="00537A99">
        <w:rPr>
          <w:rFonts w:eastAsia="SimSun" w:cs="Arial"/>
          <w:color w:val="000000" w:themeColor="text1"/>
          <w:sz w:val="18"/>
          <w:szCs w:val="18"/>
          <w:lang w:eastAsia="es-CO"/>
        </w:rPr>
        <w:t>que en el evento de fundamentarse la solicitud en una irregularidad procesal, esta tenga incidencia directa en la decisión de fondo que se estima violatoria de los derechos fundamentales; que se identifiquen en forma razonable los hechos que generan la vulneración de los derechos y, de ser posible, hayan sido cuestionados al interior del proceso y; que el fallo censurado no sea de tutela.</w:t>
      </w:r>
    </w:p>
  </w:footnote>
  <w:footnote w:id="23">
    <w:p w14:paraId="1CE1BBB4" w14:textId="77777777" w:rsidR="00BC336A" w:rsidRPr="00537A99" w:rsidRDefault="00BC336A" w:rsidP="00BC336A">
      <w:pPr>
        <w:ind w:right="51"/>
        <w:contextualSpacing/>
        <w:rPr>
          <w:rFonts w:eastAsia="Verdana" w:cs="Arial"/>
          <w:color w:val="000000" w:themeColor="text1"/>
          <w:sz w:val="18"/>
          <w:szCs w:val="18"/>
        </w:rPr>
      </w:pPr>
      <w:r w:rsidRPr="00537A99">
        <w:rPr>
          <w:rStyle w:val="Refdenotaalpie"/>
          <w:rFonts w:cs="Arial"/>
          <w:color w:val="000000" w:themeColor="text1"/>
          <w:sz w:val="18"/>
          <w:szCs w:val="18"/>
        </w:rPr>
        <w:footnoteRef/>
      </w:r>
      <w:r w:rsidRPr="00537A99">
        <w:rPr>
          <w:rFonts w:cs="Arial"/>
          <w:color w:val="000000" w:themeColor="text1"/>
          <w:sz w:val="18"/>
          <w:szCs w:val="18"/>
        </w:rPr>
        <w:t xml:space="preserve"> Los requisitos específicos, también conocidos como defectos, son: d</w:t>
      </w:r>
      <w:r w:rsidRPr="00537A99">
        <w:rPr>
          <w:rFonts w:eastAsia="Verdana" w:cs="Arial"/>
          <w:color w:val="000000" w:themeColor="text1"/>
          <w:sz w:val="18"/>
          <w:szCs w:val="18"/>
        </w:rPr>
        <w:t xml:space="preserve">efecto orgánico; defecto procedimental; defecto fáctico; defecto material o sustantivo; defecto por error inducido; defecto por falta de motivación; defecto por desconocimiento del precedente; y defecto por violación directa de la Constitución. </w:t>
      </w:r>
    </w:p>
  </w:footnote>
  <w:footnote w:id="24">
    <w:p w14:paraId="1AEAB289" w14:textId="77777777" w:rsidR="00BC336A" w:rsidRPr="00537A99" w:rsidRDefault="00BC336A" w:rsidP="00BC336A">
      <w:pPr>
        <w:pStyle w:val="Sinespaciado"/>
        <w:ind w:right="51"/>
        <w:jc w:val="both"/>
        <w:rPr>
          <w:rFonts w:ascii="Arial" w:hAnsi="Arial" w:cs="Arial"/>
          <w:color w:val="000000" w:themeColor="text1"/>
          <w:sz w:val="18"/>
          <w:szCs w:val="18"/>
        </w:rPr>
      </w:pPr>
      <w:r w:rsidRPr="00537A99">
        <w:rPr>
          <w:rStyle w:val="Refdenotaalpie"/>
          <w:rFonts w:ascii="Arial" w:hAnsi="Arial" w:cs="Arial"/>
          <w:color w:val="000000" w:themeColor="text1"/>
          <w:sz w:val="18"/>
          <w:szCs w:val="18"/>
        </w:rPr>
        <w:footnoteRef/>
      </w:r>
      <w:r w:rsidRPr="00537A99">
        <w:rPr>
          <w:rFonts w:ascii="Arial" w:hAnsi="Arial" w:cs="Arial"/>
          <w:color w:val="000000" w:themeColor="text1"/>
          <w:sz w:val="18"/>
          <w:szCs w:val="18"/>
        </w:rPr>
        <w:t xml:space="preserve"> Corte Constitucional, sentencia C-590 de 08 de junio de 2005.</w:t>
      </w:r>
    </w:p>
  </w:footnote>
  <w:footnote w:id="25">
    <w:p w14:paraId="38CFEE33" w14:textId="77777777" w:rsidR="00BC336A" w:rsidRPr="00537A99" w:rsidRDefault="00BC336A" w:rsidP="00BC336A">
      <w:pPr>
        <w:pStyle w:val="Sinespaciado"/>
        <w:ind w:right="51"/>
        <w:jc w:val="both"/>
        <w:rPr>
          <w:rFonts w:ascii="Arial" w:hAnsi="Arial" w:cs="Arial"/>
          <w:color w:val="000000" w:themeColor="text1"/>
          <w:sz w:val="18"/>
          <w:szCs w:val="18"/>
        </w:rPr>
      </w:pPr>
      <w:r w:rsidRPr="00537A99">
        <w:rPr>
          <w:rFonts w:ascii="Arial" w:hAnsi="Arial" w:cs="Arial"/>
          <w:color w:val="000000" w:themeColor="text1"/>
          <w:sz w:val="18"/>
          <w:szCs w:val="18"/>
          <w:vertAlign w:val="superscript"/>
        </w:rPr>
        <w:footnoteRef/>
      </w:r>
      <w:r w:rsidRPr="00537A99">
        <w:rPr>
          <w:rFonts w:ascii="Arial" w:hAnsi="Arial" w:cs="Arial"/>
          <w:color w:val="000000" w:themeColor="text1"/>
          <w:sz w:val="18"/>
          <w:szCs w:val="18"/>
        </w:rPr>
        <w:t xml:space="preserve"> Consejo de Estado, sentencia del 5 de agosto de 2014, rad. 11001 03 15 000 2012 02201 01, C.P. Jorge Octavio Ramírez </w:t>
      </w:r>
      <w:proofErr w:type="spellStart"/>
      <w:r w:rsidRPr="00537A99">
        <w:rPr>
          <w:rFonts w:ascii="Arial" w:hAnsi="Arial" w:cs="Arial"/>
          <w:color w:val="000000" w:themeColor="text1"/>
          <w:sz w:val="18"/>
          <w:szCs w:val="18"/>
        </w:rPr>
        <w:t>Ramírez</w:t>
      </w:r>
      <w:proofErr w:type="spellEnd"/>
      <w:r w:rsidRPr="00537A99">
        <w:rPr>
          <w:rFonts w:ascii="Arial" w:hAnsi="Arial" w:cs="Arial"/>
          <w:color w:val="000000" w:themeColor="text1"/>
          <w:sz w:val="18"/>
          <w:szCs w:val="18"/>
        </w:rPr>
        <w:t>.</w:t>
      </w:r>
    </w:p>
  </w:footnote>
  <w:footnote w:id="26">
    <w:p w14:paraId="4EBC296B" w14:textId="474DD3B4" w:rsidR="006A0C74" w:rsidRPr="00537A99" w:rsidRDefault="006A0C74">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Folios 27-56 del documento con certificado B05E82E61EEB5E94 A4D9FA6152F97A8A B3A9E3C0BDAC7F8A 8B14F4ACB0F3B4E3, en el expediente de tutela digital.</w:t>
      </w:r>
    </w:p>
  </w:footnote>
  <w:footnote w:id="27">
    <w:p w14:paraId="3178B2B4" w14:textId="72C54CDD" w:rsidR="000C0AF0" w:rsidRPr="00537A99" w:rsidRDefault="000C0AF0" w:rsidP="000C0AF0">
      <w:pPr>
        <w:pStyle w:val="Textonotapie"/>
        <w:ind w:right="50"/>
        <w:rPr>
          <w:rFonts w:cs="Arial"/>
          <w:color w:val="000000" w:themeColor="text1"/>
          <w:sz w:val="18"/>
          <w:szCs w:val="18"/>
        </w:rPr>
      </w:pPr>
      <w:r w:rsidRPr="00537A99">
        <w:rPr>
          <w:rStyle w:val="Refdenotaalpie"/>
          <w:rFonts w:cs="Arial"/>
          <w:color w:val="000000" w:themeColor="text1"/>
          <w:sz w:val="18"/>
          <w:szCs w:val="18"/>
        </w:rPr>
        <w:footnoteRef/>
      </w:r>
      <w:r w:rsidRPr="00537A99">
        <w:rPr>
          <w:rFonts w:cs="Arial"/>
          <w:color w:val="000000" w:themeColor="text1"/>
          <w:sz w:val="18"/>
          <w:szCs w:val="18"/>
        </w:rPr>
        <w:t xml:space="preserve"> Corte Constitucional, sentencia T-310 de 2009.</w:t>
      </w:r>
    </w:p>
  </w:footnote>
  <w:footnote w:id="28">
    <w:p w14:paraId="7E6C5E95" w14:textId="1622C1E9" w:rsidR="000C0AF0" w:rsidRPr="00537A99" w:rsidRDefault="000C0AF0" w:rsidP="000C0AF0">
      <w:pPr>
        <w:pStyle w:val="Textonotapie"/>
        <w:ind w:right="50"/>
        <w:rPr>
          <w:rFonts w:cs="Arial"/>
          <w:color w:val="000000" w:themeColor="text1"/>
          <w:sz w:val="18"/>
          <w:szCs w:val="18"/>
        </w:rPr>
      </w:pPr>
      <w:r w:rsidRPr="00537A99">
        <w:rPr>
          <w:rStyle w:val="Refdenotaalpie"/>
          <w:rFonts w:cs="Arial"/>
          <w:color w:val="000000" w:themeColor="text1"/>
          <w:sz w:val="18"/>
          <w:szCs w:val="18"/>
        </w:rPr>
        <w:footnoteRef/>
      </w:r>
      <w:r w:rsidRPr="00537A99">
        <w:rPr>
          <w:rFonts w:cs="Arial"/>
          <w:color w:val="000000" w:themeColor="text1"/>
          <w:sz w:val="18"/>
          <w:szCs w:val="18"/>
        </w:rPr>
        <w:t xml:space="preserve"> Corte Constitucional, sentencia T-384 de 2018.</w:t>
      </w:r>
    </w:p>
  </w:footnote>
  <w:footnote w:id="29">
    <w:p w14:paraId="30B3FC9F" w14:textId="77777777" w:rsidR="00B5025F" w:rsidRPr="00537A99" w:rsidRDefault="00B5025F" w:rsidP="00B5025F">
      <w:pPr>
        <w:rPr>
          <w:rFonts w:cs="Arial"/>
          <w:color w:val="000000" w:themeColor="text1"/>
          <w:sz w:val="18"/>
          <w:szCs w:val="18"/>
        </w:rPr>
      </w:pPr>
      <w:r w:rsidRPr="00537A99">
        <w:rPr>
          <w:rStyle w:val="Refdenotaalpie"/>
          <w:rFonts w:cs="Arial"/>
          <w:color w:val="000000" w:themeColor="text1"/>
          <w:sz w:val="18"/>
          <w:szCs w:val="18"/>
        </w:rPr>
        <w:footnoteRef/>
      </w:r>
      <w:r w:rsidRPr="00537A99">
        <w:rPr>
          <w:rFonts w:cs="Arial"/>
          <w:color w:val="000000" w:themeColor="text1"/>
          <w:sz w:val="18"/>
          <w:szCs w:val="18"/>
        </w:rPr>
        <w:t xml:space="preserve"> </w:t>
      </w:r>
      <w:r w:rsidRPr="00537A99">
        <w:rPr>
          <w:color w:val="000000" w:themeColor="text1"/>
          <w:sz w:val="18"/>
          <w:szCs w:val="18"/>
        </w:rPr>
        <w:t xml:space="preserve">Corte Constitucional, sentencia </w:t>
      </w:r>
      <w:r w:rsidRPr="00537A99">
        <w:rPr>
          <w:rFonts w:eastAsia="Arial" w:cs="Arial"/>
          <w:color w:val="000000" w:themeColor="text1"/>
          <w:sz w:val="18"/>
          <w:szCs w:val="18"/>
        </w:rPr>
        <w:t xml:space="preserve">T-265 de 2014. </w:t>
      </w:r>
    </w:p>
  </w:footnote>
  <w:footnote w:id="30">
    <w:p w14:paraId="517AEAAD" w14:textId="3346565A" w:rsidR="002745C1" w:rsidRPr="00537A99" w:rsidRDefault="002745C1">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Folio 3 del documento con certificado 27F52707EDCC1E06 79C612CEDD034F86 D01DA6BE58F399DD 0463F7F08DBB222F, en el expediente de tutela digital.</w:t>
      </w:r>
    </w:p>
  </w:footnote>
  <w:footnote w:id="31">
    <w:p w14:paraId="7F4A1F8D" w14:textId="25D1A9B1" w:rsidR="002745C1" w:rsidRPr="00537A99" w:rsidRDefault="002745C1">
      <w:pPr>
        <w:pStyle w:val="Textonotapie"/>
        <w:rPr>
          <w:color w:val="000000" w:themeColor="text1"/>
          <w:sz w:val="18"/>
          <w:szCs w:val="18"/>
        </w:rPr>
      </w:pPr>
      <w:r w:rsidRPr="00537A99">
        <w:rPr>
          <w:rStyle w:val="Refdenotaalpie"/>
          <w:color w:val="000000" w:themeColor="text1"/>
          <w:sz w:val="18"/>
          <w:szCs w:val="18"/>
        </w:rPr>
        <w:footnoteRef/>
      </w:r>
      <w:r w:rsidRPr="00537A99">
        <w:rPr>
          <w:color w:val="000000" w:themeColor="text1"/>
          <w:sz w:val="18"/>
          <w:szCs w:val="18"/>
        </w:rPr>
        <w:t xml:space="preserve"> Folio 3 del documento con certificado 27F52707EDCC1E06 79C612CEDD034F86 D01DA6BE58F399DD 0463F7F08DBB222F, en el expediente de tutela 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80650798"/>
      <w:docPartObj>
        <w:docPartGallery w:val="Page Numbers (Top of Page)"/>
        <w:docPartUnique/>
      </w:docPartObj>
    </w:sdtPr>
    <w:sdtEndPr/>
    <w:sdtContent>
      <w:p w14:paraId="0CE1ECCA" w14:textId="77777777" w:rsidR="002747CB" w:rsidRPr="00253CE9" w:rsidRDefault="002747CB" w:rsidP="00AB655F">
        <w:pPr>
          <w:pStyle w:val="Encabezado"/>
          <w:jc w:val="center"/>
          <w:rPr>
            <w:sz w:val="16"/>
            <w:szCs w:val="16"/>
          </w:rPr>
        </w:pPr>
        <w:r w:rsidRPr="00253CE9">
          <w:rPr>
            <w:sz w:val="16"/>
            <w:szCs w:val="16"/>
          </w:rPr>
          <w:fldChar w:fldCharType="begin"/>
        </w:r>
        <w:r w:rsidRPr="00253CE9">
          <w:rPr>
            <w:sz w:val="16"/>
            <w:szCs w:val="16"/>
          </w:rPr>
          <w:instrText>PAGE   \* MERGEFORMAT</w:instrText>
        </w:r>
        <w:r w:rsidRPr="00253CE9">
          <w:rPr>
            <w:sz w:val="16"/>
            <w:szCs w:val="16"/>
          </w:rPr>
          <w:fldChar w:fldCharType="separate"/>
        </w:r>
        <w:r w:rsidR="001C2E7E" w:rsidRPr="00253CE9">
          <w:rPr>
            <w:noProof/>
            <w:sz w:val="16"/>
            <w:szCs w:val="16"/>
            <w:lang w:val="es-ES"/>
          </w:rPr>
          <w:t>16</w:t>
        </w:r>
        <w:r w:rsidRPr="00253CE9">
          <w:rPr>
            <w:sz w:val="16"/>
            <w:szCs w:val="16"/>
          </w:rPr>
          <w:fldChar w:fldCharType="end"/>
        </w:r>
      </w:p>
    </w:sdtContent>
  </w:sdt>
  <w:p w14:paraId="5245A6B3" w14:textId="77777777" w:rsidR="002747CB" w:rsidRPr="00253CE9" w:rsidRDefault="002747CB" w:rsidP="00AB655F">
    <w:pPr>
      <w:jc w:val="right"/>
      <w:rPr>
        <w:rFonts w:cs="Arial"/>
        <w:i/>
        <w:sz w:val="16"/>
        <w:szCs w:val="16"/>
      </w:rPr>
    </w:pPr>
    <w:r w:rsidRPr="00253CE9">
      <w:rPr>
        <w:rFonts w:cs="Arial"/>
        <w:i/>
        <w:sz w:val="16"/>
        <w:szCs w:val="16"/>
      </w:rPr>
      <w:t>Sentencia de primera instancia</w:t>
    </w:r>
  </w:p>
  <w:p w14:paraId="5518FD07" w14:textId="77777777" w:rsidR="002747CB" w:rsidRPr="00253CE9" w:rsidRDefault="002747CB" w:rsidP="00AB655F">
    <w:pPr>
      <w:jc w:val="right"/>
      <w:rPr>
        <w:rFonts w:cs="Arial"/>
        <w:i/>
        <w:sz w:val="16"/>
        <w:szCs w:val="16"/>
      </w:rPr>
    </w:pPr>
    <w:r w:rsidRPr="00253CE9">
      <w:rPr>
        <w:rFonts w:cs="Arial"/>
        <w:i/>
        <w:sz w:val="16"/>
        <w:szCs w:val="16"/>
      </w:rPr>
      <w:t>Radicación: 11001-03-15-000-2021-05384-00</w:t>
    </w:r>
  </w:p>
  <w:p w14:paraId="3AAFE88F" w14:textId="77777777" w:rsidR="002747CB" w:rsidRPr="00253CE9" w:rsidRDefault="002747CB" w:rsidP="00AB655F">
    <w:pPr>
      <w:jc w:val="right"/>
      <w:rPr>
        <w:rFonts w:cs="Arial"/>
        <w:i/>
        <w:sz w:val="16"/>
        <w:szCs w:val="16"/>
      </w:rPr>
    </w:pPr>
    <w:r w:rsidRPr="00253CE9">
      <w:rPr>
        <w:rFonts w:cs="Arial"/>
        <w:i/>
        <w:sz w:val="16"/>
        <w:szCs w:val="16"/>
      </w:rPr>
      <w:t xml:space="preserve">Accionante: </w:t>
    </w:r>
    <w:proofErr w:type="spellStart"/>
    <w:r w:rsidRPr="00253CE9">
      <w:rPr>
        <w:rFonts w:cs="Arial"/>
        <w:i/>
        <w:sz w:val="16"/>
        <w:szCs w:val="16"/>
      </w:rPr>
      <w:t>Jonh</w:t>
    </w:r>
    <w:proofErr w:type="spellEnd"/>
    <w:r w:rsidRPr="00253CE9">
      <w:rPr>
        <w:rFonts w:cs="Arial"/>
        <w:i/>
        <w:sz w:val="16"/>
        <w:szCs w:val="16"/>
      </w:rPr>
      <w:t xml:space="preserve"> William García Castro </w:t>
    </w:r>
  </w:p>
  <w:p w14:paraId="097988D3" w14:textId="77777777" w:rsidR="002747CB" w:rsidRPr="00253CE9" w:rsidRDefault="002747CB" w:rsidP="00AB655F">
    <w:pPr>
      <w:jc w:val="right"/>
      <w:rPr>
        <w:rFonts w:cs="Arial"/>
        <w:i/>
        <w:sz w:val="16"/>
        <w:szCs w:val="16"/>
      </w:rPr>
    </w:pPr>
    <w:r w:rsidRPr="00253CE9">
      <w:rPr>
        <w:rFonts w:cs="Arial"/>
        <w:i/>
        <w:sz w:val="16"/>
        <w:szCs w:val="16"/>
      </w:rPr>
      <w:t xml:space="preserve">Accionado: Subsección B de la Sección Primera del Tribunal Administrativo de Cundinamarca </w:t>
    </w:r>
  </w:p>
  <w:p w14:paraId="1682B616" w14:textId="77777777" w:rsidR="002747CB" w:rsidRPr="00253CE9" w:rsidRDefault="002747CB" w:rsidP="00AB655F">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B7B0" w14:textId="77777777" w:rsidR="004A1D70" w:rsidRPr="004C1969" w:rsidRDefault="004A1D70" w:rsidP="004A1D70">
    <w:pPr>
      <w:pStyle w:val="Encabezado"/>
      <w:rPr>
        <w:sz w:val="24"/>
        <w:szCs w:val="24"/>
      </w:rPr>
    </w:pPr>
    <w:r w:rsidRPr="004C1969">
      <w:rPr>
        <w:noProof/>
        <w:sz w:val="24"/>
        <w:szCs w:val="24"/>
        <w:lang w:eastAsia="es-CO"/>
      </w:rPr>
      <w:drawing>
        <wp:anchor distT="0" distB="0" distL="114300" distR="114300" simplePos="0" relativeHeight="251659264" behindDoc="1" locked="0" layoutInCell="1" allowOverlap="1" wp14:anchorId="04B22F0B" wp14:editId="42C375FD">
          <wp:simplePos x="0" y="0"/>
          <wp:positionH relativeFrom="margin">
            <wp:align>left</wp:align>
          </wp:positionH>
          <wp:positionV relativeFrom="paragraph">
            <wp:posOffset>-123190</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EBB4C" w14:textId="77777777" w:rsidR="004A1D70" w:rsidRPr="004C1969" w:rsidRDefault="004A1D70" w:rsidP="004A1D70">
    <w:pPr>
      <w:jc w:val="center"/>
      <w:rPr>
        <w:rFonts w:cs="Arial"/>
        <w:b/>
        <w:bCs/>
        <w:sz w:val="24"/>
        <w:szCs w:val="24"/>
        <w:lang w:eastAsia="es-ES"/>
      </w:rPr>
    </w:pPr>
    <w:r w:rsidRPr="004C1969">
      <w:rPr>
        <w:rFonts w:cs="Arial"/>
        <w:b/>
        <w:bCs/>
        <w:sz w:val="24"/>
        <w:szCs w:val="24"/>
        <w:lang w:eastAsia="es-ES"/>
      </w:rPr>
      <w:t>CONSEJO DE ESTADO</w:t>
    </w:r>
  </w:p>
  <w:p w14:paraId="20A41CB7" w14:textId="77777777" w:rsidR="004A1D70" w:rsidRPr="004C1969" w:rsidRDefault="004A1D70" w:rsidP="004A1D70">
    <w:pPr>
      <w:jc w:val="center"/>
      <w:rPr>
        <w:rFonts w:cs="Arial"/>
        <w:b/>
        <w:bCs/>
        <w:color w:val="000000"/>
        <w:sz w:val="24"/>
        <w:szCs w:val="24"/>
        <w:lang w:eastAsia="es-ES"/>
      </w:rPr>
    </w:pPr>
    <w:r w:rsidRPr="004C1969">
      <w:rPr>
        <w:rFonts w:cs="Arial"/>
        <w:b/>
        <w:bCs/>
        <w:color w:val="000000"/>
        <w:sz w:val="24"/>
        <w:szCs w:val="24"/>
        <w:lang w:eastAsia="es-ES"/>
      </w:rPr>
      <w:t>SALA DE LO CONTENCIOSO ADMINISTRATIVO</w:t>
    </w:r>
  </w:p>
  <w:p w14:paraId="52EE649B" w14:textId="77777777" w:rsidR="004A1D70" w:rsidRPr="004C1969" w:rsidRDefault="004A1D70" w:rsidP="004A1D70">
    <w:pPr>
      <w:jc w:val="center"/>
      <w:rPr>
        <w:rFonts w:cs="Arial"/>
        <w:b/>
        <w:bCs/>
        <w:color w:val="000000"/>
        <w:sz w:val="24"/>
        <w:szCs w:val="24"/>
        <w:lang w:eastAsia="es-ES"/>
      </w:rPr>
    </w:pPr>
    <w:r w:rsidRPr="004C1969">
      <w:rPr>
        <w:rFonts w:cs="Arial"/>
        <w:b/>
        <w:bCs/>
        <w:color w:val="000000"/>
        <w:sz w:val="24"/>
        <w:szCs w:val="24"/>
        <w:lang w:eastAsia="es-ES"/>
      </w:rPr>
      <w:t>SECCIÓN TERCERA</w:t>
    </w:r>
  </w:p>
  <w:p w14:paraId="1E967D21" w14:textId="77777777" w:rsidR="004A1D70" w:rsidRPr="0074175B" w:rsidRDefault="004A1D70" w:rsidP="004A1D70">
    <w:pPr>
      <w:jc w:val="center"/>
      <w:rPr>
        <w:rFonts w:cs="Arial"/>
        <w:b/>
        <w:bCs/>
        <w:color w:val="000000"/>
        <w:sz w:val="24"/>
        <w:szCs w:val="24"/>
        <w:lang w:eastAsia="es-ES"/>
      </w:rPr>
    </w:pPr>
    <w:r w:rsidRPr="0074175B">
      <w:rPr>
        <w:rFonts w:cs="Arial"/>
        <w:b/>
        <w:bCs/>
        <w:color w:val="000000"/>
        <w:sz w:val="24"/>
        <w:szCs w:val="24"/>
        <w:lang w:eastAsia="es-ES"/>
      </w:rPr>
      <w:t>SUBSECCIÓN C</w:t>
    </w:r>
  </w:p>
  <w:p w14:paraId="0E4B2745" w14:textId="77777777" w:rsidR="004A1D70" w:rsidRDefault="004A1D7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D70"/>
    <w:rsid w:val="00001A68"/>
    <w:rsid w:val="00002F67"/>
    <w:rsid w:val="00024207"/>
    <w:rsid w:val="0004481D"/>
    <w:rsid w:val="0004629A"/>
    <w:rsid w:val="0005158F"/>
    <w:rsid w:val="00063DBF"/>
    <w:rsid w:val="0006510E"/>
    <w:rsid w:val="0007454C"/>
    <w:rsid w:val="00082775"/>
    <w:rsid w:val="00096AD2"/>
    <w:rsid w:val="000A5516"/>
    <w:rsid w:val="000B67D9"/>
    <w:rsid w:val="000C0AF0"/>
    <w:rsid w:val="000F412C"/>
    <w:rsid w:val="000F5D98"/>
    <w:rsid w:val="00103AD7"/>
    <w:rsid w:val="0010693B"/>
    <w:rsid w:val="001124BE"/>
    <w:rsid w:val="00132EDF"/>
    <w:rsid w:val="00133D30"/>
    <w:rsid w:val="001425CF"/>
    <w:rsid w:val="00145EDF"/>
    <w:rsid w:val="001508EE"/>
    <w:rsid w:val="00156BE7"/>
    <w:rsid w:val="00157C0B"/>
    <w:rsid w:val="0017116F"/>
    <w:rsid w:val="001A1DDB"/>
    <w:rsid w:val="001A40E4"/>
    <w:rsid w:val="001A4B3C"/>
    <w:rsid w:val="001A55DB"/>
    <w:rsid w:val="001C2E7E"/>
    <w:rsid w:val="001C7414"/>
    <w:rsid w:val="001C7BF3"/>
    <w:rsid w:val="001D5A24"/>
    <w:rsid w:val="001E3ECF"/>
    <w:rsid w:val="00200B09"/>
    <w:rsid w:val="00202D40"/>
    <w:rsid w:val="00202FD6"/>
    <w:rsid w:val="00214BDF"/>
    <w:rsid w:val="00226D8D"/>
    <w:rsid w:val="00230AB6"/>
    <w:rsid w:val="002360AB"/>
    <w:rsid w:val="00253CE9"/>
    <w:rsid w:val="0026040B"/>
    <w:rsid w:val="002661D7"/>
    <w:rsid w:val="00267D8F"/>
    <w:rsid w:val="00267E25"/>
    <w:rsid w:val="00270162"/>
    <w:rsid w:val="00274166"/>
    <w:rsid w:val="002745C1"/>
    <w:rsid w:val="002747CB"/>
    <w:rsid w:val="00280BE7"/>
    <w:rsid w:val="002836EF"/>
    <w:rsid w:val="002839E8"/>
    <w:rsid w:val="00290BDC"/>
    <w:rsid w:val="002B4146"/>
    <w:rsid w:val="002C011B"/>
    <w:rsid w:val="002C2705"/>
    <w:rsid w:val="002C5FC1"/>
    <w:rsid w:val="002D6D0E"/>
    <w:rsid w:val="002D7824"/>
    <w:rsid w:val="002E2BEB"/>
    <w:rsid w:val="002E4995"/>
    <w:rsid w:val="002F1243"/>
    <w:rsid w:val="002F34D2"/>
    <w:rsid w:val="002F3DD7"/>
    <w:rsid w:val="002F5E2E"/>
    <w:rsid w:val="002F7CC0"/>
    <w:rsid w:val="003167EC"/>
    <w:rsid w:val="00317D77"/>
    <w:rsid w:val="0035234A"/>
    <w:rsid w:val="003550B0"/>
    <w:rsid w:val="003617C3"/>
    <w:rsid w:val="003771BA"/>
    <w:rsid w:val="0039188C"/>
    <w:rsid w:val="00397729"/>
    <w:rsid w:val="003A0197"/>
    <w:rsid w:val="003A3A64"/>
    <w:rsid w:val="003C1AA7"/>
    <w:rsid w:val="003D6E0B"/>
    <w:rsid w:val="003E75F8"/>
    <w:rsid w:val="00412B36"/>
    <w:rsid w:val="00426718"/>
    <w:rsid w:val="0043038A"/>
    <w:rsid w:val="004333AD"/>
    <w:rsid w:val="00434D08"/>
    <w:rsid w:val="00453DBD"/>
    <w:rsid w:val="0046556D"/>
    <w:rsid w:val="00482126"/>
    <w:rsid w:val="004824A0"/>
    <w:rsid w:val="0049180D"/>
    <w:rsid w:val="00495F26"/>
    <w:rsid w:val="00496A3E"/>
    <w:rsid w:val="00497FEC"/>
    <w:rsid w:val="004A121C"/>
    <w:rsid w:val="004A1D70"/>
    <w:rsid w:val="004A580A"/>
    <w:rsid w:val="004B3861"/>
    <w:rsid w:val="004B66A8"/>
    <w:rsid w:val="004D1B17"/>
    <w:rsid w:val="004D7FC4"/>
    <w:rsid w:val="004E1BCE"/>
    <w:rsid w:val="005136EE"/>
    <w:rsid w:val="005145A9"/>
    <w:rsid w:val="00521682"/>
    <w:rsid w:val="00522645"/>
    <w:rsid w:val="00537A99"/>
    <w:rsid w:val="00550557"/>
    <w:rsid w:val="0055161B"/>
    <w:rsid w:val="00551B97"/>
    <w:rsid w:val="0056495B"/>
    <w:rsid w:val="00570F4C"/>
    <w:rsid w:val="005732CA"/>
    <w:rsid w:val="00574B48"/>
    <w:rsid w:val="00574B75"/>
    <w:rsid w:val="00584C2D"/>
    <w:rsid w:val="005B224E"/>
    <w:rsid w:val="005C12FE"/>
    <w:rsid w:val="005C2AEA"/>
    <w:rsid w:val="005C3A78"/>
    <w:rsid w:val="005E71EE"/>
    <w:rsid w:val="005E7ED7"/>
    <w:rsid w:val="005F50B9"/>
    <w:rsid w:val="005F50BB"/>
    <w:rsid w:val="00600425"/>
    <w:rsid w:val="006055D3"/>
    <w:rsid w:val="00606980"/>
    <w:rsid w:val="00606B9B"/>
    <w:rsid w:val="00607D59"/>
    <w:rsid w:val="00617766"/>
    <w:rsid w:val="00622AF9"/>
    <w:rsid w:val="00640CD9"/>
    <w:rsid w:val="00640F21"/>
    <w:rsid w:val="006439DF"/>
    <w:rsid w:val="00654882"/>
    <w:rsid w:val="00692FBE"/>
    <w:rsid w:val="006A0C74"/>
    <w:rsid w:val="006B0FC8"/>
    <w:rsid w:val="006B10C5"/>
    <w:rsid w:val="006B54C7"/>
    <w:rsid w:val="006C2225"/>
    <w:rsid w:val="006F1CD6"/>
    <w:rsid w:val="006F1E41"/>
    <w:rsid w:val="006F552A"/>
    <w:rsid w:val="006F63AA"/>
    <w:rsid w:val="00702AF5"/>
    <w:rsid w:val="00710269"/>
    <w:rsid w:val="00732CDD"/>
    <w:rsid w:val="00734295"/>
    <w:rsid w:val="00734BF5"/>
    <w:rsid w:val="007458FF"/>
    <w:rsid w:val="00747EBA"/>
    <w:rsid w:val="00750118"/>
    <w:rsid w:val="00757D55"/>
    <w:rsid w:val="007638EB"/>
    <w:rsid w:val="00765BBB"/>
    <w:rsid w:val="00776666"/>
    <w:rsid w:val="007809DD"/>
    <w:rsid w:val="00782025"/>
    <w:rsid w:val="007822FF"/>
    <w:rsid w:val="007A108D"/>
    <w:rsid w:val="007A602D"/>
    <w:rsid w:val="007C26E0"/>
    <w:rsid w:val="007C3CD7"/>
    <w:rsid w:val="007D37D2"/>
    <w:rsid w:val="007D3D88"/>
    <w:rsid w:val="007D64F8"/>
    <w:rsid w:val="007E0F0D"/>
    <w:rsid w:val="007E78F3"/>
    <w:rsid w:val="007F1113"/>
    <w:rsid w:val="007F2209"/>
    <w:rsid w:val="00810B28"/>
    <w:rsid w:val="00820EAF"/>
    <w:rsid w:val="008213D2"/>
    <w:rsid w:val="008228D4"/>
    <w:rsid w:val="008277E1"/>
    <w:rsid w:val="00832D13"/>
    <w:rsid w:val="00836FCB"/>
    <w:rsid w:val="008430E8"/>
    <w:rsid w:val="00843E31"/>
    <w:rsid w:val="00844AA5"/>
    <w:rsid w:val="00846136"/>
    <w:rsid w:val="008523D7"/>
    <w:rsid w:val="008776F7"/>
    <w:rsid w:val="008830A3"/>
    <w:rsid w:val="00885152"/>
    <w:rsid w:val="00886583"/>
    <w:rsid w:val="00891AC2"/>
    <w:rsid w:val="008923EF"/>
    <w:rsid w:val="00896A4D"/>
    <w:rsid w:val="008A7EAA"/>
    <w:rsid w:val="008B29FD"/>
    <w:rsid w:val="008B78CC"/>
    <w:rsid w:val="008C59DB"/>
    <w:rsid w:val="008D37AB"/>
    <w:rsid w:val="008D6BEB"/>
    <w:rsid w:val="008E0F22"/>
    <w:rsid w:val="008E6DF2"/>
    <w:rsid w:val="008E7999"/>
    <w:rsid w:val="008F2246"/>
    <w:rsid w:val="00903A87"/>
    <w:rsid w:val="00906F82"/>
    <w:rsid w:val="009263F8"/>
    <w:rsid w:val="009310E4"/>
    <w:rsid w:val="00933540"/>
    <w:rsid w:val="00941BA7"/>
    <w:rsid w:val="009432BC"/>
    <w:rsid w:val="0095439C"/>
    <w:rsid w:val="009720AA"/>
    <w:rsid w:val="0098514B"/>
    <w:rsid w:val="009903BF"/>
    <w:rsid w:val="00994951"/>
    <w:rsid w:val="009B09CD"/>
    <w:rsid w:val="009B6AB6"/>
    <w:rsid w:val="009C7807"/>
    <w:rsid w:val="009D6626"/>
    <w:rsid w:val="009E1314"/>
    <w:rsid w:val="009E380B"/>
    <w:rsid w:val="009F2CBE"/>
    <w:rsid w:val="009F55AB"/>
    <w:rsid w:val="00A0616A"/>
    <w:rsid w:val="00A12774"/>
    <w:rsid w:val="00A1284F"/>
    <w:rsid w:val="00A15C9A"/>
    <w:rsid w:val="00A21B94"/>
    <w:rsid w:val="00A22187"/>
    <w:rsid w:val="00A22AB9"/>
    <w:rsid w:val="00A27B6F"/>
    <w:rsid w:val="00A439A5"/>
    <w:rsid w:val="00A442F8"/>
    <w:rsid w:val="00A836A0"/>
    <w:rsid w:val="00A84900"/>
    <w:rsid w:val="00A87727"/>
    <w:rsid w:val="00A95D7E"/>
    <w:rsid w:val="00AA1200"/>
    <w:rsid w:val="00AA69F7"/>
    <w:rsid w:val="00AB2E46"/>
    <w:rsid w:val="00AB655F"/>
    <w:rsid w:val="00AC6564"/>
    <w:rsid w:val="00AD05DD"/>
    <w:rsid w:val="00AE4B43"/>
    <w:rsid w:val="00AE4F6E"/>
    <w:rsid w:val="00AF387E"/>
    <w:rsid w:val="00AF5A92"/>
    <w:rsid w:val="00AF6464"/>
    <w:rsid w:val="00B03CF6"/>
    <w:rsid w:val="00B16ACA"/>
    <w:rsid w:val="00B276A4"/>
    <w:rsid w:val="00B355E0"/>
    <w:rsid w:val="00B45EA6"/>
    <w:rsid w:val="00B5025F"/>
    <w:rsid w:val="00B65FB3"/>
    <w:rsid w:val="00B679A1"/>
    <w:rsid w:val="00B71906"/>
    <w:rsid w:val="00B777EC"/>
    <w:rsid w:val="00B83864"/>
    <w:rsid w:val="00B848DD"/>
    <w:rsid w:val="00B85E4F"/>
    <w:rsid w:val="00BA1DB8"/>
    <w:rsid w:val="00BA4368"/>
    <w:rsid w:val="00BA5A78"/>
    <w:rsid w:val="00BA6009"/>
    <w:rsid w:val="00BB111A"/>
    <w:rsid w:val="00BB48BA"/>
    <w:rsid w:val="00BC336A"/>
    <w:rsid w:val="00BC6DC8"/>
    <w:rsid w:val="00BD6D70"/>
    <w:rsid w:val="00BE2A13"/>
    <w:rsid w:val="00BE675D"/>
    <w:rsid w:val="00BF4C17"/>
    <w:rsid w:val="00C11A25"/>
    <w:rsid w:val="00C260A7"/>
    <w:rsid w:val="00C4206A"/>
    <w:rsid w:val="00C446AE"/>
    <w:rsid w:val="00C5107B"/>
    <w:rsid w:val="00C66892"/>
    <w:rsid w:val="00C70CFA"/>
    <w:rsid w:val="00C75FDD"/>
    <w:rsid w:val="00CA4EFA"/>
    <w:rsid w:val="00CB19A9"/>
    <w:rsid w:val="00CB39E4"/>
    <w:rsid w:val="00CC5804"/>
    <w:rsid w:val="00CE10B3"/>
    <w:rsid w:val="00CF18C5"/>
    <w:rsid w:val="00CF3689"/>
    <w:rsid w:val="00CF7EB8"/>
    <w:rsid w:val="00D05795"/>
    <w:rsid w:val="00D05957"/>
    <w:rsid w:val="00D14EA9"/>
    <w:rsid w:val="00D219AF"/>
    <w:rsid w:val="00D3626A"/>
    <w:rsid w:val="00D40DD1"/>
    <w:rsid w:val="00D43A87"/>
    <w:rsid w:val="00D465D7"/>
    <w:rsid w:val="00D47A49"/>
    <w:rsid w:val="00D554C3"/>
    <w:rsid w:val="00D63739"/>
    <w:rsid w:val="00D65831"/>
    <w:rsid w:val="00D67106"/>
    <w:rsid w:val="00D741C2"/>
    <w:rsid w:val="00D874F8"/>
    <w:rsid w:val="00D9262B"/>
    <w:rsid w:val="00D92A0C"/>
    <w:rsid w:val="00DA1829"/>
    <w:rsid w:val="00DA327D"/>
    <w:rsid w:val="00DA3994"/>
    <w:rsid w:val="00DB0CC2"/>
    <w:rsid w:val="00DB33C6"/>
    <w:rsid w:val="00DB5D38"/>
    <w:rsid w:val="00DC14BB"/>
    <w:rsid w:val="00DC40E1"/>
    <w:rsid w:val="00DC5B63"/>
    <w:rsid w:val="00DC765F"/>
    <w:rsid w:val="00DE4672"/>
    <w:rsid w:val="00DE5E30"/>
    <w:rsid w:val="00DF14AE"/>
    <w:rsid w:val="00DF5BCD"/>
    <w:rsid w:val="00E053AC"/>
    <w:rsid w:val="00E053FD"/>
    <w:rsid w:val="00E24459"/>
    <w:rsid w:val="00E2477E"/>
    <w:rsid w:val="00E26B72"/>
    <w:rsid w:val="00E70CB9"/>
    <w:rsid w:val="00E84B04"/>
    <w:rsid w:val="00E907D6"/>
    <w:rsid w:val="00E90CD6"/>
    <w:rsid w:val="00E91F4B"/>
    <w:rsid w:val="00EA64BC"/>
    <w:rsid w:val="00EB1A1E"/>
    <w:rsid w:val="00EB69AE"/>
    <w:rsid w:val="00EC37D9"/>
    <w:rsid w:val="00EC593E"/>
    <w:rsid w:val="00EE516D"/>
    <w:rsid w:val="00EF228B"/>
    <w:rsid w:val="00F00499"/>
    <w:rsid w:val="00F02801"/>
    <w:rsid w:val="00F02D83"/>
    <w:rsid w:val="00F056C2"/>
    <w:rsid w:val="00F1372D"/>
    <w:rsid w:val="00F16C86"/>
    <w:rsid w:val="00F25B3C"/>
    <w:rsid w:val="00F313B7"/>
    <w:rsid w:val="00F414D7"/>
    <w:rsid w:val="00F53EEA"/>
    <w:rsid w:val="00F67C2A"/>
    <w:rsid w:val="00F70A96"/>
    <w:rsid w:val="00F827DA"/>
    <w:rsid w:val="00FC55C6"/>
    <w:rsid w:val="00FC5803"/>
    <w:rsid w:val="00FD4A52"/>
    <w:rsid w:val="00FE55F2"/>
    <w:rsid w:val="00FF0505"/>
    <w:rsid w:val="00FF2B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F8F0"/>
  <w15:chartTrackingRefBased/>
  <w15:docId w15:val="{7644E897-4C11-4A52-A48B-844AC146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D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D70"/>
    <w:pPr>
      <w:tabs>
        <w:tab w:val="center" w:pos="4419"/>
        <w:tab w:val="right" w:pos="8838"/>
      </w:tabs>
    </w:pPr>
  </w:style>
  <w:style w:type="character" w:customStyle="1" w:styleId="EncabezadoCar">
    <w:name w:val="Encabezado Car"/>
    <w:basedOn w:val="Fuentedeprrafopredeter"/>
    <w:link w:val="Encabezado"/>
    <w:uiPriority w:val="99"/>
    <w:rsid w:val="004A1D70"/>
  </w:style>
  <w:style w:type="paragraph" w:styleId="Piedepgina">
    <w:name w:val="footer"/>
    <w:basedOn w:val="Normal"/>
    <w:link w:val="PiedepginaCar"/>
    <w:uiPriority w:val="99"/>
    <w:unhideWhenUsed/>
    <w:rsid w:val="004A1D70"/>
    <w:pPr>
      <w:tabs>
        <w:tab w:val="center" w:pos="4419"/>
        <w:tab w:val="right" w:pos="8838"/>
      </w:tabs>
    </w:pPr>
  </w:style>
  <w:style w:type="character" w:customStyle="1" w:styleId="PiedepginaCar">
    <w:name w:val="Pie de página Car"/>
    <w:basedOn w:val="Fuentedeprrafopredeter"/>
    <w:link w:val="Piedepgina"/>
    <w:uiPriority w:val="99"/>
    <w:rsid w:val="004A1D70"/>
  </w:style>
  <w:style w:type="paragraph" w:styleId="Prrafodelista">
    <w:name w:val="List Paragraph"/>
    <w:basedOn w:val="Normal"/>
    <w:uiPriority w:val="34"/>
    <w:qFormat/>
    <w:rsid w:val="004A1D70"/>
    <w:pPr>
      <w:ind w:left="720"/>
      <w:contextualSpacing/>
    </w:p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unhideWhenUsed/>
    <w:qFormat/>
    <w:rsid w:val="004A1D70"/>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4A1D70"/>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basedOn w:val="Fuentedeprrafopredeter"/>
    <w:link w:val="4GChar"/>
    <w:uiPriority w:val="99"/>
    <w:unhideWhenUsed/>
    <w:qFormat/>
    <w:rsid w:val="004A1D70"/>
    <w:rPr>
      <w:vertAlign w:val="superscript"/>
    </w:rPr>
  </w:style>
  <w:style w:type="paragraph" w:styleId="Sinespaciado">
    <w:name w:val="No Spacing"/>
    <w:aliases w:val="C. Extensa,CITA 1"/>
    <w:link w:val="SinespaciadoCar"/>
    <w:uiPriority w:val="1"/>
    <w:qFormat/>
    <w:rsid w:val="002747CB"/>
    <w:pPr>
      <w:jc w:val="left"/>
    </w:pPr>
    <w:rPr>
      <w:rFonts w:ascii="Calibri" w:eastAsia="SimSun" w:hAnsi="Calibri" w:cs="Times New Roman"/>
      <w:sz w:val="22"/>
      <w:szCs w:val="22"/>
    </w:rPr>
  </w:style>
  <w:style w:type="character" w:customStyle="1" w:styleId="SinespaciadoCar">
    <w:name w:val="Sin espaciado Car"/>
    <w:aliases w:val="C. Extensa Car,CITA 1 Car"/>
    <w:link w:val="Sinespaciado"/>
    <w:uiPriority w:val="1"/>
    <w:locked/>
    <w:rsid w:val="002747CB"/>
    <w:rPr>
      <w:rFonts w:ascii="Calibri" w:eastAsia="SimSun" w:hAnsi="Calibri" w:cs="Times New Roman"/>
      <w:sz w:val="22"/>
      <w:szCs w:val="22"/>
    </w:rPr>
  </w:style>
  <w:style w:type="paragraph" w:customStyle="1" w:styleId="Sinespaciado1">
    <w:name w:val="Sin espaciado1"/>
    <w:link w:val="NoSpacingChar"/>
    <w:qFormat/>
    <w:rsid w:val="002747CB"/>
    <w:pPr>
      <w:jc w:val="left"/>
    </w:pPr>
    <w:rPr>
      <w:rFonts w:ascii="Times New Roman" w:eastAsia="Times New Roman" w:hAnsi="Times New Roman" w:cs="Times New Roman"/>
      <w:sz w:val="24"/>
      <w:szCs w:val="24"/>
      <w:lang w:eastAsia="es-ES"/>
    </w:rPr>
  </w:style>
  <w:style w:type="character" w:customStyle="1" w:styleId="NoSpacingChar">
    <w:name w:val="No Spacing Char"/>
    <w:link w:val="Sinespaciado1"/>
    <w:locked/>
    <w:rsid w:val="002747CB"/>
    <w:rPr>
      <w:rFonts w:ascii="Times New Roman" w:eastAsia="Times New Roman" w:hAnsi="Times New Roman" w:cs="Times New Roman"/>
      <w:sz w:val="24"/>
      <w:szCs w:val="24"/>
      <w:lang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C336A"/>
    <w:rPr>
      <w:vertAlign w:val="superscript"/>
    </w:rPr>
  </w:style>
  <w:style w:type="paragraph" w:styleId="Textosinformato">
    <w:name w:val="Plain Text"/>
    <w:basedOn w:val="Normal"/>
    <w:link w:val="TextosinformatoCar"/>
    <w:unhideWhenUsed/>
    <w:qFormat/>
    <w:rsid w:val="00BC336A"/>
    <w:pPr>
      <w:jc w:val="left"/>
    </w:pPr>
    <w:rPr>
      <w:rFonts w:ascii="Courier New" w:eastAsia="Times New Roman" w:hAnsi="Courier New" w:cs="Times New Roman"/>
      <w:lang w:val="es-ES" w:eastAsia="es-ES"/>
    </w:rPr>
  </w:style>
  <w:style w:type="character" w:customStyle="1" w:styleId="TextosinformatoCar">
    <w:name w:val="Texto sin formato Car"/>
    <w:basedOn w:val="Fuentedeprrafopredeter"/>
    <w:link w:val="Textosinformato"/>
    <w:qFormat/>
    <w:rsid w:val="00BC336A"/>
    <w:rPr>
      <w:rFonts w:ascii="Courier New" w:eastAsia="Times New Roman" w:hAnsi="Courier New" w:cs="Times New Roman"/>
      <w:lang w:val="es-ES" w:eastAsia="es-ES"/>
    </w:rPr>
  </w:style>
  <w:style w:type="character" w:styleId="Refdecomentario">
    <w:name w:val="annotation reference"/>
    <w:basedOn w:val="Fuentedeprrafopredeter"/>
    <w:uiPriority w:val="99"/>
    <w:semiHidden/>
    <w:unhideWhenUsed/>
    <w:rsid w:val="009E380B"/>
    <w:rPr>
      <w:sz w:val="16"/>
      <w:szCs w:val="16"/>
    </w:rPr>
  </w:style>
  <w:style w:type="paragraph" w:styleId="Textocomentario">
    <w:name w:val="annotation text"/>
    <w:basedOn w:val="Normal"/>
    <w:link w:val="TextocomentarioCar"/>
    <w:uiPriority w:val="99"/>
    <w:semiHidden/>
    <w:unhideWhenUsed/>
    <w:rsid w:val="009E380B"/>
  </w:style>
  <w:style w:type="character" w:customStyle="1" w:styleId="TextocomentarioCar">
    <w:name w:val="Texto comentario Car"/>
    <w:basedOn w:val="Fuentedeprrafopredeter"/>
    <w:link w:val="Textocomentario"/>
    <w:uiPriority w:val="99"/>
    <w:semiHidden/>
    <w:rsid w:val="009E380B"/>
  </w:style>
  <w:style w:type="paragraph" w:styleId="Asuntodelcomentario">
    <w:name w:val="annotation subject"/>
    <w:basedOn w:val="Textocomentario"/>
    <w:next w:val="Textocomentario"/>
    <w:link w:val="AsuntodelcomentarioCar"/>
    <w:uiPriority w:val="99"/>
    <w:semiHidden/>
    <w:unhideWhenUsed/>
    <w:rsid w:val="009E380B"/>
    <w:rPr>
      <w:b/>
      <w:bCs/>
    </w:rPr>
  </w:style>
  <w:style w:type="character" w:customStyle="1" w:styleId="AsuntodelcomentarioCar">
    <w:name w:val="Asunto del comentario Car"/>
    <w:basedOn w:val="TextocomentarioCar"/>
    <w:link w:val="Asuntodelcomentario"/>
    <w:uiPriority w:val="99"/>
    <w:semiHidden/>
    <w:rsid w:val="009E380B"/>
    <w:rPr>
      <w:b/>
      <w:bCs/>
    </w:rPr>
  </w:style>
  <w:style w:type="paragraph" w:styleId="Textodeglobo">
    <w:name w:val="Balloon Text"/>
    <w:basedOn w:val="Normal"/>
    <w:link w:val="TextodegloboCar"/>
    <w:uiPriority w:val="99"/>
    <w:semiHidden/>
    <w:unhideWhenUsed/>
    <w:rsid w:val="009E38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380B"/>
    <w:rPr>
      <w:rFonts w:ascii="Segoe UI" w:hAnsi="Segoe UI" w:cs="Segoe UI"/>
      <w:sz w:val="18"/>
      <w:szCs w:val="18"/>
    </w:rPr>
  </w:style>
  <w:style w:type="table" w:styleId="Tablaconcuadrcula">
    <w:name w:val="Table Grid"/>
    <w:basedOn w:val="Tablanormal"/>
    <w:uiPriority w:val="39"/>
    <w:rsid w:val="00A2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27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6" ma:contentTypeDescription="Crear nuevo documento." ma:contentTypeScope="" ma:versionID="56dabe277afbfec0f09f38f57a501054">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3f844d84c58f5f9e77e42ef56eac6e81"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055F0-6D6A-4674-A550-402D3D9557B8}">
  <ds:schemaRefs>
    <ds:schemaRef ds:uri="http://schemas.microsoft.com/sharepoint/v3/contenttype/forms"/>
  </ds:schemaRefs>
</ds:datastoreItem>
</file>

<file path=customXml/itemProps2.xml><?xml version="1.0" encoding="utf-8"?>
<ds:datastoreItem xmlns:ds="http://schemas.openxmlformats.org/officeDocument/2006/customXml" ds:itemID="{9C6E20FF-1375-4BFF-9D15-2ED03006D0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447E23-78B9-417A-B4CD-6898B3953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87067-A6B0-47CA-9546-B975C10D3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5127</Words>
  <Characters>28200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2</cp:revision>
  <dcterms:created xsi:type="dcterms:W3CDTF">2021-10-20T13:10:00Z</dcterms:created>
  <dcterms:modified xsi:type="dcterms:W3CDTF">2021-10-20T13:10:00Z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