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0BD6F" w14:textId="77777777" w:rsidR="009E3ECE" w:rsidRPr="00D423FF" w:rsidRDefault="009E3ECE" w:rsidP="00390E15">
      <w:pPr>
        <w:pStyle w:val="Sinespaciado"/>
        <w:rPr>
          <w:color w:val="auto"/>
          <w:szCs w:val="24"/>
        </w:rPr>
      </w:pPr>
      <w:r w:rsidRPr="00D423FF">
        <w:rPr>
          <w:color w:val="auto"/>
          <w:szCs w:val="24"/>
        </w:rPr>
        <w:t>CONSEJERO PONENTE: JAIME ENRIQUE RODRÍGUEZ NAVAS</w:t>
      </w:r>
    </w:p>
    <w:p w14:paraId="66003472" w14:textId="77777777" w:rsidR="009E3ECE" w:rsidRPr="00D423FF" w:rsidRDefault="009E3ECE" w:rsidP="00390E15">
      <w:pPr>
        <w:contextualSpacing/>
        <w:rPr>
          <w:b/>
          <w:bCs/>
          <w:sz w:val="24"/>
          <w:szCs w:val="24"/>
        </w:rPr>
      </w:pPr>
    </w:p>
    <w:p w14:paraId="7543FA58" w14:textId="6D9D6E74" w:rsidR="00FE5C9F" w:rsidRPr="00D423FF" w:rsidRDefault="00B723AB" w:rsidP="00390E15">
      <w:pPr>
        <w:contextualSpacing/>
        <w:rPr>
          <w:bCs/>
          <w:sz w:val="24"/>
          <w:szCs w:val="24"/>
          <w:lang w:val="es-ES"/>
        </w:rPr>
      </w:pPr>
      <w:r>
        <w:rPr>
          <w:bCs/>
          <w:sz w:val="24"/>
          <w:szCs w:val="24"/>
        </w:rPr>
        <w:t>Bogotá D.C., quince (15</w:t>
      </w:r>
      <w:r w:rsidR="00D967B7" w:rsidRPr="00D423FF">
        <w:rPr>
          <w:bCs/>
          <w:sz w:val="24"/>
          <w:szCs w:val="24"/>
        </w:rPr>
        <w:t>) de</w:t>
      </w:r>
      <w:r w:rsidR="00153575" w:rsidRPr="00D423FF">
        <w:rPr>
          <w:bCs/>
          <w:sz w:val="24"/>
          <w:szCs w:val="24"/>
        </w:rPr>
        <w:t xml:space="preserve"> </w:t>
      </w:r>
      <w:r>
        <w:rPr>
          <w:bCs/>
          <w:sz w:val="24"/>
          <w:szCs w:val="24"/>
        </w:rPr>
        <w:t>octubre</w:t>
      </w:r>
      <w:r w:rsidR="00153575" w:rsidRPr="00D423FF">
        <w:rPr>
          <w:bCs/>
          <w:sz w:val="24"/>
          <w:szCs w:val="24"/>
        </w:rPr>
        <w:t xml:space="preserve"> </w:t>
      </w:r>
      <w:r w:rsidR="00D967B7" w:rsidRPr="00D423FF">
        <w:rPr>
          <w:bCs/>
          <w:sz w:val="24"/>
          <w:szCs w:val="24"/>
        </w:rPr>
        <w:t>de dos mil veintiuno (2021)</w:t>
      </w:r>
    </w:p>
    <w:p w14:paraId="4BE8022C" w14:textId="77777777" w:rsidR="00FE5C9F" w:rsidRPr="00D423FF" w:rsidRDefault="00FE5C9F" w:rsidP="00390E15">
      <w:pPr>
        <w:contextualSpacing/>
        <w:rPr>
          <w:b/>
          <w:sz w:val="24"/>
          <w:szCs w:val="24"/>
        </w:rPr>
      </w:pPr>
    </w:p>
    <w:p w14:paraId="669AB821" w14:textId="77777777" w:rsidR="00621B4D" w:rsidRPr="00694C3A" w:rsidRDefault="00621B4D" w:rsidP="00621B4D">
      <w:pPr>
        <w:ind w:left="1985" w:hanging="1985"/>
        <w:contextualSpacing/>
        <w:rPr>
          <w:b/>
          <w:sz w:val="24"/>
          <w:szCs w:val="24"/>
        </w:rPr>
      </w:pPr>
      <w:r w:rsidRPr="00694C3A">
        <w:rPr>
          <w:b/>
          <w:sz w:val="24"/>
          <w:szCs w:val="24"/>
        </w:rPr>
        <w:t xml:space="preserve">Referencia: </w:t>
      </w:r>
      <w:r w:rsidRPr="00694C3A">
        <w:rPr>
          <w:b/>
          <w:sz w:val="24"/>
          <w:szCs w:val="24"/>
        </w:rPr>
        <w:tab/>
      </w:r>
      <w:r w:rsidRPr="00694C3A">
        <w:rPr>
          <w:sz w:val="24"/>
          <w:szCs w:val="24"/>
        </w:rPr>
        <w:t>Acción de tutela</w:t>
      </w:r>
    </w:p>
    <w:p w14:paraId="5896AA1F" w14:textId="77777777" w:rsidR="00621B4D" w:rsidRPr="00694C3A" w:rsidRDefault="00621B4D" w:rsidP="00621B4D">
      <w:pPr>
        <w:tabs>
          <w:tab w:val="left" w:pos="1985"/>
        </w:tabs>
        <w:contextualSpacing/>
        <w:rPr>
          <w:sz w:val="24"/>
          <w:szCs w:val="24"/>
        </w:rPr>
      </w:pPr>
      <w:r w:rsidRPr="00694C3A">
        <w:rPr>
          <w:b/>
          <w:sz w:val="24"/>
          <w:szCs w:val="24"/>
        </w:rPr>
        <w:t>Radicación:</w:t>
      </w:r>
      <w:r w:rsidRPr="00694C3A">
        <w:rPr>
          <w:b/>
          <w:sz w:val="24"/>
          <w:szCs w:val="24"/>
        </w:rPr>
        <w:tab/>
      </w:r>
      <w:r w:rsidRPr="00D2269A">
        <w:rPr>
          <w:bCs/>
          <w:sz w:val="24"/>
          <w:szCs w:val="24"/>
        </w:rPr>
        <w:t>11001</w:t>
      </w:r>
      <w:r>
        <w:rPr>
          <w:bCs/>
          <w:sz w:val="24"/>
          <w:szCs w:val="24"/>
        </w:rPr>
        <w:t>-</w:t>
      </w:r>
      <w:r w:rsidRPr="00D2269A">
        <w:rPr>
          <w:bCs/>
          <w:sz w:val="24"/>
          <w:szCs w:val="24"/>
        </w:rPr>
        <w:t>03</w:t>
      </w:r>
      <w:r>
        <w:rPr>
          <w:bCs/>
          <w:sz w:val="24"/>
          <w:szCs w:val="24"/>
        </w:rPr>
        <w:t>-</w:t>
      </w:r>
      <w:r w:rsidRPr="00D2269A">
        <w:rPr>
          <w:bCs/>
          <w:sz w:val="24"/>
          <w:szCs w:val="24"/>
        </w:rPr>
        <w:t>15</w:t>
      </w:r>
      <w:r>
        <w:rPr>
          <w:bCs/>
          <w:sz w:val="24"/>
          <w:szCs w:val="24"/>
        </w:rPr>
        <w:t>-</w:t>
      </w:r>
      <w:r w:rsidRPr="00D2269A">
        <w:rPr>
          <w:bCs/>
          <w:sz w:val="24"/>
          <w:szCs w:val="24"/>
        </w:rPr>
        <w:t>000</w:t>
      </w:r>
      <w:r>
        <w:rPr>
          <w:bCs/>
          <w:sz w:val="24"/>
          <w:szCs w:val="24"/>
        </w:rPr>
        <w:t>-</w:t>
      </w:r>
      <w:r w:rsidRPr="00D2269A">
        <w:rPr>
          <w:bCs/>
          <w:sz w:val="24"/>
          <w:szCs w:val="24"/>
        </w:rPr>
        <w:t>2021</w:t>
      </w:r>
      <w:r>
        <w:rPr>
          <w:bCs/>
          <w:sz w:val="24"/>
          <w:szCs w:val="24"/>
        </w:rPr>
        <w:t>-05134-</w:t>
      </w:r>
      <w:r w:rsidRPr="00D2269A">
        <w:rPr>
          <w:bCs/>
          <w:sz w:val="24"/>
          <w:szCs w:val="24"/>
        </w:rPr>
        <w:t>00</w:t>
      </w:r>
    </w:p>
    <w:p w14:paraId="270942D3" w14:textId="77777777" w:rsidR="00621B4D" w:rsidRPr="00B77485" w:rsidRDefault="00621B4D" w:rsidP="00621B4D">
      <w:pPr>
        <w:tabs>
          <w:tab w:val="left" w:pos="1985"/>
        </w:tabs>
        <w:ind w:left="1980" w:hanging="1980"/>
        <w:contextualSpacing/>
        <w:rPr>
          <w:sz w:val="24"/>
          <w:szCs w:val="24"/>
        </w:rPr>
      </w:pPr>
      <w:r w:rsidRPr="00694C3A">
        <w:rPr>
          <w:b/>
          <w:sz w:val="24"/>
          <w:szCs w:val="24"/>
        </w:rPr>
        <w:t>Accionante:</w:t>
      </w:r>
      <w:r>
        <w:rPr>
          <w:b/>
          <w:sz w:val="24"/>
          <w:szCs w:val="24"/>
        </w:rPr>
        <w:tab/>
      </w:r>
      <w:r>
        <w:rPr>
          <w:sz w:val="24"/>
          <w:szCs w:val="24"/>
        </w:rPr>
        <w:t xml:space="preserve">Gonzalo Mejía </w:t>
      </w:r>
      <w:proofErr w:type="spellStart"/>
      <w:r>
        <w:rPr>
          <w:sz w:val="24"/>
          <w:szCs w:val="24"/>
        </w:rPr>
        <w:t>Abello</w:t>
      </w:r>
      <w:proofErr w:type="spellEnd"/>
    </w:p>
    <w:p w14:paraId="31471F1C" w14:textId="06CF682F" w:rsidR="00FE5C9F" w:rsidRDefault="00621B4D" w:rsidP="00621B4D">
      <w:pPr>
        <w:tabs>
          <w:tab w:val="left" w:pos="8222"/>
        </w:tabs>
        <w:ind w:right="51"/>
        <w:contextualSpacing/>
        <w:rPr>
          <w:b/>
          <w:sz w:val="24"/>
          <w:szCs w:val="24"/>
        </w:rPr>
      </w:pPr>
      <w:r w:rsidRPr="00694C3A">
        <w:rPr>
          <w:b/>
          <w:sz w:val="24"/>
          <w:szCs w:val="24"/>
        </w:rPr>
        <w:t>Accionado:</w:t>
      </w:r>
      <w:r>
        <w:rPr>
          <w:b/>
          <w:sz w:val="24"/>
          <w:szCs w:val="24"/>
        </w:rPr>
        <w:t xml:space="preserve">          </w:t>
      </w:r>
      <w:r>
        <w:rPr>
          <w:sz w:val="24"/>
          <w:szCs w:val="24"/>
        </w:rPr>
        <w:t>Tribunal Administrativo de Santander</w:t>
      </w:r>
    </w:p>
    <w:p w14:paraId="279854ED" w14:textId="77777777" w:rsidR="00621B4D" w:rsidRPr="00D423FF" w:rsidRDefault="00621B4D" w:rsidP="00621B4D">
      <w:pPr>
        <w:tabs>
          <w:tab w:val="left" w:pos="8222"/>
        </w:tabs>
        <w:ind w:right="51"/>
        <w:contextualSpacing/>
        <w:rPr>
          <w:b/>
          <w:sz w:val="24"/>
          <w:szCs w:val="24"/>
        </w:rPr>
      </w:pPr>
    </w:p>
    <w:p w14:paraId="10814187" w14:textId="77777777" w:rsidR="00FE5C9F" w:rsidRPr="00D423FF" w:rsidRDefault="00FE5C9F" w:rsidP="00390E15">
      <w:pPr>
        <w:pBdr>
          <w:bottom w:val="single" w:sz="12" w:space="0" w:color="auto"/>
        </w:pBdr>
        <w:ind w:left="2832" w:hanging="2832"/>
        <w:contextualSpacing/>
        <w:rPr>
          <w:b/>
          <w:sz w:val="24"/>
          <w:szCs w:val="24"/>
        </w:rPr>
      </w:pPr>
      <w:r w:rsidRPr="00D423FF">
        <w:rPr>
          <w:b/>
          <w:sz w:val="24"/>
          <w:szCs w:val="24"/>
        </w:rPr>
        <w:t>SENTENCIA DE PRIMERA INSTANCIA</w:t>
      </w:r>
    </w:p>
    <w:p w14:paraId="49BB8F0A" w14:textId="77777777" w:rsidR="00FE5C9F" w:rsidRPr="00D423FF" w:rsidRDefault="00FE5C9F" w:rsidP="00390E15">
      <w:pPr>
        <w:contextualSpacing/>
        <w:jc w:val="center"/>
        <w:rPr>
          <w:b/>
          <w:sz w:val="24"/>
          <w:szCs w:val="24"/>
        </w:rPr>
      </w:pPr>
    </w:p>
    <w:p w14:paraId="3B6B58E9" w14:textId="1A48EBC9" w:rsidR="00FE5C9F" w:rsidRPr="00D423FF" w:rsidRDefault="00FE5C9F" w:rsidP="00390E15">
      <w:pPr>
        <w:pStyle w:val="Textoindependiente21"/>
        <w:spacing w:after="0"/>
        <w:ind w:left="0"/>
        <w:jc w:val="both"/>
        <w:rPr>
          <w:rFonts w:cs="Arial"/>
          <w:bCs/>
          <w:sz w:val="24"/>
          <w:szCs w:val="24"/>
          <w:lang w:val="es-CO"/>
        </w:rPr>
      </w:pPr>
      <w:r w:rsidRPr="00D423FF">
        <w:rPr>
          <w:rFonts w:cs="Arial"/>
          <w:sz w:val="24"/>
          <w:szCs w:val="24"/>
        </w:rPr>
        <w:t>La Sala decide</w:t>
      </w:r>
      <w:r w:rsidR="00FF20A7" w:rsidRPr="00D423FF">
        <w:rPr>
          <w:rFonts w:cs="Arial"/>
          <w:sz w:val="24"/>
          <w:szCs w:val="24"/>
        </w:rPr>
        <w:t>,</w:t>
      </w:r>
      <w:r w:rsidRPr="00D423FF">
        <w:rPr>
          <w:rFonts w:cs="Arial"/>
          <w:sz w:val="24"/>
          <w:szCs w:val="24"/>
        </w:rPr>
        <w:t xml:space="preserve"> en primera instancia</w:t>
      </w:r>
      <w:r w:rsidR="00FF20A7" w:rsidRPr="00D423FF">
        <w:rPr>
          <w:rFonts w:cs="Arial"/>
          <w:sz w:val="24"/>
          <w:szCs w:val="24"/>
        </w:rPr>
        <w:t>,</w:t>
      </w:r>
      <w:r w:rsidRPr="00D423FF">
        <w:rPr>
          <w:rFonts w:cs="Arial"/>
          <w:sz w:val="24"/>
          <w:szCs w:val="24"/>
        </w:rPr>
        <w:t xml:space="preserve"> la acción de tutela incoada por </w:t>
      </w:r>
      <w:r w:rsidR="00621B4D">
        <w:rPr>
          <w:sz w:val="24"/>
          <w:szCs w:val="24"/>
        </w:rPr>
        <w:t xml:space="preserve">Gonzalo Mejía </w:t>
      </w:r>
      <w:proofErr w:type="spellStart"/>
      <w:r w:rsidR="00621B4D">
        <w:rPr>
          <w:sz w:val="24"/>
          <w:szCs w:val="24"/>
        </w:rPr>
        <w:t>Abello</w:t>
      </w:r>
      <w:proofErr w:type="spellEnd"/>
      <w:r w:rsidR="007A3F17" w:rsidRPr="00D423FF">
        <w:rPr>
          <w:rFonts w:cs="Arial"/>
          <w:sz w:val="24"/>
          <w:szCs w:val="24"/>
        </w:rPr>
        <w:t>,</w:t>
      </w:r>
      <w:r w:rsidR="006C5DE5" w:rsidRPr="00D423FF">
        <w:rPr>
          <w:rFonts w:cs="Arial"/>
          <w:sz w:val="24"/>
          <w:szCs w:val="24"/>
        </w:rPr>
        <w:t xml:space="preserve"> </w:t>
      </w:r>
      <w:r w:rsidRPr="00D423FF">
        <w:rPr>
          <w:rFonts w:cs="Arial"/>
          <w:sz w:val="24"/>
          <w:szCs w:val="24"/>
        </w:rPr>
        <w:t>en contra</w:t>
      </w:r>
      <w:bookmarkStart w:id="0" w:name="_Hlk49761891"/>
      <w:r w:rsidR="00710FAD" w:rsidRPr="00D423FF">
        <w:rPr>
          <w:rFonts w:cs="Arial"/>
          <w:sz w:val="24"/>
          <w:szCs w:val="24"/>
        </w:rPr>
        <w:t xml:space="preserve"> </w:t>
      </w:r>
      <w:r w:rsidRPr="00D423FF">
        <w:rPr>
          <w:rFonts w:cs="Arial"/>
          <w:sz w:val="24"/>
          <w:szCs w:val="24"/>
        </w:rPr>
        <w:t>de</w:t>
      </w:r>
      <w:r w:rsidR="00C73602" w:rsidRPr="00D423FF">
        <w:rPr>
          <w:rFonts w:cs="Arial"/>
          <w:sz w:val="24"/>
          <w:szCs w:val="24"/>
        </w:rPr>
        <w:t>l</w:t>
      </w:r>
      <w:r w:rsidRPr="00D423FF">
        <w:rPr>
          <w:rFonts w:cs="Arial"/>
          <w:sz w:val="24"/>
          <w:szCs w:val="24"/>
        </w:rPr>
        <w:t xml:space="preserve"> </w:t>
      </w:r>
      <w:r w:rsidR="00621B4D">
        <w:rPr>
          <w:sz w:val="24"/>
          <w:szCs w:val="24"/>
        </w:rPr>
        <w:t>Tribunal Administrativo de Santander</w:t>
      </w:r>
      <w:r w:rsidRPr="00D423FF">
        <w:rPr>
          <w:rFonts w:cs="Arial"/>
          <w:bCs/>
          <w:sz w:val="24"/>
          <w:szCs w:val="24"/>
          <w:lang w:val="es-CO"/>
        </w:rPr>
        <w:t>.</w:t>
      </w:r>
    </w:p>
    <w:p w14:paraId="203EBA2A" w14:textId="77777777" w:rsidR="00FE5C9F" w:rsidRPr="00D423FF" w:rsidRDefault="00FE5C9F" w:rsidP="00390E15">
      <w:pPr>
        <w:pStyle w:val="Textoindependiente21"/>
        <w:spacing w:after="0"/>
        <w:ind w:left="0"/>
        <w:jc w:val="both"/>
        <w:rPr>
          <w:rFonts w:cs="Arial"/>
          <w:bCs/>
          <w:sz w:val="24"/>
          <w:szCs w:val="24"/>
          <w:lang w:val="es-CO"/>
        </w:rPr>
      </w:pPr>
    </w:p>
    <w:bookmarkEnd w:id="0"/>
    <w:p w14:paraId="217896BB" w14:textId="77777777" w:rsidR="00FE5C9F" w:rsidRPr="00D423FF" w:rsidRDefault="00FE5C9F" w:rsidP="00390E15">
      <w:pPr>
        <w:pStyle w:val="Ttulo1"/>
        <w:spacing w:before="0" w:after="0" w:line="240" w:lineRule="auto"/>
        <w:rPr>
          <w:rFonts w:cs="Arial"/>
          <w:szCs w:val="24"/>
        </w:rPr>
      </w:pPr>
      <w:r w:rsidRPr="00D423FF">
        <w:rPr>
          <w:rFonts w:cs="Arial"/>
          <w:szCs w:val="24"/>
        </w:rPr>
        <w:t>ANTECEDENTES</w:t>
      </w:r>
    </w:p>
    <w:p w14:paraId="2A3B43A0" w14:textId="77777777" w:rsidR="00FE5C9F" w:rsidRPr="00D423FF" w:rsidRDefault="00FE5C9F" w:rsidP="00390E15">
      <w:pPr>
        <w:rPr>
          <w:sz w:val="24"/>
          <w:szCs w:val="24"/>
        </w:rPr>
      </w:pPr>
    </w:p>
    <w:p w14:paraId="3E9E13BD" w14:textId="4C21EEDB" w:rsidR="00FE5C9F" w:rsidRPr="00D423FF" w:rsidRDefault="0064595E" w:rsidP="00390E15">
      <w:pPr>
        <w:pStyle w:val="Ttulo2"/>
        <w:numPr>
          <w:ilvl w:val="0"/>
          <w:numId w:val="0"/>
        </w:numPr>
        <w:spacing w:before="0" w:after="0"/>
        <w:ind w:left="360" w:hanging="360"/>
        <w:rPr>
          <w:rFonts w:cs="Arial"/>
          <w:szCs w:val="24"/>
          <w:lang w:eastAsia="es-ES"/>
        </w:rPr>
      </w:pPr>
      <w:r w:rsidRPr="00D423FF">
        <w:rPr>
          <w:rFonts w:cs="Arial"/>
          <w:szCs w:val="24"/>
          <w:lang w:eastAsia="es-ES"/>
        </w:rPr>
        <w:t xml:space="preserve">1.1. </w:t>
      </w:r>
      <w:r w:rsidR="00FE5C9F" w:rsidRPr="00D423FF">
        <w:rPr>
          <w:rFonts w:cs="Arial"/>
          <w:szCs w:val="24"/>
          <w:lang w:eastAsia="es-ES"/>
        </w:rPr>
        <w:t>Solicitud de tutela</w:t>
      </w:r>
    </w:p>
    <w:p w14:paraId="5167FF7E" w14:textId="77777777" w:rsidR="00FE5C9F" w:rsidRPr="00D423FF" w:rsidRDefault="00FE5C9F" w:rsidP="00390E15">
      <w:pPr>
        <w:overflowPunct w:val="0"/>
        <w:autoSpaceDE w:val="0"/>
        <w:autoSpaceDN w:val="0"/>
        <w:adjustRightInd w:val="0"/>
        <w:contextualSpacing/>
        <w:textAlignment w:val="baseline"/>
        <w:rPr>
          <w:sz w:val="24"/>
          <w:szCs w:val="24"/>
        </w:rPr>
      </w:pPr>
    </w:p>
    <w:p w14:paraId="655F1FC8" w14:textId="6058B17A" w:rsidR="00621B4D" w:rsidRDefault="00621B4D" w:rsidP="00621B4D">
      <w:pPr>
        <w:tabs>
          <w:tab w:val="left" w:pos="1985"/>
        </w:tabs>
        <w:rPr>
          <w:sz w:val="24"/>
          <w:szCs w:val="24"/>
        </w:rPr>
      </w:pPr>
      <w:r>
        <w:rPr>
          <w:sz w:val="24"/>
          <w:szCs w:val="24"/>
        </w:rPr>
        <w:t xml:space="preserve">Gonzalo Mejía </w:t>
      </w:r>
      <w:proofErr w:type="spellStart"/>
      <w:r>
        <w:rPr>
          <w:sz w:val="24"/>
          <w:szCs w:val="24"/>
        </w:rPr>
        <w:t>Abello</w:t>
      </w:r>
      <w:proofErr w:type="spellEnd"/>
      <w:r>
        <w:rPr>
          <w:sz w:val="24"/>
          <w:szCs w:val="24"/>
        </w:rPr>
        <w:t xml:space="preserve"> presentó</w:t>
      </w:r>
      <w:r w:rsidRPr="00694C3A">
        <w:rPr>
          <w:sz w:val="24"/>
          <w:szCs w:val="24"/>
        </w:rPr>
        <w:t xml:space="preserve"> acción de tutela</w:t>
      </w:r>
      <w:r>
        <w:rPr>
          <w:sz w:val="24"/>
          <w:szCs w:val="24"/>
        </w:rPr>
        <w:t xml:space="preserve">, en nombre propio, </w:t>
      </w:r>
      <w:r w:rsidRPr="00694C3A">
        <w:rPr>
          <w:sz w:val="24"/>
          <w:szCs w:val="24"/>
        </w:rPr>
        <w:t xml:space="preserve">para deprecar el amparo </w:t>
      </w:r>
      <w:r>
        <w:rPr>
          <w:sz w:val="24"/>
          <w:szCs w:val="24"/>
        </w:rPr>
        <w:t>de sus</w:t>
      </w:r>
      <w:r w:rsidRPr="00694C3A">
        <w:rPr>
          <w:sz w:val="24"/>
          <w:szCs w:val="24"/>
        </w:rPr>
        <w:t xml:space="preserve"> derecho</w:t>
      </w:r>
      <w:r>
        <w:rPr>
          <w:sz w:val="24"/>
          <w:szCs w:val="24"/>
        </w:rPr>
        <w:t>s</w:t>
      </w:r>
      <w:r w:rsidRPr="00694C3A">
        <w:rPr>
          <w:sz w:val="24"/>
          <w:szCs w:val="24"/>
        </w:rPr>
        <w:t xml:space="preserve"> fundamental</w:t>
      </w:r>
      <w:r>
        <w:rPr>
          <w:sz w:val="24"/>
          <w:szCs w:val="24"/>
        </w:rPr>
        <w:t xml:space="preserve">es a la seguridad social, a la igualdad, al mínimo vital, al debido proceso, al acceso a la administración de justicia y a la primacía del derecho sustancial, que consideró, fueron vulnerados por el Tribunal Administrativo de Santander, con ocasión de la sentencia que esta autoridad profirió el 1 de julio de 2021, dentro del proceso de nulidad y restablecimiento del derecho con radicado núm. </w:t>
      </w:r>
      <w:r w:rsidRPr="00C94663">
        <w:rPr>
          <w:sz w:val="24"/>
          <w:szCs w:val="24"/>
        </w:rPr>
        <w:t>6</w:t>
      </w:r>
      <w:r>
        <w:rPr>
          <w:sz w:val="24"/>
          <w:szCs w:val="24"/>
        </w:rPr>
        <w:t>8</w:t>
      </w:r>
      <w:r w:rsidRPr="00C94663">
        <w:rPr>
          <w:sz w:val="24"/>
          <w:szCs w:val="24"/>
        </w:rPr>
        <w:t>001</w:t>
      </w:r>
      <w:r>
        <w:rPr>
          <w:sz w:val="24"/>
          <w:szCs w:val="24"/>
        </w:rPr>
        <w:t>-</w:t>
      </w:r>
      <w:r w:rsidRPr="00C94663">
        <w:rPr>
          <w:sz w:val="24"/>
          <w:szCs w:val="24"/>
        </w:rPr>
        <w:t>33</w:t>
      </w:r>
      <w:r>
        <w:rPr>
          <w:sz w:val="24"/>
          <w:szCs w:val="24"/>
        </w:rPr>
        <w:t>-</w:t>
      </w:r>
      <w:r w:rsidRPr="00C94663">
        <w:rPr>
          <w:sz w:val="24"/>
          <w:szCs w:val="24"/>
        </w:rPr>
        <w:t>3</w:t>
      </w:r>
      <w:r>
        <w:rPr>
          <w:sz w:val="24"/>
          <w:szCs w:val="24"/>
        </w:rPr>
        <w:t>3-005-2018-00129-01.</w:t>
      </w:r>
    </w:p>
    <w:p w14:paraId="4718E0D0" w14:textId="77777777" w:rsidR="001C4D01" w:rsidRPr="00D423FF" w:rsidRDefault="001C4D01" w:rsidP="00390E15">
      <w:pPr>
        <w:contextualSpacing/>
        <w:rPr>
          <w:rFonts w:eastAsia="Verdana"/>
          <w:sz w:val="24"/>
          <w:szCs w:val="24"/>
          <w:lang w:val="es-MX"/>
        </w:rPr>
      </w:pPr>
    </w:p>
    <w:p w14:paraId="2075725E" w14:textId="1538ADB7" w:rsidR="001C4D01" w:rsidRPr="00D423FF" w:rsidRDefault="0064595E" w:rsidP="00390E15">
      <w:pPr>
        <w:contextualSpacing/>
        <w:rPr>
          <w:rFonts w:eastAsia="Verdana"/>
          <w:b/>
          <w:sz w:val="24"/>
          <w:szCs w:val="24"/>
        </w:rPr>
      </w:pPr>
      <w:r w:rsidRPr="00D423FF">
        <w:rPr>
          <w:rFonts w:eastAsia="Verdana"/>
          <w:b/>
          <w:sz w:val="24"/>
          <w:szCs w:val="24"/>
        </w:rPr>
        <w:t xml:space="preserve">1.2. </w:t>
      </w:r>
      <w:r w:rsidR="001C4D01" w:rsidRPr="00D423FF">
        <w:rPr>
          <w:rFonts w:eastAsia="Verdana"/>
          <w:b/>
          <w:sz w:val="24"/>
          <w:szCs w:val="24"/>
        </w:rPr>
        <w:t>Hechos</w:t>
      </w:r>
    </w:p>
    <w:p w14:paraId="54B13BB7" w14:textId="77777777" w:rsidR="001C4D01" w:rsidRPr="00D423FF" w:rsidRDefault="001C4D01" w:rsidP="00390E15">
      <w:pPr>
        <w:contextualSpacing/>
        <w:rPr>
          <w:rFonts w:eastAsia="Verdana"/>
          <w:sz w:val="24"/>
          <w:szCs w:val="24"/>
        </w:rPr>
      </w:pPr>
    </w:p>
    <w:p w14:paraId="73FB2B33" w14:textId="106CAB57" w:rsidR="00AF3BFF" w:rsidRDefault="0064595E" w:rsidP="00390E15">
      <w:pPr>
        <w:autoSpaceDE w:val="0"/>
        <w:autoSpaceDN w:val="0"/>
        <w:adjustRightInd w:val="0"/>
        <w:rPr>
          <w:sz w:val="24"/>
          <w:szCs w:val="24"/>
          <w:lang w:val="es-MX" w:eastAsia="ja-JP"/>
        </w:rPr>
      </w:pPr>
      <w:r w:rsidRPr="00D423FF">
        <w:rPr>
          <w:b/>
          <w:sz w:val="24"/>
          <w:szCs w:val="24"/>
          <w:lang w:val="es-MX" w:eastAsia="ja-JP"/>
        </w:rPr>
        <w:t>1.2.1</w:t>
      </w:r>
      <w:r w:rsidR="001C4D01" w:rsidRPr="00D423FF">
        <w:rPr>
          <w:b/>
          <w:sz w:val="24"/>
          <w:szCs w:val="24"/>
          <w:lang w:val="es-MX" w:eastAsia="ja-JP"/>
        </w:rPr>
        <w:t>.</w:t>
      </w:r>
      <w:r w:rsidR="00FD4B71" w:rsidRPr="00D423FF">
        <w:rPr>
          <w:sz w:val="24"/>
          <w:szCs w:val="24"/>
          <w:lang w:val="es-MX" w:eastAsia="ja-JP"/>
        </w:rPr>
        <w:t xml:space="preserve"> </w:t>
      </w:r>
      <w:r w:rsidR="00AF3BFF">
        <w:rPr>
          <w:sz w:val="24"/>
          <w:szCs w:val="24"/>
          <w:lang w:val="es-MX" w:eastAsia="ja-JP"/>
        </w:rPr>
        <w:t xml:space="preserve">Gonzalo Mejía </w:t>
      </w:r>
      <w:proofErr w:type="spellStart"/>
      <w:r w:rsidR="00AF3BFF">
        <w:rPr>
          <w:sz w:val="24"/>
          <w:szCs w:val="24"/>
          <w:lang w:val="es-MX" w:eastAsia="ja-JP"/>
        </w:rPr>
        <w:t>Abello</w:t>
      </w:r>
      <w:proofErr w:type="spellEnd"/>
      <w:r w:rsidR="00AF3BFF">
        <w:rPr>
          <w:sz w:val="24"/>
          <w:szCs w:val="24"/>
          <w:lang w:val="es-MX" w:eastAsia="ja-JP"/>
        </w:rPr>
        <w:t xml:space="preserve"> presentó demanda en ejercicio del medio de control de nulidad y restablecimiento del derecho</w:t>
      </w:r>
      <w:r w:rsidR="008F371B">
        <w:rPr>
          <w:rStyle w:val="Refdenotaalpie"/>
          <w:sz w:val="24"/>
          <w:szCs w:val="24"/>
          <w:lang w:val="es-MX" w:eastAsia="ja-JP"/>
        </w:rPr>
        <w:footnoteReference w:id="1"/>
      </w:r>
      <w:r w:rsidR="00AF3BFF">
        <w:rPr>
          <w:sz w:val="24"/>
          <w:szCs w:val="24"/>
          <w:lang w:val="es-MX" w:eastAsia="ja-JP"/>
        </w:rPr>
        <w:t>, en contra de la Administradora Colombiana de Pensiones (</w:t>
      </w:r>
      <w:proofErr w:type="spellStart"/>
      <w:r w:rsidR="00AF3BFF">
        <w:rPr>
          <w:sz w:val="24"/>
          <w:szCs w:val="24"/>
          <w:lang w:val="es-MX" w:eastAsia="ja-JP"/>
        </w:rPr>
        <w:t>Colpensiones</w:t>
      </w:r>
      <w:proofErr w:type="spellEnd"/>
      <w:r w:rsidR="00AF3BFF">
        <w:rPr>
          <w:sz w:val="24"/>
          <w:szCs w:val="24"/>
          <w:lang w:val="es-MX" w:eastAsia="ja-JP"/>
        </w:rPr>
        <w:t xml:space="preserve">), con la pretensión de que el juez administrativo declarara la nulidad </w:t>
      </w:r>
      <w:r w:rsidR="001C1788">
        <w:rPr>
          <w:sz w:val="24"/>
          <w:szCs w:val="24"/>
          <w:lang w:val="es-MX" w:eastAsia="ja-JP"/>
        </w:rPr>
        <w:t xml:space="preserve">parcial </w:t>
      </w:r>
      <w:r w:rsidR="00AF3BFF">
        <w:rPr>
          <w:sz w:val="24"/>
          <w:szCs w:val="24"/>
          <w:lang w:val="es-MX" w:eastAsia="ja-JP"/>
        </w:rPr>
        <w:t xml:space="preserve">de las </w:t>
      </w:r>
      <w:r w:rsidR="00AF3BFF" w:rsidRPr="00AF3BFF">
        <w:rPr>
          <w:sz w:val="24"/>
          <w:szCs w:val="24"/>
          <w:lang w:val="es-MX" w:eastAsia="ja-JP"/>
        </w:rPr>
        <w:t>Resoluciones GNR 384693 del 27 de noviembre de 2015, GNR 49022 de 2015 y GNR 160875 de 2016</w:t>
      </w:r>
      <w:r w:rsidR="00AF3BFF">
        <w:rPr>
          <w:sz w:val="24"/>
          <w:szCs w:val="24"/>
          <w:lang w:val="es-MX" w:eastAsia="ja-JP"/>
        </w:rPr>
        <w:t>, y, en consecuencia, ordenara la reliquidación de su pensión de vejez</w:t>
      </w:r>
      <w:r w:rsidR="00242013">
        <w:rPr>
          <w:sz w:val="24"/>
          <w:szCs w:val="24"/>
          <w:lang w:val="es-MX" w:eastAsia="ja-JP"/>
        </w:rPr>
        <w:t xml:space="preserve"> conforme</w:t>
      </w:r>
      <w:r w:rsidR="00AF3BFF">
        <w:rPr>
          <w:sz w:val="24"/>
          <w:szCs w:val="24"/>
          <w:lang w:val="es-MX" w:eastAsia="ja-JP"/>
        </w:rPr>
        <w:t xml:space="preserve"> a lo dispuesto en el Decreto 546 de </w:t>
      </w:r>
      <w:r w:rsidR="00242013">
        <w:rPr>
          <w:sz w:val="24"/>
          <w:szCs w:val="24"/>
          <w:lang w:val="es-MX" w:eastAsia="ja-JP"/>
        </w:rPr>
        <w:t>1971, es decir, “en un monto del 90%, teniendo en cuenta todo emolumento o factor salarial o pensional causado y pagado”</w:t>
      </w:r>
      <w:r w:rsidR="008F371B">
        <w:rPr>
          <w:rStyle w:val="Refdenotaalpie"/>
          <w:sz w:val="24"/>
          <w:szCs w:val="24"/>
          <w:lang w:val="es-MX" w:eastAsia="ja-JP"/>
        </w:rPr>
        <w:footnoteReference w:id="2"/>
      </w:r>
      <w:r w:rsidR="00BD43BA">
        <w:rPr>
          <w:sz w:val="24"/>
          <w:szCs w:val="24"/>
          <w:lang w:val="es-MX" w:eastAsia="ja-JP"/>
        </w:rPr>
        <w:t>.</w:t>
      </w:r>
    </w:p>
    <w:p w14:paraId="655357A0" w14:textId="77777777" w:rsidR="001C1788" w:rsidRDefault="001C1788" w:rsidP="00390E15">
      <w:pPr>
        <w:autoSpaceDE w:val="0"/>
        <w:autoSpaceDN w:val="0"/>
        <w:adjustRightInd w:val="0"/>
        <w:rPr>
          <w:sz w:val="24"/>
          <w:szCs w:val="24"/>
          <w:lang w:val="es-MX" w:eastAsia="ja-JP"/>
        </w:rPr>
      </w:pPr>
    </w:p>
    <w:p w14:paraId="49557D20" w14:textId="3CEBC1CE" w:rsidR="001C1788" w:rsidRDefault="001C1788" w:rsidP="00390E15">
      <w:pPr>
        <w:autoSpaceDE w:val="0"/>
        <w:autoSpaceDN w:val="0"/>
        <w:adjustRightInd w:val="0"/>
        <w:rPr>
          <w:sz w:val="24"/>
          <w:szCs w:val="24"/>
          <w:lang w:val="es-MX" w:eastAsia="ja-JP"/>
        </w:rPr>
      </w:pPr>
      <w:r>
        <w:rPr>
          <w:b/>
          <w:sz w:val="24"/>
          <w:szCs w:val="24"/>
          <w:lang w:val="es-MX" w:eastAsia="ja-JP"/>
        </w:rPr>
        <w:t xml:space="preserve">1.2.2. </w:t>
      </w:r>
      <w:r>
        <w:rPr>
          <w:sz w:val="24"/>
          <w:szCs w:val="24"/>
          <w:lang w:val="es-MX" w:eastAsia="ja-JP"/>
        </w:rPr>
        <w:t xml:space="preserve">El asunto correspondió, por reparto, al Juzgado Quinto Administrativo de Bucaramanga, autoridad que, en sentencia del 11 de octubre de 2019, declaró la nulidad parcial de los actos administrativos demandados y ordenó la reliquidación </w:t>
      </w:r>
      <w:r w:rsidR="004B217B">
        <w:rPr>
          <w:sz w:val="24"/>
          <w:szCs w:val="24"/>
          <w:lang w:val="es-MX" w:eastAsia="ja-JP"/>
        </w:rPr>
        <w:t xml:space="preserve">de la mesada pensional del señor Mejía </w:t>
      </w:r>
      <w:proofErr w:type="spellStart"/>
      <w:r w:rsidR="004B217B">
        <w:rPr>
          <w:sz w:val="24"/>
          <w:szCs w:val="24"/>
          <w:lang w:val="es-MX" w:eastAsia="ja-JP"/>
        </w:rPr>
        <w:t>Abello</w:t>
      </w:r>
      <w:proofErr w:type="spellEnd"/>
      <w:r w:rsidR="008F371B">
        <w:rPr>
          <w:sz w:val="24"/>
          <w:szCs w:val="24"/>
          <w:lang w:val="es-MX" w:eastAsia="ja-JP"/>
        </w:rPr>
        <w:t xml:space="preserve"> </w:t>
      </w:r>
      <w:r w:rsidR="004B217B">
        <w:rPr>
          <w:sz w:val="24"/>
          <w:szCs w:val="24"/>
          <w:lang w:val="es-MX" w:eastAsia="ja-JP"/>
        </w:rPr>
        <w:t xml:space="preserve">en cuantía del 75% de la asignación más alta que </w:t>
      </w:r>
      <w:r w:rsidR="00B83144">
        <w:rPr>
          <w:sz w:val="24"/>
          <w:szCs w:val="24"/>
          <w:lang w:val="es-MX" w:eastAsia="ja-JP"/>
        </w:rPr>
        <w:t>hubiera devengado</w:t>
      </w:r>
      <w:r w:rsidR="004B217B">
        <w:rPr>
          <w:sz w:val="24"/>
          <w:szCs w:val="24"/>
          <w:lang w:val="es-MX" w:eastAsia="ja-JP"/>
        </w:rPr>
        <w:t xml:space="preserve"> e</w:t>
      </w:r>
      <w:r w:rsidR="003361C9">
        <w:rPr>
          <w:sz w:val="24"/>
          <w:szCs w:val="24"/>
          <w:lang w:val="es-MX" w:eastAsia="ja-JP"/>
        </w:rPr>
        <w:t>n e</w:t>
      </w:r>
      <w:r w:rsidR="004B217B">
        <w:rPr>
          <w:sz w:val="24"/>
          <w:szCs w:val="24"/>
          <w:lang w:val="es-MX" w:eastAsia="ja-JP"/>
        </w:rPr>
        <w:t>l último año de servicios, con la inclusión de todos los factores salariales que habitual y periódicamente recibió</w:t>
      </w:r>
      <w:r w:rsidR="008F371B">
        <w:rPr>
          <w:rStyle w:val="Refdenotaalpie"/>
          <w:sz w:val="24"/>
          <w:szCs w:val="24"/>
          <w:lang w:val="es-MX" w:eastAsia="ja-JP"/>
        </w:rPr>
        <w:footnoteReference w:id="3"/>
      </w:r>
      <w:r w:rsidR="004B217B">
        <w:rPr>
          <w:sz w:val="24"/>
          <w:szCs w:val="24"/>
          <w:lang w:val="es-MX" w:eastAsia="ja-JP"/>
        </w:rPr>
        <w:t xml:space="preserve">. </w:t>
      </w:r>
    </w:p>
    <w:p w14:paraId="60E4E06C" w14:textId="77777777" w:rsidR="00C06442" w:rsidRDefault="00C06442" w:rsidP="00390E15">
      <w:pPr>
        <w:autoSpaceDE w:val="0"/>
        <w:autoSpaceDN w:val="0"/>
        <w:adjustRightInd w:val="0"/>
        <w:rPr>
          <w:sz w:val="24"/>
          <w:szCs w:val="24"/>
          <w:lang w:val="es-MX" w:eastAsia="ja-JP"/>
        </w:rPr>
      </w:pPr>
    </w:p>
    <w:p w14:paraId="47827AAE" w14:textId="2A26FE9B" w:rsidR="00C06442" w:rsidRDefault="00C06442" w:rsidP="00390E15">
      <w:pPr>
        <w:autoSpaceDE w:val="0"/>
        <w:autoSpaceDN w:val="0"/>
        <w:adjustRightInd w:val="0"/>
        <w:rPr>
          <w:sz w:val="24"/>
          <w:szCs w:val="24"/>
          <w:lang w:val="es-MX" w:eastAsia="ja-JP"/>
        </w:rPr>
      </w:pPr>
      <w:r>
        <w:rPr>
          <w:b/>
          <w:sz w:val="24"/>
          <w:szCs w:val="24"/>
          <w:lang w:val="es-MX" w:eastAsia="ja-JP"/>
        </w:rPr>
        <w:lastRenderedPageBreak/>
        <w:t xml:space="preserve">1.2.3. </w:t>
      </w:r>
      <w:r>
        <w:rPr>
          <w:sz w:val="24"/>
          <w:szCs w:val="24"/>
          <w:lang w:val="es-MX" w:eastAsia="ja-JP"/>
        </w:rPr>
        <w:t xml:space="preserve">En contra de la anterior decisión, </w:t>
      </w:r>
      <w:proofErr w:type="spellStart"/>
      <w:r>
        <w:rPr>
          <w:sz w:val="24"/>
          <w:szCs w:val="24"/>
          <w:lang w:val="es-MX" w:eastAsia="ja-JP"/>
        </w:rPr>
        <w:t>Colpensiones</w:t>
      </w:r>
      <w:proofErr w:type="spellEnd"/>
      <w:r>
        <w:rPr>
          <w:sz w:val="24"/>
          <w:szCs w:val="24"/>
          <w:lang w:val="es-MX" w:eastAsia="ja-JP"/>
        </w:rPr>
        <w:t xml:space="preserve"> presentó recurso de apelación en el que solicitó que se negaran las pretensiones de la demanda. Indicó que en el presente caso se debía aplicar la sentencia de unificación del Consejo de Estado del 28 de agosto de 2019 y un precedente de la misma corporación del 14 de marzo del mismo</w:t>
      </w:r>
      <w:r w:rsidR="00B83144">
        <w:rPr>
          <w:sz w:val="24"/>
          <w:szCs w:val="24"/>
          <w:lang w:val="es-MX" w:eastAsia="ja-JP"/>
        </w:rPr>
        <w:t xml:space="preserve"> año</w:t>
      </w:r>
      <w:r>
        <w:rPr>
          <w:sz w:val="24"/>
          <w:szCs w:val="24"/>
          <w:lang w:val="es-MX" w:eastAsia="ja-JP"/>
        </w:rPr>
        <w:t xml:space="preserve">, en los que se dijo que el IBL no hacía parte del régimen </w:t>
      </w:r>
      <w:r w:rsidR="00221D55">
        <w:rPr>
          <w:sz w:val="24"/>
          <w:szCs w:val="24"/>
          <w:lang w:val="es-MX" w:eastAsia="ja-JP"/>
        </w:rPr>
        <w:t>anterior</w:t>
      </w:r>
      <w:r w:rsidR="00B83144">
        <w:rPr>
          <w:sz w:val="24"/>
          <w:szCs w:val="24"/>
          <w:lang w:val="es-MX" w:eastAsia="ja-JP"/>
        </w:rPr>
        <w:t xml:space="preserve"> en asuntos de transición</w:t>
      </w:r>
      <w:r w:rsidR="008F371B">
        <w:rPr>
          <w:rStyle w:val="Refdenotaalpie"/>
          <w:sz w:val="24"/>
          <w:szCs w:val="24"/>
          <w:lang w:val="es-MX" w:eastAsia="ja-JP"/>
        </w:rPr>
        <w:footnoteReference w:id="4"/>
      </w:r>
      <w:r>
        <w:rPr>
          <w:sz w:val="24"/>
          <w:szCs w:val="24"/>
          <w:lang w:val="es-MX" w:eastAsia="ja-JP"/>
        </w:rPr>
        <w:t xml:space="preserve">. </w:t>
      </w:r>
    </w:p>
    <w:p w14:paraId="295C37A6" w14:textId="77777777" w:rsidR="008F371B" w:rsidRPr="00C06442" w:rsidRDefault="008F371B" w:rsidP="00390E15">
      <w:pPr>
        <w:autoSpaceDE w:val="0"/>
        <w:autoSpaceDN w:val="0"/>
        <w:adjustRightInd w:val="0"/>
        <w:rPr>
          <w:sz w:val="24"/>
          <w:szCs w:val="24"/>
          <w:lang w:val="es-MX" w:eastAsia="ja-JP"/>
        </w:rPr>
      </w:pPr>
    </w:p>
    <w:p w14:paraId="419C4819" w14:textId="1ED133F2" w:rsidR="00C06442" w:rsidRDefault="00C06442" w:rsidP="00390E15">
      <w:pPr>
        <w:autoSpaceDE w:val="0"/>
        <w:autoSpaceDN w:val="0"/>
        <w:adjustRightInd w:val="0"/>
        <w:rPr>
          <w:sz w:val="24"/>
          <w:szCs w:val="24"/>
          <w:lang w:val="es-MX" w:eastAsia="ja-JP"/>
        </w:rPr>
      </w:pPr>
      <w:r>
        <w:rPr>
          <w:b/>
          <w:sz w:val="24"/>
          <w:szCs w:val="24"/>
          <w:lang w:val="es-MX" w:eastAsia="ja-JP"/>
        </w:rPr>
        <w:t xml:space="preserve">1.2.4. </w:t>
      </w:r>
      <w:r w:rsidR="009637BE">
        <w:rPr>
          <w:sz w:val="24"/>
          <w:szCs w:val="24"/>
          <w:lang w:val="es-MX" w:eastAsia="ja-JP"/>
        </w:rPr>
        <w:t>En segunda instancia, el Tribunal Administrativo de Santander profirió sentencia, el 1 de julio de 2021</w:t>
      </w:r>
      <w:r w:rsidR="00221D55">
        <w:rPr>
          <w:rStyle w:val="Refdenotaalpie"/>
          <w:sz w:val="24"/>
          <w:szCs w:val="24"/>
          <w:lang w:val="es-MX" w:eastAsia="ja-JP"/>
        </w:rPr>
        <w:footnoteReference w:id="5"/>
      </w:r>
      <w:r w:rsidR="009637BE">
        <w:rPr>
          <w:sz w:val="24"/>
          <w:szCs w:val="24"/>
          <w:lang w:val="es-MX" w:eastAsia="ja-JP"/>
        </w:rPr>
        <w:t xml:space="preserve">, en la que revocó la decisión del 11 de octubre de 2019 y negó las pretensiones de la demanda. Como fundamento de su decisión, </w:t>
      </w:r>
      <w:r w:rsidR="00221D55">
        <w:rPr>
          <w:sz w:val="24"/>
          <w:szCs w:val="24"/>
          <w:lang w:val="es-MX" w:eastAsia="ja-JP"/>
        </w:rPr>
        <w:t>citó</w:t>
      </w:r>
      <w:r w:rsidR="009637BE">
        <w:rPr>
          <w:sz w:val="24"/>
          <w:szCs w:val="24"/>
          <w:lang w:val="es-MX" w:eastAsia="ja-JP"/>
        </w:rPr>
        <w:t xml:space="preserve"> las reglas</w:t>
      </w:r>
      <w:r w:rsidR="00F40B1C">
        <w:rPr>
          <w:sz w:val="24"/>
          <w:szCs w:val="24"/>
          <w:lang w:val="es-MX" w:eastAsia="ja-JP"/>
        </w:rPr>
        <w:t xml:space="preserve"> jurisprudenciales</w:t>
      </w:r>
      <w:r w:rsidR="009637BE">
        <w:rPr>
          <w:sz w:val="24"/>
          <w:szCs w:val="24"/>
          <w:lang w:val="es-MX" w:eastAsia="ja-JP"/>
        </w:rPr>
        <w:t xml:space="preserve"> de la sentencia de unificación del Consejo de Estado </w:t>
      </w:r>
      <w:r w:rsidR="009637BE" w:rsidRPr="009637BE">
        <w:rPr>
          <w:sz w:val="24"/>
          <w:szCs w:val="24"/>
          <w:lang w:val="es-MX" w:eastAsia="ja-JP"/>
        </w:rPr>
        <w:t>CE-SUJ-S2-021-20 de fecha 11 de junio de 2020</w:t>
      </w:r>
      <w:r w:rsidR="009637BE">
        <w:rPr>
          <w:rStyle w:val="Refdenotaalpie"/>
          <w:sz w:val="24"/>
          <w:szCs w:val="24"/>
          <w:lang w:val="es-MX" w:eastAsia="ja-JP"/>
        </w:rPr>
        <w:footnoteReference w:id="6"/>
      </w:r>
      <w:r w:rsidR="009637BE">
        <w:rPr>
          <w:sz w:val="24"/>
          <w:szCs w:val="24"/>
          <w:lang w:val="es-MX" w:eastAsia="ja-JP"/>
        </w:rPr>
        <w:t xml:space="preserve">. </w:t>
      </w:r>
      <w:r w:rsidR="00F40B1C">
        <w:rPr>
          <w:sz w:val="24"/>
          <w:szCs w:val="24"/>
          <w:lang w:val="es-MX" w:eastAsia="ja-JP"/>
        </w:rPr>
        <w:t xml:space="preserve">Además, manifestó: </w:t>
      </w:r>
    </w:p>
    <w:p w14:paraId="556F691D" w14:textId="77777777" w:rsidR="00F40B1C" w:rsidRDefault="00F40B1C" w:rsidP="00390E15">
      <w:pPr>
        <w:autoSpaceDE w:val="0"/>
        <w:autoSpaceDN w:val="0"/>
        <w:adjustRightInd w:val="0"/>
        <w:rPr>
          <w:sz w:val="24"/>
          <w:szCs w:val="24"/>
          <w:lang w:val="es-MX" w:eastAsia="ja-JP"/>
        </w:rPr>
      </w:pPr>
    </w:p>
    <w:p w14:paraId="7363ECDD" w14:textId="30FCE9F5" w:rsidR="00F40B1C" w:rsidRDefault="00F40B1C" w:rsidP="00F40B1C">
      <w:pPr>
        <w:autoSpaceDE w:val="0"/>
        <w:autoSpaceDN w:val="0"/>
        <w:adjustRightInd w:val="0"/>
        <w:ind w:left="708"/>
        <w:rPr>
          <w:sz w:val="22"/>
          <w:szCs w:val="22"/>
          <w:lang w:val="es-MX" w:eastAsia="ja-JP"/>
        </w:rPr>
      </w:pPr>
      <w:r>
        <w:rPr>
          <w:sz w:val="22"/>
          <w:szCs w:val="22"/>
          <w:lang w:val="es-MX" w:eastAsia="ja-JP"/>
        </w:rPr>
        <w:t>“</w:t>
      </w:r>
      <w:r w:rsidRPr="00F40B1C">
        <w:rPr>
          <w:sz w:val="22"/>
          <w:szCs w:val="22"/>
          <w:lang w:val="es-MX" w:eastAsia="ja-JP"/>
        </w:rPr>
        <w:t xml:space="preserve">Ahora, en cuanto al IBL tenido en cuenta por la entidad demandada para la liquidación de la pensión de vejez reconocida, esto es, el previsto en el inciso 3° del artículo 36 de la Ley 100 de 1993 y los factores de que trata el Decreto 1158 de 1994, el actor presenta inconformidad al señalar que se debe tener en cuenta la asignación mensual </w:t>
      </w:r>
      <w:proofErr w:type="spellStart"/>
      <w:r w:rsidRPr="00F40B1C">
        <w:rPr>
          <w:sz w:val="22"/>
          <w:szCs w:val="22"/>
          <w:lang w:val="es-MX" w:eastAsia="ja-JP"/>
        </w:rPr>
        <w:t>mas</w:t>
      </w:r>
      <w:proofErr w:type="spellEnd"/>
      <w:r w:rsidRPr="00F40B1C">
        <w:rPr>
          <w:sz w:val="22"/>
          <w:szCs w:val="22"/>
          <w:lang w:val="es-MX" w:eastAsia="ja-JP"/>
        </w:rPr>
        <w:t xml:space="preserve"> (sic) alta devengada en el último año de servicios, con inclusión de todos los factores devengados.</w:t>
      </w:r>
    </w:p>
    <w:p w14:paraId="062448AB" w14:textId="77777777" w:rsidR="00F40B1C" w:rsidRPr="00F40B1C" w:rsidRDefault="00F40B1C" w:rsidP="00F40B1C">
      <w:pPr>
        <w:autoSpaceDE w:val="0"/>
        <w:autoSpaceDN w:val="0"/>
        <w:adjustRightInd w:val="0"/>
        <w:ind w:left="708"/>
        <w:rPr>
          <w:sz w:val="22"/>
          <w:szCs w:val="22"/>
          <w:lang w:val="es-MX" w:eastAsia="ja-JP"/>
        </w:rPr>
      </w:pPr>
    </w:p>
    <w:p w14:paraId="2A8846C1" w14:textId="082ECABC" w:rsidR="00F40B1C" w:rsidRDefault="00F40B1C" w:rsidP="00F40B1C">
      <w:pPr>
        <w:autoSpaceDE w:val="0"/>
        <w:autoSpaceDN w:val="0"/>
        <w:adjustRightInd w:val="0"/>
        <w:ind w:left="708"/>
        <w:rPr>
          <w:sz w:val="22"/>
          <w:szCs w:val="22"/>
          <w:lang w:val="es-MX" w:eastAsia="ja-JP"/>
        </w:rPr>
      </w:pPr>
      <w:r w:rsidRPr="00F40B1C">
        <w:rPr>
          <w:sz w:val="22"/>
          <w:szCs w:val="22"/>
          <w:lang w:val="es-MX" w:eastAsia="ja-JP"/>
        </w:rPr>
        <w:t>Conforme al marco normativo expuesto en precedencia, la pretensión del actor no puede ser atendida, pues conforme a la regla de unificación del Honorable Consejo de Estado resulta imperativo tomar como IBL, en el presente asunto, el promedio de lo devengado en los últimos 10 años de servicio, tal y como lo clarifica la Sentencia de Unificación CE-SUJ-S2-021-20 de fecha 11 de junio de 2020, y como fue efectuado por la entid</w:t>
      </w:r>
      <w:r>
        <w:rPr>
          <w:sz w:val="22"/>
          <w:szCs w:val="22"/>
          <w:lang w:val="es-MX" w:eastAsia="ja-JP"/>
        </w:rPr>
        <w:t>ad demandada, como quiera que, &lt;</w:t>
      </w:r>
      <w:r w:rsidRPr="00F40B1C">
        <w:rPr>
          <w:sz w:val="22"/>
          <w:szCs w:val="22"/>
          <w:lang w:val="es-MX" w:eastAsia="ja-JP"/>
        </w:rPr>
        <w:t xml:space="preserve">la transición únicamente mantiene del régimen anterior, especial de la Rama Judicial y del Ministerio Público, la edad, el tiempo de servicios y el monto de la prestación, pero no el ingreso base de liquidación, </w:t>
      </w:r>
      <w:r w:rsidRPr="00F40B1C">
        <w:rPr>
          <w:sz w:val="22"/>
          <w:szCs w:val="22"/>
          <w:lang w:val="es-MX" w:eastAsia="ja-JP"/>
        </w:rPr>
        <w:lastRenderedPageBreak/>
        <w:t>por manera que este corresponde al estipulado por la ley en mención, en su artículo 21 y en el inciso 3.º de su</w:t>
      </w:r>
      <w:r>
        <w:rPr>
          <w:sz w:val="22"/>
          <w:szCs w:val="22"/>
          <w:lang w:val="es-MX" w:eastAsia="ja-JP"/>
        </w:rPr>
        <w:t xml:space="preserve"> artículo 36, según sea el caso&gt;”</w:t>
      </w:r>
      <w:r w:rsidRPr="00F40B1C">
        <w:rPr>
          <w:sz w:val="22"/>
          <w:szCs w:val="22"/>
          <w:lang w:val="es-MX" w:eastAsia="ja-JP"/>
        </w:rPr>
        <w:t>.</w:t>
      </w:r>
    </w:p>
    <w:p w14:paraId="39595937" w14:textId="77777777" w:rsidR="00B83144" w:rsidRDefault="00B83144" w:rsidP="00F40B1C">
      <w:pPr>
        <w:autoSpaceDE w:val="0"/>
        <w:autoSpaceDN w:val="0"/>
        <w:adjustRightInd w:val="0"/>
        <w:ind w:left="708"/>
        <w:rPr>
          <w:sz w:val="24"/>
          <w:szCs w:val="24"/>
          <w:lang w:val="es-MX" w:eastAsia="ja-JP"/>
        </w:rPr>
      </w:pPr>
    </w:p>
    <w:p w14:paraId="7CE368A5" w14:textId="4D578580" w:rsidR="009E3ECE" w:rsidRPr="00D423FF" w:rsidRDefault="00441B33" w:rsidP="00390E15">
      <w:pPr>
        <w:overflowPunct w:val="0"/>
        <w:autoSpaceDE w:val="0"/>
        <w:autoSpaceDN w:val="0"/>
        <w:adjustRightInd w:val="0"/>
        <w:contextualSpacing/>
        <w:rPr>
          <w:rFonts w:eastAsia="Times New Roman"/>
          <w:b/>
          <w:sz w:val="24"/>
          <w:szCs w:val="24"/>
          <w:lang w:eastAsia="es-ES"/>
        </w:rPr>
      </w:pPr>
      <w:r w:rsidRPr="00D423FF">
        <w:rPr>
          <w:rFonts w:eastAsia="Times New Roman"/>
          <w:b/>
          <w:sz w:val="24"/>
          <w:szCs w:val="24"/>
          <w:lang w:eastAsia="es-ES"/>
        </w:rPr>
        <w:t xml:space="preserve">1.3. </w:t>
      </w:r>
      <w:r w:rsidR="009E3ECE" w:rsidRPr="00D423FF">
        <w:rPr>
          <w:rFonts w:eastAsia="Times New Roman"/>
          <w:b/>
          <w:sz w:val="24"/>
          <w:szCs w:val="24"/>
          <w:lang w:eastAsia="es-ES"/>
        </w:rPr>
        <w:t>Pretensiones de</w:t>
      </w:r>
      <w:r w:rsidR="00751A87" w:rsidRPr="00D423FF">
        <w:rPr>
          <w:rFonts w:eastAsia="Times New Roman"/>
          <w:b/>
          <w:sz w:val="24"/>
          <w:szCs w:val="24"/>
          <w:lang w:eastAsia="es-ES"/>
        </w:rPr>
        <w:t xml:space="preserve"> la</w:t>
      </w:r>
      <w:r w:rsidR="009E3ECE" w:rsidRPr="00D423FF">
        <w:rPr>
          <w:rFonts w:eastAsia="Times New Roman"/>
          <w:b/>
          <w:sz w:val="24"/>
          <w:szCs w:val="24"/>
          <w:lang w:eastAsia="es-ES"/>
        </w:rPr>
        <w:t xml:space="preserve"> tutela</w:t>
      </w:r>
    </w:p>
    <w:p w14:paraId="3B3284B1" w14:textId="77777777" w:rsidR="009E3ECE" w:rsidRDefault="009E3ECE" w:rsidP="00390E15">
      <w:pPr>
        <w:overflowPunct w:val="0"/>
        <w:autoSpaceDE w:val="0"/>
        <w:autoSpaceDN w:val="0"/>
        <w:adjustRightInd w:val="0"/>
        <w:contextualSpacing/>
        <w:rPr>
          <w:rFonts w:eastAsia="Times New Roman"/>
          <w:sz w:val="24"/>
          <w:szCs w:val="24"/>
          <w:lang w:eastAsia="es-ES"/>
        </w:rPr>
      </w:pPr>
    </w:p>
    <w:p w14:paraId="043CC4F7" w14:textId="7DBE676A" w:rsidR="00A514F8" w:rsidRDefault="00F40B1C" w:rsidP="00390E15">
      <w:pPr>
        <w:autoSpaceDE w:val="0"/>
        <w:autoSpaceDN w:val="0"/>
        <w:adjustRightInd w:val="0"/>
        <w:rPr>
          <w:rFonts w:eastAsia="Times New Roman"/>
          <w:sz w:val="24"/>
          <w:szCs w:val="24"/>
          <w:lang w:eastAsia="es-ES"/>
        </w:rPr>
      </w:pPr>
      <w:r>
        <w:rPr>
          <w:rFonts w:eastAsia="Times New Roman"/>
          <w:sz w:val="24"/>
          <w:szCs w:val="24"/>
          <w:lang w:eastAsia="es-ES"/>
        </w:rPr>
        <w:t xml:space="preserve">Gonzalo Mejía </w:t>
      </w:r>
      <w:proofErr w:type="spellStart"/>
      <w:r>
        <w:rPr>
          <w:rFonts w:eastAsia="Times New Roman"/>
          <w:sz w:val="24"/>
          <w:szCs w:val="24"/>
          <w:lang w:eastAsia="es-ES"/>
        </w:rPr>
        <w:t>Abello</w:t>
      </w:r>
      <w:proofErr w:type="spellEnd"/>
      <w:r>
        <w:rPr>
          <w:rFonts w:eastAsia="Times New Roman"/>
          <w:sz w:val="24"/>
          <w:szCs w:val="24"/>
          <w:lang w:eastAsia="es-ES"/>
        </w:rPr>
        <w:t xml:space="preserve"> </w:t>
      </w:r>
      <w:r w:rsidR="000E2775">
        <w:rPr>
          <w:rFonts w:eastAsia="Times New Roman"/>
          <w:sz w:val="24"/>
          <w:szCs w:val="24"/>
          <w:lang w:eastAsia="es-ES"/>
        </w:rPr>
        <w:t>solicitó al juez constitucional que</w:t>
      </w:r>
      <w:r w:rsidR="00441E6E">
        <w:rPr>
          <w:rFonts w:eastAsia="Times New Roman"/>
          <w:sz w:val="24"/>
          <w:szCs w:val="24"/>
          <w:lang w:eastAsia="es-ES"/>
        </w:rPr>
        <w:t xml:space="preserve"> ampare sus derechos fundamentales </w:t>
      </w:r>
      <w:r>
        <w:rPr>
          <w:sz w:val="24"/>
          <w:szCs w:val="24"/>
        </w:rPr>
        <w:t>a la seguridad social, a la igualdad, al mínimo vital, al debido proceso, al acceso a la administración de justicia y a la primacía del derecho sustancial,</w:t>
      </w:r>
      <w:r w:rsidR="00A514F8">
        <w:rPr>
          <w:rFonts w:eastAsia="Times New Roman"/>
          <w:sz w:val="24"/>
          <w:szCs w:val="24"/>
          <w:lang w:eastAsia="es-ES"/>
        </w:rPr>
        <w:t xml:space="preserve"> que declare la nulidad de la sentencia del 1 de julio de 2021, y </w:t>
      </w:r>
      <w:r w:rsidR="002103ED">
        <w:rPr>
          <w:rFonts w:eastAsia="Times New Roman"/>
          <w:sz w:val="24"/>
          <w:szCs w:val="24"/>
          <w:lang w:eastAsia="es-ES"/>
        </w:rPr>
        <w:t xml:space="preserve">que </w:t>
      </w:r>
      <w:r w:rsidR="00A514F8">
        <w:rPr>
          <w:rFonts w:eastAsia="Times New Roman"/>
          <w:sz w:val="24"/>
          <w:szCs w:val="24"/>
          <w:lang w:eastAsia="es-ES"/>
        </w:rPr>
        <w:t xml:space="preserve">ordene al Tribunal Administrativo de Santander que emita una nueva decisión que se ajuste a derecho, conforme a </w:t>
      </w:r>
      <w:r w:rsidR="002103ED">
        <w:rPr>
          <w:rFonts w:eastAsia="Times New Roman"/>
          <w:sz w:val="24"/>
          <w:szCs w:val="24"/>
          <w:lang w:eastAsia="es-ES"/>
        </w:rPr>
        <w:t>la</w:t>
      </w:r>
      <w:r w:rsidR="00A514F8">
        <w:rPr>
          <w:rFonts w:eastAsia="Times New Roman"/>
          <w:sz w:val="24"/>
          <w:szCs w:val="24"/>
          <w:lang w:eastAsia="es-ES"/>
        </w:rPr>
        <w:t xml:space="preserve">s </w:t>
      </w:r>
      <w:r w:rsidR="002103ED">
        <w:rPr>
          <w:rFonts w:eastAsia="Times New Roman"/>
          <w:sz w:val="24"/>
          <w:szCs w:val="24"/>
          <w:lang w:eastAsia="es-ES"/>
        </w:rPr>
        <w:t xml:space="preserve">razones </w:t>
      </w:r>
      <w:r w:rsidR="0059299D">
        <w:rPr>
          <w:rFonts w:eastAsia="Times New Roman"/>
          <w:sz w:val="24"/>
          <w:szCs w:val="24"/>
          <w:lang w:eastAsia="es-ES"/>
        </w:rPr>
        <w:t>que expuso</w:t>
      </w:r>
      <w:r w:rsidR="002103ED">
        <w:rPr>
          <w:rFonts w:eastAsia="Times New Roman"/>
          <w:sz w:val="24"/>
          <w:szCs w:val="24"/>
          <w:lang w:eastAsia="es-ES"/>
        </w:rPr>
        <w:t xml:space="preserve"> en el escrito de tutela. </w:t>
      </w:r>
    </w:p>
    <w:p w14:paraId="4BD7697C" w14:textId="77777777" w:rsidR="00A514F8" w:rsidRDefault="00A514F8" w:rsidP="00390E15">
      <w:pPr>
        <w:autoSpaceDE w:val="0"/>
        <w:autoSpaceDN w:val="0"/>
        <w:adjustRightInd w:val="0"/>
        <w:rPr>
          <w:rFonts w:eastAsia="Times New Roman"/>
          <w:sz w:val="24"/>
          <w:szCs w:val="24"/>
          <w:lang w:eastAsia="es-ES"/>
        </w:rPr>
      </w:pPr>
    </w:p>
    <w:p w14:paraId="24A950BD" w14:textId="31A96B9F" w:rsidR="00751A87" w:rsidRPr="00D423FF" w:rsidRDefault="00441B33" w:rsidP="00390E15">
      <w:pPr>
        <w:overflowPunct w:val="0"/>
        <w:autoSpaceDE w:val="0"/>
        <w:autoSpaceDN w:val="0"/>
        <w:adjustRightInd w:val="0"/>
        <w:contextualSpacing/>
        <w:rPr>
          <w:rFonts w:eastAsia="Times New Roman"/>
          <w:b/>
          <w:sz w:val="24"/>
          <w:szCs w:val="24"/>
          <w:lang w:eastAsia="es-ES"/>
        </w:rPr>
      </w:pPr>
      <w:r w:rsidRPr="00D423FF">
        <w:rPr>
          <w:rFonts w:eastAsia="Times New Roman"/>
          <w:b/>
          <w:sz w:val="24"/>
          <w:szCs w:val="24"/>
          <w:lang w:eastAsia="es-ES"/>
        </w:rPr>
        <w:t xml:space="preserve">1.4. </w:t>
      </w:r>
      <w:r w:rsidR="00751A87" w:rsidRPr="00D423FF">
        <w:rPr>
          <w:rFonts w:eastAsia="Times New Roman"/>
          <w:b/>
          <w:sz w:val="24"/>
          <w:szCs w:val="24"/>
          <w:lang w:eastAsia="es-ES"/>
        </w:rPr>
        <w:t>Argumentos de la solicitud de tutela</w:t>
      </w:r>
    </w:p>
    <w:p w14:paraId="0E8B348F" w14:textId="77777777" w:rsidR="00751A87" w:rsidRPr="00D423FF" w:rsidRDefault="00751A87" w:rsidP="00390E15">
      <w:pPr>
        <w:overflowPunct w:val="0"/>
        <w:autoSpaceDE w:val="0"/>
        <w:autoSpaceDN w:val="0"/>
        <w:adjustRightInd w:val="0"/>
        <w:contextualSpacing/>
        <w:rPr>
          <w:rFonts w:eastAsia="Times New Roman"/>
          <w:b/>
          <w:sz w:val="24"/>
          <w:szCs w:val="24"/>
          <w:lang w:eastAsia="es-ES"/>
        </w:rPr>
      </w:pPr>
    </w:p>
    <w:p w14:paraId="0BD746F6" w14:textId="19A76908" w:rsidR="00DD64D2" w:rsidRDefault="009A00E9" w:rsidP="00390E15">
      <w:pPr>
        <w:overflowPunct w:val="0"/>
        <w:autoSpaceDE w:val="0"/>
        <w:autoSpaceDN w:val="0"/>
        <w:adjustRightInd w:val="0"/>
        <w:contextualSpacing/>
        <w:rPr>
          <w:sz w:val="24"/>
          <w:szCs w:val="24"/>
        </w:rPr>
      </w:pPr>
      <w:r w:rsidRPr="00D423FF">
        <w:rPr>
          <w:sz w:val="24"/>
          <w:szCs w:val="24"/>
          <w:lang w:val="es-MX" w:eastAsia="ja-JP"/>
        </w:rPr>
        <w:t>La parte accionante</w:t>
      </w:r>
      <w:r w:rsidR="00586D06" w:rsidRPr="00D423FF">
        <w:rPr>
          <w:rFonts w:eastAsia="Times New Roman"/>
          <w:sz w:val="24"/>
          <w:szCs w:val="24"/>
          <w:lang w:eastAsia="es-ES"/>
        </w:rPr>
        <w:t xml:space="preserve"> </w:t>
      </w:r>
      <w:r w:rsidR="00DD64D2">
        <w:rPr>
          <w:rFonts w:eastAsia="Times New Roman"/>
          <w:sz w:val="24"/>
          <w:szCs w:val="24"/>
          <w:lang w:eastAsia="es-ES"/>
        </w:rPr>
        <w:t>manifestó que</w:t>
      </w:r>
      <w:r w:rsidR="00DD64D2" w:rsidRPr="00DD64D2">
        <w:rPr>
          <w:sz w:val="24"/>
          <w:szCs w:val="24"/>
        </w:rPr>
        <w:t xml:space="preserve"> </w:t>
      </w:r>
      <w:r w:rsidR="00DD64D2" w:rsidRPr="00D423FF">
        <w:rPr>
          <w:sz w:val="24"/>
          <w:szCs w:val="24"/>
        </w:rPr>
        <w:t xml:space="preserve">el </w:t>
      </w:r>
      <w:r w:rsidR="002103ED">
        <w:rPr>
          <w:sz w:val="24"/>
          <w:szCs w:val="24"/>
        </w:rPr>
        <w:t>Tribunal Administrativo de Santander</w:t>
      </w:r>
      <w:r w:rsidR="00A75B59">
        <w:rPr>
          <w:sz w:val="24"/>
          <w:szCs w:val="24"/>
        </w:rPr>
        <w:t xml:space="preserve"> </w:t>
      </w:r>
      <w:r w:rsidR="009204D5">
        <w:rPr>
          <w:sz w:val="24"/>
          <w:szCs w:val="24"/>
        </w:rPr>
        <w:t>vulneró</w:t>
      </w:r>
      <w:r w:rsidR="00DD64D2">
        <w:rPr>
          <w:sz w:val="24"/>
          <w:szCs w:val="24"/>
        </w:rPr>
        <w:t xml:space="preserve"> su</w:t>
      </w:r>
      <w:r w:rsidR="00A75B59">
        <w:rPr>
          <w:sz w:val="24"/>
          <w:szCs w:val="24"/>
        </w:rPr>
        <w:t>s</w:t>
      </w:r>
      <w:r w:rsidR="00DD64D2">
        <w:rPr>
          <w:sz w:val="24"/>
          <w:szCs w:val="24"/>
        </w:rPr>
        <w:t xml:space="preserve"> derecho</w:t>
      </w:r>
      <w:r w:rsidR="00A75B59">
        <w:rPr>
          <w:sz w:val="24"/>
          <w:szCs w:val="24"/>
        </w:rPr>
        <w:t>s</w:t>
      </w:r>
      <w:r w:rsidR="00DD64D2">
        <w:rPr>
          <w:sz w:val="24"/>
          <w:szCs w:val="24"/>
        </w:rPr>
        <w:t xml:space="preserve"> fundamental</w:t>
      </w:r>
      <w:r w:rsidR="00A75B59">
        <w:rPr>
          <w:sz w:val="24"/>
          <w:szCs w:val="24"/>
        </w:rPr>
        <w:t>es</w:t>
      </w:r>
      <w:r w:rsidR="00B83144">
        <w:rPr>
          <w:sz w:val="24"/>
          <w:szCs w:val="24"/>
        </w:rPr>
        <w:t>, porque incurrió</w:t>
      </w:r>
      <w:r w:rsidR="00163035">
        <w:rPr>
          <w:sz w:val="24"/>
          <w:szCs w:val="24"/>
        </w:rPr>
        <w:t xml:space="preserve"> en un defecto fáctico, </w:t>
      </w:r>
      <w:r w:rsidR="008601E0">
        <w:rPr>
          <w:sz w:val="24"/>
          <w:szCs w:val="24"/>
        </w:rPr>
        <w:t xml:space="preserve">puesto que, en términos generales, </w:t>
      </w:r>
      <w:r w:rsidR="00341B3C">
        <w:rPr>
          <w:sz w:val="24"/>
          <w:szCs w:val="24"/>
        </w:rPr>
        <w:t>al</w:t>
      </w:r>
      <w:r w:rsidR="008601E0">
        <w:rPr>
          <w:sz w:val="24"/>
          <w:szCs w:val="24"/>
        </w:rPr>
        <w:t xml:space="preserve"> ser beneficiario del régimen de transición</w:t>
      </w:r>
      <w:r w:rsidR="00E96FB1">
        <w:rPr>
          <w:sz w:val="24"/>
          <w:szCs w:val="24"/>
        </w:rPr>
        <w:t xml:space="preserve"> de la Ley 100</w:t>
      </w:r>
      <w:r w:rsidR="008601E0">
        <w:rPr>
          <w:sz w:val="24"/>
          <w:szCs w:val="24"/>
        </w:rPr>
        <w:t xml:space="preserve"> de 1993, </w:t>
      </w:r>
      <w:r w:rsidR="00341B3C">
        <w:rPr>
          <w:sz w:val="24"/>
          <w:szCs w:val="24"/>
        </w:rPr>
        <w:t>tenía</w:t>
      </w:r>
      <w:r w:rsidR="00B83144">
        <w:rPr>
          <w:sz w:val="24"/>
          <w:szCs w:val="24"/>
        </w:rPr>
        <w:t xml:space="preserve"> derecho a </w:t>
      </w:r>
      <w:r w:rsidR="008601E0">
        <w:rPr>
          <w:sz w:val="24"/>
          <w:szCs w:val="24"/>
        </w:rPr>
        <w:t xml:space="preserve">que su pensión fuera liquidada bajo los parámetros del Decreto 546 de 1971, incluso en lo relacionado con el IBL. En particular, presentó </w:t>
      </w:r>
      <w:r w:rsidR="00DD64D2">
        <w:rPr>
          <w:sz w:val="24"/>
          <w:szCs w:val="24"/>
        </w:rPr>
        <w:t xml:space="preserve">los </w:t>
      </w:r>
      <w:r w:rsidR="008601E0">
        <w:rPr>
          <w:sz w:val="24"/>
          <w:szCs w:val="24"/>
        </w:rPr>
        <w:t>fundamentos</w:t>
      </w:r>
      <w:r w:rsidR="00DD64D2">
        <w:rPr>
          <w:sz w:val="24"/>
          <w:szCs w:val="24"/>
        </w:rPr>
        <w:t xml:space="preserve"> que la Sala resume a continuación: </w:t>
      </w:r>
    </w:p>
    <w:p w14:paraId="4D78E82C" w14:textId="77777777" w:rsidR="00DD64D2" w:rsidRDefault="00DD64D2" w:rsidP="00390E15">
      <w:pPr>
        <w:overflowPunct w:val="0"/>
        <w:autoSpaceDE w:val="0"/>
        <w:autoSpaceDN w:val="0"/>
        <w:adjustRightInd w:val="0"/>
        <w:contextualSpacing/>
        <w:rPr>
          <w:sz w:val="24"/>
          <w:szCs w:val="24"/>
        </w:rPr>
      </w:pPr>
    </w:p>
    <w:p w14:paraId="48F7004C" w14:textId="36C45DAD" w:rsidR="009204D5" w:rsidRDefault="00970FB0" w:rsidP="00390E15">
      <w:pPr>
        <w:overflowPunct w:val="0"/>
        <w:autoSpaceDE w:val="0"/>
        <w:autoSpaceDN w:val="0"/>
        <w:adjustRightInd w:val="0"/>
        <w:contextualSpacing/>
        <w:rPr>
          <w:sz w:val="24"/>
          <w:szCs w:val="24"/>
        </w:rPr>
      </w:pPr>
      <w:r>
        <w:rPr>
          <w:sz w:val="24"/>
          <w:szCs w:val="24"/>
        </w:rPr>
        <w:t xml:space="preserve">1.4.1. </w:t>
      </w:r>
      <w:r w:rsidR="009204D5">
        <w:rPr>
          <w:sz w:val="24"/>
          <w:szCs w:val="24"/>
        </w:rPr>
        <w:t xml:space="preserve">Al momento en que entró en vigencia la Ley 100 de 1993, el señor Mejía </w:t>
      </w:r>
      <w:proofErr w:type="spellStart"/>
      <w:r w:rsidR="009204D5">
        <w:rPr>
          <w:sz w:val="24"/>
          <w:szCs w:val="24"/>
        </w:rPr>
        <w:t>Abello</w:t>
      </w:r>
      <w:proofErr w:type="spellEnd"/>
      <w:r w:rsidR="009204D5">
        <w:rPr>
          <w:sz w:val="24"/>
          <w:szCs w:val="24"/>
        </w:rPr>
        <w:t xml:space="preserve"> contaba más de 15 años de servicio ininterrumpidos </w:t>
      </w:r>
      <w:r w:rsidR="00B83144">
        <w:rPr>
          <w:sz w:val="24"/>
          <w:szCs w:val="24"/>
        </w:rPr>
        <w:t>en</w:t>
      </w:r>
      <w:r w:rsidR="009204D5">
        <w:rPr>
          <w:sz w:val="24"/>
          <w:szCs w:val="24"/>
        </w:rPr>
        <w:t xml:space="preserve"> la rama judicial, circunstancia que lo hizo beneficiario del régimen de transición. En ese orden, su situación pensional debió ser resuelta con fundamento en lo previsto en el Decreto 546 de 1971, incluso lo relacionado con el IBL. </w:t>
      </w:r>
    </w:p>
    <w:p w14:paraId="3829D31C" w14:textId="77777777" w:rsidR="009204D5" w:rsidRDefault="009204D5" w:rsidP="00390E15">
      <w:pPr>
        <w:overflowPunct w:val="0"/>
        <w:autoSpaceDE w:val="0"/>
        <w:autoSpaceDN w:val="0"/>
        <w:adjustRightInd w:val="0"/>
        <w:contextualSpacing/>
        <w:rPr>
          <w:sz w:val="24"/>
          <w:szCs w:val="24"/>
        </w:rPr>
      </w:pPr>
    </w:p>
    <w:p w14:paraId="3794A7D9" w14:textId="592C7CCD" w:rsidR="009204D5" w:rsidRDefault="009204D5" w:rsidP="00390E15">
      <w:pPr>
        <w:overflowPunct w:val="0"/>
        <w:autoSpaceDE w:val="0"/>
        <w:autoSpaceDN w:val="0"/>
        <w:adjustRightInd w:val="0"/>
        <w:contextualSpacing/>
        <w:rPr>
          <w:sz w:val="24"/>
          <w:szCs w:val="24"/>
          <w:lang w:val="es-MX" w:eastAsia="ja-JP"/>
        </w:rPr>
      </w:pPr>
      <w:r>
        <w:rPr>
          <w:sz w:val="24"/>
          <w:szCs w:val="24"/>
        </w:rPr>
        <w:t>1.4.2. La autoridad cuestionada desatendió los requisitos</w:t>
      </w:r>
      <w:r w:rsidR="00772F4D">
        <w:rPr>
          <w:sz w:val="24"/>
          <w:szCs w:val="24"/>
        </w:rPr>
        <w:t xml:space="preserve"> previstos en</w:t>
      </w:r>
      <w:r>
        <w:rPr>
          <w:sz w:val="24"/>
          <w:szCs w:val="24"/>
        </w:rPr>
        <w:t xml:space="preserve"> la sentencia de unificación </w:t>
      </w:r>
      <w:r w:rsidR="00A07D4D">
        <w:rPr>
          <w:sz w:val="24"/>
          <w:szCs w:val="24"/>
          <w:lang w:val="es-MX" w:eastAsia="ja-JP"/>
        </w:rPr>
        <w:t xml:space="preserve">del Consejo de Estado </w:t>
      </w:r>
      <w:r w:rsidR="00A07D4D" w:rsidRPr="009637BE">
        <w:rPr>
          <w:sz w:val="24"/>
          <w:szCs w:val="24"/>
          <w:lang w:val="es-MX" w:eastAsia="ja-JP"/>
        </w:rPr>
        <w:t>CE-SUJ-S2-021-20 de fecha 11 de junio de 2020</w:t>
      </w:r>
      <w:r w:rsidR="00A07D4D">
        <w:rPr>
          <w:sz w:val="24"/>
          <w:szCs w:val="24"/>
          <w:lang w:val="es-MX" w:eastAsia="ja-JP"/>
        </w:rPr>
        <w:t xml:space="preserve">, pues no tuvo en cuenta que lo dispuesto en esta providencia </w:t>
      </w:r>
      <w:r w:rsidR="00846390">
        <w:rPr>
          <w:sz w:val="24"/>
          <w:szCs w:val="24"/>
          <w:lang w:val="es-MX" w:eastAsia="ja-JP"/>
        </w:rPr>
        <w:t xml:space="preserve">solo aplica para casos iguales, es decir, no hizo un test de razonabilidad para explicar las razones de su decisión. </w:t>
      </w:r>
      <w:r w:rsidR="00163035">
        <w:rPr>
          <w:sz w:val="24"/>
          <w:szCs w:val="24"/>
          <w:lang w:val="es-MX" w:eastAsia="ja-JP"/>
        </w:rPr>
        <w:t xml:space="preserve">Además, las sentencias C-258 de </w:t>
      </w:r>
      <w:r w:rsidR="003361C9">
        <w:rPr>
          <w:sz w:val="24"/>
          <w:szCs w:val="24"/>
          <w:lang w:val="es-MX" w:eastAsia="ja-JP"/>
        </w:rPr>
        <w:t>2013 y SU</w:t>
      </w:r>
      <w:r w:rsidR="00163035">
        <w:rPr>
          <w:sz w:val="24"/>
          <w:szCs w:val="24"/>
          <w:lang w:val="es-MX" w:eastAsia="ja-JP"/>
        </w:rPr>
        <w:t xml:space="preserve">-230 de 2015 solo rigen para congresistas y magistrados de altas cortes. </w:t>
      </w:r>
    </w:p>
    <w:p w14:paraId="69821106" w14:textId="77777777" w:rsidR="00772F4D" w:rsidRDefault="00772F4D" w:rsidP="00390E15">
      <w:pPr>
        <w:overflowPunct w:val="0"/>
        <w:autoSpaceDE w:val="0"/>
        <w:autoSpaceDN w:val="0"/>
        <w:adjustRightInd w:val="0"/>
        <w:contextualSpacing/>
        <w:rPr>
          <w:sz w:val="24"/>
          <w:szCs w:val="24"/>
          <w:lang w:val="es-MX" w:eastAsia="ja-JP"/>
        </w:rPr>
      </w:pPr>
    </w:p>
    <w:p w14:paraId="3DD40C44" w14:textId="3502452B" w:rsidR="00772F4D" w:rsidRDefault="00772F4D" w:rsidP="00390E15">
      <w:pPr>
        <w:overflowPunct w:val="0"/>
        <w:autoSpaceDE w:val="0"/>
        <w:autoSpaceDN w:val="0"/>
        <w:adjustRightInd w:val="0"/>
        <w:contextualSpacing/>
        <w:rPr>
          <w:sz w:val="24"/>
          <w:szCs w:val="24"/>
          <w:lang w:val="es-MX" w:eastAsia="ja-JP"/>
        </w:rPr>
      </w:pPr>
      <w:r>
        <w:rPr>
          <w:sz w:val="24"/>
          <w:szCs w:val="24"/>
          <w:lang w:val="es-MX" w:eastAsia="ja-JP"/>
        </w:rPr>
        <w:t xml:space="preserve">1.4.3. </w:t>
      </w:r>
      <w:r w:rsidR="00341B3C">
        <w:rPr>
          <w:sz w:val="24"/>
          <w:szCs w:val="24"/>
          <w:lang w:val="es-MX" w:eastAsia="ja-JP"/>
        </w:rPr>
        <w:t>De otra parte,</w:t>
      </w:r>
      <w:r w:rsidR="007C1BDE">
        <w:rPr>
          <w:sz w:val="24"/>
          <w:szCs w:val="24"/>
          <w:lang w:val="es-MX" w:eastAsia="ja-JP"/>
        </w:rPr>
        <w:t xml:space="preserve"> </w:t>
      </w:r>
      <w:r w:rsidR="00846390">
        <w:rPr>
          <w:sz w:val="24"/>
          <w:szCs w:val="24"/>
          <w:lang w:val="es-MX" w:eastAsia="ja-JP"/>
        </w:rPr>
        <w:t>el Acto Legislativo 01 de 2005</w:t>
      </w:r>
      <w:r w:rsidR="007C1BDE">
        <w:rPr>
          <w:sz w:val="24"/>
          <w:szCs w:val="24"/>
          <w:lang w:val="es-MX" w:eastAsia="ja-JP"/>
        </w:rPr>
        <w:t xml:space="preserve"> garantizó </w:t>
      </w:r>
      <w:r w:rsidR="00341B3C">
        <w:rPr>
          <w:sz w:val="24"/>
          <w:szCs w:val="24"/>
          <w:lang w:val="es-MX" w:eastAsia="ja-JP"/>
        </w:rPr>
        <w:t xml:space="preserve">los </w:t>
      </w:r>
      <w:r w:rsidR="007C1BDE">
        <w:rPr>
          <w:sz w:val="24"/>
          <w:szCs w:val="24"/>
          <w:lang w:val="es-MX" w:eastAsia="ja-JP"/>
        </w:rPr>
        <w:t>derechos</w:t>
      </w:r>
      <w:r w:rsidR="00846390">
        <w:rPr>
          <w:sz w:val="24"/>
          <w:szCs w:val="24"/>
          <w:lang w:val="es-MX" w:eastAsia="ja-JP"/>
        </w:rPr>
        <w:t xml:space="preserve"> </w:t>
      </w:r>
      <w:r w:rsidR="007C1BDE">
        <w:rPr>
          <w:sz w:val="24"/>
          <w:szCs w:val="24"/>
          <w:lang w:val="es-MX" w:eastAsia="ja-JP"/>
        </w:rPr>
        <w:t xml:space="preserve">pensionales </w:t>
      </w:r>
      <w:r w:rsidR="00846390">
        <w:rPr>
          <w:sz w:val="24"/>
          <w:szCs w:val="24"/>
          <w:lang w:val="es-MX" w:eastAsia="ja-JP"/>
        </w:rPr>
        <w:t xml:space="preserve">adquiridos, </w:t>
      </w:r>
      <w:r w:rsidR="007C1BDE">
        <w:rPr>
          <w:sz w:val="24"/>
          <w:szCs w:val="24"/>
          <w:lang w:val="es-MX" w:eastAsia="ja-JP"/>
        </w:rPr>
        <w:t>por lo que,</w:t>
      </w:r>
      <w:r w:rsidR="00846390">
        <w:rPr>
          <w:sz w:val="24"/>
          <w:szCs w:val="24"/>
          <w:lang w:val="es-MX" w:eastAsia="ja-JP"/>
        </w:rPr>
        <w:t xml:space="preserve"> quienes al 25 de julio de 2005 contaran con más de 750 semanas cotizadas, </w:t>
      </w:r>
      <w:r w:rsidR="007C1BDE">
        <w:rPr>
          <w:sz w:val="24"/>
          <w:szCs w:val="24"/>
          <w:lang w:val="es-MX" w:eastAsia="ja-JP"/>
        </w:rPr>
        <w:t>también eran</w:t>
      </w:r>
      <w:r w:rsidR="00846390">
        <w:rPr>
          <w:sz w:val="24"/>
          <w:szCs w:val="24"/>
          <w:lang w:val="es-MX" w:eastAsia="ja-JP"/>
        </w:rPr>
        <w:t xml:space="preserve"> beneficiarios del régimen de transición</w:t>
      </w:r>
      <w:r w:rsidR="007C1BDE">
        <w:rPr>
          <w:sz w:val="24"/>
          <w:szCs w:val="24"/>
          <w:lang w:val="es-MX" w:eastAsia="ja-JP"/>
        </w:rPr>
        <w:t xml:space="preserve"> del régimen general de seguridad social</w:t>
      </w:r>
      <w:r w:rsidR="00846390">
        <w:rPr>
          <w:sz w:val="24"/>
          <w:szCs w:val="24"/>
          <w:lang w:val="es-MX" w:eastAsia="ja-JP"/>
        </w:rPr>
        <w:t>, posición compa</w:t>
      </w:r>
      <w:r w:rsidR="000C2372">
        <w:rPr>
          <w:sz w:val="24"/>
          <w:szCs w:val="24"/>
          <w:lang w:val="es-MX" w:eastAsia="ja-JP"/>
        </w:rPr>
        <w:t>rtida por el Consejo de Estado y la Corte Constitucional.</w:t>
      </w:r>
    </w:p>
    <w:p w14:paraId="4C435AD5" w14:textId="77777777" w:rsidR="007C1BDE" w:rsidRDefault="007C1BDE" w:rsidP="00390E15">
      <w:pPr>
        <w:overflowPunct w:val="0"/>
        <w:autoSpaceDE w:val="0"/>
        <w:autoSpaceDN w:val="0"/>
        <w:adjustRightInd w:val="0"/>
        <w:contextualSpacing/>
        <w:rPr>
          <w:sz w:val="24"/>
          <w:szCs w:val="24"/>
          <w:lang w:val="es-MX" w:eastAsia="ja-JP"/>
        </w:rPr>
      </w:pPr>
    </w:p>
    <w:p w14:paraId="70A9B020" w14:textId="77777777" w:rsidR="00D41AF5" w:rsidRPr="00CE45F4" w:rsidRDefault="00D41AF5" w:rsidP="00D41AF5">
      <w:pPr>
        <w:overflowPunct w:val="0"/>
        <w:autoSpaceDE w:val="0"/>
        <w:autoSpaceDN w:val="0"/>
        <w:adjustRightInd w:val="0"/>
        <w:contextualSpacing/>
        <w:rPr>
          <w:b/>
          <w:sz w:val="24"/>
          <w:szCs w:val="24"/>
        </w:rPr>
      </w:pPr>
      <w:r w:rsidRPr="00CE45F4">
        <w:rPr>
          <w:b/>
          <w:sz w:val="24"/>
          <w:szCs w:val="24"/>
        </w:rPr>
        <w:t xml:space="preserve">1.5. Trámite de tutela e intervenciones </w:t>
      </w:r>
    </w:p>
    <w:p w14:paraId="38D6B77B" w14:textId="77777777" w:rsidR="00D41AF5" w:rsidRPr="009412BC" w:rsidRDefault="00D41AF5" w:rsidP="00D41AF5">
      <w:pPr>
        <w:overflowPunct w:val="0"/>
        <w:autoSpaceDE w:val="0"/>
        <w:autoSpaceDN w:val="0"/>
        <w:adjustRightInd w:val="0"/>
        <w:contextualSpacing/>
        <w:rPr>
          <w:rFonts w:eastAsia="Times New Roman"/>
          <w:sz w:val="24"/>
          <w:szCs w:val="24"/>
          <w:lang w:eastAsia="es-ES"/>
        </w:rPr>
      </w:pPr>
      <w:r w:rsidRPr="009412BC">
        <w:rPr>
          <w:sz w:val="24"/>
          <w:szCs w:val="24"/>
        </w:rPr>
        <w:t xml:space="preserve"> </w:t>
      </w:r>
    </w:p>
    <w:p w14:paraId="2049CD44" w14:textId="4AF94BE4" w:rsidR="00D41AF5" w:rsidRPr="00913C29" w:rsidRDefault="00D41AF5" w:rsidP="00D41AF5">
      <w:pPr>
        <w:tabs>
          <w:tab w:val="left" w:pos="1985"/>
        </w:tabs>
        <w:rPr>
          <w:sz w:val="24"/>
          <w:szCs w:val="24"/>
        </w:rPr>
      </w:pPr>
      <w:r w:rsidRPr="00CE45F4">
        <w:rPr>
          <w:b/>
          <w:sz w:val="24"/>
          <w:szCs w:val="24"/>
          <w:lang w:val="es-MX" w:eastAsia="ja-JP"/>
        </w:rPr>
        <w:t>1.5.1.</w:t>
      </w:r>
      <w:r w:rsidRPr="009412BC">
        <w:rPr>
          <w:sz w:val="24"/>
          <w:szCs w:val="24"/>
          <w:lang w:val="es-MX" w:eastAsia="ja-JP"/>
        </w:rPr>
        <w:t xml:space="preserve"> </w:t>
      </w:r>
      <w:r w:rsidRPr="009412BC">
        <w:rPr>
          <w:rFonts w:eastAsia="Times New Roman"/>
          <w:bCs/>
          <w:sz w:val="24"/>
          <w:szCs w:val="24"/>
          <w:lang w:eastAsia="es-ES"/>
        </w:rPr>
        <w:t xml:space="preserve">El Despacho del magistrado ponente, con auto del </w:t>
      </w:r>
      <w:r w:rsidR="000C2372">
        <w:rPr>
          <w:rFonts w:eastAsia="Times New Roman"/>
          <w:b/>
          <w:bCs/>
          <w:sz w:val="24"/>
          <w:szCs w:val="24"/>
          <w:lang w:eastAsia="es-ES"/>
        </w:rPr>
        <w:t>9</w:t>
      </w:r>
      <w:r w:rsidRPr="00CE45F4">
        <w:rPr>
          <w:rFonts w:eastAsia="Times New Roman"/>
          <w:b/>
          <w:bCs/>
          <w:sz w:val="24"/>
          <w:szCs w:val="24"/>
          <w:lang w:eastAsia="es-ES"/>
        </w:rPr>
        <w:t xml:space="preserve"> de </w:t>
      </w:r>
      <w:r w:rsidR="000C2372">
        <w:rPr>
          <w:rFonts w:eastAsia="Times New Roman"/>
          <w:b/>
          <w:bCs/>
          <w:sz w:val="24"/>
          <w:szCs w:val="24"/>
          <w:lang w:eastAsia="es-ES"/>
        </w:rPr>
        <w:t>agosto</w:t>
      </w:r>
      <w:r w:rsidRPr="00CE45F4">
        <w:rPr>
          <w:rFonts w:eastAsia="Times New Roman"/>
          <w:b/>
          <w:bCs/>
          <w:sz w:val="24"/>
          <w:szCs w:val="24"/>
          <w:lang w:eastAsia="es-ES"/>
        </w:rPr>
        <w:t xml:space="preserve"> de 2021</w:t>
      </w:r>
      <w:r>
        <w:rPr>
          <w:rFonts w:eastAsia="Times New Roman"/>
          <w:bCs/>
          <w:sz w:val="24"/>
          <w:szCs w:val="24"/>
          <w:lang w:eastAsia="es-ES"/>
        </w:rPr>
        <w:t>, admitió la acción, vinculó</w:t>
      </w:r>
      <w:r w:rsidR="000C2372">
        <w:rPr>
          <w:bCs/>
          <w:sz w:val="24"/>
          <w:szCs w:val="24"/>
        </w:rPr>
        <w:t xml:space="preserve"> </w:t>
      </w:r>
      <w:proofErr w:type="spellStart"/>
      <w:r w:rsidR="000C2372">
        <w:rPr>
          <w:bCs/>
          <w:sz w:val="24"/>
          <w:szCs w:val="24"/>
        </w:rPr>
        <w:t>Colpensiones</w:t>
      </w:r>
      <w:proofErr w:type="spellEnd"/>
      <w:r w:rsidR="000C2372">
        <w:rPr>
          <w:bCs/>
          <w:sz w:val="24"/>
          <w:szCs w:val="24"/>
        </w:rPr>
        <w:t xml:space="preserve"> y al Juzgado Quinto Administrativo de Bucaramanga, ordenó notificar a los sujetos procesales y suspendió los términos de la acción constitucional</w:t>
      </w:r>
      <w:r w:rsidRPr="009412BC">
        <w:rPr>
          <w:rStyle w:val="Refdenotaalpie"/>
          <w:rFonts w:eastAsia="Times New Roman"/>
          <w:bCs/>
          <w:sz w:val="24"/>
          <w:szCs w:val="24"/>
          <w:lang w:eastAsia="es-ES"/>
        </w:rPr>
        <w:footnoteReference w:id="7"/>
      </w:r>
      <w:r w:rsidRPr="009412BC">
        <w:rPr>
          <w:rFonts w:eastAsia="Times New Roman"/>
          <w:bCs/>
          <w:sz w:val="24"/>
          <w:szCs w:val="24"/>
          <w:lang w:eastAsia="es-ES"/>
        </w:rPr>
        <w:t xml:space="preserve">. </w:t>
      </w:r>
    </w:p>
    <w:p w14:paraId="4A546C8A" w14:textId="77777777" w:rsidR="00D41AF5" w:rsidRPr="009412BC" w:rsidRDefault="00D41AF5" w:rsidP="00D41AF5">
      <w:pPr>
        <w:autoSpaceDE w:val="0"/>
        <w:autoSpaceDN w:val="0"/>
        <w:adjustRightInd w:val="0"/>
        <w:rPr>
          <w:sz w:val="24"/>
          <w:szCs w:val="24"/>
          <w:lang w:val="es-MX" w:eastAsia="ja-JP"/>
        </w:rPr>
      </w:pPr>
    </w:p>
    <w:p w14:paraId="1211C561" w14:textId="2940DD76" w:rsidR="00970FB0" w:rsidRDefault="00D41AF5" w:rsidP="00D0051F">
      <w:pPr>
        <w:autoSpaceDE w:val="0"/>
        <w:autoSpaceDN w:val="0"/>
        <w:adjustRightInd w:val="0"/>
        <w:rPr>
          <w:sz w:val="24"/>
          <w:szCs w:val="24"/>
        </w:rPr>
      </w:pPr>
      <w:r w:rsidRPr="00CE45F4">
        <w:rPr>
          <w:b/>
          <w:sz w:val="24"/>
          <w:szCs w:val="24"/>
          <w:lang w:val="es-MX" w:eastAsia="ja-JP"/>
        </w:rPr>
        <w:lastRenderedPageBreak/>
        <w:t>1.5.2.</w:t>
      </w:r>
      <w:r w:rsidR="00D0051F">
        <w:rPr>
          <w:sz w:val="24"/>
          <w:szCs w:val="24"/>
        </w:rPr>
        <w:t xml:space="preserve"> </w:t>
      </w:r>
      <w:r w:rsidR="002C45B4">
        <w:rPr>
          <w:sz w:val="24"/>
          <w:szCs w:val="24"/>
        </w:rPr>
        <w:t xml:space="preserve">Una vez notificada </w:t>
      </w:r>
      <w:proofErr w:type="spellStart"/>
      <w:r w:rsidR="000C2372" w:rsidRPr="002C45B4">
        <w:rPr>
          <w:b/>
          <w:sz w:val="24"/>
          <w:szCs w:val="24"/>
        </w:rPr>
        <w:t>Colpensiones</w:t>
      </w:r>
      <w:proofErr w:type="spellEnd"/>
      <w:r w:rsidR="002C45B4">
        <w:rPr>
          <w:sz w:val="24"/>
          <w:szCs w:val="24"/>
        </w:rPr>
        <w:t>,</w:t>
      </w:r>
      <w:r w:rsidR="00B83144">
        <w:rPr>
          <w:sz w:val="24"/>
          <w:szCs w:val="24"/>
        </w:rPr>
        <w:t xml:space="preserve"> contestó que no vulneraron </w:t>
      </w:r>
      <w:r w:rsidR="000C2372">
        <w:rPr>
          <w:sz w:val="24"/>
          <w:szCs w:val="24"/>
        </w:rPr>
        <w:t xml:space="preserve">derechos fundamentales en el presente asunto, </w:t>
      </w:r>
      <w:r w:rsidR="00DC5057">
        <w:rPr>
          <w:sz w:val="24"/>
          <w:szCs w:val="24"/>
        </w:rPr>
        <w:t xml:space="preserve">que no se configuró una causal de </w:t>
      </w:r>
      <w:proofErr w:type="spellStart"/>
      <w:r w:rsidR="00DC5057">
        <w:rPr>
          <w:sz w:val="24"/>
          <w:szCs w:val="24"/>
        </w:rPr>
        <w:t>procedibilidad</w:t>
      </w:r>
      <w:proofErr w:type="spellEnd"/>
      <w:r w:rsidR="00DC5057">
        <w:rPr>
          <w:sz w:val="24"/>
          <w:szCs w:val="24"/>
        </w:rPr>
        <w:t>, que la sentencia del 1 de julio de 2021 ya hizo tránsito a cosa juzgada y que las pretensiones de la acción hacen que el juez constitucional invada la órbita del ordinario. Por lo anterior, solicitó que se declare improcedente el escrito de petición de amparo</w:t>
      </w:r>
      <w:r w:rsidR="00D0051F" w:rsidRPr="009412BC">
        <w:rPr>
          <w:rStyle w:val="Refdenotaalpie"/>
          <w:rFonts w:eastAsia="Times New Roman"/>
          <w:bCs/>
          <w:sz w:val="24"/>
          <w:szCs w:val="24"/>
          <w:lang w:eastAsia="es-ES"/>
        </w:rPr>
        <w:footnoteReference w:id="8"/>
      </w:r>
      <w:r>
        <w:rPr>
          <w:sz w:val="24"/>
          <w:szCs w:val="24"/>
        </w:rPr>
        <w:t xml:space="preserve">. </w:t>
      </w:r>
    </w:p>
    <w:p w14:paraId="7FCBA0B8" w14:textId="77777777" w:rsidR="00D05176" w:rsidRDefault="00D05176" w:rsidP="00390E15">
      <w:pPr>
        <w:overflowPunct w:val="0"/>
        <w:autoSpaceDE w:val="0"/>
        <w:autoSpaceDN w:val="0"/>
        <w:adjustRightInd w:val="0"/>
        <w:contextualSpacing/>
        <w:rPr>
          <w:sz w:val="24"/>
          <w:szCs w:val="24"/>
        </w:rPr>
      </w:pPr>
    </w:p>
    <w:p w14:paraId="2DA9C0B1" w14:textId="5F8D06C5" w:rsidR="006155A3" w:rsidRPr="00D423FF" w:rsidRDefault="000C5DB7" w:rsidP="00390E15">
      <w:pPr>
        <w:pStyle w:val="Ttulo1"/>
        <w:spacing w:before="0" w:after="0" w:line="240" w:lineRule="auto"/>
        <w:rPr>
          <w:rFonts w:cs="Arial"/>
          <w:szCs w:val="24"/>
          <w:lang w:val="es-ES_tradnl"/>
        </w:rPr>
      </w:pPr>
      <w:r w:rsidRPr="00D423FF">
        <w:rPr>
          <w:rFonts w:cs="Arial"/>
          <w:szCs w:val="24"/>
          <w:lang w:val="es-ES_tradnl"/>
        </w:rPr>
        <w:t>CONSIDERACIONES</w:t>
      </w:r>
    </w:p>
    <w:p w14:paraId="4049A947" w14:textId="77777777" w:rsidR="006155A3" w:rsidRPr="00D423FF" w:rsidRDefault="006155A3" w:rsidP="00390E15">
      <w:pPr>
        <w:rPr>
          <w:sz w:val="24"/>
          <w:szCs w:val="24"/>
          <w:lang w:val="es-ES_tradnl"/>
        </w:rPr>
      </w:pPr>
    </w:p>
    <w:p w14:paraId="4101652C" w14:textId="06860010" w:rsidR="000C5DB7" w:rsidRPr="00D423FF" w:rsidRDefault="00701833" w:rsidP="00701833">
      <w:pPr>
        <w:tabs>
          <w:tab w:val="left" w:pos="426"/>
        </w:tabs>
        <w:contextualSpacing/>
        <w:rPr>
          <w:b/>
          <w:sz w:val="24"/>
          <w:szCs w:val="24"/>
          <w:lang w:val="es-ES_tradnl"/>
        </w:rPr>
      </w:pPr>
      <w:r>
        <w:rPr>
          <w:b/>
          <w:sz w:val="24"/>
          <w:szCs w:val="24"/>
          <w:lang w:val="es-ES_tradnl"/>
        </w:rPr>
        <w:t xml:space="preserve">2.1. </w:t>
      </w:r>
      <w:r w:rsidR="000C5DB7" w:rsidRPr="00D423FF">
        <w:rPr>
          <w:b/>
          <w:sz w:val="24"/>
          <w:szCs w:val="24"/>
          <w:lang w:val="es-ES_tradnl"/>
        </w:rPr>
        <w:t>Competencia</w:t>
      </w:r>
    </w:p>
    <w:p w14:paraId="729641CD" w14:textId="77777777" w:rsidR="006E742C" w:rsidRPr="00D423FF" w:rsidRDefault="006E742C" w:rsidP="00390E15">
      <w:pPr>
        <w:tabs>
          <w:tab w:val="left" w:pos="426"/>
        </w:tabs>
        <w:contextualSpacing/>
        <w:rPr>
          <w:b/>
          <w:sz w:val="24"/>
          <w:szCs w:val="24"/>
          <w:lang w:val="es-ES_tradnl"/>
        </w:rPr>
      </w:pPr>
    </w:p>
    <w:p w14:paraId="23384028" w14:textId="4DED6153" w:rsidR="00D51DED" w:rsidRPr="00D423FF" w:rsidRDefault="00D51DED" w:rsidP="00390E15">
      <w:pPr>
        <w:pStyle w:val="Prrafodelista"/>
        <w:ind w:left="0"/>
        <w:jc w:val="both"/>
        <w:rPr>
          <w:rFonts w:ascii="Arial" w:hAnsi="Arial" w:cs="Arial"/>
        </w:rPr>
      </w:pPr>
      <w:r w:rsidRPr="00D423FF">
        <w:rPr>
          <w:rFonts w:ascii="Arial" w:hAnsi="Arial" w:cs="Arial"/>
        </w:rPr>
        <w:t xml:space="preserve">La Sala </w:t>
      </w:r>
      <w:r w:rsidR="00D070CB" w:rsidRPr="00D423FF">
        <w:rPr>
          <w:rFonts w:ascii="Arial" w:hAnsi="Arial" w:cs="Arial"/>
        </w:rPr>
        <w:t>tiene competencia</w:t>
      </w:r>
      <w:r w:rsidRPr="00D423FF">
        <w:rPr>
          <w:rFonts w:ascii="Arial" w:hAnsi="Arial" w:cs="Arial"/>
        </w:rPr>
        <w:t xml:space="preserve"> para decidir la presente acción de tutela</w:t>
      </w:r>
      <w:r w:rsidR="00D070CB" w:rsidRPr="00D423FF">
        <w:rPr>
          <w:rFonts w:ascii="Arial" w:hAnsi="Arial" w:cs="Arial"/>
        </w:rPr>
        <w:t xml:space="preserve"> en virtud de lo dispuesto en los</w:t>
      </w:r>
      <w:r w:rsidRPr="00D423FF">
        <w:rPr>
          <w:rFonts w:ascii="Arial" w:hAnsi="Arial" w:cs="Arial"/>
        </w:rPr>
        <w:t xml:space="preserve"> artículo</w:t>
      </w:r>
      <w:r w:rsidR="00D070CB" w:rsidRPr="00D423FF">
        <w:rPr>
          <w:rFonts w:ascii="Arial" w:hAnsi="Arial" w:cs="Arial"/>
        </w:rPr>
        <w:t>s</w:t>
      </w:r>
      <w:r w:rsidRPr="00D423FF">
        <w:rPr>
          <w:rFonts w:ascii="Arial" w:hAnsi="Arial" w:cs="Arial"/>
        </w:rPr>
        <w:t xml:space="preserve"> 86 </w:t>
      </w:r>
      <w:r w:rsidR="00D070CB" w:rsidRPr="00D423FF">
        <w:rPr>
          <w:rFonts w:ascii="Arial" w:hAnsi="Arial" w:cs="Arial"/>
        </w:rPr>
        <w:t>de la Constitución Política y 37 d</w:t>
      </w:r>
      <w:r w:rsidRPr="00D423FF">
        <w:rPr>
          <w:rFonts w:ascii="Arial" w:hAnsi="Arial" w:cs="Arial"/>
        </w:rPr>
        <w:t>el Decreto 2591 de 1991.</w:t>
      </w:r>
    </w:p>
    <w:p w14:paraId="28B93711" w14:textId="77777777" w:rsidR="008462F3" w:rsidRDefault="008462F3" w:rsidP="00390E15">
      <w:pPr>
        <w:overflowPunct w:val="0"/>
        <w:autoSpaceDE w:val="0"/>
        <w:autoSpaceDN w:val="0"/>
        <w:adjustRightInd w:val="0"/>
        <w:contextualSpacing/>
        <w:rPr>
          <w:rFonts w:eastAsia="Times New Roman"/>
          <w:sz w:val="24"/>
          <w:szCs w:val="24"/>
          <w:lang w:val="es-MX" w:eastAsia="es-ES"/>
        </w:rPr>
      </w:pPr>
    </w:p>
    <w:p w14:paraId="75568C0B" w14:textId="663EF01B" w:rsidR="00701833" w:rsidRPr="00D423FF" w:rsidRDefault="00701833" w:rsidP="00701833">
      <w:pPr>
        <w:autoSpaceDE w:val="0"/>
        <w:autoSpaceDN w:val="0"/>
        <w:adjustRightInd w:val="0"/>
        <w:rPr>
          <w:sz w:val="24"/>
          <w:szCs w:val="24"/>
          <w:lang w:val="es-ES_tradnl"/>
        </w:rPr>
      </w:pPr>
      <w:r>
        <w:rPr>
          <w:rFonts w:eastAsia="Verdana"/>
          <w:b/>
          <w:sz w:val="24"/>
          <w:szCs w:val="24"/>
          <w:lang w:val="es-ES_tradnl"/>
        </w:rPr>
        <w:t>2.2</w:t>
      </w:r>
      <w:r w:rsidRPr="00D423FF">
        <w:rPr>
          <w:rFonts w:eastAsia="Verdana"/>
          <w:b/>
          <w:sz w:val="24"/>
          <w:szCs w:val="24"/>
          <w:lang w:val="es-ES_tradnl"/>
        </w:rPr>
        <w:t xml:space="preserve">. </w:t>
      </w:r>
      <w:r w:rsidRPr="00D423FF">
        <w:rPr>
          <w:rFonts w:eastAsia="Verdana"/>
          <w:sz w:val="24"/>
          <w:szCs w:val="24"/>
          <w:lang w:val="es-ES_tradnl"/>
        </w:rPr>
        <w:t xml:space="preserve">La </w:t>
      </w:r>
      <w:r w:rsidRPr="00D423FF">
        <w:rPr>
          <w:b/>
          <w:sz w:val="24"/>
          <w:szCs w:val="24"/>
          <w:lang w:val="es-ES_tradnl"/>
        </w:rPr>
        <w:t>legitimación</w:t>
      </w:r>
      <w:r w:rsidRPr="00D423FF">
        <w:rPr>
          <w:sz w:val="24"/>
          <w:szCs w:val="24"/>
          <w:lang w:val="es-ES_tradnl"/>
        </w:rPr>
        <w:t xml:space="preserve"> </w:t>
      </w:r>
      <w:r w:rsidRPr="00D423FF">
        <w:rPr>
          <w:b/>
          <w:sz w:val="24"/>
          <w:szCs w:val="24"/>
          <w:lang w:val="es-ES_tradnl"/>
        </w:rPr>
        <w:t>en la causa</w:t>
      </w:r>
      <w:r w:rsidRPr="00D423FF">
        <w:rPr>
          <w:sz w:val="24"/>
          <w:szCs w:val="24"/>
          <w:lang w:val="es-ES_tradnl"/>
        </w:rPr>
        <w:t xml:space="preserve"> </w:t>
      </w:r>
      <w:r w:rsidRPr="00D423FF">
        <w:rPr>
          <w:b/>
          <w:sz w:val="24"/>
          <w:szCs w:val="24"/>
          <w:lang w:val="es-ES_tradnl"/>
        </w:rPr>
        <w:t>por</w:t>
      </w:r>
      <w:r w:rsidRPr="00D423FF">
        <w:rPr>
          <w:sz w:val="24"/>
          <w:szCs w:val="24"/>
          <w:lang w:val="es-ES_tradnl"/>
        </w:rPr>
        <w:t xml:space="preserve"> </w:t>
      </w:r>
      <w:r w:rsidRPr="00D423FF">
        <w:rPr>
          <w:b/>
          <w:sz w:val="24"/>
          <w:szCs w:val="24"/>
          <w:lang w:val="es-ES_tradnl"/>
        </w:rPr>
        <w:t>activa</w:t>
      </w:r>
      <w:r w:rsidRPr="00D423FF">
        <w:rPr>
          <w:sz w:val="24"/>
          <w:szCs w:val="24"/>
          <w:lang w:val="es-ES_tradnl"/>
        </w:rPr>
        <w:t xml:space="preserve"> de </w:t>
      </w:r>
      <w:r w:rsidR="00DC5057">
        <w:rPr>
          <w:sz w:val="24"/>
          <w:szCs w:val="24"/>
        </w:rPr>
        <w:t xml:space="preserve">Gonzalo Mejía </w:t>
      </w:r>
      <w:proofErr w:type="spellStart"/>
      <w:r w:rsidR="00DC5057">
        <w:rPr>
          <w:sz w:val="24"/>
          <w:szCs w:val="24"/>
        </w:rPr>
        <w:t>Abello</w:t>
      </w:r>
      <w:proofErr w:type="spellEnd"/>
      <w:r w:rsidR="00DC5057" w:rsidRPr="00D423FF">
        <w:rPr>
          <w:sz w:val="24"/>
          <w:szCs w:val="24"/>
          <w:lang w:val="es-ES_tradnl"/>
        </w:rPr>
        <w:t xml:space="preserve"> </w:t>
      </w:r>
      <w:r w:rsidRPr="00D423FF">
        <w:rPr>
          <w:sz w:val="24"/>
          <w:szCs w:val="24"/>
          <w:lang w:val="es-ES_tradnl"/>
        </w:rPr>
        <w:t>se encuentra acreditada, puesto que fungió como parte demanda</w:t>
      </w:r>
      <w:r>
        <w:rPr>
          <w:sz w:val="24"/>
          <w:szCs w:val="24"/>
          <w:lang w:val="es-ES_tradnl"/>
        </w:rPr>
        <w:t>nte</w:t>
      </w:r>
      <w:r w:rsidRPr="00D423FF">
        <w:rPr>
          <w:sz w:val="24"/>
          <w:szCs w:val="24"/>
          <w:lang w:val="es-ES_tradnl"/>
        </w:rPr>
        <w:t xml:space="preserve"> dentro del proceso de </w:t>
      </w:r>
      <w:r w:rsidR="00473FA6">
        <w:rPr>
          <w:sz w:val="24"/>
          <w:szCs w:val="24"/>
          <w:lang w:val="es-ES_tradnl"/>
        </w:rPr>
        <w:t>nulidad y restablecimiento del derecho</w:t>
      </w:r>
      <w:r w:rsidRPr="00D423FF">
        <w:rPr>
          <w:sz w:val="24"/>
          <w:szCs w:val="24"/>
          <w:lang w:val="es-ES_tradnl"/>
        </w:rPr>
        <w:t xml:space="preserve"> con radicado</w:t>
      </w:r>
      <w:r w:rsidR="00DC5057">
        <w:rPr>
          <w:sz w:val="24"/>
          <w:szCs w:val="24"/>
          <w:lang w:val="es-ES_tradnl"/>
        </w:rPr>
        <w:t xml:space="preserve"> núm.</w:t>
      </w:r>
      <w:r w:rsidRPr="00D423FF">
        <w:rPr>
          <w:sz w:val="24"/>
          <w:szCs w:val="24"/>
          <w:lang w:val="es-ES_tradnl"/>
        </w:rPr>
        <w:t xml:space="preserve"> </w:t>
      </w:r>
      <w:r w:rsidR="00DC5057" w:rsidRPr="00C94663">
        <w:rPr>
          <w:sz w:val="24"/>
          <w:szCs w:val="24"/>
        </w:rPr>
        <w:t>6</w:t>
      </w:r>
      <w:r w:rsidR="00DC5057">
        <w:rPr>
          <w:sz w:val="24"/>
          <w:szCs w:val="24"/>
        </w:rPr>
        <w:t>8</w:t>
      </w:r>
      <w:r w:rsidR="00DC5057" w:rsidRPr="00C94663">
        <w:rPr>
          <w:sz w:val="24"/>
          <w:szCs w:val="24"/>
        </w:rPr>
        <w:t>001</w:t>
      </w:r>
      <w:r w:rsidR="00DC5057">
        <w:rPr>
          <w:sz w:val="24"/>
          <w:szCs w:val="24"/>
        </w:rPr>
        <w:t>-</w:t>
      </w:r>
      <w:r w:rsidR="00DC5057" w:rsidRPr="00C94663">
        <w:rPr>
          <w:sz w:val="24"/>
          <w:szCs w:val="24"/>
        </w:rPr>
        <w:t>33</w:t>
      </w:r>
      <w:r w:rsidR="00DC5057">
        <w:rPr>
          <w:sz w:val="24"/>
          <w:szCs w:val="24"/>
        </w:rPr>
        <w:t>-</w:t>
      </w:r>
      <w:r w:rsidR="00DC5057" w:rsidRPr="00C94663">
        <w:rPr>
          <w:sz w:val="24"/>
          <w:szCs w:val="24"/>
        </w:rPr>
        <w:t>3</w:t>
      </w:r>
      <w:r w:rsidR="00DC5057">
        <w:rPr>
          <w:sz w:val="24"/>
          <w:szCs w:val="24"/>
        </w:rPr>
        <w:t>3-005-2018-00129-01</w:t>
      </w:r>
      <w:r>
        <w:rPr>
          <w:sz w:val="24"/>
          <w:szCs w:val="24"/>
          <w:lang w:val="es-ES_tradnl"/>
        </w:rPr>
        <w:t>, y es el</w:t>
      </w:r>
      <w:r w:rsidRPr="00D423FF">
        <w:rPr>
          <w:sz w:val="24"/>
          <w:szCs w:val="24"/>
          <w:lang w:val="es-ES_tradnl"/>
        </w:rPr>
        <w:t xml:space="preserve"> titular de los derechos fundamentales cuyo amparo pretende.</w:t>
      </w:r>
    </w:p>
    <w:p w14:paraId="14476C3F" w14:textId="77777777" w:rsidR="00701833" w:rsidRPr="00D423FF" w:rsidRDefault="00701833" w:rsidP="00701833">
      <w:pPr>
        <w:autoSpaceDE w:val="0"/>
        <w:autoSpaceDN w:val="0"/>
        <w:adjustRightInd w:val="0"/>
        <w:rPr>
          <w:sz w:val="24"/>
          <w:szCs w:val="24"/>
          <w:lang w:val="es-ES_tradnl"/>
        </w:rPr>
      </w:pPr>
    </w:p>
    <w:p w14:paraId="1310763F" w14:textId="5B79330C" w:rsidR="00701833" w:rsidRPr="00D423FF" w:rsidRDefault="00701833" w:rsidP="00701833">
      <w:pPr>
        <w:tabs>
          <w:tab w:val="left" w:pos="0"/>
        </w:tabs>
        <w:contextualSpacing/>
        <w:rPr>
          <w:sz w:val="24"/>
          <w:szCs w:val="24"/>
          <w:lang w:val="es-ES_tradnl"/>
        </w:rPr>
      </w:pPr>
      <w:r w:rsidRPr="00D423FF">
        <w:rPr>
          <w:sz w:val="24"/>
          <w:szCs w:val="24"/>
          <w:lang w:val="es-ES_tradnl"/>
        </w:rPr>
        <w:t xml:space="preserve">También está probada </w:t>
      </w:r>
      <w:r w:rsidRPr="00D423FF">
        <w:rPr>
          <w:b/>
          <w:sz w:val="24"/>
          <w:szCs w:val="24"/>
          <w:lang w:val="es-ES_tradnl"/>
        </w:rPr>
        <w:t>la legitimación en la causa por pasiva</w:t>
      </w:r>
      <w:r w:rsidRPr="00D423FF">
        <w:rPr>
          <w:sz w:val="24"/>
          <w:szCs w:val="24"/>
          <w:lang w:val="es-ES_tradnl"/>
        </w:rPr>
        <w:t xml:space="preserve"> d</w:t>
      </w:r>
      <w:r>
        <w:rPr>
          <w:sz w:val="24"/>
          <w:szCs w:val="24"/>
          <w:lang w:val="es-ES_tradnl"/>
        </w:rPr>
        <w:t>el</w:t>
      </w:r>
      <w:r w:rsidRPr="00D423FF">
        <w:rPr>
          <w:sz w:val="24"/>
          <w:szCs w:val="24"/>
          <w:lang w:val="es-ES_tradnl"/>
        </w:rPr>
        <w:t xml:space="preserve"> </w:t>
      </w:r>
      <w:r w:rsidR="00473FA6">
        <w:rPr>
          <w:sz w:val="24"/>
          <w:szCs w:val="24"/>
        </w:rPr>
        <w:t xml:space="preserve">Tribunal Administrativo de </w:t>
      </w:r>
      <w:r w:rsidR="00DC5057">
        <w:rPr>
          <w:sz w:val="24"/>
          <w:szCs w:val="24"/>
        </w:rPr>
        <w:t>Santander</w:t>
      </w:r>
      <w:r w:rsidRPr="00D423FF">
        <w:rPr>
          <w:sz w:val="24"/>
          <w:szCs w:val="24"/>
        </w:rPr>
        <w:t xml:space="preserve">, </w:t>
      </w:r>
      <w:r w:rsidRPr="00D423FF">
        <w:rPr>
          <w:sz w:val="24"/>
          <w:szCs w:val="24"/>
          <w:lang w:val="es-ES_tradnl"/>
        </w:rPr>
        <w:t xml:space="preserve">en la medida en que </w:t>
      </w:r>
      <w:r>
        <w:rPr>
          <w:sz w:val="24"/>
          <w:szCs w:val="24"/>
          <w:lang w:val="es-ES_tradnl"/>
        </w:rPr>
        <w:t>fue</w:t>
      </w:r>
      <w:r w:rsidR="00DC5057">
        <w:rPr>
          <w:sz w:val="24"/>
          <w:szCs w:val="24"/>
          <w:lang w:val="es-ES_tradnl"/>
        </w:rPr>
        <w:t xml:space="preserve"> la autoridad</w:t>
      </w:r>
      <w:r>
        <w:rPr>
          <w:sz w:val="24"/>
          <w:szCs w:val="24"/>
          <w:lang w:val="es-ES_tradnl"/>
        </w:rPr>
        <w:t xml:space="preserve"> que</w:t>
      </w:r>
      <w:r w:rsidR="00DC5057">
        <w:rPr>
          <w:sz w:val="24"/>
          <w:szCs w:val="24"/>
        </w:rPr>
        <w:t xml:space="preserve"> profirió </w:t>
      </w:r>
      <w:r>
        <w:rPr>
          <w:sz w:val="24"/>
          <w:szCs w:val="24"/>
        </w:rPr>
        <w:t>la sentencia d</w:t>
      </w:r>
      <w:r w:rsidR="00DC5057">
        <w:rPr>
          <w:sz w:val="24"/>
          <w:szCs w:val="24"/>
        </w:rPr>
        <w:t>el 1 de julio</w:t>
      </w:r>
      <w:r w:rsidR="00984780">
        <w:rPr>
          <w:sz w:val="24"/>
          <w:szCs w:val="24"/>
        </w:rPr>
        <w:t xml:space="preserve"> de 2021</w:t>
      </w:r>
      <w:r w:rsidRPr="00D423FF">
        <w:rPr>
          <w:sz w:val="24"/>
          <w:szCs w:val="24"/>
        </w:rPr>
        <w:t xml:space="preserve"> dentro del proceso de </w:t>
      </w:r>
      <w:r w:rsidR="00984780">
        <w:rPr>
          <w:sz w:val="24"/>
          <w:szCs w:val="24"/>
          <w:lang w:val="es-ES_tradnl"/>
        </w:rPr>
        <w:t>nulidad y restablecimiento del derecho</w:t>
      </w:r>
      <w:r w:rsidR="00984780" w:rsidRPr="00D423FF">
        <w:rPr>
          <w:sz w:val="24"/>
          <w:szCs w:val="24"/>
          <w:lang w:val="es-ES_tradnl"/>
        </w:rPr>
        <w:t xml:space="preserve"> con radicado </w:t>
      </w:r>
      <w:r w:rsidR="00AC56EA" w:rsidRPr="00C94663">
        <w:rPr>
          <w:sz w:val="24"/>
          <w:szCs w:val="24"/>
        </w:rPr>
        <w:t>6</w:t>
      </w:r>
      <w:r w:rsidR="00AC56EA">
        <w:rPr>
          <w:sz w:val="24"/>
          <w:szCs w:val="24"/>
        </w:rPr>
        <w:t>8</w:t>
      </w:r>
      <w:r w:rsidR="00AC56EA" w:rsidRPr="00C94663">
        <w:rPr>
          <w:sz w:val="24"/>
          <w:szCs w:val="24"/>
        </w:rPr>
        <w:t>001</w:t>
      </w:r>
      <w:r w:rsidR="00AC56EA">
        <w:rPr>
          <w:sz w:val="24"/>
          <w:szCs w:val="24"/>
        </w:rPr>
        <w:t>-</w:t>
      </w:r>
      <w:r w:rsidR="00AC56EA" w:rsidRPr="00C94663">
        <w:rPr>
          <w:sz w:val="24"/>
          <w:szCs w:val="24"/>
        </w:rPr>
        <w:t>33</w:t>
      </w:r>
      <w:r w:rsidR="00AC56EA">
        <w:rPr>
          <w:sz w:val="24"/>
          <w:szCs w:val="24"/>
        </w:rPr>
        <w:t>-</w:t>
      </w:r>
      <w:r w:rsidR="00AC56EA" w:rsidRPr="00C94663">
        <w:rPr>
          <w:sz w:val="24"/>
          <w:szCs w:val="24"/>
        </w:rPr>
        <w:t>3</w:t>
      </w:r>
      <w:r w:rsidR="00AC56EA">
        <w:rPr>
          <w:sz w:val="24"/>
          <w:szCs w:val="24"/>
        </w:rPr>
        <w:t>3-005-2018-00129-01</w:t>
      </w:r>
      <w:r>
        <w:rPr>
          <w:sz w:val="24"/>
          <w:szCs w:val="24"/>
          <w:lang w:val="es-ES_tradnl"/>
        </w:rPr>
        <w:t xml:space="preserve">, </w:t>
      </w:r>
      <w:r w:rsidR="00DF55C3">
        <w:rPr>
          <w:sz w:val="24"/>
          <w:szCs w:val="24"/>
          <w:lang w:val="es-ES_tradnl"/>
        </w:rPr>
        <w:t>que, según el</w:t>
      </w:r>
      <w:r w:rsidRPr="00D423FF">
        <w:rPr>
          <w:sz w:val="24"/>
          <w:szCs w:val="24"/>
          <w:lang w:val="es-ES_tradnl"/>
        </w:rPr>
        <w:t xml:space="preserve"> tutelante, vulneró sus derechos fundamentales.</w:t>
      </w:r>
    </w:p>
    <w:p w14:paraId="53F3366E" w14:textId="77777777" w:rsidR="00701833" w:rsidRDefault="00701833" w:rsidP="00390E15">
      <w:pPr>
        <w:overflowPunct w:val="0"/>
        <w:autoSpaceDE w:val="0"/>
        <w:autoSpaceDN w:val="0"/>
        <w:adjustRightInd w:val="0"/>
        <w:contextualSpacing/>
        <w:rPr>
          <w:rFonts w:eastAsia="Times New Roman"/>
          <w:sz w:val="24"/>
          <w:szCs w:val="24"/>
          <w:lang w:val="es-MX" w:eastAsia="es-ES"/>
        </w:rPr>
      </w:pPr>
    </w:p>
    <w:p w14:paraId="64826043" w14:textId="4910ED3E" w:rsidR="008462F3" w:rsidRPr="00D423FF" w:rsidRDefault="00701833" w:rsidP="00390E15">
      <w:pPr>
        <w:contextualSpacing/>
        <w:rPr>
          <w:b/>
          <w:bCs/>
          <w:sz w:val="24"/>
          <w:szCs w:val="24"/>
          <w:lang w:val="es-ES_tradnl"/>
        </w:rPr>
      </w:pPr>
      <w:r>
        <w:rPr>
          <w:b/>
          <w:bCs/>
          <w:sz w:val="24"/>
          <w:szCs w:val="24"/>
          <w:lang w:val="es-ES"/>
        </w:rPr>
        <w:t xml:space="preserve">2.3. </w:t>
      </w:r>
      <w:proofErr w:type="spellStart"/>
      <w:r w:rsidR="008462F3" w:rsidRPr="00D423FF">
        <w:rPr>
          <w:b/>
          <w:bCs/>
          <w:sz w:val="24"/>
          <w:szCs w:val="24"/>
          <w:lang w:val="es-ES"/>
        </w:rPr>
        <w:t>Procedibilidad</w:t>
      </w:r>
      <w:proofErr w:type="spellEnd"/>
      <w:r w:rsidR="008462F3" w:rsidRPr="00D423FF">
        <w:rPr>
          <w:b/>
          <w:bCs/>
          <w:sz w:val="24"/>
          <w:szCs w:val="24"/>
          <w:lang w:val="es-ES"/>
        </w:rPr>
        <w:t xml:space="preserve"> de la acción</w:t>
      </w:r>
    </w:p>
    <w:p w14:paraId="78B3E96A" w14:textId="77777777" w:rsidR="008462F3" w:rsidRPr="00D423FF" w:rsidRDefault="008462F3" w:rsidP="00390E15">
      <w:pPr>
        <w:contextualSpacing/>
        <w:rPr>
          <w:sz w:val="24"/>
          <w:szCs w:val="24"/>
        </w:rPr>
      </w:pPr>
    </w:p>
    <w:p w14:paraId="17CA7F62" w14:textId="4E85943D" w:rsidR="00DF3831" w:rsidRDefault="008462F3" w:rsidP="00390E15">
      <w:pPr>
        <w:contextualSpacing/>
        <w:rPr>
          <w:rFonts w:eastAsia="Arial"/>
          <w:sz w:val="24"/>
          <w:szCs w:val="24"/>
          <w:lang w:val="es-MX"/>
        </w:rPr>
      </w:pPr>
      <w:r w:rsidRPr="00D423FF">
        <w:rPr>
          <w:rFonts w:eastAsia="Arial"/>
          <w:sz w:val="24"/>
          <w:szCs w:val="24"/>
          <w:lang w:val="es-MX"/>
        </w:rPr>
        <w:t xml:space="preserve">En los casos en que la solicitud de amparo ataca una providencia judicial, la doctrina constitucional ha indicado que el juez de tutela debe, en forma preliminar, realizar un examen de </w:t>
      </w:r>
      <w:proofErr w:type="spellStart"/>
      <w:r w:rsidRPr="00D423FF">
        <w:rPr>
          <w:rFonts w:eastAsia="Arial"/>
          <w:sz w:val="24"/>
          <w:szCs w:val="24"/>
          <w:lang w:val="es-MX"/>
        </w:rPr>
        <w:t>procedibilidad</w:t>
      </w:r>
      <w:proofErr w:type="spellEnd"/>
      <w:r w:rsidRPr="00D423FF">
        <w:rPr>
          <w:rFonts w:eastAsia="Arial"/>
          <w:sz w:val="24"/>
          <w:szCs w:val="24"/>
          <w:lang w:val="es-MX"/>
        </w:rPr>
        <w:t xml:space="preserve">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D423FF">
        <w:rPr>
          <w:sz w:val="24"/>
          <w:szCs w:val="24"/>
          <w:vertAlign w:val="superscript"/>
        </w:rPr>
        <w:footnoteReference w:id="9"/>
      </w:r>
      <w:r w:rsidRPr="00D423FF">
        <w:rPr>
          <w:rFonts w:eastAsia="Arial"/>
          <w:sz w:val="24"/>
          <w:szCs w:val="24"/>
          <w:lang w:val="es-MX"/>
        </w:rPr>
        <w:t>.</w:t>
      </w:r>
    </w:p>
    <w:p w14:paraId="2BB45080" w14:textId="77777777" w:rsidR="00D0051F" w:rsidRPr="00D423FF" w:rsidRDefault="00D0051F" w:rsidP="00390E15">
      <w:pPr>
        <w:contextualSpacing/>
        <w:rPr>
          <w:rFonts w:eastAsia="Arial"/>
          <w:sz w:val="24"/>
          <w:szCs w:val="24"/>
          <w:lang w:val="es-MX"/>
        </w:rPr>
      </w:pPr>
    </w:p>
    <w:p w14:paraId="450022AD" w14:textId="6E38CC41" w:rsidR="00337211" w:rsidRPr="008D1FE3" w:rsidRDefault="00337211" w:rsidP="00337211">
      <w:pPr>
        <w:rPr>
          <w:rFonts w:eastAsia="Verdana"/>
          <w:sz w:val="24"/>
          <w:szCs w:val="24"/>
        </w:rPr>
      </w:pPr>
      <w:r w:rsidRPr="008D1FE3">
        <w:rPr>
          <w:b/>
          <w:sz w:val="24"/>
          <w:szCs w:val="24"/>
        </w:rPr>
        <w:t>2.</w:t>
      </w:r>
      <w:r>
        <w:rPr>
          <w:b/>
          <w:sz w:val="24"/>
          <w:szCs w:val="24"/>
        </w:rPr>
        <w:t>3</w:t>
      </w:r>
      <w:r w:rsidR="00701833">
        <w:rPr>
          <w:b/>
          <w:sz w:val="24"/>
          <w:szCs w:val="24"/>
        </w:rPr>
        <w:t>.1</w:t>
      </w:r>
      <w:r w:rsidRPr="008D1FE3">
        <w:rPr>
          <w:b/>
          <w:sz w:val="24"/>
          <w:szCs w:val="24"/>
        </w:rPr>
        <w:t xml:space="preserve">. Relevancia constitucional. </w:t>
      </w:r>
      <w:r w:rsidRPr="008D1FE3">
        <w:rPr>
          <w:sz w:val="24"/>
          <w:szCs w:val="24"/>
          <w:lang w:val="es-ES"/>
        </w:rPr>
        <w:t xml:space="preserve">En las acciones de tutela contra providencia judicial, </w:t>
      </w:r>
      <w:r w:rsidRPr="008D1FE3">
        <w:rPr>
          <w:rFonts w:eastAsia="Verdana"/>
          <w:sz w:val="24"/>
          <w:szCs w:val="24"/>
        </w:rPr>
        <w:t>“la función del juez de tutela no es la de fungir como una instancia adicional del procedimiento judicial que se cuestiona</w:t>
      </w:r>
      <w:bookmarkStart w:id="1" w:name="_ftnref40"/>
      <w:r w:rsidRPr="008D1FE3">
        <w:rPr>
          <w:rFonts w:eastAsia="Verdana"/>
          <w:sz w:val="24"/>
          <w:szCs w:val="24"/>
        </w:rPr>
        <w:fldChar w:fldCharType="begin"/>
      </w:r>
      <w:r w:rsidRPr="008D1FE3">
        <w:rPr>
          <w:rFonts w:eastAsia="Verdana"/>
          <w:sz w:val="24"/>
          <w:szCs w:val="24"/>
        </w:rPr>
        <w:instrText xml:space="preserve"> HYPERLINK "http://www.corteconstitucional.gov.co/relatoria/2019/t-066-19.htm" \l "_ftn40" \o "" </w:instrText>
      </w:r>
      <w:r w:rsidRPr="008D1FE3">
        <w:rPr>
          <w:rFonts w:eastAsia="Verdana"/>
          <w:sz w:val="24"/>
          <w:szCs w:val="24"/>
        </w:rPr>
        <w:fldChar w:fldCharType="end"/>
      </w:r>
      <w:bookmarkEnd w:id="1"/>
      <w:r w:rsidRPr="008D1FE3">
        <w:rPr>
          <w:rFonts w:eastAsia="Verdana"/>
          <w:sz w:val="24"/>
          <w:szCs w:val="24"/>
        </w:rPr>
        <w:t xml:space="preserve">, pues ello desconocería la competencia y </w:t>
      </w:r>
      <w:r w:rsidRPr="008D1FE3">
        <w:rPr>
          <w:rFonts w:eastAsia="Verdana"/>
          <w:sz w:val="24"/>
          <w:szCs w:val="24"/>
        </w:rPr>
        <w:lastRenderedPageBreak/>
        <w:t>finalidad de administración de justicia por parte de los jueces naturales, así como su autonomía funcional”</w:t>
      </w:r>
      <w:r w:rsidRPr="008D1FE3">
        <w:rPr>
          <w:rFonts w:eastAsia="Verdana"/>
          <w:sz w:val="24"/>
          <w:szCs w:val="24"/>
          <w:vertAlign w:val="superscript"/>
        </w:rPr>
        <w:footnoteReference w:id="10"/>
      </w:r>
      <w:r w:rsidRPr="008D1FE3">
        <w:rPr>
          <w:rFonts w:eastAsia="Verdana"/>
          <w:sz w:val="24"/>
          <w:szCs w:val="24"/>
        </w:rPr>
        <w:t xml:space="preserve">. </w:t>
      </w:r>
    </w:p>
    <w:p w14:paraId="313F2DE0" w14:textId="77777777" w:rsidR="00337211" w:rsidRPr="008D1FE3" w:rsidRDefault="00337211" w:rsidP="00337211">
      <w:pPr>
        <w:rPr>
          <w:rFonts w:eastAsia="Verdana"/>
          <w:sz w:val="24"/>
          <w:szCs w:val="24"/>
        </w:rPr>
      </w:pPr>
    </w:p>
    <w:p w14:paraId="5FCFBAD9" w14:textId="77777777" w:rsidR="00337211" w:rsidRPr="008D1FE3" w:rsidRDefault="00337211" w:rsidP="00337211">
      <w:pPr>
        <w:rPr>
          <w:rFonts w:eastAsia="Times New Roman"/>
          <w:sz w:val="24"/>
          <w:szCs w:val="24"/>
          <w:lang w:eastAsia="es-ES"/>
        </w:rPr>
      </w:pPr>
      <w:r w:rsidRPr="008D1FE3">
        <w:rPr>
          <w:rFonts w:eastAsia="Verdana"/>
          <w:sz w:val="24"/>
          <w:szCs w:val="24"/>
        </w:rPr>
        <w:t>Quien</w:t>
      </w:r>
      <w:r w:rsidRPr="008D1FE3">
        <w:rPr>
          <w:sz w:val="24"/>
          <w:szCs w:val="24"/>
          <w:lang w:val="es-ES"/>
        </w:rPr>
        <w:t xml:space="preserve"> solicita el amparo </w:t>
      </w:r>
      <w:r w:rsidRPr="008D1FE3">
        <w:rPr>
          <w:rFonts w:eastAsia="Verdana"/>
          <w:sz w:val="24"/>
          <w:szCs w:val="24"/>
        </w:rPr>
        <w:t xml:space="preserve">debe </w:t>
      </w:r>
      <w:r w:rsidRPr="008D1FE3">
        <w:rPr>
          <w:rFonts w:eastAsia="Times New Roman"/>
          <w:sz w:val="24"/>
          <w:szCs w:val="24"/>
          <w:lang w:eastAsia="es-ES"/>
        </w:rPr>
        <w:t>cumplir con la carga de exponer las</w:t>
      </w:r>
      <w:r w:rsidRPr="008D1FE3">
        <w:rPr>
          <w:sz w:val="24"/>
          <w:szCs w:val="24"/>
        </w:rPr>
        <w:t xml:space="preserve"> razones por las que el reproche a una providencia que ha hecho tránsito a cosa juzgada, trasciende de la controversia litigiosa propia de la causa ordinaria</w:t>
      </w:r>
      <w:r w:rsidRPr="008D1FE3">
        <w:rPr>
          <w:iCs/>
          <w:sz w:val="24"/>
          <w:szCs w:val="24"/>
          <w:vertAlign w:val="superscript"/>
        </w:rPr>
        <w:footnoteReference w:id="11"/>
      </w:r>
      <w:r w:rsidRPr="008D1FE3">
        <w:rPr>
          <w:sz w:val="24"/>
          <w:szCs w:val="24"/>
        </w:rPr>
        <w:t xml:space="preserve">, a una cuestión con </w:t>
      </w:r>
      <w:r w:rsidRPr="008D1FE3">
        <w:rPr>
          <w:b/>
          <w:sz w:val="24"/>
          <w:szCs w:val="24"/>
        </w:rPr>
        <w:t>relevancia constitucional</w:t>
      </w:r>
      <w:r w:rsidRPr="008D1FE3">
        <w:rPr>
          <w:sz w:val="24"/>
          <w:szCs w:val="24"/>
        </w:rPr>
        <w:t>, en términos de</w:t>
      </w:r>
      <w:r w:rsidRPr="008D1FE3">
        <w:rPr>
          <w:rFonts w:eastAsia="Times New Roman"/>
          <w:sz w:val="24"/>
          <w:szCs w:val="24"/>
          <w:lang w:eastAsia="es-ES"/>
        </w:rPr>
        <w:t xml:space="preserve"> los defectos definidos por la jurisprudencia como únicas causales que habilitan el control constitucional concreto</w:t>
      </w:r>
      <w:r w:rsidRPr="008D1FE3">
        <w:rPr>
          <w:rStyle w:val="Refdenotaalpie"/>
          <w:rFonts w:eastAsia="Verdana"/>
          <w:sz w:val="24"/>
          <w:szCs w:val="24"/>
        </w:rPr>
        <w:footnoteReference w:id="12"/>
      </w:r>
      <w:r w:rsidRPr="008D1FE3">
        <w:rPr>
          <w:rFonts w:eastAsia="Times New Roman"/>
          <w:sz w:val="24"/>
          <w:szCs w:val="24"/>
          <w:lang w:eastAsia="es-ES"/>
        </w:rPr>
        <w:t xml:space="preserve">. </w:t>
      </w:r>
    </w:p>
    <w:p w14:paraId="3F3FF3D2" w14:textId="77777777" w:rsidR="00337211" w:rsidRPr="008D1FE3" w:rsidRDefault="00337211" w:rsidP="00337211">
      <w:pPr>
        <w:ind w:right="-93"/>
        <w:rPr>
          <w:b/>
          <w:sz w:val="24"/>
          <w:szCs w:val="24"/>
        </w:rPr>
      </w:pPr>
    </w:p>
    <w:p w14:paraId="7EA1BAF8" w14:textId="4F8BF236" w:rsidR="002D03BD" w:rsidRDefault="00337211" w:rsidP="00337211">
      <w:pPr>
        <w:rPr>
          <w:sz w:val="24"/>
          <w:szCs w:val="24"/>
        </w:rPr>
      </w:pPr>
      <w:r w:rsidRPr="008D1FE3">
        <w:rPr>
          <w:b/>
          <w:sz w:val="24"/>
          <w:szCs w:val="24"/>
        </w:rPr>
        <w:t>En el presente asunto</w:t>
      </w:r>
      <w:r w:rsidRPr="008D1FE3">
        <w:rPr>
          <w:sz w:val="24"/>
          <w:szCs w:val="24"/>
        </w:rPr>
        <w:t>,</w:t>
      </w:r>
      <w:r>
        <w:rPr>
          <w:sz w:val="24"/>
          <w:szCs w:val="24"/>
        </w:rPr>
        <w:t xml:space="preserve"> </w:t>
      </w:r>
      <w:r w:rsidR="00AC56EA">
        <w:rPr>
          <w:sz w:val="24"/>
          <w:szCs w:val="24"/>
        </w:rPr>
        <w:t xml:space="preserve">Gonzalo Mejía </w:t>
      </w:r>
      <w:proofErr w:type="spellStart"/>
      <w:r w:rsidR="00AC56EA">
        <w:rPr>
          <w:sz w:val="24"/>
          <w:szCs w:val="24"/>
        </w:rPr>
        <w:t>Abello</w:t>
      </w:r>
      <w:proofErr w:type="spellEnd"/>
      <w:r w:rsidR="00AC56EA" w:rsidRPr="00D423FF">
        <w:rPr>
          <w:sz w:val="24"/>
          <w:szCs w:val="24"/>
          <w:lang w:val="es-ES_tradnl"/>
        </w:rPr>
        <w:t xml:space="preserve"> </w:t>
      </w:r>
      <w:r w:rsidR="00211CCD">
        <w:rPr>
          <w:sz w:val="24"/>
          <w:szCs w:val="24"/>
        </w:rPr>
        <w:t xml:space="preserve">indicó que el </w:t>
      </w:r>
      <w:r w:rsidR="00383E23">
        <w:rPr>
          <w:sz w:val="24"/>
          <w:szCs w:val="24"/>
        </w:rPr>
        <w:t xml:space="preserve">Tribunal Administrativo de </w:t>
      </w:r>
      <w:r w:rsidR="00AC56EA">
        <w:rPr>
          <w:sz w:val="24"/>
          <w:szCs w:val="24"/>
        </w:rPr>
        <w:t>Santander</w:t>
      </w:r>
      <w:r w:rsidR="000C426B">
        <w:rPr>
          <w:sz w:val="24"/>
          <w:szCs w:val="24"/>
        </w:rPr>
        <w:t xml:space="preserve"> vulne</w:t>
      </w:r>
      <w:r w:rsidR="00AC56EA">
        <w:rPr>
          <w:sz w:val="24"/>
          <w:szCs w:val="24"/>
        </w:rPr>
        <w:t>ró</w:t>
      </w:r>
      <w:r w:rsidR="00211CCD">
        <w:rPr>
          <w:sz w:val="24"/>
          <w:szCs w:val="24"/>
        </w:rPr>
        <w:t xml:space="preserve"> </w:t>
      </w:r>
      <w:r w:rsidR="00D0051F">
        <w:rPr>
          <w:sz w:val="24"/>
          <w:szCs w:val="24"/>
        </w:rPr>
        <w:t>sus derechos fundamentales</w:t>
      </w:r>
      <w:r w:rsidR="00211CCD">
        <w:rPr>
          <w:sz w:val="24"/>
          <w:szCs w:val="24"/>
        </w:rPr>
        <w:t xml:space="preserve"> </w:t>
      </w:r>
      <w:r w:rsidR="002D03BD">
        <w:rPr>
          <w:sz w:val="24"/>
          <w:szCs w:val="24"/>
        </w:rPr>
        <w:t>a la seguridad social, a la igualdad, al mínimo vital, al debido proceso, al acceso a la administración de justicia y a la primacía del derecho sustancial</w:t>
      </w:r>
      <w:r w:rsidR="00211CCD">
        <w:rPr>
          <w:sz w:val="24"/>
          <w:szCs w:val="24"/>
        </w:rPr>
        <w:t>. Para ello,</w:t>
      </w:r>
      <w:r w:rsidR="002D03BD">
        <w:rPr>
          <w:sz w:val="24"/>
          <w:szCs w:val="24"/>
        </w:rPr>
        <w:t xml:space="preserve"> sostuvo q</w:t>
      </w:r>
      <w:r w:rsidR="003D4CBE">
        <w:rPr>
          <w:sz w:val="24"/>
          <w:szCs w:val="24"/>
        </w:rPr>
        <w:t xml:space="preserve">ue la mencionada autoridad </w:t>
      </w:r>
      <w:r w:rsidR="002D03BD">
        <w:rPr>
          <w:sz w:val="24"/>
          <w:szCs w:val="24"/>
        </w:rPr>
        <w:t>incurrió en un defecto fáctico, pues no hizo un estudio de las circunstancias particulares del caso</w:t>
      </w:r>
      <w:r w:rsidR="00211CCD">
        <w:rPr>
          <w:sz w:val="24"/>
          <w:szCs w:val="24"/>
        </w:rPr>
        <w:t>.</w:t>
      </w:r>
    </w:p>
    <w:p w14:paraId="0598BB6E" w14:textId="77777777" w:rsidR="002D03BD" w:rsidRDefault="002D03BD" w:rsidP="00337211">
      <w:pPr>
        <w:rPr>
          <w:sz w:val="24"/>
          <w:szCs w:val="24"/>
        </w:rPr>
      </w:pPr>
    </w:p>
    <w:p w14:paraId="5D932324" w14:textId="6E65CF81" w:rsidR="003D4CBE" w:rsidRDefault="00B83144" w:rsidP="00337211">
      <w:pPr>
        <w:rPr>
          <w:sz w:val="24"/>
          <w:szCs w:val="24"/>
        </w:rPr>
      </w:pPr>
      <w:r>
        <w:rPr>
          <w:sz w:val="24"/>
          <w:szCs w:val="24"/>
        </w:rPr>
        <w:t>Frente a este primer</w:t>
      </w:r>
      <w:r w:rsidR="002D03BD">
        <w:rPr>
          <w:sz w:val="24"/>
          <w:szCs w:val="24"/>
        </w:rPr>
        <w:t xml:space="preserve"> reparo, es preciso </w:t>
      </w:r>
      <w:r w:rsidR="000927F9">
        <w:rPr>
          <w:sz w:val="24"/>
          <w:szCs w:val="24"/>
        </w:rPr>
        <w:t>destacar</w:t>
      </w:r>
      <w:r w:rsidR="002D03BD">
        <w:rPr>
          <w:sz w:val="24"/>
          <w:szCs w:val="24"/>
        </w:rPr>
        <w:t xml:space="preserve"> que el accionante no indic</w:t>
      </w:r>
      <w:r w:rsidR="000927F9">
        <w:rPr>
          <w:sz w:val="24"/>
          <w:szCs w:val="24"/>
        </w:rPr>
        <w:t>ó, en concreto, qué</w:t>
      </w:r>
      <w:r w:rsidR="002D03BD">
        <w:rPr>
          <w:sz w:val="24"/>
          <w:szCs w:val="24"/>
        </w:rPr>
        <w:t xml:space="preserve"> prueba dejó de ser valorada por e</w:t>
      </w:r>
      <w:r w:rsidR="000927F9">
        <w:rPr>
          <w:sz w:val="24"/>
          <w:szCs w:val="24"/>
        </w:rPr>
        <w:t xml:space="preserve">l tribunal, de forma tal que su </w:t>
      </w:r>
      <w:r w:rsidR="002D03BD">
        <w:rPr>
          <w:sz w:val="24"/>
          <w:szCs w:val="24"/>
        </w:rPr>
        <w:t xml:space="preserve">apreciación </w:t>
      </w:r>
      <w:r w:rsidR="000927F9">
        <w:rPr>
          <w:sz w:val="24"/>
          <w:szCs w:val="24"/>
        </w:rPr>
        <w:t>hubiera tenido</w:t>
      </w:r>
      <w:r w:rsidR="002D03BD">
        <w:rPr>
          <w:sz w:val="24"/>
          <w:szCs w:val="24"/>
        </w:rPr>
        <w:t xml:space="preserve"> </w:t>
      </w:r>
      <w:r w:rsidR="003D4CBE">
        <w:rPr>
          <w:sz w:val="24"/>
          <w:szCs w:val="24"/>
        </w:rPr>
        <w:t>un efecto</w:t>
      </w:r>
      <w:r w:rsidR="000927F9">
        <w:rPr>
          <w:sz w:val="24"/>
          <w:szCs w:val="24"/>
        </w:rPr>
        <w:t xml:space="preserve"> trascendental en la</w:t>
      </w:r>
      <w:r w:rsidR="00EF58B9">
        <w:rPr>
          <w:sz w:val="24"/>
          <w:szCs w:val="24"/>
        </w:rPr>
        <w:t xml:space="preserve"> sentencia del 1 de julio de 2021</w:t>
      </w:r>
      <w:r w:rsidR="003D4CBE">
        <w:rPr>
          <w:sz w:val="24"/>
          <w:szCs w:val="24"/>
        </w:rPr>
        <w:t xml:space="preserve">, al punto de que la decisión que accedió a las pretensiones de la demanda </w:t>
      </w:r>
      <w:r>
        <w:rPr>
          <w:sz w:val="24"/>
          <w:szCs w:val="24"/>
        </w:rPr>
        <w:t>deb</w:t>
      </w:r>
      <w:r w:rsidR="00AB1BF1">
        <w:rPr>
          <w:sz w:val="24"/>
          <w:szCs w:val="24"/>
        </w:rPr>
        <w:t>ía</w:t>
      </w:r>
      <w:r>
        <w:rPr>
          <w:sz w:val="24"/>
          <w:szCs w:val="24"/>
        </w:rPr>
        <w:t xml:space="preserve"> ser</w:t>
      </w:r>
      <w:r w:rsidR="003D4CBE">
        <w:rPr>
          <w:sz w:val="24"/>
          <w:szCs w:val="24"/>
        </w:rPr>
        <w:t xml:space="preserve"> confirmada. </w:t>
      </w:r>
    </w:p>
    <w:p w14:paraId="5F280A19" w14:textId="77777777" w:rsidR="003D4CBE" w:rsidRDefault="003D4CBE" w:rsidP="00337211">
      <w:pPr>
        <w:rPr>
          <w:sz w:val="24"/>
          <w:szCs w:val="24"/>
        </w:rPr>
      </w:pPr>
    </w:p>
    <w:p w14:paraId="404E14D7" w14:textId="559EA192" w:rsidR="00211CCD" w:rsidRDefault="000927F9" w:rsidP="00337211">
      <w:pPr>
        <w:rPr>
          <w:sz w:val="24"/>
          <w:szCs w:val="24"/>
        </w:rPr>
      </w:pPr>
      <w:r>
        <w:rPr>
          <w:sz w:val="24"/>
          <w:szCs w:val="24"/>
        </w:rPr>
        <w:t>Dicha omisi</w:t>
      </w:r>
      <w:r w:rsidR="00A7454B">
        <w:rPr>
          <w:sz w:val="24"/>
          <w:szCs w:val="24"/>
        </w:rPr>
        <w:t>ón</w:t>
      </w:r>
      <w:r w:rsidR="003D4CBE">
        <w:rPr>
          <w:sz w:val="24"/>
          <w:szCs w:val="24"/>
        </w:rPr>
        <w:t>,</w:t>
      </w:r>
      <w:r>
        <w:rPr>
          <w:sz w:val="24"/>
          <w:szCs w:val="24"/>
        </w:rPr>
        <w:t xml:space="preserve"> obligaría a este juez constitucional</w:t>
      </w:r>
      <w:r w:rsidR="00A7454B">
        <w:rPr>
          <w:sz w:val="24"/>
          <w:szCs w:val="24"/>
        </w:rPr>
        <w:t>,</w:t>
      </w:r>
      <w:r>
        <w:rPr>
          <w:sz w:val="24"/>
          <w:szCs w:val="24"/>
        </w:rPr>
        <w:t xml:space="preserve"> para resolver de fondo los reclamos de tutela, a r</w:t>
      </w:r>
      <w:r w:rsidR="00A7454B">
        <w:rPr>
          <w:sz w:val="24"/>
          <w:szCs w:val="24"/>
        </w:rPr>
        <w:t>ealizar un estudio de oficio de todo el</w:t>
      </w:r>
      <w:r>
        <w:rPr>
          <w:sz w:val="24"/>
          <w:szCs w:val="24"/>
        </w:rPr>
        <w:t xml:space="preserve"> material </w:t>
      </w:r>
      <w:r w:rsidR="00A7454B">
        <w:rPr>
          <w:sz w:val="24"/>
          <w:szCs w:val="24"/>
        </w:rPr>
        <w:t>probatorio</w:t>
      </w:r>
      <w:r w:rsidR="003D4CBE">
        <w:rPr>
          <w:sz w:val="24"/>
          <w:szCs w:val="24"/>
        </w:rPr>
        <w:t xml:space="preserve"> contenido en el expediente de nulidad y restablecimiento del derecho</w:t>
      </w:r>
      <w:r w:rsidR="00A7454B">
        <w:rPr>
          <w:sz w:val="24"/>
          <w:szCs w:val="24"/>
        </w:rPr>
        <w:t xml:space="preserve">, circunstancia que </w:t>
      </w:r>
      <w:r w:rsidR="003D4CBE">
        <w:rPr>
          <w:sz w:val="24"/>
          <w:szCs w:val="24"/>
        </w:rPr>
        <w:t>constituye</w:t>
      </w:r>
      <w:r w:rsidR="00A7454B">
        <w:rPr>
          <w:sz w:val="24"/>
          <w:szCs w:val="24"/>
        </w:rPr>
        <w:t xml:space="preserve"> </w:t>
      </w:r>
      <w:r w:rsidR="00AB1BF1">
        <w:rPr>
          <w:sz w:val="24"/>
          <w:szCs w:val="24"/>
        </w:rPr>
        <w:t xml:space="preserve">este trámite en </w:t>
      </w:r>
      <w:r w:rsidR="00A7454B">
        <w:rPr>
          <w:sz w:val="24"/>
          <w:szCs w:val="24"/>
        </w:rPr>
        <w:t>una tercera instancia dentro del proces</w:t>
      </w:r>
      <w:r w:rsidR="00E96FB1">
        <w:rPr>
          <w:sz w:val="24"/>
          <w:szCs w:val="24"/>
        </w:rPr>
        <w:t xml:space="preserve">o </w:t>
      </w:r>
      <w:r w:rsidR="003D4CBE">
        <w:rPr>
          <w:sz w:val="24"/>
          <w:szCs w:val="24"/>
        </w:rPr>
        <w:t>ordinario</w:t>
      </w:r>
      <w:r w:rsidR="00A7454B">
        <w:rPr>
          <w:sz w:val="24"/>
          <w:szCs w:val="24"/>
        </w:rPr>
        <w:t>.</w:t>
      </w:r>
    </w:p>
    <w:p w14:paraId="3A500944" w14:textId="77777777" w:rsidR="00211CCD" w:rsidRDefault="00211CCD" w:rsidP="00337211">
      <w:pPr>
        <w:rPr>
          <w:sz w:val="24"/>
          <w:szCs w:val="24"/>
        </w:rPr>
      </w:pPr>
    </w:p>
    <w:p w14:paraId="55935A65" w14:textId="4FF2EF5B" w:rsidR="00A7454B" w:rsidRDefault="00F321AA" w:rsidP="00337211">
      <w:pPr>
        <w:rPr>
          <w:sz w:val="24"/>
          <w:szCs w:val="24"/>
          <w:lang w:val="es-MX" w:eastAsia="ja-JP"/>
        </w:rPr>
      </w:pPr>
      <w:r>
        <w:rPr>
          <w:sz w:val="24"/>
          <w:szCs w:val="24"/>
        </w:rPr>
        <w:t>De otra parte</w:t>
      </w:r>
      <w:r w:rsidR="00A7454B">
        <w:rPr>
          <w:sz w:val="24"/>
          <w:szCs w:val="24"/>
        </w:rPr>
        <w:t xml:space="preserve">, Gonzalo Mejía </w:t>
      </w:r>
      <w:proofErr w:type="spellStart"/>
      <w:r w:rsidR="00A7454B">
        <w:rPr>
          <w:sz w:val="24"/>
          <w:szCs w:val="24"/>
        </w:rPr>
        <w:t>Abello</w:t>
      </w:r>
      <w:proofErr w:type="spellEnd"/>
      <w:r w:rsidR="00E96FB1">
        <w:rPr>
          <w:sz w:val="24"/>
          <w:szCs w:val="24"/>
        </w:rPr>
        <w:t xml:space="preserve"> argumentó que, al ser beneficiario del régimen de transición de la Ley 100 de 1993, tenía el derecho de que su pensión fuera liquidada bajo los parámetros del Decreto 546 de 1971, incluso en lo relacionado con el IBL. Además, que la autoridad cuestionada no tuvo en cuenta que a su caso no le eran aplicables las reglas jurisprudenciales de la sentencia de unificación del Consejo de Estado </w:t>
      </w:r>
      <w:r w:rsidR="00E96FB1" w:rsidRPr="009637BE">
        <w:rPr>
          <w:sz w:val="24"/>
          <w:szCs w:val="24"/>
          <w:lang w:val="es-MX" w:eastAsia="ja-JP"/>
        </w:rPr>
        <w:t>CE-SUJ-S2-021-20 de fecha 11 de junio de 2020</w:t>
      </w:r>
      <w:r w:rsidR="00E96FB1">
        <w:rPr>
          <w:sz w:val="24"/>
          <w:szCs w:val="24"/>
          <w:lang w:val="es-MX" w:eastAsia="ja-JP"/>
        </w:rPr>
        <w:t xml:space="preserve">. </w:t>
      </w:r>
    </w:p>
    <w:p w14:paraId="1C4D4150" w14:textId="77777777" w:rsidR="00E96FB1" w:rsidRDefault="00E96FB1" w:rsidP="00337211">
      <w:pPr>
        <w:rPr>
          <w:sz w:val="24"/>
          <w:szCs w:val="24"/>
          <w:lang w:val="es-MX" w:eastAsia="ja-JP"/>
        </w:rPr>
      </w:pPr>
    </w:p>
    <w:p w14:paraId="1F2CA558" w14:textId="3E3AFD70" w:rsidR="00702B66" w:rsidRDefault="00EF1AFE" w:rsidP="00337211">
      <w:pPr>
        <w:rPr>
          <w:sz w:val="24"/>
          <w:szCs w:val="24"/>
        </w:rPr>
      </w:pPr>
      <w:r>
        <w:rPr>
          <w:sz w:val="24"/>
          <w:szCs w:val="24"/>
        </w:rPr>
        <w:t xml:space="preserve">Sobre este punto, el Tribunal Administrativo de Santander explicó en la sentencia del 1 de julio de 2020, </w:t>
      </w:r>
      <w:r w:rsidR="002905D0">
        <w:rPr>
          <w:sz w:val="24"/>
          <w:szCs w:val="24"/>
        </w:rPr>
        <w:t xml:space="preserve">que </w:t>
      </w:r>
      <w:r>
        <w:rPr>
          <w:sz w:val="24"/>
          <w:szCs w:val="24"/>
        </w:rPr>
        <w:t xml:space="preserve">el problema jurídico del </w:t>
      </w:r>
      <w:r w:rsidRPr="00EF1AFE">
        <w:rPr>
          <w:i/>
          <w:sz w:val="24"/>
          <w:szCs w:val="24"/>
        </w:rPr>
        <w:t>sub lite</w:t>
      </w:r>
      <w:r>
        <w:rPr>
          <w:sz w:val="24"/>
          <w:szCs w:val="24"/>
        </w:rPr>
        <w:t xml:space="preserve"> </w:t>
      </w:r>
      <w:r w:rsidR="002905D0">
        <w:rPr>
          <w:sz w:val="24"/>
          <w:szCs w:val="24"/>
        </w:rPr>
        <w:t xml:space="preserve">había sido abordado </w:t>
      </w:r>
      <w:r>
        <w:rPr>
          <w:sz w:val="24"/>
          <w:szCs w:val="24"/>
        </w:rPr>
        <w:t>en el</w:t>
      </w:r>
      <w:r w:rsidR="00FB378A">
        <w:rPr>
          <w:sz w:val="24"/>
          <w:szCs w:val="24"/>
        </w:rPr>
        <w:t xml:space="preserve"> citado</w:t>
      </w:r>
      <w:r>
        <w:rPr>
          <w:sz w:val="24"/>
          <w:szCs w:val="24"/>
        </w:rPr>
        <w:t xml:space="preserve"> fallo del 11 de junio de 2020, que </w:t>
      </w:r>
      <w:r w:rsidRPr="00EF1AFE">
        <w:rPr>
          <w:sz w:val="24"/>
          <w:szCs w:val="24"/>
        </w:rPr>
        <w:t>unificó</w:t>
      </w:r>
      <w:r>
        <w:rPr>
          <w:sz w:val="24"/>
          <w:szCs w:val="24"/>
        </w:rPr>
        <w:t xml:space="preserve"> la jurisprudencia frente a la aplicación de</w:t>
      </w:r>
      <w:r w:rsidR="00622244">
        <w:rPr>
          <w:sz w:val="24"/>
          <w:szCs w:val="24"/>
        </w:rPr>
        <w:t>l</w:t>
      </w:r>
      <w:r>
        <w:rPr>
          <w:sz w:val="24"/>
          <w:szCs w:val="24"/>
        </w:rPr>
        <w:t xml:space="preserve"> régimen especial de jubilación de la rama judicial contenido en el Decreto 546 de 1971, en relación con la transición prevista en el artíc</w:t>
      </w:r>
      <w:r w:rsidR="00FB378A">
        <w:rPr>
          <w:sz w:val="24"/>
          <w:szCs w:val="24"/>
        </w:rPr>
        <w:t>ulo 36 de la Ley 100</w:t>
      </w:r>
      <w:r w:rsidR="00AB1BF1">
        <w:rPr>
          <w:sz w:val="24"/>
          <w:szCs w:val="24"/>
        </w:rPr>
        <w:t xml:space="preserve"> de 1993. Ahora bien, e</w:t>
      </w:r>
      <w:r w:rsidR="002905D0">
        <w:rPr>
          <w:sz w:val="24"/>
          <w:szCs w:val="24"/>
        </w:rPr>
        <w:t>n dicha oportunidad, el Alto Tribunal manifestó</w:t>
      </w:r>
      <w:r w:rsidR="00702B66">
        <w:rPr>
          <w:sz w:val="24"/>
          <w:szCs w:val="24"/>
        </w:rPr>
        <w:t xml:space="preserve">: </w:t>
      </w:r>
    </w:p>
    <w:p w14:paraId="55AB8FDF" w14:textId="77777777" w:rsidR="00702B66" w:rsidRDefault="00702B66" w:rsidP="00337211">
      <w:pPr>
        <w:rPr>
          <w:sz w:val="24"/>
          <w:szCs w:val="24"/>
        </w:rPr>
      </w:pPr>
    </w:p>
    <w:p w14:paraId="16B38106" w14:textId="7CD14751" w:rsidR="00702B66" w:rsidRPr="00702B66" w:rsidRDefault="00702B66" w:rsidP="00702B66">
      <w:pPr>
        <w:ind w:left="708"/>
        <w:rPr>
          <w:sz w:val="22"/>
          <w:szCs w:val="22"/>
        </w:rPr>
      </w:pPr>
      <w:r w:rsidRPr="00702B66">
        <w:rPr>
          <w:sz w:val="22"/>
          <w:szCs w:val="22"/>
        </w:rPr>
        <w:t xml:space="preserve">“De otro lado, en lo que atañe al ingreso base de liquidación, según quedó analizado, con fundamento en la jurisprudencia imperante de la Corte Constitucional y del Consejo de Estado, que se ciñe al propósito del legislador en el sentido de evitar la aplicación </w:t>
      </w:r>
      <w:proofErr w:type="spellStart"/>
      <w:r w:rsidRPr="00702B66">
        <w:rPr>
          <w:sz w:val="22"/>
          <w:szCs w:val="22"/>
        </w:rPr>
        <w:t>ultractiva</w:t>
      </w:r>
      <w:proofErr w:type="spellEnd"/>
      <w:r w:rsidRPr="00702B66">
        <w:rPr>
          <w:sz w:val="22"/>
          <w:szCs w:val="22"/>
        </w:rPr>
        <w:t xml:space="preserve"> de las reglas del ingreso base de liquidación de los regímenes pensionales </w:t>
      </w:r>
      <w:r w:rsidRPr="00702B66">
        <w:rPr>
          <w:sz w:val="22"/>
          <w:szCs w:val="22"/>
        </w:rPr>
        <w:lastRenderedPageBreak/>
        <w:t>vigentes antes de la Ley 100 en mención, se tiene que no debe corresponder al del régimen anterior, es decir a la asignación más alta devengada el último año dedicado a la actividad judicial, como reza en el artículo 6.º280 en mención, pues el que hay que aplicar es el establecido por la Ley 100 de 1993 en su artículo 21 y en el inciso 3.º de su artículo 36</w:t>
      </w:r>
      <w:r>
        <w:rPr>
          <w:sz w:val="22"/>
          <w:szCs w:val="22"/>
        </w:rPr>
        <w:t>”</w:t>
      </w:r>
      <w:r w:rsidRPr="00702B66">
        <w:rPr>
          <w:sz w:val="22"/>
          <w:szCs w:val="22"/>
        </w:rPr>
        <w:t>.</w:t>
      </w:r>
      <w:r w:rsidRPr="00702B66">
        <w:rPr>
          <w:sz w:val="22"/>
          <w:szCs w:val="22"/>
        </w:rPr>
        <w:cr/>
        <w:t xml:space="preserve"> </w:t>
      </w:r>
    </w:p>
    <w:p w14:paraId="5B361F97" w14:textId="45DFD683" w:rsidR="003E2E00" w:rsidRDefault="00702B66" w:rsidP="003E2E00">
      <w:pPr>
        <w:rPr>
          <w:sz w:val="24"/>
          <w:szCs w:val="24"/>
        </w:rPr>
      </w:pPr>
      <w:r>
        <w:rPr>
          <w:sz w:val="24"/>
          <w:szCs w:val="24"/>
        </w:rPr>
        <w:t xml:space="preserve">Pues bien, de lo </w:t>
      </w:r>
      <w:r w:rsidR="00337211">
        <w:rPr>
          <w:sz w:val="24"/>
          <w:szCs w:val="24"/>
        </w:rPr>
        <w:t xml:space="preserve">expuesto </w:t>
      </w:r>
      <w:r w:rsidR="00337211" w:rsidRPr="008D1FE3">
        <w:rPr>
          <w:sz w:val="24"/>
          <w:szCs w:val="24"/>
        </w:rPr>
        <w:t>la Sal</w:t>
      </w:r>
      <w:r>
        <w:rPr>
          <w:sz w:val="24"/>
          <w:szCs w:val="24"/>
        </w:rPr>
        <w:t xml:space="preserve">a observa que las protestas de Gonzalo Mejía </w:t>
      </w:r>
      <w:proofErr w:type="spellStart"/>
      <w:r>
        <w:rPr>
          <w:sz w:val="24"/>
          <w:szCs w:val="24"/>
        </w:rPr>
        <w:t>Abello</w:t>
      </w:r>
      <w:proofErr w:type="spellEnd"/>
      <w:r>
        <w:rPr>
          <w:sz w:val="24"/>
          <w:szCs w:val="24"/>
        </w:rPr>
        <w:t xml:space="preserve"> se limitan</w:t>
      </w:r>
      <w:r w:rsidR="00337211">
        <w:rPr>
          <w:sz w:val="24"/>
          <w:szCs w:val="24"/>
        </w:rPr>
        <w:t xml:space="preserve"> a presentar su </w:t>
      </w:r>
      <w:r w:rsidR="00393589">
        <w:rPr>
          <w:sz w:val="24"/>
          <w:szCs w:val="24"/>
        </w:rPr>
        <w:t>teoría del caso</w:t>
      </w:r>
      <w:r w:rsidR="00337211">
        <w:rPr>
          <w:sz w:val="24"/>
          <w:szCs w:val="24"/>
        </w:rPr>
        <w:t>, y a proponer,</w:t>
      </w:r>
      <w:r w:rsidR="00337211" w:rsidRPr="008D1FE3">
        <w:rPr>
          <w:sz w:val="24"/>
          <w:szCs w:val="24"/>
        </w:rPr>
        <w:t xml:space="preserve"> de nuevo, argumentos de legalid</w:t>
      </w:r>
      <w:r w:rsidR="006A3161">
        <w:rPr>
          <w:sz w:val="24"/>
          <w:szCs w:val="24"/>
        </w:rPr>
        <w:t>ad</w:t>
      </w:r>
      <w:r w:rsidR="00393589">
        <w:rPr>
          <w:sz w:val="24"/>
          <w:szCs w:val="24"/>
        </w:rPr>
        <w:t xml:space="preserve"> para reabrir el debate </w:t>
      </w:r>
      <w:r>
        <w:rPr>
          <w:sz w:val="24"/>
          <w:szCs w:val="24"/>
        </w:rPr>
        <w:t>sobre el IBL aplicable a los beneficiarios del régimen de transición de la Ley 100 de 1993</w:t>
      </w:r>
      <w:r w:rsidR="003E2E00">
        <w:rPr>
          <w:sz w:val="24"/>
          <w:szCs w:val="24"/>
        </w:rPr>
        <w:t xml:space="preserve">, asunto que, además de que ya quedó zanjado por el Consejo de Estado, fue </w:t>
      </w:r>
      <w:r w:rsidR="002905D0">
        <w:rPr>
          <w:sz w:val="24"/>
          <w:szCs w:val="24"/>
        </w:rPr>
        <w:t>resuelto</w:t>
      </w:r>
      <w:r w:rsidR="003E2E00">
        <w:rPr>
          <w:sz w:val="24"/>
          <w:szCs w:val="24"/>
        </w:rPr>
        <w:t xml:space="preserve"> dentro </w:t>
      </w:r>
      <w:r w:rsidR="002905D0">
        <w:rPr>
          <w:sz w:val="24"/>
          <w:szCs w:val="24"/>
        </w:rPr>
        <w:t xml:space="preserve">del </w:t>
      </w:r>
      <w:r w:rsidR="003E2E00">
        <w:rPr>
          <w:sz w:val="24"/>
          <w:szCs w:val="24"/>
        </w:rPr>
        <w:t>proceso ordinario de nulidad y restablecimiento del derecho.</w:t>
      </w:r>
    </w:p>
    <w:p w14:paraId="3FEEB310" w14:textId="77777777" w:rsidR="003E2E00" w:rsidRDefault="003E2E00" w:rsidP="003E2E00">
      <w:pPr>
        <w:rPr>
          <w:sz w:val="24"/>
          <w:szCs w:val="24"/>
        </w:rPr>
      </w:pPr>
    </w:p>
    <w:p w14:paraId="07A4AA59" w14:textId="24111BA1" w:rsidR="00F400EE" w:rsidRDefault="003E2E00" w:rsidP="003E2E00">
      <w:pPr>
        <w:rPr>
          <w:sz w:val="24"/>
          <w:szCs w:val="24"/>
        </w:rPr>
      </w:pPr>
      <w:r>
        <w:rPr>
          <w:sz w:val="24"/>
          <w:szCs w:val="24"/>
        </w:rPr>
        <w:t>En ese orden</w:t>
      </w:r>
      <w:r w:rsidR="001600AB">
        <w:rPr>
          <w:sz w:val="24"/>
          <w:szCs w:val="24"/>
        </w:rPr>
        <w:t xml:space="preserve">, la Sala no pasa por alto que </w:t>
      </w:r>
      <w:r>
        <w:rPr>
          <w:sz w:val="24"/>
          <w:szCs w:val="24"/>
        </w:rPr>
        <w:t xml:space="preserve">el tutelante no explicó los motivos por los cuales </w:t>
      </w:r>
      <w:r w:rsidR="008D5DD9">
        <w:rPr>
          <w:sz w:val="24"/>
          <w:szCs w:val="24"/>
        </w:rPr>
        <w:t>consideró</w:t>
      </w:r>
      <w:r w:rsidR="001600AB">
        <w:rPr>
          <w:sz w:val="24"/>
          <w:szCs w:val="24"/>
        </w:rPr>
        <w:t xml:space="preserve"> que en su caso no son</w:t>
      </w:r>
      <w:r>
        <w:rPr>
          <w:sz w:val="24"/>
          <w:szCs w:val="24"/>
        </w:rPr>
        <w:t xml:space="preserve"> aplicable</w:t>
      </w:r>
      <w:r w:rsidR="001600AB">
        <w:rPr>
          <w:sz w:val="24"/>
          <w:szCs w:val="24"/>
        </w:rPr>
        <w:t>s</w:t>
      </w:r>
      <w:r>
        <w:rPr>
          <w:sz w:val="24"/>
          <w:szCs w:val="24"/>
        </w:rPr>
        <w:t xml:space="preserve"> las reglas de la referida unificación jurisp</w:t>
      </w:r>
      <w:r w:rsidR="00F400EE">
        <w:rPr>
          <w:sz w:val="24"/>
          <w:szCs w:val="24"/>
        </w:rPr>
        <w:t>rudencial,</w:t>
      </w:r>
      <w:r w:rsidR="008D5DD9">
        <w:rPr>
          <w:sz w:val="24"/>
          <w:szCs w:val="24"/>
        </w:rPr>
        <w:t xml:space="preserve"> que aseguró, fueron desconocidas por el Tribu</w:t>
      </w:r>
      <w:r w:rsidR="00F400EE">
        <w:rPr>
          <w:sz w:val="24"/>
          <w:szCs w:val="24"/>
        </w:rPr>
        <w:t xml:space="preserve">nal Administrativo de Santander. </w:t>
      </w:r>
    </w:p>
    <w:p w14:paraId="3A328551" w14:textId="77777777" w:rsidR="00F400EE" w:rsidRDefault="00F400EE" w:rsidP="003E2E00">
      <w:pPr>
        <w:rPr>
          <w:sz w:val="24"/>
          <w:szCs w:val="24"/>
        </w:rPr>
      </w:pPr>
    </w:p>
    <w:p w14:paraId="2ABB3BF0" w14:textId="332459B0" w:rsidR="003E2E00" w:rsidRDefault="00F400EE" w:rsidP="003E2E00">
      <w:pPr>
        <w:rPr>
          <w:sz w:val="24"/>
          <w:szCs w:val="24"/>
        </w:rPr>
      </w:pPr>
      <w:r>
        <w:rPr>
          <w:sz w:val="24"/>
          <w:szCs w:val="24"/>
        </w:rPr>
        <w:t>Lo anterior, más a</w:t>
      </w:r>
      <w:r w:rsidR="00622244">
        <w:rPr>
          <w:sz w:val="24"/>
          <w:szCs w:val="24"/>
        </w:rPr>
        <w:t>ú</w:t>
      </w:r>
      <w:r>
        <w:rPr>
          <w:sz w:val="24"/>
          <w:szCs w:val="24"/>
        </w:rPr>
        <w:t>n,</w:t>
      </w:r>
      <w:r w:rsidR="008D5DD9">
        <w:rPr>
          <w:sz w:val="24"/>
          <w:szCs w:val="24"/>
        </w:rPr>
        <w:t xml:space="preserve"> </w:t>
      </w:r>
      <w:r w:rsidR="003E2E00">
        <w:rPr>
          <w:sz w:val="24"/>
          <w:szCs w:val="24"/>
        </w:rPr>
        <w:t>a</w:t>
      </w:r>
      <w:r>
        <w:rPr>
          <w:sz w:val="24"/>
          <w:szCs w:val="24"/>
        </w:rPr>
        <w:t>l tener en cuenta que</w:t>
      </w:r>
      <w:r w:rsidR="003E2E00">
        <w:rPr>
          <w:sz w:val="24"/>
          <w:szCs w:val="24"/>
        </w:rPr>
        <w:t xml:space="preserve"> en dicha oportunidad, el </w:t>
      </w:r>
      <w:r w:rsidR="008D5DD9">
        <w:rPr>
          <w:sz w:val="24"/>
          <w:szCs w:val="24"/>
        </w:rPr>
        <w:t>Consejo de Estado</w:t>
      </w:r>
      <w:r w:rsidR="003E2E00">
        <w:rPr>
          <w:sz w:val="24"/>
          <w:szCs w:val="24"/>
        </w:rPr>
        <w:t xml:space="preserve"> se encargó</w:t>
      </w:r>
      <w:r w:rsidR="00F6385D">
        <w:rPr>
          <w:sz w:val="24"/>
          <w:szCs w:val="24"/>
        </w:rPr>
        <w:t xml:space="preserve"> de resolver</w:t>
      </w:r>
      <w:r w:rsidR="003E2E00">
        <w:rPr>
          <w:sz w:val="24"/>
          <w:szCs w:val="24"/>
        </w:rPr>
        <w:t xml:space="preserve"> el problema jurídico</w:t>
      </w:r>
      <w:r>
        <w:rPr>
          <w:sz w:val="24"/>
          <w:szCs w:val="24"/>
        </w:rPr>
        <w:t xml:space="preserve"> consistente en</w:t>
      </w:r>
      <w:r w:rsidR="008D5DD9">
        <w:rPr>
          <w:sz w:val="24"/>
          <w:szCs w:val="24"/>
        </w:rPr>
        <w:t xml:space="preserve"> </w:t>
      </w:r>
      <w:r w:rsidR="001600AB">
        <w:rPr>
          <w:sz w:val="24"/>
          <w:szCs w:val="24"/>
        </w:rPr>
        <w:t xml:space="preserve">establecer </w:t>
      </w:r>
      <w:r w:rsidR="008D5DD9">
        <w:rPr>
          <w:sz w:val="24"/>
          <w:szCs w:val="24"/>
        </w:rPr>
        <w:t>cuál era e</w:t>
      </w:r>
      <w:r w:rsidR="003E2E00">
        <w:rPr>
          <w:sz w:val="24"/>
          <w:szCs w:val="24"/>
        </w:rPr>
        <w:t>l IBL que deb</w:t>
      </w:r>
      <w:r w:rsidR="008D5DD9">
        <w:rPr>
          <w:sz w:val="24"/>
          <w:szCs w:val="24"/>
        </w:rPr>
        <w:t>ía regir para las</w:t>
      </w:r>
      <w:r w:rsidR="003E2E00">
        <w:rPr>
          <w:sz w:val="24"/>
          <w:szCs w:val="24"/>
        </w:rPr>
        <w:t xml:space="preserve"> personas que </w:t>
      </w:r>
      <w:r w:rsidR="00F6385D">
        <w:rPr>
          <w:sz w:val="24"/>
          <w:szCs w:val="24"/>
        </w:rPr>
        <w:t>tuvieran derecho</w:t>
      </w:r>
      <w:r w:rsidR="003E2E00">
        <w:rPr>
          <w:sz w:val="24"/>
          <w:szCs w:val="24"/>
        </w:rPr>
        <w:t xml:space="preserve"> a que su </w:t>
      </w:r>
      <w:r w:rsidR="00F6385D">
        <w:rPr>
          <w:sz w:val="24"/>
          <w:szCs w:val="24"/>
        </w:rPr>
        <w:t>pensión</w:t>
      </w:r>
      <w:r w:rsidR="003E2E00">
        <w:rPr>
          <w:sz w:val="24"/>
          <w:szCs w:val="24"/>
        </w:rPr>
        <w:t xml:space="preserve"> fuera liquidada con ba</w:t>
      </w:r>
      <w:r>
        <w:rPr>
          <w:sz w:val="24"/>
          <w:szCs w:val="24"/>
        </w:rPr>
        <w:t>se en las normas del Decreto 546</w:t>
      </w:r>
      <w:r w:rsidR="003E2E00">
        <w:rPr>
          <w:sz w:val="24"/>
          <w:szCs w:val="24"/>
        </w:rPr>
        <w:t xml:space="preserve"> de 1971, en virtud de la transición de la Ley 100 de 1993</w:t>
      </w:r>
      <w:r w:rsidR="00436AB1">
        <w:rPr>
          <w:rStyle w:val="Refdenotaalpie"/>
          <w:sz w:val="24"/>
          <w:szCs w:val="24"/>
        </w:rPr>
        <w:footnoteReference w:id="13"/>
      </w:r>
      <w:r w:rsidR="003E2E00">
        <w:rPr>
          <w:sz w:val="24"/>
          <w:szCs w:val="24"/>
        </w:rPr>
        <w:t xml:space="preserve">, que es, precisamente, la situación en la que se encuentra. </w:t>
      </w:r>
    </w:p>
    <w:p w14:paraId="1EBC56FB" w14:textId="77777777" w:rsidR="003536B7" w:rsidRDefault="003536B7" w:rsidP="00337211">
      <w:pPr>
        <w:rPr>
          <w:sz w:val="24"/>
          <w:szCs w:val="24"/>
        </w:rPr>
      </w:pPr>
    </w:p>
    <w:p w14:paraId="6F1565F0" w14:textId="2F80F592" w:rsidR="00337211" w:rsidRDefault="0076192E" w:rsidP="00337211">
      <w:pPr>
        <w:ind w:right="-93"/>
        <w:rPr>
          <w:sz w:val="24"/>
          <w:szCs w:val="24"/>
          <w:lang w:val="es-ES"/>
        </w:rPr>
      </w:pPr>
      <w:r>
        <w:rPr>
          <w:sz w:val="24"/>
          <w:szCs w:val="24"/>
        </w:rPr>
        <w:t xml:space="preserve">Todas las falencias argumentativas </w:t>
      </w:r>
      <w:r w:rsidR="001600AB">
        <w:rPr>
          <w:sz w:val="24"/>
          <w:szCs w:val="24"/>
        </w:rPr>
        <w:t xml:space="preserve">descritas en esta providencia </w:t>
      </w:r>
      <w:r>
        <w:rPr>
          <w:sz w:val="24"/>
          <w:szCs w:val="24"/>
        </w:rPr>
        <w:t xml:space="preserve">llevan a que </w:t>
      </w:r>
      <w:r w:rsidR="00337211">
        <w:rPr>
          <w:sz w:val="24"/>
          <w:szCs w:val="24"/>
        </w:rPr>
        <w:t>los cargos de la acción</w:t>
      </w:r>
      <w:r w:rsidR="001600AB">
        <w:rPr>
          <w:sz w:val="24"/>
          <w:szCs w:val="24"/>
        </w:rPr>
        <w:t xml:space="preserve"> quede</w:t>
      </w:r>
      <w:r w:rsidR="00337211">
        <w:rPr>
          <w:sz w:val="24"/>
          <w:szCs w:val="24"/>
        </w:rPr>
        <w:t>n</w:t>
      </w:r>
      <w:r w:rsidR="00337211" w:rsidRPr="008D1FE3">
        <w:rPr>
          <w:sz w:val="24"/>
          <w:szCs w:val="24"/>
        </w:rPr>
        <w:t xml:space="preserve"> huérfano</w:t>
      </w:r>
      <w:r w:rsidR="00337211">
        <w:rPr>
          <w:sz w:val="24"/>
          <w:szCs w:val="24"/>
        </w:rPr>
        <w:t>s</w:t>
      </w:r>
      <w:r w:rsidR="00337211" w:rsidRPr="008D1FE3">
        <w:rPr>
          <w:sz w:val="24"/>
          <w:szCs w:val="24"/>
        </w:rPr>
        <w:t xml:space="preserve"> de relevancia constitucional, pues la parte actora, lejos de exponer las circunstancias en que la sentencia del </w:t>
      </w:r>
      <w:r w:rsidR="00F400EE">
        <w:rPr>
          <w:sz w:val="24"/>
          <w:szCs w:val="24"/>
        </w:rPr>
        <w:t>1</w:t>
      </w:r>
      <w:r w:rsidR="003536B7">
        <w:rPr>
          <w:sz w:val="24"/>
          <w:szCs w:val="24"/>
        </w:rPr>
        <w:t xml:space="preserve"> de </w:t>
      </w:r>
      <w:r w:rsidR="00F400EE">
        <w:rPr>
          <w:sz w:val="24"/>
          <w:szCs w:val="24"/>
        </w:rPr>
        <w:t>julio</w:t>
      </w:r>
      <w:r w:rsidR="003536B7">
        <w:rPr>
          <w:sz w:val="24"/>
          <w:szCs w:val="24"/>
        </w:rPr>
        <w:t xml:space="preserve"> de 2021 </w:t>
      </w:r>
      <w:r w:rsidR="00F400EE">
        <w:rPr>
          <w:sz w:val="24"/>
          <w:szCs w:val="24"/>
        </w:rPr>
        <w:t xml:space="preserve">vulneró </w:t>
      </w:r>
      <w:r w:rsidR="00337211" w:rsidRPr="008D1FE3">
        <w:rPr>
          <w:sz w:val="24"/>
          <w:szCs w:val="24"/>
        </w:rPr>
        <w:t>su</w:t>
      </w:r>
      <w:r w:rsidR="00337211">
        <w:rPr>
          <w:sz w:val="24"/>
          <w:szCs w:val="24"/>
        </w:rPr>
        <w:t>s</w:t>
      </w:r>
      <w:r w:rsidR="00337211" w:rsidRPr="008D1FE3">
        <w:rPr>
          <w:sz w:val="24"/>
          <w:szCs w:val="24"/>
        </w:rPr>
        <w:t xml:space="preserve"> derecho</w:t>
      </w:r>
      <w:r w:rsidR="00337211">
        <w:rPr>
          <w:sz w:val="24"/>
          <w:szCs w:val="24"/>
        </w:rPr>
        <w:t>s</w:t>
      </w:r>
      <w:r w:rsidR="00337211" w:rsidRPr="008D1FE3">
        <w:rPr>
          <w:sz w:val="24"/>
          <w:szCs w:val="24"/>
        </w:rPr>
        <w:t xml:space="preserve"> fundamental</w:t>
      </w:r>
      <w:r w:rsidR="00337211">
        <w:rPr>
          <w:sz w:val="24"/>
          <w:szCs w:val="24"/>
        </w:rPr>
        <w:t>es</w:t>
      </w:r>
      <w:r w:rsidR="00337211" w:rsidRPr="008D1FE3">
        <w:rPr>
          <w:sz w:val="24"/>
          <w:szCs w:val="24"/>
        </w:rPr>
        <w:t xml:space="preserve">, </w:t>
      </w:r>
      <w:r w:rsidR="00337211" w:rsidRPr="008D1FE3">
        <w:rPr>
          <w:sz w:val="24"/>
          <w:szCs w:val="24"/>
          <w:lang w:val="es-ES"/>
        </w:rPr>
        <w:t>pretende utilizar este mecanismo para plantear debate</w:t>
      </w:r>
      <w:r w:rsidR="003536B7">
        <w:rPr>
          <w:sz w:val="24"/>
          <w:szCs w:val="24"/>
          <w:lang w:val="es-ES"/>
        </w:rPr>
        <w:t>s</w:t>
      </w:r>
      <w:r w:rsidR="00337211" w:rsidRPr="008D1FE3">
        <w:rPr>
          <w:sz w:val="24"/>
          <w:szCs w:val="24"/>
          <w:lang w:val="es-ES"/>
        </w:rPr>
        <w:t xml:space="preserve"> de</w:t>
      </w:r>
      <w:r w:rsidR="003536B7">
        <w:rPr>
          <w:sz w:val="24"/>
          <w:szCs w:val="24"/>
          <w:lang w:val="es-ES"/>
        </w:rPr>
        <w:t>l</w:t>
      </w:r>
      <w:r w:rsidR="00337211" w:rsidRPr="008D1FE3">
        <w:rPr>
          <w:sz w:val="24"/>
          <w:szCs w:val="24"/>
          <w:lang w:val="es-ES"/>
        </w:rPr>
        <w:t xml:space="preserve"> orden legal que ya fue</w:t>
      </w:r>
      <w:r w:rsidR="003536B7">
        <w:rPr>
          <w:sz w:val="24"/>
          <w:szCs w:val="24"/>
          <w:lang w:val="es-ES"/>
        </w:rPr>
        <w:t>ron</w:t>
      </w:r>
      <w:r w:rsidR="00337211" w:rsidRPr="008D1FE3">
        <w:rPr>
          <w:sz w:val="24"/>
          <w:szCs w:val="24"/>
          <w:lang w:val="es-ES"/>
        </w:rPr>
        <w:t xml:space="preserve"> abordado</w:t>
      </w:r>
      <w:r w:rsidR="003536B7">
        <w:rPr>
          <w:sz w:val="24"/>
          <w:szCs w:val="24"/>
          <w:lang w:val="es-ES"/>
        </w:rPr>
        <w:t>s</w:t>
      </w:r>
      <w:r w:rsidR="00337211" w:rsidRPr="008D1FE3">
        <w:rPr>
          <w:sz w:val="24"/>
          <w:szCs w:val="24"/>
          <w:lang w:val="es-ES"/>
        </w:rPr>
        <w:t xml:space="preserve"> en el </w:t>
      </w:r>
      <w:r w:rsidR="003536B7">
        <w:rPr>
          <w:sz w:val="24"/>
          <w:szCs w:val="24"/>
          <w:lang w:val="es-ES"/>
        </w:rPr>
        <w:t>trámite</w:t>
      </w:r>
      <w:r w:rsidR="00337211">
        <w:rPr>
          <w:sz w:val="24"/>
          <w:szCs w:val="24"/>
          <w:lang w:val="es-ES"/>
        </w:rPr>
        <w:t xml:space="preserve"> de </w:t>
      </w:r>
      <w:r w:rsidR="003536B7">
        <w:rPr>
          <w:sz w:val="24"/>
          <w:szCs w:val="24"/>
          <w:lang w:val="es-ES"/>
        </w:rPr>
        <w:t>nulidad y restablecimiento del derecho</w:t>
      </w:r>
      <w:r w:rsidR="00337211" w:rsidRPr="008D1FE3">
        <w:rPr>
          <w:sz w:val="24"/>
          <w:szCs w:val="24"/>
          <w:lang w:val="es-ES"/>
        </w:rPr>
        <w:t>. En consecuencia, la Sala declarará la improcedencia de la acción de tutela.</w:t>
      </w:r>
    </w:p>
    <w:p w14:paraId="06F5C301" w14:textId="77777777" w:rsidR="003E2E00" w:rsidRPr="008D1FE3" w:rsidRDefault="003E2E00" w:rsidP="00337211">
      <w:pPr>
        <w:ind w:right="-93"/>
        <w:rPr>
          <w:sz w:val="24"/>
          <w:szCs w:val="24"/>
          <w:lang w:val="es-ES"/>
        </w:rPr>
      </w:pPr>
    </w:p>
    <w:p w14:paraId="1B7D3DA7" w14:textId="77777777" w:rsidR="00337211" w:rsidRPr="008D1FE3" w:rsidRDefault="00337211" w:rsidP="00337211">
      <w:pPr>
        <w:rPr>
          <w:sz w:val="24"/>
          <w:szCs w:val="24"/>
          <w:lang w:eastAsia="es-CO"/>
        </w:rPr>
      </w:pPr>
      <w:r w:rsidRPr="008D1FE3">
        <w:rPr>
          <w:sz w:val="24"/>
          <w:szCs w:val="24"/>
          <w:lang w:eastAsia="es-CO"/>
        </w:rPr>
        <w:t>En mérito de lo expuesto, el Consejo de Estado en Sala de lo Contencioso Administrativo, Sección Tercera, Subsección C administrando justicia en nombre de la República y por autoridad de la ley,</w:t>
      </w:r>
    </w:p>
    <w:p w14:paraId="2EB2E4B8" w14:textId="77777777" w:rsidR="00337211" w:rsidRDefault="00337211" w:rsidP="00337211">
      <w:pPr>
        <w:tabs>
          <w:tab w:val="left" w:pos="851"/>
        </w:tabs>
        <w:rPr>
          <w:rFonts w:eastAsia="Verdana"/>
          <w:sz w:val="24"/>
          <w:szCs w:val="24"/>
        </w:rPr>
      </w:pPr>
    </w:p>
    <w:p w14:paraId="39E22795" w14:textId="77777777" w:rsidR="00337211" w:rsidRPr="008D1FE3" w:rsidRDefault="00337211" w:rsidP="00337211">
      <w:pPr>
        <w:tabs>
          <w:tab w:val="left" w:pos="851"/>
        </w:tabs>
        <w:jc w:val="center"/>
        <w:rPr>
          <w:rFonts w:eastAsia="Verdana"/>
          <w:b/>
          <w:sz w:val="24"/>
          <w:szCs w:val="24"/>
        </w:rPr>
      </w:pPr>
      <w:r w:rsidRPr="008D1FE3">
        <w:rPr>
          <w:rFonts w:eastAsia="Verdana"/>
          <w:b/>
          <w:sz w:val="24"/>
          <w:szCs w:val="24"/>
        </w:rPr>
        <w:t>FALLA</w:t>
      </w:r>
    </w:p>
    <w:p w14:paraId="34154DA8" w14:textId="77777777" w:rsidR="00337211" w:rsidRDefault="00337211" w:rsidP="00337211">
      <w:pPr>
        <w:tabs>
          <w:tab w:val="left" w:pos="851"/>
        </w:tabs>
        <w:jc w:val="center"/>
        <w:rPr>
          <w:rFonts w:eastAsia="Verdana"/>
          <w:sz w:val="24"/>
          <w:szCs w:val="24"/>
        </w:rPr>
      </w:pPr>
    </w:p>
    <w:p w14:paraId="2AC60A1B" w14:textId="38AA947B" w:rsidR="00337211" w:rsidRPr="00FA7819" w:rsidRDefault="00337211" w:rsidP="00337211">
      <w:pPr>
        <w:tabs>
          <w:tab w:val="left" w:pos="851"/>
        </w:tabs>
        <w:rPr>
          <w:sz w:val="24"/>
          <w:szCs w:val="24"/>
        </w:rPr>
      </w:pPr>
      <w:r w:rsidRPr="008D1FE3">
        <w:rPr>
          <w:rFonts w:eastAsia="Verdana"/>
          <w:b/>
          <w:sz w:val="24"/>
          <w:szCs w:val="24"/>
        </w:rPr>
        <w:t xml:space="preserve">PRIMERO: </w:t>
      </w:r>
      <w:r>
        <w:rPr>
          <w:rFonts w:eastAsia="Verdana"/>
          <w:b/>
          <w:sz w:val="24"/>
          <w:szCs w:val="24"/>
        </w:rPr>
        <w:t>DECLARAR IMPROCEDENTE</w:t>
      </w:r>
      <w:r w:rsidRPr="008D1FE3">
        <w:rPr>
          <w:rFonts w:eastAsia="Verdana"/>
          <w:b/>
          <w:sz w:val="24"/>
          <w:szCs w:val="24"/>
        </w:rPr>
        <w:t xml:space="preserve"> </w:t>
      </w:r>
      <w:r w:rsidRPr="008D1FE3">
        <w:rPr>
          <w:rFonts w:eastAsia="Verdana"/>
          <w:sz w:val="24"/>
          <w:szCs w:val="24"/>
        </w:rPr>
        <w:t xml:space="preserve">la acción de tutela </w:t>
      </w:r>
      <w:r w:rsidRPr="008D1FE3">
        <w:rPr>
          <w:sz w:val="24"/>
          <w:szCs w:val="24"/>
          <w:lang w:val="es-ES_tradnl" w:eastAsia="es-ES"/>
        </w:rPr>
        <w:t>interpuesta por</w:t>
      </w:r>
      <w:r w:rsidR="006633C7">
        <w:rPr>
          <w:bCs/>
          <w:sz w:val="24"/>
          <w:szCs w:val="24"/>
        </w:rPr>
        <w:t xml:space="preserve"> </w:t>
      </w:r>
      <w:r w:rsidR="00FA7819">
        <w:rPr>
          <w:sz w:val="24"/>
          <w:szCs w:val="24"/>
        </w:rPr>
        <w:t xml:space="preserve">Gonzalo Mejía </w:t>
      </w:r>
      <w:proofErr w:type="spellStart"/>
      <w:r w:rsidR="00FA7819">
        <w:rPr>
          <w:sz w:val="24"/>
          <w:szCs w:val="24"/>
        </w:rPr>
        <w:t>Abello</w:t>
      </w:r>
      <w:proofErr w:type="spellEnd"/>
      <w:r w:rsidR="00FA7819">
        <w:rPr>
          <w:sz w:val="24"/>
          <w:szCs w:val="24"/>
        </w:rPr>
        <w:t xml:space="preserve"> en contra del Tribunal Administrativo de Santander</w:t>
      </w:r>
      <w:r w:rsidRPr="008D1FE3">
        <w:rPr>
          <w:sz w:val="24"/>
          <w:szCs w:val="24"/>
        </w:rPr>
        <w:t>, por las razones expuestas en esta providencia.</w:t>
      </w:r>
    </w:p>
    <w:p w14:paraId="0A7E69D4" w14:textId="77777777" w:rsidR="00337211" w:rsidRPr="008D1FE3" w:rsidRDefault="00337211" w:rsidP="00337211">
      <w:pPr>
        <w:tabs>
          <w:tab w:val="left" w:pos="851"/>
        </w:tabs>
        <w:rPr>
          <w:rFonts w:eastAsia="Verdana"/>
          <w:sz w:val="24"/>
          <w:szCs w:val="24"/>
        </w:rPr>
      </w:pPr>
    </w:p>
    <w:p w14:paraId="2EAEB073" w14:textId="77777777" w:rsidR="00337211" w:rsidRPr="00952B2F" w:rsidRDefault="00337211" w:rsidP="00337211">
      <w:pPr>
        <w:tabs>
          <w:tab w:val="left" w:pos="851"/>
        </w:tabs>
        <w:rPr>
          <w:rFonts w:eastAsia="Verdana"/>
          <w:sz w:val="24"/>
          <w:szCs w:val="24"/>
        </w:rPr>
      </w:pPr>
      <w:r w:rsidRPr="008D1FE3">
        <w:rPr>
          <w:rFonts w:eastAsia="Verdana"/>
          <w:b/>
          <w:sz w:val="24"/>
          <w:szCs w:val="24"/>
        </w:rPr>
        <w:t>SEGUNDO: NOTIFICAR</w:t>
      </w:r>
      <w:r w:rsidRPr="008D1FE3">
        <w:rPr>
          <w:rFonts w:eastAsia="Verdana"/>
          <w:sz w:val="24"/>
          <w:szCs w:val="24"/>
        </w:rPr>
        <w:t xml:space="preserve"> a las partes e intervinientes en la forma prevista en el artículo 30 del Decreto Ley 2591 de 1991.</w:t>
      </w:r>
    </w:p>
    <w:p w14:paraId="7EB3FBB9" w14:textId="77777777" w:rsidR="00337211" w:rsidRDefault="00337211" w:rsidP="00337211">
      <w:pPr>
        <w:tabs>
          <w:tab w:val="left" w:pos="851"/>
        </w:tabs>
        <w:rPr>
          <w:rFonts w:eastAsia="Verdana"/>
          <w:b/>
          <w:sz w:val="24"/>
          <w:szCs w:val="24"/>
        </w:rPr>
      </w:pPr>
    </w:p>
    <w:p w14:paraId="59CCE124" w14:textId="77777777" w:rsidR="00337211" w:rsidRDefault="00337211" w:rsidP="00337211">
      <w:pPr>
        <w:tabs>
          <w:tab w:val="left" w:pos="851"/>
        </w:tabs>
        <w:rPr>
          <w:rFonts w:eastAsia="Verdana"/>
          <w:sz w:val="24"/>
          <w:szCs w:val="24"/>
        </w:rPr>
      </w:pPr>
      <w:r w:rsidRPr="008D1FE3">
        <w:rPr>
          <w:rFonts w:eastAsia="Verdana"/>
          <w:b/>
          <w:sz w:val="24"/>
          <w:szCs w:val="24"/>
        </w:rPr>
        <w:lastRenderedPageBreak/>
        <w:t>TERCERO:</w:t>
      </w:r>
      <w:r>
        <w:rPr>
          <w:rFonts w:eastAsia="Verdana"/>
          <w:b/>
          <w:sz w:val="24"/>
          <w:szCs w:val="24"/>
        </w:rPr>
        <w:t xml:space="preserve"> </w:t>
      </w:r>
      <w:r w:rsidRPr="008D1FE3">
        <w:rPr>
          <w:rFonts w:eastAsia="Verdana"/>
          <w:b/>
          <w:sz w:val="24"/>
          <w:szCs w:val="24"/>
        </w:rPr>
        <w:t>REMITIR</w:t>
      </w:r>
      <w:r w:rsidRPr="008D1FE3">
        <w:rPr>
          <w:rFonts w:eastAsia="Verdana"/>
          <w:sz w:val="24"/>
          <w:szCs w:val="24"/>
        </w:rPr>
        <w:t xml:space="preserve"> la presente providencia, si no fuere impugnada, a la Corte Constitucional para su eventual revisión.</w:t>
      </w:r>
    </w:p>
    <w:p w14:paraId="23E60283" w14:textId="77777777" w:rsidR="00337211" w:rsidRPr="008D1FE3" w:rsidRDefault="00337211" w:rsidP="00337211">
      <w:pPr>
        <w:tabs>
          <w:tab w:val="left" w:pos="851"/>
        </w:tabs>
        <w:rPr>
          <w:rFonts w:eastAsia="Verdana"/>
          <w:sz w:val="24"/>
          <w:szCs w:val="24"/>
        </w:rPr>
      </w:pPr>
    </w:p>
    <w:p w14:paraId="49FB2CA9" w14:textId="77777777" w:rsidR="00337211" w:rsidRPr="008D1FE3" w:rsidRDefault="00337211" w:rsidP="00337211">
      <w:pPr>
        <w:tabs>
          <w:tab w:val="left" w:pos="709"/>
          <w:tab w:val="left" w:pos="9000"/>
        </w:tabs>
        <w:outlineLvl w:val="6"/>
        <w:rPr>
          <w:rFonts w:eastAsia="Verdana"/>
          <w:b/>
          <w:sz w:val="24"/>
          <w:szCs w:val="24"/>
        </w:rPr>
      </w:pPr>
      <w:r w:rsidRPr="008D1FE3">
        <w:rPr>
          <w:rFonts w:eastAsia="Verdana"/>
          <w:b/>
          <w:sz w:val="24"/>
          <w:szCs w:val="24"/>
        </w:rPr>
        <w:t>Notifíquese y cúmplase</w:t>
      </w:r>
    </w:p>
    <w:p w14:paraId="43ED3DC4" w14:textId="77777777" w:rsidR="00337211" w:rsidRPr="00981037" w:rsidRDefault="00337211" w:rsidP="00337211">
      <w:pPr>
        <w:tabs>
          <w:tab w:val="left" w:pos="709"/>
          <w:tab w:val="left" w:pos="9000"/>
        </w:tabs>
        <w:jc w:val="center"/>
        <w:outlineLvl w:val="6"/>
        <w:rPr>
          <w:rFonts w:eastAsia="Verdana"/>
          <w:sz w:val="20"/>
          <w:szCs w:val="24"/>
        </w:rPr>
      </w:pPr>
    </w:p>
    <w:p w14:paraId="58E274C9" w14:textId="77777777" w:rsidR="00981037" w:rsidRDefault="00981037" w:rsidP="00337211">
      <w:pPr>
        <w:tabs>
          <w:tab w:val="left" w:pos="709"/>
          <w:tab w:val="left" w:pos="9000"/>
        </w:tabs>
        <w:jc w:val="center"/>
        <w:outlineLvl w:val="6"/>
        <w:rPr>
          <w:rFonts w:eastAsia="Verdana"/>
          <w:sz w:val="20"/>
          <w:szCs w:val="24"/>
        </w:rPr>
      </w:pPr>
    </w:p>
    <w:p w14:paraId="56E63F24" w14:textId="77777777" w:rsidR="00981037" w:rsidRDefault="00981037" w:rsidP="00337211">
      <w:pPr>
        <w:tabs>
          <w:tab w:val="left" w:pos="709"/>
          <w:tab w:val="left" w:pos="9000"/>
        </w:tabs>
        <w:jc w:val="center"/>
        <w:outlineLvl w:val="6"/>
        <w:rPr>
          <w:rFonts w:eastAsia="Verdana"/>
          <w:sz w:val="20"/>
          <w:szCs w:val="24"/>
        </w:rPr>
      </w:pPr>
    </w:p>
    <w:p w14:paraId="02557324" w14:textId="77777777" w:rsidR="00514C62" w:rsidRPr="00981037" w:rsidRDefault="00514C62" w:rsidP="00337211">
      <w:pPr>
        <w:tabs>
          <w:tab w:val="left" w:pos="709"/>
          <w:tab w:val="left" w:pos="9000"/>
        </w:tabs>
        <w:jc w:val="center"/>
        <w:outlineLvl w:val="6"/>
        <w:rPr>
          <w:rFonts w:eastAsia="Verdana"/>
          <w:sz w:val="20"/>
          <w:szCs w:val="24"/>
        </w:rPr>
      </w:pPr>
    </w:p>
    <w:p w14:paraId="4627C168" w14:textId="77777777" w:rsidR="00337211" w:rsidRPr="008D1FE3" w:rsidRDefault="00337211" w:rsidP="00337211">
      <w:pPr>
        <w:pStyle w:val="Textodecuerpo31"/>
        <w:widowControl w:val="0"/>
        <w:tabs>
          <w:tab w:val="left" w:pos="708"/>
        </w:tabs>
        <w:spacing w:line="240" w:lineRule="auto"/>
        <w:ind w:right="51"/>
        <w:jc w:val="center"/>
        <w:rPr>
          <w:rFonts w:cs="Arial"/>
          <w:b/>
          <w:szCs w:val="24"/>
        </w:rPr>
      </w:pPr>
      <w:r w:rsidRPr="008D1FE3">
        <w:rPr>
          <w:rFonts w:cs="Arial"/>
          <w:b/>
          <w:szCs w:val="24"/>
        </w:rPr>
        <w:t>JAIME ENRIQUE RODRÍGUEZ NAVAS</w:t>
      </w:r>
    </w:p>
    <w:p w14:paraId="7E337FA7" w14:textId="77777777" w:rsidR="00337211" w:rsidRPr="008D1FE3" w:rsidRDefault="00337211" w:rsidP="00337211">
      <w:pPr>
        <w:pStyle w:val="Textodecuerpo31"/>
        <w:widowControl w:val="0"/>
        <w:tabs>
          <w:tab w:val="left" w:pos="708"/>
        </w:tabs>
        <w:spacing w:line="240" w:lineRule="auto"/>
        <w:ind w:right="51"/>
        <w:jc w:val="center"/>
        <w:rPr>
          <w:rFonts w:cs="Arial"/>
          <w:b/>
          <w:szCs w:val="24"/>
        </w:rPr>
      </w:pPr>
      <w:r w:rsidRPr="008D1FE3">
        <w:rPr>
          <w:rFonts w:cs="Arial"/>
          <w:b/>
          <w:szCs w:val="24"/>
        </w:rPr>
        <w:t>Presidente de Sala</w:t>
      </w:r>
    </w:p>
    <w:p w14:paraId="18B537CF" w14:textId="77777777" w:rsidR="00337211" w:rsidRPr="00981037" w:rsidRDefault="00337211" w:rsidP="00337211">
      <w:pPr>
        <w:pStyle w:val="Textodecuerpo31"/>
        <w:widowControl w:val="0"/>
        <w:tabs>
          <w:tab w:val="left" w:pos="708"/>
        </w:tabs>
        <w:spacing w:line="240" w:lineRule="auto"/>
        <w:ind w:right="51"/>
        <w:jc w:val="center"/>
        <w:rPr>
          <w:rFonts w:cs="Arial"/>
          <w:b/>
          <w:sz w:val="20"/>
          <w:szCs w:val="24"/>
        </w:rPr>
      </w:pPr>
      <w:bookmarkStart w:id="2" w:name="_GoBack"/>
      <w:bookmarkEnd w:id="2"/>
    </w:p>
    <w:p w14:paraId="02A733F1" w14:textId="77777777" w:rsidR="00981037" w:rsidRDefault="00981037" w:rsidP="00337211">
      <w:pPr>
        <w:pStyle w:val="Textodecuerpo31"/>
        <w:widowControl w:val="0"/>
        <w:tabs>
          <w:tab w:val="left" w:pos="708"/>
        </w:tabs>
        <w:spacing w:line="240" w:lineRule="auto"/>
        <w:ind w:right="51"/>
        <w:jc w:val="center"/>
        <w:rPr>
          <w:rFonts w:cs="Arial"/>
          <w:b/>
          <w:sz w:val="20"/>
          <w:szCs w:val="24"/>
        </w:rPr>
      </w:pPr>
    </w:p>
    <w:p w14:paraId="5A112596" w14:textId="77777777" w:rsidR="00981037" w:rsidRDefault="00981037" w:rsidP="00337211">
      <w:pPr>
        <w:pStyle w:val="Textodecuerpo31"/>
        <w:widowControl w:val="0"/>
        <w:tabs>
          <w:tab w:val="left" w:pos="708"/>
        </w:tabs>
        <w:spacing w:line="240" w:lineRule="auto"/>
        <w:ind w:right="51"/>
        <w:jc w:val="center"/>
        <w:rPr>
          <w:rFonts w:cs="Arial"/>
          <w:b/>
          <w:sz w:val="20"/>
          <w:szCs w:val="24"/>
        </w:rPr>
      </w:pPr>
    </w:p>
    <w:p w14:paraId="232EEF11" w14:textId="77777777" w:rsidR="00514C62" w:rsidRPr="00981037" w:rsidRDefault="00514C62" w:rsidP="00337211">
      <w:pPr>
        <w:pStyle w:val="Textodecuerpo31"/>
        <w:widowControl w:val="0"/>
        <w:tabs>
          <w:tab w:val="left" w:pos="708"/>
        </w:tabs>
        <w:spacing w:line="240" w:lineRule="auto"/>
        <w:ind w:right="51"/>
        <w:jc w:val="center"/>
        <w:rPr>
          <w:rFonts w:cs="Arial"/>
          <w:b/>
          <w:sz w:val="20"/>
          <w:szCs w:val="24"/>
        </w:rPr>
      </w:pPr>
    </w:p>
    <w:p w14:paraId="24F2F490" w14:textId="77777777" w:rsidR="00337211" w:rsidRPr="008D1FE3" w:rsidRDefault="00337211" w:rsidP="00337211">
      <w:pPr>
        <w:pStyle w:val="Textodecuerpo31"/>
        <w:widowControl w:val="0"/>
        <w:tabs>
          <w:tab w:val="left" w:pos="708"/>
        </w:tabs>
        <w:spacing w:line="240" w:lineRule="auto"/>
        <w:ind w:right="51"/>
        <w:jc w:val="center"/>
        <w:rPr>
          <w:rFonts w:cs="Arial"/>
          <w:b/>
          <w:szCs w:val="24"/>
        </w:rPr>
      </w:pPr>
      <w:r w:rsidRPr="008D1FE3">
        <w:rPr>
          <w:rFonts w:cs="Arial"/>
          <w:b/>
          <w:szCs w:val="24"/>
        </w:rPr>
        <w:t>GUILLERMO SÁNCHEZ LUQUE</w:t>
      </w:r>
    </w:p>
    <w:p w14:paraId="179D0198" w14:textId="77777777" w:rsidR="00337211" w:rsidRDefault="00337211" w:rsidP="00337211">
      <w:pPr>
        <w:pStyle w:val="Textodecuerpo31"/>
        <w:widowControl w:val="0"/>
        <w:tabs>
          <w:tab w:val="left" w:pos="708"/>
        </w:tabs>
        <w:spacing w:line="240" w:lineRule="auto"/>
        <w:ind w:right="51"/>
        <w:jc w:val="center"/>
        <w:rPr>
          <w:rFonts w:cs="Arial"/>
          <w:b/>
          <w:szCs w:val="24"/>
        </w:rPr>
      </w:pPr>
      <w:r w:rsidRPr="008D1FE3">
        <w:rPr>
          <w:rFonts w:cs="Arial"/>
          <w:b/>
          <w:szCs w:val="24"/>
        </w:rPr>
        <w:t>Magistrado</w:t>
      </w:r>
    </w:p>
    <w:p w14:paraId="7891DEF7" w14:textId="1801EDFB" w:rsidR="00E72463" w:rsidRDefault="00E72463" w:rsidP="00337211">
      <w:pPr>
        <w:pStyle w:val="Textodecuerpo31"/>
        <w:widowControl w:val="0"/>
        <w:tabs>
          <w:tab w:val="left" w:pos="708"/>
        </w:tabs>
        <w:spacing w:line="240" w:lineRule="auto"/>
        <w:ind w:right="51"/>
        <w:jc w:val="center"/>
        <w:rPr>
          <w:rFonts w:cs="Arial"/>
          <w:b/>
          <w:szCs w:val="24"/>
        </w:rPr>
      </w:pPr>
      <w:r w:rsidRPr="00E72463">
        <w:rPr>
          <w:rFonts w:cs="Arial"/>
          <w:b/>
          <w:szCs w:val="24"/>
        </w:rPr>
        <w:t>Aclaración de voto Cfr. Rad. 11001-03-15-000-2019-01299-0</w:t>
      </w:r>
      <w:r w:rsidRPr="00E72463">
        <w:rPr>
          <w:rFonts w:cs="Arial"/>
          <w:b/>
          <w:szCs w:val="24"/>
        </w:rPr>
        <w:t>0</w:t>
      </w:r>
    </w:p>
    <w:p w14:paraId="7D52F06B" w14:textId="77777777" w:rsidR="00337211" w:rsidRPr="00981037" w:rsidRDefault="00337211" w:rsidP="00337211">
      <w:pPr>
        <w:pStyle w:val="Textodecuerpo31"/>
        <w:widowControl w:val="0"/>
        <w:tabs>
          <w:tab w:val="left" w:pos="708"/>
        </w:tabs>
        <w:spacing w:line="240" w:lineRule="auto"/>
        <w:ind w:right="51"/>
        <w:jc w:val="center"/>
        <w:rPr>
          <w:rFonts w:cs="Arial"/>
          <w:b/>
          <w:sz w:val="20"/>
          <w:szCs w:val="24"/>
        </w:rPr>
      </w:pPr>
    </w:p>
    <w:p w14:paraId="63805C25" w14:textId="77777777" w:rsidR="00981037" w:rsidRDefault="00981037" w:rsidP="00337211">
      <w:pPr>
        <w:pStyle w:val="Textodecuerpo31"/>
        <w:widowControl w:val="0"/>
        <w:tabs>
          <w:tab w:val="left" w:pos="708"/>
        </w:tabs>
        <w:spacing w:line="240" w:lineRule="auto"/>
        <w:ind w:right="51"/>
        <w:jc w:val="center"/>
        <w:rPr>
          <w:rFonts w:cs="Arial"/>
          <w:b/>
          <w:sz w:val="20"/>
          <w:szCs w:val="24"/>
        </w:rPr>
      </w:pPr>
    </w:p>
    <w:p w14:paraId="5EDBDFB4" w14:textId="77777777" w:rsidR="00981037" w:rsidRDefault="00981037" w:rsidP="00337211">
      <w:pPr>
        <w:pStyle w:val="Textodecuerpo31"/>
        <w:widowControl w:val="0"/>
        <w:tabs>
          <w:tab w:val="left" w:pos="708"/>
        </w:tabs>
        <w:spacing w:line="240" w:lineRule="auto"/>
        <w:ind w:right="51"/>
        <w:jc w:val="center"/>
        <w:rPr>
          <w:rFonts w:cs="Arial"/>
          <w:b/>
          <w:sz w:val="20"/>
          <w:szCs w:val="24"/>
        </w:rPr>
      </w:pPr>
    </w:p>
    <w:p w14:paraId="5A96217D" w14:textId="77777777" w:rsidR="00514C62" w:rsidRPr="00981037" w:rsidRDefault="00514C62" w:rsidP="00337211">
      <w:pPr>
        <w:pStyle w:val="Textodecuerpo31"/>
        <w:widowControl w:val="0"/>
        <w:tabs>
          <w:tab w:val="left" w:pos="708"/>
        </w:tabs>
        <w:spacing w:line="240" w:lineRule="auto"/>
        <w:ind w:right="51"/>
        <w:jc w:val="center"/>
        <w:rPr>
          <w:rFonts w:cs="Arial"/>
          <w:b/>
          <w:sz w:val="20"/>
          <w:szCs w:val="24"/>
        </w:rPr>
      </w:pPr>
    </w:p>
    <w:p w14:paraId="6163E510" w14:textId="77777777" w:rsidR="00337211" w:rsidRDefault="00337211" w:rsidP="00337211">
      <w:pPr>
        <w:pStyle w:val="Textodecuerpo31"/>
        <w:widowControl w:val="0"/>
        <w:tabs>
          <w:tab w:val="left" w:pos="708"/>
        </w:tabs>
        <w:spacing w:line="240" w:lineRule="auto"/>
        <w:ind w:right="51"/>
        <w:jc w:val="center"/>
        <w:rPr>
          <w:rFonts w:cs="Arial"/>
          <w:b/>
          <w:szCs w:val="24"/>
        </w:rPr>
      </w:pPr>
      <w:r w:rsidRPr="008D1FE3">
        <w:rPr>
          <w:rFonts w:cs="Arial"/>
          <w:b/>
          <w:szCs w:val="24"/>
        </w:rPr>
        <w:t>NICOLÁS YEPES CORRALES</w:t>
      </w:r>
    </w:p>
    <w:p w14:paraId="05F3B726" w14:textId="71C5D0D8" w:rsidR="00DF14A7" w:rsidRDefault="00337211" w:rsidP="00DF14A7">
      <w:pPr>
        <w:pStyle w:val="Textodecuerpo31"/>
        <w:widowControl w:val="0"/>
        <w:tabs>
          <w:tab w:val="left" w:pos="708"/>
        </w:tabs>
        <w:spacing w:line="240" w:lineRule="auto"/>
        <w:ind w:right="51"/>
        <w:jc w:val="center"/>
        <w:rPr>
          <w:rFonts w:cs="Arial"/>
          <w:b/>
          <w:szCs w:val="24"/>
        </w:rPr>
      </w:pPr>
      <w:r w:rsidRPr="008D1FE3">
        <w:rPr>
          <w:rFonts w:cs="Arial"/>
          <w:b/>
          <w:szCs w:val="24"/>
        </w:rPr>
        <w:t>Magistrado</w:t>
      </w:r>
    </w:p>
    <w:sectPr w:rsidR="00DF14A7" w:rsidSect="006C2508">
      <w:headerReference w:type="default" r:id="rId11"/>
      <w:footerReference w:type="default" r:id="rId12"/>
      <w:headerReference w:type="first" r:id="rId13"/>
      <w:footerReference w:type="first" r:id="rId14"/>
      <w:pgSz w:w="12247" w:h="18711" w:code="119"/>
      <w:pgMar w:top="2495" w:right="1418" w:bottom="2410" w:left="1701" w:header="709" w:footer="97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AD5F7" w16cex:dateUtc="2021-10-08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D94BD9" w16cid:durableId="250AD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ECCEA" w14:textId="77777777" w:rsidR="006E035B" w:rsidRDefault="006E035B" w:rsidP="00117091">
      <w:r>
        <w:separator/>
      </w:r>
    </w:p>
  </w:endnote>
  <w:endnote w:type="continuationSeparator" w:id="0">
    <w:p w14:paraId="0758DA8D" w14:textId="77777777" w:rsidR="006E035B" w:rsidRDefault="006E035B"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2C45B4" w14:paraId="4830A873" w14:textId="77777777" w:rsidTr="00B6429B">
      <w:trPr>
        <w:jc w:val="right"/>
      </w:trPr>
      <w:tc>
        <w:tcPr>
          <w:tcW w:w="4795" w:type="dxa"/>
          <w:vAlign w:val="center"/>
        </w:tcPr>
        <w:p w14:paraId="0C43E376" w14:textId="77777777" w:rsidR="002C45B4" w:rsidRDefault="002C45B4"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2C45B4" w:rsidRPr="00A21194" w:rsidRDefault="002C45B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2DBB065E" w:rsidR="002C45B4" w:rsidRPr="00B6429B" w:rsidRDefault="002C45B4" w:rsidP="00B6429B">
          <w:pPr>
            <w:pStyle w:val="Piedepgina"/>
            <w:jc w:val="center"/>
          </w:pPr>
          <w:r w:rsidRPr="00B6429B">
            <w:fldChar w:fldCharType="begin"/>
          </w:r>
          <w:r w:rsidRPr="00B6429B">
            <w:instrText>PAGE   \* MERGEFORMAT</w:instrText>
          </w:r>
          <w:r w:rsidRPr="00B6429B">
            <w:fldChar w:fldCharType="separate"/>
          </w:r>
          <w:r w:rsidR="00C4163A" w:rsidRPr="00C4163A">
            <w:rPr>
              <w:noProof/>
              <w:lang w:val="es-ES"/>
            </w:rPr>
            <w:t>7</w:t>
          </w:r>
          <w:r w:rsidRPr="00B6429B">
            <w:fldChar w:fldCharType="end"/>
          </w:r>
        </w:p>
      </w:tc>
    </w:tr>
  </w:tbl>
  <w:p w14:paraId="17AD93B2" w14:textId="77777777" w:rsidR="002C45B4" w:rsidRPr="008C0DBE" w:rsidRDefault="002C45B4" w:rsidP="00394A69">
    <w:pPr>
      <w:pStyle w:val="Piedepgina"/>
      <w:jc w:val="center"/>
      <w:rPr>
        <w:color w:val="767171"/>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2"/>
      <w:gridCol w:w="456"/>
    </w:tblGrid>
    <w:tr w:rsidR="002C45B4" w14:paraId="7BC39794" w14:textId="77777777" w:rsidTr="00B6429B">
      <w:trPr>
        <w:jc w:val="right"/>
      </w:trPr>
      <w:tc>
        <w:tcPr>
          <w:tcW w:w="4795" w:type="dxa"/>
          <w:vAlign w:val="center"/>
        </w:tcPr>
        <w:p w14:paraId="60E1FF49" w14:textId="77777777" w:rsidR="002C45B4" w:rsidRDefault="002C45B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2C45B4" w:rsidRPr="00A21194" w:rsidRDefault="002C45B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4EEF9D10" w:rsidR="002C45B4" w:rsidRPr="00B6429B" w:rsidRDefault="002C45B4">
          <w:pPr>
            <w:pStyle w:val="Piedepgina"/>
            <w:jc w:val="center"/>
          </w:pPr>
          <w:r w:rsidRPr="00B6429B">
            <w:fldChar w:fldCharType="begin"/>
          </w:r>
          <w:r w:rsidRPr="00B6429B">
            <w:instrText>PAGE   \* MERGEFORMAT</w:instrText>
          </w:r>
          <w:r w:rsidRPr="00B6429B">
            <w:fldChar w:fldCharType="separate"/>
          </w:r>
          <w:r w:rsidR="00783D13" w:rsidRPr="00783D13">
            <w:rPr>
              <w:noProof/>
              <w:lang w:val="es-ES"/>
            </w:rPr>
            <w:t>1</w:t>
          </w:r>
          <w:r w:rsidRPr="00B6429B">
            <w:fldChar w:fldCharType="end"/>
          </w:r>
        </w:p>
      </w:tc>
    </w:tr>
  </w:tbl>
  <w:p w14:paraId="5630AD66" w14:textId="77777777" w:rsidR="002C45B4" w:rsidRDefault="002C45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B4212" w14:textId="77777777" w:rsidR="006E035B" w:rsidRDefault="006E035B" w:rsidP="00117091">
      <w:r>
        <w:separator/>
      </w:r>
    </w:p>
  </w:footnote>
  <w:footnote w:type="continuationSeparator" w:id="0">
    <w:p w14:paraId="18BDAFE1" w14:textId="77777777" w:rsidR="006E035B" w:rsidRDefault="006E035B" w:rsidP="00117091">
      <w:r>
        <w:continuationSeparator/>
      </w:r>
    </w:p>
  </w:footnote>
  <w:footnote w:id="1">
    <w:p w14:paraId="689BDEDB" w14:textId="76485EEC" w:rsidR="002C45B4" w:rsidRPr="00221D55" w:rsidRDefault="002C45B4">
      <w:pPr>
        <w:pStyle w:val="Textonotapie"/>
        <w:rPr>
          <w:sz w:val="16"/>
          <w:szCs w:val="16"/>
        </w:rPr>
      </w:pPr>
      <w:r w:rsidRPr="00221D55">
        <w:rPr>
          <w:rStyle w:val="Refdenotaalpie"/>
          <w:sz w:val="16"/>
          <w:szCs w:val="16"/>
        </w:rPr>
        <w:footnoteRef/>
      </w:r>
      <w:r w:rsidRPr="00221D55">
        <w:rPr>
          <w:sz w:val="16"/>
          <w:szCs w:val="16"/>
        </w:rPr>
        <w:t xml:space="preserve"> Páginas 2 a 8 del documento denominado “01. CUADERNO PRINCIPAL.pdf” visible en el archivo contenido en el expediente digital de tutela, con certificado núm. B3CAFAFC956D503C 876F2D224FCA3443 B83E78624FABEF84 BEBBFD0B5DE1F0F4. </w:t>
      </w:r>
    </w:p>
  </w:footnote>
  <w:footnote w:id="2">
    <w:p w14:paraId="173E6625" w14:textId="72DC6416" w:rsidR="002C45B4" w:rsidRPr="00221D55" w:rsidRDefault="002C45B4">
      <w:pPr>
        <w:pStyle w:val="Textonotapie"/>
        <w:rPr>
          <w:sz w:val="16"/>
          <w:szCs w:val="16"/>
        </w:rPr>
      </w:pPr>
      <w:r w:rsidRPr="00221D55">
        <w:rPr>
          <w:rStyle w:val="Refdenotaalpie"/>
          <w:sz w:val="16"/>
          <w:szCs w:val="16"/>
        </w:rPr>
        <w:footnoteRef/>
      </w:r>
      <w:r w:rsidRPr="00221D55">
        <w:rPr>
          <w:sz w:val="16"/>
          <w:szCs w:val="16"/>
        </w:rPr>
        <w:t xml:space="preserve"> Página 2 </w:t>
      </w:r>
      <w:r w:rsidRPr="00221D55">
        <w:rPr>
          <w:i/>
          <w:sz w:val="16"/>
          <w:szCs w:val="16"/>
        </w:rPr>
        <w:t>ibídem.</w:t>
      </w:r>
    </w:p>
  </w:footnote>
  <w:footnote w:id="3">
    <w:p w14:paraId="261218E3" w14:textId="2A7F5326" w:rsidR="002C45B4" w:rsidRPr="00221D55" w:rsidRDefault="002C45B4">
      <w:pPr>
        <w:pStyle w:val="Textonotapie"/>
        <w:rPr>
          <w:sz w:val="16"/>
          <w:szCs w:val="16"/>
        </w:rPr>
      </w:pPr>
      <w:r w:rsidRPr="00221D55">
        <w:rPr>
          <w:rStyle w:val="Refdenotaalpie"/>
          <w:sz w:val="16"/>
          <w:szCs w:val="16"/>
        </w:rPr>
        <w:footnoteRef/>
      </w:r>
      <w:r w:rsidRPr="00221D55">
        <w:rPr>
          <w:sz w:val="16"/>
          <w:szCs w:val="16"/>
        </w:rPr>
        <w:t xml:space="preserve"> Ver sentencia del 1 de julio de 2021 proferida por el Tribunal Administrativo de Santander dentro del proceso con radicado núm. 68001-33-33-005-2018-00129-01. </w:t>
      </w:r>
    </w:p>
  </w:footnote>
  <w:footnote w:id="4">
    <w:p w14:paraId="7B7B845A" w14:textId="65EF48F4" w:rsidR="002C45B4" w:rsidRPr="00221D55" w:rsidRDefault="002C45B4" w:rsidP="008F371B">
      <w:pPr>
        <w:pStyle w:val="Textonotapie"/>
        <w:ind w:left="708" w:hanging="708"/>
        <w:rPr>
          <w:sz w:val="16"/>
          <w:szCs w:val="16"/>
        </w:rPr>
      </w:pPr>
      <w:r w:rsidRPr="00221D55">
        <w:rPr>
          <w:rStyle w:val="Refdenotaalpie"/>
          <w:sz w:val="16"/>
          <w:szCs w:val="16"/>
        </w:rPr>
        <w:footnoteRef/>
      </w:r>
      <w:r w:rsidRPr="00221D55">
        <w:rPr>
          <w:sz w:val="16"/>
          <w:szCs w:val="16"/>
        </w:rPr>
        <w:t xml:space="preserve"> </w:t>
      </w:r>
      <w:r w:rsidRPr="00221D55">
        <w:rPr>
          <w:i/>
          <w:sz w:val="16"/>
          <w:szCs w:val="16"/>
        </w:rPr>
        <w:t>Ibídem</w:t>
      </w:r>
      <w:r w:rsidRPr="00221D55">
        <w:rPr>
          <w:sz w:val="16"/>
          <w:szCs w:val="16"/>
        </w:rPr>
        <w:t xml:space="preserve">. </w:t>
      </w:r>
    </w:p>
  </w:footnote>
  <w:footnote w:id="5">
    <w:p w14:paraId="6CA60AC8" w14:textId="00FFB8BB" w:rsidR="002C45B4" w:rsidRPr="00221D55" w:rsidRDefault="002C45B4" w:rsidP="00221D55">
      <w:pPr>
        <w:pStyle w:val="Textonotapie"/>
        <w:rPr>
          <w:sz w:val="16"/>
          <w:szCs w:val="16"/>
        </w:rPr>
      </w:pPr>
      <w:r w:rsidRPr="00221D55">
        <w:rPr>
          <w:rStyle w:val="Refdenotaalpie"/>
          <w:sz w:val="16"/>
          <w:szCs w:val="16"/>
        </w:rPr>
        <w:footnoteRef/>
      </w:r>
      <w:r w:rsidRPr="00221D55">
        <w:rPr>
          <w:sz w:val="16"/>
          <w:szCs w:val="16"/>
        </w:rPr>
        <w:t xml:space="preserve"> </w:t>
      </w:r>
      <w:r>
        <w:rPr>
          <w:sz w:val="16"/>
          <w:szCs w:val="16"/>
        </w:rPr>
        <w:t>D</w:t>
      </w:r>
      <w:r w:rsidRPr="00221D55">
        <w:rPr>
          <w:sz w:val="16"/>
          <w:szCs w:val="16"/>
        </w:rPr>
        <w:t xml:space="preserve">ocumento denominado “01. SENTENCIA DE SEGUNDA INSTANCIA - 01 JUL 2021.pdf” visible en el archivo contenido en el expediente digital de tutela, con certificado núm. B3CAFAFC956D503C 876F2D224FCA3443 B83E78624FABEF84 BEBBFD0B5DE1F0F4. </w:t>
      </w:r>
    </w:p>
  </w:footnote>
  <w:footnote w:id="6">
    <w:p w14:paraId="03855F4F" w14:textId="77777777" w:rsidR="002C45B4" w:rsidRPr="00221D55" w:rsidRDefault="002C45B4" w:rsidP="009637BE">
      <w:pPr>
        <w:pStyle w:val="Textonotapie"/>
        <w:rPr>
          <w:sz w:val="16"/>
          <w:szCs w:val="16"/>
        </w:rPr>
      </w:pPr>
      <w:r w:rsidRPr="00221D55">
        <w:rPr>
          <w:rStyle w:val="Refdenotaalpie"/>
          <w:sz w:val="16"/>
          <w:szCs w:val="16"/>
        </w:rPr>
        <w:footnoteRef/>
      </w:r>
      <w:r w:rsidRPr="00221D55">
        <w:rPr>
          <w:sz w:val="16"/>
          <w:szCs w:val="16"/>
        </w:rPr>
        <w:t xml:space="preserve"> “"PRIMERO: Unificar la jurisprudencia del Consejo de Estado en el sentido de precisar lo siguiente:</w:t>
      </w:r>
    </w:p>
    <w:p w14:paraId="2EA61DA9" w14:textId="77777777" w:rsidR="002C45B4" w:rsidRPr="00221D55" w:rsidRDefault="002C45B4" w:rsidP="009637BE">
      <w:pPr>
        <w:pStyle w:val="Textonotapie"/>
        <w:rPr>
          <w:sz w:val="16"/>
          <w:szCs w:val="16"/>
        </w:rPr>
      </w:pPr>
      <w:r w:rsidRPr="00221D55">
        <w:rPr>
          <w:sz w:val="16"/>
          <w:szCs w:val="16"/>
        </w:rPr>
        <w:t>El servidor o ex servidor de la Rama Judicial o del Ministerio Público beneficiario del régimen de transición previsto en el artículo 36 de la Ley 100 de 1993 adquiere el derecho a la pensión, siempre que:</w:t>
      </w:r>
    </w:p>
    <w:p w14:paraId="35CCAC92" w14:textId="77777777" w:rsidR="002C45B4" w:rsidRPr="00221D55" w:rsidRDefault="002C45B4" w:rsidP="009637BE">
      <w:pPr>
        <w:pStyle w:val="Textonotapie"/>
        <w:rPr>
          <w:sz w:val="16"/>
          <w:szCs w:val="16"/>
        </w:rPr>
      </w:pPr>
      <w:r w:rsidRPr="00221D55">
        <w:rPr>
          <w:sz w:val="16"/>
          <w:szCs w:val="16"/>
        </w:rPr>
        <w:t>i) Para el 1º de abril de 1994, cuando cobró vigencia la Ley 100 de 1993 en el ámbito nacional o para el 30 de junio de 1995 cuando empezó a regir en el ámbito territorial, tenga: a) 40 años de edad si hombre, 35 años de edad si es mujer o; b) 15 años o más de servicios efectivamente cotizados.</w:t>
      </w:r>
    </w:p>
    <w:p w14:paraId="08051E28" w14:textId="77777777" w:rsidR="002C45B4" w:rsidRPr="00221D55" w:rsidRDefault="002C45B4" w:rsidP="009637BE">
      <w:pPr>
        <w:pStyle w:val="Textonotapie"/>
        <w:rPr>
          <w:sz w:val="16"/>
          <w:szCs w:val="16"/>
        </w:rPr>
      </w:pPr>
      <w:r w:rsidRPr="00221D55">
        <w:rPr>
          <w:sz w:val="16"/>
          <w:szCs w:val="16"/>
        </w:rPr>
        <w:t>ii) Reúna además los requerimientos propios del régimen de la Rama Judicial y del Ministerio Público estipulados en el artículo 6.º del Decreto 546 de 1971 para consolidar el estatus pensional que son: a) el cumplimiento de la edad de 50 años si es mujer o 55 años si es hombre; b) el tiempo de 20 años de servicios, continuos o discontinuos anteriores o posteriores a la vigencia de dicho decreto, que tuvo lugar el 16 de julio de 1971; c) de esos 20 años de servicio, por lo menos 10 años lo hayan sido exclusivamente a la Rama Jurisdiccional o al Ministerio Público, o a ambas actividades.</w:t>
      </w:r>
    </w:p>
    <w:p w14:paraId="2C96B84C" w14:textId="77777777" w:rsidR="002C45B4" w:rsidRPr="00221D55" w:rsidRDefault="002C45B4" w:rsidP="009637BE">
      <w:pPr>
        <w:pStyle w:val="Textonotapie"/>
        <w:rPr>
          <w:sz w:val="16"/>
          <w:szCs w:val="16"/>
        </w:rPr>
      </w:pPr>
      <w:r w:rsidRPr="00221D55">
        <w:rPr>
          <w:sz w:val="16"/>
          <w:szCs w:val="16"/>
        </w:rPr>
        <w:t xml:space="preserve">En cuyo caso, el reconocimiento de su pensión se efectuará de la siguiente manera: </w:t>
      </w:r>
    </w:p>
    <w:p w14:paraId="47629216" w14:textId="2D2906B0" w:rsidR="002C45B4" w:rsidRPr="00221D55" w:rsidRDefault="002C45B4" w:rsidP="009637BE">
      <w:pPr>
        <w:pStyle w:val="Textonotapie"/>
        <w:rPr>
          <w:sz w:val="16"/>
          <w:szCs w:val="16"/>
        </w:rPr>
      </w:pPr>
      <w:r w:rsidRPr="00221D55">
        <w:rPr>
          <w:sz w:val="16"/>
          <w:szCs w:val="16"/>
        </w:rPr>
        <w:t>iii) Con los elementos del régimen anterior consagrados en el artículo 6º del Decreto 546 de 1971 que son:</w:t>
      </w:r>
    </w:p>
    <w:p w14:paraId="2B8B409E" w14:textId="77777777" w:rsidR="002C45B4" w:rsidRPr="00221D55" w:rsidRDefault="002C45B4" w:rsidP="009637BE">
      <w:pPr>
        <w:pStyle w:val="Textonotapie"/>
        <w:rPr>
          <w:sz w:val="16"/>
          <w:szCs w:val="16"/>
        </w:rPr>
      </w:pPr>
      <w:r w:rsidRPr="00221D55">
        <w:rPr>
          <w:sz w:val="16"/>
          <w:szCs w:val="16"/>
        </w:rPr>
        <w:t>a) la edad de 50 años si es mujer o de 55 años si es hombre;</w:t>
      </w:r>
    </w:p>
    <w:p w14:paraId="183AB316" w14:textId="77777777" w:rsidR="002C45B4" w:rsidRPr="00221D55" w:rsidRDefault="002C45B4" w:rsidP="009637BE">
      <w:pPr>
        <w:pStyle w:val="Textonotapie"/>
        <w:rPr>
          <w:sz w:val="16"/>
          <w:szCs w:val="16"/>
        </w:rPr>
      </w:pPr>
      <w:r w:rsidRPr="00221D55">
        <w:rPr>
          <w:sz w:val="16"/>
          <w:szCs w:val="16"/>
        </w:rPr>
        <w:t>b) el tiempo de servicios de 20 años, continuos o discontinuos anteriores o posteriores a la vigencia de dicho decreto;</w:t>
      </w:r>
    </w:p>
    <w:p w14:paraId="1EF5039F" w14:textId="77777777" w:rsidR="002C45B4" w:rsidRPr="00221D55" w:rsidRDefault="002C45B4" w:rsidP="009637BE">
      <w:pPr>
        <w:pStyle w:val="Textonotapie"/>
        <w:rPr>
          <w:sz w:val="16"/>
          <w:szCs w:val="16"/>
        </w:rPr>
      </w:pPr>
      <w:r w:rsidRPr="00221D55">
        <w:rPr>
          <w:sz w:val="16"/>
          <w:szCs w:val="16"/>
        </w:rPr>
        <w:t>c) de esos 20 años de servicio, por lo menos 10 años lo hayan sido exclusivamente a la Rama Jurisdiccional o al Ministerio Público, o a ambas actividades;</w:t>
      </w:r>
    </w:p>
    <w:p w14:paraId="3898C02E" w14:textId="77777777" w:rsidR="002C45B4" w:rsidRPr="00221D55" w:rsidRDefault="002C45B4" w:rsidP="009637BE">
      <w:pPr>
        <w:pStyle w:val="Textonotapie"/>
        <w:rPr>
          <w:sz w:val="16"/>
          <w:szCs w:val="16"/>
        </w:rPr>
      </w:pPr>
      <w:r w:rsidRPr="00221D55">
        <w:rPr>
          <w:sz w:val="16"/>
          <w:szCs w:val="16"/>
        </w:rPr>
        <w:t>d) la tasa de reemplazo del 75%;</w:t>
      </w:r>
    </w:p>
    <w:p w14:paraId="77E68730" w14:textId="5711813F" w:rsidR="002C45B4" w:rsidRPr="00221D55" w:rsidRDefault="002C45B4" w:rsidP="009637BE">
      <w:pPr>
        <w:pStyle w:val="Textonotapie"/>
        <w:rPr>
          <w:sz w:val="16"/>
          <w:szCs w:val="16"/>
        </w:rPr>
      </w:pPr>
      <w:r w:rsidRPr="00221D55">
        <w:rPr>
          <w:sz w:val="16"/>
          <w:szCs w:val="16"/>
        </w:rPr>
        <w:t>e) el ingreso básico de liquidación de que tratan los artículos 21 y 36, inciso 3.°, de la Ley 100 de 1993, según el caso; es decir, si le faltare más de 10 años, será el promedio de los salarios o rentas sobre los cuales ha cotizado el afiliado durante los 10 años anteriores al reconocimiento de la pensión actualizados anualmente con base en la IPC certificado por el DANE, y si le faltare menos de 10 años para adquirir el derecho a la pensión, el ingreso base de liquidación será: (i) el promedio de lo devengado en el tiempo que les hiciere falta para ello, o (ii) el cotizado durante todo el tiempo, el que fuere superior, actualizado anualmente con base en IPC certificado por el DANE; y</w:t>
      </w:r>
    </w:p>
    <w:p w14:paraId="5598343D" w14:textId="7D94CEE6" w:rsidR="002C45B4" w:rsidRPr="00221D55" w:rsidRDefault="002C45B4" w:rsidP="009637BE">
      <w:pPr>
        <w:pStyle w:val="Textonotapie"/>
        <w:rPr>
          <w:sz w:val="16"/>
          <w:szCs w:val="16"/>
        </w:rPr>
      </w:pPr>
      <w:r w:rsidRPr="00221D55">
        <w:rPr>
          <w:sz w:val="16"/>
          <w:szCs w:val="16"/>
        </w:rPr>
        <w:t>f) con los factores de liquidación contemplados por el artículo 1° del Decreto 1158 de 1994 al igual que por los artículos 14 de la Ley 4ª de 1992 con la modificación de la Ley 332 de 1996; 1° del Decreto 610 de 1998; 1° del Decreto 1102 de 2012; 1° del Decreto 2460 de 2006; 1° del Decreto 3900 de 2008; y 1° del Decreto 383 de 2013, según se trate de magistrados o empleados de la Rama Judicial o del Ministerio Público”.</w:t>
      </w:r>
    </w:p>
  </w:footnote>
  <w:footnote w:id="7">
    <w:p w14:paraId="551A32E8" w14:textId="6E7AD139" w:rsidR="002C45B4" w:rsidRPr="00221D55" w:rsidRDefault="002C45B4" w:rsidP="00D41AF5">
      <w:pPr>
        <w:pStyle w:val="NormalWeb"/>
        <w:spacing w:before="0" w:beforeAutospacing="0" w:after="0" w:afterAutospacing="0"/>
        <w:jc w:val="both"/>
        <w:rPr>
          <w:rFonts w:ascii="Arial" w:eastAsia="Calibri" w:hAnsi="Arial" w:cs="Arial"/>
          <w:bCs/>
          <w:iCs/>
          <w:sz w:val="16"/>
          <w:szCs w:val="16"/>
          <w:lang w:val="es-CO" w:eastAsia="es-ES_tradnl"/>
        </w:rPr>
      </w:pPr>
      <w:r w:rsidRPr="00221D55">
        <w:rPr>
          <w:rFonts w:ascii="Arial" w:eastAsia="Calibri" w:hAnsi="Arial" w:cs="Arial"/>
          <w:bCs/>
          <w:iCs/>
          <w:sz w:val="16"/>
          <w:szCs w:val="16"/>
          <w:vertAlign w:val="superscript"/>
          <w:lang w:val="es-CO" w:eastAsia="es-ES_tradnl"/>
        </w:rPr>
        <w:footnoteRef/>
      </w:r>
      <w:r w:rsidRPr="00221D55">
        <w:rPr>
          <w:rFonts w:ascii="Arial" w:eastAsia="Calibri" w:hAnsi="Arial" w:cs="Arial"/>
          <w:bCs/>
          <w:iCs/>
          <w:sz w:val="16"/>
          <w:szCs w:val="16"/>
          <w:lang w:val="es-CO" w:eastAsia="es-ES_tradnl"/>
        </w:rPr>
        <w:t xml:space="preserve"> Documento visible en el expediente digital de tutela, con certificado </w:t>
      </w:r>
      <w:r w:rsidRPr="003225EA">
        <w:rPr>
          <w:rFonts w:ascii="Arial" w:eastAsia="Calibri" w:hAnsi="Arial" w:cs="Arial"/>
          <w:bCs/>
          <w:iCs/>
          <w:sz w:val="16"/>
          <w:szCs w:val="16"/>
          <w:lang w:val="es-CO" w:eastAsia="es-ES_tradnl"/>
        </w:rPr>
        <w:t>AF2045628615A6DC D0B4634F5B16AB39 0F34E1A178746984 F7ACAF3E2B8A5E85</w:t>
      </w:r>
      <w:r w:rsidRPr="00221D55">
        <w:rPr>
          <w:rFonts w:ascii="Arial" w:eastAsia="Calibri" w:hAnsi="Arial" w:cs="Arial"/>
          <w:bCs/>
          <w:iCs/>
          <w:sz w:val="16"/>
          <w:szCs w:val="16"/>
          <w:lang w:val="es-CO" w:eastAsia="es-ES_tradnl"/>
        </w:rPr>
        <w:t xml:space="preserve">. </w:t>
      </w:r>
    </w:p>
  </w:footnote>
  <w:footnote w:id="8">
    <w:p w14:paraId="0CE4003C" w14:textId="6EBEE06B" w:rsidR="002C45B4" w:rsidRPr="00221D55" w:rsidRDefault="002C45B4" w:rsidP="00D0051F">
      <w:pPr>
        <w:pStyle w:val="NormalWeb"/>
        <w:spacing w:before="0" w:beforeAutospacing="0" w:after="0" w:afterAutospacing="0"/>
        <w:jc w:val="both"/>
        <w:rPr>
          <w:rFonts w:ascii="Arial" w:eastAsia="Calibri" w:hAnsi="Arial" w:cs="Arial"/>
          <w:bCs/>
          <w:iCs/>
          <w:sz w:val="16"/>
          <w:szCs w:val="16"/>
          <w:lang w:val="es-CO" w:eastAsia="es-ES_tradnl"/>
        </w:rPr>
      </w:pPr>
      <w:r w:rsidRPr="00221D55">
        <w:rPr>
          <w:rFonts w:ascii="Arial" w:eastAsia="Calibri" w:hAnsi="Arial" w:cs="Arial"/>
          <w:bCs/>
          <w:iCs/>
          <w:sz w:val="16"/>
          <w:szCs w:val="16"/>
          <w:vertAlign w:val="superscript"/>
          <w:lang w:val="es-CO" w:eastAsia="es-ES_tradnl"/>
        </w:rPr>
        <w:footnoteRef/>
      </w:r>
      <w:r w:rsidRPr="00221D55">
        <w:rPr>
          <w:rFonts w:ascii="Arial" w:eastAsia="Calibri" w:hAnsi="Arial" w:cs="Arial"/>
          <w:bCs/>
          <w:iCs/>
          <w:sz w:val="16"/>
          <w:szCs w:val="16"/>
          <w:lang w:val="es-CO" w:eastAsia="es-ES_tradnl"/>
        </w:rPr>
        <w:t xml:space="preserve"> Documento visible en el expediente digital de tutela, con certificado 9DC722BFEDBF96F6 4DF78365D7E2F533 87E2322975D92556 DBD65D2ED74E024B. </w:t>
      </w:r>
    </w:p>
  </w:footnote>
  <w:footnote w:id="9">
    <w:p w14:paraId="11A21458" w14:textId="77777777" w:rsidR="002C45B4" w:rsidRPr="00221D55" w:rsidRDefault="002C45B4" w:rsidP="008F7469">
      <w:pPr>
        <w:pStyle w:val="Textonotapie"/>
        <w:rPr>
          <w:sz w:val="16"/>
          <w:szCs w:val="16"/>
        </w:rPr>
      </w:pPr>
      <w:r w:rsidRPr="00221D55">
        <w:rPr>
          <w:rStyle w:val="Refdenotaalpie"/>
          <w:sz w:val="16"/>
          <w:szCs w:val="16"/>
        </w:rPr>
        <w:footnoteRef/>
      </w:r>
      <w:r w:rsidRPr="00221D55">
        <w:rPr>
          <w:sz w:val="16"/>
          <w:szCs w:val="16"/>
        </w:rPr>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0">
    <w:p w14:paraId="488BE5AE" w14:textId="77777777" w:rsidR="002C45B4" w:rsidRPr="00221D55" w:rsidRDefault="002C45B4" w:rsidP="00337211">
      <w:pPr>
        <w:pStyle w:val="NormalWeb"/>
        <w:spacing w:before="0" w:beforeAutospacing="0" w:after="0" w:afterAutospacing="0"/>
        <w:jc w:val="both"/>
        <w:rPr>
          <w:rFonts w:ascii="Arial" w:eastAsia="Calibri" w:hAnsi="Arial" w:cs="Arial"/>
          <w:bCs/>
          <w:iCs/>
          <w:sz w:val="16"/>
          <w:szCs w:val="16"/>
          <w:lang w:val="es-CO" w:eastAsia="es-ES_tradnl"/>
        </w:rPr>
      </w:pPr>
      <w:r w:rsidRPr="00221D55">
        <w:rPr>
          <w:rFonts w:ascii="Arial" w:eastAsia="Calibri" w:hAnsi="Arial" w:cs="Arial"/>
          <w:bCs/>
          <w:iCs/>
          <w:sz w:val="16"/>
          <w:szCs w:val="16"/>
          <w:vertAlign w:val="superscript"/>
          <w:lang w:val="es-CO" w:eastAsia="es-ES_tradnl"/>
        </w:rPr>
        <w:footnoteRef/>
      </w:r>
      <w:r w:rsidRPr="00221D55">
        <w:rPr>
          <w:rFonts w:ascii="Arial" w:eastAsia="Calibri" w:hAnsi="Arial" w:cs="Arial"/>
          <w:bCs/>
          <w:iCs/>
          <w:sz w:val="16"/>
          <w:szCs w:val="16"/>
          <w:lang w:val="es-CO" w:eastAsia="es-ES_tradnl"/>
        </w:rPr>
        <w:t xml:space="preserve"> Sentencia de la Corte Constitucional T-066 de 2019, que, a su vez reitera la T-336 de 2004.</w:t>
      </w:r>
    </w:p>
  </w:footnote>
  <w:footnote w:id="11">
    <w:p w14:paraId="39F725B1" w14:textId="77777777" w:rsidR="002C45B4" w:rsidRPr="00221D55" w:rsidRDefault="002C45B4" w:rsidP="00337211">
      <w:pPr>
        <w:pStyle w:val="NormalWeb"/>
        <w:spacing w:before="0" w:beforeAutospacing="0" w:after="0" w:afterAutospacing="0"/>
        <w:jc w:val="both"/>
        <w:rPr>
          <w:rFonts w:ascii="Arial" w:eastAsia="Calibri" w:hAnsi="Arial" w:cs="Arial"/>
          <w:bCs/>
          <w:iCs/>
          <w:sz w:val="16"/>
          <w:szCs w:val="16"/>
          <w:lang w:val="es-CO" w:eastAsia="es-ES_tradnl"/>
        </w:rPr>
      </w:pPr>
      <w:r w:rsidRPr="00221D55">
        <w:rPr>
          <w:rFonts w:ascii="Arial" w:eastAsia="Calibri" w:hAnsi="Arial" w:cs="Arial"/>
          <w:bCs/>
          <w:iCs/>
          <w:sz w:val="16"/>
          <w:szCs w:val="16"/>
          <w:vertAlign w:val="superscript"/>
          <w:lang w:val="es-CO" w:eastAsia="es-ES_tradnl"/>
        </w:rPr>
        <w:footnoteRef/>
      </w:r>
      <w:r w:rsidRPr="00221D55">
        <w:rPr>
          <w:rFonts w:ascii="Arial" w:eastAsia="Calibri" w:hAnsi="Arial" w:cs="Arial"/>
          <w:bCs/>
          <w:iCs/>
          <w:sz w:val="16"/>
          <w:szCs w:val="16"/>
          <w:lang w:val="es-CO" w:eastAsia="es-ES_tradnl"/>
        </w:rPr>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p>
    <w:p w14:paraId="596DDD34" w14:textId="77777777" w:rsidR="002C45B4" w:rsidRPr="00221D55" w:rsidRDefault="002C45B4" w:rsidP="00337211">
      <w:pPr>
        <w:pStyle w:val="NormalWeb"/>
        <w:spacing w:before="0" w:beforeAutospacing="0" w:after="0" w:afterAutospacing="0"/>
        <w:jc w:val="both"/>
        <w:rPr>
          <w:rFonts w:ascii="Arial" w:eastAsia="Calibri" w:hAnsi="Arial" w:cs="Arial"/>
          <w:bCs/>
          <w:iCs/>
          <w:sz w:val="16"/>
          <w:szCs w:val="16"/>
          <w:lang w:val="es-CO" w:eastAsia="es-ES_tradnl"/>
        </w:rPr>
      </w:pPr>
      <w:r w:rsidRPr="00221D55">
        <w:rPr>
          <w:rFonts w:ascii="Arial" w:eastAsia="Calibri" w:hAnsi="Arial" w:cs="Arial"/>
          <w:bCs/>
          <w:iCs/>
          <w:sz w:val="16"/>
          <w:szCs w:val="16"/>
          <w:lang w:val="es-CO" w:eastAsia="es-ES_tradnl"/>
        </w:rPr>
        <w:t>Por supuesto, el fallador de tutela requiere examinar que, de esos asuntos legales, no se desprendan violaciones a los derechos y deberes constitucionales, pues, de ser así, adquieren relevancia constitucional inmediata. Corte Constitucional. Sentencia T-1031 de 2001, citada por la Corte Constitucional en las sentencias T-114 de 2002 y T-136 de 2015.</w:t>
      </w:r>
    </w:p>
  </w:footnote>
  <w:footnote w:id="12">
    <w:p w14:paraId="66CBEEED" w14:textId="77777777" w:rsidR="002C45B4" w:rsidRPr="00221D55" w:rsidRDefault="002C45B4" w:rsidP="00337211">
      <w:pPr>
        <w:pStyle w:val="NormalWeb"/>
        <w:spacing w:before="0" w:beforeAutospacing="0" w:after="0" w:afterAutospacing="0"/>
        <w:jc w:val="both"/>
        <w:rPr>
          <w:rFonts w:ascii="Arial" w:eastAsia="Calibri" w:hAnsi="Arial" w:cs="Arial"/>
          <w:bCs/>
          <w:iCs/>
          <w:sz w:val="16"/>
          <w:szCs w:val="16"/>
          <w:lang w:val="es-CO" w:eastAsia="es-ES_tradnl"/>
        </w:rPr>
      </w:pPr>
      <w:r w:rsidRPr="00221D55">
        <w:rPr>
          <w:rFonts w:ascii="Arial" w:eastAsia="Calibri" w:hAnsi="Arial" w:cs="Arial"/>
          <w:bCs/>
          <w:iCs/>
          <w:sz w:val="16"/>
          <w:szCs w:val="16"/>
          <w:vertAlign w:val="superscript"/>
          <w:lang w:val="es-CO" w:eastAsia="es-ES_tradnl"/>
        </w:rPr>
        <w:footnoteRef/>
      </w:r>
      <w:r w:rsidRPr="00221D55">
        <w:rPr>
          <w:rFonts w:ascii="Arial" w:eastAsia="Calibri" w:hAnsi="Arial" w:cs="Arial"/>
          <w:bCs/>
          <w:iCs/>
          <w:sz w:val="16"/>
          <w:szCs w:val="16"/>
          <w:lang w:val="es-CO" w:eastAsia="es-ES_tradnl"/>
        </w:rPr>
        <w:t xml:space="preserve"> Cfr. sentencia C-590 de 2005.</w:t>
      </w:r>
    </w:p>
  </w:footnote>
  <w:footnote w:id="13">
    <w:p w14:paraId="1D76DA3A" w14:textId="20AED45A" w:rsidR="002C45B4" w:rsidRPr="00221D55" w:rsidRDefault="002C45B4">
      <w:pPr>
        <w:pStyle w:val="Textonotapie"/>
        <w:rPr>
          <w:sz w:val="16"/>
          <w:szCs w:val="16"/>
          <w:lang w:val="es-MX" w:eastAsia="ja-JP"/>
        </w:rPr>
      </w:pPr>
      <w:r w:rsidRPr="00221D55">
        <w:rPr>
          <w:rStyle w:val="Refdenotaalpie"/>
          <w:sz w:val="16"/>
          <w:szCs w:val="16"/>
        </w:rPr>
        <w:footnoteRef/>
      </w:r>
      <w:r w:rsidRPr="00221D55">
        <w:rPr>
          <w:sz w:val="16"/>
          <w:szCs w:val="16"/>
        </w:rPr>
        <w:t xml:space="preserve"> </w:t>
      </w:r>
      <w:r w:rsidRPr="00221D55">
        <w:rPr>
          <w:sz w:val="16"/>
          <w:szCs w:val="16"/>
          <w:lang w:val="es-MX" w:eastAsia="ja-JP"/>
        </w:rPr>
        <w:t xml:space="preserve">Sentencia de unificación del Consejo de Estado CE-SUJ-S2-021-20 de fecha 11 de junio de 2020: </w:t>
      </w:r>
    </w:p>
    <w:p w14:paraId="069CAE2D" w14:textId="4B91021D" w:rsidR="002C45B4" w:rsidRPr="00221D55" w:rsidRDefault="002C45B4">
      <w:pPr>
        <w:pStyle w:val="Textonotapie"/>
        <w:rPr>
          <w:sz w:val="16"/>
          <w:szCs w:val="16"/>
          <w:lang w:val="es-MX" w:eastAsia="ja-JP"/>
        </w:rPr>
      </w:pPr>
      <w:r w:rsidRPr="00221D55">
        <w:rPr>
          <w:sz w:val="16"/>
          <w:szCs w:val="16"/>
          <w:lang w:val="es-MX" w:eastAsia="ja-JP"/>
        </w:rPr>
        <w:t>“3.3. Tema objeto de unificación</w:t>
      </w:r>
    </w:p>
    <w:p w14:paraId="62D2C9B5" w14:textId="5D85C842" w:rsidR="002C45B4" w:rsidRPr="00221D55" w:rsidRDefault="002C45B4" w:rsidP="00436AB1">
      <w:pPr>
        <w:pStyle w:val="Textonotapie"/>
        <w:rPr>
          <w:sz w:val="16"/>
          <w:szCs w:val="16"/>
          <w:lang w:val="es-MX" w:eastAsia="ja-JP"/>
        </w:rPr>
      </w:pPr>
      <w:r w:rsidRPr="00221D55">
        <w:rPr>
          <w:sz w:val="16"/>
          <w:szCs w:val="16"/>
          <w:lang w:val="es-MX" w:eastAsia="ja-JP"/>
        </w:rPr>
        <w:t>En esta ocasión el tema que es objeto de unificación gira en torno a establecer el Ingreso Base de Liquidación (periodo de liquidación y factores a incluir) de las pensiones de los servidores y ex servidores de la Rama Judicial y del Ministerio Público regulados por el Decreto 546 de 1971, que causaron su derecho en virtud del régimen de transición previsto en el artículo 36 de la Ley 100 de 1993”.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6ABD7" w14:textId="77777777" w:rsidR="002C45B4" w:rsidRPr="00A15ACE" w:rsidRDefault="002C45B4">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40" name="Imagen 4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2C45B4" w:rsidRPr="00A15ACE" w:rsidRDefault="002C45B4">
    <w:pPr>
      <w:pStyle w:val="Encabezado"/>
    </w:pPr>
  </w:p>
  <w:p w14:paraId="4B90DC7A" w14:textId="77777777" w:rsidR="002C45B4" w:rsidRPr="00A15ACE" w:rsidRDefault="002C45B4">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6sdtdh="http://schemas.microsoft.com/office/word/2020/wordml/sdtdatahash">
          <w:pict>
            <v:shapetype w14:anchorId="43FACA34"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652C6DFF" w:rsidR="002C45B4" w:rsidRPr="00F532EA" w:rsidRDefault="002C45B4"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11001-03-15-000-2021-05134-00</w:t>
    </w:r>
  </w:p>
  <w:p w14:paraId="07B33FD0" w14:textId="45720393" w:rsidR="002C45B4" w:rsidRPr="00F532EA" w:rsidRDefault="002C45B4"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xml:space="preserve">: Gonzalo Mejía </w:t>
    </w:r>
    <w:proofErr w:type="spellStart"/>
    <w:r>
      <w:rPr>
        <w:color w:val="767171"/>
        <w:sz w:val="20"/>
        <w:szCs w:val="20"/>
      </w:rPr>
      <w:t>Abello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D0D6" w14:textId="77777777" w:rsidR="002C45B4" w:rsidRPr="00A15ACE" w:rsidRDefault="002C45B4"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41" name="Imagen 4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2C45B4" w:rsidRPr="00A15ACE" w:rsidRDefault="002C45B4" w:rsidP="00F1441F">
    <w:pPr>
      <w:pStyle w:val="Encabezado"/>
      <w:rPr>
        <w:color w:val="767171"/>
      </w:rPr>
    </w:pPr>
  </w:p>
  <w:p w14:paraId="3F3B7A5B" w14:textId="77777777" w:rsidR="002C45B4" w:rsidRPr="007F276C" w:rsidRDefault="002C45B4" w:rsidP="007F276C">
    <w:pPr>
      <w:pStyle w:val="Sinespaciado"/>
    </w:pPr>
    <w:r w:rsidRPr="007F276C">
      <w:t>CONSEJO DE ESTADO</w:t>
    </w:r>
  </w:p>
  <w:p w14:paraId="6EF027A0" w14:textId="77777777" w:rsidR="002C45B4" w:rsidRPr="007F276C" w:rsidRDefault="002C45B4" w:rsidP="007F276C">
    <w:pPr>
      <w:pStyle w:val="Sinespaciado"/>
    </w:pPr>
    <w:r w:rsidRPr="007F276C">
      <w:t>SALA DE LO CONTENCIOSO ADMINISTRATIVO</w:t>
    </w:r>
  </w:p>
  <w:p w14:paraId="2FC4305D" w14:textId="77777777" w:rsidR="002C45B4" w:rsidRPr="007F276C" w:rsidRDefault="002C45B4" w:rsidP="007F276C">
    <w:pPr>
      <w:pStyle w:val="Sinespaciado"/>
    </w:pPr>
    <w:r w:rsidRPr="007F276C">
      <w:t>SECCIÓN TERCERA – SUBSECCIÓN C</w:t>
    </w:r>
  </w:p>
  <w:p w14:paraId="2BA226A1" w14:textId="77777777" w:rsidR="002C45B4" w:rsidRDefault="002C45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621470"/>
    <w:multiLevelType w:val="hybridMultilevel"/>
    <w:tmpl w:val="98187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F469C4"/>
    <w:multiLevelType w:val="hybridMultilevel"/>
    <w:tmpl w:val="94F2A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D9C4E5A"/>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49C673A8"/>
    <w:multiLevelType w:val="multilevel"/>
    <w:tmpl w:val="ABBE4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5E7F6ABC"/>
    <w:multiLevelType w:val="hybridMultilevel"/>
    <w:tmpl w:val="0486FBE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11">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1947CFE"/>
    <w:multiLevelType w:val="hybridMultilevel"/>
    <w:tmpl w:val="4052F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8B911D3"/>
    <w:multiLevelType w:val="multilevel"/>
    <w:tmpl w:val="D902C774"/>
    <w:lvl w:ilvl="0">
      <w:start w:val="20"/>
      <w:numFmt w:val="decimal"/>
      <w:lvlText w:val="%1."/>
      <w:lvlJc w:val="left"/>
      <w:pPr>
        <w:ind w:left="788" w:hanging="360"/>
      </w:pPr>
      <w:rPr>
        <w:rFonts w:ascii="Arial" w:eastAsia="Arial" w:hAnsi="Arial" w:cs="Arial"/>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CC15562"/>
    <w:multiLevelType w:val="hybridMultilevel"/>
    <w:tmpl w:val="8D9E53CA"/>
    <w:lvl w:ilvl="0" w:tplc="47109D8C">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1"/>
  </w:num>
  <w:num w:numId="7">
    <w:abstractNumId w:val="8"/>
  </w:num>
  <w:num w:numId="8">
    <w:abstractNumId w:val="13"/>
  </w:num>
  <w:num w:numId="9">
    <w:abstractNumId w:val="7"/>
  </w:num>
  <w:num w:numId="10">
    <w:abstractNumId w:val="6"/>
  </w:num>
  <w:num w:numId="11">
    <w:abstractNumId w:val="14"/>
  </w:num>
  <w:num w:numId="12">
    <w:abstractNumId w:val="10"/>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069A"/>
    <w:rsid w:val="00000899"/>
    <w:rsid w:val="00001220"/>
    <w:rsid w:val="00002075"/>
    <w:rsid w:val="00002260"/>
    <w:rsid w:val="000028C2"/>
    <w:rsid w:val="00004070"/>
    <w:rsid w:val="00004379"/>
    <w:rsid w:val="00004405"/>
    <w:rsid w:val="00004D80"/>
    <w:rsid w:val="00005B2C"/>
    <w:rsid w:val="00006D3C"/>
    <w:rsid w:val="0001012C"/>
    <w:rsid w:val="0001030E"/>
    <w:rsid w:val="00011344"/>
    <w:rsid w:val="00012249"/>
    <w:rsid w:val="00013AF5"/>
    <w:rsid w:val="0001454F"/>
    <w:rsid w:val="00014FA0"/>
    <w:rsid w:val="000165F2"/>
    <w:rsid w:val="00016FD6"/>
    <w:rsid w:val="00017054"/>
    <w:rsid w:val="00017B1E"/>
    <w:rsid w:val="00017CB3"/>
    <w:rsid w:val="00023E74"/>
    <w:rsid w:val="0002471B"/>
    <w:rsid w:val="00026740"/>
    <w:rsid w:val="00027C9A"/>
    <w:rsid w:val="00031008"/>
    <w:rsid w:val="000314D5"/>
    <w:rsid w:val="000315FA"/>
    <w:rsid w:val="00035B36"/>
    <w:rsid w:val="00036DF2"/>
    <w:rsid w:val="000401EA"/>
    <w:rsid w:val="00044E63"/>
    <w:rsid w:val="00045A3D"/>
    <w:rsid w:val="00047AD2"/>
    <w:rsid w:val="00050B31"/>
    <w:rsid w:val="000558C9"/>
    <w:rsid w:val="0005595B"/>
    <w:rsid w:val="00055B2D"/>
    <w:rsid w:val="0005640D"/>
    <w:rsid w:val="00056639"/>
    <w:rsid w:val="000566B5"/>
    <w:rsid w:val="000572CE"/>
    <w:rsid w:val="000578BC"/>
    <w:rsid w:val="0006185D"/>
    <w:rsid w:val="00061B93"/>
    <w:rsid w:val="000640FF"/>
    <w:rsid w:val="00065048"/>
    <w:rsid w:val="00065263"/>
    <w:rsid w:val="00066233"/>
    <w:rsid w:val="000669E6"/>
    <w:rsid w:val="00067FE2"/>
    <w:rsid w:val="00071F03"/>
    <w:rsid w:val="00072695"/>
    <w:rsid w:val="000728E0"/>
    <w:rsid w:val="00073800"/>
    <w:rsid w:val="00073869"/>
    <w:rsid w:val="0007397F"/>
    <w:rsid w:val="00074D00"/>
    <w:rsid w:val="00076747"/>
    <w:rsid w:val="000769D0"/>
    <w:rsid w:val="00076E35"/>
    <w:rsid w:val="00082A63"/>
    <w:rsid w:val="00082BE9"/>
    <w:rsid w:val="00083B8F"/>
    <w:rsid w:val="00084ACD"/>
    <w:rsid w:val="000850C0"/>
    <w:rsid w:val="0008675F"/>
    <w:rsid w:val="00086B66"/>
    <w:rsid w:val="00087BF8"/>
    <w:rsid w:val="000903AC"/>
    <w:rsid w:val="00090800"/>
    <w:rsid w:val="000927F9"/>
    <w:rsid w:val="0009372D"/>
    <w:rsid w:val="00094E7B"/>
    <w:rsid w:val="00094EAB"/>
    <w:rsid w:val="00095EDE"/>
    <w:rsid w:val="000A14D8"/>
    <w:rsid w:val="000A3CA1"/>
    <w:rsid w:val="000A428A"/>
    <w:rsid w:val="000A47F8"/>
    <w:rsid w:val="000A54E3"/>
    <w:rsid w:val="000B0A8D"/>
    <w:rsid w:val="000B174D"/>
    <w:rsid w:val="000B2780"/>
    <w:rsid w:val="000B71A7"/>
    <w:rsid w:val="000B71FD"/>
    <w:rsid w:val="000C0AA9"/>
    <w:rsid w:val="000C1032"/>
    <w:rsid w:val="000C18BD"/>
    <w:rsid w:val="000C2372"/>
    <w:rsid w:val="000C2B43"/>
    <w:rsid w:val="000C341D"/>
    <w:rsid w:val="000C3525"/>
    <w:rsid w:val="000C367A"/>
    <w:rsid w:val="000C426B"/>
    <w:rsid w:val="000C5DB7"/>
    <w:rsid w:val="000C639A"/>
    <w:rsid w:val="000C7B4F"/>
    <w:rsid w:val="000D0E41"/>
    <w:rsid w:val="000D12BC"/>
    <w:rsid w:val="000D1A55"/>
    <w:rsid w:val="000D251C"/>
    <w:rsid w:val="000D2A20"/>
    <w:rsid w:val="000D2C96"/>
    <w:rsid w:val="000D38FD"/>
    <w:rsid w:val="000D4AD7"/>
    <w:rsid w:val="000D5563"/>
    <w:rsid w:val="000D7042"/>
    <w:rsid w:val="000D77A7"/>
    <w:rsid w:val="000D7C4A"/>
    <w:rsid w:val="000E121D"/>
    <w:rsid w:val="000E2775"/>
    <w:rsid w:val="000E2D62"/>
    <w:rsid w:val="000E3243"/>
    <w:rsid w:val="000E4139"/>
    <w:rsid w:val="000E4B7F"/>
    <w:rsid w:val="000E59D7"/>
    <w:rsid w:val="000E6372"/>
    <w:rsid w:val="000F189F"/>
    <w:rsid w:val="000F4A94"/>
    <w:rsid w:val="000F547F"/>
    <w:rsid w:val="000F636A"/>
    <w:rsid w:val="00100DE6"/>
    <w:rsid w:val="00101468"/>
    <w:rsid w:val="00101D3B"/>
    <w:rsid w:val="00102722"/>
    <w:rsid w:val="001064F3"/>
    <w:rsid w:val="00106D53"/>
    <w:rsid w:val="001073C5"/>
    <w:rsid w:val="001117E0"/>
    <w:rsid w:val="00111F8A"/>
    <w:rsid w:val="00112150"/>
    <w:rsid w:val="001121D7"/>
    <w:rsid w:val="00114418"/>
    <w:rsid w:val="001147AE"/>
    <w:rsid w:val="00114E48"/>
    <w:rsid w:val="0011700D"/>
    <w:rsid w:val="00117091"/>
    <w:rsid w:val="001173B6"/>
    <w:rsid w:val="0012059B"/>
    <w:rsid w:val="0012085E"/>
    <w:rsid w:val="00121C55"/>
    <w:rsid w:val="001225C4"/>
    <w:rsid w:val="00123538"/>
    <w:rsid w:val="00125394"/>
    <w:rsid w:val="001264E9"/>
    <w:rsid w:val="001314F6"/>
    <w:rsid w:val="001314FA"/>
    <w:rsid w:val="0013220A"/>
    <w:rsid w:val="0013280E"/>
    <w:rsid w:val="00132AB9"/>
    <w:rsid w:val="00133F91"/>
    <w:rsid w:val="001341B1"/>
    <w:rsid w:val="00135569"/>
    <w:rsid w:val="00135B29"/>
    <w:rsid w:val="00137D2F"/>
    <w:rsid w:val="001421C5"/>
    <w:rsid w:val="00143CD4"/>
    <w:rsid w:val="001446EE"/>
    <w:rsid w:val="00146799"/>
    <w:rsid w:val="00146828"/>
    <w:rsid w:val="001501BB"/>
    <w:rsid w:val="001502BD"/>
    <w:rsid w:val="00150F4F"/>
    <w:rsid w:val="00153575"/>
    <w:rsid w:val="0015444A"/>
    <w:rsid w:val="00154D0E"/>
    <w:rsid w:val="00155E78"/>
    <w:rsid w:val="00155FE7"/>
    <w:rsid w:val="001579B1"/>
    <w:rsid w:val="001600AB"/>
    <w:rsid w:val="001601FF"/>
    <w:rsid w:val="00161787"/>
    <w:rsid w:val="00161A22"/>
    <w:rsid w:val="00161EAA"/>
    <w:rsid w:val="0016208B"/>
    <w:rsid w:val="00162961"/>
    <w:rsid w:val="001629D8"/>
    <w:rsid w:val="00163035"/>
    <w:rsid w:val="0016439C"/>
    <w:rsid w:val="001658C9"/>
    <w:rsid w:val="00165935"/>
    <w:rsid w:val="00165C5B"/>
    <w:rsid w:val="00166AF6"/>
    <w:rsid w:val="001674CF"/>
    <w:rsid w:val="001677B8"/>
    <w:rsid w:val="00170FE3"/>
    <w:rsid w:val="00171038"/>
    <w:rsid w:val="00171E2D"/>
    <w:rsid w:val="00171EF3"/>
    <w:rsid w:val="00174C02"/>
    <w:rsid w:val="00175282"/>
    <w:rsid w:val="00176128"/>
    <w:rsid w:val="0018060E"/>
    <w:rsid w:val="001820A7"/>
    <w:rsid w:val="001838C6"/>
    <w:rsid w:val="00184593"/>
    <w:rsid w:val="0018604F"/>
    <w:rsid w:val="0019055B"/>
    <w:rsid w:val="00190924"/>
    <w:rsid w:val="001909A8"/>
    <w:rsid w:val="00190F32"/>
    <w:rsid w:val="001915E1"/>
    <w:rsid w:val="00194CD0"/>
    <w:rsid w:val="00194F42"/>
    <w:rsid w:val="0019539C"/>
    <w:rsid w:val="00196D8A"/>
    <w:rsid w:val="0019789B"/>
    <w:rsid w:val="00197916"/>
    <w:rsid w:val="001A12BB"/>
    <w:rsid w:val="001A1F18"/>
    <w:rsid w:val="001A3555"/>
    <w:rsid w:val="001A44C6"/>
    <w:rsid w:val="001A61C7"/>
    <w:rsid w:val="001A7068"/>
    <w:rsid w:val="001A736E"/>
    <w:rsid w:val="001B05E1"/>
    <w:rsid w:val="001B2CC0"/>
    <w:rsid w:val="001B35D8"/>
    <w:rsid w:val="001B60B5"/>
    <w:rsid w:val="001B63B0"/>
    <w:rsid w:val="001B72F6"/>
    <w:rsid w:val="001C049C"/>
    <w:rsid w:val="001C1788"/>
    <w:rsid w:val="001C18A6"/>
    <w:rsid w:val="001C1EA3"/>
    <w:rsid w:val="001C217F"/>
    <w:rsid w:val="001C29D8"/>
    <w:rsid w:val="001C319D"/>
    <w:rsid w:val="001C3C1F"/>
    <w:rsid w:val="001C4808"/>
    <w:rsid w:val="001C4D01"/>
    <w:rsid w:val="001C7132"/>
    <w:rsid w:val="001C740B"/>
    <w:rsid w:val="001D0208"/>
    <w:rsid w:val="001D4888"/>
    <w:rsid w:val="001D4E62"/>
    <w:rsid w:val="001D573C"/>
    <w:rsid w:val="001D5820"/>
    <w:rsid w:val="001D5BEE"/>
    <w:rsid w:val="001D60C0"/>
    <w:rsid w:val="001D61E8"/>
    <w:rsid w:val="001D67F0"/>
    <w:rsid w:val="001D6D50"/>
    <w:rsid w:val="001E4A90"/>
    <w:rsid w:val="001E7677"/>
    <w:rsid w:val="001F0AAA"/>
    <w:rsid w:val="001F0E32"/>
    <w:rsid w:val="001F2391"/>
    <w:rsid w:val="001F31C1"/>
    <w:rsid w:val="001F4887"/>
    <w:rsid w:val="001F4B0A"/>
    <w:rsid w:val="001F665B"/>
    <w:rsid w:val="001F6D2F"/>
    <w:rsid w:val="0020178C"/>
    <w:rsid w:val="00201EC3"/>
    <w:rsid w:val="002035BF"/>
    <w:rsid w:val="00207116"/>
    <w:rsid w:val="002103ED"/>
    <w:rsid w:val="0021100C"/>
    <w:rsid w:val="00211CCD"/>
    <w:rsid w:val="00214C79"/>
    <w:rsid w:val="00214D23"/>
    <w:rsid w:val="00215E50"/>
    <w:rsid w:val="00216E40"/>
    <w:rsid w:val="00221D55"/>
    <w:rsid w:val="002230E3"/>
    <w:rsid w:val="002232EB"/>
    <w:rsid w:val="0022366D"/>
    <w:rsid w:val="00223DE3"/>
    <w:rsid w:val="00223E8F"/>
    <w:rsid w:val="002253B6"/>
    <w:rsid w:val="002255B3"/>
    <w:rsid w:val="00225FD3"/>
    <w:rsid w:val="0022658D"/>
    <w:rsid w:val="00230811"/>
    <w:rsid w:val="0023161F"/>
    <w:rsid w:val="00232EC6"/>
    <w:rsid w:val="002365FF"/>
    <w:rsid w:val="00240628"/>
    <w:rsid w:val="00241A20"/>
    <w:rsid w:val="00241DAB"/>
    <w:rsid w:val="00242013"/>
    <w:rsid w:val="00243E3F"/>
    <w:rsid w:val="002442D9"/>
    <w:rsid w:val="00245202"/>
    <w:rsid w:val="00246239"/>
    <w:rsid w:val="002468A7"/>
    <w:rsid w:val="0025021D"/>
    <w:rsid w:val="002530CD"/>
    <w:rsid w:val="00253166"/>
    <w:rsid w:val="00254098"/>
    <w:rsid w:val="002550FE"/>
    <w:rsid w:val="00255C63"/>
    <w:rsid w:val="002572F8"/>
    <w:rsid w:val="002618FA"/>
    <w:rsid w:val="002652EE"/>
    <w:rsid w:val="002656DB"/>
    <w:rsid w:val="0026613C"/>
    <w:rsid w:val="00266DCD"/>
    <w:rsid w:val="002715FF"/>
    <w:rsid w:val="0027248E"/>
    <w:rsid w:val="0027291E"/>
    <w:rsid w:val="00272EAF"/>
    <w:rsid w:val="00273406"/>
    <w:rsid w:val="002753A1"/>
    <w:rsid w:val="00275638"/>
    <w:rsid w:val="00275661"/>
    <w:rsid w:val="00276E47"/>
    <w:rsid w:val="00276FCE"/>
    <w:rsid w:val="00277551"/>
    <w:rsid w:val="002813A9"/>
    <w:rsid w:val="00281874"/>
    <w:rsid w:val="0028309F"/>
    <w:rsid w:val="0028665C"/>
    <w:rsid w:val="00287048"/>
    <w:rsid w:val="002873C9"/>
    <w:rsid w:val="00287806"/>
    <w:rsid w:val="00287F46"/>
    <w:rsid w:val="002905D0"/>
    <w:rsid w:val="00291407"/>
    <w:rsid w:val="00291E47"/>
    <w:rsid w:val="0029390A"/>
    <w:rsid w:val="00294807"/>
    <w:rsid w:val="00295308"/>
    <w:rsid w:val="002956F6"/>
    <w:rsid w:val="00295B2A"/>
    <w:rsid w:val="002A04D0"/>
    <w:rsid w:val="002A39C7"/>
    <w:rsid w:val="002A3BCF"/>
    <w:rsid w:val="002A5310"/>
    <w:rsid w:val="002A5510"/>
    <w:rsid w:val="002A6BED"/>
    <w:rsid w:val="002A7DC7"/>
    <w:rsid w:val="002B26F8"/>
    <w:rsid w:val="002B3E8E"/>
    <w:rsid w:val="002B5870"/>
    <w:rsid w:val="002B6FC2"/>
    <w:rsid w:val="002B7816"/>
    <w:rsid w:val="002C12BC"/>
    <w:rsid w:val="002C2628"/>
    <w:rsid w:val="002C37FE"/>
    <w:rsid w:val="002C45B4"/>
    <w:rsid w:val="002C4C34"/>
    <w:rsid w:val="002C5F8B"/>
    <w:rsid w:val="002C78C1"/>
    <w:rsid w:val="002D01D0"/>
    <w:rsid w:val="002D033D"/>
    <w:rsid w:val="002D03A5"/>
    <w:rsid w:val="002D03BD"/>
    <w:rsid w:val="002D101B"/>
    <w:rsid w:val="002D1219"/>
    <w:rsid w:val="002D1F32"/>
    <w:rsid w:val="002D2B80"/>
    <w:rsid w:val="002D3270"/>
    <w:rsid w:val="002D3CAC"/>
    <w:rsid w:val="002D480B"/>
    <w:rsid w:val="002E1978"/>
    <w:rsid w:val="002E4663"/>
    <w:rsid w:val="002E4DEF"/>
    <w:rsid w:val="002E5049"/>
    <w:rsid w:val="002E6314"/>
    <w:rsid w:val="002E64AB"/>
    <w:rsid w:val="002E65D8"/>
    <w:rsid w:val="002F29A7"/>
    <w:rsid w:val="002F38D0"/>
    <w:rsid w:val="002F4148"/>
    <w:rsid w:val="002F42B8"/>
    <w:rsid w:val="002F6F94"/>
    <w:rsid w:val="002F7E24"/>
    <w:rsid w:val="003007E6"/>
    <w:rsid w:val="00301EAE"/>
    <w:rsid w:val="00301FD7"/>
    <w:rsid w:val="0030212E"/>
    <w:rsid w:val="003026EB"/>
    <w:rsid w:val="00302C56"/>
    <w:rsid w:val="00302CF5"/>
    <w:rsid w:val="00302FA8"/>
    <w:rsid w:val="003049C7"/>
    <w:rsid w:val="00305B93"/>
    <w:rsid w:val="003137AF"/>
    <w:rsid w:val="0031514A"/>
    <w:rsid w:val="0031562F"/>
    <w:rsid w:val="00316A7F"/>
    <w:rsid w:val="00320783"/>
    <w:rsid w:val="003225EA"/>
    <w:rsid w:val="00322AE9"/>
    <w:rsid w:val="003260C7"/>
    <w:rsid w:val="0033117B"/>
    <w:rsid w:val="003336FD"/>
    <w:rsid w:val="0033395F"/>
    <w:rsid w:val="003353F5"/>
    <w:rsid w:val="003361C9"/>
    <w:rsid w:val="00337155"/>
    <w:rsid w:val="00337211"/>
    <w:rsid w:val="003376FB"/>
    <w:rsid w:val="00340AC8"/>
    <w:rsid w:val="00341B3C"/>
    <w:rsid w:val="0034201B"/>
    <w:rsid w:val="00342DF6"/>
    <w:rsid w:val="0034340E"/>
    <w:rsid w:val="00343766"/>
    <w:rsid w:val="00345E1C"/>
    <w:rsid w:val="00347076"/>
    <w:rsid w:val="00351B5E"/>
    <w:rsid w:val="003526C3"/>
    <w:rsid w:val="003535F0"/>
    <w:rsid w:val="003536B7"/>
    <w:rsid w:val="0035542D"/>
    <w:rsid w:val="0035565C"/>
    <w:rsid w:val="003566E0"/>
    <w:rsid w:val="00356CDD"/>
    <w:rsid w:val="00357050"/>
    <w:rsid w:val="00357E22"/>
    <w:rsid w:val="00360658"/>
    <w:rsid w:val="00361478"/>
    <w:rsid w:val="003628C8"/>
    <w:rsid w:val="0036383A"/>
    <w:rsid w:val="00366216"/>
    <w:rsid w:val="003674B8"/>
    <w:rsid w:val="003704A3"/>
    <w:rsid w:val="003707A2"/>
    <w:rsid w:val="00371555"/>
    <w:rsid w:val="00371D29"/>
    <w:rsid w:val="003720BB"/>
    <w:rsid w:val="003727A7"/>
    <w:rsid w:val="003736AC"/>
    <w:rsid w:val="00374674"/>
    <w:rsid w:val="00377720"/>
    <w:rsid w:val="00377E1B"/>
    <w:rsid w:val="00380082"/>
    <w:rsid w:val="00382293"/>
    <w:rsid w:val="00383156"/>
    <w:rsid w:val="003832E9"/>
    <w:rsid w:val="00383425"/>
    <w:rsid w:val="00383E23"/>
    <w:rsid w:val="00384507"/>
    <w:rsid w:val="00386152"/>
    <w:rsid w:val="003863AB"/>
    <w:rsid w:val="0038696E"/>
    <w:rsid w:val="00386B09"/>
    <w:rsid w:val="00387BBC"/>
    <w:rsid w:val="00387CA1"/>
    <w:rsid w:val="00390428"/>
    <w:rsid w:val="00390E15"/>
    <w:rsid w:val="00392C97"/>
    <w:rsid w:val="00392D66"/>
    <w:rsid w:val="00393589"/>
    <w:rsid w:val="00393787"/>
    <w:rsid w:val="00393843"/>
    <w:rsid w:val="003949DC"/>
    <w:rsid w:val="00394A69"/>
    <w:rsid w:val="0039548C"/>
    <w:rsid w:val="00397407"/>
    <w:rsid w:val="00397D43"/>
    <w:rsid w:val="003A0174"/>
    <w:rsid w:val="003A12C4"/>
    <w:rsid w:val="003A1C83"/>
    <w:rsid w:val="003A35B4"/>
    <w:rsid w:val="003A3FC4"/>
    <w:rsid w:val="003A4B37"/>
    <w:rsid w:val="003A72C2"/>
    <w:rsid w:val="003B1539"/>
    <w:rsid w:val="003B356D"/>
    <w:rsid w:val="003B4515"/>
    <w:rsid w:val="003C0E15"/>
    <w:rsid w:val="003C24DE"/>
    <w:rsid w:val="003C78FA"/>
    <w:rsid w:val="003D0403"/>
    <w:rsid w:val="003D0F7C"/>
    <w:rsid w:val="003D1B94"/>
    <w:rsid w:val="003D1C60"/>
    <w:rsid w:val="003D1E80"/>
    <w:rsid w:val="003D27EE"/>
    <w:rsid w:val="003D44B8"/>
    <w:rsid w:val="003D4892"/>
    <w:rsid w:val="003D4CBE"/>
    <w:rsid w:val="003D58E3"/>
    <w:rsid w:val="003D6548"/>
    <w:rsid w:val="003D706D"/>
    <w:rsid w:val="003D7632"/>
    <w:rsid w:val="003D7C65"/>
    <w:rsid w:val="003E06B6"/>
    <w:rsid w:val="003E25FB"/>
    <w:rsid w:val="003E278A"/>
    <w:rsid w:val="003E2E00"/>
    <w:rsid w:val="003E4253"/>
    <w:rsid w:val="003E62BC"/>
    <w:rsid w:val="003E6BBA"/>
    <w:rsid w:val="003E7A58"/>
    <w:rsid w:val="003F1C53"/>
    <w:rsid w:val="003F1DF9"/>
    <w:rsid w:val="003F2236"/>
    <w:rsid w:val="003F2BA3"/>
    <w:rsid w:val="003F2E1D"/>
    <w:rsid w:val="003F31BD"/>
    <w:rsid w:val="003F3797"/>
    <w:rsid w:val="003F4EE1"/>
    <w:rsid w:val="003F517F"/>
    <w:rsid w:val="003F6853"/>
    <w:rsid w:val="003F6C71"/>
    <w:rsid w:val="003F7144"/>
    <w:rsid w:val="003F7FF5"/>
    <w:rsid w:val="00402103"/>
    <w:rsid w:val="0040213E"/>
    <w:rsid w:val="00402998"/>
    <w:rsid w:val="00402A71"/>
    <w:rsid w:val="00402F5A"/>
    <w:rsid w:val="00403273"/>
    <w:rsid w:val="00403493"/>
    <w:rsid w:val="00403849"/>
    <w:rsid w:val="0040446D"/>
    <w:rsid w:val="00406772"/>
    <w:rsid w:val="0040696C"/>
    <w:rsid w:val="0041228E"/>
    <w:rsid w:val="00413031"/>
    <w:rsid w:val="004139B0"/>
    <w:rsid w:val="0041501C"/>
    <w:rsid w:val="004150BA"/>
    <w:rsid w:val="00415366"/>
    <w:rsid w:val="004168CB"/>
    <w:rsid w:val="00416A7B"/>
    <w:rsid w:val="004175FC"/>
    <w:rsid w:val="00420DF5"/>
    <w:rsid w:val="004211FA"/>
    <w:rsid w:val="0042227D"/>
    <w:rsid w:val="004224E1"/>
    <w:rsid w:val="004230AD"/>
    <w:rsid w:val="004232B9"/>
    <w:rsid w:val="004236ED"/>
    <w:rsid w:val="00424723"/>
    <w:rsid w:val="004254C6"/>
    <w:rsid w:val="00425815"/>
    <w:rsid w:val="004269E2"/>
    <w:rsid w:val="004270A8"/>
    <w:rsid w:val="004279DC"/>
    <w:rsid w:val="00430389"/>
    <w:rsid w:val="00430D89"/>
    <w:rsid w:val="00432365"/>
    <w:rsid w:val="00432814"/>
    <w:rsid w:val="00432FAE"/>
    <w:rsid w:val="00433063"/>
    <w:rsid w:val="00433C67"/>
    <w:rsid w:val="00433E19"/>
    <w:rsid w:val="00436AB1"/>
    <w:rsid w:val="00440DE3"/>
    <w:rsid w:val="00441B33"/>
    <w:rsid w:val="00441E6E"/>
    <w:rsid w:val="00445D1B"/>
    <w:rsid w:val="00447745"/>
    <w:rsid w:val="00447956"/>
    <w:rsid w:val="00450F08"/>
    <w:rsid w:val="0045222D"/>
    <w:rsid w:val="00454FBA"/>
    <w:rsid w:val="00455545"/>
    <w:rsid w:val="00455A82"/>
    <w:rsid w:val="00456FC3"/>
    <w:rsid w:val="004579FB"/>
    <w:rsid w:val="00461E2C"/>
    <w:rsid w:val="004654A4"/>
    <w:rsid w:val="0046587E"/>
    <w:rsid w:val="00465D19"/>
    <w:rsid w:val="00467F77"/>
    <w:rsid w:val="00471300"/>
    <w:rsid w:val="0047256F"/>
    <w:rsid w:val="004738B8"/>
    <w:rsid w:val="00473FA6"/>
    <w:rsid w:val="00475103"/>
    <w:rsid w:val="004758EB"/>
    <w:rsid w:val="00477962"/>
    <w:rsid w:val="00477A81"/>
    <w:rsid w:val="00477AD8"/>
    <w:rsid w:val="00477CD1"/>
    <w:rsid w:val="00480BDB"/>
    <w:rsid w:val="00483A7E"/>
    <w:rsid w:val="004849BB"/>
    <w:rsid w:val="00484DEF"/>
    <w:rsid w:val="004857F6"/>
    <w:rsid w:val="00486447"/>
    <w:rsid w:val="00490268"/>
    <w:rsid w:val="00491910"/>
    <w:rsid w:val="00491D4D"/>
    <w:rsid w:val="004921B9"/>
    <w:rsid w:val="00493344"/>
    <w:rsid w:val="00494668"/>
    <w:rsid w:val="00494CC1"/>
    <w:rsid w:val="00494F5F"/>
    <w:rsid w:val="004954BF"/>
    <w:rsid w:val="00496046"/>
    <w:rsid w:val="00497536"/>
    <w:rsid w:val="00497572"/>
    <w:rsid w:val="00497735"/>
    <w:rsid w:val="004A0307"/>
    <w:rsid w:val="004A04BC"/>
    <w:rsid w:val="004A0E84"/>
    <w:rsid w:val="004A1D38"/>
    <w:rsid w:val="004A59E5"/>
    <w:rsid w:val="004A7C12"/>
    <w:rsid w:val="004B1658"/>
    <w:rsid w:val="004B217B"/>
    <w:rsid w:val="004B48F9"/>
    <w:rsid w:val="004B4E43"/>
    <w:rsid w:val="004B546A"/>
    <w:rsid w:val="004B68A0"/>
    <w:rsid w:val="004B71FA"/>
    <w:rsid w:val="004B773D"/>
    <w:rsid w:val="004B7869"/>
    <w:rsid w:val="004C09AA"/>
    <w:rsid w:val="004C0BAB"/>
    <w:rsid w:val="004C2E8B"/>
    <w:rsid w:val="004C4E69"/>
    <w:rsid w:val="004C5CC7"/>
    <w:rsid w:val="004C75AB"/>
    <w:rsid w:val="004C76B2"/>
    <w:rsid w:val="004D16DC"/>
    <w:rsid w:val="004D43F5"/>
    <w:rsid w:val="004D49EB"/>
    <w:rsid w:val="004D4C70"/>
    <w:rsid w:val="004D55D4"/>
    <w:rsid w:val="004D5621"/>
    <w:rsid w:val="004D5983"/>
    <w:rsid w:val="004D63F2"/>
    <w:rsid w:val="004D6555"/>
    <w:rsid w:val="004D6896"/>
    <w:rsid w:val="004E01C0"/>
    <w:rsid w:val="004E1BB1"/>
    <w:rsid w:val="004E2B86"/>
    <w:rsid w:val="004E30D9"/>
    <w:rsid w:val="004E36C6"/>
    <w:rsid w:val="004E3D73"/>
    <w:rsid w:val="004E44CE"/>
    <w:rsid w:val="004E5D28"/>
    <w:rsid w:val="004E60D4"/>
    <w:rsid w:val="004E6970"/>
    <w:rsid w:val="004E6DDB"/>
    <w:rsid w:val="004E7976"/>
    <w:rsid w:val="004E7D35"/>
    <w:rsid w:val="004F1E10"/>
    <w:rsid w:val="004F2163"/>
    <w:rsid w:val="004F29EF"/>
    <w:rsid w:val="004F3056"/>
    <w:rsid w:val="004F3195"/>
    <w:rsid w:val="004F321A"/>
    <w:rsid w:val="004F64C5"/>
    <w:rsid w:val="004F64E9"/>
    <w:rsid w:val="004F6E40"/>
    <w:rsid w:val="004F7002"/>
    <w:rsid w:val="00500786"/>
    <w:rsid w:val="005020E2"/>
    <w:rsid w:val="00502ADE"/>
    <w:rsid w:val="005043F8"/>
    <w:rsid w:val="00504D69"/>
    <w:rsid w:val="00505263"/>
    <w:rsid w:val="00507AC2"/>
    <w:rsid w:val="0051090B"/>
    <w:rsid w:val="00510B0F"/>
    <w:rsid w:val="005113B7"/>
    <w:rsid w:val="005127CB"/>
    <w:rsid w:val="005149EE"/>
    <w:rsid w:val="00514C62"/>
    <w:rsid w:val="005211BD"/>
    <w:rsid w:val="005218B4"/>
    <w:rsid w:val="00521C3D"/>
    <w:rsid w:val="00522073"/>
    <w:rsid w:val="005229CC"/>
    <w:rsid w:val="00522B4B"/>
    <w:rsid w:val="00523047"/>
    <w:rsid w:val="00523393"/>
    <w:rsid w:val="00523AF5"/>
    <w:rsid w:val="005249DE"/>
    <w:rsid w:val="00525B66"/>
    <w:rsid w:val="00526281"/>
    <w:rsid w:val="00530450"/>
    <w:rsid w:val="00530C84"/>
    <w:rsid w:val="00530CAD"/>
    <w:rsid w:val="00533EC6"/>
    <w:rsid w:val="0054069D"/>
    <w:rsid w:val="00540E31"/>
    <w:rsid w:val="00540F5C"/>
    <w:rsid w:val="005414C8"/>
    <w:rsid w:val="0054160F"/>
    <w:rsid w:val="00542050"/>
    <w:rsid w:val="0054247D"/>
    <w:rsid w:val="0054313B"/>
    <w:rsid w:val="00543FA4"/>
    <w:rsid w:val="00545CA7"/>
    <w:rsid w:val="005516D3"/>
    <w:rsid w:val="0055229B"/>
    <w:rsid w:val="005522BC"/>
    <w:rsid w:val="00553863"/>
    <w:rsid w:val="0055391D"/>
    <w:rsid w:val="00557352"/>
    <w:rsid w:val="00560C9F"/>
    <w:rsid w:val="005639E7"/>
    <w:rsid w:val="00564169"/>
    <w:rsid w:val="00564841"/>
    <w:rsid w:val="00565A93"/>
    <w:rsid w:val="00566726"/>
    <w:rsid w:val="00566F5D"/>
    <w:rsid w:val="005671A8"/>
    <w:rsid w:val="005702A7"/>
    <w:rsid w:val="005712DD"/>
    <w:rsid w:val="0057157A"/>
    <w:rsid w:val="00571E86"/>
    <w:rsid w:val="00572B06"/>
    <w:rsid w:val="005738C0"/>
    <w:rsid w:val="00576DFD"/>
    <w:rsid w:val="00577059"/>
    <w:rsid w:val="00584A3A"/>
    <w:rsid w:val="00585CA2"/>
    <w:rsid w:val="00586281"/>
    <w:rsid w:val="00586C2C"/>
    <w:rsid w:val="00586D06"/>
    <w:rsid w:val="00591F8F"/>
    <w:rsid w:val="0059201B"/>
    <w:rsid w:val="00592923"/>
    <w:rsid w:val="0059299D"/>
    <w:rsid w:val="00593F37"/>
    <w:rsid w:val="00595248"/>
    <w:rsid w:val="00595F8B"/>
    <w:rsid w:val="00596E76"/>
    <w:rsid w:val="00597938"/>
    <w:rsid w:val="005A0024"/>
    <w:rsid w:val="005A0137"/>
    <w:rsid w:val="005A1C94"/>
    <w:rsid w:val="005A1D89"/>
    <w:rsid w:val="005A2030"/>
    <w:rsid w:val="005A236C"/>
    <w:rsid w:val="005A2EF5"/>
    <w:rsid w:val="005A358C"/>
    <w:rsid w:val="005A510D"/>
    <w:rsid w:val="005A6124"/>
    <w:rsid w:val="005A61D6"/>
    <w:rsid w:val="005A77E9"/>
    <w:rsid w:val="005A7E12"/>
    <w:rsid w:val="005B3AF1"/>
    <w:rsid w:val="005B4121"/>
    <w:rsid w:val="005B6637"/>
    <w:rsid w:val="005B6A6F"/>
    <w:rsid w:val="005B7E46"/>
    <w:rsid w:val="005C0B29"/>
    <w:rsid w:val="005C1F30"/>
    <w:rsid w:val="005C1FCE"/>
    <w:rsid w:val="005C3057"/>
    <w:rsid w:val="005C38DE"/>
    <w:rsid w:val="005C41D9"/>
    <w:rsid w:val="005C4D54"/>
    <w:rsid w:val="005C6A5D"/>
    <w:rsid w:val="005C7059"/>
    <w:rsid w:val="005C72E5"/>
    <w:rsid w:val="005D1160"/>
    <w:rsid w:val="005D1791"/>
    <w:rsid w:val="005D6D4F"/>
    <w:rsid w:val="005D7E03"/>
    <w:rsid w:val="005E468C"/>
    <w:rsid w:val="005E5E38"/>
    <w:rsid w:val="005E60D3"/>
    <w:rsid w:val="005F0AEA"/>
    <w:rsid w:val="005F2232"/>
    <w:rsid w:val="005F2A79"/>
    <w:rsid w:val="005F36CD"/>
    <w:rsid w:val="005F37AF"/>
    <w:rsid w:val="005F4B65"/>
    <w:rsid w:val="005F7EF1"/>
    <w:rsid w:val="00600F5F"/>
    <w:rsid w:val="00601E44"/>
    <w:rsid w:val="006045FD"/>
    <w:rsid w:val="00604FD6"/>
    <w:rsid w:val="006057A0"/>
    <w:rsid w:val="00605A56"/>
    <w:rsid w:val="00606C5C"/>
    <w:rsid w:val="00606E0A"/>
    <w:rsid w:val="00606E3D"/>
    <w:rsid w:val="006070ED"/>
    <w:rsid w:val="006078BB"/>
    <w:rsid w:val="0061110F"/>
    <w:rsid w:val="00611CF0"/>
    <w:rsid w:val="0061288C"/>
    <w:rsid w:val="006146CC"/>
    <w:rsid w:val="00614FB3"/>
    <w:rsid w:val="006155A3"/>
    <w:rsid w:val="00616D34"/>
    <w:rsid w:val="00617301"/>
    <w:rsid w:val="00617D85"/>
    <w:rsid w:val="00620227"/>
    <w:rsid w:val="00620DE7"/>
    <w:rsid w:val="00621771"/>
    <w:rsid w:val="00621B4D"/>
    <w:rsid w:val="00621F3E"/>
    <w:rsid w:val="00621F4B"/>
    <w:rsid w:val="00621F92"/>
    <w:rsid w:val="00622244"/>
    <w:rsid w:val="00623623"/>
    <w:rsid w:val="00624631"/>
    <w:rsid w:val="00627010"/>
    <w:rsid w:val="00630AE3"/>
    <w:rsid w:val="00631B95"/>
    <w:rsid w:val="00632DBD"/>
    <w:rsid w:val="006332F1"/>
    <w:rsid w:val="00633920"/>
    <w:rsid w:val="00634B10"/>
    <w:rsid w:val="00636296"/>
    <w:rsid w:val="006362F7"/>
    <w:rsid w:val="006371BF"/>
    <w:rsid w:val="006371C6"/>
    <w:rsid w:val="006422B2"/>
    <w:rsid w:val="0064439B"/>
    <w:rsid w:val="00644806"/>
    <w:rsid w:val="00644990"/>
    <w:rsid w:val="0064573D"/>
    <w:rsid w:val="0064595E"/>
    <w:rsid w:val="00647B40"/>
    <w:rsid w:val="006500D1"/>
    <w:rsid w:val="00650A2A"/>
    <w:rsid w:val="00651304"/>
    <w:rsid w:val="006513B3"/>
    <w:rsid w:val="00651F05"/>
    <w:rsid w:val="006529F1"/>
    <w:rsid w:val="006549D9"/>
    <w:rsid w:val="00657CCA"/>
    <w:rsid w:val="006613D9"/>
    <w:rsid w:val="006615F2"/>
    <w:rsid w:val="00661AFE"/>
    <w:rsid w:val="00661E21"/>
    <w:rsid w:val="006623F8"/>
    <w:rsid w:val="00663267"/>
    <w:rsid w:val="006633C7"/>
    <w:rsid w:val="00664A8F"/>
    <w:rsid w:val="00664B82"/>
    <w:rsid w:val="006671DE"/>
    <w:rsid w:val="00670737"/>
    <w:rsid w:val="00670785"/>
    <w:rsid w:val="006733D3"/>
    <w:rsid w:val="00673AF4"/>
    <w:rsid w:val="00675394"/>
    <w:rsid w:val="00676069"/>
    <w:rsid w:val="00676F62"/>
    <w:rsid w:val="00677791"/>
    <w:rsid w:val="006804E5"/>
    <w:rsid w:val="0068169A"/>
    <w:rsid w:val="006828FF"/>
    <w:rsid w:val="00685177"/>
    <w:rsid w:val="00685672"/>
    <w:rsid w:val="00687E32"/>
    <w:rsid w:val="00687E3A"/>
    <w:rsid w:val="00691E1E"/>
    <w:rsid w:val="00692C53"/>
    <w:rsid w:val="00693B05"/>
    <w:rsid w:val="00693FE3"/>
    <w:rsid w:val="00694B53"/>
    <w:rsid w:val="00694CF5"/>
    <w:rsid w:val="00695217"/>
    <w:rsid w:val="006954CD"/>
    <w:rsid w:val="00695A87"/>
    <w:rsid w:val="00697008"/>
    <w:rsid w:val="00697934"/>
    <w:rsid w:val="006A02A8"/>
    <w:rsid w:val="006A0674"/>
    <w:rsid w:val="006A154B"/>
    <w:rsid w:val="006A3161"/>
    <w:rsid w:val="006A4C31"/>
    <w:rsid w:val="006A62B6"/>
    <w:rsid w:val="006A62BE"/>
    <w:rsid w:val="006A733B"/>
    <w:rsid w:val="006B082C"/>
    <w:rsid w:val="006B0EC0"/>
    <w:rsid w:val="006B2421"/>
    <w:rsid w:val="006B2A4A"/>
    <w:rsid w:val="006B3043"/>
    <w:rsid w:val="006B40AC"/>
    <w:rsid w:val="006B45C5"/>
    <w:rsid w:val="006B483E"/>
    <w:rsid w:val="006B53D1"/>
    <w:rsid w:val="006B6837"/>
    <w:rsid w:val="006B6E09"/>
    <w:rsid w:val="006C2508"/>
    <w:rsid w:val="006C4883"/>
    <w:rsid w:val="006C53D5"/>
    <w:rsid w:val="006C5B42"/>
    <w:rsid w:val="006C5DE5"/>
    <w:rsid w:val="006C713D"/>
    <w:rsid w:val="006C731C"/>
    <w:rsid w:val="006D0560"/>
    <w:rsid w:val="006D4799"/>
    <w:rsid w:val="006D4FDD"/>
    <w:rsid w:val="006D548B"/>
    <w:rsid w:val="006D574D"/>
    <w:rsid w:val="006D648A"/>
    <w:rsid w:val="006D6F14"/>
    <w:rsid w:val="006E035B"/>
    <w:rsid w:val="006E1157"/>
    <w:rsid w:val="006E26A1"/>
    <w:rsid w:val="006E5E5C"/>
    <w:rsid w:val="006E69B1"/>
    <w:rsid w:val="006E742C"/>
    <w:rsid w:val="006F0A40"/>
    <w:rsid w:val="006F1879"/>
    <w:rsid w:val="006F52FC"/>
    <w:rsid w:val="006F5AF7"/>
    <w:rsid w:val="006F6047"/>
    <w:rsid w:val="006F6860"/>
    <w:rsid w:val="006F7C02"/>
    <w:rsid w:val="0070023E"/>
    <w:rsid w:val="00700DB7"/>
    <w:rsid w:val="0070124D"/>
    <w:rsid w:val="00701255"/>
    <w:rsid w:val="00701833"/>
    <w:rsid w:val="00702B66"/>
    <w:rsid w:val="00703DAC"/>
    <w:rsid w:val="00706135"/>
    <w:rsid w:val="007075E5"/>
    <w:rsid w:val="00707B68"/>
    <w:rsid w:val="00710146"/>
    <w:rsid w:val="007102FC"/>
    <w:rsid w:val="0071033F"/>
    <w:rsid w:val="00710FAD"/>
    <w:rsid w:val="00711538"/>
    <w:rsid w:val="00711880"/>
    <w:rsid w:val="0071195F"/>
    <w:rsid w:val="00711CA6"/>
    <w:rsid w:val="00711E02"/>
    <w:rsid w:val="007122E0"/>
    <w:rsid w:val="0071239E"/>
    <w:rsid w:val="00713740"/>
    <w:rsid w:val="007137CF"/>
    <w:rsid w:val="007148B2"/>
    <w:rsid w:val="00714E71"/>
    <w:rsid w:val="007152BF"/>
    <w:rsid w:val="00715CC5"/>
    <w:rsid w:val="00716816"/>
    <w:rsid w:val="0072475A"/>
    <w:rsid w:val="00724EAF"/>
    <w:rsid w:val="00725404"/>
    <w:rsid w:val="00726694"/>
    <w:rsid w:val="007277C6"/>
    <w:rsid w:val="007306AA"/>
    <w:rsid w:val="007306BC"/>
    <w:rsid w:val="0073074A"/>
    <w:rsid w:val="00730D21"/>
    <w:rsid w:val="00733784"/>
    <w:rsid w:val="00733E5F"/>
    <w:rsid w:val="007346BD"/>
    <w:rsid w:val="007366D6"/>
    <w:rsid w:val="00737644"/>
    <w:rsid w:val="007403DB"/>
    <w:rsid w:val="007416B4"/>
    <w:rsid w:val="00741C24"/>
    <w:rsid w:val="00741CBE"/>
    <w:rsid w:val="007422EF"/>
    <w:rsid w:val="0074235D"/>
    <w:rsid w:val="007423CB"/>
    <w:rsid w:val="00742806"/>
    <w:rsid w:val="00744CFE"/>
    <w:rsid w:val="00745D63"/>
    <w:rsid w:val="00746E9B"/>
    <w:rsid w:val="0075055F"/>
    <w:rsid w:val="00750DB0"/>
    <w:rsid w:val="00751493"/>
    <w:rsid w:val="00751A87"/>
    <w:rsid w:val="00753538"/>
    <w:rsid w:val="00754078"/>
    <w:rsid w:val="00754423"/>
    <w:rsid w:val="00754FBF"/>
    <w:rsid w:val="00755B84"/>
    <w:rsid w:val="00757DD8"/>
    <w:rsid w:val="007601C6"/>
    <w:rsid w:val="00760DAF"/>
    <w:rsid w:val="00760F45"/>
    <w:rsid w:val="007614F9"/>
    <w:rsid w:val="0076192E"/>
    <w:rsid w:val="0076661A"/>
    <w:rsid w:val="007669D8"/>
    <w:rsid w:val="00770486"/>
    <w:rsid w:val="007706B2"/>
    <w:rsid w:val="0077139D"/>
    <w:rsid w:val="00772E54"/>
    <w:rsid w:val="00772F4D"/>
    <w:rsid w:val="00773572"/>
    <w:rsid w:val="00773796"/>
    <w:rsid w:val="00773A85"/>
    <w:rsid w:val="00775682"/>
    <w:rsid w:val="0077612B"/>
    <w:rsid w:val="00776ECF"/>
    <w:rsid w:val="00777293"/>
    <w:rsid w:val="00780216"/>
    <w:rsid w:val="00780252"/>
    <w:rsid w:val="0078120E"/>
    <w:rsid w:val="00781869"/>
    <w:rsid w:val="00782894"/>
    <w:rsid w:val="00783D13"/>
    <w:rsid w:val="00785B5A"/>
    <w:rsid w:val="00787DF9"/>
    <w:rsid w:val="007904B6"/>
    <w:rsid w:val="007910FD"/>
    <w:rsid w:val="00791657"/>
    <w:rsid w:val="00792212"/>
    <w:rsid w:val="00794AE2"/>
    <w:rsid w:val="00794C39"/>
    <w:rsid w:val="00795009"/>
    <w:rsid w:val="007957B1"/>
    <w:rsid w:val="00795EAB"/>
    <w:rsid w:val="00796E22"/>
    <w:rsid w:val="007A006B"/>
    <w:rsid w:val="007A0BF8"/>
    <w:rsid w:val="007A29B9"/>
    <w:rsid w:val="007A35CB"/>
    <w:rsid w:val="007A39E5"/>
    <w:rsid w:val="007A3F17"/>
    <w:rsid w:val="007A430E"/>
    <w:rsid w:val="007A47BB"/>
    <w:rsid w:val="007A54A5"/>
    <w:rsid w:val="007A5AE1"/>
    <w:rsid w:val="007B1CC6"/>
    <w:rsid w:val="007B36DA"/>
    <w:rsid w:val="007B420C"/>
    <w:rsid w:val="007B6239"/>
    <w:rsid w:val="007B7D21"/>
    <w:rsid w:val="007C02BA"/>
    <w:rsid w:val="007C13BD"/>
    <w:rsid w:val="007C1BDE"/>
    <w:rsid w:val="007C4AC9"/>
    <w:rsid w:val="007C5349"/>
    <w:rsid w:val="007C56F8"/>
    <w:rsid w:val="007C5F2F"/>
    <w:rsid w:val="007C7E98"/>
    <w:rsid w:val="007D0457"/>
    <w:rsid w:val="007D061B"/>
    <w:rsid w:val="007D1DEB"/>
    <w:rsid w:val="007D39E2"/>
    <w:rsid w:val="007D3A5C"/>
    <w:rsid w:val="007D40D6"/>
    <w:rsid w:val="007D4187"/>
    <w:rsid w:val="007D4A96"/>
    <w:rsid w:val="007D7257"/>
    <w:rsid w:val="007E1524"/>
    <w:rsid w:val="007E3C96"/>
    <w:rsid w:val="007E3D1B"/>
    <w:rsid w:val="007E409E"/>
    <w:rsid w:val="007E4422"/>
    <w:rsid w:val="007E5EA7"/>
    <w:rsid w:val="007E5F36"/>
    <w:rsid w:val="007F2052"/>
    <w:rsid w:val="007F276C"/>
    <w:rsid w:val="007F3540"/>
    <w:rsid w:val="007F5A5F"/>
    <w:rsid w:val="007F6AB7"/>
    <w:rsid w:val="00800150"/>
    <w:rsid w:val="00802867"/>
    <w:rsid w:val="0080392B"/>
    <w:rsid w:val="008053FA"/>
    <w:rsid w:val="00806C81"/>
    <w:rsid w:val="00806FD9"/>
    <w:rsid w:val="00807852"/>
    <w:rsid w:val="00810080"/>
    <w:rsid w:val="0081074A"/>
    <w:rsid w:val="00810A16"/>
    <w:rsid w:val="00812379"/>
    <w:rsid w:val="00814942"/>
    <w:rsid w:val="00815215"/>
    <w:rsid w:val="008158F2"/>
    <w:rsid w:val="008162D1"/>
    <w:rsid w:val="00816E4C"/>
    <w:rsid w:val="00817555"/>
    <w:rsid w:val="00817A38"/>
    <w:rsid w:val="00817D85"/>
    <w:rsid w:val="00822EDC"/>
    <w:rsid w:val="00823E1F"/>
    <w:rsid w:val="0082667C"/>
    <w:rsid w:val="00826D5A"/>
    <w:rsid w:val="00827430"/>
    <w:rsid w:val="0083034A"/>
    <w:rsid w:val="0083088E"/>
    <w:rsid w:val="008310CF"/>
    <w:rsid w:val="00832C31"/>
    <w:rsid w:val="00835345"/>
    <w:rsid w:val="008360AD"/>
    <w:rsid w:val="00837D7D"/>
    <w:rsid w:val="0084199E"/>
    <w:rsid w:val="0084204C"/>
    <w:rsid w:val="00842483"/>
    <w:rsid w:val="008435AD"/>
    <w:rsid w:val="008462F3"/>
    <w:rsid w:val="00846390"/>
    <w:rsid w:val="00851A98"/>
    <w:rsid w:val="00851ED2"/>
    <w:rsid w:val="0085388E"/>
    <w:rsid w:val="008567E3"/>
    <w:rsid w:val="008601E0"/>
    <w:rsid w:val="0086059B"/>
    <w:rsid w:val="008607CA"/>
    <w:rsid w:val="00860E1C"/>
    <w:rsid w:val="008620F1"/>
    <w:rsid w:val="00862920"/>
    <w:rsid w:val="00863A28"/>
    <w:rsid w:val="00866735"/>
    <w:rsid w:val="00871943"/>
    <w:rsid w:val="008735EC"/>
    <w:rsid w:val="00873A63"/>
    <w:rsid w:val="00873E35"/>
    <w:rsid w:val="00873F56"/>
    <w:rsid w:val="00876855"/>
    <w:rsid w:val="008800C1"/>
    <w:rsid w:val="00880936"/>
    <w:rsid w:val="00880C45"/>
    <w:rsid w:val="00881684"/>
    <w:rsid w:val="00884392"/>
    <w:rsid w:val="008844A5"/>
    <w:rsid w:val="008879C5"/>
    <w:rsid w:val="00890228"/>
    <w:rsid w:val="00890A0A"/>
    <w:rsid w:val="00893C32"/>
    <w:rsid w:val="008965F9"/>
    <w:rsid w:val="00897F89"/>
    <w:rsid w:val="008A0025"/>
    <w:rsid w:val="008A0853"/>
    <w:rsid w:val="008A0CFA"/>
    <w:rsid w:val="008A0F13"/>
    <w:rsid w:val="008A2A69"/>
    <w:rsid w:val="008A3448"/>
    <w:rsid w:val="008A369C"/>
    <w:rsid w:val="008A3EA3"/>
    <w:rsid w:val="008A6D52"/>
    <w:rsid w:val="008B0EA5"/>
    <w:rsid w:val="008B151E"/>
    <w:rsid w:val="008B1C62"/>
    <w:rsid w:val="008B2713"/>
    <w:rsid w:val="008B2AF3"/>
    <w:rsid w:val="008B46E5"/>
    <w:rsid w:val="008B4814"/>
    <w:rsid w:val="008B599F"/>
    <w:rsid w:val="008B7429"/>
    <w:rsid w:val="008B7868"/>
    <w:rsid w:val="008C0DBE"/>
    <w:rsid w:val="008C29F3"/>
    <w:rsid w:val="008C330D"/>
    <w:rsid w:val="008C3C3D"/>
    <w:rsid w:val="008C4606"/>
    <w:rsid w:val="008C5051"/>
    <w:rsid w:val="008C5C9B"/>
    <w:rsid w:val="008C6367"/>
    <w:rsid w:val="008C64B2"/>
    <w:rsid w:val="008D0387"/>
    <w:rsid w:val="008D4DF3"/>
    <w:rsid w:val="008D566D"/>
    <w:rsid w:val="008D5DD9"/>
    <w:rsid w:val="008D6969"/>
    <w:rsid w:val="008D7532"/>
    <w:rsid w:val="008E0A03"/>
    <w:rsid w:val="008E0DAF"/>
    <w:rsid w:val="008E2310"/>
    <w:rsid w:val="008E4516"/>
    <w:rsid w:val="008E4D34"/>
    <w:rsid w:val="008E6981"/>
    <w:rsid w:val="008F026B"/>
    <w:rsid w:val="008F0C16"/>
    <w:rsid w:val="008F0E54"/>
    <w:rsid w:val="008F1B52"/>
    <w:rsid w:val="008F1C30"/>
    <w:rsid w:val="008F1CAB"/>
    <w:rsid w:val="008F24EE"/>
    <w:rsid w:val="008F2652"/>
    <w:rsid w:val="008F2BA7"/>
    <w:rsid w:val="008F33B7"/>
    <w:rsid w:val="008F371B"/>
    <w:rsid w:val="008F3A6D"/>
    <w:rsid w:val="008F41C2"/>
    <w:rsid w:val="008F4410"/>
    <w:rsid w:val="008F4493"/>
    <w:rsid w:val="008F46EE"/>
    <w:rsid w:val="008F4E01"/>
    <w:rsid w:val="008F5284"/>
    <w:rsid w:val="008F7469"/>
    <w:rsid w:val="00900BD2"/>
    <w:rsid w:val="0090111E"/>
    <w:rsid w:val="00901557"/>
    <w:rsid w:val="00901676"/>
    <w:rsid w:val="00901E6A"/>
    <w:rsid w:val="00902E76"/>
    <w:rsid w:val="00902FC0"/>
    <w:rsid w:val="00903324"/>
    <w:rsid w:val="00904A3A"/>
    <w:rsid w:val="00911651"/>
    <w:rsid w:val="00911C03"/>
    <w:rsid w:val="00911C2B"/>
    <w:rsid w:val="0091212B"/>
    <w:rsid w:val="009123AE"/>
    <w:rsid w:val="009146FF"/>
    <w:rsid w:val="00914ED0"/>
    <w:rsid w:val="009204D5"/>
    <w:rsid w:val="00920EA3"/>
    <w:rsid w:val="009210E8"/>
    <w:rsid w:val="009214E2"/>
    <w:rsid w:val="009221F1"/>
    <w:rsid w:val="00922625"/>
    <w:rsid w:val="00922718"/>
    <w:rsid w:val="009228F7"/>
    <w:rsid w:val="00923373"/>
    <w:rsid w:val="00924665"/>
    <w:rsid w:val="009277DB"/>
    <w:rsid w:val="00927F4D"/>
    <w:rsid w:val="009323BF"/>
    <w:rsid w:val="009338B3"/>
    <w:rsid w:val="00933F80"/>
    <w:rsid w:val="0093434A"/>
    <w:rsid w:val="00935E4F"/>
    <w:rsid w:val="0093625E"/>
    <w:rsid w:val="00936C7B"/>
    <w:rsid w:val="0093768C"/>
    <w:rsid w:val="00940813"/>
    <w:rsid w:val="00941336"/>
    <w:rsid w:val="00941766"/>
    <w:rsid w:val="00941DBC"/>
    <w:rsid w:val="00942223"/>
    <w:rsid w:val="00942F27"/>
    <w:rsid w:val="009514E2"/>
    <w:rsid w:val="00951CA1"/>
    <w:rsid w:val="00952F8D"/>
    <w:rsid w:val="00954070"/>
    <w:rsid w:val="00954306"/>
    <w:rsid w:val="00956DA2"/>
    <w:rsid w:val="00957978"/>
    <w:rsid w:val="0096002D"/>
    <w:rsid w:val="009606BC"/>
    <w:rsid w:val="009617E4"/>
    <w:rsid w:val="0096193A"/>
    <w:rsid w:val="00961F77"/>
    <w:rsid w:val="00961F9A"/>
    <w:rsid w:val="0096256D"/>
    <w:rsid w:val="00963767"/>
    <w:rsid w:val="009637BE"/>
    <w:rsid w:val="00964B00"/>
    <w:rsid w:val="00965004"/>
    <w:rsid w:val="009658D0"/>
    <w:rsid w:val="009667AF"/>
    <w:rsid w:val="00967439"/>
    <w:rsid w:val="009705EE"/>
    <w:rsid w:val="00970FB0"/>
    <w:rsid w:val="009730CE"/>
    <w:rsid w:val="0097486A"/>
    <w:rsid w:val="00980220"/>
    <w:rsid w:val="00981037"/>
    <w:rsid w:val="00981205"/>
    <w:rsid w:val="00981F3B"/>
    <w:rsid w:val="00982A4F"/>
    <w:rsid w:val="009838A1"/>
    <w:rsid w:val="0098395F"/>
    <w:rsid w:val="009842D4"/>
    <w:rsid w:val="00984400"/>
    <w:rsid w:val="00984780"/>
    <w:rsid w:val="00986FEF"/>
    <w:rsid w:val="009874F7"/>
    <w:rsid w:val="00987876"/>
    <w:rsid w:val="00992771"/>
    <w:rsid w:val="0099537D"/>
    <w:rsid w:val="00996286"/>
    <w:rsid w:val="009A00E9"/>
    <w:rsid w:val="009A02A6"/>
    <w:rsid w:val="009A037F"/>
    <w:rsid w:val="009A0CEB"/>
    <w:rsid w:val="009A3921"/>
    <w:rsid w:val="009A4799"/>
    <w:rsid w:val="009A5798"/>
    <w:rsid w:val="009A5E58"/>
    <w:rsid w:val="009A62D1"/>
    <w:rsid w:val="009A6F6E"/>
    <w:rsid w:val="009B0FC9"/>
    <w:rsid w:val="009B1A69"/>
    <w:rsid w:val="009B2771"/>
    <w:rsid w:val="009B495E"/>
    <w:rsid w:val="009B561A"/>
    <w:rsid w:val="009B7F6D"/>
    <w:rsid w:val="009C1214"/>
    <w:rsid w:val="009C12A7"/>
    <w:rsid w:val="009C4F09"/>
    <w:rsid w:val="009C7498"/>
    <w:rsid w:val="009D24AC"/>
    <w:rsid w:val="009D299C"/>
    <w:rsid w:val="009D2E91"/>
    <w:rsid w:val="009D327B"/>
    <w:rsid w:val="009D3549"/>
    <w:rsid w:val="009D368B"/>
    <w:rsid w:val="009D566B"/>
    <w:rsid w:val="009D5736"/>
    <w:rsid w:val="009D5F31"/>
    <w:rsid w:val="009E29A6"/>
    <w:rsid w:val="009E3ECE"/>
    <w:rsid w:val="009E510B"/>
    <w:rsid w:val="009E6BB9"/>
    <w:rsid w:val="009E7CF6"/>
    <w:rsid w:val="009E7FE0"/>
    <w:rsid w:val="009F0873"/>
    <w:rsid w:val="009F0CAE"/>
    <w:rsid w:val="009F2E2B"/>
    <w:rsid w:val="009F3060"/>
    <w:rsid w:val="009F4A20"/>
    <w:rsid w:val="009F5813"/>
    <w:rsid w:val="009F6AFF"/>
    <w:rsid w:val="009F7CEB"/>
    <w:rsid w:val="00A00356"/>
    <w:rsid w:val="00A004BC"/>
    <w:rsid w:val="00A034E5"/>
    <w:rsid w:val="00A037B7"/>
    <w:rsid w:val="00A0511A"/>
    <w:rsid w:val="00A06A1B"/>
    <w:rsid w:val="00A0768B"/>
    <w:rsid w:val="00A07D4D"/>
    <w:rsid w:val="00A11441"/>
    <w:rsid w:val="00A147F6"/>
    <w:rsid w:val="00A15ACE"/>
    <w:rsid w:val="00A207AF"/>
    <w:rsid w:val="00A21194"/>
    <w:rsid w:val="00A220D4"/>
    <w:rsid w:val="00A23A15"/>
    <w:rsid w:val="00A24C22"/>
    <w:rsid w:val="00A25C52"/>
    <w:rsid w:val="00A26DB6"/>
    <w:rsid w:val="00A26DEE"/>
    <w:rsid w:val="00A2765D"/>
    <w:rsid w:val="00A30E3E"/>
    <w:rsid w:val="00A324F9"/>
    <w:rsid w:val="00A3456D"/>
    <w:rsid w:val="00A36D2B"/>
    <w:rsid w:val="00A37038"/>
    <w:rsid w:val="00A378E5"/>
    <w:rsid w:val="00A400E0"/>
    <w:rsid w:val="00A4379F"/>
    <w:rsid w:val="00A45ECE"/>
    <w:rsid w:val="00A467BD"/>
    <w:rsid w:val="00A50DEF"/>
    <w:rsid w:val="00A514F8"/>
    <w:rsid w:val="00A51BCE"/>
    <w:rsid w:val="00A526CB"/>
    <w:rsid w:val="00A52DAE"/>
    <w:rsid w:val="00A52F52"/>
    <w:rsid w:val="00A53225"/>
    <w:rsid w:val="00A558CB"/>
    <w:rsid w:val="00A5636D"/>
    <w:rsid w:val="00A61163"/>
    <w:rsid w:val="00A62736"/>
    <w:rsid w:val="00A63124"/>
    <w:rsid w:val="00A63F23"/>
    <w:rsid w:val="00A64313"/>
    <w:rsid w:val="00A64963"/>
    <w:rsid w:val="00A64CA8"/>
    <w:rsid w:val="00A64DC6"/>
    <w:rsid w:val="00A6558B"/>
    <w:rsid w:val="00A65B0C"/>
    <w:rsid w:val="00A6785F"/>
    <w:rsid w:val="00A70E6C"/>
    <w:rsid w:val="00A71B9B"/>
    <w:rsid w:val="00A7365C"/>
    <w:rsid w:val="00A73868"/>
    <w:rsid w:val="00A73D6B"/>
    <w:rsid w:val="00A73F42"/>
    <w:rsid w:val="00A743C6"/>
    <w:rsid w:val="00A7454B"/>
    <w:rsid w:val="00A74F0C"/>
    <w:rsid w:val="00A75B59"/>
    <w:rsid w:val="00A80795"/>
    <w:rsid w:val="00A82740"/>
    <w:rsid w:val="00A8589E"/>
    <w:rsid w:val="00A8702B"/>
    <w:rsid w:val="00A92E3D"/>
    <w:rsid w:val="00A933F7"/>
    <w:rsid w:val="00A94D6E"/>
    <w:rsid w:val="00A95B13"/>
    <w:rsid w:val="00A96D47"/>
    <w:rsid w:val="00AA0388"/>
    <w:rsid w:val="00AA0793"/>
    <w:rsid w:val="00AA3029"/>
    <w:rsid w:val="00AA37BD"/>
    <w:rsid w:val="00AA70ED"/>
    <w:rsid w:val="00AA77B1"/>
    <w:rsid w:val="00AA7D79"/>
    <w:rsid w:val="00AB06D6"/>
    <w:rsid w:val="00AB0A05"/>
    <w:rsid w:val="00AB0E06"/>
    <w:rsid w:val="00AB0E80"/>
    <w:rsid w:val="00AB1528"/>
    <w:rsid w:val="00AB1BF1"/>
    <w:rsid w:val="00AB33F4"/>
    <w:rsid w:val="00AB5365"/>
    <w:rsid w:val="00AB5377"/>
    <w:rsid w:val="00AB66E1"/>
    <w:rsid w:val="00AB67D4"/>
    <w:rsid w:val="00AB6BD2"/>
    <w:rsid w:val="00AB74E6"/>
    <w:rsid w:val="00AB75DE"/>
    <w:rsid w:val="00AB7C4A"/>
    <w:rsid w:val="00AB7EEB"/>
    <w:rsid w:val="00AC059B"/>
    <w:rsid w:val="00AC0B9E"/>
    <w:rsid w:val="00AC27FC"/>
    <w:rsid w:val="00AC5598"/>
    <w:rsid w:val="00AC56EA"/>
    <w:rsid w:val="00AC5837"/>
    <w:rsid w:val="00AC76A3"/>
    <w:rsid w:val="00AD24EF"/>
    <w:rsid w:val="00AD3B2F"/>
    <w:rsid w:val="00AD5DBD"/>
    <w:rsid w:val="00AD7BBC"/>
    <w:rsid w:val="00AE0092"/>
    <w:rsid w:val="00AE0D55"/>
    <w:rsid w:val="00AE5822"/>
    <w:rsid w:val="00AE616C"/>
    <w:rsid w:val="00AE70B9"/>
    <w:rsid w:val="00AE7A18"/>
    <w:rsid w:val="00AF1B5E"/>
    <w:rsid w:val="00AF2259"/>
    <w:rsid w:val="00AF3280"/>
    <w:rsid w:val="00AF3BFF"/>
    <w:rsid w:val="00AF634C"/>
    <w:rsid w:val="00AF7787"/>
    <w:rsid w:val="00B00060"/>
    <w:rsid w:val="00B00068"/>
    <w:rsid w:val="00B00B35"/>
    <w:rsid w:val="00B0456E"/>
    <w:rsid w:val="00B04B97"/>
    <w:rsid w:val="00B04EDB"/>
    <w:rsid w:val="00B05045"/>
    <w:rsid w:val="00B0514B"/>
    <w:rsid w:val="00B06A24"/>
    <w:rsid w:val="00B11A76"/>
    <w:rsid w:val="00B12CFB"/>
    <w:rsid w:val="00B142B2"/>
    <w:rsid w:val="00B14389"/>
    <w:rsid w:val="00B144A3"/>
    <w:rsid w:val="00B14A51"/>
    <w:rsid w:val="00B16B0C"/>
    <w:rsid w:val="00B16D5A"/>
    <w:rsid w:val="00B174A3"/>
    <w:rsid w:val="00B2053B"/>
    <w:rsid w:val="00B209D5"/>
    <w:rsid w:val="00B21436"/>
    <w:rsid w:val="00B217A8"/>
    <w:rsid w:val="00B23D8C"/>
    <w:rsid w:val="00B247CA"/>
    <w:rsid w:val="00B25052"/>
    <w:rsid w:val="00B251D5"/>
    <w:rsid w:val="00B26B66"/>
    <w:rsid w:val="00B30FF1"/>
    <w:rsid w:val="00B32D00"/>
    <w:rsid w:val="00B339C2"/>
    <w:rsid w:val="00B34923"/>
    <w:rsid w:val="00B36950"/>
    <w:rsid w:val="00B409DA"/>
    <w:rsid w:val="00B40CD2"/>
    <w:rsid w:val="00B40FC5"/>
    <w:rsid w:val="00B41263"/>
    <w:rsid w:val="00B4160F"/>
    <w:rsid w:val="00B41CC3"/>
    <w:rsid w:val="00B41D12"/>
    <w:rsid w:val="00B42CB1"/>
    <w:rsid w:val="00B4332C"/>
    <w:rsid w:val="00B4406B"/>
    <w:rsid w:val="00B45272"/>
    <w:rsid w:val="00B46C83"/>
    <w:rsid w:val="00B518FB"/>
    <w:rsid w:val="00B521D8"/>
    <w:rsid w:val="00B54D30"/>
    <w:rsid w:val="00B552F3"/>
    <w:rsid w:val="00B60228"/>
    <w:rsid w:val="00B60E85"/>
    <w:rsid w:val="00B61FC5"/>
    <w:rsid w:val="00B64080"/>
    <w:rsid w:val="00B6429B"/>
    <w:rsid w:val="00B717B2"/>
    <w:rsid w:val="00B723AB"/>
    <w:rsid w:val="00B741DB"/>
    <w:rsid w:val="00B76382"/>
    <w:rsid w:val="00B80F5D"/>
    <w:rsid w:val="00B82B77"/>
    <w:rsid w:val="00B82F2B"/>
    <w:rsid w:val="00B83144"/>
    <w:rsid w:val="00B83AFB"/>
    <w:rsid w:val="00B83F5F"/>
    <w:rsid w:val="00B84EE7"/>
    <w:rsid w:val="00B86438"/>
    <w:rsid w:val="00B866C5"/>
    <w:rsid w:val="00B87013"/>
    <w:rsid w:val="00B91AFC"/>
    <w:rsid w:val="00B91B67"/>
    <w:rsid w:val="00B9314A"/>
    <w:rsid w:val="00B95839"/>
    <w:rsid w:val="00B96299"/>
    <w:rsid w:val="00B96E71"/>
    <w:rsid w:val="00B97262"/>
    <w:rsid w:val="00B974B1"/>
    <w:rsid w:val="00B975F7"/>
    <w:rsid w:val="00B97E8B"/>
    <w:rsid w:val="00BA0095"/>
    <w:rsid w:val="00BA0FA6"/>
    <w:rsid w:val="00BA110E"/>
    <w:rsid w:val="00BA1C2A"/>
    <w:rsid w:val="00BA41DA"/>
    <w:rsid w:val="00BA5468"/>
    <w:rsid w:val="00BA5BBD"/>
    <w:rsid w:val="00BA73DE"/>
    <w:rsid w:val="00BB066D"/>
    <w:rsid w:val="00BB0DD6"/>
    <w:rsid w:val="00BB121C"/>
    <w:rsid w:val="00BB15D7"/>
    <w:rsid w:val="00BB17EE"/>
    <w:rsid w:val="00BB1A92"/>
    <w:rsid w:val="00BB361E"/>
    <w:rsid w:val="00BB4668"/>
    <w:rsid w:val="00BB4C30"/>
    <w:rsid w:val="00BB4CB6"/>
    <w:rsid w:val="00BB4CC3"/>
    <w:rsid w:val="00BB5197"/>
    <w:rsid w:val="00BB5C27"/>
    <w:rsid w:val="00BB7430"/>
    <w:rsid w:val="00BB79AE"/>
    <w:rsid w:val="00BC016F"/>
    <w:rsid w:val="00BC02E8"/>
    <w:rsid w:val="00BC124A"/>
    <w:rsid w:val="00BC1331"/>
    <w:rsid w:val="00BC19A4"/>
    <w:rsid w:val="00BC33E7"/>
    <w:rsid w:val="00BC39CD"/>
    <w:rsid w:val="00BC4455"/>
    <w:rsid w:val="00BC4C46"/>
    <w:rsid w:val="00BC5213"/>
    <w:rsid w:val="00BC5AD6"/>
    <w:rsid w:val="00BC60A5"/>
    <w:rsid w:val="00BC77DA"/>
    <w:rsid w:val="00BC7EE6"/>
    <w:rsid w:val="00BD0116"/>
    <w:rsid w:val="00BD13FF"/>
    <w:rsid w:val="00BD2232"/>
    <w:rsid w:val="00BD43BA"/>
    <w:rsid w:val="00BD54BC"/>
    <w:rsid w:val="00BD6202"/>
    <w:rsid w:val="00BD64E9"/>
    <w:rsid w:val="00BD67B1"/>
    <w:rsid w:val="00BD6F20"/>
    <w:rsid w:val="00BE13F8"/>
    <w:rsid w:val="00BE1F69"/>
    <w:rsid w:val="00BE4B4E"/>
    <w:rsid w:val="00BE4D56"/>
    <w:rsid w:val="00BE5A16"/>
    <w:rsid w:val="00BE6922"/>
    <w:rsid w:val="00BE70DA"/>
    <w:rsid w:val="00BE79BD"/>
    <w:rsid w:val="00BF067F"/>
    <w:rsid w:val="00BF0859"/>
    <w:rsid w:val="00BF2ACB"/>
    <w:rsid w:val="00BF4D00"/>
    <w:rsid w:val="00BF6472"/>
    <w:rsid w:val="00BF7C11"/>
    <w:rsid w:val="00C00951"/>
    <w:rsid w:val="00C00F1C"/>
    <w:rsid w:val="00C018AC"/>
    <w:rsid w:val="00C01CE2"/>
    <w:rsid w:val="00C04AC9"/>
    <w:rsid w:val="00C052A9"/>
    <w:rsid w:val="00C06442"/>
    <w:rsid w:val="00C06A02"/>
    <w:rsid w:val="00C06F0E"/>
    <w:rsid w:val="00C078E8"/>
    <w:rsid w:val="00C07D6B"/>
    <w:rsid w:val="00C07F10"/>
    <w:rsid w:val="00C11F0C"/>
    <w:rsid w:val="00C12D0B"/>
    <w:rsid w:val="00C170E1"/>
    <w:rsid w:val="00C17A83"/>
    <w:rsid w:val="00C20B69"/>
    <w:rsid w:val="00C21BC2"/>
    <w:rsid w:val="00C2251F"/>
    <w:rsid w:val="00C23789"/>
    <w:rsid w:val="00C24A14"/>
    <w:rsid w:val="00C306F2"/>
    <w:rsid w:val="00C30BFB"/>
    <w:rsid w:val="00C31604"/>
    <w:rsid w:val="00C3395D"/>
    <w:rsid w:val="00C34ECD"/>
    <w:rsid w:val="00C37AB8"/>
    <w:rsid w:val="00C40ED5"/>
    <w:rsid w:val="00C4163A"/>
    <w:rsid w:val="00C41B92"/>
    <w:rsid w:val="00C42165"/>
    <w:rsid w:val="00C4241F"/>
    <w:rsid w:val="00C42F58"/>
    <w:rsid w:val="00C43CA0"/>
    <w:rsid w:val="00C4550C"/>
    <w:rsid w:val="00C457AC"/>
    <w:rsid w:val="00C47342"/>
    <w:rsid w:val="00C50A44"/>
    <w:rsid w:val="00C52BB4"/>
    <w:rsid w:val="00C52D83"/>
    <w:rsid w:val="00C53355"/>
    <w:rsid w:val="00C53C69"/>
    <w:rsid w:val="00C53C81"/>
    <w:rsid w:val="00C53EE6"/>
    <w:rsid w:val="00C54313"/>
    <w:rsid w:val="00C54A33"/>
    <w:rsid w:val="00C55060"/>
    <w:rsid w:val="00C57501"/>
    <w:rsid w:val="00C57607"/>
    <w:rsid w:val="00C57FA2"/>
    <w:rsid w:val="00C62B2C"/>
    <w:rsid w:val="00C62BDF"/>
    <w:rsid w:val="00C65BC5"/>
    <w:rsid w:val="00C661F4"/>
    <w:rsid w:val="00C66C39"/>
    <w:rsid w:val="00C67C59"/>
    <w:rsid w:val="00C70BC8"/>
    <w:rsid w:val="00C71783"/>
    <w:rsid w:val="00C722A8"/>
    <w:rsid w:val="00C728C6"/>
    <w:rsid w:val="00C73602"/>
    <w:rsid w:val="00C75064"/>
    <w:rsid w:val="00C75430"/>
    <w:rsid w:val="00C7549A"/>
    <w:rsid w:val="00C76EED"/>
    <w:rsid w:val="00C77684"/>
    <w:rsid w:val="00C82DBD"/>
    <w:rsid w:val="00C84701"/>
    <w:rsid w:val="00C85501"/>
    <w:rsid w:val="00C859EC"/>
    <w:rsid w:val="00C866D0"/>
    <w:rsid w:val="00C87516"/>
    <w:rsid w:val="00C91CDA"/>
    <w:rsid w:val="00C9265A"/>
    <w:rsid w:val="00C940C6"/>
    <w:rsid w:val="00C95440"/>
    <w:rsid w:val="00C969E0"/>
    <w:rsid w:val="00C97812"/>
    <w:rsid w:val="00C978DE"/>
    <w:rsid w:val="00CA3418"/>
    <w:rsid w:val="00CA55D2"/>
    <w:rsid w:val="00CA586A"/>
    <w:rsid w:val="00CA6674"/>
    <w:rsid w:val="00CA72B7"/>
    <w:rsid w:val="00CB08FF"/>
    <w:rsid w:val="00CB0BF1"/>
    <w:rsid w:val="00CB1709"/>
    <w:rsid w:val="00CB2314"/>
    <w:rsid w:val="00CB3811"/>
    <w:rsid w:val="00CB4C21"/>
    <w:rsid w:val="00CB59EC"/>
    <w:rsid w:val="00CC0071"/>
    <w:rsid w:val="00CC041A"/>
    <w:rsid w:val="00CC1E34"/>
    <w:rsid w:val="00CC4EAF"/>
    <w:rsid w:val="00CC5F53"/>
    <w:rsid w:val="00CC6CB4"/>
    <w:rsid w:val="00CC7C2E"/>
    <w:rsid w:val="00CD1D6D"/>
    <w:rsid w:val="00CD239A"/>
    <w:rsid w:val="00CD3696"/>
    <w:rsid w:val="00CD3FA2"/>
    <w:rsid w:val="00CD43AF"/>
    <w:rsid w:val="00CD59F2"/>
    <w:rsid w:val="00CD5BFE"/>
    <w:rsid w:val="00CD74B8"/>
    <w:rsid w:val="00CD7E47"/>
    <w:rsid w:val="00CE12D5"/>
    <w:rsid w:val="00CE1432"/>
    <w:rsid w:val="00CE2C4C"/>
    <w:rsid w:val="00CE4DF7"/>
    <w:rsid w:val="00CE6AFE"/>
    <w:rsid w:val="00CF07B0"/>
    <w:rsid w:val="00CF1FB5"/>
    <w:rsid w:val="00CF26B6"/>
    <w:rsid w:val="00CF52EC"/>
    <w:rsid w:val="00CF5E1A"/>
    <w:rsid w:val="00CF69DF"/>
    <w:rsid w:val="00CF6F38"/>
    <w:rsid w:val="00CF7981"/>
    <w:rsid w:val="00D0051F"/>
    <w:rsid w:val="00D00D22"/>
    <w:rsid w:val="00D02D98"/>
    <w:rsid w:val="00D02EB7"/>
    <w:rsid w:val="00D04365"/>
    <w:rsid w:val="00D049C6"/>
    <w:rsid w:val="00D05176"/>
    <w:rsid w:val="00D069C9"/>
    <w:rsid w:val="00D070CB"/>
    <w:rsid w:val="00D10CEB"/>
    <w:rsid w:val="00D11E2D"/>
    <w:rsid w:val="00D163C7"/>
    <w:rsid w:val="00D16C4B"/>
    <w:rsid w:val="00D179E8"/>
    <w:rsid w:val="00D210DA"/>
    <w:rsid w:val="00D246E8"/>
    <w:rsid w:val="00D249DC"/>
    <w:rsid w:val="00D2756B"/>
    <w:rsid w:val="00D27706"/>
    <w:rsid w:val="00D30A57"/>
    <w:rsid w:val="00D31837"/>
    <w:rsid w:val="00D33968"/>
    <w:rsid w:val="00D346D7"/>
    <w:rsid w:val="00D35421"/>
    <w:rsid w:val="00D36E52"/>
    <w:rsid w:val="00D41AF5"/>
    <w:rsid w:val="00D423FF"/>
    <w:rsid w:val="00D433A7"/>
    <w:rsid w:val="00D45577"/>
    <w:rsid w:val="00D5033E"/>
    <w:rsid w:val="00D5086A"/>
    <w:rsid w:val="00D50A99"/>
    <w:rsid w:val="00D51DED"/>
    <w:rsid w:val="00D5277D"/>
    <w:rsid w:val="00D53A8F"/>
    <w:rsid w:val="00D56AAD"/>
    <w:rsid w:val="00D60586"/>
    <w:rsid w:val="00D627C3"/>
    <w:rsid w:val="00D64E8B"/>
    <w:rsid w:val="00D67159"/>
    <w:rsid w:val="00D67E46"/>
    <w:rsid w:val="00D70419"/>
    <w:rsid w:val="00D705F9"/>
    <w:rsid w:val="00D70D05"/>
    <w:rsid w:val="00D7283E"/>
    <w:rsid w:val="00D729A8"/>
    <w:rsid w:val="00D72EB2"/>
    <w:rsid w:val="00D73C8D"/>
    <w:rsid w:val="00D75057"/>
    <w:rsid w:val="00D7551A"/>
    <w:rsid w:val="00D756C8"/>
    <w:rsid w:val="00D8059B"/>
    <w:rsid w:val="00D8138F"/>
    <w:rsid w:val="00D84355"/>
    <w:rsid w:val="00D862E7"/>
    <w:rsid w:val="00D8719C"/>
    <w:rsid w:val="00D873FC"/>
    <w:rsid w:val="00D87AA3"/>
    <w:rsid w:val="00D908B2"/>
    <w:rsid w:val="00D909ED"/>
    <w:rsid w:val="00D911C1"/>
    <w:rsid w:val="00D92074"/>
    <w:rsid w:val="00D93A30"/>
    <w:rsid w:val="00D93A71"/>
    <w:rsid w:val="00D944F2"/>
    <w:rsid w:val="00D94A80"/>
    <w:rsid w:val="00D964D4"/>
    <w:rsid w:val="00D965A8"/>
    <w:rsid w:val="00D967B7"/>
    <w:rsid w:val="00DA09B2"/>
    <w:rsid w:val="00DA371D"/>
    <w:rsid w:val="00DA38A4"/>
    <w:rsid w:val="00DA4061"/>
    <w:rsid w:val="00DA4479"/>
    <w:rsid w:val="00DA6643"/>
    <w:rsid w:val="00DA76C2"/>
    <w:rsid w:val="00DB012C"/>
    <w:rsid w:val="00DB0BFB"/>
    <w:rsid w:val="00DB4688"/>
    <w:rsid w:val="00DB576B"/>
    <w:rsid w:val="00DB5835"/>
    <w:rsid w:val="00DB6618"/>
    <w:rsid w:val="00DB6A32"/>
    <w:rsid w:val="00DB7A08"/>
    <w:rsid w:val="00DC285E"/>
    <w:rsid w:val="00DC2932"/>
    <w:rsid w:val="00DC5057"/>
    <w:rsid w:val="00DC6353"/>
    <w:rsid w:val="00DD0E02"/>
    <w:rsid w:val="00DD17AA"/>
    <w:rsid w:val="00DD221A"/>
    <w:rsid w:val="00DD3D57"/>
    <w:rsid w:val="00DD5065"/>
    <w:rsid w:val="00DD5C43"/>
    <w:rsid w:val="00DD64D2"/>
    <w:rsid w:val="00DE02EA"/>
    <w:rsid w:val="00DE1BF0"/>
    <w:rsid w:val="00DE2021"/>
    <w:rsid w:val="00DE38A8"/>
    <w:rsid w:val="00DE403C"/>
    <w:rsid w:val="00DE6CFA"/>
    <w:rsid w:val="00DE7123"/>
    <w:rsid w:val="00DE73D1"/>
    <w:rsid w:val="00DF0CCF"/>
    <w:rsid w:val="00DF14A7"/>
    <w:rsid w:val="00DF317C"/>
    <w:rsid w:val="00DF3831"/>
    <w:rsid w:val="00DF446D"/>
    <w:rsid w:val="00DF55C3"/>
    <w:rsid w:val="00E006D9"/>
    <w:rsid w:val="00E009D9"/>
    <w:rsid w:val="00E02E5E"/>
    <w:rsid w:val="00E04C83"/>
    <w:rsid w:val="00E0795A"/>
    <w:rsid w:val="00E07B91"/>
    <w:rsid w:val="00E12334"/>
    <w:rsid w:val="00E128B9"/>
    <w:rsid w:val="00E129A6"/>
    <w:rsid w:val="00E12E28"/>
    <w:rsid w:val="00E12E8A"/>
    <w:rsid w:val="00E13C3B"/>
    <w:rsid w:val="00E14D9D"/>
    <w:rsid w:val="00E15948"/>
    <w:rsid w:val="00E15C6F"/>
    <w:rsid w:val="00E15DE4"/>
    <w:rsid w:val="00E202F3"/>
    <w:rsid w:val="00E23440"/>
    <w:rsid w:val="00E250CD"/>
    <w:rsid w:val="00E3099E"/>
    <w:rsid w:val="00E30AD2"/>
    <w:rsid w:val="00E32E39"/>
    <w:rsid w:val="00E337AE"/>
    <w:rsid w:val="00E3418F"/>
    <w:rsid w:val="00E3460D"/>
    <w:rsid w:val="00E35C4F"/>
    <w:rsid w:val="00E36222"/>
    <w:rsid w:val="00E36952"/>
    <w:rsid w:val="00E36CB9"/>
    <w:rsid w:val="00E420BC"/>
    <w:rsid w:val="00E4328A"/>
    <w:rsid w:val="00E439CF"/>
    <w:rsid w:val="00E43F89"/>
    <w:rsid w:val="00E43FDF"/>
    <w:rsid w:val="00E45687"/>
    <w:rsid w:val="00E4583E"/>
    <w:rsid w:val="00E45B2E"/>
    <w:rsid w:val="00E46097"/>
    <w:rsid w:val="00E47140"/>
    <w:rsid w:val="00E47EAF"/>
    <w:rsid w:val="00E50435"/>
    <w:rsid w:val="00E50CB4"/>
    <w:rsid w:val="00E52B9D"/>
    <w:rsid w:val="00E53C25"/>
    <w:rsid w:val="00E560A4"/>
    <w:rsid w:val="00E560B5"/>
    <w:rsid w:val="00E56667"/>
    <w:rsid w:val="00E56C22"/>
    <w:rsid w:val="00E57611"/>
    <w:rsid w:val="00E602A4"/>
    <w:rsid w:val="00E63C2D"/>
    <w:rsid w:val="00E6448F"/>
    <w:rsid w:val="00E64BA9"/>
    <w:rsid w:val="00E66097"/>
    <w:rsid w:val="00E70863"/>
    <w:rsid w:val="00E716B5"/>
    <w:rsid w:val="00E7198F"/>
    <w:rsid w:val="00E719A8"/>
    <w:rsid w:val="00E72463"/>
    <w:rsid w:val="00E734AF"/>
    <w:rsid w:val="00E7367E"/>
    <w:rsid w:val="00E7453C"/>
    <w:rsid w:val="00E74D96"/>
    <w:rsid w:val="00E759F7"/>
    <w:rsid w:val="00E76576"/>
    <w:rsid w:val="00E76FF4"/>
    <w:rsid w:val="00E77ACC"/>
    <w:rsid w:val="00E8001F"/>
    <w:rsid w:val="00E800E8"/>
    <w:rsid w:val="00E80C3E"/>
    <w:rsid w:val="00E82D51"/>
    <w:rsid w:val="00E83877"/>
    <w:rsid w:val="00E8601B"/>
    <w:rsid w:val="00E8620D"/>
    <w:rsid w:val="00E87355"/>
    <w:rsid w:val="00E8783B"/>
    <w:rsid w:val="00E911C1"/>
    <w:rsid w:val="00E91C9B"/>
    <w:rsid w:val="00E91CFA"/>
    <w:rsid w:val="00E91F8D"/>
    <w:rsid w:val="00E93753"/>
    <w:rsid w:val="00E93DDE"/>
    <w:rsid w:val="00E9497E"/>
    <w:rsid w:val="00E95253"/>
    <w:rsid w:val="00E958D7"/>
    <w:rsid w:val="00E96FB1"/>
    <w:rsid w:val="00E97497"/>
    <w:rsid w:val="00EA18C5"/>
    <w:rsid w:val="00EA25A9"/>
    <w:rsid w:val="00EA44B2"/>
    <w:rsid w:val="00EA45E1"/>
    <w:rsid w:val="00EA4C94"/>
    <w:rsid w:val="00EA519D"/>
    <w:rsid w:val="00EA58FA"/>
    <w:rsid w:val="00EA65C6"/>
    <w:rsid w:val="00EA69A6"/>
    <w:rsid w:val="00EA700E"/>
    <w:rsid w:val="00EA7475"/>
    <w:rsid w:val="00EB16E4"/>
    <w:rsid w:val="00EB39C8"/>
    <w:rsid w:val="00EB55D6"/>
    <w:rsid w:val="00EB57EA"/>
    <w:rsid w:val="00EB65A3"/>
    <w:rsid w:val="00EB714D"/>
    <w:rsid w:val="00EC0424"/>
    <w:rsid w:val="00EC0B17"/>
    <w:rsid w:val="00EC38ED"/>
    <w:rsid w:val="00EC3E24"/>
    <w:rsid w:val="00EC40F6"/>
    <w:rsid w:val="00EC566D"/>
    <w:rsid w:val="00ED0F92"/>
    <w:rsid w:val="00ED3E97"/>
    <w:rsid w:val="00ED4D71"/>
    <w:rsid w:val="00ED4F66"/>
    <w:rsid w:val="00ED5B39"/>
    <w:rsid w:val="00ED72BB"/>
    <w:rsid w:val="00ED76B4"/>
    <w:rsid w:val="00EE215D"/>
    <w:rsid w:val="00EE25EE"/>
    <w:rsid w:val="00EE3118"/>
    <w:rsid w:val="00EE50B9"/>
    <w:rsid w:val="00EE704F"/>
    <w:rsid w:val="00EF103D"/>
    <w:rsid w:val="00EF1AFE"/>
    <w:rsid w:val="00EF3DBD"/>
    <w:rsid w:val="00EF48BD"/>
    <w:rsid w:val="00EF55F9"/>
    <w:rsid w:val="00EF58B9"/>
    <w:rsid w:val="00EF6B7E"/>
    <w:rsid w:val="00EF76AC"/>
    <w:rsid w:val="00EF7FBA"/>
    <w:rsid w:val="00F01167"/>
    <w:rsid w:val="00F02EEB"/>
    <w:rsid w:val="00F0772F"/>
    <w:rsid w:val="00F1355E"/>
    <w:rsid w:val="00F13984"/>
    <w:rsid w:val="00F1441F"/>
    <w:rsid w:val="00F16FD3"/>
    <w:rsid w:val="00F21FEF"/>
    <w:rsid w:val="00F2260D"/>
    <w:rsid w:val="00F24877"/>
    <w:rsid w:val="00F25789"/>
    <w:rsid w:val="00F260CE"/>
    <w:rsid w:val="00F26341"/>
    <w:rsid w:val="00F2682A"/>
    <w:rsid w:val="00F26B9C"/>
    <w:rsid w:val="00F2795A"/>
    <w:rsid w:val="00F27D5E"/>
    <w:rsid w:val="00F315ED"/>
    <w:rsid w:val="00F321AA"/>
    <w:rsid w:val="00F32348"/>
    <w:rsid w:val="00F34E55"/>
    <w:rsid w:val="00F34FD4"/>
    <w:rsid w:val="00F36692"/>
    <w:rsid w:val="00F366D0"/>
    <w:rsid w:val="00F37B4D"/>
    <w:rsid w:val="00F4004D"/>
    <w:rsid w:val="00F400EE"/>
    <w:rsid w:val="00F40B1C"/>
    <w:rsid w:val="00F40F5D"/>
    <w:rsid w:val="00F41540"/>
    <w:rsid w:val="00F41AA9"/>
    <w:rsid w:val="00F43CFC"/>
    <w:rsid w:val="00F44240"/>
    <w:rsid w:val="00F44535"/>
    <w:rsid w:val="00F449DD"/>
    <w:rsid w:val="00F476AA"/>
    <w:rsid w:val="00F50F2C"/>
    <w:rsid w:val="00F52B69"/>
    <w:rsid w:val="00F52F4E"/>
    <w:rsid w:val="00F532EA"/>
    <w:rsid w:val="00F53A99"/>
    <w:rsid w:val="00F54D27"/>
    <w:rsid w:val="00F55B42"/>
    <w:rsid w:val="00F57B57"/>
    <w:rsid w:val="00F6085F"/>
    <w:rsid w:val="00F60C5D"/>
    <w:rsid w:val="00F6385D"/>
    <w:rsid w:val="00F64448"/>
    <w:rsid w:val="00F65AE3"/>
    <w:rsid w:val="00F67C50"/>
    <w:rsid w:val="00F713AF"/>
    <w:rsid w:val="00F71BFD"/>
    <w:rsid w:val="00F72B7E"/>
    <w:rsid w:val="00F73069"/>
    <w:rsid w:val="00F74A37"/>
    <w:rsid w:val="00F758C9"/>
    <w:rsid w:val="00F75A18"/>
    <w:rsid w:val="00F75EE2"/>
    <w:rsid w:val="00F77898"/>
    <w:rsid w:val="00F80BA3"/>
    <w:rsid w:val="00F825E8"/>
    <w:rsid w:val="00F836EF"/>
    <w:rsid w:val="00F84433"/>
    <w:rsid w:val="00F84A33"/>
    <w:rsid w:val="00F8566B"/>
    <w:rsid w:val="00F85EFA"/>
    <w:rsid w:val="00F875F6"/>
    <w:rsid w:val="00F87ACB"/>
    <w:rsid w:val="00F87CD9"/>
    <w:rsid w:val="00F91B32"/>
    <w:rsid w:val="00F92C8D"/>
    <w:rsid w:val="00F9450B"/>
    <w:rsid w:val="00F9470C"/>
    <w:rsid w:val="00F949FF"/>
    <w:rsid w:val="00F96F64"/>
    <w:rsid w:val="00F97733"/>
    <w:rsid w:val="00FA03FF"/>
    <w:rsid w:val="00FA3F8D"/>
    <w:rsid w:val="00FA4041"/>
    <w:rsid w:val="00FA5BD0"/>
    <w:rsid w:val="00FA7819"/>
    <w:rsid w:val="00FA79BF"/>
    <w:rsid w:val="00FB1253"/>
    <w:rsid w:val="00FB17C2"/>
    <w:rsid w:val="00FB1827"/>
    <w:rsid w:val="00FB25AE"/>
    <w:rsid w:val="00FB2AB1"/>
    <w:rsid w:val="00FB378A"/>
    <w:rsid w:val="00FB3B87"/>
    <w:rsid w:val="00FB3DE4"/>
    <w:rsid w:val="00FB3E83"/>
    <w:rsid w:val="00FB491A"/>
    <w:rsid w:val="00FB5480"/>
    <w:rsid w:val="00FB65C6"/>
    <w:rsid w:val="00FB70CF"/>
    <w:rsid w:val="00FC0C92"/>
    <w:rsid w:val="00FC67B2"/>
    <w:rsid w:val="00FC74CA"/>
    <w:rsid w:val="00FC7C32"/>
    <w:rsid w:val="00FC7C84"/>
    <w:rsid w:val="00FC7FA9"/>
    <w:rsid w:val="00FD0312"/>
    <w:rsid w:val="00FD0B2C"/>
    <w:rsid w:val="00FD0CA8"/>
    <w:rsid w:val="00FD10C7"/>
    <w:rsid w:val="00FD3474"/>
    <w:rsid w:val="00FD4B71"/>
    <w:rsid w:val="00FD70AA"/>
    <w:rsid w:val="00FD7CE1"/>
    <w:rsid w:val="00FE041F"/>
    <w:rsid w:val="00FE09DF"/>
    <w:rsid w:val="00FE2726"/>
    <w:rsid w:val="00FE2A0F"/>
    <w:rsid w:val="00FE2B16"/>
    <w:rsid w:val="00FE3D08"/>
    <w:rsid w:val="00FE42E8"/>
    <w:rsid w:val="00FE563A"/>
    <w:rsid w:val="00FE56B3"/>
    <w:rsid w:val="00FE5C9F"/>
    <w:rsid w:val="00FE7AE7"/>
    <w:rsid w:val="00FF016C"/>
    <w:rsid w:val="00FF0BD7"/>
    <w:rsid w:val="00FF190B"/>
    <w:rsid w:val="00FF20A7"/>
    <w:rsid w:val="00FF3A06"/>
    <w:rsid w:val="00FF41E8"/>
    <w:rsid w:val="00FF433D"/>
    <w:rsid w:val="00FF458B"/>
    <w:rsid w:val="00FF54F4"/>
    <w:rsid w:val="00FF55A8"/>
    <w:rsid w:val="00FF5980"/>
    <w:rsid w:val="00FF5B79"/>
    <w:rsid w:val="00FF71A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730C4"/>
  <w15:chartTrackingRefBased/>
  <w15:docId w15:val="{47608518-F3E5-406B-9E2D-4D77CD13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customStyle="1" w:styleId="Normal1">
    <w:name w:val="Normal1"/>
    <w:rsid w:val="00CE12D5"/>
    <w:pPr>
      <w:widowControl w:val="0"/>
    </w:pPr>
    <w:rPr>
      <w:rFonts w:ascii="Times New Roman" w:eastAsia="Times New Roman" w:hAnsi="Times New Roman" w:cs="Times New Roman"/>
      <w:color w:val="000000"/>
      <w:sz w:val="28"/>
      <w:szCs w:val="28"/>
      <w:lang w:val="es-CO" w:eastAsia="es-ES"/>
    </w:rPr>
  </w:style>
  <w:style w:type="paragraph" w:styleId="NormalWeb">
    <w:name w:val="Normal (Web)"/>
    <w:basedOn w:val="Normal"/>
    <w:uiPriority w:val="99"/>
    <w:unhideWhenUsed/>
    <w:rsid w:val="00337211"/>
    <w:pPr>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1389E-5349-49FF-A25D-BF6598A8B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1E40F16B-3E64-4AD3-868D-998F689F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2278</Words>
  <Characters>12535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Windows User</cp:lastModifiedBy>
  <cp:revision>10</cp:revision>
  <cp:lastPrinted>2020-10-28T23:04:00Z</cp:lastPrinted>
  <dcterms:created xsi:type="dcterms:W3CDTF">2021-09-27T21:15:00Z</dcterms:created>
  <dcterms:modified xsi:type="dcterms:W3CDTF">2021-10-18T23:43:00Z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