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013CD" w14:textId="77777777" w:rsidR="000C5DB7" w:rsidRDefault="000C5DB7" w:rsidP="00750A47">
      <w:pPr>
        <w:pStyle w:val="Sinespaciado"/>
        <w:contextualSpacing/>
      </w:pPr>
      <w:r w:rsidRPr="000C5DB7">
        <w:t>CONSEJERO PONENTE: JAIME ENRIQUE RODRÍGUEZ NAVAS</w:t>
      </w:r>
    </w:p>
    <w:p w14:paraId="0A37501D" w14:textId="77777777" w:rsidR="00F91B32" w:rsidRPr="000C5DB7" w:rsidRDefault="00F91B32" w:rsidP="00750A47">
      <w:pPr>
        <w:spacing w:line="276" w:lineRule="auto"/>
        <w:contextualSpacing/>
        <w:rPr>
          <w:b/>
          <w:bCs/>
          <w:sz w:val="24"/>
          <w:szCs w:val="24"/>
        </w:rPr>
      </w:pPr>
    </w:p>
    <w:p w14:paraId="27DAFC7B" w14:textId="5069982D" w:rsidR="000C5DB7" w:rsidRPr="000C5DB7" w:rsidRDefault="000C5DB7" w:rsidP="00750A47">
      <w:pPr>
        <w:spacing w:line="276" w:lineRule="auto"/>
        <w:contextualSpacing/>
        <w:rPr>
          <w:bCs/>
          <w:sz w:val="24"/>
          <w:szCs w:val="24"/>
        </w:rPr>
      </w:pPr>
      <w:r w:rsidRPr="000C5DB7">
        <w:rPr>
          <w:bCs/>
          <w:sz w:val="24"/>
          <w:szCs w:val="24"/>
        </w:rPr>
        <w:t>Bogotá D.C</w:t>
      </w:r>
      <w:r w:rsidRPr="00CA0AC1">
        <w:rPr>
          <w:bCs/>
          <w:sz w:val="24"/>
          <w:szCs w:val="24"/>
        </w:rPr>
        <w:t xml:space="preserve">., </w:t>
      </w:r>
      <w:r w:rsidR="00BC0387">
        <w:rPr>
          <w:bCs/>
          <w:sz w:val="24"/>
          <w:szCs w:val="24"/>
        </w:rPr>
        <w:t xml:space="preserve">veinticuatro (24) de septiembre de </w:t>
      </w:r>
      <w:r w:rsidRPr="000C5DB7">
        <w:rPr>
          <w:bCs/>
          <w:sz w:val="24"/>
          <w:szCs w:val="24"/>
        </w:rPr>
        <w:t xml:space="preserve">dos mil </w:t>
      </w:r>
      <w:r w:rsidR="00FC3B95">
        <w:rPr>
          <w:bCs/>
          <w:sz w:val="24"/>
          <w:szCs w:val="24"/>
        </w:rPr>
        <w:t>veintiuno</w:t>
      </w:r>
      <w:r w:rsidRPr="000C5DB7">
        <w:rPr>
          <w:bCs/>
          <w:sz w:val="24"/>
          <w:szCs w:val="24"/>
        </w:rPr>
        <w:t xml:space="preserve"> (</w:t>
      </w:r>
      <w:r w:rsidR="00FC3B95">
        <w:rPr>
          <w:bCs/>
          <w:sz w:val="24"/>
          <w:szCs w:val="24"/>
        </w:rPr>
        <w:t>2021</w:t>
      </w:r>
      <w:r w:rsidRPr="000C5DB7">
        <w:rPr>
          <w:bCs/>
          <w:sz w:val="24"/>
          <w:szCs w:val="24"/>
        </w:rPr>
        <w:t>).</w:t>
      </w:r>
    </w:p>
    <w:p w14:paraId="5DAB6C7B" w14:textId="77777777" w:rsidR="00F91B32" w:rsidRPr="000C5DB7" w:rsidRDefault="00F91B32" w:rsidP="00750A47">
      <w:pPr>
        <w:spacing w:line="276" w:lineRule="auto"/>
        <w:contextualSpacing/>
        <w:rPr>
          <w:b/>
          <w:sz w:val="24"/>
          <w:szCs w:val="24"/>
        </w:rPr>
      </w:pPr>
    </w:p>
    <w:p w14:paraId="4B2076D9" w14:textId="373C4A8F" w:rsidR="000C5DB7" w:rsidRPr="000C5DB7" w:rsidRDefault="000C5DB7" w:rsidP="00750A47">
      <w:pPr>
        <w:spacing w:line="276" w:lineRule="auto"/>
        <w:ind w:left="1985" w:hanging="1985"/>
        <w:contextualSpacing/>
        <w:rPr>
          <w:b/>
          <w:sz w:val="24"/>
          <w:szCs w:val="24"/>
        </w:rPr>
      </w:pPr>
      <w:r w:rsidRPr="000C5DB7">
        <w:rPr>
          <w:b/>
          <w:sz w:val="24"/>
          <w:szCs w:val="24"/>
        </w:rPr>
        <w:t xml:space="preserve">Referencia: </w:t>
      </w:r>
      <w:r w:rsidRPr="000C5DB7">
        <w:rPr>
          <w:b/>
          <w:sz w:val="24"/>
          <w:szCs w:val="24"/>
        </w:rPr>
        <w:tab/>
      </w:r>
      <w:r w:rsidRPr="000C5DB7">
        <w:rPr>
          <w:sz w:val="24"/>
          <w:szCs w:val="24"/>
        </w:rPr>
        <w:t>A</w:t>
      </w:r>
      <w:r w:rsidR="00E45687">
        <w:rPr>
          <w:sz w:val="24"/>
          <w:szCs w:val="24"/>
        </w:rPr>
        <w:t>cción de tutela</w:t>
      </w:r>
    </w:p>
    <w:p w14:paraId="312E3558" w14:textId="58BF4FF1" w:rsidR="000C5DB7" w:rsidRPr="000C5DB7" w:rsidRDefault="000C5DB7" w:rsidP="00750A47">
      <w:pPr>
        <w:tabs>
          <w:tab w:val="left" w:pos="1985"/>
        </w:tabs>
        <w:spacing w:line="276" w:lineRule="auto"/>
        <w:contextualSpacing/>
        <w:rPr>
          <w:sz w:val="24"/>
          <w:szCs w:val="24"/>
        </w:rPr>
      </w:pPr>
      <w:r w:rsidRPr="000C5DB7">
        <w:rPr>
          <w:b/>
          <w:sz w:val="24"/>
          <w:szCs w:val="24"/>
        </w:rPr>
        <w:t>Radicación:</w:t>
      </w:r>
      <w:r w:rsidRPr="000C5DB7">
        <w:rPr>
          <w:b/>
          <w:sz w:val="24"/>
          <w:szCs w:val="24"/>
        </w:rPr>
        <w:tab/>
      </w:r>
      <w:r w:rsidR="00FC3B95">
        <w:rPr>
          <w:sz w:val="24"/>
          <w:szCs w:val="24"/>
        </w:rPr>
        <w:t>11001-03-15-000-2021-04471</w:t>
      </w:r>
      <w:r w:rsidR="007C6D45">
        <w:rPr>
          <w:sz w:val="24"/>
          <w:szCs w:val="24"/>
        </w:rPr>
        <w:t>-00</w:t>
      </w:r>
    </w:p>
    <w:p w14:paraId="026AD8F6" w14:textId="635F142F" w:rsidR="000C5DB7" w:rsidRPr="000C5DB7" w:rsidRDefault="000C5DB7" w:rsidP="00750A47">
      <w:pPr>
        <w:tabs>
          <w:tab w:val="left" w:pos="1985"/>
        </w:tabs>
        <w:spacing w:line="276" w:lineRule="auto"/>
        <w:contextualSpacing/>
        <w:rPr>
          <w:sz w:val="24"/>
          <w:szCs w:val="24"/>
        </w:rPr>
      </w:pPr>
      <w:r w:rsidRPr="000C5DB7">
        <w:rPr>
          <w:b/>
          <w:sz w:val="24"/>
          <w:szCs w:val="24"/>
        </w:rPr>
        <w:t>Accionante:</w:t>
      </w:r>
      <w:r w:rsidRPr="000C5DB7">
        <w:rPr>
          <w:b/>
          <w:sz w:val="24"/>
          <w:szCs w:val="24"/>
        </w:rPr>
        <w:tab/>
      </w:r>
      <w:r w:rsidR="002302AE">
        <w:rPr>
          <w:bCs/>
          <w:sz w:val="24"/>
          <w:szCs w:val="24"/>
        </w:rPr>
        <w:t>Javier Machado Quiroz</w:t>
      </w:r>
    </w:p>
    <w:p w14:paraId="33F7332A" w14:textId="13644229" w:rsidR="000C5DB7" w:rsidRPr="000C5DB7" w:rsidRDefault="000C5DB7" w:rsidP="00750A47">
      <w:pPr>
        <w:tabs>
          <w:tab w:val="left" w:pos="1985"/>
        </w:tabs>
        <w:spacing w:line="276" w:lineRule="auto"/>
        <w:ind w:left="1985" w:right="51" w:hanging="1985"/>
        <w:contextualSpacing/>
        <w:rPr>
          <w:bCs/>
          <w:sz w:val="24"/>
          <w:szCs w:val="24"/>
        </w:rPr>
      </w:pPr>
      <w:r w:rsidRPr="000C5DB7">
        <w:rPr>
          <w:b/>
          <w:sz w:val="24"/>
          <w:szCs w:val="24"/>
        </w:rPr>
        <w:t>Accionado:</w:t>
      </w:r>
      <w:r w:rsidRPr="000C5DB7">
        <w:rPr>
          <w:b/>
          <w:sz w:val="24"/>
          <w:szCs w:val="24"/>
        </w:rPr>
        <w:tab/>
      </w:r>
      <w:r w:rsidR="007C6D45">
        <w:rPr>
          <w:bCs/>
          <w:sz w:val="24"/>
          <w:szCs w:val="24"/>
        </w:rPr>
        <w:t xml:space="preserve">Tribunal Administrativo del </w:t>
      </w:r>
      <w:r w:rsidR="006065E6">
        <w:rPr>
          <w:bCs/>
          <w:sz w:val="24"/>
          <w:szCs w:val="24"/>
        </w:rPr>
        <w:t>Cesar</w:t>
      </w:r>
    </w:p>
    <w:p w14:paraId="02EB378F" w14:textId="77777777" w:rsidR="000C5DB7" w:rsidRPr="000C5DB7" w:rsidRDefault="000C5DB7" w:rsidP="00750A47">
      <w:pPr>
        <w:tabs>
          <w:tab w:val="left" w:pos="8222"/>
        </w:tabs>
        <w:spacing w:line="276" w:lineRule="auto"/>
        <w:ind w:right="51"/>
        <w:contextualSpacing/>
        <w:rPr>
          <w:b/>
          <w:sz w:val="24"/>
          <w:szCs w:val="24"/>
        </w:rPr>
      </w:pPr>
    </w:p>
    <w:p w14:paraId="33BB1AA0" w14:textId="55EAC92B" w:rsidR="000C5DB7" w:rsidRPr="000C5DB7" w:rsidRDefault="000C5DB7" w:rsidP="00750A47">
      <w:pPr>
        <w:pBdr>
          <w:bottom w:val="single" w:sz="12" w:space="0" w:color="auto"/>
        </w:pBdr>
        <w:spacing w:line="276" w:lineRule="auto"/>
        <w:ind w:left="2832" w:hanging="2832"/>
        <w:contextualSpacing/>
        <w:rPr>
          <w:b/>
          <w:sz w:val="24"/>
          <w:szCs w:val="24"/>
        </w:rPr>
      </w:pPr>
      <w:r w:rsidRPr="000C5DB7">
        <w:rPr>
          <w:b/>
          <w:sz w:val="24"/>
          <w:szCs w:val="24"/>
        </w:rPr>
        <w:t xml:space="preserve">SENTENCIA DE </w:t>
      </w:r>
      <w:r w:rsidR="007C6D45">
        <w:rPr>
          <w:b/>
          <w:sz w:val="24"/>
          <w:szCs w:val="24"/>
        </w:rPr>
        <w:t>PRIMERA</w:t>
      </w:r>
      <w:r w:rsidRPr="000C5DB7">
        <w:rPr>
          <w:b/>
          <w:sz w:val="24"/>
          <w:szCs w:val="24"/>
        </w:rPr>
        <w:t xml:space="preserve"> INSTANCIA</w:t>
      </w:r>
    </w:p>
    <w:p w14:paraId="6A05A809" w14:textId="77777777" w:rsidR="000C5DB7" w:rsidRPr="000C5DB7" w:rsidRDefault="000C5DB7" w:rsidP="00750A47">
      <w:pPr>
        <w:spacing w:line="276" w:lineRule="auto"/>
        <w:contextualSpacing/>
        <w:jc w:val="center"/>
        <w:rPr>
          <w:b/>
          <w:sz w:val="24"/>
          <w:szCs w:val="24"/>
        </w:rPr>
      </w:pPr>
    </w:p>
    <w:p w14:paraId="3FC18551" w14:textId="0978A77B" w:rsidR="0097486A" w:rsidRPr="0097486A" w:rsidRDefault="000C5DB7" w:rsidP="00955DB0">
      <w:pPr>
        <w:tabs>
          <w:tab w:val="left" w:pos="0"/>
        </w:tabs>
        <w:contextualSpacing/>
        <w:rPr>
          <w:sz w:val="24"/>
          <w:szCs w:val="24"/>
        </w:rPr>
      </w:pPr>
      <w:r w:rsidRPr="000C5DB7">
        <w:rPr>
          <w:sz w:val="24"/>
          <w:szCs w:val="24"/>
        </w:rPr>
        <w:t>La Sala decide</w:t>
      </w:r>
      <w:r w:rsidR="007C6D45">
        <w:rPr>
          <w:sz w:val="24"/>
          <w:szCs w:val="24"/>
        </w:rPr>
        <w:t xml:space="preserve"> </w:t>
      </w:r>
      <w:r w:rsidR="0097486A">
        <w:rPr>
          <w:sz w:val="24"/>
          <w:szCs w:val="24"/>
        </w:rPr>
        <w:t xml:space="preserve">la </w:t>
      </w:r>
      <w:r w:rsidR="006065E6">
        <w:rPr>
          <w:sz w:val="24"/>
          <w:szCs w:val="24"/>
        </w:rPr>
        <w:t>acción de tutela presentada por Javier Machado Quiroz</w:t>
      </w:r>
      <w:r w:rsidR="00091925">
        <w:rPr>
          <w:sz w:val="24"/>
          <w:szCs w:val="24"/>
        </w:rPr>
        <w:t xml:space="preserve"> en </w:t>
      </w:r>
      <w:r w:rsidR="0097486A">
        <w:rPr>
          <w:sz w:val="24"/>
          <w:szCs w:val="24"/>
        </w:rPr>
        <w:t xml:space="preserve">contra </w:t>
      </w:r>
      <w:r w:rsidR="00091925">
        <w:rPr>
          <w:sz w:val="24"/>
          <w:szCs w:val="24"/>
        </w:rPr>
        <w:t>de</w:t>
      </w:r>
      <w:r w:rsidR="005E57A6">
        <w:rPr>
          <w:sz w:val="24"/>
          <w:szCs w:val="24"/>
        </w:rPr>
        <w:t xml:space="preserve"> </w:t>
      </w:r>
      <w:r w:rsidR="00091925">
        <w:rPr>
          <w:sz w:val="24"/>
          <w:szCs w:val="24"/>
        </w:rPr>
        <w:t>l</w:t>
      </w:r>
      <w:r w:rsidR="005E57A6">
        <w:rPr>
          <w:sz w:val="24"/>
          <w:szCs w:val="24"/>
        </w:rPr>
        <w:t>a sentencia</w:t>
      </w:r>
      <w:r w:rsidR="00F5043B">
        <w:rPr>
          <w:sz w:val="24"/>
          <w:szCs w:val="24"/>
        </w:rPr>
        <w:t xml:space="preserve"> de segunda instancia,</w:t>
      </w:r>
      <w:r w:rsidR="005E57A6">
        <w:rPr>
          <w:sz w:val="24"/>
          <w:szCs w:val="24"/>
        </w:rPr>
        <w:t xml:space="preserve"> proferida por el</w:t>
      </w:r>
      <w:r w:rsidR="00091925">
        <w:rPr>
          <w:sz w:val="24"/>
          <w:szCs w:val="24"/>
        </w:rPr>
        <w:t xml:space="preserve"> </w:t>
      </w:r>
      <w:r w:rsidR="00091925">
        <w:rPr>
          <w:bCs/>
          <w:sz w:val="24"/>
          <w:szCs w:val="24"/>
        </w:rPr>
        <w:t xml:space="preserve">Tribunal Administrativo del </w:t>
      </w:r>
      <w:r w:rsidR="002302AE">
        <w:rPr>
          <w:bCs/>
          <w:sz w:val="24"/>
          <w:szCs w:val="24"/>
        </w:rPr>
        <w:t>Ce</w:t>
      </w:r>
      <w:r w:rsidR="006065E6">
        <w:rPr>
          <w:bCs/>
          <w:sz w:val="24"/>
          <w:szCs w:val="24"/>
        </w:rPr>
        <w:t>sar</w:t>
      </w:r>
      <w:r w:rsidR="00F5043B">
        <w:rPr>
          <w:bCs/>
          <w:sz w:val="24"/>
          <w:szCs w:val="24"/>
        </w:rPr>
        <w:t>,</w:t>
      </w:r>
      <w:r w:rsidR="005E57A6">
        <w:rPr>
          <w:bCs/>
          <w:sz w:val="24"/>
          <w:szCs w:val="24"/>
        </w:rPr>
        <w:t xml:space="preserve"> dentro del proceso</w:t>
      </w:r>
      <w:r w:rsidR="00F5043B">
        <w:rPr>
          <w:bCs/>
          <w:sz w:val="24"/>
          <w:szCs w:val="24"/>
        </w:rPr>
        <w:t xml:space="preserve"> de reparación directa con</w:t>
      </w:r>
      <w:r w:rsidR="005E57A6">
        <w:rPr>
          <w:bCs/>
          <w:sz w:val="24"/>
          <w:szCs w:val="24"/>
        </w:rPr>
        <w:t xml:space="preserve"> radicado número </w:t>
      </w:r>
      <w:r w:rsidR="005E57A6">
        <w:rPr>
          <w:sz w:val="24"/>
          <w:szCs w:val="24"/>
        </w:rPr>
        <w:t>20001-33-33-002-2017-00124-01</w:t>
      </w:r>
      <w:r w:rsidR="00F5043B">
        <w:rPr>
          <w:sz w:val="24"/>
          <w:szCs w:val="24"/>
        </w:rPr>
        <w:t xml:space="preserve"> que resolvió denegar las pretensiones de la demanda</w:t>
      </w:r>
      <w:r w:rsidR="00091925">
        <w:rPr>
          <w:bCs/>
          <w:sz w:val="24"/>
          <w:szCs w:val="24"/>
        </w:rPr>
        <w:t>.</w:t>
      </w:r>
      <w:r w:rsidR="00091925">
        <w:rPr>
          <w:sz w:val="24"/>
          <w:szCs w:val="24"/>
        </w:rPr>
        <w:t xml:space="preserve"> </w:t>
      </w:r>
    </w:p>
    <w:p w14:paraId="0F10BAA5" w14:textId="77777777" w:rsidR="000C5DB7" w:rsidRPr="00FF190B" w:rsidRDefault="000C5DB7" w:rsidP="00955DB0">
      <w:pPr>
        <w:pStyle w:val="Ttulo1"/>
        <w:spacing w:line="240" w:lineRule="auto"/>
        <w:contextualSpacing/>
      </w:pPr>
      <w:r w:rsidRPr="00FF190B">
        <w:t>ANTECEDENTES</w:t>
      </w:r>
    </w:p>
    <w:p w14:paraId="0BDA70C6" w14:textId="77777777" w:rsidR="00FF190B" w:rsidRPr="00FF190B" w:rsidRDefault="000C5DB7" w:rsidP="00955DB0">
      <w:pPr>
        <w:pStyle w:val="Ttulo2"/>
        <w:contextualSpacing/>
        <w:rPr>
          <w:lang w:eastAsia="es-ES"/>
        </w:rPr>
      </w:pPr>
      <w:r w:rsidRPr="000C5DB7">
        <w:rPr>
          <w:lang w:eastAsia="es-ES"/>
        </w:rPr>
        <w:t>Solicitud de tutela</w:t>
      </w:r>
    </w:p>
    <w:p w14:paraId="7525B6F3" w14:textId="6421849D" w:rsidR="00750A47" w:rsidRPr="00F320D2" w:rsidRDefault="00DE3A9A" w:rsidP="00955DB0">
      <w:pPr>
        <w:tabs>
          <w:tab w:val="left" w:pos="1985"/>
        </w:tabs>
        <w:contextualSpacing/>
        <w:rPr>
          <w:sz w:val="24"/>
          <w:szCs w:val="24"/>
        </w:rPr>
      </w:pPr>
      <w:r>
        <w:rPr>
          <w:sz w:val="24"/>
          <w:szCs w:val="24"/>
        </w:rPr>
        <w:t>Ja</w:t>
      </w:r>
      <w:r w:rsidR="002302AE">
        <w:rPr>
          <w:sz w:val="24"/>
          <w:szCs w:val="24"/>
        </w:rPr>
        <w:t>vier Machado Quiroz</w:t>
      </w:r>
      <w:r w:rsidR="00750A47" w:rsidRPr="00F320D2">
        <w:rPr>
          <w:sz w:val="24"/>
          <w:szCs w:val="24"/>
        </w:rPr>
        <w:t xml:space="preserve">, </w:t>
      </w:r>
      <w:r w:rsidR="002302AE">
        <w:rPr>
          <w:sz w:val="24"/>
          <w:szCs w:val="24"/>
        </w:rPr>
        <w:t xml:space="preserve">en nombre propio, </w:t>
      </w:r>
      <w:r w:rsidR="003626BA">
        <w:rPr>
          <w:sz w:val="24"/>
          <w:szCs w:val="24"/>
        </w:rPr>
        <w:t xml:space="preserve">presentó acción de tutela el 13 de julio de 2021 y </w:t>
      </w:r>
      <w:r w:rsidR="002302AE">
        <w:rPr>
          <w:sz w:val="24"/>
          <w:szCs w:val="24"/>
        </w:rPr>
        <w:t>solicitó</w:t>
      </w:r>
      <w:r w:rsidR="00750A47" w:rsidRPr="00F320D2">
        <w:rPr>
          <w:sz w:val="24"/>
          <w:szCs w:val="24"/>
        </w:rPr>
        <w:t xml:space="preserve"> el amparo </w:t>
      </w:r>
      <w:r w:rsidR="005144B2">
        <w:rPr>
          <w:sz w:val="24"/>
          <w:szCs w:val="24"/>
        </w:rPr>
        <w:t>de su</w:t>
      </w:r>
      <w:r w:rsidR="00D40C90">
        <w:rPr>
          <w:sz w:val="24"/>
          <w:szCs w:val="24"/>
        </w:rPr>
        <w:t>s</w:t>
      </w:r>
      <w:r w:rsidR="005144B2">
        <w:rPr>
          <w:sz w:val="24"/>
          <w:szCs w:val="24"/>
        </w:rPr>
        <w:t xml:space="preserve"> derecho</w:t>
      </w:r>
      <w:r w:rsidR="00D40C90">
        <w:rPr>
          <w:sz w:val="24"/>
          <w:szCs w:val="24"/>
        </w:rPr>
        <w:t>s</w:t>
      </w:r>
      <w:r w:rsidR="00A9321C">
        <w:rPr>
          <w:sz w:val="24"/>
          <w:szCs w:val="24"/>
        </w:rPr>
        <w:t>:</w:t>
      </w:r>
      <w:r w:rsidR="005144B2">
        <w:rPr>
          <w:sz w:val="24"/>
          <w:szCs w:val="24"/>
        </w:rPr>
        <w:t xml:space="preserve"> </w:t>
      </w:r>
      <w:r w:rsidR="00D40C90">
        <w:rPr>
          <w:sz w:val="24"/>
          <w:szCs w:val="24"/>
        </w:rPr>
        <w:t xml:space="preserve">i) </w:t>
      </w:r>
      <w:r w:rsidR="005144B2">
        <w:rPr>
          <w:sz w:val="24"/>
          <w:szCs w:val="24"/>
        </w:rPr>
        <w:t>al debido proceso</w:t>
      </w:r>
      <w:r w:rsidR="00D24607">
        <w:rPr>
          <w:sz w:val="24"/>
          <w:szCs w:val="24"/>
        </w:rPr>
        <w:t>,</w:t>
      </w:r>
      <w:r w:rsidR="00D40C90">
        <w:rPr>
          <w:sz w:val="24"/>
          <w:szCs w:val="24"/>
        </w:rPr>
        <w:t xml:space="preserve"> ii) al acceso a la administración de justicia, iii)</w:t>
      </w:r>
      <w:r w:rsidR="00A9321C">
        <w:rPr>
          <w:sz w:val="24"/>
          <w:szCs w:val="24"/>
        </w:rPr>
        <w:t xml:space="preserve"> a la</w:t>
      </w:r>
      <w:r w:rsidR="00D40C90">
        <w:rPr>
          <w:sz w:val="24"/>
          <w:szCs w:val="24"/>
        </w:rPr>
        <w:t xml:space="preserve"> igualdad y iv) </w:t>
      </w:r>
      <w:r w:rsidR="00A9321C">
        <w:rPr>
          <w:sz w:val="24"/>
          <w:szCs w:val="24"/>
        </w:rPr>
        <w:t xml:space="preserve">a la </w:t>
      </w:r>
      <w:r w:rsidR="00D40C90">
        <w:rPr>
          <w:sz w:val="24"/>
          <w:szCs w:val="24"/>
        </w:rPr>
        <w:t>reparación integral,</w:t>
      </w:r>
      <w:r w:rsidR="002302AE">
        <w:rPr>
          <w:sz w:val="24"/>
          <w:szCs w:val="24"/>
        </w:rPr>
        <w:t xml:space="preserve"> que consideró</w:t>
      </w:r>
      <w:r w:rsidR="00750A47" w:rsidRPr="00F320D2">
        <w:rPr>
          <w:sz w:val="24"/>
          <w:szCs w:val="24"/>
        </w:rPr>
        <w:t xml:space="preserve"> vulnerado</w:t>
      </w:r>
      <w:r w:rsidR="00D40C90">
        <w:rPr>
          <w:sz w:val="24"/>
          <w:szCs w:val="24"/>
        </w:rPr>
        <w:t>s</w:t>
      </w:r>
      <w:r w:rsidR="00750A47" w:rsidRPr="00F320D2">
        <w:rPr>
          <w:sz w:val="24"/>
          <w:szCs w:val="24"/>
        </w:rPr>
        <w:t xml:space="preserve"> con ocasión de la sentencia proferida el </w:t>
      </w:r>
      <w:r w:rsidR="00D40C90">
        <w:rPr>
          <w:sz w:val="24"/>
          <w:szCs w:val="24"/>
        </w:rPr>
        <w:t>10 de septiembre de 2020</w:t>
      </w:r>
      <w:r w:rsidR="001D5374">
        <w:rPr>
          <w:sz w:val="24"/>
          <w:szCs w:val="24"/>
        </w:rPr>
        <w:t xml:space="preserve"> por</w:t>
      </w:r>
      <w:r w:rsidR="001D5374" w:rsidRPr="00F320D2">
        <w:rPr>
          <w:sz w:val="24"/>
          <w:szCs w:val="24"/>
        </w:rPr>
        <w:t xml:space="preserve"> el Tribunal Administrativo del </w:t>
      </w:r>
      <w:r w:rsidR="00D40C90">
        <w:rPr>
          <w:sz w:val="24"/>
          <w:szCs w:val="24"/>
        </w:rPr>
        <w:t>Cesar</w:t>
      </w:r>
      <w:r w:rsidR="0049403C">
        <w:rPr>
          <w:sz w:val="24"/>
          <w:szCs w:val="24"/>
        </w:rPr>
        <w:t>,</w:t>
      </w:r>
      <w:r w:rsidR="0049403C" w:rsidRPr="0049403C">
        <w:rPr>
          <w:sz w:val="24"/>
          <w:szCs w:val="24"/>
        </w:rPr>
        <w:t xml:space="preserve"> </w:t>
      </w:r>
      <w:r w:rsidR="0049403C">
        <w:rPr>
          <w:sz w:val="24"/>
          <w:szCs w:val="24"/>
        </w:rPr>
        <w:t xml:space="preserve">en </w:t>
      </w:r>
      <w:r w:rsidR="0049403C" w:rsidRPr="000C120A">
        <w:rPr>
          <w:sz w:val="24"/>
          <w:szCs w:val="24"/>
        </w:rPr>
        <w:t xml:space="preserve">el proceso de reparación directa identificado con el número de radicación </w:t>
      </w:r>
      <w:r w:rsidR="00D40C90">
        <w:rPr>
          <w:sz w:val="24"/>
          <w:szCs w:val="24"/>
        </w:rPr>
        <w:t>20001-33-33-002-2017-00124-01</w:t>
      </w:r>
      <w:r w:rsidR="0049403C">
        <w:rPr>
          <w:sz w:val="24"/>
          <w:szCs w:val="24"/>
        </w:rPr>
        <w:t>,</w:t>
      </w:r>
      <w:r w:rsidR="00A76BB3">
        <w:rPr>
          <w:sz w:val="24"/>
          <w:szCs w:val="24"/>
        </w:rPr>
        <w:t xml:space="preserve"> que</w:t>
      </w:r>
      <w:r w:rsidR="00750A47" w:rsidRPr="00F320D2">
        <w:rPr>
          <w:sz w:val="24"/>
          <w:szCs w:val="24"/>
        </w:rPr>
        <w:t xml:space="preserve"> revocó la decisión de primera instancia </w:t>
      </w:r>
      <w:r w:rsidR="0095180B">
        <w:rPr>
          <w:sz w:val="24"/>
          <w:szCs w:val="24"/>
        </w:rPr>
        <w:t>dictada</w:t>
      </w:r>
      <w:r w:rsidR="00DC12CB">
        <w:rPr>
          <w:sz w:val="24"/>
          <w:szCs w:val="24"/>
        </w:rPr>
        <w:t xml:space="preserve"> por</w:t>
      </w:r>
      <w:r w:rsidR="0095180B">
        <w:rPr>
          <w:sz w:val="24"/>
          <w:szCs w:val="24"/>
        </w:rPr>
        <w:t xml:space="preserve"> </w:t>
      </w:r>
      <w:r w:rsidR="00750A47" w:rsidRPr="00F320D2">
        <w:rPr>
          <w:sz w:val="24"/>
          <w:szCs w:val="24"/>
        </w:rPr>
        <w:t xml:space="preserve">el Juzgado Segundo Administrativo de </w:t>
      </w:r>
      <w:r w:rsidR="00D40C90">
        <w:rPr>
          <w:sz w:val="24"/>
          <w:szCs w:val="24"/>
        </w:rPr>
        <w:t>Valledupar</w:t>
      </w:r>
      <w:r w:rsidR="00750A47" w:rsidRPr="00F320D2">
        <w:rPr>
          <w:sz w:val="24"/>
          <w:szCs w:val="24"/>
        </w:rPr>
        <w:t xml:space="preserve">, y en su lugar, </w:t>
      </w:r>
      <w:r w:rsidR="00750A47" w:rsidRPr="003626BA">
        <w:rPr>
          <w:sz w:val="24"/>
          <w:szCs w:val="24"/>
        </w:rPr>
        <w:t xml:space="preserve">determinó que la privación de la libertad a la que había sido sometido el señor </w:t>
      </w:r>
      <w:r w:rsidR="003626BA" w:rsidRPr="003626BA">
        <w:rPr>
          <w:sz w:val="24"/>
          <w:szCs w:val="24"/>
        </w:rPr>
        <w:t>Machado Quiroz</w:t>
      </w:r>
      <w:r w:rsidR="000C120A" w:rsidRPr="003626BA">
        <w:rPr>
          <w:sz w:val="24"/>
          <w:szCs w:val="24"/>
        </w:rPr>
        <w:t xml:space="preserve"> </w:t>
      </w:r>
      <w:r w:rsidR="00414CB4" w:rsidRPr="003626BA">
        <w:rPr>
          <w:sz w:val="24"/>
          <w:szCs w:val="24"/>
        </w:rPr>
        <w:t>respetó</w:t>
      </w:r>
      <w:r w:rsidR="00750A47" w:rsidRPr="003626BA">
        <w:rPr>
          <w:sz w:val="24"/>
          <w:szCs w:val="24"/>
        </w:rPr>
        <w:t xml:space="preserve"> los criterios de legalidad, razonabilidad y proporcionalidad.</w:t>
      </w:r>
      <w:r w:rsidR="008506F6" w:rsidRPr="008506F6">
        <w:rPr>
          <w:sz w:val="24"/>
          <w:szCs w:val="24"/>
        </w:rPr>
        <w:t xml:space="preserve"> </w:t>
      </w:r>
    </w:p>
    <w:p w14:paraId="41C8F396" w14:textId="77777777" w:rsidR="000C5DB7" w:rsidRPr="000C5DB7" w:rsidRDefault="000C5DB7" w:rsidP="00955DB0">
      <w:pPr>
        <w:contextualSpacing/>
        <w:rPr>
          <w:rFonts w:eastAsia="Verdana"/>
          <w:sz w:val="24"/>
          <w:szCs w:val="24"/>
        </w:rPr>
      </w:pPr>
    </w:p>
    <w:p w14:paraId="58EE99FC" w14:textId="77777777" w:rsidR="000C5DB7" w:rsidRPr="00660203" w:rsidRDefault="000C5DB7" w:rsidP="00955DB0">
      <w:pPr>
        <w:numPr>
          <w:ilvl w:val="0"/>
          <w:numId w:val="3"/>
        </w:numPr>
        <w:contextualSpacing/>
        <w:rPr>
          <w:rFonts w:eastAsia="Verdana"/>
          <w:b/>
          <w:sz w:val="24"/>
          <w:szCs w:val="24"/>
        </w:rPr>
      </w:pPr>
      <w:r w:rsidRPr="00660203">
        <w:rPr>
          <w:rFonts w:eastAsia="Verdana"/>
          <w:b/>
          <w:sz w:val="24"/>
          <w:szCs w:val="24"/>
        </w:rPr>
        <w:t>Hechos</w:t>
      </w:r>
    </w:p>
    <w:p w14:paraId="72A3D3EC" w14:textId="77777777" w:rsidR="00166AF6" w:rsidRPr="00660203" w:rsidRDefault="00166AF6" w:rsidP="00955DB0">
      <w:pPr>
        <w:contextualSpacing/>
        <w:rPr>
          <w:rFonts w:eastAsia="Verdana"/>
          <w:sz w:val="24"/>
          <w:szCs w:val="24"/>
        </w:rPr>
      </w:pPr>
    </w:p>
    <w:p w14:paraId="685F7C51" w14:textId="10AEF211" w:rsidR="004168CB" w:rsidRDefault="00660203" w:rsidP="00955DB0">
      <w:pPr>
        <w:rPr>
          <w:sz w:val="24"/>
          <w:szCs w:val="24"/>
        </w:rPr>
      </w:pPr>
      <w:r w:rsidRPr="00660203">
        <w:rPr>
          <w:b/>
          <w:sz w:val="24"/>
          <w:szCs w:val="24"/>
        </w:rPr>
        <w:t>2.1.</w:t>
      </w:r>
      <w:r w:rsidRPr="00660203">
        <w:rPr>
          <w:sz w:val="24"/>
          <w:szCs w:val="24"/>
        </w:rPr>
        <w:t xml:space="preserve"> </w:t>
      </w:r>
      <w:r w:rsidR="003E4559">
        <w:rPr>
          <w:sz w:val="24"/>
          <w:szCs w:val="24"/>
        </w:rPr>
        <w:t>Javier Machado Quiroz y sus familiares</w:t>
      </w:r>
      <w:r w:rsidR="00973D95" w:rsidRPr="00660203">
        <w:rPr>
          <w:sz w:val="24"/>
          <w:szCs w:val="24"/>
        </w:rPr>
        <w:t xml:space="preserve"> </w:t>
      </w:r>
      <w:r w:rsidR="003E4559">
        <w:rPr>
          <w:sz w:val="24"/>
          <w:szCs w:val="24"/>
        </w:rPr>
        <w:t>presentaron</w:t>
      </w:r>
      <w:r w:rsidRPr="00660203">
        <w:rPr>
          <w:sz w:val="24"/>
          <w:szCs w:val="24"/>
        </w:rPr>
        <w:t xml:space="preserve"> demanda de reparación directa en contra </w:t>
      </w:r>
      <w:r>
        <w:rPr>
          <w:sz w:val="24"/>
          <w:szCs w:val="24"/>
        </w:rPr>
        <w:t xml:space="preserve">de la Rama Judicial </w:t>
      </w:r>
      <w:r w:rsidR="006F0DA6">
        <w:rPr>
          <w:sz w:val="24"/>
          <w:szCs w:val="24"/>
        </w:rPr>
        <w:t>y</w:t>
      </w:r>
      <w:r>
        <w:rPr>
          <w:sz w:val="24"/>
          <w:szCs w:val="24"/>
        </w:rPr>
        <w:t xml:space="preserve"> </w:t>
      </w:r>
      <w:r w:rsidR="00FC5CFC">
        <w:rPr>
          <w:sz w:val="24"/>
          <w:szCs w:val="24"/>
        </w:rPr>
        <w:t xml:space="preserve">la </w:t>
      </w:r>
      <w:r>
        <w:rPr>
          <w:sz w:val="24"/>
          <w:szCs w:val="24"/>
        </w:rPr>
        <w:t xml:space="preserve">Fiscalía General de la Nación </w:t>
      </w:r>
      <w:r w:rsidR="00016073">
        <w:rPr>
          <w:sz w:val="24"/>
          <w:szCs w:val="24"/>
        </w:rPr>
        <w:t>con la pretensión de que se le</w:t>
      </w:r>
      <w:r w:rsidR="006F0DA6">
        <w:rPr>
          <w:sz w:val="24"/>
          <w:szCs w:val="24"/>
        </w:rPr>
        <w:t>s</w:t>
      </w:r>
      <w:r w:rsidR="00016073">
        <w:rPr>
          <w:sz w:val="24"/>
          <w:szCs w:val="24"/>
        </w:rPr>
        <w:t xml:space="preserve"> decl</w:t>
      </w:r>
      <w:r w:rsidR="00E942CD">
        <w:rPr>
          <w:sz w:val="24"/>
          <w:szCs w:val="24"/>
        </w:rPr>
        <w:t>a</w:t>
      </w:r>
      <w:r w:rsidR="00016073">
        <w:rPr>
          <w:sz w:val="24"/>
          <w:szCs w:val="24"/>
        </w:rPr>
        <w:t>rara administrativa y patrimonialmente responsable</w:t>
      </w:r>
      <w:r w:rsidR="006F0DA6">
        <w:rPr>
          <w:sz w:val="24"/>
          <w:szCs w:val="24"/>
        </w:rPr>
        <w:t>s</w:t>
      </w:r>
      <w:r w:rsidR="006B7444">
        <w:rPr>
          <w:sz w:val="24"/>
          <w:szCs w:val="24"/>
        </w:rPr>
        <w:t xml:space="preserve"> por</w:t>
      </w:r>
      <w:r w:rsidR="00F52C48">
        <w:rPr>
          <w:sz w:val="24"/>
          <w:szCs w:val="24"/>
        </w:rPr>
        <w:t xml:space="preserve"> haber privado inj</w:t>
      </w:r>
      <w:r w:rsidR="00587FEE">
        <w:rPr>
          <w:sz w:val="24"/>
          <w:szCs w:val="24"/>
        </w:rPr>
        <w:t>ustamente</w:t>
      </w:r>
      <w:r w:rsidR="0031300C">
        <w:rPr>
          <w:sz w:val="24"/>
          <w:szCs w:val="24"/>
        </w:rPr>
        <w:t xml:space="preserve"> </w:t>
      </w:r>
      <w:r w:rsidR="006B7444">
        <w:rPr>
          <w:sz w:val="24"/>
          <w:szCs w:val="24"/>
        </w:rPr>
        <w:t>de la libertad a</w:t>
      </w:r>
      <w:r w:rsidR="00016073">
        <w:rPr>
          <w:sz w:val="24"/>
          <w:szCs w:val="24"/>
        </w:rPr>
        <w:t xml:space="preserve">l </w:t>
      </w:r>
      <w:r w:rsidR="003E4559">
        <w:rPr>
          <w:sz w:val="24"/>
          <w:szCs w:val="24"/>
        </w:rPr>
        <w:t>antes nombrado</w:t>
      </w:r>
      <w:r w:rsidR="006B2C81">
        <w:rPr>
          <w:sz w:val="24"/>
          <w:szCs w:val="24"/>
        </w:rPr>
        <w:t xml:space="preserve">, </w:t>
      </w:r>
      <w:r w:rsidR="006B2C81" w:rsidRPr="001558E3">
        <w:rPr>
          <w:sz w:val="24"/>
          <w:szCs w:val="24"/>
        </w:rPr>
        <w:t>quien estuvo detenido</w:t>
      </w:r>
      <w:r w:rsidR="000B57FA" w:rsidRPr="001558E3">
        <w:rPr>
          <w:sz w:val="24"/>
          <w:szCs w:val="24"/>
        </w:rPr>
        <w:t xml:space="preserve"> en establecimiento carcelario</w:t>
      </w:r>
      <w:r w:rsidR="006B2C81" w:rsidRPr="001558E3">
        <w:rPr>
          <w:sz w:val="24"/>
          <w:szCs w:val="24"/>
        </w:rPr>
        <w:t xml:space="preserve"> mientras </w:t>
      </w:r>
      <w:r w:rsidR="007C5005" w:rsidRPr="001558E3">
        <w:rPr>
          <w:sz w:val="24"/>
          <w:szCs w:val="24"/>
        </w:rPr>
        <w:t>se adelantó</w:t>
      </w:r>
      <w:r w:rsidR="001558E3" w:rsidRPr="001558E3">
        <w:rPr>
          <w:sz w:val="24"/>
          <w:szCs w:val="24"/>
        </w:rPr>
        <w:t xml:space="preserve"> en su contra</w:t>
      </w:r>
      <w:r w:rsidR="00E66008" w:rsidRPr="001558E3">
        <w:rPr>
          <w:sz w:val="24"/>
          <w:szCs w:val="24"/>
        </w:rPr>
        <w:t xml:space="preserve"> </w:t>
      </w:r>
      <w:r w:rsidR="0067299C" w:rsidRPr="001558E3">
        <w:rPr>
          <w:sz w:val="24"/>
          <w:szCs w:val="24"/>
        </w:rPr>
        <w:t>el</w:t>
      </w:r>
      <w:r w:rsidR="007C5005" w:rsidRPr="001558E3">
        <w:rPr>
          <w:sz w:val="24"/>
          <w:szCs w:val="24"/>
        </w:rPr>
        <w:t xml:space="preserve"> proceso penal</w:t>
      </w:r>
      <w:r w:rsidR="001558E3" w:rsidRPr="001558E3">
        <w:rPr>
          <w:sz w:val="24"/>
          <w:szCs w:val="24"/>
        </w:rPr>
        <w:t xml:space="preserve"> identificado con </w:t>
      </w:r>
      <w:r w:rsidR="00DE7A4E">
        <w:rPr>
          <w:sz w:val="24"/>
          <w:szCs w:val="24"/>
        </w:rPr>
        <w:t xml:space="preserve">el </w:t>
      </w:r>
      <w:r w:rsidR="001558E3" w:rsidRPr="001558E3">
        <w:rPr>
          <w:sz w:val="24"/>
          <w:szCs w:val="24"/>
        </w:rPr>
        <w:t>número de radicación</w:t>
      </w:r>
      <w:r w:rsidR="001558E3">
        <w:rPr>
          <w:sz w:val="24"/>
          <w:szCs w:val="24"/>
        </w:rPr>
        <w:t xml:space="preserve"> </w:t>
      </w:r>
      <w:r w:rsidR="00C72278">
        <w:rPr>
          <w:sz w:val="24"/>
          <w:szCs w:val="24"/>
        </w:rPr>
        <w:t>2005-00057.</w:t>
      </w:r>
    </w:p>
    <w:p w14:paraId="62F7D880" w14:textId="77777777" w:rsidR="002103BE" w:rsidRDefault="002103BE" w:rsidP="00955DB0">
      <w:pPr>
        <w:rPr>
          <w:rFonts w:eastAsia="Verdana"/>
          <w:sz w:val="24"/>
          <w:szCs w:val="24"/>
        </w:rPr>
      </w:pPr>
    </w:p>
    <w:p w14:paraId="5F02EEDA" w14:textId="51FE1BC0" w:rsidR="002103BE" w:rsidRDefault="002103BE" w:rsidP="00955DB0">
      <w:pPr>
        <w:rPr>
          <w:sz w:val="24"/>
          <w:szCs w:val="24"/>
        </w:rPr>
      </w:pPr>
      <w:r w:rsidRPr="002103BE">
        <w:rPr>
          <w:rFonts w:eastAsia="Verdana"/>
          <w:b/>
          <w:sz w:val="24"/>
          <w:szCs w:val="24"/>
        </w:rPr>
        <w:t>2.2.</w:t>
      </w:r>
      <w:r>
        <w:rPr>
          <w:rFonts w:eastAsia="Verdana"/>
          <w:sz w:val="24"/>
          <w:szCs w:val="24"/>
        </w:rPr>
        <w:t xml:space="preserve"> El Juz</w:t>
      </w:r>
      <w:r w:rsidR="003E4559">
        <w:rPr>
          <w:rFonts w:eastAsia="Verdana"/>
          <w:sz w:val="24"/>
          <w:szCs w:val="24"/>
        </w:rPr>
        <w:t>gado Segundo Administrativo de Valledupar</w:t>
      </w:r>
      <w:r w:rsidR="00A50D04">
        <w:rPr>
          <w:rFonts w:eastAsia="Verdana"/>
          <w:sz w:val="24"/>
          <w:szCs w:val="24"/>
        </w:rPr>
        <w:t>, en sentencia del 28</w:t>
      </w:r>
      <w:r>
        <w:rPr>
          <w:rFonts w:eastAsia="Verdana"/>
          <w:sz w:val="24"/>
          <w:szCs w:val="24"/>
        </w:rPr>
        <w:t xml:space="preserve"> de </w:t>
      </w:r>
      <w:r w:rsidR="00A50D04">
        <w:rPr>
          <w:rFonts w:eastAsia="Verdana"/>
          <w:sz w:val="24"/>
          <w:szCs w:val="24"/>
        </w:rPr>
        <w:t>junio</w:t>
      </w:r>
      <w:r>
        <w:rPr>
          <w:rFonts w:eastAsia="Verdana"/>
          <w:sz w:val="24"/>
          <w:szCs w:val="24"/>
        </w:rPr>
        <w:t xml:space="preserve"> de 201</w:t>
      </w:r>
      <w:r w:rsidR="00A50D04">
        <w:rPr>
          <w:rFonts w:eastAsia="Verdana"/>
          <w:sz w:val="24"/>
          <w:szCs w:val="24"/>
        </w:rPr>
        <w:t>8</w:t>
      </w:r>
      <w:r w:rsidR="002679B7">
        <w:rPr>
          <w:rStyle w:val="Refdenotaalpie"/>
          <w:rFonts w:eastAsia="Verdana"/>
          <w:sz w:val="24"/>
          <w:szCs w:val="24"/>
        </w:rPr>
        <w:footnoteReference w:id="1"/>
      </w:r>
      <w:r>
        <w:rPr>
          <w:rFonts w:eastAsia="Verdana"/>
          <w:sz w:val="24"/>
          <w:szCs w:val="24"/>
        </w:rPr>
        <w:t xml:space="preserve">, </w:t>
      </w:r>
      <w:r w:rsidR="00506960">
        <w:rPr>
          <w:rFonts w:eastAsia="Verdana"/>
          <w:sz w:val="24"/>
          <w:szCs w:val="24"/>
        </w:rPr>
        <w:t xml:space="preserve">accedió </w:t>
      </w:r>
      <w:r w:rsidR="00B73FC4" w:rsidRPr="00EE0022">
        <w:rPr>
          <w:rFonts w:eastAsia="Verdana"/>
          <w:sz w:val="24"/>
          <w:szCs w:val="24"/>
        </w:rPr>
        <w:t>parcialmente</w:t>
      </w:r>
      <w:r w:rsidR="00B73FC4">
        <w:rPr>
          <w:rFonts w:eastAsia="Verdana"/>
          <w:sz w:val="24"/>
          <w:szCs w:val="24"/>
        </w:rPr>
        <w:t xml:space="preserve"> </w:t>
      </w:r>
      <w:r w:rsidR="00506960">
        <w:rPr>
          <w:rFonts w:eastAsia="Verdana"/>
          <w:sz w:val="24"/>
          <w:szCs w:val="24"/>
        </w:rPr>
        <w:t xml:space="preserve">a las pretensiones de la demanda </w:t>
      </w:r>
      <w:r w:rsidR="00381B13">
        <w:rPr>
          <w:rFonts w:eastAsia="Verdana"/>
          <w:sz w:val="24"/>
          <w:szCs w:val="24"/>
        </w:rPr>
        <w:t>y condenó</w:t>
      </w:r>
      <w:r w:rsidR="00A50D04">
        <w:rPr>
          <w:rFonts w:eastAsia="Verdana"/>
          <w:sz w:val="24"/>
          <w:szCs w:val="24"/>
        </w:rPr>
        <w:t xml:space="preserve"> a la </w:t>
      </w:r>
      <w:r w:rsidR="008D1FD7">
        <w:rPr>
          <w:rFonts w:eastAsia="Verdana"/>
          <w:sz w:val="24"/>
          <w:szCs w:val="24"/>
        </w:rPr>
        <w:t xml:space="preserve">Fiscalía General de la Nación </w:t>
      </w:r>
      <w:r w:rsidR="001565AD">
        <w:rPr>
          <w:sz w:val="24"/>
          <w:szCs w:val="24"/>
        </w:rPr>
        <w:t>al pago de los perjuicios morales y materiales sufridos por los demandantes</w:t>
      </w:r>
      <w:r w:rsidR="00CF56C4">
        <w:rPr>
          <w:sz w:val="24"/>
          <w:szCs w:val="24"/>
        </w:rPr>
        <w:t xml:space="preserve"> con ocasión de la privación injusta de la libertad de la que fue objeto el señor Javier Machado Quiroz.</w:t>
      </w:r>
    </w:p>
    <w:p w14:paraId="5E057C03" w14:textId="77777777" w:rsidR="008D1FD7" w:rsidRDefault="008D1FD7" w:rsidP="00955DB0">
      <w:pPr>
        <w:rPr>
          <w:sz w:val="24"/>
          <w:szCs w:val="24"/>
        </w:rPr>
      </w:pPr>
    </w:p>
    <w:p w14:paraId="648298EA" w14:textId="2987B5FE" w:rsidR="00B26C58" w:rsidRDefault="008D1FD7" w:rsidP="00955DB0">
      <w:pPr>
        <w:rPr>
          <w:sz w:val="24"/>
          <w:szCs w:val="24"/>
        </w:rPr>
      </w:pPr>
      <w:r w:rsidRPr="003B4E88">
        <w:rPr>
          <w:b/>
          <w:sz w:val="24"/>
          <w:szCs w:val="24"/>
        </w:rPr>
        <w:lastRenderedPageBreak/>
        <w:t>2.3.</w:t>
      </w:r>
      <w:r>
        <w:rPr>
          <w:sz w:val="24"/>
          <w:szCs w:val="24"/>
        </w:rPr>
        <w:t xml:space="preserve"> </w:t>
      </w:r>
      <w:r w:rsidR="00B24B1E">
        <w:rPr>
          <w:sz w:val="24"/>
          <w:szCs w:val="24"/>
        </w:rPr>
        <w:t>La Fiscalía General de la Nación presentó recurso de apelación</w:t>
      </w:r>
      <w:r w:rsidR="00B24B1E">
        <w:rPr>
          <w:rStyle w:val="Refdenotaalpie"/>
          <w:sz w:val="24"/>
          <w:szCs w:val="24"/>
        </w:rPr>
        <w:footnoteReference w:id="2"/>
      </w:r>
      <w:r w:rsidR="00B24B1E">
        <w:rPr>
          <w:sz w:val="24"/>
          <w:szCs w:val="24"/>
        </w:rPr>
        <w:t xml:space="preserve"> en el que</w:t>
      </w:r>
      <w:r w:rsidR="00B26C58">
        <w:rPr>
          <w:sz w:val="24"/>
          <w:szCs w:val="24"/>
        </w:rPr>
        <w:t xml:space="preserve"> solicitó revocar la sentencia</w:t>
      </w:r>
      <w:r w:rsidR="00B26C58">
        <w:rPr>
          <w:i/>
          <w:sz w:val="24"/>
          <w:szCs w:val="24"/>
        </w:rPr>
        <w:t>,</w:t>
      </w:r>
      <w:r w:rsidR="00B26C58">
        <w:rPr>
          <w:sz w:val="24"/>
          <w:szCs w:val="24"/>
        </w:rPr>
        <w:t xml:space="preserve"> para el efecto</w:t>
      </w:r>
      <w:r w:rsidR="00B24B1E">
        <w:rPr>
          <w:sz w:val="24"/>
          <w:szCs w:val="24"/>
        </w:rPr>
        <w:t xml:space="preserve"> sostuvo</w:t>
      </w:r>
      <w:r w:rsidR="008F5CFD">
        <w:rPr>
          <w:sz w:val="24"/>
          <w:szCs w:val="24"/>
        </w:rPr>
        <w:t>: (i)</w:t>
      </w:r>
      <w:r w:rsidR="003B4E88">
        <w:rPr>
          <w:sz w:val="24"/>
          <w:szCs w:val="24"/>
        </w:rPr>
        <w:t xml:space="preserve"> q</w:t>
      </w:r>
      <w:r w:rsidR="00916F76">
        <w:rPr>
          <w:sz w:val="24"/>
          <w:szCs w:val="24"/>
        </w:rPr>
        <w:t>ue</w:t>
      </w:r>
      <w:r w:rsidR="008F5CFD">
        <w:rPr>
          <w:sz w:val="24"/>
          <w:szCs w:val="24"/>
        </w:rPr>
        <w:t xml:space="preserve"> actuó conforme a derecho</w:t>
      </w:r>
      <w:r w:rsidR="00F53638">
        <w:rPr>
          <w:sz w:val="24"/>
          <w:szCs w:val="24"/>
        </w:rPr>
        <w:t xml:space="preserve"> cumpliendo los requisitos establecidos en</w:t>
      </w:r>
      <w:r w:rsidR="00CB5887">
        <w:rPr>
          <w:sz w:val="24"/>
          <w:szCs w:val="24"/>
        </w:rPr>
        <w:t xml:space="preserve"> </w:t>
      </w:r>
      <w:r w:rsidR="003D7E9F">
        <w:rPr>
          <w:sz w:val="24"/>
          <w:szCs w:val="24"/>
        </w:rPr>
        <w:t>el Código de Procedimiento Penal</w:t>
      </w:r>
      <w:r w:rsidR="008F5CFD">
        <w:rPr>
          <w:sz w:val="24"/>
          <w:szCs w:val="24"/>
        </w:rPr>
        <w:t xml:space="preserve">; (ii) que la parte actora </w:t>
      </w:r>
      <w:r w:rsidR="00055484">
        <w:rPr>
          <w:sz w:val="24"/>
          <w:szCs w:val="24"/>
        </w:rPr>
        <w:t xml:space="preserve">no aportó </w:t>
      </w:r>
      <w:r w:rsidR="00B26C58">
        <w:rPr>
          <w:sz w:val="24"/>
          <w:szCs w:val="24"/>
        </w:rPr>
        <w:t>las pruebas suficientes para demostrar la certeza del acaecimiento de los hechos</w:t>
      </w:r>
      <w:r w:rsidR="00055484">
        <w:rPr>
          <w:sz w:val="24"/>
          <w:szCs w:val="24"/>
        </w:rPr>
        <w:t>; (iii) que</w:t>
      </w:r>
      <w:r w:rsidR="00BA1468">
        <w:rPr>
          <w:sz w:val="24"/>
          <w:szCs w:val="24"/>
        </w:rPr>
        <w:t xml:space="preserve"> </w:t>
      </w:r>
      <w:r w:rsidR="00B26C58">
        <w:rPr>
          <w:sz w:val="24"/>
          <w:szCs w:val="24"/>
        </w:rPr>
        <w:t>la parte actora no demostró los perjuicios morales que se concedieron a los tíos de la víctima directa conforme a la jurisprudencia del Consejo de Estado</w:t>
      </w:r>
      <w:r w:rsidR="00D07612">
        <w:rPr>
          <w:sz w:val="24"/>
          <w:szCs w:val="24"/>
        </w:rPr>
        <w:t>;</w:t>
      </w:r>
      <w:r w:rsidR="00B26C58">
        <w:rPr>
          <w:sz w:val="24"/>
          <w:szCs w:val="24"/>
        </w:rPr>
        <w:t xml:space="preserve"> iv) que la condena por concepto de lucro cesante, correspondiente a los 8.75 meses que tarda una persona en conseguir empleo, se trataba de una mera estadística y debía ser revocada</w:t>
      </w:r>
      <w:r w:rsidR="00D07612">
        <w:rPr>
          <w:sz w:val="24"/>
          <w:szCs w:val="24"/>
        </w:rPr>
        <w:t xml:space="preserve">; </w:t>
      </w:r>
      <w:r w:rsidR="00B26C58">
        <w:rPr>
          <w:sz w:val="24"/>
          <w:szCs w:val="24"/>
        </w:rPr>
        <w:t>y</w:t>
      </w:r>
      <w:r w:rsidR="00D07612">
        <w:rPr>
          <w:sz w:val="24"/>
          <w:szCs w:val="24"/>
        </w:rPr>
        <w:t>,</w:t>
      </w:r>
      <w:r w:rsidR="00B26C58">
        <w:rPr>
          <w:sz w:val="24"/>
          <w:szCs w:val="24"/>
        </w:rPr>
        <w:t xml:space="preserve"> v) que no había lugar a condenar en costas.</w:t>
      </w:r>
    </w:p>
    <w:p w14:paraId="48D733E2" w14:textId="77777777" w:rsidR="008506F6" w:rsidRDefault="008506F6" w:rsidP="00955DB0">
      <w:pPr>
        <w:rPr>
          <w:sz w:val="24"/>
          <w:szCs w:val="24"/>
        </w:rPr>
      </w:pPr>
    </w:p>
    <w:p w14:paraId="0A5CC494" w14:textId="4FE89ACE" w:rsidR="003C7E9C" w:rsidRDefault="008506F6" w:rsidP="00955DB0">
      <w:pPr>
        <w:rPr>
          <w:sz w:val="24"/>
          <w:szCs w:val="24"/>
        </w:rPr>
      </w:pPr>
      <w:r w:rsidRPr="001E1952">
        <w:rPr>
          <w:b/>
          <w:sz w:val="24"/>
          <w:szCs w:val="24"/>
        </w:rPr>
        <w:t>2.4.</w:t>
      </w:r>
      <w:r w:rsidRPr="001E1952">
        <w:rPr>
          <w:sz w:val="24"/>
          <w:szCs w:val="24"/>
        </w:rPr>
        <w:t xml:space="preserve"> El Tribunal Administrativo de</w:t>
      </w:r>
      <w:r w:rsidR="00631D83">
        <w:rPr>
          <w:sz w:val="24"/>
          <w:szCs w:val="24"/>
        </w:rPr>
        <w:t>l Cesar, en sentencia del 10</w:t>
      </w:r>
      <w:r w:rsidR="00CD3968" w:rsidRPr="001E1952">
        <w:rPr>
          <w:sz w:val="24"/>
          <w:szCs w:val="24"/>
        </w:rPr>
        <w:t xml:space="preserve"> de </w:t>
      </w:r>
      <w:r w:rsidR="00631D83">
        <w:rPr>
          <w:sz w:val="24"/>
          <w:szCs w:val="24"/>
        </w:rPr>
        <w:t>septiembre</w:t>
      </w:r>
      <w:r w:rsidR="00CD3968" w:rsidRPr="001E1952">
        <w:rPr>
          <w:sz w:val="24"/>
          <w:szCs w:val="24"/>
        </w:rPr>
        <w:t xml:space="preserve"> de 20</w:t>
      </w:r>
      <w:r w:rsidR="00631D83">
        <w:rPr>
          <w:sz w:val="24"/>
          <w:szCs w:val="24"/>
        </w:rPr>
        <w:t>20</w:t>
      </w:r>
      <w:r w:rsidR="002679B7" w:rsidRPr="001E1952">
        <w:rPr>
          <w:rStyle w:val="Refdenotaalpie"/>
          <w:sz w:val="24"/>
          <w:szCs w:val="24"/>
        </w:rPr>
        <w:footnoteReference w:id="3"/>
      </w:r>
      <w:r w:rsidR="00CD3968" w:rsidRPr="001E1952">
        <w:rPr>
          <w:sz w:val="24"/>
          <w:szCs w:val="24"/>
        </w:rPr>
        <w:t xml:space="preserve"> revocó la decisión de primera instancia</w:t>
      </w:r>
      <w:r w:rsidR="00A332F6">
        <w:rPr>
          <w:sz w:val="24"/>
          <w:szCs w:val="24"/>
        </w:rPr>
        <w:t xml:space="preserve"> y </w:t>
      </w:r>
      <w:r w:rsidR="00631D83">
        <w:rPr>
          <w:sz w:val="24"/>
          <w:szCs w:val="24"/>
        </w:rPr>
        <w:t>en consecuencia negó las pretensiones de la demanda</w:t>
      </w:r>
      <w:r w:rsidR="00A332F6">
        <w:rPr>
          <w:sz w:val="24"/>
          <w:szCs w:val="24"/>
        </w:rPr>
        <w:t xml:space="preserve">. Como sustento de su decisión </w:t>
      </w:r>
      <w:r w:rsidR="003C7E9C">
        <w:rPr>
          <w:sz w:val="24"/>
          <w:szCs w:val="24"/>
        </w:rPr>
        <w:t>sostuvo</w:t>
      </w:r>
      <w:r w:rsidR="00CD3968" w:rsidRPr="001E1952">
        <w:rPr>
          <w:sz w:val="24"/>
          <w:szCs w:val="24"/>
        </w:rPr>
        <w:t xml:space="preserve"> que</w:t>
      </w:r>
      <w:r w:rsidR="009D7809" w:rsidRPr="001E1952">
        <w:rPr>
          <w:sz w:val="24"/>
          <w:szCs w:val="24"/>
        </w:rPr>
        <w:t xml:space="preserve"> </w:t>
      </w:r>
      <w:r w:rsidR="001E1952" w:rsidRPr="001E1952">
        <w:rPr>
          <w:sz w:val="24"/>
          <w:szCs w:val="24"/>
        </w:rPr>
        <w:t xml:space="preserve">la privación de la libertad a la que estuvo sometido el señor </w:t>
      </w:r>
      <w:r w:rsidR="003C7E9C">
        <w:rPr>
          <w:sz w:val="24"/>
          <w:szCs w:val="24"/>
        </w:rPr>
        <w:t>Javier Machado Quiroz no fue arbitraria</w:t>
      </w:r>
      <w:r w:rsidR="0048212C">
        <w:rPr>
          <w:sz w:val="24"/>
          <w:szCs w:val="24"/>
        </w:rPr>
        <w:t xml:space="preserve"> ni injustificada y por ende </w:t>
      </w:r>
      <w:r w:rsidR="007B1534">
        <w:rPr>
          <w:sz w:val="24"/>
          <w:szCs w:val="24"/>
        </w:rPr>
        <w:t>e</w:t>
      </w:r>
      <w:r w:rsidR="0048212C">
        <w:rPr>
          <w:sz w:val="24"/>
          <w:szCs w:val="24"/>
        </w:rPr>
        <w:t>ste debía soportarla, dado que</w:t>
      </w:r>
      <w:r w:rsidR="0068731F">
        <w:rPr>
          <w:sz w:val="24"/>
          <w:szCs w:val="24"/>
        </w:rPr>
        <w:t>,</w:t>
      </w:r>
      <w:r w:rsidR="0048212C">
        <w:rPr>
          <w:sz w:val="24"/>
          <w:szCs w:val="24"/>
        </w:rPr>
        <w:t xml:space="preserve"> comoquiera que fue capturado ante señalamientos contundentes que varias personas le realiza</w:t>
      </w:r>
      <w:r w:rsidR="00D07612">
        <w:rPr>
          <w:sz w:val="24"/>
          <w:szCs w:val="24"/>
        </w:rPr>
        <w:t>ron</w:t>
      </w:r>
      <w:r w:rsidR="0048212C">
        <w:rPr>
          <w:sz w:val="24"/>
          <w:szCs w:val="24"/>
        </w:rPr>
        <w:t>, dicho trámite era necesario adelantarlo en aras de garantizar el debido proceso y el derecho de las víctimas denunciantes.</w:t>
      </w:r>
    </w:p>
    <w:p w14:paraId="0D0B940D" w14:textId="77777777" w:rsidR="00F6085F" w:rsidRPr="000C5DB7" w:rsidRDefault="00F6085F" w:rsidP="00955DB0">
      <w:pPr>
        <w:contextualSpacing/>
        <w:rPr>
          <w:bCs/>
          <w:sz w:val="24"/>
          <w:szCs w:val="24"/>
        </w:rPr>
      </w:pPr>
    </w:p>
    <w:p w14:paraId="307613FE" w14:textId="5735B91B" w:rsidR="000C5DB7" w:rsidRPr="000C5DB7" w:rsidRDefault="000C5DB7" w:rsidP="00955DB0">
      <w:pPr>
        <w:numPr>
          <w:ilvl w:val="0"/>
          <w:numId w:val="3"/>
        </w:numPr>
        <w:overflowPunct w:val="0"/>
        <w:autoSpaceDE w:val="0"/>
        <w:autoSpaceDN w:val="0"/>
        <w:adjustRightInd w:val="0"/>
        <w:contextualSpacing/>
        <w:rPr>
          <w:rFonts w:eastAsia="Times New Roman"/>
          <w:b/>
          <w:sz w:val="24"/>
          <w:szCs w:val="24"/>
          <w:lang w:eastAsia="es-ES"/>
        </w:rPr>
      </w:pPr>
      <w:r w:rsidRPr="000C5DB7">
        <w:rPr>
          <w:rFonts w:eastAsia="Times New Roman"/>
          <w:b/>
          <w:sz w:val="24"/>
          <w:szCs w:val="24"/>
          <w:lang w:eastAsia="es-ES"/>
        </w:rPr>
        <w:t xml:space="preserve">Pretensiones </w:t>
      </w:r>
      <w:r w:rsidR="0048212C">
        <w:rPr>
          <w:rFonts w:eastAsia="Times New Roman"/>
          <w:b/>
          <w:sz w:val="24"/>
          <w:szCs w:val="24"/>
          <w:lang w:eastAsia="es-ES"/>
        </w:rPr>
        <w:t xml:space="preserve">y argumentos de la solicitud </w:t>
      </w:r>
      <w:r w:rsidRPr="000C5DB7">
        <w:rPr>
          <w:rFonts w:eastAsia="Times New Roman"/>
          <w:b/>
          <w:sz w:val="24"/>
          <w:szCs w:val="24"/>
          <w:lang w:eastAsia="es-ES"/>
        </w:rPr>
        <w:t>de tutela</w:t>
      </w:r>
    </w:p>
    <w:p w14:paraId="60061E4C" w14:textId="77777777" w:rsidR="004168CB" w:rsidRDefault="004168CB" w:rsidP="00955DB0">
      <w:pPr>
        <w:overflowPunct w:val="0"/>
        <w:autoSpaceDE w:val="0"/>
        <w:autoSpaceDN w:val="0"/>
        <w:adjustRightInd w:val="0"/>
        <w:contextualSpacing/>
        <w:rPr>
          <w:sz w:val="24"/>
          <w:szCs w:val="24"/>
        </w:rPr>
      </w:pPr>
    </w:p>
    <w:p w14:paraId="1E7FA7A8" w14:textId="78DF7D78" w:rsidR="0048212C" w:rsidRDefault="0048212C" w:rsidP="00955DB0">
      <w:pPr>
        <w:overflowPunct w:val="0"/>
        <w:autoSpaceDE w:val="0"/>
        <w:autoSpaceDN w:val="0"/>
        <w:adjustRightInd w:val="0"/>
        <w:rPr>
          <w:sz w:val="24"/>
          <w:szCs w:val="24"/>
          <w:lang w:eastAsia="en-US"/>
        </w:rPr>
      </w:pPr>
      <w:r w:rsidRPr="00406A9A">
        <w:rPr>
          <w:rFonts w:eastAsia="Times New Roman"/>
          <w:sz w:val="24"/>
          <w:szCs w:val="24"/>
          <w:lang w:eastAsia="es-ES"/>
        </w:rPr>
        <w:t xml:space="preserve">El accionante pretende que esta Corporación: (i) ampare los derechos fundamentales invocados; (ii) revoque </w:t>
      </w:r>
      <w:r>
        <w:rPr>
          <w:rFonts w:eastAsia="Times New Roman"/>
          <w:sz w:val="24"/>
          <w:szCs w:val="24"/>
          <w:lang w:eastAsia="es-ES"/>
        </w:rPr>
        <w:t>la</w:t>
      </w:r>
      <w:r w:rsidRPr="00406A9A">
        <w:rPr>
          <w:rFonts w:eastAsia="Times New Roman"/>
          <w:sz w:val="24"/>
          <w:szCs w:val="24"/>
          <w:lang w:eastAsia="es-ES"/>
        </w:rPr>
        <w:t xml:space="preserve"> sentencia proferida</w:t>
      </w:r>
      <w:r>
        <w:rPr>
          <w:rFonts w:eastAsia="Times New Roman"/>
          <w:sz w:val="24"/>
          <w:szCs w:val="24"/>
          <w:lang w:eastAsia="es-ES"/>
        </w:rPr>
        <w:t xml:space="preserve"> por el Tribunal Administrativo del Cesar</w:t>
      </w:r>
      <w:r w:rsidRPr="00406A9A">
        <w:rPr>
          <w:rFonts w:eastAsia="Times New Roman"/>
          <w:sz w:val="24"/>
          <w:szCs w:val="24"/>
          <w:lang w:eastAsia="es-ES"/>
        </w:rPr>
        <w:t xml:space="preserve"> en el proceso ordinario con número de radicado </w:t>
      </w:r>
      <w:r>
        <w:rPr>
          <w:sz w:val="24"/>
          <w:szCs w:val="24"/>
        </w:rPr>
        <w:t>20001-33-33-002-2017-00124-01</w:t>
      </w:r>
      <w:r w:rsidRPr="00406A9A">
        <w:rPr>
          <w:sz w:val="24"/>
          <w:szCs w:val="24"/>
          <w:lang w:eastAsia="en-US"/>
        </w:rPr>
        <w:t xml:space="preserve">; y (iii) ordene al fallador de primera instancia que dicte una decisión de reemplazo, en la que se </w:t>
      </w:r>
      <w:r>
        <w:rPr>
          <w:sz w:val="24"/>
          <w:szCs w:val="24"/>
          <w:lang w:eastAsia="en-US"/>
        </w:rPr>
        <w:t>corrijan los err</w:t>
      </w:r>
      <w:r w:rsidR="00ED0EDB">
        <w:rPr>
          <w:sz w:val="24"/>
          <w:szCs w:val="24"/>
          <w:lang w:eastAsia="en-US"/>
        </w:rPr>
        <w:t>ores de la sentencia que se deje</w:t>
      </w:r>
      <w:r>
        <w:rPr>
          <w:sz w:val="24"/>
          <w:szCs w:val="24"/>
          <w:lang w:eastAsia="en-US"/>
        </w:rPr>
        <w:t xml:space="preserve"> sin efecto.</w:t>
      </w:r>
    </w:p>
    <w:p w14:paraId="44EAFD9C" w14:textId="77777777" w:rsidR="00166AF6" w:rsidRDefault="00166AF6" w:rsidP="00955DB0">
      <w:pPr>
        <w:overflowPunct w:val="0"/>
        <w:autoSpaceDE w:val="0"/>
        <w:autoSpaceDN w:val="0"/>
        <w:adjustRightInd w:val="0"/>
        <w:contextualSpacing/>
        <w:rPr>
          <w:sz w:val="24"/>
          <w:szCs w:val="24"/>
        </w:rPr>
      </w:pPr>
    </w:p>
    <w:p w14:paraId="4B94D5A5" w14:textId="366A03B7" w:rsidR="000C5DB7" w:rsidRDefault="00750444" w:rsidP="00955DB0">
      <w:pPr>
        <w:rPr>
          <w:rFonts w:eastAsia="Arial Unicode MS"/>
          <w:color w:val="000000" w:themeColor="text1"/>
          <w:sz w:val="24"/>
          <w:szCs w:val="24"/>
          <w:lang w:eastAsia="es-ES"/>
        </w:rPr>
      </w:pPr>
      <w:r>
        <w:rPr>
          <w:rFonts w:eastAsia="Arial Unicode MS"/>
          <w:color w:val="000000" w:themeColor="text1"/>
          <w:sz w:val="24"/>
          <w:szCs w:val="24"/>
          <w:lang w:eastAsia="es-ES"/>
        </w:rPr>
        <w:t>El</w:t>
      </w:r>
      <w:r w:rsidR="005810B6">
        <w:rPr>
          <w:rFonts w:eastAsia="Arial Unicode MS"/>
          <w:color w:val="000000" w:themeColor="text1"/>
          <w:sz w:val="24"/>
          <w:szCs w:val="24"/>
          <w:lang w:eastAsia="es-ES"/>
        </w:rPr>
        <w:t xml:space="preserve"> tutelante</w:t>
      </w:r>
      <w:r w:rsidR="007B69C9">
        <w:rPr>
          <w:rFonts w:eastAsia="Arial Unicode MS"/>
          <w:color w:val="000000" w:themeColor="text1"/>
          <w:sz w:val="24"/>
          <w:szCs w:val="24"/>
          <w:lang w:eastAsia="es-ES"/>
        </w:rPr>
        <w:t>, como fundamento de sus pretensiones,</w:t>
      </w:r>
      <w:r>
        <w:rPr>
          <w:rFonts w:eastAsia="Arial Unicode MS"/>
          <w:color w:val="000000" w:themeColor="text1"/>
          <w:sz w:val="24"/>
          <w:szCs w:val="24"/>
          <w:lang w:eastAsia="es-ES"/>
        </w:rPr>
        <w:t xml:space="preserve"> consideró</w:t>
      </w:r>
      <w:r w:rsidR="0027121E" w:rsidRPr="005810B6">
        <w:rPr>
          <w:rFonts w:eastAsia="Arial Unicode MS"/>
          <w:color w:val="000000" w:themeColor="text1"/>
          <w:sz w:val="24"/>
          <w:szCs w:val="24"/>
          <w:lang w:eastAsia="es-ES"/>
        </w:rPr>
        <w:t xml:space="preserve"> que </w:t>
      </w:r>
      <w:r w:rsidR="007B69C9">
        <w:rPr>
          <w:rFonts w:eastAsia="Arial Unicode MS"/>
          <w:color w:val="000000" w:themeColor="text1"/>
          <w:sz w:val="24"/>
          <w:szCs w:val="24"/>
          <w:lang w:eastAsia="es-ES"/>
        </w:rPr>
        <w:t>la sentencia reprochada acusa varios defectos procedi</w:t>
      </w:r>
      <w:r>
        <w:rPr>
          <w:rFonts w:eastAsia="Arial Unicode MS"/>
          <w:color w:val="000000" w:themeColor="text1"/>
          <w:sz w:val="24"/>
          <w:szCs w:val="24"/>
          <w:lang w:eastAsia="es-ES"/>
        </w:rPr>
        <w:t>mentales, en tanto el Tribunal A</w:t>
      </w:r>
      <w:r w:rsidR="007B69C9">
        <w:rPr>
          <w:rFonts w:eastAsia="Arial Unicode MS"/>
          <w:color w:val="000000" w:themeColor="text1"/>
          <w:sz w:val="24"/>
          <w:szCs w:val="24"/>
          <w:lang w:eastAsia="es-ES"/>
        </w:rPr>
        <w:t xml:space="preserve">dministrativo del </w:t>
      </w:r>
      <w:r>
        <w:rPr>
          <w:rFonts w:eastAsia="Arial Unicode MS"/>
          <w:color w:val="000000" w:themeColor="text1"/>
          <w:sz w:val="24"/>
          <w:szCs w:val="24"/>
          <w:lang w:eastAsia="es-ES"/>
        </w:rPr>
        <w:t>Cesar</w:t>
      </w:r>
      <w:r w:rsidR="007B69C9">
        <w:rPr>
          <w:rFonts w:eastAsia="Arial Unicode MS"/>
          <w:color w:val="000000" w:themeColor="text1"/>
          <w:sz w:val="24"/>
          <w:szCs w:val="24"/>
          <w:lang w:eastAsia="es-ES"/>
        </w:rPr>
        <w:t xml:space="preserve">: </w:t>
      </w:r>
    </w:p>
    <w:p w14:paraId="53EF0AAD" w14:textId="77777777" w:rsidR="002A57A9" w:rsidRPr="00E21E8F" w:rsidRDefault="002A57A9" w:rsidP="00955DB0">
      <w:pPr>
        <w:rPr>
          <w:rFonts w:eastAsia="Arial Unicode MS"/>
          <w:color w:val="000000" w:themeColor="text1"/>
          <w:sz w:val="24"/>
          <w:szCs w:val="24"/>
          <w:lang w:eastAsia="es-ES"/>
        </w:rPr>
      </w:pPr>
    </w:p>
    <w:p w14:paraId="0868F00F" w14:textId="2162F824" w:rsidR="007645D0" w:rsidRDefault="002365E1" w:rsidP="00955DB0">
      <w:pPr>
        <w:pStyle w:val="Prrafodelista"/>
        <w:numPr>
          <w:ilvl w:val="1"/>
          <w:numId w:val="3"/>
        </w:numPr>
        <w:jc w:val="both"/>
        <w:rPr>
          <w:rFonts w:ascii="Arial" w:eastAsia="Arial Unicode MS" w:hAnsi="Arial" w:cs="Arial"/>
          <w:color w:val="000000" w:themeColor="text1"/>
          <w:lang w:eastAsia="es-ES"/>
        </w:rPr>
      </w:pPr>
      <w:r w:rsidRPr="00384E64">
        <w:rPr>
          <w:rFonts w:ascii="Arial" w:eastAsia="Arial Unicode MS" w:hAnsi="Arial" w:cs="Arial"/>
          <w:color w:val="000000" w:themeColor="text1"/>
          <w:lang w:eastAsia="es-ES"/>
        </w:rPr>
        <w:t>No</w:t>
      </w:r>
      <w:r w:rsidR="00731175" w:rsidRPr="00384E64">
        <w:rPr>
          <w:rFonts w:ascii="Arial" w:eastAsia="Arial Unicode MS" w:hAnsi="Arial" w:cs="Arial"/>
          <w:color w:val="000000" w:themeColor="text1"/>
          <w:lang w:eastAsia="es-ES"/>
        </w:rPr>
        <w:t xml:space="preserve"> </w:t>
      </w:r>
      <w:r w:rsidR="00384E64">
        <w:rPr>
          <w:rFonts w:ascii="Arial" w:eastAsia="Arial Unicode MS" w:hAnsi="Arial" w:cs="Arial"/>
          <w:color w:val="000000" w:themeColor="text1"/>
          <w:lang w:eastAsia="es-ES"/>
        </w:rPr>
        <w:t xml:space="preserve">valoró en debida forma </w:t>
      </w:r>
      <w:r w:rsidR="007645D0">
        <w:rPr>
          <w:rFonts w:ascii="Arial" w:eastAsia="Arial Unicode MS" w:hAnsi="Arial" w:cs="Arial"/>
          <w:color w:val="000000" w:themeColor="text1"/>
          <w:lang w:eastAsia="es-ES"/>
        </w:rPr>
        <w:t xml:space="preserve">el material probatorio allegado al proceso, dado que afirmó que el señor Javier Machado Quiroz estaba en la obligación de soportar la privación de la libertad cuando la entidad demandada no contestó la demanda ni se defendió, en cambio </w:t>
      </w:r>
      <w:r w:rsidR="00D07612">
        <w:rPr>
          <w:rFonts w:ascii="Arial" w:eastAsia="Arial Unicode MS" w:hAnsi="Arial" w:cs="Arial"/>
          <w:color w:val="000000" w:themeColor="text1"/>
          <w:lang w:eastAsia="es-ES"/>
        </w:rPr>
        <w:t>sí</w:t>
      </w:r>
      <w:r w:rsidR="007645D0">
        <w:rPr>
          <w:rFonts w:ascii="Arial" w:eastAsia="Arial Unicode MS" w:hAnsi="Arial" w:cs="Arial"/>
          <w:color w:val="000000" w:themeColor="text1"/>
          <w:lang w:eastAsia="es-ES"/>
        </w:rPr>
        <w:t xml:space="preserve"> se encontraba probado que la conducta que se le endilgaba al actor era atípica.</w:t>
      </w:r>
    </w:p>
    <w:p w14:paraId="26CE0A70" w14:textId="77777777" w:rsidR="007645D0" w:rsidRDefault="007645D0" w:rsidP="00955DB0">
      <w:pPr>
        <w:rPr>
          <w:rFonts w:eastAsia="Arial Unicode MS"/>
          <w:color w:val="000000" w:themeColor="text1"/>
          <w:lang w:eastAsia="es-ES"/>
        </w:rPr>
      </w:pPr>
    </w:p>
    <w:p w14:paraId="0FE1D266" w14:textId="69CEEB46" w:rsidR="00731175" w:rsidRDefault="00E0534E" w:rsidP="00955DB0">
      <w:pPr>
        <w:pStyle w:val="Prrafodelista"/>
        <w:numPr>
          <w:ilvl w:val="1"/>
          <w:numId w:val="3"/>
        </w:numPr>
        <w:jc w:val="both"/>
        <w:rPr>
          <w:rFonts w:ascii="Arial" w:eastAsia="Arial Unicode MS" w:hAnsi="Arial" w:cs="Arial"/>
          <w:color w:val="000000" w:themeColor="text1"/>
          <w:lang w:eastAsia="es-ES"/>
        </w:rPr>
      </w:pPr>
      <w:r w:rsidRPr="00EE4200">
        <w:rPr>
          <w:rFonts w:ascii="Arial" w:eastAsia="Arial Unicode MS" w:hAnsi="Arial" w:cs="Arial"/>
          <w:color w:val="000000" w:themeColor="text1"/>
          <w:lang w:eastAsia="es-ES"/>
        </w:rPr>
        <w:t>Transgredió su competencia al</w:t>
      </w:r>
      <w:r w:rsidR="00EE4200">
        <w:rPr>
          <w:rFonts w:ascii="Arial" w:eastAsia="Arial Unicode MS" w:hAnsi="Arial" w:cs="Arial"/>
          <w:color w:val="000000" w:themeColor="text1"/>
          <w:lang w:eastAsia="es-ES"/>
        </w:rPr>
        <w:t xml:space="preserve"> decir que la medida de aseguramiento fue razonable, pues ello constituyó una intromisión en los </w:t>
      </w:r>
      <w:r w:rsidRPr="00EE4200">
        <w:rPr>
          <w:rFonts w:ascii="Arial" w:eastAsia="Arial Unicode MS" w:hAnsi="Arial" w:cs="Arial"/>
          <w:color w:val="000000" w:themeColor="text1"/>
          <w:lang w:eastAsia="es-ES"/>
        </w:rPr>
        <w:t xml:space="preserve">aspectos que correspondían al juez del proceso </w:t>
      </w:r>
      <w:r w:rsidR="00EE4200">
        <w:rPr>
          <w:rFonts w:ascii="Arial" w:eastAsia="Arial Unicode MS" w:hAnsi="Arial" w:cs="Arial"/>
          <w:color w:val="000000" w:themeColor="text1"/>
          <w:lang w:eastAsia="es-ES"/>
        </w:rPr>
        <w:t xml:space="preserve">penal, </w:t>
      </w:r>
      <w:r w:rsidRPr="00EE4200">
        <w:rPr>
          <w:rFonts w:ascii="Arial" w:eastAsia="Arial Unicode MS" w:hAnsi="Arial" w:cs="Arial"/>
          <w:color w:val="000000" w:themeColor="text1"/>
          <w:lang w:eastAsia="es-ES"/>
        </w:rPr>
        <w:t xml:space="preserve">desconociendo </w:t>
      </w:r>
      <w:r w:rsidR="007645D0">
        <w:rPr>
          <w:rFonts w:ascii="Arial" w:eastAsia="Arial Unicode MS" w:hAnsi="Arial" w:cs="Arial"/>
          <w:color w:val="000000" w:themeColor="text1"/>
          <w:lang w:eastAsia="es-ES"/>
        </w:rPr>
        <w:t>el principio de juez natural, lo que originó una decisión carente de motivación.</w:t>
      </w:r>
    </w:p>
    <w:p w14:paraId="314938CE" w14:textId="77777777" w:rsidR="00EE4200" w:rsidRPr="007645D0" w:rsidRDefault="00EE4200" w:rsidP="00955DB0">
      <w:pPr>
        <w:rPr>
          <w:rFonts w:eastAsia="Arial Unicode MS"/>
          <w:color w:val="000000" w:themeColor="text1"/>
          <w:lang w:val="es-ES_tradnl" w:eastAsia="es-ES"/>
        </w:rPr>
      </w:pPr>
    </w:p>
    <w:p w14:paraId="5038E22A" w14:textId="602BF532" w:rsidR="00EE4200" w:rsidRDefault="007645D0" w:rsidP="00955DB0">
      <w:pPr>
        <w:pStyle w:val="Prrafodelista"/>
        <w:numPr>
          <w:ilvl w:val="1"/>
          <w:numId w:val="3"/>
        </w:numPr>
        <w:jc w:val="both"/>
        <w:rPr>
          <w:rFonts w:ascii="Arial" w:eastAsia="Arial Unicode MS" w:hAnsi="Arial" w:cs="Arial"/>
          <w:color w:val="000000" w:themeColor="text1"/>
          <w:lang w:eastAsia="es-ES"/>
        </w:rPr>
      </w:pPr>
      <w:r>
        <w:rPr>
          <w:rFonts w:ascii="Arial" w:eastAsia="Arial Unicode MS" w:hAnsi="Arial" w:cs="Arial"/>
          <w:color w:val="000000" w:themeColor="text1"/>
          <w:lang w:eastAsia="es-ES"/>
        </w:rPr>
        <w:t>Desconoció el precedente</w:t>
      </w:r>
      <w:r w:rsidR="00B664B8">
        <w:rPr>
          <w:rFonts w:ascii="Arial" w:eastAsia="Arial Unicode MS" w:hAnsi="Arial" w:cs="Arial"/>
          <w:color w:val="000000" w:themeColor="text1"/>
          <w:lang w:eastAsia="es-ES"/>
        </w:rPr>
        <w:t xml:space="preserve"> jurisprudencial,</w:t>
      </w:r>
      <w:r>
        <w:rPr>
          <w:rFonts w:ascii="Arial" w:eastAsia="Arial Unicode MS" w:hAnsi="Arial" w:cs="Arial"/>
          <w:color w:val="000000" w:themeColor="text1"/>
          <w:lang w:eastAsia="es-ES"/>
        </w:rPr>
        <w:t xml:space="preserve"> toda vez que no aplicó </w:t>
      </w:r>
      <w:r w:rsidR="00B664B8">
        <w:rPr>
          <w:rFonts w:ascii="Arial" w:eastAsia="Arial Unicode MS" w:hAnsi="Arial" w:cs="Arial"/>
          <w:color w:val="000000" w:themeColor="text1"/>
          <w:lang w:eastAsia="es-ES"/>
        </w:rPr>
        <w:t>la decisión proferida por el Consejo de Estado el 28 de agosto de 2014, expediente número 68001-23-31-000-2002-02548-01 (63149), en la que se sostiene que se debe aplicar el régimen objetivo de responsabilidad en casos de privación injusta de la libertad</w:t>
      </w:r>
      <w:r w:rsidR="00292785">
        <w:rPr>
          <w:rFonts w:ascii="Arial" w:eastAsia="Arial Unicode MS" w:hAnsi="Arial" w:cs="Arial"/>
          <w:color w:val="000000" w:themeColor="text1"/>
          <w:lang w:eastAsia="es-ES"/>
        </w:rPr>
        <w:t>.</w:t>
      </w:r>
    </w:p>
    <w:p w14:paraId="116A6691" w14:textId="77777777" w:rsidR="00B664B8" w:rsidRPr="00B664B8" w:rsidRDefault="00B664B8" w:rsidP="00955DB0">
      <w:pPr>
        <w:rPr>
          <w:rFonts w:eastAsia="Arial Unicode MS"/>
          <w:color w:val="000000" w:themeColor="text1"/>
          <w:lang w:eastAsia="es-ES"/>
        </w:rPr>
      </w:pPr>
    </w:p>
    <w:p w14:paraId="47B62A87" w14:textId="1AD9E931" w:rsidR="00D93317" w:rsidRDefault="001D1F33" w:rsidP="00955DB0">
      <w:pPr>
        <w:rPr>
          <w:rFonts w:eastAsia="Arial Unicode MS"/>
          <w:color w:val="000000" w:themeColor="text1"/>
          <w:sz w:val="24"/>
          <w:szCs w:val="24"/>
          <w:lang w:eastAsia="es-ES"/>
        </w:rPr>
      </w:pPr>
      <w:r>
        <w:rPr>
          <w:rFonts w:eastAsia="Arial Unicode MS"/>
          <w:color w:val="000000" w:themeColor="text1"/>
          <w:sz w:val="24"/>
          <w:szCs w:val="24"/>
          <w:lang w:eastAsia="es-ES"/>
        </w:rPr>
        <w:lastRenderedPageBreak/>
        <w:t>Por otra parte</w:t>
      </w:r>
      <w:r w:rsidR="006A2B14">
        <w:rPr>
          <w:rFonts w:eastAsia="Arial Unicode MS"/>
          <w:color w:val="000000" w:themeColor="text1"/>
          <w:sz w:val="24"/>
          <w:szCs w:val="24"/>
          <w:lang w:eastAsia="es-ES"/>
        </w:rPr>
        <w:t>,</w:t>
      </w:r>
      <w:r w:rsidR="00A64728">
        <w:rPr>
          <w:rFonts w:eastAsia="Arial Unicode MS"/>
          <w:color w:val="000000" w:themeColor="text1"/>
          <w:sz w:val="24"/>
          <w:szCs w:val="24"/>
          <w:lang w:eastAsia="es-ES"/>
        </w:rPr>
        <w:t xml:space="preserve"> </w:t>
      </w:r>
      <w:r w:rsidR="00B664B8">
        <w:rPr>
          <w:rFonts w:eastAsia="Arial Unicode MS"/>
          <w:color w:val="000000" w:themeColor="text1"/>
          <w:sz w:val="24"/>
          <w:szCs w:val="24"/>
          <w:lang w:eastAsia="es-ES"/>
        </w:rPr>
        <w:t>el accionante</w:t>
      </w:r>
      <w:r w:rsidR="00A64728">
        <w:rPr>
          <w:rFonts w:eastAsia="Arial Unicode MS"/>
          <w:color w:val="000000" w:themeColor="text1"/>
          <w:sz w:val="24"/>
          <w:szCs w:val="24"/>
          <w:lang w:eastAsia="es-ES"/>
        </w:rPr>
        <w:t xml:space="preserve"> </w:t>
      </w:r>
      <w:r w:rsidR="0092169F">
        <w:rPr>
          <w:rFonts w:eastAsia="Arial Unicode MS"/>
          <w:color w:val="000000" w:themeColor="text1"/>
          <w:sz w:val="24"/>
          <w:szCs w:val="24"/>
          <w:lang w:eastAsia="es-ES"/>
        </w:rPr>
        <w:t>sostuv</w:t>
      </w:r>
      <w:r w:rsidR="00B664B8">
        <w:rPr>
          <w:rFonts w:eastAsia="Arial Unicode MS"/>
          <w:color w:val="000000" w:themeColor="text1"/>
          <w:sz w:val="24"/>
          <w:szCs w:val="24"/>
          <w:lang w:eastAsia="es-ES"/>
        </w:rPr>
        <w:t>o</w:t>
      </w:r>
      <w:r w:rsidR="00A64728">
        <w:rPr>
          <w:rFonts w:eastAsia="Arial Unicode MS"/>
          <w:color w:val="000000" w:themeColor="text1"/>
          <w:sz w:val="24"/>
          <w:szCs w:val="24"/>
          <w:lang w:eastAsia="es-ES"/>
        </w:rPr>
        <w:t xml:space="preserve"> que </w:t>
      </w:r>
      <w:r w:rsidR="00B664B8">
        <w:rPr>
          <w:rFonts w:eastAsia="Arial Unicode MS"/>
          <w:color w:val="000000" w:themeColor="text1"/>
          <w:sz w:val="24"/>
          <w:szCs w:val="24"/>
          <w:lang w:eastAsia="es-ES"/>
        </w:rPr>
        <w:t>presentó</w:t>
      </w:r>
      <w:r>
        <w:rPr>
          <w:rFonts w:eastAsia="Arial Unicode MS"/>
          <w:color w:val="000000" w:themeColor="text1"/>
          <w:sz w:val="24"/>
          <w:szCs w:val="24"/>
          <w:lang w:eastAsia="es-ES"/>
        </w:rPr>
        <w:t xml:space="preserve"> </w:t>
      </w:r>
      <w:r w:rsidR="00EB26EB">
        <w:rPr>
          <w:rFonts w:eastAsia="Arial Unicode MS"/>
          <w:color w:val="000000" w:themeColor="text1"/>
          <w:sz w:val="24"/>
          <w:szCs w:val="24"/>
          <w:lang w:eastAsia="es-ES"/>
        </w:rPr>
        <w:t>l</w:t>
      </w:r>
      <w:r w:rsidR="00A64728">
        <w:rPr>
          <w:rFonts w:eastAsia="Arial Unicode MS"/>
          <w:color w:val="000000" w:themeColor="text1"/>
          <w:sz w:val="24"/>
          <w:szCs w:val="24"/>
          <w:lang w:eastAsia="es-ES"/>
        </w:rPr>
        <w:t xml:space="preserve">a </w:t>
      </w:r>
      <w:r w:rsidR="00EB26EB">
        <w:rPr>
          <w:rFonts w:eastAsia="Arial Unicode MS"/>
          <w:color w:val="000000" w:themeColor="text1"/>
          <w:sz w:val="24"/>
          <w:szCs w:val="24"/>
          <w:lang w:eastAsia="es-ES"/>
        </w:rPr>
        <w:t>solicitud</w:t>
      </w:r>
      <w:r w:rsidR="00A64728">
        <w:rPr>
          <w:rFonts w:eastAsia="Arial Unicode MS"/>
          <w:color w:val="000000" w:themeColor="text1"/>
          <w:sz w:val="24"/>
          <w:szCs w:val="24"/>
          <w:lang w:eastAsia="es-ES"/>
        </w:rPr>
        <w:t xml:space="preserve"> </w:t>
      </w:r>
      <w:r>
        <w:rPr>
          <w:rFonts w:eastAsia="Arial Unicode MS"/>
          <w:color w:val="000000" w:themeColor="text1"/>
          <w:sz w:val="24"/>
          <w:szCs w:val="24"/>
          <w:lang w:eastAsia="es-ES"/>
        </w:rPr>
        <w:t xml:space="preserve">de amparo </w:t>
      </w:r>
      <w:r w:rsidR="00CD148C">
        <w:rPr>
          <w:rFonts w:eastAsia="Arial Unicode MS"/>
          <w:color w:val="000000" w:themeColor="text1"/>
          <w:sz w:val="24"/>
          <w:szCs w:val="24"/>
          <w:lang w:eastAsia="es-ES"/>
        </w:rPr>
        <w:t>dentro de</w:t>
      </w:r>
      <w:r w:rsidR="00B664B8">
        <w:rPr>
          <w:rFonts w:eastAsia="Arial Unicode MS"/>
          <w:color w:val="000000" w:themeColor="text1"/>
          <w:sz w:val="24"/>
          <w:szCs w:val="24"/>
          <w:lang w:eastAsia="es-ES"/>
        </w:rPr>
        <w:t xml:space="preserve"> un término razonable y que el requisito de inmediatez</w:t>
      </w:r>
      <w:r w:rsidR="00CD148C">
        <w:rPr>
          <w:rFonts w:eastAsia="Arial Unicode MS"/>
          <w:color w:val="000000" w:themeColor="text1"/>
          <w:sz w:val="24"/>
          <w:szCs w:val="24"/>
          <w:lang w:eastAsia="es-ES"/>
        </w:rPr>
        <w:t xml:space="preserve"> </w:t>
      </w:r>
      <w:r w:rsidR="00CD148C" w:rsidRPr="00B664B8">
        <w:rPr>
          <w:rFonts w:eastAsia="Arial Unicode MS"/>
          <w:i/>
          <w:color w:val="000000" w:themeColor="text1"/>
          <w:sz w:val="24"/>
          <w:szCs w:val="24"/>
          <w:lang w:eastAsia="es-ES"/>
        </w:rPr>
        <w:t>“[…]</w:t>
      </w:r>
      <w:r w:rsidR="00A64728" w:rsidRPr="00B664B8">
        <w:rPr>
          <w:rFonts w:eastAsia="Arial Unicode MS"/>
          <w:i/>
          <w:color w:val="000000" w:themeColor="text1"/>
          <w:sz w:val="24"/>
          <w:szCs w:val="24"/>
          <w:lang w:eastAsia="es-ES"/>
        </w:rPr>
        <w:t xml:space="preserve"> </w:t>
      </w:r>
      <w:r w:rsidR="00B664B8" w:rsidRPr="00B664B8">
        <w:rPr>
          <w:rFonts w:eastAsia="Arial Unicode MS"/>
          <w:i/>
          <w:color w:val="000000" w:themeColor="text1"/>
          <w:sz w:val="24"/>
          <w:szCs w:val="24"/>
          <w:lang w:eastAsia="es-ES"/>
        </w:rPr>
        <w:t>está plenamente demostrado</w:t>
      </w:r>
      <w:r w:rsidR="00B664B8">
        <w:rPr>
          <w:rFonts w:eastAsia="Arial Unicode MS"/>
          <w:i/>
          <w:color w:val="000000" w:themeColor="text1"/>
          <w:sz w:val="24"/>
          <w:szCs w:val="24"/>
          <w:lang w:eastAsia="es-ES"/>
        </w:rPr>
        <w:t>, en la medida que el juzgado segundo administrativo de Valledupar emitió auto ordenando obedeciendo lo resuelto</w:t>
      </w:r>
      <w:r w:rsidR="009608ED">
        <w:rPr>
          <w:rFonts w:eastAsia="Arial Unicode MS"/>
          <w:i/>
          <w:color w:val="000000" w:themeColor="text1"/>
          <w:sz w:val="24"/>
          <w:szCs w:val="24"/>
          <w:lang w:eastAsia="es-ES"/>
        </w:rPr>
        <w:t xml:space="preserve"> (sic)</w:t>
      </w:r>
      <w:r w:rsidR="00B664B8">
        <w:rPr>
          <w:rFonts w:eastAsia="Arial Unicode MS"/>
          <w:i/>
          <w:color w:val="000000" w:themeColor="text1"/>
          <w:sz w:val="24"/>
          <w:szCs w:val="24"/>
          <w:lang w:eastAsia="es-ES"/>
        </w:rPr>
        <w:t xml:space="preserve"> por el superior el 14 de enero de 2021, a la fecha no han transcurrido más de seis meses desde la notificación de dicho auto</w:t>
      </w:r>
      <w:r w:rsidR="00CD148C" w:rsidRPr="00B664B8">
        <w:rPr>
          <w:rFonts w:eastAsia="Arial Unicode MS"/>
          <w:i/>
          <w:color w:val="000000" w:themeColor="text1"/>
          <w:sz w:val="24"/>
          <w:szCs w:val="24"/>
          <w:lang w:eastAsia="es-ES"/>
        </w:rPr>
        <w:t xml:space="preserve"> […]”</w:t>
      </w:r>
      <w:r w:rsidR="00CD148C">
        <w:rPr>
          <w:rStyle w:val="Refdenotaalpie"/>
          <w:rFonts w:eastAsia="Arial Unicode MS"/>
          <w:color w:val="000000" w:themeColor="text1"/>
          <w:sz w:val="24"/>
          <w:szCs w:val="24"/>
          <w:lang w:eastAsia="es-ES"/>
        </w:rPr>
        <w:footnoteReference w:id="4"/>
      </w:r>
      <w:r w:rsidR="00CD148C">
        <w:rPr>
          <w:rFonts w:eastAsia="Arial Unicode MS"/>
          <w:color w:val="000000" w:themeColor="text1"/>
          <w:sz w:val="24"/>
          <w:szCs w:val="24"/>
          <w:lang w:eastAsia="es-ES"/>
        </w:rPr>
        <w:t>.</w:t>
      </w:r>
    </w:p>
    <w:p w14:paraId="328A5EFA" w14:textId="77777777" w:rsidR="00D93317" w:rsidRPr="00E51D53" w:rsidRDefault="00D93317" w:rsidP="00955DB0">
      <w:pPr>
        <w:rPr>
          <w:rFonts w:eastAsia="Arial Unicode MS"/>
          <w:color w:val="000000" w:themeColor="text1"/>
          <w:sz w:val="24"/>
          <w:szCs w:val="24"/>
          <w:lang w:eastAsia="es-ES"/>
        </w:rPr>
      </w:pPr>
    </w:p>
    <w:p w14:paraId="344FE524" w14:textId="77777777" w:rsidR="000C5DB7" w:rsidRPr="00E51D53" w:rsidRDefault="00E800E8" w:rsidP="00955DB0">
      <w:pPr>
        <w:numPr>
          <w:ilvl w:val="0"/>
          <w:numId w:val="3"/>
        </w:numPr>
        <w:overflowPunct w:val="0"/>
        <w:autoSpaceDE w:val="0"/>
        <w:autoSpaceDN w:val="0"/>
        <w:adjustRightInd w:val="0"/>
        <w:contextualSpacing/>
        <w:rPr>
          <w:rFonts w:eastAsia="Times New Roman"/>
          <w:b/>
          <w:sz w:val="24"/>
          <w:szCs w:val="24"/>
          <w:lang w:eastAsia="es-ES"/>
        </w:rPr>
      </w:pPr>
      <w:r>
        <w:rPr>
          <w:b/>
          <w:sz w:val="24"/>
          <w:szCs w:val="24"/>
        </w:rPr>
        <w:t>Trámite</w:t>
      </w:r>
      <w:r w:rsidR="00166AF6">
        <w:rPr>
          <w:b/>
          <w:sz w:val="24"/>
          <w:szCs w:val="24"/>
        </w:rPr>
        <w:t xml:space="preserve"> de tutela e intervenciones  </w:t>
      </w:r>
    </w:p>
    <w:p w14:paraId="1D672BE7" w14:textId="77777777" w:rsidR="00E51D53" w:rsidRDefault="00E51D53" w:rsidP="00955DB0">
      <w:pPr>
        <w:overflowPunct w:val="0"/>
        <w:autoSpaceDE w:val="0"/>
        <w:autoSpaceDN w:val="0"/>
        <w:adjustRightInd w:val="0"/>
        <w:contextualSpacing/>
        <w:rPr>
          <w:b/>
          <w:sz w:val="24"/>
          <w:szCs w:val="24"/>
        </w:rPr>
      </w:pPr>
    </w:p>
    <w:p w14:paraId="486A7D7D" w14:textId="4A13B254" w:rsidR="004B75B4" w:rsidRPr="0055170F" w:rsidRDefault="00AB31D8" w:rsidP="00955DB0">
      <w:pPr>
        <w:overflowPunct w:val="0"/>
        <w:autoSpaceDE w:val="0"/>
        <w:autoSpaceDN w:val="0"/>
        <w:adjustRightInd w:val="0"/>
        <w:contextualSpacing/>
        <w:rPr>
          <w:color w:val="000000"/>
          <w:sz w:val="24"/>
          <w:szCs w:val="24"/>
        </w:rPr>
      </w:pPr>
      <w:r>
        <w:rPr>
          <w:b/>
          <w:color w:val="000000"/>
          <w:sz w:val="24"/>
          <w:szCs w:val="24"/>
        </w:rPr>
        <w:t xml:space="preserve">4.1. </w:t>
      </w:r>
      <w:r w:rsidR="004B75B4" w:rsidRPr="0055170F">
        <w:rPr>
          <w:color w:val="000000"/>
          <w:sz w:val="24"/>
          <w:szCs w:val="24"/>
        </w:rPr>
        <w:t>El Despacho</w:t>
      </w:r>
      <w:r>
        <w:rPr>
          <w:color w:val="000000"/>
          <w:sz w:val="24"/>
          <w:szCs w:val="24"/>
        </w:rPr>
        <w:t xml:space="preserve"> Sustanciador de esta Subsección</w:t>
      </w:r>
      <w:r w:rsidR="004B75B4" w:rsidRPr="0055170F">
        <w:rPr>
          <w:color w:val="000000"/>
          <w:sz w:val="24"/>
          <w:szCs w:val="24"/>
        </w:rPr>
        <w:t xml:space="preserve"> admitió la acción</w:t>
      </w:r>
      <w:r>
        <w:rPr>
          <w:color w:val="000000"/>
          <w:sz w:val="24"/>
          <w:szCs w:val="24"/>
        </w:rPr>
        <w:t xml:space="preserve"> de tutela</w:t>
      </w:r>
      <w:r w:rsidR="004B75B4" w:rsidRPr="0055170F">
        <w:rPr>
          <w:color w:val="000000"/>
          <w:sz w:val="24"/>
          <w:szCs w:val="24"/>
        </w:rPr>
        <w:t xml:space="preserve"> </w:t>
      </w:r>
      <w:r w:rsidR="00FC72B6">
        <w:rPr>
          <w:color w:val="000000"/>
          <w:sz w:val="24"/>
          <w:szCs w:val="24"/>
        </w:rPr>
        <w:t>mediante</w:t>
      </w:r>
      <w:r w:rsidR="004B75B4" w:rsidRPr="0055170F">
        <w:rPr>
          <w:color w:val="000000"/>
          <w:sz w:val="24"/>
          <w:szCs w:val="24"/>
        </w:rPr>
        <w:t xml:space="preserve"> auto del </w:t>
      </w:r>
      <w:r w:rsidR="00421397">
        <w:rPr>
          <w:color w:val="000000"/>
          <w:sz w:val="24"/>
          <w:szCs w:val="24"/>
        </w:rPr>
        <w:t>1</w:t>
      </w:r>
      <w:r w:rsidR="00FC72B6">
        <w:rPr>
          <w:color w:val="000000"/>
          <w:sz w:val="24"/>
          <w:szCs w:val="24"/>
        </w:rPr>
        <w:t>5 de julio de 2021</w:t>
      </w:r>
      <w:r w:rsidR="00421397">
        <w:rPr>
          <w:rStyle w:val="Refdenotaalpie"/>
          <w:color w:val="000000"/>
          <w:sz w:val="24"/>
          <w:szCs w:val="24"/>
        </w:rPr>
        <w:footnoteReference w:id="5"/>
      </w:r>
      <w:r w:rsidR="004B75B4" w:rsidRPr="0055170F">
        <w:rPr>
          <w:color w:val="000000"/>
          <w:sz w:val="24"/>
          <w:szCs w:val="24"/>
        </w:rPr>
        <w:t xml:space="preserve">. Notificadas las partes y </w:t>
      </w:r>
      <w:r w:rsidR="004B75B4" w:rsidRPr="006B2C81">
        <w:rPr>
          <w:color w:val="000000"/>
          <w:sz w:val="24"/>
          <w:szCs w:val="24"/>
        </w:rPr>
        <w:t>vinculados los terceros que participaron en el proceso ordinario atacado, recibió las sig</w:t>
      </w:r>
      <w:r w:rsidR="004B75B4" w:rsidRPr="0055170F">
        <w:rPr>
          <w:color w:val="000000"/>
          <w:sz w:val="24"/>
          <w:szCs w:val="24"/>
        </w:rPr>
        <w:t>uientes respuestas:</w:t>
      </w:r>
    </w:p>
    <w:p w14:paraId="1A0BF917" w14:textId="77777777" w:rsidR="00E51D53" w:rsidRPr="008A4714" w:rsidRDefault="00E51D53" w:rsidP="00955DB0">
      <w:pPr>
        <w:overflowPunct w:val="0"/>
        <w:autoSpaceDE w:val="0"/>
        <w:autoSpaceDN w:val="0"/>
        <w:adjustRightInd w:val="0"/>
        <w:contextualSpacing/>
        <w:rPr>
          <w:rFonts w:eastAsia="Times New Roman"/>
          <w:b/>
          <w:sz w:val="24"/>
          <w:szCs w:val="24"/>
          <w:lang w:eastAsia="es-ES"/>
        </w:rPr>
      </w:pPr>
    </w:p>
    <w:p w14:paraId="70AD1A94" w14:textId="04F3D22A" w:rsidR="00AB31D8" w:rsidRDefault="00BA0787" w:rsidP="00955DB0">
      <w:pPr>
        <w:overflowPunct w:val="0"/>
        <w:autoSpaceDE w:val="0"/>
        <w:autoSpaceDN w:val="0"/>
        <w:adjustRightInd w:val="0"/>
        <w:rPr>
          <w:sz w:val="24"/>
          <w:szCs w:val="24"/>
        </w:rPr>
      </w:pPr>
      <w:r>
        <w:rPr>
          <w:b/>
          <w:sz w:val="24"/>
          <w:szCs w:val="24"/>
        </w:rPr>
        <w:t>4</w:t>
      </w:r>
      <w:r w:rsidR="00AB31D8">
        <w:rPr>
          <w:b/>
          <w:sz w:val="24"/>
          <w:szCs w:val="24"/>
        </w:rPr>
        <w:t>.2</w:t>
      </w:r>
      <w:r w:rsidR="008A4714" w:rsidRPr="008A4714">
        <w:rPr>
          <w:b/>
          <w:sz w:val="24"/>
          <w:szCs w:val="24"/>
        </w:rPr>
        <w:t xml:space="preserve">. </w:t>
      </w:r>
      <w:r w:rsidR="00AB31D8">
        <w:rPr>
          <w:sz w:val="24"/>
          <w:szCs w:val="24"/>
        </w:rPr>
        <w:t>El presidente del Tribunal Administrativo del Cesar sostuvo que esta se había presentado fuera de término op</w:t>
      </w:r>
      <w:r w:rsidR="0068731F">
        <w:rPr>
          <w:sz w:val="24"/>
          <w:szCs w:val="24"/>
        </w:rPr>
        <w:t>ortuno, por lo cual no se cumplía</w:t>
      </w:r>
      <w:r w:rsidR="00AB31D8">
        <w:rPr>
          <w:sz w:val="24"/>
          <w:szCs w:val="24"/>
        </w:rPr>
        <w:t xml:space="preserve"> con uno de los requisitos de procedibilidad. Manifestó que </w:t>
      </w:r>
      <w:r w:rsidR="00E1791D">
        <w:rPr>
          <w:sz w:val="24"/>
          <w:szCs w:val="24"/>
        </w:rPr>
        <w:t xml:space="preserve">la providencia aludida en la presente acción se profirió el 10 de septiembre de 2020 y como la solicitud de amparo fue presentada hasta el mes de julio de 2021, era evidente la no razonabilidad del lapso transcurrido (10 meses después </w:t>
      </w:r>
      <w:r w:rsidR="004E0DC2">
        <w:rPr>
          <w:sz w:val="24"/>
          <w:szCs w:val="24"/>
        </w:rPr>
        <w:t>de ejecutoriada la pro</w:t>
      </w:r>
      <w:r w:rsidR="00E1791D">
        <w:rPr>
          <w:sz w:val="24"/>
          <w:szCs w:val="24"/>
        </w:rPr>
        <w:t>videncia), lo que devenía en la improcedencia del ejercicio de la acción constitucional. Lo anterior, debido a que la Corte Constitucional en la sentencia T-900 de 2004 precisó el presupuesto de inmediatez como requisito de procedibilidad y que el Consejo de Estado en sentencia del 5 de agosto de 2014 radicado número 11001-03-15-000-2012-02201-01 (IJ) estableció un término perentorio de seis meses como oportuno para incoar el medio de amparo.</w:t>
      </w:r>
    </w:p>
    <w:p w14:paraId="494B98BA" w14:textId="77777777" w:rsidR="00E1791D" w:rsidRDefault="00E1791D" w:rsidP="00955DB0">
      <w:pPr>
        <w:overflowPunct w:val="0"/>
        <w:autoSpaceDE w:val="0"/>
        <w:autoSpaceDN w:val="0"/>
        <w:adjustRightInd w:val="0"/>
        <w:rPr>
          <w:sz w:val="24"/>
          <w:szCs w:val="24"/>
        </w:rPr>
      </w:pPr>
    </w:p>
    <w:p w14:paraId="50F21C64" w14:textId="24E82BA5" w:rsidR="00E1791D" w:rsidRDefault="00E1791D" w:rsidP="00955DB0">
      <w:pPr>
        <w:overflowPunct w:val="0"/>
        <w:autoSpaceDE w:val="0"/>
        <w:autoSpaceDN w:val="0"/>
        <w:adjustRightInd w:val="0"/>
        <w:rPr>
          <w:sz w:val="24"/>
          <w:szCs w:val="24"/>
        </w:rPr>
      </w:pPr>
      <w:r>
        <w:rPr>
          <w:sz w:val="24"/>
          <w:szCs w:val="24"/>
        </w:rPr>
        <w:t xml:space="preserve">Aunado a lo anterior sostuvo que </w:t>
      </w:r>
      <w:r w:rsidR="004E0DC2">
        <w:rPr>
          <w:sz w:val="24"/>
          <w:szCs w:val="24"/>
        </w:rPr>
        <w:t xml:space="preserve">no se avizoraba arbitrariedad o contrariedad con el ordenamiento jurídico en la decisión atacada, toda vez que se </w:t>
      </w:r>
      <w:r w:rsidR="009049B1">
        <w:rPr>
          <w:sz w:val="24"/>
          <w:szCs w:val="24"/>
        </w:rPr>
        <w:t xml:space="preserve">aplicó la sentencia de unificación proferida por el Consejo de Estado el 17 de octubre de 2013, número radicado 50001-23-31-000-1996-07459-01 (23354), </w:t>
      </w:r>
      <w:r w:rsidR="0068731F">
        <w:rPr>
          <w:sz w:val="24"/>
          <w:szCs w:val="24"/>
        </w:rPr>
        <w:t>en lo concerniente a</w:t>
      </w:r>
      <w:r w:rsidR="009049B1">
        <w:rPr>
          <w:sz w:val="24"/>
          <w:szCs w:val="24"/>
        </w:rPr>
        <w:t xml:space="preserve">l régimen o </w:t>
      </w:r>
      <w:r w:rsidR="0068731F">
        <w:rPr>
          <w:sz w:val="24"/>
          <w:szCs w:val="24"/>
        </w:rPr>
        <w:t>a</w:t>
      </w:r>
      <w:r w:rsidR="009049B1">
        <w:rPr>
          <w:sz w:val="24"/>
          <w:szCs w:val="24"/>
        </w:rPr>
        <w:t xml:space="preserve">l título de imputación aplicable a los casos en que se exonera de responsabilidad al investigado en aplicación al principio de </w:t>
      </w:r>
      <w:r w:rsidR="009049B1" w:rsidRPr="00D07612">
        <w:rPr>
          <w:i/>
          <w:sz w:val="24"/>
          <w:szCs w:val="24"/>
        </w:rPr>
        <w:t>in dubio pro reo</w:t>
      </w:r>
      <w:r w:rsidR="009049B1">
        <w:rPr>
          <w:sz w:val="24"/>
          <w:szCs w:val="24"/>
        </w:rPr>
        <w:t>.</w:t>
      </w:r>
      <w:r w:rsidR="004E0DC2">
        <w:rPr>
          <w:sz w:val="24"/>
          <w:szCs w:val="24"/>
        </w:rPr>
        <w:t xml:space="preserve"> </w:t>
      </w:r>
      <w:r w:rsidR="009049B1">
        <w:rPr>
          <w:sz w:val="24"/>
          <w:szCs w:val="24"/>
        </w:rPr>
        <w:t xml:space="preserve">Finalmente resaltó que </w:t>
      </w:r>
      <w:r w:rsidR="009049B1" w:rsidRPr="009049B1">
        <w:rPr>
          <w:sz w:val="24"/>
          <w:szCs w:val="24"/>
        </w:rPr>
        <w:t>para declarar la responsabilidad por privación</w:t>
      </w:r>
      <w:r w:rsidR="009049B1">
        <w:rPr>
          <w:sz w:val="24"/>
          <w:szCs w:val="24"/>
        </w:rPr>
        <w:t xml:space="preserve"> injusta de la libertad, se debían</w:t>
      </w:r>
      <w:r w:rsidR="009049B1" w:rsidRPr="009049B1">
        <w:rPr>
          <w:sz w:val="24"/>
          <w:szCs w:val="24"/>
        </w:rPr>
        <w:t xml:space="preserve"> analizar todos los eventos que dieron lugar a la absolución en el proceso penal, ello teniendo en cuenta que la presunción de inocencia no riñe necesariamente con la imposición de medidas de aseguramiento, dado su carácter cautelar.</w:t>
      </w:r>
      <w:r w:rsidR="0036505A">
        <w:rPr>
          <w:sz w:val="24"/>
          <w:szCs w:val="24"/>
        </w:rPr>
        <w:t xml:space="preserve"> </w:t>
      </w:r>
    </w:p>
    <w:p w14:paraId="54286E8B" w14:textId="77777777" w:rsidR="00CD4D23" w:rsidRDefault="00CD4D23" w:rsidP="00955DB0">
      <w:pPr>
        <w:overflowPunct w:val="0"/>
        <w:autoSpaceDE w:val="0"/>
        <w:autoSpaceDN w:val="0"/>
        <w:adjustRightInd w:val="0"/>
        <w:rPr>
          <w:sz w:val="24"/>
          <w:szCs w:val="24"/>
        </w:rPr>
      </w:pPr>
    </w:p>
    <w:p w14:paraId="2E25B293" w14:textId="5C0F339E" w:rsidR="00CD4D23" w:rsidRPr="00CD4D23" w:rsidRDefault="00CD4D23" w:rsidP="00955DB0">
      <w:pPr>
        <w:overflowPunct w:val="0"/>
        <w:autoSpaceDE w:val="0"/>
        <w:autoSpaceDN w:val="0"/>
        <w:adjustRightInd w:val="0"/>
        <w:rPr>
          <w:sz w:val="24"/>
          <w:szCs w:val="24"/>
        </w:rPr>
      </w:pPr>
      <w:r>
        <w:rPr>
          <w:b/>
          <w:sz w:val="24"/>
          <w:szCs w:val="24"/>
        </w:rPr>
        <w:t>4.3.</w:t>
      </w:r>
      <w:r>
        <w:rPr>
          <w:sz w:val="24"/>
          <w:szCs w:val="24"/>
        </w:rPr>
        <w:t xml:space="preserve"> La Fiscalía General de la Nación </w:t>
      </w:r>
      <w:r w:rsidR="009608ED">
        <w:rPr>
          <w:sz w:val="24"/>
          <w:szCs w:val="24"/>
        </w:rPr>
        <w:t xml:space="preserve">afirmó </w:t>
      </w:r>
      <w:r>
        <w:rPr>
          <w:sz w:val="24"/>
          <w:szCs w:val="24"/>
        </w:rPr>
        <w:t xml:space="preserve">que la </w:t>
      </w:r>
      <w:r w:rsidRPr="00CD4D23">
        <w:rPr>
          <w:sz w:val="24"/>
          <w:szCs w:val="24"/>
        </w:rPr>
        <w:t>tutela resulta</w:t>
      </w:r>
      <w:r>
        <w:rPr>
          <w:sz w:val="24"/>
          <w:szCs w:val="24"/>
        </w:rPr>
        <w:t>ba</w:t>
      </w:r>
      <w:r w:rsidRPr="00CD4D23">
        <w:rPr>
          <w:sz w:val="24"/>
          <w:szCs w:val="24"/>
        </w:rPr>
        <w:t xml:space="preserve"> improcedente por cuanto (i) el accionante no da</w:t>
      </w:r>
      <w:r>
        <w:rPr>
          <w:sz w:val="24"/>
          <w:szCs w:val="24"/>
        </w:rPr>
        <w:t>ba</w:t>
      </w:r>
      <w:r w:rsidRPr="00CD4D23">
        <w:rPr>
          <w:sz w:val="24"/>
          <w:szCs w:val="24"/>
        </w:rPr>
        <w:t xml:space="preserve"> cuenta de por qué a pesar</w:t>
      </w:r>
      <w:r>
        <w:rPr>
          <w:sz w:val="24"/>
          <w:szCs w:val="24"/>
        </w:rPr>
        <w:t xml:space="preserve"> </w:t>
      </w:r>
      <w:r w:rsidRPr="00CD4D23">
        <w:rPr>
          <w:sz w:val="24"/>
          <w:szCs w:val="24"/>
        </w:rPr>
        <w:t>de existir otro mecanismo judicial idóneo para ventilar la controversia objeto de esta</w:t>
      </w:r>
      <w:r>
        <w:rPr>
          <w:sz w:val="24"/>
          <w:szCs w:val="24"/>
        </w:rPr>
        <w:t xml:space="preserve"> </w:t>
      </w:r>
      <w:r w:rsidRPr="00CD4D23">
        <w:rPr>
          <w:sz w:val="24"/>
          <w:szCs w:val="24"/>
        </w:rPr>
        <w:t>acción, no hizo uso del mismo, (ii) no sustentó las causales específicas de</w:t>
      </w:r>
      <w:r>
        <w:rPr>
          <w:sz w:val="24"/>
          <w:szCs w:val="24"/>
        </w:rPr>
        <w:t xml:space="preserve"> </w:t>
      </w:r>
      <w:r w:rsidRPr="00CD4D23">
        <w:rPr>
          <w:sz w:val="24"/>
          <w:szCs w:val="24"/>
        </w:rPr>
        <w:t xml:space="preserve">procedibilidad </w:t>
      </w:r>
      <w:r>
        <w:rPr>
          <w:sz w:val="24"/>
          <w:szCs w:val="24"/>
        </w:rPr>
        <w:t>para que la acción de tutela fuera procedente y (iii) pretendía</w:t>
      </w:r>
      <w:r w:rsidRPr="00CD4D23">
        <w:rPr>
          <w:sz w:val="24"/>
          <w:szCs w:val="24"/>
        </w:rPr>
        <w:t xml:space="preserve"> recuperar oportunidades procesales perdidas</w:t>
      </w:r>
      <w:r>
        <w:rPr>
          <w:sz w:val="24"/>
          <w:szCs w:val="24"/>
        </w:rPr>
        <w:t>.</w:t>
      </w:r>
    </w:p>
    <w:p w14:paraId="2E0A79F2" w14:textId="77777777" w:rsidR="00155E78" w:rsidRPr="00155E78" w:rsidRDefault="000C5DB7" w:rsidP="00955DB0">
      <w:pPr>
        <w:pStyle w:val="Ttulo1"/>
        <w:spacing w:line="240" w:lineRule="auto"/>
        <w:contextualSpacing/>
        <w:rPr>
          <w:lang w:val="es-ES_tradnl"/>
        </w:rPr>
      </w:pPr>
      <w:r w:rsidRPr="000C5DB7">
        <w:rPr>
          <w:lang w:val="es-ES_tradnl"/>
        </w:rPr>
        <w:lastRenderedPageBreak/>
        <w:t>CONSIDERACIONES</w:t>
      </w:r>
    </w:p>
    <w:p w14:paraId="649AF0D5" w14:textId="77777777" w:rsidR="000C5DB7" w:rsidRPr="000C5DB7" w:rsidRDefault="000C5DB7" w:rsidP="00955DB0">
      <w:pPr>
        <w:numPr>
          <w:ilvl w:val="0"/>
          <w:numId w:val="1"/>
        </w:numPr>
        <w:tabs>
          <w:tab w:val="left" w:pos="426"/>
        </w:tabs>
        <w:ind w:left="0" w:firstLine="0"/>
        <w:contextualSpacing/>
        <w:rPr>
          <w:b/>
          <w:sz w:val="24"/>
          <w:szCs w:val="24"/>
          <w:lang w:val="es-ES_tradnl"/>
        </w:rPr>
      </w:pPr>
      <w:r w:rsidRPr="000C5DB7">
        <w:rPr>
          <w:b/>
          <w:sz w:val="24"/>
          <w:szCs w:val="24"/>
          <w:lang w:val="es-ES_tradnl"/>
        </w:rPr>
        <w:t>Competencia</w:t>
      </w:r>
    </w:p>
    <w:p w14:paraId="4101652C" w14:textId="77777777" w:rsidR="000C5DB7" w:rsidRPr="000C5DB7" w:rsidRDefault="000C5DB7" w:rsidP="00955DB0">
      <w:pPr>
        <w:contextualSpacing/>
        <w:rPr>
          <w:b/>
          <w:sz w:val="24"/>
          <w:szCs w:val="24"/>
          <w:lang w:val="es-ES_tradnl"/>
        </w:rPr>
      </w:pPr>
    </w:p>
    <w:p w14:paraId="04D0ECB9" w14:textId="77777777" w:rsidR="0007180C" w:rsidRPr="00406A9A" w:rsidRDefault="0007180C" w:rsidP="00955DB0">
      <w:pPr>
        <w:overflowPunct w:val="0"/>
        <w:autoSpaceDE w:val="0"/>
        <w:autoSpaceDN w:val="0"/>
        <w:adjustRightInd w:val="0"/>
        <w:contextualSpacing/>
        <w:rPr>
          <w:rFonts w:eastAsia="Times New Roman"/>
          <w:sz w:val="24"/>
          <w:szCs w:val="24"/>
          <w:lang w:val="es-ES_tradnl" w:eastAsia="es-ES"/>
        </w:rPr>
      </w:pPr>
      <w:r w:rsidRPr="00406A9A">
        <w:rPr>
          <w:rFonts w:eastAsia="Times New Roman"/>
          <w:sz w:val="24"/>
          <w:szCs w:val="24"/>
          <w:lang w:val="es-ES_tradnl" w:eastAsia="es-ES"/>
        </w:rPr>
        <w:t>La Sala es competente para decidir la presente acción de tutela en virtud de lo dispuesto en el artículo 86 de la Constitución Política y en el artículo 37 del Decreto 2591 de 1991</w:t>
      </w:r>
      <w:r w:rsidRPr="00406A9A">
        <w:rPr>
          <w:rFonts w:eastAsia="Times New Roman"/>
          <w:sz w:val="24"/>
          <w:szCs w:val="24"/>
          <w:vertAlign w:val="superscript"/>
          <w:lang w:val="es-ES_tradnl" w:eastAsia="es-ES"/>
        </w:rPr>
        <w:footnoteReference w:id="6"/>
      </w:r>
      <w:r w:rsidRPr="00406A9A">
        <w:rPr>
          <w:rFonts w:eastAsia="Times New Roman"/>
          <w:sz w:val="24"/>
          <w:szCs w:val="24"/>
          <w:lang w:val="es-ES_tradnl" w:eastAsia="es-ES"/>
        </w:rPr>
        <w:t>.</w:t>
      </w:r>
    </w:p>
    <w:p w14:paraId="4B99056E" w14:textId="77777777" w:rsidR="000C5DB7" w:rsidRPr="0007180C" w:rsidRDefault="000C5DB7" w:rsidP="00955DB0">
      <w:pPr>
        <w:overflowPunct w:val="0"/>
        <w:autoSpaceDE w:val="0"/>
        <w:autoSpaceDN w:val="0"/>
        <w:adjustRightInd w:val="0"/>
        <w:contextualSpacing/>
        <w:rPr>
          <w:rFonts w:eastAsia="Times New Roman"/>
          <w:sz w:val="24"/>
          <w:szCs w:val="24"/>
          <w:lang w:val="es-ES_tradnl" w:eastAsia="es-ES"/>
        </w:rPr>
      </w:pPr>
    </w:p>
    <w:p w14:paraId="15CACC09" w14:textId="77777777" w:rsidR="000C5DB7" w:rsidRPr="000C5DB7" w:rsidRDefault="000C5DB7" w:rsidP="00955DB0">
      <w:pPr>
        <w:numPr>
          <w:ilvl w:val="0"/>
          <w:numId w:val="1"/>
        </w:numPr>
        <w:ind w:left="426"/>
        <w:contextualSpacing/>
        <w:rPr>
          <w:b/>
          <w:bCs/>
          <w:sz w:val="24"/>
          <w:szCs w:val="24"/>
          <w:lang w:val="es-ES_tradnl"/>
        </w:rPr>
      </w:pPr>
      <w:r w:rsidRPr="630B791F">
        <w:rPr>
          <w:b/>
          <w:bCs/>
          <w:sz w:val="24"/>
          <w:szCs w:val="24"/>
          <w:lang w:val="es-ES"/>
        </w:rPr>
        <w:t>Procedibilidad de la acción</w:t>
      </w:r>
    </w:p>
    <w:p w14:paraId="1299C43A" w14:textId="62DFAE46" w:rsidR="000C5DB7" w:rsidRPr="005455EB" w:rsidRDefault="000C5DB7" w:rsidP="00955DB0">
      <w:pPr>
        <w:contextualSpacing/>
        <w:rPr>
          <w:rFonts w:eastAsia="Arial"/>
          <w:color w:val="000000" w:themeColor="text1"/>
          <w:sz w:val="24"/>
          <w:szCs w:val="24"/>
          <w:vertAlign w:val="superscript"/>
        </w:rPr>
      </w:pPr>
      <w:r>
        <w:br/>
      </w:r>
      <w:r w:rsidR="00F338CB" w:rsidRPr="00B04EDB">
        <w:rPr>
          <w:rFonts w:eastAsia="Arial"/>
          <w:color w:val="000000" w:themeColor="text1"/>
          <w:sz w:val="24"/>
          <w:szCs w:val="24"/>
          <w:lang w:val="es-MX"/>
        </w:rPr>
        <w:t xml:space="preserve">En los casos en que </w:t>
      </w:r>
      <w:r w:rsidR="00F338CB" w:rsidRPr="00B04EDB">
        <w:rPr>
          <w:rFonts w:eastAsia="Arial"/>
          <w:color w:val="000000" w:themeColor="text1"/>
          <w:sz w:val="24"/>
          <w:szCs w:val="24"/>
        </w:rPr>
        <w:t>la solicitud de amparo ataca una providencia judicial, la doctrina constitucional</w:t>
      </w:r>
      <w:r w:rsidR="00F338CB" w:rsidRPr="00B04EDB">
        <w:rPr>
          <w:rFonts w:eastAsia="Arial"/>
          <w:color w:val="000000" w:themeColor="text1"/>
          <w:sz w:val="24"/>
          <w:szCs w:val="24"/>
          <w:vertAlign w:val="superscript"/>
        </w:rPr>
        <w:footnoteReference w:id="7"/>
      </w:r>
      <w:r w:rsidR="00F338CB" w:rsidRPr="00B04EDB">
        <w:rPr>
          <w:rFonts w:eastAsia="Arial"/>
          <w:color w:val="000000" w:themeColor="text1"/>
          <w:sz w:val="24"/>
          <w:szCs w:val="24"/>
          <w:lang w:val="es-MX"/>
        </w:rPr>
        <w:t xml:space="preserve"> ha indicado que el juez de tutela debe, en forma preliminar, realizar </w:t>
      </w:r>
      <w:r w:rsidR="00F338CB" w:rsidRPr="00B04EDB">
        <w:rPr>
          <w:rFonts w:eastAsia="Arial"/>
          <w:color w:val="000000" w:themeColor="text1"/>
          <w:sz w:val="24"/>
          <w:szCs w:val="24"/>
        </w:rPr>
        <w:t>un examen de procedibilidad general</w:t>
      </w:r>
      <w:r w:rsidR="00F338CB" w:rsidRPr="00B04EDB">
        <w:rPr>
          <w:rFonts w:eastAsia="Arial"/>
          <w:color w:val="000000" w:themeColor="text1"/>
          <w:sz w:val="24"/>
          <w:szCs w:val="24"/>
          <w:vertAlign w:val="superscript"/>
        </w:rPr>
        <w:footnoteReference w:id="8"/>
      </w:r>
      <w:r w:rsidR="00F338CB" w:rsidRPr="00B04EDB">
        <w:rPr>
          <w:rFonts w:eastAsia="Arial"/>
          <w:color w:val="000000" w:themeColor="text1"/>
          <w:sz w:val="24"/>
          <w:szCs w:val="24"/>
        </w:rPr>
        <w:t xml:space="preserve"> de la acción; pues, s</w:t>
      </w:r>
      <w:r w:rsidR="00730DB4">
        <w:rPr>
          <w:rFonts w:eastAsia="Arial"/>
          <w:color w:val="000000" w:themeColor="text1"/>
          <w:sz w:val="24"/>
          <w:szCs w:val="24"/>
        </w:rPr>
        <w:t>o</w:t>
      </w:r>
      <w:r w:rsidR="00F338CB" w:rsidRPr="00B04EDB">
        <w:rPr>
          <w:rFonts w:eastAsia="Arial"/>
          <w:color w:val="000000" w:themeColor="text1"/>
          <w:sz w:val="24"/>
          <w:szCs w:val="24"/>
        </w:rPr>
        <w:t xml:space="preserve">lo una vez verificada la observancia de los requisitos que la determinan, procede el pronunciamiento de fondo sobre la problemática jurídica que </w:t>
      </w:r>
      <w:r w:rsidR="005455EB">
        <w:rPr>
          <w:rFonts w:eastAsia="Arial"/>
          <w:color w:val="000000" w:themeColor="text1"/>
          <w:sz w:val="24"/>
          <w:szCs w:val="24"/>
        </w:rPr>
        <w:t>los accionantes</w:t>
      </w:r>
      <w:r w:rsidR="00F338CB" w:rsidRPr="00B04EDB">
        <w:rPr>
          <w:rFonts w:eastAsia="Arial"/>
          <w:color w:val="000000" w:themeColor="text1"/>
          <w:sz w:val="24"/>
          <w:szCs w:val="24"/>
        </w:rPr>
        <w:t xml:space="preserve"> plantea</w:t>
      </w:r>
      <w:r w:rsidR="005455EB">
        <w:rPr>
          <w:rFonts w:eastAsia="Arial"/>
          <w:color w:val="000000" w:themeColor="text1"/>
          <w:sz w:val="24"/>
          <w:szCs w:val="24"/>
        </w:rPr>
        <w:t>n</w:t>
      </w:r>
      <w:r w:rsidR="00F338CB" w:rsidRPr="00B04EDB">
        <w:rPr>
          <w:rFonts w:eastAsia="Arial"/>
          <w:color w:val="000000" w:themeColor="text1"/>
          <w:sz w:val="24"/>
          <w:szCs w:val="24"/>
        </w:rPr>
        <w:t xml:space="preserve"> en función de los defectos que reprocha</w:t>
      </w:r>
      <w:r w:rsidR="005455EB">
        <w:rPr>
          <w:rFonts w:eastAsia="Arial"/>
          <w:color w:val="000000" w:themeColor="text1"/>
          <w:sz w:val="24"/>
          <w:szCs w:val="24"/>
        </w:rPr>
        <w:t>n</w:t>
      </w:r>
      <w:r w:rsidR="00F338CB" w:rsidRPr="00B04EDB">
        <w:rPr>
          <w:rFonts w:eastAsia="Arial"/>
          <w:color w:val="000000" w:themeColor="text1"/>
          <w:sz w:val="24"/>
          <w:szCs w:val="24"/>
        </w:rPr>
        <w:t xml:space="preserve"> a la actuación acusada y conforme a las causales específicas de procedencia de la acción de tutela contra providencias judiciales</w:t>
      </w:r>
      <w:r w:rsidR="00F338CB" w:rsidRPr="00B04EDB">
        <w:rPr>
          <w:rStyle w:val="Refdenotaalpie"/>
          <w:rFonts w:eastAsia="Arial"/>
          <w:color w:val="000000" w:themeColor="text1"/>
          <w:sz w:val="24"/>
          <w:szCs w:val="24"/>
        </w:rPr>
        <w:footnoteReference w:id="9"/>
      </w:r>
      <w:r w:rsidR="00F338CB" w:rsidRPr="00B04EDB">
        <w:rPr>
          <w:rFonts w:eastAsia="Arial"/>
          <w:color w:val="000000" w:themeColor="text1"/>
          <w:sz w:val="24"/>
          <w:szCs w:val="24"/>
        </w:rPr>
        <w:t>.</w:t>
      </w:r>
    </w:p>
    <w:p w14:paraId="7F3953E9" w14:textId="77777777" w:rsidR="00D93317" w:rsidRDefault="00D93317" w:rsidP="00955DB0">
      <w:pPr>
        <w:contextualSpacing/>
        <w:rPr>
          <w:rFonts w:eastAsia="Verdana"/>
          <w:b/>
          <w:sz w:val="24"/>
          <w:szCs w:val="24"/>
          <w:lang w:val="es-ES_tradnl"/>
        </w:rPr>
      </w:pPr>
    </w:p>
    <w:p w14:paraId="511070D7" w14:textId="1F37CF86" w:rsidR="009A4F13" w:rsidRDefault="000C5DB7" w:rsidP="00955DB0">
      <w:pPr>
        <w:contextualSpacing/>
        <w:rPr>
          <w:b/>
          <w:sz w:val="24"/>
          <w:szCs w:val="24"/>
          <w:lang w:val="es-ES_tradnl"/>
        </w:rPr>
      </w:pPr>
      <w:r w:rsidRPr="00D90096">
        <w:rPr>
          <w:rFonts w:eastAsia="Verdana"/>
          <w:b/>
          <w:sz w:val="24"/>
          <w:szCs w:val="24"/>
          <w:lang w:val="es-ES_tradnl"/>
        </w:rPr>
        <w:t>2.</w:t>
      </w:r>
      <w:r w:rsidRPr="000C5DB7">
        <w:rPr>
          <w:rFonts w:eastAsia="Verdana"/>
          <w:b/>
          <w:sz w:val="24"/>
          <w:szCs w:val="24"/>
          <w:lang w:val="es-ES_tradnl"/>
        </w:rPr>
        <w:t xml:space="preserve">1. </w:t>
      </w:r>
      <w:r w:rsidR="009A4F13">
        <w:rPr>
          <w:b/>
          <w:sz w:val="24"/>
          <w:szCs w:val="24"/>
          <w:lang w:val="es-ES_tradnl"/>
        </w:rPr>
        <w:t>L</w:t>
      </w:r>
      <w:r w:rsidR="009A4F13" w:rsidRPr="000C5DB7">
        <w:rPr>
          <w:b/>
          <w:sz w:val="24"/>
          <w:szCs w:val="24"/>
          <w:lang w:val="es-ES_tradnl"/>
        </w:rPr>
        <w:t>egitimación</w:t>
      </w:r>
      <w:r w:rsidR="009A4F13" w:rsidRPr="000C5DB7">
        <w:rPr>
          <w:sz w:val="24"/>
          <w:szCs w:val="24"/>
          <w:lang w:val="es-ES_tradnl"/>
        </w:rPr>
        <w:t xml:space="preserve"> </w:t>
      </w:r>
      <w:r w:rsidR="009A4F13" w:rsidRPr="00E70863">
        <w:rPr>
          <w:b/>
          <w:sz w:val="24"/>
          <w:szCs w:val="24"/>
          <w:lang w:val="es-ES_tradnl"/>
        </w:rPr>
        <w:t>en la causa</w:t>
      </w:r>
    </w:p>
    <w:p w14:paraId="3B211010" w14:textId="77777777" w:rsidR="009A4F13" w:rsidRDefault="009A4F13" w:rsidP="00955DB0">
      <w:pPr>
        <w:contextualSpacing/>
        <w:rPr>
          <w:rFonts w:eastAsia="Verdana"/>
          <w:b/>
          <w:sz w:val="24"/>
          <w:szCs w:val="24"/>
          <w:lang w:val="es-ES_tradnl"/>
        </w:rPr>
      </w:pPr>
    </w:p>
    <w:p w14:paraId="629379AA" w14:textId="4A22D8A0" w:rsidR="0007180C" w:rsidRDefault="00E77601" w:rsidP="00955DB0">
      <w:pPr>
        <w:contextualSpacing/>
        <w:rPr>
          <w:rFonts w:eastAsia="Verdana"/>
          <w:sz w:val="24"/>
          <w:szCs w:val="24"/>
          <w:lang w:val="es-ES_tradnl"/>
        </w:rPr>
      </w:pPr>
      <w:r>
        <w:rPr>
          <w:rFonts w:eastAsia="Verdana"/>
          <w:sz w:val="24"/>
          <w:szCs w:val="24"/>
          <w:lang w:val="es-ES_tradnl"/>
        </w:rPr>
        <w:t xml:space="preserve">Javier Machado Quiroz </w:t>
      </w:r>
      <w:r w:rsidR="00D24C12">
        <w:rPr>
          <w:rFonts w:eastAsia="Verdana"/>
          <w:sz w:val="24"/>
          <w:szCs w:val="24"/>
          <w:lang w:val="es-ES_tradnl"/>
        </w:rPr>
        <w:t xml:space="preserve">está legitimado por activa, en razón a que fungió como demandante en el proceso ordinario </w:t>
      </w:r>
      <w:r w:rsidR="00F93CE9">
        <w:rPr>
          <w:rFonts w:eastAsia="Verdana"/>
          <w:sz w:val="24"/>
          <w:szCs w:val="24"/>
          <w:lang w:val="es-ES_tradnl"/>
        </w:rPr>
        <w:t>radicado con número 20001-33-33-002-2017-00124-01, y, por tanto, es titular de los derechos invocados, que considera vulnerados con la sentencia del 10 de septiembre de 2020 proferida por el Tribunal Administrativo del Cesar</w:t>
      </w:r>
      <w:r w:rsidR="00287F2D">
        <w:rPr>
          <w:rFonts w:eastAsia="Verdana"/>
          <w:sz w:val="24"/>
          <w:szCs w:val="24"/>
          <w:lang w:val="es-ES_tradnl"/>
        </w:rPr>
        <w:t>.</w:t>
      </w:r>
    </w:p>
    <w:p w14:paraId="31A0FB44" w14:textId="77777777" w:rsidR="00287F2D" w:rsidRDefault="00287F2D" w:rsidP="00955DB0">
      <w:pPr>
        <w:contextualSpacing/>
        <w:rPr>
          <w:rFonts w:eastAsia="Verdana"/>
          <w:sz w:val="24"/>
          <w:szCs w:val="24"/>
          <w:lang w:val="es-ES_tradnl"/>
        </w:rPr>
      </w:pPr>
    </w:p>
    <w:p w14:paraId="754B2E66" w14:textId="79D0ACF9" w:rsidR="001247BF" w:rsidRPr="00DF09B0" w:rsidRDefault="00287F2D" w:rsidP="00955DB0">
      <w:pPr>
        <w:contextualSpacing/>
        <w:rPr>
          <w:color w:val="000000" w:themeColor="text1"/>
          <w:sz w:val="24"/>
          <w:szCs w:val="24"/>
        </w:rPr>
      </w:pPr>
      <w:r>
        <w:rPr>
          <w:rFonts w:eastAsia="Verdana"/>
          <w:sz w:val="24"/>
          <w:szCs w:val="24"/>
          <w:lang w:val="es-ES_tradnl"/>
        </w:rPr>
        <w:t>El Tribunal Administrativo de</w:t>
      </w:r>
      <w:r w:rsidR="00C10C1F">
        <w:rPr>
          <w:rFonts w:eastAsia="Verdana"/>
          <w:sz w:val="24"/>
          <w:szCs w:val="24"/>
          <w:lang w:val="es-ES_tradnl"/>
        </w:rPr>
        <w:t>l Cesar está legitimado por pasiva, toda vez que fue la autoridad judicial que profirió la decisión que es objeto de</w:t>
      </w:r>
      <w:r w:rsidR="009050DC">
        <w:rPr>
          <w:rFonts w:eastAsia="Verdana"/>
          <w:sz w:val="24"/>
          <w:szCs w:val="24"/>
          <w:lang w:val="es-ES_tradnl"/>
        </w:rPr>
        <w:t xml:space="preserve"> reproche a través de esta acción constitucional. </w:t>
      </w:r>
    </w:p>
    <w:p w14:paraId="3CF2D8B6" w14:textId="77777777" w:rsidR="000C5DB7" w:rsidRPr="000C5DB7" w:rsidRDefault="000C5DB7" w:rsidP="00955DB0">
      <w:pPr>
        <w:tabs>
          <w:tab w:val="left" w:pos="0"/>
        </w:tabs>
        <w:contextualSpacing/>
        <w:rPr>
          <w:sz w:val="24"/>
          <w:szCs w:val="24"/>
          <w:lang w:val="es-ES_tradnl"/>
        </w:rPr>
      </w:pPr>
    </w:p>
    <w:p w14:paraId="6C5607F4" w14:textId="4D51C276" w:rsidR="00301F69" w:rsidRDefault="000C5DB7" w:rsidP="00955DB0">
      <w:pPr>
        <w:contextualSpacing/>
        <w:rPr>
          <w:rFonts w:eastAsia="Times New Roman"/>
          <w:b/>
          <w:sz w:val="24"/>
          <w:szCs w:val="24"/>
          <w:lang w:val="es-ES_tradnl" w:eastAsia="es-ES"/>
        </w:rPr>
      </w:pPr>
      <w:r w:rsidRPr="00001048">
        <w:rPr>
          <w:rFonts w:eastAsia="Times New Roman"/>
          <w:b/>
          <w:sz w:val="24"/>
          <w:szCs w:val="24"/>
          <w:lang w:val="es-ES_tradnl" w:eastAsia="es-ES"/>
        </w:rPr>
        <w:lastRenderedPageBreak/>
        <w:t>2.2</w:t>
      </w:r>
      <w:r w:rsidRPr="004E5D95">
        <w:rPr>
          <w:rFonts w:eastAsia="Times New Roman"/>
          <w:b/>
          <w:sz w:val="24"/>
          <w:szCs w:val="24"/>
          <w:lang w:val="es-ES_tradnl" w:eastAsia="es-ES"/>
        </w:rPr>
        <w:t>.</w:t>
      </w:r>
      <w:r w:rsidR="009A4F13">
        <w:rPr>
          <w:rFonts w:eastAsia="Times New Roman"/>
          <w:b/>
          <w:sz w:val="24"/>
          <w:szCs w:val="24"/>
          <w:lang w:val="es-ES_tradnl" w:eastAsia="es-ES"/>
        </w:rPr>
        <w:t xml:space="preserve"> Inmediatez</w:t>
      </w:r>
    </w:p>
    <w:p w14:paraId="75D2D7B0" w14:textId="77777777" w:rsidR="00955DB0" w:rsidRDefault="00955DB0" w:rsidP="00955DB0">
      <w:pPr>
        <w:contextualSpacing/>
        <w:rPr>
          <w:rFonts w:eastAsia="Times New Roman"/>
          <w:sz w:val="24"/>
          <w:szCs w:val="24"/>
          <w:lang w:eastAsia="es-CO"/>
        </w:rPr>
      </w:pPr>
    </w:p>
    <w:p w14:paraId="6E3E4CC5" w14:textId="77777777" w:rsidR="002F09AE" w:rsidRDefault="002F09AE" w:rsidP="00955DB0">
      <w:pPr>
        <w:keepNext/>
        <w:widowControl w:val="0"/>
        <w:textAlignment w:val="baseline"/>
        <w:rPr>
          <w:rFonts w:eastAsia="Times New Roman"/>
          <w:sz w:val="24"/>
          <w:szCs w:val="24"/>
          <w:lang w:eastAsia="es-CO"/>
        </w:rPr>
      </w:pPr>
      <w:r>
        <w:rPr>
          <w:rFonts w:eastAsia="Times New Roman"/>
          <w:sz w:val="24"/>
          <w:szCs w:val="24"/>
          <w:lang w:eastAsia="es-CO"/>
        </w:rPr>
        <w:t xml:space="preserve">En relación con el requisito de </w:t>
      </w:r>
      <w:r>
        <w:rPr>
          <w:rFonts w:eastAsia="Times New Roman"/>
          <w:b/>
          <w:bCs/>
          <w:i/>
          <w:iCs/>
          <w:sz w:val="24"/>
          <w:szCs w:val="24"/>
          <w:lang w:eastAsia="es-CO"/>
        </w:rPr>
        <w:t>inmediatez</w:t>
      </w:r>
      <w:r>
        <w:rPr>
          <w:rFonts w:eastAsia="Times New Roman"/>
          <w:sz w:val="24"/>
          <w:szCs w:val="24"/>
          <w:lang w:eastAsia="es-CO"/>
        </w:rPr>
        <w:t>, es preciso resaltar que, si bien la acción de tutela se puede presentar en cualquier momento y lugar, su finalidad es la protección inmediata de los derechos fundamentales, de manera que se debe ejercer dentro de un plazo razonable,</w:t>
      </w:r>
      <w:r>
        <w:rPr>
          <w:rStyle w:val="normaltextrun"/>
          <w:sz w:val="24"/>
        </w:rPr>
        <w:t xml:space="preserve"> según las condiciones de tiempo, modo y lugar del caso concreto, para asegurar la protección oportuna del derecho vulnerado</w:t>
      </w:r>
      <w:r>
        <w:rPr>
          <w:rFonts w:eastAsia="Times New Roman"/>
          <w:sz w:val="24"/>
          <w:szCs w:val="24"/>
          <w:lang w:eastAsia="es-CO"/>
        </w:rPr>
        <w:t xml:space="preserve">. De lo contrario, la urgencia y la necesidad de intervención del juez de tutela quedarían desvirtuadas. Ahora bien, cuando la solicitud de amparo se presenta en contra de una providencia judicial, el requisito de inmediatez también se traduce en una garantía de seguridad jurídica y de los intereses de terceros, pues la sentencia que se cuestione, previamente ha definido un litigio y una situación jurídica en particular. </w:t>
      </w:r>
    </w:p>
    <w:p w14:paraId="4F5130EC" w14:textId="77777777" w:rsidR="004D2D37" w:rsidRDefault="004D2D37" w:rsidP="00955DB0">
      <w:pPr>
        <w:keepNext/>
        <w:widowControl w:val="0"/>
        <w:textAlignment w:val="baseline"/>
        <w:rPr>
          <w:rFonts w:eastAsia="Times New Roman"/>
          <w:sz w:val="24"/>
          <w:szCs w:val="24"/>
          <w:lang w:eastAsia="es-CO"/>
        </w:rPr>
      </w:pPr>
    </w:p>
    <w:p w14:paraId="72D65CB6" w14:textId="67140359" w:rsidR="002F09AE" w:rsidRDefault="002F09AE" w:rsidP="00955DB0">
      <w:pPr>
        <w:keepNext/>
        <w:widowControl w:val="0"/>
        <w:textAlignment w:val="baseline"/>
        <w:rPr>
          <w:rStyle w:val="normaltextrun"/>
          <w:sz w:val="24"/>
          <w:szCs w:val="24"/>
        </w:rPr>
      </w:pPr>
      <w:r>
        <w:rPr>
          <w:rFonts w:eastAsia="Times New Roman"/>
          <w:sz w:val="24"/>
          <w:szCs w:val="24"/>
          <w:lang w:eastAsia="es-CO"/>
        </w:rPr>
        <w:t xml:space="preserve">Por esta razón, este tipo de solicitudes </w:t>
      </w:r>
      <w:r>
        <w:rPr>
          <w:rStyle w:val="normaltextrun"/>
          <w:sz w:val="24"/>
        </w:rPr>
        <w:t>exige una mayor rigurosidad</w:t>
      </w:r>
      <w:r>
        <w:rPr>
          <w:rStyle w:val="Refdenotaalpie"/>
          <w:sz w:val="24"/>
          <w:szCs w:val="24"/>
        </w:rPr>
        <w:footnoteReference w:id="10"/>
      </w:r>
      <w:r>
        <w:rPr>
          <w:rStyle w:val="normaltextrun"/>
          <w:sz w:val="24"/>
        </w:rPr>
        <w:t xml:space="preserve">, al punto que la doctrina constitucional ha definido la razonabilidad, </w:t>
      </w:r>
      <w:r>
        <w:rPr>
          <w:rStyle w:val="normaltextrun"/>
          <w:i/>
          <w:iCs/>
          <w:sz w:val="24"/>
        </w:rPr>
        <w:t xml:space="preserve">prima facie, </w:t>
      </w:r>
      <w:r>
        <w:rPr>
          <w:rStyle w:val="normaltextrun"/>
          <w:sz w:val="24"/>
        </w:rPr>
        <w:t>en</w:t>
      </w:r>
      <w:r>
        <w:rPr>
          <w:rStyle w:val="normaltextrun"/>
          <w:i/>
          <w:iCs/>
          <w:sz w:val="24"/>
        </w:rPr>
        <w:t xml:space="preserve"> </w:t>
      </w:r>
      <w:r>
        <w:rPr>
          <w:rStyle w:val="normaltextrun"/>
          <w:sz w:val="24"/>
        </w:rPr>
        <w:t>un lapso de seis meses</w:t>
      </w:r>
      <w:r>
        <w:rPr>
          <w:rStyle w:val="Refdenotaalpie"/>
          <w:sz w:val="24"/>
          <w:szCs w:val="24"/>
        </w:rPr>
        <w:footnoteReference w:id="11"/>
      </w:r>
      <w:r>
        <w:rPr>
          <w:rStyle w:val="normaltextrun"/>
          <w:sz w:val="24"/>
        </w:rPr>
        <w:t>.</w:t>
      </w:r>
    </w:p>
    <w:p w14:paraId="456F16B7" w14:textId="77777777" w:rsidR="002F09AE" w:rsidRDefault="002F09AE" w:rsidP="00955DB0">
      <w:pPr>
        <w:contextualSpacing/>
        <w:rPr>
          <w:rFonts w:eastAsia="Times New Roman"/>
          <w:b/>
          <w:sz w:val="24"/>
          <w:szCs w:val="24"/>
          <w:lang w:eastAsia="es-ES"/>
        </w:rPr>
      </w:pPr>
    </w:p>
    <w:p w14:paraId="7E97D5D3" w14:textId="0F2E9889" w:rsidR="00F5043B" w:rsidRDefault="00F5043B" w:rsidP="00955DB0">
      <w:pPr>
        <w:keepNext/>
        <w:widowControl w:val="0"/>
        <w:textAlignment w:val="baseline"/>
        <w:rPr>
          <w:bCs/>
          <w:sz w:val="24"/>
          <w:szCs w:val="24"/>
        </w:rPr>
      </w:pPr>
      <w:r>
        <w:rPr>
          <w:rFonts w:eastAsia="Times New Roman"/>
          <w:sz w:val="24"/>
          <w:szCs w:val="24"/>
          <w:lang w:eastAsia="es-CO"/>
        </w:rPr>
        <w:t>En el caso concreto, la acción de tutela está dirigida en contra del fallo de segunda instancia proferido</w:t>
      </w:r>
      <w:r w:rsidR="00964E7E">
        <w:rPr>
          <w:rFonts w:eastAsia="Times New Roman"/>
          <w:sz w:val="24"/>
          <w:szCs w:val="24"/>
          <w:lang w:eastAsia="es-CO"/>
        </w:rPr>
        <w:t xml:space="preserve"> por el Tribunal Administrativo del Cesar el 10 de septiembre de 2020</w:t>
      </w:r>
      <w:r>
        <w:rPr>
          <w:rFonts w:eastAsia="Times New Roman"/>
          <w:sz w:val="24"/>
          <w:szCs w:val="24"/>
          <w:lang w:eastAsia="es-CO"/>
        </w:rPr>
        <w:t xml:space="preserve"> al interior del proceso de reparación directa, con número de radicado </w:t>
      </w:r>
      <w:r>
        <w:rPr>
          <w:bCs/>
          <w:sz w:val="24"/>
          <w:szCs w:val="24"/>
        </w:rPr>
        <w:t xml:space="preserve">20001-33-33-002-2017-00124-01. </w:t>
      </w:r>
      <w:r w:rsidR="009B6EB1">
        <w:rPr>
          <w:bCs/>
          <w:sz w:val="24"/>
          <w:szCs w:val="24"/>
        </w:rPr>
        <w:t>Dicha</w:t>
      </w:r>
      <w:r>
        <w:rPr>
          <w:bCs/>
          <w:sz w:val="24"/>
          <w:szCs w:val="24"/>
        </w:rPr>
        <w:t xml:space="preserve"> sentencia </w:t>
      </w:r>
      <w:r w:rsidR="00130790">
        <w:rPr>
          <w:bCs/>
          <w:sz w:val="24"/>
          <w:szCs w:val="24"/>
        </w:rPr>
        <w:t xml:space="preserve">cobró ejecutoria el 18 de </w:t>
      </w:r>
      <w:r w:rsidR="00553C10">
        <w:rPr>
          <w:bCs/>
          <w:sz w:val="24"/>
          <w:szCs w:val="24"/>
        </w:rPr>
        <w:t>septiembre de 2020</w:t>
      </w:r>
      <w:r w:rsidR="00553C10" w:rsidRPr="00406A9A">
        <w:rPr>
          <w:bCs/>
          <w:sz w:val="24"/>
          <w:szCs w:val="24"/>
          <w:vertAlign w:val="superscript"/>
          <w:lang w:val="es-ES_tradnl"/>
        </w:rPr>
        <w:footnoteReference w:id="12"/>
      </w:r>
      <w:r>
        <w:rPr>
          <w:bCs/>
          <w:sz w:val="24"/>
          <w:szCs w:val="24"/>
        </w:rPr>
        <w:t xml:space="preserve"> y </w:t>
      </w:r>
      <w:r w:rsidR="006B17E6">
        <w:rPr>
          <w:bCs/>
          <w:sz w:val="24"/>
          <w:szCs w:val="24"/>
        </w:rPr>
        <w:t xml:space="preserve"> fue </w:t>
      </w:r>
      <w:r>
        <w:rPr>
          <w:bCs/>
          <w:sz w:val="24"/>
          <w:szCs w:val="24"/>
        </w:rPr>
        <w:t xml:space="preserve">cuestionada en sede de tutela, el 13 de </w:t>
      </w:r>
      <w:r w:rsidR="00553C10">
        <w:rPr>
          <w:bCs/>
          <w:sz w:val="24"/>
          <w:szCs w:val="24"/>
        </w:rPr>
        <w:t>juli</w:t>
      </w:r>
      <w:r>
        <w:rPr>
          <w:bCs/>
          <w:sz w:val="24"/>
          <w:szCs w:val="24"/>
        </w:rPr>
        <w:t>o de 202</w:t>
      </w:r>
      <w:r w:rsidR="00553C10">
        <w:rPr>
          <w:bCs/>
          <w:sz w:val="24"/>
          <w:szCs w:val="24"/>
        </w:rPr>
        <w:t>1</w:t>
      </w:r>
      <w:r w:rsidR="00553C10" w:rsidRPr="00406A9A">
        <w:rPr>
          <w:bCs/>
          <w:sz w:val="24"/>
          <w:szCs w:val="24"/>
          <w:vertAlign w:val="superscript"/>
          <w:lang w:val="es-ES_tradnl"/>
        </w:rPr>
        <w:footnoteReference w:id="13"/>
      </w:r>
      <w:r>
        <w:rPr>
          <w:bCs/>
          <w:sz w:val="24"/>
          <w:szCs w:val="24"/>
        </w:rPr>
        <w:t xml:space="preserve">. En este orden de ideas, entre la </w:t>
      </w:r>
      <w:r w:rsidR="00553C10">
        <w:rPr>
          <w:bCs/>
          <w:sz w:val="24"/>
          <w:szCs w:val="24"/>
        </w:rPr>
        <w:t>ejecutoria de la sentencia que</w:t>
      </w:r>
      <w:r>
        <w:rPr>
          <w:bCs/>
          <w:sz w:val="24"/>
          <w:szCs w:val="24"/>
        </w:rPr>
        <w:t xml:space="preserve">, según </w:t>
      </w:r>
      <w:r w:rsidR="00553C10">
        <w:rPr>
          <w:bCs/>
          <w:sz w:val="24"/>
          <w:szCs w:val="24"/>
        </w:rPr>
        <w:t>el accionante</w:t>
      </w:r>
      <w:r>
        <w:rPr>
          <w:bCs/>
          <w:sz w:val="24"/>
          <w:szCs w:val="24"/>
        </w:rPr>
        <w:t>, vulneró su derecho al debido proceso, y el ejercicio de la acción de</w:t>
      </w:r>
      <w:r w:rsidR="00553C10">
        <w:rPr>
          <w:bCs/>
          <w:sz w:val="24"/>
          <w:szCs w:val="24"/>
        </w:rPr>
        <w:t xml:space="preserve"> acción de</w:t>
      </w:r>
      <w:r>
        <w:rPr>
          <w:bCs/>
          <w:sz w:val="24"/>
          <w:szCs w:val="24"/>
        </w:rPr>
        <w:t xml:space="preserve"> tutela, trascurrieron </w:t>
      </w:r>
      <w:r w:rsidR="00553C10">
        <w:rPr>
          <w:bCs/>
          <w:sz w:val="24"/>
          <w:szCs w:val="24"/>
        </w:rPr>
        <w:t>9 meses  y veinticinco días</w:t>
      </w:r>
      <w:r>
        <w:rPr>
          <w:bCs/>
          <w:sz w:val="24"/>
          <w:szCs w:val="24"/>
        </w:rPr>
        <w:t xml:space="preserve">. De esta manera, es claro que, </w:t>
      </w:r>
      <w:r>
        <w:rPr>
          <w:bCs/>
          <w:i/>
          <w:iCs/>
          <w:sz w:val="24"/>
          <w:szCs w:val="24"/>
        </w:rPr>
        <w:t>prima facie</w:t>
      </w:r>
      <w:r>
        <w:rPr>
          <w:bCs/>
          <w:sz w:val="24"/>
          <w:szCs w:val="24"/>
        </w:rPr>
        <w:t>, en este caso se superó el plazo razonable para acudir ante el juez constitucional.</w:t>
      </w:r>
    </w:p>
    <w:p w14:paraId="630F97E0" w14:textId="77777777" w:rsidR="00553C10" w:rsidRDefault="00553C10" w:rsidP="00955DB0">
      <w:pPr>
        <w:keepNext/>
        <w:widowControl w:val="0"/>
        <w:textAlignment w:val="baseline"/>
        <w:rPr>
          <w:bCs/>
          <w:sz w:val="24"/>
          <w:szCs w:val="24"/>
        </w:rPr>
      </w:pPr>
    </w:p>
    <w:p w14:paraId="65A5D27B" w14:textId="32404BDB" w:rsidR="00553C10" w:rsidRPr="00406A9A" w:rsidRDefault="003C2314" w:rsidP="00955DB0">
      <w:pPr>
        <w:tabs>
          <w:tab w:val="left" w:pos="0"/>
        </w:tabs>
        <w:contextualSpacing/>
        <w:rPr>
          <w:iCs/>
          <w:sz w:val="24"/>
          <w:szCs w:val="24"/>
        </w:rPr>
      </w:pPr>
      <w:r>
        <w:rPr>
          <w:iCs/>
          <w:sz w:val="24"/>
          <w:szCs w:val="24"/>
        </w:rPr>
        <w:t>Sin embargo, e</w:t>
      </w:r>
      <w:r w:rsidR="00553C10">
        <w:rPr>
          <w:iCs/>
          <w:sz w:val="24"/>
          <w:szCs w:val="24"/>
        </w:rPr>
        <w:t>n el escrito de tutela</w:t>
      </w:r>
      <w:r>
        <w:rPr>
          <w:iCs/>
          <w:sz w:val="24"/>
          <w:szCs w:val="24"/>
        </w:rPr>
        <w:t>,</w:t>
      </w:r>
      <w:r w:rsidR="00553C10">
        <w:rPr>
          <w:iCs/>
          <w:sz w:val="24"/>
          <w:szCs w:val="24"/>
        </w:rPr>
        <w:t xml:space="preserve"> Javier Machado Quiroz afirmó </w:t>
      </w:r>
      <w:r w:rsidR="00553C10" w:rsidRPr="00406A9A">
        <w:rPr>
          <w:iCs/>
          <w:sz w:val="24"/>
          <w:szCs w:val="24"/>
        </w:rPr>
        <w:t>q</w:t>
      </w:r>
      <w:r>
        <w:rPr>
          <w:iCs/>
          <w:sz w:val="24"/>
          <w:szCs w:val="24"/>
        </w:rPr>
        <w:t>ue la solicitud de amparo cumplía</w:t>
      </w:r>
      <w:r w:rsidR="00553C10" w:rsidRPr="00406A9A">
        <w:rPr>
          <w:iCs/>
          <w:sz w:val="24"/>
          <w:szCs w:val="24"/>
        </w:rPr>
        <w:t xml:space="preserve"> con la exi</w:t>
      </w:r>
      <w:r w:rsidR="00553C10">
        <w:rPr>
          <w:iCs/>
          <w:sz w:val="24"/>
          <w:szCs w:val="24"/>
        </w:rPr>
        <w:t xml:space="preserve">gencia de la inmediatez </w:t>
      </w:r>
      <w:r>
        <w:rPr>
          <w:iCs/>
          <w:sz w:val="24"/>
          <w:szCs w:val="24"/>
        </w:rPr>
        <w:t>dado que</w:t>
      </w:r>
      <w:r w:rsidR="00553C10">
        <w:rPr>
          <w:iCs/>
          <w:sz w:val="24"/>
          <w:szCs w:val="24"/>
        </w:rPr>
        <w:t xml:space="preserve"> se presentó en un término razonable no mayor a seis meses, que debía contarse a partir del auto de obedecimiento, proferido el 14 de enero de 2021</w:t>
      </w:r>
      <w:r w:rsidR="00553C10" w:rsidRPr="00001048">
        <w:rPr>
          <w:rStyle w:val="Refdenotaalpie"/>
          <w:sz w:val="24"/>
          <w:szCs w:val="24"/>
        </w:rPr>
        <w:footnoteReference w:id="14"/>
      </w:r>
      <w:r w:rsidR="00553C10">
        <w:rPr>
          <w:iCs/>
          <w:sz w:val="24"/>
          <w:szCs w:val="24"/>
        </w:rPr>
        <w:t xml:space="preserve"> por el </w:t>
      </w:r>
      <w:r w:rsidR="00553C10">
        <w:rPr>
          <w:i/>
          <w:iCs/>
          <w:sz w:val="24"/>
          <w:szCs w:val="24"/>
        </w:rPr>
        <w:t>a quo</w:t>
      </w:r>
      <w:r w:rsidR="00553C10">
        <w:rPr>
          <w:iCs/>
          <w:sz w:val="24"/>
          <w:szCs w:val="24"/>
        </w:rPr>
        <w:t xml:space="preserve"> y</w:t>
      </w:r>
      <w:r w:rsidR="00F06C40">
        <w:rPr>
          <w:iCs/>
          <w:sz w:val="24"/>
          <w:szCs w:val="24"/>
        </w:rPr>
        <w:t xml:space="preserve"> que fue</w:t>
      </w:r>
      <w:r w:rsidR="00553C10">
        <w:rPr>
          <w:iCs/>
          <w:sz w:val="24"/>
          <w:szCs w:val="24"/>
        </w:rPr>
        <w:t xml:space="preserve"> notificado por estado del 15 de enero siguiente. </w:t>
      </w:r>
    </w:p>
    <w:p w14:paraId="6842677B" w14:textId="77777777" w:rsidR="00553C10" w:rsidRDefault="00553C10" w:rsidP="00955DB0">
      <w:pPr>
        <w:keepNext/>
        <w:widowControl w:val="0"/>
        <w:textAlignment w:val="baseline"/>
        <w:rPr>
          <w:rFonts w:eastAsia="Times New Roman"/>
          <w:sz w:val="24"/>
          <w:szCs w:val="24"/>
          <w:lang w:eastAsia="es-CO"/>
        </w:rPr>
      </w:pPr>
    </w:p>
    <w:p w14:paraId="43612E0D" w14:textId="4877C4B2" w:rsidR="003C2314" w:rsidRPr="00001048" w:rsidRDefault="003C2314" w:rsidP="00955DB0">
      <w:pPr>
        <w:tabs>
          <w:tab w:val="left" w:pos="0"/>
        </w:tabs>
        <w:rPr>
          <w:sz w:val="24"/>
          <w:szCs w:val="24"/>
        </w:rPr>
      </w:pPr>
      <w:r>
        <w:rPr>
          <w:sz w:val="24"/>
          <w:szCs w:val="24"/>
        </w:rPr>
        <w:t>Al respecto</w:t>
      </w:r>
      <w:r w:rsidRPr="00001048">
        <w:rPr>
          <w:sz w:val="24"/>
          <w:szCs w:val="24"/>
        </w:rPr>
        <w:t xml:space="preserve">, la jurisprudencia constitucional, ha establecido que el requisito de inmediatez se supera cuando “[…] la demanda de tutela se hubiere presentado en un término razonable y proporcionado </w:t>
      </w:r>
      <w:r w:rsidRPr="00001048">
        <w:rPr>
          <w:b/>
          <w:sz w:val="24"/>
          <w:szCs w:val="24"/>
        </w:rPr>
        <w:t xml:space="preserve">a partir del hecho que generó la presunta </w:t>
      </w:r>
      <w:r w:rsidRPr="00001048">
        <w:rPr>
          <w:b/>
          <w:sz w:val="24"/>
          <w:szCs w:val="24"/>
        </w:rPr>
        <w:lastRenderedPageBreak/>
        <w:t>vulneración</w:t>
      </w:r>
      <w:r w:rsidRPr="00001048">
        <w:rPr>
          <w:sz w:val="24"/>
          <w:szCs w:val="24"/>
        </w:rPr>
        <w:t>”</w:t>
      </w:r>
      <w:r w:rsidRPr="00001048">
        <w:rPr>
          <w:rStyle w:val="Refdenotaalpie"/>
          <w:sz w:val="24"/>
          <w:szCs w:val="24"/>
        </w:rPr>
        <w:footnoteReference w:id="15"/>
      </w:r>
      <w:r w:rsidRPr="00001048">
        <w:rPr>
          <w:sz w:val="24"/>
          <w:szCs w:val="24"/>
        </w:rPr>
        <w:t xml:space="preserve"> (resaltado fuera del texto original)</w:t>
      </w:r>
      <w:r>
        <w:rPr>
          <w:sz w:val="24"/>
          <w:szCs w:val="24"/>
        </w:rPr>
        <w:t xml:space="preserve">, que </w:t>
      </w:r>
      <w:r w:rsidR="00CB60C1">
        <w:rPr>
          <w:sz w:val="24"/>
          <w:szCs w:val="24"/>
        </w:rPr>
        <w:t>el caso concreto</w:t>
      </w:r>
      <w:r>
        <w:rPr>
          <w:sz w:val="24"/>
          <w:szCs w:val="24"/>
        </w:rPr>
        <w:t xml:space="preserve"> claramente fue la sentencia del 10 de septiembre de 2020 proferida por el Tribunal del Cesar</w:t>
      </w:r>
      <w:r w:rsidR="00CB60C1">
        <w:rPr>
          <w:sz w:val="24"/>
          <w:szCs w:val="24"/>
        </w:rPr>
        <w:t xml:space="preserve"> en el </w:t>
      </w:r>
      <w:r w:rsidR="00CB60C1">
        <w:rPr>
          <w:rFonts w:eastAsia="Times New Roman"/>
          <w:sz w:val="24"/>
          <w:szCs w:val="24"/>
          <w:lang w:eastAsia="es-CO"/>
        </w:rPr>
        <w:t xml:space="preserve">proceso de reparación directa radicado </w:t>
      </w:r>
      <w:r w:rsidR="00CB60C1">
        <w:rPr>
          <w:bCs/>
          <w:sz w:val="24"/>
          <w:szCs w:val="24"/>
        </w:rPr>
        <w:t>20001-33-33-002-2017-00124-01</w:t>
      </w:r>
      <w:r w:rsidRPr="00001048">
        <w:rPr>
          <w:sz w:val="24"/>
          <w:szCs w:val="24"/>
        </w:rPr>
        <w:t>. Respecto a este punto, el Consejo de Estado ha sostenido</w:t>
      </w:r>
      <w:r>
        <w:rPr>
          <w:sz w:val="24"/>
          <w:szCs w:val="24"/>
        </w:rPr>
        <w:t xml:space="preserve"> en los casos de acciones de tutela contra providencias judiciales</w:t>
      </w:r>
      <w:r w:rsidRPr="00001048">
        <w:rPr>
          <w:sz w:val="24"/>
          <w:szCs w:val="24"/>
        </w:rPr>
        <w:t xml:space="preserve"> </w:t>
      </w:r>
      <w:r>
        <w:rPr>
          <w:sz w:val="24"/>
          <w:szCs w:val="24"/>
        </w:rPr>
        <w:t>que el plazo razonable se cuenta</w:t>
      </w:r>
      <w:r w:rsidRPr="00001048">
        <w:rPr>
          <w:sz w:val="24"/>
          <w:szCs w:val="24"/>
        </w:rPr>
        <w:t xml:space="preserve"> “[…]</w:t>
      </w:r>
      <w:r>
        <w:rPr>
          <w:sz w:val="24"/>
          <w:szCs w:val="24"/>
        </w:rPr>
        <w:t xml:space="preserve"> </w:t>
      </w:r>
      <w:r w:rsidRPr="00001048">
        <w:rPr>
          <w:b/>
          <w:sz w:val="24"/>
          <w:szCs w:val="24"/>
        </w:rPr>
        <w:t>a partir de la notificación o ejecutoria de la sentencia</w:t>
      </w:r>
      <w:r>
        <w:rPr>
          <w:sz w:val="24"/>
          <w:szCs w:val="24"/>
        </w:rPr>
        <w:t>, según el caso</w:t>
      </w:r>
      <w:r w:rsidRPr="00001048">
        <w:rPr>
          <w:sz w:val="24"/>
          <w:szCs w:val="24"/>
        </w:rPr>
        <w:t xml:space="preserve"> </w:t>
      </w:r>
      <w:r>
        <w:rPr>
          <w:sz w:val="24"/>
          <w:szCs w:val="24"/>
        </w:rPr>
        <w:t>[…]</w:t>
      </w:r>
      <w:r w:rsidRPr="00001048">
        <w:rPr>
          <w:sz w:val="24"/>
          <w:szCs w:val="24"/>
        </w:rPr>
        <w:t>”</w:t>
      </w:r>
      <w:r w:rsidRPr="00001048">
        <w:rPr>
          <w:rStyle w:val="Refdenotaalpie"/>
          <w:sz w:val="24"/>
          <w:szCs w:val="24"/>
        </w:rPr>
        <w:footnoteReference w:id="16"/>
      </w:r>
      <w:r w:rsidRPr="00001048">
        <w:rPr>
          <w:rStyle w:val="Refdenotaalpie"/>
          <w:sz w:val="24"/>
          <w:szCs w:val="24"/>
        </w:rPr>
        <w:t xml:space="preserve"> </w:t>
      </w:r>
      <w:r w:rsidRPr="00001048">
        <w:rPr>
          <w:sz w:val="24"/>
          <w:szCs w:val="24"/>
        </w:rPr>
        <w:t>(resaltado fuera del texto original)</w:t>
      </w:r>
      <w:r w:rsidRPr="00001048">
        <w:rPr>
          <w:rFonts w:eastAsia="Times New Roman"/>
          <w:sz w:val="24"/>
          <w:szCs w:val="24"/>
          <w:lang w:eastAsia="es-ES"/>
        </w:rPr>
        <w:t>.</w:t>
      </w:r>
      <w:r w:rsidRPr="00001048">
        <w:rPr>
          <w:sz w:val="24"/>
          <w:szCs w:val="24"/>
        </w:rPr>
        <w:t xml:space="preserve"> </w:t>
      </w:r>
    </w:p>
    <w:p w14:paraId="6ED0BF59" w14:textId="77777777" w:rsidR="00F5043B" w:rsidRDefault="00F5043B" w:rsidP="00955DB0">
      <w:pPr>
        <w:contextualSpacing/>
        <w:rPr>
          <w:rFonts w:eastAsia="Times New Roman"/>
          <w:b/>
          <w:sz w:val="24"/>
          <w:szCs w:val="24"/>
          <w:lang w:eastAsia="es-ES"/>
        </w:rPr>
      </w:pPr>
    </w:p>
    <w:p w14:paraId="6E2F93A6" w14:textId="77777777" w:rsidR="00F06C40" w:rsidRPr="00001048" w:rsidRDefault="00F06C40" w:rsidP="00955DB0">
      <w:pPr>
        <w:tabs>
          <w:tab w:val="left" w:pos="0"/>
        </w:tabs>
        <w:rPr>
          <w:sz w:val="24"/>
          <w:szCs w:val="24"/>
        </w:rPr>
      </w:pPr>
      <w:r w:rsidRPr="00CD33D6">
        <w:rPr>
          <w:sz w:val="24"/>
          <w:szCs w:val="24"/>
        </w:rPr>
        <w:t xml:space="preserve">En este escenario, el examen de inmediatez en los procesos de tutela contra providencias judiciales, goza de cierta certidumbre para efectos de determinar el hecho generador de la posible afectación </w:t>
      </w:r>
      <w:proofErr w:type="spellStart"/>
      <w:r w:rsidRPr="00CD33D6">
        <w:rPr>
          <w:i/>
          <w:sz w:val="24"/>
          <w:szCs w:val="24"/>
        </w:rPr>
        <w:t>iusfundamental</w:t>
      </w:r>
      <w:proofErr w:type="spellEnd"/>
      <w:r w:rsidRPr="00CD33D6">
        <w:rPr>
          <w:sz w:val="24"/>
          <w:szCs w:val="24"/>
        </w:rPr>
        <w:t>. Esta certeza se deriva de la misma seguridad jurídica que ofrecen las etapas y plazos procesales. Como se observa, la jurisprudencia constitucional es diáfana al determinar que la eventual afectación que surge de una providencia, ocurre cuando la parte tiene conocimiento de la misma, lo que resulta plenamente identificable desde el trámite en que se perfecciona su notificación y ejecutoria.</w:t>
      </w:r>
    </w:p>
    <w:p w14:paraId="19505B70" w14:textId="77777777" w:rsidR="00F06C40" w:rsidRDefault="00F06C40" w:rsidP="00955DB0">
      <w:pPr>
        <w:contextualSpacing/>
        <w:rPr>
          <w:rFonts w:eastAsia="Times New Roman"/>
          <w:b/>
          <w:sz w:val="24"/>
          <w:szCs w:val="24"/>
          <w:lang w:eastAsia="es-ES"/>
        </w:rPr>
      </w:pPr>
    </w:p>
    <w:p w14:paraId="2670FACE" w14:textId="6B05D741" w:rsidR="003C2314" w:rsidRDefault="003C2314" w:rsidP="00955DB0">
      <w:pPr>
        <w:tabs>
          <w:tab w:val="left" w:pos="0"/>
        </w:tabs>
        <w:rPr>
          <w:sz w:val="24"/>
          <w:szCs w:val="24"/>
        </w:rPr>
      </w:pPr>
      <w:r>
        <w:rPr>
          <w:sz w:val="24"/>
          <w:szCs w:val="24"/>
        </w:rPr>
        <w:t>Así las cosas</w:t>
      </w:r>
      <w:r w:rsidRPr="00001048">
        <w:rPr>
          <w:sz w:val="24"/>
          <w:szCs w:val="24"/>
        </w:rPr>
        <w:t>, no resulta de recibo el argumento de</w:t>
      </w:r>
      <w:r>
        <w:rPr>
          <w:sz w:val="24"/>
          <w:szCs w:val="24"/>
        </w:rPr>
        <w:t>l</w:t>
      </w:r>
      <w:r w:rsidRPr="00001048">
        <w:rPr>
          <w:sz w:val="24"/>
          <w:szCs w:val="24"/>
        </w:rPr>
        <w:t xml:space="preserve"> accionante </w:t>
      </w:r>
      <w:r>
        <w:rPr>
          <w:sz w:val="24"/>
          <w:szCs w:val="24"/>
        </w:rPr>
        <w:t>referente a</w:t>
      </w:r>
      <w:r w:rsidRPr="00001048">
        <w:rPr>
          <w:sz w:val="24"/>
          <w:szCs w:val="24"/>
        </w:rPr>
        <w:t xml:space="preserve"> que el conteo del término</w:t>
      </w:r>
      <w:r>
        <w:rPr>
          <w:sz w:val="24"/>
          <w:szCs w:val="24"/>
        </w:rPr>
        <w:t>,</w:t>
      </w:r>
      <w:r w:rsidRPr="00001048">
        <w:rPr>
          <w:sz w:val="24"/>
          <w:szCs w:val="24"/>
        </w:rPr>
        <w:t xml:space="preserve"> para </w:t>
      </w:r>
      <w:r>
        <w:rPr>
          <w:sz w:val="24"/>
          <w:szCs w:val="24"/>
        </w:rPr>
        <w:t xml:space="preserve">verificar el cumplimiento del presupuesto de </w:t>
      </w:r>
      <w:r w:rsidRPr="00001048">
        <w:rPr>
          <w:sz w:val="24"/>
          <w:szCs w:val="24"/>
        </w:rPr>
        <w:t>la inmediatez</w:t>
      </w:r>
      <w:r>
        <w:rPr>
          <w:sz w:val="24"/>
          <w:szCs w:val="24"/>
        </w:rPr>
        <w:t>,</w:t>
      </w:r>
      <w:r w:rsidRPr="00001048">
        <w:rPr>
          <w:sz w:val="24"/>
          <w:szCs w:val="24"/>
        </w:rPr>
        <w:t xml:space="preserve"> debía </w:t>
      </w:r>
      <w:r>
        <w:rPr>
          <w:sz w:val="24"/>
          <w:szCs w:val="24"/>
        </w:rPr>
        <w:t>efectua</w:t>
      </w:r>
      <w:r w:rsidRPr="00001048">
        <w:rPr>
          <w:sz w:val="24"/>
          <w:szCs w:val="24"/>
        </w:rPr>
        <w:t xml:space="preserve">rse a partir del auto </w:t>
      </w:r>
      <w:r>
        <w:rPr>
          <w:rFonts w:eastAsia="Verdana"/>
          <w:sz w:val="24"/>
          <w:szCs w:val="24"/>
        </w:rPr>
        <w:t xml:space="preserve">de obedecimiento, proferido por el </w:t>
      </w:r>
      <w:r>
        <w:rPr>
          <w:rFonts w:eastAsia="Verdana"/>
          <w:i/>
          <w:sz w:val="24"/>
          <w:szCs w:val="24"/>
        </w:rPr>
        <w:t>a quo</w:t>
      </w:r>
      <w:r w:rsidRPr="002C0A06">
        <w:rPr>
          <w:rFonts w:eastAsia="Verdana"/>
          <w:sz w:val="24"/>
          <w:szCs w:val="24"/>
        </w:rPr>
        <w:t xml:space="preserve">, </w:t>
      </w:r>
      <w:r w:rsidR="00F77623">
        <w:rPr>
          <w:sz w:val="24"/>
          <w:szCs w:val="24"/>
        </w:rPr>
        <w:t>pues dich</w:t>
      </w:r>
      <w:r>
        <w:rPr>
          <w:sz w:val="24"/>
          <w:szCs w:val="24"/>
        </w:rPr>
        <w:t>a</w:t>
      </w:r>
      <w:r w:rsidRPr="00001048">
        <w:rPr>
          <w:sz w:val="24"/>
          <w:szCs w:val="24"/>
        </w:rPr>
        <w:t xml:space="preserve"> </w:t>
      </w:r>
      <w:r>
        <w:rPr>
          <w:sz w:val="24"/>
          <w:szCs w:val="24"/>
        </w:rPr>
        <w:t>providencia</w:t>
      </w:r>
      <w:r w:rsidRPr="00001048">
        <w:rPr>
          <w:sz w:val="24"/>
          <w:szCs w:val="24"/>
        </w:rPr>
        <w:t xml:space="preserve"> no contiene las decisiones ni las razones que configuran el objeto de la reclamación de amparo. </w:t>
      </w:r>
      <w:r w:rsidR="00347143" w:rsidRPr="00347143">
        <w:rPr>
          <w:sz w:val="24"/>
          <w:szCs w:val="24"/>
        </w:rPr>
        <w:t>Para esta Sala es claro que la solicitud de amparo se ha dirigido contra una providencia judicial que se señala como causa de la vulneración de los derechos fundamentales invocados en el citado escrito introductorio. De ese modo, el centro del debate sostenido dentro del presente trámite no radica en otra situación diferente.</w:t>
      </w:r>
    </w:p>
    <w:p w14:paraId="57526CC7" w14:textId="77777777" w:rsidR="003C2314" w:rsidRDefault="003C2314" w:rsidP="00955DB0">
      <w:pPr>
        <w:tabs>
          <w:tab w:val="left" w:pos="0"/>
        </w:tabs>
        <w:rPr>
          <w:sz w:val="24"/>
          <w:szCs w:val="24"/>
        </w:rPr>
      </w:pPr>
    </w:p>
    <w:p w14:paraId="1023F420" w14:textId="63FD19F5" w:rsidR="003C2314" w:rsidRPr="000D1D3F" w:rsidRDefault="00347143" w:rsidP="00955DB0">
      <w:pPr>
        <w:tabs>
          <w:tab w:val="left" w:pos="0"/>
        </w:tabs>
        <w:rPr>
          <w:sz w:val="24"/>
          <w:szCs w:val="24"/>
        </w:rPr>
      </w:pPr>
      <w:r>
        <w:rPr>
          <w:sz w:val="24"/>
          <w:szCs w:val="24"/>
        </w:rPr>
        <w:t>Por otra parte</w:t>
      </w:r>
      <w:r w:rsidR="003C2314">
        <w:rPr>
          <w:sz w:val="24"/>
          <w:szCs w:val="24"/>
        </w:rPr>
        <w:t>, en la medida en que el accionante partió de la afirmación de que presentó la acción de tutela dentro del plazo razonable de seis meses, no manifestó ningún motivo que permitiera la flexibilización de este término y la Sala</w:t>
      </w:r>
      <w:r w:rsidR="00060A39">
        <w:rPr>
          <w:sz w:val="24"/>
          <w:szCs w:val="24"/>
        </w:rPr>
        <w:t>,</w:t>
      </w:r>
      <w:r w:rsidR="003C2314">
        <w:rPr>
          <w:sz w:val="24"/>
          <w:szCs w:val="24"/>
        </w:rPr>
        <w:t xml:space="preserve"> </w:t>
      </w:r>
      <w:r w:rsidR="003C2314" w:rsidRPr="001F068C">
        <w:rPr>
          <w:iCs/>
          <w:sz w:val="24"/>
          <w:szCs w:val="24"/>
        </w:rPr>
        <w:t xml:space="preserve">al valorar las </w:t>
      </w:r>
      <w:r w:rsidR="003C2314" w:rsidRPr="001F068C">
        <w:rPr>
          <w:sz w:val="24"/>
          <w:szCs w:val="24"/>
        </w:rPr>
        <w:t xml:space="preserve">circunstancias </w:t>
      </w:r>
      <w:r w:rsidR="003C2314" w:rsidRPr="001F068C">
        <w:rPr>
          <w:iCs/>
          <w:sz w:val="24"/>
          <w:szCs w:val="24"/>
        </w:rPr>
        <w:t>fácticas y jurídicas</w:t>
      </w:r>
      <w:r w:rsidR="003C2314">
        <w:rPr>
          <w:iCs/>
          <w:sz w:val="24"/>
          <w:szCs w:val="24"/>
        </w:rPr>
        <w:t xml:space="preserve"> del caso</w:t>
      </w:r>
      <w:r w:rsidR="00060A39">
        <w:rPr>
          <w:iCs/>
          <w:sz w:val="24"/>
          <w:szCs w:val="24"/>
        </w:rPr>
        <w:t>,</w:t>
      </w:r>
      <w:r w:rsidR="003C2314">
        <w:rPr>
          <w:sz w:val="24"/>
          <w:szCs w:val="24"/>
        </w:rPr>
        <w:t xml:space="preserve"> tampoco evidenció la configuración de alg</w:t>
      </w:r>
      <w:r w:rsidR="00F06C40">
        <w:rPr>
          <w:sz w:val="24"/>
          <w:szCs w:val="24"/>
        </w:rPr>
        <w:t>ún motivo</w:t>
      </w:r>
      <w:r w:rsidR="00060A39">
        <w:rPr>
          <w:sz w:val="24"/>
          <w:szCs w:val="24"/>
        </w:rPr>
        <w:t xml:space="preserve"> o circunstancia que hubiera permitido contar el plazo razonable desde la fecha en que se profirió el auto de obedecimiento por parte del </w:t>
      </w:r>
      <w:proofErr w:type="spellStart"/>
      <w:r w:rsidR="00060A39">
        <w:rPr>
          <w:i/>
          <w:sz w:val="24"/>
          <w:szCs w:val="24"/>
        </w:rPr>
        <w:t>aquo</w:t>
      </w:r>
      <w:proofErr w:type="spellEnd"/>
      <w:r w:rsidR="00CB60C1">
        <w:rPr>
          <w:sz w:val="24"/>
          <w:szCs w:val="24"/>
        </w:rPr>
        <w:t>, como lo pretendía el accionante</w:t>
      </w:r>
      <w:r w:rsidR="00060A39">
        <w:rPr>
          <w:i/>
          <w:sz w:val="24"/>
          <w:szCs w:val="24"/>
        </w:rPr>
        <w:t>.</w:t>
      </w:r>
      <w:r w:rsidR="003C2314">
        <w:rPr>
          <w:sz w:val="24"/>
          <w:szCs w:val="24"/>
        </w:rPr>
        <w:t xml:space="preserve"> </w:t>
      </w:r>
    </w:p>
    <w:p w14:paraId="0FDCD8AC" w14:textId="77777777" w:rsidR="003C2314" w:rsidRDefault="003C2314" w:rsidP="00955DB0">
      <w:pPr>
        <w:contextualSpacing/>
        <w:rPr>
          <w:rFonts w:eastAsia="Times New Roman"/>
          <w:b/>
          <w:sz w:val="24"/>
          <w:szCs w:val="24"/>
          <w:lang w:eastAsia="es-ES"/>
        </w:rPr>
      </w:pPr>
    </w:p>
    <w:p w14:paraId="43C7404E" w14:textId="4EF85A54" w:rsidR="00F06C40" w:rsidRDefault="00F06C40" w:rsidP="00955DB0">
      <w:pPr>
        <w:tabs>
          <w:tab w:val="left" w:pos="0"/>
        </w:tabs>
        <w:rPr>
          <w:iCs/>
          <w:sz w:val="24"/>
          <w:szCs w:val="24"/>
        </w:rPr>
      </w:pPr>
      <w:r w:rsidRPr="001431FF">
        <w:rPr>
          <w:bCs/>
          <w:sz w:val="24"/>
          <w:szCs w:val="24"/>
        </w:rPr>
        <w:t>En síntesis, el ejercicio de la acción de tutela en el caso sub examine se llevó a efecto </w:t>
      </w:r>
      <w:r>
        <w:rPr>
          <w:bCs/>
          <w:sz w:val="24"/>
          <w:szCs w:val="24"/>
        </w:rPr>
        <w:t>tres</w:t>
      </w:r>
      <w:r w:rsidRPr="001431FF">
        <w:rPr>
          <w:bCs/>
          <w:sz w:val="24"/>
          <w:szCs w:val="24"/>
        </w:rPr>
        <w:t> meses y </w:t>
      </w:r>
      <w:r>
        <w:rPr>
          <w:bCs/>
          <w:sz w:val="24"/>
          <w:szCs w:val="24"/>
        </w:rPr>
        <w:t>veinticinco</w:t>
      </w:r>
      <w:r w:rsidRPr="001431FF">
        <w:rPr>
          <w:bCs/>
          <w:sz w:val="24"/>
          <w:szCs w:val="24"/>
        </w:rPr>
        <w:t> días después del plazo razonable establecido en</w:t>
      </w:r>
      <w:r>
        <w:rPr>
          <w:bCs/>
          <w:sz w:val="24"/>
          <w:szCs w:val="24"/>
        </w:rPr>
        <w:t xml:space="preserve"> la regla indicada, sin que el</w:t>
      </w:r>
      <w:r w:rsidRPr="001431FF">
        <w:rPr>
          <w:bCs/>
          <w:sz w:val="24"/>
          <w:szCs w:val="24"/>
        </w:rPr>
        <w:t xml:space="preserve"> accionante haya demostrado que los motivos de su </w:t>
      </w:r>
      <w:r w:rsidRPr="00347143">
        <w:rPr>
          <w:bCs/>
          <w:sz w:val="24"/>
          <w:szCs w:val="24"/>
        </w:rPr>
        <w:t xml:space="preserve">tardanza son justificables constitucionalmente. </w:t>
      </w:r>
      <w:r w:rsidR="00347143" w:rsidRPr="00347143">
        <w:rPr>
          <w:iCs/>
          <w:sz w:val="24"/>
          <w:szCs w:val="24"/>
        </w:rPr>
        <w:t xml:space="preserve">En consecuencia, la Subsección declarará improcedente el amparo deprecado por </w:t>
      </w:r>
      <w:r w:rsidR="00CB60C1">
        <w:rPr>
          <w:iCs/>
          <w:sz w:val="24"/>
          <w:szCs w:val="24"/>
        </w:rPr>
        <w:t xml:space="preserve">el señor </w:t>
      </w:r>
      <w:r w:rsidR="00347143" w:rsidRPr="00347143">
        <w:rPr>
          <w:sz w:val="24"/>
          <w:szCs w:val="24"/>
        </w:rPr>
        <w:t xml:space="preserve">Javier Machado Quiroz en contra de la sentencia proferida el 10 de septiembre de 2020 por el </w:t>
      </w:r>
      <w:r w:rsidR="00347143" w:rsidRPr="00347143">
        <w:rPr>
          <w:bCs/>
          <w:sz w:val="24"/>
          <w:szCs w:val="24"/>
        </w:rPr>
        <w:t>Tribunal Administrativo del Cesar</w:t>
      </w:r>
      <w:r w:rsidR="00CB60C1">
        <w:rPr>
          <w:bCs/>
          <w:sz w:val="24"/>
          <w:szCs w:val="24"/>
        </w:rPr>
        <w:t xml:space="preserve"> en el </w:t>
      </w:r>
      <w:r w:rsidR="00CB60C1">
        <w:rPr>
          <w:rFonts w:eastAsia="Times New Roman"/>
          <w:sz w:val="24"/>
          <w:szCs w:val="24"/>
          <w:lang w:eastAsia="es-CO"/>
        </w:rPr>
        <w:t xml:space="preserve">proceso de reparación directa, con número de radicado </w:t>
      </w:r>
      <w:r w:rsidR="00CB60C1">
        <w:rPr>
          <w:bCs/>
          <w:sz w:val="24"/>
          <w:szCs w:val="24"/>
        </w:rPr>
        <w:t>20001-33-33-002-2017-00124-01</w:t>
      </w:r>
      <w:r w:rsidR="00347143" w:rsidRPr="00347143">
        <w:rPr>
          <w:iCs/>
          <w:sz w:val="24"/>
          <w:szCs w:val="24"/>
        </w:rPr>
        <w:t>, en razón a que la acción de tutela no cumple con el requisito de inmediatez.</w:t>
      </w:r>
    </w:p>
    <w:p w14:paraId="3EDF4BAD" w14:textId="77777777" w:rsidR="00347143" w:rsidRDefault="00347143" w:rsidP="00955DB0">
      <w:pPr>
        <w:tabs>
          <w:tab w:val="left" w:pos="0"/>
        </w:tabs>
        <w:rPr>
          <w:bCs/>
          <w:sz w:val="24"/>
          <w:szCs w:val="24"/>
        </w:rPr>
      </w:pPr>
    </w:p>
    <w:p w14:paraId="0F05F753" w14:textId="1A816DEB" w:rsidR="00A96334" w:rsidRPr="001F068C" w:rsidRDefault="00A96334" w:rsidP="00955DB0">
      <w:pPr>
        <w:tabs>
          <w:tab w:val="left" w:pos="0"/>
        </w:tabs>
        <w:rPr>
          <w:rFonts w:eastAsia="Verdana"/>
          <w:sz w:val="24"/>
          <w:szCs w:val="24"/>
        </w:rPr>
      </w:pPr>
      <w:r w:rsidRPr="001F068C">
        <w:rPr>
          <w:sz w:val="24"/>
          <w:szCs w:val="24"/>
          <w:bdr w:val="none" w:sz="0" w:space="0" w:color="auto" w:frame="1"/>
          <w:shd w:val="clear" w:color="auto" w:fill="FFFFFF"/>
        </w:rPr>
        <w:t>En mérito de lo</w:t>
      </w:r>
      <w:r w:rsidRPr="001F068C">
        <w:rPr>
          <w:rFonts w:eastAsia="Verdana"/>
          <w:sz w:val="24"/>
          <w:szCs w:val="24"/>
        </w:rPr>
        <w:t xml:space="preserve"> expuesto, la Sección Tercera Subsección “C” de la Sala de lo Contencioso Administrativo del Consejo de Estado, administrando justicia en nombre de la República y por autoridad de la ley, </w:t>
      </w:r>
    </w:p>
    <w:p w14:paraId="72EDED9C" w14:textId="77777777" w:rsidR="00A96334" w:rsidRPr="001F068C" w:rsidRDefault="00A96334" w:rsidP="00955DB0">
      <w:pPr>
        <w:rPr>
          <w:rFonts w:eastAsia="Verdana"/>
          <w:sz w:val="24"/>
          <w:szCs w:val="24"/>
        </w:rPr>
      </w:pPr>
    </w:p>
    <w:p w14:paraId="2CC17E4C" w14:textId="4A547764" w:rsidR="00A96334" w:rsidRPr="001F068C" w:rsidRDefault="00A96334" w:rsidP="00955DB0">
      <w:pPr>
        <w:tabs>
          <w:tab w:val="left" w:pos="851"/>
        </w:tabs>
        <w:jc w:val="center"/>
        <w:rPr>
          <w:rFonts w:eastAsia="Verdana"/>
          <w:sz w:val="24"/>
          <w:szCs w:val="24"/>
        </w:rPr>
      </w:pPr>
      <w:r>
        <w:rPr>
          <w:rFonts w:eastAsia="Verdana"/>
          <w:b/>
          <w:sz w:val="24"/>
          <w:szCs w:val="24"/>
        </w:rPr>
        <w:lastRenderedPageBreak/>
        <w:t>RESUELVE</w:t>
      </w:r>
    </w:p>
    <w:p w14:paraId="1616F092" w14:textId="77777777" w:rsidR="00A96334" w:rsidRPr="001F068C" w:rsidRDefault="00A96334" w:rsidP="00955DB0">
      <w:pPr>
        <w:tabs>
          <w:tab w:val="left" w:pos="851"/>
        </w:tabs>
        <w:rPr>
          <w:rFonts w:eastAsia="Verdana"/>
          <w:sz w:val="24"/>
          <w:szCs w:val="24"/>
        </w:rPr>
      </w:pPr>
    </w:p>
    <w:p w14:paraId="0917C50B" w14:textId="0E4D9BA8" w:rsidR="00A96334" w:rsidRPr="001F068C" w:rsidRDefault="00A96334" w:rsidP="00955DB0">
      <w:pPr>
        <w:tabs>
          <w:tab w:val="left" w:pos="851"/>
        </w:tabs>
        <w:spacing w:after="160"/>
        <w:contextualSpacing/>
        <w:rPr>
          <w:rFonts w:eastAsia="Verdana"/>
          <w:sz w:val="24"/>
          <w:szCs w:val="24"/>
          <w:lang w:eastAsia="en-US"/>
        </w:rPr>
      </w:pPr>
      <w:r w:rsidRPr="001F068C">
        <w:rPr>
          <w:rFonts w:eastAsia="Verdana"/>
          <w:b/>
          <w:sz w:val="24"/>
          <w:szCs w:val="24"/>
          <w:lang w:eastAsia="en-US"/>
        </w:rPr>
        <w:t xml:space="preserve">PRIMERO: DECLARAR IMPROCEDENTE </w:t>
      </w:r>
      <w:r w:rsidR="009B7002">
        <w:rPr>
          <w:rFonts w:eastAsia="Verdana"/>
          <w:sz w:val="24"/>
          <w:szCs w:val="24"/>
          <w:lang w:eastAsia="en-US"/>
        </w:rPr>
        <w:t xml:space="preserve">la acción de tutela presentada por el señor </w:t>
      </w:r>
      <w:r w:rsidR="009B7002">
        <w:rPr>
          <w:sz w:val="24"/>
          <w:szCs w:val="24"/>
        </w:rPr>
        <w:t xml:space="preserve">Javier Machado Quiroz en contra del </w:t>
      </w:r>
      <w:r w:rsidR="009B7002">
        <w:rPr>
          <w:bCs/>
          <w:sz w:val="24"/>
          <w:szCs w:val="24"/>
        </w:rPr>
        <w:t>Tribunal Administrativo del Cesar, con sustento en las razones expuestas en esta providencia.</w:t>
      </w:r>
    </w:p>
    <w:p w14:paraId="6FEEECB8" w14:textId="77777777" w:rsidR="00A96334" w:rsidRPr="001F068C" w:rsidRDefault="00A96334" w:rsidP="00955DB0">
      <w:pPr>
        <w:spacing w:after="160"/>
        <w:contextualSpacing/>
        <w:rPr>
          <w:rFonts w:eastAsia="Verdana"/>
          <w:b/>
          <w:sz w:val="24"/>
          <w:szCs w:val="24"/>
          <w:highlight w:val="yellow"/>
          <w:lang w:eastAsia="en-US"/>
        </w:rPr>
      </w:pPr>
    </w:p>
    <w:p w14:paraId="3BFC31C0" w14:textId="77777777" w:rsidR="00A96334" w:rsidRPr="001F068C" w:rsidRDefault="00A96334" w:rsidP="00955DB0">
      <w:pPr>
        <w:spacing w:after="160"/>
        <w:contextualSpacing/>
        <w:rPr>
          <w:rFonts w:eastAsia="Verdana"/>
          <w:sz w:val="24"/>
          <w:szCs w:val="24"/>
          <w:lang w:eastAsia="en-US"/>
        </w:rPr>
      </w:pPr>
      <w:r w:rsidRPr="001F068C">
        <w:rPr>
          <w:rFonts w:eastAsia="Verdana"/>
          <w:b/>
          <w:sz w:val="24"/>
          <w:szCs w:val="24"/>
          <w:lang w:eastAsia="en-US"/>
        </w:rPr>
        <w:t xml:space="preserve">SEGUNDO: NOTIFICAR </w:t>
      </w:r>
      <w:r w:rsidRPr="001F068C">
        <w:rPr>
          <w:rFonts w:eastAsia="Verdana"/>
          <w:sz w:val="24"/>
          <w:szCs w:val="24"/>
          <w:lang w:eastAsia="en-US"/>
        </w:rPr>
        <w:t>la presente decisión a las partes y a los interesados, por el medio más expedito.</w:t>
      </w:r>
    </w:p>
    <w:p w14:paraId="550D6399" w14:textId="77777777" w:rsidR="00A96334" w:rsidRPr="001F068C" w:rsidRDefault="00A96334" w:rsidP="00955DB0">
      <w:pPr>
        <w:tabs>
          <w:tab w:val="left" w:pos="851"/>
        </w:tabs>
        <w:spacing w:after="160"/>
        <w:contextualSpacing/>
        <w:rPr>
          <w:rFonts w:eastAsia="Verdana"/>
          <w:b/>
          <w:sz w:val="24"/>
          <w:szCs w:val="24"/>
          <w:highlight w:val="yellow"/>
          <w:lang w:eastAsia="en-US"/>
        </w:rPr>
      </w:pPr>
    </w:p>
    <w:p w14:paraId="7DB2BE0B" w14:textId="77777777" w:rsidR="00A96334" w:rsidRDefault="00A96334" w:rsidP="00955DB0">
      <w:pPr>
        <w:tabs>
          <w:tab w:val="left" w:pos="851"/>
        </w:tabs>
        <w:spacing w:after="160"/>
        <w:contextualSpacing/>
        <w:rPr>
          <w:rFonts w:eastAsia="Verdana"/>
          <w:sz w:val="24"/>
          <w:szCs w:val="24"/>
          <w:lang w:eastAsia="en-US"/>
        </w:rPr>
      </w:pPr>
      <w:r w:rsidRPr="001F068C">
        <w:rPr>
          <w:rFonts w:eastAsia="Verdana"/>
          <w:b/>
          <w:sz w:val="24"/>
          <w:szCs w:val="24"/>
          <w:lang w:eastAsia="en-US"/>
        </w:rPr>
        <w:t xml:space="preserve">TERCERO: ENVIAR </w:t>
      </w:r>
      <w:r w:rsidRPr="001F068C">
        <w:rPr>
          <w:rFonts w:eastAsia="Verdana"/>
          <w:sz w:val="24"/>
          <w:szCs w:val="24"/>
          <w:lang w:eastAsia="en-US"/>
        </w:rPr>
        <w:t xml:space="preserve">la presente providencia a la Corte Constitucional para su eventual revisión, en </w:t>
      </w:r>
      <w:r>
        <w:rPr>
          <w:rFonts w:eastAsia="Verdana"/>
          <w:sz w:val="24"/>
          <w:szCs w:val="24"/>
          <w:lang w:eastAsia="en-US"/>
        </w:rPr>
        <w:t>caso de que no fuere impugnada.</w:t>
      </w:r>
    </w:p>
    <w:p w14:paraId="4D31A78D" w14:textId="77777777" w:rsidR="00A96334" w:rsidRDefault="00A96334" w:rsidP="00955DB0">
      <w:pPr>
        <w:tabs>
          <w:tab w:val="left" w:pos="851"/>
        </w:tabs>
        <w:spacing w:after="160"/>
        <w:contextualSpacing/>
        <w:rPr>
          <w:rFonts w:eastAsia="Verdana"/>
          <w:sz w:val="24"/>
          <w:szCs w:val="24"/>
          <w:lang w:eastAsia="en-US"/>
        </w:rPr>
      </w:pPr>
    </w:p>
    <w:p w14:paraId="04F5BA4C" w14:textId="0BCC6A39" w:rsidR="00A96334" w:rsidRPr="00735C87" w:rsidRDefault="00A96334" w:rsidP="00955DB0">
      <w:pPr>
        <w:tabs>
          <w:tab w:val="left" w:pos="851"/>
        </w:tabs>
        <w:spacing w:after="160"/>
        <w:contextualSpacing/>
        <w:rPr>
          <w:rFonts w:eastAsia="Verdana"/>
          <w:sz w:val="24"/>
          <w:szCs w:val="24"/>
          <w:lang w:eastAsia="en-US"/>
        </w:rPr>
      </w:pPr>
      <w:r w:rsidRPr="001F068C">
        <w:rPr>
          <w:rFonts w:eastAsia="Verdana"/>
          <w:b/>
          <w:sz w:val="24"/>
          <w:szCs w:val="24"/>
        </w:rPr>
        <w:t>NOTIFÍQUESE Y CÚMPLASE</w:t>
      </w:r>
    </w:p>
    <w:p w14:paraId="6BB9E253" w14:textId="77777777" w:rsidR="000C5DB7" w:rsidRPr="000C5DB7" w:rsidRDefault="000C5DB7" w:rsidP="00750A47">
      <w:pPr>
        <w:spacing w:line="276" w:lineRule="auto"/>
        <w:contextualSpacing/>
        <w:jc w:val="center"/>
        <w:rPr>
          <w:rFonts w:eastAsia="Verdana"/>
          <w:b/>
          <w:sz w:val="24"/>
          <w:szCs w:val="24"/>
          <w:lang w:val="es-ES_tradnl"/>
        </w:rPr>
      </w:pPr>
    </w:p>
    <w:p w14:paraId="0C290622" w14:textId="77777777" w:rsidR="009B7002" w:rsidRPr="00406A9A" w:rsidRDefault="009B7002" w:rsidP="009B7002">
      <w:pPr>
        <w:contextualSpacing/>
        <w:rPr>
          <w:rFonts w:eastAsia="Verdana"/>
          <w:b/>
          <w:sz w:val="24"/>
          <w:szCs w:val="24"/>
          <w:lang w:val="es-ES_tradnl"/>
        </w:rPr>
      </w:pPr>
    </w:p>
    <w:p w14:paraId="1CDCFEED" w14:textId="77777777" w:rsidR="009B7002" w:rsidRPr="00406A9A" w:rsidRDefault="009B7002" w:rsidP="009B7002">
      <w:pPr>
        <w:contextualSpacing/>
        <w:rPr>
          <w:rFonts w:eastAsia="Verdana"/>
          <w:b/>
          <w:sz w:val="24"/>
          <w:szCs w:val="24"/>
          <w:lang w:val="es-ES_tradnl"/>
        </w:rPr>
      </w:pPr>
    </w:p>
    <w:p w14:paraId="652C82E4" w14:textId="77777777" w:rsidR="009B7002" w:rsidRPr="00406A9A" w:rsidRDefault="009B7002" w:rsidP="009B7002">
      <w:pPr>
        <w:contextualSpacing/>
        <w:jc w:val="center"/>
        <w:rPr>
          <w:rFonts w:eastAsia="Verdana"/>
          <w:b/>
          <w:sz w:val="24"/>
          <w:szCs w:val="24"/>
          <w:lang w:val="es-ES_tradnl"/>
        </w:rPr>
      </w:pPr>
      <w:r w:rsidRPr="00406A9A">
        <w:rPr>
          <w:rFonts w:eastAsia="Verdana"/>
          <w:b/>
          <w:sz w:val="24"/>
          <w:szCs w:val="24"/>
          <w:lang w:val="es-ES_tradnl"/>
        </w:rPr>
        <w:t>JAIME ENRIQUE RODRÍGUEZ NAVAS</w:t>
      </w:r>
    </w:p>
    <w:p w14:paraId="77A658E4" w14:textId="77777777" w:rsidR="009B7002" w:rsidRPr="00406A9A" w:rsidRDefault="009B7002" w:rsidP="009B7002">
      <w:pPr>
        <w:contextualSpacing/>
        <w:jc w:val="center"/>
        <w:rPr>
          <w:rFonts w:eastAsia="Verdana"/>
          <w:b/>
          <w:sz w:val="24"/>
          <w:szCs w:val="24"/>
          <w:lang w:val="es-ES_tradnl"/>
        </w:rPr>
      </w:pPr>
      <w:r w:rsidRPr="00406A9A">
        <w:rPr>
          <w:rFonts w:eastAsia="Verdana"/>
          <w:b/>
          <w:sz w:val="24"/>
          <w:szCs w:val="24"/>
          <w:lang w:val="es-ES_tradnl"/>
        </w:rPr>
        <w:t>Presidente de Sala</w:t>
      </w:r>
    </w:p>
    <w:p w14:paraId="43AD0A87" w14:textId="77777777" w:rsidR="009B7002" w:rsidRPr="00406A9A" w:rsidRDefault="009B7002" w:rsidP="009B7002">
      <w:pPr>
        <w:contextualSpacing/>
        <w:jc w:val="center"/>
        <w:rPr>
          <w:rFonts w:eastAsia="Verdana"/>
          <w:b/>
          <w:sz w:val="24"/>
          <w:szCs w:val="24"/>
          <w:lang w:val="es-ES_tradnl"/>
        </w:rPr>
      </w:pPr>
    </w:p>
    <w:p w14:paraId="6079C5DE" w14:textId="77777777" w:rsidR="009B7002" w:rsidRDefault="009B7002" w:rsidP="009B7002">
      <w:pPr>
        <w:contextualSpacing/>
        <w:jc w:val="center"/>
        <w:rPr>
          <w:rFonts w:eastAsia="Verdana"/>
          <w:b/>
          <w:sz w:val="24"/>
          <w:szCs w:val="24"/>
          <w:lang w:val="es-ES_tradnl"/>
        </w:rPr>
      </w:pPr>
    </w:p>
    <w:p w14:paraId="0DD3B0F1" w14:textId="77777777" w:rsidR="00671B1E" w:rsidRPr="00406A9A" w:rsidRDefault="00671B1E" w:rsidP="009B7002">
      <w:pPr>
        <w:contextualSpacing/>
        <w:jc w:val="center"/>
        <w:rPr>
          <w:rFonts w:eastAsia="Verdana"/>
          <w:b/>
          <w:sz w:val="24"/>
          <w:szCs w:val="24"/>
          <w:lang w:val="es-ES_tradnl"/>
        </w:rPr>
      </w:pPr>
    </w:p>
    <w:p w14:paraId="3AA8B3E9" w14:textId="77777777" w:rsidR="009B7002" w:rsidRPr="00406A9A" w:rsidRDefault="009B7002" w:rsidP="009B7002">
      <w:pPr>
        <w:contextualSpacing/>
        <w:jc w:val="center"/>
        <w:rPr>
          <w:rFonts w:eastAsia="Verdana"/>
          <w:b/>
          <w:sz w:val="24"/>
          <w:szCs w:val="24"/>
          <w:lang w:val="es-ES_tradnl"/>
        </w:rPr>
      </w:pPr>
      <w:r w:rsidRPr="00406A9A">
        <w:rPr>
          <w:rFonts w:eastAsia="Verdana"/>
          <w:b/>
          <w:sz w:val="24"/>
          <w:szCs w:val="24"/>
          <w:lang w:val="es-ES_tradnl"/>
        </w:rPr>
        <w:t>GUILLERMO SÁNCHEZ LUQUE</w:t>
      </w:r>
    </w:p>
    <w:p w14:paraId="750AB873" w14:textId="77777777" w:rsidR="009B7002" w:rsidRPr="000A6CF7" w:rsidRDefault="009B7002" w:rsidP="009B7002">
      <w:pPr>
        <w:contextualSpacing/>
        <w:jc w:val="center"/>
        <w:rPr>
          <w:rFonts w:eastAsia="Verdana"/>
          <w:b/>
          <w:sz w:val="24"/>
          <w:szCs w:val="24"/>
          <w:lang w:val="es-ES_tradnl"/>
        </w:rPr>
      </w:pPr>
      <w:r w:rsidRPr="000A6CF7">
        <w:rPr>
          <w:rFonts w:eastAsia="Verdana"/>
          <w:b/>
          <w:sz w:val="24"/>
          <w:szCs w:val="24"/>
          <w:lang w:val="es-ES_tradnl"/>
        </w:rPr>
        <w:t>Magist</w:t>
      </w:r>
      <w:bookmarkStart w:id="1" w:name="_GoBack"/>
      <w:bookmarkEnd w:id="1"/>
      <w:r w:rsidRPr="000A6CF7">
        <w:rPr>
          <w:rFonts w:eastAsia="Verdana"/>
          <w:b/>
          <w:sz w:val="24"/>
          <w:szCs w:val="24"/>
          <w:lang w:val="es-ES_tradnl"/>
        </w:rPr>
        <w:t>rado</w:t>
      </w:r>
    </w:p>
    <w:p w14:paraId="5ABAC0F9" w14:textId="71C3104C" w:rsidR="000A6CF7" w:rsidRPr="000A6CF7" w:rsidRDefault="000A6CF7" w:rsidP="009B7002">
      <w:pPr>
        <w:contextualSpacing/>
        <w:jc w:val="center"/>
        <w:rPr>
          <w:rFonts w:eastAsia="Verdana"/>
          <w:b/>
          <w:sz w:val="24"/>
          <w:szCs w:val="24"/>
          <w:lang w:val="es-ES_tradnl"/>
        </w:rPr>
      </w:pPr>
      <w:r w:rsidRPr="000A6CF7">
        <w:rPr>
          <w:b/>
          <w:color w:val="000000"/>
          <w:sz w:val="24"/>
          <w:szCs w:val="24"/>
        </w:rPr>
        <w:t>Aclaración de voto Cfr. Rad. 11001-03-15-000-2019-00022-0</w:t>
      </w:r>
    </w:p>
    <w:p w14:paraId="072FCD02" w14:textId="77777777" w:rsidR="009B7002" w:rsidRDefault="009B7002" w:rsidP="009B7002">
      <w:pPr>
        <w:contextualSpacing/>
        <w:rPr>
          <w:rFonts w:eastAsia="Verdana"/>
          <w:b/>
          <w:sz w:val="24"/>
          <w:szCs w:val="24"/>
          <w:lang w:val="es-ES_tradnl"/>
        </w:rPr>
      </w:pPr>
    </w:p>
    <w:p w14:paraId="480B001F" w14:textId="77777777" w:rsidR="009B7002" w:rsidRPr="00406A9A" w:rsidRDefault="009B7002" w:rsidP="009B7002">
      <w:pPr>
        <w:contextualSpacing/>
        <w:rPr>
          <w:rFonts w:eastAsia="Verdana"/>
          <w:b/>
          <w:sz w:val="24"/>
          <w:szCs w:val="24"/>
          <w:lang w:val="es-ES_tradnl"/>
        </w:rPr>
      </w:pPr>
    </w:p>
    <w:p w14:paraId="4FD88185" w14:textId="77777777" w:rsidR="009B7002" w:rsidRPr="00406A9A" w:rsidRDefault="009B7002" w:rsidP="009B7002">
      <w:pPr>
        <w:contextualSpacing/>
        <w:rPr>
          <w:rFonts w:eastAsia="Verdana"/>
          <w:b/>
          <w:sz w:val="24"/>
          <w:szCs w:val="24"/>
          <w:lang w:val="es-ES_tradnl"/>
        </w:rPr>
      </w:pPr>
    </w:p>
    <w:p w14:paraId="3FEDA335" w14:textId="77777777" w:rsidR="009B7002" w:rsidRPr="00406A9A" w:rsidRDefault="009B7002" w:rsidP="009B7002">
      <w:pPr>
        <w:contextualSpacing/>
        <w:jc w:val="center"/>
        <w:rPr>
          <w:rFonts w:eastAsia="Verdana"/>
          <w:b/>
          <w:sz w:val="24"/>
          <w:szCs w:val="24"/>
          <w:lang w:val="es-ES_tradnl"/>
        </w:rPr>
      </w:pPr>
      <w:r w:rsidRPr="00406A9A">
        <w:rPr>
          <w:rFonts w:eastAsia="Verdana"/>
          <w:b/>
          <w:sz w:val="24"/>
          <w:szCs w:val="24"/>
          <w:lang w:val="es-ES_tradnl"/>
        </w:rPr>
        <w:t>NICOLÁS YEPES CORRALES</w:t>
      </w:r>
    </w:p>
    <w:p w14:paraId="1A9B0491" w14:textId="77777777" w:rsidR="009B7002" w:rsidRPr="00406A9A" w:rsidRDefault="009B7002" w:rsidP="009B7002">
      <w:pPr>
        <w:contextualSpacing/>
        <w:jc w:val="center"/>
        <w:rPr>
          <w:rFonts w:eastAsia="Verdana"/>
          <w:b/>
          <w:sz w:val="24"/>
          <w:szCs w:val="24"/>
          <w:lang w:val="es-ES_tradnl"/>
        </w:rPr>
      </w:pPr>
      <w:r w:rsidRPr="00406A9A">
        <w:rPr>
          <w:rFonts w:eastAsia="Verdana"/>
          <w:b/>
          <w:sz w:val="24"/>
          <w:szCs w:val="24"/>
          <w:lang w:val="es-ES_tradnl"/>
        </w:rPr>
        <w:t>Magistrado</w:t>
      </w:r>
    </w:p>
    <w:p w14:paraId="738610EB" w14:textId="77777777" w:rsidR="000C5DB7" w:rsidRPr="000C5DB7" w:rsidRDefault="000C5DB7" w:rsidP="00750A47">
      <w:pPr>
        <w:spacing w:line="276" w:lineRule="auto"/>
        <w:contextualSpacing/>
        <w:rPr>
          <w:sz w:val="24"/>
          <w:szCs w:val="24"/>
          <w:lang w:val="es-ES_tradnl"/>
        </w:rPr>
      </w:pPr>
    </w:p>
    <w:p w14:paraId="637805D2" w14:textId="77777777" w:rsidR="000C5DB7" w:rsidRPr="000C5DB7" w:rsidRDefault="000C5DB7" w:rsidP="00750A47">
      <w:pPr>
        <w:spacing w:line="276" w:lineRule="auto"/>
        <w:contextualSpacing/>
        <w:rPr>
          <w:sz w:val="24"/>
          <w:szCs w:val="24"/>
          <w:lang w:val="es-ES_tradnl"/>
        </w:rPr>
      </w:pPr>
    </w:p>
    <w:p w14:paraId="463F29E8" w14:textId="77777777" w:rsidR="004849BB" w:rsidRPr="004849BB" w:rsidRDefault="004849BB" w:rsidP="00750A47">
      <w:pPr>
        <w:tabs>
          <w:tab w:val="left" w:pos="3109"/>
        </w:tabs>
        <w:contextualSpacing/>
        <w:rPr>
          <w:sz w:val="24"/>
          <w:szCs w:val="24"/>
        </w:rPr>
      </w:pPr>
    </w:p>
    <w:sectPr w:rsidR="004849BB" w:rsidRPr="004849BB" w:rsidSect="00B6429B">
      <w:headerReference w:type="default" r:id="rId12"/>
      <w:footerReference w:type="default" r:id="rId13"/>
      <w:headerReference w:type="first" r:id="rId14"/>
      <w:footerReference w:type="first" r:id="rId15"/>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58ABE" w14:textId="77777777" w:rsidR="000454F9" w:rsidRDefault="000454F9" w:rsidP="00117091">
      <w:r>
        <w:separator/>
      </w:r>
    </w:p>
  </w:endnote>
  <w:endnote w:type="continuationSeparator" w:id="0">
    <w:p w14:paraId="7C8C439A" w14:textId="77777777" w:rsidR="000454F9" w:rsidRDefault="000454F9"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5"/>
      <w:gridCol w:w="468"/>
    </w:tblGrid>
    <w:tr w:rsidR="00AC5590" w14:paraId="4830A873" w14:textId="77777777" w:rsidTr="00B6429B">
      <w:trPr>
        <w:jc w:val="right"/>
      </w:trPr>
      <w:tc>
        <w:tcPr>
          <w:tcW w:w="4795" w:type="dxa"/>
          <w:vAlign w:val="center"/>
        </w:tcPr>
        <w:p w14:paraId="0C43E376" w14:textId="77777777" w:rsidR="00AC5590" w:rsidRDefault="00AC5590"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AC5590" w:rsidRPr="00A21194" w:rsidRDefault="00AC5590"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AC5590" w:rsidRPr="00B6429B" w:rsidRDefault="00AC5590" w:rsidP="00B6429B">
          <w:pPr>
            <w:pStyle w:val="Piedepgina"/>
            <w:jc w:val="center"/>
          </w:pPr>
          <w:r w:rsidRPr="00B6429B">
            <w:fldChar w:fldCharType="begin"/>
          </w:r>
          <w:r w:rsidRPr="00B6429B">
            <w:instrText>PAGE   \* MERGEFORMAT</w:instrText>
          </w:r>
          <w:r w:rsidRPr="00B6429B">
            <w:fldChar w:fldCharType="separate"/>
          </w:r>
          <w:r w:rsidR="000A6CF7" w:rsidRPr="000A6CF7">
            <w:rPr>
              <w:noProof/>
              <w:lang w:val="es-ES"/>
            </w:rPr>
            <w:t>7</w:t>
          </w:r>
          <w:r w:rsidRPr="00B6429B">
            <w:fldChar w:fldCharType="end"/>
          </w:r>
        </w:p>
      </w:tc>
    </w:tr>
  </w:tbl>
  <w:p w14:paraId="17AD93B2" w14:textId="77777777" w:rsidR="00AC5590" w:rsidRPr="008C0DBE" w:rsidRDefault="00AC5590"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5"/>
      <w:gridCol w:w="468"/>
    </w:tblGrid>
    <w:tr w:rsidR="00AC5590" w14:paraId="7BC39794" w14:textId="77777777" w:rsidTr="00B6429B">
      <w:trPr>
        <w:jc w:val="right"/>
      </w:trPr>
      <w:tc>
        <w:tcPr>
          <w:tcW w:w="4795" w:type="dxa"/>
          <w:vAlign w:val="center"/>
        </w:tcPr>
        <w:p w14:paraId="60E1FF49" w14:textId="77777777" w:rsidR="00AC5590" w:rsidRDefault="00AC5590"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C5590" w:rsidRPr="00A21194" w:rsidRDefault="00AC5590"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AC5590" w:rsidRPr="00B6429B" w:rsidRDefault="00AC5590">
          <w:pPr>
            <w:pStyle w:val="Piedepgina"/>
            <w:jc w:val="center"/>
          </w:pPr>
          <w:r w:rsidRPr="00B6429B">
            <w:fldChar w:fldCharType="begin"/>
          </w:r>
          <w:r w:rsidRPr="00B6429B">
            <w:instrText>PAGE   \* MERGEFORMAT</w:instrText>
          </w:r>
          <w:r w:rsidRPr="00B6429B">
            <w:fldChar w:fldCharType="separate"/>
          </w:r>
          <w:r w:rsidR="000A6CF7" w:rsidRPr="000A6CF7">
            <w:rPr>
              <w:noProof/>
              <w:lang w:val="es-ES"/>
            </w:rPr>
            <w:t>1</w:t>
          </w:r>
          <w:r w:rsidRPr="00B6429B">
            <w:fldChar w:fldCharType="end"/>
          </w:r>
        </w:p>
      </w:tc>
    </w:tr>
  </w:tbl>
  <w:p w14:paraId="5630AD66" w14:textId="77777777" w:rsidR="00AC5590" w:rsidRDefault="00AC55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F425F" w14:textId="77777777" w:rsidR="000454F9" w:rsidRDefault="000454F9" w:rsidP="00117091">
      <w:r>
        <w:separator/>
      </w:r>
    </w:p>
  </w:footnote>
  <w:footnote w:type="continuationSeparator" w:id="0">
    <w:p w14:paraId="701B7EB2" w14:textId="77777777" w:rsidR="000454F9" w:rsidRDefault="000454F9" w:rsidP="00117091">
      <w:r>
        <w:continuationSeparator/>
      </w:r>
    </w:p>
  </w:footnote>
  <w:footnote w:id="1">
    <w:p w14:paraId="134FF4E4" w14:textId="44BC1784" w:rsidR="00AC5590" w:rsidRPr="001431FF" w:rsidRDefault="00AC5590" w:rsidP="001431FF">
      <w:pPr>
        <w:pStyle w:val="Textonotapie"/>
        <w:rPr>
          <w:lang w:val="es-ES"/>
        </w:rPr>
      </w:pPr>
      <w:r w:rsidRPr="001431FF">
        <w:rPr>
          <w:rStyle w:val="Refdenotaalpie"/>
        </w:rPr>
        <w:footnoteRef/>
      </w:r>
      <w:r w:rsidRPr="001431FF">
        <w:t xml:space="preserve"> </w:t>
      </w:r>
      <w:r w:rsidR="003D7E9F" w:rsidRPr="001431FF">
        <w:rPr>
          <w:lang w:val="es-ES"/>
        </w:rPr>
        <w:t>Páginas</w:t>
      </w:r>
      <w:r w:rsidR="00A50D04" w:rsidRPr="001431FF">
        <w:rPr>
          <w:lang w:val="es-ES"/>
        </w:rPr>
        <w:t xml:space="preserve"> 48</w:t>
      </w:r>
      <w:r w:rsidRPr="001431FF">
        <w:rPr>
          <w:lang w:val="es-ES"/>
        </w:rPr>
        <w:t xml:space="preserve"> a </w:t>
      </w:r>
      <w:r w:rsidR="00A50D04" w:rsidRPr="001431FF">
        <w:rPr>
          <w:lang w:val="es-ES"/>
        </w:rPr>
        <w:t>74 del archivo que contiene el escrito de tutela</w:t>
      </w:r>
      <w:r w:rsidR="00EF125C" w:rsidRPr="001431FF">
        <w:rPr>
          <w:lang w:val="es-ES"/>
        </w:rPr>
        <w:t>, con ubicación: 4FDB4B70B4DCA9C9 975B53A503B4C43B 28CAAA66F94769F0 EB9FD05FB9DD2457</w:t>
      </w:r>
      <w:r w:rsidRPr="001431FF">
        <w:rPr>
          <w:lang w:val="es-ES"/>
        </w:rPr>
        <w:t>.</w:t>
      </w:r>
    </w:p>
  </w:footnote>
  <w:footnote w:id="2">
    <w:p w14:paraId="18F32F47" w14:textId="420B825D" w:rsidR="00B24B1E" w:rsidRPr="001431FF" w:rsidRDefault="00B24B1E" w:rsidP="001431FF">
      <w:pPr>
        <w:pStyle w:val="Textonotapie"/>
        <w:rPr>
          <w:lang w:val="pt-BR"/>
        </w:rPr>
      </w:pPr>
      <w:r w:rsidRPr="001431FF">
        <w:rPr>
          <w:rStyle w:val="Refdenotaalpie"/>
        </w:rPr>
        <w:footnoteRef/>
      </w:r>
      <w:r w:rsidR="003D7E9F" w:rsidRPr="001431FF">
        <w:rPr>
          <w:lang w:val="pt-BR"/>
        </w:rPr>
        <w:t xml:space="preserve"> Páginas</w:t>
      </w:r>
      <w:r w:rsidR="00BA0787" w:rsidRPr="001431FF">
        <w:rPr>
          <w:lang w:val="pt-BR"/>
        </w:rPr>
        <w:t xml:space="preserve"> 53 a</w:t>
      </w:r>
      <w:r w:rsidR="00D07612" w:rsidRPr="001431FF">
        <w:rPr>
          <w:lang w:val="pt-BR"/>
        </w:rPr>
        <w:t xml:space="preserve"> 68 </w:t>
      </w:r>
      <w:proofErr w:type="spellStart"/>
      <w:r w:rsidR="00D07612" w:rsidRPr="001431FF">
        <w:rPr>
          <w:lang w:val="pt-BR"/>
        </w:rPr>
        <w:t>del</w:t>
      </w:r>
      <w:proofErr w:type="spellEnd"/>
      <w:r w:rsidR="00D07612" w:rsidRPr="001431FF">
        <w:rPr>
          <w:lang w:val="pt-BR"/>
        </w:rPr>
        <w:t xml:space="preserve"> </w:t>
      </w:r>
      <w:proofErr w:type="spellStart"/>
      <w:r w:rsidR="00D07612" w:rsidRPr="001431FF">
        <w:rPr>
          <w:lang w:val="pt-BR"/>
        </w:rPr>
        <w:t>archivo</w:t>
      </w:r>
      <w:proofErr w:type="spellEnd"/>
      <w:r w:rsidR="00D07612" w:rsidRPr="001431FF">
        <w:rPr>
          <w:lang w:val="pt-BR"/>
        </w:rPr>
        <w:t xml:space="preserve"> </w:t>
      </w:r>
      <w:r w:rsidR="003D7E9F" w:rsidRPr="001431FF">
        <w:rPr>
          <w:lang w:val="pt-BR"/>
        </w:rPr>
        <w:t xml:space="preserve">electrónico que </w:t>
      </w:r>
      <w:proofErr w:type="spellStart"/>
      <w:r w:rsidR="003D7E9F" w:rsidRPr="001431FF">
        <w:rPr>
          <w:lang w:val="pt-BR"/>
        </w:rPr>
        <w:t>contiene</w:t>
      </w:r>
      <w:proofErr w:type="spellEnd"/>
      <w:r w:rsidR="003D7E9F" w:rsidRPr="001431FF">
        <w:rPr>
          <w:lang w:val="pt-BR"/>
        </w:rPr>
        <w:t xml:space="preserve"> </w:t>
      </w:r>
      <w:proofErr w:type="spellStart"/>
      <w:r w:rsidR="003D7E9F" w:rsidRPr="001431FF">
        <w:rPr>
          <w:lang w:val="pt-BR"/>
        </w:rPr>
        <w:t>el</w:t>
      </w:r>
      <w:proofErr w:type="spellEnd"/>
      <w:r w:rsidR="003D7E9F" w:rsidRPr="001431FF">
        <w:rPr>
          <w:lang w:val="pt-BR"/>
        </w:rPr>
        <w:t xml:space="preserve"> expediente </w:t>
      </w:r>
      <w:proofErr w:type="spellStart"/>
      <w:r w:rsidR="003D7E9F" w:rsidRPr="001431FF">
        <w:rPr>
          <w:lang w:val="pt-BR"/>
        </w:rPr>
        <w:t>del</w:t>
      </w:r>
      <w:proofErr w:type="spellEnd"/>
      <w:r w:rsidR="003D7E9F" w:rsidRPr="001431FF">
        <w:rPr>
          <w:lang w:val="pt-BR"/>
        </w:rPr>
        <w:t xml:space="preserve"> </w:t>
      </w:r>
      <w:proofErr w:type="spellStart"/>
      <w:r w:rsidR="00BA0787" w:rsidRPr="001431FF">
        <w:rPr>
          <w:lang w:val="pt-BR"/>
        </w:rPr>
        <w:t>proce</w:t>
      </w:r>
      <w:r w:rsidR="003D7E9F" w:rsidRPr="001431FF">
        <w:rPr>
          <w:lang w:val="pt-BR"/>
        </w:rPr>
        <w:t>so</w:t>
      </w:r>
      <w:proofErr w:type="spellEnd"/>
      <w:r w:rsidR="003D7E9F" w:rsidRPr="001431FF">
        <w:rPr>
          <w:lang w:val="pt-BR"/>
        </w:rPr>
        <w:t xml:space="preserve"> </w:t>
      </w:r>
      <w:proofErr w:type="spellStart"/>
      <w:r w:rsidR="003D7E9F" w:rsidRPr="001431FF">
        <w:rPr>
          <w:lang w:val="pt-BR"/>
        </w:rPr>
        <w:t>ordinario</w:t>
      </w:r>
      <w:proofErr w:type="spellEnd"/>
      <w:r w:rsidR="003D7E9F" w:rsidRPr="001431FF">
        <w:rPr>
          <w:lang w:val="pt-BR"/>
        </w:rPr>
        <w:t xml:space="preserve">, </w:t>
      </w:r>
      <w:proofErr w:type="spellStart"/>
      <w:r w:rsidR="003D7E9F" w:rsidRPr="001431FF">
        <w:rPr>
          <w:lang w:val="pt-BR"/>
        </w:rPr>
        <w:t>cuaderno</w:t>
      </w:r>
      <w:proofErr w:type="spellEnd"/>
      <w:r w:rsidR="003D7E9F" w:rsidRPr="001431FF">
        <w:rPr>
          <w:lang w:val="pt-BR"/>
        </w:rPr>
        <w:t xml:space="preserve"> </w:t>
      </w:r>
      <w:proofErr w:type="spellStart"/>
      <w:r w:rsidR="003D7E9F" w:rsidRPr="001431FF">
        <w:rPr>
          <w:lang w:val="pt-BR"/>
        </w:rPr>
        <w:t>del</w:t>
      </w:r>
      <w:proofErr w:type="spellEnd"/>
      <w:r w:rsidR="003D7E9F" w:rsidRPr="001431FF">
        <w:rPr>
          <w:lang w:val="pt-BR"/>
        </w:rPr>
        <w:t xml:space="preserve"> tribunal, </w:t>
      </w:r>
      <w:proofErr w:type="spellStart"/>
      <w:r w:rsidR="003D7E9F" w:rsidRPr="001431FF">
        <w:rPr>
          <w:lang w:val="pt-BR"/>
        </w:rPr>
        <w:t>con</w:t>
      </w:r>
      <w:proofErr w:type="spellEnd"/>
      <w:r w:rsidR="003D7E9F" w:rsidRPr="001431FF">
        <w:rPr>
          <w:lang w:val="pt-BR"/>
        </w:rPr>
        <w:t xml:space="preserve"> </w:t>
      </w:r>
      <w:proofErr w:type="spellStart"/>
      <w:r w:rsidR="003D7E9F" w:rsidRPr="001431FF">
        <w:rPr>
          <w:lang w:val="pt-BR"/>
        </w:rPr>
        <w:t>ubicación</w:t>
      </w:r>
      <w:proofErr w:type="spellEnd"/>
      <w:r w:rsidR="003D7E9F" w:rsidRPr="001431FF">
        <w:rPr>
          <w:lang w:val="pt-BR"/>
        </w:rPr>
        <w:t>: 4DABEA006BD81B5E 797624F28D4A8BAC 17AE179916373510 9C0CEB0FC4DB54AF</w:t>
      </w:r>
      <w:r w:rsidRPr="001431FF">
        <w:rPr>
          <w:lang w:val="pt-BR"/>
        </w:rPr>
        <w:t>.</w:t>
      </w:r>
    </w:p>
  </w:footnote>
  <w:footnote w:id="3">
    <w:p w14:paraId="330F9253" w14:textId="0BC5E5BF" w:rsidR="00AC5590" w:rsidRPr="001431FF" w:rsidRDefault="00AC5590" w:rsidP="001431FF">
      <w:pPr>
        <w:pStyle w:val="Textonotapie"/>
        <w:rPr>
          <w:lang w:val="es-ES"/>
        </w:rPr>
      </w:pPr>
      <w:r w:rsidRPr="001431FF">
        <w:rPr>
          <w:rStyle w:val="Refdenotaalpie"/>
        </w:rPr>
        <w:footnoteRef/>
      </w:r>
      <w:r w:rsidRPr="001431FF">
        <w:t xml:space="preserve"> </w:t>
      </w:r>
      <w:r w:rsidR="00631D83" w:rsidRPr="001431FF">
        <w:rPr>
          <w:lang w:val="es-ES"/>
        </w:rPr>
        <w:t>Páginas</w:t>
      </w:r>
      <w:r w:rsidRPr="001431FF">
        <w:rPr>
          <w:lang w:val="es-ES"/>
        </w:rPr>
        <w:t xml:space="preserve"> </w:t>
      </w:r>
      <w:r w:rsidR="00631D83" w:rsidRPr="001431FF">
        <w:rPr>
          <w:lang w:val="es-ES"/>
        </w:rPr>
        <w:t>111</w:t>
      </w:r>
      <w:r w:rsidRPr="001431FF">
        <w:rPr>
          <w:lang w:val="es-ES"/>
        </w:rPr>
        <w:t xml:space="preserve"> a </w:t>
      </w:r>
      <w:r w:rsidR="00631D83" w:rsidRPr="001431FF">
        <w:rPr>
          <w:lang w:val="es-ES"/>
        </w:rPr>
        <w:t>1</w:t>
      </w:r>
      <w:r w:rsidRPr="001431FF">
        <w:rPr>
          <w:lang w:val="es-ES"/>
        </w:rPr>
        <w:t>30.</w:t>
      </w:r>
      <w:r w:rsidR="00631D83" w:rsidRPr="001431FF">
        <w:rPr>
          <w:lang w:val="es-ES"/>
        </w:rPr>
        <w:t xml:space="preserve"> </w:t>
      </w:r>
      <w:r w:rsidR="00D07612" w:rsidRPr="001431FF">
        <w:rPr>
          <w:lang w:val="es-ES"/>
        </w:rPr>
        <w:t>Ibíd.</w:t>
      </w:r>
    </w:p>
  </w:footnote>
  <w:footnote w:id="4">
    <w:p w14:paraId="4967281F" w14:textId="1D9BCEA0" w:rsidR="00CD148C" w:rsidRPr="001431FF" w:rsidRDefault="00CD148C" w:rsidP="001431FF">
      <w:pPr>
        <w:pStyle w:val="Textonotapie"/>
        <w:rPr>
          <w:lang w:val="es-ES"/>
        </w:rPr>
      </w:pPr>
      <w:r w:rsidRPr="001431FF">
        <w:rPr>
          <w:rStyle w:val="Refdenotaalpie"/>
        </w:rPr>
        <w:footnoteRef/>
      </w:r>
      <w:r w:rsidRPr="001431FF">
        <w:t xml:space="preserve"> </w:t>
      </w:r>
      <w:r w:rsidR="00B664B8" w:rsidRPr="001431FF">
        <w:rPr>
          <w:lang w:val="es-ES"/>
        </w:rPr>
        <w:t>Página</w:t>
      </w:r>
      <w:r w:rsidRPr="001431FF">
        <w:rPr>
          <w:lang w:val="es-ES"/>
        </w:rPr>
        <w:t xml:space="preserve"> </w:t>
      </w:r>
      <w:r w:rsidR="00B664B8" w:rsidRPr="001431FF">
        <w:rPr>
          <w:lang w:val="es-ES"/>
        </w:rPr>
        <w:t>7 del archivo que contiene el escrito de tutela, con ubicación:</w:t>
      </w:r>
      <w:r w:rsidR="00BA0787" w:rsidRPr="001431FF">
        <w:rPr>
          <w:lang w:val="es-ES"/>
        </w:rPr>
        <w:t xml:space="preserve"> 4FDB4B70B4DCA9C9 975B53A503B4C43B 28CAAA66F94769F0 EB9FD05FB9DD2457.</w:t>
      </w:r>
    </w:p>
  </w:footnote>
  <w:footnote w:id="5">
    <w:p w14:paraId="4BCFDAB3" w14:textId="5D85700B" w:rsidR="00AC5590" w:rsidRPr="001431FF" w:rsidRDefault="00AC5590" w:rsidP="001431FF">
      <w:pPr>
        <w:pStyle w:val="Textonotapie"/>
        <w:rPr>
          <w:lang w:val="es-ES"/>
        </w:rPr>
      </w:pPr>
      <w:r w:rsidRPr="001431FF">
        <w:rPr>
          <w:rStyle w:val="Refdenotaalpie"/>
        </w:rPr>
        <w:footnoteRef/>
      </w:r>
      <w:r w:rsidRPr="001431FF">
        <w:t xml:space="preserve"> </w:t>
      </w:r>
      <w:r w:rsidR="00FC72B6" w:rsidRPr="001431FF">
        <w:rPr>
          <w:lang w:val="es-ES"/>
        </w:rPr>
        <w:t xml:space="preserve">Archivo electrónico que contiene el auto admisorio, con ubicación: </w:t>
      </w:r>
      <w:r w:rsidR="00E16DB4" w:rsidRPr="001431FF">
        <w:rPr>
          <w:lang w:val="es-ES"/>
        </w:rPr>
        <w:t>5123E111D8D2FEB3 98A0AA4188DEE153 2885F364BBAB75D8 01D6848827607194</w:t>
      </w:r>
      <w:r w:rsidRPr="001431FF">
        <w:rPr>
          <w:lang w:val="es-ES"/>
        </w:rPr>
        <w:t>.</w:t>
      </w:r>
    </w:p>
  </w:footnote>
  <w:footnote w:id="6">
    <w:p w14:paraId="5E1633EC" w14:textId="77777777" w:rsidR="0007180C" w:rsidRPr="001431FF" w:rsidRDefault="0007180C" w:rsidP="0007180C">
      <w:pPr>
        <w:pStyle w:val="NormalWeb"/>
        <w:spacing w:after="0"/>
        <w:jc w:val="both"/>
        <w:rPr>
          <w:rFonts w:ascii="Arial" w:hAnsi="Arial" w:cs="Arial"/>
          <w:bCs/>
          <w:iCs/>
          <w:sz w:val="16"/>
          <w:szCs w:val="16"/>
          <w:lang w:eastAsia="es-ES_tradnl"/>
        </w:rPr>
      </w:pPr>
      <w:r w:rsidRPr="001431FF">
        <w:rPr>
          <w:rFonts w:ascii="Arial" w:hAnsi="Arial" w:cs="Arial"/>
          <w:bCs/>
          <w:iCs/>
          <w:sz w:val="16"/>
          <w:szCs w:val="16"/>
          <w:vertAlign w:val="superscript"/>
          <w:lang w:eastAsia="es-ES_tradnl"/>
        </w:rPr>
        <w:footnoteRef/>
      </w:r>
      <w:r w:rsidRPr="001431FF">
        <w:rPr>
          <w:rFonts w:ascii="Arial" w:hAnsi="Arial" w:cs="Arial"/>
          <w:bCs/>
          <w:iCs/>
          <w:sz w:val="16"/>
          <w:szCs w:val="16"/>
          <w:lang w:eastAsia="es-ES_tradnl"/>
        </w:rPr>
        <w:t xml:space="preserve"> </w:t>
      </w:r>
      <w:bookmarkStart w:id="0" w:name="37"/>
      <w:r w:rsidRPr="001431FF">
        <w:rPr>
          <w:rFonts w:ascii="Arial" w:hAnsi="Arial" w:cs="Arial"/>
          <w:bCs/>
          <w:iCs/>
          <w:sz w:val="16"/>
          <w:szCs w:val="16"/>
          <w:lang w:eastAsia="es-ES_tradnl"/>
        </w:rPr>
        <w:t>“ARTICULO 37. PRIMERA INSTANCIA.</w:t>
      </w:r>
      <w:bookmarkEnd w:id="0"/>
      <w:r w:rsidRPr="001431FF">
        <w:rPr>
          <w:rFonts w:ascii="Arial" w:hAnsi="Arial" w:cs="Arial"/>
          <w:bCs/>
          <w:iCs/>
          <w:sz w:val="16"/>
          <w:szCs w:val="16"/>
          <w:lang w:eastAsia="es-ES_tradnl"/>
        </w:rPr>
        <w:t> Son competentes para conocer de la acción de tutela, a prevención, los jueces o tribunales con jurisdicción en el lugar donde ocurriere la violación o la amenaza que motivaren la presentación de la solicitud.</w:t>
      </w:r>
    </w:p>
    <w:p w14:paraId="14D2BFDA" w14:textId="77777777" w:rsidR="0007180C" w:rsidRPr="001431FF" w:rsidRDefault="0007180C" w:rsidP="0007180C">
      <w:pPr>
        <w:pStyle w:val="NormalWeb"/>
        <w:spacing w:after="0"/>
        <w:jc w:val="both"/>
        <w:rPr>
          <w:rFonts w:ascii="Arial" w:hAnsi="Arial" w:cs="Arial"/>
          <w:bCs/>
          <w:iCs/>
          <w:sz w:val="16"/>
          <w:szCs w:val="16"/>
          <w:lang w:eastAsia="es-ES_tradnl"/>
        </w:rPr>
      </w:pPr>
      <w:r w:rsidRPr="001431FF">
        <w:rPr>
          <w:rFonts w:ascii="Arial" w:hAnsi="Arial" w:cs="Arial"/>
          <w:bCs/>
          <w:iCs/>
          <w:sz w:val="16"/>
          <w:szCs w:val="16"/>
          <w:lang w:eastAsia="es-ES_tradnl"/>
        </w:rPr>
        <w:t>El que interponga la acción de tutela deberá manifestar, bajo la gravedad del juramento, que no ha presentado otra respecto de los mismos hechos y derechos. Al recibir la solicitud, se le advertirá sobre las consecuencias penales del falso testimonio.</w:t>
      </w:r>
    </w:p>
    <w:p w14:paraId="7416BCDF" w14:textId="77777777" w:rsidR="0007180C" w:rsidRPr="001431FF" w:rsidRDefault="0007180C" w:rsidP="0007180C">
      <w:pPr>
        <w:pStyle w:val="NormalWeb"/>
        <w:spacing w:after="0"/>
        <w:jc w:val="both"/>
        <w:rPr>
          <w:rFonts w:ascii="Arial" w:hAnsi="Arial" w:cs="Arial"/>
          <w:bCs/>
          <w:iCs/>
          <w:sz w:val="16"/>
          <w:szCs w:val="16"/>
          <w:lang w:eastAsia="es-ES_tradnl"/>
        </w:rPr>
      </w:pPr>
      <w:r w:rsidRPr="001431FF">
        <w:rPr>
          <w:rFonts w:ascii="Arial" w:hAnsi="Arial" w:cs="Arial"/>
          <w:bCs/>
          <w:iCs/>
          <w:sz w:val="16"/>
          <w:szCs w:val="16"/>
          <w:lang w:eastAsia="es-ES_tradnl"/>
        </w:rPr>
        <w:t>De las acciones dirigidas contra la prensa y los demás medios de comunicación serán competentes los jueces de circuito del lugar”.</w:t>
      </w:r>
    </w:p>
  </w:footnote>
  <w:footnote w:id="7">
    <w:p w14:paraId="59EDF567" w14:textId="77777777" w:rsidR="00F338CB" w:rsidRPr="001431FF" w:rsidRDefault="00F338CB" w:rsidP="00F338CB">
      <w:r w:rsidRPr="001431FF">
        <w:rPr>
          <w:vertAlign w:val="superscript"/>
        </w:rPr>
        <w:footnoteRef/>
      </w:r>
      <w:r w:rsidRPr="001431FF">
        <w:t xml:space="preserve"> </w:t>
      </w:r>
      <w:r w:rsidRPr="001431FF">
        <w:rPr>
          <w:rFonts w:eastAsia="Arial"/>
          <w:bCs/>
        </w:rPr>
        <w:t>Cfr. Corte Constitucional C-590 de 2005.</w:t>
      </w:r>
    </w:p>
  </w:footnote>
  <w:footnote w:id="8">
    <w:p w14:paraId="18EC514E" w14:textId="77777777" w:rsidR="00F338CB" w:rsidRPr="001431FF" w:rsidRDefault="00F338CB" w:rsidP="00F338CB">
      <w:r w:rsidRPr="001431FF">
        <w:rPr>
          <w:vertAlign w:val="superscript"/>
        </w:rPr>
        <w:footnoteRef/>
      </w:r>
      <w:r w:rsidRPr="001431FF">
        <w:rPr>
          <w:vertAlign w:val="superscript"/>
        </w:rPr>
        <w:t xml:space="preserve"> </w:t>
      </w:r>
      <w:r w:rsidRPr="001431FF">
        <w:rPr>
          <w:rFonts w:eastAsia="Arial"/>
        </w:rPr>
        <w:t>Antes que todo es necesario (i) verificar la legitimación en la causa como una exigencia preliminar en cualquier acción de amparo, para, posteriormente, pasar a constatar los demás requisitos generales de procedibilidad, en los siguientes términos: (ii) que en la solicitud de tutela se expresen de manera clara los hechos y los fundamentos de la afectación de derechos que se imputa a la decisión judicial; (iii) que la cuestión que se discute tenga relevancia constitucional; (iv)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(vii) no procede elevar una solicitud de amparo contra decisiones proferidas dentro de procesos de tutela.</w:t>
      </w:r>
    </w:p>
  </w:footnote>
  <w:footnote w:id="9">
    <w:p w14:paraId="3CF7CB7E" w14:textId="77777777" w:rsidR="00F338CB" w:rsidRPr="001431FF" w:rsidRDefault="00F338CB" w:rsidP="001431FF">
      <w:pPr>
        <w:pStyle w:val="Textonotapie"/>
        <w:rPr>
          <w:b/>
        </w:rPr>
      </w:pPr>
      <w:r w:rsidRPr="001431FF">
        <w:rPr>
          <w:rStyle w:val="Refdenotaalpie"/>
        </w:rPr>
        <w:footnoteRef/>
      </w:r>
      <w:r w:rsidRPr="001431FF">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0">
    <w:p w14:paraId="24AF9B2B" w14:textId="77777777" w:rsidR="002F09AE" w:rsidRPr="001431FF" w:rsidRDefault="002F09AE" w:rsidP="002F09AE">
      <w:pPr>
        <w:pStyle w:val="paragraph"/>
        <w:spacing w:before="0" w:beforeAutospacing="0" w:after="0" w:afterAutospacing="0"/>
        <w:jc w:val="both"/>
        <w:textAlignment w:val="baseline"/>
        <w:rPr>
          <w:sz w:val="16"/>
          <w:szCs w:val="16"/>
        </w:rPr>
      </w:pPr>
      <w:r w:rsidRPr="001431FF">
        <w:rPr>
          <w:rStyle w:val="Refdenotaalpie"/>
          <w:rFonts w:ascii="Arial" w:hAnsi="Arial" w:cs="Arial"/>
          <w:sz w:val="16"/>
          <w:szCs w:val="16"/>
        </w:rPr>
        <w:footnoteRef/>
      </w:r>
      <w:r w:rsidRPr="001431FF">
        <w:rPr>
          <w:rFonts w:ascii="Arial" w:hAnsi="Arial" w:cs="Arial"/>
          <w:sz w:val="16"/>
          <w:szCs w:val="16"/>
        </w:rPr>
        <w:t xml:space="preserve"> Tal criterio fue sistematizado en la sentencia T-246 de 2015, en estos términos: “la Corte ha considerado en los asuntos referentes a acciones de tutela contra providencias judiciales, que el análisis de inmediatez debe ser más estricto, con el fin de no trastocar principios de seguridad jurídica y cosa juzgada, pues ´la firmeza de las decisiones judiciales no puede mantenerse en la incertidumbre indefinidamente´. En otras palabras, ser laxo con la exigencia de inmediatez en estos casos significaría ´que la firmeza de las decisiones judiciales estaría siempre a la espera de la controversia constitucional que en cualquier momento, sin límite de tiempo… En un escenario de esta naturaleza nadie podría estar seguro sobre cuáles son sus derechos y cual el alcance de éstos, con lo cual se produciría una violación del derecho de acceso a la administración de justicia – que incluye el derecho a la firmeza y ejecución de las decisiones judiciales – y un clima de enorme inestabilidad jurídica´”. || Cfr. Sentencias: T-315 de 2005, T-541 de 2006, T-1009 de 2006, T-594 de 2008, T-410 de 2013 y T-206 de 2014, entre otras. </w:t>
      </w:r>
    </w:p>
  </w:footnote>
  <w:footnote w:id="11">
    <w:p w14:paraId="7FE08D92" w14:textId="6F60F7B3" w:rsidR="002F09AE" w:rsidRPr="001431FF" w:rsidRDefault="002F09AE" w:rsidP="002F09AE">
      <w:pPr>
        <w:pStyle w:val="paragraph"/>
        <w:spacing w:before="0" w:beforeAutospacing="0" w:after="0" w:afterAutospacing="0"/>
        <w:jc w:val="both"/>
        <w:textAlignment w:val="baseline"/>
        <w:rPr>
          <w:rFonts w:ascii="Arial" w:hAnsi="Arial" w:cs="Arial"/>
          <w:sz w:val="16"/>
          <w:szCs w:val="16"/>
        </w:rPr>
      </w:pPr>
      <w:r w:rsidRPr="001431FF">
        <w:rPr>
          <w:rStyle w:val="Refdenotaalpie"/>
          <w:rFonts w:ascii="Arial" w:hAnsi="Arial" w:cs="Arial"/>
          <w:sz w:val="16"/>
          <w:szCs w:val="16"/>
        </w:rPr>
        <w:footnoteRef/>
      </w:r>
      <w:r w:rsidRPr="001431FF">
        <w:rPr>
          <w:rFonts w:ascii="Arial" w:hAnsi="Arial" w:cs="Arial"/>
          <w:sz w:val="16"/>
          <w:szCs w:val="16"/>
        </w:rPr>
        <w:t xml:space="preserve"> Sobre este lapso de seis meses, ha habido una continua comunicación concordante entre la jurisprudencia de la Corte Constitucional y del Consejo de Estado, quienes, como tribunales de cierre en sus jurisdicciones lo han definido como razonable. Por ejemplo, en la sentencia del Tribunal Constitucional T-246 de 2015, se alude a este criterio a partir de la sentencia proferida por la Sala Plena de esta Corporación, del 5 de agosto de 2014,  en la que, explícitamente,  “(…) la Sala Plena, </w:t>
      </w:r>
      <w:r w:rsidRPr="001431FF">
        <w:rPr>
          <w:rFonts w:ascii="Arial" w:hAnsi="Arial" w:cs="Arial"/>
          <w:sz w:val="16"/>
          <w:szCs w:val="16"/>
          <w:u w:val="single"/>
        </w:rPr>
        <w:t>como regla general</w:t>
      </w:r>
      <w:r w:rsidRPr="001431FF">
        <w:rPr>
          <w:rFonts w:ascii="Arial" w:hAnsi="Arial" w:cs="Arial"/>
          <w:sz w:val="16"/>
          <w:szCs w:val="16"/>
        </w:rPr>
        <w:t>, acoge un plazo de seis meses, contados a partir de la notificación o ejecutoria de la sentencia, según el caso, para determinar si la acción de tutela contra providencias judiciales se ejerce oportunamente”</w:t>
      </w:r>
      <w:r w:rsidR="008D47BC">
        <w:rPr>
          <w:rFonts w:ascii="Arial" w:hAnsi="Arial" w:cs="Arial"/>
          <w:sz w:val="16"/>
          <w:szCs w:val="16"/>
        </w:rPr>
        <w:t>.</w:t>
      </w:r>
      <w:r w:rsidRPr="001431FF">
        <w:rPr>
          <w:rFonts w:ascii="Arial" w:hAnsi="Arial" w:cs="Arial"/>
          <w:sz w:val="16"/>
          <w:szCs w:val="16"/>
        </w:rPr>
        <w:t xml:space="preserve"> (Radicado: 11001-03-15-000-2012-02201-01). Léase también en las sentencias T-269 de 2018 y T-079 de 2018. </w:t>
      </w:r>
    </w:p>
  </w:footnote>
  <w:footnote w:id="12">
    <w:p w14:paraId="3A39A987" w14:textId="77777777" w:rsidR="00553C10" w:rsidRPr="001431FF" w:rsidRDefault="00553C10" w:rsidP="001431FF">
      <w:pPr>
        <w:pStyle w:val="Textonotapie"/>
      </w:pPr>
      <w:r w:rsidRPr="001431FF">
        <w:rPr>
          <w:rStyle w:val="Refdenotaalpie"/>
        </w:rPr>
        <w:footnoteRef/>
      </w:r>
      <w:r w:rsidRPr="001431FF">
        <w:t xml:space="preserve"> </w:t>
      </w:r>
      <w:r w:rsidRPr="001431FF">
        <w:rPr>
          <w:lang w:val="pt-BR"/>
        </w:rPr>
        <w:t xml:space="preserve">Página 138 </w:t>
      </w:r>
      <w:proofErr w:type="spellStart"/>
      <w:r w:rsidRPr="001431FF">
        <w:rPr>
          <w:lang w:val="pt-BR"/>
        </w:rPr>
        <w:t>del</w:t>
      </w:r>
      <w:proofErr w:type="spellEnd"/>
      <w:r w:rsidRPr="001431FF">
        <w:rPr>
          <w:lang w:val="pt-BR"/>
        </w:rPr>
        <w:t xml:space="preserve"> </w:t>
      </w:r>
      <w:proofErr w:type="spellStart"/>
      <w:r w:rsidRPr="001431FF">
        <w:rPr>
          <w:lang w:val="pt-BR"/>
        </w:rPr>
        <w:t>archivo</w:t>
      </w:r>
      <w:proofErr w:type="spellEnd"/>
      <w:r w:rsidRPr="001431FF">
        <w:rPr>
          <w:lang w:val="pt-BR"/>
        </w:rPr>
        <w:t xml:space="preserve"> electrónico que </w:t>
      </w:r>
      <w:proofErr w:type="spellStart"/>
      <w:r w:rsidRPr="001431FF">
        <w:rPr>
          <w:lang w:val="pt-BR"/>
        </w:rPr>
        <w:t>contiene</w:t>
      </w:r>
      <w:proofErr w:type="spellEnd"/>
      <w:r w:rsidRPr="001431FF">
        <w:rPr>
          <w:lang w:val="pt-BR"/>
        </w:rPr>
        <w:t xml:space="preserve"> </w:t>
      </w:r>
      <w:proofErr w:type="spellStart"/>
      <w:r w:rsidRPr="001431FF">
        <w:rPr>
          <w:lang w:val="pt-BR"/>
        </w:rPr>
        <w:t>el</w:t>
      </w:r>
      <w:proofErr w:type="spellEnd"/>
      <w:r w:rsidRPr="001431FF">
        <w:rPr>
          <w:lang w:val="pt-BR"/>
        </w:rPr>
        <w:t xml:space="preserve"> expediente </w:t>
      </w:r>
      <w:proofErr w:type="spellStart"/>
      <w:r w:rsidRPr="001431FF">
        <w:rPr>
          <w:lang w:val="pt-BR"/>
        </w:rPr>
        <w:t>del</w:t>
      </w:r>
      <w:proofErr w:type="spellEnd"/>
      <w:r w:rsidRPr="001431FF">
        <w:rPr>
          <w:lang w:val="pt-BR"/>
        </w:rPr>
        <w:t xml:space="preserve"> </w:t>
      </w:r>
      <w:proofErr w:type="spellStart"/>
      <w:r w:rsidRPr="001431FF">
        <w:rPr>
          <w:lang w:val="pt-BR"/>
        </w:rPr>
        <w:t>proceso</w:t>
      </w:r>
      <w:proofErr w:type="spellEnd"/>
      <w:r w:rsidRPr="001431FF">
        <w:rPr>
          <w:lang w:val="pt-BR"/>
        </w:rPr>
        <w:t xml:space="preserve"> </w:t>
      </w:r>
      <w:proofErr w:type="spellStart"/>
      <w:r w:rsidRPr="001431FF">
        <w:rPr>
          <w:lang w:val="pt-BR"/>
        </w:rPr>
        <w:t>ordinario</w:t>
      </w:r>
      <w:proofErr w:type="spellEnd"/>
      <w:r w:rsidRPr="001431FF">
        <w:rPr>
          <w:lang w:val="pt-BR"/>
        </w:rPr>
        <w:t xml:space="preserve">, </w:t>
      </w:r>
      <w:proofErr w:type="spellStart"/>
      <w:r w:rsidRPr="001431FF">
        <w:rPr>
          <w:lang w:val="pt-BR"/>
        </w:rPr>
        <w:t>cuaderno</w:t>
      </w:r>
      <w:proofErr w:type="spellEnd"/>
      <w:r w:rsidRPr="001431FF">
        <w:rPr>
          <w:lang w:val="pt-BR"/>
        </w:rPr>
        <w:t xml:space="preserve"> </w:t>
      </w:r>
      <w:proofErr w:type="spellStart"/>
      <w:r w:rsidRPr="001431FF">
        <w:rPr>
          <w:lang w:val="pt-BR"/>
        </w:rPr>
        <w:t>del</w:t>
      </w:r>
      <w:proofErr w:type="spellEnd"/>
      <w:r w:rsidRPr="001431FF">
        <w:rPr>
          <w:lang w:val="pt-BR"/>
        </w:rPr>
        <w:t xml:space="preserve"> tribunal, </w:t>
      </w:r>
      <w:proofErr w:type="spellStart"/>
      <w:r w:rsidRPr="001431FF">
        <w:rPr>
          <w:lang w:val="pt-BR"/>
        </w:rPr>
        <w:t>con</w:t>
      </w:r>
      <w:proofErr w:type="spellEnd"/>
      <w:r w:rsidRPr="001431FF">
        <w:rPr>
          <w:lang w:val="pt-BR"/>
        </w:rPr>
        <w:t xml:space="preserve"> </w:t>
      </w:r>
      <w:proofErr w:type="spellStart"/>
      <w:r w:rsidRPr="001431FF">
        <w:rPr>
          <w:lang w:val="pt-BR"/>
        </w:rPr>
        <w:t>ubicación</w:t>
      </w:r>
      <w:proofErr w:type="spellEnd"/>
      <w:r w:rsidRPr="001431FF">
        <w:rPr>
          <w:lang w:val="pt-BR"/>
        </w:rPr>
        <w:t>: 4DABEA006BD81B5E 797624F28D4A8BAC 17AE179916373510 9C0CEB0FC4DB54AF.</w:t>
      </w:r>
    </w:p>
  </w:footnote>
  <w:footnote w:id="13">
    <w:p w14:paraId="42020B68" w14:textId="760B85D6" w:rsidR="00553C10" w:rsidRPr="001431FF" w:rsidRDefault="00553C10" w:rsidP="001431FF">
      <w:pPr>
        <w:pStyle w:val="Textonotapie"/>
      </w:pPr>
      <w:r w:rsidRPr="001431FF">
        <w:rPr>
          <w:rStyle w:val="Refdenotaalpie"/>
        </w:rPr>
        <w:footnoteRef/>
      </w:r>
      <w:r w:rsidRPr="001431FF">
        <w:t xml:space="preserve"> Archivo electrónico que contiene el correo de envío de la acción de tutela, con ubicación: C933A51AE3267674 37C462361CC477C2 077223FA38D5CADF D9E8E9307B2DC0C5</w:t>
      </w:r>
      <w:r w:rsidR="008D47BC">
        <w:t>.</w:t>
      </w:r>
    </w:p>
  </w:footnote>
  <w:footnote w:id="14">
    <w:p w14:paraId="2588A6E8" w14:textId="331A4DAA" w:rsidR="00553C10" w:rsidRPr="001431FF" w:rsidRDefault="00553C10" w:rsidP="001431FF">
      <w:pPr>
        <w:pStyle w:val="Textonotapie"/>
        <w:rPr>
          <w:b/>
          <w:lang w:val="es-ES"/>
        </w:rPr>
      </w:pPr>
      <w:r w:rsidRPr="001431FF">
        <w:rPr>
          <w:rStyle w:val="Refdenotaalpie"/>
        </w:rPr>
        <w:footnoteRef/>
      </w:r>
      <w:r w:rsidRPr="001431FF">
        <w:t xml:space="preserve"> Páginas 70 a 74 del archivo que contiene el escrito de tutela y sus anexos, con ubicación: 4FDB4B70B4DCA9C9 975B53A503B4C43B 28CAAA66F94769F0 EB9FD05FB9DD2457</w:t>
      </w:r>
      <w:r w:rsidR="008D47BC">
        <w:t>.</w:t>
      </w:r>
    </w:p>
  </w:footnote>
  <w:footnote w:id="15">
    <w:p w14:paraId="0230784D" w14:textId="77777777" w:rsidR="003C2314" w:rsidRPr="001431FF" w:rsidRDefault="003C2314" w:rsidP="001431FF">
      <w:pPr>
        <w:pStyle w:val="Textonotapie"/>
        <w:rPr>
          <w:b/>
          <w:lang w:val="es-ES"/>
        </w:rPr>
      </w:pPr>
      <w:r w:rsidRPr="001431FF">
        <w:rPr>
          <w:rStyle w:val="Refdenotaalpie"/>
        </w:rPr>
        <w:footnoteRef/>
      </w:r>
      <w:r w:rsidRPr="001431FF">
        <w:t xml:space="preserve"> </w:t>
      </w:r>
      <w:r w:rsidRPr="001431FF">
        <w:rPr>
          <w:lang w:val="es-ES"/>
        </w:rPr>
        <w:t>Corte Constitucional SU-055 de 2018.</w:t>
      </w:r>
    </w:p>
  </w:footnote>
  <w:footnote w:id="16">
    <w:p w14:paraId="1883D1B4" w14:textId="77777777" w:rsidR="003C2314" w:rsidRPr="001431FF" w:rsidRDefault="003C2314" w:rsidP="001431FF">
      <w:pPr>
        <w:pStyle w:val="Textonotapie"/>
        <w:rPr>
          <w:b/>
          <w:lang w:val="es-ES"/>
        </w:rPr>
      </w:pPr>
      <w:r w:rsidRPr="001431FF">
        <w:rPr>
          <w:rStyle w:val="Refdenotaalpie"/>
        </w:rPr>
        <w:footnoteRef/>
      </w:r>
      <w:r w:rsidRPr="001431FF">
        <w:t xml:space="preserve"> Consejo de Estado, Sala Plena, radicación: </w:t>
      </w:r>
      <w:r w:rsidRPr="001431FF">
        <w:rPr>
          <w:lang w:val="es-ES" w:eastAsia="es-ES"/>
        </w:rPr>
        <w:t>11001-03-15-000-2012-02201-01(IJ) del 5 de agosto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ABD7" w14:textId="77777777" w:rsidR="00AC5590" w:rsidRPr="00A15ACE" w:rsidRDefault="00AC5590">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AC5590" w:rsidRPr="00A15ACE" w:rsidRDefault="00AC5590">
    <w:pPr>
      <w:pStyle w:val="Encabezado"/>
    </w:pPr>
  </w:p>
  <w:p w14:paraId="4B90DC7A" w14:textId="77777777" w:rsidR="00AC5590" w:rsidRPr="00A15ACE" w:rsidRDefault="00AC5590">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6E4BD68"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D508FF0" w14:textId="458F0E5C" w:rsidR="00AC5590" w:rsidRPr="00001048" w:rsidRDefault="00AC5590" w:rsidP="00CD33D6">
    <w:pPr>
      <w:pStyle w:val="Encabezado"/>
      <w:tabs>
        <w:tab w:val="clear" w:pos="8504"/>
        <w:tab w:val="right" w:pos="9072"/>
      </w:tabs>
      <w:jc w:val="right"/>
      <w:rPr>
        <w:color w:val="A6A6A6" w:themeColor="background1" w:themeShade="A6"/>
        <w:sz w:val="20"/>
        <w:szCs w:val="20"/>
      </w:rPr>
    </w:pPr>
    <w:r>
      <w:rPr>
        <w:color w:val="767171"/>
        <w:sz w:val="20"/>
        <w:szCs w:val="20"/>
      </w:rPr>
      <w:t xml:space="preserve">                                                       </w:t>
    </w:r>
    <w:r w:rsidR="00A81BB5">
      <w:rPr>
        <w:color w:val="767171"/>
        <w:sz w:val="20"/>
        <w:szCs w:val="20"/>
      </w:rPr>
      <w:t xml:space="preserve">  </w:t>
    </w:r>
    <w:r>
      <w:rPr>
        <w:color w:val="767171"/>
        <w:sz w:val="20"/>
        <w:szCs w:val="20"/>
      </w:rPr>
      <w:t xml:space="preserve"> </w:t>
    </w:r>
    <w:r w:rsidR="004C475C">
      <w:rPr>
        <w:color w:val="767171"/>
        <w:sz w:val="20"/>
        <w:szCs w:val="20"/>
      </w:rPr>
      <w:tab/>
    </w:r>
    <w:r w:rsidR="004C475C">
      <w:rPr>
        <w:color w:val="767171"/>
        <w:sz w:val="20"/>
        <w:szCs w:val="20"/>
      </w:rPr>
      <w:tab/>
    </w:r>
    <w:r w:rsidR="004C475C">
      <w:rPr>
        <w:color w:val="767171"/>
        <w:sz w:val="20"/>
        <w:szCs w:val="20"/>
      </w:rPr>
      <w:tab/>
    </w:r>
    <w:r w:rsidR="004C475C">
      <w:rPr>
        <w:color w:val="767171"/>
        <w:sz w:val="20"/>
        <w:szCs w:val="20"/>
      </w:rPr>
      <w:tab/>
    </w:r>
    <w:r w:rsidR="00A9321C">
      <w:rPr>
        <w:color w:val="767171"/>
        <w:sz w:val="20"/>
        <w:szCs w:val="20"/>
      </w:rPr>
      <w:tab/>
    </w:r>
    <w:r w:rsidR="00A9321C">
      <w:rPr>
        <w:color w:val="767171"/>
        <w:sz w:val="20"/>
        <w:szCs w:val="20"/>
      </w:rPr>
      <w:tab/>
    </w:r>
    <w:r w:rsidR="00A9321C">
      <w:rPr>
        <w:color w:val="767171"/>
        <w:sz w:val="20"/>
        <w:szCs w:val="20"/>
      </w:rPr>
      <w:tab/>
    </w:r>
    <w:r w:rsidRPr="00001048">
      <w:rPr>
        <w:color w:val="A6A6A6" w:themeColor="background1" w:themeShade="A6"/>
        <w:sz w:val="20"/>
        <w:szCs w:val="20"/>
      </w:rPr>
      <w:t>Radicado: 11001-03-15-000-202</w:t>
    </w:r>
    <w:r w:rsidR="004C475C">
      <w:rPr>
        <w:color w:val="A6A6A6" w:themeColor="background1" w:themeShade="A6"/>
        <w:sz w:val="20"/>
        <w:szCs w:val="20"/>
      </w:rPr>
      <w:t>1-04471</w:t>
    </w:r>
    <w:r w:rsidRPr="00001048">
      <w:rPr>
        <w:color w:val="A6A6A6" w:themeColor="background1" w:themeShade="A6"/>
        <w:sz w:val="20"/>
        <w:szCs w:val="20"/>
      </w:rPr>
      <w:t>-00</w:t>
    </w:r>
  </w:p>
  <w:p w14:paraId="07B33FD0" w14:textId="7F864215" w:rsidR="00AC5590" w:rsidRPr="00001048" w:rsidRDefault="004C475C" w:rsidP="00A9321C">
    <w:pPr>
      <w:pStyle w:val="Encabezado"/>
      <w:tabs>
        <w:tab w:val="clear" w:pos="8504"/>
        <w:tab w:val="right" w:pos="9072"/>
      </w:tabs>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r>
    <w:r w:rsidR="00A81BB5">
      <w:rPr>
        <w:color w:val="A6A6A6" w:themeColor="background1" w:themeShade="A6"/>
        <w:sz w:val="20"/>
        <w:szCs w:val="20"/>
      </w:rPr>
      <w:t xml:space="preserve"> Accion</w:t>
    </w:r>
    <w:r w:rsidR="00AC5590" w:rsidRPr="00001048">
      <w:rPr>
        <w:color w:val="A6A6A6" w:themeColor="background1" w:themeShade="A6"/>
        <w:sz w:val="20"/>
        <w:szCs w:val="20"/>
      </w:rPr>
      <w:t xml:space="preserve">ante: </w:t>
    </w:r>
    <w:r w:rsidR="00AC5590" w:rsidRPr="00001048">
      <w:rPr>
        <w:bCs/>
        <w:color w:val="A6A6A6" w:themeColor="background1" w:themeShade="A6"/>
        <w:sz w:val="20"/>
        <w:szCs w:val="20"/>
      </w:rPr>
      <w:t>J</w:t>
    </w:r>
    <w:r>
      <w:rPr>
        <w:bCs/>
        <w:color w:val="A6A6A6" w:themeColor="background1" w:themeShade="A6"/>
        <w:sz w:val="20"/>
        <w:szCs w:val="20"/>
      </w:rPr>
      <w:t>avier Machado Quiroz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9D0D6" w14:textId="77777777" w:rsidR="00AC5590" w:rsidRPr="00A15ACE" w:rsidRDefault="00AC5590"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AC5590" w:rsidRPr="00A15ACE" w:rsidRDefault="00AC5590" w:rsidP="00F1441F">
    <w:pPr>
      <w:pStyle w:val="Encabezado"/>
      <w:rPr>
        <w:color w:val="767171"/>
      </w:rPr>
    </w:pPr>
  </w:p>
  <w:p w14:paraId="3F3B7A5B" w14:textId="77777777" w:rsidR="00AC5590" w:rsidRPr="007F276C" w:rsidRDefault="00AC5590" w:rsidP="007C6D45">
    <w:pPr>
      <w:pStyle w:val="Sinespaciado"/>
    </w:pPr>
    <w:r w:rsidRPr="007F276C">
      <w:t>CONSEJO DE ESTADO</w:t>
    </w:r>
  </w:p>
  <w:p w14:paraId="6EF027A0" w14:textId="77777777" w:rsidR="00AC5590" w:rsidRPr="007F276C" w:rsidRDefault="00AC5590" w:rsidP="007C6D45">
    <w:pPr>
      <w:pStyle w:val="Sinespaciado"/>
    </w:pPr>
    <w:r w:rsidRPr="007F276C">
      <w:t>SALA DE LO CONTENCIOSO ADMINISTRATIVO</w:t>
    </w:r>
  </w:p>
  <w:p w14:paraId="2FC4305D" w14:textId="77777777" w:rsidR="00AC5590" w:rsidRPr="007F276C" w:rsidRDefault="00AC5590" w:rsidP="007C6D45">
    <w:pPr>
      <w:pStyle w:val="Sinespaciado"/>
    </w:pPr>
    <w:r w:rsidRPr="007F276C">
      <w:t>SECCIÓN TERCERA – SUBSECCIÓN C</w:t>
    </w:r>
  </w:p>
  <w:p w14:paraId="2BA226A1" w14:textId="77777777" w:rsidR="00AC5590" w:rsidRDefault="00AC55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4C20A76"/>
    <w:multiLevelType w:val="multilevel"/>
    <w:tmpl w:val="32BCE4D0"/>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857087BC"/>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trid Lorena Bermeo Aceldas">
    <w15:presenceInfo w15:providerId="AD" w15:userId="S::lbermeoa@consejoestado.ramajudicial.gov.co::0830f213-2f40-4f9c-b5b9-07fd901e6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131078" w:nlCheck="1" w:checkStyle="1"/>
  <w:activeWritingStyle w:appName="MSWord" w:lang="es-ES_tradnl"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86"/>
    <w:rsid w:val="00001014"/>
    <w:rsid w:val="00001048"/>
    <w:rsid w:val="00001DD1"/>
    <w:rsid w:val="00002C7B"/>
    <w:rsid w:val="00005CF1"/>
    <w:rsid w:val="00006D3C"/>
    <w:rsid w:val="00016073"/>
    <w:rsid w:val="00017CB3"/>
    <w:rsid w:val="00020584"/>
    <w:rsid w:val="000255AB"/>
    <w:rsid w:val="00033F88"/>
    <w:rsid w:val="00043860"/>
    <w:rsid w:val="000454F9"/>
    <w:rsid w:val="00051DAE"/>
    <w:rsid w:val="00055484"/>
    <w:rsid w:val="00060A39"/>
    <w:rsid w:val="00061B93"/>
    <w:rsid w:val="0006385A"/>
    <w:rsid w:val="0006532B"/>
    <w:rsid w:val="0007180C"/>
    <w:rsid w:val="000728E0"/>
    <w:rsid w:val="00073364"/>
    <w:rsid w:val="00073869"/>
    <w:rsid w:val="00081E4D"/>
    <w:rsid w:val="0008263E"/>
    <w:rsid w:val="0008265A"/>
    <w:rsid w:val="00083B8F"/>
    <w:rsid w:val="00090464"/>
    <w:rsid w:val="00091925"/>
    <w:rsid w:val="00094E7B"/>
    <w:rsid w:val="00097343"/>
    <w:rsid w:val="000A2A51"/>
    <w:rsid w:val="000A6CF7"/>
    <w:rsid w:val="000B2C49"/>
    <w:rsid w:val="000B357E"/>
    <w:rsid w:val="000B47EF"/>
    <w:rsid w:val="000B57FA"/>
    <w:rsid w:val="000B7F2C"/>
    <w:rsid w:val="000C0B94"/>
    <w:rsid w:val="000C120A"/>
    <w:rsid w:val="000C2B43"/>
    <w:rsid w:val="000C5DB7"/>
    <w:rsid w:val="000C7B4F"/>
    <w:rsid w:val="000D0E41"/>
    <w:rsid w:val="000D1C08"/>
    <w:rsid w:val="000D1D3F"/>
    <w:rsid w:val="000D5563"/>
    <w:rsid w:val="000E2D62"/>
    <w:rsid w:val="000F1FFA"/>
    <w:rsid w:val="000F65E5"/>
    <w:rsid w:val="000F71DC"/>
    <w:rsid w:val="00101B43"/>
    <w:rsid w:val="00117091"/>
    <w:rsid w:val="00117DEE"/>
    <w:rsid w:val="00124386"/>
    <w:rsid w:val="001247BF"/>
    <w:rsid w:val="00130790"/>
    <w:rsid w:val="0013123D"/>
    <w:rsid w:val="001314F6"/>
    <w:rsid w:val="001323EB"/>
    <w:rsid w:val="00133F91"/>
    <w:rsid w:val="001424B9"/>
    <w:rsid w:val="001431FF"/>
    <w:rsid w:val="001465C1"/>
    <w:rsid w:val="001558E3"/>
    <w:rsid w:val="00155B1D"/>
    <w:rsid w:val="00155E78"/>
    <w:rsid w:val="001565AD"/>
    <w:rsid w:val="00156871"/>
    <w:rsid w:val="00166AF6"/>
    <w:rsid w:val="001703A9"/>
    <w:rsid w:val="001739F4"/>
    <w:rsid w:val="001842FB"/>
    <w:rsid w:val="00186446"/>
    <w:rsid w:val="001866A6"/>
    <w:rsid w:val="00194CD0"/>
    <w:rsid w:val="001A4479"/>
    <w:rsid w:val="001B29AF"/>
    <w:rsid w:val="001C16E6"/>
    <w:rsid w:val="001C3C1F"/>
    <w:rsid w:val="001D1F33"/>
    <w:rsid w:val="001D4E62"/>
    <w:rsid w:val="001D5374"/>
    <w:rsid w:val="001D69E6"/>
    <w:rsid w:val="001E1952"/>
    <w:rsid w:val="001E4A96"/>
    <w:rsid w:val="001F3D32"/>
    <w:rsid w:val="001F7567"/>
    <w:rsid w:val="00200B4F"/>
    <w:rsid w:val="00201EC3"/>
    <w:rsid w:val="00206BC9"/>
    <w:rsid w:val="002103BE"/>
    <w:rsid w:val="00214D23"/>
    <w:rsid w:val="002201F6"/>
    <w:rsid w:val="00221298"/>
    <w:rsid w:val="002230E3"/>
    <w:rsid w:val="002302AE"/>
    <w:rsid w:val="00234889"/>
    <w:rsid w:val="002365E1"/>
    <w:rsid w:val="00246239"/>
    <w:rsid w:val="00246CFE"/>
    <w:rsid w:val="00254098"/>
    <w:rsid w:val="002620B5"/>
    <w:rsid w:val="00263E4C"/>
    <w:rsid w:val="002679B7"/>
    <w:rsid w:val="0027121E"/>
    <w:rsid w:val="002760C7"/>
    <w:rsid w:val="00281874"/>
    <w:rsid w:val="002819FE"/>
    <w:rsid w:val="0028665C"/>
    <w:rsid w:val="00287F2D"/>
    <w:rsid w:val="00292785"/>
    <w:rsid w:val="002A57A9"/>
    <w:rsid w:val="002B2290"/>
    <w:rsid w:val="002B6887"/>
    <w:rsid w:val="002B7C85"/>
    <w:rsid w:val="002C0A06"/>
    <w:rsid w:val="002C12BC"/>
    <w:rsid w:val="002D480B"/>
    <w:rsid w:val="002D504E"/>
    <w:rsid w:val="002E1978"/>
    <w:rsid w:val="002E2303"/>
    <w:rsid w:val="002F09AE"/>
    <w:rsid w:val="003004FD"/>
    <w:rsid w:val="00300BA6"/>
    <w:rsid w:val="00301F69"/>
    <w:rsid w:val="0030222F"/>
    <w:rsid w:val="0031300C"/>
    <w:rsid w:val="0031514A"/>
    <w:rsid w:val="003276DA"/>
    <w:rsid w:val="0034356B"/>
    <w:rsid w:val="00347143"/>
    <w:rsid w:val="003539D6"/>
    <w:rsid w:val="00360658"/>
    <w:rsid w:val="00361478"/>
    <w:rsid w:val="003626BA"/>
    <w:rsid w:val="0036505A"/>
    <w:rsid w:val="00374674"/>
    <w:rsid w:val="00381B13"/>
    <w:rsid w:val="00383156"/>
    <w:rsid w:val="00383425"/>
    <w:rsid w:val="00384507"/>
    <w:rsid w:val="00384E64"/>
    <w:rsid w:val="00386B5B"/>
    <w:rsid w:val="00387BBC"/>
    <w:rsid w:val="0039122A"/>
    <w:rsid w:val="00391701"/>
    <w:rsid w:val="00394A69"/>
    <w:rsid w:val="003A12C4"/>
    <w:rsid w:val="003A3702"/>
    <w:rsid w:val="003A6A3E"/>
    <w:rsid w:val="003B090C"/>
    <w:rsid w:val="003B2EC5"/>
    <w:rsid w:val="003B367A"/>
    <w:rsid w:val="003B41E6"/>
    <w:rsid w:val="003B4515"/>
    <w:rsid w:val="003B4E88"/>
    <w:rsid w:val="003B4FA1"/>
    <w:rsid w:val="003B5AFF"/>
    <w:rsid w:val="003C2314"/>
    <w:rsid w:val="003C305E"/>
    <w:rsid w:val="003C7E9C"/>
    <w:rsid w:val="003D1B94"/>
    <w:rsid w:val="003D7E9F"/>
    <w:rsid w:val="003E2272"/>
    <w:rsid w:val="003E4559"/>
    <w:rsid w:val="003F2BA3"/>
    <w:rsid w:val="003F4EE1"/>
    <w:rsid w:val="003F7FF5"/>
    <w:rsid w:val="0040213E"/>
    <w:rsid w:val="00402998"/>
    <w:rsid w:val="00414CB4"/>
    <w:rsid w:val="004168CB"/>
    <w:rsid w:val="004211FA"/>
    <w:rsid w:val="00421397"/>
    <w:rsid w:val="00424723"/>
    <w:rsid w:val="00430389"/>
    <w:rsid w:val="00430D89"/>
    <w:rsid w:val="004441D4"/>
    <w:rsid w:val="00447956"/>
    <w:rsid w:val="0047256F"/>
    <w:rsid w:val="0048189F"/>
    <w:rsid w:val="0048212C"/>
    <w:rsid w:val="004849BB"/>
    <w:rsid w:val="004857F6"/>
    <w:rsid w:val="00486868"/>
    <w:rsid w:val="00490A34"/>
    <w:rsid w:val="00491910"/>
    <w:rsid w:val="00491D4D"/>
    <w:rsid w:val="0049403C"/>
    <w:rsid w:val="00496FEF"/>
    <w:rsid w:val="00497735"/>
    <w:rsid w:val="004A1D38"/>
    <w:rsid w:val="004A29CE"/>
    <w:rsid w:val="004A59E5"/>
    <w:rsid w:val="004B75B4"/>
    <w:rsid w:val="004C475C"/>
    <w:rsid w:val="004D2D37"/>
    <w:rsid w:val="004D5983"/>
    <w:rsid w:val="004D63F2"/>
    <w:rsid w:val="004E0DC2"/>
    <w:rsid w:val="004E3D73"/>
    <w:rsid w:val="004E4553"/>
    <w:rsid w:val="004E5D95"/>
    <w:rsid w:val="004F6D53"/>
    <w:rsid w:val="00505263"/>
    <w:rsid w:val="00506960"/>
    <w:rsid w:val="00510902"/>
    <w:rsid w:val="005144B2"/>
    <w:rsid w:val="00522073"/>
    <w:rsid w:val="00530CAD"/>
    <w:rsid w:val="005326FC"/>
    <w:rsid w:val="0054069D"/>
    <w:rsid w:val="005430AE"/>
    <w:rsid w:val="005455EB"/>
    <w:rsid w:val="0054683B"/>
    <w:rsid w:val="00547CE7"/>
    <w:rsid w:val="00553C10"/>
    <w:rsid w:val="00566726"/>
    <w:rsid w:val="00567A51"/>
    <w:rsid w:val="005810B6"/>
    <w:rsid w:val="00585017"/>
    <w:rsid w:val="00585CA2"/>
    <w:rsid w:val="00586FE0"/>
    <w:rsid w:val="00587FEE"/>
    <w:rsid w:val="005A2D76"/>
    <w:rsid w:val="005A358C"/>
    <w:rsid w:val="005B50A2"/>
    <w:rsid w:val="005C111A"/>
    <w:rsid w:val="005C392E"/>
    <w:rsid w:val="005D1791"/>
    <w:rsid w:val="005D7621"/>
    <w:rsid w:val="005D79F0"/>
    <w:rsid w:val="005E57A6"/>
    <w:rsid w:val="005E5D4B"/>
    <w:rsid w:val="005F0AEA"/>
    <w:rsid w:val="005F76F4"/>
    <w:rsid w:val="006065E6"/>
    <w:rsid w:val="006070EE"/>
    <w:rsid w:val="006146CC"/>
    <w:rsid w:val="0061650B"/>
    <w:rsid w:val="00621F3E"/>
    <w:rsid w:val="00624805"/>
    <w:rsid w:val="006306F2"/>
    <w:rsid w:val="00631D83"/>
    <w:rsid w:val="006371BF"/>
    <w:rsid w:val="00637795"/>
    <w:rsid w:val="006378FA"/>
    <w:rsid w:val="006418FC"/>
    <w:rsid w:val="00651F05"/>
    <w:rsid w:val="00653621"/>
    <w:rsid w:val="006540E2"/>
    <w:rsid w:val="00654B05"/>
    <w:rsid w:val="00660203"/>
    <w:rsid w:val="00660B8E"/>
    <w:rsid w:val="0066154B"/>
    <w:rsid w:val="006615F2"/>
    <w:rsid w:val="00663267"/>
    <w:rsid w:val="00664A8F"/>
    <w:rsid w:val="00670737"/>
    <w:rsid w:val="00671B1E"/>
    <w:rsid w:val="0067299C"/>
    <w:rsid w:val="00673578"/>
    <w:rsid w:val="00685672"/>
    <w:rsid w:val="0068731F"/>
    <w:rsid w:val="00687E32"/>
    <w:rsid w:val="0069478A"/>
    <w:rsid w:val="006A0702"/>
    <w:rsid w:val="006A2B14"/>
    <w:rsid w:val="006A393C"/>
    <w:rsid w:val="006A3ABB"/>
    <w:rsid w:val="006B17E6"/>
    <w:rsid w:val="006B2C81"/>
    <w:rsid w:val="006B7444"/>
    <w:rsid w:val="006D1B4E"/>
    <w:rsid w:val="006D4799"/>
    <w:rsid w:val="006E106A"/>
    <w:rsid w:val="006F0DA6"/>
    <w:rsid w:val="006F2596"/>
    <w:rsid w:val="006F6047"/>
    <w:rsid w:val="0070023E"/>
    <w:rsid w:val="00702844"/>
    <w:rsid w:val="0071594B"/>
    <w:rsid w:val="0071784E"/>
    <w:rsid w:val="0072475A"/>
    <w:rsid w:val="00724D44"/>
    <w:rsid w:val="00730DB4"/>
    <w:rsid w:val="00731175"/>
    <w:rsid w:val="00741C53"/>
    <w:rsid w:val="0074235D"/>
    <w:rsid w:val="00742B3F"/>
    <w:rsid w:val="00745D63"/>
    <w:rsid w:val="007463CD"/>
    <w:rsid w:val="00746E9B"/>
    <w:rsid w:val="00750201"/>
    <w:rsid w:val="00750444"/>
    <w:rsid w:val="00750A47"/>
    <w:rsid w:val="00751493"/>
    <w:rsid w:val="00760DAF"/>
    <w:rsid w:val="007645D0"/>
    <w:rsid w:val="007662D8"/>
    <w:rsid w:val="00766AAA"/>
    <w:rsid w:val="007706B2"/>
    <w:rsid w:val="00773A85"/>
    <w:rsid w:val="007A513C"/>
    <w:rsid w:val="007B1534"/>
    <w:rsid w:val="007B672A"/>
    <w:rsid w:val="007B69C9"/>
    <w:rsid w:val="007C5005"/>
    <w:rsid w:val="007C6D45"/>
    <w:rsid w:val="007C7F2E"/>
    <w:rsid w:val="007D1580"/>
    <w:rsid w:val="007D1A0B"/>
    <w:rsid w:val="007D4A96"/>
    <w:rsid w:val="007E28FE"/>
    <w:rsid w:val="007E3D51"/>
    <w:rsid w:val="007E4036"/>
    <w:rsid w:val="007F276C"/>
    <w:rsid w:val="007F348B"/>
    <w:rsid w:val="007F3540"/>
    <w:rsid w:val="00800805"/>
    <w:rsid w:val="00812DFA"/>
    <w:rsid w:val="008133E6"/>
    <w:rsid w:val="00817A38"/>
    <w:rsid w:val="00822EDC"/>
    <w:rsid w:val="00823E1F"/>
    <w:rsid w:val="008261B7"/>
    <w:rsid w:val="00835345"/>
    <w:rsid w:val="0085066E"/>
    <w:rsid w:val="008506F6"/>
    <w:rsid w:val="00856ABE"/>
    <w:rsid w:val="00860879"/>
    <w:rsid w:val="00867AE9"/>
    <w:rsid w:val="00871943"/>
    <w:rsid w:val="00875C99"/>
    <w:rsid w:val="00880936"/>
    <w:rsid w:val="008879C5"/>
    <w:rsid w:val="008974A0"/>
    <w:rsid w:val="0089795A"/>
    <w:rsid w:val="008A251C"/>
    <w:rsid w:val="008A4714"/>
    <w:rsid w:val="008A5891"/>
    <w:rsid w:val="008B745B"/>
    <w:rsid w:val="008B7C50"/>
    <w:rsid w:val="008C0DBE"/>
    <w:rsid w:val="008C4606"/>
    <w:rsid w:val="008C64B2"/>
    <w:rsid w:val="008D1FD7"/>
    <w:rsid w:val="008D47BC"/>
    <w:rsid w:val="008D7532"/>
    <w:rsid w:val="008F26FF"/>
    <w:rsid w:val="008F5CFD"/>
    <w:rsid w:val="00900BD2"/>
    <w:rsid w:val="009049B1"/>
    <w:rsid w:val="009050DC"/>
    <w:rsid w:val="0091095F"/>
    <w:rsid w:val="00911C03"/>
    <w:rsid w:val="00911C2B"/>
    <w:rsid w:val="00916F76"/>
    <w:rsid w:val="009210E8"/>
    <w:rsid w:val="009214E2"/>
    <w:rsid w:val="0092169F"/>
    <w:rsid w:val="00933D46"/>
    <w:rsid w:val="00940813"/>
    <w:rsid w:val="0095180B"/>
    <w:rsid w:val="00955DB0"/>
    <w:rsid w:val="009608ED"/>
    <w:rsid w:val="0096095B"/>
    <w:rsid w:val="00964E7E"/>
    <w:rsid w:val="009705EE"/>
    <w:rsid w:val="00973D95"/>
    <w:rsid w:val="0097486A"/>
    <w:rsid w:val="00986FEF"/>
    <w:rsid w:val="00995DCE"/>
    <w:rsid w:val="00996286"/>
    <w:rsid w:val="00996AE5"/>
    <w:rsid w:val="009975EB"/>
    <w:rsid w:val="009A1982"/>
    <w:rsid w:val="009A4799"/>
    <w:rsid w:val="009A4F13"/>
    <w:rsid w:val="009A5798"/>
    <w:rsid w:val="009B6EB1"/>
    <w:rsid w:val="009B7002"/>
    <w:rsid w:val="009C3D74"/>
    <w:rsid w:val="009D7809"/>
    <w:rsid w:val="009F5813"/>
    <w:rsid w:val="00A004FC"/>
    <w:rsid w:val="00A02F51"/>
    <w:rsid w:val="00A0511A"/>
    <w:rsid w:val="00A06849"/>
    <w:rsid w:val="00A15ACE"/>
    <w:rsid w:val="00A21194"/>
    <w:rsid w:val="00A218D3"/>
    <w:rsid w:val="00A25C52"/>
    <w:rsid w:val="00A26DEE"/>
    <w:rsid w:val="00A32749"/>
    <w:rsid w:val="00A332F6"/>
    <w:rsid w:val="00A35E37"/>
    <w:rsid w:val="00A37038"/>
    <w:rsid w:val="00A4379F"/>
    <w:rsid w:val="00A467BD"/>
    <w:rsid w:val="00A50D04"/>
    <w:rsid w:val="00A6039B"/>
    <w:rsid w:val="00A63476"/>
    <w:rsid w:val="00A64728"/>
    <w:rsid w:val="00A65510"/>
    <w:rsid w:val="00A73868"/>
    <w:rsid w:val="00A73874"/>
    <w:rsid w:val="00A76BB3"/>
    <w:rsid w:val="00A819F4"/>
    <w:rsid w:val="00A81BB5"/>
    <w:rsid w:val="00A82CB6"/>
    <w:rsid w:val="00A8354A"/>
    <w:rsid w:val="00A8702B"/>
    <w:rsid w:val="00A87D8D"/>
    <w:rsid w:val="00A9321C"/>
    <w:rsid w:val="00A96334"/>
    <w:rsid w:val="00AB2CA1"/>
    <w:rsid w:val="00AB31D8"/>
    <w:rsid w:val="00AB33F4"/>
    <w:rsid w:val="00AB5F04"/>
    <w:rsid w:val="00AC04D3"/>
    <w:rsid w:val="00AC1405"/>
    <w:rsid w:val="00AC5590"/>
    <w:rsid w:val="00AC5837"/>
    <w:rsid w:val="00AE5822"/>
    <w:rsid w:val="00AF634C"/>
    <w:rsid w:val="00B00068"/>
    <w:rsid w:val="00B0395B"/>
    <w:rsid w:val="00B04DF8"/>
    <w:rsid w:val="00B14389"/>
    <w:rsid w:val="00B249B6"/>
    <w:rsid w:val="00B24B1E"/>
    <w:rsid w:val="00B251D5"/>
    <w:rsid w:val="00B260C9"/>
    <w:rsid w:val="00B26C58"/>
    <w:rsid w:val="00B6429B"/>
    <w:rsid w:val="00B664B8"/>
    <w:rsid w:val="00B729C7"/>
    <w:rsid w:val="00B73FC4"/>
    <w:rsid w:val="00B866C5"/>
    <w:rsid w:val="00B9314A"/>
    <w:rsid w:val="00B97E8B"/>
    <w:rsid w:val="00BA0787"/>
    <w:rsid w:val="00BA1468"/>
    <w:rsid w:val="00BB04E4"/>
    <w:rsid w:val="00BB0DD6"/>
    <w:rsid w:val="00BB79AE"/>
    <w:rsid w:val="00BC0387"/>
    <w:rsid w:val="00BD67B1"/>
    <w:rsid w:val="00BF2ACB"/>
    <w:rsid w:val="00BF71A0"/>
    <w:rsid w:val="00C018AC"/>
    <w:rsid w:val="00C063C9"/>
    <w:rsid w:val="00C10C1F"/>
    <w:rsid w:val="00C14DFF"/>
    <w:rsid w:val="00C41A52"/>
    <w:rsid w:val="00C43CA0"/>
    <w:rsid w:val="00C54A33"/>
    <w:rsid w:val="00C6679B"/>
    <w:rsid w:val="00C72278"/>
    <w:rsid w:val="00C7549A"/>
    <w:rsid w:val="00C87516"/>
    <w:rsid w:val="00CA0AC1"/>
    <w:rsid w:val="00CA1D30"/>
    <w:rsid w:val="00CB3811"/>
    <w:rsid w:val="00CB5887"/>
    <w:rsid w:val="00CB60C1"/>
    <w:rsid w:val="00CC3020"/>
    <w:rsid w:val="00CC515C"/>
    <w:rsid w:val="00CD148C"/>
    <w:rsid w:val="00CD33D6"/>
    <w:rsid w:val="00CD3968"/>
    <w:rsid w:val="00CD4D23"/>
    <w:rsid w:val="00CD4D42"/>
    <w:rsid w:val="00CE2AAD"/>
    <w:rsid w:val="00CE53D7"/>
    <w:rsid w:val="00CF56C4"/>
    <w:rsid w:val="00D07612"/>
    <w:rsid w:val="00D163C7"/>
    <w:rsid w:val="00D225EF"/>
    <w:rsid w:val="00D24607"/>
    <w:rsid w:val="00D24C12"/>
    <w:rsid w:val="00D25BFA"/>
    <w:rsid w:val="00D2678C"/>
    <w:rsid w:val="00D2756B"/>
    <w:rsid w:val="00D276F6"/>
    <w:rsid w:val="00D31837"/>
    <w:rsid w:val="00D37455"/>
    <w:rsid w:val="00D40C90"/>
    <w:rsid w:val="00D46A4C"/>
    <w:rsid w:val="00D510E1"/>
    <w:rsid w:val="00D52362"/>
    <w:rsid w:val="00D530F6"/>
    <w:rsid w:val="00D53A8F"/>
    <w:rsid w:val="00D569C4"/>
    <w:rsid w:val="00D56D84"/>
    <w:rsid w:val="00D61A76"/>
    <w:rsid w:val="00D65BAB"/>
    <w:rsid w:val="00D67BE9"/>
    <w:rsid w:val="00D67E46"/>
    <w:rsid w:val="00D729A8"/>
    <w:rsid w:val="00D858F6"/>
    <w:rsid w:val="00D90096"/>
    <w:rsid w:val="00D92D88"/>
    <w:rsid w:val="00D93317"/>
    <w:rsid w:val="00DB435C"/>
    <w:rsid w:val="00DB4688"/>
    <w:rsid w:val="00DB7A08"/>
    <w:rsid w:val="00DC12CB"/>
    <w:rsid w:val="00DD126A"/>
    <w:rsid w:val="00DD2C03"/>
    <w:rsid w:val="00DE3A9A"/>
    <w:rsid w:val="00DE7123"/>
    <w:rsid w:val="00DE7A4E"/>
    <w:rsid w:val="00DF09B0"/>
    <w:rsid w:val="00E03AA9"/>
    <w:rsid w:val="00E0534E"/>
    <w:rsid w:val="00E103E6"/>
    <w:rsid w:val="00E1437D"/>
    <w:rsid w:val="00E16DB4"/>
    <w:rsid w:val="00E1791D"/>
    <w:rsid w:val="00E213A4"/>
    <w:rsid w:val="00E21E8F"/>
    <w:rsid w:val="00E4328A"/>
    <w:rsid w:val="00E45687"/>
    <w:rsid w:val="00E460CD"/>
    <w:rsid w:val="00E51D53"/>
    <w:rsid w:val="00E5209C"/>
    <w:rsid w:val="00E560B5"/>
    <w:rsid w:val="00E66008"/>
    <w:rsid w:val="00E70863"/>
    <w:rsid w:val="00E72BA3"/>
    <w:rsid w:val="00E73CDD"/>
    <w:rsid w:val="00E77601"/>
    <w:rsid w:val="00E8009A"/>
    <w:rsid w:val="00E800E8"/>
    <w:rsid w:val="00E87355"/>
    <w:rsid w:val="00E942CD"/>
    <w:rsid w:val="00E94A02"/>
    <w:rsid w:val="00EA58FA"/>
    <w:rsid w:val="00EB26EB"/>
    <w:rsid w:val="00EB57EA"/>
    <w:rsid w:val="00EC26C1"/>
    <w:rsid w:val="00EC34EA"/>
    <w:rsid w:val="00EC38ED"/>
    <w:rsid w:val="00EC5878"/>
    <w:rsid w:val="00ED0EDB"/>
    <w:rsid w:val="00ED6315"/>
    <w:rsid w:val="00ED72BB"/>
    <w:rsid w:val="00EE0022"/>
    <w:rsid w:val="00EE4200"/>
    <w:rsid w:val="00EE50B9"/>
    <w:rsid w:val="00EF125C"/>
    <w:rsid w:val="00EF3B4B"/>
    <w:rsid w:val="00F01167"/>
    <w:rsid w:val="00F0512D"/>
    <w:rsid w:val="00F06C40"/>
    <w:rsid w:val="00F0772F"/>
    <w:rsid w:val="00F1441F"/>
    <w:rsid w:val="00F14FBE"/>
    <w:rsid w:val="00F16FD3"/>
    <w:rsid w:val="00F3017B"/>
    <w:rsid w:val="00F32444"/>
    <w:rsid w:val="00F338CB"/>
    <w:rsid w:val="00F41540"/>
    <w:rsid w:val="00F43592"/>
    <w:rsid w:val="00F458E8"/>
    <w:rsid w:val="00F46E24"/>
    <w:rsid w:val="00F476AA"/>
    <w:rsid w:val="00F5043B"/>
    <w:rsid w:val="00F52C48"/>
    <w:rsid w:val="00F53145"/>
    <w:rsid w:val="00F531BE"/>
    <w:rsid w:val="00F532EA"/>
    <w:rsid w:val="00F53638"/>
    <w:rsid w:val="00F561B3"/>
    <w:rsid w:val="00F6085F"/>
    <w:rsid w:val="00F713AF"/>
    <w:rsid w:val="00F76589"/>
    <w:rsid w:val="00F77623"/>
    <w:rsid w:val="00F830D9"/>
    <w:rsid w:val="00F91B32"/>
    <w:rsid w:val="00F93CE9"/>
    <w:rsid w:val="00FA5660"/>
    <w:rsid w:val="00FA5BD0"/>
    <w:rsid w:val="00FC3B95"/>
    <w:rsid w:val="00FC5CFC"/>
    <w:rsid w:val="00FC72B6"/>
    <w:rsid w:val="00FD185C"/>
    <w:rsid w:val="00FD1A1E"/>
    <w:rsid w:val="00FD3474"/>
    <w:rsid w:val="00FE09DF"/>
    <w:rsid w:val="00FE3D08"/>
    <w:rsid w:val="00FF0BD7"/>
    <w:rsid w:val="00FF190B"/>
    <w:rsid w:val="00FF55A8"/>
    <w:rsid w:val="00FF5B79"/>
    <w:rsid w:val="029A4810"/>
    <w:rsid w:val="036F7E4D"/>
    <w:rsid w:val="04139829"/>
    <w:rsid w:val="069A4399"/>
    <w:rsid w:val="088DE2E6"/>
    <w:rsid w:val="0BF738C8"/>
    <w:rsid w:val="0F49ED2F"/>
    <w:rsid w:val="11144961"/>
    <w:rsid w:val="12717AA7"/>
    <w:rsid w:val="197E8CC6"/>
    <w:rsid w:val="1C1F6881"/>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F662C8"/>
    <w:rsid w:val="4870A4EF"/>
    <w:rsid w:val="4BB35258"/>
    <w:rsid w:val="4BDB1BD5"/>
    <w:rsid w:val="4C3E5CB9"/>
    <w:rsid w:val="4C649A2F"/>
    <w:rsid w:val="4F6EF6C5"/>
    <w:rsid w:val="55A14543"/>
    <w:rsid w:val="5782C377"/>
    <w:rsid w:val="5B2B42E5"/>
    <w:rsid w:val="5CE3EDE5"/>
    <w:rsid w:val="5E042493"/>
    <w:rsid w:val="5F589BA0"/>
    <w:rsid w:val="62E134EF"/>
    <w:rsid w:val="630B791F"/>
    <w:rsid w:val="63B8BC11"/>
    <w:rsid w:val="65110EE5"/>
    <w:rsid w:val="66A52AE5"/>
    <w:rsid w:val="66A777D9"/>
    <w:rsid w:val="6CCC3C0F"/>
    <w:rsid w:val="6D0842B9"/>
    <w:rsid w:val="7072E73D"/>
    <w:rsid w:val="724280AB"/>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1431FF"/>
    <w:pPr>
      <w:tabs>
        <w:tab w:val="left" w:pos="1985"/>
      </w:tabs>
    </w:p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1431FF"/>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7C6D45"/>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7C6D45"/>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customStyle="1" w:styleId="Textoindependiente1">
    <w:name w:val="Texto independiente1"/>
    <w:rsid w:val="001D69E6"/>
    <w:pPr>
      <w:suppressAutoHyphens/>
      <w:spacing w:line="480" w:lineRule="auto"/>
      <w:jc w:val="both"/>
    </w:pPr>
    <w:rPr>
      <w:rFonts w:ascii="Courier New" w:eastAsia="ヒラギノ角ゴ Pro W3" w:hAnsi="Courier New" w:cs="Times New Roman"/>
      <w:color w:val="000000"/>
      <w:sz w:val="24"/>
      <w:lang w:val="es-ES_tradnl" w:eastAsia="es-CO"/>
    </w:rPr>
  </w:style>
  <w:style w:type="paragraph" w:customStyle="1" w:styleId="p1">
    <w:name w:val="p1"/>
    <w:basedOn w:val="Normal"/>
    <w:rsid w:val="00C41A52"/>
    <w:pPr>
      <w:jc w:val="left"/>
    </w:pPr>
    <w:rPr>
      <w:rFonts w:ascii="Palatino Linotype" w:hAnsi="Palatino Linotype" w:cs="Times New Roman"/>
      <w:sz w:val="17"/>
      <w:szCs w:val="17"/>
      <w:lang w:val="es-ES_tradnl"/>
    </w:rPr>
  </w:style>
  <w:style w:type="character" w:customStyle="1" w:styleId="apple-converted-space">
    <w:name w:val="apple-converted-space"/>
    <w:basedOn w:val="Fuentedeprrafopredeter"/>
    <w:rsid w:val="00C41A52"/>
  </w:style>
  <w:style w:type="paragraph" w:styleId="Revisin">
    <w:name w:val="Revision"/>
    <w:hidden/>
    <w:uiPriority w:val="99"/>
    <w:semiHidden/>
    <w:rsid w:val="001E4A96"/>
    <w:rPr>
      <w:sz w:val="16"/>
      <w:szCs w:val="16"/>
      <w:lang w:val="es-CO" w:eastAsia="es-ES_tradnl"/>
    </w:rPr>
  </w:style>
  <w:style w:type="paragraph" w:styleId="Asuntodelcomentario">
    <w:name w:val="annotation subject"/>
    <w:basedOn w:val="Textocomentario"/>
    <w:next w:val="Textocomentario"/>
    <w:link w:val="AsuntodelcomentarioCar"/>
    <w:uiPriority w:val="99"/>
    <w:semiHidden/>
    <w:unhideWhenUsed/>
    <w:rsid w:val="001E4A96"/>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1E4A96"/>
    <w:rPr>
      <w:rFonts w:ascii="Calibri" w:hAnsi="Calibri" w:cs="Times New Roman"/>
      <w:b/>
      <w:bCs/>
      <w:lang w:val="es-CO" w:eastAsia="es-ES_tradnl"/>
    </w:rPr>
  </w:style>
  <w:style w:type="paragraph" w:styleId="NormalWeb">
    <w:name w:val="Normal (Web)"/>
    <w:basedOn w:val="Normal"/>
    <w:uiPriority w:val="99"/>
    <w:semiHidden/>
    <w:unhideWhenUsed/>
    <w:rsid w:val="0007180C"/>
    <w:pPr>
      <w:spacing w:after="160" w:line="259" w:lineRule="auto"/>
      <w:jc w:val="left"/>
    </w:pPr>
    <w:rPr>
      <w:rFonts w:ascii="Times New Roman" w:hAnsi="Times New Roman" w:cs="Times New Roman"/>
      <w:sz w:val="24"/>
      <w:szCs w:val="24"/>
      <w:lang w:eastAsia="en-US"/>
    </w:rPr>
  </w:style>
  <w:style w:type="paragraph" w:customStyle="1" w:styleId="paragraph">
    <w:name w:val="paragraph"/>
    <w:basedOn w:val="Normal"/>
    <w:rsid w:val="002F09AE"/>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F09AE"/>
  </w:style>
  <w:style w:type="character" w:customStyle="1" w:styleId="eop">
    <w:name w:val="eop"/>
    <w:basedOn w:val="Fuentedeprrafopredeter"/>
    <w:rsid w:val="00143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1431FF"/>
    <w:pPr>
      <w:tabs>
        <w:tab w:val="left" w:pos="1985"/>
      </w:tabs>
    </w:p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1431FF"/>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7C6D45"/>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7C6D45"/>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customStyle="1" w:styleId="Textoindependiente1">
    <w:name w:val="Texto independiente1"/>
    <w:rsid w:val="001D69E6"/>
    <w:pPr>
      <w:suppressAutoHyphens/>
      <w:spacing w:line="480" w:lineRule="auto"/>
      <w:jc w:val="both"/>
    </w:pPr>
    <w:rPr>
      <w:rFonts w:ascii="Courier New" w:eastAsia="ヒラギノ角ゴ Pro W3" w:hAnsi="Courier New" w:cs="Times New Roman"/>
      <w:color w:val="000000"/>
      <w:sz w:val="24"/>
      <w:lang w:val="es-ES_tradnl" w:eastAsia="es-CO"/>
    </w:rPr>
  </w:style>
  <w:style w:type="paragraph" w:customStyle="1" w:styleId="p1">
    <w:name w:val="p1"/>
    <w:basedOn w:val="Normal"/>
    <w:rsid w:val="00C41A52"/>
    <w:pPr>
      <w:jc w:val="left"/>
    </w:pPr>
    <w:rPr>
      <w:rFonts w:ascii="Palatino Linotype" w:hAnsi="Palatino Linotype" w:cs="Times New Roman"/>
      <w:sz w:val="17"/>
      <w:szCs w:val="17"/>
      <w:lang w:val="es-ES_tradnl"/>
    </w:rPr>
  </w:style>
  <w:style w:type="character" w:customStyle="1" w:styleId="apple-converted-space">
    <w:name w:val="apple-converted-space"/>
    <w:basedOn w:val="Fuentedeprrafopredeter"/>
    <w:rsid w:val="00C41A52"/>
  </w:style>
  <w:style w:type="paragraph" w:styleId="Revisin">
    <w:name w:val="Revision"/>
    <w:hidden/>
    <w:uiPriority w:val="99"/>
    <w:semiHidden/>
    <w:rsid w:val="001E4A96"/>
    <w:rPr>
      <w:sz w:val="16"/>
      <w:szCs w:val="16"/>
      <w:lang w:val="es-CO" w:eastAsia="es-ES_tradnl"/>
    </w:rPr>
  </w:style>
  <w:style w:type="paragraph" w:styleId="Asuntodelcomentario">
    <w:name w:val="annotation subject"/>
    <w:basedOn w:val="Textocomentario"/>
    <w:next w:val="Textocomentario"/>
    <w:link w:val="AsuntodelcomentarioCar"/>
    <w:uiPriority w:val="99"/>
    <w:semiHidden/>
    <w:unhideWhenUsed/>
    <w:rsid w:val="001E4A96"/>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1E4A96"/>
    <w:rPr>
      <w:rFonts w:ascii="Calibri" w:hAnsi="Calibri" w:cs="Times New Roman"/>
      <w:b/>
      <w:bCs/>
      <w:lang w:val="es-CO" w:eastAsia="es-ES_tradnl"/>
    </w:rPr>
  </w:style>
  <w:style w:type="paragraph" w:styleId="NormalWeb">
    <w:name w:val="Normal (Web)"/>
    <w:basedOn w:val="Normal"/>
    <w:uiPriority w:val="99"/>
    <w:semiHidden/>
    <w:unhideWhenUsed/>
    <w:rsid w:val="0007180C"/>
    <w:pPr>
      <w:spacing w:after="160" w:line="259" w:lineRule="auto"/>
      <w:jc w:val="left"/>
    </w:pPr>
    <w:rPr>
      <w:rFonts w:ascii="Times New Roman" w:hAnsi="Times New Roman" w:cs="Times New Roman"/>
      <w:sz w:val="24"/>
      <w:szCs w:val="24"/>
      <w:lang w:eastAsia="en-US"/>
    </w:rPr>
  </w:style>
  <w:style w:type="paragraph" w:customStyle="1" w:styleId="paragraph">
    <w:name w:val="paragraph"/>
    <w:basedOn w:val="Normal"/>
    <w:rsid w:val="002F09AE"/>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F09AE"/>
  </w:style>
  <w:style w:type="character" w:customStyle="1" w:styleId="eop">
    <w:name w:val="eop"/>
    <w:basedOn w:val="Fuentedeprrafopredeter"/>
    <w:rsid w:val="00143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34296">
      <w:bodyDiv w:val="1"/>
      <w:marLeft w:val="0"/>
      <w:marRight w:val="0"/>
      <w:marTop w:val="0"/>
      <w:marBottom w:val="0"/>
      <w:divBdr>
        <w:top w:val="none" w:sz="0" w:space="0" w:color="auto"/>
        <w:left w:val="none" w:sz="0" w:space="0" w:color="auto"/>
        <w:bottom w:val="none" w:sz="0" w:space="0" w:color="auto"/>
        <w:right w:val="none" w:sz="0" w:space="0" w:color="auto"/>
      </w:divBdr>
    </w:div>
    <w:div w:id="604532215">
      <w:bodyDiv w:val="1"/>
      <w:marLeft w:val="0"/>
      <w:marRight w:val="0"/>
      <w:marTop w:val="0"/>
      <w:marBottom w:val="0"/>
      <w:divBdr>
        <w:top w:val="none" w:sz="0" w:space="0" w:color="auto"/>
        <w:left w:val="none" w:sz="0" w:space="0" w:color="auto"/>
        <w:bottom w:val="none" w:sz="0" w:space="0" w:color="auto"/>
        <w:right w:val="none" w:sz="0" w:space="0" w:color="auto"/>
      </w:divBdr>
    </w:div>
    <w:div w:id="793521883">
      <w:bodyDiv w:val="1"/>
      <w:marLeft w:val="0"/>
      <w:marRight w:val="0"/>
      <w:marTop w:val="0"/>
      <w:marBottom w:val="0"/>
      <w:divBdr>
        <w:top w:val="none" w:sz="0" w:space="0" w:color="auto"/>
        <w:left w:val="none" w:sz="0" w:space="0" w:color="auto"/>
        <w:bottom w:val="none" w:sz="0" w:space="0" w:color="auto"/>
        <w:right w:val="none" w:sz="0" w:space="0" w:color="auto"/>
      </w:divBdr>
    </w:div>
    <w:div w:id="1034425993">
      <w:bodyDiv w:val="1"/>
      <w:marLeft w:val="0"/>
      <w:marRight w:val="0"/>
      <w:marTop w:val="0"/>
      <w:marBottom w:val="0"/>
      <w:divBdr>
        <w:top w:val="none" w:sz="0" w:space="0" w:color="auto"/>
        <w:left w:val="none" w:sz="0" w:space="0" w:color="auto"/>
        <w:bottom w:val="none" w:sz="0" w:space="0" w:color="auto"/>
        <w:right w:val="none" w:sz="0" w:space="0" w:color="auto"/>
      </w:divBdr>
    </w:div>
    <w:div w:id="1120035299">
      <w:bodyDiv w:val="1"/>
      <w:marLeft w:val="0"/>
      <w:marRight w:val="0"/>
      <w:marTop w:val="0"/>
      <w:marBottom w:val="0"/>
      <w:divBdr>
        <w:top w:val="none" w:sz="0" w:space="0" w:color="auto"/>
        <w:left w:val="none" w:sz="0" w:space="0" w:color="auto"/>
        <w:bottom w:val="none" w:sz="0" w:space="0" w:color="auto"/>
        <w:right w:val="none" w:sz="0" w:space="0" w:color="auto"/>
      </w:divBdr>
    </w:div>
    <w:div w:id="139330813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09701633">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685017949">
      <w:bodyDiv w:val="1"/>
      <w:marLeft w:val="0"/>
      <w:marRight w:val="0"/>
      <w:marTop w:val="0"/>
      <w:marBottom w:val="0"/>
      <w:divBdr>
        <w:top w:val="none" w:sz="0" w:space="0" w:color="auto"/>
        <w:left w:val="none" w:sz="0" w:space="0" w:color="auto"/>
        <w:bottom w:val="none" w:sz="0" w:space="0" w:color="auto"/>
        <w:right w:val="none" w:sz="0" w:space="0" w:color="auto"/>
      </w:divBdr>
    </w:div>
    <w:div w:id="18527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5DF67-FA69-4423-8076-88C855EB5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670A4007-EFFF-42B0-9CE1-6F90958BF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D4080-49CA-472D-99E7-0FFC90A4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2349</Words>
  <Characters>13395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ANDRÉS BEDOYA FLÓREZ</dc:creator>
  <cp:lastModifiedBy>Pulguita</cp:lastModifiedBy>
  <cp:revision>3</cp:revision>
  <dcterms:created xsi:type="dcterms:W3CDTF">2021-09-22T21:58:00Z</dcterms:created>
  <dcterms:modified xsi:type="dcterms:W3CDTF">2021-09-23T03:23:00Z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