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E70FD" w14:textId="77777777" w:rsidR="00BE5393" w:rsidRPr="00BE5393" w:rsidRDefault="00BE5393" w:rsidP="00DC462D">
      <w:pPr>
        <w:jc w:val="center"/>
        <w:rPr>
          <w:b/>
          <w:caps/>
          <w:color w:val="000000"/>
          <w:sz w:val="24"/>
        </w:rPr>
      </w:pPr>
      <w:r w:rsidRPr="00BE5393">
        <w:rPr>
          <w:b/>
          <w:caps/>
          <w:color w:val="000000"/>
          <w:sz w:val="24"/>
        </w:rPr>
        <w:t>CONSEJERO PONENTE: JAIME ENRIQUE RODRÍGUEZ NAVAS</w:t>
      </w:r>
    </w:p>
    <w:p w14:paraId="67E18E32" w14:textId="77777777" w:rsidR="00BE5393" w:rsidRPr="00BE5393" w:rsidRDefault="00BE5393" w:rsidP="00DC462D">
      <w:pPr>
        <w:contextualSpacing/>
        <w:rPr>
          <w:b/>
          <w:bCs/>
          <w:sz w:val="24"/>
          <w:szCs w:val="24"/>
        </w:rPr>
      </w:pPr>
    </w:p>
    <w:p w14:paraId="531910C5" w14:textId="5C1312DC" w:rsidR="00BE5393" w:rsidRPr="00BE5393" w:rsidRDefault="00BE5393" w:rsidP="00DC462D">
      <w:pPr>
        <w:contextualSpacing/>
        <w:rPr>
          <w:bCs/>
          <w:sz w:val="24"/>
          <w:szCs w:val="24"/>
        </w:rPr>
      </w:pPr>
      <w:r w:rsidRPr="00BE5393">
        <w:rPr>
          <w:bCs/>
          <w:sz w:val="24"/>
          <w:szCs w:val="24"/>
        </w:rPr>
        <w:t>Bogotá D.C.,</w:t>
      </w:r>
      <w:r w:rsidR="00353305">
        <w:rPr>
          <w:bCs/>
          <w:sz w:val="24"/>
          <w:szCs w:val="24"/>
        </w:rPr>
        <w:t xml:space="preserve"> </w:t>
      </w:r>
      <w:r w:rsidR="00DC462D">
        <w:rPr>
          <w:bCs/>
          <w:sz w:val="24"/>
          <w:szCs w:val="24"/>
        </w:rPr>
        <w:t>veintiuno</w:t>
      </w:r>
      <w:r w:rsidR="00F516DD">
        <w:rPr>
          <w:bCs/>
          <w:sz w:val="24"/>
          <w:szCs w:val="24"/>
        </w:rPr>
        <w:t xml:space="preserve"> (</w:t>
      </w:r>
      <w:r w:rsidR="00DC462D">
        <w:rPr>
          <w:bCs/>
          <w:sz w:val="24"/>
          <w:szCs w:val="24"/>
        </w:rPr>
        <w:t>21) de septiembre</w:t>
      </w:r>
      <w:r w:rsidR="00E51FAF">
        <w:rPr>
          <w:bCs/>
          <w:sz w:val="24"/>
          <w:szCs w:val="24"/>
        </w:rPr>
        <w:t xml:space="preserve"> de dos mil veintiuno (2021)</w:t>
      </w:r>
    </w:p>
    <w:p w14:paraId="03A53208" w14:textId="77777777" w:rsidR="00BE5393" w:rsidRPr="00BE5393" w:rsidRDefault="00BE5393" w:rsidP="00DC462D">
      <w:pPr>
        <w:contextualSpacing/>
        <w:rPr>
          <w:b/>
          <w:sz w:val="24"/>
          <w:szCs w:val="24"/>
        </w:rPr>
      </w:pPr>
    </w:p>
    <w:p w14:paraId="737D15ED" w14:textId="110DB97C" w:rsidR="00BE5393" w:rsidRPr="00BE5393" w:rsidRDefault="00BE5393" w:rsidP="00DC462D">
      <w:pPr>
        <w:tabs>
          <w:tab w:val="left" w:pos="1985"/>
        </w:tabs>
        <w:rPr>
          <w:b/>
          <w:sz w:val="24"/>
          <w:szCs w:val="24"/>
          <w:lang w:val="es-ES" w:eastAsia="en-US"/>
        </w:rPr>
      </w:pPr>
      <w:r w:rsidRPr="00BE5393">
        <w:rPr>
          <w:b/>
          <w:sz w:val="24"/>
          <w:szCs w:val="24"/>
          <w:lang w:val="es-ES" w:eastAsia="en-US"/>
        </w:rPr>
        <w:t>Radicación:</w:t>
      </w:r>
      <w:r w:rsidRPr="00BE5393">
        <w:rPr>
          <w:b/>
          <w:sz w:val="24"/>
          <w:szCs w:val="24"/>
          <w:lang w:val="es-ES" w:eastAsia="en-US"/>
        </w:rPr>
        <w:tab/>
      </w:r>
      <w:bookmarkStart w:id="0" w:name="_Hlk62114864"/>
      <w:bookmarkStart w:id="1" w:name="_Hlk38370324"/>
      <w:r w:rsidR="00B0551F">
        <w:rPr>
          <w:bCs/>
          <w:sz w:val="24"/>
          <w:szCs w:val="24"/>
          <w:lang w:eastAsia="en-US"/>
        </w:rPr>
        <w:t>11001-03-15-000-2021</w:t>
      </w:r>
      <w:r w:rsidRPr="00BE5393">
        <w:rPr>
          <w:bCs/>
          <w:sz w:val="24"/>
          <w:szCs w:val="24"/>
          <w:lang w:eastAsia="en-US"/>
        </w:rPr>
        <w:t>-0</w:t>
      </w:r>
      <w:r w:rsidR="00DC462D">
        <w:rPr>
          <w:bCs/>
          <w:sz w:val="24"/>
          <w:szCs w:val="24"/>
          <w:lang w:eastAsia="en-US"/>
        </w:rPr>
        <w:t>6327</w:t>
      </w:r>
      <w:r w:rsidRPr="00BE5393">
        <w:rPr>
          <w:bCs/>
          <w:sz w:val="24"/>
          <w:szCs w:val="24"/>
          <w:lang w:eastAsia="en-US"/>
        </w:rPr>
        <w:t>-0</w:t>
      </w:r>
      <w:r w:rsidR="00B0551F">
        <w:rPr>
          <w:bCs/>
          <w:sz w:val="24"/>
          <w:szCs w:val="24"/>
          <w:lang w:eastAsia="en-US"/>
        </w:rPr>
        <w:t>0</w:t>
      </w:r>
      <w:bookmarkEnd w:id="0"/>
    </w:p>
    <w:bookmarkEnd w:id="1"/>
    <w:p w14:paraId="20BF07B5" w14:textId="373C36A6" w:rsidR="00BE5393" w:rsidRPr="00DC462D" w:rsidRDefault="00086E65" w:rsidP="00DC462D">
      <w:pPr>
        <w:tabs>
          <w:tab w:val="left" w:pos="1985"/>
        </w:tabs>
        <w:ind w:left="1980" w:hanging="1980"/>
        <w:rPr>
          <w:bCs/>
          <w:sz w:val="24"/>
          <w:szCs w:val="24"/>
          <w:lang w:eastAsia="en-US"/>
        </w:rPr>
      </w:pPr>
      <w:r>
        <w:rPr>
          <w:b/>
          <w:sz w:val="24"/>
          <w:szCs w:val="24"/>
          <w:lang w:val="es-ES" w:eastAsia="en-US"/>
        </w:rPr>
        <w:t>Accionante</w:t>
      </w:r>
      <w:r w:rsidR="00BE5393" w:rsidRPr="00BE5393">
        <w:rPr>
          <w:b/>
          <w:sz w:val="24"/>
          <w:szCs w:val="24"/>
          <w:lang w:val="es-ES" w:eastAsia="en-US"/>
        </w:rPr>
        <w:t>:</w:t>
      </w:r>
      <w:r w:rsidR="00BE5393" w:rsidRPr="00BE5393">
        <w:rPr>
          <w:b/>
          <w:sz w:val="24"/>
          <w:szCs w:val="24"/>
          <w:lang w:val="es-ES" w:eastAsia="en-US"/>
        </w:rPr>
        <w:tab/>
      </w:r>
      <w:bookmarkStart w:id="2" w:name="_Hlk39513731"/>
      <w:r w:rsidR="00DC462D">
        <w:rPr>
          <w:sz w:val="24"/>
          <w:szCs w:val="24"/>
          <w:lang w:val="es-ES" w:eastAsia="en-US"/>
        </w:rPr>
        <w:t xml:space="preserve">Rubén Darío Basto </w:t>
      </w:r>
      <w:proofErr w:type="spellStart"/>
      <w:r w:rsidR="00DC462D">
        <w:rPr>
          <w:sz w:val="24"/>
          <w:szCs w:val="24"/>
          <w:lang w:val="es-ES" w:eastAsia="en-US"/>
        </w:rPr>
        <w:t>Devia</w:t>
      </w:r>
      <w:proofErr w:type="spellEnd"/>
      <w:r w:rsidR="00DC462D">
        <w:rPr>
          <w:sz w:val="24"/>
          <w:szCs w:val="24"/>
          <w:lang w:val="es-ES" w:eastAsia="en-US"/>
        </w:rPr>
        <w:t xml:space="preserve"> </w:t>
      </w:r>
    </w:p>
    <w:bookmarkEnd w:id="2"/>
    <w:p w14:paraId="5B975FBA" w14:textId="295FC4F7" w:rsidR="00BE5393" w:rsidRPr="00BE5393" w:rsidRDefault="00BE5393" w:rsidP="00DC462D">
      <w:pPr>
        <w:tabs>
          <w:tab w:val="left" w:pos="1985"/>
        </w:tabs>
        <w:ind w:left="1980" w:hanging="1980"/>
        <w:rPr>
          <w:sz w:val="24"/>
          <w:szCs w:val="24"/>
          <w:lang w:val="es-ES" w:eastAsia="en-US"/>
        </w:rPr>
      </w:pPr>
      <w:r w:rsidRPr="00BE5393">
        <w:rPr>
          <w:b/>
          <w:sz w:val="24"/>
          <w:szCs w:val="24"/>
          <w:lang w:val="es-ES" w:eastAsia="en-US"/>
        </w:rPr>
        <w:t>Accionado</w:t>
      </w:r>
      <w:r w:rsidR="00E51FAF">
        <w:rPr>
          <w:b/>
          <w:sz w:val="24"/>
          <w:szCs w:val="24"/>
          <w:lang w:val="es-ES" w:eastAsia="en-US"/>
        </w:rPr>
        <w:t>s</w:t>
      </w:r>
      <w:r w:rsidRPr="00BE5393">
        <w:rPr>
          <w:b/>
          <w:sz w:val="24"/>
          <w:szCs w:val="24"/>
          <w:lang w:val="es-ES" w:eastAsia="en-US"/>
        </w:rPr>
        <w:t>:</w:t>
      </w:r>
      <w:r w:rsidRPr="00BE5393">
        <w:rPr>
          <w:b/>
          <w:sz w:val="24"/>
          <w:szCs w:val="24"/>
          <w:lang w:val="es-ES" w:eastAsia="en-US"/>
        </w:rPr>
        <w:tab/>
      </w:r>
      <w:r w:rsidR="00E51FAF" w:rsidRPr="009953F4">
        <w:rPr>
          <w:sz w:val="24"/>
          <w:szCs w:val="24"/>
        </w:rPr>
        <w:t>Comisión Nacional de Disciplina Judicial</w:t>
      </w:r>
    </w:p>
    <w:p w14:paraId="59404C85" w14:textId="77777777" w:rsidR="00BE5393" w:rsidRPr="00BE5393" w:rsidRDefault="00BE5393" w:rsidP="00DC462D">
      <w:pPr>
        <w:tabs>
          <w:tab w:val="left" w:pos="8222"/>
        </w:tabs>
        <w:ind w:right="51"/>
        <w:contextualSpacing/>
        <w:rPr>
          <w:b/>
          <w:sz w:val="24"/>
          <w:szCs w:val="24"/>
          <w:lang w:val="es-ES"/>
        </w:rPr>
      </w:pPr>
    </w:p>
    <w:p w14:paraId="12C45E04" w14:textId="77777777" w:rsidR="00BE5393" w:rsidRPr="00BE5393" w:rsidRDefault="00BE5393" w:rsidP="00DC462D">
      <w:pPr>
        <w:pBdr>
          <w:bottom w:val="single" w:sz="12" w:space="0" w:color="auto"/>
        </w:pBdr>
        <w:ind w:left="2832" w:hanging="2832"/>
        <w:contextualSpacing/>
        <w:rPr>
          <w:b/>
          <w:sz w:val="24"/>
          <w:szCs w:val="24"/>
        </w:rPr>
      </w:pPr>
      <w:r w:rsidRPr="00BE5393">
        <w:rPr>
          <w:b/>
          <w:sz w:val="24"/>
          <w:szCs w:val="24"/>
        </w:rPr>
        <w:t>AUTO ADMISORIO</w:t>
      </w:r>
    </w:p>
    <w:p w14:paraId="72F5D954" w14:textId="77777777" w:rsidR="00FC1452" w:rsidRPr="005205BF" w:rsidRDefault="00FC1452" w:rsidP="00DC462D">
      <w:pPr>
        <w:autoSpaceDE w:val="0"/>
        <w:autoSpaceDN w:val="0"/>
        <w:adjustRightInd w:val="0"/>
        <w:jc w:val="left"/>
        <w:rPr>
          <w:sz w:val="24"/>
          <w:szCs w:val="20"/>
          <w:lang w:eastAsia="en-US"/>
        </w:rPr>
      </w:pPr>
    </w:p>
    <w:p w14:paraId="71D7B6A3" w14:textId="1323D026" w:rsidR="008B2DA2" w:rsidRDefault="00DC462D" w:rsidP="00DC462D">
      <w:pPr>
        <w:tabs>
          <w:tab w:val="left" w:pos="1985"/>
        </w:tabs>
        <w:rPr>
          <w:sz w:val="24"/>
          <w:szCs w:val="24"/>
          <w:lang w:eastAsia="en-US"/>
        </w:rPr>
      </w:pPr>
      <w:r>
        <w:rPr>
          <w:sz w:val="24"/>
          <w:szCs w:val="24"/>
          <w:lang w:val="es-ES" w:eastAsia="en-US"/>
        </w:rPr>
        <w:t xml:space="preserve">Rubén Darío Basto </w:t>
      </w:r>
      <w:proofErr w:type="spellStart"/>
      <w:r>
        <w:rPr>
          <w:sz w:val="24"/>
          <w:szCs w:val="24"/>
          <w:lang w:val="es-ES" w:eastAsia="en-US"/>
        </w:rPr>
        <w:t>Devia</w:t>
      </w:r>
      <w:proofErr w:type="spellEnd"/>
      <w:r>
        <w:rPr>
          <w:sz w:val="24"/>
          <w:szCs w:val="24"/>
          <w:lang w:val="es-ES" w:eastAsia="en-US"/>
        </w:rPr>
        <w:t xml:space="preserve"> </w:t>
      </w:r>
      <w:r w:rsidR="007B021F">
        <w:rPr>
          <w:sz w:val="24"/>
          <w:szCs w:val="24"/>
          <w:lang w:eastAsia="en-US"/>
        </w:rPr>
        <w:t>presentó</w:t>
      </w:r>
      <w:r w:rsidR="00086E65">
        <w:rPr>
          <w:sz w:val="24"/>
          <w:szCs w:val="24"/>
          <w:lang w:eastAsia="en-US"/>
        </w:rPr>
        <w:t xml:space="preserve"> acción de tutela </w:t>
      </w:r>
      <w:r w:rsidR="00E51FAF">
        <w:rPr>
          <w:sz w:val="24"/>
          <w:szCs w:val="24"/>
          <w:lang w:eastAsia="en-US"/>
        </w:rPr>
        <w:t xml:space="preserve">en </w:t>
      </w:r>
      <w:r w:rsidR="00086E65">
        <w:rPr>
          <w:sz w:val="24"/>
          <w:szCs w:val="24"/>
          <w:lang w:eastAsia="en-US"/>
        </w:rPr>
        <w:t>contra</w:t>
      </w:r>
      <w:r w:rsidR="00E51FAF">
        <w:rPr>
          <w:sz w:val="24"/>
          <w:szCs w:val="24"/>
          <w:lang w:eastAsia="en-US"/>
        </w:rPr>
        <w:t xml:space="preserve"> de </w:t>
      </w:r>
      <w:r>
        <w:rPr>
          <w:sz w:val="24"/>
          <w:szCs w:val="24"/>
          <w:lang w:eastAsia="en-US"/>
        </w:rPr>
        <w:t xml:space="preserve">la </w:t>
      </w:r>
      <w:r w:rsidR="00E51FAF" w:rsidRPr="00E51FAF">
        <w:rPr>
          <w:sz w:val="24"/>
          <w:szCs w:val="24"/>
          <w:lang w:eastAsia="en-US"/>
        </w:rPr>
        <w:t>Comisión Nacional de Disciplina Judicial</w:t>
      </w:r>
      <w:r>
        <w:rPr>
          <w:sz w:val="24"/>
          <w:szCs w:val="24"/>
          <w:lang w:eastAsia="en-US"/>
        </w:rPr>
        <w:t xml:space="preserve">, </w:t>
      </w:r>
      <w:r w:rsidR="000972AC">
        <w:rPr>
          <w:sz w:val="24"/>
          <w:szCs w:val="24"/>
          <w:lang w:val="es-ES" w:eastAsia="en-US"/>
        </w:rPr>
        <w:t xml:space="preserve">con la pretensión de </w:t>
      </w:r>
      <w:r w:rsidR="00EB3487">
        <w:rPr>
          <w:sz w:val="24"/>
          <w:szCs w:val="24"/>
          <w:lang w:val="es-ES" w:eastAsia="en-US"/>
        </w:rPr>
        <w:t>que se le amparara</w:t>
      </w:r>
      <w:r w:rsidR="00086E65">
        <w:rPr>
          <w:sz w:val="24"/>
          <w:szCs w:val="24"/>
          <w:lang w:val="es-ES" w:eastAsia="en-US"/>
        </w:rPr>
        <w:t>n sus derechos</w:t>
      </w:r>
      <w:r w:rsidR="007B021F">
        <w:rPr>
          <w:sz w:val="24"/>
          <w:szCs w:val="24"/>
          <w:lang w:val="es-ES" w:eastAsia="en-US"/>
        </w:rPr>
        <w:t xml:space="preserve"> fundamentales</w:t>
      </w:r>
      <w:r w:rsidR="00E51FAF">
        <w:rPr>
          <w:sz w:val="24"/>
          <w:szCs w:val="24"/>
          <w:lang w:val="es-ES" w:eastAsia="en-US"/>
        </w:rPr>
        <w:t xml:space="preserve"> al debido proceso, </w:t>
      </w:r>
      <w:r>
        <w:rPr>
          <w:sz w:val="24"/>
          <w:szCs w:val="24"/>
          <w:lang w:val="es-ES" w:eastAsia="en-US"/>
        </w:rPr>
        <w:t>a la doble instancia y al acceso a la administración de justicia</w:t>
      </w:r>
      <w:r w:rsidR="00907137">
        <w:rPr>
          <w:sz w:val="24"/>
          <w:szCs w:val="24"/>
          <w:lang w:val="es-ES" w:eastAsia="en-US"/>
        </w:rPr>
        <w:t>, que consideró</w:t>
      </w:r>
      <w:r w:rsidR="00BE5393" w:rsidRPr="00BE5393">
        <w:rPr>
          <w:sz w:val="24"/>
          <w:szCs w:val="24"/>
          <w:lang w:eastAsia="en-US"/>
        </w:rPr>
        <w:t xml:space="preserve">, </w:t>
      </w:r>
      <w:r>
        <w:rPr>
          <w:sz w:val="24"/>
          <w:szCs w:val="24"/>
          <w:lang w:eastAsia="en-US"/>
        </w:rPr>
        <w:t>fueron vulnerad</w:t>
      </w:r>
      <w:r w:rsidR="00907137">
        <w:rPr>
          <w:sz w:val="24"/>
          <w:szCs w:val="24"/>
          <w:lang w:eastAsia="en-US"/>
        </w:rPr>
        <w:t>o</w:t>
      </w:r>
      <w:r>
        <w:rPr>
          <w:sz w:val="24"/>
          <w:szCs w:val="24"/>
          <w:lang w:eastAsia="en-US"/>
        </w:rPr>
        <w:t>s</w:t>
      </w:r>
      <w:r w:rsidR="00086E65">
        <w:rPr>
          <w:sz w:val="24"/>
          <w:szCs w:val="24"/>
          <w:lang w:eastAsia="en-US"/>
        </w:rPr>
        <w:t xml:space="preserve"> </w:t>
      </w:r>
      <w:r w:rsidR="00351D49">
        <w:rPr>
          <w:sz w:val="24"/>
          <w:szCs w:val="24"/>
          <w:lang w:eastAsia="en-US"/>
        </w:rPr>
        <w:t xml:space="preserve">con ocasión </w:t>
      </w:r>
      <w:r w:rsidR="00907137">
        <w:rPr>
          <w:sz w:val="24"/>
          <w:szCs w:val="24"/>
          <w:lang w:eastAsia="en-US"/>
        </w:rPr>
        <w:t>del</w:t>
      </w:r>
      <w:r w:rsidR="00FC1452">
        <w:rPr>
          <w:sz w:val="24"/>
          <w:szCs w:val="24"/>
          <w:lang w:eastAsia="en-US"/>
        </w:rPr>
        <w:t xml:space="preserve"> fallo </w:t>
      </w:r>
      <w:r w:rsidR="00907137">
        <w:rPr>
          <w:sz w:val="24"/>
          <w:szCs w:val="24"/>
          <w:lang w:eastAsia="en-US"/>
        </w:rPr>
        <w:t>d</w:t>
      </w:r>
      <w:r w:rsidR="00351D49">
        <w:rPr>
          <w:sz w:val="24"/>
          <w:szCs w:val="24"/>
          <w:lang w:eastAsia="en-US"/>
        </w:rPr>
        <w:t xml:space="preserve">el </w:t>
      </w:r>
      <w:r w:rsidR="00907137">
        <w:rPr>
          <w:sz w:val="24"/>
          <w:szCs w:val="24"/>
          <w:lang w:eastAsia="en-US"/>
        </w:rPr>
        <w:t>1</w:t>
      </w:r>
      <w:r w:rsidR="00351D49">
        <w:rPr>
          <w:sz w:val="24"/>
          <w:szCs w:val="24"/>
          <w:lang w:eastAsia="en-US"/>
        </w:rPr>
        <w:t xml:space="preserve"> de </w:t>
      </w:r>
      <w:r w:rsidR="00907137">
        <w:rPr>
          <w:sz w:val="24"/>
          <w:szCs w:val="24"/>
          <w:lang w:eastAsia="en-US"/>
        </w:rPr>
        <w:t>septiembre de 2021</w:t>
      </w:r>
      <w:r w:rsidR="005205BF">
        <w:rPr>
          <w:sz w:val="24"/>
          <w:szCs w:val="24"/>
          <w:lang w:eastAsia="en-US"/>
        </w:rPr>
        <w:t>,</w:t>
      </w:r>
      <w:r w:rsidR="00351D49">
        <w:rPr>
          <w:sz w:val="24"/>
          <w:szCs w:val="24"/>
          <w:lang w:eastAsia="en-US"/>
        </w:rPr>
        <w:t xml:space="preserve"> que</w:t>
      </w:r>
      <w:r w:rsidR="00907137">
        <w:rPr>
          <w:sz w:val="24"/>
          <w:szCs w:val="24"/>
          <w:lang w:eastAsia="en-US"/>
        </w:rPr>
        <w:t xml:space="preserve"> confirmó el de primera instancia</w:t>
      </w:r>
      <w:r w:rsidR="003532B2">
        <w:rPr>
          <w:rStyle w:val="Refdenotaalpie"/>
          <w:sz w:val="24"/>
          <w:szCs w:val="24"/>
          <w:lang w:eastAsia="en-US"/>
        </w:rPr>
        <w:footnoteReference w:id="1"/>
      </w:r>
      <w:r w:rsidR="00907137">
        <w:rPr>
          <w:sz w:val="24"/>
          <w:szCs w:val="24"/>
          <w:lang w:eastAsia="en-US"/>
        </w:rPr>
        <w:t xml:space="preserve"> que</w:t>
      </w:r>
      <w:r w:rsidR="00351D49">
        <w:rPr>
          <w:sz w:val="24"/>
          <w:szCs w:val="24"/>
          <w:lang w:eastAsia="en-US"/>
        </w:rPr>
        <w:t xml:space="preserve"> </w:t>
      </w:r>
      <w:r w:rsidR="003532B2">
        <w:rPr>
          <w:sz w:val="24"/>
          <w:szCs w:val="24"/>
          <w:lang w:eastAsia="en-US"/>
        </w:rPr>
        <w:t>lo sancionó</w:t>
      </w:r>
      <w:r w:rsidR="00277935">
        <w:rPr>
          <w:sz w:val="24"/>
          <w:szCs w:val="24"/>
          <w:lang w:eastAsia="en-US"/>
        </w:rPr>
        <w:t xml:space="preserve"> con suspensión en el ejercicio de la profesión </w:t>
      </w:r>
      <w:r w:rsidR="005205BF">
        <w:rPr>
          <w:sz w:val="24"/>
          <w:szCs w:val="24"/>
          <w:lang w:eastAsia="en-US"/>
        </w:rPr>
        <w:t>de abogado</w:t>
      </w:r>
      <w:r w:rsidR="00907137">
        <w:rPr>
          <w:sz w:val="24"/>
          <w:szCs w:val="24"/>
          <w:lang w:eastAsia="en-US"/>
        </w:rPr>
        <w:t xml:space="preserve">, </w:t>
      </w:r>
      <w:r w:rsidR="00277935">
        <w:rPr>
          <w:sz w:val="24"/>
          <w:szCs w:val="24"/>
          <w:lang w:eastAsia="en-US"/>
        </w:rPr>
        <w:t>dentro del proceso</w:t>
      </w:r>
      <w:r w:rsidR="005205BF">
        <w:rPr>
          <w:sz w:val="24"/>
          <w:szCs w:val="24"/>
          <w:lang w:eastAsia="en-US"/>
        </w:rPr>
        <w:t xml:space="preserve"> </w:t>
      </w:r>
      <w:r w:rsidR="00F20B05">
        <w:rPr>
          <w:sz w:val="24"/>
          <w:szCs w:val="24"/>
          <w:lang w:eastAsia="en-US"/>
        </w:rPr>
        <w:t xml:space="preserve">disciplinario </w:t>
      </w:r>
      <w:r w:rsidR="005205BF">
        <w:rPr>
          <w:sz w:val="24"/>
          <w:szCs w:val="24"/>
          <w:lang w:eastAsia="en-US"/>
        </w:rPr>
        <w:t>con</w:t>
      </w:r>
      <w:r w:rsidR="00277935">
        <w:rPr>
          <w:sz w:val="24"/>
          <w:szCs w:val="24"/>
          <w:lang w:eastAsia="en-US"/>
        </w:rPr>
        <w:t xml:space="preserve"> </w:t>
      </w:r>
      <w:r w:rsidR="00351D49">
        <w:rPr>
          <w:sz w:val="24"/>
          <w:szCs w:val="24"/>
          <w:lang w:eastAsia="en-US"/>
        </w:rPr>
        <w:t xml:space="preserve">radicado </w:t>
      </w:r>
      <w:r w:rsidR="00277935">
        <w:rPr>
          <w:sz w:val="24"/>
          <w:szCs w:val="24"/>
          <w:lang w:eastAsia="en-US"/>
        </w:rPr>
        <w:t xml:space="preserve">núm. </w:t>
      </w:r>
      <w:r w:rsidR="007372AC" w:rsidRPr="007372AC">
        <w:rPr>
          <w:sz w:val="24"/>
          <w:szCs w:val="24"/>
          <w:lang w:eastAsia="en-US"/>
        </w:rPr>
        <w:t>73001-11-02-002-2017-00484-01</w:t>
      </w:r>
      <w:r w:rsidR="007B021F">
        <w:rPr>
          <w:sz w:val="24"/>
          <w:szCs w:val="24"/>
          <w:lang w:eastAsia="en-US"/>
        </w:rPr>
        <w:t xml:space="preserve">. </w:t>
      </w:r>
    </w:p>
    <w:p w14:paraId="5282FF4C" w14:textId="77777777" w:rsidR="007372AC" w:rsidRDefault="007372AC" w:rsidP="00DC462D">
      <w:pPr>
        <w:tabs>
          <w:tab w:val="left" w:pos="1985"/>
        </w:tabs>
        <w:rPr>
          <w:sz w:val="24"/>
          <w:szCs w:val="24"/>
          <w:lang w:eastAsia="en-US"/>
        </w:rPr>
      </w:pPr>
    </w:p>
    <w:p w14:paraId="0688F0C9" w14:textId="5A72D542" w:rsidR="007372AC" w:rsidRDefault="007372AC" w:rsidP="00DC462D">
      <w:pPr>
        <w:tabs>
          <w:tab w:val="left" w:pos="1985"/>
        </w:tabs>
        <w:rPr>
          <w:sz w:val="24"/>
          <w:szCs w:val="24"/>
          <w:lang w:eastAsia="en-US"/>
        </w:rPr>
      </w:pPr>
      <w:r>
        <w:rPr>
          <w:sz w:val="24"/>
          <w:szCs w:val="24"/>
          <w:lang w:eastAsia="en-US"/>
        </w:rPr>
        <w:t xml:space="preserve">El </w:t>
      </w:r>
      <w:r w:rsidR="00F20B05">
        <w:rPr>
          <w:sz w:val="24"/>
          <w:szCs w:val="24"/>
          <w:lang w:eastAsia="en-US"/>
        </w:rPr>
        <w:t xml:space="preserve">aludido </w:t>
      </w:r>
      <w:r>
        <w:rPr>
          <w:sz w:val="24"/>
          <w:szCs w:val="24"/>
          <w:lang w:eastAsia="en-US"/>
        </w:rPr>
        <w:t>proceso inició por la compulsa de copias que realizó el Juzgado Quinto Laboral de Ibagué en contra del ahora tutelante,</w:t>
      </w:r>
      <w:r w:rsidR="0049571B">
        <w:rPr>
          <w:sz w:val="24"/>
          <w:szCs w:val="24"/>
          <w:lang w:eastAsia="en-US"/>
        </w:rPr>
        <w:t xml:space="preserve"> debido a que este, en su condición de apoderado de</w:t>
      </w:r>
      <w:r w:rsidR="00F95DDD">
        <w:rPr>
          <w:sz w:val="24"/>
          <w:szCs w:val="24"/>
          <w:lang w:eastAsia="en-US"/>
        </w:rPr>
        <w:t xml:space="preserve"> </w:t>
      </w:r>
      <w:r w:rsidR="0049571B">
        <w:rPr>
          <w:sz w:val="24"/>
          <w:szCs w:val="24"/>
          <w:lang w:eastAsia="en-US"/>
        </w:rPr>
        <w:t>l</w:t>
      </w:r>
      <w:r w:rsidR="00F95DDD">
        <w:rPr>
          <w:sz w:val="24"/>
          <w:szCs w:val="24"/>
          <w:lang w:eastAsia="en-US"/>
        </w:rPr>
        <w:t>a parte</w:t>
      </w:r>
      <w:r w:rsidR="0049571B">
        <w:rPr>
          <w:sz w:val="24"/>
          <w:szCs w:val="24"/>
          <w:lang w:eastAsia="en-US"/>
        </w:rPr>
        <w:t xml:space="preserve"> ejecutante dentro del </w:t>
      </w:r>
      <w:r w:rsidR="00F95DDD">
        <w:rPr>
          <w:sz w:val="24"/>
          <w:szCs w:val="24"/>
          <w:lang w:eastAsia="en-US"/>
        </w:rPr>
        <w:t>trámite</w:t>
      </w:r>
      <w:r w:rsidR="0049571B">
        <w:rPr>
          <w:sz w:val="24"/>
          <w:szCs w:val="24"/>
          <w:lang w:eastAsia="en-US"/>
        </w:rPr>
        <w:t xml:space="preserve"> con radicado núm. 2011-00604-00, se negó a devolver la suma de $18’625.000 de pesos</w:t>
      </w:r>
      <w:r w:rsidR="003532B2">
        <w:rPr>
          <w:sz w:val="24"/>
          <w:szCs w:val="24"/>
          <w:lang w:eastAsia="en-US"/>
        </w:rPr>
        <w:t xml:space="preserve"> embargados al ejecutado</w:t>
      </w:r>
      <w:r w:rsidR="0049571B">
        <w:rPr>
          <w:sz w:val="24"/>
          <w:szCs w:val="24"/>
          <w:lang w:eastAsia="en-US"/>
        </w:rPr>
        <w:t>, a pesar de que posteriormente los extremos procesales conciliaron la deuda.</w:t>
      </w:r>
      <w:r w:rsidR="003532B2">
        <w:rPr>
          <w:sz w:val="24"/>
          <w:szCs w:val="24"/>
          <w:lang w:eastAsia="en-US"/>
        </w:rPr>
        <w:t xml:space="preserve"> En primera instancia, </w:t>
      </w:r>
      <w:r w:rsidR="00F95DDD">
        <w:rPr>
          <w:sz w:val="24"/>
          <w:szCs w:val="24"/>
          <w:lang w:eastAsia="en-US"/>
        </w:rPr>
        <w:t xml:space="preserve">el asunto </w:t>
      </w:r>
      <w:r w:rsidR="003532B2">
        <w:rPr>
          <w:sz w:val="24"/>
          <w:szCs w:val="24"/>
          <w:lang w:eastAsia="en-US"/>
        </w:rPr>
        <w:t>fue decidido en s</w:t>
      </w:r>
      <w:r w:rsidR="003532B2" w:rsidRPr="003532B2">
        <w:rPr>
          <w:sz w:val="24"/>
          <w:szCs w:val="24"/>
          <w:lang w:eastAsia="en-US"/>
        </w:rPr>
        <w:t>entencia del 20 de mayo de 2020, proferida por la Sala Jurisdiccional Disciplinaria del Consejo Seccional de la Judicatura del Tolima.</w:t>
      </w:r>
    </w:p>
    <w:p w14:paraId="7FCC4CDF" w14:textId="77777777" w:rsidR="007372AC" w:rsidRDefault="007372AC" w:rsidP="00DC462D">
      <w:pPr>
        <w:tabs>
          <w:tab w:val="left" w:pos="1985"/>
        </w:tabs>
        <w:rPr>
          <w:sz w:val="24"/>
          <w:szCs w:val="24"/>
          <w:lang w:eastAsia="en-US"/>
        </w:rPr>
      </w:pPr>
    </w:p>
    <w:p w14:paraId="687A39D2" w14:textId="725E2666" w:rsidR="00BE5A91" w:rsidRPr="009121BA" w:rsidRDefault="0049571B" w:rsidP="00DC462D">
      <w:pPr>
        <w:pStyle w:val="Textoindependiente21"/>
        <w:spacing w:after="0"/>
        <w:ind w:left="0"/>
        <w:jc w:val="both"/>
        <w:rPr>
          <w:rFonts w:cs="Arial"/>
          <w:sz w:val="24"/>
          <w:szCs w:val="24"/>
        </w:rPr>
      </w:pPr>
      <w:r>
        <w:rPr>
          <w:rFonts w:eastAsia="Calibri" w:cs="Arial"/>
          <w:sz w:val="24"/>
          <w:szCs w:val="24"/>
          <w:lang w:val="es-CO" w:eastAsia="es-ES_tradnl"/>
        </w:rPr>
        <w:t>Ahora bien, e</w:t>
      </w:r>
      <w:r w:rsidR="00BE5A91">
        <w:rPr>
          <w:rFonts w:eastAsia="Calibri" w:cs="Arial"/>
          <w:sz w:val="24"/>
          <w:szCs w:val="24"/>
          <w:lang w:val="es-CO" w:eastAsia="es-ES_tradnl"/>
        </w:rPr>
        <w:t xml:space="preserve">l señor </w:t>
      </w:r>
      <w:r w:rsidR="007372AC">
        <w:rPr>
          <w:rFonts w:eastAsia="Calibri" w:cs="Arial"/>
          <w:sz w:val="24"/>
          <w:szCs w:val="24"/>
          <w:lang w:val="es-CO" w:eastAsia="es-ES_tradnl"/>
        </w:rPr>
        <w:t xml:space="preserve">Basto </w:t>
      </w:r>
      <w:proofErr w:type="spellStart"/>
      <w:r w:rsidR="007372AC">
        <w:rPr>
          <w:rFonts w:eastAsia="Calibri" w:cs="Arial"/>
          <w:sz w:val="24"/>
          <w:szCs w:val="24"/>
          <w:lang w:val="es-CO" w:eastAsia="es-ES_tradnl"/>
        </w:rPr>
        <w:t>Devia</w:t>
      </w:r>
      <w:proofErr w:type="spellEnd"/>
      <w:r w:rsidR="00BE5A91">
        <w:rPr>
          <w:rFonts w:eastAsia="Calibri" w:cs="Arial"/>
          <w:sz w:val="24"/>
          <w:szCs w:val="24"/>
          <w:lang w:val="es-CO" w:eastAsia="es-ES_tradnl"/>
        </w:rPr>
        <w:t xml:space="preserve"> </w:t>
      </w:r>
      <w:r w:rsidR="00BE5A91" w:rsidRPr="009121BA">
        <w:rPr>
          <w:rFonts w:cs="Arial"/>
          <w:sz w:val="24"/>
          <w:szCs w:val="24"/>
        </w:rPr>
        <w:t>solicitó</w:t>
      </w:r>
      <w:r>
        <w:rPr>
          <w:rFonts w:cs="Arial"/>
          <w:sz w:val="24"/>
          <w:szCs w:val="24"/>
        </w:rPr>
        <w:t xml:space="preserve"> en el escrito de tutela</w:t>
      </w:r>
      <w:r w:rsidR="00BE5A91" w:rsidRPr="009121BA">
        <w:rPr>
          <w:rFonts w:cs="Arial"/>
          <w:sz w:val="24"/>
          <w:szCs w:val="24"/>
        </w:rPr>
        <w:t>, como medi</w:t>
      </w:r>
      <w:r w:rsidR="00E561EC">
        <w:rPr>
          <w:rFonts w:cs="Arial"/>
          <w:sz w:val="24"/>
          <w:szCs w:val="24"/>
        </w:rPr>
        <w:t>da provisional, que se</w:t>
      </w:r>
      <w:r w:rsidR="005205BF">
        <w:rPr>
          <w:rFonts w:cs="Arial"/>
          <w:sz w:val="24"/>
          <w:szCs w:val="24"/>
        </w:rPr>
        <w:t xml:space="preserve"> ordene la suspensión de</w:t>
      </w:r>
      <w:r w:rsidR="00E561EC">
        <w:rPr>
          <w:rFonts w:cs="Arial"/>
          <w:sz w:val="24"/>
          <w:szCs w:val="24"/>
        </w:rPr>
        <w:t xml:space="preserve"> la </w:t>
      </w:r>
      <w:r w:rsidR="00D56B98">
        <w:rPr>
          <w:rFonts w:cs="Arial"/>
          <w:sz w:val="24"/>
          <w:szCs w:val="24"/>
        </w:rPr>
        <w:t xml:space="preserve">ejecución de la </w:t>
      </w:r>
      <w:r w:rsidR="00E561EC">
        <w:rPr>
          <w:rFonts w:cs="Arial"/>
          <w:sz w:val="24"/>
          <w:szCs w:val="24"/>
        </w:rPr>
        <w:t>sanción impuesta</w:t>
      </w:r>
      <w:r w:rsidR="00D56B98">
        <w:rPr>
          <w:rFonts w:cs="Arial"/>
          <w:sz w:val="24"/>
          <w:szCs w:val="24"/>
        </w:rPr>
        <w:t xml:space="preserve"> en su contra,</w:t>
      </w:r>
      <w:r w:rsidR="00423511">
        <w:rPr>
          <w:rFonts w:cs="Arial"/>
          <w:sz w:val="24"/>
          <w:szCs w:val="24"/>
        </w:rPr>
        <w:t xml:space="preserve"> </w:t>
      </w:r>
      <w:r w:rsidR="007372AC">
        <w:rPr>
          <w:rFonts w:cs="Arial"/>
          <w:sz w:val="24"/>
          <w:szCs w:val="24"/>
        </w:rPr>
        <w:t>“</w:t>
      </w:r>
      <w:r w:rsidR="007372AC" w:rsidRPr="007372AC">
        <w:rPr>
          <w:rFonts w:cs="Arial"/>
          <w:sz w:val="24"/>
          <w:szCs w:val="24"/>
        </w:rPr>
        <w:t xml:space="preserve">hasta cuando la entidad competente encargada de emitir el juicio de valor del Contrato de Prestación de Servicios de Abogado, celebrado entre </w:t>
      </w:r>
      <w:proofErr w:type="spellStart"/>
      <w:r w:rsidR="007372AC" w:rsidRPr="007372AC">
        <w:rPr>
          <w:rFonts w:cs="Arial"/>
          <w:sz w:val="24"/>
          <w:szCs w:val="24"/>
        </w:rPr>
        <w:t>Winer</w:t>
      </w:r>
      <w:proofErr w:type="spellEnd"/>
      <w:r w:rsidR="007372AC" w:rsidRPr="007372AC">
        <w:rPr>
          <w:rFonts w:cs="Arial"/>
          <w:sz w:val="24"/>
          <w:szCs w:val="24"/>
        </w:rPr>
        <w:t xml:space="preserve"> Martínez Ramírez y Rubén Darío Basto </w:t>
      </w:r>
      <w:proofErr w:type="spellStart"/>
      <w:r w:rsidR="007372AC" w:rsidRPr="007372AC">
        <w:rPr>
          <w:rFonts w:cs="Arial"/>
          <w:sz w:val="24"/>
          <w:szCs w:val="24"/>
        </w:rPr>
        <w:t>Devia</w:t>
      </w:r>
      <w:proofErr w:type="spellEnd"/>
      <w:r w:rsidR="007372AC" w:rsidRPr="007372AC">
        <w:rPr>
          <w:rFonts w:cs="Arial"/>
          <w:sz w:val="24"/>
          <w:szCs w:val="24"/>
        </w:rPr>
        <w:t>, con fecha septiembre 6 de 2011, las firmas son falsa o no, por consiguiente el contrato es ley para las partes</w:t>
      </w:r>
      <w:r w:rsidR="007372AC">
        <w:rPr>
          <w:rFonts w:cs="Arial"/>
          <w:sz w:val="24"/>
          <w:szCs w:val="24"/>
        </w:rPr>
        <w:t>”</w:t>
      </w:r>
      <w:r w:rsidR="00423511">
        <w:rPr>
          <w:rFonts w:cs="Arial"/>
          <w:sz w:val="24"/>
          <w:szCs w:val="24"/>
        </w:rPr>
        <w:t xml:space="preserve">. </w:t>
      </w:r>
    </w:p>
    <w:p w14:paraId="2BF349C8" w14:textId="77777777" w:rsidR="00E6164A" w:rsidRDefault="00E6164A" w:rsidP="00E6164A">
      <w:pPr>
        <w:tabs>
          <w:tab w:val="left" w:pos="1985"/>
        </w:tabs>
        <w:spacing w:before="240" w:after="240"/>
        <w:rPr>
          <w:sz w:val="24"/>
          <w:szCs w:val="24"/>
          <w:lang w:val="es-ES"/>
        </w:rPr>
      </w:pPr>
      <w:r>
        <w:rPr>
          <w:sz w:val="24"/>
          <w:szCs w:val="24"/>
          <w:lang w:val="es-ES_tradnl"/>
        </w:rPr>
        <w:t xml:space="preserve">El Decreto 2591 de 1991, </w:t>
      </w:r>
      <w:r>
        <w:rPr>
          <w:sz w:val="24"/>
          <w:szCs w:val="24"/>
          <w:lang w:val="es-ES"/>
        </w:rPr>
        <w:t xml:space="preserve">reglamentario de la acción de tutela, en el artículo 7, prevé que el juez constitucional, cuando lo considere necesario y urgente, puede suspender la aplicación del acto concreto que amenace o vulnere el derecho. También establece que, de oficio o a petición de parte, puede disponer la ejecución o la continuidad de la ejecución para evitar perjuicios ciertos e inminentes al interés público o dictar cualquier medida de conservación o seguridad encaminada a proteger el derecho o a evitar que se produzcan otros daños. </w:t>
      </w:r>
    </w:p>
    <w:p w14:paraId="32AEA126" w14:textId="77777777" w:rsidR="00E6164A" w:rsidRDefault="00E6164A" w:rsidP="00E6164A">
      <w:pPr>
        <w:pStyle w:val="Textoindependiente21"/>
        <w:spacing w:after="0"/>
        <w:ind w:left="0"/>
        <w:jc w:val="both"/>
        <w:rPr>
          <w:rFonts w:cs="Arial"/>
          <w:sz w:val="24"/>
          <w:szCs w:val="24"/>
        </w:rPr>
      </w:pPr>
      <w:r>
        <w:rPr>
          <w:rFonts w:cs="Arial"/>
          <w:sz w:val="24"/>
          <w:szCs w:val="24"/>
          <w:lang w:val="es-ES"/>
        </w:rPr>
        <w:t xml:space="preserve">La Corte Constitucional ha considerado que las medidas provisionales tienen como finalidad: i) la protección de los demandantes con el fin de impedir que un eventual amparo se torne ilusorio; ii) salvaguardar los derechos fundamentales que se encuentran en discusión o en amenaza de vulneración; y iii) evitar que se produzcan otros daños como consecuencia de los hechos objeto de análisis en el proceso, perjuicios que no se circunscriben a los que pueda sufrir el demandante. En esta medida, la jurisprudencia constitucional ha definido que las medidas provisionales </w:t>
      </w:r>
      <w:r>
        <w:rPr>
          <w:rFonts w:cs="Arial"/>
          <w:sz w:val="24"/>
          <w:szCs w:val="24"/>
          <w:lang w:val="es-ES"/>
        </w:rPr>
        <w:lastRenderedPageBreak/>
        <w:t>deben cumplir con tres exigencias</w:t>
      </w:r>
      <w:r>
        <w:rPr>
          <w:rStyle w:val="Refdenotaalpie"/>
          <w:rFonts w:cs="Arial"/>
          <w:sz w:val="24"/>
          <w:szCs w:val="24"/>
          <w:lang w:val="es-ES"/>
        </w:rPr>
        <w:footnoteReference w:id="2"/>
      </w:r>
      <w:r>
        <w:rPr>
          <w:rFonts w:cs="Arial"/>
          <w:sz w:val="24"/>
          <w:szCs w:val="24"/>
          <w:lang w:val="es-ES"/>
        </w:rPr>
        <w:t>, a saber: (i) “</w:t>
      </w:r>
      <w:r w:rsidRPr="0050229B">
        <w:rPr>
          <w:rFonts w:cs="Arial"/>
          <w:sz w:val="24"/>
          <w:szCs w:val="24"/>
        </w:rPr>
        <w:t>vocación de viabilidad por estar respaldada en fundamentos fácticos y jurídicos razonables</w:t>
      </w:r>
      <w:r>
        <w:rPr>
          <w:rFonts w:cs="Arial"/>
          <w:sz w:val="24"/>
          <w:szCs w:val="24"/>
        </w:rPr>
        <w:t>”</w:t>
      </w:r>
      <w:r>
        <w:rPr>
          <w:rStyle w:val="Refdenotaalpie"/>
          <w:rFonts w:cs="Arial"/>
          <w:sz w:val="24"/>
          <w:szCs w:val="24"/>
        </w:rPr>
        <w:footnoteReference w:id="3"/>
      </w:r>
      <w:r>
        <w:rPr>
          <w:rFonts w:cs="Arial"/>
          <w:sz w:val="24"/>
          <w:szCs w:val="24"/>
          <w:lang w:val="es-ES"/>
        </w:rPr>
        <w:t xml:space="preserve">, para que “el juez pueda inferir, al menos, </w:t>
      </w:r>
      <w:r>
        <w:rPr>
          <w:rFonts w:cs="Arial"/>
          <w:i/>
          <w:iCs/>
          <w:sz w:val="24"/>
          <w:szCs w:val="24"/>
          <w:lang w:val="es-ES"/>
        </w:rPr>
        <w:t>prima facie</w:t>
      </w:r>
      <w:r>
        <w:rPr>
          <w:rFonts w:cs="Arial"/>
          <w:sz w:val="24"/>
          <w:szCs w:val="24"/>
          <w:lang w:val="es-ES"/>
        </w:rPr>
        <w:t>, algún grado de afectación del derecho”</w:t>
      </w:r>
      <w:r>
        <w:rPr>
          <w:rStyle w:val="Refdenotaalpie"/>
          <w:rFonts w:cs="Arial"/>
          <w:sz w:val="24"/>
          <w:szCs w:val="24"/>
          <w:lang w:val="es-ES"/>
        </w:rPr>
        <w:footnoteReference w:id="4"/>
      </w:r>
      <w:r>
        <w:rPr>
          <w:rFonts w:cs="Arial"/>
          <w:sz w:val="24"/>
          <w:szCs w:val="24"/>
          <w:lang w:val="es-ES"/>
        </w:rPr>
        <w:t>; (ii) “</w:t>
      </w:r>
      <w:r w:rsidRPr="0050229B">
        <w:rPr>
          <w:rFonts w:cs="Arial"/>
          <w:sz w:val="24"/>
          <w:szCs w:val="24"/>
        </w:rPr>
        <w:t>que exista un rie</w:t>
      </w:r>
      <w:r>
        <w:rPr>
          <w:rFonts w:cs="Arial"/>
          <w:sz w:val="24"/>
          <w:szCs w:val="24"/>
        </w:rPr>
        <w:t>s</w:t>
      </w:r>
      <w:r w:rsidRPr="0050229B">
        <w:rPr>
          <w:rFonts w:cs="Arial"/>
          <w:sz w:val="24"/>
          <w:szCs w:val="24"/>
        </w:rPr>
        <w:t>go de afectación por la demora en el tiempo</w:t>
      </w:r>
      <w:r>
        <w:rPr>
          <w:rFonts w:cs="Arial"/>
          <w:sz w:val="24"/>
          <w:szCs w:val="24"/>
        </w:rPr>
        <w:t>”</w:t>
      </w:r>
      <w:r>
        <w:rPr>
          <w:rStyle w:val="Refdenotaalpie"/>
          <w:rFonts w:cs="Arial"/>
          <w:sz w:val="24"/>
          <w:szCs w:val="24"/>
        </w:rPr>
        <w:footnoteReference w:id="5"/>
      </w:r>
      <w:r>
        <w:rPr>
          <w:rFonts w:cs="Arial"/>
          <w:sz w:val="24"/>
          <w:szCs w:val="24"/>
        </w:rPr>
        <w:t>; y (iii) “q</w:t>
      </w:r>
      <w:r w:rsidRPr="0050229B">
        <w:rPr>
          <w:rFonts w:cs="Arial"/>
          <w:sz w:val="24"/>
          <w:szCs w:val="24"/>
        </w:rPr>
        <w:t>ue la medida provisional no genere un daño desproporcionado a quien afecta directamente</w:t>
      </w:r>
      <w:r>
        <w:rPr>
          <w:rFonts w:cs="Arial"/>
          <w:sz w:val="24"/>
          <w:szCs w:val="24"/>
        </w:rPr>
        <w:t xml:space="preserve">. </w:t>
      </w:r>
    </w:p>
    <w:p w14:paraId="30ECEC2B" w14:textId="5F2A58A0" w:rsidR="00BE5A91" w:rsidRDefault="00A52EA8" w:rsidP="00A52EA8">
      <w:pPr>
        <w:tabs>
          <w:tab w:val="left" w:pos="1985"/>
        </w:tabs>
        <w:spacing w:before="240" w:after="240"/>
        <w:rPr>
          <w:color w:val="000000"/>
          <w:sz w:val="24"/>
          <w:szCs w:val="24"/>
          <w:lang w:val="es-ES"/>
        </w:rPr>
      </w:pPr>
      <w:r>
        <w:rPr>
          <w:sz w:val="24"/>
          <w:szCs w:val="24"/>
        </w:rPr>
        <w:t xml:space="preserve">Sin embargo, el Despacho encuentra que la petición no cumple con las tres exigencias mencionadas en el párrafo anterior, pues no existen fundamentos fácticos a partir de los cuales se pueda inferir el grado de afectación al derecho, </w:t>
      </w:r>
      <w:r w:rsidRPr="0096562A">
        <w:rPr>
          <w:color w:val="000000"/>
          <w:sz w:val="24"/>
          <w:szCs w:val="24"/>
          <w:lang w:val="es-ES"/>
        </w:rPr>
        <w:t>más</w:t>
      </w:r>
      <w:r>
        <w:rPr>
          <w:color w:val="000000"/>
          <w:sz w:val="24"/>
          <w:szCs w:val="24"/>
          <w:lang w:val="es-ES"/>
        </w:rPr>
        <w:t xml:space="preserve"> aún, al tener en cuenta que la</w:t>
      </w:r>
      <w:r w:rsidRPr="0096562A">
        <w:rPr>
          <w:color w:val="000000"/>
          <w:sz w:val="24"/>
          <w:szCs w:val="24"/>
          <w:lang w:val="es-ES"/>
        </w:rPr>
        <w:t xml:space="preserve"> sa</w:t>
      </w:r>
      <w:r>
        <w:rPr>
          <w:color w:val="000000"/>
          <w:sz w:val="24"/>
          <w:szCs w:val="24"/>
          <w:lang w:val="es-ES"/>
        </w:rPr>
        <w:t>nción controvertida en esta oportunidad fue</w:t>
      </w:r>
      <w:r w:rsidRPr="0096562A">
        <w:rPr>
          <w:color w:val="000000"/>
          <w:sz w:val="24"/>
          <w:szCs w:val="24"/>
          <w:lang w:val="es-ES"/>
        </w:rPr>
        <w:t xml:space="preserve"> objeto</w:t>
      </w:r>
      <w:r>
        <w:rPr>
          <w:color w:val="000000"/>
          <w:sz w:val="24"/>
          <w:szCs w:val="24"/>
          <w:lang w:val="es-ES"/>
        </w:rPr>
        <w:t xml:space="preserve"> de debate dentro de un proceso disciplinario y en tal condición se encuentra amparada por la presunción de legalidad</w:t>
      </w:r>
      <w:r>
        <w:rPr>
          <w:color w:val="000000"/>
          <w:sz w:val="24"/>
          <w:szCs w:val="24"/>
          <w:lang w:val="es-ES"/>
        </w:rPr>
        <w:t xml:space="preserve">. </w:t>
      </w:r>
      <w:r w:rsidR="00665F72">
        <w:rPr>
          <w:color w:val="000000"/>
          <w:sz w:val="24"/>
          <w:szCs w:val="24"/>
          <w:lang w:val="es-ES"/>
        </w:rPr>
        <w:t xml:space="preserve">Aunado al hecho de que </w:t>
      </w:r>
      <w:r>
        <w:rPr>
          <w:color w:val="000000"/>
          <w:sz w:val="24"/>
          <w:szCs w:val="24"/>
          <w:lang w:val="es-ES"/>
        </w:rPr>
        <w:t xml:space="preserve">el accionante está condicionando la duración de la medida, sin suficiencia en sus argumentos, </w:t>
      </w:r>
      <w:r w:rsidR="00665F72">
        <w:rPr>
          <w:color w:val="000000"/>
          <w:sz w:val="24"/>
          <w:szCs w:val="24"/>
          <w:lang w:val="es-ES"/>
        </w:rPr>
        <w:t>a la verificación de la falsedad o no de las firmas que aparecen en un contrato de prestación de servicios,</w:t>
      </w:r>
      <w:r>
        <w:rPr>
          <w:color w:val="000000"/>
          <w:sz w:val="24"/>
          <w:szCs w:val="24"/>
          <w:lang w:val="es-ES"/>
        </w:rPr>
        <w:t xml:space="preserve"> </w:t>
      </w:r>
      <w:r w:rsidR="00665F72">
        <w:rPr>
          <w:color w:val="000000"/>
          <w:sz w:val="24"/>
          <w:szCs w:val="24"/>
          <w:lang w:val="es-ES"/>
        </w:rPr>
        <w:t xml:space="preserve">situación que resulta ajena al presente trámite constitucional </w:t>
      </w:r>
      <w:r>
        <w:rPr>
          <w:color w:val="000000"/>
          <w:sz w:val="24"/>
          <w:szCs w:val="24"/>
          <w:lang w:val="es-ES"/>
        </w:rPr>
        <w:t>cuyo único objeto lo constituye l</w:t>
      </w:r>
      <w:r w:rsidR="00665F72">
        <w:rPr>
          <w:color w:val="000000"/>
          <w:sz w:val="24"/>
          <w:szCs w:val="24"/>
          <w:lang w:val="es-ES"/>
        </w:rPr>
        <w:t>a revisión de los fallos disciplinarios que profirió la Comisión de Disciplina Judicial</w:t>
      </w:r>
      <w:r>
        <w:rPr>
          <w:color w:val="000000"/>
          <w:sz w:val="24"/>
          <w:szCs w:val="24"/>
          <w:lang w:val="es-ES"/>
        </w:rPr>
        <w:t xml:space="preserve"> y que se acusan de desconocer los derechos fundamentales de acceso a la administración de justicia, a la doble instancia y de defensa. </w:t>
      </w:r>
      <w:r w:rsidR="00665F72">
        <w:rPr>
          <w:color w:val="000000"/>
          <w:sz w:val="24"/>
          <w:szCs w:val="24"/>
          <w:lang w:val="es-ES"/>
        </w:rPr>
        <w:t xml:space="preserve">   </w:t>
      </w:r>
    </w:p>
    <w:p w14:paraId="3ED75EEF" w14:textId="2CDDE23C" w:rsidR="00E91690" w:rsidRPr="00E01943" w:rsidRDefault="00A52EA8" w:rsidP="00E91690">
      <w:pPr>
        <w:tabs>
          <w:tab w:val="left" w:pos="1985"/>
        </w:tabs>
        <w:spacing w:before="240" w:after="240"/>
        <w:rPr>
          <w:sz w:val="24"/>
          <w:szCs w:val="24"/>
        </w:rPr>
      </w:pPr>
      <w:r>
        <w:rPr>
          <w:color w:val="000000"/>
          <w:sz w:val="24"/>
          <w:szCs w:val="24"/>
          <w:lang w:val="es-ES" w:eastAsia="es-ES"/>
        </w:rPr>
        <w:t xml:space="preserve">Aunado a lo anterior, </w:t>
      </w:r>
      <w:r w:rsidR="00BE5A91" w:rsidRPr="0096562A">
        <w:rPr>
          <w:color w:val="000000"/>
          <w:sz w:val="24"/>
          <w:szCs w:val="24"/>
          <w:lang w:val="es-ES" w:eastAsia="es-ES"/>
        </w:rPr>
        <w:t>no se a</w:t>
      </w:r>
      <w:r w:rsidR="006515C6">
        <w:rPr>
          <w:color w:val="000000"/>
          <w:sz w:val="24"/>
          <w:szCs w:val="24"/>
          <w:lang w:val="es-ES" w:eastAsia="es-ES"/>
        </w:rPr>
        <w:t>dvierte</w:t>
      </w:r>
      <w:r w:rsidR="00BE5A91" w:rsidRPr="0096562A">
        <w:rPr>
          <w:color w:val="000000"/>
          <w:sz w:val="24"/>
          <w:szCs w:val="24"/>
          <w:lang w:val="es-ES" w:eastAsia="es-ES"/>
        </w:rPr>
        <w:t xml:space="preserve"> </w:t>
      </w:r>
      <w:r w:rsidR="00A41081">
        <w:rPr>
          <w:color w:val="000000"/>
          <w:sz w:val="24"/>
          <w:szCs w:val="24"/>
          <w:lang w:val="es-ES" w:eastAsia="es-ES"/>
        </w:rPr>
        <w:t>la existencia de un perjuicio de connotación irremediable</w:t>
      </w:r>
      <w:r w:rsidR="00E91690">
        <w:rPr>
          <w:color w:val="000000"/>
          <w:sz w:val="24"/>
          <w:szCs w:val="24"/>
          <w:lang w:val="es-ES" w:eastAsia="es-ES"/>
        </w:rPr>
        <w:t>, ni circunstancia</w:t>
      </w:r>
      <w:bookmarkStart w:id="3" w:name="_GoBack"/>
      <w:bookmarkEnd w:id="3"/>
      <w:r w:rsidR="00E91690">
        <w:rPr>
          <w:color w:val="000000"/>
          <w:sz w:val="24"/>
          <w:szCs w:val="24"/>
          <w:lang w:val="es-ES" w:eastAsia="es-ES"/>
        </w:rPr>
        <w:t xml:space="preserve"> alguna que permita inferir </w:t>
      </w:r>
      <w:r w:rsidR="00E91690" w:rsidRPr="00E01943">
        <w:rPr>
          <w:sz w:val="24"/>
          <w:szCs w:val="24"/>
        </w:rPr>
        <w:t xml:space="preserve">una razón de urgencia o de qué manera, no adoptar la medida, haría ilusorios los efectos de una eventual orden de amparo. </w:t>
      </w:r>
    </w:p>
    <w:p w14:paraId="485C3F0B" w14:textId="78E43711" w:rsidR="00BE5A91" w:rsidRDefault="00E91690" w:rsidP="00DC462D">
      <w:pPr>
        <w:autoSpaceDE w:val="0"/>
        <w:autoSpaceDN w:val="0"/>
        <w:adjustRightInd w:val="0"/>
        <w:rPr>
          <w:color w:val="000000"/>
          <w:sz w:val="24"/>
          <w:szCs w:val="24"/>
          <w:lang w:val="es-ES" w:eastAsia="es-ES"/>
        </w:rPr>
      </w:pPr>
      <w:r>
        <w:rPr>
          <w:color w:val="000000"/>
          <w:sz w:val="24"/>
          <w:szCs w:val="24"/>
          <w:lang w:val="es-ES" w:eastAsia="es-ES"/>
        </w:rPr>
        <w:t xml:space="preserve">En todo caso no se infiere que, </w:t>
      </w:r>
      <w:r w:rsidR="00BE5A91" w:rsidRPr="0096562A">
        <w:rPr>
          <w:color w:val="000000"/>
          <w:sz w:val="24"/>
          <w:szCs w:val="24"/>
          <w:lang w:val="es-ES" w:eastAsia="es-ES"/>
        </w:rPr>
        <w:t>de estar c</w:t>
      </w:r>
      <w:r w:rsidR="00A41081">
        <w:rPr>
          <w:color w:val="000000"/>
          <w:sz w:val="24"/>
          <w:szCs w:val="24"/>
          <w:lang w:val="es-ES" w:eastAsia="es-ES"/>
        </w:rPr>
        <w:t>onfigurada una posible lesión a</w:t>
      </w:r>
      <w:r w:rsidR="00BE5A91" w:rsidRPr="0096562A">
        <w:rPr>
          <w:color w:val="000000"/>
          <w:sz w:val="24"/>
          <w:szCs w:val="24"/>
          <w:lang w:val="es-ES" w:eastAsia="es-ES"/>
        </w:rPr>
        <w:t xml:space="preserve"> los derechos fundamentales, esta no pudiera evitarse con el fallo que corresponda proferir en virtud de este trámite constitucional, que tiene las características de ser un procedimiento preferente y sumario, conforme al artículo 1 del Decreto 2591 de 1991. Por lo tanto, el Despacho negará la medida provisional. </w:t>
      </w:r>
    </w:p>
    <w:p w14:paraId="68A4A65C" w14:textId="77777777" w:rsidR="003532B2" w:rsidRPr="009121BA" w:rsidRDefault="003532B2" w:rsidP="00DC462D">
      <w:pPr>
        <w:autoSpaceDE w:val="0"/>
        <w:autoSpaceDN w:val="0"/>
        <w:adjustRightInd w:val="0"/>
        <w:rPr>
          <w:color w:val="000000"/>
          <w:sz w:val="24"/>
          <w:szCs w:val="24"/>
          <w:lang w:val="es-ES" w:eastAsia="es-ES"/>
        </w:rPr>
      </w:pPr>
    </w:p>
    <w:p w14:paraId="6B6E6FE0" w14:textId="6510AD98" w:rsidR="00BE5393" w:rsidRPr="00BE5393" w:rsidRDefault="00BE5393" w:rsidP="00DC462D">
      <w:pPr>
        <w:overflowPunct w:val="0"/>
        <w:autoSpaceDE w:val="0"/>
        <w:autoSpaceDN w:val="0"/>
        <w:adjustRightInd w:val="0"/>
        <w:textAlignment w:val="baseline"/>
        <w:rPr>
          <w:rFonts w:eastAsia="Times New Roman"/>
          <w:sz w:val="24"/>
          <w:szCs w:val="24"/>
          <w:lang w:val="es-ES_tradnl" w:eastAsia="es-ES"/>
        </w:rPr>
      </w:pPr>
      <w:r w:rsidRPr="00BE5393">
        <w:rPr>
          <w:rFonts w:eastAsia="Times New Roman"/>
          <w:sz w:val="24"/>
          <w:szCs w:val="24"/>
          <w:lang w:val="es-ES_tradnl" w:eastAsia="es-ES"/>
        </w:rPr>
        <w:t xml:space="preserve">El Despacho, al encontrar reunidos los requisitos previstos en el artículo 14 del Decreto 2591 de 1991 y por </w:t>
      </w:r>
      <w:r w:rsidR="00277935">
        <w:rPr>
          <w:rFonts w:eastAsia="Times New Roman"/>
          <w:sz w:val="24"/>
          <w:szCs w:val="24"/>
          <w:lang w:val="es-ES_tradnl" w:eastAsia="es-ES"/>
        </w:rPr>
        <w:t xml:space="preserve">tener competencia </w:t>
      </w:r>
      <w:r w:rsidRPr="00BE5393">
        <w:rPr>
          <w:rFonts w:eastAsia="Times New Roman"/>
          <w:sz w:val="24"/>
          <w:szCs w:val="24"/>
          <w:lang w:val="es-ES_tradnl" w:eastAsia="es-ES"/>
        </w:rPr>
        <w:t xml:space="preserve">para conocer del trámite de la presente acción de conformidad con lo establecido en el artículo 86 de la Constitución Política, </w:t>
      </w:r>
      <w:r w:rsidR="00277935">
        <w:rPr>
          <w:rFonts w:eastAsia="Times New Roman"/>
          <w:sz w:val="24"/>
          <w:szCs w:val="24"/>
          <w:lang w:val="es-ES_tradnl" w:eastAsia="es-ES"/>
        </w:rPr>
        <w:t xml:space="preserve">y 37 del mencionado </w:t>
      </w:r>
      <w:r w:rsidRPr="00BE5393">
        <w:rPr>
          <w:rFonts w:eastAsia="Times New Roman"/>
          <w:sz w:val="24"/>
          <w:szCs w:val="24"/>
          <w:lang w:val="es-ES_tradnl" w:eastAsia="es-ES"/>
        </w:rPr>
        <w:t>Decreto 2591 de 1991</w:t>
      </w:r>
      <w:r w:rsidR="00277935">
        <w:rPr>
          <w:rFonts w:eastAsia="Times New Roman"/>
          <w:sz w:val="24"/>
          <w:szCs w:val="24"/>
          <w:lang w:val="es-ES_tradnl" w:eastAsia="es-ES"/>
        </w:rPr>
        <w:t>,</w:t>
      </w:r>
    </w:p>
    <w:p w14:paraId="53F0EEC8" w14:textId="400BCA03" w:rsidR="000972AC" w:rsidRPr="00BE5393" w:rsidRDefault="000972AC" w:rsidP="00DC462D">
      <w:pPr>
        <w:overflowPunct w:val="0"/>
        <w:autoSpaceDE w:val="0"/>
        <w:autoSpaceDN w:val="0"/>
        <w:adjustRightInd w:val="0"/>
        <w:textAlignment w:val="baseline"/>
        <w:rPr>
          <w:rFonts w:eastAsia="Times New Roman"/>
          <w:sz w:val="24"/>
          <w:szCs w:val="24"/>
          <w:lang w:val="es-ES_tradnl" w:eastAsia="es-ES"/>
        </w:rPr>
      </w:pPr>
    </w:p>
    <w:p w14:paraId="1439762D" w14:textId="77777777" w:rsidR="00BE5393" w:rsidRPr="00BE5393" w:rsidRDefault="00BE5393" w:rsidP="00DC462D">
      <w:pPr>
        <w:overflowPunct w:val="0"/>
        <w:autoSpaceDE w:val="0"/>
        <w:autoSpaceDN w:val="0"/>
        <w:adjustRightInd w:val="0"/>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RESUELVE</w:t>
      </w:r>
    </w:p>
    <w:p w14:paraId="7B774E3F" w14:textId="77777777" w:rsidR="00BE5393" w:rsidRPr="00BE5393" w:rsidRDefault="00BE5393" w:rsidP="00DC462D">
      <w:pPr>
        <w:overflowPunct w:val="0"/>
        <w:autoSpaceDE w:val="0"/>
        <w:autoSpaceDN w:val="0"/>
        <w:adjustRightInd w:val="0"/>
        <w:textAlignment w:val="baseline"/>
        <w:rPr>
          <w:rFonts w:eastAsia="Times New Roman"/>
          <w:sz w:val="24"/>
          <w:szCs w:val="24"/>
          <w:highlight w:val="yellow"/>
          <w:lang w:val="es-ES_tradnl" w:eastAsia="es-ES"/>
        </w:rPr>
      </w:pPr>
    </w:p>
    <w:p w14:paraId="77906775" w14:textId="1891E860" w:rsidR="007B021F" w:rsidRPr="00BE5393" w:rsidRDefault="00BE5393" w:rsidP="00DC462D">
      <w:pPr>
        <w:tabs>
          <w:tab w:val="left" w:pos="1985"/>
        </w:tabs>
        <w:rPr>
          <w:sz w:val="24"/>
          <w:szCs w:val="24"/>
          <w:lang w:val="es-ES" w:eastAsia="en-US"/>
        </w:rPr>
      </w:pPr>
      <w:r w:rsidRPr="00BE5393">
        <w:rPr>
          <w:b/>
          <w:sz w:val="24"/>
          <w:szCs w:val="24"/>
          <w:lang w:val="es-ES" w:eastAsia="en-US"/>
        </w:rPr>
        <w:t>PRIMERO:</w:t>
      </w:r>
      <w:r w:rsidRPr="00BE5393">
        <w:rPr>
          <w:sz w:val="24"/>
          <w:szCs w:val="24"/>
          <w:lang w:val="es-ES" w:eastAsia="en-US"/>
        </w:rPr>
        <w:t xml:space="preserve"> </w:t>
      </w:r>
      <w:r w:rsidRPr="00BE5393">
        <w:rPr>
          <w:b/>
          <w:sz w:val="24"/>
          <w:szCs w:val="24"/>
          <w:lang w:val="es-ES" w:eastAsia="en-US"/>
        </w:rPr>
        <w:t>ADMITIR</w:t>
      </w:r>
      <w:r w:rsidRPr="00BE5393">
        <w:rPr>
          <w:sz w:val="24"/>
          <w:szCs w:val="24"/>
          <w:lang w:val="es-ES" w:eastAsia="en-US"/>
        </w:rPr>
        <w:t xml:space="preserve"> la acción de tutela presentada por </w:t>
      </w:r>
      <w:r w:rsidR="003532B2">
        <w:rPr>
          <w:sz w:val="24"/>
          <w:szCs w:val="24"/>
          <w:lang w:val="es-ES" w:eastAsia="en-US"/>
        </w:rPr>
        <w:t xml:space="preserve">Rubén Darío Basto </w:t>
      </w:r>
      <w:proofErr w:type="spellStart"/>
      <w:r w:rsidR="003532B2">
        <w:rPr>
          <w:sz w:val="24"/>
          <w:szCs w:val="24"/>
          <w:lang w:val="es-ES" w:eastAsia="en-US"/>
        </w:rPr>
        <w:t>Devia</w:t>
      </w:r>
      <w:proofErr w:type="spellEnd"/>
      <w:r w:rsidR="003532B2">
        <w:rPr>
          <w:sz w:val="24"/>
          <w:szCs w:val="24"/>
          <w:lang w:val="es-ES" w:eastAsia="en-US"/>
        </w:rPr>
        <w:t xml:space="preserve"> </w:t>
      </w:r>
      <w:r w:rsidRPr="00BE5393">
        <w:rPr>
          <w:sz w:val="24"/>
          <w:szCs w:val="24"/>
          <w:lang w:val="es-ES" w:eastAsia="en-US"/>
        </w:rPr>
        <w:t xml:space="preserve">en contra </w:t>
      </w:r>
      <w:r w:rsidR="00EB3487">
        <w:rPr>
          <w:sz w:val="24"/>
          <w:szCs w:val="24"/>
          <w:lang w:val="es-ES" w:eastAsia="en-US"/>
        </w:rPr>
        <w:t xml:space="preserve">de </w:t>
      </w:r>
      <w:r w:rsidR="003532B2">
        <w:rPr>
          <w:sz w:val="24"/>
          <w:szCs w:val="24"/>
          <w:lang w:eastAsia="en-US"/>
        </w:rPr>
        <w:t xml:space="preserve">la </w:t>
      </w:r>
      <w:r w:rsidR="00CF1E3B" w:rsidRPr="00E51FAF">
        <w:rPr>
          <w:sz w:val="24"/>
          <w:szCs w:val="24"/>
          <w:lang w:eastAsia="en-US"/>
        </w:rPr>
        <w:t>Comisión Nacional de Disciplina Judicial</w:t>
      </w:r>
      <w:r w:rsidR="003532B2">
        <w:rPr>
          <w:sz w:val="24"/>
          <w:szCs w:val="24"/>
          <w:lang w:eastAsia="en-US"/>
        </w:rPr>
        <w:t>.</w:t>
      </w:r>
    </w:p>
    <w:p w14:paraId="7E1750E9" w14:textId="292124E0" w:rsidR="00BE5393" w:rsidRPr="00BE5393" w:rsidRDefault="00BE5393" w:rsidP="00DC462D">
      <w:pPr>
        <w:tabs>
          <w:tab w:val="left" w:pos="1985"/>
        </w:tabs>
        <w:rPr>
          <w:sz w:val="24"/>
          <w:szCs w:val="24"/>
          <w:lang w:val="es-ES" w:eastAsia="en-US"/>
        </w:rPr>
      </w:pPr>
    </w:p>
    <w:p w14:paraId="5F87EE55" w14:textId="73313D81" w:rsidR="00BE5393" w:rsidRPr="00BE5393" w:rsidRDefault="00BE5393" w:rsidP="00DC462D">
      <w:pPr>
        <w:ind w:right="51"/>
        <w:rPr>
          <w:sz w:val="24"/>
          <w:szCs w:val="24"/>
          <w:lang w:val="es-ES" w:eastAsia="en-US"/>
        </w:rPr>
      </w:pPr>
      <w:r w:rsidRPr="00BE5393">
        <w:rPr>
          <w:rFonts w:eastAsia="Times New Roman"/>
          <w:b/>
          <w:bCs/>
          <w:color w:val="000000"/>
          <w:sz w:val="24"/>
          <w:szCs w:val="24"/>
          <w:shd w:val="clear" w:color="auto" w:fill="FFFFFF"/>
          <w:lang w:val="es-ES" w:eastAsia="en-US"/>
        </w:rPr>
        <w:t xml:space="preserve">SEGUNDO: </w:t>
      </w:r>
      <w:r w:rsidR="003532B2" w:rsidRPr="00BE5393">
        <w:rPr>
          <w:rFonts w:eastAsia="Times New Roman"/>
          <w:b/>
          <w:bCs/>
          <w:color w:val="000000"/>
          <w:sz w:val="24"/>
          <w:szCs w:val="24"/>
          <w:shd w:val="clear" w:color="auto" w:fill="FFFFFF"/>
        </w:rPr>
        <w:t>VINCULAR</w:t>
      </w:r>
      <w:r w:rsidR="003532B2" w:rsidRPr="00BE5393">
        <w:rPr>
          <w:rFonts w:eastAsia="Times New Roman"/>
          <w:bCs/>
          <w:color w:val="000000"/>
          <w:sz w:val="24"/>
          <w:szCs w:val="24"/>
          <w:shd w:val="clear" w:color="auto" w:fill="FFFFFF"/>
        </w:rPr>
        <w:t xml:space="preserve"> a l</w:t>
      </w:r>
      <w:r w:rsidR="003532B2">
        <w:rPr>
          <w:rFonts w:eastAsia="Times New Roman"/>
          <w:bCs/>
          <w:color w:val="000000"/>
          <w:sz w:val="24"/>
          <w:szCs w:val="24"/>
          <w:shd w:val="clear" w:color="auto" w:fill="FFFFFF"/>
        </w:rPr>
        <w:t>a presente acción, como tercera interesada</w:t>
      </w:r>
      <w:r w:rsidR="003532B2" w:rsidRPr="00BE5393">
        <w:rPr>
          <w:rFonts w:eastAsia="Times New Roman"/>
          <w:bCs/>
          <w:color w:val="000000"/>
          <w:sz w:val="24"/>
          <w:szCs w:val="24"/>
          <w:shd w:val="clear" w:color="auto" w:fill="FFFFFF"/>
        </w:rPr>
        <w:t xml:space="preserve">, </w:t>
      </w:r>
      <w:r w:rsidR="003532B2">
        <w:rPr>
          <w:rFonts w:eastAsia="Times New Roman"/>
          <w:bCs/>
          <w:color w:val="000000"/>
          <w:sz w:val="24"/>
          <w:szCs w:val="24"/>
          <w:shd w:val="clear" w:color="auto" w:fill="FFFFFF"/>
        </w:rPr>
        <w:t xml:space="preserve">a </w:t>
      </w:r>
      <w:r w:rsidR="003532B2" w:rsidRPr="008B2DA2">
        <w:rPr>
          <w:rFonts w:eastAsia="Times New Roman"/>
          <w:bCs/>
          <w:color w:val="000000"/>
          <w:sz w:val="24"/>
          <w:szCs w:val="24"/>
          <w:shd w:val="clear" w:color="auto" w:fill="FFFFFF"/>
        </w:rPr>
        <w:t>la</w:t>
      </w:r>
      <w:r w:rsidR="003532B2">
        <w:rPr>
          <w:rFonts w:eastAsia="Times New Roman"/>
          <w:bCs/>
          <w:color w:val="000000"/>
          <w:sz w:val="24"/>
          <w:szCs w:val="24"/>
          <w:shd w:val="clear" w:color="auto" w:fill="FFFFFF"/>
        </w:rPr>
        <w:t xml:space="preserve"> </w:t>
      </w:r>
      <w:r w:rsidR="003532B2" w:rsidRPr="00E51FAF">
        <w:rPr>
          <w:sz w:val="24"/>
          <w:szCs w:val="24"/>
          <w:lang w:eastAsia="en-US"/>
        </w:rPr>
        <w:t xml:space="preserve">Comisión Seccional de Disciplina Judicial del </w:t>
      </w:r>
      <w:r w:rsidR="003532B2">
        <w:rPr>
          <w:sz w:val="24"/>
          <w:szCs w:val="24"/>
          <w:lang w:eastAsia="en-US"/>
        </w:rPr>
        <w:t xml:space="preserve">Tolima, que reemplazó la Sala Jurisdiccional Disciplinaria del Consejo Seccional de la Judicatura del Tolima. </w:t>
      </w:r>
    </w:p>
    <w:p w14:paraId="7CCF1E19" w14:textId="77777777" w:rsidR="00BE5393" w:rsidRPr="00BE5393" w:rsidRDefault="00BE5393" w:rsidP="00DC462D">
      <w:pPr>
        <w:rPr>
          <w:sz w:val="24"/>
          <w:szCs w:val="24"/>
          <w:lang w:val="es-ES"/>
        </w:rPr>
      </w:pPr>
    </w:p>
    <w:p w14:paraId="30C2A283" w14:textId="5CF2EBF5" w:rsidR="00BE5393" w:rsidRPr="007B021F" w:rsidRDefault="00BE5393" w:rsidP="00DC462D">
      <w:pPr>
        <w:rPr>
          <w:sz w:val="24"/>
          <w:szCs w:val="24"/>
        </w:rPr>
      </w:pPr>
      <w:r w:rsidRPr="00BE5393">
        <w:rPr>
          <w:rFonts w:eastAsia="Times New Roman"/>
          <w:b/>
          <w:bCs/>
          <w:color w:val="000000"/>
          <w:sz w:val="24"/>
          <w:szCs w:val="24"/>
          <w:shd w:val="clear" w:color="auto" w:fill="FFFFFF"/>
          <w:lang w:val="es-ES" w:eastAsia="en-US"/>
        </w:rPr>
        <w:t xml:space="preserve">TERCERO: </w:t>
      </w:r>
      <w:r w:rsidR="004F6D27" w:rsidRPr="00BE5393">
        <w:rPr>
          <w:rFonts w:eastAsia="Times New Roman"/>
          <w:b/>
          <w:bCs/>
          <w:color w:val="000000"/>
          <w:sz w:val="24"/>
          <w:szCs w:val="24"/>
          <w:shd w:val="clear" w:color="auto" w:fill="FFFFFF"/>
          <w:lang w:val="es-ES" w:eastAsia="en-US"/>
        </w:rPr>
        <w:t>NOTIFICAR</w:t>
      </w:r>
      <w:r w:rsidR="004F6D27" w:rsidRPr="00BE5393">
        <w:rPr>
          <w:rFonts w:eastAsia="Times New Roman"/>
          <w:color w:val="000000"/>
          <w:sz w:val="24"/>
          <w:szCs w:val="24"/>
          <w:shd w:val="clear" w:color="auto" w:fill="FFFFFF"/>
          <w:lang w:val="es-ES" w:eastAsia="en-US"/>
        </w:rPr>
        <w:t> el pr</w:t>
      </w:r>
      <w:r w:rsidR="004F6D27">
        <w:rPr>
          <w:rFonts w:eastAsia="Times New Roman"/>
          <w:color w:val="000000"/>
          <w:sz w:val="24"/>
          <w:szCs w:val="24"/>
          <w:shd w:val="clear" w:color="auto" w:fill="FFFFFF"/>
          <w:lang w:val="es-ES" w:eastAsia="en-US"/>
        </w:rPr>
        <w:t>esente auto a las partes y a al sujeto</w:t>
      </w:r>
      <w:r w:rsidR="004F6D27" w:rsidRPr="00BE5393">
        <w:rPr>
          <w:rFonts w:eastAsia="Times New Roman"/>
          <w:color w:val="000000"/>
          <w:sz w:val="24"/>
          <w:szCs w:val="24"/>
          <w:shd w:val="clear" w:color="auto" w:fill="FFFFFF"/>
          <w:lang w:val="es-ES" w:eastAsia="en-US"/>
        </w:rPr>
        <w:t xml:space="preserve"> vinculado de la forma más expedita posible. Esta providencia deberá ser publicada en las páginas web del Consejo de Estado y de la Rama Judicial.</w:t>
      </w:r>
    </w:p>
    <w:p w14:paraId="35E15821" w14:textId="77777777" w:rsidR="00BE5393" w:rsidRPr="00BE5393" w:rsidRDefault="00BE5393" w:rsidP="00DC462D">
      <w:pPr>
        <w:rPr>
          <w:rFonts w:eastAsia="Times New Roman"/>
          <w:b/>
          <w:bCs/>
          <w:color w:val="000000"/>
          <w:sz w:val="24"/>
          <w:szCs w:val="24"/>
          <w:shd w:val="clear" w:color="auto" w:fill="FFFFFF"/>
          <w:lang w:val="es-ES" w:eastAsia="en-US"/>
        </w:rPr>
      </w:pPr>
    </w:p>
    <w:p w14:paraId="20FEA9FB" w14:textId="1FB445E6" w:rsidR="00BE5393" w:rsidRPr="00BE5393" w:rsidRDefault="00BE5393" w:rsidP="00DC462D">
      <w:pPr>
        <w:rPr>
          <w:rFonts w:eastAsia="Times New Roman"/>
          <w:color w:val="000000"/>
          <w:sz w:val="24"/>
          <w:szCs w:val="24"/>
          <w:shd w:val="clear" w:color="auto" w:fill="FFFFFF"/>
          <w:lang w:val="es-ES" w:eastAsia="en-US"/>
        </w:rPr>
      </w:pPr>
      <w:r w:rsidRPr="00BE5393">
        <w:rPr>
          <w:rFonts w:eastAsia="Times New Roman"/>
          <w:b/>
          <w:sz w:val="24"/>
          <w:szCs w:val="24"/>
          <w:lang w:val="es-ES_tradnl" w:eastAsia="es-ES"/>
        </w:rPr>
        <w:lastRenderedPageBreak/>
        <w:t xml:space="preserve">CUARTO: </w:t>
      </w:r>
      <w:r w:rsidR="004F6D27" w:rsidRPr="00BE5393">
        <w:rPr>
          <w:rFonts w:eastAsia="Times New Roman"/>
          <w:b/>
          <w:color w:val="000000"/>
          <w:sz w:val="24"/>
          <w:szCs w:val="24"/>
          <w:lang w:val="es-ES_tradnl" w:eastAsia="es-ES"/>
        </w:rPr>
        <w:t>COMUNICAR</w:t>
      </w:r>
      <w:r w:rsidR="004F6D27" w:rsidRPr="00BE5393">
        <w:rPr>
          <w:rFonts w:eastAsia="Times New Roman"/>
          <w:color w:val="000000"/>
          <w:sz w:val="24"/>
          <w:szCs w:val="24"/>
          <w:lang w:val="es-ES_tradnl" w:eastAsia="es-ES"/>
        </w:rPr>
        <w:t xml:space="preserve"> a las partes y a los sujetos vinculados que podrán presentar informes sobre los hechos en que se sustenta la presente acción, </w:t>
      </w:r>
      <w:r w:rsidR="004F6D27" w:rsidRPr="00BE5393">
        <w:rPr>
          <w:rFonts w:eastAsia="Times New Roman"/>
          <w:sz w:val="24"/>
          <w:szCs w:val="24"/>
          <w:lang w:val="es-ES_tradnl" w:eastAsia="es-ES"/>
        </w:rPr>
        <w:t>en el término de dos (2) días contados a partir del recibo de la notificación.</w:t>
      </w:r>
      <w:r w:rsidR="004F6D27" w:rsidRPr="00BE5393">
        <w:rPr>
          <w:rFonts w:eastAsia="Times New Roman"/>
          <w:color w:val="000000"/>
          <w:sz w:val="24"/>
          <w:szCs w:val="24"/>
          <w:lang w:val="es-ES_tradnl" w:eastAsia="es-ES"/>
        </w:rPr>
        <w:t xml:space="preserve"> Estos se considerarán rendidos bajo juramento (artículos 19 y 20 del Decreto 2591 de 1991).</w:t>
      </w:r>
    </w:p>
    <w:p w14:paraId="64CBBA4E" w14:textId="77777777" w:rsidR="00BE5393" w:rsidRPr="00BE5393" w:rsidRDefault="00BE5393" w:rsidP="00DC462D">
      <w:pPr>
        <w:overflowPunct w:val="0"/>
        <w:autoSpaceDE w:val="0"/>
        <w:autoSpaceDN w:val="0"/>
        <w:adjustRightInd w:val="0"/>
        <w:textAlignment w:val="baseline"/>
        <w:rPr>
          <w:rFonts w:eastAsia="Times New Roman"/>
          <w:bCs/>
          <w:sz w:val="24"/>
          <w:szCs w:val="24"/>
          <w:lang w:val="es-ES_tradnl" w:eastAsia="es-ES"/>
        </w:rPr>
      </w:pPr>
    </w:p>
    <w:p w14:paraId="76B71E0C" w14:textId="3ED557CE" w:rsidR="00BE5393" w:rsidRPr="00BE5393" w:rsidRDefault="00BE5393" w:rsidP="00DC462D">
      <w:pPr>
        <w:overflowPunct w:val="0"/>
        <w:autoSpaceDE w:val="0"/>
        <w:autoSpaceDN w:val="0"/>
        <w:adjustRightInd w:val="0"/>
        <w:textAlignment w:val="baseline"/>
        <w:rPr>
          <w:rFonts w:eastAsia="Times New Roman"/>
          <w:color w:val="000000"/>
          <w:sz w:val="24"/>
          <w:szCs w:val="24"/>
          <w:lang w:val="es-ES_tradnl" w:eastAsia="es-ES"/>
        </w:rPr>
      </w:pPr>
      <w:r w:rsidRPr="00BE5393">
        <w:rPr>
          <w:rFonts w:eastAsia="Times New Roman"/>
          <w:b/>
          <w:sz w:val="24"/>
          <w:szCs w:val="24"/>
          <w:lang w:val="es-ES_tradnl" w:eastAsia="es-ES"/>
        </w:rPr>
        <w:t>QUINTO</w:t>
      </w:r>
      <w:r w:rsidRPr="00BE5393">
        <w:rPr>
          <w:rFonts w:eastAsia="Times New Roman"/>
          <w:b/>
          <w:color w:val="000000"/>
          <w:sz w:val="24"/>
          <w:szCs w:val="24"/>
          <w:lang w:val="es-ES_tradnl" w:eastAsia="es-ES"/>
        </w:rPr>
        <w:t>:</w:t>
      </w:r>
      <w:r w:rsidRPr="00BE5393">
        <w:rPr>
          <w:rFonts w:eastAsia="Times New Roman"/>
          <w:b/>
          <w:sz w:val="24"/>
          <w:szCs w:val="24"/>
          <w:lang w:val="es-ES_tradnl" w:eastAsia="es-ES"/>
        </w:rPr>
        <w:t xml:space="preserve"> </w:t>
      </w:r>
      <w:r w:rsidR="004F6D27" w:rsidRPr="00BE5393">
        <w:rPr>
          <w:b/>
          <w:sz w:val="24"/>
          <w:szCs w:val="24"/>
          <w:lang w:val="es-ES_tradnl" w:eastAsia="en-US"/>
        </w:rPr>
        <w:t xml:space="preserve">TENER </w:t>
      </w:r>
      <w:r w:rsidR="004F6D27" w:rsidRPr="00BE5393">
        <w:rPr>
          <w:bCs/>
          <w:sz w:val="24"/>
          <w:szCs w:val="24"/>
          <w:lang w:val="es-ES_tradnl" w:eastAsia="en-US"/>
        </w:rPr>
        <w:t>como pruebas los documentos aportados con el escrito de tutela.</w:t>
      </w:r>
    </w:p>
    <w:p w14:paraId="6A0898C9" w14:textId="77777777" w:rsidR="00BE5393" w:rsidRPr="00BE5393" w:rsidRDefault="00BE5393" w:rsidP="00DC462D">
      <w:pPr>
        <w:overflowPunct w:val="0"/>
        <w:autoSpaceDE w:val="0"/>
        <w:autoSpaceDN w:val="0"/>
        <w:adjustRightInd w:val="0"/>
        <w:textAlignment w:val="baseline"/>
        <w:rPr>
          <w:rFonts w:eastAsia="Times New Roman"/>
          <w:color w:val="000000"/>
          <w:sz w:val="24"/>
          <w:szCs w:val="24"/>
          <w:lang w:val="es-ES_tradnl" w:eastAsia="es-ES"/>
        </w:rPr>
      </w:pPr>
    </w:p>
    <w:p w14:paraId="66DA3C8C" w14:textId="0A640C29" w:rsidR="00BE5393" w:rsidRDefault="00BE5393" w:rsidP="00DC462D">
      <w:pPr>
        <w:ind w:right="51"/>
        <w:rPr>
          <w:bCs/>
          <w:sz w:val="24"/>
          <w:szCs w:val="24"/>
          <w:lang w:val="es-ES_tradnl" w:eastAsia="en-US"/>
        </w:rPr>
      </w:pPr>
      <w:r w:rsidRPr="00BE5393">
        <w:rPr>
          <w:b/>
          <w:sz w:val="24"/>
          <w:szCs w:val="24"/>
          <w:lang w:val="es-ES" w:eastAsia="en-US"/>
        </w:rPr>
        <w:t xml:space="preserve">SEXTO: </w:t>
      </w:r>
      <w:r w:rsidR="004F6D27">
        <w:rPr>
          <w:b/>
          <w:sz w:val="24"/>
          <w:szCs w:val="24"/>
          <w:lang w:val="es-ES"/>
        </w:rPr>
        <w:t>SOLICITAR</w:t>
      </w:r>
      <w:r w:rsidR="004F6D27" w:rsidRPr="00BE5393">
        <w:rPr>
          <w:b/>
          <w:sz w:val="24"/>
          <w:szCs w:val="24"/>
          <w:lang w:val="es-ES"/>
        </w:rPr>
        <w:t xml:space="preserve"> </w:t>
      </w:r>
      <w:r w:rsidR="004F6D27">
        <w:rPr>
          <w:sz w:val="24"/>
          <w:szCs w:val="24"/>
          <w:lang w:val="es-ES_tradnl"/>
        </w:rPr>
        <w:t xml:space="preserve">a </w:t>
      </w:r>
      <w:r w:rsidR="004F6D27">
        <w:rPr>
          <w:sz w:val="24"/>
          <w:szCs w:val="24"/>
          <w:lang w:eastAsia="en-US"/>
        </w:rPr>
        <w:t xml:space="preserve">la </w:t>
      </w:r>
      <w:r w:rsidR="004F6D27" w:rsidRPr="00E51FAF">
        <w:rPr>
          <w:sz w:val="24"/>
          <w:szCs w:val="24"/>
          <w:lang w:eastAsia="en-US"/>
        </w:rPr>
        <w:t xml:space="preserve">Comisión Seccional de Disciplina Judicial del </w:t>
      </w:r>
      <w:r w:rsidR="004F6D27">
        <w:rPr>
          <w:sz w:val="24"/>
          <w:szCs w:val="24"/>
          <w:lang w:eastAsia="en-US"/>
        </w:rPr>
        <w:t>Tolima</w:t>
      </w:r>
      <w:r w:rsidR="004F6D27" w:rsidRPr="00E51FAF">
        <w:rPr>
          <w:sz w:val="24"/>
          <w:szCs w:val="24"/>
          <w:lang w:eastAsia="en-US"/>
        </w:rPr>
        <w:t xml:space="preserve"> y </w:t>
      </w:r>
      <w:r w:rsidR="004F6D27">
        <w:rPr>
          <w:sz w:val="24"/>
          <w:szCs w:val="24"/>
          <w:lang w:eastAsia="en-US"/>
        </w:rPr>
        <w:t xml:space="preserve">a la </w:t>
      </w:r>
      <w:r w:rsidR="004F6D27" w:rsidRPr="00E51FAF">
        <w:rPr>
          <w:sz w:val="24"/>
          <w:szCs w:val="24"/>
          <w:lang w:eastAsia="en-US"/>
        </w:rPr>
        <w:t>Comisión Nacional de Disciplina Judicial</w:t>
      </w:r>
      <w:r w:rsidR="004F6D27" w:rsidRPr="00BE5393">
        <w:rPr>
          <w:sz w:val="24"/>
          <w:szCs w:val="24"/>
          <w:lang w:val="es-ES"/>
        </w:rPr>
        <w:t xml:space="preserve"> </w:t>
      </w:r>
      <w:r w:rsidR="004F6D27" w:rsidRPr="00BE5393">
        <w:rPr>
          <w:bCs/>
          <w:sz w:val="24"/>
          <w:szCs w:val="24"/>
          <w:lang w:val="es-ES"/>
        </w:rPr>
        <w:t xml:space="preserve">que, quien tenga </w:t>
      </w:r>
      <w:r w:rsidR="004F6D27" w:rsidRPr="00BE5393">
        <w:rPr>
          <w:sz w:val="24"/>
          <w:szCs w:val="24"/>
          <w:lang w:val="es-ES"/>
        </w:rPr>
        <w:t xml:space="preserve">el </w:t>
      </w:r>
      <w:r w:rsidR="004F6D27" w:rsidRPr="00BE5393">
        <w:rPr>
          <w:sz w:val="24"/>
          <w:szCs w:val="24"/>
          <w:lang w:val="es-ES_tradnl"/>
        </w:rPr>
        <w:t xml:space="preserve">expediente del </w:t>
      </w:r>
      <w:r w:rsidR="004F6D27">
        <w:rPr>
          <w:sz w:val="24"/>
          <w:szCs w:val="24"/>
        </w:rPr>
        <w:t xml:space="preserve">procedimiento disciplinario con </w:t>
      </w:r>
      <w:r w:rsidR="004F6D27" w:rsidRPr="00BE5393">
        <w:rPr>
          <w:sz w:val="24"/>
          <w:szCs w:val="24"/>
        </w:rPr>
        <w:t xml:space="preserve">radicado </w:t>
      </w:r>
      <w:r w:rsidR="004F6D27">
        <w:rPr>
          <w:sz w:val="24"/>
          <w:szCs w:val="24"/>
        </w:rPr>
        <w:t xml:space="preserve">núm. </w:t>
      </w:r>
      <w:r w:rsidR="004F6D27" w:rsidRPr="007372AC">
        <w:rPr>
          <w:sz w:val="24"/>
          <w:szCs w:val="24"/>
          <w:lang w:eastAsia="en-US"/>
        </w:rPr>
        <w:t>73001-11-02-002-2017-00484-01</w:t>
      </w:r>
      <w:r w:rsidR="004F6D27" w:rsidRPr="00BE5393">
        <w:rPr>
          <w:bCs/>
          <w:sz w:val="24"/>
          <w:szCs w:val="24"/>
        </w:rPr>
        <w:t xml:space="preserve">, </w:t>
      </w:r>
      <w:r w:rsidR="004F6D27">
        <w:rPr>
          <w:bCs/>
          <w:sz w:val="24"/>
          <w:szCs w:val="24"/>
        </w:rPr>
        <w:t>lo allegue al expediente de tutela</w:t>
      </w:r>
      <w:r w:rsidR="004F6D27" w:rsidRPr="00BE5393">
        <w:rPr>
          <w:bCs/>
          <w:sz w:val="24"/>
          <w:szCs w:val="24"/>
        </w:rPr>
        <w:t xml:space="preserve"> en medio digital</w:t>
      </w:r>
      <w:r w:rsidR="004F6D27">
        <w:rPr>
          <w:sz w:val="24"/>
          <w:szCs w:val="24"/>
          <w:lang w:eastAsia="en-US"/>
        </w:rPr>
        <w:t>.</w:t>
      </w:r>
    </w:p>
    <w:p w14:paraId="4AC21BA8" w14:textId="77777777" w:rsidR="003532B2" w:rsidRPr="00BE5393" w:rsidRDefault="003532B2" w:rsidP="00DC462D">
      <w:pPr>
        <w:ind w:right="51"/>
        <w:rPr>
          <w:bCs/>
          <w:sz w:val="24"/>
          <w:szCs w:val="24"/>
          <w:lang w:val="es-ES_tradnl" w:eastAsia="en-US"/>
        </w:rPr>
      </w:pPr>
    </w:p>
    <w:p w14:paraId="2043DC8E" w14:textId="5ADB55BB" w:rsidR="00BE5393" w:rsidRDefault="00BE5393" w:rsidP="00DC462D">
      <w:pPr>
        <w:ind w:right="51"/>
        <w:rPr>
          <w:sz w:val="24"/>
          <w:szCs w:val="24"/>
          <w:lang w:eastAsia="en-US"/>
        </w:rPr>
      </w:pPr>
      <w:r w:rsidRPr="00BE5393">
        <w:rPr>
          <w:b/>
          <w:sz w:val="24"/>
          <w:szCs w:val="24"/>
          <w:lang w:val="es-ES" w:eastAsia="en-US"/>
        </w:rPr>
        <w:t>SÉPTIMO:</w:t>
      </w:r>
      <w:r w:rsidRPr="00BE5393">
        <w:rPr>
          <w:b/>
          <w:sz w:val="24"/>
          <w:szCs w:val="24"/>
        </w:rPr>
        <w:t xml:space="preserve"> </w:t>
      </w:r>
      <w:r w:rsidR="004F6D27" w:rsidRPr="009121BA">
        <w:rPr>
          <w:b/>
          <w:sz w:val="24"/>
          <w:szCs w:val="24"/>
        </w:rPr>
        <w:t xml:space="preserve">NEGAR </w:t>
      </w:r>
      <w:r w:rsidR="004F6D27" w:rsidRPr="009121BA">
        <w:rPr>
          <w:sz w:val="24"/>
          <w:szCs w:val="24"/>
        </w:rPr>
        <w:t>la solicitud de medida provisional presentada por</w:t>
      </w:r>
      <w:r w:rsidR="004F6D27">
        <w:rPr>
          <w:sz w:val="24"/>
          <w:szCs w:val="24"/>
        </w:rPr>
        <w:t xml:space="preserve"> </w:t>
      </w:r>
      <w:r w:rsidR="004F6D27">
        <w:rPr>
          <w:sz w:val="24"/>
          <w:szCs w:val="24"/>
          <w:lang w:val="es-ES" w:eastAsia="en-US"/>
        </w:rPr>
        <w:t xml:space="preserve">Rubén Darío Basto </w:t>
      </w:r>
      <w:proofErr w:type="spellStart"/>
      <w:r w:rsidR="004F6D27">
        <w:rPr>
          <w:sz w:val="24"/>
          <w:szCs w:val="24"/>
          <w:lang w:val="es-ES" w:eastAsia="en-US"/>
        </w:rPr>
        <w:t>Devia</w:t>
      </w:r>
      <w:proofErr w:type="spellEnd"/>
      <w:r w:rsidR="004F6D27" w:rsidRPr="009121BA">
        <w:rPr>
          <w:sz w:val="24"/>
          <w:szCs w:val="24"/>
        </w:rPr>
        <w:t>, por las razones expuestas en esta providencia</w:t>
      </w:r>
    </w:p>
    <w:p w14:paraId="13ABD174" w14:textId="77777777" w:rsidR="003532B2" w:rsidRDefault="003532B2" w:rsidP="00DC462D">
      <w:pPr>
        <w:ind w:right="51"/>
        <w:rPr>
          <w:sz w:val="24"/>
          <w:szCs w:val="24"/>
          <w:lang w:eastAsia="en-US"/>
        </w:rPr>
      </w:pPr>
    </w:p>
    <w:p w14:paraId="7DC8E5D0" w14:textId="77A745B0" w:rsidR="00BC66DC" w:rsidRDefault="00BE5393" w:rsidP="00DC462D">
      <w:pPr>
        <w:overflowPunct w:val="0"/>
        <w:autoSpaceDE w:val="0"/>
        <w:autoSpaceDN w:val="0"/>
        <w:adjustRightInd w:val="0"/>
        <w:textAlignment w:val="baseline"/>
        <w:rPr>
          <w:b/>
          <w:sz w:val="24"/>
          <w:szCs w:val="24"/>
          <w:lang w:val="es-ES" w:eastAsia="en-US"/>
        </w:rPr>
      </w:pPr>
      <w:r w:rsidRPr="00BE5393">
        <w:rPr>
          <w:b/>
          <w:sz w:val="24"/>
          <w:szCs w:val="24"/>
          <w:lang w:val="es-ES" w:eastAsia="en-US"/>
        </w:rPr>
        <w:t xml:space="preserve">OCTAVO: </w:t>
      </w:r>
      <w:r w:rsidR="004F6D27" w:rsidRPr="00BE5393">
        <w:rPr>
          <w:b/>
          <w:sz w:val="24"/>
          <w:szCs w:val="24"/>
        </w:rPr>
        <w:t>SUSPENDER</w:t>
      </w:r>
      <w:r w:rsidR="004F6D27" w:rsidRPr="00BE5393">
        <w:rPr>
          <w:sz w:val="24"/>
          <w:szCs w:val="24"/>
        </w:rPr>
        <w:t xml:space="preserve"> </w:t>
      </w:r>
      <w:r w:rsidR="004F6D27" w:rsidRPr="00BE5393">
        <w:rPr>
          <w:sz w:val="24"/>
          <w:szCs w:val="24"/>
          <w:lang w:val="es-ES"/>
        </w:rPr>
        <w:t>los términos de la presente acción constitucional hasta tanto se dé cumplimiento a las órdenes impartidas en esta providencia y el expediente regrese al Despacho desde la Secretaría General.</w:t>
      </w:r>
    </w:p>
    <w:p w14:paraId="49E1F3F7" w14:textId="77777777" w:rsidR="00EB3487" w:rsidRDefault="00EB3487" w:rsidP="00DC462D">
      <w:pPr>
        <w:overflowPunct w:val="0"/>
        <w:autoSpaceDE w:val="0"/>
        <w:autoSpaceDN w:val="0"/>
        <w:adjustRightInd w:val="0"/>
        <w:textAlignment w:val="baseline"/>
        <w:rPr>
          <w:b/>
          <w:sz w:val="24"/>
          <w:szCs w:val="24"/>
          <w:lang w:val="es-ES"/>
        </w:rPr>
      </w:pPr>
    </w:p>
    <w:p w14:paraId="53970C63" w14:textId="536AF911" w:rsidR="00BE5393" w:rsidRPr="00BE5393" w:rsidRDefault="00BE5393" w:rsidP="00DC462D">
      <w:pPr>
        <w:overflowPunct w:val="0"/>
        <w:autoSpaceDE w:val="0"/>
        <w:autoSpaceDN w:val="0"/>
        <w:adjustRightInd w:val="0"/>
        <w:textAlignment w:val="baseline"/>
        <w:rPr>
          <w:rFonts w:eastAsia="Times New Roman"/>
          <w:sz w:val="24"/>
          <w:szCs w:val="24"/>
          <w:lang w:val="es-ES_tradnl" w:eastAsia="es-ES"/>
        </w:rPr>
      </w:pPr>
      <w:r w:rsidRPr="00BE5393">
        <w:rPr>
          <w:rFonts w:eastAsia="Times New Roman"/>
          <w:b/>
          <w:sz w:val="24"/>
          <w:szCs w:val="24"/>
          <w:lang w:val="es-ES_tradnl" w:eastAsia="es-ES"/>
        </w:rPr>
        <w:t>Notifíquese y Cúmplase</w:t>
      </w:r>
      <w:r w:rsidRPr="00BE5393">
        <w:rPr>
          <w:rFonts w:eastAsia="Times New Roman"/>
          <w:sz w:val="24"/>
          <w:szCs w:val="24"/>
          <w:lang w:val="es-ES_tradnl" w:eastAsia="es-ES"/>
        </w:rPr>
        <w:t>,</w:t>
      </w:r>
    </w:p>
    <w:p w14:paraId="19DC6F97" w14:textId="1E4BC470" w:rsidR="007B021F" w:rsidRDefault="007B021F" w:rsidP="00DC462D">
      <w:pPr>
        <w:overflowPunct w:val="0"/>
        <w:autoSpaceDE w:val="0"/>
        <w:autoSpaceDN w:val="0"/>
        <w:adjustRightInd w:val="0"/>
        <w:textAlignment w:val="baseline"/>
        <w:rPr>
          <w:rFonts w:eastAsia="Times New Roman"/>
          <w:sz w:val="24"/>
          <w:szCs w:val="24"/>
          <w:lang w:val="es-ES_tradnl" w:eastAsia="es-ES"/>
        </w:rPr>
      </w:pPr>
    </w:p>
    <w:p w14:paraId="5D44057C" w14:textId="4E18FFFD" w:rsidR="000E3491" w:rsidRDefault="000E3491" w:rsidP="00DC462D">
      <w:pPr>
        <w:overflowPunct w:val="0"/>
        <w:autoSpaceDE w:val="0"/>
        <w:autoSpaceDN w:val="0"/>
        <w:adjustRightInd w:val="0"/>
        <w:textAlignment w:val="baseline"/>
        <w:rPr>
          <w:rFonts w:eastAsia="Times New Roman"/>
          <w:sz w:val="24"/>
          <w:szCs w:val="24"/>
          <w:lang w:val="es-ES_tradnl" w:eastAsia="es-ES"/>
        </w:rPr>
      </w:pPr>
    </w:p>
    <w:p w14:paraId="2B82FA2C" w14:textId="77777777" w:rsidR="00BE5393" w:rsidRPr="00BE5393" w:rsidRDefault="00BE5393" w:rsidP="00DC462D">
      <w:pPr>
        <w:overflowPunct w:val="0"/>
        <w:autoSpaceDE w:val="0"/>
        <w:autoSpaceDN w:val="0"/>
        <w:adjustRightInd w:val="0"/>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JAIME ENRIQUE RODRÍGUEZ NAVAS</w:t>
      </w:r>
    </w:p>
    <w:p w14:paraId="7C008A4A" w14:textId="51A9D4E0" w:rsidR="00BE5A91" w:rsidRPr="00BE5393" w:rsidRDefault="00BE5393" w:rsidP="004F6D27">
      <w:pPr>
        <w:overflowPunct w:val="0"/>
        <w:autoSpaceDE w:val="0"/>
        <w:autoSpaceDN w:val="0"/>
        <w:adjustRightInd w:val="0"/>
        <w:jc w:val="center"/>
        <w:textAlignment w:val="baseline"/>
      </w:pPr>
      <w:r w:rsidRPr="00BE5393">
        <w:rPr>
          <w:rFonts w:eastAsia="Times New Roman"/>
          <w:b/>
          <w:sz w:val="24"/>
          <w:szCs w:val="24"/>
          <w:lang w:val="es-ES_tradnl" w:eastAsia="es-ES"/>
        </w:rPr>
        <w:t>Magistrado</w:t>
      </w:r>
    </w:p>
    <w:sectPr w:rsidR="00BE5A91" w:rsidRPr="00BE5393"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177A4" w14:textId="77777777" w:rsidR="003A60BB" w:rsidRDefault="003A60BB" w:rsidP="00117091">
      <w:r>
        <w:separator/>
      </w:r>
    </w:p>
  </w:endnote>
  <w:endnote w:type="continuationSeparator" w:id="0">
    <w:p w14:paraId="74D6D862" w14:textId="77777777" w:rsidR="003A60BB" w:rsidRDefault="003A60BB"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B6429B" w14:paraId="4830A873" w14:textId="77777777" w:rsidTr="00B6429B">
      <w:trPr>
        <w:jc w:val="right"/>
      </w:trPr>
      <w:tc>
        <w:tcPr>
          <w:tcW w:w="4795" w:type="dxa"/>
          <w:vAlign w:val="center"/>
        </w:tcPr>
        <w:p w14:paraId="0C43E376" w14:textId="77777777" w:rsidR="00B6429B" w:rsidRDefault="00B6429B"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B6429B" w:rsidRPr="00A21194" w:rsidRDefault="00B6429B"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588065F5" w:rsidR="00B6429B" w:rsidRPr="00B6429B" w:rsidRDefault="00B6429B" w:rsidP="00B6429B">
          <w:pPr>
            <w:pStyle w:val="Piedepgina"/>
            <w:jc w:val="center"/>
          </w:pPr>
          <w:r w:rsidRPr="00B6429B">
            <w:fldChar w:fldCharType="begin"/>
          </w:r>
          <w:r w:rsidRPr="00B6429B">
            <w:instrText>PAGE   \* MERGEFORMAT</w:instrText>
          </w:r>
          <w:r w:rsidRPr="00B6429B">
            <w:fldChar w:fldCharType="separate"/>
          </w:r>
          <w:r w:rsidR="00F037CB" w:rsidRPr="00F037CB">
            <w:rPr>
              <w:noProof/>
              <w:lang w:val="es-ES"/>
            </w:rPr>
            <w:t>3</w:t>
          </w:r>
          <w:r w:rsidRPr="00B6429B">
            <w:fldChar w:fldCharType="end"/>
          </w:r>
        </w:p>
      </w:tc>
    </w:tr>
  </w:tbl>
  <w:p w14:paraId="17AD93B2" w14:textId="77777777" w:rsidR="00EC38ED" w:rsidRPr="008C0DBE" w:rsidRDefault="00EC38ED" w:rsidP="00394A69">
    <w:pPr>
      <w:pStyle w:val="Piedepgina"/>
      <w:jc w:val="center"/>
      <w:rPr>
        <w:color w:val="767171"/>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A21194" w14:paraId="7BC39794" w14:textId="77777777" w:rsidTr="00B6429B">
      <w:trPr>
        <w:jc w:val="right"/>
      </w:trPr>
      <w:tc>
        <w:tcPr>
          <w:tcW w:w="4795" w:type="dxa"/>
          <w:vAlign w:val="center"/>
        </w:tcPr>
        <w:p w14:paraId="60E1FF49" w14:textId="77777777" w:rsidR="00B6429B" w:rsidRDefault="00A21194"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A21194" w:rsidRPr="00A21194" w:rsidRDefault="00A21194"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05B9FAA0" w:rsidR="00A21194" w:rsidRPr="00B6429B" w:rsidRDefault="00A21194">
          <w:pPr>
            <w:pStyle w:val="Piedepgina"/>
            <w:jc w:val="center"/>
          </w:pPr>
          <w:r w:rsidRPr="00B6429B">
            <w:fldChar w:fldCharType="begin"/>
          </w:r>
          <w:r w:rsidRPr="00B6429B">
            <w:instrText>PAGE   \* MERGEFORMAT</w:instrText>
          </w:r>
          <w:r w:rsidRPr="00B6429B">
            <w:fldChar w:fldCharType="separate"/>
          </w:r>
          <w:r w:rsidR="00A52EA8" w:rsidRPr="00A52EA8">
            <w:rPr>
              <w:noProof/>
              <w:lang w:val="es-ES"/>
            </w:rPr>
            <w:t>1</w:t>
          </w:r>
          <w:r w:rsidRPr="00B6429B">
            <w:fldChar w:fldCharType="end"/>
          </w:r>
        </w:p>
      </w:tc>
    </w:tr>
  </w:tbl>
  <w:p w14:paraId="5630AD66" w14:textId="77777777" w:rsidR="00F91B32" w:rsidRDefault="00F91B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C81FD" w14:textId="77777777" w:rsidR="003A60BB" w:rsidRDefault="003A60BB" w:rsidP="00117091">
      <w:r>
        <w:separator/>
      </w:r>
    </w:p>
  </w:footnote>
  <w:footnote w:type="continuationSeparator" w:id="0">
    <w:p w14:paraId="508D7C56" w14:textId="77777777" w:rsidR="003A60BB" w:rsidRDefault="003A60BB" w:rsidP="00117091">
      <w:r>
        <w:continuationSeparator/>
      </w:r>
    </w:p>
  </w:footnote>
  <w:footnote w:id="1">
    <w:p w14:paraId="7198A464" w14:textId="722C0AA0" w:rsidR="003532B2" w:rsidRDefault="003532B2">
      <w:pPr>
        <w:pStyle w:val="Textonotapie"/>
      </w:pPr>
      <w:r>
        <w:rPr>
          <w:rStyle w:val="Refdenotaalpie"/>
        </w:rPr>
        <w:footnoteRef/>
      </w:r>
      <w:r>
        <w:t xml:space="preserve"> Sentencia del 20 de mayo de 2020, proferida por la Sala Jurisdiccional Disciplinaria del Consejo Seccional de la Judicatura del Tolima. </w:t>
      </w:r>
    </w:p>
  </w:footnote>
  <w:footnote w:id="2">
    <w:p w14:paraId="6A8FB722" w14:textId="77777777" w:rsidR="00E6164A" w:rsidRPr="0050229B" w:rsidRDefault="00E6164A" w:rsidP="00E6164A">
      <w:pPr>
        <w:pStyle w:val="Textonotapie"/>
        <w:rPr>
          <w:lang w:val="es-MX"/>
        </w:rPr>
      </w:pPr>
      <w:r w:rsidRPr="0050229B">
        <w:rPr>
          <w:rStyle w:val="Refdenotaalpie"/>
        </w:rPr>
        <w:footnoteRef/>
      </w:r>
      <w:r w:rsidRPr="0050229B">
        <w:t xml:space="preserve"> Cfr. Corte Constitucional, Autos 262 de 2019, 680 de 2018 y 312 de 2018.</w:t>
      </w:r>
    </w:p>
  </w:footnote>
  <w:footnote w:id="3">
    <w:p w14:paraId="2671908F" w14:textId="77777777" w:rsidR="00E6164A" w:rsidRPr="0050229B" w:rsidRDefault="00E6164A" w:rsidP="00E6164A">
      <w:pPr>
        <w:pStyle w:val="Textonotapie"/>
        <w:rPr>
          <w:lang w:val="es-MX"/>
        </w:rPr>
      </w:pPr>
      <w:r w:rsidRPr="0050229B">
        <w:rPr>
          <w:rStyle w:val="Refdenotaalpie"/>
        </w:rPr>
        <w:footnoteRef/>
      </w:r>
      <w:r w:rsidRPr="0050229B">
        <w:t xml:space="preserve"> </w:t>
      </w:r>
      <w:r w:rsidRPr="0050229B">
        <w:rPr>
          <w:lang w:val="es-MX"/>
        </w:rPr>
        <w:t>Corte Constitucional, Auto 311 de 2019.</w:t>
      </w:r>
    </w:p>
  </w:footnote>
  <w:footnote w:id="4">
    <w:p w14:paraId="6DC3856E" w14:textId="77777777" w:rsidR="00E6164A" w:rsidRPr="0050229B" w:rsidRDefault="00E6164A" w:rsidP="00E6164A">
      <w:pPr>
        <w:pStyle w:val="Textonotapie"/>
        <w:rPr>
          <w:lang w:val="es-MX"/>
        </w:rPr>
      </w:pPr>
      <w:r w:rsidRPr="0050229B">
        <w:rPr>
          <w:rStyle w:val="Refdenotaalpie"/>
        </w:rPr>
        <w:footnoteRef/>
      </w:r>
      <w:r w:rsidRPr="0050229B">
        <w:t xml:space="preserve"> </w:t>
      </w:r>
      <w:r w:rsidRPr="0050229B">
        <w:rPr>
          <w:lang w:val="es-MX"/>
        </w:rPr>
        <w:t>Corte Constitucional, Auto 555 de 2021.</w:t>
      </w:r>
    </w:p>
  </w:footnote>
  <w:footnote w:id="5">
    <w:p w14:paraId="00E2B1BE" w14:textId="77777777" w:rsidR="00E6164A" w:rsidRPr="0050229B" w:rsidRDefault="00E6164A" w:rsidP="00E6164A">
      <w:pPr>
        <w:pStyle w:val="Textonotapie"/>
        <w:rPr>
          <w:lang w:val="es-MX"/>
        </w:rPr>
      </w:pPr>
      <w:r w:rsidRPr="0050229B">
        <w:rPr>
          <w:rStyle w:val="Refdenotaalpie"/>
        </w:rPr>
        <w:footnoteRef/>
      </w:r>
      <w:r w:rsidRPr="0050229B">
        <w:t xml:space="preserve"> </w:t>
      </w:r>
      <w:r w:rsidRPr="0050229B">
        <w:rPr>
          <w:lang w:val="es-MX"/>
        </w:rPr>
        <w:t>Corte Constitucional, Auto 311 de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6ABD7" w14:textId="779D7B45" w:rsidR="00117091" w:rsidRPr="00A15ACE" w:rsidRDefault="00687E32">
    <w:pPr>
      <w:pStyle w:val="Encabezado"/>
    </w:pPr>
    <w:r>
      <w:rPr>
        <w:noProof/>
        <w:lang w:eastAsia="es-CO"/>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117091" w:rsidRPr="00A15ACE" w:rsidRDefault="00117091">
    <w:pPr>
      <w:pStyle w:val="Encabezado"/>
    </w:pPr>
  </w:p>
  <w:p w14:paraId="4B90DC7A" w14:textId="77777777" w:rsidR="00117091" w:rsidRPr="00A15ACE" w:rsidRDefault="00687E32">
    <w:pPr>
      <w:pStyle w:val="Encabezado"/>
    </w:pPr>
    <w:r w:rsidRPr="0070023E">
      <w:rPr>
        <w:noProof/>
        <w:sz w:val="20"/>
        <w:szCs w:val="20"/>
        <w:lang w:eastAsia="es-CO"/>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55A95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390802A" w14:textId="3372E73E" w:rsidR="00D86793" w:rsidRPr="00B0551F" w:rsidRDefault="00D86793" w:rsidP="00B0551F">
    <w:pPr>
      <w:tabs>
        <w:tab w:val="center" w:pos="4252"/>
        <w:tab w:val="right" w:pos="8504"/>
      </w:tabs>
      <w:jc w:val="right"/>
      <w:rPr>
        <w:b/>
        <w:color w:val="767171"/>
        <w:sz w:val="20"/>
        <w:szCs w:val="20"/>
        <w:lang w:val="es-ES"/>
      </w:rPr>
    </w:pPr>
    <w:r w:rsidRPr="00D86793">
      <w:rPr>
        <w:color w:val="767171"/>
        <w:sz w:val="20"/>
        <w:szCs w:val="20"/>
      </w:rPr>
      <w:t xml:space="preserve">Radicado: </w:t>
    </w:r>
    <w:r w:rsidR="004F6D27">
      <w:rPr>
        <w:bCs/>
        <w:color w:val="767171"/>
        <w:sz w:val="20"/>
        <w:szCs w:val="20"/>
      </w:rPr>
      <w:t>11001-03-15-000-2021-06327</w:t>
    </w:r>
    <w:r w:rsidR="007B021F" w:rsidRPr="007B021F">
      <w:rPr>
        <w:bCs/>
        <w:color w:val="767171"/>
        <w:sz w:val="20"/>
        <w:szCs w:val="20"/>
      </w:rPr>
      <w:t>-00</w:t>
    </w:r>
  </w:p>
  <w:p w14:paraId="624CF74B" w14:textId="2D045F9D" w:rsidR="007B021F" w:rsidRPr="007B021F" w:rsidRDefault="00D86793" w:rsidP="007B021F">
    <w:pPr>
      <w:tabs>
        <w:tab w:val="center" w:pos="4252"/>
        <w:tab w:val="right" w:pos="8504"/>
      </w:tabs>
      <w:jc w:val="right"/>
      <w:rPr>
        <w:bCs/>
        <w:color w:val="767171"/>
        <w:sz w:val="20"/>
        <w:szCs w:val="20"/>
        <w:lang w:val="es-ES"/>
      </w:rPr>
    </w:pPr>
    <w:r w:rsidRPr="00D86793">
      <w:rPr>
        <w:color w:val="767171"/>
        <w:sz w:val="20"/>
        <w:szCs w:val="20"/>
      </w:rPr>
      <w:tab/>
      <w:t xml:space="preserve">Accionante: </w:t>
    </w:r>
    <w:r w:rsidR="004F6D27" w:rsidRPr="004F6D27">
      <w:rPr>
        <w:color w:val="767171"/>
        <w:sz w:val="20"/>
        <w:szCs w:val="20"/>
      </w:rPr>
      <w:t xml:space="preserve">Rubén Darío Basto </w:t>
    </w:r>
    <w:proofErr w:type="spellStart"/>
    <w:r w:rsidR="004F6D27" w:rsidRPr="004F6D27">
      <w:rPr>
        <w:color w:val="767171"/>
        <w:sz w:val="20"/>
        <w:szCs w:val="20"/>
      </w:rPr>
      <w:t>Devia</w:t>
    </w:r>
    <w:proofErr w:type="spellEnd"/>
  </w:p>
  <w:p w14:paraId="7EFCCC8F" w14:textId="7EB43472" w:rsidR="00151E0E" w:rsidRPr="007B021F" w:rsidRDefault="00151E0E" w:rsidP="00151E0E">
    <w:pPr>
      <w:tabs>
        <w:tab w:val="center" w:pos="4252"/>
        <w:tab w:val="right" w:pos="8504"/>
      </w:tabs>
      <w:jc w:val="right"/>
      <w:rPr>
        <w:b/>
        <w:bCs/>
        <w:color w:val="767171"/>
        <w:sz w:val="20"/>
        <w:szCs w:val="20"/>
        <w:lang w:val="es-ES"/>
      </w:rPr>
    </w:pPr>
  </w:p>
  <w:p w14:paraId="0991BC67" w14:textId="26B16858" w:rsidR="00D86793" w:rsidRPr="00D86793" w:rsidRDefault="00D86793" w:rsidP="00D86793">
    <w:pPr>
      <w:tabs>
        <w:tab w:val="center" w:pos="4252"/>
        <w:tab w:val="right" w:pos="8504"/>
      </w:tabs>
      <w:jc w:val="right"/>
      <w:rPr>
        <w:bCs/>
        <w:color w:val="767171"/>
        <w:sz w:val="20"/>
        <w:szCs w:val="20"/>
      </w:rPr>
    </w:pPr>
  </w:p>
  <w:p w14:paraId="07B33FD0" w14:textId="25561C82" w:rsidR="00117091" w:rsidRPr="00F532EA" w:rsidRDefault="00117091" w:rsidP="00D86793">
    <w:pPr>
      <w:pStyle w:val="Encabezado"/>
      <w:jc w:val="right"/>
      <w:rPr>
        <w:color w:val="76717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D0D6" w14:textId="77777777" w:rsidR="00F1441F" w:rsidRPr="00A15ACE" w:rsidRDefault="00687E32" w:rsidP="00F1441F">
    <w:pPr>
      <w:pStyle w:val="Encabezado"/>
    </w:pPr>
    <w:r>
      <w:rPr>
        <w:noProof/>
        <w:lang w:eastAsia="es-CO"/>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F1441F" w:rsidRPr="00A15ACE" w:rsidRDefault="00F1441F" w:rsidP="00F1441F">
    <w:pPr>
      <w:pStyle w:val="Encabezado"/>
      <w:rPr>
        <w:color w:val="767171"/>
      </w:rPr>
    </w:pPr>
  </w:p>
  <w:p w14:paraId="3F3B7A5B" w14:textId="77777777" w:rsidR="0074235D" w:rsidRPr="007F276C" w:rsidRDefault="0074235D" w:rsidP="00D86793">
    <w:pPr>
      <w:pStyle w:val="Sinespaciado"/>
    </w:pPr>
    <w:r w:rsidRPr="007F276C">
      <w:t>CONSEJO DE ESTADO</w:t>
    </w:r>
  </w:p>
  <w:p w14:paraId="6EF027A0" w14:textId="77777777" w:rsidR="0074235D" w:rsidRPr="007F276C" w:rsidRDefault="0074235D" w:rsidP="00D86793">
    <w:pPr>
      <w:pStyle w:val="Sinespaciado"/>
    </w:pPr>
    <w:r w:rsidRPr="007F276C">
      <w:t>SALA DE LO CONTENCIOSO ADMINISTRATIVO</w:t>
    </w:r>
  </w:p>
  <w:p w14:paraId="2FC4305D" w14:textId="77777777" w:rsidR="0074235D" w:rsidRPr="007F276C" w:rsidRDefault="0074235D" w:rsidP="00D86793">
    <w:pPr>
      <w:pStyle w:val="Sinespaciado"/>
    </w:pPr>
    <w:r w:rsidRPr="007F276C">
      <w:t>SECCIÓN TERCERA – SUBSECCIÓN C</w:t>
    </w:r>
  </w:p>
  <w:p w14:paraId="2BA226A1" w14:textId="77777777" w:rsidR="00F1441F" w:rsidRDefault="00F1441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DE0052"/>
    <w:multiLevelType w:val="hybridMultilevel"/>
    <w:tmpl w:val="4383C67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A009B"/>
    <w:multiLevelType w:val="hybridMultilevel"/>
    <w:tmpl w:val="8FFECE7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898C60A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02B21E16"/>
    <w:multiLevelType w:val="multilevel"/>
    <w:tmpl w:val="934C783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04137DE9"/>
    <w:multiLevelType w:val="hybridMultilevel"/>
    <w:tmpl w:val="1A4886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B6F60E1"/>
    <w:multiLevelType w:val="hybridMultilevel"/>
    <w:tmpl w:val="33105244"/>
    <w:lvl w:ilvl="0" w:tplc="8D3818FE">
      <w:start w:val="1"/>
      <w:numFmt w:val="lowerRoman"/>
      <w:lvlText w:val="(%1)"/>
      <w:lvlJc w:val="left"/>
      <w:pPr>
        <w:ind w:left="1080" w:hanging="72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FC16A2"/>
    <w:multiLevelType w:val="hybridMultilevel"/>
    <w:tmpl w:val="2CD661AC"/>
    <w:lvl w:ilvl="0" w:tplc="FA02AB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334454"/>
    <w:multiLevelType w:val="hybridMultilevel"/>
    <w:tmpl w:val="587ABE6E"/>
    <w:lvl w:ilvl="0" w:tplc="384898C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C83137"/>
    <w:multiLevelType w:val="hybridMultilevel"/>
    <w:tmpl w:val="87EAA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E4557C"/>
    <w:multiLevelType w:val="multilevel"/>
    <w:tmpl w:val="E7122C6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374F73"/>
    <w:multiLevelType w:val="multilevel"/>
    <w:tmpl w:val="1758E6A4"/>
    <w:lvl w:ilvl="0">
      <w:start w:val="1"/>
      <w:numFmt w:val="upperRoman"/>
      <w:pStyle w:val="Ttulo1"/>
      <w:lvlText w:val="%1."/>
      <w:lvlJc w:val="right"/>
      <w:pPr>
        <w:ind w:left="720" w:hanging="360"/>
      </w:pPr>
    </w:lvl>
    <w:lvl w:ilvl="1">
      <w:start w:val="2"/>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31054609"/>
    <w:multiLevelType w:val="multilevel"/>
    <w:tmpl w:val="175C63B6"/>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83E6214"/>
    <w:multiLevelType w:val="hybridMultilevel"/>
    <w:tmpl w:val="91B8D5B6"/>
    <w:lvl w:ilvl="0" w:tplc="43A0E7A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1C78A2"/>
    <w:multiLevelType w:val="hybridMultilevel"/>
    <w:tmpl w:val="7942465E"/>
    <w:lvl w:ilvl="0" w:tplc="C0F6402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C3D3D3B"/>
    <w:multiLevelType w:val="multilevel"/>
    <w:tmpl w:val="D60AC77C"/>
    <w:lvl w:ilvl="0">
      <w:start w:val="2"/>
      <w:numFmt w:val="decimal"/>
      <w:lvlText w:val="%1."/>
      <w:lvlJc w:val="left"/>
      <w:pPr>
        <w:ind w:left="612" w:hanging="612"/>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D85C67"/>
    <w:multiLevelType w:val="hybridMultilevel"/>
    <w:tmpl w:val="3BBAA1B4"/>
    <w:lvl w:ilvl="0" w:tplc="E07445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F9E3FA3"/>
    <w:multiLevelType w:val="hybridMultilevel"/>
    <w:tmpl w:val="22242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3865E0"/>
    <w:multiLevelType w:val="hybridMultilevel"/>
    <w:tmpl w:val="E856AE2A"/>
    <w:lvl w:ilvl="0" w:tplc="2A58DCF0">
      <w:start w:val="1"/>
      <w:numFmt w:val="lowerRoman"/>
      <w:lvlText w:val="(%1)"/>
      <w:lvlJc w:val="left"/>
      <w:pPr>
        <w:ind w:left="720" w:hanging="720"/>
      </w:pPr>
      <w:rPr>
        <w:rFonts w:ascii="Arial" w:eastAsia="Verdana" w:hAnsi="Arial" w:cs="Arial"/>
        <w:lang w:val="es-ES_tradn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2BB4AAB"/>
    <w:multiLevelType w:val="hybridMultilevel"/>
    <w:tmpl w:val="34AACF96"/>
    <w:lvl w:ilvl="0" w:tplc="9E06D5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4314E3"/>
    <w:multiLevelType w:val="hybridMultilevel"/>
    <w:tmpl w:val="4A68F15E"/>
    <w:lvl w:ilvl="0" w:tplc="4AF618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5BF76049"/>
    <w:multiLevelType w:val="hybridMultilevel"/>
    <w:tmpl w:val="FA88DCA2"/>
    <w:lvl w:ilvl="0" w:tplc="075A82EC">
      <w:start w:val="1"/>
      <w:numFmt w:val="lowerRoman"/>
      <w:lvlText w:val="(%1)"/>
      <w:lvlJc w:val="left"/>
      <w:pPr>
        <w:ind w:left="1080" w:hanging="720"/>
      </w:pPr>
      <w:rPr>
        <w:rFonts w:eastAsia="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1F708D8"/>
    <w:multiLevelType w:val="hybridMultilevel"/>
    <w:tmpl w:val="458C848E"/>
    <w:lvl w:ilvl="0" w:tplc="6AA817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422371B"/>
    <w:multiLevelType w:val="hybridMultilevel"/>
    <w:tmpl w:val="D25212AA"/>
    <w:lvl w:ilvl="0" w:tplc="213E89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FA42A33"/>
    <w:multiLevelType w:val="hybridMultilevel"/>
    <w:tmpl w:val="56CA1952"/>
    <w:lvl w:ilvl="0" w:tplc="B27CCE54">
      <w:start w:val="1"/>
      <w:numFmt w:val="decimal"/>
      <w:suff w:val="space"/>
      <w:lvlText w:val="%1."/>
      <w:lvlJc w:val="left"/>
      <w:pPr>
        <w:ind w:left="567" w:firstLine="0"/>
      </w:pPr>
      <w:rPr>
        <w:rFonts w:eastAsia="Calibri" w:hint="default"/>
        <w:b w:val="0"/>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B11A7F"/>
    <w:multiLevelType w:val="hybridMultilevel"/>
    <w:tmpl w:val="65807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73611E"/>
    <w:multiLevelType w:val="hybridMultilevel"/>
    <w:tmpl w:val="3F343DB0"/>
    <w:lvl w:ilvl="0" w:tplc="228A52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5B616C0"/>
    <w:multiLevelType w:val="hybridMultilevel"/>
    <w:tmpl w:val="EA4A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79D010C"/>
    <w:multiLevelType w:val="hybridMultilevel"/>
    <w:tmpl w:val="E9C01E34"/>
    <w:lvl w:ilvl="0" w:tplc="9EE41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12"/>
  </w:num>
  <w:num w:numId="6">
    <w:abstractNumId w:val="27"/>
  </w:num>
  <w:num w:numId="7">
    <w:abstractNumId w:val="21"/>
  </w:num>
  <w:num w:numId="8">
    <w:abstractNumId w:val="30"/>
  </w:num>
  <w:num w:numId="9">
    <w:abstractNumId w:val="13"/>
  </w:num>
  <w:num w:numId="10">
    <w:abstractNumId w:val="11"/>
  </w:num>
  <w:num w:numId="11">
    <w:abstractNumId w:val="28"/>
  </w:num>
  <w:num w:numId="12">
    <w:abstractNumId w:val="8"/>
  </w:num>
  <w:num w:numId="13">
    <w:abstractNumId w:val="19"/>
  </w:num>
  <w:num w:numId="14">
    <w:abstractNumId w:val="22"/>
  </w:num>
  <w:num w:numId="15">
    <w:abstractNumId w:val="24"/>
  </w:num>
  <w:num w:numId="16">
    <w:abstractNumId w:val="25"/>
  </w:num>
  <w:num w:numId="17">
    <w:abstractNumId w:val="17"/>
  </w:num>
  <w:num w:numId="18">
    <w:abstractNumId w:val="31"/>
  </w:num>
  <w:num w:numId="19">
    <w:abstractNumId w:val="16"/>
  </w:num>
  <w:num w:numId="20">
    <w:abstractNumId w:val="5"/>
  </w:num>
  <w:num w:numId="21">
    <w:abstractNumId w:val="9"/>
  </w:num>
  <w:num w:numId="22">
    <w:abstractNumId w:val="29"/>
  </w:num>
  <w:num w:numId="23">
    <w:abstractNumId w:val="26"/>
  </w:num>
  <w:num w:numId="24">
    <w:abstractNumId w:val="20"/>
  </w:num>
  <w:num w:numId="25">
    <w:abstractNumId w:val="1"/>
  </w:num>
  <w:num w:numId="26">
    <w:abstractNumId w:val="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5"/>
  </w:num>
  <w:num w:numId="30">
    <w:abstractNumId w:val="7"/>
  </w:num>
  <w:num w:numId="31">
    <w:abstractNumId w:val="14"/>
  </w:num>
  <w:num w:numId="32">
    <w:abstractNumId w:val="4"/>
  </w:num>
  <w:num w:numId="33">
    <w:abstractNumId w:val="1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86"/>
    <w:rsid w:val="000030FE"/>
    <w:rsid w:val="00006D3C"/>
    <w:rsid w:val="00017CB3"/>
    <w:rsid w:val="00047317"/>
    <w:rsid w:val="000572F7"/>
    <w:rsid w:val="00061B93"/>
    <w:rsid w:val="000728E0"/>
    <w:rsid w:val="00073869"/>
    <w:rsid w:val="00083B8F"/>
    <w:rsid w:val="00086E65"/>
    <w:rsid w:val="00094E7B"/>
    <w:rsid w:val="000972AC"/>
    <w:rsid w:val="000C2B43"/>
    <w:rsid w:val="000C5DB7"/>
    <w:rsid w:val="000C7B4F"/>
    <w:rsid w:val="000D0E41"/>
    <w:rsid w:val="000D5563"/>
    <w:rsid w:val="000E2D62"/>
    <w:rsid w:val="000E3491"/>
    <w:rsid w:val="00117091"/>
    <w:rsid w:val="0012353C"/>
    <w:rsid w:val="001314F6"/>
    <w:rsid w:val="00133F91"/>
    <w:rsid w:val="00151E0E"/>
    <w:rsid w:val="0015444A"/>
    <w:rsid w:val="00155E78"/>
    <w:rsid w:val="00166AF6"/>
    <w:rsid w:val="00194CD0"/>
    <w:rsid w:val="001A5C79"/>
    <w:rsid w:val="001A746B"/>
    <w:rsid w:val="001C3C1F"/>
    <w:rsid w:val="001D4E62"/>
    <w:rsid w:val="001F4779"/>
    <w:rsid w:val="00201EC3"/>
    <w:rsid w:val="00214D23"/>
    <w:rsid w:val="002230E3"/>
    <w:rsid w:val="00246239"/>
    <w:rsid w:val="00254098"/>
    <w:rsid w:val="002603B7"/>
    <w:rsid w:val="00277935"/>
    <w:rsid w:val="00281874"/>
    <w:rsid w:val="0028665C"/>
    <w:rsid w:val="002C12BC"/>
    <w:rsid w:val="002D480B"/>
    <w:rsid w:val="002E1978"/>
    <w:rsid w:val="002F03BA"/>
    <w:rsid w:val="00306BD4"/>
    <w:rsid w:val="0031514A"/>
    <w:rsid w:val="003361BF"/>
    <w:rsid w:val="003512C0"/>
    <w:rsid w:val="00351D49"/>
    <w:rsid w:val="003532B2"/>
    <w:rsid w:val="00353305"/>
    <w:rsid w:val="00360658"/>
    <w:rsid w:val="00361478"/>
    <w:rsid w:val="00374674"/>
    <w:rsid w:val="00383156"/>
    <w:rsid w:val="00383425"/>
    <w:rsid w:val="00384507"/>
    <w:rsid w:val="00387BBC"/>
    <w:rsid w:val="00394A69"/>
    <w:rsid w:val="00396358"/>
    <w:rsid w:val="003A12C4"/>
    <w:rsid w:val="003A60BB"/>
    <w:rsid w:val="003B4515"/>
    <w:rsid w:val="003D1B94"/>
    <w:rsid w:val="003E3CA0"/>
    <w:rsid w:val="003F2BA3"/>
    <w:rsid w:val="003F47EC"/>
    <w:rsid w:val="003F4EE1"/>
    <w:rsid w:val="003F7FF5"/>
    <w:rsid w:val="0040213E"/>
    <w:rsid w:val="00402998"/>
    <w:rsid w:val="0040696B"/>
    <w:rsid w:val="004168CB"/>
    <w:rsid w:val="004211FA"/>
    <w:rsid w:val="00423511"/>
    <w:rsid w:val="00424723"/>
    <w:rsid w:val="00430389"/>
    <w:rsid w:val="00430D89"/>
    <w:rsid w:val="00447956"/>
    <w:rsid w:val="0047256F"/>
    <w:rsid w:val="004849BB"/>
    <w:rsid w:val="004857F6"/>
    <w:rsid w:val="00491910"/>
    <w:rsid w:val="00491D4D"/>
    <w:rsid w:val="004924F7"/>
    <w:rsid w:val="0049571B"/>
    <w:rsid w:val="00497735"/>
    <w:rsid w:val="004A1D38"/>
    <w:rsid w:val="004A3A9B"/>
    <w:rsid w:val="004A4030"/>
    <w:rsid w:val="004A59E5"/>
    <w:rsid w:val="004B1D89"/>
    <w:rsid w:val="004C1291"/>
    <w:rsid w:val="004D0896"/>
    <w:rsid w:val="004D5983"/>
    <w:rsid w:val="004D63F2"/>
    <w:rsid w:val="004E3D73"/>
    <w:rsid w:val="004F6D27"/>
    <w:rsid w:val="00505263"/>
    <w:rsid w:val="005127CB"/>
    <w:rsid w:val="005205BF"/>
    <w:rsid w:val="00522073"/>
    <w:rsid w:val="00522C5D"/>
    <w:rsid w:val="00530CAD"/>
    <w:rsid w:val="0054069D"/>
    <w:rsid w:val="0054077B"/>
    <w:rsid w:val="00566726"/>
    <w:rsid w:val="00581826"/>
    <w:rsid w:val="00585CA2"/>
    <w:rsid w:val="005A1ED5"/>
    <w:rsid w:val="005A358C"/>
    <w:rsid w:val="005D1791"/>
    <w:rsid w:val="005F0AEA"/>
    <w:rsid w:val="006146CC"/>
    <w:rsid w:val="00621F3E"/>
    <w:rsid w:val="00630C68"/>
    <w:rsid w:val="006371BF"/>
    <w:rsid w:val="006515C6"/>
    <w:rsid w:val="00651F05"/>
    <w:rsid w:val="006615F2"/>
    <w:rsid w:val="00661781"/>
    <w:rsid w:val="0066298E"/>
    <w:rsid w:val="00663267"/>
    <w:rsid w:val="00664A8F"/>
    <w:rsid w:val="00665F72"/>
    <w:rsid w:val="00670737"/>
    <w:rsid w:val="00685672"/>
    <w:rsid w:val="00687E32"/>
    <w:rsid w:val="006B25DA"/>
    <w:rsid w:val="006B3BF6"/>
    <w:rsid w:val="006D4799"/>
    <w:rsid w:val="006F6047"/>
    <w:rsid w:val="0070023E"/>
    <w:rsid w:val="00701255"/>
    <w:rsid w:val="0072475A"/>
    <w:rsid w:val="00734A1C"/>
    <w:rsid w:val="007372AC"/>
    <w:rsid w:val="0074235D"/>
    <w:rsid w:val="00745D63"/>
    <w:rsid w:val="00746E9B"/>
    <w:rsid w:val="00751389"/>
    <w:rsid w:val="00751493"/>
    <w:rsid w:val="00760DAF"/>
    <w:rsid w:val="007706B2"/>
    <w:rsid w:val="00773A85"/>
    <w:rsid w:val="007B021F"/>
    <w:rsid w:val="007C0DAA"/>
    <w:rsid w:val="007C7F6D"/>
    <w:rsid w:val="007D3686"/>
    <w:rsid w:val="007D4A96"/>
    <w:rsid w:val="007E03C4"/>
    <w:rsid w:val="007E53CD"/>
    <w:rsid w:val="007F276C"/>
    <w:rsid w:val="007F3540"/>
    <w:rsid w:val="00817A38"/>
    <w:rsid w:val="008203B5"/>
    <w:rsid w:val="00822EDC"/>
    <w:rsid w:val="00823E1F"/>
    <w:rsid w:val="00826880"/>
    <w:rsid w:val="00835345"/>
    <w:rsid w:val="00866CDE"/>
    <w:rsid w:val="0086793A"/>
    <w:rsid w:val="00871943"/>
    <w:rsid w:val="00880936"/>
    <w:rsid w:val="008879C5"/>
    <w:rsid w:val="00893200"/>
    <w:rsid w:val="008B2DA2"/>
    <w:rsid w:val="008C0DBE"/>
    <w:rsid w:val="008C4606"/>
    <w:rsid w:val="008C64B2"/>
    <w:rsid w:val="008D54E2"/>
    <w:rsid w:val="008D7532"/>
    <w:rsid w:val="00900BD2"/>
    <w:rsid w:val="00907137"/>
    <w:rsid w:val="00911C03"/>
    <w:rsid w:val="00911C2B"/>
    <w:rsid w:val="009210E8"/>
    <w:rsid w:val="009214E2"/>
    <w:rsid w:val="00940813"/>
    <w:rsid w:val="009705EE"/>
    <w:rsid w:val="0097196F"/>
    <w:rsid w:val="0097486A"/>
    <w:rsid w:val="00986FEF"/>
    <w:rsid w:val="00996286"/>
    <w:rsid w:val="009A4799"/>
    <w:rsid w:val="009A5798"/>
    <w:rsid w:val="009D3549"/>
    <w:rsid w:val="009F5813"/>
    <w:rsid w:val="00A0511A"/>
    <w:rsid w:val="00A15ACE"/>
    <w:rsid w:val="00A21194"/>
    <w:rsid w:val="00A25C52"/>
    <w:rsid w:val="00A26DEE"/>
    <w:rsid w:val="00A37038"/>
    <w:rsid w:val="00A41081"/>
    <w:rsid w:val="00A4379F"/>
    <w:rsid w:val="00A467BD"/>
    <w:rsid w:val="00A52EA8"/>
    <w:rsid w:val="00A73868"/>
    <w:rsid w:val="00A8702B"/>
    <w:rsid w:val="00AA2FDB"/>
    <w:rsid w:val="00AB33F4"/>
    <w:rsid w:val="00AC5837"/>
    <w:rsid w:val="00AD3B2F"/>
    <w:rsid w:val="00AE1E80"/>
    <w:rsid w:val="00AE2EC6"/>
    <w:rsid w:val="00AE5822"/>
    <w:rsid w:val="00AF634C"/>
    <w:rsid w:val="00B00068"/>
    <w:rsid w:val="00B04EDB"/>
    <w:rsid w:val="00B0551F"/>
    <w:rsid w:val="00B14389"/>
    <w:rsid w:val="00B251D5"/>
    <w:rsid w:val="00B455B0"/>
    <w:rsid w:val="00B6429B"/>
    <w:rsid w:val="00B866C5"/>
    <w:rsid w:val="00B9314A"/>
    <w:rsid w:val="00B97E8B"/>
    <w:rsid w:val="00BB0DD6"/>
    <w:rsid w:val="00BB79AE"/>
    <w:rsid w:val="00BC416A"/>
    <w:rsid w:val="00BC66DC"/>
    <w:rsid w:val="00BD2E8B"/>
    <w:rsid w:val="00BD67B1"/>
    <w:rsid w:val="00BE5393"/>
    <w:rsid w:val="00BE5A91"/>
    <w:rsid w:val="00BE7028"/>
    <w:rsid w:val="00BF2ACB"/>
    <w:rsid w:val="00BF6472"/>
    <w:rsid w:val="00C018AC"/>
    <w:rsid w:val="00C43CA0"/>
    <w:rsid w:val="00C47FCD"/>
    <w:rsid w:val="00C54A33"/>
    <w:rsid w:val="00C54C36"/>
    <w:rsid w:val="00C7549A"/>
    <w:rsid w:val="00C87516"/>
    <w:rsid w:val="00CA09CB"/>
    <w:rsid w:val="00CB1DC7"/>
    <w:rsid w:val="00CB3811"/>
    <w:rsid w:val="00CC660B"/>
    <w:rsid w:val="00CE2C4C"/>
    <w:rsid w:val="00CF1E3B"/>
    <w:rsid w:val="00D163C7"/>
    <w:rsid w:val="00D21F27"/>
    <w:rsid w:val="00D2756B"/>
    <w:rsid w:val="00D2782F"/>
    <w:rsid w:val="00D31837"/>
    <w:rsid w:val="00D46022"/>
    <w:rsid w:val="00D53A8F"/>
    <w:rsid w:val="00D56B98"/>
    <w:rsid w:val="00D57CEB"/>
    <w:rsid w:val="00D67E46"/>
    <w:rsid w:val="00D729A8"/>
    <w:rsid w:val="00D86793"/>
    <w:rsid w:val="00DA1179"/>
    <w:rsid w:val="00DA2D15"/>
    <w:rsid w:val="00DA5CAF"/>
    <w:rsid w:val="00DB4688"/>
    <w:rsid w:val="00DB630F"/>
    <w:rsid w:val="00DB7A08"/>
    <w:rsid w:val="00DC462D"/>
    <w:rsid w:val="00DC4C5E"/>
    <w:rsid w:val="00DD05CC"/>
    <w:rsid w:val="00DE7123"/>
    <w:rsid w:val="00E06348"/>
    <w:rsid w:val="00E145E5"/>
    <w:rsid w:val="00E4328A"/>
    <w:rsid w:val="00E45687"/>
    <w:rsid w:val="00E51FAF"/>
    <w:rsid w:val="00E560B5"/>
    <w:rsid w:val="00E561EC"/>
    <w:rsid w:val="00E6164A"/>
    <w:rsid w:val="00E653CA"/>
    <w:rsid w:val="00E70863"/>
    <w:rsid w:val="00E800E8"/>
    <w:rsid w:val="00E87355"/>
    <w:rsid w:val="00E91690"/>
    <w:rsid w:val="00EA58FA"/>
    <w:rsid w:val="00EB3487"/>
    <w:rsid w:val="00EB57EA"/>
    <w:rsid w:val="00EC3766"/>
    <w:rsid w:val="00EC38ED"/>
    <w:rsid w:val="00ED72BB"/>
    <w:rsid w:val="00EE50B9"/>
    <w:rsid w:val="00EF4CC1"/>
    <w:rsid w:val="00F01167"/>
    <w:rsid w:val="00F037CB"/>
    <w:rsid w:val="00F0772F"/>
    <w:rsid w:val="00F1441F"/>
    <w:rsid w:val="00F1535C"/>
    <w:rsid w:val="00F16FD3"/>
    <w:rsid w:val="00F20B05"/>
    <w:rsid w:val="00F22795"/>
    <w:rsid w:val="00F41540"/>
    <w:rsid w:val="00F476AA"/>
    <w:rsid w:val="00F50F79"/>
    <w:rsid w:val="00F516DD"/>
    <w:rsid w:val="00F532EA"/>
    <w:rsid w:val="00F6085F"/>
    <w:rsid w:val="00F713AF"/>
    <w:rsid w:val="00F91B32"/>
    <w:rsid w:val="00F939AB"/>
    <w:rsid w:val="00F95DDD"/>
    <w:rsid w:val="00FA5BD0"/>
    <w:rsid w:val="00FC1452"/>
    <w:rsid w:val="00FC20EB"/>
    <w:rsid w:val="00FD199D"/>
    <w:rsid w:val="00FD3474"/>
    <w:rsid w:val="00FD7869"/>
    <w:rsid w:val="00FE09DF"/>
    <w:rsid w:val="00FE2726"/>
    <w:rsid w:val="00FE3D08"/>
    <w:rsid w:val="00FF0BD7"/>
    <w:rsid w:val="00FF190B"/>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docId w15:val="{D809EEF5-39A9-4CE0-99A4-8B998BD4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D86793"/>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D86793"/>
    <w:pPr>
      <w:spacing w:before="240" w:after="60"/>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893200"/>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893200"/>
    <w:rPr>
      <w:sz w:val="16"/>
      <w:szCs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D86793"/>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D86793"/>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character" w:customStyle="1" w:styleId="Ttulo4Car">
    <w:name w:val="Título 4 Car"/>
    <w:basedOn w:val="Fuentedeprrafopredeter"/>
    <w:link w:val="Ttulo4"/>
    <w:uiPriority w:val="9"/>
    <w:rsid w:val="00D86793"/>
    <w:rPr>
      <w:rFonts w:ascii="Calibri" w:eastAsia="Times New Roman" w:hAnsi="Calibri" w:cs="Times New Roman"/>
      <w:b/>
      <w:bCs/>
      <w:sz w:val="28"/>
      <w:szCs w:val="28"/>
      <w:lang w:val="es-CO" w:eastAsia="es-ES_tradnl"/>
    </w:rPr>
  </w:style>
  <w:style w:type="character" w:customStyle="1" w:styleId="Ttulo5Car">
    <w:name w:val="Título 5 Car"/>
    <w:basedOn w:val="Fuentedeprrafopredeter"/>
    <w:link w:val="Ttulo5"/>
    <w:uiPriority w:val="9"/>
    <w:semiHidden/>
    <w:rsid w:val="00D86793"/>
    <w:rPr>
      <w:rFonts w:ascii="Calibri" w:eastAsia="Times New Roman" w:hAnsi="Calibri" w:cs="Times New Roman"/>
      <w:b/>
      <w:bCs/>
      <w:i/>
      <w:iCs/>
      <w:sz w:val="26"/>
      <w:szCs w:val="26"/>
      <w:lang w:val="es-CO" w:eastAsia="es-ES_tradnl"/>
    </w:rPr>
  </w:style>
  <w:style w:type="paragraph" w:styleId="NormalWeb">
    <w:name w:val="Normal (Web)"/>
    <w:basedOn w:val="Normal"/>
    <w:uiPriority w:val="99"/>
    <w:semiHidden/>
    <w:unhideWhenUsed/>
    <w:rsid w:val="00D86793"/>
    <w:rPr>
      <w:rFonts w:ascii="Times New Roman" w:hAnsi="Times New Roman" w:cs="Times New Roman"/>
      <w:sz w:val="24"/>
      <w:szCs w:val="24"/>
    </w:rPr>
  </w:style>
  <w:style w:type="character" w:styleId="nfasis">
    <w:name w:val="Emphasis"/>
    <w:uiPriority w:val="20"/>
    <w:qFormat/>
    <w:rsid w:val="00D86793"/>
    <w:rPr>
      <w:i/>
      <w:iCs/>
    </w:rPr>
  </w:style>
  <w:style w:type="paragraph" w:styleId="Lista">
    <w:name w:val="List"/>
    <w:basedOn w:val="Normal"/>
    <w:uiPriority w:val="99"/>
    <w:unhideWhenUsed/>
    <w:rsid w:val="00D86793"/>
    <w:pPr>
      <w:ind w:left="283" w:hanging="283"/>
      <w:contextualSpacing/>
    </w:pPr>
  </w:style>
  <w:style w:type="paragraph" w:styleId="Lista2">
    <w:name w:val="List 2"/>
    <w:basedOn w:val="Normal"/>
    <w:uiPriority w:val="99"/>
    <w:unhideWhenUsed/>
    <w:rsid w:val="00D86793"/>
    <w:pPr>
      <w:ind w:left="566" w:hanging="283"/>
      <w:contextualSpacing/>
    </w:pPr>
  </w:style>
  <w:style w:type="paragraph" w:styleId="Lista3">
    <w:name w:val="List 3"/>
    <w:basedOn w:val="Normal"/>
    <w:uiPriority w:val="99"/>
    <w:unhideWhenUsed/>
    <w:rsid w:val="00D86793"/>
    <w:pPr>
      <w:ind w:left="849" w:hanging="283"/>
      <w:contextualSpacing/>
    </w:pPr>
  </w:style>
  <w:style w:type="paragraph" w:styleId="Lista4">
    <w:name w:val="List 4"/>
    <w:basedOn w:val="Normal"/>
    <w:uiPriority w:val="99"/>
    <w:unhideWhenUsed/>
    <w:rsid w:val="00D86793"/>
    <w:pPr>
      <w:ind w:left="1132" w:hanging="283"/>
      <w:contextualSpacing/>
    </w:pPr>
  </w:style>
  <w:style w:type="paragraph" w:styleId="Listaconvietas4">
    <w:name w:val="List Bullet 4"/>
    <w:basedOn w:val="Normal"/>
    <w:uiPriority w:val="99"/>
    <w:unhideWhenUsed/>
    <w:rsid w:val="00D86793"/>
    <w:pPr>
      <w:numPr>
        <w:numId w:val="26"/>
      </w:numPr>
      <w:contextualSpacing/>
    </w:pPr>
  </w:style>
  <w:style w:type="paragraph" w:styleId="Continuarlista">
    <w:name w:val="List Continue"/>
    <w:basedOn w:val="Normal"/>
    <w:uiPriority w:val="99"/>
    <w:unhideWhenUsed/>
    <w:rsid w:val="00D86793"/>
    <w:pPr>
      <w:spacing w:after="120"/>
      <w:ind w:left="283"/>
      <w:contextualSpacing/>
    </w:pPr>
  </w:style>
  <w:style w:type="paragraph" w:styleId="Continuarlista2">
    <w:name w:val="List Continue 2"/>
    <w:basedOn w:val="Normal"/>
    <w:uiPriority w:val="99"/>
    <w:unhideWhenUsed/>
    <w:rsid w:val="00D86793"/>
    <w:pPr>
      <w:spacing w:after="120"/>
      <w:ind w:left="566"/>
      <w:contextualSpacing/>
    </w:pPr>
  </w:style>
  <w:style w:type="paragraph" w:styleId="Continuarlista3">
    <w:name w:val="List Continue 3"/>
    <w:basedOn w:val="Normal"/>
    <w:uiPriority w:val="99"/>
    <w:unhideWhenUsed/>
    <w:rsid w:val="00D86793"/>
    <w:pPr>
      <w:spacing w:after="120"/>
      <w:ind w:left="849"/>
      <w:contextualSpacing/>
    </w:pPr>
  </w:style>
  <w:style w:type="paragraph" w:styleId="Textoindependiente">
    <w:name w:val="Body Text"/>
    <w:basedOn w:val="Normal"/>
    <w:link w:val="TextoindependienteCar"/>
    <w:uiPriority w:val="99"/>
    <w:unhideWhenUsed/>
    <w:rsid w:val="00D86793"/>
    <w:pPr>
      <w:spacing w:after="120"/>
    </w:pPr>
  </w:style>
  <w:style w:type="character" w:customStyle="1" w:styleId="TextoindependienteCar">
    <w:name w:val="Texto independiente Car"/>
    <w:basedOn w:val="Fuentedeprrafopredeter"/>
    <w:link w:val="Textoindependiente"/>
    <w:uiPriority w:val="99"/>
    <w:rsid w:val="00D86793"/>
    <w:rPr>
      <w:sz w:val="16"/>
      <w:szCs w:val="16"/>
      <w:lang w:val="es-CO" w:eastAsia="es-ES_tradnl"/>
    </w:rPr>
  </w:style>
  <w:style w:type="character" w:customStyle="1" w:styleId="Mencinsinresolver1">
    <w:name w:val="Mención sin resolver1"/>
    <w:uiPriority w:val="99"/>
    <w:unhideWhenUsed/>
    <w:rsid w:val="00D86793"/>
    <w:rPr>
      <w:color w:val="605E5C"/>
      <w:shd w:val="clear" w:color="auto" w:fill="E1DFDD"/>
    </w:rPr>
  </w:style>
  <w:style w:type="paragraph" w:styleId="Sangradetextonormal">
    <w:name w:val="Body Text Indent"/>
    <w:basedOn w:val="Normal"/>
    <w:link w:val="SangradetextonormalCar"/>
    <w:uiPriority w:val="99"/>
    <w:semiHidden/>
    <w:unhideWhenUsed/>
    <w:rsid w:val="00D86793"/>
    <w:pPr>
      <w:spacing w:after="120"/>
      <w:ind w:left="283"/>
    </w:pPr>
  </w:style>
  <w:style w:type="character" w:customStyle="1" w:styleId="SangradetextonormalCar">
    <w:name w:val="Sangría de texto normal Car"/>
    <w:basedOn w:val="Fuentedeprrafopredeter"/>
    <w:link w:val="Sangradetextonormal"/>
    <w:uiPriority w:val="99"/>
    <w:semiHidden/>
    <w:rsid w:val="00D86793"/>
    <w:rPr>
      <w:sz w:val="16"/>
      <w:szCs w:val="16"/>
      <w:lang w:val="es-CO" w:eastAsia="es-ES_tradnl"/>
    </w:rPr>
  </w:style>
  <w:style w:type="paragraph" w:styleId="Textoindependienteprimerasangra2">
    <w:name w:val="Body Text First Indent 2"/>
    <w:basedOn w:val="Sangradetextonormal"/>
    <w:link w:val="Textoindependienteprimerasangra2Car"/>
    <w:uiPriority w:val="99"/>
    <w:unhideWhenUsed/>
    <w:rsid w:val="00D8679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86793"/>
    <w:rPr>
      <w:sz w:val="16"/>
      <w:szCs w:val="16"/>
      <w:lang w:val="es-CO" w:eastAsia="es-ES_tradnl"/>
    </w:rPr>
  </w:style>
  <w:style w:type="paragraph" w:customStyle="1" w:styleId="Default">
    <w:name w:val="Default"/>
    <w:rsid w:val="00D86793"/>
    <w:pPr>
      <w:autoSpaceDE w:val="0"/>
      <w:autoSpaceDN w:val="0"/>
      <w:adjustRightInd w:val="0"/>
    </w:pPr>
    <w:rPr>
      <w:color w:val="000000"/>
      <w:sz w:val="24"/>
      <w:szCs w:val="24"/>
      <w:lang w:val="es-CO" w:eastAsia="es-CO"/>
    </w:rPr>
  </w:style>
  <w:style w:type="paragraph" w:customStyle="1" w:styleId="Body">
    <w:name w:val="Body"/>
    <w:rsid w:val="00D86793"/>
    <w:rPr>
      <w:rFonts w:ascii="Helvetica Neue" w:eastAsia="Arial Unicode MS" w:hAnsi="Helvetica Neue" w:cs="Arial Unicode MS"/>
      <w:color w:val="000000"/>
      <w:sz w:val="22"/>
      <w:szCs w:val="22"/>
      <w:lang w:val="en-US" w:eastAsia="es-CO"/>
    </w:rPr>
  </w:style>
  <w:style w:type="paragraph" w:styleId="Asuntodelcomentario">
    <w:name w:val="annotation subject"/>
    <w:basedOn w:val="Textocomentario"/>
    <w:next w:val="Textocomentario"/>
    <w:link w:val="AsuntodelcomentarioCar"/>
    <w:uiPriority w:val="99"/>
    <w:semiHidden/>
    <w:unhideWhenUsed/>
    <w:rsid w:val="00D86793"/>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D86793"/>
    <w:rPr>
      <w:rFonts w:ascii="Calibri" w:hAnsi="Calibri" w:cs="Times New Roman"/>
      <w:b/>
      <w:bCs/>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3.xml><?xml version="1.0" encoding="utf-8"?>
<ds:datastoreItem xmlns:ds="http://schemas.openxmlformats.org/officeDocument/2006/customXml" ds:itemID="{CC628756-F4C9-4226-A6BE-7AE84B4F2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BF7FEF-2788-4979-87AB-57D203DEB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5949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COLOMBIA MOVIL TIGO</Company>
  <LinksUpToDate>false</LinksUpToDate>
  <CharactersWithSpaces>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Calle 12 No. 7-65 – Tel: (57-1) 350-6700 – Bogotá D.C. – Colombiawww.consejodeestado.gov.co</dc:creator>
  <cp:lastModifiedBy>SONIA ESTHER JAIMES VALENCIA</cp:lastModifiedBy>
  <cp:revision>2</cp:revision>
  <dcterms:created xsi:type="dcterms:W3CDTF">2021-09-21T19:43:00Z</dcterms:created>
  <dcterms:modified xsi:type="dcterms:W3CDTF">2021-09-21T19:43:00Z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