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4A924" w14:textId="77777777" w:rsidR="000C5DB7" w:rsidRPr="00F77BC5" w:rsidRDefault="000C5DB7" w:rsidP="0013277B">
      <w:pPr>
        <w:pStyle w:val="Sinespaciado"/>
      </w:pPr>
      <w:r w:rsidRPr="00F77BC5">
        <w:t>CONSEJERO PONENTE: JAIME ENRIQUE RODRÍGUEZ NAVAS</w:t>
      </w:r>
    </w:p>
    <w:p w14:paraId="50299F1F" w14:textId="77777777" w:rsidR="00F91B32" w:rsidRPr="00F77BC5" w:rsidRDefault="00F91B32" w:rsidP="00F77BC5">
      <w:pPr>
        <w:spacing w:line="276" w:lineRule="auto"/>
        <w:contextualSpacing/>
        <w:rPr>
          <w:b/>
          <w:bCs/>
          <w:sz w:val="24"/>
          <w:szCs w:val="24"/>
        </w:rPr>
      </w:pPr>
    </w:p>
    <w:p w14:paraId="67CA4851" w14:textId="22DD3717" w:rsidR="000C5DB7" w:rsidRPr="00F77BC5" w:rsidRDefault="000C5DB7" w:rsidP="00F77BC5">
      <w:pPr>
        <w:spacing w:line="276" w:lineRule="auto"/>
        <w:contextualSpacing/>
        <w:rPr>
          <w:bCs/>
          <w:sz w:val="24"/>
          <w:szCs w:val="24"/>
        </w:rPr>
      </w:pPr>
      <w:r w:rsidRPr="00F77BC5">
        <w:rPr>
          <w:bCs/>
          <w:sz w:val="24"/>
          <w:szCs w:val="24"/>
        </w:rPr>
        <w:t xml:space="preserve">Bogotá D.C., </w:t>
      </w:r>
      <w:r w:rsidR="004C3EEB">
        <w:rPr>
          <w:bCs/>
          <w:sz w:val="24"/>
          <w:szCs w:val="24"/>
        </w:rPr>
        <w:t>veinte</w:t>
      </w:r>
      <w:r w:rsidR="003F6339" w:rsidRPr="00F77BC5">
        <w:rPr>
          <w:bCs/>
          <w:sz w:val="24"/>
          <w:szCs w:val="24"/>
        </w:rPr>
        <w:t xml:space="preserve"> (</w:t>
      </w:r>
      <w:r w:rsidR="004C3EEB">
        <w:rPr>
          <w:bCs/>
          <w:sz w:val="24"/>
          <w:szCs w:val="24"/>
        </w:rPr>
        <w:t>20</w:t>
      </w:r>
      <w:r w:rsidR="003F6339" w:rsidRPr="00F77BC5">
        <w:rPr>
          <w:bCs/>
          <w:sz w:val="24"/>
          <w:szCs w:val="24"/>
        </w:rPr>
        <w:t xml:space="preserve">) de </w:t>
      </w:r>
      <w:r w:rsidR="004C3EEB">
        <w:rPr>
          <w:bCs/>
          <w:sz w:val="24"/>
          <w:szCs w:val="24"/>
        </w:rPr>
        <w:t>agosto</w:t>
      </w:r>
      <w:r w:rsidR="003F6339" w:rsidRPr="00F77BC5">
        <w:rPr>
          <w:bCs/>
          <w:sz w:val="24"/>
          <w:szCs w:val="24"/>
        </w:rPr>
        <w:t xml:space="preserve"> </w:t>
      </w:r>
      <w:r w:rsidR="007414B9" w:rsidRPr="00F77BC5">
        <w:rPr>
          <w:bCs/>
          <w:sz w:val="24"/>
          <w:szCs w:val="24"/>
        </w:rPr>
        <w:t>de</w:t>
      </w:r>
      <w:r w:rsidRPr="00F77BC5">
        <w:rPr>
          <w:bCs/>
          <w:sz w:val="24"/>
          <w:szCs w:val="24"/>
        </w:rPr>
        <w:t xml:space="preserve"> dos mil </w:t>
      </w:r>
      <w:r w:rsidR="00726B1F" w:rsidRPr="00F77BC5">
        <w:rPr>
          <w:bCs/>
          <w:sz w:val="24"/>
          <w:szCs w:val="24"/>
        </w:rPr>
        <w:t>veintiuno</w:t>
      </w:r>
      <w:r w:rsidRPr="00F77BC5">
        <w:rPr>
          <w:bCs/>
          <w:sz w:val="24"/>
          <w:szCs w:val="24"/>
        </w:rPr>
        <w:t xml:space="preserve"> (</w:t>
      </w:r>
      <w:r w:rsidR="00726B1F" w:rsidRPr="00F77BC5">
        <w:rPr>
          <w:bCs/>
          <w:sz w:val="24"/>
          <w:szCs w:val="24"/>
        </w:rPr>
        <w:t>2021</w:t>
      </w:r>
      <w:r w:rsidRPr="00F77BC5">
        <w:rPr>
          <w:bCs/>
          <w:sz w:val="24"/>
          <w:szCs w:val="24"/>
        </w:rPr>
        <w:t>)</w:t>
      </w:r>
    </w:p>
    <w:p w14:paraId="08FDD8A8" w14:textId="77777777" w:rsidR="001A5D58" w:rsidRPr="00F77BC5" w:rsidRDefault="001A5D58" w:rsidP="00F77BC5">
      <w:pPr>
        <w:spacing w:line="276" w:lineRule="auto"/>
        <w:contextualSpacing/>
        <w:rPr>
          <w:b/>
          <w:sz w:val="24"/>
          <w:szCs w:val="24"/>
        </w:rPr>
      </w:pPr>
    </w:p>
    <w:p w14:paraId="3A99314F" w14:textId="77777777" w:rsidR="00062839" w:rsidRPr="00F77BC5" w:rsidRDefault="00062839" w:rsidP="00F77BC5">
      <w:pPr>
        <w:spacing w:line="276" w:lineRule="auto"/>
        <w:ind w:left="1620" w:hanging="1620"/>
        <w:contextualSpacing/>
        <w:rPr>
          <w:b/>
          <w:sz w:val="24"/>
          <w:szCs w:val="24"/>
        </w:rPr>
      </w:pPr>
      <w:r w:rsidRPr="00F77BC5">
        <w:rPr>
          <w:b/>
          <w:sz w:val="24"/>
          <w:szCs w:val="24"/>
        </w:rPr>
        <w:t xml:space="preserve">Referencia: </w:t>
      </w:r>
      <w:r w:rsidRPr="00F77BC5">
        <w:rPr>
          <w:b/>
          <w:sz w:val="24"/>
          <w:szCs w:val="24"/>
        </w:rPr>
        <w:tab/>
      </w:r>
      <w:r w:rsidRPr="00F77BC5">
        <w:rPr>
          <w:sz w:val="24"/>
          <w:szCs w:val="24"/>
        </w:rPr>
        <w:t>Acción de Tutela</w:t>
      </w:r>
    </w:p>
    <w:p w14:paraId="22057FA3" w14:textId="72CB9690" w:rsidR="00062839" w:rsidRPr="00F77BC5" w:rsidRDefault="00062839" w:rsidP="00F77BC5">
      <w:pPr>
        <w:spacing w:line="276" w:lineRule="auto"/>
        <w:ind w:left="1620" w:hanging="1620"/>
        <w:contextualSpacing/>
        <w:rPr>
          <w:sz w:val="24"/>
          <w:szCs w:val="24"/>
        </w:rPr>
      </w:pPr>
      <w:r w:rsidRPr="00F77BC5">
        <w:rPr>
          <w:b/>
          <w:sz w:val="24"/>
          <w:szCs w:val="24"/>
        </w:rPr>
        <w:t>Radicación:</w:t>
      </w:r>
      <w:r w:rsidRPr="00F77BC5">
        <w:rPr>
          <w:b/>
          <w:sz w:val="24"/>
          <w:szCs w:val="24"/>
        </w:rPr>
        <w:tab/>
      </w:r>
      <w:r w:rsidR="004E6943" w:rsidRPr="004E6943">
        <w:rPr>
          <w:sz w:val="24"/>
          <w:szCs w:val="24"/>
        </w:rPr>
        <w:t>11001-03-15-000-2021-0</w:t>
      </w:r>
      <w:r w:rsidR="00D155EE">
        <w:rPr>
          <w:sz w:val="24"/>
          <w:szCs w:val="24"/>
        </w:rPr>
        <w:t>2751</w:t>
      </w:r>
      <w:r w:rsidR="004E6943" w:rsidRPr="004E6943">
        <w:rPr>
          <w:sz w:val="24"/>
          <w:szCs w:val="24"/>
        </w:rPr>
        <w:t>-00</w:t>
      </w:r>
    </w:p>
    <w:p w14:paraId="47FE652F" w14:textId="4A84AABB" w:rsidR="00062839" w:rsidRPr="00F77BC5" w:rsidRDefault="00062839" w:rsidP="00F77BC5">
      <w:pPr>
        <w:spacing w:line="276" w:lineRule="auto"/>
        <w:ind w:left="1620" w:hanging="1620"/>
        <w:contextualSpacing/>
        <w:rPr>
          <w:sz w:val="24"/>
          <w:szCs w:val="24"/>
        </w:rPr>
      </w:pPr>
      <w:r w:rsidRPr="00F77BC5">
        <w:rPr>
          <w:b/>
          <w:sz w:val="24"/>
          <w:szCs w:val="24"/>
        </w:rPr>
        <w:t>Accionante:</w:t>
      </w:r>
      <w:r w:rsidRPr="00F77BC5">
        <w:rPr>
          <w:b/>
          <w:sz w:val="24"/>
          <w:szCs w:val="24"/>
        </w:rPr>
        <w:tab/>
      </w:r>
      <w:r w:rsidR="00D155EE">
        <w:rPr>
          <w:bCs/>
          <w:sz w:val="24"/>
          <w:szCs w:val="24"/>
        </w:rPr>
        <w:t xml:space="preserve">Centro Cardiovascular Colombiano </w:t>
      </w:r>
      <w:r w:rsidR="00D155EE" w:rsidRPr="00D155EE">
        <w:rPr>
          <w:bCs/>
          <w:sz w:val="24"/>
          <w:szCs w:val="24"/>
        </w:rPr>
        <w:t>“Clínica Santa María”</w:t>
      </w:r>
    </w:p>
    <w:p w14:paraId="057C952B" w14:textId="4E080461" w:rsidR="00062839" w:rsidRPr="00F77BC5" w:rsidRDefault="00062839" w:rsidP="00F77BC5">
      <w:pPr>
        <w:spacing w:line="276" w:lineRule="auto"/>
        <w:ind w:left="1620" w:right="51" w:hanging="1620"/>
        <w:contextualSpacing/>
        <w:rPr>
          <w:bCs/>
          <w:sz w:val="24"/>
          <w:szCs w:val="24"/>
        </w:rPr>
      </w:pPr>
      <w:r w:rsidRPr="00F77BC5">
        <w:rPr>
          <w:b/>
          <w:sz w:val="24"/>
          <w:szCs w:val="24"/>
        </w:rPr>
        <w:t>Accionado:</w:t>
      </w:r>
      <w:r w:rsidRPr="00F77BC5">
        <w:rPr>
          <w:b/>
          <w:sz w:val="24"/>
          <w:szCs w:val="24"/>
        </w:rPr>
        <w:tab/>
      </w:r>
      <w:r w:rsidR="00D155EE" w:rsidRPr="00D155EE">
        <w:rPr>
          <w:bCs/>
          <w:sz w:val="24"/>
          <w:szCs w:val="24"/>
        </w:rPr>
        <w:t>Consejo de Estado, Sección Tercera, Subsección B</w:t>
      </w:r>
    </w:p>
    <w:p w14:paraId="56FB1AEA" w14:textId="77777777" w:rsidR="001A5D58" w:rsidRPr="00F77BC5" w:rsidRDefault="001A5D58" w:rsidP="00F77BC5">
      <w:pPr>
        <w:spacing w:line="276" w:lineRule="auto"/>
        <w:ind w:right="51"/>
        <w:contextualSpacing/>
        <w:rPr>
          <w:b/>
          <w:sz w:val="24"/>
          <w:szCs w:val="24"/>
        </w:rPr>
      </w:pPr>
    </w:p>
    <w:p w14:paraId="5502B028" w14:textId="2DBBA438" w:rsidR="000C5DB7" w:rsidRPr="00F77BC5" w:rsidRDefault="000C5DB7" w:rsidP="00F77BC5">
      <w:pPr>
        <w:pBdr>
          <w:bottom w:val="single" w:sz="12" w:space="0" w:color="auto"/>
        </w:pBdr>
        <w:spacing w:line="276" w:lineRule="auto"/>
        <w:ind w:left="2832" w:hanging="2832"/>
        <w:contextualSpacing/>
        <w:rPr>
          <w:b/>
          <w:sz w:val="24"/>
          <w:szCs w:val="24"/>
        </w:rPr>
      </w:pPr>
      <w:r w:rsidRPr="00F77BC5">
        <w:rPr>
          <w:b/>
          <w:sz w:val="24"/>
          <w:szCs w:val="24"/>
        </w:rPr>
        <w:t xml:space="preserve">SENTENCIA DE </w:t>
      </w:r>
      <w:r w:rsidR="001A5D58" w:rsidRPr="00F77BC5">
        <w:rPr>
          <w:b/>
          <w:sz w:val="24"/>
          <w:szCs w:val="24"/>
        </w:rPr>
        <w:t>PRIMERA</w:t>
      </w:r>
      <w:r w:rsidRPr="00F77BC5">
        <w:rPr>
          <w:b/>
          <w:sz w:val="24"/>
          <w:szCs w:val="24"/>
        </w:rPr>
        <w:t xml:space="preserve"> INSTANCIA</w:t>
      </w:r>
    </w:p>
    <w:p w14:paraId="632CC7FE" w14:textId="77777777" w:rsidR="000C5DB7" w:rsidRPr="00F77BC5" w:rsidRDefault="000C5DB7" w:rsidP="00F77BC5">
      <w:pPr>
        <w:spacing w:line="276" w:lineRule="auto"/>
        <w:contextualSpacing/>
        <w:rPr>
          <w:b/>
          <w:sz w:val="24"/>
          <w:szCs w:val="24"/>
        </w:rPr>
      </w:pPr>
    </w:p>
    <w:p w14:paraId="480156D4" w14:textId="2311D1F5" w:rsidR="0097486A" w:rsidRPr="00F77BC5" w:rsidRDefault="000C5DB7" w:rsidP="00F77BC5">
      <w:pPr>
        <w:spacing w:line="276" w:lineRule="auto"/>
        <w:contextualSpacing/>
        <w:rPr>
          <w:sz w:val="24"/>
          <w:szCs w:val="24"/>
        </w:rPr>
      </w:pPr>
      <w:r w:rsidRPr="00F77BC5">
        <w:rPr>
          <w:sz w:val="24"/>
          <w:szCs w:val="24"/>
        </w:rPr>
        <w:t>La Sala decide</w:t>
      </w:r>
      <w:r w:rsidR="0097486A" w:rsidRPr="00F77BC5">
        <w:rPr>
          <w:sz w:val="24"/>
          <w:szCs w:val="24"/>
        </w:rPr>
        <w:t xml:space="preserve"> </w:t>
      </w:r>
      <w:r w:rsidR="005717A7" w:rsidRPr="00F77BC5">
        <w:rPr>
          <w:sz w:val="24"/>
          <w:szCs w:val="24"/>
        </w:rPr>
        <w:t xml:space="preserve">la </w:t>
      </w:r>
      <w:r w:rsidR="009E4D16" w:rsidRPr="00F77BC5">
        <w:rPr>
          <w:sz w:val="24"/>
          <w:szCs w:val="24"/>
        </w:rPr>
        <w:t>solicitud de amparo</w:t>
      </w:r>
      <w:r w:rsidR="005717A7" w:rsidRPr="00F77BC5">
        <w:rPr>
          <w:sz w:val="24"/>
          <w:szCs w:val="24"/>
        </w:rPr>
        <w:t xml:space="preserve"> que</w:t>
      </w:r>
      <w:r w:rsidR="00A545B5" w:rsidRPr="00F77BC5">
        <w:rPr>
          <w:sz w:val="24"/>
          <w:szCs w:val="24"/>
        </w:rPr>
        <w:t xml:space="preserve"> </w:t>
      </w:r>
      <w:r w:rsidR="005717A7" w:rsidRPr="00F77BC5">
        <w:rPr>
          <w:sz w:val="24"/>
          <w:szCs w:val="24"/>
        </w:rPr>
        <w:t>present</w:t>
      </w:r>
      <w:r w:rsidR="009D0BD4">
        <w:rPr>
          <w:sz w:val="24"/>
          <w:szCs w:val="24"/>
        </w:rPr>
        <w:t>ó</w:t>
      </w:r>
      <w:r w:rsidR="005717A7" w:rsidRPr="00F77BC5">
        <w:rPr>
          <w:sz w:val="24"/>
          <w:szCs w:val="24"/>
        </w:rPr>
        <w:t xml:space="preserve"> </w:t>
      </w:r>
      <w:r w:rsidR="00D155EE">
        <w:rPr>
          <w:bCs/>
          <w:sz w:val="24"/>
          <w:szCs w:val="24"/>
        </w:rPr>
        <w:t xml:space="preserve">el </w:t>
      </w:r>
      <w:r w:rsidR="00D155EE" w:rsidRPr="00D155EE">
        <w:rPr>
          <w:bCs/>
          <w:sz w:val="24"/>
          <w:szCs w:val="24"/>
        </w:rPr>
        <w:t>Centro Cardiovascular Colombiano “Clínica Santa María”</w:t>
      </w:r>
      <w:r w:rsidR="00B93639" w:rsidRPr="00F77BC5">
        <w:rPr>
          <w:sz w:val="24"/>
          <w:szCs w:val="24"/>
        </w:rPr>
        <w:t xml:space="preserve"> </w:t>
      </w:r>
      <w:r w:rsidR="00D155EE">
        <w:rPr>
          <w:sz w:val="24"/>
          <w:szCs w:val="24"/>
        </w:rPr>
        <w:t xml:space="preserve">en </w:t>
      </w:r>
      <w:r w:rsidR="005717A7" w:rsidRPr="00F77BC5">
        <w:rPr>
          <w:sz w:val="24"/>
          <w:szCs w:val="24"/>
        </w:rPr>
        <w:t xml:space="preserve">contra </w:t>
      </w:r>
      <w:r w:rsidR="00D155EE">
        <w:rPr>
          <w:sz w:val="24"/>
          <w:szCs w:val="24"/>
        </w:rPr>
        <w:t>d</w:t>
      </w:r>
      <w:r w:rsidR="009D0BD4">
        <w:rPr>
          <w:sz w:val="24"/>
          <w:szCs w:val="24"/>
        </w:rPr>
        <w:t xml:space="preserve">el </w:t>
      </w:r>
      <w:r w:rsidR="00D155EE" w:rsidRPr="00D155EE">
        <w:rPr>
          <w:sz w:val="24"/>
          <w:szCs w:val="24"/>
        </w:rPr>
        <w:t>Consejo de Estado, Sección Tercera, Subsección B</w:t>
      </w:r>
      <w:r w:rsidR="004D6E58" w:rsidRPr="00F77BC5">
        <w:rPr>
          <w:bCs/>
          <w:sz w:val="24"/>
          <w:szCs w:val="24"/>
        </w:rPr>
        <w:t>.</w:t>
      </w:r>
    </w:p>
    <w:p w14:paraId="766CF102" w14:textId="77777777" w:rsidR="00E57BB4" w:rsidRPr="00F77BC5" w:rsidRDefault="00E57BB4" w:rsidP="00F77BC5">
      <w:pPr>
        <w:spacing w:line="276" w:lineRule="auto"/>
        <w:contextualSpacing/>
        <w:rPr>
          <w:sz w:val="24"/>
          <w:szCs w:val="24"/>
        </w:rPr>
      </w:pPr>
    </w:p>
    <w:p w14:paraId="4C66CC71" w14:textId="77777777" w:rsidR="000C5DB7" w:rsidRPr="00F77BC5" w:rsidRDefault="000C5DB7" w:rsidP="00F77BC5">
      <w:pPr>
        <w:pStyle w:val="Ttulo1"/>
        <w:spacing w:before="0" w:after="0"/>
        <w:rPr>
          <w:rFonts w:cs="Arial"/>
          <w:kern w:val="0"/>
          <w:szCs w:val="24"/>
        </w:rPr>
      </w:pPr>
      <w:r w:rsidRPr="00F77BC5">
        <w:rPr>
          <w:rFonts w:cs="Arial"/>
          <w:kern w:val="0"/>
          <w:szCs w:val="24"/>
        </w:rPr>
        <w:t>ANTECEDENTES</w:t>
      </w:r>
    </w:p>
    <w:p w14:paraId="1EBDE87D" w14:textId="77777777" w:rsidR="00E57BB4" w:rsidRPr="00F77BC5" w:rsidRDefault="00E57BB4" w:rsidP="00F77BC5">
      <w:pPr>
        <w:pStyle w:val="Ttulo2"/>
        <w:numPr>
          <w:ilvl w:val="0"/>
          <w:numId w:val="0"/>
        </w:numPr>
        <w:spacing w:before="0" w:after="0" w:line="276" w:lineRule="auto"/>
        <w:rPr>
          <w:rFonts w:cs="Arial"/>
          <w:szCs w:val="24"/>
          <w:lang w:eastAsia="es-ES"/>
        </w:rPr>
      </w:pPr>
    </w:p>
    <w:p w14:paraId="768CCA4A" w14:textId="405CC458" w:rsidR="00FF190B" w:rsidRPr="00F77BC5" w:rsidRDefault="000C5DB7" w:rsidP="00F77BC5">
      <w:pPr>
        <w:pStyle w:val="Ttulo2"/>
        <w:spacing w:before="0" w:after="0" w:line="276" w:lineRule="auto"/>
        <w:ind w:left="0" w:firstLine="0"/>
        <w:rPr>
          <w:rFonts w:cs="Arial"/>
          <w:szCs w:val="24"/>
          <w:lang w:eastAsia="es-ES"/>
        </w:rPr>
      </w:pPr>
      <w:r w:rsidRPr="00F77BC5">
        <w:rPr>
          <w:rFonts w:cs="Arial"/>
          <w:szCs w:val="24"/>
          <w:lang w:eastAsia="es-ES"/>
        </w:rPr>
        <w:t>Solicitud de tutela</w:t>
      </w:r>
      <w:r w:rsidR="00F340F8" w:rsidRPr="00F77BC5">
        <w:rPr>
          <w:rFonts w:cs="Arial"/>
          <w:szCs w:val="24"/>
          <w:lang w:eastAsia="es-ES"/>
        </w:rPr>
        <w:t xml:space="preserve"> y pretensiones</w:t>
      </w:r>
    </w:p>
    <w:p w14:paraId="123972A5" w14:textId="77777777" w:rsidR="00FF190B" w:rsidRPr="00F77BC5" w:rsidRDefault="00FF190B" w:rsidP="00F77BC5">
      <w:pPr>
        <w:overflowPunct w:val="0"/>
        <w:autoSpaceDE w:val="0"/>
        <w:autoSpaceDN w:val="0"/>
        <w:adjustRightInd w:val="0"/>
        <w:spacing w:line="276" w:lineRule="auto"/>
        <w:contextualSpacing/>
        <w:textAlignment w:val="baseline"/>
        <w:rPr>
          <w:sz w:val="24"/>
          <w:szCs w:val="24"/>
        </w:rPr>
      </w:pPr>
    </w:p>
    <w:p w14:paraId="434B5B24" w14:textId="0F103940" w:rsidR="003B65D7" w:rsidRDefault="003B65D7" w:rsidP="00F77BC5">
      <w:pPr>
        <w:spacing w:line="276" w:lineRule="auto"/>
        <w:contextualSpacing/>
        <w:rPr>
          <w:sz w:val="24"/>
          <w:szCs w:val="24"/>
        </w:rPr>
      </w:pPr>
      <w:r w:rsidRPr="003B65D7">
        <w:rPr>
          <w:sz w:val="24"/>
          <w:szCs w:val="24"/>
        </w:rPr>
        <w:t>El Centro Cardiovascular Colombiano “Clínica Santa María”, por conducto de apoderado, solicitó</w:t>
      </w:r>
      <w:r w:rsidRPr="003B65D7">
        <w:rPr>
          <w:sz w:val="24"/>
          <w:szCs w:val="24"/>
          <w:vertAlign w:val="superscript"/>
        </w:rPr>
        <w:footnoteReference w:id="2"/>
      </w:r>
      <w:r w:rsidRPr="003B65D7">
        <w:rPr>
          <w:sz w:val="24"/>
          <w:szCs w:val="24"/>
        </w:rPr>
        <w:t xml:space="preserve"> el amparo de sus derechos fundamentales al debido proceso y al acceso a la administración de justicia. Tales garantías las consideró vulneradas por el Consejo de Estado, Sección Tercera, Subsección B, con motivo del fallo del 3 de agosto de 2020, proferido dentro del proceso de reparación directa identificado con el </w:t>
      </w:r>
      <w:r w:rsidR="00DB2A99">
        <w:rPr>
          <w:sz w:val="24"/>
          <w:szCs w:val="24"/>
        </w:rPr>
        <w:t>número</w:t>
      </w:r>
      <w:r w:rsidRPr="003B65D7">
        <w:rPr>
          <w:sz w:val="24"/>
          <w:szCs w:val="24"/>
        </w:rPr>
        <w:t xml:space="preserve"> único de radicación 05001-23-31-000-2002-00405-01 (45.577).</w:t>
      </w:r>
      <w:r w:rsidR="004C3EEB">
        <w:rPr>
          <w:sz w:val="24"/>
          <w:szCs w:val="24"/>
        </w:rPr>
        <w:t xml:space="preserve"> En su escrito</w:t>
      </w:r>
      <w:r w:rsidR="00815578">
        <w:rPr>
          <w:sz w:val="24"/>
          <w:szCs w:val="24"/>
        </w:rPr>
        <w:t>, el citado accionante</w:t>
      </w:r>
      <w:r>
        <w:rPr>
          <w:sz w:val="24"/>
          <w:szCs w:val="24"/>
        </w:rPr>
        <w:t xml:space="preserve"> pretendió que este fallador deje sin efectos jurídicos la sentencia enjuiciada y ordene que, en su lugar, se dicte providencia de reemplazo que niegue las pretensiones de la demanda ordinaria identificada arriba.</w:t>
      </w:r>
    </w:p>
    <w:p w14:paraId="2AB55DD1" w14:textId="77777777" w:rsidR="003B65D7" w:rsidRPr="00F77BC5" w:rsidRDefault="003B65D7" w:rsidP="00F77BC5">
      <w:pPr>
        <w:spacing w:line="276" w:lineRule="auto"/>
        <w:contextualSpacing/>
        <w:rPr>
          <w:rFonts w:eastAsia="Verdana"/>
          <w:sz w:val="24"/>
          <w:szCs w:val="24"/>
        </w:rPr>
      </w:pPr>
    </w:p>
    <w:p w14:paraId="3FAB417C" w14:textId="2615AEE0" w:rsidR="000C5DB7" w:rsidRDefault="000C5DB7" w:rsidP="00F77BC5">
      <w:pPr>
        <w:numPr>
          <w:ilvl w:val="0"/>
          <w:numId w:val="3"/>
        </w:numPr>
        <w:spacing w:line="276" w:lineRule="auto"/>
        <w:ind w:left="0" w:firstLine="0"/>
        <w:contextualSpacing/>
        <w:rPr>
          <w:rFonts w:eastAsia="Verdana"/>
          <w:b/>
          <w:sz w:val="24"/>
          <w:szCs w:val="24"/>
        </w:rPr>
      </w:pPr>
      <w:r w:rsidRPr="00F77BC5">
        <w:rPr>
          <w:rFonts w:eastAsia="Verdana"/>
          <w:b/>
          <w:sz w:val="24"/>
          <w:szCs w:val="24"/>
        </w:rPr>
        <w:t>Hechos</w:t>
      </w:r>
    </w:p>
    <w:p w14:paraId="28E28079" w14:textId="77777777" w:rsidR="003B65D7" w:rsidRDefault="003B65D7" w:rsidP="003B65D7">
      <w:pPr>
        <w:spacing w:line="276" w:lineRule="auto"/>
        <w:contextualSpacing/>
        <w:rPr>
          <w:rFonts w:eastAsia="Verdana"/>
          <w:b/>
          <w:sz w:val="24"/>
          <w:szCs w:val="24"/>
        </w:rPr>
      </w:pPr>
    </w:p>
    <w:p w14:paraId="3BDEDA07" w14:textId="3260E523" w:rsidR="003B65D7" w:rsidRPr="003B65D7" w:rsidRDefault="003B65D7" w:rsidP="003B65D7">
      <w:pPr>
        <w:numPr>
          <w:ilvl w:val="1"/>
          <w:numId w:val="3"/>
        </w:numPr>
        <w:spacing w:line="276" w:lineRule="auto"/>
        <w:ind w:left="0" w:firstLine="0"/>
        <w:contextualSpacing/>
        <w:rPr>
          <w:rFonts w:eastAsia="Verdana"/>
          <w:b/>
          <w:sz w:val="24"/>
          <w:szCs w:val="24"/>
        </w:rPr>
      </w:pPr>
      <w:r w:rsidRPr="004A02B2">
        <w:rPr>
          <w:sz w:val="24"/>
          <w:szCs w:val="24"/>
        </w:rPr>
        <w:t xml:space="preserve">María del Perpetuo Socorro García de Pinillos; </w:t>
      </w:r>
      <w:r w:rsidRPr="00602F1B">
        <w:rPr>
          <w:sz w:val="24"/>
          <w:szCs w:val="24"/>
        </w:rPr>
        <w:t xml:space="preserve">María </w:t>
      </w:r>
      <w:proofErr w:type="spellStart"/>
      <w:r w:rsidRPr="00602F1B">
        <w:rPr>
          <w:sz w:val="24"/>
          <w:szCs w:val="24"/>
        </w:rPr>
        <w:t>Ailed</w:t>
      </w:r>
      <w:proofErr w:type="spellEnd"/>
      <w:r w:rsidRPr="00602F1B">
        <w:rPr>
          <w:sz w:val="24"/>
          <w:szCs w:val="24"/>
        </w:rPr>
        <w:t xml:space="preserve">, María Magdalena, María </w:t>
      </w:r>
      <w:proofErr w:type="spellStart"/>
      <w:r w:rsidRPr="00602F1B">
        <w:rPr>
          <w:sz w:val="24"/>
          <w:szCs w:val="24"/>
        </w:rPr>
        <w:t>Edilia</w:t>
      </w:r>
      <w:proofErr w:type="spellEnd"/>
      <w:r w:rsidRPr="00602F1B">
        <w:rPr>
          <w:sz w:val="24"/>
          <w:szCs w:val="24"/>
        </w:rPr>
        <w:t xml:space="preserve">, Jesús María, </w:t>
      </w:r>
      <w:proofErr w:type="spellStart"/>
      <w:r w:rsidRPr="00602F1B">
        <w:rPr>
          <w:sz w:val="24"/>
          <w:szCs w:val="24"/>
        </w:rPr>
        <w:t>Edi</w:t>
      </w:r>
      <w:r w:rsidR="00602F1B" w:rsidRPr="00602F1B">
        <w:rPr>
          <w:sz w:val="24"/>
          <w:szCs w:val="24"/>
        </w:rPr>
        <w:t>l</w:t>
      </w:r>
      <w:r w:rsidRPr="00602F1B">
        <w:rPr>
          <w:sz w:val="24"/>
          <w:szCs w:val="24"/>
        </w:rPr>
        <w:t>son</w:t>
      </w:r>
      <w:proofErr w:type="spellEnd"/>
      <w:r w:rsidRPr="00602F1B">
        <w:rPr>
          <w:sz w:val="24"/>
          <w:szCs w:val="24"/>
        </w:rPr>
        <w:t xml:space="preserve"> de Jesús y José Olivero</w:t>
      </w:r>
      <w:r w:rsidRPr="004A02B2">
        <w:rPr>
          <w:sz w:val="24"/>
          <w:szCs w:val="24"/>
        </w:rPr>
        <w:t xml:space="preserve"> Pinillos García; Gladys de Jesús Múnera Jaramillo; Gladys Andrea, Luz Mary y Diego Mauricio Pinillos Múnera; Leidy Johana y Juan Esteban Pinillos; </w:t>
      </w:r>
      <w:r>
        <w:rPr>
          <w:sz w:val="24"/>
          <w:szCs w:val="24"/>
        </w:rPr>
        <w:t xml:space="preserve">y </w:t>
      </w:r>
      <w:r w:rsidRPr="004A02B2">
        <w:rPr>
          <w:sz w:val="24"/>
          <w:szCs w:val="24"/>
        </w:rPr>
        <w:t xml:space="preserve">María Fernanda Martínez Pinillos instauraron demanda de reparación directa </w:t>
      </w:r>
      <w:r w:rsidR="00E32C77">
        <w:rPr>
          <w:sz w:val="24"/>
          <w:szCs w:val="24"/>
        </w:rPr>
        <w:t xml:space="preserve">en </w:t>
      </w:r>
      <w:r w:rsidRPr="004A02B2">
        <w:rPr>
          <w:sz w:val="24"/>
          <w:szCs w:val="24"/>
        </w:rPr>
        <w:t xml:space="preserve">contra </w:t>
      </w:r>
      <w:r w:rsidR="00E32C77">
        <w:rPr>
          <w:sz w:val="24"/>
          <w:szCs w:val="24"/>
        </w:rPr>
        <w:t>d</w:t>
      </w:r>
      <w:r w:rsidRPr="004A02B2">
        <w:rPr>
          <w:sz w:val="24"/>
          <w:szCs w:val="24"/>
        </w:rPr>
        <w:t xml:space="preserve">el Departamento de Antioquia; el Municipio de Puerto Berrío; el Ministerio de Salud y Protección Social; la E.S.E. Hospital de la Cruz de Puerto Berrío y el Centro Cardiovascular Colombiano “Hospital Santa María”. Allí </w:t>
      </w:r>
      <w:r>
        <w:rPr>
          <w:sz w:val="24"/>
          <w:szCs w:val="24"/>
        </w:rPr>
        <w:t>pidieron</w:t>
      </w:r>
      <w:r w:rsidRPr="004A02B2">
        <w:rPr>
          <w:sz w:val="24"/>
          <w:szCs w:val="24"/>
        </w:rPr>
        <w:t xml:space="preserve"> que se declarara la responsabilidad de las demandadas por la muerte de </w:t>
      </w:r>
      <w:proofErr w:type="spellStart"/>
      <w:r w:rsidRPr="004A02B2">
        <w:rPr>
          <w:sz w:val="24"/>
          <w:szCs w:val="24"/>
        </w:rPr>
        <w:t>Joselín</w:t>
      </w:r>
      <w:proofErr w:type="spellEnd"/>
      <w:r w:rsidRPr="004A02B2">
        <w:rPr>
          <w:sz w:val="24"/>
          <w:szCs w:val="24"/>
        </w:rPr>
        <w:t xml:space="preserve"> Pinillos García y que se les pagara la respectiva indemnización de perjuicios.</w:t>
      </w:r>
    </w:p>
    <w:p w14:paraId="48CBC6DE" w14:textId="2CCD1041" w:rsidR="003B65D7" w:rsidRDefault="003B65D7" w:rsidP="003B65D7">
      <w:pPr>
        <w:spacing w:line="276" w:lineRule="auto"/>
        <w:contextualSpacing/>
        <w:rPr>
          <w:rFonts w:eastAsia="Verdana"/>
          <w:b/>
          <w:sz w:val="24"/>
          <w:szCs w:val="24"/>
        </w:rPr>
      </w:pPr>
    </w:p>
    <w:p w14:paraId="51F5467C" w14:textId="1BF56E56" w:rsidR="003B65D7" w:rsidRDefault="003B65D7" w:rsidP="003B65D7">
      <w:pPr>
        <w:spacing w:line="276" w:lineRule="auto"/>
        <w:contextualSpacing/>
        <w:rPr>
          <w:sz w:val="24"/>
          <w:szCs w:val="24"/>
        </w:rPr>
      </w:pPr>
      <w:r w:rsidRPr="004A02B2">
        <w:rPr>
          <w:sz w:val="24"/>
          <w:szCs w:val="24"/>
        </w:rPr>
        <w:t xml:space="preserve">En el correspondiente libelo introductorio los demandantes </w:t>
      </w:r>
      <w:r>
        <w:rPr>
          <w:sz w:val="24"/>
          <w:szCs w:val="24"/>
        </w:rPr>
        <w:t>sostuvieron</w:t>
      </w:r>
      <w:r w:rsidRPr="004A02B2">
        <w:rPr>
          <w:sz w:val="24"/>
          <w:szCs w:val="24"/>
        </w:rPr>
        <w:t xml:space="preserve"> que, el 8 de enero de 2000, el difunto señor Pinillos ingresó al servicio de urgencias de la E.S.E. </w:t>
      </w:r>
      <w:r w:rsidRPr="004A02B2">
        <w:rPr>
          <w:sz w:val="24"/>
          <w:szCs w:val="24"/>
        </w:rPr>
        <w:lastRenderedPageBreak/>
        <w:t xml:space="preserve">demandada, ante la cual expuso que padecía un dolor en el pecho. </w:t>
      </w:r>
      <w:r>
        <w:rPr>
          <w:sz w:val="24"/>
          <w:szCs w:val="24"/>
        </w:rPr>
        <w:t>Seguidamente</w:t>
      </w:r>
      <w:r w:rsidRPr="004A02B2">
        <w:rPr>
          <w:sz w:val="24"/>
          <w:szCs w:val="24"/>
        </w:rPr>
        <w:t xml:space="preserve">, fue dado de alta al día siguiente. Luego, el 10 de enero de 2000, al notar que no superaba el referido quebranto, el citado señor </w:t>
      </w:r>
      <w:r>
        <w:rPr>
          <w:sz w:val="24"/>
          <w:szCs w:val="24"/>
        </w:rPr>
        <w:t>asistió</w:t>
      </w:r>
      <w:r w:rsidRPr="004A02B2">
        <w:rPr>
          <w:sz w:val="24"/>
          <w:szCs w:val="24"/>
        </w:rPr>
        <w:t xml:space="preserve"> al Centro Cardiovascular Colombiano</w:t>
      </w:r>
      <w:r>
        <w:rPr>
          <w:sz w:val="24"/>
          <w:szCs w:val="24"/>
        </w:rPr>
        <w:t xml:space="preserve"> “Clínica Santa María”</w:t>
      </w:r>
      <w:r w:rsidRPr="004A02B2">
        <w:rPr>
          <w:sz w:val="24"/>
          <w:szCs w:val="24"/>
        </w:rPr>
        <w:t xml:space="preserve">. Allí se evidenció que el paciente presentaba señales de infarto cardiaco. No obstante, la respectiva atención médica se retrasó por varios días ante la falta de capacidad de pago que experimentaba el enfermo, sin que se le practicaran los debidos exámenes y el tratamiento </w:t>
      </w:r>
      <w:r w:rsidR="00D93FCF">
        <w:rPr>
          <w:sz w:val="24"/>
          <w:szCs w:val="24"/>
        </w:rPr>
        <w:t xml:space="preserve">mínimo </w:t>
      </w:r>
      <w:r w:rsidRPr="004A02B2">
        <w:rPr>
          <w:sz w:val="24"/>
          <w:szCs w:val="24"/>
        </w:rPr>
        <w:t xml:space="preserve">de rigor. Finalmente, el 14 de enero de </w:t>
      </w:r>
      <w:r w:rsidR="00D93FCF">
        <w:rPr>
          <w:sz w:val="24"/>
          <w:szCs w:val="24"/>
        </w:rPr>
        <w:t>ese año</w:t>
      </w:r>
      <w:r w:rsidRPr="004A02B2">
        <w:rPr>
          <w:sz w:val="24"/>
          <w:szCs w:val="24"/>
        </w:rPr>
        <w:t xml:space="preserve">, el señor Pinillos fue sometido a una prueba de esfuerzo que trajo como resultado que </w:t>
      </w:r>
      <w:r>
        <w:rPr>
          <w:sz w:val="24"/>
          <w:szCs w:val="24"/>
        </w:rPr>
        <w:t xml:space="preserve">este </w:t>
      </w:r>
      <w:r w:rsidRPr="004A02B2">
        <w:rPr>
          <w:sz w:val="24"/>
          <w:szCs w:val="24"/>
        </w:rPr>
        <w:t>perdiera el conocimiento y, minutos después, muriera.</w:t>
      </w:r>
    </w:p>
    <w:p w14:paraId="3BA214BE" w14:textId="77777777" w:rsidR="003B65D7" w:rsidRPr="003B65D7" w:rsidRDefault="003B65D7" w:rsidP="003B65D7">
      <w:pPr>
        <w:spacing w:line="276" w:lineRule="auto"/>
        <w:contextualSpacing/>
        <w:rPr>
          <w:rFonts w:eastAsia="Verdana"/>
          <w:b/>
          <w:sz w:val="24"/>
          <w:szCs w:val="24"/>
        </w:rPr>
      </w:pPr>
    </w:p>
    <w:p w14:paraId="7CBFCAF9" w14:textId="5BD8F240" w:rsidR="003B65D7" w:rsidRPr="008A2E57" w:rsidRDefault="003B65D7" w:rsidP="003B65D7">
      <w:pPr>
        <w:numPr>
          <w:ilvl w:val="1"/>
          <w:numId w:val="3"/>
        </w:numPr>
        <w:spacing w:line="276" w:lineRule="auto"/>
        <w:ind w:left="0" w:firstLine="0"/>
        <w:contextualSpacing/>
        <w:rPr>
          <w:rFonts w:eastAsia="Verdana"/>
          <w:b/>
          <w:sz w:val="24"/>
          <w:szCs w:val="24"/>
        </w:rPr>
      </w:pPr>
      <w:r w:rsidRPr="003B65D7">
        <w:rPr>
          <w:sz w:val="24"/>
          <w:szCs w:val="24"/>
        </w:rPr>
        <w:t xml:space="preserve">En primera instancia, el Tribunal Administrativo de Antioquia, </w:t>
      </w:r>
      <w:r>
        <w:rPr>
          <w:sz w:val="24"/>
          <w:szCs w:val="24"/>
        </w:rPr>
        <w:t>en</w:t>
      </w:r>
      <w:r w:rsidRPr="003B65D7">
        <w:rPr>
          <w:sz w:val="24"/>
          <w:szCs w:val="24"/>
        </w:rPr>
        <w:t xml:space="preserve"> sentencia del 6 de junio de 2012, negó las pretensiones de la demanda. En su criterio, el acervo recaudado no mostró que la prueba de esfuerzo practicada al señor Pinillos hubiera sido contraria a los protocolos médicos seguidos en casos como el </w:t>
      </w:r>
      <w:r>
        <w:rPr>
          <w:sz w:val="24"/>
          <w:szCs w:val="24"/>
        </w:rPr>
        <w:t>suyo</w:t>
      </w:r>
      <w:r w:rsidRPr="003B65D7">
        <w:rPr>
          <w:sz w:val="24"/>
          <w:szCs w:val="24"/>
        </w:rPr>
        <w:t xml:space="preserve">. Para el efecto, valoró el dictamen pericial rendido por el médico Julián Vallejo Maya. Así mismo, evaluó la intervención presentada por el </w:t>
      </w:r>
      <w:r>
        <w:rPr>
          <w:sz w:val="24"/>
          <w:szCs w:val="24"/>
        </w:rPr>
        <w:t>galeno</w:t>
      </w:r>
      <w:r w:rsidRPr="003B65D7">
        <w:rPr>
          <w:sz w:val="24"/>
          <w:szCs w:val="24"/>
        </w:rPr>
        <w:t xml:space="preserve"> Hermes de Jesús Grajales Jiménez, quien actuó durante el trámite </w:t>
      </w:r>
      <w:r>
        <w:rPr>
          <w:sz w:val="24"/>
          <w:szCs w:val="24"/>
        </w:rPr>
        <w:t>de la</w:t>
      </w:r>
      <w:r w:rsidRPr="003B65D7">
        <w:rPr>
          <w:sz w:val="24"/>
          <w:szCs w:val="24"/>
        </w:rPr>
        <w:t xml:space="preserve"> objeción grave </w:t>
      </w:r>
      <w:r>
        <w:rPr>
          <w:sz w:val="24"/>
          <w:szCs w:val="24"/>
        </w:rPr>
        <w:t>formulada</w:t>
      </w:r>
      <w:r w:rsidRPr="003B65D7">
        <w:rPr>
          <w:sz w:val="24"/>
          <w:szCs w:val="24"/>
        </w:rPr>
        <w:t xml:space="preserve"> contra la </w:t>
      </w:r>
      <w:r>
        <w:rPr>
          <w:sz w:val="24"/>
          <w:szCs w:val="24"/>
        </w:rPr>
        <w:t xml:space="preserve">referida </w:t>
      </w:r>
      <w:r w:rsidRPr="003B65D7">
        <w:rPr>
          <w:sz w:val="24"/>
          <w:szCs w:val="24"/>
        </w:rPr>
        <w:t>pericia</w:t>
      </w:r>
      <w:r w:rsidR="001E7763">
        <w:rPr>
          <w:sz w:val="24"/>
          <w:szCs w:val="24"/>
        </w:rPr>
        <w:t>, la cual no prosperó y sí dejó incólume el respectivo concepto científico</w:t>
      </w:r>
      <w:r w:rsidRPr="003B65D7">
        <w:rPr>
          <w:sz w:val="24"/>
          <w:szCs w:val="24"/>
        </w:rPr>
        <w:t xml:space="preserve">. Seguidamente, examinó el testimonio entregado por el </w:t>
      </w:r>
      <w:r>
        <w:rPr>
          <w:sz w:val="24"/>
          <w:szCs w:val="24"/>
        </w:rPr>
        <w:t>médico</w:t>
      </w:r>
      <w:r w:rsidRPr="003B65D7">
        <w:rPr>
          <w:sz w:val="24"/>
          <w:szCs w:val="24"/>
        </w:rPr>
        <w:t xml:space="preserve"> Francisco Eladio López. A partir de allí concluyó que la </w:t>
      </w:r>
      <w:r w:rsidR="008A2E57">
        <w:rPr>
          <w:sz w:val="24"/>
          <w:szCs w:val="24"/>
        </w:rPr>
        <w:t>citada</w:t>
      </w:r>
      <w:r w:rsidRPr="003B65D7">
        <w:rPr>
          <w:sz w:val="24"/>
          <w:szCs w:val="24"/>
        </w:rPr>
        <w:t xml:space="preserve"> prueba de esfuerzo no conllevaba mayor riesgo y, además, era necesaria médicamente para la atención del </w:t>
      </w:r>
      <w:r w:rsidR="008A2E57" w:rsidRPr="008A2E57">
        <w:rPr>
          <w:sz w:val="24"/>
          <w:szCs w:val="24"/>
        </w:rPr>
        <w:t xml:space="preserve">fallecido </w:t>
      </w:r>
      <w:r w:rsidRPr="003B65D7">
        <w:rPr>
          <w:sz w:val="24"/>
          <w:szCs w:val="24"/>
        </w:rPr>
        <w:t>paciente</w:t>
      </w:r>
      <w:r>
        <w:rPr>
          <w:rStyle w:val="Refdenotaalpie"/>
          <w:sz w:val="24"/>
        </w:rPr>
        <w:footnoteReference w:id="3"/>
      </w:r>
      <w:r w:rsidRPr="003B65D7">
        <w:rPr>
          <w:sz w:val="24"/>
          <w:szCs w:val="24"/>
        </w:rPr>
        <w:t>.</w:t>
      </w:r>
    </w:p>
    <w:p w14:paraId="1B11612B" w14:textId="77777777" w:rsidR="008A2E57" w:rsidRPr="008A2E57" w:rsidRDefault="008A2E57" w:rsidP="008A2E57">
      <w:pPr>
        <w:spacing w:line="276" w:lineRule="auto"/>
        <w:contextualSpacing/>
        <w:rPr>
          <w:rFonts w:eastAsia="Verdana"/>
          <w:b/>
          <w:sz w:val="24"/>
          <w:szCs w:val="24"/>
        </w:rPr>
      </w:pPr>
    </w:p>
    <w:p w14:paraId="5AA2B0D5" w14:textId="32FEC713" w:rsidR="00414E83" w:rsidRDefault="00BB662A" w:rsidP="00414E83">
      <w:pPr>
        <w:numPr>
          <w:ilvl w:val="1"/>
          <w:numId w:val="3"/>
        </w:numPr>
        <w:spacing w:line="276" w:lineRule="auto"/>
        <w:ind w:left="0" w:firstLine="0"/>
        <w:contextualSpacing/>
        <w:rPr>
          <w:rFonts w:eastAsia="Verdana"/>
          <w:b/>
          <w:sz w:val="24"/>
          <w:szCs w:val="24"/>
        </w:rPr>
      </w:pPr>
      <w:r w:rsidRPr="00BB662A">
        <w:rPr>
          <w:sz w:val="24"/>
          <w:szCs w:val="24"/>
        </w:rPr>
        <w:t>En segunda instancia, el Consejo de Estado, Sección Tercera, Subsección B, con fallo del 3 de agosto de 2020, revocó la providencia apelada por la parte demandante. En su lugar, declaró la falta de legitimación en la causa por pasiva del Departamento de Antioquia y el Ministerio de Salud y Protección Social. Así mismo, declaró probada la objeción por error grave formulada contra el dictamen pericial practicado. Igualmente, declaró la responsabilidad patrimonial solidaria de la E.S.E. Hospital de la Cruz de Puerto Berrío</w:t>
      </w:r>
      <w:r w:rsidR="00414E83">
        <w:rPr>
          <w:sz w:val="24"/>
          <w:szCs w:val="24"/>
        </w:rPr>
        <w:t>, sucedida procesal y patrimonialmente por el municipio de Puerto Berrío,</w:t>
      </w:r>
      <w:r w:rsidRPr="00BB662A">
        <w:rPr>
          <w:sz w:val="24"/>
          <w:szCs w:val="24"/>
        </w:rPr>
        <w:t xml:space="preserve"> y </w:t>
      </w:r>
      <w:r w:rsidR="005F41C9">
        <w:rPr>
          <w:sz w:val="24"/>
          <w:szCs w:val="24"/>
        </w:rPr>
        <w:t>a</w:t>
      </w:r>
      <w:r w:rsidRPr="00BB662A">
        <w:rPr>
          <w:sz w:val="24"/>
          <w:szCs w:val="24"/>
        </w:rPr>
        <w:t>l Centro Cardiovascular Colombiano “Hospital Santa María”. Como resultado, calculó y ordenó el pago de la respectiva indemnización de perjuicios morales y materiales en la modalidad de lucro cesante.</w:t>
      </w:r>
    </w:p>
    <w:p w14:paraId="2E66C8ED" w14:textId="77777777" w:rsidR="00414E83" w:rsidRPr="001F543F" w:rsidRDefault="00414E83" w:rsidP="001F543F">
      <w:pPr>
        <w:rPr>
          <w:sz w:val="24"/>
          <w:szCs w:val="24"/>
        </w:rPr>
      </w:pPr>
    </w:p>
    <w:p w14:paraId="35E3CF91" w14:textId="6C52EA4D" w:rsidR="00AD341D" w:rsidRDefault="00414E83" w:rsidP="00AD341D">
      <w:pPr>
        <w:spacing w:line="276" w:lineRule="auto"/>
        <w:contextualSpacing/>
        <w:rPr>
          <w:sz w:val="24"/>
          <w:szCs w:val="24"/>
        </w:rPr>
      </w:pPr>
      <w:r w:rsidRPr="00414E83">
        <w:rPr>
          <w:sz w:val="24"/>
          <w:szCs w:val="24"/>
        </w:rPr>
        <w:t xml:space="preserve">Desde su perspectiva, la objeción por error grave, presentada contra el dictamen pericial rendido en sede ordinaria, debió prosperar. En concreto, indicó que el perito era especialista en valoración del daño corporal y no en cardiología, lo que no lo hacía idóneo para emitir conceptos concluyentes sobre esa segunda materia. A ello agregó que: (i) las </w:t>
      </w:r>
      <w:r w:rsidR="00747696">
        <w:rPr>
          <w:sz w:val="24"/>
          <w:szCs w:val="24"/>
        </w:rPr>
        <w:t>afirmaciones</w:t>
      </w:r>
      <w:r w:rsidRPr="00414E83">
        <w:rPr>
          <w:sz w:val="24"/>
          <w:szCs w:val="24"/>
        </w:rPr>
        <w:t xml:space="preserve"> a las que llegó el perito no fueron debidamente soportadas, pues el experto citó una bibliografía al final de su informe, pero no señaló cuáles de </w:t>
      </w:r>
      <w:r w:rsidR="00747696">
        <w:rPr>
          <w:sz w:val="24"/>
          <w:szCs w:val="24"/>
        </w:rPr>
        <w:t>esas</w:t>
      </w:r>
      <w:r w:rsidRPr="00414E83">
        <w:rPr>
          <w:sz w:val="24"/>
          <w:szCs w:val="24"/>
        </w:rPr>
        <w:t xml:space="preserve"> aseveraciones encontraban respaldo en las obras citadas, las cuales tampoco </w:t>
      </w:r>
      <w:r w:rsidRPr="00414E83">
        <w:rPr>
          <w:sz w:val="24"/>
          <w:szCs w:val="24"/>
        </w:rPr>
        <w:lastRenderedPageBreak/>
        <w:t>allegó al expediente, cuestión que impidió verificar la validez de dichas conclusiones; (ii) la bibliografía médica</w:t>
      </w:r>
      <w:r>
        <w:rPr>
          <w:rStyle w:val="Refdenotaalpie"/>
          <w:sz w:val="24"/>
        </w:rPr>
        <w:footnoteReference w:id="4"/>
      </w:r>
      <w:r w:rsidRPr="00414E83">
        <w:rPr>
          <w:sz w:val="24"/>
          <w:szCs w:val="24"/>
        </w:rPr>
        <w:t xml:space="preserve"> obrante en el plenario, adjuntada por el médico Hermes Grajales como respaldo de su testimonio, servía como criterio auxiliar</w:t>
      </w:r>
      <w:r>
        <w:rPr>
          <w:rStyle w:val="Refdenotaalpie"/>
          <w:sz w:val="24"/>
        </w:rPr>
        <w:footnoteReference w:id="5"/>
      </w:r>
      <w:r w:rsidRPr="00414E83">
        <w:rPr>
          <w:sz w:val="24"/>
          <w:szCs w:val="24"/>
        </w:rPr>
        <w:t xml:space="preserve"> para comprender que el estado cardiaco del </w:t>
      </w:r>
      <w:r w:rsidR="00E32C77">
        <w:rPr>
          <w:sz w:val="24"/>
          <w:szCs w:val="24"/>
        </w:rPr>
        <w:t>paciente</w:t>
      </w:r>
      <w:r w:rsidRPr="00414E83">
        <w:rPr>
          <w:sz w:val="24"/>
          <w:szCs w:val="24"/>
        </w:rPr>
        <w:t xml:space="preserve"> ha debido ser valorado antes de que se le practicara la prueba de esfuerzo que terminó con la muerte de este.</w:t>
      </w:r>
    </w:p>
    <w:p w14:paraId="07509C09" w14:textId="77777777" w:rsidR="00AD341D" w:rsidRDefault="00AD341D" w:rsidP="00AD341D">
      <w:pPr>
        <w:spacing w:line="276" w:lineRule="auto"/>
        <w:contextualSpacing/>
        <w:rPr>
          <w:sz w:val="24"/>
          <w:szCs w:val="24"/>
        </w:rPr>
      </w:pPr>
    </w:p>
    <w:p w14:paraId="6E7133C7" w14:textId="64D587FD" w:rsidR="00EC1A2D" w:rsidRDefault="00AD341D" w:rsidP="00EC1A2D">
      <w:pPr>
        <w:spacing w:line="276" w:lineRule="auto"/>
        <w:contextualSpacing/>
        <w:rPr>
          <w:sz w:val="24"/>
          <w:szCs w:val="24"/>
        </w:rPr>
      </w:pPr>
      <w:r>
        <w:rPr>
          <w:sz w:val="24"/>
          <w:szCs w:val="24"/>
        </w:rPr>
        <w:t>Encontró, así mismo, probado que la E.S.E. demandada no diagnosticó a tiempo los quebrantos con los que llegó el difunto señor Pinillos</w:t>
      </w:r>
      <w:r w:rsidR="00EC1A2D">
        <w:rPr>
          <w:sz w:val="24"/>
          <w:szCs w:val="24"/>
        </w:rPr>
        <w:t xml:space="preserve"> a ese centro</w:t>
      </w:r>
      <w:r>
        <w:rPr>
          <w:sz w:val="24"/>
          <w:szCs w:val="24"/>
        </w:rPr>
        <w:t>, demoras que actuaron como causa eficiente de que el referido señor empeorara su situación cardiaca. Al respecto, con base en el dicho del galeno Francisco Eladio López, aseveró que el paciente acudió al Centro Cardiovascular Colombiano cuando el infarto</w:t>
      </w:r>
      <w:r w:rsidR="00E32C77">
        <w:rPr>
          <w:sz w:val="24"/>
          <w:szCs w:val="24"/>
        </w:rPr>
        <w:t xml:space="preserve"> </w:t>
      </w:r>
      <w:r>
        <w:rPr>
          <w:sz w:val="24"/>
          <w:szCs w:val="24"/>
        </w:rPr>
        <w:t>llevaba</w:t>
      </w:r>
      <w:r w:rsidR="00E32C77">
        <w:rPr>
          <w:sz w:val="24"/>
          <w:szCs w:val="24"/>
        </w:rPr>
        <w:t xml:space="preserve"> </w:t>
      </w:r>
      <w:r>
        <w:rPr>
          <w:sz w:val="24"/>
          <w:szCs w:val="24"/>
        </w:rPr>
        <w:t xml:space="preserve">dos días de evolución, lo que impidió que se practicara alguna terapia invasiva, la cual </w:t>
      </w:r>
      <w:r w:rsidR="00E32C77">
        <w:rPr>
          <w:sz w:val="24"/>
          <w:szCs w:val="24"/>
        </w:rPr>
        <w:t xml:space="preserve">es </w:t>
      </w:r>
      <w:r>
        <w:rPr>
          <w:sz w:val="24"/>
          <w:szCs w:val="24"/>
        </w:rPr>
        <w:t>oportuna dentro de las primeras seis horas después de ocurrido el infarto. Esa afirmación la encontró respaldada en la misma bibliografía referenciada antes. A ello agregó que esa E.S.E. no remitió al proceso la respectiva historia médica, lo que impidió saber si esta diagnosticó o no al señor Pinillos. A eso se une que tampoco lo remitió a una institución de mayor nivel asistencial.</w:t>
      </w:r>
    </w:p>
    <w:p w14:paraId="28CA2CAF" w14:textId="77777777" w:rsidR="00EC1A2D" w:rsidRDefault="00EC1A2D" w:rsidP="00EC1A2D">
      <w:pPr>
        <w:spacing w:line="276" w:lineRule="auto"/>
        <w:contextualSpacing/>
        <w:rPr>
          <w:sz w:val="24"/>
          <w:szCs w:val="24"/>
        </w:rPr>
      </w:pPr>
    </w:p>
    <w:p w14:paraId="2674467E" w14:textId="41FBD9D8" w:rsidR="00EC1A2D" w:rsidRDefault="00EC1A2D" w:rsidP="00EC1A2D">
      <w:pPr>
        <w:spacing w:line="276" w:lineRule="auto"/>
        <w:contextualSpacing/>
        <w:rPr>
          <w:sz w:val="24"/>
          <w:szCs w:val="24"/>
        </w:rPr>
      </w:pPr>
      <w:r>
        <w:rPr>
          <w:sz w:val="24"/>
          <w:szCs w:val="24"/>
        </w:rPr>
        <w:t>Halló igualmente acreditado que el Centro Cardiovascular Colombiano sometió al paciente a una prueba de esfuerzo sin evaluar previamente su estado cardiaco, cuestión que fue determinante para el deceso de esa persona. Sobre el particular, estimó cierto que fue durante ese momento y como consecuencia de la citada prueba que se desató la ruptura cardiaca que terminó</w:t>
      </w:r>
      <w:r w:rsidR="006C2E9B">
        <w:rPr>
          <w:sz w:val="24"/>
          <w:szCs w:val="24"/>
        </w:rPr>
        <w:t xml:space="preserve"> con</w:t>
      </w:r>
      <w:r>
        <w:rPr>
          <w:sz w:val="24"/>
          <w:szCs w:val="24"/>
        </w:rPr>
        <w:t xml:space="preserve"> la vida del señor Pinillos. En efecto, indicó que la versión entregada por el médico Carlos Ignacio Escobar Quijano corrobora la sustentabilidad de la relación causal enunciada anteriormente. </w:t>
      </w:r>
    </w:p>
    <w:p w14:paraId="6D5DC99A" w14:textId="77777777" w:rsidR="00EC1A2D" w:rsidRDefault="00EC1A2D" w:rsidP="00EC1A2D">
      <w:pPr>
        <w:spacing w:line="276" w:lineRule="auto"/>
        <w:contextualSpacing/>
        <w:rPr>
          <w:sz w:val="24"/>
          <w:szCs w:val="24"/>
        </w:rPr>
      </w:pPr>
    </w:p>
    <w:p w14:paraId="3BDF079F" w14:textId="298EB3C9" w:rsidR="00EC1A2D" w:rsidRDefault="00EC1A2D" w:rsidP="00EC1A2D">
      <w:pPr>
        <w:spacing w:line="276" w:lineRule="auto"/>
        <w:contextualSpacing/>
        <w:rPr>
          <w:sz w:val="24"/>
          <w:szCs w:val="24"/>
        </w:rPr>
      </w:pPr>
      <w:r>
        <w:rPr>
          <w:sz w:val="24"/>
          <w:szCs w:val="24"/>
        </w:rPr>
        <w:t xml:space="preserve">Ello hubiera podido evitarse, resaltó, con estudios ecocardiográficos, o </w:t>
      </w:r>
      <w:r w:rsidRPr="00D45A84">
        <w:rPr>
          <w:sz w:val="24"/>
          <w:szCs w:val="24"/>
        </w:rPr>
        <w:t>la toma de muestras de enzimas o marcadores cardi</w:t>
      </w:r>
      <w:r>
        <w:rPr>
          <w:sz w:val="24"/>
          <w:szCs w:val="24"/>
        </w:rPr>
        <w:t>a</w:t>
      </w:r>
      <w:r w:rsidRPr="00D45A84">
        <w:rPr>
          <w:sz w:val="24"/>
          <w:szCs w:val="24"/>
        </w:rPr>
        <w:t>cos</w:t>
      </w:r>
      <w:r>
        <w:rPr>
          <w:sz w:val="24"/>
          <w:szCs w:val="24"/>
        </w:rPr>
        <w:t>, previos al examen en cita</w:t>
      </w:r>
      <w:r>
        <w:rPr>
          <w:rStyle w:val="Refdenotaalpie"/>
          <w:sz w:val="24"/>
        </w:rPr>
        <w:footnoteReference w:id="6"/>
      </w:r>
      <w:r>
        <w:rPr>
          <w:sz w:val="24"/>
          <w:szCs w:val="24"/>
        </w:rPr>
        <w:t>, cuestión que no fue acreditada por el Centro Cardiovascular</w:t>
      </w:r>
      <w:r>
        <w:rPr>
          <w:rStyle w:val="Refdenotaalpie"/>
          <w:sz w:val="24"/>
        </w:rPr>
        <w:footnoteReference w:id="7"/>
      </w:r>
      <w:r>
        <w:rPr>
          <w:sz w:val="24"/>
          <w:szCs w:val="24"/>
        </w:rPr>
        <w:t xml:space="preserve">. Ese estudio habría sido riesgoso, terminó, </w:t>
      </w:r>
      <w:r w:rsidR="005D51EE">
        <w:rPr>
          <w:sz w:val="24"/>
          <w:szCs w:val="24"/>
        </w:rPr>
        <w:t xml:space="preserve">solo </w:t>
      </w:r>
      <w:r>
        <w:rPr>
          <w:sz w:val="24"/>
          <w:szCs w:val="24"/>
        </w:rPr>
        <w:t xml:space="preserve">si se hubiera acompañado de sustancias medicinales que aceleraran el </w:t>
      </w:r>
      <w:r>
        <w:rPr>
          <w:sz w:val="24"/>
          <w:szCs w:val="24"/>
        </w:rPr>
        <w:lastRenderedPageBreak/>
        <w:t>ritmo cardiaco del paciente</w:t>
      </w:r>
      <w:r>
        <w:rPr>
          <w:rStyle w:val="Refdenotaalpie"/>
          <w:sz w:val="24"/>
        </w:rPr>
        <w:footnoteReference w:id="8"/>
      </w:r>
      <w:r>
        <w:rPr>
          <w:sz w:val="24"/>
          <w:szCs w:val="24"/>
        </w:rPr>
        <w:t>. Tales afirmaciones las respaldó nuevamente en la bibliografía médica ya referida y en el testimonio del médico Francisco Eladio López</w:t>
      </w:r>
      <w:r>
        <w:rPr>
          <w:rStyle w:val="Refdenotaalpie"/>
          <w:sz w:val="24"/>
        </w:rPr>
        <w:footnoteReference w:id="9"/>
      </w:r>
      <w:r>
        <w:rPr>
          <w:sz w:val="24"/>
          <w:szCs w:val="24"/>
        </w:rPr>
        <w:t>.</w:t>
      </w:r>
    </w:p>
    <w:p w14:paraId="6FEF0C7F" w14:textId="6058994A" w:rsidR="00EC1A2D" w:rsidRDefault="00EC1A2D" w:rsidP="00EC1A2D">
      <w:pPr>
        <w:spacing w:line="276" w:lineRule="auto"/>
        <w:contextualSpacing/>
        <w:rPr>
          <w:sz w:val="24"/>
          <w:szCs w:val="24"/>
        </w:rPr>
      </w:pPr>
    </w:p>
    <w:p w14:paraId="502BB63B" w14:textId="5FB7E0EF" w:rsidR="00EC1A2D" w:rsidRPr="00EC1A2D" w:rsidRDefault="003C2975" w:rsidP="00EC1A2D">
      <w:pPr>
        <w:pStyle w:val="Prrafodelista"/>
        <w:numPr>
          <w:ilvl w:val="1"/>
          <w:numId w:val="3"/>
        </w:numPr>
        <w:spacing w:line="276" w:lineRule="auto"/>
        <w:ind w:left="0" w:firstLine="0"/>
        <w:rPr>
          <w:sz w:val="24"/>
          <w:szCs w:val="24"/>
        </w:rPr>
      </w:pPr>
      <w:r>
        <w:rPr>
          <w:sz w:val="24"/>
          <w:szCs w:val="24"/>
        </w:rPr>
        <w:t xml:space="preserve">Uno de los consejeros integrantes de la Sala que decidió la segunda instancia, </w:t>
      </w:r>
      <w:r w:rsidR="00EC1A2D" w:rsidRPr="00EC1A2D">
        <w:rPr>
          <w:sz w:val="24"/>
          <w:szCs w:val="24"/>
        </w:rPr>
        <w:t xml:space="preserve">salvó </w:t>
      </w:r>
      <w:r>
        <w:rPr>
          <w:sz w:val="24"/>
          <w:szCs w:val="24"/>
        </w:rPr>
        <w:t xml:space="preserve">su </w:t>
      </w:r>
      <w:r w:rsidR="00EC1A2D" w:rsidRPr="00EC1A2D">
        <w:rPr>
          <w:sz w:val="24"/>
          <w:szCs w:val="24"/>
        </w:rPr>
        <w:t>voto</w:t>
      </w:r>
      <w:r>
        <w:rPr>
          <w:sz w:val="24"/>
          <w:szCs w:val="24"/>
        </w:rPr>
        <w:t xml:space="preserve">, porque consideró </w:t>
      </w:r>
      <w:r w:rsidR="00EC1A2D" w:rsidRPr="00EC1A2D">
        <w:rPr>
          <w:sz w:val="24"/>
          <w:szCs w:val="24"/>
        </w:rPr>
        <w:t xml:space="preserve">que: (i) “no existía prueba a partir de la cual se pudiese deducir la responsabilidad de la E.S.E. Hospital La Cruz de Puerto Berrío, pues la importancia de la detección temprana de la enfermedad y las complicaciones asociadas con la oportunidad del diagnóstico se fundamentó en pruebas que no se refieren puntualmente al caso concreto”. (ii) “las conclusiones generales sobre la importancia del diagnóstico oportuno se extraen de literatura médica, cuyo análisis no corresponde al juez de la responsabilidad […]: el Juez [sic] no puede contrastar la opinión de un experto medicina </w:t>
      </w:r>
      <w:r w:rsidR="00313A79">
        <w:rPr>
          <w:sz w:val="24"/>
          <w:szCs w:val="24"/>
        </w:rPr>
        <w:t xml:space="preserve">[sic] </w:t>
      </w:r>
      <w:r w:rsidR="00EC1A2D" w:rsidRPr="00EC1A2D">
        <w:rPr>
          <w:sz w:val="24"/>
          <w:szCs w:val="24"/>
        </w:rPr>
        <w:t>con «literatura médica»; puede hacerlo con la opinión de otro experto que, se fundamente en dicha literatura, valide su contenido y evidencie que es aplicable al caso concreto”. (iii) “se practicó un dictamen pericial en el cual se concluyó de forma concreta y específica que la prueba de esfuerzo no estaba contraindicada en el caso del señor Pinillos García. Si la parte demandante quería desvirtuar el dictamen, debía objetarlo y allegar o solicitar una nueva prueba técnica a partir de la cual, luego de estudiar el caso concreto, se concluyera que la prueba médica sí estaba contraindicada, explicando las falencias del primer dictamen”.</w:t>
      </w:r>
    </w:p>
    <w:p w14:paraId="369E94D0" w14:textId="77777777" w:rsidR="003B65D7" w:rsidRPr="00F77BC5" w:rsidRDefault="003B65D7" w:rsidP="00EC1A2D">
      <w:pPr>
        <w:spacing w:line="276" w:lineRule="auto"/>
        <w:rPr>
          <w:sz w:val="24"/>
          <w:szCs w:val="24"/>
        </w:rPr>
      </w:pPr>
    </w:p>
    <w:p w14:paraId="1A1C16A6" w14:textId="77777777" w:rsidR="000C5DB7" w:rsidRPr="00F77BC5" w:rsidRDefault="000C5DB7" w:rsidP="00F77BC5">
      <w:pPr>
        <w:numPr>
          <w:ilvl w:val="0"/>
          <w:numId w:val="3"/>
        </w:numPr>
        <w:overflowPunct w:val="0"/>
        <w:autoSpaceDE w:val="0"/>
        <w:autoSpaceDN w:val="0"/>
        <w:adjustRightInd w:val="0"/>
        <w:spacing w:line="276" w:lineRule="auto"/>
        <w:ind w:left="0" w:firstLine="0"/>
        <w:contextualSpacing/>
        <w:rPr>
          <w:sz w:val="24"/>
          <w:szCs w:val="24"/>
        </w:rPr>
      </w:pPr>
      <w:r w:rsidRPr="00F77BC5">
        <w:rPr>
          <w:rFonts w:eastAsia="Arial Unicode MS"/>
          <w:b/>
          <w:sz w:val="24"/>
          <w:szCs w:val="24"/>
        </w:rPr>
        <w:t>Argumentos de la solicitud de tutela</w:t>
      </w:r>
    </w:p>
    <w:p w14:paraId="429DA94F" w14:textId="39692AA2" w:rsidR="00166AF6" w:rsidRPr="00F77BC5" w:rsidRDefault="00166AF6" w:rsidP="00F77BC5">
      <w:pPr>
        <w:overflowPunct w:val="0"/>
        <w:autoSpaceDE w:val="0"/>
        <w:autoSpaceDN w:val="0"/>
        <w:adjustRightInd w:val="0"/>
        <w:spacing w:line="276" w:lineRule="auto"/>
        <w:contextualSpacing/>
        <w:rPr>
          <w:sz w:val="24"/>
          <w:szCs w:val="24"/>
        </w:rPr>
      </w:pPr>
    </w:p>
    <w:p w14:paraId="4D1AE410" w14:textId="3593F4EB" w:rsidR="00D214EE" w:rsidRDefault="00FC6F73" w:rsidP="00F77BC5">
      <w:pPr>
        <w:pStyle w:val="Prrafodelista"/>
        <w:overflowPunct w:val="0"/>
        <w:autoSpaceDE w:val="0"/>
        <w:autoSpaceDN w:val="0"/>
        <w:adjustRightInd w:val="0"/>
        <w:spacing w:line="276" w:lineRule="auto"/>
        <w:ind w:left="0"/>
        <w:rPr>
          <w:sz w:val="24"/>
          <w:szCs w:val="24"/>
        </w:rPr>
      </w:pPr>
      <w:r>
        <w:rPr>
          <w:sz w:val="24"/>
          <w:szCs w:val="24"/>
        </w:rPr>
        <w:t xml:space="preserve">Para el accionante, la sentencia enjuiciada incurrió en </w:t>
      </w:r>
      <w:r w:rsidRPr="00FC6F73">
        <w:rPr>
          <w:b/>
          <w:bCs/>
          <w:sz w:val="24"/>
          <w:szCs w:val="24"/>
        </w:rPr>
        <w:t>defecto fáctico</w:t>
      </w:r>
      <w:r>
        <w:rPr>
          <w:sz w:val="24"/>
          <w:szCs w:val="24"/>
        </w:rPr>
        <w:t xml:space="preserve"> de acuerdo con los argumentos que se reconstruirán a continuación</w:t>
      </w:r>
      <w:r w:rsidR="00772F49">
        <w:rPr>
          <w:sz w:val="24"/>
          <w:szCs w:val="24"/>
        </w:rPr>
        <w:t xml:space="preserve"> y en su orden respectivo</w:t>
      </w:r>
      <w:r>
        <w:rPr>
          <w:sz w:val="24"/>
          <w:szCs w:val="24"/>
        </w:rPr>
        <w:t>:</w:t>
      </w:r>
    </w:p>
    <w:p w14:paraId="1600EFB3" w14:textId="3CF86471" w:rsidR="00FC6F73" w:rsidRDefault="00FC6F73" w:rsidP="00F77BC5">
      <w:pPr>
        <w:pStyle w:val="Prrafodelista"/>
        <w:overflowPunct w:val="0"/>
        <w:autoSpaceDE w:val="0"/>
        <w:autoSpaceDN w:val="0"/>
        <w:adjustRightInd w:val="0"/>
        <w:spacing w:line="276" w:lineRule="auto"/>
        <w:ind w:left="0"/>
        <w:rPr>
          <w:sz w:val="24"/>
          <w:szCs w:val="24"/>
        </w:rPr>
      </w:pPr>
    </w:p>
    <w:p w14:paraId="203228A8" w14:textId="4ABF381B" w:rsidR="00FC6F73" w:rsidRPr="00784939" w:rsidRDefault="00FC6F73" w:rsidP="00FC6F73">
      <w:pPr>
        <w:pStyle w:val="Prrafodelista"/>
        <w:numPr>
          <w:ilvl w:val="1"/>
          <w:numId w:val="3"/>
        </w:numPr>
        <w:overflowPunct w:val="0"/>
        <w:autoSpaceDE w:val="0"/>
        <w:autoSpaceDN w:val="0"/>
        <w:adjustRightInd w:val="0"/>
        <w:spacing w:line="276" w:lineRule="auto"/>
        <w:ind w:left="0" w:firstLine="0"/>
        <w:rPr>
          <w:b/>
          <w:bCs/>
          <w:sz w:val="24"/>
          <w:szCs w:val="24"/>
        </w:rPr>
      </w:pPr>
      <w:r>
        <w:rPr>
          <w:sz w:val="24"/>
          <w:szCs w:val="24"/>
        </w:rPr>
        <w:t>La autoridad judicial accionada obvió el análisis de la bibliografía médica aportada con el escrito de contestación de la demanda</w:t>
      </w:r>
      <w:r w:rsidR="00784939">
        <w:rPr>
          <w:rStyle w:val="Refdenotaalpie"/>
          <w:sz w:val="24"/>
          <w:szCs w:val="24"/>
        </w:rPr>
        <w:footnoteReference w:id="10"/>
      </w:r>
      <w:r>
        <w:rPr>
          <w:sz w:val="24"/>
          <w:szCs w:val="24"/>
        </w:rPr>
        <w:t>. Debido a ello no contrastó la revista cardiológica referenciada varias veces en el fallo enjuiciado con el material de convicción en cita</w:t>
      </w:r>
      <w:r w:rsidR="00A11121">
        <w:rPr>
          <w:sz w:val="24"/>
          <w:szCs w:val="24"/>
        </w:rPr>
        <w:t>,</w:t>
      </w:r>
      <w:r>
        <w:rPr>
          <w:sz w:val="24"/>
          <w:szCs w:val="24"/>
        </w:rPr>
        <w:t xml:space="preserve"> </w:t>
      </w:r>
      <w:r w:rsidR="00A11121">
        <w:rPr>
          <w:sz w:val="24"/>
          <w:szCs w:val="24"/>
        </w:rPr>
        <w:t>el cual</w:t>
      </w:r>
      <w:r>
        <w:rPr>
          <w:sz w:val="24"/>
          <w:szCs w:val="24"/>
        </w:rPr>
        <w:t xml:space="preserve"> fue desconocido. Así mismo, no confrontó los testimonios practicados durante el trámite ordinario con esa documentación científica</w:t>
      </w:r>
      <w:r w:rsidR="00C91A43">
        <w:rPr>
          <w:sz w:val="24"/>
          <w:szCs w:val="24"/>
        </w:rPr>
        <w:t xml:space="preserve"> que fue olvidada sin explicación alguna</w:t>
      </w:r>
      <w:r>
        <w:rPr>
          <w:sz w:val="24"/>
          <w:szCs w:val="24"/>
        </w:rPr>
        <w:t xml:space="preserve">. </w:t>
      </w:r>
      <w:r w:rsidR="00784939">
        <w:rPr>
          <w:sz w:val="24"/>
          <w:szCs w:val="24"/>
        </w:rPr>
        <w:t xml:space="preserve">Ese escrito recomienda la realización de una prueba de esfuerzo sub-máxima que lleve al paciente hasta el setenta y cinco por ciento (75%) de la frecuencia cardiaca máxima esperada, hacia el tercer al quinto día posterior al </w:t>
      </w:r>
      <w:r w:rsidR="00784939">
        <w:rPr>
          <w:sz w:val="24"/>
          <w:szCs w:val="24"/>
        </w:rPr>
        <w:lastRenderedPageBreak/>
        <w:t xml:space="preserve">infarto. </w:t>
      </w:r>
      <w:r>
        <w:rPr>
          <w:sz w:val="24"/>
          <w:szCs w:val="24"/>
        </w:rPr>
        <w:t>Gracias a todo lo anterior, la Subsección accionada terminó construyendo irrazonablemente la regla de la experiencia de la cual se valió</w:t>
      </w:r>
      <w:r w:rsidR="00784939">
        <w:rPr>
          <w:sz w:val="24"/>
          <w:szCs w:val="24"/>
        </w:rPr>
        <w:t xml:space="preserve"> para resolver el caso.</w:t>
      </w:r>
    </w:p>
    <w:p w14:paraId="1FC3823B" w14:textId="77777777" w:rsidR="00784939" w:rsidRPr="00784939" w:rsidRDefault="00784939" w:rsidP="00784939">
      <w:pPr>
        <w:pStyle w:val="Prrafodelista"/>
        <w:overflowPunct w:val="0"/>
        <w:autoSpaceDE w:val="0"/>
        <w:autoSpaceDN w:val="0"/>
        <w:adjustRightInd w:val="0"/>
        <w:spacing w:line="276" w:lineRule="auto"/>
        <w:ind w:left="0"/>
        <w:rPr>
          <w:b/>
          <w:bCs/>
          <w:sz w:val="24"/>
          <w:szCs w:val="24"/>
        </w:rPr>
      </w:pPr>
    </w:p>
    <w:p w14:paraId="0660D25F" w14:textId="60CC5E6E" w:rsidR="00784939" w:rsidRPr="004B18D8" w:rsidRDefault="00784939" w:rsidP="00FC6F73">
      <w:pPr>
        <w:pStyle w:val="Prrafodelista"/>
        <w:numPr>
          <w:ilvl w:val="1"/>
          <w:numId w:val="3"/>
        </w:numPr>
        <w:overflowPunct w:val="0"/>
        <w:autoSpaceDE w:val="0"/>
        <w:autoSpaceDN w:val="0"/>
        <w:adjustRightInd w:val="0"/>
        <w:spacing w:line="276" w:lineRule="auto"/>
        <w:ind w:left="0" w:firstLine="0"/>
        <w:rPr>
          <w:b/>
          <w:bCs/>
          <w:sz w:val="24"/>
          <w:szCs w:val="24"/>
        </w:rPr>
      </w:pPr>
      <w:r>
        <w:rPr>
          <w:sz w:val="24"/>
          <w:szCs w:val="24"/>
        </w:rPr>
        <w:t>El testimonio del médico Francisco Eladio López fue valorado irrazonablemente. Según la versión del mencionado profesional l</w:t>
      </w:r>
      <w:r w:rsidRPr="00784939">
        <w:rPr>
          <w:sz w:val="24"/>
          <w:szCs w:val="24"/>
        </w:rPr>
        <w:t xml:space="preserve">as guías de práctica clínica establecen que </w:t>
      </w:r>
      <w:r w:rsidR="00307E1D">
        <w:rPr>
          <w:sz w:val="24"/>
          <w:szCs w:val="24"/>
        </w:rPr>
        <w:t xml:space="preserve">a </w:t>
      </w:r>
      <w:r w:rsidRPr="00784939">
        <w:rPr>
          <w:sz w:val="24"/>
          <w:szCs w:val="24"/>
        </w:rPr>
        <w:t xml:space="preserve">todo paciente </w:t>
      </w:r>
      <w:r>
        <w:rPr>
          <w:sz w:val="24"/>
          <w:szCs w:val="24"/>
        </w:rPr>
        <w:t>que haya sufrido un</w:t>
      </w:r>
      <w:r w:rsidRPr="00784939">
        <w:rPr>
          <w:sz w:val="24"/>
          <w:szCs w:val="24"/>
        </w:rPr>
        <w:t xml:space="preserve"> </w:t>
      </w:r>
      <w:r>
        <w:rPr>
          <w:sz w:val="24"/>
          <w:szCs w:val="24"/>
        </w:rPr>
        <w:t>i</w:t>
      </w:r>
      <w:r w:rsidRPr="00784939">
        <w:rPr>
          <w:sz w:val="24"/>
          <w:szCs w:val="24"/>
        </w:rPr>
        <w:t xml:space="preserve">nfarto </w:t>
      </w:r>
      <w:r>
        <w:rPr>
          <w:sz w:val="24"/>
          <w:szCs w:val="24"/>
        </w:rPr>
        <w:t>a</w:t>
      </w:r>
      <w:r w:rsidRPr="00784939">
        <w:rPr>
          <w:sz w:val="24"/>
          <w:szCs w:val="24"/>
        </w:rPr>
        <w:t xml:space="preserve">gudo de </w:t>
      </w:r>
      <w:r>
        <w:rPr>
          <w:sz w:val="24"/>
          <w:szCs w:val="24"/>
        </w:rPr>
        <w:t>m</w:t>
      </w:r>
      <w:r w:rsidRPr="00784939">
        <w:rPr>
          <w:sz w:val="24"/>
          <w:szCs w:val="24"/>
        </w:rPr>
        <w:t>iocardio</w:t>
      </w:r>
      <w:r>
        <w:rPr>
          <w:sz w:val="24"/>
          <w:szCs w:val="24"/>
        </w:rPr>
        <w:t xml:space="preserve"> </w:t>
      </w:r>
      <w:r w:rsidR="00307E1D">
        <w:rPr>
          <w:sz w:val="24"/>
          <w:szCs w:val="24"/>
        </w:rPr>
        <w:t xml:space="preserve">– </w:t>
      </w:r>
      <w:r>
        <w:rPr>
          <w:sz w:val="24"/>
          <w:szCs w:val="24"/>
        </w:rPr>
        <w:t>catalogado como</w:t>
      </w:r>
      <w:r w:rsidRPr="00784939">
        <w:rPr>
          <w:sz w:val="24"/>
          <w:szCs w:val="24"/>
        </w:rPr>
        <w:t xml:space="preserve"> no complicado</w:t>
      </w:r>
      <w:r w:rsidR="00307E1D">
        <w:rPr>
          <w:sz w:val="24"/>
          <w:szCs w:val="24"/>
        </w:rPr>
        <w:t xml:space="preserve"> y</w:t>
      </w:r>
      <w:r w:rsidRPr="00784939">
        <w:rPr>
          <w:sz w:val="24"/>
          <w:szCs w:val="24"/>
        </w:rPr>
        <w:t xml:space="preserve"> que ha</w:t>
      </w:r>
      <w:r w:rsidR="00307E1D">
        <w:rPr>
          <w:sz w:val="24"/>
          <w:szCs w:val="24"/>
        </w:rPr>
        <w:t>ya</w:t>
      </w:r>
      <w:r w:rsidRPr="00784939">
        <w:rPr>
          <w:sz w:val="24"/>
          <w:szCs w:val="24"/>
        </w:rPr>
        <w:t xml:space="preserve"> sido llevado a </w:t>
      </w:r>
      <w:r>
        <w:rPr>
          <w:sz w:val="24"/>
          <w:szCs w:val="24"/>
        </w:rPr>
        <w:t>t</w:t>
      </w:r>
      <w:r w:rsidRPr="00784939">
        <w:rPr>
          <w:sz w:val="24"/>
          <w:szCs w:val="24"/>
        </w:rPr>
        <w:t xml:space="preserve">rombólisis </w:t>
      </w:r>
      <w:r>
        <w:rPr>
          <w:sz w:val="24"/>
          <w:szCs w:val="24"/>
        </w:rPr>
        <w:t>i</w:t>
      </w:r>
      <w:r w:rsidRPr="00784939">
        <w:rPr>
          <w:sz w:val="24"/>
          <w:szCs w:val="24"/>
        </w:rPr>
        <w:t>ntravenosa o que no ha</w:t>
      </w:r>
      <w:r w:rsidR="00307E1D">
        <w:rPr>
          <w:sz w:val="24"/>
          <w:szCs w:val="24"/>
        </w:rPr>
        <w:t>ya</w:t>
      </w:r>
      <w:r w:rsidRPr="00784939">
        <w:rPr>
          <w:sz w:val="24"/>
          <w:szCs w:val="24"/>
        </w:rPr>
        <w:t xml:space="preserve"> sido llevado a </w:t>
      </w:r>
      <w:r>
        <w:rPr>
          <w:sz w:val="24"/>
          <w:szCs w:val="24"/>
        </w:rPr>
        <w:t>a</w:t>
      </w:r>
      <w:r w:rsidRPr="00784939">
        <w:rPr>
          <w:sz w:val="24"/>
          <w:szCs w:val="24"/>
        </w:rPr>
        <w:t xml:space="preserve">ngioplastia </w:t>
      </w:r>
      <w:r>
        <w:rPr>
          <w:sz w:val="24"/>
          <w:szCs w:val="24"/>
        </w:rPr>
        <w:t>c</w:t>
      </w:r>
      <w:r w:rsidRPr="00784939">
        <w:rPr>
          <w:sz w:val="24"/>
          <w:szCs w:val="24"/>
        </w:rPr>
        <w:t>oronaria</w:t>
      </w:r>
      <w:r w:rsidR="00307E1D">
        <w:rPr>
          <w:sz w:val="24"/>
          <w:szCs w:val="24"/>
        </w:rPr>
        <w:t xml:space="preserve"> –</w:t>
      </w:r>
      <w:r w:rsidRPr="00784939">
        <w:rPr>
          <w:sz w:val="24"/>
          <w:szCs w:val="24"/>
        </w:rPr>
        <w:t xml:space="preserve"> se le debe hacer una prueba de esfuerzo antes del alta</w:t>
      </w:r>
      <w:r w:rsidR="00307E1D">
        <w:rPr>
          <w:sz w:val="24"/>
          <w:szCs w:val="24"/>
        </w:rPr>
        <w:t xml:space="preserve"> y </w:t>
      </w:r>
      <w:r w:rsidR="00307E1D" w:rsidRPr="00307E1D">
        <w:rPr>
          <w:sz w:val="24"/>
          <w:szCs w:val="24"/>
        </w:rPr>
        <w:t xml:space="preserve">entre el cuarto y el séptimo día de haber ocurrido </w:t>
      </w:r>
      <w:r w:rsidR="00307E1D">
        <w:rPr>
          <w:sz w:val="24"/>
          <w:szCs w:val="24"/>
        </w:rPr>
        <w:t>el evento</w:t>
      </w:r>
      <w:r>
        <w:rPr>
          <w:sz w:val="24"/>
          <w:szCs w:val="24"/>
        </w:rPr>
        <w:t>.</w:t>
      </w:r>
      <w:r w:rsidR="00307E1D">
        <w:rPr>
          <w:sz w:val="24"/>
          <w:szCs w:val="24"/>
        </w:rPr>
        <w:t xml:space="preserve"> Esa prueba tiene</w:t>
      </w:r>
      <w:r w:rsidRPr="00784939">
        <w:rPr>
          <w:sz w:val="24"/>
          <w:szCs w:val="24"/>
        </w:rPr>
        <w:t xml:space="preserve"> </w:t>
      </w:r>
      <w:r w:rsidR="00307E1D">
        <w:rPr>
          <w:sz w:val="24"/>
          <w:szCs w:val="24"/>
        </w:rPr>
        <w:t>por</w:t>
      </w:r>
      <w:r w:rsidRPr="00784939">
        <w:rPr>
          <w:sz w:val="24"/>
          <w:szCs w:val="24"/>
        </w:rPr>
        <w:t xml:space="preserve"> objetivos: </w:t>
      </w:r>
      <w:r w:rsidR="00307E1D">
        <w:rPr>
          <w:sz w:val="24"/>
          <w:szCs w:val="24"/>
        </w:rPr>
        <w:t>(i) p</w:t>
      </w:r>
      <w:r w:rsidRPr="00784939">
        <w:rPr>
          <w:sz w:val="24"/>
          <w:szCs w:val="24"/>
        </w:rPr>
        <w:t>lanear c</w:t>
      </w:r>
      <w:r w:rsidR="00307E1D">
        <w:rPr>
          <w:sz w:val="24"/>
          <w:szCs w:val="24"/>
        </w:rPr>
        <w:t>ó</w:t>
      </w:r>
      <w:r w:rsidRPr="00784939">
        <w:rPr>
          <w:sz w:val="24"/>
          <w:szCs w:val="24"/>
        </w:rPr>
        <w:t xml:space="preserve">mo el paciente </w:t>
      </w:r>
      <w:r w:rsidR="00307E1D" w:rsidRPr="00307E1D">
        <w:rPr>
          <w:sz w:val="24"/>
          <w:szCs w:val="24"/>
        </w:rPr>
        <w:t xml:space="preserve">debe </w:t>
      </w:r>
      <w:r w:rsidR="00307E1D">
        <w:rPr>
          <w:sz w:val="24"/>
          <w:szCs w:val="24"/>
        </w:rPr>
        <w:t>hacer</w:t>
      </w:r>
      <w:r w:rsidR="00307E1D" w:rsidRPr="00307E1D">
        <w:rPr>
          <w:sz w:val="24"/>
          <w:szCs w:val="24"/>
        </w:rPr>
        <w:t xml:space="preserve"> </w:t>
      </w:r>
      <w:r w:rsidRPr="00784939">
        <w:rPr>
          <w:sz w:val="24"/>
          <w:szCs w:val="24"/>
        </w:rPr>
        <w:t>en casa sus actividades físicas y el inicio de su proceso de rehabilitación</w:t>
      </w:r>
      <w:r w:rsidR="00307E1D">
        <w:rPr>
          <w:sz w:val="24"/>
          <w:szCs w:val="24"/>
        </w:rPr>
        <w:t>; (ii)</w:t>
      </w:r>
      <w:r w:rsidRPr="00784939">
        <w:rPr>
          <w:sz w:val="24"/>
          <w:szCs w:val="24"/>
        </w:rPr>
        <w:t xml:space="preserve"> </w:t>
      </w:r>
      <w:r w:rsidR="00307E1D">
        <w:rPr>
          <w:sz w:val="24"/>
          <w:szCs w:val="24"/>
        </w:rPr>
        <w:t>e</w:t>
      </w:r>
      <w:r w:rsidRPr="00784939">
        <w:rPr>
          <w:sz w:val="24"/>
          <w:szCs w:val="24"/>
        </w:rPr>
        <w:t>valuar la respuesta al tratamiento médico</w:t>
      </w:r>
      <w:r w:rsidR="00307E1D">
        <w:rPr>
          <w:sz w:val="24"/>
          <w:szCs w:val="24"/>
        </w:rPr>
        <w:t>; (iii)</w:t>
      </w:r>
      <w:r w:rsidRPr="00784939">
        <w:rPr>
          <w:sz w:val="24"/>
          <w:szCs w:val="24"/>
        </w:rPr>
        <w:t xml:space="preserve"> </w:t>
      </w:r>
      <w:r w:rsidR="00307E1D">
        <w:rPr>
          <w:sz w:val="24"/>
          <w:szCs w:val="24"/>
        </w:rPr>
        <w:t>e</w:t>
      </w:r>
      <w:r w:rsidRPr="00784939">
        <w:rPr>
          <w:sz w:val="24"/>
          <w:szCs w:val="24"/>
        </w:rPr>
        <w:t xml:space="preserve">valuar si hay sospechas de </w:t>
      </w:r>
      <w:r w:rsidR="00307E1D">
        <w:rPr>
          <w:sz w:val="24"/>
          <w:szCs w:val="24"/>
        </w:rPr>
        <w:t>i</w:t>
      </w:r>
      <w:r w:rsidRPr="00784939">
        <w:rPr>
          <w:sz w:val="24"/>
          <w:szCs w:val="24"/>
        </w:rPr>
        <w:t xml:space="preserve">squemia </w:t>
      </w:r>
      <w:r w:rsidR="00307E1D">
        <w:rPr>
          <w:sz w:val="24"/>
          <w:szCs w:val="24"/>
        </w:rPr>
        <w:t>m</w:t>
      </w:r>
      <w:r w:rsidRPr="00784939">
        <w:rPr>
          <w:sz w:val="24"/>
          <w:szCs w:val="24"/>
        </w:rPr>
        <w:t xml:space="preserve">iocárdica </w:t>
      </w:r>
      <w:r w:rsidR="00307E1D">
        <w:rPr>
          <w:sz w:val="24"/>
          <w:szCs w:val="24"/>
        </w:rPr>
        <w:t>r</w:t>
      </w:r>
      <w:r w:rsidRPr="00784939">
        <w:rPr>
          <w:sz w:val="24"/>
          <w:szCs w:val="24"/>
        </w:rPr>
        <w:t xml:space="preserve">esidual </w:t>
      </w:r>
      <w:r w:rsidR="00307E1D">
        <w:rPr>
          <w:sz w:val="24"/>
          <w:szCs w:val="24"/>
        </w:rPr>
        <w:t>(s</w:t>
      </w:r>
      <w:r w:rsidRPr="00784939">
        <w:rPr>
          <w:sz w:val="24"/>
          <w:szCs w:val="24"/>
        </w:rPr>
        <w:t xml:space="preserve">ufrimiento del </w:t>
      </w:r>
      <w:r w:rsidR="00307E1D">
        <w:rPr>
          <w:sz w:val="24"/>
          <w:szCs w:val="24"/>
        </w:rPr>
        <w:t>c</w:t>
      </w:r>
      <w:r w:rsidRPr="00784939">
        <w:rPr>
          <w:sz w:val="24"/>
          <w:szCs w:val="24"/>
        </w:rPr>
        <w:t>orazón</w:t>
      </w:r>
      <w:r w:rsidR="00307E1D">
        <w:rPr>
          <w:sz w:val="24"/>
          <w:szCs w:val="24"/>
        </w:rPr>
        <w:t>).</w:t>
      </w:r>
      <w:r w:rsidR="004B18D8">
        <w:rPr>
          <w:sz w:val="24"/>
          <w:szCs w:val="24"/>
        </w:rPr>
        <w:t xml:space="preserve"> A ello se une que el decir del referido galeno indicó que la muerte del señor Pinillos fue impredecible, pues la prueba de esfuerzo es segura.</w:t>
      </w:r>
    </w:p>
    <w:p w14:paraId="55979EC3" w14:textId="77777777" w:rsidR="004B18D8" w:rsidRPr="002A426F" w:rsidRDefault="004B18D8" w:rsidP="002A426F">
      <w:pPr>
        <w:rPr>
          <w:b/>
          <w:bCs/>
          <w:sz w:val="24"/>
          <w:szCs w:val="24"/>
        </w:rPr>
      </w:pPr>
    </w:p>
    <w:p w14:paraId="5565802A" w14:textId="7327E8E9" w:rsidR="004B18D8" w:rsidRPr="00492293" w:rsidRDefault="004B18D8" w:rsidP="00F77BC5">
      <w:pPr>
        <w:pStyle w:val="Prrafodelista"/>
        <w:numPr>
          <w:ilvl w:val="1"/>
          <w:numId w:val="3"/>
        </w:numPr>
        <w:overflowPunct w:val="0"/>
        <w:autoSpaceDE w:val="0"/>
        <w:autoSpaceDN w:val="0"/>
        <w:adjustRightInd w:val="0"/>
        <w:spacing w:line="276" w:lineRule="auto"/>
        <w:ind w:left="0" w:firstLine="0"/>
        <w:rPr>
          <w:b/>
          <w:bCs/>
          <w:sz w:val="24"/>
          <w:szCs w:val="24"/>
        </w:rPr>
      </w:pPr>
      <w:r>
        <w:rPr>
          <w:sz w:val="24"/>
          <w:szCs w:val="24"/>
        </w:rPr>
        <w:t xml:space="preserve">El testimonio del médico Carlos Ignacio Escobar Quijano también fue valorado irrazonablemente. De conformidad con ese dicho, la </w:t>
      </w:r>
      <w:r w:rsidRPr="004B18D8">
        <w:rPr>
          <w:sz w:val="24"/>
          <w:szCs w:val="24"/>
        </w:rPr>
        <w:t xml:space="preserve">prueba </w:t>
      </w:r>
      <w:r>
        <w:rPr>
          <w:sz w:val="24"/>
          <w:szCs w:val="24"/>
        </w:rPr>
        <w:t xml:space="preserve">de esfuerzo </w:t>
      </w:r>
      <w:r w:rsidRPr="004B18D8">
        <w:rPr>
          <w:sz w:val="24"/>
          <w:szCs w:val="24"/>
        </w:rPr>
        <w:t xml:space="preserve">se utiliza para determinar </w:t>
      </w:r>
      <w:r>
        <w:rPr>
          <w:sz w:val="24"/>
          <w:szCs w:val="24"/>
        </w:rPr>
        <w:t>i</w:t>
      </w:r>
      <w:r w:rsidRPr="004B18D8">
        <w:rPr>
          <w:sz w:val="24"/>
          <w:szCs w:val="24"/>
        </w:rPr>
        <w:t>squemia</w:t>
      </w:r>
      <w:r>
        <w:rPr>
          <w:sz w:val="24"/>
          <w:szCs w:val="24"/>
        </w:rPr>
        <w:t>, lo cual</w:t>
      </w:r>
      <w:r w:rsidRPr="004B18D8">
        <w:rPr>
          <w:sz w:val="24"/>
          <w:szCs w:val="24"/>
        </w:rPr>
        <w:t xml:space="preserve"> significa tener una </w:t>
      </w:r>
      <w:r>
        <w:rPr>
          <w:sz w:val="24"/>
          <w:szCs w:val="24"/>
        </w:rPr>
        <w:t>a</w:t>
      </w:r>
      <w:r w:rsidRPr="004B18D8">
        <w:rPr>
          <w:sz w:val="24"/>
          <w:szCs w:val="24"/>
        </w:rPr>
        <w:t xml:space="preserve">rteria </w:t>
      </w:r>
      <w:r>
        <w:rPr>
          <w:sz w:val="24"/>
          <w:szCs w:val="24"/>
        </w:rPr>
        <w:t>c</w:t>
      </w:r>
      <w:r w:rsidRPr="004B18D8">
        <w:rPr>
          <w:sz w:val="24"/>
          <w:szCs w:val="24"/>
        </w:rPr>
        <w:t xml:space="preserve">oronaria obstruida en un porcentaje mayor al </w:t>
      </w:r>
      <w:r>
        <w:rPr>
          <w:sz w:val="24"/>
          <w:szCs w:val="24"/>
        </w:rPr>
        <w:t>setenta y cinco por ciento (</w:t>
      </w:r>
      <w:r w:rsidRPr="004B18D8">
        <w:rPr>
          <w:sz w:val="24"/>
          <w:szCs w:val="24"/>
        </w:rPr>
        <w:t>75%</w:t>
      </w:r>
      <w:r>
        <w:rPr>
          <w:sz w:val="24"/>
          <w:szCs w:val="24"/>
        </w:rPr>
        <w:t>)</w:t>
      </w:r>
      <w:r w:rsidRPr="004B18D8">
        <w:rPr>
          <w:sz w:val="24"/>
          <w:szCs w:val="24"/>
        </w:rPr>
        <w:t xml:space="preserve"> de su luz</w:t>
      </w:r>
      <w:r>
        <w:rPr>
          <w:sz w:val="24"/>
          <w:szCs w:val="24"/>
        </w:rPr>
        <w:t>.</w:t>
      </w:r>
      <w:r w:rsidRPr="004B18D8">
        <w:rPr>
          <w:sz w:val="24"/>
          <w:szCs w:val="24"/>
        </w:rPr>
        <w:t xml:space="preserve"> </w:t>
      </w:r>
      <w:r>
        <w:rPr>
          <w:sz w:val="24"/>
          <w:szCs w:val="24"/>
        </w:rPr>
        <w:t>E</w:t>
      </w:r>
      <w:r w:rsidRPr="004B18D8">
        <w:rPr>
          <w:sz w:val="24"/>
          <w:szCs w:val="24"/>
        </w:rPr>
        <w:t xml:space="preserve">n un paciente con </w:t>
      </w:r>
      <w:r w:rsidR="00E461BE">
        <w:rPr>
          <w:sz w:val="24"/>
          <w:szCs w:val="24"/>
        </w:rPr>
        <w:t>i</w:t>
      </w:r>
      <w:r w:rsidRPr="004B18D8">
        <w:rPr>
          <w:sz w:val="24"/>
          <w:szCs w:val="24"/>
        </w:rPr>
        <w:t xml:space="preserve">nfarto de </w:t>
      </w:r>
      <w:r w:rsidR="00E461BE">
        <w:rPr>
          <w:sz w:val="24"/>
          <w:szCs w:val="24"/>
        </w:rPr>
        <w:t>m</w:t>
      </w:r>
      <w:r w:rsidRPr="004B18D8">
        <w:rPr>
          <w:sz w:val="24"/>
          <w:szCs w:val="24"/>
        </w:rPr>
        <w:t>iocardio reciente busca determinar si hay otras arterias comprometidas además de la que se ocluyó durante el infarto</w:t>
      </w:r>
      <w:r w:rsidR="00E461BE">
        <w:rPr>
          <w:sz w:val="24"/>
          <w:szCs w:val="24"/>
        </w:rPr>
        <w:t>.</w:t>
      </w:r>
      <w:r w:rsidRPr="004B18D8">
        <w:rPr>
          <w:sz w:val="24"/>
          <w:szCs w:val="24"/>
        </w:rPr>
        <w:t xml:space="preserve"> </w:t>
      </w:r>
      <w:r w:rsidR="00E461BE">
        <w:rPr>
          <w:sz w:val="24"/>
          <w:szCs w:val="24"/>
        </w:rPr>
        <w:t>E</w:t>
      </w:r>
      <w:r w:rsidRPr="004B18D8">
        <w:rPr>
          <w:sz w:val="24"/>
          <w:szCs w:val="24"/>
        </w:rPr>
        <w:t>sta información e</w:t>
      </w:r>
      <w:r w:rsidR="00E461BE">
        <w:rPr>
          <w:sz w:val="24"/>
          <w:szCs w:val="24"/>
        </w:rPr>
        <w:t>ra</w:t>
      </w:r>
      <w:r w:rsidRPr="004B18D8">
        <w:rPr>
          <w:sz w:val="24"/>
          <w:szCs w:val="24"/>
        </w:rPr>
        <w:t xml:space="preserve"> fundamental para el pronóstico del paciente</w:t>
      </w:r>
      <w:r w:rsidR="00E461BE">
        <w:rPr>
          <w:sz w:val="24"/>
          <w:szCs w:val="24"/>
        </w:rPr>
        <w:t xml:space="preserve"> Pinillos</w:t>
      </w:r>
      <w:r w:rsidRPr="004B18D8">
        <w:rPr>
          <w:sz w:val="24"/>
          <w:szCs w:val="24"/>
        </w:rPr>
        <w:t xml:space="preserve">, pues </w:t>
      </w:r>
      <w:r w:rsidR="0023533B">
        <w:rPr>
          <w:sz w:val="24"/>
          <w:szCs w:val="24"/>
        </w:rPr>
        <w:t>cuando</w:t>
      </w:r>
      <w:r w:rsidRPr="004B18D8">
        <w:rPr>
          <w:sz w:val="24"/>
          <w:szCs w:val="24"/>
        </w:rPr>
        <w:t xml:space="preserve"> es negativa</w:t>
      </w:r>
      <w:r w:rsidR="00E461BE">
        <w:rPr>
          <w:sz w:val="24"/>
          <w:szCs w:val="24"/>
        </w:rPr>
        <w:t>,</w:t>
      </w:r>
      <w:r w:rsidRPr="004B18D8">
        <w:rPr>
          <w:sz w:val="24"/>
          <w:szCs w:val="24"/>
        </w:rPr>
        <w:t xml:space="preserve"> </w:t>
      </w:r>
      <w:r w:rsidR="00E461BE">
        <w:rPr>
          <w:sz w:val="24"/>
          <w:szCs w:val="24"/>
        </w:rPr>
        <w:t>muestra</w:t>
      </w:r>
      <w:r w:rsidRPr="004B18D8">
        <w:rPr>
          <w:sz w:val="24"/>
          <w:szCs w:val="24"/>
        </w:rPr>
        <w:t xml:space="preserve"> que el </w:t>
      </w:r>
      <w:r w:rsidR="00E461BE">
        <w:rPr>
          <w:sz w:val="24"/>
          <w:szCs w:val="24"/>
        </w:rPr>
        <w:t>enfermo</w:t>
      </w:r>
      <w:r w:rsidRPr="004B18D8">
        <w:rPr>
          <w:sz w:val="24"/>
          <w:szCs w:val="24"/>
        </w:rPr>
        <w:t xml:space="preserve"> </w:t>
      </w:r>
      <w:r w:rsidR="007D7AE8">
        <w:rPr>
          <w:sz w:val="24"/>
          <w:szCs w:val="24"/>
        </w:rPr>
        <w:t>presenta</w:t>
      </w:r>
      <w:r w:rsidRPr="004B18D8">
        <w:rPr>
          <w:sz w:val="24"/>
          <w:szCs w:val="24"/>
        </w:rPr>
        <w:t xml:space="preserve"> bajo riesgo y no necesita </w:t>
      </w:r>
      <w:r w:rsidR="007D7AE8">
        <w:rPr>
          <w:sz w:val="24"/>
          <w:szCs w:val="24"/>
        </w:rPr>
        <w:t>c</w:t>
      </w:r>
      <w:r w:rsidRPr="004B18D8">
        <w:rPr>
          <w:sz w:val="24"/>
          <w:szCs w:val="24"/>
        </w:rPr>
        <w:t>ateterismo y</w:t>
      </w:r>
      <w:r w:rsidR="007D7AE8">
        <w:rPr>
          <w:sz w:val="24"/>
          <w:szCs w:val="24"/>
        </w:rPr>
        <w:t>,</w:t>
      </w:r>
      <w:r w:rsidRPr="004B18D8">
        <w:rPr>
          <w:sz w:val="24"/>
          <w:szCs w:val="24"/>
        </w:rPr>
        <w:t xml:space="preserve"> si es positiva</w:t>
      </w:r>
      <w:r w:rsidR="007D7AE8">
        <w:rPr>
          <w:sz w:val="24"/>
          <w:szCs w:val="24"/>
        </w:rPr>
        <w:t>,</w:t>
      </w:r>
      <w:r w:rsidRPr="004B18D8">
        <w:rPr>
          <w:sz w:val="24"/>
          <w:szCs w:val="24"/>
        </w:rPr>
        <w:t xml:space="preserve"> </w:t>
      </w:r>
      <w:r w:rsidR="007D7AE8">
        <w:rPr>
          <w:sz w:val="24"/>
          <w:szCs w:val="24"/>
        </w:rPr>
        <w:t>refleja que</w:t>
      </w:r>
      <w:r w:rsidRPr="004B18D8">
        <w:rPr>
          <w:sz w:val="24"/>
          <w:szCs w:val="24"/>
        </w:rPr>
        <w:t xml:space="preserve"> el </w:t>
      </w:r>
      <w:r w:rsidR="007D7AE8">
        <w:rPr>
          <w:sz w:val="24"/>
          <w:szCs w:val="24"/>
        </w:rPr>
        <w:t>afectado</w:t>
      </w:r>
      <w:r w:rsidRPr="004B18D8">
        <w:rPr>
          <w:sz w:val="24"/>
          <w:szCs w:val="24"/>
        </w:rPr>
        <w:t xml:space="preserve"> </w:t>
      </w:r>
      <w:r w:rsidR="007D7AE8">
        <w:rPr>
          <w:sz w:val="24"/>
          <w:szCs w:val="24"/>
        </w:rPr>
        <w:t xml:space="preserve">es </w:t>
      </w:r>
      <w:r w:rsidRPr="004B18D8">
        <w:rPr>
          <w:sz w:val="24"/>
          <w:szCs w:val="24"/>
        </w:rPr>
        <w:t xml:space="preserve">de alto riesgo y </w:t>
      </w:r>
      <w:r w:rsidR="0023533B">
        <w:rPr>
          <w:sz w:val="24"/>
          <w:szCs w:val="24"/>
        </w:rPr>
        <w:t>s</w:t>
      </w:r>
      <w:r w:rsidR="005B4E8E">
        <w:rPr>
          <w:sz w:val="24"/>
          <w:szCs w:val="24"/>
        </w:rPr>
        <w:t>í</w:t>
      </w:r>
      <w:r w:rsidR="0023533B">
        <w:rPr>
          <w:sz w:val="24"/>
          <w:szCs w:val="24"/>
        </w:rPr>
        <w:t xml:space="preserve"> </w:t>
      </w:r>
      <w:r w:rsidR="007D7AE8">
        <w:rPr>
          <w:sz w:val="24"/>
          <w:szCs w:val="24"/>
        </w:rPr>
        <w:t>requiere</w:t>
      </w:r>
      <w:r w:rsidRPr="004B18D8">
        <w:rPr>
          <w:sz w:val="24"/>
          <w:szCs w:val="24"/>
        </w:rPr>
        <w:t xml:space="preserve"> </w:t>
      </w:r>
      <w:r w:rsidR="0023533B">
        <w:rPr>
          <w:sz w:val="24"/>
          <w:szCs w:val="24"/>
        </w:rPr>
        <w:t>de este</w:t>
      </w:r>
      <w:r w:rsidRPr="004B18D8">
        <w:rPr>
          <w:sz w:val="24"/>
          <w:szCs w:val="24"/>
        </w:rPr>
        <w:t>.</w:t>
      </w:r>
    </w:p>
    <w:p w14:paraId="2F80E376" w14:textId="77777777" w:rsidR="00492293" w:rsidRPr="002A426F" w:rsidRDefault="00492293" w:rsidP="002A426F">
      <w:pPr>
        <w:rPr>
          <w:b/>
          <w:bCs/>
          <w:sz w:val="24"/>
          <w:szCs w:val="24"/>
        </w:rPr>
      </w:pPr>
    </w:p>
    <w:p w14:paraId="159FD37B" w14:textId="1117AB66" w:rsidR="00492293" w:rsidRPr="0032149F" w:rsidRDefault="00492293" w:rsidP="00F77BC5">
      <w:pPr>
        <w:pStyle w:val="Prrafodelista"/>
        <w:numPr>
          <w:ilvl w:val="1"/>
          <w:numId w:val="3"/>
        </w:numPr>
        <w:overflowPunct w:val="0"/>
        <w:autoSpaceDE w:val="0"/>
        <w:autoSpaceDN w:val="0"/>
        <w:adjustRightInd w:val="0"/>
        <w:spacing w:line="276" w:lineRule="auto"/>
        <w:ind w:left="0" w:firstLine="0"/>
        <w:rPr>
          <w:b/>
          <w:bCs/>
          <w:sz w:val="24"/>
          <w:szCs w:val="24"/>
        </w:rPr>
      </w:pPr>
      <w:r>
        <w:rPr>
          <w:sz w:val="24"/>
          <w:szCs w:val="24"/>
        </w:rPr>
        <w:t xml:space="preserve">El </w:t>
      </w:r>
      <w:r w:rsidRPr="0032149F">
        <w:rPr>
          <w:sz w:val="24"/>
          <w:szCs w:val="24"/>
        </w:rPr>
        <w:t>testimonio del médico Carlos José Jaramillo no fue tenido en cuenta, para lo cual en el fallo censurado no se extendió explicación alguna.</w:t>
      </w:r>
      <w:r w:rsidR="00E10757" w:rsidRPr="0032149F">
        <w:rPr>
          <w:sz w:val="24"/>
          <w:szCs w:val="24"/>
        </w:rPr>
        <w:t xml:space="preserve"> Esa versión muestra que es una mala práctica médica dar de alta a un paciente, que ha sufrido infarto, sin </w:t>
      </w:r>
      <w:r w:rsidR="002A426F" w:rsidRPr="0032149F">
        <w:rPr>
          <w:sz w:val="24"/>
          <w:szCs w:val="24"/>
        </w:rPr>
        <w:t>administrarle</w:t>
      </w:r>
      <w:r w:rsidR="00E10757" w:rsidRPr="0032149F">
        <w:rPr>
          <w:sz w:val="24"/>
          <w:szCs w:val="24"/>
        </w:rPr>
        <w:t xml:space="preserve"> una prueba de esfuerzo. Esta puede efectuarse si, a juicio del médico, no hay riesgos superiores al beneficio que trae ese procedimiento diagnóstico. Sin esa prueba puede ignorarse que el paciente tenga una isquemia activa, lo cual puede terminar en un nuevo infarto o en una arritmia fatal.</w:t>
      </w:r>
      <w:r w:rsidR="00782D00" w:rsidRPr="0032149F">
        <w:rPr>
          <w:sz w:val="24"/>
          <w:szCs w:val="24"/>
        </w:rPr>
        <w:t xml:space="preserve"> Así mismo, la versión entregada por ese galeno deja ver que </w:t>
      </w:r>
      <w:r w:rsidR="00B653F0" w:rsidRPr="0032149F">
        <w:rPr>
          <w:sz w:val="24"/>
          <w:szCs w:val="24"/>
        </w:rPr>
        <w:t xml:space="preserve">no </w:t>
      </w:r>
      <w:r w:rsidR="002A426F" w:rsidRPr="0032149F">
        <w:rPr>
          <w:sz w:val="24"/>
          <w:szCs w:val="24"/>
        </w:rPr>
        <w:t>es</w:t>
      </w:r>
      <w:r w:rsidR="00B653F0" w:rsidRPr="0032149F">
        <w:rPr>
          <w:sz w:val="24"/>
          <w:szCs w:val="24"/>
        </w:rPr>
        <w:t xml:space="preserve"> previsible que durante la realización de una prueba de esfuerzo se presente </w:t>
      </w:r>
      <w:r w:rsidR="006026E1" w:rsidRPr="0032149F">
        <w:rPr>
          <w:sz w:val="24"/>
          <w:szCs w:val="24"/>
        </w:rPr>
        <w:t>una perforación ventricular, como la que sufrió el señor Pinillos. Igualmente, refleja que la prueba de esfuerzo fue bien indicada en ese caso concreto y que no había circunstancia alguna que la impidiera, pues el paciente no presentaba dolor ni disnea, su presión arterial estaba bien controlada y el último electrocardiograma que se le practicó mostraba evolución satisfactoria.</w:t>
      </w:r>
      <w:r w:rsidR="00007FB3" w:rsidRPr="0032149F">
        <w:rPr>
          <w:sz w:val="24"/>
          <w:szCs w:val="24"/>
        </w:rPr>
        <w:t xml:space="preserve"> Finalmente, deja ver que la ecocardiografía hubiese sido valiosa antes de haberse efectuado la prueba de esfuerzo; pero no indispensable según las guías nacionales y extranjeras.</w:t>
      </w:r>
    </w:p>
    <w:p w14:paraId="12C750A7" w14:textId="77777777" w:rsidR="00767620" w:rsidRPr="0032149F" w:rsidRDefault="00767620" w:rsidP="00767620">
      <w:pPr>
        <w:pStyle w:val="Prrafodelista"/>
        <w:overflowPunct w:val="0"/>
        <w:autoSpaceDE w:val="0"/>
        <w:autoSpaceDN w:val="0"/>
        <w:adjustRightInd w:val="0"/>
        <w:spacing w:line="276" w:lineRule="auto"/>
        <w:ind w:left="0"/>
        <w:rPr>
          <w:b/>
          <w:bCs/>
          <w:sz w:val="24"/>
          <w:szCs w:val="24"/>
        </w:rPr>
      </w:pPr>
    </w:p>
    <w:p w14:paraId="5E62127C" w14:textId="0C499602" w:rsidR="00767620" w:rsidRPr="0032149F" w:rsidRDefault="002833F0" w:rsidP="00F77BC5">
      <w:pPr>
        <w:pStyle w:val="Prrafodelista"/>
        <w:numPr>
          <w:ilvl w:val="1"/>
          <w:numId w:val="3"/>
        </w:numPr>
        <w:overflowPunct w:val="0"/>
        <w:autoSpaceDE w:val="0"/>
        <w:autoSpaceDN w:val="0"/>
        <w:adjustRightInd w:val="0"/>
        <w:spacing w:line="276" w:lineRule="auto"/>
        <w:ind w:left="0" w:firstLine="0"/>
        <w:rPr>
          <w:b/>
          <w:bCs/>
          <w:sz w:val="24"/>
          <w:szCs w:val="24"/>
        </w:rPr>
      </w:pPr>
      <w:r w:rsidRPr="0032149F">
        <w:rPr>
          <w:sz w:val="24"/>
          <w:szCs w:val="24"/>
        </w:rPr>
        <w:t xml:space="preserve">Los documentos </w:t>
      </w:r>
      <w:r w:rsidR="00767620" w:rsidRPr="0032149F">
        <w:rPr>
          <w:sz w:val="24"/>
          <w:szCs w:val="24"/>
        </w:rPr>
        <w:t>médic</w:t>
      </w:r>
      <w:r w:rsidRPr="0032149F">
        <w:rPr>
          <w:sz w:val="24"/>
          <w:szCs w:val="24"/>
        </w:rPr>
        <w:t>os</w:t>
      </w:r>
      <w:r w:rsidR="00767620" w:rsidRPr="0032149F">
        <w:rPr>
          <w:sz w:val="24"/>
          <w:szCs w:val="24"/>
        </w:rPr>
        <w:t xml:space="preserve"> aportad</w:t>
      </w:r>
      <w:r w:rsidRPr="0032149F">
        <w:rPr>
          <w:sz w:val="24"/>
          <w:szCs w:val="24"/>
        </w:rPr>
        <w:t>os</w:t>
      </w:r>
      <w:r w:rsidR="00767620" w:rsidRPr="0032149F">
        <w:rPr>
          <w:sz w:val="24"/>
          <w:szCs w:val="24"/>
        </w:rPr>
        <w:t xml:space="preserve"> por el médico Hermes Grajales, quien actuó durante el trámite de la objeción grave formulada contra el dictamen pericial practicado en primera instancia, fue</w:t>
      </w:r>
      <w:r w:rsidRPr="0032149F">
        <w:rPr>
          <w:sz w:val="24"/>
          <w:szCs w:val="24"/>
        </w:rPr>
        <w:t>ron</w:t>
      </w:r>
      <w:r w:rsidR="00767620" w:rsidRPr="0032149F">
        <w:rPr>
          <w:sz w:val="24"/>
          <w:szCs w:val="24"/>
        </w:rPr>
        <w:t xml:space="preserve"> </w:t>
      </w:r>
      <w:r w:rsidRPr="0032149F">
        <w:rPr>
          <w:sz w:val="24"/>
          <w:szCs w:val="24"/>
        </w:rPr>
        <w:t xml:space="preserve">valorados irrazonablemente. </w:t>
      </w:r>
      <w:r w:rsidR="00707CF7" w:rsidRPr="0032149F">
        <w:rPr>
          <w:sz w:val="24"/>
          <w:szCs w:val="24"/>
        </w:rPr>
        <w:t xml:space="preserve">La pieza “INFARTO AGUDO DEL MIOCARDIO. Dr. Fabio </w:t>
      </w:r>
      <w:proofErr w:type="spellStart"/>
      <w:r w:rsidR="00707CF7" w:rsidRPr="0032149F">
        <w:rPr>
          <w:sz w:val="24"/>
          <w:szCs w:val="24"/>
        </w:rPr>
        <w:t>Candebet</w:t>
      </w:r>
      <w:proofErr w:type="spellEnd"/>
      <w:r w:rsidR="00707CF7" w:rsidRPr="0032149F">
        <w:rPr>
          <w:sz w:val="24"/>
          <w:szCs w:val="24"/>
        </w:rPr>
        <w:t xml:space="preserve"> Moren. Especialista en </w:t>
      </w:r>
      <w:r w:rsidR="00707CF7" w:rsidRPr="0032149F">
        <w:rPr>
          <w:sz w:val="24"/>
          <w:szCs w:val="24"/>
        </w:rPr>
        <w:lastRenderedPageBreak/>
        <w:t xml:space="preserve">Medicina Crítica y Cuidados Intensivos. Hospital Provincial Saturnino Lora. Santiago de Cuba” (mayúsculas sostenidas dentro del texto) y el material “SINDROME CORONARIO AGUDO. Dr. </w:t>
      </w:r>
      <w:proofErr w:type="spellStart"/>
      <w:r w:rsidR="00707CF7" w:rsidRPr="0032149F">
        <w:rPr>
          <w:sz w:val="24"/>
          <w:szCs w:val="24"/>
        </w:rPr>
        <w:t>Hector</w:t>
      </w:r>
      <w:proofErr w:type="spellEnd"/>
      <w:r w:rsidR="00707CF7" w:rsidRPr="0032149F">
        <w:rPr>
          <w:sz w:val="24"/>
          <w:szCs w:val="24"/>
        </w:rPr>
        <w:t xml:space="preserve"> Conde </w:t>
      </w:r>
      <w:proofErr w:type="spellStart"/>
      <w:r w:rsidR="00707CF7" w:rsidRPr="0032149F">
        <w:rPr>
          <w:sz w:val="24"/>
          <w:szCs w:val="24"/>
        </w:rPr>
        <w:t>Cerdeira</w:t>
      </w:r>
      <w:proofErr w:type="spellEnd"/>
      <w:r w:rsidR="00707CF7" w:rsidRPr="0032149F">
        <w:rPr>
          <w:sz w:val="24"/>
          <w:szCs w:val="24"/>
        </w:rPr>
        <w:t>. Cardiología Intervencionista CIMEQ. Febrero 2006” (mayúscula sostenida dentro del texto) no fueron identificados en lo que se refiere a su fuente. En ese sentido, no se individualizó la respectiva revista científica física o electrónica, o libro, que los contiene. De ese modo, no se demostró que ese documental pudiera obrar como regla técnica a tener en cuenta por el juez de la responsabilidad.</w:t>
      </w:r>
    </w:p>
    <w:p w14:paraId="7E0C901B" w14:textId="77777777" w:rsidR="00707CF7" w:rsidRPr="00707CF7" w:rsidRDefault="00707CF7" w:rsidP="00707CF7">
      <w:pPr>
        <w:pStyle w:val="Prrafodelista"/>
        <w:overflowPunct w:val="0"/>
        <w:autoSpaceDE w:val="0"/>
        <w:autoSpaceDN w:val="0"/>
        <w:adjustRightInd w:val="0"/>
        <w:spacing w:line="276" w:lineRule="auto"/>
        <w:ind w:left="0"/>
        <w:rPr>
          <w:b/>
          <w:bCs/>
          <w:sz w:val="24"/>
          <w:szCs w:val="24"/>
        </w:rPr>
      </w:pPr>
    </w:p>
    <w:p w14:paraId="2D1DB820" w14:textId="034DC353" w:rsidR="00C07C48" w:rsidRPr="00C07C48" w:rsidRDefault="00707CF7" w:rsidP="00F77BC5">
      <w:pPr>
        <w:pStyle w:val="Prrafodelista"/>
        <w:numPr>
          <w:ilvl w:val="1"/>
          <w:numId w:val="3"/>
        </w:numPr>
        <w:overflowPunct w:val="0"/>
        <w:autoSpaceDE w:val="0"/>
        <w:autoSpaceDN w:val="0"/>
        <w:adjustRightInd w:val="0"/>
        <w:spacing w:line="276" w:lineRule="auto"/>
        <w:ind w:left="0" w:firstLine="0"/>
        <w:rPr>
          <w:b/>
          <w:bCs/>
          <w:sz w:val="24"/>
          <w:szCs w:val="24"/>
        </w:rPr>
      </w:pPr>
      <w:r>
        <w:rPr>
          <w:sz w:val="24"/>
          <w:szCs w:val="24"/>
        </w:rPr>
        <w:t xml:space="preserve">El </w:t>
      </w:r>
      <w:r w:rsidR="00C07C48" w:rsidRPr="00C07C48">
        <w:rPr>
          <w:sz w:val="24"/>
          <w:szCs w:val="24"/>
        </w:rPr>
        <w:t>volumen n</w:t>
      </w:r>
      <w:r w:rsidR="00603EBD">
        <w:rPr>
          <w:sz w:val="24"/>
          <w:szCs w:val="24"/>
        </w:rPr>
        <w:t>úmero</w:t>
      </w:r>
      <w:r w:rsidR="00C07C48" w:rsidRPr="00C07C48">
        <w:rPr>
          <w:sz w:val="24"/>
          <w:szCs w:val="24"/>
        </w:rPr>
        <w:t xml:space="preserve"> 19, suplemento n</w:t>
      </w:r>
      <w:r w:rsidR="00603EBD">
        <w:rPr>
          <w:sz w:val="24"/>
          <w:szCs w:val="24"/>
        </w:rPr>
        <w:t>úmero</w:t>
      </w:r>
      <w:r w:rsidR="00C07C48" w:rsidRPr="00C07C48">
        <w:rPr>
          <w:sz w:val="24"/>
          <w:szCs w:val="24"/>
        </w:rPr>
        <w:t xml:space="preserve"> 2, de la Revista Colombiana de Cardiología, ejemplar de febrero de 2010</w:t>
      </w:r>
      <w:r>
        <w:rPr>
          <w:sz w:val="24"/>
          <w:szCs w:val="24"/>
        </w:rPr>
        <w:t xml:space="preserve"> fue recaudado ilegítimamente y valorado irrazonablemente</w:t>
      </w:r>
      <w:r w:rsidR="00C07C48">
        <w:rPr>
          <w:sz w:val="24"/>
          <w:szCs w:val="24"/>
        </w:rPr>
        <w:t xml:space="preserve"> en sede de lo contencioso administrativo</w:t>
      </w:r>
      <w:r w:rsidR="00D72595">
        <w:rPr>
          <w:sz w:val="24"/>
          <w:szCs w:val="24"/>
        </w:rPr>
        <w:t xml:space="preserve"> porque</w:t>
      </w:r>
      <w:r w:rsidR="00C07C48">
        <w:rPr>
          <w:sz w:val="24"/>
          <w:szCs w:val="24"/>
        </w:rPr>
        <w:t>:</w:t>
      </w:r>
    </w:p>
    <w:p w14:paraId="682D6E54" w14:textId="77777777" w:rsidR="00C07C48" w:rsidRPr="00C07C48" w:rsidRDefault="00C07C48" w:rsidP="00C07C48">
      <w:pPr>
        <w:rPr>
          <w:sz w:val="24"/>
          <w:szCs w:val="24"/>
        </w:rPr>
      </w:pPr>
    </w:p>
    <w:p w14:paraId="633A453F" w14:textId="6ADAF620" w:rsidR="00C07C48" w:rsidRPr="00C07C48" w:rsidRDefault="00C07C48" w:rsidP="00C07C48">
      <w:pPr>
        <w:pStyle w:val="Prrafodelista"/>
        <w:numPr>
          <w:ilvl w:val="2"/>
          <w:numId w:val="3"/>
        </w:numPr>
        <w:overflowPunct w:val="0"/>
        <w:autoSpaceDE w:val="0"/>
        <w:autoSpaceDN w:val="0"/>
        <w:adjustRightInd w:val="0"/>
        <w:spacing w:line="276" w:lineRule="auto"/>
        <w:ind w:left="0" w:firstLine="0"/>
        <w:rPr>
          <w:b/>
          <w:bCs/>
          <w:sz w:val="24"/>
          <w:szCs w:val="24"/>
        </w:rPr>
      </w:pPr>
      <w:r>
        <w:rPr>
          <w:sz w:val="24"/>
          <w:szCs w:val="24"/>
        </w:rPr>
        <w:t>F</w:t>
      </w:r>
      <w:r w:rsidR="00665EAF">
        <w:rPr>
          <w:sz w:val="24"/>
          <w:szCs w:val="24"/>
        </w:rPr>
        <w:t xml:space="preserve">ue aportado de forma incompleta. </w:t>
      </w:r>
      <w:r w:rsidR="00665EAF" w:rsidRPr="00C07C48">
        <w:rPr>
          <w:sz w:val="24"/>
          <w:szCs w:val="24"/>
        </w:rPr>
        <w:t xml:space="preserve">En realidad, la revista consta de ciento sesenta y ocho </w:t>
      </w:r>
      <w:r w:rsidR="00690C52" w:rsidRPr="00690C52">
        <w:rPr>
          <w:sz w:val="24"/>
          <w:szCs w:val="24"/>
        </w:rPr>
        <w:t>(168)</w:t>
      </w:r>
      <w:r w:rsidR="00690C52">
        <w:rPr>
          <w:sz w:val="24"/>
          <w:szCs w:val="24"/>
        </w:rPr>
        <w:t xml:space="preserve"> </w:t>
      </w:r>
      <w:r w:rsidR="00665EAF" w:rsidRPr="00C07C48">
        <w:rPr>
          <w:sz w:val="24"/>
          <w:szCs w:val="24"/>
        </w:rPr>
        <w:t>páginas. Sin embargo, al proceso solo fueron allegadas quince (15).</w:t>
      </w:r>
      <w:r w:rsidRPr="00C07C48">
        <w:rPr>
          <w:sz w:val="24"/>
          <w:szCs w:val="24"/>
        </w:rPr>
        <w:t xml:space="preserve"> </w:t>
      </w:r>
      <w:r w:rsidR="00690C52">
        <w:rPr>
          <w:sz w:val="24"/>
          <w:szCs w:val="24"/>
        </w:rPr>
        <w:t>Ello</w:t>
      </w:r>
      <w:r w:rsidRPr="00C07C48">
        <w:rPr>
          <w:sz w:val="24"/>
          <w:szCs w:val="24"/>
        </w:rPr>
        <w:t xml:space="preserve"> fue advertid</w:t>
      </w:r>
      <w:r w:rsidR="00690C52">
        <w:rPr>
          <w:sz w:val="24"/>
          <w:szCs w:val="24"/>
        </w:rPr>
        <w:t>o</w:t>
      </w:r>
      <w:r w:rsidRPr="00C07C48">
        <w:rPr>
          <w:sz w:val="24"/>
          <w:szCs w:val="24"/>
        </w:rPr>
        <w:t xml:space="preserve"> mediante memorial del 26 de abril de 2010. Allí mismo, además, fue solicitada la comparecencia de un experto</w:t>
      </w:r>
      <w:r w:rsidR="00690C52">
        <w:rPr>
          <w:sz w:val="24"/>
          <w:szCs w:val="24"/>
        </w:rPr>
        <w:t xml:space="preserve"> (</w:t>
      </w:r>
      <w:proofErr w:type="spellStart"/>
      <w:r w:rsidR="00690C52">
        <w:rPr>
          <w:sz w:val="23"/>
          <w:szCs w:val="23"/>
        </w:rPr>
        <w:t>Dagnobar</w:t>
      </w:r>
      <w:proofErr w:type="spellEnd"/>
      <w:r w:rsidR="00690C52">
        <w:rPr>
          <w:sz w:val="23"/>
          <w:szCs w:val="23"/>
        </w:rPr>
        <w:t xml:space="preserve"> </w:t>
      </w:r>
      <w:proofErr w:type="spellStart"/>
      <w:r w:rsidR="00690C52">
        <w:rPr>
          <w:sz w:val="23"/>
          <w:szCs w:val="23"/>
        </w:rPr>
        <w:t>Aristizábal</w:t>
      </w:r>
      <w:proofErr w:type="spellEnd"/>
      <w:r w:rsidR="00690C52">
        <w:rPr>
          <w:sz w:val="23"/>
          <w:szCs w:val="23"/>
        </w:rPr>
        <w:t>)</w:t>
      </w:r>
      <w:r w:rsidRPr="00C07C48">
        <w:rPr>
          <w:sz w:val="24"/>
          <w:szCs w:val="24"/>
        </w:rPr>
        <w:t xml:space="preserve"> que corroborara el contenido </w:t>
      </w:r>
      <w:r>
        <w:rPr>
          <w:sz w:val="24"/>
          <w:szCs w:val="24"/>
        </w:rPr>
        <w:t xml:space="preserve">y contexto de los </w:t>
      </w:r>
      <w:r w:rsidR="002B3706">
        <w:rPr>
          <w:sz w:val="24"/>
          <w:szCs w:val="24"/>
        </w:rPr>
        <w:t xml:space="preserve">artículos </w:t>
      </w:r>
      <w:r>
        <w:rPr>
          <w:sz w:val="24"/>
          <w:szCs w:val="24"/>
        </w:rPr>
        <w:t xml:space="preserve">presentes en el referido </w:t>
      </w:r>
      <w:r w:rsidR="002B3706">
        <w:rPr>
          <w:sz w:val="24"/>
          <w:szCs w:val="24"/>
        </w:rPr>
        <w:t>escrito</w:t>
      </w:r>
      <w:r>
        <w:rPr>
          <w:sz w:val="24"/>
          <w:szCs w:val="24"/>
        </w:rPr>
        <w:t xml:space="preserve">. Sin embargo, esa </w:t>
      </w:r>
      <w:r w:rsidR="00690C52">
        <w:rPr>
          <w:sz w:val="24"/>
          <w:szCs w:val="24"/>
        </w:rPr>
        <w:t>experticia</w:t>
      </w:r>
      <w:r>
        <w:rPr>
          <w:sz w:val="24"/>
          <w:szCs w:val="24"/>
        </w:rPr>
        <w:t xml:space="preserve"> fue denegada a pesar de haber mediado</w:t>
      </w:r>
      <w:r w:rsidR="00690C52">
        <w:rPr>
          <w:sz w:val="24"/>
          <w:szCs w:val="24"/>
        </w:rPr>
        <w:t xml:space="preserve"> la oportunidad</w:t>
      </w:r>
      <w:r>
        <w:rPr>
          <w:sz w:val="24"/>
          <w:szCs w:val="24"/>
        </w:rPr>
        <w:t xml:space="preserve"> </w:t>
      </w:r>
      <w:r w:rsidR="00690C52">
        <w:rPr>
          <w:sz w:val="24"/>
          <w:szCs w:val="24"/>
        </w:rPr>
        <w:t>y</w:t>
      </w:r>
      <w:r>
        <w:rPr>
          <w:sz w:val="24"/>
          <w:szCs w:val="24"/>
        </w:rPr>
        <w:t xml:space="preserve"> recursos de </w:t>
      </w:r>
      <w:r w:rsidR="00690C52">
        <w:rPr>
          <w:sz w:val="24"/>
          <w:szCs w:val="24"/>
        </w:rPr>
        <w:t>ley</w:t>
      </w:r>
      <w:r>
        <w:rPr>
          <w:sz w:val="24"/>
          <w:szCs w:val="24"/>
        </w:rPr>
        <w:t>.</w:t>
      </w:r>
      <w:r w:rsidR="008C6386">
        <w:rPr>
          <w:sz w:val="24"/>
          <w:szCs w:val="24"/>
        </w:rPr>
        <w:t xml:space="preserve"> Con ello se desconoció el derecho de defensa y contradicción del Centro Cardiovascular, lo que hace que </w:t>
      </w:r>
      <w:r w:rsidR="00690C52">
        <w:rPr>
          <w:sz w:val="24"/>
          <w:szCs w:val="24"/>
        </w:rPr>
        <w:t>la revista, en tanto prueba,</w:t>
      </w:r>
      <w:r w:rsidR="008C6386">
        <w:rPr>
          <w:sz w:val="24"/>
          <w:szCs w:val="24"/>
        </w:rPr>
        <w:t xml:space="preserve"> sea nula de pleno derecho.</w:t>
      </w:r>
    </w:p>
    <w:p w14:paraId="5CB1CE9E" w14:textId="77777777" w:rsidR="00C07C48" w:rsidRPr="00C07C48" w:rsidRDefault="00C07C48" w:rsidP="00C07C48">
      <w:pPr>
        <w:pStyle w:val="Prrafodelista"/>
        <w:overflowPunct w:val="0"/>
        <w:autoSpaceDE w:val="0"/>
        <w:autoSpaceDN w:val="0"/>
        <w:adjustRightInd w:val="0"/>
        <w:spacing w:line="276" w:lineRule="auto"/>
        <w:ind w:left="0"/>
        <w:rPr>
          <w:b/>
          <w:bCs/>
          <w:sz w:val="24"/>
          <w:szCs w:val="24"/>
        </w:rPr>
      </w:pPr>
    </w:p>
    <w:p w14:paraId="5C7AD9F8" w14:textId="1C684B39" w:rsidR="00707CF7" w:rsidRPr="003D5ACC" w:rsidRDefault="007445C7" w:rsidP="007445C7">
      <w:pPr>
        <w:pStyle w:val="Prrafodelista"/>
        <w:numPr>
          <w:ilvl w:val="2"/>
          <w:numId w:val="3"/>
        </w:numPr>
        <w:overflowPunct w:val="0"/>
        <w:autoSpaceDE w:val="0"/>
        <w:autoSpaceDN w:val="0"/>
        <w:adjustRightInd w:val="0"/>
        <w:spacing w:line="276" w:lineRule="auto"/>
        <w:ind w:left="0" w:firstLine="0"/>
        <w:rPr>
          <w:b/>
          <w:bCs/>
          <w:sz w:val="24"/>
          <w:szCs w:val="24"/>
        </w:rPr>
      </w:pPr>
      <w:r>
        <w:rPr>
          <w:sz w:val="24"/>
          <w:szCs w:val="24"/>
        </w:rPr>
        <w:t>Corresponde al año 2010 y fue tenido en cuenta como prueba reina dentro del fallo enjuiciado a pesar de que los hechos sobre los cuales versa el proceso ordinario ya identificado ocurrieron en 2000. En ese sentido, se valoraron unos hechos a partir de presupuestos científicos y terapéuticos propios de la ciencia médica diez años posterior a las circunstancias fácticas objeto de conocimiento por parte del juez accionado. Esto resulta irrazonable, pues la medicina experimenta adelantos investigativos, incluso, cada año. Por tanto, resulta igualmente irrazonable valorar unas variables de hecho con base en los avances logrados diez años después.</w:t>
      </w:r>
      <w:r w:rsidR="007F3E6D">
        <w:rPr>
          <w:sz w:val="24"/>
          <w:szCs w:val="24"/>
        </w:rPr>
        <w:t xml:space="preserve"> Tal defecto es equiparable al del juez que aplica </w:t>
      </w:r>
      <w:proofErr w:type="spellStart"/>
      <w:r w:rsidR="007F3E6D">
        <w:rPr>
          <w:sz w:val="24"/>
          <w:szCs w:val="24"/>
        </w:rPr>
        <w:t>irretroactivamente</w:t>
      </w:r>
      <w:proofErr w:type="spellEnd"/>
      <w:r w:rsidR="007F3E6D">
        <w:rPr>
          <w:sz w:val="24"/>
          <w:szCs w:val="24"/>
        </w:rPr>
        <w:t xml:space="preserve"> una ley en general.</w:t>
      </w:r>
    </w:p>
    <w:p w14:paraId="5ABA2BD3" w14:textId="77777777" w:rsidR="003D5ACC" w:rsidRPr="002A426F" w:rsidRDefault="003D5ACC" w:rsidP="002A426F">
      <w:pPr>
        <w:rPr>
          <w:b/>
          <w:bCs/>
          <w:sz w:val="24"/>
          <w:szCs w:val="24"/>
        </w:rPr>
      </w:pPr>
    </w:p>
    <w:p w14:paraId="681A79A9" w14:textId="2F1414F2" w:rsidR="003D5ACC" w:rsidRPr="0032149F" w:rsidRDefault="003D5ACC" w:rsidP="007445C7">
      <w:pPr>
        <w:pStyle w:val="Prrafodelista"/>
        <w:numPr>
          <w:ilvl w:val="2"/>
          <w:numId w:val="3"/>
        </w:numPr>
        <w:overflowPunct w:val="0"/>
        <w:autoSpaceDE w:val="0"/>
        <w:autoSpaceDN w:val="0"/>
        <w:adjustRightInd w:val="0"/>
        <w:spacing w:line="276" w:lineRule="auto"/>
        <w:ind w:left="0" w:firstLine="0"/>
        <w:rPr>
          <w:b/>
          <w:bCs/>
          <w:sz w:val="24"/>
          <w:szCs w:val="24"/>
        </w:rPr>
      </w:pPr>
      <w:r>
        <w:rPr>
          <w:sz w:val="24"/>
          <w:szCs w:val="24"/>
        </w:rPr>
        <w:t xml:space="preserve">El fallador accionado confundió, en la revista, la prueba que se le realizó al paciente en urgencias con la prueba de esfuerzo, que es la que en realidad se practica entre cuatro y siete días después de ocurrido el infarto. Es en urgencias donde deben recolectarse </w:t>
      </w:r>
      <w:r w:rsidRPr="003D5ACC">
        <w:rPr>
          <w:sz w:val="24"/>
          <w:szCs w:val="24"/>
        </w:rPr>
        <w:t>dos muestras de marcadores card</w:t>
      </w:r>
      <w:r w:rsidR="002A426F">
        <w:rPr>
          <w:sz w:val="24"/>
          <w:szCs w:val="24"/>
        </w:rPr>
        <w:t>i</w:t>
      </w:r>
      <w:r w:rsidRPr="003D5ACC">
        <w:rPr>
          <w:sz w:val="24"/>
          <w:szCs w:val="24"/>
        </w:rPr>
        <w:t>acos con intervalos no menores a cuatro horas normales</w:t>
      </w:r>
      <w:r>
        <w:rPr>
          <w:sz w:val="24"/>
          <w:szCs w:val="24"/>
        </w:rPr>
        <w:t xml:space="preserve">. En cambio, la prueba de esfuerzo es la que se le efectuó al difunto paciente con el lleno de los </w:t>
      </w:r>
      <w:r w:rsidRPr="0032149F">
        <w:rPr>
          <w:sz w:val="24"/>
          <w:szCs w:val="24"/>
        </w:rPr>
        <w:t xml:space="preserve">requisitos médicos. De ese modo, el buen ejercicio que se efectuó en urgencias permitió la realización de la prueba diagnóstica de marcadores bioquímicos luego del respectivo electrocardiograma. Con ambas pruebas </w:t>
      </w:r>
      <w:r w:rsidR="001C7DFF" w:rsidRPr="0032149F">
        <w:rPr>
          <w:sz w:val="24"/>
          <w:szCs w:val="24"/>
        </w:rPr>
        <w:t xml:space="preserve">el dolor torácico sufrido por </w:t>
      </w:r>
      <w:proofErr w:type="spellStart"/>
      <w:r w:rsidR="001C7DFF" w:rsidRPr="0032149F">
        <w:rPr>
          <w:sz w:val="24"/>
          <w:szCs w:val="24"/>
        </w:rPr>
        <w:t>Joselín</w:t>
      </w:r>
      <w:proofErr w:type="spellEnd"/>
      <w:r w:rsidR="001C7DFF" w:rsidRPr="0032149F">
        <w:rPr>
          <w:sz w:val="24"/>
          <w:szCs w:val="24"/>
        </w:rPr>
        <w:t xml:space="preserve"> Pinillos </w:t>
      </w:r>
      <w:r w:rsidRPr="0032149F">
        <w:rPr>
          <w:sz w:val="24"/>
          <w:szCs w:val="24"/>
        </w:rPr>
        <w:t>se estratificó como un infarto agudo de miocardio.</w:t>
      </w:r>
    </w:p>
    <w:p w14:paraId="11CD5DEC" w14:textId="77777777" w:rsidR="006A0628" w:rsidRPr="002A426F" w:rsidRDefault="006A0628" w:rsidP="002A426F">
      <w:pPr>
        <w:rPr>
          <w:b/>
          <w:bCs/>
          <w:sz w:val="24"/>
          <w:szCs w:val="24"/>
        </w:rPr>
      </w:pPr>
    </w:p>
    <w:p w14:paraId="1129F5F4" w14:textId="7EE0859C" w:rsidR="006A0628" w:rsidRPr="00846598" w:rsidRDefault="006A0628" w:rsidP="007445C7">
      <w:pPr>
        <w:pStyle w:val="Prrafodelista"/>
        <w:numPr>
          <w:ilvl w:val="2"/>
          <w:numId w:val="3"/>
        </w:numPr>
        <w:overflowPunct w:val="0"/>
        <w:autoSpaceDE w:val="0"/>
        <w:autoSpaceDN w:val="0"/>
        <w:adjustRightInd w:val="0"/>
        <w:spacing w:line="276" w:lineRule="auto"/>
        <w:ind w:left="0" w:firstLine="0"/>
        <w:rPr>
          <w:b/>
          <w:bCs/>
          <w:sz w:val="24"/>
          <w:szCs w:val="24"/>
        </w:rPr>
      </w:pPr>
      <w:r>
        <w:rPr>
          <w:sz w:val="24"/>
          <w:szCs w:val="24"/>
        </w:rPr>
        <w:t xml:space="preserve">En la revista no se especifica que el ecocardiograma sea un examen indispensable para determinar si la prueba de esfuerzo puede realizarse. Cuestión </w:t>
      </w:r>
      <w:r>
        <w:rPr>
          <w:sz w:val="24"/>
          <w:szCs w:val="24"/>
        </w:rPr>
        <w:lastRenderedPageBreak/>
        <w:t>diferente es que la ecocardiografía, como también se le conoce, sea una prueba útil como cualquier otra.</w:t>
      </w:r>
      <w:r w:rsidR="00772F49">
        <w:rPr>
          <w:sz w:val="24"/>
          <w:szCs w:val="24"/>
        </w:rPr>
        <w:t xml:space="preserve"> De ese modo, la Sala accionada confundió irrazonablemente necesidad con utilidad y obvió los requisitos que el artículo dispone para la citada prueba de esfuerzo. Dentro de estos se halla el electrocardiograma, que en efecto fue practicado; pero no el ecocardiograma. Palabras parecidas, pero exámenes diferentes.</w:t>
      </w:r>
    </w:p>
    <w:p w14:paraId="79DF4787" w14:textId="77777777" w:rsidR="00846598" w:rsidRPr="002A426F" w:rsidRDefault="00846598" w:rsidP="002A426F">
      <w:pPr>
        <w:rPr>
          <w:b/>
          <w:bCs/>
          <w:sz w:val="24"/>
          <w:szCs w:val="24"/>
        </w:rPr>
      </w:pPr>
    </w:p>
    <w:p w14:paraId="0672B6E6" w14:textId="197EC73B" w:rsidR="00846598" w:rsidRPr="00772F49" w:rsidRDefault="00846598" w:rsidP="007445C7">
      <w:pPr>
        <w:pStyle w:val="Prrafodelista"/>
        <w:numPr>
          <w:ilvl w:val="2"/>
          <w:numId w:val="3"/>
        </w:numPr>
        <w:overflowPunct w:val="0"/>
        <w:autoSpaceDE w:val="0"/>
        <w:autoSpaceDN w:val="0"/>
        <w:adjustRightInd w:val="0"/>
        <w:spacing w:line="276" w:lineRule="auto"/>
        <w:ind w:left="0" w:firstLine="0"/>
        <w:rPr>
          <w:b/>
          <w:bCs/>
          <w:sz w:val="24"/>
          <w:szCs w:val="24"/>
        </w:rPr>
      </w:pPr>
      <w:r>
        <w:rPr>
          <w:sz w:val="24"/>
          <w:szCs w:val="24"/>
        </w:rPr>
        <w:t>Esa bibliografía no ha debido reemplazar las pruebas.</w:t>
      </w:r>
      <w:r w:rsidR="003D0D95">
        <w:rPr>
          <w:sz w:val="24"/>
          <w:szCs w:val="24"/>
        </w:rPr>
        <w:t xml:space="preserve"> Al basarse en lo dicho en la revista en comento el juzgador accionado tomó unas reglas de la experiencia científica como pruebas concretas de los hechos materia de litigio.</w:t>
      </w:r>
      <w:r w:rsidR="00423AE8">
        <w:rPr>
          <w:sz w:val="24"/>
          <w:szCs w:val="24"/>
        </w:rPr>
        <w:t xml:space="preserve"> Así las cosas, a partir de circunstancias hipotéticas derivó circunstancias de orden fáctico. De esa forma, la autoridad accionada faltó a la sana crítica y con ello a la razonabilidad en la valoración de esa probanza. Es más, el valor en mención de la literatura médica fue objeto de pronunciamiento en el fallo unificador del 28 de agosto de 2014.</w:t>
      </w:r>
    </w:p>
    <w:p w14:paraId="10EE8D74" w14:textId="77777777" w:rsidR="00772F49" w:rsidRPr="00846598" w:rsidRDefault="00772F49" w:rsidP="00846598">
      <w:pPr>
        <w:rPr>
          <w:b/>
          <w:bCs/>
          <w:sz w:val="24"/>
          <w:szCs w:val="24"/>
        </w:rPr>
      </w:pPr>
    </w:p>
    <w:p w14:paraId="11EECB01" w14:textId="3AE56427" w:rsidR="00772F49" w:rsidRPr="00C946B5" w:rsidRDefault="009F47C8" w:rsidP="00772F49">
      <w:pPr>
        <w:pStyle w:val="Prrafodelista"/>
        <w:numPr>
          <w:ilvl w:val="1"/>
          <w:numId w:val="3"/>
        </w:numPr>
        <w:overflowPunct w:val="0"/>
        <w:autoSpaceDE w:val="0"/>
        <w:autoSpaceDN w:val="0"/>
        <w:adjustRightInd w:val="0"/>
        <w:spacing w:line="276" w:lineRule="auto"/>
        <w:ind w:left="0" w:firstLine="0"/>
        <w:rPr>
          <w:b/>
          <w:bCs/>
          <w:sz w:val="24"/>
          <w:szCs w:val="24"/>
        </w:rPr>
      </w:pPr>
      <w:r>
        <w:rPr>
          <w:sz w:val="24"/>
          <w:szCs w:val="24"/>
        </w:rPr>
        <w:t xml:space="preserve">El dictamen pericial varias veces referenciado no </w:t>
      </w:r>
      <w:r w:rsidR="0032149F">
        <w:rPr>
          <w:sz w:val="24"/>
          <w:szCs w:val="24"/>
        </w:rPr>
        <w:t xml:space="preserve">contenía un </w:t>
      </w:r>
      <w:r>
        <w:rPr>
          <w:sz w:val="24"/>
          <w:szCs w:val="24"/>
        </w:rPr>
        <w:t xml:space="preserve">error grave. </w:t>
      </w:r>
      <w:r w:rsidR="00A059A0">
        <w:rPr>
          <w:sz w:val="24"/>
          <w:szCs w:val="24"/>
        </w:rPr>
        <w:t>De hecho, no hay una abierta pugna entre lo sostenido por el perito y la realidad fáctica del asunto objeto de investigación. L</w:t>
      </w:r>
      <w:r w:rsidR="00A059A0" w:rsidRPr="00A059A0">
        <w:rPr>
          <w:sz w:val="24"/>
          <w:szCs w:val="24"/>
        </w:rPr>
        <w:t xml:space="preserve">as afirmaciones y conclusiones </w:t>
      </w:r>
      <w:r w:rsidR="00A059A0">
        <w:rPr>
          <w:sz w:val="24"/>
          <w:szCs w:val="24"/>
        </w:rPr>
        <w:t>consignadas en ese</w:t>
      </w:r>
      <w:r w:rsidR="00A059A0" w:rsidRPr="00A059A0">
        <w:rPr>
          <w:sz w:val="24"/>
          <w:szCs w:val="24"/>
        </w:rPr>
        <w:t xml:space="preserve"> dictamen no presentan incongruencias ni contradicciones con las demás pruebas </w:t>
      </w:r>
      <w:r w:rsidR="00A059A0">
        <w:rPr>
          <w:sz w:val="24"/>
          <w:szCs w:val="24"/>
        </w:rPr>
        <w:t>obrantes en el plenario. En sentido diferente,</w:t>
      </w:r>
      <w:r w:rsidR="00A059A0" w:rsidRPr="00A059A0">
        <w:rPr>
          <w:sz w:val="24"/>
          <w:szCs w:val="24"/>
        </w:rPr>
        <w:t xml:space="preserve"> </w:t>
      </w:r>
      <w:r w:rsidR="00A059A0">
        <w:rPr>
          <w:sz w:val="24"/>
          <w:szCs w:val="24"/>
        </w:rPr>
        <w:t xml:space="preserve">el concepto </w:t>
      </w:r>
      <w:r w:rsidR="00A059A0" w:rsidRPr="00A059A0">
        <w:rPr>
          <w:sz w:val="24"/>
          <w:szCs w:val="24"/>
        </w:rPr>
        <w:t xml:space="preserve">del perito </w:t>
      </w:r>
      <w:r w:rsidR="00A059A0">
        <w:rPr>
          <w:sz w:val="24"/>
          <w:szCs w:val="24"/>
        </w:rPr>
        <w:t>coincide</w:t>
      </w:r>
      <w:r w:rsidR="00A059A0" w:rsidRPr="00A059A0">
        <w:rPr>
          <w:sz w:val="24"/>
          <w:szCs w:val="24"/>
        </w:rPr>
        <w:t xml:space="preserve"> con </w:t>
      </w:r>
      <w:r w:rsidR="00A059A0">
        <w:rPr>
          <w:sz w:val="24"/>
          <w:szCs w:val="24"/>
        </w:rPr>
        <w:t>el de los</w:t>
      </w:r>
      <w:r w:rsidR="00A059A0" w:rsidRPr="00A059A0">
        <w:rPr>
          <w:sz w:val="24"/>
          <w:szCs w:val="24"/>
        </w:rPr>
        <w:t xml:space="preserve"> testigos, con el contenido de la </w:t>
      </w:r>
      <w:r w:rsidR="00A059A0">
        <w:rPr>
          <w:sz w:val="24"/>
          <w:szCs w:val="24"/>
        </w:rPr>
        <w:t>bibliografía</w:t>
      </w:r>
      <w:r w:rsidR="00A059A0" w:rsidRPr="00A059A0">
        <w:rPr>
          <w:sz w:val="24"/>
          <w:szCs w:val="24"/>
        </w:rPr>
        <w:t xml:space="preserve"> médica que reposa en el expediente y con aquella aportada por el testigo Hermes Grajales</w:t>
      </w:r>
      <w:r w:rsidR="00A059A0">
        <w:rPr>
          <w:sz w:val="24"/>
          <w:szCs w:val="24"/>
        </w:rPr>
        <w:t>.</w:t>
      </w:r>
      <w:r w:rsidR="00A1709E">
        <w:rPr>
          <w:sz w:val="24"/>
          <w:szCs w:val="24"/>
        </w:rPr>
        <w:t xml:space="preserve"> A ello se une que la Subsección accionada descalificó al perito por no ser cardiólogo, pero avaló el dicho del referido galeno Grajales a pesar de que este es médico legista.</w:t>
      </w:r>
      <w:r w:rsidR="008C6386">
        <w:rPr>
          <w:sz w:val="24"/>
          <w:szCs w:val="24"/>
        </w:rPr>
        <w:t xml:space="preserve"> Sin embargo, las declaraciones de los cardiólogos que rindieron testimonio en el proceso coinciden con la del perito.</w:t>
      </w:r>
    </w:p>
    <w:p w14:paraId="57D093DA" w14:textId="77777777" w:rsidR="00C946B5" w:rsidRPr="00C946B5" w:rsidRDefault="00C946B5" w:rsidP="00C946B5">
      <w:pPr>
        <w:pStyle w:val="Prrafodelista"/>
        <w:overflowPunct w:val="0"/>
        <w:autoSpaceDE w:val="0"/>
        <w:autoSpaceDN w:val="0"/>
        <w:adjustRightInd w:val="0"/>
        <w:spacing w:line="276" w:lineRule="auto"/>
        <w:ind w:left="0"/>
        <w:rPr>
          <w:b/>
          <w:bCs/>
          <w:sz w:val="24"/>
          <w:szCs w:val="24"/>
        </w:rPr>
      </w:pPr>
    </w:p>
    <w:p w14:paraId="45B17660" w14:textId="32955B67" w:rsidR="004B18D8" w:rsidRDefault="00C946B5" w:rsidP="00372555">
      <w:pPr>
        <w:pStyle w:val="Prrafodelista"/>
        <w:numPr>
          <w:ilvl w:val="1"/>
          <w:numId w:val="3"/>
        </w:numPr>
        <w:overflowPunct w:val="0"/>
        <w:autoSpaceDE w:val="0"/>
        <w:autoSpaceDN w:val="0"/>
        <w:adjustRightInd w:val="0"/>
        <w:spacing w:line="276" w:lineRule="auto"/>
        <w:ind w:left="0" w:firstLine="0"/>
        <w:rPr>
          <w:sz w:val="24"/>
          <w:szCs w:val="24"/>
        </w:rPr>
      </w:pPr>
      <w:r w:rsidRPr="00640A71">
        <w:rPr>
          <w:sz w:val="24"/>
          <w:szCs w:val="24"/>
        </w:rPr>
        <w:t xml:space="preserve">Si la autoridad judicial accionada tenía dudas respecto de la materia de investigación ha debido ordenar de oficio la práctica de nuevas pruebas. </w:t>
      </w:r>
      <w:r w:rsidR="00127D92" w:rsidRPr="00640A71">
        <w:rPr>
          <w:sz w:val="24"/>
          <w:szCs w:val="24"/>
        </w:rPr>
        <w:t>Cuando prospera la objeción grave respecto del dictamen pericial es imperativo ordenar la práctica de una nueva pericia. Así lo señalan los artículos 233 y 238 del Código de Procedimiento Civil, aplicables al proceso ordinario en cuestión y la jurisprudencia reiterada de la Corte Constitucional, el Consejo de Estado y la Corte Suprema.</w:t>
      </w:r>
    </w:p>
    <w:p w14:paraId="26E04F7E" w14:textId="77777777" w:rsidR="00640A71" w:rsidRPr="00640A71" w:rsidRDefault="00640A71" w:rsidP="00640A71">
      <w:pPr>
        <w:pStyle w:val="Prrafodelista"/>
        <w:overflowPunct w:val="0"/>
        <w:autoSpaceDE w:val="0"/>
        <w:autoSpaceDN w:val="0"/>
        <w:adjustRightInd w:val="0"/>
        <w:spacing w:line="276" w:lineRule="auto"/>
        <w:ind w:left="0"/>
        <w:rPr>
          <w:sz w:val="24"/>
          <w:szCs w:val="24"/>
        </w:rPr>
      </w:pPr>
    </w:p>
    <w:p w14:paraId="6E13F4BD" w14:textId="77777777" w:rsidR="000C5DB7" w:rsidRPr="00F77BC5" w:rsidRDefault="00E800E8" w:rsidP="00F77BC5">
      <w:pPr>
        <w:numPr>
          <w:ilvl w:val="0"/>
          <w:numId w:val="3"/>
        </w:numPr>
        <w:overflowPunct w:val="0"/>
        <w:autoSpaceDE w:val="0"/>
        <w:autoSpaceDN w:val="0"/>
        <w:adjustRightInd w:val="0"/>
        <w:spacing w:line="276" w:lineRule="auto"/>
        <w:ind w:left="0" w:firstLine="0"/>
        <w:contextualSpacing/>
        <w:rPr>
          <w:rFonts w:eastAsia="Times New Roman"/>
          <w:b/>
          <w:sz w:val="24"/>
          <w:szCs w:val="24"/>
          <w:lang w:eastAsia="es-ES"/>
        </w:rPr>
      </w:pPr>
      <w:r w:rsidRPr="00F77BC5">
        <w:rPr>
          <w:b/>
          <w:sz w:val="24"/>
          <w:szCs w:val="24"/>
        </w:rPr>
        <w:t>Trámite</w:t>
      </w:r>
      <w:r w:rsidR="00166AF6" w:rsidRPr="00F77BC5">
        <w:rPr>
          <w:b/>
          <w:sz w:val="24"/>
          <w:szCs w:val="24"/>
        </w:rPr>
        <w:t xml:space="preserve"> de tutela e intervenciones  </w:t>
      </w:r>
    </w:p>
    <w:p w14:paraId="51E50BAA" w14:textId="77777777" w:rsidR="004F3DC0" w:rsidRDefault="004F3DC0" w:rsidP="004F3DC0">
      <w:pPr>
        <w:pStyle w:val="Prrafodelista"/>
        <w:overflowPunct w:val="0"/>
        <w:autoSpaceDE w:val="0"/>
        <w:autoSpaceDN w:val="0"/>
        <w:adjustRightInd w:val="0"/>
        <w:spacing w:line="276" w:lineRule="auto"/>
        <w:ind w:left="0"/>
        <w:rPr>
          <w:rFonts w:eastAsia="Verdana"/>
          <w:sz w:val="24"/>
          <w:szCs w:val="24"/>
        </w:rPr>
      </w:pPr>
    </w:p>
    <w:p w14:paraId="72003444" w14:textId="26F8DCFC" w:rsidR="00033C87" w:rsidRDefault="004F3DC0" w:rsidP="004F3DC0">
      <w:pPr>
        <w:pStyle w:val="Prrafodelista"/>
        <w:overflowPunct w:val="0"/>
        <w:autoSpaceDE w:val="0"/>
        <w:autoSpaceDN w:val="0"/>
        <w:adjustRightInd w:val="0"/>
        <w:spacing w:line="276" w:lineRule="auto"/>
        <w:ind w:left="0"/>
        <w:rPr>
          <w:rFonts w:eastAsia="Verdana"/>
          <w:sz w:val="24"/>
          <w:szCs w:val="24"/>
        </w:rPr>
      </w:pPr>
      <w:r>
        <w:rPr>
          <w:rFonts w:eastAsia="Verdana"/>
          <w:b/>
          <w:bCs/>
          <w:sz w:val="24"/>
          <w:szCs w:val="24"/>
        </w:rPr>
        <w:t xml:space="preserve">4.1. </w:t>
      </w:r>
      <w:r w:rsidR="00261359" w:rsidRPr="00F77BC5">
        <w:rPr>
          <w:rFonts w:eastAsia="Verdana"/>
          <w:sz w:val="24"/>
          <w:szCs w:val="24"/>
        </w:rPr>
        <w:t xml:space="preserve">El despacho sustanciador, mediante auto proferido el </w:t>
      </w:r>
      <w:r w:rsidR="00DE406B">
        <w:rPr>
          <w:color w:val="000000"/>
          <w:sz w:val="24"/>
          <w:szCs w:val="24"/>
          <w:lang w:eastAsia="en-US"/>
        </w:rPr>
        <w:t>2</w:t>
      </w:r>
      <w:r w:rsidR="00CC6FDF">
        <w:rPr>
          <w:color w:val="000000"/>
          <w:sz w:val="24"/>
          <w:szCs w:val="24"/>
          <w:lang w:eastAsia="en-US"/>
        </w:rPr>
        <w:t>5</w:t>
      </w:r>
      <w:r w:rsidR="0017431B" w:rsidRPr="00F77BC5">
        <w:rPr>
          <w:color w:val="000000"/>
          <w:sz w:val="24"/>
          <w:szCs w:val="24"/>
          <w:lang w:eastAsia="en-US"/>
        </w:rPr>
        <w:t xml:space="preserve"> </w:t>
      </w:r>
      <w:r w:rsidR="00563912" w:rsidRPr="00F77BC5">
        <w:rPr>
          <w:color w:val="000000"/>
          <w:sz w:val="24"/>
          <w:szCs w:val="24"/>
          <w:lang w:eastAsia="en-US"/>
        </w:rPr>
        <w:t xml:space="preserve">de </w:t>
      </w:r>
      <w:r w:rsidR="00CC6FDF">
        <w:rPr>
          <w:color w:val="000000"/>
          <w:sz w:val="24"/>
          <w:szCs w:val="24"/>
          <w:lang w:eastAsia="en-US"/>
        </w:rPr>
        <w:t>mayo</w:t>
      </w:r>
      <w:r w:rsidR="00563912" w:rsidRPr="00F77BC5">
        <w:rPr>
          <w:color w:val="000000"/>
          <w:sz w:val="24"/>
          <w:szCs w:val="24"/>
          <w:lang w:eastAsia="en-US"/>
        </w:rPr>
        <w:t xml:space="preserve"> de </w:t>
      </w:r>
      <w:r w:rsidR="000813DB" w:rsidRPr="00F77BC5">
        <w:rPr>
          <w:color w:val="000000"/>
          <w:sz w:val="24"/>
          <w:szCs w:val="24"/>
          <w:lang w:eastAsia="en-US"/>
        </w:rPr>
        <w:t>202</w:t>
      </w:r>
      <w:r w:rsidR="008B721A" w:rsidRPr="00F77BC5">
        <w:rPr>
          <w:color w:val="000000"/>
          <w:sz w:val="24"/>
          <w:szCs w:val="24"/>
          <w:lang w:eastAsia="en-US"/>
        </w:rPr>
        <w:t>1</w:t>
      </w:r>
      <w:r w:rsidR="007046B1" w:rsidRPr="00F77BC5">
        <w:rPr>
          <w:rStyle w:val="Refdenotaalpie"/>
          <w:color w:val="000000"/>
          <w:sz w:val="24"/>
          <w:szCs w:val="24"/>
          <w:lang w:eastAsia="en-US"/>
        </w:rPr>
        <w:footnoteReference w:id="11"/>
      </w:r>
      <w:r w:rsidR="00261359" w:rsidRPr="00F77BC5">
        <w:rPr>
          <w:rFonts w:eastAsia="Verdana"/>
          <w:sz w:val="24"/>
          <w:szCs w:val="24"/>
        </w:rPr>
        <w:t xml:space="preserve">, admitió la </w:t>
      </w:r>
      <w:r w:rsidR="00563912" w:rsidRPr="00F77BC5">
        <w:rPr>
          <w:rFonts w:eastAsia="Verdana"/>
          <w:sz w:val="24"/>
          <w:szCs w:val="24"/>
        </w:rPr>
        <w:t>solicitud de tutela</w:t>
      </w:r>
      <w:r w:rsidR="00650DE8" w:rsidRPr="00F77BC5">
        <w:rPr>
          <w:rFonts w:eastAsia="Verdana"/>
          <w:sz w:val="24"/>
          <w:szCs w:val="24"/>
        </w:rPr>
        <w:t>.</w:t>
      </w:r>
      <w:r w:rsidR="00CC6FDF">
        <w:rPr>
          <w:rFonts w:eastAsia="Verdana"/>
          <w:sz w:val="24"/>
          <w:szCs w:val="24"/>
        </w:rPr>
        <w:t xml:space="preserve"> Igualmente, vinculó a </w:t>
      </w:r>
      <w:r w:rsidR="00CC6FDF" w:rsidRPr="00CC6FDF">
        <w:rPr>
          <w:rFonts w:eastAsia="Verdana"/>
          <w:sz w:val="24"/>
          <w:szCs w:val="24"/>
        </w:rPr>
        <w:t xml:space="preserve">María del Perpetuo Socorro García de Pinillos; María </w:t>
      </w:r>
      <w:proofErr w:type="spellStart"/>
      <w:r w:rsidR="00CC6FDF" w:rsidRPr="00CC6FDF">
        <w:rPr>
          <w:rFonts w:eastAsia="Verdana"/>
          <w:sz w:val="24"/>
          <w:szCs w:val="24"/>
        </w:rPr>
        <w:t>Ailed</w:t>
      </w:r>
      <w:proofErr w:type="spellEnd"/>
      <w:r w:rsidR="00CC6FDF" w:rsidRPr="00CC6FDF">
        <w:rPr>
          <w:rFonts w:eastAsia="Verdana"/>
          <w:sz w:val="24"/>
          <w:szCs w:val="24"/>
        </w:rPr>
        <w:t xml:space="preserve">, María Magdalena, María </w:t>
      </w:r>
      <w:proofErr w:type="spellStart"/>
      <w:r w:rsidR="00CC6FDF" w:rsidRPr="00CC6FDF">
        <w:rPr>
          <w:rFonts w:eastAsia="Verdana"/>
          <w:sz w:val="24"/>
          <w:szCs w:val="24"/>
        </w:rPr>
        <w:t>Edilia</w:t>
      </w:r>
      <w:proofErr w:type="spellEnd"/>
      <w:r w:rsidR="00CC6FDF" w:rsidRPr="00CC6FDF">
        <w:rPr>
          <w:rFonts w:eastAsia="Verdana"/>
          <w:sz w:val="24"/>
          <w:szCs w:val="24"/>
        </w:rPr>
        <w:t xml:space="preserve">, Jesús María, </w:t>
      </w:r>
      <w:proofErr w:type="spellStart"/>
      <w:r w:rsidR="00CC6FDF" w:rsidRPr="00CC6FDF">
        <w:rPr>
          <w:rFonts w:eastAsia="Verdana"/>
          <w:sz w:val="24"/>
          <w:szCs w:val="24"/>
        </w:rPr>
        <w:t>Edi</w:t>
      </w:r>
      <w:r w:rsidR="000344F1">
        <w:rPr>
          <w:rFonts w:eastAsia="Verdana"/>
          <w:sz w:val="24"/>
          <w:szCs w:val="24"/>
        </w:rPr>
        <w:t>l</w:t>
      </w:r>
      <w:r w:rsidR="00CC6FDF" w:rsidRPr="00CC6FDF">
        <w:rPr>
          <w:rFonts w:eastAsia="Verdana"/>
          <w:sz w:val="24"/>
          <w:szCs w:val="24"/>
        </w:rPr>
        <w:t>son</w:t>
      </w:r>
      <w:proofErr w:type="spellEnd"/>
      <w:r w:rsidR="00CC6FDF" w:rsidRPr="00CC6FDF">
        <w:rPr>
          <w:rFonts w:eastAsia="Verdana"/>
          <w:sz w:val="24"/>
          <w:szCs w:val="24"/>
        </w:rPr>
        <w:t xml:space="preserve"> de Jesús y José Olivero Pinillos García; Gladys de Jesús Múnera Jaramillo; Gladys Andrea, Luz Mary y Diego Mauricio Pinillos Múnera; Leidy Johana y Juan Esteban Pinillos; María Fernanda Martínez Pinillos, así como al Departamento de Antioquia; al Municipio de Puerto Berrío; al Ministerio de Salud y Protección Social; a la E.S.E. Hospital de la Cruz de Puerto Berrío; a la Compañía Suramericana de Seguros; y al Tribunal Administrativo de Antioquia</w:t>
      </w:r>
      <w:r w:rsidR="00CC6FDF">
        <w:rPr>
          <w:rFonts w:eastAsia="Verdana"/>
          <w:sz w:val="24"/>
          <w:szCs w:val="24"/>
        </w:rPr>
        <w:t>. Además, negó la medida provisional solicitada.</w:t>
      </w:r>
    </w:p>
    <w:p w14:paraId="7567261C" w14:textId="77777777" w:rsidR="004F3DC0" w:rsidRDefault="004F3DC0" w:rsidP="004F3DC0">
      <w:pPr>
        <w:overflowPunct w:val="0"/>
        <w:autoSpaceDE w:val="0"/>
        <w:autoSpaceDN w:val="0"/>
        <w:adjustRightInd w:val="0"/>
        <w:spacing w:line="276" w:lineRule="auto"/>
        <w:rPr>
          <w:rFonts w:eastAsia="Verdana"/>
          <w:b/>
          <w:bCs/>
          <w:sz w:val="24"/>
          <w:szCs w:val="24"/>
        </w:rPr>
      </w:pPr>
    </w:p>
    <w:p w14:paraId="6547B402" w14:textId="34427AA0" w:rsidR="00582DD6" w:rsidRPr="004F3DC0" w:rsidRDefault="004F3DC0" w:rsidP="004F3DC0">
      <w:pPr>
        <w:overflowPunct w:val="0"/>
        <w:autoSpaceDE w:val="0"/>
        <w:autoSpaceDN w:val="0"/>
        <w:adjustRightInd w:val="0"/>
        <w:spacing w:line="276" w:lineRule="auto"/>
        <w:rPr>
          <w:rFonts w:eastAsia="Verdana"/>
          <w:sz w:val="24"/>
          <w:szCs w:val="24"/>
        </w:rPr>
      </w:pPr>
      <w:r>
        <w:rPr>
          <w:rFonts w:eastAsia="Verdana"/>
          <w:b/>
          <w:bCs/>
          <w:sz w:val="24"/>
          <w:szCs w:val="24"/>
        </w:rPr>
        <w:t xml:space="preserve">4.2. </w:t>
      </w:r>
      <w:r w:rsidR="00D00ACB" w:rsidRPr="004F3DC0">
        <w:rPr>
          <w:rFonts w:eastAsia="Verdana"/>
          <w:sz w:val="24"/>
          <w:szCs w:val="24"/>
        </w:rPr>
        <w:t>El</w:t>
      </w:r>
      <w:r w:rsidR="004D2B8C" w:rsidRPr="004F3DC0">
        <w:rPr>
          <w:rFonts w:eastAsia="Verdana"/>
          <w:sz w:val="24"/>
          <w:szCs w:val="24"/>
        </w:rPr>
        <w:t xml:space="preserve"> </w:t>
      </w:r>
      <w:r w:rsidR="00DE406B" w:rsidRPr="004F3DC0">
        <w:rPr>
          <w:rFonts w:eastAsia="Verdana"/>
          <w:b/>
          <w:bCs/>
          <w:sz w:val="24"/>
          <w:szCs w:val="24"/>
        </w:rPr>
        <w:t xml:space="preserve">Consejo de </w:t>
      </w:r>
      <w:r w:rsidR="007C13C4" w:rsidRPr="004F3DC0">
        <w:rPr>
          <w:rFonts w:eastAsia="Verdana"/>
          <w:b/>
          <w:bCs/>
          <w:sz w:val="24"/>
          <w:szCs w:val="24"/>
        </w:rPr>
        <w:t>Estado, Sección Tercera, Subsección B</w:t>
      </w:r>
      <w:r w:rsidR="00D00ACB" w:rsidRPr="004F3DC0">
        <w:rPr>
          <w:rFonts w:eastAsia="Verdana"/>
          <w:b/>
          <w:bCs/>
          <w:sz w:val="24"/>
          <w:szCs w:val="24"/>
        </w:rPr>
        <w:t xml:space="preserve"> </w:t>
      </w:r>
      <w:r w:rsidR="00624FF5" w:rsidRPr="004F3DC0">
        <w:rPr>
          <w:rFonts w:eastAsia="Verdana"/>
          <w:bCs/>
          <w:sz w:val="24"/>
          <w:szCs w:val="24"/>
        </w:rPr>
        <w:t>manifestó</w:t>
      </w:r>
      <w:r w:rsidR="004D2B8C" w:rsidRPr="00F77BC5">
        <w:rPr>
          <w:rStyle w:val="Refdenotaalpie"/>
          <w:rFonts w:eastAsia="Verdana"/>
          <w:sz w:val="24"/>
          <w:szCs w:val="24"/>
        </w:rPr>
        <w:footnoteReference w:id="12"/>
      </w:r>
      <w:r w:rsidR="00525602" w:rsidRPr="004F3DC0">
        <w:rPr>
          <w:rFonts w:eastAsia="Verdana"/>
          <w:sz w:val="24"/>
          <w:szCs w:val="24"/>
        </w:rPr>
        <w:t xml:space="preserve"> </w:t>
      </w:r>
      <w:r w:rsidR="000F65CA" w:rsidRPr="004F3DC0">
        <w:rPr>
          <w:rFonts w:eastAsia="Verdana"/>
          <w:sz w:val="24"/>
          <w:szCs w:val="24"/>
        </w:rPr>
        <w:t xml:space="preserve">que </w:t>
      </w:r>
      <w:r w:rsidR="007C13C4" w:rsidRPr="004F3DC0">
        <w:rPr>
          <w:rFonts w:eastAsia="Verdana"/>
          <w:sz w:val="24"/>
          <w:szCs w:val="24"/>
        </w:rPr>
        <w:t>la sentencia enjuiciada contiene los argumentos necesarios para que este fallador conozca de la acción de tutela bajo estudio y la resuelva conforme a derecho</w:t>
      </w:r>
      <w:r w:rsidR="00C54CE4" w:rsidRPr="004F3DC0">
        <w:rPr>
          <w:rFonts w:eastAsia="Verdana"/>
          <w:sz w:val="24"/>
          <w:szCs w:val="24"/>
        </w:rPr>
        <w:t>.</w:t>
      </w:r>
    </w:p>
    <w:p w14:paraId="57B872A4" w14:textId="77777777" w:rsidR="007C13C4" w:rsidRPr="000F65CA" w:rsidRDefault="007C13C4" w:rsidP="000F65CA">
      <w:pPr>
        <w:rPr>
          <w:rFonts w:eastAsia="Verdana"/>
          <w:sz w:val="24"/>
          <w:szCs w:val="24"/>
        </w:rPr>
      </w:pPr>
    </w:p>
    <w:p w14:paraId="222A1BA1" w14:textId="636A047C" w:rsidR="00F743EF" w:rsidRDefault="004F3DC0" w:rsidP="004F3DC0">
      <w:pPr>
        <w:pStyle w:val="Prrafodelista"/>
        <w:overflowPunct w:val="0"/>
        <w:autoSpaceDE w:val="0"/>
        <w:autoSpaceDN w:val="0"/>
        <w:adjustRightInd w:val="0"/>
        <w:spacing w:line="276" w:lineRule="auto"/>
        <w:ind w:left="0"/>
        <w:rPr>
          <w:rFonts w:eastAsia="Verdana"/>
          <w:sz w:val="24"/>
          <w:szCs w:val="24"/>
        </w:rPr>
      </w:pPr>
      <w:r>
        <w:rPr>
          <w:rFonts w:eastAsia="Verdana"/>
          <w:b/>
          <w:bCs/>
          <w:sz w:val="24"/>
          <w:szCs w:val="24"/>
        </w:rPr>
        <w:t xml:space="preserve">4.3. </w:t>
      </w:r>
      <w:r w:rsidR="007C13C4">
        <w:rPr>
          <w:rFonts w:eastAsia="Verdana"/>
          <w:sz w:val="24"/>
          <w:szCs w:val="24"/>
        </w:rPr>
        <w:t xml:space="preserve">El </w:t>
      </w:r>
      <w:r w:rsidR="007C13C4">
        <w:rPr>
          <w:rFonts w:eastAsia="Verdana"/>
          <w:b/>
          <w:bCs/>
          <w:sz w:val="24"/>
          <w:szCs w:val="24"/>
        </w:rPr>
        <w:t xml:space="preserve">Tribunal Administrativo de Antioquia </w:t>
      </w:r>
      <w:r w:rsidR="000E19A0">
        <w:rPr>
          <w:rFonts w:eastAsia="Verdana"/>
          <w:sz w:val="24"/>
          <w:szCs w:val="24"/>
        </w:rPr>
        <w:t>adujo</w:t>
      </w:r>
      <w:r w:rsidR="007C13C4">
        <w:rPr>
          <w:rStyle w:val="Refdenotaalpie"/>
          <w:rFonts w:eastAsia="Verdana"/>
          <w:sz w:val="24"/>
          <w:szCs w:val="24"/>
        </w:rPr>
        <w:footnoteReference w:id="13"/>
      </w:r>
      <w:r w:rsidR="007C13C4">
        <w:rPr>
          <w:rFonts w:eastAsia="Verdana"/>
          <w:sz w:val="24"/>
          <w:szCs w:val="24"/>
        </w:rPr>
        <w:t xml:space="preserve"> </w:t>
      </w:r>
      <w:r w:rsidR="000E19A0">
        <w:rPr>
          <w:rFonts w:eastAsia="Verdana"/>
          <w:sz w:val="24"/>
          <w:szCs w:val="24"/>
        </w:rPr>
        <w:t>que notificó a las personas naturales vinculadas en el auto admisorio del presente trámite y adjuntó las piezas procesales cuyo envío se ordenó en la citada providencia.</w:t>
      </w:r>
    </w:p>
    <w:p w14:paraId="4472BB2A" w14:textId="77777777" w:rsidR="00F743EF" w:rsidRPr="000F65CA" w:rsidRDefault="00F743EF" w:rsidP="000F65CA">
      <w:pPr>
        <w:rPr>
          <w:rFonts w:eastAsia="Verdana"/>
          <w:sz w:val="24"/>
          <w:szCs w:val="24"/>
        </w:rPr>
      </w:pPr>
    </w:p>
    <w:p w14:paraId="5BFBE9B3" w14:textId="3399B7CF" w:rsidR="000E19A0" w:rsidRDefault="004F3DC0" w:rsidP="004F3DC0">
      <w:pPr>
        <w:pStyle w:val="Prrafodelista"/>
        <w:overflowPunct w:val="0"/>
        <w:autoSpaceDE w:val="0"/>
        <w:autoSpaceDN w:val="0"/>
        <w:adjustRightInd w:val="0"/>
        <w:spacing w:line="276" w:lineRule="auto"/>
        <w:ind w:left="0"/>
        <w:rPr>
          <w:rFonts w:eastAsia="Verdana"/>
          <w:sz w:val="24"/>
          <w:szCs w:val="24"/>
        </w:rPr>
      </w:pPr>
      <w:r>
        <w:rPr>
          <w:rFonts w:eastAsia="Verdana"/>
          <w:b/>
          <w:bCs/>
          <w:sz w:val="24"/>
          <w:szCs w:val="24"/>
        </w:rPr>
        <w:t xml:space="preserve">4.4. </w:t>
      </w:r>
      <w:r w:rsidR="00F743EF" w:rsidRPr="00F743EF">
        <w:rPr>
          <w:rFonts w:eastAsia="Verdana"/>
          <w:sz w:val="24"/>
          <w:szCs w:val="24"/>
        </w:rPr>
        <w:t xml:space="preserve">El </w:t>
      </w:r>
      <w:r w:rsidR="00F743EF" w:rsidRPr="00F743EF">
        <w:rPr>
          <w:rFonts w:eastAsia="Verdana"/>
          <w:b/>
          <w:bCs/>
          <w:sz w:val="24"/>
          <w:szCs w:val="24"/>
        </w:rPr>
        <w:t>Ministerio de Salud y Protección</w:t>
      </w:r>
      <w:r w:rsidR="00F743EF" w:rsidRPr="00F743EF">
        <w:rPr>
          <w:rFonts w:eastAsia="Verdana"/>
          <w:sz w:val="24"/>
          <w:szCs w:val="24"/>
        </w:rPr>
        <w:t xml:space="preserve"> social afirmó</w:t>
      </w:r>
      <w:r w:rsidR="00F743EF">
        <w:rPr>
          <w:rStyle w:val="Refdenotaalpie"/>
          <w:rFonts w:eastAsia="Verdana"/>
          <w:sz w:val="24"/>
          <w:szCs w:val="24"/>
        </w:rPr>
        <w:footnoteReference w:id="14"/>
      </w:r>
      <w:r w:rsidR="00F743EF" w:rsidRPr="00F743EF">
        <w:rPr>
          <w:rFonts w:eastAsia="Verdana"/>
          <w:sz w:val="24"/>
          <w:szCs w:val="24"/>
        </w:rPr>
        <w:t xml:space="preserve"> que dentro de sus funciones y competencias no está la prestación de servicios médicos ni la inspección, vigilancia y control del sistema de salud. En ese sentido, solo es el ente rector de las políticas del Sistema General de Protección Social en materia de salud, pensiones y riesgos profesionales.</w:t>
      </w:r>
      <w:r w:rsidR="00750F61">
        <w:rPr>
          <w:rFonts w:eastAsia="Verdana"/>
          <w:sz w:val="24"/>
          <w:szCs w:val="24"/>
        </w:rPr>
        <w:t xml:space="preserve"> De todos modos, afirmó que esa cartera no ha vulnerado ningún derecho, pues el fallo cuestionado fue adoptado solamente por la Sala accionada.</w:t>
      </w:r>
    </w:p>
    <w:p w14:paraId="7BD1BB4C" w14:textId="77777777" w:rsidR="00750F61" w:rsidRPr="000F65CA" w:rsidRDefault="00750F61" w:rsidP="000F65CA">
      <w:pPr>
        <w:rPr>
          <w:rFonts w:eastAsia="Verdana"/>
          <w:sz w:val="24"/>
          <w:szCs w:val="24"/>
        </w:rPr>
      </w:pPr>
    </w:p>
    <w:p w14:paraId="46B729F7" w14:textId="52746585" w:rsidR="00750F61" w:rsidRDefault="004F3DC0" w:rsidP="004F3DC0">
      <w:pPr>
        <w:pStyle w:val="Prrafodelista"/>
        <w:overflowPunct w:val="0"/>
        <w:autoSpaceDE w:val="0"/>
        <w:autoSpaceDN w:val="0"/>
        <w:adjustRightInd w:val="0"/>
        <w:spacing w:line="276" w:lineRule="auto"/>
        <w:ind w:left="0"/>
        <w:rPr>
          <w:rFonts w:eastAsia="Verdana"/>
          <w:sz w:val="24"/>
          <w:szCs w:val="24"/>
        </w:rPr>
      </w:pPr>
      <w:r w:rsidRPr="004F3DC0">
        <w:rPr>
          <w:rFonts w:eastAsia="Verdana"/>
          <w:b/>
          <w:bCs/>
          <w:sz w:val="24"/>
          <w:szCs w:val="24"/>
        </w:rPr>
        <w:t>4</w:t>
      </w:r>
      <w:r>
        <w:rPr>
          <w:rFonts w:eastAsia="Verdana"/>
          <w:b/>
          <w:bCs/>
          <w:sz w:val="24"/>
          <w:szCs w:val="24"/>
        </w:rPr>
        <w:t xml:space="preserve">.5. </w:t>
      </w:r>
      <w:r w:rsidR="00750F61" w:rsidRPr="004F3DC0">
        <w:rPr>
          <w:rFonts w:eastAsia="Verdana"/>
          <w:b/>
          <w:bCs/>
          <w:sz w:val="24"/>
          <w:szCs w:val="24"/>
        </w:rPr>
        <w:t>Seguros</w:t>
      </w:r>
      <w:r w:rsidR="00750F61" w:rsidRPr="00750F61">
        <w:rPr>
          <w:rFonts w:eastAsia="Verdana"/>
          <w:b/>
          <w:bCs/>
          <w:sz w:val="24"/>
          <w:szCs w:val="24"/>
        </w:rPr>
        <w:t xml:space="preserve"> General Suramericana S.A.</w:t>
      </w:r>
      <w:r w:rsidR="00750F61">
        <w:rPr>
          <w:rFonts w:eastAsia="Verdana"/>
          <w:sz w:val="24"/>
          <w:szCs w:val="24"/>
        </w:rPr>
        <w:t xml:space="preserve"> se unió</w:t>
      </w:r>
      <w:r w:rsidR="00750F61">
        <w:rPr>
          <w:rStyle w:val="Refdenotaalpie"/>
          <w:rFonts w:eastAsia="Verdana"/>
          <w:sz w:val="24"/>
          <w:szCs w:val="24"/>
        </w:rPr>
        <w:footnoteReference w:id="15"/>
      </w:r>
      <w:r w:rsidR="00750F61">
        <w:rPr>
          <w:rFonts w:eastAsia="Verdana"/>
          <w:sz w:val="24"/>
          <w:szCs w:val="24"/>
        </w:rPr>
        <w:t xml:space="preserve"> a las tesis presentadas por el actor en su escrito de amparo, las cuales parafraseó y resumió en su memorial.</w:t>
      </w:r>
    </w:p>
    <w:p w14:paraId="6E794374" w14:textId="77777777" w:rsidR="00181AF9" w:rsidRPr="000F65CA" w:rsidRDefault="00181AF9" w:rsidP="000F65CA">
      <w:pPr>
        <w:rPr>
          <w:rFonts w:eastAsia="Verdana"/>
          <w:sz w:val="24"/>
          <w:szCs w:val="24"/>
        </w:rPr>
      </w:pPr>
    </w:p>
    <w:p w14:paraId="14C83A1B" w14:textId="192CAC72" w:rsidR="00B06B54" w:rsidRDefault="004F3DC0" w:rsidP="004F3DC0">
      <w:pPr>
        <w:pStyle w:val="Prrafodelista"/>
        <w:overflowPunct w:val="0"/>
        <w:autoSpaceDE w:val="0"/>
        <w:autoSpaceDN w:val="0"/>
        <w:adjustRightInd w:val="0"/>
        <w:spacing w:line="276" w:lineRule="auto"/>
        <w:ind w:left="0"/>
        <w:rPr>
          <w:rFonts w:eastAsia="Verdana"/>
          <w:sz w:val="24"/>
          <w:szCs w:val="24"/>
        </w:rPr>
      </w:pPr>
      <w:r>
        <w:rPr>
          <w:rFonts w:eastAsia="Verdana"/>
          <w:b/>
          <w:bCs/>
          <w:sz w:val="24"/>
          <w:szCs w:val="24"/>
        </w:rPr>
        <w:t xml:space="preserve">4.6. </w:t>
      </w:r>
      <w:r w:rsidR="00181AF9" w:rsidRPr="00181AF9">
        <w:rPr>
          <w:rFonts w:eastAsia="Verdana"/>
          <w:b/>
          <w:bCs/>
          <w:sz w:val="24"/>
          <w:szCs w:val="24"/>
        </w:rPr>
        <w:t>María del Perpetuo Socorro García de Pinillos</w:t>
      </w:r>
      <w:r w:rsidR="00181AF9" w:rsidRPr="00181AF9">
        <w:rPr>
          <w:rFonts w:eastAsia="Verdana"/>
          <w:sz w:val="24"/>
          <w:szCs w:val="24"/>
        </w:rPr>
        <w:t xml:space="preserve">; </w:t>
      </w:r>
      <w:r w:rsidR="00181AF9" w:rsidRPr="00181AF9">
        <w:rPr>
          <w:rFonts w:eastAsia="Verdana"/>
          <w:b/>
          <w:bCs/>
          <w:sz w:val="24"/>
          <w:szCs w:val="24"/>
        </w:rPr>
        <w:t xml:space="preserve">María </w:t>
      </w:r>
      <w:proofErr w:type="spellStart"/>
      <w:r w:rsidR="00181AF9" w:rsidRPr="00181AF9">
        <w:rPr>
          <w:rFonts w:eastAsia="Verdana"/>
          <w:b/>
          <w:bCs/>
          <w:sz w:val="24"/>
          <w:szCs w:val="24"/>
        </w:rPr>
        <w:t>Ailed</w:t>
      </w:r>
      <w:proofErr w:type="spellEnd"/>
      <w:r w:rsidR="00181AF9" w:rsidRPr="00181AF9">
        <w:rPr>
          <w:rFonts w:eastAsia="Verdana"/>
          <w:sz w:val="24"/>
          <w:szCs w:val="24"/>
        </w:rPr>
        <w:t xml:space="preserve">, </w:t>
      </w:r>
      <w:r w:rsidR="00181AF9" w:rsidRPr="00181AF9">
        <w:rPr>
          <w:rFonts w:eastAsia="Verdana"/>
          <w:b/>
          <w:bCs/>
          <w:sz w:val="24"/>
          <w:szCs w:val="24"/>
        </w:rPr>
        <w:t>María Magdalena</w:t>
      </w:r>
      <w:r w:rsidR="00181AF9" w:rsidRPr="00181AF9">
        <w:rPr>
          <w:rFonts w:eastAsia="Verdana"/>
          <w:sz w:val="24"/>
          <w:szCs w:val="24"/>
        </w:rPr>
        <w:t xml:space="preserve">, </w:t>
      </w:r>
      <w:r w:rsidR="00181AF9" w:rsidRPr="00181AF9">
        <w:rPr>
          <w:rFonts w:eastAsia="Verdana"/>
          <w:b/>
          <w:bCs/>
          <w:sz w:val="24"/>
          <w:szCs w:val="24"/>
        </w:rPr>
        <w:t xml:space="preserve">María </w:t>
      </w:r>
      <w:proofErr w:type="spellStart"/>
      <w:r w:rsidR="00181AF9" w:rsidRPr="00181AF9">
        <w:rPr>
          <w:rFonts w:eastAsia="Verdana"/>
          <w:b/>
          <w:bCs/>
          <w:sz w:val="24"/>
          <w:szCs w:val="24"/>
        </w:rPr>
        <w:t>Edilia</w:t>
      </w:r>
      <w:proofErr w:type="spellEnd"/>
      <w:r w:rsidR="00181AF9" w:rsidRPr="00181AF9">
        <w:rPr>
          <w:rFonts w:eastAsia="Verdana"/>
          <w:sz w:val="24"/>
          <w:szCs w:val="24"/>
        </w:rPr>
        <w:t xml:space="preserve">, </w:t>
      </w:r>
      <w:r w:rsidR="00181AF9" w:rsidRPr="00181AF9">
        <w:rPr>
          <w:rFonts w:eastAsia="Verdana"/>
          <w:b/>
          <w:bCs/>
          <w:sz w:val="24"/>
          <w:szCs w:val="24"/>
        </w:rPr>
        <w:t>Jesús María</w:t>
      </w:r>
      <w:r w:rsidR="00181AF9" w:rsidRPr="00181AF9">
        <w:rPr>
          <w:rFonts w:eastAsia="Verdana"/>
          <w:sz w:val="24"/>
          <w:szCs w:val="24"/>
        </w:rPr>
        <w:t xml:space="preserve">, </w:t>
      </w:r>
      <w:proofErr w:type="spellStart"/>
      <w:r w:rsidR="00181AF9" w:rsidRPr="00181AF9">
        <w:rPr>
          <w:rFonts w:eastAsia="Verdana"/>
          <w:b/>
          <w:bCs/>
          <w:sz w:val="24"/>
          <w:szCs w:val="24"/>
        </w:rPr>
        <w:t>Edi</w:t>
      </w:r>
      <w:r w:rsidR="000344F1">
        <w:rPr>
          <w:rFonts w:eastAsia="Verdana"/>
          <w:b/>
          <w:bCs/>
          <w:sz w:val="24"/>
          <w:szCs w:val="24"/>
        </w:rPr>
        <w:t>l</w:t>
      </w:r>
      <w:r w:rsidR="00181AF9" w:rsidRPr="00181AF9">
        <w:rPr>
          <w:rFonts w:eastAsia="Verdana"/>
          <w:b/>
          <w:bCs/>
          <w:sz w:val="24"/>
          <w:szCs w:val="24"/>
        </w:rPr>
        <w:t>son</w:t>
      </w:r>
      <w:proofErr w:type="spellEnd"/>
      <w:r w:rsidR="00181AF9" w:rsidRPr="00181AF9">
        <w:rPr>
          <w:rFonts w:eastAsia="Verdana"/>
          <w:b/>
          <w:bCs/>
          <w:sz w:val="24"/>
          <w:szCs w:val="24"/>
        </w:rPr>
        <w:t xml:space="preserve"> de Jesús</w:t>
      </w:r>
      <w:r w:rsidR="00181AF9" w:rsidRPr="00181AF9">
        <w:rPr>
          <w:rFonts w:eastAsia="Verdana"/>
          <w:sz w:val="24"/>
          <w:szCs w:val="24"/>
        </w:rPr>
        <w:t xml:space="preserve"> y </w:t>
      </w:r>
      <w:r w:rsidR="00181AF9" w:rsidRPr="00181AF9">
        <w:rPr>
          <w:rFonts w:eastAsia="Verdana"/>
          <w:b/>
          <w:bCs/>
          <w:sz w:val="24"/>
          <w:szCs w:val="24"/>
        </w:rPr>
        <w:t>José Olivero Pinillos García</w:t>
      </w:r>
      <w:r w:rsidR="00181AF9" w:rsidRPr="00181AF9">
        <w:rPr>
          <w:rFonts w:eastAsia="Verdana"/>
          <w:sz w:val="24"/>
          <w:szCs w:val="24"/>
        </w:rPr>
        <w:t xml:space="preserve">; </w:t>
      </w:r>
      <w:r w:rsidR="00181AF9" w:rsidRPr="00181AF9">
        <w:rPr>
          <w:rFonts w:eastAsia="Verdana"/>
          <w:b/>
          <w:bCs/>
          <w:sz w:val="24"/>
          <w:szCs w:val="24"/>
        </w:rPr>
        <w:t>Gladys de Jesús Múnera Jaramillo</w:t>
      </w:r>
      <w:r w:rsidR="00181AF9" w:rsidRPr="00181AF9">
        <w:rPr>
          <w:rFonts w:eastAsia="Verdana"/>
          <w:sz w:val="24"/>
          <w:szCs w:val="24"/>
        </w:rPr>
        <w:t xml:space="preserve">; </w:t>
      </w:r>
      <w:r w:rsidR="00181AF9" w:rsidRPr="00181AF9">
        <w:rPr>
          <w:rFonts w:eastAsia="Verdana"/>
          <w:b/>
          <w:bCs/>
          <w:sz w:val="24"/>
          <w:szCs w:val="24"/>
        </w:rPr>
        <w:t>Gladys Andrea</w:t>
      </w:r>
      <w:r w:rsidR="00181AF9" w:rsidRPr="00181AF9">
        <w:rPr>
          <w:rFonts w:eastAsia="Verdana"/>
          <w:sz w:val="24"/>
          <w:szCs w:val="24"/>
        </w:rPr>
        <w:t xml:space="preserve">, </w:t>
      </w:r>
      <w:r w:rsidR="00181AF9" w:rsidRPr="00181AF9">
        <w:rPr>
          <w:rFonts w:eastAsia="Verdana"/>
          <w:b/>
          <w:bCs/>
          <w:sz w:val="24"/>
          <w:szCs w:val="24"/>
        </w:rPr>
        <w:t>Luz Mary</w:t>
      </w:r>
      <w:r w:rsidR="00181AF9" w:rsidRPr="00181AF9">
        <w:rPr>
          <w:rFonts w:eastAsia="Verdana"/>
          <w:sz w:val="24"/>
          <w:szCs w:val="24"/>
        </w:rPr>
        <w:t xml:space="preserve"> y </w:t>
      </w:r>
      <w:r w:rsidR="00181AF9" w:rsidRPr="00181AF9">
        <w:rPr>
          <w:rFonts w:eastAsia="Verdana"/>
          <w:b/>
          <w:bCs/>
          <w:sz w:val="24"/>
          <w:szCs w:val="24"/>
        </w:rPr>
        <w:t>Diego Mauricio Pinillos Múnera</w:t>
      </w:r>
      <w:r w:rsidR="00181AF9" w:rsidRPr="00181AF9">
        <w:rPr>
          <w:rFonts w:eastAsia="Verdana"/>
          <w:sz w:val="24"/>
          <w:szCs w:val="24"/>
        </w:rPr>
        <w:t xml:space="preserve">; </w:t>
      </w:r>
      <w:r w:rsidR="00181AF9" w:rsidRPr="00181AF9">
        <w:rPr>
          <w:rFonts w:eastAsia="Verdana"/>
          <w:b/>
          <w:bCs/>
          <w:sz w:val="24"/>
          <w:szCs w:val="24"/>
        </w:rPr>
        <w:t>Leidy Johana</w:t>
      </w:r>
      <w:r w:rsidR="00181AF9" w:rsidRPr="00181AF9">
        <w:rPr>
          <w:rFonts w:eastAsia="Verdana"/>
          <w:sz w:val="24"/>
          <w:szCs w:val="24"/>
        </w:rPr>
        <w:t xml:space="preserve"> y </w:t>
      </w:r>
      <w:r w:rsidR="00181AF9" w:rsidRPr="00181AF9">
        <w:rPr>
          <w:rFonts w:eastAsia="Verdana"/>
          <w:b/>
          <w:bCs/>
          <w:sz w:val="24"/>
          <w:szCs w:val="24"/>
        </w:rPr>
        <w:t>Juan Esteban Pinillos</w:t>
      </w:r>
      <w:r w:rsidR="00181AF9" w:rsidRPr="00181AF9">
        <w:rPr>
          <w:rFonts w:eastAsia="Verdana"/>
          <w:sz w:val="24"/>
          <w:szCs w:val="24"/>
        </w:rPr>
        <w:t xml:space="preserve">; y </w:t>
      </w:r>
      <w:r w:rsidR="00181AF9" w:rsidRPr="00181AF9">
        <w:rPr>
          <w:rFonts w:eastAsia="Verdana"/>
          <w:b/>
          <w:bCs/>
          <w:sz w:val="24"/>
          <w:szCs w:val="24"/>
        </w:rPr>
        <w:t>María Fernanda Martínez Pinillos</w:t>
      </w:r>
      <w:r w:rsidR="00181AF9" w:rsidRPr="00181AF9">
        <w:rPr>
          <w:rFonts w:eastAsia="Verdana"/>
          <w:sz w:val="24"/>
          <w:szCs w:val="24"/>
        </w:rPr>
        <w:t>,</w:t>
      </w:r>
      <w:r w:rsidR="00181AF9">
        <w:rPr>
          <w:rFonts w:eastAsia="Verdana"/>
          <w:sz w:val="24"/>
          <w:szCs w:val="24"/>
        </w:rPr>
        <w:t xml:space="preserve"> por conducto de apoderado judicial, </w:t>
      </w:r>
      <w:r w:rsidR="00B06B54">
        <w:rPr>
          <w:rFonts w:eastAsia="Verdana"/>
          <w:sz w:val="24"/>
          <w:szCs w:val="24"/>
        </w:rPr>
        <w:t>estimaron</w:t>
      </w:r>
      <w:r w:rsidR="00181AF9">
        <w:rPr>
          <w:rStyle w:val="Refdenotaalpie"/>
          <w:rFonts w:eastAsia="Verdana"/>
          <w:sz w:val="24"/>
          <w:szCs w:val="24"/>
        </w:rPr>
        <w:footnoteReference w:id="16"/>
      </w:r>
      <w:r w:rsidR="00B06B54">
        <w:rPr>
          <w:rFonts w:eastAsia="Verdana"/>
          <w:sz w:val="24"/>
          <w:szCs w:val="24"/>
        </w:rPr>
        <w:t xml:space="preserve"> que el interés del actor es </w:t>
      </w:r>
      <w:r w:rsidR="000F65CA">
        <w:rPr>
          <w:rFonts w:eastAsia="Verdana"/>
          <w:sz w:val="24"/>
          <w:szCs w:val="24"/>
        </w:rPr>
        <w:t>convertir esta acción de tutela en una tercera instancia ordinaria</w:t>
      </w:r>
      <w:r w:rsidR="00B06B54">
        <w:rPr>
          <w:rFonts w:eastAsia="Verdana"/>
          <w:sz w:val="24"/>
          <w:szCs w:val="24"/>
        </w:rPr>
        <w:t xml:space="preserve">. </w:t>
      </w:r>
    </w:p>
    <w:p w14:paraId="6069E105" w14:textId="77777777" w:rsidR="00B06B54" w:rsidRPr="00B06B54" w:rsidRDefault="00B06B54" w:rsidP="00B06B54">
      <w:pPr>
        <w:rPr>
          <w:rFonts w:eastAsia="Verdana"/>
          <w:sz w:val="24"/>
          <w:szCs w:val="24"/>
        </w:rPr>
      </w:pPr>
    </w:p>
    <w:p w14:paraId="51ACD521" w14:textId="2A911A8A" w:rsidR="00181AF9" w:rsidRDefault="00B06B54" w:rsidP="00B06B54">
      <w:pPr>
        <w:pStyle w:val="Prrafodelista"/>
        <w:overflowPunct w:val="0"/>
        <w:autoSpaceDE w:val="0"/>
        <w:autoSpaceDN w:val="0"/>
        <w:adjustRightInd w:val="0"/>
        <w:spacing w:line="276" w:lineRule="auto"/>
        <w:ind w:left="0"/>
        <w:rPr>
          <w:rFonts w:eastAsia="Verdana"/>
          <w:sz w:val="24"/>
          <w:szCs w:val="24"/>
        </w:rPr>
      </w:pPr>
      <w:r>
        <w:rPr>
          <w:rFonts w:eastAsia="Verdana"/>
          <w:sz w:val="24"/>
          <w:szCs w:val="24"/>
        </w:rPr>
        <w:t>Advirti</w:t>
      </w:r>
      <w:r w:rsidR="004F3DC0">
        <w:rPr>
          <w:rFonts w:eastAsia="Verdana"/>
          <w:sz w:val="24"/>
          <w:szCs w:val="24"/>
        </w:rPr>
        <w:t>eron</w:t>
      </w:r>
      <w:r>
        <w:rPr>
          <w:rFonts w:eastAsia="Verdana"/>
          <w:sz w:val="24"/>
          <w:szCs w:val="24"/>
        </w:rPr>
        <w:t xml:space="preserve">, en todo caso, que el accionante es selectivo con la literatura médica que pretende hacer valer. De ese modo, </w:t>
      </w:r>
      <w:r w:rsidR="0032149F">
        <w:rPr>
          <w:rFonts w:eastAsia="Verdana"/>
          <w:sz w:val="24"/>
          <w:szCs w:val="24"/>
        </w:rPr>
        <w:t>afirm</w:t>
      </w:r>
      <w:r w:rsidR="004F3DC0">
        <w:rPr>
          <w:rFonts w:eastAsia="Verdana"/>
          <w:sz w:val="24"/>
          <w:szCs w:val="24"/>
        </w:rPr>
        <w:t>aron</w:t>
      </w:r>
      <w:r w:rsidR="0032149F">
        <w:rPr>
          <w:rFonts w:eastAsia="Verdana"/>
          <w:sz w:val="24"/>
          <w:szCs w:val="24"/>
        </w:rPr>
        <w:t xml:space="preserve"> </w:t>
      </w:r>
      <w:r>
        <w:rPr>
          <w:rFonts w:eastAsia="Verdana"/>
          <w:sz w:val="24"/>
          <w:szCs w:val="24"/>
        </w:rPr>
        <w:t>que el solicitante se queja de la revista acogida por la Sala accionada, pero dice que no se valoró el manual aportado por el Centro Cardiovascular en su escrito de contestación de demanda. Con base en ello, indic</w:t>
      </w:r>
      <w:r w:rsidR="004F3DC0">
        <w:rPr>
          <w:rFonts w:eastAsia="Verdana"/>
          <w:sz w:val="24"/>
          <w:szCs w:val="24"/>
        </w:rPr>
        <w:t>aron</w:t>
      </w:r>
      <w:r>
        <w:rPr>
          <w:rFonts w:eastAsia="Verdana"/>
          <w:sz w:val="24"/>
          <w:szCs w:val="24"/>
        </w:rPr>
        <w:t xml:space="preserve"> que el peticionario critica que se haya acogido un criterio hermenéutico en vez de otro, lo que, en su sentir, no tiene la envergadura para constituirse en defecto.</w:t>
      </w:r>
    </w:p>
    <w:p w14:paraId="4068F6C3" w14:textId="15CF6B83" w:rsidR="00B06B54" w:rsidRDefault="00B06B54" w:rsidP="00B06B54">
      <w:pPr>
        <w:pStyle w:val="Prrafodelista"/>
        <w:overflowPunct w:val="0"/>
        <w:autoSpaceDE w:val="0"/>
        <w:autoSpaceDN w:val="0"/>
        <w:adjustRightInd w:val="0"/>
        <w:spacing w:line="276" w:lineRule="auto"/>
        <w:ind w:left="0"/>
        <w:rPr>
          <w:rFonts w:eastAsia="Verdana"/>
          <w:sz w:val="24"/>
          <w:szCs w:val="24"/>
        </w:rPr>
      </w:pPr>
    </w:p>
    <w:p w14:paraId="515C3DCE" w14:textId="691E75B3" w:rsidR="00B06B54" w:rsidRDefault="00B06B54" w:rsidP="00B06B54">
      <w:pPr>
        <w:pStyle w:val="Prrafodelista"/>
        <w:overflowPunct w:val="0"/>
        <w:autoSpaceDE w:val="0"/>
        <w:autoSpaceDN w:val="0"/>
        <w:adjustRightInd w:val="0"/>
        <w:spacing w:line="276" w:lineRule="auto"/>
        <w:ind w:left="0"/>
        <w:rPr>
          <w:rFonts w:eastAsia="Verdana"/>
          <w:sz w:val="24"/>
          <w:szCs w:val="24"/>
        </w:rPr>
      </w:pPr>
      <w:r>
        <w:rPr>
          <w:rFonts w:eastAsia="Verdana"/>
          <w:sz w:val="24"/>
          <w:szCs w:val="24"/>
        </w:rPr>
        <w:t>También afirm</w:t>
      </w:r>
      <w:r w:rsidR="004F3DC0">
        <w:rPr>
          <w:rFonts w:eastAsia="Verdana"/>
          <w:sz w:val="24"/>
          <w:szCs w:val="24"/>
        </w:rPr>
        <w:t>aron</w:t>
      </w:r>
      <w:r>
        <w:rPr>
          <w:rFonts w:eastAsia="Verdana"/>
          <w:sz w:val="24"/>
          <w:szCs w:val="24"/>
        </w:rPr>
        <w:t xml:space="preserve"> </w:t>
      </w:r>
      <w:r w:rsidR="00D64E8F">
        <w:rPr>
          <w:rFonts w:eastAsia="Verdana"/>
          <w:sz w:val="24"/>
          <w:szCs w:val="24"/>
        </w:rPr>
        <w:t xml:space="preserve">que </w:t>
      </w:r>
      <w:r>
        <w:rPr>
          <w:rFonts w:eastAsia="Verdana"/>
          <w:sz w:val="24"/>
          <w:szCs w:val="24"/>
        </w:rPr>
        <w:t xml:space="preserve">la objeción grave formulada contra el dictamen pericial </w:t>
      </w:r>
      <w:r w:rsidR="000F65CA">
        <w:rPr>
          <w:rFonts w:eastAsia="Verdana"/>
          <w:sz w:val="24"/>
          <w:szCs w:val="24"/>
        </w:rPr>
        <w:t>prosperó</w:t>
      </w:r>
      <w:r>
        <w:rPr>
          <w:rFonts w:eastAsia="Verdana"/>
          <w:sz w:val="24"/>
          <w:szCs w:val="24"/>
        </w:rPr>
        <w:t xml:space="preserve"> no solo </w:t>
      </w:r>
      <w:r w:rsidR="00D64E8F">
        <w:rPr>
          <w:rFonts w:eastAsia="Verdana"/>
          <w:sz w:val="24"/>
          <w:szCs w:val="24"/>
        </w:rPr>
        <w:t>por</w:t>
      </w:r>
      <w:r>
        <w:rPr>
          <w:rFonts w:eastAsia="Verdana"/>
          <w:sz w:val="24"/>
          <w:szCs w:val="24"/>
        </w:rPr>
        <w:t xml:space="preserve"> la falta de experticia del perito, sino también </w:t>
      </w:r>
      <w:r w:rsidR="00D64E8F">
        <w:rPr>
          <w:rFonts w:eastAsia="Verdana"/>
          <w:sz w:val="24"/>
          <w:szCs w:val="24"/>
        </w:rPr>
        <w:t>por</w:t>
      </w:r>
      <w:r>
        <w:rPr>
          <w:rFonts w:eastAsia="Verdana"/>
          <w:sz w:val="24"/>
          <w:szCs w:val="24"/>
        </w:rPr>
        <w:t xml:space="preserve"> la </w:t>
      </w:r>
      <w:r w:rsidR="00D64E8F">
        <w:rPr>
          <w:rFonts w:eastAsia="Verdana"/>
          <w:sz w:val="24"/>
          <w:szCs w:val="24"/>
        </w:rPr>
        <w:t>in</w:t>
      </w:r>
      <w:r>
        <w:rPr>
          <w:rFonts w:eastAsia="Verdana"/>
          <w:sz w:val="24"/>
          <w:szCs w:val="24"/>
        </w:rPr>
        <w:t xml:space="preserve">consistencia de sus conclusiones. A ello </w:t>
      </w:r>
      <w:r w:rsidR="004F3DC0">
        <w:rPr>
          <w:rFonts w:eastAsia="Verdana"/>
          <w:sz w:val="24"/>
          <w:szCs w:val="24"/>
        </w:rPr>
        <w:t>agregaron</w:t>
      </w:r>
      <w:r>
        <w:rPr>
          <w:rFonts w:eastAsia="Verdana"/>
          <w:sz w:val="24"/>
          <w:szCs w:val="24"/>
        </w:rPr>
        <w:t xml:space="preserve"> que, para el juez era facultativo y no obligatorio decretar y ordenar la práctica de una nueva pericia. Igualmente, </w:t>
      </w:r>
      <w:r w:rsidRPr="004F3DC0">
        <w:rPr>
          <w:rFonts w:eastAsia="Verdana"/>
          <w:sz w:val="24"/>
          <w:szCs w:val="24"/>
        </w:rPr>
        <w:t>expus</w:t>
      </w:r>
      <w:r w:rsidR="004F3DC0">
        <w:rPr>
          <w:rFonts w:eastAsia="Verdana"/>
          <w:sz w:val="24"/>
          <w:szCs w:val="24"/>
        </w:rPr>
        <w:t>ieron</w:t>
      </w:r>
      <w:r>
        <w:rPr>
          <w:rFonts w:eastAsia="Verdana"/>
          <w:sz w:val="24"/>
          <w:szCs w:val="24"/>
        </w:rPr>
        <w:t xml:space="preserve"> que la bibliografía jurídica que tanto ataca el actor fue apenas criterio auxiliar para descartar el peritaje y valorar los demás testimonios </w:t>
      </w:r>
      <w:r w:rsidR="00CA7C15">
        <w:rPr>
          <w:rFonts w:eastAsia="Verdana"/>
          <w:sz w:val="24"/>
          <w:szCs w:val="24"/>
        </w:rPr>
        <w:t xml:space="preserve">obrantes en el expediente. Además, </w:t>
      </w:r>
      <w:r w:rsidR="004F3DC0">
        <w:rPr>
          <w:rFonts w:eastAsia="Verdana"/>
          <w:sz w:val="24"/>
          <w:szCs w:val="24"/>
        </w:rPr>
        <w:t>indicaron</w:t>
      </w:r>
      <w:r w:rsidR="00CA7C15">
        <w:rPr>
          <w:rFonts w:eastAsia="Verdana"/>
          <w:sz w:val="24"/>
          <w:szCs w:val="24"/>
        </w:rPr>
        <w:t xml:space="preserve"> </w:t>
      </w:r>
      <w:r w:rsidR="00D64E8F">
        <w:rPr>
          <w:rFonts w:eastAsia="Verdana"/>
          <w:sz w:val="24"/>
          <w:szCs w:val="24"/>
        </w:rPr>
        <w:t xml:space="preserve">que </w:t>
      </w:r>
      <w:r w:rsidR="00CA7C15">
        <w:rPr>
          <w:rFonts w:eastAsia="Verdana"/>
          <w:sz w:val="24"/>
          <w:szCs w:val="24"/>
        </w:rPr>
        <w:t xml:space="preserve">ese dictamen y sus anexos fueron objeto de traslado. En ese momento procesal, </w:t>
      </w:r>
      <w:r w:rsidR="00CA7C15" w:rsidRPr="004F3DC0">
        <w:rPr>
          <w:rFonts w:eastAsia="Verdana"/>
          <w:sz w:val="24"/>
          <w:szCs w:val="24"/>
        </w:rPr>
        <w:t>continu</w:t>
      </w:r>
      <w:r w:rsidR="004F3DC0">
        <w:rPr>
          <w:rFonts w:eastAsia="Verdana"/>
          <w:sz w:val="24"/>
          <w:szCs w:val="24"/>
        </w:rPr>
        <w:t>aron</w:t>
      </w:r>
      <w:r w:rsidR="00CA7C15" w:rsidRPr="004F3DC0">
        <w:rPr>
          <w:rFonts w:eastAsia="Verdana"/>
          <w:sz w:val="24"/>
          <w:szCs w:val="24"/>
        </w:rPr>
        <w:t>,</w:t>
      </w:r>
      <w:r w:rsidR="00CA7C15">
        <w:rPr>
          <w:rFonts w:eastAsia="Verdana"/>
          <w:sz w:val="24"/>
          <w:szCs w:val="24"/>
        </w:rPr>
        <w:t xml:space="preserve"> el accionante habría podido exponer los argumentos </w:t>
      </w:r>
      <w:r w:rsidR="00CA7C15">
        <w:rPr>
          <w:rFonts w:eastAsia="Verdana"/>
          <w:sz w:val="24"/>
          <w:szCs w:val="24"/>
        </w:rPr>
        <w:lastRenderedPageBreak/>
        <w:t>desarrollados en su escrito de tutela, cuestión que no hizo y no puede hacer por medio del presente proceso.</w:t>
      </w:r>
    </w:p>
    <w:p w14:paraId="31D5B2D6" w14:textId="77777777" w:rsidR="00B912BC" w:rsidRDefault="00B912BC" w:rsidP="00B06B54">
      <w:pPr>
        <w:pStyle w:val="Prrafodelista"/>
        <w:overflowPunct w:val="0"/>
        <w:autoSpaceDE w:val="0"/>
        <w:autoSpaceDN w:val="0"/>
        <w:adjustRightInd w:val="0"/>
        <w:spacing w:line="276" w:lineRule="auto"/>
        <w:ind w:left="0"/>
        <w:rPr>
          <w:rFonts w:eastAsia="Verdana"/>
          <w:sz w:val="24"/>
          <w:szCs w:val="24"/>
        </w:rPr>
      </w:pPr>
    </w:p>
    <w:p w14:paraId="43E7B9FB" w14:textId="6DF9D29E" w:rsidR="00CA7C15" w:rsidRPr="00CA7C15" w:rsidRDefault="00CA7C15" w:rsidP="00B06B54">
      <w:pPr>
        <w:pStyle w:val="Prrafodelista"/>
        <w:overflowPunct w:val="0"/>
        <w:autoSpaceDE w:val="0"/>
        <w:autoSpaceDN w:val="0"/>
        <w:adjustRightInd w:val="0"/>
        <w:spacing w:line="276" w:lineRule="auto"/>
        <w:ind w:left="0"/>
        <w:rPr>
          <w:rFonts w:eastAsia="Verdana"/>
          <w:sz w:val="24"/>
          <w:szCs w:val="24"/>
        </w:rPr>
      </w:pPr>
      <w:r w:rsidRPr="004F3DC0">
        <w:rPr>
          <w:rFonts w:eastAsia="Verdana"/>
          <w:sz w:val="24"/>
          <w:szCs w:val="24"/>
        </w:rPr>
        <w:t>Prosigui</w:t>
      </w:r>
      <w:r w:rsidR="004F3DC0">
        <w:rPr>
          <w:rFonts w:eastAsia="Verdana"/>
          <w:sz w:val="24"/>
          <w:szCs w:val="24"/>
        </w:rPr>
        <w:t>eron</w:t>
      </w:r>
      <w:r>
        <w:rPr>
          <w:rFonts w:eastAsia="Verdana"/>
          <w:sz w:val="24"/>
          <w:szCs w:val="24"/>
        </w:rPr>
        <w:t xml:space="preserve"> en el sentido de reiterar que el centro de la argumentación del fallo accionado no fue la citada revista de cardiología. Ello se ve, en su sentir, en que varios de los testimonios médicos recaudados fueron traídos a colación y valorados</w:t>
      </w:r>
      <w:r w:rsidR="00D64E8F">
        <w:rPr>
          <w:rFonts w:eastAsia="Verdana"/>
          <w:sz w:val="24"/>
          <w:szCs w:val="24"/>
        </w:rPr>
        <w:t xml:space="preserve">, mas </w:t>
      </w:r>
      <w:r>
        <w:rPr>
          <w:rFonts w:eastAsia="Verdana"/>
          <w:sz w:val="24"/>
          <w:szCs w:val="24"/>
        </w:rPr>
        <w:t xml:space="preserve">no solo el texto del artículo en cita. Sobre este anotó que no era sustentable afirmar que la fecha de esa publicación </w:t>
      </w:r>
      <w:r w:rsidR="00D64E8F">
        <w:rPr>
          <w:rFonts w:eastAsia="Verdana"/>
          <w:sz w:val="24"/>
          <w:szCs w:val="24"/>
        </w:rPr>
        <w:t>terminara en</w:t>
      </w:r>
      <w:r>
        <w:rPr>
          <w:rFonts w:eastAsia="Verdana"/>
          <w:sz w:val="24"/>
          <w:szCs w:val="24"/>
        </w:rPr>
        <w:t xml:space="preserve"> un avance científico no conocido al momento de los hechos. En efecto, haber realizado la prueba de esfuerzo en condiciones seguras, aseveró, deriva de la máxima </w:t>
      </w:r>
      <w:proofErr w:type="spellStart"/>
      <w:r>
        <w:rPr>
          <w:rFonts w:eastAsia="Verdana"/>
          <w:i/>
          <w:iCs/>
          <w:sz w:val="24"/>
          <w:szCs w:val="24"/>
        </w:rPr>
        <w:t>primum</w:t>
      </w:r>
      <w:proofErr w:type="spellEnd"/>
      <w:r>
        <w:rPr>
          <w:rFonts w:eastAsia="Verdana"/>
          <w:i/>
          <w:iCs/>
          <w:sz w:val="24"/>
          <w:szCs w:val="24"/>
        </w:rPr>
        <w:t xml:space="preserve"> non </w:t>
      </w:r>
      <w:proofErr w:type="spellStart"/>
      <w:r>
        <w:rPr>
          <w:rFonts w:eastAsia="Verdana"/>
          <w:i/>
          <w:iCs/>
          <w:sz w:val="24"/>
          <w:szCs w:val="24"/>
        </w:rPr>
        <w:t>nocere</w:t>
      </w:r>
      <w:proofErr w:type="spellEnd"/>
      <w:r>
        <w:rPr>
          <w:rFonts w:eastAsia="Verdana"/>
          <w:sz w:val="24"/>
          <w:szCs w:val="24"/>
        </w:rPr>
        <w:t>, que exige un deber de cuidado para efectos de no dañar al paciente.</w:t>
      </w:r>
      <w:r w:rsidR="005A19A9">
        <w:rPr>
          <w:rFonts w:eastAsia="Verdana"/>
          <w:sz w:val="24"/>
          <w:szCs w:val="24"/>
        </w:rPr>
        <w:t xml:space="preserve"> Para ello no se necesitaba progreso alguno de la medicina sino un mínimo de ética profesional.</w:t>
      </w:r>
    </w:p>
    <w:p w14:paraId="3A32FE41" w14:textId="77777777" w:rsidR="00181AF9" w:rsidRPr="00181AF9" w:rsidRDefault="00181AF9" w:rsidP="00181AF9">
      <w:pPr>
        <w:rPr>
          <w:rFonts w:eastAsia="Verdana"/>
          <w:sz w:val="24"/>
          <w:szCs w:val="24"/>
        </w:rPr>
      </w:pPr>
    </w:p>
    <w:p w14:paraId="795BBE4A" w14:textId="0F41E787" w:rsidR="004D2B8C" w:rsidRPr="004F3DC0" w:rsidRDefault="004F3DC0" w:rsidP="004F3DC0">
      <w:pPr>
        <w:overflowPunct w:val="0"/>
        <w:autoSpaceDE w:val="0"/>
        <w:autoSpaceDN w:val="0"/>
        <w:adjustRightInd w:val="0"/>
        <w:spacing w:line="276" w:lineRule="auto"/>
        <w:rPr>
          <w:rFonts w:eastAsia="Verdana"/>
          <w:sz w:val="24"/>
          <w:szCs w:val="24"/>
        </w:rPr>
      </w:pPr>
      <w:r>
        <w:rPr>
          <w:rFonts w:eastAsia="Verdana"/>
          <w:b/>
          <w:bCs/>
          <w:sz w:val="24"/>
          <w:szCs w:val="24"/>
        </w:rPr>
        <w:t xml:space="preserve">4.7. </w:t>
      </w:r>
      <w:r w:rsidR="00181AF9" w:rsidRPr="004F3DC0">
        <w:rPr>
          <w:rFonts w:eastAsia="Verdana"/>
          <w:sz w:val="24"/>
          <w:szCs w:val="24"/>
        </w:rPr>
        <w:t xml:space="preserve">El </w:t>
      </w:r>
      <w:r w:rsidR="00181AF9" w:rsidRPr="004F3DC0">
        <w:rPr>
          <w:rFonts w:eastAsia="Verdana"/>
          <w:b/>
          <w:bCs/>
          <w:sz w:val="24"/>
          <w:szCs w:val="24"/>
        </w:rPr>
        <w:t>Departamento de Antioquia</w:t>
      </w:r>
      <w:r w:rsidR="00181AF9" w:rsidRPr="004F3DC0">
        <w:rPr>
          <w:rFonts w:eastAsia="Verdana"/>
          <w:sz w:val="24"/>
          <w:szCs w:val="24"/>
        </w:rPr>
        <w:t xml:space="preserve">; el </w:t>
      </w:r>
      <w:r w:rsidR="00181AF9" w:rsidRPr="004F3DC0">
        <w:rPr>
          <w:rFonts w:eastAsia="Verdana"/>
          <w:b/>
          <w:bCs/>
          <w:sz w:val="24"/>
          <w:szCs w:val="24"/>
        </w:rPr>
        <w:t>Municipio de Puerto Berrío</w:t>
      </w:r>
      <w:r w:rsidR="00181AF9" w:rsidRPr="004F3DC0">
        <w:rPr>
          <w:rFonts w:eastAsia="Verdana"/>
          <w:sz w:val="24"/>
          <w:szCs w:val="24"/>
        </w:rPr>
        <w:t xml:space="preserve">; </w:t>
      </w:r>
      <w:r w:rsidR="00A64F58" w:rsidRPr="004F3DC0">
        <w:rPr>
          <w:rFonts w:eastAsia="Verdana"/>
          <w:sz w:val="24"/>
          <w:szCs w:val="24"/>
        </w:rPr>
        <w:t xml:space="preserve">y </w:t>
      </w:r>
      <w:r w:rsidR="00181AF9" w:rsidRPr="004F3DC0">
        <w:rPr>
          <w:rFonts w:eastAsia="Verdana"/>
          <w:sz w:val="24"/>
          <w:szCs w:val="24"/>
        </w:rPr>
        <w:t xml:space="preserve">la </w:t>
      </w:r>
      <w:r w:rsidR="00181AF9" w:rsidRPr="004F3DC0">
        <w:rPr>
          <w:rFonts w:eastAsia="Verdana"/>
          <w:b/>
          <w:bCs/>
          <w:sz w:val="24"/>
          <w:szCs w:val="24"/>
        </w:rPr>
        <w:t>E.S.E. Hospital de la Cruz de Puerto Berrío</w:t>
      </w:r>
      <w:r w:rsidR="00181AF9" w:rsidRPr="004F3DC0">
        <w:rPr>
          <w:rFonts w:eastAsia="Verdana"/>
          <w:sz w:val="24"/>
          <w:szCs w:val="24"/>
        </w:rPr>
        <w:t xml:space="preserve"> guardaron </w:t>
      </w:r>
      <w:r w:rsidR="0032149F" w:rsidRPr="004F3DC0">
        <w:rPr>
          <w:rFonts w:eastAsia="Verdana"/>
          <w:sz w:val="24"/>
          <w:szCs w:val="24"/>
        </w:rPr>
        <w:t>silencio,</w:t>
      </w:r>
      <w:r w:rsidR="00181AF9" w:rsidRPr="004F3DC0">
        <w:rPr>
          <w:rFonts w:eastAsia="Verdana"/>
          <w:sz w:val="24"/>
          <w:szCs w:val="24"/>
        </w:rPr>
        <w:t xml:space="preserve"> </w:t>
      </w:r>
      <w:r w:rsidR="002B1A3B" w:rsidRPr="004F3DC0">
        <w:rPr>
          <w:rFonts w:eastAsia="Verdana"/>
          <w:sz w:val="24"/>
          <w:szCs w:val="24"/>
        </w:rPr>
        <w:t>aunque fueron</w:t>
      </w:r>
      <w:r w:rsidR="00181AF9" w:rsidRPr="004F3DC0">
        <w:rPr>
          <w:rFonts w:eastAsia="Verdana"/>
          <w:sz w:val="24"/>
          <w:szCs w:val="24"/>
        </w:rPr>
        <w:t xml:space="preserve"> notificados</w:t>
      </w:r>
      <w:r w:rsidR="00181AF9">
        <w:rPr>
          <w:rStyle w:val="Refdenotaalpie"/>
          <w:rFonts w:eastAsia="Verdana"/>
          <w:sz w:val="24"/>
          <w:szCs w:val="24"/>
        </w:rPr>
        <w:footnoteReference w:id="17"/>
      </w:r>
      <w:r w:rsidR="00181AF9" w:rsidRPr="004F3DC0">
        <w:rPr>
          <w:rFonts w:eastAsia="Verdana"/>
          <w:sz w:val="24"/>
          <w:szCs w:val="24"/>
        </w:rPr>
        <w:t>.</w:t>
      </w:r>
    </w:p>
    <w:p w14:paraId="1110DE3C" w14:textId="77777777" w:rsidR="005A19A9" w:rsidRPr="00181AF9" w:rsidRDefault="005A19A9" w:rsidP="005A19A9">
      <w:pPr>
        <w:pStyle w:val="Prrafodelista"/>
        <w:overflowPunct w:val="0"/>
        <w:autoSpaceDE w:val="0"/>
        <w:autoSpaceDN w:val="0"/>
        <w:adjustRightInd w:val="0"/>
        <w:spacing w:line="276" w:lineRule="auto"/>
        <w:ind w:left="0"/>
        <w:rPr>
          <w:rFonts w:eastAsia="Verdana"/>
          <w:sz w:val="24"/>
          <w:szCs w:val="24"/>
        </w:rPr>
      </w:pPr>
    </w:p>
    <w:p w14:paraId="3DA09BAF" w14:textId="77777777" w:rsidR="00155E78" w:rsidRPr="00F77BC5" w:rsidRDefault="000C5DB7" w:rsidP="00F77BC5">
      <w:pPr>
        <w:pStyle w:val="Ttulo1"/>
        <w:spacing w:before="0" w:after="0"/>
        <w:rPr>
          <w:rFonts w:cs="Arial"/>
          <w:kern w:val="0"/>
          <w:szCs w:val="24"/>
        </w:rPr>
      </w:pPr>
      <w:r w:rsidRPr="00F77BC5">
        <w:rPr>
          <w:rFonts w:cs="Arial"/>
          <w:kern w:val="0"/>
          <w:szCs w:val="24"/>
        </w:rPr>
        <w:t>CONSIDERACIONES</w:t>
      </w:r>
    </w:p>
    <w:p w14:paraId="6535842E" w14:textId="77777777" w:rsidR="002B1A3B" w:rsidRPr="000878FB" w:rsidRDefault="002B1A3B" w:rsidP="002B1A3B">
      <w:pPr>
        <w:spacing w:line="276" w:lineRule="auto"/>
        <w:rPr>
          <w:sz w:val="24"/>
          <w:szCs w:val="24"/>
        </w:rPr>
      </w:pPr>
      <w:bookmarkStart w:id="0" w:name="_Hlk35352023"/>
    </w:p>
    <w:p w14:paraId="511CBFD0" w14:textId="77777777" w:rsidR="002B1A3B" w:rsidRPr="000878FB" w:rsidRDefault="002B1A3B" w:rsidP="002B1A3B">
      <w:pPr>
        <w:numPr>
          <w:ilvl w:val="0"/>
          <w:numId w:val="1"/>
        </w:numPr>
        <w:spacing w:line="276" w:lineRule="auto"/>
        <w:ind w:left="0" w:firstLine="0"/>
        <w:contextualSpacing/>
        <w:rPr>
          <w:b/>
          <w:sz w:val="24"/>
          <w:szCs w:val="24"/>
        </w:rPr>
      </w:pPr>
      <w:r w:rsidRPr="000878FB">
        <w:rPr>
          <w:b/>
          <w:sz w:val="24"/>
          <w:szCs w:val="24"/>
        </w:rPr>
        <w:t>Competencia</w:t>
      </w:r>
    </w:p>
    <w:p w14:paraId="5E82ACE3" w14:textId="77777777" w:rsidR="00825DF0" w:rsidRPr="00825DF0" w:rsidRDefault="00825DF0" w:rsidP="00825DF0">
      <w:pPr>
        <w:overflowPunct w:val="0"/>
        <w:autoSpaceDE w:val="0"/>
        <w:autoSpaceDN w:val="0"/>
        <w:adjustRightInd w:val="0"/>
        <w:spacing w:line="276" w:lineRule="auto"/>
        <w:contextualSpacing/>
        <w:rPr>
          <w:rFonts w:eastAsia="Times New Roman"/>
          <w:sz w:val="24"/>
          <w:szCs w:val="24"/>
          <w:lang w:eastAsia="es-ES"/>
        </w:rPr>
      </w:pPr>
    </w:p>
    <w:p w14:paraId="562F677D" w14:textId="77777777" w:rsidR="00825DF0" w:rsidRPr="00825DF0" w:rsidRDefault="00825DF0" w:rsidP="00825DF0">
      <w:pPr>
        <w:overflowPunct w:val="0"/>
        <w:autoSpaceDE w:val="0"/>
        <w:autoSpaceDN w:val="0"/>
        <w:adjustRightInd w:val="0"/>
        <w:spacing w:line="276" w:lineRule="auto"/>
        <w:contextualSpacing/>
        <w:rPr>
          <w:rFonts w:eastAsia="Times New Roman"/>
          <w:sz w:val="24"/>
          <w:szCs w:val="24"/>
          <w:lang w:eastAsia="es-ES"/>
        </w:rPr>
      </w:pPr>
      <w:r w:rsidRPr="00825DF0">
        <w:rPr>
          <w:rFonts w:eastAsia="Times New Roman"/>
          <w:sz w:val="24"/>
          <w:szCs w:val="24"/>
          <w:lang w:eastAsia="es-ES"/>
        </w:rPr>
        <w:t>Esta Sala es competente para decidir la presente acción de tutela en virtud de lo establecido en el artículo 86 Superior, el artículo 37 del Decreto 2591 de 1991, el Decreto 1069 de 2015, modificado por el Decreto 333 de 2021, y el Acuerdo 080 del 12 de marzo de 2019, expedido por la Sala Plena de esta Corporación</w:t>
      </w:r>
      <w:r w:rsidRPr="00825DF0">
        <w:rPr>
          <w:rFonts w:eastAsia="Times New Roman"/>
          <w:sz w:val="24"/>
          <w:szCs w:val="24"/>
          <w:vertAlign w:val="superscript"/>
          <w:lang w:eastAsia="es-ES"/>
        </w:rPr>
        <w:footnoteReference w:id="18"/>
      </w:r>
      <w:r w:rsidRPr="00825DF0">
        <w:rPr>
          <w:rFonts w:eastAsia="Times New Roman"/>
          <w:sz w:val="24"/>
          <w:szCs w:val="24"/>
          <w:lang w:eastAsia="es-ES"/>
        </w:rPr>
        <w:t>.</w:t>
      </w:r>
    </w:p>
    <w:p w14:paraId="73A21D3E" w14:textId="77777777" w:rsidR="00825DF0" w:rsidRPr="00825DF0" w:rsidRDefault="00825DF0" w:rsidP="00825DF0">
      <w:pPr>
        <w:overflowPunct w:val="0"/>
        <w:autoSpaceDE w:val="0"/>
        <w:autoSpaceDN w:val="0"/>
        <w:adjustRightInd w:val="0"/>
        <w:spacing w:line="276" w:lineRule="auto"/>
        <w:contextualSpacing/>
        <w:rPr>
          <w:rFonts w:eastAsia="Times New Roman"/>
          <w:sz w:val="24"/>
          <w:szCs w:val="24"/>
          <w:lang w:eastAsia="es-ES"/>
        </w:rPr>
      </w:pPr>
    </w:p>
    <w:p w14:paraId="2D48D6E0" w14:textId="77777777" w:rsidR="00825DF0" w:rsidRPr="00825DF0" w:rsidRDefault="00825DF0" w:rsidP="00825DF0">
      <w:pPr>
        <w:numPr>
          <w:ilvl w:val="0"/>
          <w:numId w:val="1"/>
        </w:numPr>
        <w:spacing w:line="276" w:lineRule="auto"/>
        <w:ind w:hanging="720"/>
        <w:contextualSpacing/>
        <w:rPr>
          <w:b/>
          <w:sz w:val="24"/>
          <w:szCs w:val="24"/>
        </w:rPr>
      </w:pPr>
      <w:r w:rsidRPr="00825DF0">
        <w:rPr>
          <w:b/>
          <w:sz w:val="24"/>
          <w:szCs w:val="24"/>
        </w:rPr>
        <w:t>Procedibilidad de la acción</w:t>
      </w:r>
    </w:p>
    <w:p w14:paraId="5E6812E2" w14:textId="77777777" w:rsidR="00825DF0" w:rsidRPr="00825DF0" w:rsidRDefault="00825DF0" w:rsidP="00825DF0">
      <w:pPr>
        <w:spacing w:line="276" w:lineRule="auto"/>
        <w:contextualSpacing/>
        <w:rPr>
          <w:sz w:val="24"/>
          <w:szCs w:val="24"/>
        </w:rPr>
      </w:pPr>
    </w:p>
    <w:p w14:paraId="59A95B31" w14:textId="23B833AA" w:rsidR="00825DF0" w:rsidRPr="00825DF0" w:rsidRDefault="00825DF0" w:rsidP="00825DF0">
      <w:pPr>
        <w:spacing w:line="276" w:lineRule="auto"/>
        <w:contextualSpacing/>
        <w:rPr>
          <w:sz w:val="24"/>
          <w:szCs w:val="24"/>
        </w:rPr>
      </w:pPr>
      <w:r w:rsidRPr="00825DF0">
        <w:rPr>
          <w:sz w:val="24"/>
          <w:szCs w:val="24"/>
        </w:rPr>
        <w:t>En los casos en que la solicitud de amparo ataca una providencia judicial, la doctrina constitucional ha indicado que el juez de tutela debe, en forma preliminar, realizar un examen de procedibilidad general de la acción, pues, solo una vez verificada la observancia de los requisitos que la determinan, procede el pronunciamiento de fondo sobre la problemática jurídica que el actor plantea en función de los defectos que reprocha a la actuación acusada y conforme a las causales específicas de procedencia de la acción de tutela contra providencias judiciales.</w:t>
      </w:r>
    </w:p>
    <w:p w14:paraId="61C935C0" w14:textId="77777777" w:rsidR="00DA00CC" w:rsidRDefault="00DA00CC" w:rsidP="00DA00CC">
      <w:pPr>
        <w:spacing w:line="276" w:lineRule="auto"/>
        <w:contextualSpacing/>
        <w:rPr>
          <w:rFonts w:eastAsia="Arial"/>
          <w:color w:val="000000"/>
          <w:sz w:val="24"/>
          <w:szCs w:val="24"/>
        </w:rPr>
      </w:pPr>
    </w:p>
    <w:p w14:paraId="7F1FEB73" w14:textId="77777777" w:rsidR="00DA00CC" w:rsidRPr="000878FB" w:rsidRDefault="00DA00CC" w:rsidP="00DA00CC">
      <w:pPr>
        <w:spacing w:line="276" w:lineRule="auto"/>
        <w:contextualSpacing/>
        <w:rPr>
          <w:rFonts w:eastAsia="Arial"/>
          <w:color w:val="000000"/>
          <w:sz w:val="24"/>
          <w:szCs w:val="24"/>
          <w:vertAlign w:val="superscript"/>
        </w:rPr>
      </w:pPr>
      <w:r w:rsidRPr="000878FB">
        <w:rPr>
          <w:rFonts w:eastAsia="Arial"/>
          <w:color w:val="000000"/>
          <w:sz w:val="24"/>
          <w:szCs w:val="24"/>
        </w:rPr>
        <w:t>De conformidad con lo anterior, en el presente apartado se efectuará el examen correspondiente a los requisitos generales de procedibilidad de la presente acción.</w:t>
      </w:r>
    </w:p>
    <w:p w14:paraId="06989FC7" w14:textId="77777777" w:rsidR="00DA00CC" w:rsidRPr="00A63751" w:rsidRDefault="00DA00CC" w:rsidP="00DA00CC">
      <w:pPr>
        <w:spacing w:line="276" w:lineRule="auto"/>
        <w:contextualSpacing/>
        <w:rPr>
          <w:sz w:val="24"/>
          <w:szCs w:val="24"/>
        </w:rPr>
      </w:pPr>
    </w:p>
    <w:p w14:paraId="283658A8" w14:textId="578E9464" w:rsidR="00DA00CC" w:rsidRPr="004F3DC0" w:rsidRDefault="004F3DC0" w:rsidP="004F3DC0">
      <w:pPr>
        <w:spacing w:line="276" w:lineRule="auto"/>
        <w:contextualSpacing/>
        <w:rPr>
          <w:rFonts w:eastAsia="Verdana"/>
          <w:b/>
          <w:bCs/>
          <w:sz w:val="24"/>
          <w:szCs w:val="24"/>
        </w:rPr>
      </w:pPr>
      <w:bookmarkStart w:id="1" w:name="_ftnref21"/>
      <w:bookmarkEnd w:id="1"/>
      <w:r>
        <w:rPr>
          <w:rFonts w:eastAsia="Verdana"/>
          <w:b/>
          <w:bCs/>
          <w:sz w:val="24"/>
          <w:szCs w:val="24"/>
        </w:rPr>
        <w:t xml:space="preserve">2.1. </w:t>
      </w:r>
      <w:r w:rsidR="00DA00CC">
        <w:rPr>
          <w:rFonts w:eastAsia="Verdana"/>
          <w:sz w:val="24"/>
          <w:szCs w:val="24"/>
        </w:rPr>
        <w:t>El</w:t>
      </w:r>
      <w:r w:rsidR="00DA00CC" w:rsidRPr="00A63751">
        <w:rPr>
          <w:rFonts w:eastAsia="Verdana"/>
          <w:sz w:val="24"/>
          <w:szCs w:val="24"/>
        </w:rPr>
        <w:t xml:space="preserve"> actor obr</w:t>
      </w:r>
      <w:r w:rsidR="00DA00CC">
        <w:rPr>
          <w:rFonts w:eastAsia="Verdana"/>
          <w:sz w:val="24"/>
          <w:szCs w:val="24"/>
        </w:rPr>
        <w:t>ó</w:t>
      </w:r>
      <w:r w:rsidR="00DA00CC" w:rsidRPr="00A63751">
        <w:rPr>
          <w:rFonts w:eastAsia="Verdana"/>
          <w:sz w:val="24"/>
          <w:szCs w:val="24"/>
        </w:rPr>
        <w:t xml:space="preserve"> como demanda</w:t>
      </w:r>
      <w:r w:rsidR="00DA00CC">
        <w:rPr>
          <w:rFonts w:eastAsia="Verdana"/>
          <w:sz w:val="24"/>
          <w:szCs w:val="24"/>
        </w:rPr>
        <w:t>do</w:t>
      </w:r>
      <w:r w:rsidR="00DA00CC" w:rsidRPr="00A63751">
        <w:rPr>
          <w:rFonts w:eastAsia="Verdana"/>
          <w:sz w:val="24"/>
          <w:szCs w:val="24"/>
        </w:rPr>
        <w:t xml:space="preserve"> en el proceso dentro del cual se profiri</w:t>
      </w:r>
      <w:r w:rsidR="00DA00CC">
        <w:rPr>
          <w:rFonts w:eastAsia="Verdana"/>
          <w:sz w:val="24"/>
          <w:szCs w:val="24"/>
        </w:rPr>
        <w:t>ó</w:t>
      </w:r>
      <w:r w:rsidR="00DA00CC" w:rsidRPr="000878FB">
        <w:rPr>
          <w:rFonts w:eastAsia="Verdana"/>
          <w:sz w:val="24"/>
          <w:szCs w:val="24"/>
        </w:rPr>
        <w:t xml:space="preserve"> </w:t>
      </w:r>
      <w:r w:rsidR="00DA00CC">
        <w:rPr>
          <w:rFonts w:eastAsia="Verdana"/>
          <w:sz w:val="24"/>
          <w:szCs w:val="24"/>
        </w:rPr>
        <w:t>el</w:t>
      </w:r>
      <w:r w:rsidR="00DA00CC" w:rsidRPr="00A63751">
        <w:rPr>
          <w:rFonts w:eastAsia="Verdana"/>
          <w:sz w:val="24"/>
          <w:szCs w:val="24"/>
        </w:rPr>
        <w:t xml:space="preserve"> </w:t>
      </w:r>
      <w:r w:rsidR="00DA00CC">
        <w:rPr>
          <w:rFonts w:eastAsia="Verdana"/>
          <w:sz w:val="24"/>
          <w:szCs w:val="24"/>
        </w:rPr>
        <w:t>fallo</w:t>
      </w:r>
      <w:r w:rsidR="00DA00CC" w:rsidRPr="00A63751">
        <w:rPr>
          <w:rFonts w:eastAsia="Verdana"/>
          <w:sz w:val="24"/>
          <w:szCs w:val="24"/>
        </w:rPr>
        <w:t xml:space="preserve"> </w:t>
      </w:r>
      <w:r w:rsidR="00DA00CC" w:rsidRPr="000878FB">
        <w:rPr>
          <w:rFonts w:eastAsia="Verdana"/>
          <w:sz w:val="24"/>
          <w:szCs w:val="24"/>
        </w:rPr>
        <w:t>enjuiciado</w:t>
      </w:r>
      <w:r w:rsidR="00DA00CC" w:rsidRPr="00A63751">
        <w:rPr>
          <w:rFonts w:eastAsia="Verdana"/>
          <w:sz w:val="24"/>
          <w:szCs w:val="24"/>
        </w:rPr>
        <w:t xml:space="preserve">. Igualmente, </w:t>
      </w:r>
      <w:r w:rsidR="00DA00CC" w:rsidRPr="000878FB">
        <w:rPr>
          <w:rFonts w:eastAsia="Verdana"/>
          <w:sz w:val="24"/>
          <w:szCs w:val="24"/>
        </w:rPr>
        <w:t xml:space="preserve">el </w:t>
      </w:r>
      <w:r w:rsidR="00DA00CC">
        <w:rPr>
          <w:rFonts w:eastAsia="Verdana"/>
          <w:sz w:val="24"/>
          <w:szCs w:val="24"/>
        </w:rPr>
        <w:t xml:space="preserve">Consejo de Estado, Sección </w:t>
      </w:r>
      <w:r w:rsidR="00A30302">
        <w:rPr>
          <w:rFonts w:eastAsia="Verdana"/>
          <w:sz w:val="24"/>
          <w:szCs w:val="24"/>
        </w:rPr>
        <w:t>Tercera</w:t>
      </w:r>
      <w:r w:rsidR="00DA00CC">
        <w:rPr>
          <w:rFonts w:eastAsia="Verdana"/>
          <w:sz w:val="24"/>
          <w:szCs w:val="24"/>
        </w:rPr>
        <w:t>, Subsección B</w:t>
      </w:r>
      <w:r w:rsidR="00DA00CC" w:rsidRPr="000878FB">
        <w:rPr>
          <w:rFonts w:eastAsia="Verdana"/>
          <w:sz w:val="24"/>
          <w:szCs w:val="24"/>
        </w:rPr>
        <w:t xml:space="preserve"> fue la autoridad que dict</w:t>
      </w:r>
      <w:r w:rsidR="00DA00CC">
        <w:rPr>
          <w:rFonts w:eastAsia="Verdana"/>
          <w:sz w:val="24"/>
          <w:szCs w:val="24"/>
        </w:rPr>
        <w:t>ó</w:t>
      </w:r>
      <w:r w:rsidR="00DA00CC" w:rsidRPr="00A63751">
        <w:rPr>
          <w:rFonts w:eastAsia="Verdana"/>
          <w:sz w:val="24"/>
          <w:szCs w:val="24"/>
        </w:rPr>
        <w:t xml:space="preserve"> esa providencia</w:t>
      </w:r>
      <w:r w:rsidR="00DA00CC">
        <w:rPr>
          <w:rFonts w:eastAsia="Verdana"/>
          <w:sz w:val="24"/>
          <w:szCs w:val="24"/>
        </w:rPr>
        <w:t xml:space="preserve">. Por ese motivo es de esa Sala que el accionante predica el desconocimiento de sus derechos fundamentales. En consecuencia, sería </w:t>
      </w:r>
      <w:r w:rsidR="00DA00CC">
        <w:rPr>
          <w:rFonts w:eastAsia="Verdana"/>
          <w:sz w:val="24"/>
          <w:szCs w:val="24"/>
        </w:rPr>
        <w:lastRenderedPageBreak/>
        <w:t>ese el ente llamado a cumplir una eventual orden de tutela dada por este juez</w:t>
      </w:r>
      <w:r w:rsidR="00DA00CC" w:rsidRPr="00A63751">
        <w:rPr>
          <w:rFonts w:eastAsia="Verdana"/>
          <w:sz w:val="24"/>
          <w:szCs w:val="24"/>
        </w:rPr>
        <w:t xml:space="preserve">. Por tanto, se encuentra satisfecho el presupuesto de </w:t>
      </w:r>
      <w:r w:rsidR="00DA00CC" w:rsidRPr="00A63751">
        <w:rPr>
          <w:rFonts w:eastAsia="Verdana"/>
          <w:b/>
          <w:bCs/>
          <w:sz w:val="24"/>
          <w:szCs w:val="24"/>
        </w:rPr>
        <w:t>legitimación</w:t>
      </w:r>
      <w:r w:rsidR="00DA00CC" w:rsidRPr="00A63751">
        <w:rPr>
          <w:sz w:val="24"/>
          <w:szCs w:val="24"/>
          <w:vertAlign w:val="superscript"/>
        </w:rPr>
        <w:footnoteReference w:id="19"/>
      </w:r>
      <w:r w:rsidR="00DA00CC" w:rsidRPr="00A63751">
        <w:rPr>
          <w:rFonts w:eastAsia="Verdana"/>
          <w:sz w:val="24"/>
          <w:szCs w:val="24"/>
        </w:rPr>
        <w:t xml:space="preserve"> </w:t>
      </w:r>
      <w:r w:rsidR="00DA00CC" w:rsidRPr="00A63751">
        <w:rPr>
          <w:rFonts w:eastAsia="Verdana"/>
          <w:b/>
          <w:bCs/>
          <w:sz w:val="24"/>
          <w:szCs w:val="24"/>
        </w:rPr>
        <w:t>por activa y pasiva</w:t>
      </w:r>
      <w:r w:rsidR="00DA00CC" w:rsidRPr="000878FB">
        <w:rPr>
          <w:rFonts w:eastAsia="Verdana"/>
          <w:sz w:val="24"/>
          <w:szCs w:val="24"/>
        </w:rPr>
        <w:t>.</w:t>
      </w:r>
    </w:p>
    <w:p w14:paraId="152242BA" w14:textId="77777777" w:rsidR="000344F1" w:rsidRPr="00A63751" w:rsidRDefault="000344F1" w:rsidP="004F3DC0">
      <w:pPr>
        <w:spacing w:line="276" w:lineRule="auto"/>
        <w:contextualSpacing/>
        <w:rPr>
          <w:rFonts w:eastAsia="Verdana"/>
          <w:b/>
          <w:bCs/>
          <w:sz w:val="24"/>
          <w:szCs w:val="24"/>
        </w:rPr>
      </w:pPr>
    </w:p>
    <w:p w14:paraId="7277D15E" w14:textId="13DFB538" w:rsidR="00DA00CC" w:rsidRPr="00A63751" w:rsidRDefault="00DA00CC" w:rsidP="00DA00CC">
      <w:pPr>
        <w:spacing w:line="276" w:lineRule="auto"/>
        <w:contextualSpacing/>
        <w:rPr>
          <w:sz w:val="24"/>
          <w:szCs w:val="24"/>
        </w:rPr>
      </w:pPr>
      <w:r w:rsidRPr="00A63751">
        <w:rPr>
          <w:sz w:val="24"/>
          <w:szCs w:val="24"/>
        </w:rPr>
        <w:t xml:space="preserve">En lo que atañe </w:t>
      </w:r>
      <w:r>
        <w:rPr>
          <w:sz w:val="24"/>
          <w:szCs w:val="24"/>
        </w:rPr>
        <w:t>a</w:t>
      </w:r>
      <w:r w:rsidRPr="00DA00CC">
        <w:rPr>
          <w:sz w:val="24"/>
          <w:szCs w:val="24"/>
        </w:rPr>
        <w:t xml:space="preserve"> María del Perpetuo Socorro García de Pinillos; María </w:t>
      </w:r>
      <w:proofErr w:type="spellStart"/>
      <w:r w:rsidRPr="00DA00CC">
        <w:rPr>
          <w:sz w:val="24"/>
          <w:szCs w:val="24"/>
        </w:rPr>
        <w:t>Ailed</w:t>
      </w:r>
      <w:proofErr w:type="spellEnd"/>
      <w:r w:rsidRPr="00DA00CC">
        <w:rPr>
          <w:sz w:val="24"/>
          <w:szCs w:val="24"/>
        </w:rPr>
        <w:t xml:space="preserve">, María Magdalena, María </w:t>
      </w:r>
      <w:proofErr w:type="spellStart"/>
      <w:r w:rsidRPr="00DA00CC">
        <w:rPr>
          <w:sz w:val="24"/>
          <w:szCs w:val="24"/>
        </w:rPr>
        <w:t>Edilia</w:t>
      </w:r>
      <w:proofErr w:type="spellEnd"/>
      <w:r w:rsidRPr="00DA00CC">
        <w:rPr>
          <w:sz w:val="24"/>
          <w:szCs w:val="24"/>
        </w:rPr>
        <w:t xml:space="preserve">, Jesús María, </w:t>
      </w:r>
      <w:proofErr w:type="spellStart"/>
      <w:r w:rsidRPr="00DA00CC">
        <w:rPr>
          <w:sz w:val="24"/>
          <w:szCs w:val="24"/>
        </w:rPr>
        <w:t>Edi</w:t>
      </w:r>
      <w:r w:rsidR="000344F1">
        <w:rPr>
          <w:sz w:val="24"/>
          <w:szCs w:val="24"/>
        </w:rPr>
        <w:t>l</w:t>
      </w:r>
      <w:r w:rsidRPr="00DA00CC">
        <w:rPr>
          <w:sz w:val="24"/>
          <w:szCs w:val="24"/>
        </w:rPr>
        <w:t>son</w:t>
      </w:r>
      <w:proofErr w:type="spellEnd"/>
      <w:r w:rsidRPr="00DA00CC">
        <w:rPr>
          <w:sz w:val="24"/>
          <w:szCs w:val="24"/>
        </w:rPr>
        <w:t xml:space="preserve"> de Jesús y José Olivero Pinillos García; Gladys de Jesús Múnera Jaramillo; Gladys Andrea, Luz Mary y Diego Mauricio Pinillos Múnera; Leidy Johana y Juan Esteban Pinillos; María Fernanda Martínez Pinillos, así como al Departamento de Antioquia; al Municipio de Puerto Berrío; al Ministerio de Salud y Protección Social; a la E.S.E. Hospital de la Cruz de Puerto Berrío; a la Compañía Suramericana de Seguros; y al Tribunal Administrativo de Antioquia</w:t>
      </w:r>
      <w:r w:rsidRPr="00A63751">
        <w:rPr>
          <w:sz w:val="24"/>
          <w:szCs w:val="24"/>
        </w:rPr>
        <w:t>, se observa que es necesario mantener su vinculación a esta acción. Su</w:t>
      </w:r>
      <w:r>
        <w:rPr>
          <w:sz w:val="24"/>
          <w:szCs w:val="24"/>
        </w:rPr>
        <w:t xml:space="preserve"> respectiva</w:t>
      </w:r>
      <w:r w:rsidRPr="00A63751">
        <w:rPr>
          <w:sz w:val="24"/>
          <w:szCs w:val="24"/>
        </w:rPr>
        <w:t xml:space="preserve"> calidad de</w:t>
      </w:r>
      <w:r>
        <w:rPr>
          <w:sz w:val="24"/>
          <w:szCs w:val="24"/>
        </w:rPr>
        <w:t>, en su orden,</w:t>
      </w:r>
      <w:r w:rsidRPr="00A63751">
        <w:rPr>
          <w:sz w:val="24"/>
          <w:szCs w:val="24"/>
        </w:rPr>
        <w:t xml:space="preserve"> </w:t>
      </w:r>
      <w:r>
        <w:rPr>
          <w:sz w:val="24"/>
          <w:szCs w:val="24"/>
        </w:rPr>
        <w:t>demandantes, demandadas, llamada en garantía y fallador de primera instancia dentro d</w:t>
      </w:r>
      <w:r w:rsidRPr="00A63751">
        <w:rPr>
          <w:sz w:val="24"/>
          <w:szCs w:val="24"/>
        </w:rPr>
        <w:t xml:space="preserve">el trámite procesal identificado </w:t>
      </w:r>
      <w:r w:rsidRPr="000878FB">
        <w:rPr>
          <w:sz w:val="24"/>
          <w:szCs w:val="24"/>
        </w:rPr>
        <w:t>arriba</w:t>
      </w:r>
      <w:r w:rsidRPr="00A63751">
        <w:rPr>
          <w:sz w:val="24"/>
          <w:szCs w:val="24"/>
        </w:rPr>
        <w:t xml:space="preserve"> requiere enterarl</w:t>
      </w:r>
      <w:r>
        <w:rPr>
          <w:sz w:val="24"/>
          <w:szCs w:val="24"/>
        </w:rPr>
        <w:t>os</w:t>
      </w:r>
      <w:r w:rsidRPr="00A63751">
        <w:rPr>
          <w:sz w:val="24"/>
          <w:szCs w:val="24"/>
        </w:rPr>
        <w:t xml:space="preserve"> del desarrollo de este asunto y permitirle</w:t>
      </w:r>
      <w:r>
        <w:rPr>
          <w:sz w:val="24"/>
          <w:szCs w:val="24"/>
        </w:rPr>
        <w:t>s</w:t>
      </w:r>
      <w:r w:rsidRPr="00A63751">
        <w:rPr>
          <w:sz w:val="24"/>
          <w:szCs w:val="24"/>
        </w:rPr>
        <w:t xml:space="preserve"> que participe</w:t>
      </w:r>
      <w:r>
        <w:rPr>
          <w:sz w:val="24"/>
          <w:szCs w:val="24"/>
        </w:rPr>
        <w:t>n</w:t>
      </w:r>
      <w:r w:rsidRPr="00A63751">
        <w:rPr>
          <w:sz w:val="24"/>
          <w:szCs w:val="24"/>
        </w:rPr>
        <w:t>.</w:t>
      </w:r>
    </w:p>
    <w:p w14:paraId="308DAA0D" w14:textId="77777777" w:rsidR="002B1A3B" w:rsidRPr="00A63751" w:rsidRDefault="002B1A3B" w:rsidP="002B1A3B">
      <w:pPr>
        <w:spacing w:line="276" w:lineRule="auto"/>
        <w:contextualSpacing/>
        <w:rPr>
          <w:sz w:val="24"/>
          <w:szCs w:val="24"/>
        </w:rPr>
      </w:pPr>
    </w:p>
    <w:p w14:paraId="45C18964" w14:textId="5B2E71CA" w:rsidR="002B1A3B" w:rsidRDefault="004F3DC0" w:rsidP="004F3DC0">
      <w:pPr>
        <w:overflowPunct w:val="0"/>
        <w:autoSpaceDE w:val="0"/>
        <w:autoSpaceDN w:val="0"/>
        <w:adjustRightInd w:val="0"/>
        <w:spacing w:line="276" w:lineRule="auto"/>
        <w:contextualSpacing/>
        <w:rPr>
          <w:rFonts w:eastAsia="Times New Roman"/>
          <w:sz w:val="24"/>
          <w:szCs w:val="24"/>
          <w:lang w:eastAsia="es-ES"/>
        </w:rPr>
      </w:pPr>
      <w:r>
        <w:rPr>
          <w:rFonts w:eastAsia="Times New Roman"/>
          <w:b/>
          <w:bCs/>
          <w:sz w:val="24"/>
          <w:szCs w:val="24"/>
          <w:lang w:eastAsia="es-ES"/>
        </w:rPr>
        <w:t xml:space="preserve">2.2. </w:t>
      </w:r>
      <w:r w:rsidR="002B1A3B" w:rsidRPr="00A63751">
        <w:rPr>
          <w:rFonts w:eastAsia="Times New Roman"/>
          <w:sz w:val="24"/>
          <w:szCs w:val="24"/>
          <w:lang w:eastAsia="es-ES"/>
        </w:rPr>
        <w:t>El escrito de amparo expresa clara y suficiente</w:t>
      </w:r>
      <w:r w:rsidR="002B1A3B" w:rsidRPr="000878FB">
        <w:rPr>
          <w:rFonts w:eastAsia="Times New Roman"/>
          <w:sz w:val="24"/>
          <w:szCs w:val="24"/>
          <w:lang w:eastAsia="es-ES"/>
        </w:rPr>
        <w:t>mente</w:t>
      </w:r>
      <w:r w:rsidR="002B1A3B" w:rsidRPr="00A63751">
        <w:rPr>
          <w:rFonts w:eastAsia="Times New Roman"/>
          <w:sz w:val="24"/>
          <w:szCs w:val="24"/>
          <w:lang w:eastAsia="es-ES"/>
        </w:rPr>
        <w:t xml:space="preserve"> los hechos y fundamentos de la afectación de derechos que se imputa a la decisi</w:t>
      </w:r>
      <w:r w:rsidR="002B1A3B">
        <w:rPr>
          <w:rFonts w:eastAsia="Times New Roman"/>
          <w:sz w:val="24"/>
          <w:szCs w:val="24"/>
          <w:lang w:eastAsia="es-ES"/>
        </w:rPr>
        <w:t>ón</w:t>
      </w:r>
      <w:r w:rsidR="002B1A3B" w:rsidRPr="00A63751">
        <w:rPr>
          <w:rFonts w:eastAsia="Times New Roman"/>
          <w:sz w:val="24"/>
          <w:szCs w:val="24"/>
          <w:lang w:eastAsia="es-ES"/>
        </w:rPr>
        <w:t xml:space="preserve"> enjuiciada. En concreto, no hay puntos ambiguos ni oscuros en la argumentación expuesta por </w:t>
      </w:r>
      <w:r w:rsidR="00003A4C">
        <w:rPr>
          <w:rFonts w:eastAsia="Times New Roman"/>
          <w:sz w:val="24"/>
          <w:szCs w:val="24"/>
          <w:lang w:eastAsia="es-ES"/>
        </w:rPr>
        <w:t>el</w:t>
      </w:r>
      <w:r w:rsidR="002B1A3B" w:rsidRPr="000878FB">
        <w:rPr>
          <w:rFonts w:eastAsia="Times New Roman"/>
          <w:sz w:val="24"/>
          <w:szCs w:val="24"/>
          <w:lang w:eastAsia="es-ES"/>
        </w:rPr>
        <w:t xml:space="preserve"> </w:t>
      </w:r>
      <w:r w:rsidR="002B1A3B" w:rsidRPr="00A63751">
        <w:rPr>
          <w:rFonts w:eastAsia="Times New Roman"/>
          <w:sz w:val="24"/>
          <w:szCs w:val="24"/>
          <w:lang w:eastAsia="es-ES"/>
        </w:rPr>
        <w:t xml:space="preserve">actor. De igual modo, se avizora que </w:t>
      </w:r>
      <w:r w:rsidR="00003A4C">
        <w:rPr>
          <w:rFonts w:eastAsia="Times New Roman"/>
          <w:sz w:val="24"/>
          <w:szCs w:val="24"/>
          <w:lang w:eastAsia="es-ES"/>
        </w:rPr>
        <w:t>el</w:t>
      </w:r>
      <w:r w:rsidR="002B1A3B" w:rsidRPr="00A63751">
        <w:rPr>
          <w:rFonts w:eastAsia="Times New Roman"/>
          <w:sz w:val="24"/>
          <w:szCs w:val="24"/>
          <w:lang w:eastAsia="es-ES"/>
        </w:rPr>
        <w:t xml:space="preserve"> accionante formul</w:t>
      </w:r>
      <w:r w:rsidR="00003A4C">
        <w:rPr>
          <w:rFonts w:eastAsia="Times New Roman"/>
          <w:sz w:val="24"/>
          <w:szCs w:val="24"/>
          <w:lang w:eastAsia="es-ES"/>
        </w:rPr>
        <w:t>ó</w:t>
      </w:r>
      <w:r w:rsidR="002B1A3B" w:rsidRPr="00A63751">
        <w:rPr>
          <w:rFonts w:eastAsia="Times New Roman"/>
          <w:sz w:val="24"/>
          <w:szCs w:val="24"/>
          <w:lang w:eastAsia="es-ES"/>
        </w:rPr>
        <w:t xml:space="preserve"> unos cargos particulares contra </w:t>
      </w:r>
      <w:r w:rsidR="00003A4C">
        <w:rPr>
          <w:rFonts w:eastAsia="Times New Roman"/>
          <w:sz w:val="24"/>
          <w:szCs w:val="24"/>
          <w:lang w:eastAsia="es-ES"/>
        </w:rPr>
        <w:t>el fallo</w:t>
      </w:r>
      <w:r w:rsidR="002B1A3B" w:rsidRPr="00A63751">
        <w:rPr>
          <w:rFonts w:eastAsia="Times New Roman"/>
          <w:sz w:val="24"/>
          <w:szCs w:val="24"/>
          <w:lang w:eastAsia="es-ES"/>
        </w:rPr>
        <w:t xml:space="preserve"> enjuiciado. Además, el material obrante en el plenario permite corrobor</w:t>
      </w:r>
      <w:r w:rsidR="002B1A3B" w:rsidRPr="000878FB">
        <w:rPr>
          <w:rFonts w:eastAsia="Times New Roman"/>
          <w:sz w:val="24"/>
          <w:szCs w:val="24"/>
          <w:lang w:eastAsia="es-ES"/>
        </w:rPr>
        <w:t>ar</w:t>
      </w:r>
      <w:r w:rsidR="002B1A3B" w:rsidRPr="00A63751">
        <w:rPr>
          <w:rFonts w:eastAsia="Times New Roman"/>
          <w:sz w:val="24"/>
          <w:szCs w:val="24"/>
          <w:lang w:eastAsia="es-ES"/>
        </w:rPr>
        <w:t xml:space="preserve"> la comprensión de los elementos dilucidados en el escrito de tutela. De todo lo anterior se concluye que </w:t>
      </w:r>
      <w:r w:rsidR="002B1A3B" w:rsidRPr="000878FB">
        <w:rPr>
          <w:rFonts w:eastAsia="Times New Roman"/>
          <w:sz w:val="24"/>
          <w:szCs w:val="24"/>
          <w:lang w:eastAsia="es-ES"/>
        </w:rPr>
        <w:t>las inconformidades</w:t>
      </w:r>
      <w:r w:rsidR="002B1A3B" w:rsidRPr="00A63751">
        <w:rPr>
          <w:rFonts w:eastAsia="Times New Roman"/>
          <w:sz w:val="24"/>
          <w:szCs w:val="24"/>
          <w:lang w:eastAsia="es-ES"/>
        </w:rPr>
        <w:t xml:space="preserve"> en cita </w:t>
      </w:r>
      <w:r w:rsidR="002B1A3B" w:rsidRPr="000878FB">
        <w:rPr>
          <w:rFonts w:eastAsia="Times New Roman"/>
          <w:sz w:val="24"/>
          <w:szCs w:val="24"/>
          <w:lang w:eastAsia="es-ES"/>
        </w:rPr>
        <w:t xml:space="preserve">cumplen una </w:t>
      </w:r>
      <w:r w:rsidR="002B1A3B" w:rsidRPr="000878FB">
        <w:rPr>
          <w:rFonts w:eastAsia="Times New Roman"/>
          <w:b/>
          <w:bCs/>
          <w:sz w:val="24"/>
          <w:szCs w:val="24"/>
          <w:lang w:eastAsia="es-ES"/>
        </w:rPr>
        <w:t xml:space="preserve">carga argumentativa </w:t>
      </w:r>
      <w:r w:rsidR="002B1A3B" w:rsidRPr="00DD1589">
        <w:rPr>
          <w:rFonts w:eastAsia="Times New Roman"/>
          <w:b/>
          <w:bCs/>
          <w:sz w:val="24"/>
          <w:szCs w:val="24"/>
          <w:lang w:eastAsia="es-ES"/>
        </w:rPr>
        <w:t>mínima</w:t>
      </w:r>
      <w:r w:rsidR="002B1A3B" w:rsidRPr="00DD1589">
        <w:rPr>
          <w:rFonts w:eastAsia="Times New Roman"/>
          <w:sz w:val="24"/>
          <w:szCs w:val="24"/>
          <w:lang w:eastAsia="es-ES"/>
        </w:rPr>
        <w:t xml:space="preserve"> que permite que estas sean estudiadas en la presente oportunidad.</w:t>
      </w:r>
    </w:p>
    <w:p w14:paraId="14C1DD3F" w14:textId="77777777" w:rsidR="00B34D67" w:rsidRDefault="00B34D67" w:rsidP="004F3DC0">
      <w:pPr>
        <w:overflowPunct w:val="0"/>
        <w:autoSpaceDE w:val="0"/>
        <w:autoSpaceDN w:val="0"/>
        <w:adjustRightInd w:val="0"/>
        <w:spacing w:line="276" w:lineRule="auto"/>
        <w:contextualSpacing/>
        <w:rPr>
          <w:rFonts w:eastAsia="Times New Roman"/>
          <w:b/>
          <w:bCs/>
          <w:sz w:val="24"/>
          <w:szCs w:val="24"/>
          <w:lang w:eastAsia="es-ES"/>
        </w:rPr>
      </w:pPr>
      <w:bookmarkStart w:id="3" w:name="_GoBack"/>
      <w:bookmarkEnd w:id="3"/>
    </w:p>
    <w:p w14:paraId="7583417A" w14:textId="59BE43F8" w:rsidR="002B1A3B" w:rsidRPr="00411B34" w:rsidRDefault="004F3DC0" w:rsidP="004F3DC0">
      <w:pPr>
        <w:overflowPunct w:val="0"/>
        <w:autoSpaceDE w:val="0"/>
        <w:autoSpaceDN w:val="0"/>
        <w:adjustRightInd w:val="0"/>
        <w:spacing w:line="276" w:lineRule="auto"/>
        <w:contextualSpacing/>
        <w:rPr>
          <w:rFonts w:eastAsia="Times New Roman"/>
          <w:b/>
          <w:bCs/>
          <w:sz w:val="24"/>
          <w:szCs w:val="24"/>
          <w:lang w:eastAsia="es-ES"/>
        </w:rPr>
      </w:pPr>
      <w:r>
        <w:rPr>
          <w:b/>
          <w:sz w:val="24"/>
          <w:szCs w:val="24"/>
        </w:rPr>
        <w:t xml:space="preserve">2.3. </w:t>
      </w:r>
      <w:r w:rsidR="002B1A3B" w:rsidRPr="00727324">
        <w:rPr>
          <w:bCs/>
          <w:sz w:val="24"/>
          <w:szCs w:val="24"/>
        </w:rPr>
        <w:t xml:space="preserve">La Sala considera que este asunto tiene </w:t>
      </w:r>
      <w:r w:rsidR="002B1A3B" w:rsidRPr="00727324">
        <w:rPr>
          <w:b/>
          <w:bCs/>
          <w:sz w:val="24"/>
          <w:szCs w:val="24"/>
        </w:rPr>
        <w:t>relevancia constitucional</w:t>
      </w:r>
      <w:r w:rsidR="002B1A3B" w:rsidRPr="00727324">
        <w:rPr>
          <w:bCs/>
          <w:sz w:val="24"/>
          <w:szCs w:val="24"/>
        </w:rPr>
        <w:t xml:space="preserve">, toda vez que, </w:t>
      </w:r>
      <w:r w:rsidR="002B1A3B">
        <w:rPr>
          <w:bCs/>
          <w:sz w:val="24"/>
          <w:szCs w:val="24"/>
        </w:rPr>
        <w:t>en</w:t>
      </w:r>
      <w:r w:rsidR="002B1A3B" w:rsidRPr="00727324">
        <w:rPr>
          <w:bCs/>
          <w:sz w:val="24"/>
          <w:szCs w:val="24"/>
        </w:rPr>
        <w:t xml:space="preserve"> la solicitud de amparo, resulta demarcado lo que corresponde al juez de lo contencioso administrativo y lo que </w:t>
      </w:r>
      <w:r w:rsidR="002B1A3B">
        <w:rPr>
          <w:bCs/>
          <w:sz w:val="24"/>
          <w:szCs w:val="24"/>
        </w:rPr>
        <w:t>concierne</w:t>
      </w:r>
      <w:r w:rsidR="002B1A3B" w:rsidRPr="00727324">
        <w:rPr>
          <w:bCs/>
          <w:sz w:val="24"/>
          <w:szCs w:val="24"/>
        </w:rPr>
        <w:t xml:space="preserve"> a este juez constitucional. En el caso </w:t>
      </w:r>
      <w:r w:rsidR="002B1A3B" w:rsidRPr="002555D1">
        <w:rPr>
          <w:bCs/>
          <w:iCs/>
          <w:sz w:val="24"/>
          <w:szCs w:val="24"/>
        </w:rPr>
        <w:t>concreto</w:t>
      </w:r>
      <w:r w:rsidR="002B1A3B" w:rsidRPr="00727324">
        <w:rPr>
          <w:bCs/>
          <w:sz w:val="24"/>
          <w:szCs w:val="24"/>
        </w:rPr>
        <w:t xml:space="preserve">, resulta necesario estudiar si </w:t>
      </w:r>
      <w:r w:rsidR="007964B9">
        <w:rPr>
          <w:bCs/>
          <w:sz w:val="24"/>
          <w:szCs w:val="24"/>
        </w:rPr>
        <w:t>el</w:t>
      </w:r>
      <w:r w:rsidR="002B1A3B" w:rsidRPr="00727324">
        <w:rPr>
          <w:bCs/>
          <w:sz w:val="24"/>
          <w:szCs w:val="24"/>
        </w:rPr>
        <w:t xml:space="preserve"> </w:t>
      </w:r>
      <w:r w:rsidR="007964B9">
        <w:rPr>
          <w:bCs/>
          <w:sz w:val="24"/>
          <w:szCs w:val="24"/>
        </w:rPr>
        <w:t>fallo</w:t>
      </w:r>
      <w:r w:rsidR="002B1A3B" w:rsidRPr="00727324">
        <w:rPr>
          <w:bCs/>
          <w:sz w:val="24"/>
          <w:szCs w:val="24"/>
        </w:rPr>
        <w:t xml:space="preserve"> </w:t>
      </w:r>
      <w:r w:rsidR="007964B9">
        <w:rPr>
          <w:bCs/>
          <w:sz w:val="24"/>
          <w:szCs w:val="24"/>
        </w:rPr>
        <w:t>enjuiciado</w:t>
      </w:r>
      <w:r w:rsidR="002B1A3B" w:rsidRPr="00727324">
        <w:rPr>
          <w:bCs/>
          <w:sz w:val="24"/>
          <w:szCs w:val="24"/>
        </w:rPr>
        <w:t xml:space="preserve"> </w:t>
      </w:r>
      <w:r w:rsidR="007964B9">
        <w:rPr>
          <w:bCs/>
          <w:sz w:val="24"/>
          <w:szCs w:val="24"/>
        </w:rPr>
        <w:t xml:space="preserve">valoró irrazonablemente unas pruebas en el sentido de: (i) restarles valor a aquellos elementos que sí lo tenían; (ii) otorgarle una mayor preponderancia a determinadas piezas que tenían menos peso dentro del acervo probatorio recaudado en sede ordinaria; y (iii) darles a otras probanzas un </w:t>
      </w:r>
      <w:r w:rsidR="00597B54">
        <w:rPr>
          <w:bCs/>
          <w:sz w:val="24"/>
          <w:szCs w:val="24"/>
        </w:rPr>
        <w:t>significado</w:t>
      </w:r>
      <w:r w:rsidR="007964B9">
        <w:rPr>
          <w:bCs/>
          <w:sz w:val="24"/>
          <w:szCs w:val="24"/>
        </w:rPr>
        <w:t xml:space="preserve"> que, en realidad, no tenían</w:t>
      </w:r>
      <w:r w:rsidR="002B1A3B">
        <w:rPr>
          <w:bCs/>
          <w:sz w:val="24"/>
          <w:szCs w:val="24"/>
        </w:rPr>
        <w:t>.</w:t>
      </w:r>
      <w:r w:rsidR="002B1A3B" w:rsidRPr="00727324">
        <w:rPr>
          <w:bCs/>
          <w:sz w:val="24"/>
          <w:szCs w:val="24"/>
        </w:rPr>
        <w:t xml:space="preserve"> </w:t>
      </w:r>
      <w:r w:rsidR="007964B9">
        <w:rPr>
          <w:bCs/>
          <w:sz w:val="24"/>
          <w:szCs w:val="24"/>
        </w:rPr>
        <w:t>Todo lo anterior</w:t>
      </w:r>
      <w:r w:rsidR="002B1A3B" w:rsidRPr="00727324">
        <w:rPr>
          <w:bCs/>
          <w:sz w:val="24"/>
          <w:szCs w:val="24"/>
        </w:rPr>
        <w:t xml:space="preserve"> no implica reabrir un debate legal, sino efectuar un </w:t>
      </w:r>
      <w:r w:rsidR="002B1A3B">
        <w:rPr>
          <w:bCs/>
          <w:sz w:val="24"/>
          <w:szCs w:val="24"/>
        </w:rPr>
        <w:t>análisis</w:t>
      </w:r>
      <w:r w:rsidR="002B1A3B" w:rsidRPr="00727324">
        <w:rPr>
          <w:bCs/>
          <w:sz w:val="24"/>
          <w:szCs w:val="24"/>
        </w:rPr>
        <w:t xml:space="preserve"> de razonabilidad</w:t>
      </w:r>
      <w:r w:rsidR="002B1A3B">
        <w:rPr>
          <w:bCs/>
          <w:sz w:val="24"/>
          <w:szCs w:val="24"/>
        </w:rPr>
        <w:t>. En efecto</w:t>
      </w:r>
      <w:r w:rsidR="002B1A3B" w:rsidRPr="00727324">
        <w:rPr>
          <w:bCs/>
          <w:sz w:val="24"/>
          <w:szCs w:val="24"/>
        </w:rPr>
        <w:t xml:space="preserve">, </w:t>
      </w:r>
      <w:r w:rsidR="00CC22EB">
        <w:rPr>
          <w:bCs/>
          <w:sz w:val="24"/>
          <w:szCs w:val="24"/>
        </w:rPr>
        <w:t>todo análisis probatorio irrazonable y que, en ese orden de ideas, lleve a una decisión contraria a la que debía tomarse</w:t>
      </w:r>
      <w:r w:rsidR="009A1D30">
        <w:rPr>
          <w:bCs/>
          <w:sz w:val="24"/>
          <w:szCs w:val="24"/>
        </w:rPr>
        <w:t>,</w:t>
      </w:r>
      <w:r w:rsidR="002B1A3B">
        <w:rPr>
          <w:bCs/>
          <w:sz w:val="24"/>
          <w:szCs w:val="24"/>
        </w:rPr>
        <w:t xml:space="preserve"> termina en un defecto atribuible a la providencia que la contenga</w:t>
      </w:r>
      <w:r w:rsidR="002B1A3B">
        <w:rPr>
          <w:rStyle w:val="Refdenotaalpie"/>
          <w:bCs/>
          <w:sz w:val="24"/>
          <w:szCs w:val="24"/>
        </w:rPr>
        <w:footnoteReference w:id="20"/>
      </w:r>
      <w:r w:rsidR="002B1A3B">
        <w:rPr>
          <w:bCs/>
          <w:sz w:val="24"/>
          <w:szCs w:val="24"/>
        </w:rPr>
        <w:t>.</w:t>
      </w:r>
    </w:p>
    <w:p w14:paraId="6ED47463" w14:textId="77777777" w:rsidR="00C139E5" w:rsidRPr="00D741C9" w:rsidRDefault="00C139E5" w:rsidP="00C139E5">
      <w:pPr>
        <w:rPr>
          <w:rFonts w:eastAsia="Times New Roman"/>
          <w:b/>
          <w:bCs/>
          <w:sz w:val="24"/>
          <w:szCs w:val="24"/>
          <w:lang w:eastAsia="es-ES"/>
        </w:rPr>
      </w:pPr>
    </w:p>
    <w:p w14:paraId="6781EFD3" w14:textId="0603889B" w:rsidR="00C139E5" w:rsidRDefault="004F3DC0" w:rsidP="004F3DC0">
      <w:pPr>
        <w:overflowPunct w:val="0"/>
        <w:autoSpaceDE w:val="0"/>
        <w:autoSpaceDN w:val="0"/>
        <w:adjustRightInd w:val="0"/>
        <w:spacing w:line="276" w:lineRule="auto"/>
        <w:contextualSpacing/>
        <w:rPr>
          <w:rFonts w:eastAsia="Times New Roman"/>
          <w:b/>
          <w:bCs/>
          <w:sz w:val="24"/>
          <w:szCs w:val="24"/>
          <w:lang w:eastAsia="es-ES"/>
        </w:rPr>
      </w:pPr>
      <w:r>
        <w:rPr>
          <w:b/>
          <w:bCs/>
          <w:sz w:val="24"/>
          <w:szCs w:val="24"/>
        </w:rPr>
        <w:t xml:space="preserve">2.4. </w:t>
      </w:r>
      <w:r w:rsidR="00C139E5" w:rsidRPr="00411B34">
        <w:rPr>
          <w:sz w:val="24"/>
          <w:szCs w:val="24"/>
        </w:rPr>
        <w:t xml:space="preserve">La </w:t>
      </w:r>
      <w:r w:rsidR="005D692F">
        <w:rPr>
          <w:sz w:val="24"/>
          <w:szCs w:val="24"/>
        </w:rPr>
        <w:t xml:space="preserve">pretensión de tutela </w:t>
      </w:r>
      <w:r w:rsidR="00C139E5" w:rsidRPr="00411B34">
        <w:rPr>
          <w:sz w:val="24"/>
          <w:szCs w:val="24"/>
        </w:rPr>
        <w:t xml:space="preserve">satisface el requisito de </w:t>
      </w:r>
      <w:r w:rsidR="00C139E5" w:rsidRPr="00411B34">
        <w:rPr>
          <w:b/>
          <w:bCs/>
          <w:sz w:val="24"/>
          <w:szCs w:val="24"/>
        </w:rPr>
        <w:t>subsidiariedad</w:t>
      </w:r>
      <w:r w:rsidR="00C139E5" w:rsidRPr="00411B34">
        <w:rPr>
          <w:sz w:val="24"/>
          <w:szCs w:val="24"/>
        </w:rPr>
        <w:t xml:space="preserve">, pues </w:t>
      </w:r>
      <w:r w:rsidR="00C139E5">
        <w:rPr>
          <w:sz w:val="24"/>
          <w:szCs w:val="24"/>
        </w:rPr>
        <w:t>el</w:t>
      </w:r>
      <w:r w:rsidR="00C139E5" w:rsidRPr="00411B34">
        <w:rPr>
          <w:sz w:val="24"/>
          <w:szCs w:val="24"/>
        </w:rPr>
        <w:t xml:space="preserve"> accionante agot</w:t>
      </w:r>
      <w:r w:rsidR="00C139E5">
        <w:rPr>
          <w:sz w:val="24"/>
          <w:szCs w:val="24"/>
        </w:rPr>
        <w:t>ó</w:t>
      </w:r>
      <w:r w:rsidR="00C139E5" w:rsidRPr="00411B34">
        <w:rPr>
          <w:sz w:val="24"/>
          <w:szCs w:val="24"/>
        </w:rPr>
        <w:t xml:space="preserve"> los medios judiciales de defensa con los que contaba</w:t>
      </w:r>
      <w:r w:rsidR="00C139E5">
        <w:rPr>
          <w:sz w:val="24"/>
          <w:szCs w:val="24"/>
        </w:rPr>
        <w:t>. En concreto,</w:t>
      </w:r>
      <w:r w:rsidR="00C139E5" w:rsidRPr="00411B34">
        <w:rPr>
          <w:rFonts w:eastAsia="ヒラギノ角ゴ Pro W3"/>
          <w:sz w:val="24"/>
          <w:szCs w:val="24"/>
        </w:rPr>
        <w:t xml:space="preserve"> </w:t>
      </w:r>
      <w:r w:rsidR="00C139E5">
        <w:rPr>
          <w:rFonts w:eastAsia="ヒラギノ角ゴ Pro W3"/>
          <w:sz w:val="24"/>
          <w:szCs w:val="24"/>
        </w:rPr>
        <w:t>la actuación</w:t>
      </w:r>
      <w:r w:rsidR="00C139E5" w:rsidRPr="00411B34">
        <w:rPr>
          <w:rFonts w:eastAsia="ヒラギノ角ゴ Pro W3"/>
          <w:sz w:val="24"/>
          <w:szCs w:val="24"/>
        </w:rPr>
        <w:t xml:space="preserve"> ordinari</w:t>
      </w:r>
      <w:r w:rsidR="00C139E5">
        <w:rPr>
          <w:rFonts w:eastAsia="ヒラギノ角ゴ Pro W3"/>
          <w:sz w:val="24"/>
          <w:szCs w:val="24"/>
        </w:rPr>
        <w:t>a</w:t>
      </w:r>
      <w:r w:rsidR="00C139E5" w:rsidRPr="00411B34">
        <w:rPr>
          <w:rFonts w:eastAsia="ヒラギノ角ゴ Pro W3"/>
          <w:sz w:val="24"/>
          <w:szCs w:val="24"/>
        </w:rPr>
        <w:t xml:space="preserve"> en referencia finalizó con </w:t>
      </w:r>
      <w:r w:rsidR="00C139E5">
        <w:rPr>
          <w:rFonts w:eastAsia="ヒラギノ角ゴ Pro W3"/>
          <w:sz w:val="24"/>
          <w:szCs w:val="24"/>
        </w:rPr>
        <w:t xml:space="preserve">el </w:t>
      </w:r>
      <w:proofErr w:type="spellStart"/>
      <w:r w:rsidR="00C139E5">
        <w:rPr>
          <w:rFonts w:eastAsia="ヒラギノ角ゴ Pro W3"/>
          <w:sz w:val="24"/>
          <w:szCs w:val="24"/>
        </w:rPr>
        <w:t>proferimiento</w:t>
      </w:r>
      <w:proofErr w:type="spellEnd"/>
      <w:r w:rsidR="00C139E5">
        <w:rPr>
          <w:rFonts w:eastAsia="ヒラギノ角ゴ Pro W3"/>
          <w:sz w:val="24"/>
          <w:szCs w:val="24"/>
        </w:rPr>
        <w:t xml:space="preserve"> </w:t>
      </w:r>
      <w:r w:rsidR="00C139E5" w:rsidRPr="00411B34">
        <w:rPr>
          <w:rFonts w:eastAsia="ヒラギノ角ゴ Pro W3"/>
          <w:sz w:val="24"/>
          <w:szCs w:val="24"/>
        </w:rPr>
        <w:t>de</w:t>
      </w:r>
      <w:r w:rsidR="00C139E5">
        <w:rPr>
          <w:rFonts w:eastAsia="ヒラギノ角ゴ Pro W3"/>
          <w:sz w:val="24"/>
          <w:szCs w:val="24"/>
        </w:rPr>
        <w:t xml:space="preserve"> </w:t>
      </w:r>
      <w:r w:rsidR="00C139E5" w:rsidRPr="00411B34">
        <w:rPr>
          <w:rFonts w:eastAsia="ヒラギノ角ゴ Pro W3"/>
          <w:sz w:val="24"/>
          <w:szCs w:val="24"/>
        </w:rPr>
        <w:t>l</w:t>
      </w:r>
      <w:r w:rsidR="00C139E5">
        <w:rPr>
          <w:rFonts w:eastAsia="ヒラギノ角ゴ Pro W3"/>
          <w:sz w:val="24"/>
          <w:szCs w:val="24"/>
        </w:rPr>
        <w:t>a decisión judicial</w:t>
      </w:r>
      <w:r w:rsidR="00C139E5" w:rsidRPr="00411B34">
        <w:rPr>
          <w:rFonts w:eastAsia="ヒラギノ角ゴ Pro W3"/>
          <w:sz w:val="24"/>
          <w:szCs w:val="24"/>
        </w:rPr>
        <w:t xml:space="preserve"> </w:t>
      </w:r>
      <w:r w:rsidR="00C139E5">
        <w:rPr>
          <w:rFonts w:eastAsia="ヒラギノ角ゴ Pro W3"/>
          <w:sz w:val="24"/>
          <w:szCs w:val="24"/>
        </w:rPr>
        <w:t>censurada</w:t>
      </w:r>
      <w:r w:rsidR="00C139E5" w:rsidRPr="00411B34">
        <w:rPr>
          <w:rFonts w:eastAsia="ヒラギノ角ゴ Pro W3"/>
          <w:sz w:val="24"/>
          <w:szCs w:val="24"/>
        </w:rPr>
        <w:t xml:space="preserve">. </w:t>
      </w:r>
      <w:r w:rsidR="00C139E5">
        <w:rPr>
          <w:rFonts w:eastAsia="ヒラギノ角ゴ Pro W3"/>
          <w:sz w:val="24"/>
          <w:szCs w:val="24"/>
        </w:rPr>
        <w:t xml:space="preserve">Igualmente, es necesario vislumbrar que contra ese proveído no se formuló </w:t>
      </w:r>
      <w:r w:rsidR="00C139E5">
        <w:rPr>
          <w:rFonts w:eastAsia="ヒラギノ角ゴ Pro W3"/>
          <w:sz w:val="24"/>
          <w:szCs w:val="24"/>
        </w:rPr>
        <w:lastRenderedPageBreak/>
        <w:t>ningún cargo relacionado con las causales de revisión previstas por el legislador, motivo por el cual no puede afirmarse que el solicitante cuente con ese recurso extraordinario</w:t>
      </w:r>
      <w:r w:rsidR="00C139E5" w:rsidRPr="00411B34">
        <w:rPr>
          <w:sz w:val="24"/>
          <w:szCs w:val="24"/>
        </w:rPr>
        <w:t>.</w:t>
      </w:r>
      <w:r w:rsidR="00C139E5">
        <w:rPr>
          <w:sz w:val="24"/>
          <w:szCs w:val="24"/>
        </w:rPr>
        <w:t xml:space="preserve"> Así mismo, ninguno de los reproches en cita refiere de modo principal que la providencia enjuiciada haya desconocido la regla contenida en algún fallo unificador dictado por esta Corporación. Por ello, tampoco puede predicarse que el peticionario deba agotar primero el recurso extraordinario de unificación.</w:t>
      </w:r>
    </w:p>
    <w:p w14:paraId="7EDA6736" w14:textId="77777777" w:rsidR="00C139E5" w:rsidRPr="00D741C9" w:rsidRDefault="00C139E5" w:rsidP="00C139E5">
      <w:pPr>
        <w:rPr>
          <w:rFonts w:eastAsia="Verdana"/>
          <w:sz w:val="24"/>
          <w:szCs w:val="24"/>
        </w:rPr>
      </w:pPr>
    </w:p>
    <w:p w14:paraId="1BB68299" w14:textId="1409E77B" w:rsidR="00C139E5" w:rsidRDefault="004F3DC0" w:rsidP="004F3DC0">
      <w:pPr>
        <w:overflowPunct w:val="0"/>
        <w:autoSpaceDE w:val="0"/>
        <w:autoSpaceDN w:val="0"/>
        <w:adjustRightInd w:val="0"/>
        <w:spacing w:line="276" w:lineRule="auto"/>
        <w:contextualSpacing/>
        <w:rPr>
          <w:rFonts w:eastAsia="Times New Roman"/>
          <w:b/>
          <w:bCs/>
          <w:sz w:val="24"/>
          <w:szCs w:val="24"/>
          <w:lang w:eastAsia="es-ES"/>
        </w:rPr>
      </w:pPr>
      <w:r>
        <w:rPr>
          <w:rFonts w:eastAsia="Verdana"/>
          <w:b/>
          <w:bCs/>
          <w:sz w:val="24"/>
          <w:szCs w:val="24"/>
        </w:rPr>
        <w:t xml:space="preserve">2.5. </w:t>
      </w:r>
      <w:r w:rsidR="00C139E5" w:rsidRPr="00D741C9">
        <w:rPr>
          <w:rFonts w:eastAsia="Verdana"/>
          <w:sz w:val="24"/>
          <w:szCs w:val="24"/>
        </w:rPr>
        <w:t xml:space="preserve">En función del requisito de </w:t>
      </w:r>
      <w:r w:rsidR="00C139E5" w:rsidRPr="00D741C9">
        <w:rPr>
          <w:rFonts w:eastAsia="Verdana"/>
          <w:b/>
          <w:sz w:val="24"/>
          <w:szCs w:val="24"/>
        </w:rPr>
        <w:t>inmediatez</w:t>
      </w:r>
      <w:r w:rsidR="00C139E5" w:rsidRPr="00D741C9">
        <w:rPr>
          <w:rFonts w:eastAsia="Verdana"/>
          <w:sz w:val="24"/>
          <w:szCs w:val="24"/>
        </w:rPr>
        <w:t>, esta acción fue presentada dentro del término razonable que la jurisprudencia constitucional ha previsto</w:t>
      </w:r>
      <w:r w:rsidR="00C139E5" w:rsidRPr="004F3232">
        <w:rPr>
          <w:sz w:val="24"/>
          <w:szCs w:val="24"/>
          <w:vertAlign w:val="superscript"/>
        </w:rPr>
        <w:footnoteReference w:id="21"/>
      </w:r>
      <w:r w:rsidR="00C139E5" w:rsidRPr="00D741C9">
        <w:rPr>
          <w:rFonts w:eastAsia="Verdana"/>
          <w:sz w:val="24"/>
          <w:szCs w:val="24"/>
        </w:rPr>
        <w:t xml:space="preserve"> y que esta Corporación ha interpretado de manera general en seis meses</w:t>
      </w:r>
      <w:r w:rsidR="00C139E5" w:rsidRPr="004F3232">
        <w:rPr>
          <w:sz w:val="24"/>
          <w:szCs w:val="24"/>
          <w:vertAlign w:val="superscript"/>
        </w:rPr>
        <w:footnoteReference w:id="22"/>
      </w:r>
      <w:r w:rsidR="00C139E5" w:rsidRPr="00D741C9">
        <w:rPr>
          <w:rFonts w:eastAsia="Verdana"/>
          <w:sz w:val="24"/>
          <w:szCs w:val="24"/>
        </w:rPr>
        <w:t xml:space="preserve">. En efecto, la providencia atacada fue proferida el </w:t>
      </w:r>
      <w:r w:rsidR="00C46F23" w:rsidRPr="00C46F23">
        <w:rPr>
          <w:rFonts w:eastAsia="Verdana"/>
          <w:sz w:val="24"/>
          <w:szCs w:val="24"/>
        </w:rPr>
        <w:t>3 de agosto de 2020</w:t>
      </w:r>
      <w:r w:rsidR="00C139E5">
        <w:rPr>
          <w:rFonts w:eastAsia="Verdana"/>
          <w:sz w:val="24"/>
          <w:szCs w:val="24"/>
        </w:rPr>
        <w:t xml:space="preserve"> y notificada</w:t>
      </w:r>
      <w:r w:rsidR="00C452A9">
        <w:rPr>
          <w:rFonts w:eastAsia="Verdana"/>
          <w:sz w:val="24"/>
          <w:szCs w:val="24"/>
        </w:rPr>
        <w:t xml:space="preserve"> al actor</w:t>
      </w:r>
      <w:r w:rsidR="00C139E5">
        <w:rPr>
          <w:rFonts w:eastAsia="Verdana"/>
          <w:sz w:val="24"/>
          <w:szCs w:val="24"/>
        </w:rPr>
        <w:t xml:space="preserve"> mediante </w:t>
      </w:r>
      <w:r w:rsidR="00C46F23">
        <w:rPr>
          <w:rFonts w:eastAsia="Verdana"/>
          <w:sz w:val="24"/>
          <w:szCs w:val="24"/>
        </w:rPr>
        <w:t>oficio</w:t>
      </w:r>
      <w:r w:rsidR="00C139E5">
        <w:rPr>
          <w:rFonts w:eastAsia="Verdana"/>
          <w:sz w:val="24"/>
          <w:szCs w:val="24"/>
        </w:rPr>
        <w:t xml:space="preserve"> electrónico </w:t>
      </w:r>
      <w:r w:rsidR="00C46F23">
        <w:rPr>
          <w:rFonts w:eastAsia="Verdana"/>
          <w:sz w:val="24"/>
          <w:szCs w:val="24"/>
        </w:rPr>
        <w:t>n</w:t>
      </w:r>
      <w:r w:rsidR="00603EBD">
        <w:rPr>
          <w:rFonts w:eastAsia="Verdana"/>
          <w:sz w:val="24"/>
          <w:szCs w:val="24"/>
        </w:rPr>
        <w:t>úmero</w:t>
      </w:r>
      <w:r w:rsidR="00C46F23">
        <w:rPr>
          <w:rFonts w:eastAsia="Verdana"/>
          <w:sz w:val="24"/>
          <w:szCs w:val="24"/>
        </w:rPr>
        <w:t xml:space="preserve"> 28</w:t>
      </w:r>
      <w:r w:rsidR="00C452A9">
        <w:rPr>
          <w:rFonts w:eastAsia="Verdana"/>
          <w:sz w:val="24"/>
          <w:szCs w:val="24"/>
        </w:rPr>
        <w:t>30</w:t>
      </w:r>
      <w:r w:rsidR="00C46F23">
        <w:rPr>
          <w:rFonts w:eastAsia="Verdana"/>
          <w:sz w:val="24"/>
          <w:szCs w:val="24"/>
        </w:rPr>
        <w:t xml:space="preserve"> </w:t>
      </w:r>
      <w:r w:rsidR="00C139E5">
        <w:rPr>
          <w:rFonts w:eastAsia="Verdana"/>
          <w:sz w:val="24"/>
          <w:szCs w:val="24"/>
        </w:rPr>
        <w:t xml:space="preserve">del </w:t>
      </w:r>
      <w:r w:rsidR="00C46F23">
        <w:rPr>
          <w:rFonts w:eastAsia="Verdana"/>
          <w:sz w:val="24"/>
          <w:szCs w:val="24"/>
        </w:rPr>
        <w:t>27</w:t>
      </w:r>
      <w:r w:rsidR="00C139E5">
        <w:rPr>
          <w:rFonts w:eastAsia="Verdana"/>
          <w:sz w:val="24"/>
          <w:szCs w:val="24"/>
        </w:rPr>
        <w:t xml:space="preserve"> de </w:t>
      </w:r>
      <w:bookmarkStart w:id="4" w:name="_Ref70331608"/>
      <w:r w:rsidR="00C46F23">
        <w:rPr>
          <w:rFonts w:eastAsia="Verdana"/>
          <w:sz w:val="24"/>
          <w:szCs w:val="24"/>
        </w:rPr>
        <w:t>enero de 2021</w:t>
      </w:r>
      <w:r w:rsidR="00C139E5">
        <w:rPr>
          <w:rStyle w:val="Refdenotaalpie"/>
          <w:rFonts w:eastAsia="Verdana"/>
          <w:sz w:val="24"/>
          <w:szCs w:val="24"/>
        </w:rPr>
        <w:footnoteReference w:id="23"/>
      </w:r>
      <w:bookmarkEnd w:id="4"/>
      <w:r w:rsidR="00C139E5" w:rsidRPr="00D741C9">
        <w:rPr>
          <w:rFonts w:eastAsia="Verdana"/>
          <w:sz w:val="24"/>
          <w:szCs w:val="24"/>
        </w:rPr>
        <w:t xml:space="preserve">. A su vez, la tutela bajo estudio fue radicada el </w:t>
      </w:r>
      <w:r w:rsidR="00575FB1">
        <w:rPr>
          <w:rFonts w:eastAsia="Verdana"/>
          <w:sz w:val="24"/>
          <w:szCs w:val="24"/>
        </w:rPr>
        <w:t xml:space="preserve">19 </w:t>
      </w:r>
      <w:r w:rsidR="00C46F23">
        <w:rPr>
          <w:rFonts w:eastAsia="Verdana"/>
          <w:sz w:val="24"/>
          <w:szCs w:val="24"/>
        </w:rPr>
        <w:t>de mayo de la presente anualidad</w:t>
      </w:r>
      <w:r w:rsidR="00C139E5" w:rsidRPr="00D741C9">
        <w:rPr>
          <w:rFonts w:eastAsia="Verdana"/>
          <w:sz w:val="24"/>
          <w:szCs w:val="24"/>
        </w:rPr>
        <w:t>. Así las cosas, pasó un tiempo que está alrededor de los seis meses indicados líneas arriba.</w:t>
      </w:r>
    </w:p>
    <w:p w14:paraId="43BCE459" w14:textId="77777777" w:rsidR="00C139E5" w:rsidRPr="00D741C9" w:rsidRDefault="00C139E5" w:rsidP="00C139E5">
      <w:pPr>
        <w:rPr>
          <w:sz w:val="24"/>
          <w:szCs w:val="24"/>
        </w:rPr>
      </w:pPr>
    </w:p>
    <w:p w14:paraId="40911016" w14:textId="71F75ED4" w:rsidR="00C139E5" w:rsidRPr="00D741C9" w:rsidRDefault="00C139E5" w:rsidP="00C139E5">
      <w:pPr>
        <w:numPr>
          <w:ilvl w:val="1"/>
          <w:numId w:val="1"/>
        </w:numPr>
        <w:overflowPunct w:val="0"/>
        <w:autoSpaceDE w:val="0"/>
        <w:autoSpaceDN w:val="0"/>
        <w:adjustRightInd w:val="0"/>
        <w:spacing w:line="276" w:lineRule="auto"/>
        <w:ind w:left="0" w:firstLine="0"/>
        <w:contextualSpacing/>
        <w:rPr>
          <w:rFonts w:eastAsia="Times New Roman"/>
          <w:b/>
          <w:bCs/>
          <w:sz w:val="24"/>
          <w:szCs w:val="24"/>
          <w:lang w:eastAsia="es-ES"/>
        </w:rPr>
      </w:pPr>
      <w:r w:rsidRPr="00D741C9">
        <w:rPr>
          <w:sz w:val="24"/>
          <w:szCs w:val="24"/>
        </w:rPr>
        <w:t xml:space="preserve">Finalmente, </w:t>
      </w:r>
      <w:r w:rsidR="005D692F">
        <w:rPr>
          <w:sz w:val="24"/>
          <w:szCs w:val="24"/>
        </w:rPr>
        <w:t xml:space="preserve">la parte actora no </w:t>
      </w:r>
      <w:r w:rsidRPr="00D741C9">
        <w:rPr>
          <w:sz w:val="24"/>
          <w:szCs w:val="24"/>
        </w:rPr>
        <w:t>argumentó la existencia de alguna irregularidad procesal ni la decisi</w:t>
      </w:r>
      <w:r w:rsidR="00196A15">
        <w:rPr>
          <w:sz w:val="24"/>
          <w:szCs w:val="24"/>
        </w:rPr>
        <w:t>ó</w:t>
      </w:r>
      <w:r>
        <w:rPr>
          <w:sz w:val="24"/>
          <w:szCs w:val="24"/>
        </w:rPr>
        <w:t>n</w:t>
      </w:r>
      <w:r w:rsidRPr="00D741C9">
        <w:rPr>
          <w:sz w:val="24"/>
          <w:szCs w:val="24"/>
        </w:rPr>
        <w:t xml:space="preserve"> </w:t>
      </w:r>
      <w:r>
        <w:rPr>
          <w:sz w:val="24"/>
          <w:szCs w:val="24"/>
        </w:rPr>
        <w:t>objeto de este proceso constitucional</w:t>
      </w:r>
      <w:r w:rsidRPr="00D741C9">
        <w:rPr>
          <w:sz w:val="24"/>
          <w:szCs w:val="24"/>
        </w:rPr>
        <w:t xml:space="preserve"> </w:t>
      </w:r>
      <w:r w:rsidR="00196A15">
        <w:rPr>
          <w:sz w:val="24"/>
          <w:szCs w:val="24"/>
        </w:rPr>
        <w:t>es</w:t>
      </w:r>
      <w:r w:rsidR="00196A15" w:rsidRPr="00D741C9">
        <w:rPr>
          <w:sz w:val="24"/>
          <w:szCs w:val="24"/>
        </w:rPr>
        <w:t xml:space="preserve"> </w:t>
      </w:r>
      <w:r>
        <w:rPr>
          <w:sz w:val="24"/>
          <w:szCs w:val="24"/>
        </w:rPr>
        <w:t xml:space="preserve">de </w:t>
      </w:r>
      <w:r w:rsidRPr="00D741C9">
        <w:rPr>
          <w:sz w:val="24"/>
          <w:szCs w:val="24"/>
        </w:rPr>
        <w:t>tutela, circunstancias que exigirían un análisis de procedibilidad diferenciado.</w:t>
      </w:r>
    </w:p>
    <w:p w14:paraId="1822E919" w14:textId="77777777" w:rsidR="00C139E5" w:rsidRPr="004F3232" w:rsidRDefault="00C139E5" w:rsidP="00C139E5">
      <w:pPr>
        <w:spacing w:line="276" w:lineRule="auto"/>
        <w:contextualSpacing/>
        <w:rPr>
          <w:sz w:val="24"/>
          <w:szCs w:val="24"/>
        </w:rPr>
      </w:pPr>
    </w:p>
    <w:p w14:paraId="0E55140A" w14:textId="0C2641E4" w:rsidR="00C139E5" w:rsidRPr="00D741C9" w:rsidRDefault="00C139E5" w:rsidP="00C139E5">
      <w:pPr>
        <w:spacing w:line="276" w:lineRule="auto"/>
        <w:contextualSpacing/>
        <w:rPr>
          <w:sz w:val="24"/>
          <w:szCs w:val="24"/>
        </w:rPr>
      </w:pPr>
      <w:r w:rsidRPr="004F3232">
        <w:rPr>
          <w:sz w:val="24"/>
          <w:szCs w:val="24"/>
        </w:rPr>
        <w:t xml:space="preserve">En suma, en lo que atañe </w:t>
      </w:r>
      <w:r w:rsidR="00C46F23">
        <w:rPr>
          <w:sz w:val="24"/>
          <w:szCs w:val="24"/>
        </w:rPr>
        <w:t>a la sentencia</w:t>
      </w:r>
      <w:r>
        <w:rPr>
          <w:sz w:val="24"/>
          <w:szCs w:val="24"/>
        </w:rPr>
        <w:t xml:space="preserve"> enjuiciad</w:t>
      </w:r>
      <w:r w:rsidR="00C46F23">
        <w:rPr>
          <w:sz w:val="24"/>
          <w:szCs w:val="24"/>
        </w:rPr>
        <w:t>a</w:t>
      </w:r>
      <w:r w:rsidRPr="004F3232">
        <w:rPr>
          <w:rFonts w:eastAsia="Verdana"/>
          <w:sz w:val="24"/>
          <w:szCs w:val="24"/>
        </w:rPr>
        <w:t xml:space="preserve">, </w:t>
      </w:r>
      <w:r>
        <w:rPr>
          <w:sz w:val="24"/>
          <w:szCs w:val="24"/>
        </w:rPr>
        <w:t>están</w:t>
      </w:r>
      <w:r w:rsidRPr="004F3232">
        <w:rPr>
          <w:sz w:val="24"/>
          <w:szCs w:val="24"/>
        </w:rPr>
        <w:t xml:space="preserve"> satisfechos los requisitos generales de procedibilidad de la acción. Por ende, </w:t>
      </w:r>
      <w:r>
        <w:rPr>
          <w:sz w:val="24"/>
          <w:szCs w:val="24"/>
        </w:rPr>
        <w:t xml:space="preserve">se </w:t>
      </w:r>
      <w:r w:rsidRPr="004F3232">
        <w:rPr>
          <w:sz w:val="24"/>
          <w:szCs w:val="24"/>
        </w:rPr>
        <w:t xml:space="preserve">avanza a analizar los requisitos específicos de procedencia. Lo anterior, en lo que </w:t>
      </w:r>
      <w:r w:rsidR="00C46F23">
        <w:rPr>
          <w:sz w:val="24"/>
          <w:szCs w:val="24"/>
        </w:rPr>
        <w:t>respecta</w:t>
      </w:r>
      <w:r w:rsidRPr="004F3232">
        <w:rPr>
          <w:sz w:val="24"/>
          <w:szCs w:val="24"/>
        </w:rPr>
        <w:t xml:space="preserve"> </w:t>
      </w:r>
      <w:r>
        <w:rPr>
          <w:sz w:val="24"/>
          <w:szCs w:val="24"/>
        </w:rPr>
        <w:t>al</w:t>
      </w:r>
      <w:r w:rsidRPr="004F3232">
        <w:rPr>
          <w:sz w:val="24"/>
          <w:szCs w:val="24"/>
        </w:rPr>
        <w:t xml:space="preserve"> defecto identificado.</w:t>
      </w:r>
    </w:p>
    <w:p w14:paraId="70EE80B2" w14:textId="77777777" w:rsidR="00C139E5" w:rsidRPr="004F3232" w:rsidRDefault="00C139E5" w:rsidP="00C139E5">
      <w:pPr>
        <w:spacing w:line="276" w:lineRule="auto"/>
        <w:contextualSpacing/>
        <w:rPr>
          <w:sz w:val="24"/>
          <w:szCs w:val="24"/>
        </w:rPr>
      </w:pPr>
    </w:p>
    <w:p w14:paraId="08CC2E4B" w14:textId="77777777" w:rsidR="00C139E5" w:rsidRPr="004F3232" w:rsidRDefault="00C139E5" w:rsidP="00C139E5">
      <w:pPr>
        <w:numPr>
          <w:ilvl w:val="0"/>
          <w:numId w:val="1"/>
        </w:numPr>
        <w:spacing w:line="276" w:lineRule="auto"/>
        <w:ind w:left="0" w:firstLine="0"/>
        <w:contextualSpacing/>
        <w:rPr>
          <w:b/>
          <w:sz w:val="24"/>
          <w:szCs w:val="24"/>
        </w:rPr>
      </w:pPr>
      <w:r w:rsidRPr="004F3232">
        <w:rPr>
          <w:b/>
          <w:sz w:val="24"/>
          <w:szCs w:val="24"/>
        </w:rPr>
        <w:t>Problema Jurídico</w:t>
      </w:r>
    </w:p>
    <w:p w14:paraId="1C18B004" w14:textId="77777777" w:rsidR="00C139E5" w:rsidRPr="004F3232" w:rsidRDefault="00C139E5" w:rsidP="00C139E5">
      <w:pPr>
        <w:spacing w:line="276" w:lineRule="auto"/>
        <w:rPr>
          <w:bCs/>
          <w:sz w:val="24"/>
          <w:szCs w:val="24"/>
        </w:rPr>
      </w:pPr>
    </w:p>
    <w:p w14:paraId="1AA37090" w14:textId="41133067" w:rsidR="002B1A3B" w:rsidRPr="00A63751" w:rsidRDefault="00C139E5" w:rsidP="00C139E5">
      <w:pPr>
        <w:spacing w:line="276" w:lineRule="auto"/>
        <w:contextualSpacing/>
        <w:rPr>
          <w:sz w:val="24"/>
          <w:szCs w:val="24"/>
        </w:rPr>
      </w:pPr>
      <w:r w:rsidRPr="004F3232">
        <w:rPr>
          <w:bCs/>
          <w:sz w:val="24"/>
          <w:szCs w:val="24"/>
        </w:rPr>
        <w:t>De conformidad con lo delimitado en el acápite anterior</w:t>
      </w:r>
      <w:r>
        <w:rPr>
          <w:bCs/>
          <w:sz w:val="24"/>
          <w:szCs w:val="24"/>
        </w:rPr>
        <w:t xml:space="preserve"> </w:t>
      </w:r>
      <w:r w:rsidRPr="004F3232">
        <w:rPr>
          <w:bCs/>
          <w:sz w:val="24"/>
          <w:szCs w:val="24"/>
        </w:rPr>
        <w:t xml:space="preserve">deberá </w:t>
      </w:r>
      <w:r>
        <w:rPr>
          <w:bCs/>
          <w:sz w:val="24"/>
          <w:szCs w:val="24"/>
        </w:rPr>
        <w:t>responderse</w:t>
      </w:r>
      <w:r w:rsidRPr="004F3232">
        <w:rPr>
          <w:bCs/>
          <w:sz w:val="24"/>
          <w:szCs w:val="24"/>
        </w:rPr>
        <w:t xml:space="preserve"> </w:t>
      </w:r>
      <w:r>
        <w:rPr>
          <w:bCs/>
          <w:sz w:val="24"/>
          <w:szCs w:val="24"/>
        </w:rPr>
        <w:t>el</w:t>
      </w:r>
      <w:r w:rsidRPr="004F3232">
        <w:rPr>
          <w:bCs/>
          <w:sz w:val="24"/>
          <w:szCs w:val="24"/>
        </w:rPr>
        <w:t xml:space="preserve"> siguiente </w:t>
      </w:r>
      <w:r>
        <w:rPr>
          <w:bCs/>
          <w:sz w:val="24"/>
          <w:szCs w:val="24"/>
        </w:rPr>
        <w:t>interrogante</w:t>
      </w:r>
      <w:r w:rsidRPr="004F3232">
        <w:rPr>
          <w:bCs/>
          <w:sz w:val="24"/>
          <w:szCs w:val="24"/>
        </w:rPr>
        <w:t>:</w:t>
      </w:r>
      <w:r w:rsidR="00A30302">
        <w:rPr>
          <w:bCs/>
          <w:sz w:val="24"/>
          <w:szCs w:val="24"/>
        </w:rPr>
        <w:t xml:space="preserve"> ¿incurrió el Consejo de Estado, Sección Tercera, Subsección B </w:t>
      </w:r>
      <w:r w:rsidR="000C605F">
        <w:rPr>
          <w:bCs/>
          <w:sz w:val="24"/>
          <w:szCs w:val="24"/>
        </w:rPr>
        <w:t xml:space="preserve">– en el fallo del </w:t>
      </w:r>
      <w:r w:rsidR="000C605F" w:rsidRPr="000C605F">
        <w:rPr>
          <w:bCs/>
          <w:sz w:val="24"/>
          <w:szCs w:val="24"/>
        </w:rPr>
        <w:t>3 de agosto de 2020</w:t>
      </w:r>
      <w:r w:rsidR="000C605F">
        <w:rPr>
          <w:bCs/>
          <w:sz w:val="24"/>
          <w:szCs w:val="24"/>
        </w:rPr>
        <w:t>, proferido dentro de la acción de reparación directa que se identifica con el n</w:t>
      </w:r>
      <w:r w:rsidR="004669B5">
        <w:rPr>
          <w:bCs/>
          <w:sz w:val="24"/>
          <w:szCs w:val="24"/>
        </w:rPr>
        <w:t>úmero</w:t>
      </w:r>
      <w:r w:rsidR="000C605F">
        <w:rPr>
          <w:bCs/>
          <w:sz w:val="24"/>
          <w:szCs w:val="24"/>
        </w:rPr>
        <w:t xml:space="preserve"> único de radicación </w:t>
      </w:r>
      <w:r w:rsidR="000C605F" w:rsidRPr="000C605F">
        <w:rPr>
          <w:bCs/>
          <w:sz w:val="24"/>
          <w:szCs w:val="24"/>
        </w:rPr>
        <w:t>05001-23-31-000-2002-00405-01 (45.577)</w:t>
      </w:r>
      <w:r w:rsidR="000C605F">
        <w:rPr>
          <w:bCs/>
          <w:sz w:val="24"/>
          <w:szCs w:val="24"/>
        </w:rPr>
        <w:t xml:space="preserve"> – en defecto fáctico de acuerdo con las censuras específicas propuestas por la parte actora en su escrito de tutela?</w:t>
      </w:r>
    </w:p>
    <w:p w14:paraId="53317B43" w14:textId="77777777" w:rsidR="004E7227" w:rsidRPr="004E7227" w:rsidRDefault="004E7227" w:rsidP="004E7227">
      <w:pPr>
        <w:spacing w:line="276" w:lineRule="auto"/>
        <w:rPr>
          <w:b/>
          <w:sz w:val="24"/>
          <w:szCs w:val="24"/>
        </w:rPr>
      </w:pPr>
    </w:p>
    <w:p w14:paraId="2C529FC5" w14:textId="77777777" w:rsidR="004E7227" w:rsidRPr="004E7227" w:rsidRDefault="004E7227" w:rsidP="004E7227">
      <w:pPr>
        <w:numPr>
          <w:ilvl w:val="0"/>
          <w:numId w:val="1"/>
        </w:numPr>
        <w:spacing w:line="276" w:lineRule="auto"/>
        <w:ind w:left="0" w:firstLine="0"/>
        <w:contextualSpacing/>
        <w:jc w:val="left"/>
        <w:rPr>
          <w:b/>
          <w:sz w:val="24"/>
          <w:szCs w:val="24"/>
          <w:lang w:val="es-ES_tradnl"/>
        </w:rPr>
      </w:pPr>
      <w:r w:rsidRPr="004E7227">
        <w:rPr>
          <w:b/>
          <w:sz w:val="24"/>
          <w:szCs w:val="24"/>
          <w:lang w:val="es-ES_tradnl"/>
        </w:rPr>
        <w:t>Solución al problema jurídico</w:t>
      </w:r>
    </w:p>
    <w:p w14:paraId="78C807A7" w14:textId="77777777" w:rsidR="004E7227" w:rsidRPr="004E7227" w:rsidRDefault="004E7227" w:rsidP="004E7227">
      <w:pPr>
        <w:spacing w:line="276" w:lineRule="auto"/>
        <w:contextualSpacing/>
        <w:jc w:val="left"/>
        <w:rPr>
          <w:b/>
          <w:sz w:val="24"/>
          <w:szCs w:val="24"/>
          <w:lang w:val="es-ES_tradnl"/>
        </w:rPr>
      </w:pPr>
    </w:p>
    <w:p w14:paraId="511C40A4" w14:textId="4403BBD9" w:rsidR="00825DF0" w:rsidRPr="00D82224" w:rsidRDefault="00D82224" w:rsidP="0019048F">
      <w:pPr>
        <w:pStyle w:val="Prrafodelista"/>
        <w:numPr>
          <w:ilvl w:val="1"/>
          <w:numId w:val="1"/>
        </w:numPr>
        <w:spacing w:line="276" w:lineRule="auto"/>
        <w:ind w:left="0" w:firstLine="0"/>
        <w:rPr>
          <w:b/>
          <w:bCs/>
          <w:sz w:val="24"/>
          <w:szCs w:val="24"/>
        </w:rPr>
      </w:pPr>
      <w:r>
        <w:rPr>
          <w:sz w:val="24"/>
          <w:szCs w:val="24"/>
        </w:rPr>
        <w:t>Para los actores</w:t>
      </w:r>
      <w:r w:rsidR="00013229">
        <w:rPr>
          <w:sz w:val="24"/>
          <w:szCs w:val="24"/>
        </w:rPr>
        <w:t>, dentro del fallo enjuiciado</w:t>
      </w:r>
      <w:r>
        <w:rPr>
          <w:sz w:val="24"/>
          <w:szCs w:val="24"/>
        </w:rPr>
        <w:t>:</w:t>
      </w:r>
    </w:p>
    <w:p w14:paraId="7C6153CF" w14:textId="168CAFCF" w:rsidR="00D82224" w:rsidRDefault="00D82224" w:rsidP="00D82224">
      <w:pPr>
        <w:spacing w:line="276" w:lineRule="auto"/>
        <w:rPr>
          <w:b/>
          <w:bCs/>
          <w:sz w:val="24"/>
          <w:szCs w:val="24"/>
        </w:rPr>
      </w:pPr>
    </w:p>
    <w:p w14:paraId="740E1769" w14:textId="627E93BB" w:rsidR="00D82224" w:rsidRDefault="00D82224" w:rsidP="00D82224">
      <w:pPr>
        <w:numPr>
          <w:ilvl w:val="0"/>
          <w:numId w:val="29"/>
        </w:numPr>
        <w:spacing w:line="276" w:lineRule="auto"/>
        <w:ind w:left="1080"/>
        <w:rPr>
          <w:sz w:val="24"/>
          <w:szCs w:val="24"/>
        </w:rPr>
      </w:pPr>
      <w:r w:rsidRPr="00D82224">
        <w:rPr>
          <w:sz w:val="24"/>
          <w:szCs w:val="24"/>
        </w:rPr>
        <w:t>Los testimonios de Francisco Eladio López</w:t>
      </w:r>
      <w:r>
        <w:rPr>
          <w:sz w:val="24"/>
          <w:szCs w:val="24"/>
        </w:rPr>
        <w:t xml:space="preserve"> y</w:t>
      </w:r>
      <w:r w:rsidRPr="00D82224">
        <w:rPr>
          <w:sz w:val="24"/>
          <w:szCs w:val="24"/>
        </w:rPr>
        <w:t xml:space="preserve"> Carlos Ignacio Escobar Quijano fueron valorados irrazonablemente, y </w:t>
      </w:r>
      <w:r>
        <w:rPr>
          <w:sz w:val="24"/>
          <w:szCs w:val="24"/>
        </w:rPr>
        <w:t xml:space="preserve">el de </w:t>
      </w:r>
      <w:r w:rsidRPr="00D82224">
        <w:rPr>
          <w:sz w:val="24"/>
          <w:szCs w:val="24"/>
        </w:rPr>
        <w:t>Carlos José Jaramillo</w:t>
      </w:r>
      <w:r>
        <w:rPr>
          <w:sz w:val="24"/>
          <w:szCs w:val="24"/>
        </w:rPr>
        <w:t xml:space="preserve"> fue desconocido,</w:t>
      </w:r>
      <w:r w:rsidRPr="00D82224">
        <w:rPr>
          <w:sz w:val="24"/>
          <w:szCs w:val="24"/>
        </w:rPr>
        <w:t xml:space="preserve"> pues a partir de </w:t>
      </w:r>
      <w:r w:rsidR="00013229">
        <w:rPr>
          <w:sz w:val="24"/>
          <w:szCs w:val="24"/>
        </w:rPr>
        <w:t>todos estos</w:t>
      </w:r>
      <w:r w:rsidRPr="00D82224">
        <w:rPr>
          <w:sz w:val="24"/>
          <w:szCs w:val="24"/>
        </w:rPr>
        <w:t xml:space="preserve"> solo puede afirmarse que, para el </w:t>
      </w:r>
      <w:r w:rsidRPr="00D82224">
        <w:rPr>
          <w:sz w:val="24"/>
          <w:szCs w:val="24"/>
        </w:rPr>
        <w:lastRenderedPageBreak/>
        <w:t xml:space="preserve">tipo de situación cardiaca que enfrentaba </w:t>
      </w:r>
      <w:proofErr w:type="spellStart"/>
      <w:r w:rsidRPr="00D82224">
        <w:rPr>
          <w:sz w:val="24"/>
          <w:szCs w:val="24"/>
        </w:rPr>
        <w:t>Joselín</w:t>
      </w:r>
      <w:proofErr w:type="spellEnd"/>
      <w:r w:rsidRPr="00D82224">
        <w:rPr>
          <w:sz w:val="24"/>
          <w:szCs w:val="24"/>
        </w:rPr>
        <w:t xml:space="preserve"> Pinillos García, era adecuado realizarle una prueba de esfuerzo antes de darlo de alta.</w:t>
      </w:r>
    </w:p>
    <w:p w14:paraId="661B3036" w14:textId="77777777" w:rsidR="00D82224" w:rsidRPr="00D82224" w:rsidRDefault="00D82224" w:rsidP="00D82224">
      <w:pPr>
        <w:spacing w:line="276" w:lineRule="auto"/>
        <w:rPr>
          <w:sz w:val="24"/>
          <w:szCs w:val="24"/>
        </w:rPr>
      </w:pPr>
    </w:p>
    <w:p w14:paraId="5BA511A7" w14:textId="0DFC313A" w:rsidR="00D82224" w:rsidRDefault="00D82224" w:rsidP="00D82224">
      <w:pPr>
        <w:numPr>
          <w:ilvl w:val="0"/>
          <w:numId w:val="29"/>
        </w:numPr>
        <w:spacing w:line="276" w:lineRule="auto"/>
        <w:ind w:left="1080"/>
        <w:rPr>
          <w:sz w:val="24"/>
          <w:szCs w:val="24"/>
        </w:rPr>
      </w:pPr>
      <w:r w:rsidRPr="00D82224">
        <w:rPr>
          <w:sz w:val="24"/>
          <w:szCs w:val="24"/>
        </w:rPr>
        <w:t xml:space="preserve">Así mismo, en lo que concierne a la bibliografía médica aportada al proceso, </w:t>
      </w:r>
      <w:r w:rsidRPr="00D82224">
        <w:rPr>
          <w:b/>
          <w:bCs/>
          <w:sz w:val="24"/>
          <w:szCs w:val="24"/>
        </w:rPr>
        <w:t>(i)</w:t>
      </w:r>
      <w:r w:rsidRPr="00D82224">
        <w:rPr>
          <w:sz w:val="24"/>
          <w:szCs w:val="24"/>
        </w:rPr>
        <w:t xml:space="preserve"> uno de es</w:t>
      </w:r>
      <w:r w:rsidR="0022680C">
        <w:rPr>
          <w:sz w:val="24"/>
          <w:szCs w:val="24"/>
        </w:rPr>
        <w:t>o</w:t>
      </w:r>
      <w:r w:rsidRPr="00D82224">
        <w:rPr>
          <w:sz w:val="24"/>
          <w:szCs w:val="24"/>
        </w:rPr>
        <w:t xml:space="preserve">s artículos, sin explicaciones, no fue analizado; </w:t>
      </w:r>
      <w:r w:rsidRPr="00D82224">
        <w:rPr>
          <w:b/>
          <w:bCs/>
          <w:sz w:val="24"/>
          <w:szCs w:val="24"/>
        </w:rPr>
        <w:t>(ii)</w:t>
      </w:r>
      <w:r w:rsidRPr="00D82224">
        <w:rPr>
          <w:sz w:val="24"/>
          <w:szCs w:val="24"/>
        </w:rPr>
        <w:t xml:space="preserve"> de otros no fue </w:t>
      </w:r>
      <w:r w:rsidR="0022680C">
        <w:rPr>
          <w:sz w:val="24"/>
          <w:szCs w:val="24"/>
        </w:rPr>
        <w:t>corroborada</w:t>
      </w:r>
      <w:r w:rsidRPr="00D82224">
        <w:rPr>
          <w:sz w:val="24"/>
          <w:szCs w:val="24"/>
        </w:rPr>
        <w:t xml:space="preserve"> su fuente, pero sí se les dio valor técnico y científico; y, </w:t>
      </w:r>
      <w:r w:rsidRPr="00D82224">
        <w:rPr>
          <w:b/>
          <w:bCs/>
          <w:sz w:val="24"/>
          <w:szCs w:val="24"/>
        </w:rPr>
        <w:t>(iii)</w:t>
      </w:r>
      <w:r w:rsidRPr="00D82224">
        <w:rPr>
          <w:sz w:val="24"/>
          <w:szCs w:val="24"/>
        </w:rPr>
        <w:t xml:space="preserve"> una última – el volumen n</w:t>
      </w:r>
      <w:r w:rsidR="00603EBD">
        <w:rPr>
          <w:sz w:val="24"/>
          <w:szCs w:val="24"/>
        </w:rPr>
        <w:t>úmero</w:t>
      </w:r>
      <w:r w:rsidRPr="00D82224">
        <w:rPr>
          <w:sz w:val="24"/>
          <w:szCs w:val="24"/>
        </w:rPr>
        <w:t xml:space="preserve"> 19, suplemento n</w:t>
      </w:r>
      <w:r w:rsidR="00603EBD">
        <w:rPr>
          <w:sz w:val="24"/>
          <w:szCs w:val="24"/>
        </w:rPr>
        <w:t>úmero</w:t>
      </w:r>
      <w:r w:rsidRPr="00D82224">
        <w:rPr>
          <w:sz w:val="24"/>
          <w:szCs w:val="24"/>
        </w:rPr>
        <w:t xml:space="preserve"> 2, de la Revista Colombiana de Cardiología, ejemplar de febrero de 2010 – fue recaudado ilegítimamente y valorado irrazonablemente.</w:t>
      </w:r>
    </w:p>
    <w:p w14:paraId="1A8D0C4D" w14:textId="77777777" w:rsidR="00D82224" w:rsidRPr="00D82224" w:rsidRDefault="00D82224" w:rsidP="00D82224">
      <w:pPr>
        <w:spacing w:line="276" w:lineRule="auto"/>
        <w:rPr>
          <w:sz w:val="24"/>
          <w:szCs w:val="24"/>
        </w:rPr>
      </w:pPr>
    </w:p>
    <w:p w14:paraId="66A30CE8" w14:textId="7D57502E" w:rsidR="00D82224" w:rsidRDefault="00D82224" w:rsidP="00D82224">
      <w:pPr>
        <w:numPr>
          <w:ilvl w:val="1"/>
          <w:numId w:val="29"/>
        </w:numPr>
        <w:spacing w:line="276" w:lineRule="auto"/>
        <w:ind w:left="1620"/>
        <w:rPr>
          <w:sz w:val="24"/>
          <w:szCs w:val="24"/>
        </w:rPr>
      </w:pPr>
      <w:r w:rsidRPr="00D82224">
        <w:rPr>
          <w:sz w:val="24"/>
          <w:szCs w:val="24"/>
        </w:rPr>
        <w:t xml:space="preserve">Ese volumen fue tenido como prueba reina a pesar de que la literatura médica solo puede servir de criterio auxiliar de interpretación. Además, fue incorporado de modo incompleto al proceso. Igualmente, data de 2010 a pesar de que los hechos ocurrieron en 2000. Aparte de lo anterior, el fallador accionado confundió entre la prueba realizada en el servicio de urgencias y la prueba de esfuerzo durante la cual murió el señor Pinillos. A esto </w:t>
      </w:r>
      <w:r w:rsidR="00C72BED">
        <w:rPr>
          <w:sz w:val="24"/>
          <w:szCs w:val="24"/>
        </w:rPr>
        <w:t>s</w:t>
      </w:r>
      <w:r w:rsidRPr="00D82224">
        <w:rPr>
          <w:sz w:val="24"/>
          <w:szCs w:val="24"/>
        </w:rPr>
        <w:t xml:space="preserve">e une que esa publicación no dice que el ecocardiograma sea indispensable para determinar si la prueba de esfuerzo en referencia </w:t>
      </w:r>
      <w:r w:rsidR="00C72BED">
        <w:rPr>
          <w:sz w:val="24"/>
          <w:szCs w:val="24"/>
        </w:rPr>
        <w:t>podía</w:t>
      </w:r>
      <w:r w:rsidRPr="00D82224">
        <w:rPr>
          <w:sz w:val="24"/>
          <w:szCs w:val="24"/>
        </w:rPr>
        <w:t xml:space="preserve"> hacerse</w:t>
      </w:r>
      <w:r w:rsidR="00C72BED">
        <w:rPr>
          <w:sz w:val="24"/>
          <w:szCs w:val="24"/>
        </w:rPr>
        <w:t xml:space="preserve"> de modo seguro</w:t>
      </w:r>
      <w:r w:rsidRPr="00D82224">
        <w:rPr>
          <w:sz w:val="24"/>
          <w:szCs w:val="24"/>
        </w:rPr>
        <w:t>. Finalmente, la citada revista terminó reemplazando las pruebas.</w:t>
      </w:r>
    </w:p>
    <w:p w14:paraId="19ABF212" w14:textId="77777777" w:rsidR="00C72BED" w:rsidRPr="00D82224" w:rsidRDefault="00C72BED" w:rsidP="00C72BED">
      <w:pPr>
        <w:spacing w:line="276" w:lineRule="auto"/>
        <w:rPr>
          <w:sz w:val="24"/>
          <w:szCs w:val="24"/>
        </w:rPr>
      </w:pPr>
    </w:p>
    <w:p w14:paraId="183306F0" w14:textId="39FDD018" w:rsidR="00D82224" w:rsidRPr="00D82224" w:rsidRDefault="00D82224" w:rsidP="00D82224">
      <w:pPr>
        <w:numPr>
          <w:ilvl w:val="0"/>
          <w:numId w:val="29"/>
        </w:numPr>
        <w:spacing w:line="276" w:lineRule="auto"/>
        <w:ind w:left="1080"/>
        <w:rPr>
          <w:sz w:val="24"/>
          <w:szCs w:val="24"/>
        </w:rPr>
      </w:pPr>
      <w:r w:rsidRPr="00D82224">
        <w:rPr>
          <w:sz w:val="24"/>
          <w:szCs w:val="24"/>
        </w:rPr>
        <w:t xml:space="preserve">El dictamen pericial no </w:t>
      </w:r>
      <w:r w:rsidR="005D692F">
        <w:rPr>
          <w:sz w:val="24"/>
          <w:szCs w:val="24"/>
        </w:rPr>
        <w:t xml:space="preserve">contenía un </w:t>
      </w:r>
      <w:r w:rsidRPr="00D82224">
        <w:rPr>
          <w:sz w:val="24"/>
          <w:szCs w:val="24"/>
        </w:rPr>
        <w:t>error grave. Y</w:t>
      </w:r>
      <w:r w:rsidR="00C72BED">
        <w:rPr>
          <w:sz w:val="24"/>
          <w:szCs w:val="24"/>
        </w:rPr>
        <w:t>,</w:t>
      </w:r>
      <w:r w:rsidRPr="00D82224">
        <w:rPr>
          <w:sz w:val="24"/>
          <w:szCs w:val="24"/>
        </w:rPr>
        <w:t xml:space="preserve"> si </w:t>
      </w:r>
      <w:r w:rsidR="00C72BED" w:rsidRPr="00D82224">
        <w:rPr>
          <w:sz w:val="24"/>
          <w:szCs w:val="24"/>
        </w:rPr>
        <w:t xml:space="preserve">ello </w:t>
      </w:r>
      <w:r w:rsidRPr="00D82224">
        <w:rPr>
          <w:sz w:val="24"/>
          <w:szCs w:val="24"/>
        </w:rPr>
        <w:t xml:space="preserve">era cierto, el </w:t>
      </w:r>
      <w:r w:rsidR="00C72BED">
        <w:rPr>
          <w:sz w:val="24"/>
          <w:szCs w:val="24"/>
        </w:rPr>
        <w:t>juez</w:t>
      </w:r>
      <w:r w:rsidRPr="00D82224">
        <w:rPr>
          <w:sz w:val="24"/>
          <w:szCs w:val="24"/>
        </w:rPr>
        <w:t xml:space="preserve"> accionado ha debido decretar y ordenar la práctica de una nueva pericia</w:t>
      </w:r>
      <w:r w:rsidR="00C72BED">
        <w:rPr>
          <w:sz w:val="24"/>
          <w:szCs w:val="24"/>
        </w:rPr>
        <w:t xml:space="preserve">. De ese modo, habría </w:t>
      </w:r>
      <w:r w:rsidR="00E3480D">
        <w:rPr>
          <w:sz w:val="24"/>
          <w:szCs w:val="24"/>
        </w:rPr>
        <w:t xml:space="preserve">llegado </w:t>
      </w:r>
      <w:r w:rsidR="00C72BED">
        <w:rPr>
          <w:sz w:val="24"/>
          <w:szCs w:val="24"/>
        </w:rPr>
        <w:t>a la convicción a través de una experticia y no de otras fuentes</w:t>
      </w:r>
      <w:r w:rsidR="009D60D4">
        <w:rPr>
          <w:sz w:val="24"/>
          <w:szCs w:val="24"/>
        </w:rPr>
        <w:t xml:space="preserve"> irregulares.</w:t>
      </w:r>
    </w:p>
    <w:p w14:paraId="2B6C72D6" w14:textId="77777777" w:rsidR="009D60D4" w:rsidRPr="004E7227" w:rsidRDefault="009D60D4" w:rsidP="009D60D4">
      <w:pPr>
        <w:spacing w:line="276" w:lineRule="auto"/>
        <w:contextualSpacing/>
        <w:jc w:val="left"/>
        <w:rPr>
          <w:b/>
          <w:sz w:val="24"/>
          <w:szCs w:val="24"/>
          <w:lang w:val="es-ES_tradnl"/>
        </w:rPr>
      </w:pPr>
    </w:p>
    <w:p w14:paraId="7A7E4FBC" w14:textId="1CBD5DE5" w:rsidR="009D60D4" w:rsidRPr="00BB0613" w:rsidRDefault="001B45B3" w:rsidP="009D60D4">
      <w:pPr>
        <w:pStyle w:val="Prrafodelista"/>
        <w:numPr>
          <w:ilvl w:val="1"/>
          <w:numId w:val="1"/>
        </w:numPr>
        <w:spacing w:line="276" w:lineRule="auto"/>
        <w:ind w:left="0" w:firstLine="0"/>
        <w:rPr>
          <w:b/>
          <w:bCs/>
          <w:sz w:val="24"/>
          <w:szCs w:val="24"/>
        </w:rPr>
      </w:pPr>
      <w:r>
        <w:rPr>
          <w:sz w:val="24"/>
          <w:szCs w:val="24"/>
        </w:rPr>
        <w:t xml:space="preserve">Con el fin de </w:t>
      </w:r>
      <w:r w:rsidR="00121D97">
        <w:rPr>
          <w:sz w:val="24"/>
          <w:szCs w:val="24"/>
        </w:rPr>
        <w:t>examinar los cargos propuestos por la parte actora la Sala</w:t>
      </w:r>
      <w:r w:rsidR="00DD650B">
        <w:rPr>
          <w:sz w:val="24"/>
          <w:szCs w:val="24"/>
        </w:rPr>
        <w:t xml:space="preserve"> estudiará </w:t>
      </w:r>
      <w:r w:rsidR="00121D97">
        <w:rPr>
          <w:sz w:val="24"/>
          <w:szCs w:val="24"/>
        </w:rPr>
        <w:t xml:space="preserve">el análisis probatorio efectuado en la sentencia enjuiciada. Para el efecto, lo primero será identificar el núcleo de la discusión, según lo acotó la autoridad judicial accionada. Hallado lo anterior sí podrá adelantarse el ejercicio anunciado. Este no implicará </w:t>
      </w:r>
      <w:r w:rsidR="00F279A8">
        <w:rPr>
          <w:sz w:val="24"/>
          <w:szCs w:val="24"/>
        </w:rPr>
        <w:t>una valoración</w:t>
      </w:r>
      <w:r w:rsidR="00121D97">
        <w:rPr>
          <w:sz w:val="24"/>
          <w:szCs w:val="24"/>
        </w:rPr>
        <w:t xml:space="preserve"> de las pruebas obrantes en el plenario del ordinario como si este fallador fuera una instancia adicional dentro de ese asunto contencioso. Esto, como lo ha insistido la Corporación prolíficamente, le está vedado al juez de tutela. En sentido diferente, </w:t>
      </w:r>
      <w:r w:rsidR="00F279A8">
        <w:rPr>
          <w:sz w:val="24"/>
          <w:szCs w:val="24"/>
        </w:rPr>
        <w:t>la labor de este cuerpo colegiado</w:t>
      </w:r>
      <w:r w:rsidR="00121D97">
        <w:rPr>
          <w:sz w:val="24"/>
          <w:szCs w:val="24"/>
        </w:rPr>
        <w:t xml:space="preserve"> será de pura razonabilidad</w:t>
      </w:r>
      <w:r w:rsidR="00025D43">
        <w:rPr>
          <w:sz w:val="24"/>
          <w:szCs w:val="24"/>
        </w:rPr>
        <w:t>. Lo anterior se hará</w:t>
      </w:r>
      <w:r w:rsidR="00121D97">
        <w:rPr>
          <w:sz w:val="24"/>
          <w:szCs w:val="24"/>
        </w:rPr>
        <w:t xml:space="preserve"> de acuerdo con lo dilucidado directamente por la Subsección accionada en el fallo objeto de tutela.</w:t>
      </w:r>
    </w:p>
    <w:p w14:paraId="162FC865" w14:textId="77777777" w:rsidR="00BB0613" w:rsidRPr="00BB0613" w:rsidRDefault="00BB0613" w:rsidP="00BB0613">
      <w:pPr>
        <w:pStyle w:val="Prrafodelista"/>
        <w:spacing w:line="276" w:lineRule="auto"/>
        <w:ind w:left="0"/>
        <w:rPr>
          <w:b/>
          <w:bCs/>
          <w:sz w:val="24"/>
          <w:szCs w:val="24"/>
        </w:rPr>
      </w:pPr>
    </w:p>
    <w:p w14:paraId="72A0EE33" w14:textId="33721F60" w:rsidR="00BB0613" w:rsidRPr="009B1728" w:rsidRDefault="00A97B5E" w:rsidP="00BB0613">
      <w:pPr>
        <w:pStyle w:val="Prrafodelista"/>
        <w:numPr>
          <w:ilvl w:val="2"/>
          <w:numId w:val="1"/>
        </w:numPr>
        <w:spacing w:line="276" w:lineRule="auto"/>
        <w:ind w:left="0" w:firstLine="0"/>
        <w:rPr>
          <w:b/>
          <w:bCs/>
          <w:sz w:val="24"/>
          <w:szCs w:val="24"/>
        </w:rPr>
      </w:pPr>
      <w:r>
        <w:rPr>
          <w:sz w:val="24"/>
          <w:szCs w:val="24"/>
        </w:rPr>
        <w:t xml:space="preserve">El fallo enjuiciado anuncia de entrada que el deceso de </w:t>
      </w:r>
      <w:proofErr w:type="spellStart"/>
      <w:r>
        <w:rPr>
          <w:sz w:val="24"/>
          <w:szCs w:val="24"/>
        </w:rPr>
        <w:t>Joselín</w:t>
      </w:r>
      <w:proofErr w:type="spellEnd"/>
      <w:r>
        <w:rPr>
          <w:sz w:val="24"/>
          <w:szCs w:val="24"/>
        </w:rPr>
        <w:t xml:space="preserve"> Pinillos García es atribuible a la E.S.E. Hospital </w:t>
      </w:r>
      <w:r w:rsidR="00D128F4">
        <w:rPr>
          <w:sz w:val="24"/>
          <w:szCs w:val="24"/>
        </w:rPr>
        <w:t>de l</w:t>
      </w:r>
      <w:r>
        <w:rPr>
          <w:sz w:val="24"/>
          <w:szCs w:val="24"/>
        </w:rPr>
        <w:t>a Cruz de Puerto Berrío y al Centro Cardiovascular Colombiano</w:t>
      </w:r>
      <w:r w:rsidR="00D128F4">
        <w:rPr>
          <w:sz w:val="24"/>
          <w:szCs w:val="24"/>
        </w:rPr>
        <w:t xml:space="preserve"> “Clínica Santa María”</w:t>
      </w:r>
      <w:r>
        <w:rPr>
          <w:sz w:val="24"/>
          <w:szCs w:val="24"/>
        </w:rPr>
        <w:t>. Al respecto, enunció que la E.S.E. demandada incurrió en falta de diagnóstico oportuno, lo que, a su vez, incrementó el riesgo de que el señor Pinillos sufriera futuras complicaciones cardiacas. Luego, afirmó que el Centro Cardiovascular sometió al citado paciente a una prueba de esfuerzo sin evaluar previa y adecuada</w:t>
      </w:r>
      <w:r w:rsidR="001D1FFA">
        <w:rPr>
          <w:sz w:val="24"/>
          <w:szCs w:val="24"/>
        </w:rPr>
        <w:t>mente</w:t>
      </w:r>
      <w:r>
        <w:rPr>
          <w:sz w:val="24"/>
          <w:szCs w:val="24"/>
        </w:rPr>
        <w:t xml:space="preserve"> su dinámica cardiaca, lo cual terminó en el deceso de este. De ese </w:t>
      </w:r>
      <w:r>
        <w:rPr>
          <w:sz w:val="24"/>
          <w:szCs w:val="24"/>
        </w:rPr>
        <w:lastRenderedPageBreak/>
        <w:t xml:space="preserve">modo, el </w:t>
      </w:r>
      <w:r w:rsidR="001D1FFA">
        <w:rPr>
          <w:sz w:val="24"/>
          <w:szCs w:val="24"/>
        </w:rPr>
        <w:t>núcleo</w:t>
      </w:r>
      <w:r>
        <w:rPr>
          <w:sz w:val="24"/>
          <w:szCs w:val="24"/>
        </w:rPr>
        <w:t xml:space="preserve"> de la discusión presente en la sentencia censurada está en ese preciso punto: el accionante no examinó el estado en que el corazón de </w:t>
      </w:r>
      <w:proofErr w:type="spellStart"/>
      <w:r>
        <w:rPr>
          <w:sz w:val="24"/>
          <w:szCs w:val="24"/>
        </w:rPr>
        <w:t>Joselín</w:t>
      </w:r>
      <w:proofErr w:type="spellEnd"/>
      <w:r>
        <w:rPr>
          <w:sz w:val="24"/>
          <w:szCs w:val="24"/>
        </w:rPr>
        <w:t xml:space="preserve"> Pinillos se encontraba antes de realizarle la referida prueba de esfuerzo.</w:t>
      </w:r>
    </w:p>
    <w:p w14:paraId="2CF2BCC3" w14:textId="77777777" w:rsidR="009B1728" w:rsidRPr="009B1728" w:rsidRDefault="009B1728" w:rsidP="009B1728">
      <w:pPr>
        <w:pStyle w:val="Prrafodelista"/>
        <w:spacing w:line="276" w:lineRule="auto"/>
        <w:ind w:left="0"/>
        <w:rPr>
          <w:b/>
          <w:bCs/>
          <w:sz w:val="24"/>
          <w:szCs w:val="24"/>
        </w:rPr>
      </w:pPr>
    </w:p>
    <w:p w14:paraId="660FA03F" w14:textId="588AF6EB" w:rsidR="000837F5" w:rsidRPr="000837F5" w:rsidRDefault="00891FC2" w:rsidP="00BB0613">
      <w:pPr>
        <w:pStyle w:val="Prrafodelista"/>
        <w:numPr>
          <w:ilvl w:val="2"/>
          <w:numId w:val="1"/>
        </w:numPr>
        <w:spacing w:line="276" w:lineRule="auto"/>
        <w:ind w:left="0" w:firstLine="0"/>
        <w:rPr>
          <w:b/>
          <w:bCs/>
          <w:sz w:val="24"/>
          <w:szCs w:val="24"/>
        </w:rPr>
      </w:pPr>
      <w:r>
        <w:rPr>
          <w:sz w:val="24"/>
          <w:szCs w:val="24"/>
        </w:rPr>
        <w:t xml:space="preserve">Ese núcleo tuvo un desarrollo que </w:t>
      </w:r>
      <w:r w:rsidR="00CE3BAE">
        <w:rPr>
          <w:sz w:val="24"/>
          <w:szCs w:val="24"/>
        </w:rPr>
        <w:t xml:space="preserve">a </w:t>
      </w:r>
      <w:r>
        <w:rPr>
          <w:sz w:val="24"/>
          <w:szCs w:val="24"/>
        </w:rPr>
        <w:t xml:space="preserve">esta Sala le resulta razonable de acuerdo con las condiciones clínicas </w:t>
      </w:r>
      <w:r w:rsidR="00CE3BAE">
        <w:rPr>
          <w:sz w:val="24"/>
          <w:szCs w:val="24"/>
        </w:rPr>
        <w:t xml:space="preserve">específicas </w:t>
      </w:r>
      <w:r>
        <w:rPr>
          <w:sz w:val="24"/>
          <w:szCs w:val="24"/>
        </w:rPr>
        <w:t xml:space="preserve">que experimentaba </w:t>
      </w:r>
      <w:proofErr w:type="spellStart"/>
      <w:r>
        <w:rPr>
          <w:sz w:val="24"/>
          <w:szCs w:val="24"/>
        </w:rPr>
        <w:t>Joselín</w:t>
      </w:r>
      <w:proofErr w:type="spellEnd"/>
      <w:r>
        <w:rPr>
          <w:sz w:val="24"/>
          <w:szCs w:val="24"/>
        </w:rPr>
        <w:t xml:space="preserve"> Pinillos García, según lo reflejan las pruebas.</w:t>
      </w:r>
      <w:r w:rsidR="000837F5">
        <w:rPr>
          <w:sz w:val="24"/>
          <w:szCs w:val="24"/>
        </w:rPr>
        <w:t xml:space="preserve"> </w:t>
      </w:r>
      <w:r w:rsidR="0006136F">
        <w:rPr>
          <w:sz w:val="24"/>
          <w:szCs w:val="24"/>
        </w:rPr>
        <w:t>A lo anterior referirá el siguiente desarrollo:</w:t>
      </w:r>
    </w:p>
    <w:p w14:paraId="0083882D" w14:textId="77777777" w:rsidR="000837F5" w:rsidRPr="009A6AC1" w:rsidRDefault="000837F5" w:rsidP="009A6AC1">
      <w:pPr>
        <w:rPr>
          <w:sz w:val="24"/>
          <w:szCs w:val="24"/>
        </w:rPr>
      </w:pPr>
    </w:p>
    <w:p w14:paraId="023768A7" w14:textId="04CA68FE" w:rsidR="009B1728" w:rsidRDefault="000837F5" w:rsidP="009A6AC1">
      <w:pPr>
        <w:pStyle w:val="Prrafodelista"/>
        <w:numPr>
          <w:ilvl w:val="3"/>
          <w:numId w:val="1"/>
        </w:numPr>
        <w:spacing w:line="276" w:lineRule="auto"/>
        <w:ind w:left="0" w:firstLine="0"/>
        <w:rPr>
          <w:sz w:val="24"/>
          <w:szCs w:val="24"/>
        </w:rPr>
      </w:pPr>
      <w:r>
        <w:rPr>
          <w:sz w:val="24"/>
          <w:szCs w:val="24"/>
        </w:rPr>
        <w:t>Es cierto que una de las razones por las cuales prosperó la objeción por error grave, formulada en contra del dictamen pericial practicado en sede ordinaria, consistió en que el perito no era cardiólogo. En efecto, la sentencia bajo examen retiñ</w:t>
      </w:r>
      <w:r w:rsidR="00790A1D">
        <w:rPr>
          <w:sz w:val="24"/>
          <w:szCs w:val="24"/>
        </w:rPr>
        <w:t>ó</w:t>
      </w:r>
      <w:r>
        <w:rPr>
          <w:sz w:val="24"/>
          <w:szCs w:val="24"/>
        </w:rPr>
        <w:t xml:space="preserve"> que la pericia en mención fue rendida por un especialista en daño corporal, lo cual le </w:t>
      </w:r>
      <w:r w:rsidR="00B42866">
        <w:rPr>
          <w:sz w:val="24"/>
          <w:szCs w:val="24"/>
        </w:rPr>
        <w:t>resultó</w:t>
      </w:r>
      <w:r>
        <w:rPr>
          <w:sz w:val="24"/>
          <w:szCs w:val="24"/>
        </w:rPr>
        <w:t xml:space="preserve"> cuestionable. Tan</w:t>
      </w:r>
      <w:r w:rsidR="00790A1D">
        <w:rPr>
          <w:sz w:val="24"/>
          <w:szCs w:val="24"/>
        </w:rPr>
        <w:t xml:space="preserve"> fue</w:t>
      </w:r>
      <w:r>
        <w:rPr>
          <w:sz w:val="24"/>
          <w:szCs w:val="24"/>
        </w:rPr>
        <w:t xml:space="preserve"> así que </w:t>
      </w:r>
      <w:r w:rsidR="00790A1D">
        <w:rPr>
          <w:sz w:val="24"/>
          <w:szCs w:val="24"/>
        </w:rPr>
        <w:t>tuvo</w:t>
      </w:r>
      <w:r>
        <w:rPr>
          <w:sz w:val="24"/>
          <w:szCs w:val="24"/>
        </w:rPr>
        <w:t xml:space="preserve"> por inidóneas sus conclusiones, pues no </w:t>
      </w:r>
      <w:r w:rsidR="00790A1D">
        <w:rPr>
          <w:sz w:val="24"/>
          <w:szCs w:val="24"/>
        </w:rPr>
        <w:t>les vio</w:t>
      </w:r>
      <w:r>
        <w:rPr>
          <w:sz w:val="24"/>
          <w:szCs w:val="24"/>
        </w:rPr>
        <w:t xml:space="preserve"> el grado de especificidad de la que sí goza</w:t>
      </w:r>
      <w:r w:rsidR="00B42866">
        <w:rPr>
          <w:sz w:val="24"/>
          <w:szCs w:val="24"/>
        </w:rPr>
        <w:t>ría</w:t>
      </w:r>
      <w:r>
        <w:rPr>
          <w:sz w:val="24"/>
          <w:szCs w:val="24"/>
        </w:rPr>
        <w:t xml:space="preserve"> un experto en cardiología. Ello lo respaldó en una precisión adicional: el fallador contencioso administrativo de primera instancia había revocado la orden de que el examen fuera efectuado por un médico legista y, en su lugar, prescribió que este fuera hecho por un cardiólogo.</w:t>
      </w:r>
      <w:r w:rsidR="00FD22DA">
        <w:rPr>
          <w:sz w:val="24"/>
          <w:szCs w:val="24"/>
        </w:rPr>
        <w:t xml:space="preserve"> Así, siguió el parámetro procesal fijado por su inferior, en la medida en que fue este el que decretó y ordenó la práctica de la prueba en cita al verla necesaria, conducente y pertinente.</w:t>
      </w:r>
    </w:p>
    <w:p w14:paraId="1219EDB6" w14:textId="07C12900" w:rsidR="000837F5" w:rsidRDefault="000837F5" w:rsidP="000837F5">
      <w:pPr>
        <w:pStyle w:val="Prrafodelista"/>
        <w:spacing w:line="276" w:lineRule="auto"/>
        <w:ind w:left="0"/>
        <w:rPr>
          <w:sz w:val="24"/>
          <w:szCs w:val="24"/>
        </w:rPr>
      </w:pPr>
    </w:p>
    <w:p w14:paraId="6CC99632" w14:textId="0FC0259F" w:rsidR="00C43823" w:rsidRDefault="000837F5" w:rsidP="000837F5">
      <w:pPr>
        <w:pStyle w:val="Prrafodelista"/>
        <w:spacing w:line="276" w:lineRule="auto"/>
        <w:ind w:left="0"/>
        <w:rPr>
          <w:sz w:val="24"/>
          <w:szCs w:val="24"/>
        </w:rPr>
      </w:pPr>
      <w:r>
        <w:rPr>
          <w:sz w:val="24"/>
          <w:szCs w:val="24"/>
        </w:rPr>
        <w:t xml:space="preserve">No es cierto, sin embargo, que el motivo reconstruido haya sido el único. De hecho, la providencia </w:t>
      </w:r>
      <w:r w:rsidR="00AE40CC">
        <w:rPr>
          <w:sz w:val="24"/>
          <w:szCs w:val="24"/>
        </w:rPr>
        <w:t xml:space="preserve">bajo estudio esgrimió que la pericia carecía de aptitud demostrativa, pues sus conclusiones no fueron soportadas debidamente. </w:t>
      </w:r>
      <w:r w:rsidR="00C43823">
        <w:rPr>
          <w:sz w:val="24"/>
          <w:szCs w:val="24"/>
        </w:rPr>
        <w:t>Para esto expuso dos razones.</w:t>
      </w:r>
    </w:p>
    <w:p w14:paraId="247C1184" w14:textId="77777777" w:rsidR="00C43823" w:rsidRDefault="00C43823" w:rsidP="000837F5">
      <w:pPr>
        <w:pStyle w:val="Prrafodelista"/>
        <w:spacing w:line="276" w:lineRule="auto"/>
        <w:ind w:left="0"/>
        <w:rPr>
          <w:sz w:val="24"/>
          <w:szCs w:val="24"/>
        </w:rPr>
      </w:pPr>
    </w:p>
    <w:p w14:paraId="36EB6112" w14:textId="16ED70CD" w:rsidR="00C43823" w:rsidRDefault="00C43823" w:rsidP="000837F5">
      <w:pPr>
        <w:pStyle w:val="Prrafodelista"/>
        <w:spacing w:line="276" w:lineRule="auto"/>
        <w:ind w:left="0"/>
        <w:rPr>
          <w:sz w:val="24"/>
          <w:szCs w:val="24"/>
        </w:rPr>
      </w:pPr>
      <w:r>
        <w:rPr>
          <w:sz w:val="24"/>
          <w:szCs w:val="24"/>
        </w:rPr>
        <w:t>E</w:t>
      </w:r>
      <w:r w:rsidR="00AE40CC">
        <w:rPr>
          <w:sz w:val="24"/>
          <w:szCs w:val="24"/>
        </w:rPr>
        <w:t xml:space="preserve">l experto, </w:t>
      </w:r>
      <w:r>
        <w:rPr>
          <w:sz w:val="24"/>
          <w:szCs w:val="24"/>
        </w:rPr>
        <w:t xml:space="preserve">primero, </w:t>
      </w:r>
      <w:r w:rsidR="00AE40CC">
        <w:rPr>
          <w:sz w:val="24"/>
          <w:szCs w:val="24"/>
        </w:rPr>
        <w:t xml:space="preserve">al final de su pronunciamiento, referenció una bibliografía. No obstante, en el cuerpo del peritaje no sustentó cuáles de sus aseveraciones se basaban en </w:t>
      </w:r>
      <w:r>
        <w:rPr>
          <w:sz w:val="24"/>
          <w:szCs w:val="24"/>
        </w:rPr>
        <w:t>es</w:t>
      </w:r>
      <w:r w:rsidR="00AE40CC">
        <w:rPr>
          <w:sz w:val="24"/>
          <w:szCs w:val="24"/>
        </w:rPr>
        <w:t>os textos</w:t>
      </w:r>
      <w:r w:rsidR="000A555D">
        <w:rPr>
          <w:sz w:val="24"/>
          <w:szCs w:val="24"/>
        </w:rPr>
        <w:t>. Por tanto, esos documentos</w:t>
      </w:r>
      <w:r w:rsidR="00AE40CC">
        <w:rPr>
          <w:sz w:val="24"/>
          <w:szCs w:val="24"/>
        </w:rPr>
        <w:t xml:space="preserve"> resultaron apenas mencionados. Ello indica que no sirvieron de base real de los argumentos propuestos en la experticia.</w:t>
      </w:r>
    </w:p>
    <w:p w14:paraId="026E45FE" w14:textId="77777777" w:rsidR="00C43823" w:rsidRDefault="00C43823" w:rsidP="000837F5">
      <w:pPr>
        <w:pStyle w:val="Prrafodelista"/>
        <w:spacing w:line="276" w:lineRule="auto"/>
        <w:ind w:left="0"/>
        <w:rPr>
          <w:sz w:val="24"/>
          <w:szCs w:val="24"/>
        </w:rPr>
      </w:pPr>
    </w:p>
    <w:p w14:paraId="184E9C3A" w14:textId="39C91553" w:rsidR="000837F5" w:rsidRDefault="00C43823" w:rsidP="000837F5">
      <w:pPr>
        <w:pStyle w:val="Prrafodelista"/>
        <w:spacing w:line="276" w:lineRule="auto"/>
        <w:ind w:left="0"/>
        <w:rPr>
          <w:sz w:val="24"/>
          <w:szCs w:val="24"/>
        </w:rPr>
      </w:pPr>
      <w:r>
        <w:rPr>
          <w:sz w:val="24"/>
          <w:szCs w:val="24"/>
        </w:rPr>
        <w:t>E</w:t>
      </w:r>
      <w:r w:rsidR="00AE40CC">
        <w:rPr>
          <w:sz w:val="24"/>
          <w:szCs w:val="24"/>
        </w:rPr>
        <w:t xml:space="preserve">n todo caso, </w:t>
      </w:r>
      <w:r>
        <w:rPr>
          <w:sz w:val="24"/>
          <w:szCs w:val="24"/>
        </w:rPr>
        <w:t xml:space="preserve">segundo, </w:t>
      </w:r>
      <w:r w:rsidR="00AE40CC">
        <w:rPr>
          <w:sz w:val="24"/>
          <w:szCs w:val="24"/>
        </w:rPr>
        <w:t>el perito no aportó los documentos referenciados por él. De ese modo, impidió que pudiera verificarse la validez de sus asertos. Así las cosas, presentó un informe con meras afirmaciones</w:t>
      </w:r>
      <w:r>
        <w:rPr>
          <w:sz w:val="24"/>
          <w:szCs w:val="24"/>
        </w:rPr>
        <w:t>, observa esta Sala</w:t>
      </w:r>
      <w:r w:rsidR="00AE40CC">
        <w:rPr>
          <w:sz w:val="24"/>
          <w:szCs w:val="24"/>
        </w:rPr>
        <w:t>.</w:t>
      </w:r>
      <w:r>
        <w:rPr>
          <w:sz w:val="24"/>
          <w:szCs w:val="24"/>
        </w:rPr>
        <w:t xml:space="preserve"> </w:t>
      </w:r>
      <w:r w:rsidR="003A4336">
        <w:rPr>
          <w:sz w:val="24"/>
          <w:szCs w:val="24"/>
        </w:rPr>
        <w:t>De ese modo, s</w:t>
      </w:r>
      <w:r>
        <w:rPr>
          <w:sz w:val="24"/>
          <w:szCs w:val="24"/>
        </w:rPr>
        <w:t>e presenta como razonable</w:t>
      </w:r>
      <w:r w:rsidR="003A4336">
        <w:rPr>
          <w:sz w:val="24"/>
          <w:szCs w:val="24"/>
        </w:rPr>
        <w:t xml:space="preserve"> </w:t>
      </w:r>
      <w:r>
        <w:rPr>
          <w:sz w:val="24"/>
          <w:szCs w:val="24"/>
        </w:rPr>
        <w:t>que</w:t>
      </w:r>
      <w:r w:rsidR="003A4336">
        <w:rPr>
          <w:sz w:val="24"/>
          <w:szCs w:val="24"/>
        </w:rPr>
        <w:t>,</w:t>
      </w:r>
      <w:r>
        <w:rPr>
          <w:sz w:val="24"/>
          <w:szCs w:val="24"/>
        </w:rPr>
        <w:t xml:space="preserve"> por esas fallas graves</w:t>
      </w:r>
      <w:r w:rsidR="003A4336">
        <w:rPr>
          <w:sz w:val="24"/>
          <w:szCs w:val="24"/>
        </w:rPr>
        <w:t>,</w:t>
      </w:r>
      <w:r>
        <w:rPr>
          <w:sz w:val="24"/>
          <w:szCs w:val="24"/>
        </w:rPr>
        <w:t xml:space="preserve"> se haya restado valor al dictamen en cita</w:t>
      </w:r>
      <w:r w:rsidR="003A4336">
        <w:rPr>
          <w:sz w:val="24"/>
          <w:szCs w:val="24"/>
        </w:rPr>
        <w:t xml:space="preserve">. </w:t>
      </w:r>
      <w:r w:rsidR="00D12060">
        <w:rPr>
          <w:sz w:val="24"/>
          <w:szCs w:val="24"/>
        </w:rPr>
        <w:t>De hecho</w:t>
      </w:r>
      <w:r>
        <w:rPr>
          <w:sz w:val="24"/>
          <w:szCs w:val="24"/>
        </w:rPr>
        <w:t>, las afirmaciones sin sustento no son merecedoras de confianza y, menos aún, de ser tenidas como prueba certeza y veraz.</w:t>
      </w:r>
    </w:p>
    <w:p w14:paraId="676658C9" w14:textId="5C68F20E" w:rsidR="00AE40CC" w:rsidRDefault="00AE40CC" w:rsidP="000837F5">
      <w:pPr>
        <w:pStyle w:val="Prrafodelista"/>
        <w:spacing w:line="276" w:lineRule="auto"/>
        <w:ind w:left="0"/>
        <w:rPr>
          <w:sz w:val="24"/>
          <w:szCs w:val="24"/>
        </w:rPr>
      </w:pPr>
    </w:p>
    <w:p w14:paraId="411AF786" w14:textId="0C4AF21F" w:rsidR="00AE40CC" w:rsidRPr="00ED0B27" w:rsidRDefault="00ED0B27" w:rsidP="006003B3">
      <w:pPr>
        <w:pStyle w:val="Prrafodelista"/>
        <w:numPr>
          <w:ilvl w:val="3"/>
          <w:numId w:val="1"/>
        </w:numPr>
        <w:spacing w:line="276" w:lineRule="auto"/>
        <w:ind w:left="0" w:firstLine="0"/>
        <w:rPr>
          <w:b/>
          <w:bCs/>
          <w:sz w:val="24"/>
          <w:szCs w:val="24"/>
        </w:rPr>
      </w:pPr>
      <w:r>
        <w:rPr>
          <w:sz w:val="24"/>
          <w:szCs w:val="24"/>
        </w:rPr>
        <w:t xml:space="preserve">A esa doble dificultad </w:t>
      </w:r>
      <w:r w:rsidR="006003B3">
        <w:rPr>
          <w:sz w:val="24"/>
          <w:szCs w:val="24"/>
        </w:rPr>
        <w:t>se unió</w:t>
      </w:r>
      <w:r>
        <w:rPr>
          <w:sz w:val="24"/>
          <w:szCs w:val="24"/>
        </w:rPr>
        <w:t xml:space="preserve"> que, dentro del trámite por objeción grave, </w:t>
      </w:r>
      <w:r>
        <w:rPr>
          <w:i/>
          <w:iCs/>
          <w:sz w:val="24"/>
          <w:szCs w:val="24"/>
        </w:rPr>
        <w:t>contrario sensu</w:t>
      </w:r>
      <w:r>
        <w:rPr>
          <w:sz w:val="24"/>
          <w:szCs w:val="24"/>
        </w:rPr>
        <w:t xml:space="preserve">, el peritaje fue derrotado. </w:t>
      </w:r>
      <w:r w:rsidR="009A6AC1">
        <w:rPr>
          <w:sz w:val="24"/>
          <w:szCs w:val="24"/>
        </w:rPr>
        <w:t xml:space="preserve">Esa derrota resulta cierta a partir de varios elementos de convicción y de un criterio auxiliar que respalda lo que esas probanzas demuestran por sí solas. De acuerdo con esas piezas, era imprescindible valorar con más detalle el estado del músculo cardiaco del señor Pinillos antes de practicarle la prueba de esfuerzo que le resultó fatal. Ese juicio lo encontró opuesto al decir de la </w:t>
      </w:r>
      <w:r w:rsidR="006003B3">
        <w:rPr>
          <w:sz w:val="24"/>
          <w:szCs w:val="24"/>
        </w:rPr>
        <w:t>experticia</w:t>
      </w:r>
      <w:r w:rsidR="009A6AC1">
        <w:rPr>
          <w:sz w:val="24"/>
          <w:szCs w:val="24"/>
        </w:rPr>
        <w:t xml:space="preserve">, según la cual esa valoración </w:t>
      </w:r>
      <w:r w:rsidR="006003B3">
        <w:rPr>
          <w:sz w:val="24"/>
          <w:szCs w:val="24"/>
        </w:rPr>
        <w:t xml:space="preserve">previa </w:t>
      </w:r>
      <w:r w:rsidR="009A6AC1">
        <w:rPr>
          <w:sz w:val="24"/>
          <w:szCs w:val="24"/>
        </w:rPr>
        <w:t>no era indispensable</w:t>
      </w:r>
      <w:r w:rsidR="0006136F">
        <w:rPr>
          <w:sz w:val="24"/>
          <w:szCs w:val="24"/>
        </w:rPr>
        <w:t xml:space="preserve"> sino solo útil.</w:t>
      </w:r>
    </w:p>
    <w:p w14:paraId="5AC5D0E3" w14:textId="77777777" w:rsidR="009D60D4" w:rsidRDefault="009D60D4" w:rsidP="009D60D4">
      <w:pPr>
        <w:spacing w:line="276" w:lineRule="auto"/>
        <w:rPr>
          <w:b/>
          <w:bCs/>
          <w:sz w:val="24"/>
          <w:szCs w:val="24"/>
        </w:rPr>
      </w:pPr>
    </w:p>
    <w:p w14:paraId="2E415185" w14:textId="2F92B313" w:rsidR="00D82224" w:rsidRDefault="00A07BEE" w:rsidP="00C72BED">
      <w:pPr>
        <w:spacing w:line="276" w:lineRule="auto"/>
        <w:rPr>
          <w:sz w:val="24"/>
          <w:szCs w:val="24"/>
        </w:rPr>
      </w:pPr>
      <w:r>
        <w:rPr>
          <w:sz w:val="24"/>
          <w:szCs w:val="24"/>
        </w:rPr>
        <w:lastRenderedPageBreak/>
        <w:t>Al escoger el criterio de respaldo, la Subsección accionada encontró que podía servirle de criterio auxiliar por varios motivos. En primer lugar, observó que las demandadas tuvieron la oportunidad procesal para referirse a ese material adicional. En segundo lugar, evidenció que las conclusiones médicas anotadas allí: (i) no fueron desvirtuadas con estudios de similar naturaleza u otra</w:t>
      </w:r>
      <w:r w:rsidR="005D692F">
        <w:rPr>
          <w:sz w:val="24"/>
          <w:szCs w:val="24"/>
        </w:rPr>
        <w:t>s</w:t>
      </w:r>
      <w:r>
        <w:rPr>
          <w:sz w:val="24"/>
          <w:szCs w:val="24"/>
        </w:rPr>
        <w:t xml:space="preserve"> pruebas; (ii) estuvieron relacionadas directamente con los hechos materia de su estudio, por lo que encontró en ello identidad por comparabilidad; (iii) gozan de claridad;</w:t>
      </w:r>
      <w:r w:rsidR="00B76FE0">
        <w:rPr>
          <w:sz w:val="24"/>
          <w:szCs w:val="24"/>
        </w:rPr>
        <w:t xml:space="preserve"> y</w:t>
      </w:r>
      <w:r>
        <w:rPr>
          <w:sz w:val="24"/>
          <w:szCs w:val="24"/>
        </w:rPr>
        <w:t xml:space="preserve"> (iv) son reconocidas en el ámbito médico por provenir de la </w:t>
      </w:r>
      <w:r w:rsidR="00CA6960">
        <w:rPr>
          <w:sz w:val="24"/>
          <w:szCs w:val="24"/>
        </w:rPr>
        <w:t>Sociedad</w:t>
      </w:r>
      <w:r>
        <w:rPr>
          <w:sz w:val="24"/>
          <w:szCs w:val="24"/>
        </w:rPr>
        <w:t xml:space="preserve"> Colombiana de Cardiología.</w:t>
      </w:r>
    </w:p>
    <w:p w14:paraId="745374AE" w14:textId="40B02F8C" w:rsidR="00A07BEE" w:rsidRDefault="00A07BEE" w:rsidP="00C72BED">
      <w:pPr>
        <w:spacing w:line="276" w:lineRule="auto"/>
        <w:rPr>
          <w:sz w:val="24"/>
          <w:szCs w:val="24"/>
        </w:rPr>
      </w:pPr>
    </w:p>
    <w:p w14:paraId="00D1368E" w14:textId="592503E8" w:rsidR="00035168" w:rsidRDefault="00A07BEE" w:rsidP="00C72BED">
      <w:pPr>
        <w:spacing w:line="276" w:lineRule="auto"/>
        <w:rPr>
          <w:sz w:val="24"/>
          <w:szCs w:val="24"/>
        </w:rPr>
      </w:pPr>
      <w:r>
        <w:rPr>
          <w:sz w:val="24"/>
          <w:szCs w:val="24"/>
        </w:rPr>
        <w:t xml:space="preserve">Esta Sala observa en lo anterior un argumento construido con base en premisas que conducen válidamente a una conclusión. </w:t>
      </w:r>
      <w:r w:rsidR="00895DB7">
        <w:rPr>
          <w:sz w:val="24"/>
          <w:szCs w:val="24"/>
        </w:rPr>
        <w:t xml:space="preserve">Hay, entonces, cinco </w:t>
      </w:r>
      <w:r w:rsidR="00CD3223">
        <w:rPr>
          <w:sz w:val="24"/>
          <w:szCs w:val="24"/>
        </w:rPr>
        <w:t xml:space="preserve">motivos razonables </w:t>
      </w:r>
      <w:r w:rsidR="00895DB7">
        <w:rPr>
          <w:sz w:val="24"/>
          <w:szCs w:val="24"/>
        </w:rPr>
        <w:t>por l</w:t>
      </w:r>
      <w:r w:rsidR="00310E3F">
        <w:rPr>
          <w:sz w:val="24"/>
          <w:szCs w:val="24"/>
        </w:rPr>
        <w:t>o</w:t>
      </w:r>
      <w:r w:rsidR="00895DB7">
        <w:rPr>
          <w:sz w:val="24"/>
          <w:szCs w:val="24"/>
        </w:rPr>
        <w:t xml:space="preserve">s cuales la </w:t>
      </w:r>
      <w:r w:rsidR="00CD3223">
        <w:rPr>
          <w:sz w:val="24"/>
          <w:szCs w:val="24"/>
        </w:rPr>
        <w:t>autoridad accionada consideró que la bibliografía médica aportada al momento de objetarse el dictamen en comento podía ser tomada como criterio auxiliar de interpretación. Nótese que, desde el comienzo, ese material es identificado con toda claridad como parámetro adicional. Ello resta mérito a lo dicho por el actor en su escrito de tutela, pues esa pieza no fue prueba reina dentro del asunto bajo examen.</w:t>
      </w:r>
      <w:r w:rsidR="0006136F">
        <w:rPr>
          <w:sz w:val="24"/>
          <w:szCs w:val="24"/>
        </w:rPr>
        <w:t xml:space="preserve"> Por tanto, como se verá, en ningún momento reemplazó las pruebas.</w:t>
      </w:r>
    </w:p>
    <w:p w14:paraId="2064848B" w14:textId="77777777" w:rsidR="0006136F" w:rsidRDefault="0006136F" w:rsidP="00C72BED">
      <w:pPr>
        <w:spacing w:line="276" w:lineRule="auto"/>
        <w:rPr>
          <w:sz w:val="24"/>
          <w:szCs w:val="24"/>
        </w:rPr>
      </w:pPr>
    </w:p>
    <w:p w14:paraId="654666EC" w14:textId="32D24FA3" w:rsidR="00035168" w:rsidRPr="00035168" w:rsidRDefault="00035168" w:rsidP="00035168">
      <w:pPr>
        <w:pStyle w:val="Prrafodelista"/>
        <w:numPr>
          <w:ilvl w:val="3"/>
          <w:numId w:val="1"/>
        </w:numPr>
        <w:spacing w:line="276" w:lineRule="auto"/>
        <w:ind w:left="0" w:firstLine="0"/>
        <w:rPr>
          <w:b/>
          <w:bCs/>
          <w:sz w:val="24"/>
          <w:szCs w:val="24"/>
        </w:rPr>
      </w:pPr>
      <w:r>
        <w:rPr>
          <w:sz w:val="24"/>
          <w:szCs w:val="24"/>
        </w:rPr>
        <w:t xml:space="preserve">Esta Subsección debe centrarse ahora en el momento culmen en el que el proveído censurado determinó la responsabilidad del actor. Al respecto, debe anotarse que la </w:t>
      </w:r>
      <w:r w:rsidRPr="00035168">
        <w:rPr>
          <w:sz w:val="24"/>
          <w:szCs w:val="24"/>
        </w:rPr>
        <w:t>Sala</w:t>
      </w:r>
      <w:r>
        <w:rPr>
          <w:sz w:val="24"/>
          <w:szCs w:val="24"/>
        </w:rPr>
        <w:t xml:space="preserve"> accionada encontró que </w:t>
      </w:r>
      <w:proofErr w:type="spellStart"/>
      <w:r>
        <w:rPr>
          <w:sz w:val="24"/>
          <w:szCs w:val="24"/>
        </w:rPr>
        <w:t>Joselín</w:t>
      </w:r>
      <w:proofErr w:type="spellEnd"/>
      <w:r>
        <w:rPr>
          <w:sz w:val="24"/>
          <w:szCs w:val="24"/>
        </w:rPr>
        <w:t xml:space="preserve"> Pinillos García llegó al Centro Cardiovascular Colombiano en una situación particular. En efecto, el señor Pinillos no había sido diagnosticado a tiempo en sede de la E.S.E. demandada. El simple paso del tiempo (dos días) demuestra </w:t>
      </w:r>
      <w:r w:rsidR="002C3AF7">
        <w:rPr>
          <w:sz w:val="24"/>
          <w:szCs w:val="24"/>
        </w:rPr>
        <w:t xml:space="preserve">razonablemente </w:t>
      </w:r>
      <w:r>
        <w:rPr>
          <w:sz w:val="24"/>
          <w:szCs w:val="24"/>
        </w:rPr>
        <w:t xml:space="preserve">ese </w:t>
      </w:r>
      <w:r w:rsidR="0006136F">
        <w:rPr>
          <w:sz w:val="24"/>
          <w:szCs w:val="24"/>
        </w:rPr>
        <w:t>hecho</w:t>
      </w:r>
      <w:r>
        <w:rPr>
          <w:sz w:val="24"/>
          <w:szCs w:val="24"/>
        </w:rPr>
        <w:t xml:space="preserve">. </w:t>
      </w:r>
      <w:r w:rsidR="004B7951">
        <w:rPr>
          <w:sz w:val="24"/>
          <w:szCs w:val="24"/>
        </w:rPr>
        <w:t>Así</w:t>
      </w:r>
      <w:r>
        <w:rPr>
          <w:sz w:val="24"/>
          <w:szCs w:val="24"/>
        </w:rPr>
        <w:t xml:space="preserve">, el </w:t>
      </w:r>
      <w:r w:rsidR="002C3AF7">
        <w:rPr>
          <w:sz w:val="24"/>
          <w:szCs w:val="24"/>
        </w:rPr>
        <w:t>enfermo</w:t>
      </w:r>
      <w:r>
        <w:rPr>
          <w:sz w:val="24"/>
          <w:szCs w:val="24"/>
        </w:rPr>
        <w:t xml:space="preserve"> fue demorado en recibir asistencia médica. Por eso no pudo recibir el tratamiento que es pertinente cuando un infarto cardiaco tiene pocas horas de haber ocurrido. Ello implicó que no pudieran realizarse las maniobras invasivas que hubieran tenido lugar.</w:t>
      </w:r>
    </w:p>
    <w:p w14:paraId="1B28E563" w14:textId="634BE4FE" w:rsidR="000C7E44" w:rsidRDefault="000C7E44" w:rsidP="00F77BC5">
      <w:pPr>
        <w:overflowPunct w:val="0"/>
        <w:autoSpaceDE w:val="0"/>
        <w:autoSpaceDN w:val="0"/>
        <w:adjustRightInd w:val="0"/>
        <w:spacing w:line="276" w:lineRule="auto"/>
        <w:contextualSpacing/>
        <w:rPr>
          <w:rFonts w:eastAsia="Times New Roman"/>
          <w:sz w:val="24"/>
          <w:szCs w:val="24"/>
          <w:lang w:eastAsia="es-ES"/>
        </w:rPr>
      </w:pPr>
    </w:p>
    <w:p w14:paraId="719CDE41" w14:textId="1B7BEB0A" w:rsidR="00CA6960" w:rsidRDefault="00CA6960" w:rsidP="00F77BC5">
      <w:pPr>
        <w:overflowPunct w:val="0"/>
        <w:autoSpaceDE w:val="0"/>
        <w:autoSpaceDN w:val="0"/>
        <w:adjustRightInd w:val="0"/>
        <w:spacing w:line="276" w:lineRule="auto"/>
        <w:contextualSpacing/>
        <w:rPr>
          <w:rFonts w:eastAsia="Times New Roman"/>
          <w:sz w:val="24"/>
          <w:szCs w:val="24"/>
          <w:lang w:eastAsia="es-ES"/>
        </w:rPr>
      </w:pPr>
      <w:r>
        <w:rPr>
          <w:rFonts w:eastAsia="Times New Roman"/>
          <w:sz w:val="24"/>
          <w:szCs w:val="24"/>
          <w:lang w:eastAsia="es-ES"/>
        </w:rPr>
        <w:t>Esa observación fue hecha, no por la autoridad reprochada, sino por el médico Francisco Eladio López. Ahora, ese aserto la Sala en cita lo encontró corroborado en lo dicho por la revista ya identificada. Por ese motivo, dio por convalidado lo dicho por el referido profesional de la salud.</w:t>
      </w:r>
      <w:r w:rsidR="002C3AF7">
        <w:rPr>
          <w:rFonts w:eastAsia="Times New Roman"/>
          <w:sz w:val="24"/>
          <w:szCs w:val="24"/>
          <w:lang w:eastAsia="es-ES"/>
        </w:rPr>
        <w:t xml:space="preserve"> Ello implicó que la Subsección accionada exigiera de modo razonable que esas demoras fueran tenidas en cuenta por el Centro Cardiovascular, pues dio por probado que estas agravaron la situación del fallecido.</w:t>
      </w:r>
    </w:p>
    <w:p w14:paraId="60CC9C9F" w14:textId="5571462B" w:rsidR="00CA6960" w:rsidRDefault="00CA6960" w:rsidP="00F77BC5">
      <w:pPr>
        <w:overflowPunct w:val="0"/>
        <w:autoSpaceDE w:val="0"/>
        <w:autoSpaceDN w:val="0"/>
        <w:adjustRightInd w:val="0"/>
        <w:spacing w:line="276" w:lineRule="auto"/>
        <w:contextualSpacing/>
        <w:rPr>
          <w:rFonts w:eastAsia="Times New Roman"/>
          <w:sz w:val="24"/>
          <w:szCs w:val="24"/>
          <w:lang w:eastAsia="es-ES"/>
        </w:rPr>
      </w:pPr>
    </w:p>
    <w:p w14:paraId="759DBA48" w14:textId="4523D907" w:rsidR="00CA6960" w:rsidRDefault="00CA6960" w:rsidP="00F77BC5">
      <w:pPr>
        <w:overflowPunct w:val="0"/>
        <w:autoSpaceDE w:val="0"/>
        <w:autoSpaceDN w:val="0"/>
        <w:adjustRightInd w:val="0"/>
        <w:spacing w:line="276" w:lineRule="auto"/>
        <w:contextualSpacing/>
        <w:rPr>
          <w:rFonts w:eastAsia="Times New Roman"/>
          <w:sz w:val="24"/>
          <w:szCs w:val="24"/>
          <w:lang w:eastAsia="es-ES"/>
        </w:rPr>
      </w:pPr>
      <w:r>
        <w:rPr>
          <w:rFonts w:eastAsia="Times New Roman"/>
          <w:sz w:val="24"/>
          <w:szCs w:val="24"/>
          <w:lang w:eastAsia="es-ES"/>
        </w:rPr>
        <w:t xml:space="preserve">El punto está en que el accionante sabía que el paciente venía con </w:t>
      </w:r>
      <w:r w:rsidR="002C3AF7">
        <w:rPr>
          <w:rFonts w:eastAsia="Times New Roman"/>
          <w:sz w:val="24"/>
          <w:szCs w:val="24"/>
          <w:lang w:eastAsia="es-ES"/>
        </w:rPr>
        <w:t>retardos</w:t>
      </w:r>
      <w:r>
        <w:rPr>
          <w:rFonts w:eastAsia="Times New Roman"/>
          <w:sz w:val="24"/>
          <w:szCs w:val="24"/>
          <w:lang w:eastAsia="es-ES"/>
        </w:rPr>
        <w:t xml:space="preserve"> en la atención, pues así lo declaró el médico López, quien trabajaba en su sede. De ese modo, el Centro Cardiovascular podía evidenciar que el enfermo estaba en riesgo de presentar ruptura cardiaca</w:t>
      </w:r>
      <w:r w:rsidR="00583E78">
        <w:rPr>
          <w:rFonts w:eastAsia="Times New Roman"/>
          <w:sz w:val="24"/>
          <w:szCs w:val="24"/>
          <w:lang w:eastAsia="es-ES"/>
        </w:rPr>
        <w:t>.</w:t>
      </w:r>
      <w:r w:rsidR="002C3AF7">
        <w:rPr>
          <w:rFonts w:eastAsia="Times New Roman"/>
          <w:sz w:val="24"/>
          <w:szCs w:val="24"/>
          <w:lang w:eastAsia="es-ES"/>
        </w:rPr>
        <w:t xml:space="preserve"> De ello se deriva la observación razonable de inquirir </w:t>
      </w:r>
      <w:r w:rsidR="00DB3F69">
        <w:rPr>
          <w:rFonts w:eastAsia="Times New Roman"/>
          <w:sz w:val="24"/>
          <w:szCs w:val="24"/>
          <w:lang w:eastAsia="es-ES"/>
        </w:rPr>
        <w:t>si</w:t>
      </w:r>
      <w:r w:rsidR="002C3AF7">
        <w:rPr>
          <w:rFonts w:eastAsia="Times New Roman"/>
          <w:sz w:val="24"/>
          <w:szCs w:val="24"/>
          <w:lang w:eastAsia="es-ES"/>
        </w:rPr>
        <w:t xml:space="preserve"> el señor Pinillos </w:t>
      </w:r>
      <w:r w:rsidR="00DB3F69">
        <w:rPr>
          <w:rFonts w:eastAsia="Times New Roman"/>
          <w:sz w:val="24"/>
          <w:szCs w:val="24"/>
          <w:lang w:eastAsia="es-ES"/>
        </w:rPr>
        <w:t>había</w:t>
      </w:r>
      <w:r w:rsidR="002C3AF7">
        <w:rPr>
          <w:rFonts w:eastAsia="Times New Roman"/>
          <w:sz w:val="24"/>
          <w:szCs w:val="24"/>
          <w:lang w:eastAsia="es-ES"/>
        </w:rPr>
        <w:t xml:space="preserve"> sido atendido con mayor capacidad previsiva.</w:t>
      </w:r>
    </w:p>
    <w:p w14:paraId="335A1058" w14:textId="5D4D9965" w:rsidR="00583E78" w:rsidRDefault="00583E78" w:rsidP="00F77BC5">
      <w:pPr>
        <w:overflowPunct w:val="0"/>
        <w:autoSpaceDE w:val="0"/>
        <w:autoSpaceDN w:val="0"/>
        <w:adjustRightInd w:val="0"/>
        <w:spacing w:line="276" w:lineRule="auto"/>
        <w:contextualSpacing/>
        <w:rPr>
          <w:rFonts w:eastAsia="Times New Roman"/>
          <w:sz w:val="24"/>
          <w:szCs w:val="24"/>
          <w:lang w:eastAsia="es-ES"/>
        </w:rPr>
      </w:pPr>
    </w:p>
    <w:p w14:paraId="0502AE02" w14:textId="33C13697" w:rsidR="00583E78" w:rsidRDefault="00583E78" w:rsidP="00F77BC5">
      <w:pPr>
        <w:overflowPunct w:val="0"/>
        <w:autoSpaceDE w:val="0"/>
        <w:autoSpaceDN w:val="0"/>
        <w:adjustRightInd w:val="0"/>
        <w:spacing w:line="276" w:lineRule="auto"/>
        <w:contextualSpacing/>
        <w:rPr>
          <w:rFonts w:eastAsia="Times New Roman"/>
          <w:sz w:val="24"/>
          <w:szCs w:val="24"/>
          <w:lang w:eastAsia="es-ES"/>
        </w:rPr>
      </w:pPr>
      <w:r>
        <w:rPr>
          <w:rFonts w:eastAsia="Times New Roman"/>
          <w:sz w:val="24"/>
          <w:szCs w:val="24"/>
          <w:lang w:eastAsia="es-ES"/>
        </w:rPr>
        <w:t xml:space="preserve">A lo expresado el fallo unió lo </w:t>
      </w:r>
      <w:r w:rsidR="006A25E4">
        <w:rPr>
          <w:rFonts w:eastAsia="Times New Roman"/>
          <w:sz w:val="24"/>
          <w:szCs w:val="24"/>
          <w:lang w:eastAsia="es-ES"/>
        </w:rPr>
        <w:t>dicho</w:t>
      </w:r>
      <w:r>
        <w:rPr>
          <w:rFonts w:eastAsia="Times New Roman"/>
          <w:sz w:val="24"/>
          <w:szCs w:val="24"/>
          <w:lang w:eastAsia="es-ES"/>
        </w:rPr>
        <w:t xml:space="preserve"> por Carlos Ignacio Escobar Quijano, también médico tratante de la salud de Jaime Pinillos. Ese profesional indicó que la ruptura sufrida por el corazón del señor Pinillos sí estuvo asociada con la prueba de esfuerzo </w:t>
      </w:r>
      <w:r>
        <w:rPr>
          <w:rFonts w:eastAsia="Times New Roman"/>
          <w:sz w:val="24"/>
          <w:szCs w:val="24"/>
          <w:lang w:eastAsia="es-ES"/>
        </w:rPr>
        <w:lastRenderedPageBreak/>
        <w:t xml:space="preserve">que a este se le practicó. De allí también </w:t>
      </w:r>
      <w:r w:rsidR="006A25E4">
        <w:rPr>
          <w:rFonts w:eastAsia="Times New Roman"/>
          <w:sz w:val="24"/>
          <w:szCs w:val="24"/>
          <w:lang w:eastAsia="es-ES"/>
        </w:rPr>
        <w:t>avizoró</w:t>
      </w:r>
      <w:r>
        <w:rPr>
          <w:rFonts w:eastAsia="Times New Roman"/>
          <w:sz w:val="24"/>
          <w:szCs w:val="24"/>
          <w:lang w:eastAsia="es-ES"/>
        </w:rPr>
        <w:t xml:space="preserve"> que la imprevisibilidad de ese evento solo se hubiera desprendido de exámenes anteriores de carácter previsivo y preventivo. Esa omisión trajo como resultado, anotó la Sala accionada, que nunca se hubiera sabido la extensión que tuvo el infarto sobre el funcionamiento del corazón. Es más, ni siquiera se contó con marcadores cardiacos que hubieran sido practicados con la periodicidad requerida. En ello, los dos testimonios en referencia son claves. De todos modos, la accionada encontró respaldo de verificación en la literatura ya referida.</w:t>
      </w:r>
    </w:p>
    <w:p w14:paraId="522877BD" w14:textId="77777777" w:rsidR="00960145" w:rsidRDefault="00960145" w:rsidP="00F77BC5">
      <w:pPr>
        <w:overflowPunct w:val="0"/>
        <w:autoSpaceDE w:val="0"/>
        <w:autoSpaceDN w:val="0"/>
        <w:adjustRightInd w:val="0"/>
        <w:spacing w:line="276" w:lineRule="auto"/>
        <w:contextualSpacing/>
        <w:rPr>
          <w:rFonts w:eastAsia="Times New Roman"/>
          <w:sz w:val="24"/>
          <w:szCs w:val="24"/>
          <w:lang w:eastAsia="es-ES"/>
        </w:rPr>
      </w:pPr>
    </w:p>
    <w:p w14:paraId="286F205C" w14:textId="3C2C15C4" w:rsidR="00583E78" w:rsidRDefault="006A25E4" w:rsidP="00F77BC5">
      <w:pPr>
        <w:overflowPunct w:val="0"/>
        <w:autoSpaceDE w:val="0"/>
        <w:autoSpaceDN w:val="0"/>
        <w:adjustRightInd w:val="0"/>
        <w:spacing w:line="276" w:lineRule="auto"/>
        <w:contextualSpacing/>
        <w:rPr>
          <w:rFonts w:eastAsia="Times New Roman"/>
          <w:sz w:val="24"/>
          <w:szCs w:val="24"/>
          <w:lang w:eastAsia="es-ES"/>
        </w:rPr>
      </w:pPr>
      <w:r>
        <w:rPr>
          <w:rFonts w:eastAsia="Times New Roman"/>
          <w:sz w:val="24"/>
          <w:szCs w:val="24"/>
          <w:lang w:eastAsia="es-ES"/>
        </w:rPr>
        <w:t>Con base en esas premisas la autoridad atacada en sede constitucional tuvo que no era suficiente con notar que los electrocardiogramas practicados al señor Pinillos no hubieran tenido alteraciones. En ese caso</w:t>
      </w:r>
      <w:r w:rsidR="004B7951">
        <w:rPr>
          <w:rFonts w:eastAsia="Times New Roman"/>
          <w:sz w:val="24"/>
          <w:szCs w:val="24"/>
          <w:lang w:eastAsia="es-ES"/>
        </w:rPr>
        <w:t>, era necesario desplegar una mayor previsión, cuestión que no encontró efectuada por parte del Centro Cardiovascular Colombiano. El hecho de haber tenido al paciente bajo observación y haberle medido varios electros</w:t>
      </w:r>
      <w:r w:rsidR="00960145">
        <w:rPr>
          <w:rFonts w:eastAsia="Times New Roman"/>
          <w:sz w:val="24"/>
          <w:szCs w:val="24"/>
          <w:lang w:eastAsia="es-ES"/>
        </w:rPr>
        <w:t xml:space="preserve"> </w:t>
      </w:r>
      <w:r w:rsidR="004B7951">
        <w:rPr>
          <w:rFonts w:eastAsia="Times New Roman"/>
          <w:sz w:val="24"/>
          <w:szCs w:val="24"/>
          <w:lang w:eastAsia="es-ES"/>
        </w:rPr>
        <w:t>no era suficiente, pues el enfermo venía con demoras en su atención, evento que aumentaba los riesgos de complicaciones.</w:t>
      </w:r>
    </w:p>
    <w:p w14:paraId="024BC73D" w14:textId="23E62B87" w:rsidR="00960145" w:rsidRDefault="00960145" w:rsidP="00F77BC5">
      <w:pPr>
        <w:overflowPunct w:val="0"/>
        <w:autoSpaceDE w:val="0"/>
        <w:autoSpaceDN w:val="0"/>
        <w:adjustRightInd w:val="0"/>
        <w:spacing w:line="276" w:lineRule="auto"/>
        <w:contextualSpacing/>
        <w:rPr>
          <w:rFonts w:eastAsia="Times New Roman"/>
          <w:sz w:val="24"/>
          <w:szCs w:val="24"/>
          <w:lang w:eastAsia="es-ES"/>
        </w:rPr>
      </w:pPr>
    </w:p>
    <w:bookmarkEnd w:id="0"/>
    <w:p w14:paraId="722946C3" w14:textId="58BCAB88" w:rsidR="00960145" w:rsidRDefault="00960145" w:rsidP="00960145">
      <w:pPr>
        <w:pStyle w:val="Prrafodelista"/>
        <w:numPr>
          <w:ilvl w:val="1"/>
          <w:numId w:val="1"/>
        </w:numPr>
        <w:overflowPunct w:val="0"/>
        <w:autoSpaceDE w:val="0"/>
        <w:autoSpaceDN w:val="0"/>
        <w:adjustRightInd w:val="0"/>
        <w:spacing w:line="276" w:lineRule="auto"/>
        <w:ind w:left="0" w:firstLine="0"/>
        <w:rPr>
          <w:rFonts w:eastAsia="Times New Roman"/>
          <w:b/>
          <w:bCs/>
          <w:sz w:val="24"/>
          <w:szCs w:val="24"/>
          <w:lang w:eastAsia="es-ES"/>
        </w:rPr>
      </w:pPr>
      <w:r>
        <w:rPr>
          <w:rFonts w:eastAsia="Times New Roman"/>
          <w:bCs/>
          <w:sz w:val="24"/>
          <w:szCs w:val="24"/>
          <w:lang w:eastAsia="es-ES"/>
        </w:rPr>
        <w:t xml:space="preserve">De lo analizado no se encuentra tacha de razonabilidad que pueda endilgársele al fallo accionado. Tampoco se halla vocación de prosperidad en los argumentos desarrollados por la parte actora. El presente asunto no conlleva el </w:t>
      </w:r>
      <w:r w:rsidRPr="00960145">
        <w:rPr>
          <w:rFonts w:eastAsia="Times New Roman"/>
          <w:bCs/>
          <w:sz w:val="24"/>
          <w:szCs w:val="24"/>
          <w:lang w:eastAsia="es-ES"/>
        </w:rPr>
        <w:t>contraste entre diferentes documentos de literatura médica</w:t>
      </w:r>
      <w:r>
        <w:rPr>
          <w:rFonts w:eastAsia="Times New Roman"/>
          <w:bCs/>
          <w:sz w:val="24"/>
          <w:szCs w:val="24"/>
          <w:lang w:eastAsia="es-ES"/>
        </w:rPr>
        <w:t>. Tampoco la confrontación entre testimonios que señalan que la prueba de esfuerzo era parte de la rutina de atención que debía recibir el señor Pinillos, como lo quiere hacer ver el actor.</w:t>
      </w:r>
    </w:p>
    <w:p w14:paraId="0E5527DF" w14:textId="77777777" w:rsidR="00960145" w:rsidRDefault="00960145" w:rsidP="00960145">
      <w:pPr>
        <w:pStyle w:val="Prrafodelista"/>
        <w:overflowPunct w:val="0"/>
        <w:autoSpaceDE w:val="0"/>
        <w:autoSpaceDN w:val="0"/>
        <w:adjustRightInd w:val="0"/>
        <w:spacing w:line="276" w:lineRule="auto"/>
        <w:ind w:left="0"/>
        <w:rPr>
          <w:rFonts w:eastAsia="Times New Roman"/>
          <w:b/>
          <w:bCs/>
          <w:sz w:val="24"/>
          <w:szCs w:val="24"/>
          <w:lang w:eastAsia="es-ES"/>
        </w:rPr>
      </w:pPr>
    </w:p>
    <w:p w14:paraId="5BDFE906" w14:textId="5378B4CB" w:rsidR="00960145" w:rsidRDefault="00960145" w:rsidP="00960145">
      <w:pPr>
        <w:pStyle w:val="Prrafodelista"/>
        <w:overflowPunct w:val="0"/>
        <w:autoSpaceDE w:val="0"/>
        <w:autoSpaceDN w:val="0"/>
        <w:adjustRightInd w:val="0"/>
        <w:spacing w:line="276" w:lineRule="auto"/>
        <w:ind w:left="0"/>
        <w:rPr>
          <w:rFonts w:eastAsia="Times New Roman"/>
          <w:bCs/>
          <w:sz w:val="24"/>
          <w:szCs w:val="24"/>
          <w:lang w:eastAsia="es-ES"/>
        </w:rPr>
      </w:pPr>
      <w:r>
        <w:rPr>
          <w:rFonts w:eastAsia="Times New Roman"/>
          <w:bCs/>
          <w:sz w:val="24"/>
          <w:szCs w:val="24"/>
          <w:lang w:eastAsia="es-ES"/>
        </w:rPr>
        <w:t>E</w:t>
      </w:r>
      <w:r w:rsidRPr="00960145">
        <w:rPr>
          <w:rFonts w:eastAsia="Times New Roman"/>
          <w:bCs/>
          <w:sz w:val="24"/>
          <w:szCs w:val="24"/>
          <w:lang w:eastAsia="es-ES"/>
        </w:rPr>
        <w:t>l análisis de los testimonios clínicos, que se cierra con la alusión a la revista ya identificada en calidad de respaldo</w:t>
      </w:r>
      <w:r>
        <w:rPr>
          <w:rFonts w:eastAsia="Times New Roman"/>
          <w:bCs/>
          <w:sz w:val="24"/>
          <w:szCs w:val="24"/>
          <w:lang w:eastAsia="es-ES"/>
        </w:rPr>
        <w:t>, muestra razonablemente que</w:t>
      </w:r>
      <w:r w:rsidRPr="00960145">
        <w:rPr>
          <w:rFonts w:eastAsia="Times New Roman"/>
          <w:bCs/>
          <w:sz w:val="24"/>
          <w:szCs w:val="24"/>
          <w:lang w:eastAsia="es-ES"/>
        </w:rPr>
        <w:t xml:space="preserve"> la prueba de esfuerzo en Jaime Pinillos ha debido estar precedida de exámenes médicos que permitieran establecer que el corazón de la citada persona estaba preparado. No se trata entonces de proponer, como lo hace el accionante, que la prueba de esfuerzo era normal y rutinaria</w:t>
      </w:r>
      <w:r>
        <w:rPr>
          <w:rFonts w:eastAsia="Times New Roman"/>
          <w:bCs/>
          <w:sz w:val="24"/>
          <w:szCs w:val="24"/>
          <w:lang w:eastAsia="es-ES"/>
        </w:rPr>
        <w:t xml:space="preserve"> para todos los pacientes. </w:t>
      </w:r>
      <w:r>
        <w:rPr>
          <w:rFonts w:eastAsia="Times New Roman"/>
          <w:bCs/>
          <w:i/>
          <w:iCs/>
          <w:sz w:val="24"/>
          <w:szCs w:val="24"/>
          <w:lang w:eastAsia="es-ES"/>
        </w:rPr>
        <w:t>Contrario sensu</w:t>
      </w:r>
      <w:r>
        <w:rPr>
          <w:rFonts w:eastAsia="Times New Roman"/>
          <w:bCs/>
          <w:sz w:val="24"/>
          <w:szCs w:val="24"/>
          <w:lang w:eastAsia="es-ES"/>
        </w:rPr>
        <w:t>, la Sala accionada muestra con razonabilidad que, al menos, en el cuerpo del señor Pinillos ello no era de ese modo</w:t>
      </w:r>
      <w:r w:rsidR="007F7F39">
        <w:rPr>
          <w:rFonts w:eastAsia="Times New Roman"/>
          <w:bCs/>
          <w:sz w:val="24"/>
          <w:szCs w:val="24"/>
          <w:lang w:eastAsia="es-ES"/>
        </w:rPr>
        <w:t xml:space="preserve">. Ese </w:t>
      </w:r>
      <w:r w:rsidRPr="00960145">
        <w:rPr>
          <w:rFonts w:eastAsia="Times New Roman"/>
          <w:bCs/>
          <w:sz w:val="24"/>
          <w:szCs w:val="24"/>
          <w:lang w:eastAsia="es-ES"/>
        </w:rPr>
        <w:t>usuario del servicio de salud</w:t>
      </w:r>
      <w:r w:rsidR="00DB3F69">
        <w:rPr>
          <w:rFonts w:eastAsia="Times New Roman"/>
          <w:bCs/>
          <w:sz w:val="24"/>
          <w:szCs w:val="24"/>
          <w:lang w:eastAsia="es-ES"/>
        </w:rPr>
        <w:t xml:space="preserve"> </w:t>
      </w:r>
      <w:r>
        <w:rPr>
          <w:rFonts w:eastAsia="Times New Roman"/>
          <w:bCs/>
          <w:sz w:val="24"/>
          <w:szCs w:val="24"/>
          <w:lang w:eastAsia="es-ES"/>
        </w:rPr>
        <w:t>había tardado</w:t>
      </w:r>
      <w:r w:rsidRPr="00960145">
        <w:rPr>
          <w:rFonts w:eastAsia="Times New Roman"/>
          <w:bCs/>
          <w:sz w:val="24"/>
          <w:szCs w:val="24"/>
          <w:lang w:eastAsia="es-ES"/>
        </w:rPr>
        <w:t xml:space="preserve"> en ser atendido</w:t>
      </w:r>
      <w:r w:rsidR="00DB3F69">
        <w:rPr>
          <w:rFonts w:eastAsia="Times New Roman"/>
          <w:bCs/>
          <w:sz w:val="24"/>
          <w:szCs w:val="24"/>
          <w:lang w:eastAsia="es-ES"/>
        </w:rPr>
        <w:t xml:space="preserve">, cuestión que aumentó los riesgos que la </w:t>
      </w:r>
      <w:r w:rsidR="007F7F39">
        <w:rPr>
          <w:rFonts w:eastAsia="Times New Roman"/>
          <w:bCs/>
          <w:sz w:val="24"/>
          <w:szCs w:val="24"/>
          <w:lang w:eastAsia="es-ES"/>
        </w:rPr>
        <w:t>prestadora demandad</w:t>
      </w:r>
      <w:r w:rsidR="00065F3A">
        <w:rPr>
          <w:rFonts w:eastAsia="Times New Roman"/>
          <w:bCs/>
          <w:sz w:val="24"/>
          <w:szCs w:val="24"/>
          <w:lang w:eastAsia="es-ES"/>
        </w:rPr>
        <w:t>a</w:t>
      </w:r>
      <w:r w:rsidR="007F7F39">
        <w:rPr>
          <w:rFonts w:eastAsia="Times New Roman"/>
          <w:bCs/>
          <w:sz w:val="24"/>
          <w:szCs w:val="24"/>
          <w:lang w:eastAsia="es-ES"/>
        </w:rPr>
        <w:t xml:space="preserve"> debió haber predicho</w:t>
      </w:r>
      <w:r w:rsidR="00065F3A">
        <w:rPr>
          <w:rFonts w:eastAsia="Times New Roman"/>
          <w:bCs/>
          <w:sz w:val="24"/>
          <w:szCs w:val="24"/>
          <w:lang w:eastAsia="es-ES"/>
        </w:rPr>
        <w:t>, pudiéndolo.</w:t>
      </w:r>
    </w:p>
    <w:p w14:paraId="4689B282" w14:textId="77777777" w:rsidR="00960145" w:rsidRDefault="00960145" w:rsidP="00960145">
      <w:pPr>
        <w:pStyle w:val="Prrafodelista"/>
        <w:overflowPunct w:val="0"/>
        <w:autoSpaceDE w:val="0"/>
        <w:autoSpaceDN w:val="0"/>
        <w:adjustRightInd w:val="0"/>
        <w:spacing w:line="276" w:lineRule="auto"/>
        <w:ind w:left="0"/>
        <w:rPr>
          <w:rFonts w:eastAsia="Times New Roman"/>
          <w:bCs/>
          <w:sz w:val="24"/>
          <w:szCs w:val="24"/>
          <w:lang w:eastAsia="es-ES"/>
        </w:rPr>
      </w:pPr>
    </w:p>
    <w:p w14:paraId="30014FB1" w14:textId="30A486AC" w:rsidR="00960145" w:rsidRPr="00960145" w:rsidRDefault="00960145" w:rsidP="00960145">
      <w:pPr>
        <w:pStyle w:val="Prrafodelista"/>
        <w:overflowPunct w:val="0"/>
        <w:autoSpaceDE w:val="0"/>
        <w:autoSpaceDN w:val="0"/>
        <w:adjustRightInd w:val="0"/>
        <w:spacing w:line="276" w:lineRule="auto"/>
        <w:ind w:left="0"/>
        <w:rPr>
          <w:rFonts w:eastAsia="Times New Roman"/>
          <w:b/>
          <w:bCs/>
          <w:sz w:val="24"/>
          <w:szCs w:val="24"/>
          <w:lang w:eastAsia="es-ES"/>
        </w:rPr>
      </w:pPr>
      <w:r>
        <w:rPr>
          <w:rFonts w:eastAsia="Times New Roman"/>
          <w:bCs/>
          <w:sz w:val="24"/>
          <w:szCs w:val="24"/>
          <w:lang w:eastAsia="es-ES"/>
        </w:rPr>
        <w:t>Esa variable de orden fáctico y médico fue olvidada por la Clínica Santa María.</w:t>
      </w:r>
      <w:r w:rsidRPr="00960145">
        <w:rPr>
          <w:rFonts w:eastAsia="Times New Roman"/>
          <w:bCs/>
          <w:sz w:val="24"/>
          <w:szCs w:val="24"/>
          <w:lang w:eastAsia="es-ES"/>
        </w:rPr>
        <w:t xml:space="preserve"> De ahí era razonable concluir, como la autoridad accionada lo hizo, que </w:t>
      </w:r>
      <w:r>
        <w:rPr>
          <w:rFonts w:eastAsia="Times New Roman"/>
          <w:bCs/>
          <w:sz w:val="24"/>
          <w:szCs w:val="24"/>
          <w:lang w:eastAsia="es-ES"/>
        </w:rPr>
        <w:t>ese centro asistencial</w:t>
      </w:r>
      <w:r w:rsidRPr="00960145">
        <w:rPr>
          <w:rFonts w:eastAsia="Times New Roman"/>
          <w:bCs/>
          <w:sz w:val="24"/>
          <w:szCs w:val="24"/>
          <w:lang w:eastAsia="es-ES"/>
        </w:rPr>
        <w:t xml:space="preserve"> no tomó las precauciones necesarias antes de practicarle la prueba de esfuerzo al señor Pinillos. Por ello fue razonablemente declarada responsable y condenada al pago proporcional de la indemnización de perjuicios correspondiente. En efecto, la providencia censurada </w:t>
      </w:r>
      <w:r>
        <w:rPr>
          <w:rFonts w:eastAsia="Times New Roman"/>
          <w:bCs/>
          <w:sz w:val="24"/>
          <w:szCs w:val="24"/>
          <w:lang w:eastAsia="es-ES"/>
        </w:rPr>
        <w:t>recalca</w:t>
      </w:r>
      <w:r w:rsidRPr="00960145">
        <w:rPr>
          <w:rFonts w:eastAsia="Times New Roman"/>
          <w:bCs/>
          <w:sz w:val="24"/>
          <w:szCs w:val="24"/>
          <w:lang w:eastAsia="es-ES"/>
        </w:rPr>
        <w:t xml:space="preserve"> que si le hubieran practicado al señor Pinillos los exámenes previos para determinar si era seguro administrarle la prueba de esfuerzo, </w:t>
      </w:r>
      <w:r>
        <w:rPr>
          <w:rFonts w:eastAsia="Times New Roman"/>
          <w:bCs/>
          <w:sz w:val="24"/>
          <w:szCs w:val="24"/>
          <w:lang w:eastAsia="es-ES"/>
        </w:rPr>
        <w:t xml:space="preserve">sus médicos </w:t>
      </w:r>
      <w:r w:rsidRPr="00960145">
        <w:rPr>
          <w:rFonts w:eastAsia="Times New Roman"/>
          <w:bCs/>
          <w:sz w:val="24"/>
          <w:szCs w:val="24"/>
          <w:lang w:eastAsia="es-ES"/>
        </w:rPr>
        <w:t xml:space="preserve">se hubieran dado cuenta de las debilidades cardiacas que él presentaba en ese instante. No era entonces simplemente valioso, como lo describe el accionante, sino necesario en la persona explícita de Jaime Pinillos. Así las cosas, la dicotomía presentada en el escrito de tutela, entre necesidad y utilidad, resulta falsa. </w:t>
      </w:r>
    </w:p>
    <w:p w14:paraId="3D5B07AD" w14:textId="77777777" w:rsidR="00960145" w:rsidRPr="00960145" w:rsidRDefault="00960145" w:rsidP="00960145">
      <w:pPr>
        <w:spacing w:line="276" w:lineRule="auto"/>
        <w:rPr>
          <w:rFonts w:eastAsia="Times New Roman"/>
          <w:bCs/>
          <w:sz w:val="24"/>
          <w:szCs w:val="24"/>
          <w:lang w:eastAsia="es-ES"/>
        </w:rPr>
      </w:pPr>
    </w:p>
    <w:p w14:paraId="5D014D36" w14:textId="4C09EA19" w:rsidR="00960145" w:rsidRDefault="006B100B" w:rsidP="00960145">
      <w:pPr>
        <w:pStyle w:val="Prrafodelista"/>
        <w:spacing w:line="276" w:lineRule="auto"/>
        <w:ind w:left="0"/>
        <w:rPr>
          <w:rFonts w:eastAsia="Times New Roman"/>
          <w:bCs/>
          <w:sz w:val="24"/>
          <w:szCs w:val="24"/>
          <w:lang w:eastAsia="es-ES"/>
        </w:rPr>
      </w:pPr>
      <w:r>
        <w:rPr>
          <w:rFonts w:eastAsia="Times New Roman"/>
          <w:bCs/>
          <w:sz w:val="24"/>
          <w:szCs w:val="24"/>
          <w:lang w:eastAsia="es-ES"/>
        </w:rPr>
        <w:t>También debe concluirse que la proposición según la cual la revista de cardiología de 2010 no ha debido emplearse para valorar eventos sucedidos en 2000</w:t>
      </w:r>
      <w:r w:rsidR="002B3706">
        <w:rPr>
          <w:rFonts w:eastAsia="Times New Roman"/>
          <w:bCs/>
          <w:sz w:val="24"/>
          <w:szCs w:val="24"/>
          <w:lang w:eastAsia="es-ES"/>
        </w:rPr>
        <w:t>,</w:t>
      </w:r>
      <w:r>
        <w:rPr>
          <w:rFonts w:eastAsia="Times New Roman"/>
          <w:bCs/>
          <w:sz w:val="24"/>
          <w:szCs w:val="24"/>
          <w:lang w:eastAsia="es-ES"/>
        </w:rPr>
        <w:t xml:space="preserve"> es</w:t>
      </w:r>
      <w:r w:rsidR="0024539A">
        <w:rPr>
          <w:rFonts w:eastAsia="Times New Roman"/>
          <w:bCs/>
          <w:sz w:val="24"/>
          <w:szCs w:val="24"/>
          <w:lang w:eastAsia="es-ES"/>
        </w:rPr>
        <w:t xml:space="preserve"> imprecis</w:t>
      </w:r>
      <w:r w:rsidR="002B3706">
        <w:rPr>
          <w:rFonts w:eastAsia="Times New Roman"/>
          <w:bCs/>
          <w:sz w:val="24"/>
          <w:szCs w:val="24"/>
          <w:lang w:eastAsia="es-ES"/>
        </w:rPr>
        <w:t xml:space="preserve">a. </w:t>
      </w:r>
      <w:r>
        <w:rPr>
          <w:rFonts w:eastAsia="Times New Roman"/>
          <w:bCs/>
          <w:sz w:val="24"/>
          <w:szCs w:val="24"/>
          <w:lang w:eastAsia="es-ES"/>
        </w:rPr>
        <w:t>Es</w:t>
      </w:r>
      <w:r w:rsidR="002B3706">
        <w:rPr>
          <w:rFonts w:eastAsia="Times New Roman"/>
          <w:bCs/>
          <w:sz w:val="24"/>
          <w:szCs w:val="24"/>
          <w:lang w:eastAsia="es-ES"/>
        </w:rPr>
        <w:t>a premisa</w:t>
      </w:r>
      <w:r w:rsidR="00960145" w:rsidRPr="00960145">
        <w:rPr>
          <w:rFonts w:eastAsia="Times New Roman"/>
          <w:bCs/>
          <w:sz w:val="24"/>
          <w:szCs w:val="24"/>
          <w:lang w:eastAsia="es-ES"/>
        </w:rPr>
        <w:t xml:space="preserve"> </w:t>
      </w:r>
      <w:r w:rsidR="002B3706">
        <w:rPr>
          <w:rFonts w:eastAsia="Times New Roman"/>
          <w:bCs/>
          <w:sz w:val="24"/>
          <w:szCs w:val="24"/>
          <w:lang w:eastAsia="es-ES"/>
        </w:rPr>
        <w:t xml:space="preserve">no </w:t>
      </w:r>
      <w:r w:rsidR="00960145" w:rsidRPr="00960145">
        <w:rPr>
          <w:rFonts w:eastAsia="Times New Roman"/>
          <w:bCs/>
          <w:sz w:val="24"/>
          <w:szCs w:val="24"/>
          <w:lang w:eastAsia="es-ES"/>
        </w:rPr>
        <w:t>resulta</w:t>
      </w:r>
      <w:r w:rsidR="002B3706">
        <w:rPr>
          <w:rFonts w:eastAsia="Times New Roman"/>
          <w:bCs/>
          <w:sz w:val="24"/>
          <w:szCs w:val="24"/>
          <w:lang w:eastAsia="es-ES"/>
        </w:rPr>
        <w:t xml:space="preserve"> acertada</w:t>
      </w:r>
      <w:r w:rsidR="00960145" w:rsidRPr="00960145">
        <w:rPr>
          <w:rFonts w:eastAsia="Times New Roman"/>
          <w:bCs/>
          <w:sz w:val="24"/>
          <w:szCs w:val="24"/>
          <w:lang w:eastAsia="es-ES"/>
        </w:rPr>
        <w:t xml:space="preserve"> </w:t>
      </w:r>
      <w:r w:rsidR="002B3706">
        <w:rPr>
          <w:rFonts w:eastAsia="Times New Roman"/>
          <w:bCs/>
          <w:sz w:val="24"/>
          <w:szCs w:val="24"/>
          <w:lang w:eastAsia="es-ES"/>
        </w:rPr>
        <w:t>d</w:t>
      </w:r>
      <w:r w:rsidR="00960145" w:rsidRPr="00960145">
        <w:rPr>
          <w:rFonts w:eastAsia="Times New Roman"/>
          <w:bCs/>
          <w:sz w:val="24"/>
          <w:szCs w:val="24"/>
          <w:lang w:eastAsia="es-ES"/>
        </w:rPr>
        <w:t xml:space="preserve">esde el punto de vista lógico, toda vez que se escuda solamente en </w:t>
      </w:r>
      <w:r>
        <w:rPr>
          <w:rFonts w:eastAsia="Times New Roman"/>
          <w:bCs/>
          <w:sz w:val="24"/>
          <w:szCs w:val="24"/>
          <w:lang w:eastAsia="es-ES"/>
        </w:rPr>
        <w:t>la fecha de esa publicación</w:t>
      </w:r>
      <w:r w:rsidR="00960145" w:rsidRPr="00960145">
        <w:rPr>
          <w:rFonts w:eastAsia="Times New Roman"/>
          <w:bCs/>
          <w:sz w:val="24"/>
          <w:szCs w:val="24"/>
          <w:lang w:eastAsia="es-ES"/>
        </w:rPr>
        <w:t xml:space="preserve">. No obstante, no muestra que, en efecto y para el caso concreto, el tratamiento cardiológico sugerido para 2010 haya sido </w:t>
      </w:r>
      <w:r>
        <w:rPr>
          <w:rFonts w:eastAsia="Times New Roman"/>
          <w:bCs/>
          <w:sz w:val="24"/>
          <w:szCs w:val="24"/>
          <w:lang w:eastAsia="es-ES"/>
        </w:rPr>
        <w:t>distinto</w:t>
      </w:r>
      <w:r w:rsidR="00960145" w:rsidRPr="00960145">
        <w:rPr>
          <w:rFonts w:eastAsia="Times New Roman"/>
          <w:bCs/>
          <w:sz w:val="24"/>
          <w:szCs w:val="24"/>
          <w:lang w:eastAsia="es-ES"/>
        </w:rPr>
        <w:t xml:space="preserve"> que el vigente para el año 2000. En otros términos, no deja ver que el infarto agudo de miocardio haya empezado a ser tratado de </w:t>
      </w:r>
      <w:r w:rsidRPr="006B100B">
        <w:rPr>
          <w:rFonts w:eastAsia="Times New Roman"/>
          <w:bCs/>
          <w:sz w:val="24"/>
          <w:szCs w:val="24"/>
          <w:lang w:eastAsia="es-ES"/>
        </w:rPr>
        <w:t>ot</w:t>
      </w:r>
      <w:r>
        <w:rPr>
          <w:rFonts w:eastAsia="Times New Roman"/>
          <w:bCs/>
          <w:sz w:val="24"/>
          <w:szCs w:val="24"/>
          <w:lang w:eastAsia="es-ES"/>
        </w:rPr>
        <w:t xml:space="preserve">ro </w:t>
      </w:r>
      <w:r w:rsidR="00960145" w:rsidRPr="00960145">
        <w:rPr>
          <w:rFonts w:eastAsia="Times New Roman"/>
          <w:bCs/>
          <w:sz w:val="24"/>
          <w:szCs w:val="24"/>
          <w:lang w:eastAsia="es-ES"/>
        </w:rPr>
        <w:t xml:space="preserve">modo en 2010. Una segunda razón de su </w:t>
      </w:r>
      <w:r w:rsidR="002B3706">
        <w:rPr>
          <w:rFonts w:eastAsia="Times New Roman"/>
          <w:bCs/>
          <w:sz w:val="24"/>
          <w:szCs w:val="24"/>
          <w:lang w:eastAsia="es-ES"/>
        </w:rPr>
        <w:t>conclusión</w:t>
      </w:r>
      <w:r w:rsidR="00960145" w:rsidRPr="00960145">
        <w:rPr>
          <w:rFonts w:eastAsia="Times New Roman"/>
          <w:bCs/>
          <w:sz w:val="24"/>
          <w:szCs w:val="24"/>
          <w:lang w:eastAsia="es-ES"/>
        </w:rPr>
        <w:t xml:space="preserve"> lógica consiste en que el texto cardiológico, se repite, no fue el centro de la valoración probatoria dentro del fallo enjuiciado, sino apenas un respaldo de la evaluación independiente y por aparte que se dio a los testimonios</w:t>
      </w:r>
      <w:r>
        <w:rPr>
          <w:rFonts w:eastAsia="Times New Roman"/>
          <w:bCs/>
          <w:sz w:val="24"/>
          <w:szCs w:val="24"/>
          <w:lang w:eastAsia="es-ES"/>
        </w:rPr>
        <w:t xml:space="preserve"> citados</w:t>
      </w:r>
      <w:r w:rsidR="00960145" w:rsidRPr="00960145">
        <w:rPr>
          <w:rFonts w:eastAsia="Times New Roman"/>
          <w:bCs/>
          <w:sz w:val="24"/>
          <w:szCs w:val="24"/>
          <w:lang w:eastAsia="es-ES"/>
        </w:rPr>
        <w:t>.</w:t>
      </w:r>
    </w:p>
    <w:p w14:paraId="793F6A9B" w14:textId="10E9BA7E" w:rsidR="006B100B" w:rsidRDefault="006B100B" w:rsidP="00960145">
      <w:pPr>
        <w:pStyle w:val="Prrafodelista"/>
        <w:spacing w:line="276" w:lineRule="auto"/>
        <w:ind w:left="0"/>
        <w:rPr>
          <w:rFonts w:eastAsia="Times New Roman"/>
          <w:bCs/>
          <w:sz w:val="24"/>
          <w:szCs w:val="24"/>
          <w:lang w:eastAsia="es-ES"/>
        </w:rPr>
      </w:pPr>
    </w:p>
    <w:p w14:paraId="71A422C0" w14:textId="692870DA" w:rsidR="006B100B" w:rsidRDefault="006B100B" w:rsidP="00960145">
      <w:pPr>
        <w:pStyle w:val="Prrafodelista"/>
        <w:spacing w:line="276" w:lineRule="auto"/>
        <w:ind w:left="0"/>
        <w:rPr>
          <w:rFonts w:eastAsia="Times New Roman"/>
          <w:bCs/>
          <w:sz w:val="24"/>
          <w:szCs w:val="24"/>
          <w:lang w:eastAsia="es-ES"/>
        </w:rPr>
      </w:pPr>
      <w:r>
        <w:rPr>
          <w:rFonts w:eastAsia="Times New Roman"/>
          <w:bCs/>
          <w:sz w:val="24"/>
          <w:szCs w:val="24"/>
          <w:lang w:eastAsia="es-ES"/>
        </w:rPr>
        <w:t>Como resultado de lo analizado, esta Sala encuentra que los cargos desarrollados por la parte actora resultan imprósperos. Por tanto, negará el amparo deprecado por el Centro Cardiovascular Colombiano “Clínica Santa María”.</w:t>
      </w:r>
    </w:p>
    <w:p w14:paraId="2B32E9B0" w14:textId="77777777" w:rsidR="00960145" w:rsidRPr="00F77BC5" w:rsidRDefault="00960145" w:rsidP="00960145">
      <w:pPr>
        <w:pStyle w:val="Prrafodelista"/>
        <w:spacing w:line="276" w:lineRule="auto"/>
        <w:ind w:left="0"/>
        <w:rPr>
          <w:rFonts w:eastAsia="Times New Roman"/>
          <w:bCs/>
          <w:sz w:val="24"/>
          <w:szCs w:val="24"/>
          <w:lang w:eastAsia="es-ES"/>
        </w:rPr>
      </w:pPr>
    </w:p>
    <w:p w14:paraId="6F3B84C6" w14:textId="77777777" w:rsidR="002A1D6D" w:rsidRPr="00F77BC5" w:rsidRDefault="002A1D6D" w:rsidP="00F77BC5">
      <w:pPr>
        <w:pStyle w:val="Ttulo1"/>
        <w:spacing w:before="0" w:after="0"/>
        <w:ind w:hanging="147"/>
        <w:rPr>
          <w:rFonts w:cs="Arial"/>
          <w:kern w:val="0"/>
          <w:szCs w:val="24"/>
        </w:rPr>
      </w:pPr>
      <w:r w:rsidRPr="00F77BC5">
        <w:rPr>
          <w:rFonts w:cs="Arial"/>
          <w:kern w:val="0"/>
          <w:szCs w:val="24"/>
        </w:rPr>
        <w:t>DECISIÓN</w:t>
      </w:r>
    </w:p>
    <w:p w14:paraId="59619CFC" w14:textId="77777777" w:rsidR="002A1D6D" w:rsidRPr="00F77BC5" w:rsidRDefault="002A1D6D" w:rsidP="00F77BC5">
      <w:pPr>
        <w:spacing w:line="276" w:lineRule="auto"/>
        <w:contextualSpacing/>
        <w:rPr>
          <w:rFonts w:eastAsia="Times New Roman"/>
          <w:sz w:val="24"/>
          <w:szCs w:val="24"/>
        </w:rPr>
      </w:pPr>
    </w:p>
    <w:p w14:paraId="10D04F89" w14:textId="4D17D870" w:rsidR="002A1D6D" w:rsidRPr="00F77BC5" w:rsidRDefault="002A1D6D" w:rsidP="00F77BC5">
      <w:pPr>
        <w:spacing w:line="276" w:lineRule="auto"/>
        <w:contextualSpacing/>
        <w:rPr>
          <w:rFonts w:eastAsia="Times New Roman"/>
          <w:sz w:val="24"/>
          <w:szCs w:val="24"/>
        </w:rPr>
      </w:pPr>
      <w:r w:rsidRPr="00F77BC5">
        <w:rPr>
          <w:rFonts w:eastAsia="Times New Roman"/>
          <w:sz w:val="24"/>
          <w:szCs w:val="24"/>
        </w:rPr>
        <w:t>En mérito de lo expuesto, el Consejo de Estado, Sala de lo Contencioso Administrativo, Sección Tercera, Subsección C, administrando justicia en nombre de la República y por autoridad de la ley,</w:t>
      </w:r>
    </w:p>
    <w:p w14:paraId="3A68ED8D" w14:textId="77777777" w:rsidR="006B100B" w:rsidRDefault="006B100B" w:rsidP="00F77BC5">
      <w:pPr>
        <w:pStyle w:val="RESUELVE"/>
        <w:spacing w:before="0" w:after="0"/>
        <w:rPr>
          <w:rFonts w:cs="Arial"/>
          <w:kern w:val="0"/>
          <w:szCs w:val="24"/>
          <w:lang w:val="es-CO"/>
        </w:rPr>
      </w:pPr>
    </w:p>
    <w:p w14:paraId="2287E209" w14:textId="4F7E46A4" w:rsidR="000C5DB7" w:rsidRPr="00F77BC5" w:rsidRDefault="002A1D6D" w:rsidP="00F77BC5">
      <w:pPr>
        <w:pStyle w:val="RESUELVE"/>
        <w:spacing w:before="0" w:after="0"/>
        <w:rPr>
          <w:rFonts w:cs="Arial"/>
          <w:kern w:val="0"/>
          <w:szCs w:val="24"/>
          <w:lang w:val="es-CO"/>
        </w:rPr>
      </w:pPr>
      <w:r w:rsidRPr="00F77BC5">
        <w:rPr>
          <w:rFonts w:cs="Arial"/>
          <w:kern w:val="0"/>
          <w:szCs w:val="24"/>
          <w:lang w:val="es-CO"/>
        </w:rPr>
        <w:t>FALLA</w:t>
      </w:r>
    </w:p>
    <w:p w14:paraId="3E987887" w14:textId="05AD1986" w:rsidR="00383B43" w:rsidRPr="00F77BC5" w:rsidRDefault="00383B43" w:rsidP="00F77BC5">
      <w:pPr>
        <w:spacing w:line="276" w:lineRule="auto"/>
        <w:jc w:val="center"/>
        <w:rPr>
          <w:rFonts w:eastAsia="Verdana"/>
          <w:b/>
          <w:sz w:val="24"/>
          <w:szCs w:val="24"/>
        </w:rPr>
      </w:pPr>
    </w:p>
    <w:p w14:paraId="3BC110ED" w14:textId="552BF666" w:rsidR="004C0AE1" w:rsidRPr="00F77BC5" w:rsidRDefault="00A64F58" w:rsidP="00F77BC5">
      <w:pPr>
        <w:pStyle w:val="Prrafodelista"/>
        <w:numPr>
          <w:ilvl w:val="0"/>
          <w:numId w:val="27"/>
        </w:numPr>
        <w:spacing w:line="276" w:lineRule="auto"/>
        <w:ind w:left="0" w:firstLine="0"/>
        <w:rPr>
          <w:rFonts w:eastAsia="Verdana"/>
          <w:b/>
          <w:sz w:val="24"/>
          <w:szCs w:val="24"/>
          <w:lang w:val="es-ES_tradnl"/>
        </w:rPr>
      </w:pPr>
      <w:bookmarkStart w:id="5" w:name="_Hlk40368302"/>
      <w:r>
        <w:rPr>
          <w:rFonts w:eastAsia="Verdana"/>
          <w:b/>
          <w:sz w:val="24"/>
          <w:szCs w:val="24"/>
          <w:lang w:val="es-ES_tradnl"/>
        </w:rPr>
        <w:t xml:space="preserve">NEGAR </w:t>
      </w:r>
      <w:r>
        <w:rPr>
          <w:rFonts w:eastAsia="Verdana"/>
          <w:bCs/>
          <w:sz w:val="24"/>
          <w:szCs w:val="24"/>
          <w:lang w:val="es-ES_tradnl"/>
        </w:rPr>
        <w:t>la solicitud de amparo presentada por el Centro Cardiovascular Colombiano “Clínica Santa María” en contra del Consejo de Estado, Sección Tercera, Subsección B, por los motivos expuestos en la parte considerativa de este fallo.</w:t>
      </w:r>
    </w:p>
    <w:p w14:paraId="16910F99" w14:textId="77777777" w:rsidR="00B700DC" w:rsidRPr="00C157DB" w:rsidRDefault="00B700DC" w:rsidP="00C157DB">
      <w:pPr>
        <w:pStyle w:val="Prrafodelista"/>
        <w:spacing w:line="276" w:lineRule="auto"/>
        <w:ind w:left="0"/>
        <w:rPr>
          <w:rFonts w:eastAsia="Verdana"/>
          <w:sz w:val="24"/>
          <w:szCs w:val="24"/>
          <w:lang w:val="es-ES_tradnl"/>
        </w:rPr>
      </w:pPr>
    </w:p>
    <w:p w14:paraId="755D2FA1" w14:textId="38EBD4E5" w:rsidR="004C0AE1" w:rsidRPr="00F77BC5" w:rsidRDefault="004C0AE1" w:rsidP="00F77BC5">
      <w:pPr>
        <w:pStyle w:val="Prrafodelista"/>
        <w:numPr>
          <w:ilvl w:val="0"/>
          <w:numId w:val="27"/>
        </w:numPr>
        <w:spacing w:line="276" w:lineRule="auto"/>
        <w:ind w:left="0" w:firstLine="0"/>
        <w:rPr>
          <w:rFonts w:eastAsia="Verdana"/>
          <w:sz w:val="24"/>
          <w:szCs w:val="24"/>
          <w:lang w:val="es-ES_tradnl"/>
        </w:rPr>
      </w:pPr>
      <w:r w:rsidRPr="00F77BC5">
        <w:rPr>
          <w:rFonts w:eastAsia="Verdana"/>
          <w:b/>
          <w:sz w:val="24"/>
          <w:szCs w:val="24"/>
          <w:lang w:val="es-ES_tradnl"/>
        </w:rPr>
        <w:t xml:space="preserve">NOTIFICAR </w:t>
      </w:r>
      <w:r w:rsidRPr="00F77BC5">
        <w:rPr>
          <w:rFonts w:eastAsia="Verdana"/>
          <w:sz w:val="24"/>
          <w:szCs w:val="24"/>
          <w:lang w:val="es-ES_tradnl"/>
        </w:rPr>
        <w:t>la presente decisión a las partes y a los interesados por el medio más expedito.</w:t>
      </w:r>
    </w:p>
    <w:p w14:paraId="39D5E2F8" w14:textId="77777777" w:rsidR="00322FAE" w:rsidRPr="00F77BC5" w:rsidRDefault="00322FAE" w:rsidP="00F77BC5">
      <w:pPr>
        <w:pStyle w:val="Prrafodelista"/>
        <w:spacing w:line="276" w:lineRule="auto"/>
        <w:ind w:left="0"/>
        <w:rPr>
          <w:rFonts w:eastAsia="Verdana"/>
          <w:sz w:val="24"/>
          <w:szCs w:val="24"/>
          <w:lang w:val="es-ES_tradnl"/>
        </w:rPr>
      </w:pPr>
    </w:p>
    <w:p w14:paraId="7DFE9682" w14:textId="42A9A202" w:rsidR="004C0AE1" w:rsidRPr="00F77BC5" w:rsidRDefault="004C0AE1" w:rsidP="00F77BC5">
      <w:pPr>
        <w:pStyle w:val="Prrafodelista"/>
        <w:numPr>
          <w:ilvl w:val="0"/>
          <w:numId w:val="27"/>
        </w:numPr>
        <w:spacing w:line="276" w:lineRule="auto"/>
        <w:ind w:left="0" w:firstLine="0"/>
        <w:rPr>
          <w:rFonts w:eastAsia="Verdana"/>
          <w:sz w:val="24"/>
          <w:szCs w:val="24"/>
          <w:lang w:val="es-ES_tradnl"/>
        </w:rPr>
      </w:pPr>
      <w:r w:rsidRPr="00F77BC5">
        <w:rPr>
          <w:rFonts w:eastAsia="Verdana"/>
          <w:b/>
          <w:sz w:val="24"/>
          <w:szCs w:val="24"/>
          <w:lang w:val="es-ES_tradnl"/>
        </w:rPr>
        <w:t xml:space="preserve">ENVIAR </w:t>
      </w:r>
      <w:r w:rsidRPr="00F77BC5">
        <w:rPr>
          <w:rFonts w:eastAsia="Verdana"/>
          <w:sz w:val="24"/>
          <w:szCs w:val="24"/>
          <w:lang w:val="es-ES_tradnl"/>
        </w:rPr>
        <w:t xml:space="preserve">la presente providencia a la Corte Constitucional para su eventual revisión, en caso de no ser impugnada.  </w:t>
      </w:r>
    </w:p>
    <w:bookmarkEnd w:id="5"/>
    <w:p w14:paraId="654CE2A3" w14:textId="5832E9A3" w:rsidR="003538E2" w:rsidRPr="00F77BC5" w:rsidRDefault="003538E2" w:rsidP="00F77BC5">
      <w:pPr>
        <w:spacing w:line="276" w:lineRule="auto"/>
        <w:contextualSpacing/>
        <w:rPr>
          <w:rFonts w:eastAsia="Verdana"/>
          <w:b/>
          <w:sz w:val="24"/>
          <w:szCs w:val="24"/>
          <w:lang w:val="es-ES_tradnl"/>
        </w:rPr>
      </w:pPr>
    </w:p>
    <w:p w14:paraId="17B7F027" w14:textId="672A8568" w:rsidR="00A64EF5" w:rsidRPr="00F77BC5" w:rsidRDefault="000C5DB7" w:rsidP="00F77BC5">
      <w:pPr>
        <w:spacing w:line="276" w:lineRule="auto"/>
        <w:contextualSpacing/>
        <w:rPr>
          <w:rFonts w:eastAsia="Verdana"/>
          <w:b/>
          <w:sz w:val="24"/>
          <w:szCs w:val="24"/>
        </w:rPr>
      </w:pPr>
      <w:r w:rsidRPr="00F77BC5">
        <w:rPr>
          <w:rFonts w:eastAsia="Verdana"/>
          <w:b/>
          <w:sz w:val="24"/>
          <w:szCs w:val="24"/>
        </w:rPr>
        <w:t>NOTIFÍQUESE Y CÚMPLASE</w:t>
      </w:r>
    </w:p>
    <w:p w14:paraId="58B78825" w14:textId="77777777" w:rsidR="000C605F" w:rsidRDefault="000C605F" w:rsidP="00F77BC5">
      <w:pPr>
        <w:spacing w:line="276" w:lineRule="auto"/>
        <w:contextualSpacing/>
        <w:jc w:val="center"/>
        <w:rPr>
          <w:rFonts w:eastAsia="Verdana"/>
          <w:b/>
          <w:sz w:val="24"/>
          <w:szCs w:val="24"/>
        </w:rPr>
      </w:pPr>
    </w:p>
    <w:p w14:paraId="4722EACC" w14:textId="0C4BC305" w:rsidR="0085093E" w:rsidRDefault="0085093E" w:rsidP="00F77BC5">
      <w:pPr>
        <w:spacing w:line="276" w:lineRule="auto"/>
        <w:contextualSpacing/>
        <w:jc w:val="center"/>
        <w:rPr>
          <w:rFonts w:eastAsia="Verdana"/>
          <w:b/>
          <w:sz w:val="24"/>
          <w:szCs w:val="24"/>
        </w:rPr>
      </w:pPr>
    </w:p>
    <w:p w14:paraId="51855262" w14:textId="02B662F4" w:rsidR="00A44DB0" w:rsidRDefault="00A44DB0" w:rsidP="00F77BC5">
      <w:pPr>
        <w:spacing w:line="276" w:lineRule="auto"/>
        <w:contextualSpacing/>
        <w:jc w:val="center"/>
        <w:rPr>
          <w:rFonts w:eastAsia="Verdana"/>
          <w:b/>
          <w:sz w:val="24"/>
          <w:szCs w:val="24"/>
        </w:rPr>
      </w:pPr>
    </w:p>
    <w:p w14:paraId="29FEECF4" w14:textId="33D51CF8" w:rsidR="00A44DB0" w:rsidRDefault="00A44DB0" w:rsidP="00F77BC5">
      <w:pPr>
        <w:spacing w:line="276" w:lineRule="auto"/>
        <w:contextualSpacing/>
        <w:jc w:val="center"/>
        <w:rPr>
          <w:rFonts w:eastAsia="Verdana"/>
          <w:b/>
          <w:sz w:val="24"/>
          <w:szCs w:val="24"/>
        </w:rPr>
      </w:pPr>
    </w:p>
    <w:p w14:paraId="11C515C9" w14:textId="77777777" w:rsidR="00A44DB0" w:rsidRPr="00F77BC5" w:rsidRDefault="00A44DB0" w:rsidP="00F77BC5">
      <w:pPr>
        <w:spacing w:line="276" w:lineRule="auto"/>
        <w:contextualSpacing/>
        <w:jc w:val="center"/>
        <w:rPr>
          <w:rFonts w:eastAsia="Verdana"/>
          <w:b/>
          <w:sz w:val="24"/>
          <w:szCs w:val="24"/>
        </w:rPr>
      </w:pPr>
    </w:p>
    <w:p w14:paraId="2FF7383A" w14:textId="59C62874" w:rsidR="005C2D2C" w:rsidRPr="00F77BC5" w:rsidRDefault="005C2D2C" w:rsidP="00F77BC5">
      <w:pPr>
        <w:spacing w:line="276" w:lineRule="auto"/>
        <w:contextualSpacing/>
        <w:jc w:val="center"/>
        <w:rPr>
          <w:rFonts w:eastAsia="Verdana"/>
          <w:b/>
          <w:sz w:val="24"/>
          <w:szCs w:val="24"/>
        </w:rPr>
      </w:pPr>
      <w:r w:rsidRPr="00F77BC5">
        <w:rPr>
          <w:rFonts w:eastAsia="Verdana"/>
          <w:b/>
          <w:sz w:val="24"/>
          <w:szCs w:val="24"/>
        </w:rPr>
        <w:t>JAIME ENRIQUE RODRÍGUEZ NAVAS</w:t>
      </w:r>
    </w:p>
    <w:p w14:paraId="411CDC80" w14:textId="53599D5F" w:rsidR="000C5DB7" w:rsidRPr="00F77BC5" w:rsidRDefault="000C5DB7" w:rsidP="00F77BC5">
      <w:pPr>
        <w:spacing w:line="276" w:lineRule="auto"/>
        <w:contextualSpacing/>
        <w:jc w:val="center"/>
        <w:rPr>
          <w:rFonts w:eastAsia="Verdana"/>
          <w:b/>
          <w:sz w:val="24"/>
          <w:szCs w:val="24"/>
        </w:rPr>
      </w:pPr>
      <w:r w:rsidRPr="00F77BC5">
        <w:rPr>
          <w:rFonts w:eastAsia="Verdana"/>
          <w:b/>
          <w:sz w:val="24"/>
          <w:szCs w:val="24"/>
        </w:rPr>
        <w:t>Presidente de Sala</w:t>
      </w:r>
    </w:p>
    <w:p w14:paraId="189874A9" w14:textId="77777777" w:rsidR="00643153" w:rsidRDefault="00643153" w:rsidP="00F77BC5">
      <w:pPr>
        <w:spacing w:line="276" w:lineRule="auto"/>
        <w:contextualSpacing/>
        <w:jc w:val="center"/>
        <w:rPr>
          <w:rFonts w:eastAsia="Verdana"/>
          <w:b/>
          <w:sz w:val="24"/>
          <w:szCs w:val="24"/>
        </w:rPr>
      </w:pPr>
    </w:p>
    <w:p w14:paraId="7E89CB11" w14:textId="14074C8E" w:rsidR="0085093E" w:rsidRDefault="0085093E" w:rsidP="00F77BC5">
      <w:pPr>
        <w:spacing w:line="276" w:lineRule="auto"/>
        <w:contextualSpacing/>
        <w:jc w:val="center"/>
        <w:rPr>
          <w:rFonts w:eastAsia="Verdana"/>
          <w:b/>
          <w:sz w:val="24"/>
          <w:szCs w:val="24"/>
        </w:rPr>
      </w:pPr>
    </w:p>
    <w:p w14:paraId="77109BB4" w14:textId="53324A77" w:rsidR="00A44DB0" w:rsidRDefault="00A44DB0" w:rsidP="00F77BC5">
      <w:pPr>
        <w:spacing w:line="276" w:lineRule="auto"/>
        <w:contextualSpacing/>
        <w:jc w:val="center"/>
        <w:rPr>
          <w:rFonts w:eastAsia="Verdana"/>
          <w:b/>
          <w:sz w:val="24"/>
          <w:szCs w:val="24"/>
        </w:rPr>
      </w:pPr>
    </w:p>
    <w:p w14:paraId="4B5F9DA8" w14:textId="2E301B7C" w:rsidR="00A44DB0" w:rsidRDefault="00A44DB0" w:rsidP="00F77BC5">
      <w:pPr>
        <w:spacing w:line="276" w:lineRule="auto"/>
        <w:contextualSpacing/>
        <w:jc w:val="center"/>
        <w:rPr>
          <w:rFonts w:eastAsia="Verdana"/>
          <w:b/>
          <w:sz w:val="24"/>
          <w:szCs w:val="24"/>
        </w:rPr>
      </w:pPr>
    </w:p>
    <w:p w14:paraId="069B3BA4" w14:textId="77777777" w:rsidR="00A44DB0" w:rsidRPr="00F77BC5" w:rsidRDefault="00A44DB0" w:rsidP="00F77BC5">
      <w:pPr>
        <w:spacing w:line="276" w:lineRule="auto"/>
        <w:contextualSpacing/>
        <w:jc w:val="center"/>
        <w:rPr>
          <w:rFonts w:eastAsia="Verdana"/>
          <w:b/>
          <w:sz w:val="24"/>
          <w:szCs w:val="24"/>
        </w:rPr>
      </w:pPr>
    </w:p>
    <w:p w14:paraId="6F16FACA" w14:textId="6A4DDBA2" w:rsidR="005C2D2C" w:rsidRPr="00F77BC5" w:rsidRDefault="005C2D2C" w:rsidP="00F77BC5">
      <w:pPr>
        <w:spacing w:line="276" w:lineRule="auto"/>
        <w:contextualSpacing/>
        <w:jc w:val="center"/>
        <w:rPr>
          <w:rFonts w:eastAsia="Verdana"/>
          <w:b/>
          <w:sz w:val="24"/>
          <w:szCs w:val="24"/>
        </w:rPr>
      </w:pPr>
      <w:r w:rsidRPr="00F77BC5">
        <w:rPr>
          <w:rFonts w:eastAsia="Verdana"/>
          <w:b/>
          <w:sz w:val="24"/>
          <w:szCs w:val="24"/>
        </w:rPr>
        <w:t>GUILLERMO SÁNCHEZ LUQUE</w:t>
      </w:r>
    </w:p>
    <w:p w14:paraId="68F9BF2E" w14:textId="2BC02806" w:rsidR="000C605F" w:rsidRDefault="000C5DB7" w:rsidP="00643153">
      <w:pPr>
        <w:spacing w:line="276" w:lineRule="auto"/>
        <w:contextualSpacing/>
        <w:jc w:val="center"/>
        <w:rPr>
          <w:rFonts w:eastAsia="Verdana"/>
          <w:b/>
          <w:sz w:val="24"/>
          <w:szCs w:val="24"/>
        </w:rPr>
      </w:pPr>
      <w:r w:rsidRPr="00F77BC5">
        <w:rPr>
          <w:rFonts w:eastAsia="Verdana"/>
          <w:b/>
          <w:sz w:val="24"/>
          <w:szCs w:val="24"/>
        </w:rPr>
        <w:t>Magistrado</w:t>
      </w:r>
    </w:p>
    <w:p w14:paraId="63CD4E2D" w14:textId="400FE724" w:rsidR="0085093E" w:rsidRDefault="004F3DC0" w:rsidP="00F77BC5">
      <w:pPr>
        <w:spacing w:line="276" w:lineRule="auto"/>
        <w:contextualSpacing/>
        <w:jc w:val="center"/>
        <w:rPr>
          <w:rFonts w:eastAsia="Verdana"/>
          <w:b/>
          <w:sz w:val="24"/>
          <w:szCs w:val="24"/>
        </w:rPr>
      </w:pPr>
      <w:r w:rsidRPr="004F3DC0">
        <w:rPr>
          <w:rFonts w:eastAsia="Verdana"/>
          <w:b/>
          <w:sz w:val="24"/>
          <w:szCs w:val="24"/>
        </w:rPr>
        <w:t>Aclaración de voto Cfr. Rad. 11001-03-15-000-2018-03386-0</w:t>
      </w:r>
    </w:p>
    <w:p w14:paraId="50149491" w14:textId="4E4229FB" w:rsidR="00643153" w:rsidRDefault="00643153" w:rsidP="00F77BC5">
      <w:pPr>
        <w:spacing w:line="276" w:lineRule="auto"/>
        <w:contextualSpacing/>
        <w:jc w:val="center"/>
        <w:rPr>
          <w:rFonts w:eastAsia="Verdana"/>
          <w:b/>
          <w:sz w:val="24"/>
          <w:szCs w:val="24"/>
        </w:rPr>
      </w:pPr>
    </w:p>
    <w:p w14:paraId="5B516CCE" w14:textId="5DC806E2" w:rsidR="004F3DC0" w:rsidRDefault="004F3DC0" w:rsidP="00F77BC5">
      <w:pPr>
        <w:spacing w:line="276" w:lineRule="auto"/>
        <w:contextualSpacing/>
        <w:jc w:val="center"/>
        <w:rPr>
          <w:rFonts w:eastAsia="Verdana"/>
          <w:b/>
          <w:sz w:val="24"/>
          <w:szCs w:val="24"/>
        </w:rPr>
      </w:pPr>
    </w:p>
    <w:p w14:paraId="5DBCE318" w14:textId="50E182A1" w:rsidR="004F3DC0" w:rsidRDefault="004F3DC0" w:rsidP="00F77BC5">
      <w:pPr>
        <w:spacing w:line="276" w:lineRule="auto"/>
        <w:contextualSpacing/>
        <w:jc w:val="center"/>
        <w:rPr>
          <w:rFonts w:eastAsia="Verdana"/>
          <w:b/>
          <w:sz w:val="24"/>
          <w:szCs w:val="24"/>
        </w:rPr>
      </w:pPr>
    </w:p>
    <w:p w14:paraId="765D46AF" w14:textId="736D8C80" w:rsidR="00A44DB0" w:rsidRDefault="00A44DB0" w:rsidP="00F77BC5">
      <w:pPr>
        <w:spacing w:line="276" w:lineRule="auto"/>
        <w:contextualSpacing/>
        <w:jc w:val="center"/>
        <w:rPr>
          <w:rFonts w:eastAsia="Verdana"/>
          <w:b/>
          <w:sz w:val="24"/>
          <w:szCs w:val="24"/>
        </w:rPr>
      </w:pPr>
    </w:p>
    <w:p w14:paraId="4CB3FE1D" w14:textId="302882DE" w:rsidR="00A44DB0" w:rsidRDefault="00A44DB0" w:rsidP="00F77BC5">
      <w:pPr>
        <w:spacing w:line="276" w:lineRule="auto"/>
        <w:contextualSpacing/>
        <w:jc w:val="center"/>
        <w:rPr>
          <w:rFonts w:eastAsia="Verdana"/>
          <w:b/>
          <w:sz w:val="24"/>
          <w:szCs w:val="24"/>
        </w:rPr>
      </w:pPr>
    </w:p>
    <w:p w14:paraId="1D313A72" w14:textId="77777777" w:rsidR="00A44DB0" w:rsidRPr="00F77BC5" w:rsidRDefault="00A44DB0" w:rsidP="00F77BC5">
      <w:pPr>
        <w:spacing w:line="276" w:lineRule="auto"/>
        <w:contextualSpacing/>
        <w:jc w:val="center"/>
        <w:rPr>
          <w:rFonts w:eastAsia="Verdana"/>
          <w:b/>
          <w:sz w:val="24"/>
          <w:szCs w:val="24"/>
        </w:rPr>
      </w:pPr>
    </w:p>
    <w:p w14:paraId="5E00FC79" w14:textId="77777777" w:rsidR="000C5DB7" w:rsidRPr="00F77BC5" w:rsidRDefault="000C5DB7" w:rsidP="00F77BC5">
      <w:pPr>
        <w:spacing w:line="276" w:lineRule="auto"/>
        <w:contextualSpacing/>
        <w:jc w:val="center"/>
        <w:rPr>
          <w:rFonts w:eastAsia="Verdana"/>
          <w:b/>
          <w:sz w:val="24"/>
          <w:szCs w:val="24"/>
        </w:rPr>
      </w:pPr>
      <w:r w:rsidRPr="00F77BC5">
        <w:rPr>
          <w:rFonts w:eastAsia="Verdana"/>
          <w:b/>
          <w:sz w:val="24"/>
          <w:szCs w:val="24"/>
        </w:rPr>
        <w:t>NICOLÁS YEPES CORRALES</w:t>
      </w:r>
    </w:p>
    <w:p w14:paraId="20683EF9" w14:textId="5A4493BF" w:rsidR="00467AA9" w:rsidRPr="00F77BC5" w:rsidRDefault="000C5DB7" w:rsidP="00F77BC5">
      <w:pPr>
        <w:spacing w:line="276" w:lineRule="auto"/>
        <w:contextualSpacing/>
        <w:jc w:val="center"/>
        <w:rPr>
          <w:rFonts w:eastAsia="Verdana"/>
          <w:b/>
          <w:sz w:val="24"/>
          <w:szCs w:val="24"/>
        </w:rPr>
      </w:pPr>
      <w:r w:rsidRPr="00F77BC5">
        <w:rPr>
          <w:rFonts w:eastAsia="Verdana"/>
          <w:b/>
          <w:sz w:val="24"/>
          <w:szCs w:val="24"/>
        </w:rPr>
        <w:t>Magistrado</w:t>
      </w:r>
    </w:p>
    <w:sectPr w:rsidR="00467AA9" w:rsidRPr="00F77BC5" w:rsidSect="00E57BB4">
      <w:headerReference w:type="default" r:id="rId11"/>
      <w:footerReference w:type="default" r:id="rId12"/>
      <w:headerReference w:type="first" r:id="rId13"/>
      <w:footerReference w:type="first" r:id="rId14"/>
      <w:pgSz w:w="12242" w:h="18722" w:code="14"/>
      <w:pgMar w:top="2552" w:right="1418" w:bottom="1985" w:left="1701" w:header="709" w:footer="9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0E7AD" w14:textId="77777777" w:rsidR="00E92F3A" w:rsidRDefault="00E92F3A" w:rsidP="00117091">
      <w:r>
        <w:separator/>
      </w:r>
    </w:p>
  </w:endnote>
  <w:endnote w:type="continuationSeparator" w:id="0">
    <w:p w14:paraId="42C14ED9" w14:textId="77777777" w:rsidR="00E92F3A" w:rsidRDefault="00E92F3A" w:rsidP="00117091">
      <w:r>
        <w:continuationSeparator/>
      </w:r>
    </w:p>
  </w:endnote>
  <w:endnote w:type="continuationNotice" w:id="1">
    <w:p w14:paraId="09455869" w14:textId="77777777" w:rsidR="00E92F3A" w:rsidRDefault="00E92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86189E" w14:paraId="22CC7AFE" w14:textId="77777777" w:rsidTr="00B6429B">
      <w:trPr>
        <w:jc w:val="right"/>
      </w:trPr>
      <w:tc>
        <w:tcPr>
          <w:tcW w:w="4795" w:type="dxa"/>
          <w:vAlign w:val="center"/>
        </w:tcPr>
        <w:p w14:paraId="1A1DAD26" w14:textId="77777777" w:rsidR="0086189E" w:rsidRDefault="0086189E" w:rsidP="00B6429B">
          <w:pPr>
            <w:pStyle w:val="Encabezado"/>
            <w:jc w:val="center"/>
            <w:rPr>
              <w:color w:val="767171"/>
              <w:sz w:val="20"/>
              <w:szCs w:val="20"/>
            </w:rPr>
          </w:pPr>
          <w:r w:rsidRPr="00A21194">
            <w:rPr>
              <w:color w:val="767171"/>
              <w:sz w:val="20"/>
              <w:szCs w:val="20"/>
            </w:rPr>
            <w:t>Calle 12 No. 7-65 – Tel: (57-1) 350-6700 – Bogotá D.C. – Colombia</w:t>
          </w:r>
        </w:p>
        <w:p w14:paraId="7F88392F" w14:textId="77777777" w:rsidR="0086189E" w:rsidRPr="00A21194" w:rsidRDefault="0086189E"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2806AAA0" w14:textId="77777777" w:rsidR="0086189E" w:rsidRPr="00B6429B" w:rsidRDefault="0086189E" w:rsidP="00B6429B">
          <w:pPr>
            <w:pStyle w:val="Piedepgina"/>
            <w:jc w:val="center"/>
          </w:pPr>
          <w:r w:rsidRPr="00B6429B">
            <w:fldChar w:fldCharType="begin"/>
          </w:r>
          <w:r w:rsidRPr="00B6429B">
            <w:instrText>PAGE   \* MERGEFORMAT</w:instrText>
          </w:r>
          <w:r w:rsidRPr="00B6429B">
            <w:fldChar w:fldCharType="separate"/>
          </w:r>
          <w:r w:rsidR="00B34D67" w:rsidRPr="00B34D67">
            <w:rPr>
              <w:noProof/>
              <w:lang w:val="es-ES"/>
            </w:rPr>
            <w:t>16</w:t>
          </w:r>
          <w:r w:rsidRPr="00B6429B">
            <w:fldChar w:fldCharType="end"/>
          </w:r>
        </w:p>
      </w:tc>
    </w:tr>
  </w:tbl>
  <w:p w14:paraId="199724F6" w14:textId="77777777" w:rsidR="0086189E" w:rsidRPr="008C0DBE" w:rsidRDefault="0086189E"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86189E" w14:paraId="1D900BCF" w14:textId="77777777" w:rsidTr="00B6429B">
      <w:trPr>
        <w:jc w:val="right"/>
      </w:trPr>
      <w:tc>
        <w:tcPr>
          <w:tcW w:w="4795" w:type="dxa"/>
          <w:vAlign w:val="center"/>
        </w:tcPr>
        <w:p w14:paraId="505917EF" w14:textId="77777777" w:rsidR="0086189E" w:rsidRDefault="0086189E" w:rsidP="00850A42">
          <w:pPr>
            <w:pStyle w:val="Encabezado"/>
            <w:tabs>
              <w:tab w:val="clear" w:pos="4252"/>
              <w:tab w:val="clear" w:pos="8504"/>
            </w:tabs>
            <w:jc w:val="center"/>
            <w:rPr>
              <w:color w:val="767171"/>
              <w:sz w:val="20"/>
              <w:szCs w:val="20"/>
            </w:rPr>
          </w:pPr>
          <w:r w:rsidRPr="00A21194">
            <w:rPr>
              <w:color w:val="767171"/>
              <w:sz w:val="20"/>
              <w:szCs w:val="20"/>
            </w:rPr>
            <w:t>Calle 12 No. 7-65 – Tel: (57-1) 350-6700 – Bogotá D.C. – Colombia</w:t>
          </w:r>
        </w:p>
        <w:p w14:paraId="04F80AD6" w14:textId="77777777" w:rsidR="0086189E" w:rsidRPr="00A21194" w:rsidRDefault="0086189E" w:rsidP="00850A42">
          <w:pPr>
            <w:pStyle w:val="Encabezado"/>
            <w:tabs>
              <w:tab w:val="clear" w:pos="4252"/>
              <w:tab w:val="clear" w:pos="8504"/>
            </w:tabs>
            <w:jc w:val="center"/>
            <w:rPr>
              <w:caps/>
              <w:color w:val="000000"/>
            </w:rPr>
          </w:pPr>
          <w:r w:rsidRPr="00A21194">
            <w:rPr>
              <w:color w:val="767171"/>
              <w:sz w:val="20"/>
              <w:szCs w:val="20"/>
            </w:rPr>
            <w:t>www.consejodeestado.gov.co</w:t>
          </w:r>
        </w:p>
      </w:tc>
      <w:tc>
        <w:tcPr>
          <w:tcW w:w="250" w:type="pct"/>
          <w:shd w:val="clear" w:color="auto" w:fill="auto"/>
          <w:vAlign w:val="center"/>
        </w:tcPr>
        <w:p w14:paraId="3AC47382" w14:textId="77777777" w:rsidR="0086189E" w:rsidRPr="00B6429B" w:rsidRDefault="0086189E" w:rsidP="00850A42">
          <w:pPr>
            <w:pStyle w:val="Piedepgina"/>
            <w:tabs>
              <w:tab w:val="clear" w:pos="4252"/>
              <w:tab w:val="clear" w:pos="8504"/>
            </w:tabs>
            <w:jc w:val="center"/>
          </w:pPr>
          <w:r w:rsidRPr="00B6429B">
            <w:fldChar w:fldCharType="begin"/>
          </w:r>
          <w:r w:rsidRPr="00B6429B">
            <w:instrText>PAGE   \* MERGEFORMAT</w:instrText>
          </w:r>
          <w:r w:rsidRPr="00B6429B">
            <w:fldChar w:fldCharType="separate"/>
          </w:r>
          <w:r w:rsidR="00B34D67" w:rsidRPr="00B34D67">
            <w:rPr>
              <w:noProof/>
              <w:lang w:val="es-ES"/>
            </w:rPr>
            <w:t>1</w:t>
          </w:r>
          <w:r w:rsidRPr="00B6429B">
            <w:fldChar w:fldCharType="end"/>
          </w:r>
        </w:p>
      </w:tc>
    </w:tr>
  </w:tbl>
  <w:p w14:paraId="3A21C5E9" w14:textId="77777777" w:rsidR="0086189E" w:rsidRDefault="0086189E" w:rsidP="00850A42">
    <w:pPr>
      <w:pStyle w:val="Piedepgina"/>
      <w:tabs>
        <w:tab w:val="clear" w:pos="4252"/>
        <w:tab w:val="clear" w:pos="850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2B102" w14:textId="77777777" w:rsidR="00E92F3A" w:rsidRDefault="00E92F3A" w:rsidP="00117091">
      <w:r>
        <w:separator/>
      </w:r>
    </w:p>
  </w:footnote>
  <w:footnote w:type="continuationSeparator" w:id="0">
    <w:p w14:paraId="368F2A0A" w14:textId="77777777" w:rsidR="00E92F3A" w:rsidRDefault="00E92F3A" w:rsidP="00117091">
      <w:r>
        <w:continuationSeparator/>
      </w:r>
    </w:p>
  </w:footnote>
  <w:footnote w:type="continuationNotice" w:id="1">
    <w:p w14:paraId="6DC77035" w14:textId="77777777" w:rsidR="00E92F3A" w:rsidRDefault="00E92F3A"/>
  </w:footnote>
  <w:footnote w:id="2">
    <w:p w14:paraId="44ECD650" w14:textId="77777777" w:rsidR="003B65D7" w:rsidRPr="007F09F8" w:rsidRDefault="003B65D7" w:rsidP="003B7CA3">
      <w:pPr>
        <w:pStyle w:val="Textonotapie"/>
      </w:pPr>
      <w:r>
        <w:rPr>
          <w:rStyle w:val="Refdenotaalpie"/>
        </w:rPr>
        <w:footnoteRef/>
      </w:r>
      <w:r>
        <w:t xml:space="preserve"> Ver, archivo con certificado </w:t>
      </w:r>
      <w:r w:rsidRPr="00CA5B28">
        <w:t>EF9DE846340345ED 8A67EF8CE9460720 FFEFBDD17DCA7FE3 33854DA441D5A31C</w:t>
      </w:r>
      <w:r>
        <w:t>.</w:t>
      </w:r>
    </w:p>
  </w:footnote>
  <w:footnote w:id="3">
    <w:p w14:paraId="64DAA35F" w14:textId="77777777" w:rsidR="003B65D7" w:rsidRPr="000C1801" w:rsidRDefault="003B65D7" w:rsidP="003B7CA3">
      <w:pPr>
        <w:pStyle w:val="Textonotapie"/>
      </w:pPr>
      <w:r w:rsidRPr="000C1801">
        <w:rPr>
          <w:rStyle w:val="Refdenotaalpie"/>
          <w:szCs w:val="16"/>
        </w:rPr>
        <w:footnoteRef/>
      </w:r>
      <w:r w:rsidRPr="000C1801">
        <w:t xml:space="preserve"> Así concluyó el tribunal: “</w:t>
      </w:r>
      <w:proofErr w:type="spellStart"/>
      <w:r w:rsidRPr="000C1801">
        <w:t>Entratándose</w:t>
      </w:r>
      <w:proofErr w:type="spellEnd"/>
      <w:r w:rsidRPr="000C1801">
        <w:t xml:space="preserve"> de un debate técnico que dependía de la definición médica en procura de establecer la corrección del procedimiento médico que se dice fue la causa del deceso del paciente, la fundamentación científica de la prueba técnica, aunada a la claridad de la referencia testimonial de esa misma entidad y, sin duda, con apego al historial médico, determinó el fracaso de la pretensión procesal, pues se demostró que el tratamiento ofrecido al señor Pinillos García, según la </w:t>
      </w:r>
      <w:proofErr w:type="spellStart"/>
      <w:r w:rsidRPr="000C1801">
        <w:rPr>
          <w:i/>
          <w:iCs/>
        </w:rPr>
        <w:t>lex</w:t>
      </w:r>
      <w:proofErr w:type="spellEnd"/>
      <w:r w:rsidRPr="000C1801">
        <w:rPr>
          <w:i/>
          <w:iCs/>
        </w:rPr>
        <w:t xml:space="preserve"> – </w:t>
      </w:r>
      <w:proofErr w:type="spellStart"/>
      <w:r w:rsidRPr="000C1801">
        <w:rPr>
          <w:i/>
          <w:iCs/>
        </w:rPr>
        <w:t>artís</w:t>
      </w:r>
      <w:proofErr w:type="spellEnd"/>
      <w:r w:rsidRPr="000C1801">
        <w:rPr>
          <w:i/>
          <w:iCs/>
        </w:rPr>
        <w:t xml:space="preserve"> </w:t>
      </w:r>
      <w:r w:rsidRPr="000C1801">
        <w:t>[sic], fue el adecuado”. Ver, p. 67 del fallo bajo transcripción. Cfr., carpeta comprimida que se identifica con certificado 6EDCFF7F86141F50 C3318237EE69903E F0BB97CE57FB0655 3598928F95270F2A.</w:t>
      </w:r>
    </w:p>
  </w:footnote>
  <w:footnote w:id="4">
    <w:p w14:paraId="086E3225" w14:textId="2EF2B096" w:rsidR="00414E83" w:rsidRPr="000C1801" w:rsidRDefault="00414E83" w:rsidP="003B7CA3">
      <w:pPr>
        <w:pStyle w:val="Textonotapie"/>
      </w:pPr>
      <w:r w:rsidRPr="000C1801">
        <w:rPr>
          <w:rStyle w:val="Refdenotaalpie"/>
          <w:szCs w:val="16"/>
        </w:rPr>
        <w:footnoteRef/>
      </w:r>
      <w:r w:rsidRPr="000C1801">
        <w:t xml:space="preserve"> Ver, archivo con certificado A35E67FE1620E024 FF73C7B84F3CAF02 4EF8DE495C625B38 CD056CCB5E421010. Se trata del volumen n</w:t>
      </w:r>
      <w:r w:rsidR="004669B5">
        <w:t>úmero</w:t>
      </w:r>
      <w:r w:rsidRPr="000C1801">
        <w:t xml:space="preserve"> 19, suplemento n</w:t>
      </w:r>
      <w:r w:rsidR="004669B5">
        <w:t>úmero</w:t>
      </w:r>
      <w:r w:rsidRPr="000C1801">
        <w:t xml:space="preserve"> 2, de la Revista Colombiana de Cardiología, ejemplar de febrero de 2010. Ver, pp. 28-195 dentro del archivo electrónico en cita.</w:t>
      </w:r>
    </w:p>
  </w:footnote>
  <w:footnote w:id="5">
    <w:p w14:paraId="06867A87" w14:textId="0029C9D3" w:rsidR="00414E83" w:rsidRPr="000C1801" w:rsidRDefault="00414E83" w:rsidP="003B7CA3">
      <w:pPr>
        <w:pStyle w:val="Textonotapie"/>
      </w:pPr>
      <w:r w:rsidRPr="000C1801">
        <w:rPr>
          <w:rStyle w:val="Refdenotaalpie"/>
          <w:szCs w:val="16"/>
        </w:rPr>
        <w:footnoteRef/>
      </w:r>
      <w:r w:rsidRPr="000C1801">
        <w:t xml:space="preserve"> Así dijo el fallo: “Por ahora, cabe precisar que la Sala se vale de la literatura que se allegó al proceso en esas condiciones, pues a las demandadas se le</w:t>
      </w:r>
      <w:r w:rsidR="00115D9E">
        <w:t>[s]</w:t>
      </w:r>
      <w:r w:rsidRPr="000C1801">
        <w:t xml:space="preserve"> garantizó la oportunidad de ejercer su derecho de contradicción frente a la misma [sic]. Además, la confiabilidad de la información científica allí contenida viene dada, no </w:t>
      </w:r>
      <w:r w:rsidRPr="004F3DC0">
        <w:t>s</w:t>
      </w:r>
      <w:r w:rsidR="004F3DC0">
        <w:t>o</w:t>
      </w:r>
      <w:r w:rsidRPr="004F3DC0">
        <w:t>lo</w:t>
      </w:r>
      <w:r w:rsidRPr="000C1801">
        <w:t xml:space="preserve"> por el hecho de que no se desvirtuó con estudios de similar naturaleza u otras pruebas igualmente confiables, sino porque el contenido de esos escritos convergen en aspectos fundamentales relacionados con los hechos acá debatidos, lo que sumado a la claridad de sus fundamentos y al reconocimiento que (al menos ello es incuestionable en el medio colombiano respecto de la Asociación Colombiana de Cardiología), los hacía un criterio auxiliar útil y pertinente para valorar las pruebas que se allegaron al expediente”. Ver, p. 10 del fallo en cita. Cfr., archivo con certificado A35E67FE1620E024 FF73C7B84F3CAF02 4EF8DE495C625B38 CD056CCB5E421010.</w:t>
      </w:r>
    </w:p>
  </w:footnote>
  <w:footnote w:id="6">
    <w:p w14:paraId="763440EA" w14:textId="141FB0E6" w:rsidR="00EC1A2D" w:rsidRPr="000C1801" w:rsidRDefault="00EC1A2D" w:rsidP="003B7CA3">
      <w:pPr>
        <w:pStyle w:val="Textonotapie"/>
      </w:pPr>
      <w:r w:rsidRPr="000C1801">
        <w:rPr>
          <w:rStyle w:val="Refdenotaalpie"/>
          <w:szCs w:val="16"/>
        </w:rPr>
        <w:footnoteRef/>
      </w:r>
      <w:r w:rsidRPr="000C1801">
        <w:t xml:space="preserve"> Así señala el fallo en referencia: “</w:t>
      </w:r>
      <w:r w:rsidRPr="007406E5">
        <w:t>Es precisamente por esto último que el deceso del paciente le es imputable a la demandada</w:t>
      </w:r>
      <w:r w:rsidRPr="000C1801">
        <w:t xml:space="preserve"> [sic]</w:t>
      </w:r>
      <w:r w:rsidRPr="007406E5">
        <w:t xml:space="preserve"> ya que,</w:t>
      </w:r>
      <w:r w:rsidRPr="000C1801">
        <w:t xml:space="preserve"> </w:t>
      </w:r>
      <w:r w:rsidRPr="007406E5">
        <w:t xml:space="preserve">contrario a lo que sostuvo el Tribunal, con respaldo en el dictamen pericial de cuyas conclusiones se aparta la Sala, la prueba de esfuerzo sí estaba contraindicada en este caso: </w:t>
      </w:r>
      <w:r w:rsidRPr="007406E5">
        <w:rPr>
          <w:b/>
          <w:bCs/>
        </w:rPr>
        <w:t>(</w:t>
      </w:r>
      <w:r w:rsidRPr="007406E5">
        <w:rPr>
          <w:b/>
          <w:bCs/>
          <w:i/>
          <w:iCs/>
        </w:rPr>
        <w:t>i</w:t>
      </w:r>
      <w:r w:rsidRPr="007406E5">
        <w:rPr>
          <w:b/>
          <w:bCs/>
        </w:rPr>
        <w:t xml:space="preserve">) </w:t>
      </w:r>
      <w:r w:rsidRPr="007406E5">
        <w:t xml:space="preserve">porque no se determinó (existiendo la posibilidad médica de hacerlo mediante ecocardiografía) la extensión que tuvo el infarto sobre el funcionamiento del corazón; </w:t>
      </w:r>
      <w:r w:rsidRPr="007406E5">
        <w:rPr>
          <w:b/>
          <w:bCs/>
        </w:rPr>
        <w:t>(</w:t>
      </w:r>
      <w:r w:rsidRPr="007406E5">
        <w:rPr>
          <w:b/>
          <w:bCs/>
          <w:i/>
          <w:iCs/>
        </w:rPr>
        <w:t>ii</w:t>
      </w:r>
      <w:r w:rsidRPr="007406E5">
        <w:rPr>
          <w:b/>
          <w:bCs/>
        </w:rPr>
        <w:t xml:space="preserve">) </w:t>
      </w:r>
      <w:r w:rsidRPr="007406E5">
        <w:t>porque con anterioridad a esa prueba, no se contaba con marcadores cardiacos en la periodicidad requerida</w:t>
      </w:r>
      <w:r w:rsidRPr="000C1801">
        <w:t>”</w:t>
      </w:r>
      <w:r w:rsidRPr="007406E5">
        <w:t xml:space="preserve"> </w:t>
      </w:r>
      <w:r w:rsidRPr="000C1801">
        <w:t xml:space="preserve">(numeración en negrilla </w:t>
      </w:r>
      <w:r w:rsidR="00F11C79">
        <w:t xml:space="preserve">y cursiva </w:t>
      </w:r>
      <w:r w:rsidRPr="000C1801">
        <w:t>dentro del texto). Ver, p. 14 ibid.</w:t>
      </w:r>
    </w:p>
  </w:footnote>
  <w:footnote w:id="7">
    <w:p w14:paraId="4DAB4F43" w14:textId="77777777" w:rsidR="00EC1A2D" w:rsidRPr="000C1801" w:rsidRDefault="00EC1A2D" w:rsidP="003B7CA3">
      <w:pPr>
        <w:pStyle w:val="Textonotapie"/>
      </w:pPr>
      <w:r w:rsidRPr="000C1801">
        <w:rPr>
          <w:rStyle w:val="Refdenotaalpie"/>
          <w:szCs w:val="16"/>
        </w:rPr>
        <w:footnoteRef/>
      </w:r>
      <w:r w:rsidRPr="000C1801">
        <w:t xml:space="preserve"> Así lo indicó la sentencia en mención “La Clínica demandada no demostró haber realizado pruebas en esa periodicidad el 14 de enero de 2000 antes de la prueba de esfuerzo, pues de lo que se tiene constancia es que la única vez que se tomó una muestra de marcadores cardiacos fue mucho antes: el 12 de enero de ese año”. Ver, p. 16 ibid.</w:t>
      </w:r>
    </w:p>
  </w:footnote>
  <w:footnote w:id="8">
    <w:p w14:paraId="400C99BA" w14:textId="77777777" w:rsidR="00EC1A2D" w:rsidRPr="000C1801" w:rsidRDefault="00EC1A2D" w:rsidP="003B7CA3">
      <w:pPr>
        <w:pStyle w:val="Textonotapie"/>
      </w:pPr>
      <w:r w:rsidRPr="000C1801">
        <w:rPr>
          <w:rStyle w:val="Refdenotaalpie"/>
          <w:szCs w:val="16"/>
        </w:rPr>
        <w:footnoteRef/>
      </w:r>
      <w:r w:rsidRPr="000C1801">
        <w:t xml:space="preserve"> Así termina el raciocinio bajo reseña: “Por todo lo expuesto, concluye la Sala que </w:t>
      </w:r>
      <w:proofErr w:type="spellStart"/>
      <w:r w:rsidRPr="000C1801">
        <w:t>Joselin</w:t>
      </w:r>
      <w:proofErr w:type="spellEnd"/>
      <w:r w:rsidRPr="000C1801">
        <w:t xml:space="preserve"> [sic] Pinillos fue sometido a la prueba de esfuerzo sin que se conociera con precisión su dinámica cardiaca (por falta de realización del ecocardiograma y de las pruebas de enzimas cardíacas), tal como lo sostuvo la parte recurrente, lo cual constituye una omisión de la Clínica Cardiovascular Santa María, que asumió que el paciente no tenía riesgos en ese procedimiento por el hecho de que sus electrocardiogramas no habían presentado alteraciones”. Ver, p. 1</w:t>
      </w:r>
      <w:r>
        <w:t>7</w:t>
      </w:r>
      <w:r w:rsidRPr="000C1801">
        <w:t xml:space="preserve"> ibid.</w:t>
      </w:r>
    </w:p>
  </w:footnote>
  <w:footnote w:id="9">
    <w:p w14:paraId="3E724CFC" w14:textId="7AD243F7" w:rsidR="00EC1A2D" w:rsidRPr="000C1801" w:rsidRDefault="00EC1A2D" w:rsidP="00EC1A2D">
      <w:pPr>
        <w:pStyle w:val="Default"/>
        <w:jc w:val="both"/>
        <w:rPr>
          <w:rFonts w:ascii="Arial" w:hAnsi="Arial" w:cs="Arial"/>
          <w:sz w:val="16"/>
          <w:szCs w:val="16"/>
          <w:lang w:val="es-CO"/>
        </w:rPr>
      </w:pPr>
      <w:r w:rsidRPr="000C1801">
        <w:rPr>
          <w:rStyle w:val="Refdenotaalpie"/>
          <w:rFonts w:ascii="Arial" w:hAnsi="Arial" w:cs="Arial"/>
          <w:sz w:val="16"/>
          <w:szCs w:val="16"/>
        </w:rPr>
        <w:footnoteRef/>
      </w:r>
      <w:r w:rsidRPr="000C1801">
        <w:rPr>
          <w:rFonts w:ascii="Arial" w:hAnsi="Arial" w:cs="Arial"/>
          <w:sz w:val="16"/>
          <w:szCs w:val="16"/>
          <w:lang w:val="es-CO"/>
        </w:rPr>
        <w:t xml:space="preserve"> Así lo dice el fallo: “La toma de dichas muestras, advierte la Sala, era de [sic] importante en este caso, pues referidas a elementos de las células </w:t>
      </w:r>
      <w:r w:rsidR="0032149F" w:rsidRPr="000C1801">
        <w:rPr>
          <w:rFonts w:ascii="Arial" w:hAnsi="Arial" w:cs="Arial"/>
          <w:sz w:val="16"/>
          <w:szCs w:val="16"/>
          <w:lang w:val="es-CO"/>
        </w:rPr>
        <w:t>cardiacas</w:t>
      </w:r>
      <w:r w:rsidRPr="000C1801">
        <w:rPr>
          <w:rFonts w:ascii="Arial" w:hAnsi="Arial" w:cs="Arial"/>
          <w:sz w:val="16"/>
          <w:szCs w:val="16"/>
          <w:lang w:val="es-CO"/>
        </w:rPr>
        <w:t xml:space="preserve"> [sic] que se liberaban con ocasión del infarto, su elevación no sólo [sic] daría cuenta de la existencia del mismo [sic], como lo refirió el doctor Francisco Eladio López, sino de su extensión, de donde tenía sentido que, en momentos previos a la prueba de esfuerzo, se tomaran </w:t>
      </w:r>
      <w:r w:rsidR="0032149F" w:rsidRPr="000C1801">
        <w:rPr>
          <w:rFonts w:ascii="Arial" w:hAnsi="Arial" w:cs="Arial"/>
          <w:sz w:val="16"/>
          <w:szCs w:val="16"/>
          <w:lang w:val="es-CO"/>
        </w:rPr>
        <w:t>exámenes</w:t>
      </w:r>
      <w:r w:rsidRPr="000C1801">
        <w:rPr>
          <w:rFonts w:ascii="Arial" w:hAnsi="Arial" w:cs="Arial"/>
          <w:sz w:val="16"/>
          <w:szCs w:val="16"/>
          <w:lang w:val="es-CO"/>
        </w:rPr>
        <w:t xml:space="preserve"> </w:t>
      </w:r>
      <w:r w:rsidRPr="00DD6A86">
        <w:rPr>
          <w:rFonts w:ascii="Arial" w:hAnsi="Arial" w:cs="Arial"/>
          <w:sz w:val="16"/>
          <w:szCs w:val="16"/>
          <w:lang w:val="es-CO"/>
        </w:rPr>
        <w:t>[sic]</w:t>
      </w:r>
      <w:r w:rsidRPr="000C1801">
        <w:rPr>
          <w:rFonts w:ascii="Arial" w:hAnsi="Arial" w:cs="Arial"/>
          <w:sz w:val="16"/>
          <w:szCs w:val="16"/>
          <w:lang w:val="es-CO"/>
        </w:rPr>
        <w:t xml:space="preserve"> de este tipo, precisamente con el propósito de evaluar qué tanto podía estar afectado el tejido del miocardio”. Ver, pp. 16-17 ibid.</w:t>
      </w:r>
      <w:r>
        <w:rPr>
          <w:rFonts w:ascii="Arial" w:hAnsi="Arial" w:cs="Arial"/>
          <w:sz w:val="16"/>
          <w:szCs w:val="16"/>
          <w:lang w:val="es-CO"/>
        </w:rPr>
        <w:t xml:space="preserve"> Más adelante, dijo: “</w:t>
      </w:r>
      <w:r w:rsidRPr="00382E00">
        <w:rPr>
          <w:rFonts w:ascii="Arial" w:hAnsi="Arial" w:cs="Arial"/>
          <w:sz w:val="16"/>
          <w:szCs w:val="16"/>
          <w:lang w:val="es-CO"/>
        </w:rPr>
        <w:t xml:space="preserve">La estabilidad del paciente durante su hospitalización, situación a la que se refirieron los médicos que declararon a instancias del Centro Cardiovascular demandado y el perito, como condición que determinaba la viabilidad de la prueba de esfuerzo, no era un referente confiable del estado del corazón con posterioridad al infarto. A la larga, tal y como lo planteó uno de ellos (el Doctor Francisco Eladio López en términos de muy alta probabilidad) resultó que la zona periférica al infarto estaba </w:t>
      </w:r>
      <w:r w:rsidRPr="00382E00">
        <w:rPr>
          <w:rFonts w:ascii="Arial" w:hAnsi="Arial" w:cs="Arial"/>
          <w:i/>
          <w:iCs/>
          <w:sz w:val="16"/>
          <w:szCs w:val="16"/>
          <w:lang w:val="es-CO"/>
        </w:rPr>
        <w:t xml:space="preserve">más </w:t>
      </w:r>
      <w:r w:rsidR="0032149F" w:rsidRPr="00382E00">
        <w:rPr>
          <w:rFonts w:ascii="Arial" w:hAnsi="Arial" w:cs="Arial"/>
          <w:i/>
          <w:iCs/>
          <w:sz w:val="16"/>
          <w:szCs w:val="16"/>
          <w:lang w:val="es-CO"/>
        </w:rPr>
        <w:t>débil</w:t>
      </w:r>
      <w:r w:rsidRPr="00382E00">
        <w:rPr>
          <w:rFonts w:ascii="Arial" w:hAnsi="Arial" w:cs="Arial"/>
          <w:i/>
          <w:iCs/>
          <w:sz w:val="16"/>
          <w:szCs w:val="16"/>
          <w:lang w:val="es-CO"/>
        </w:rPr>
        <w:t xml:space="preserve"> </w:t>
      </w:r>
      <w:r w:rsidRPr="00382E00">
        <w:rPr>
          <w:rFonts w:ascii="Arial" w:hAnsi="Arial" w:cs="Arial"/>
          <w:sz w:val="16"/>
          <w:szCs w:val="16"/>
          <w:lang w:val="es-CO"/>
        </w:rPr>
        <w:t>de lo que se creyó, presentándose su ruptura durante la mencionada prueba</w:t>
      </w:r>
      <w:r>
        <w:rPr>
          <w:rFonts w:ascii="Arial" w:hAnsi="Arial" w:cs="Arial"/>
          <w:sz w:val="16"/>
          <w:szCs w:val="16"/>
          <w:lang w:val="es-CO"/>
        </w:rPr>
        <w:t>” (cursiva dentro del texto). Ver, p. 17 ibid.</w:t>
      </w:r>
    </w:p>
  </w:footnote>
  <w:footnote w:id="10">
    <w:p w14:paraId="7FF57BC4" w14:textId="68B9E5C2" w:rsidR="00784939" w:rsidRPr="00784939" w:rsidRDefault="00784939" w:rsidP="003B7CA3">
      <w:pPr>
        <w:pStyle w:val="Textonotapie"/>
      </w:pPr>
      <w:r>
        <w:rPr>
          <w:rStyle w:val="Refdenotaalpie"/>
        </w:rPr>
        <w:footnoteRef/>
      </w:r>
      <w:r>
        <w:t xml:space="preserve"> Se trata del siguiente a</w:t>
      </w:r>
      <w:r w:rsidRPr="00784939">
        <w:t>rtículo científico: Clínicas Colombianas de Cardiología. Consenso Nacional para la Prevención, Diagnóstico y Tratamiento del Infarto Agudo de Miocardio. Director Consultor: Ricardo Rozo Uribe, M.D. Sociedad Colombiana de Cardiología. 1997-1999.</w:t>
      </w:r>
      <w:r>
        <w:t xml:space="preserve"> Ver, carpeta comprimida que se identifica con certificado </w:t>
      </w:r>
      <w:r w:rsidRPr="00784939">
        <w:t>6EDCFF7F86141F50 C3318237EE69903E F0BB97CE57FB0655 3598928F95270F2A</w:t>
      </w:r>
      <w:r>
        <w:t>. Cfr. archivo n</w:t>
      </w:r>
      <w:r w:rsidR="004669B5">
        <w:t>úmero</w:t>
      </w:r>
      <w:r>
        <w:t xml:space="preserve"> 4.</w:t>
      </w:r>
    </w:p>
  </w:footnote>
  <w:footnote w:id="11">
    <w:p w14:paraId="320833F8" w14:textId="74B7A13C" w:rsidR="0086189E" w:rsidRPr="00F77BC5" w:rsidRDefault="0086189E" w:rsidP="003B7CA3">
      <w:pPr>
        <w:pStyle w:val="Textonotapie"/>
      </w:pPr>
      <w:r w:rsidRPr="00F77BC5">
        <w:rPr>
          <w:rStyle w:val="Refdenotaalpie"/>
          <w:szCs w:val="16"/>
        </w:rPr>
        <w:footnoteRef/>
      </w:r>
      <w:r w:rsidRPr="00F77BC5">
        <w:t xml:space="preserve"> Ver, archivo con certificado </w:t>
      </w:r>
      <w:r w:rsidR="004558D7" w:rsidRPr="004558D7">
        <w:t>BD46CBD2CA96AF3F 3DF3068D411C4EFA AFB08C49BCD1BE8F 907A22465BA48280</w:t>
      </w:r>
      <w:r w:rsidRPr="00F77BC5">
        <w:t>.</w:t>
      </w:r>
    </w:p>
  </w:footnote>
  <w:footnote w:id="12">
    <w:p w14:paraId="31B036CC" w14:textId="5C8F7FAB" w:rsidR="0086189E" w:rsidRPr="00F77BC5" w:rsidRDefault="0086189E" w:rsidP="003B7CA3">
      <w:pPr>
        <w:pStyle w:val="Textonotapie"/>
      </w:pPr>
      <w:r w:rsidRPr="00F77BC5">
        <w:rPr>
          <w:rStyle w:val="Refdenotaalpie"/>
          <w:szCs w:val="16"/>
        </w:rPr>
        <w:footnoteRef/>
      </w:r>
      <w:r w:rsidRPr="00F77BC5">
        <w:t xml:space="preserve"> Ver, archivo con certificado </w:t>
      </w:r>
      <w:r w:rsidR="007C13C4" w:rsidRPr="007C13C4">
        <w:t>EA43E9296943D498 D7D9F1278F0FD7B0 A18B7B1086172C6F 8477211220010BC2</w:t>
      </w:r>
      <w:r w:rsidRPr="00F77BC5">
        <w:t>.</w:t>
      </w:r>
    </w:p>
  </w:footnote>
  <w:footnote w:id="13">
    <w:p w14:paraId="351B5FEE" w14:textId="7F4ECD09" w:rsidR="007C13C4" w:rsidRPr="007C13C4" w:rsidRDefault="007C13C4" w:rsidP="003B7CA3">
      <w:pPr>
        <w:pStyle w:val="Textonotapie"/>
      </w:pPr>
      <w:r>
        <w:rPr>
          <w:rStyle w:val="Refdenotaalpie"/>
        </w:rPr>
        <w:footnoteRef/>
      </w:r>
      <w:r>
        <w:t xml:space="preserve"> </w:t>
      </w:r>
      <w:r w:rsidRPr="007C13C4">
        <w:t>Ver, archivo con certificado 42C6E09E614438CB 0264AFC3FB04ABBB 17933E6ABBF52D78 9A8AB3111B73966B</w:t>
      </w:r>
      <w:r>
        <w:t>.</w:t>
      </w:r>
    </w:p>
  </w:footnote>
  <w:footnote w:id="14">
    <w:p w14:paraId="0F84ED52" w14:textId="4032ECA1" w:rsidR="00F743EF" w:rsidRPr="00B65932" w:rsidRDefault="00F743EF">
      <w:pPr>
        <w:pStyle w:val="Textonotapie"/>
      </w:pPr>
      <w:r>
        <w:rPr>
          <w:rStyle w:val="Refdenotaalpie"/>
        </w:rPr>
        <w:footnoteRef/>
      </w:r>
      <w:r>
        <w:t xml:space="preserve"> </w:t>
      </w:r>
      <w:r w:rsidRPr="00B65932">
        <w:t xml:space="preserve">Ver, archivo con certificado </w:t>
      </w:r>
      <w:r w:rsidR="00B65932" w:rsidRPr="00B65932">
        <w:t>3037984B50FD8FE5 D1AD7D9FABB960DC 223BD2F50E8B385E 4810A818CD608049</w:t>
      </w:r>
      <w:r w:rsidR="00B65932">
        <w:t>.</w:t>
      </w:r>
    </w:p>
  </w:footnote>
  <w:footnote w:id="15">
    <w:p w14:paraId="2C6E9C80" w14:textId="505E6A03" w:rsidR="00750F61" w:rsidRPr="00750F61" w:rsidRDefault="00750F61">
      <w:pPr>
        <w:pStyle w:val="Textonotapie"/>
      </w:pPr>
      <w:r>
        <w:rPr>
          <w:rStyle w:val="Refdenotaalpie"/>
        </w:rPr>
        <w:footnoteRef/>
      </w:r>
      <w:r>
        <w:t xml:space="preserve"> </w:t>
      </w:r>
      <w:r w:rsidRPr="00750F61">
        <w:t>Ver, archivo con certificado</w:t>
      </w:r>
      <w:r>
        <w:t xml:space="preserve"> </w:t>
      </w:r>
      <w:r w:rsidRPr="00750F61">
        <w:t>59521C34A9B64B61 B67537EDEC2924B8 A32D0B2E6DC77F06 5D05B53B8B564F14</w:t>
      </w:r>
      <w:r>
        <w:t>.</w:t>
      </w:r>
    </w:p>
  </w:footnote>
  <w:footnote w:id="16">
    <w:p w14:paraId="28E4A5DE" w14:textId="15D2A368" w:rsidR="00181AF9" w:rsidRPr="00181AF9" w:rsidRDefault="00181AF9">
      <w:pPr>
        <w:pStyle w:val="Textonotapie"/>
      </w:pPr>
      <w:r>
        <w:rPr>
          <w:rStyle w:val="Refdenotaalpie"/>
        </w:rPr>
        <w:footnoteRef/>
      </w:r>
      <w:r>
        <w:t xml:space="preserve"> </w:t>
      </w:r>
      <w:r w:rsidRPr="00181AF9">
        <w:t>Ver, archivo con certificado</w:t>
      </w:r>
      <w:r>
        <w:t xml:space="preserve"> </w:t>
      </w:r>
      <w:r w:rsidRPr="00181AF9">
        <w:t>D44CCBA87A92A67D 383DADEA9B74BE1C D94C8F89BD73F0E6 874459AD5BB0484E</w:t>
      </w:r>
      <w:r>
        <w:t>.</w:t>
      </w:r>
    </w:p>
  </w:footnote>
  <w:footnote w:id="17">
    <w:p w14:paraId="7CCCF946" w14:textId="2290B699" w:rsidR="00181AF9" w:rsidRPr="00181AF9" w:rsidRDefault="00181AF9">
      <w:pPr>
        <w:pStyle w:val="Textonotapie"/>
      </w:pPr>
      <w:r>
        <w:rPr>
          <w:rStyle w:val="Refdenotaalpie"/>
        </w:rPr>
        <w:footnoteRef/>
      </w:r>
      <w:r>
        <w:t xml:space="preserve"> </w:t>
      </w:r>
      <w:r w:rsidRPr="00181AF9">
        <w:t>Ver, archivo con certificado</w:t>
      </w:r>
      <w:r>
        <w:t xml:space="preserve"> </w:t>
      </w:r>
      <w:r w:rsidRPr="00181AF9">
        <w:t>3E8209199C812DD1 8A2601A4E219ADEC 809433D9F07C6C75 18B9FC3991EEE23E</w:t>
      </w:r>
      <w:r>
        <w:t>.</w:t>
      </w:r>
    </w:p>
  </w:footnote>
  <w:footnote w:id="18">
    <w:p w14:paraId="43E8A540" w14:textId="77777777" w:rsidR="00825DF0" w:rsidRPr="00F77BC5" w:rsidRDefault="00825DF0" w:rsidP="00825DF0">
      <w:pPr>
        <w:pStyle w:val="Textonotapie"/>
        <w:rPr>
          <w:szCs w:val="16"/>
        </w:rPr>
      </w:pPr>
      <w:r w:rsidRPr="00F77BC5">
        <w:rPr>
          <w:rStyle w:val="Refdenotaalpie"/>
          <w:szCs w:val="16"/>
        </w:rPr>
        <w:footnoteRef/>
      </w:r>
      <w:r w:rsidRPr="00F77BC5">
        <w:rPr>
          <w:szCs w:val="16"/>
        </w:rPr>
        <w:t xml:space="preserve"> “Por medio del cual se modificó el reglamento interno del Consejo de Estado”.</w:t>
      </w:r>
    </w:p>
  </w:footnote>
  <w:footnote w:id="19">
    <w:p w14:paraId="3C3F54C2" w14:textId="77777777" w:rsidR="00DA00CC" w:rsidRPr="004053F0" w:rsidRDefault="00DA00CC" w:rsidP="00DA00CC">
      <w:pPr>
        <w:pStyle w:val="Textonotapie"/>
        <w:rPr>
          <w:szCs w:val="16"/>
          <w:lang w:val="fr-FR"/>
        </w:rPr>
      </w:pPr>
      <w:r w:rsidRPr="004053F0">
        <w:rPr>
          <w:rStyle w:val="Refdenotaalpie"/>
          <w:szCs w:val="16"/>
        </w:rPr>
        <w:footnoteRef/>
      </w:r>
      <w:r w:rsidRPr="004053F0">
        <w:rPr>
          <w:szCs w:val="16"/>
        </w:rPr>
        <w:t xml:space="preserve"> La legitimación en la causa por activa es exigencia contenida en la jurisprudencia de la Corte Constitucional. Al respecto, puede consultarse el siguiente fallo: </w:t>
      </w:r>
      <w:bookmarkStart w:id="2" w:name="_Hlk30924782"/>
      <w:r w:rsidRPr="004053F0">
        <w:rPr>
          <w:szCs w:val="16"/>
        </w:rPr>
        <w:t xml:space="preserve">Corte Constitucional. Sentencia T-511 de 2017. Dicha </w:t>
      </w:r>
      <w:bookmarkEnd w:id="2"/>
      <w:r w:rsidRPr="004053F0">
        <w:rPr>
          <w:szCs w:val="16"/>
        </w:rPr>
        <w:t xml:space="preserve">decisión judicial se soporta en las siguientes sentencias: Corte Constitucional. </w:t>
      </w:r>
      <w:r w:rsidRPr="004053F0">
        <w:rPr>
          <w:szCs w:val="16"/>
          <w:lang w:val="fr-FR"/>
        </w:rPr>
        <w:t>Sentencias T-416 de 1997; T-086 de 2016; T-176 de 2011; T-435 de 2016, y SU-454 de 2016.</w:t>
      </w:r>
    </w:p>
  </w:footnote>
  <w:footnote w:id="20">
    <w:p w14:paraId="445B95E0" w14:textId="2F7413DA" w:rsidR="002B1A3B" w:rsidRPr="004053F0" w:rsidRDefault="002B1A3B" w:rsidP="002B1A3B">
      <w:pPr>
        <w:pStyle w:val="Textonotapie"/>
        <w:rPr>
          <w:szCs w:val="16"/>
        </w:rPr>
      </w:pPr>
      <w:r w:rsidRPr="004053F0">
        <w:rPr>
          <w:rStyle w:val="Refdenotaalpie"/>
          <w:szCs w:val="16"/>
        </w:rPr>
        <w:footnoteRef/>
      </w:r>
      <w:r w:rsidRPr="004053F0">
        <w:rPr>
          <w:szCs w:val="16"/>
        </w:rPr>
        <w:t xml:space="preserve"> </w:t>
      </w:r>
      <w:r w:rsidR="00205D92">
        <w:rPr>
          <w:szCs w:val="16"/>
        </w:rPr>
        <w:t xml:space="preserve">La parte actora, en su escrito de tutela, propuso un conjunto de reproches que giran alrededor de lo que la </w:t>
      </w:r>
      <w:r w:rsidRPr="004053F0">
        <w:rPr>
          <w:szCs w:val="16"/>
        </w:rPr>
        <w:t>Corte Constitucional</w:t>
      </w:r>
      <w:r w:rsidR="00205D92">
        <w:rPr>
          <w:szCs w:val="16"/>
        </w:rPr>
        <w:t xml:space="preserve"> ha llamado </w:t>
      </w:r>
      <w:r w:rsidR="00205D92">
        <w:rPr>
          <w:i/>
          <w:iCs/>
          <w:szCs w:val="16"/>
        </w:rPr>
        <w:t>defecto fáctico en dimensión negativa</w:t>
      </w:r>
      <w:r w:rsidR="00205D92">
        <w:rPr>
          <w:szCs w:val="16"/>
        </w:rPr>
        <w:t>. Este surge por la valoración defectuosa, que es lo mismo que irrazonable, del material probatorio</w:t>
      </w:r>
      <w:r w:rsidRPr="004053F0">
        <w:rPr>
          <w:szCs w:val="16"/>
        </w:rPr>
        <w:t>.</w:t>
      </w:r>
      <w:r w:rsidR="00205D92">
        <w:rPr>
          <w:szCs w:val="16"/>
        </w:rPr>
        <w:t xml:space="preserve"> Al respecto, ver las siguientes</w:t>
      </w:r>
      <w:r w:rsidRPr="004053F0">
        <w:rPr>
          <w:szCs w:val="16"/>
        </w:rPr>
        <w:t xml:space="preserve"> </w:t>
      </w:r>
      <w:r w:rsidR="00205D92">
        <w:rPr>
          <w:szCs w:val="16"/>
        </w:rPr>
        <w:t>s</w:t>
      </w:r>
      <w:r w:rsidRPr="004053F0">
        <w:rPr>
          <w:szCs w:val="16"/>
        </w:rPr>
        <w:t>entencias</w:t>
      </w:r>
      <w:r w:rsidR="00205D92">
        <w:rPr>
          <w:szCs w:val="16"/>
        </w:rPr>
        <w:t>: T-388 de 2006, SU-946 de 2014, SU-537 de 2017, T-459 de 2017 y T-074 de 2018, entre otras. En estas, la citada Corte refiere a las pruebas que no son valoradas objetiva y racionalmente.</w:t>
      </w:r>
    </w:p>
  </w:footnote>
  <w:footnote w:id="21">
    <w:p w14:paraId="03685393" w14:textId="77777777" w:rsidR="00C139E5" w:rsidRPr="004053F0" w:rsidRDefault="00C139E5" w:rsidP="00C139E5">
      <w:pPr>
        <w:pStyle w:val="Textonotapie"/>
        <w:rPr>
          <w:szCs w:val="16"/>
        </w:rPr>
      </w:pPr>
      <w:r w:rsidRPr="004053F0">
        <w:rPr>
          <w:rStyle w:val="Refdenotaalpie"/>
          <w:szCs w:val="16"/>
        </w:rPr>
        <w:footnoteRef/>
      </w:r>
      <w:r w:rsidRPr="004053F0">
        <w:rPr>
          <w:szCs w:val="16"/>
        </w:rPr>
        <w:t xml:space="preserve"> Corte Constitucional. Sentencias SU-961 de 1999 y T-031 de 2016.</w:t>
      </w:r>
    </w:p>
  </w:footnote>
  <w:footnote w:id="22">
    <w:p w14:paraId="545ADE6E" w14:textId="364F848B" w:rsidR="00C139E5" w:rsidRPr="004053F0" w:rsidRDefault="00C139E5" w:rsidP="00C139E5">
      <w:pPr>
        <w:pStyle w:val="Textonotapie"/>
        <w:rPr>
          <w:szCs w:val="16"/>
        </w:rPr>
      </w:pPr>
      <w:r w:rsidRPr="004053F0">
        <w:rPr>
          <w:rStyle w:val="Refdenotaalpie"/>
          <w:szCs w:val="16"/>
        </w:rPr>
        <w:footnoteRef/>
      </w:r>
      <w:r w:rsidRPr="004053F0">
        <w:rPr>
          <w:szCs w:val="16"/>
        </w:rPr>
        <w:t xml:space="preserve"> </w:t>
      </w:r>
      <w:r w:rsidRPr="004053F0">
        <w:rPr>
          <w:rFonts w:eastAsia="Verdana"/>
          <w:szCs w:val="16"/>
        </w:rPr>
        <w:t xml:space="preserve">Consejo de Estado, Sala Plena de lo Contencioso Administrativo. Sentencia de Unificación del </w:t>
      </w:r>
      <w:r w:rsidRPr="004053F0">
        <w:rPr>
          <w:szCs w:val="16"/>
        </w:rPr>
        <w:t>5 de agosto del 2014, expediente n</w:t>
      </w:r>
      <w:r w:rsidR="00603EBD">
        <w:rPr>
          <w:szCs w:val="16"/>
        </w:rPr>
        <w:t>úmero</w:t>
      </w:r>
      <w:r w:rsidRPr="004053F0">
        <w:rPr>
          <w:szCs w:val="16"/>
        </w:rPr>
        <w:t xml:space="preserve"> 2012-02201-01 (IJ). Sobre el mismo particular, la Sección Quinta de esta Corporación ha sido prolífica en reiterar lo dispuesto en la sentencia citada anteriormente: Consejo de Estado. Sala de lo Contencioso Administrativo. Sección Quinta. Sentencias del 26 de febrero del 2015, expediente n</w:t>
      </w:r>
      <w:r w:rsidR="00603EBD">
        <w:rPr>
          <w:szCs w:val="16"/>
        </w:rPr>
        <w:t>úmero</w:t>
      </w:r>
      <w:r w:rsidRPr="004053F0">
        <w:rPr>
          <w:szCs w:val="16"/>
        </w:rPr>
        <w:t xml:space="preserve"> 2015-00045-00; 15 de octubre del 2015, expediente n</w:t>
      </w:r>
      <w:r w:rsidR="00603EBD">
        <w:rPr>
          <w:szCs w:val="16"/>
        </w:rPr>
        <w:t>úmero</w:t>
      </w:r>
      <w:r w:rsidRPr="004053F0">
        <w:rPr>
          <w:szCs w:val="16"/>
        </w:rPr>
        <w:t xml:space="preserve"> 2015-01605-01; 25 de enero de 2018, expediente n</w:t>
      </w:r>
      <w:r w:rsidR="00603EBD">
        <w:rPr>
          <w:szCs w:val="16"/>
        </w:rPr>
        <w:t>úmero</w:t>
      </w:r>
      <w:r w:rsidRPr="004053F0">
        <w:rPr>
          <w:szCs w:val="16"/>
        </w:rPr>
        <w:t xml:space="preserve"> 2017-3009-00.</w:t>
      </w:r>
    </w:p>
  </w:footnote>
  <w:footnote w:id="23">
    <w:p w14:paraId="3D140C5C" w14:textId="4C78D896" w:rsidR="00C139E5" w:rsidRPr="004053F0" w:rsidRDefault="00C139E5" w:rsidP="00C139E5">
      <w:pPr>
        <w:pStyle w:val="Textonotapie"/>
        <w:rPr>
          <w:szCs w:val="16"/>
        </w:rPr>
      </w:pPr>
      <w:r w:rsidRPr="004053F0">
        <w:rPr>
          <w:rStyle w:val="Refdenotaalpie"/>
          <w:szCs w:val="16"/>
        </w:rPr>
        <w:footnoteRef/>
      </w:r>
      <w:r w:rsidRPr="004053F0">
        <w:rPr>
          <w:szCs w:val="16"/>
        </w:rPr>
        <w:t xml:space="preserve"> Ver, </w:t>
      </w:r>
      <w:r w:rsidR="00C46F23">
        <w:rPr>
          <w:szCs w:val="16"/>
        </w:rPr>
        <w:t>archivo</w:t>
      </w:r>
      <w:r w:rsidRPr="004053F0">
        <w:rPr>
          <w:szCs w:val="16"/>
        </w:rPr>
        <w:t xml:space="preserve"> con certificado </w:t>
      </w:r>
      <w:r w:rsidR="00C46F23" w:rsidRPr="00C46F23">
        <w:rPr>
          <w:szCs w:val="16"/>
        </w:rPr>
        <w:t>7F69963E9C937BA1 88085C80848EDD3C 86965000105058F6 296C1D5CAA0A0BBE</w:t>
      </w:r>
      <w:r w:rsidR="00C46F23">
        <w:rPr>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22CBC" w14:textId="77777777" w:rsidR="0086189E" w:rsidRPr="00A15ACE" w:rsidRDefault="0086189E" w:rsidP="00203055">
    <w:pPr>
      <w:pStyle w:val="Encabezado"/>
      <w:tabs>
        <w:tab w:val="clear" w:pos="4252"/>
        <w:tab w:val="clear" w:pos="8504"/>
      </w:tabs>
    </w:pPr>
    <w:r>
      <w:rPr>
        <w:noProof/>
        <w:lang w:eastAsia="es-CO"/>
      </w:rPr>
      <w:drawing>
        <wp:anchor distT="0" distB="0" distL="114300" distR="114300" simplePos="0" relativeHeight="251689984" behindDoc="0" locked="0" layoutInCell="1" allowOverlap="1" wp14:anchorId="428F8081" wp14:editId="1641B60C">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AF10C" w14:textId="77777777" w:rsidR="0086189E" w:rsidRPr="00A15ACE" w:rsidRDefault="0086189E" w:rsidP="00203055">
    <w:pPr>
      <w:pStyle w:val="Encabezado"/>
      <w:tabs>
        <w:tab w:val="clear" w:pos="4252"/>
        <w:tab w:val="clear" w:pos="8504"/>
      </w:tabs>
    </w:pPr>
  </w:p>
  <w:p w14:paraId="2A7E67E0" w14:textId="77777777" w:rsidR="0086189E" w:rsidRPr="00A15ACE" w:rsidRDefault="0086189E" w:rsidP="00203055">
    <w:pPr>
      <w:pStyle w:val="Encabezado"/>
      <w:tabs>
        <w:tab w:val="clear" w:pos="4252"/>
        <w:tab w:val="clear" w:pos="8504"/>
      </w:tabs>
    </w:pPr>
    <w:r w:rsidRPr="0070023E">
      <w:rPr>
        <w:noProof/>
        <w:sz w:val="20"/>
        <w:szCs w:val="20"/>
        <w:lang w:eastAsia="es-CO"/>
      </w:rPr>
      <mc:AlternateContent>
        <mc:Choice Requires="wps">
          <w:drawing>
            <wp:anchor distT="0" distB="0" distL="114300" distR="114300" simplePos="0" relativeHeight="251656192" behindDoc="0" locked="0" layoutInCell="1" allowOverlap="1" wp14:anchorId="71F1B463" wp14:editId="60A2257C">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D0F0B7"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E63C26F" w14:textId="216CE697" w:rsidR="0086189E" w:rsidRPr="00F532EA" w:rsidRDefault="0086189E" w:rsidP="00203055">
    <w:pPr>
      <w:pStyle w:val="Encabezado"/>
      <w:tabs>
        <w:tab w:val="clear" w:pos="4252"/>
        <w:tab w:val="clear" w:pos="8504"/>
      </w:tabs>
      <w:jc w:val="right"/>
      <w:rPr>
        <w:color w:val="767171"/>
        <w:sz w:val="20"/>
        <w:szCs w:val="20"/>
      </w:rPr>
    </w:pPr>
    <w:r w:rsidRPr="00F532EA">
      <w:rPr>
        <w:color w:val="767171"/>
        <w:sz w:val="20"/>
        <w:szCs w:val="20"/>
      </w:rPr>
      <w:t xml:space="preserve">Radicado: </w:t>
    </w:r>
    <w:r w:rsidRPr="007B3B39">
      <w:rPr>
        <w:color w:val="767171"/>
        <w:sz w:val="20"/>
        <w:szCs w:val="20"/>
      </w:rPr>
      <w:t>11001-03-15-000-202</w:t>
    </w:r>
    <w:r w:rsidR="00D558DF">
      <w:rPr>
        <w:color w:val="767171"/>
        <w:sz w:val="20"/>
        <w:szCs w:val="20"/>
      </w:rPr>
      <w:t>1</w:t>
    </w:r>
    <w:r w:rsidRPr="007B3B39">
      <w:rPr>
        <w:color w:val="767171"/>
        <w:sz w:val="20"/>
        <w:szCs w:val="20"/>
      </w:rPr>
      <w:t>-0</w:t>
    </w:r>
    <w:r w:rsidR="003B65D7">
      <w:rPr>
        <w:color w:val="767171"/>
        <w:sz w:val="20"/>
        <w:szCs w:val="20"/>
      </w:rPr>
      <w:t>2751</w:t>
    </w:r>
    <w:r w:rsidRPr="007B3B39">
      <w:rPr>
        <w:color w:val="767171"/>
        <w:sz w:val="20"/>
        <w:szCs w:val="20"/>
      </w:rPr>
      <w:t>-00</w:t>
    </w:r>
  </w:p>
  <w:p w14:paraId="6426EFCB" w14:textId="536DCD66" w:rsidR="0086189E" w:rsidRPr="00C4675E" w:rsidRDefault="0086189E" w:rsidP="00203055">
    <w:pPr>
      <w:pStyle w:val="Encabezado"/>
      <w:tabs>
        <w:tab w:val="clear" w:pos="4252"/>
        <w:tab w:val="clear" w:pos="8504"/>
      </w:tabs>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 xml:space="preserve">Accionante: </w:t>
    </w:r>
    <w:r w:rsidR="003B65D7">
      <w:rPr>
        <w:color w:val="767171"/>
        <w:sz w:val="20"/>
        <w:szCs w:val="20"/>
      </w:rPr>
      <w:t>Centro Cardiovascular Colombiano “Clínica Santa María”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9586D" w14:textId="77777777" w:rsidR="0086189E" w:rsidRPr="00A15ACE" w:rsidRDefault="0086189E" w:rsidP="00850A42">
    <w:pPr>
      <w:pStyle w:val="Encabezado"/>
      <w:tabs>
        <w:tab w:val="clear" w:pos="4252"/>
        <w:tab w:val="clear" w:pos="8504"/>
      </w:tabs>
    </w:pPr>
    <w:r>
      <w:rPr>
        <w:noProof/>
        <w:lang w:eastAsia="es-CO"/>
      </w:rPr>
      <w:drawing>
        <wp:anchor distT="0" distB="0" distL="114300" distR="114300" simplePos="0" relativeHeight="251658752" behindDoc="0" locked="0" layoutInCell="1" allowOverlap="1" wp14:anchorId="4784F910" wp14:editId="5353ADAF">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24182" w14:textId="77777777" w:rsidR="0086189E" w:rsidRPr="00A15ACE" w:rsidRDefault="0086189E" w:rsidP="00850A42">
    <w:pPr>
      <w:pStyle w:val="Encabezado"/>
      <w:tabs>
        <w:tab w:val="clear" w:pos="4252"/>
        <w:tab w:val="clear" w:pos="8504"/>
      </w:tabs>
      <w:rPr>
        <w:color w:val="767171"/>
      </w:rPr>
    </w:pPr>
  </w:p>
  <w:p w14:paraId="27F8185B" w14:textId="77777777" w:rsidR="0086189E" w:rsidRPr="007F276C" w:rsidRDefault="0086189E" w:rsidP="0013277B">
    <w:pPr>
      <w:pStyle w:val="Sinespaciado"/>
    </w:pPr>
    <w:r w:rsidRPr="007F276C">
      <w:t>CONSEJO DE ESTADO</w:t>
    </w:r>
  </w:p>
  <w:p w14:paraId="73CB25C2" w14:textId="77777777" w:rsidR="0086189E" w:rsidRPr="007F276C" w:rsidRDefault="0086189E" w:rsidP="0013277B">
    <w:pPr>
      <w:pStyle w:val="Sinespaciado"/>
    </w:pPr>
    <w:r w:rsidRPr="007F276C">
      <w:t>SALA DE LO CONTENCIOSO ADMINISTRATIVO</w:t>
    </w:r>
  </w:p>
  <w:p w14:paraId="53748759" w14:textId="77777777" w:rsidR="0086189E" w:rsidRPr="007F276C" w:rsidRDefault="0086189E" w:rsidP="0013277B">
    <w:pPr>
      <w:pStyle w:val="Sinespaciado"/>
    </w:pPr>
    <w:r w:rsidRPr="007F276C">
      <w:t>SECCIÓN TERCERA – SUBSECCIÓN C</w:t>
    </w:r>
  </w:p>
  <w:p w14:paraId="3879558C" w14:textId="77777777" w:rsidR="0086189E" w:rsidRDefault="0086189E" w:rsidP="00850A42">
    <w:pPr>
      <w:pStyle w:val="Encabezado"/>
      <w:tabs>
        <w:tab w:val="clear" w:pos="4252"/>
        <w:tab w:val="clear"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55A68"/>
    <w:multiLevelType w:val="hybridMultilevel"/>
    <w:tmpl w:val="1D9AF256"/>
    <w:lvl w:ilvl="0" w:tplc="71C62E9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1E16"/>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07701001"/>
    <w:multiLevelType w:val="multilevel"/>
    <w:tmpl w:val="3AF081F4"/>
    <w:lvl w:ilvl="0">
      <w:start w:val="1"/>
      <w:numFmt w:val="decimal"/>
      <w:lvlText w:val="%1."/>
      <w:lvlJc w:val="left"/>
      <w:pPr>
        <w:ind w:left="360" w:hanging="360"/>
      </w:pPr>
      <w:rPr>
        <w:rFonts w:hint="default"/>
      </w:rPr>
    </w:lvl>
    <w:lvl w:ilvl="1">
      <w:start w:val="1"/>
      <w:numFmt w:val="none"/>
      <w:lvlText w:val="2.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E521F5"/>
    <w:multiLevelType w:val="hybridMultilevel"/>
    <w:tmpl w:val="481CAEE8"/>
    <w:lvl w:ilvl="0" w:tplc="43FA3E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211DA"/>
    <w:multiLevelType w:val="hybridMultilevel"/>
    <w:tmpl w:val="BE2E816C"/>
    <w:lvl w:ilvl="0" w:tplc="DF207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3414"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4C1349"/>
    <w:multiLevelType w:val="hybridMultilevel"/>
    <w:tmpl w:val="BB30B85A"/>
    <w:lvl w:ilvl="0" w:tplc="0C94F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F2A4B"/>
    <w:multiLevelType w:val="hybridMultilevel"/>
    <w:tmpl w:val="8A123A5C"/>
    <w:lvl w:ilvl="0" w:tplc="7FF8CA56">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17264"/>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D374F73"/>
    <w:multiLevelType w:val="multilevel"/>
    <w:tmpl w:val="ABAEDE02"/>
    <w:lvl w:ilvl="0">
      <w:start w:val="1"/>
      <w:numFmt w:val="upperRoman"/>
      <w:pStyle w:val="Ttulo1"/>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7265EF3"/>
    <w:multiLevelType w:val="multilevel"/>
    <w:tmpl w:val="ABAEDE02"/>
    <w:numStyleLink w:val="Estilo1"/>
  </w:abstractNum>
  <w:abstractNum w:abstractNumId="12" w15:restartNumberingAfterBreak="0">
    <w:nsid w:val="3A407B3E"/>
    <w:multiLevelType w:val="hybridMultilevel"/>
    <w:tmpl w:val="8ED03882"/>
    <w:lvl w:ilvl="0" w:tplc="6C1E3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C57DD"/>
    <w:multiLevelType w:val="hybridMultilevel"/>
    <w:tmpl w:val="05C47AA8"/>
    <w:lvl w:ilvl="0" w:tplc="8D1A8B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EC1398C"/>
    <w:multiLevelType w:val="hybridMultilevel"/>
    <w:tmpl w:val="E0D4C2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8C7B9A"/>
    <w:multiLevelType w:val="multilevel"/>
    <w:tmpl w:val="ABAEDE02"/>
    <w:styleLink w:val="Estilo1"/>
    <w:lvl w:ilvl="0">
      <w:start w:val="3"/>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A70353"/>
    <w:multiLevelType w:val="hybridMultilevel"/>
    <w:tmpl w:val="43100F48"/>
    <w:lvl w:ilvl="0" w:tplc="6396DC70">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90510"/>
    <w:multiLevelType w:val="hybridMultilevel"/>
    <w:tmpl w:val="865A96CA"/>
    <w:lvl w:ilvl="0" w:tplc="A8CE6A8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5F2A282F"/>
    <w:multiLevelType w:val="hybridMultilevel"/>
    <w:tmpl w:val="B10A7E36"/>
    <w:lvl w:ilvl="0" w:tplc="9FCAA5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41244"/>
    <w:multiLevelType w:val="multilevel"/>
    <w:tmpl w:val="771C0008"/>
    <w:lvl w:ilvl="0">
      <w:start w:val="1"/>
      <w:numFmt w:val="ordinalText"/>
      <w:lvlText w:val="%1."/>
      <w:lvlJc w:val="left"/>
      <w:pPr>
        <w:ind w:left="0" w:firstLine="0"/>
      </w:pPr>
      <w:rPr>
        <w:rFonts w:ascii="Arial" w:hAnsi="Arial" w:hint="default"/>
        <w:b/>
        <w:i w:val="0"/>
        <w:caps/>
        <w:strike w:val="0"/>
        <w:dstrike w:val="0"/>
        <w:vanish w:val="0"/>
        <w:sz w:val="24"/>
        <w:vertAlign w:val="baselin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64BD6038"/>
    <w:multiLevelType w:val="multilevel"/>
    <w:tmpl w:val="A8E846F4"/>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7C2289"/>
    <w:multiLevelType w:val="multilevel"/>
    <w:tmpl w:val="4DA0571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B16B14"/>
    <w:multiLevelType w:val="hybridMultilevel"/>
    <w:tmpl w:val="51549D50"/>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F1D7296"/>
    <w:multiLevelType w:val="hybridMultilevel"/>
    <w:tmpl w:val="7474F05E"/>
    <w:lvl w:ilvl="0" w:tplc="B4222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7252D"/>
    <w:multiLevelType w:val="hybridMultilevel"/>
    <w:tmpl w:val="3E9EAA42"/>
    <w:lvl w:ilvl="0" w:tplc="AA90D0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43753C"/>
    <w:multiLevelType w:val="multilevel"/>
    <w:tmpl w:val="AAA6266E"/>
    <w:lvl w:ilvl="0">
      <w:start w:val="1"/>
      <w:numFmt w:val="decimal"/>
      <w:lvlText w:val="%1."/>
      <w:lvlJc w:val="left"/>
      <w:pPr>
        <w:ind w:left="360" w:hanging="360"/>
      </w:pPr>
      <w:rPr>
        <w:rFonts w:hint="default"/>
      </w:rPr>
    </w:lvl>
    <w:lvl w:ilvl="1">
      <w:start w:val="1"/>
      <w:numFmt w:val="none"/>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10"/>
  </w:num>
  <w:num w:numId="6">
    <w:abstractNumId w:val="25"/>
  </w:num>
  <w:num w:numId="7">
    <w:abstractNumId w:val="16"/>
  </w:num>
  <w:num w:numId="8">
    <w:abstractNumId w:val="14"/>
  </w:num>
  <w:num w:numId="9">
    <w:abstractNumId w:val="15"/>
  </w:num>
  <w:num w:numId="10">
    <w:abstractNumId w:val="11"/>
  </w:num>
  <w:num w:numId="11">
    <w:abstractNumId w:val="6"/>
  </w:num>
  <w:num w:numId="12">
    <w:abstractNumId w:val="12"/>
  </w:num>
  <w:num w:numId="13">
    <w:abstractNumId w:val="7"/>
  </w:num>
  <w:num w:numId="14">
    <w:abstractNumId w:val="23"/>
  </w:num>
  <w:num w:numId="15">
    <w:abstractNumId w:val="2"/>
  </w:num>
  <w:num w:numId="16">
    <w:abstractNumId w:val="22"/>
  </w:num>
  <w:num w:numId="17">
    <w:abstractNumId w:val="28"/>
  </w:num>
  <w:num w:numId="18">
    <w:abstractNumId w:val="26"/>
  </w:num>
  <w:num w:numId="19">
    <w:abstractNumId w:val="20"/>
  </w:num>
  <w:num w:numId="20">
    <w:abstractNumId w:val="3"/>
  </w:num>
  <w:num w:numId="21">
    <w:abstractNumId w:val="4"/>
  </w:num>
  <w:num w:numId="22">
    <w:abstractNumId w:val="21"/>
  </w:num>
  <w:num w:numId="23">
    <w:abstractNumId w:val="13"/>
  </w:num>
  <w:num w:numId="24">
    <w:abstractNumId w:val="0"/>
  </w:num>
  <w:num w:numId="25">
    <w:abstractNumId w:val="8"/>
  </w:num>
  <w:num w:numId="26">
    <w:abstractNumId w:val="18"/>
  </w:num>
  <w:num w:numId="27">
    <w:abstractNumId w:val="24"/>
  </w:num>
  <w:num w:numId="28">
    <w:abstractNumId w:val="27"/>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2646"/>
    <w:rsid w:val="00002BCB"/>
    <w:rsid w:val="00003427"/>
    <w:rsid w:val="00003548"/>
    <w:rsid w:val="00003A4C"/>
    <w:rsid w:val="000042FA"/>
    <w:rsid w:val="00006D3C"/>
    <w:rsid w:val="000078E1"/>
    <w:rsid w:val="00007CCA"/>
    <w:rsid w:val="00007FB3"/>
    <w:rsid w:val="00011912"/>
    <w:rsid w:val="0001211B"/>
    <w:rsid w:val="0001294D"/>
    <w:rsid w:val="0001306A"/>
    <w:rsid w:val="00013229"/>
    <w:rsid w:val="000138C3"/>
    <w:rsid w:val="000148D2"/>
    <w:rsid w:val="00014967"/>
    <w:rsid w:val="00014C90"/>
    <w:rsid w:val="00014D69"/>
    <w:rsid w:val="00016594"/>
    <w:rsid w:val="000165D0"/>
    <w:rsid w:val="00017CB3"/>
    <w:rsid w:val="000205FD"/>
    <w:rsid w:val="00020C81"/>
    <w:rsid w:val="00020F1D"/>
    <w:rsid w:val="00021439"/>
    <w:rsid w:val="00024CD3"/>
    <w:rsid w:val="00024ED7"/>
    <w:rsid w:val="00025115"/>
    <w:rsid w:val="00025159"/>
    <w:rsid w:val="00025657"/>
    <w:rsid w:val="00025D43"/>
    <w:rsid w:val="00026643"/>
    <w:rsid w:val="0002715D"/>
    <w:rsid w:val="000274C1"/>
    <w:rsid w:val="00030424"/>
    <w:rsid w:val="0003044A"/>
    <w:rsid w:val="00030D50"/>
    <w:rsid w:val="0003163C"/>
    <w:rsid w:val="00032747"/>
    <w:rsid w:val="00033C87"/>
    <w:rsid w:val="000344F1"/>
    <w:rsid w:val="00035168"/>
    <w:rsid w:val="000352C9"/>
    <w:rsid w:val="000369DF"/>
    <w:rsid w:val="00036A46"/>
    <w:rsid w:val="0003723B"/>
    <w:rsid w:val="00037471"/>
    <w:rsid w:val="00040E52"/>
    <w:rsid w:val="000412C2"/>
    <w:rsid w:val="000415BD"/>
    <w:rsid w:val="0004241E"/>
    <w:rsid w:val="0004418D"/>
    <w:rsid w:val="000447FE"/>
    <w:rsid w:val="0004512E"/>
    <w:rsid w:val="000452C0"/>
    <w:rsid w:val="0004588A"/>
    <w:rsid w:val="000460CA"/>
    <w:rsid w:val="00051CA2"/>
    <w:rsid w:val="000526A4"/>
    <w:rsid w:val="000529AB"/>
    <w:rsid w:val="00052B30"/>
    <w:rsid w:val="00052C39"/>
    <w:rsid w:val="000531F3"/>
    <w:rsid w:val="0005325C"/>
    <w:rsid w:val="000544A4"/>
    <w:rsid w:val="000548C3"/>
    <w:rsid w:val="00055579"/>
    <w:rsid w:val="0005624F"/>
    <w:rsid w:val="000569D4"/>
    <w:rsid w:val="00056C68"/>
    <w:rsid w:val="00056DFC"/>
    <w:rsid w:val="00056EC2"/>
    <w:rsid w:val="00057AB2"/>
    <w:rsid w:val="0006136F"/>
    <w:rsid w:val="00061B93"/>
    <w:rsid w:val="00061E0A"/>
    <w:rsid w:val="00062419"/>
    <w:rsid w:val="00062839"/>
    <w:rsid w:val="00062E7F"/>
    <w:rsid w:val="000632DC"/>
    <w:rsid w:val="000640AC"/>
    <w:rsid w:val="00064461"/>
    <w:rsid w:val="00065394"/>
    <w:rsid w:val="000655DF"/>
    <w:rsid w:val="00065F3A"/>
    <w:rsid w:val="00066855"/>
    <w:rsid w:val="00066F0B"/>
    <w:rsid w:val="00067858"/>
    <w:rsid w:val="00070576"/>
    <w:rsid w:val="00070C82"/>
    <w:rsid w:val="00071226"/>
    <w:rsid w:val="000714DF"/>
    <w:rsid w:val="000728E0"/>
    <w:rsid w:val="0007303A"/>
    <w:rsid w:val="00073869"/>
    <w:rsid w:val="0007389A"/>
    <w:rsid w:val="00074469"/>
    <w:rsid w:val="00077ABA"/>
    <w:rsid w:val="0008006A"/>
    <w:rsid w:val="000813DB"/>
    <w:rsid w:val="00082421"/>
    <w:rsid w:val="0008290D"/>
    <w:rsid w:val="000829E5"/>
    <w:rsid w:val="00082FCD"/>
    <w:rsid w:val="000837F5"/>
    <w:rsid w:val="00083B8F"/>
    <w:rsid w:val="00083C27"/>
    <w:rsid w:val="000876A6"/>
    <w:rsid w:val="00090310"/>
    <w:rsid w:val="00091755"/>
    <w:rsid w:val="00091E4D"/>
    <w:rsid w:val="000920C2"/>
    <w:rsid w:val="000937EE"/>
    <w:rsid w:val="00094AEA"/>
    <w:rsid w:val="00094E7B"/>
    <w:rsid w:val="0009717D"/>
    <w:rsid w:val="000A1E41"/>
    <w:rsid w:val="000A2262"/>
    <w:rsid w:val="000A2B33"/>
    <w:rsid w:val="000A3101"/>
    <w:rsid w:val="000A34B6"/>
    <w:rsid w:val="000A39D7"/>
    <w:rsid w:val="000A42B2"/>
    <w:rsid w:val="000A4FB0"/>
    <w:rsid w:val="000A54A1"/>
    <w:rsid w:val="000A5554"/>
    <w:rsid w:val="000A555D"/>
    <w:rsid w:val="000A7A33"/>
    <w:rsid w:val="000B0A38"/>
    <w:rsid w:val="000B0F12"/>
    <w:rsid w:val="000B15AE"/>
    <w:rsid w:val="000B42A8"/>
    <w:rsid w:val="000B51B3"/>
    <w:rsid w:val="000B5547"/>
    <w:rsid w:val="000B7608"/>
    <w:rsid w:val="000C09E1"/>
    <w:rsid w:val="000C264F"/>
    <w:rsid w:val="000C2723"/>
    <w:rsid w:val="000C2B43"/>
    <w:rsid w:val="000C3ED0"/>
    <w:rsid w:val="000C445C"/>
    <w:rsid w:val="000C456C"/>
    <w:rsid w:val="000C581D"/>
    <w:rsid w:val="000C5DB7"/>
    <w:rsid w:val="000C605F"/>
    <w:rsid w:val="000C6238"/>
    <w:rsid w:val="000C66BA"/>
    <w:rsid w:val="000C6D2E"/>
    <w:rsid w:val="000C7B4F"/>
    <w:rsid w:val="000C7E44"/>
    <w:rsid w:val="000D0E41"/>
    <w:rsid w:val="000D0FE6"/>
    <w:rsid w:val="000D16F0"/>
    <w:rsid w:val="000D223A"/>
    <w:rsid w:val="000D2C46"/>
    <w:rsid w:val="000D3C86"/>
    <w:rsid w:val="000D471F"/>
    <w:rsid w:val="000D4D6C"/>
    <w:rsid w:val="000D546D"/>
    <w:rsid w:val="000D5563"/>
    <w:rsid w:val="000D6BFF"/>
    <w:rsid w:val="000D6E0F"/>
    <w:rsid w:val="000D7EE8"/>
    <w:rsid w:val="000E19A0"/>
    <w:rsid w:val="000E22EA"/>
    <w:rsid w:val="000E2D62"/>
    <w:rsid w:val="000E2F23"/>
    <w:rsid w:val="000E6CF6"/>
    <w:rsid w:val="000E709F"/>
    <w:rsid w:val="000F04B3"/>
    <w:rsid w:val="000F053A"/>
    <w:rsid w:val="000F1B8D"/>
    <w:rsid w:val="000F1CE9"/>
    <w:rsid w:val="000F32A0"/>
    <w:rsid w:val="000F3570"/>
    <w:rsid w:val="000F4101"/>
    <w:rsid w:val="000F46CE"/>
    <w:rsid w:val="000F4980"/>
    <w:rsid w:val="000F4FF8"/>
    <w:rsid w:val="000F50F0"/>
    <w:rsid w:val="000F65CA"/>
    <w:rsid w:val="000F6D77"/>
    <w:rsid w:val="000F7BDA"/>
    <w:rsid w:val="000F7E83"/>
    <w:rsid w:val="00101C60"/>
    <w:rsid w:val="00101E8A"/>
    <w:rsid w:val="0010217B"/>
    <w:rsid w:val="001038EA"/>
    <w:rsid w:val="001041C2"/>
    <w:rsid w:val="0010435F"/>
    <w:rsid w:val="001045A0"/>
    <w:rsid w:val="00106CCC"/>
    <w:rsid w:val="00106FB6"/>
    <w:rsid w:val="0011079E"/>
    <w:rsid w:val="00112F1A"/>
    <w:rsid w:val="00113BD7"/>
    <w:rsid w:val="00113CAE"/>
    <w:rsid w:val="00115D9E"/>
    <w:rsid w:val="00115EBE"/>
    <w:rsid w:val="00117091"/>
    <w:rsid w:val="00121D97"/>
    <w:rsid w:val="001230E5"/>
    <w:rsid w:val="00123126"/>
    <w:rsid w:val="00123D71"/>
    <w:rsid w:val="00124ED7"/>
    <w:rsid w:val="00124F8D"/>
    <w:rsid w:val="00126A63"/>
    <w:rsid w:val="00127D92"/>
    <w:rsid w:val="00130F7C"/>
    <w:rsid w:val="00131078"/>
    <w:rsid w:val="001314F6"/>
    <w:rsid w:val="0013277B"/>
    <w:rsid w:val="00132DD7"/>
    <w:rsid w:val="00133CD1"/>
    <w:rsid w:val="00133F91"/>
    <w:rsid w:val="0013529D"/>
    <w:rsid w:val="0013542E"/>
    <w:rsid w:val="00137438"/>
    <w:rsid w:val="00137807"/>
    <w:rsid w:val="00140BF3"/>
    <w:rsid w:val="00141670"/>
    <w:rsid w:val="001416A3"/>
    <w:rsid w:val="001462FA"/>
    <w:rsid w:val="0015060C"/>
    <w:rsid w:val="00150D25"/>
    <w:rsid w:val="001510A3"/>
    <w:rsid w:val="00151CE2"/>
    <w:rsid w:val="001520C5"/>
    <w:rsid w:val="001524ED"/>
    <w:rsid w:val="00152A55"/>
    <w:rsid w:val="00152C23"/>
    <w:rsid w:val="0015433E"/>
    <w:rsid w:val="00154621"/>
    <w:rsid w:val="0015533A"/>
    <w:rsid w:val="00155E78"/>
    <w:rsid w:val="00156E62"/>
    <w:rsid w:val="0016141D"/>
    <w:rsid w:val="00161478"/>
    <w:rsid w:val="00162A82"/>
    <w:rsid w:val="00163C26"/>
    <w:rsid w:val="001648E2"/>
    <w:rsid w:val="001652C6"/>
    <w:rsid w:val="001653CA"/>
    <w:rsid w:val="00165674"/>
    <w:rsid w:val="001658F7"/>
    <w:rsid w:val="00165F5A"/>
    <w:rsid w:val="00166AF6"/>
    <w:rsid w:val="00167331"/>
    <w:rsid w:val="001707E0"/>
    <w:rsid w:val="00170DE1"/>
    <w:rsid w:val="00170DE6"/>
    <w:rsid w:val="00170FDD"/>
    <w:rsid w:val="00171055"/>
    <w:rsid w:val="001718C1"/>
    <w:rsid w:val="0017254C"/>
    <w:rsid w:val="001728B3"/>
    <w:rsid w:val="00172B9D"/>
    <w:rsid w:val="001733AF"/>
    <w:rsid w:val="001737B9"/>
    <w:rsid w:val="0017431B"/>
    <w:rsid w:val="00175800"/>
    <w:rsid w:val="00176539"/>
    <w:rsid w:val="00176B3D"/>
    <w:rsid w:val="00177946"/>
    <w:rsid w:val="00180162"/>
    <w:rsid w:val="00181571"/>
    <w:rsid w:val="001816BE"/>
    <w:rsid w:val="00181AF9"/>
    <w:rsid w:val="00181E01"/>
    <w:rsid w:val="00182116"/>
    <w:rsid w:val="001835F7"/>
    <w:rsid w:val="00183FC5"/>
    <w:rsid w:val="00184DCA"/>
    <w:rsid w:val="0018534B"/>
    <w:rsid w:val="001859CD"/>
    <w:rsid w:val="0019048F"/>
    <w:rsid w:val="00190A86"/>
    <w:rsid w:val="0019195B"/>
    <w:rsid w:val="00191F52"/>
    <w:rsid w:val="0019311A"/>
    <w:rsid w:val="0019313B"/>
    <w:rsid w:val="00193204"/>
    <w:rsid w:val="0019417E"/>
    <w:rsid w:val="0019459B"/>
    <w:rsid w:val="001945DD"/>
    <w:rsid w:val="00194ACD"/>
    <w:rsid w:val="00194CD0"/>
    <w:rsid w:val="00195702"/>
    <w:rsid w:val="00195C51"/>
    <w:rsid w:val="00196A15"/>
    <w:rsid w:val="00196A2F"/>
    <w:rsid w:val="00197E69"/>
    <w:rsid w:val="001A06C7"/>
    <w:rsid w:val="001A098E"/>
    <w:rsid w:val="001A2083"/>
    <w:rsid w:val="001A2338"/>
    <w:rsid w:val="001A2E86"/>
    <w:rsid w:val="001A4A26"/>
    <w:rsid w:val="001A5AEB"/>
    <w:rsid w:val="001A5D58"/>
    <w:rsid w:val="001A6C86"/>
    <w:rsid w:val="001A78A0"/>
    <w:rsid w:val="001A7A33"/>
    <w:rsid w:val="001B2F00"/>
    <w:rsid w:val="001B368A"/>
    <w:rsid w:val="001B45B3"/>
    <w:rsid w:val="001B4B0D"/>
    <w:rsid w:val="001B586B"/>
    <w:rsid w:val="001B7AD5"/>
    <w:rsid w:val="001C16CB"/>
    <w:rsid w:val="001C3556"/>
    <w:rsid w:val="001C3610"/>
    <w:rsid w:val="001C3A72"/>
    <w:rsid w:val="001C3C1F"/>
    <w:rsid w:val="001C78EE"/>
    <w:rsid w:val="001C7B8D"/>
    <w:rsid w:val="001C7DFF"/>
    <w:rsid w:val="001D1445"/>
    <w:rsid w:val="001D1E28"/>
    <w:rsid w:val="001D1FFA"/>
    <w:rsid w:val="001D2CB4"/>
    <w:rsid w:val="001D2DA5"/>
    <w:rsid w:val="001D3797"/>
    <w:rsid w:val="001D47B7"/>
    <w:rsid w:val="001D4E62"/>
    <w:rsid w:val="001D79F8"/>
    <w:rsid w:val="001E0688"/>
    <w:rsid w:val="001E2A25"/>
    <w:rsid w:val="001E52CA"/>
    <w:rsid w:val="001E5970"/>
    <w:rsid w:val="001E622B"/>
    <w:rsid w:val="001E6CC0"/>
    <w:rsid w:val="001E7763"/>
    <w:rsid w:val="001F039B"/>
    <w:rsid w:val="001F2066"/>
    <w:rsid w:val="001F2150"/>
    <w:rsid w:val="001F21E4"/>
    <w:rsid w:val="001F2572"/>
    <w:rsid w:val="001F2F2C"/>
    <w:rsid w:val="001F335A"/>
    <w:rsid w:val="001F543F"/>
    <w:rsid w:val="001F5570"/>
    <w:rsid w:val="001F6092"/>
    <w:rsid w:val="001F6E71"/>
    <w:rsid w:val="001F724D"/>
    <w:rsid w:val="001F7EE0"/>
    <w:rsid w:val="00200716"/>
    <w:rsid w:val="0020077C"/>
    <w:rsid w:val="00201EC3"/>
    <w:rsid w:val="00202697"/>
    <w:rsid w:val="00203055"/>
    <w:rsid w:val="002032B7"/>
    <w:rsid w:val="00205D92"/>
    <w:rsid w:val="00206260"/>
    <w:rsid w:val="0020663C"/>
    <w:rsid w:val="00207C74"/>
    <w:rsid w:val="0021149F"/>
    <w:rsid w:val="002137D0"/>
    <w:rsid w:val="00213BBF"/>
    <w:rsid w:val="00213FD0"/>
    <w:rsid w:val="00214673"/>
    <w:rsid w:val="00214D23"/>
    <w:rsid w:val="0021624A"/>
    <w:rsid w:val="00216E6F"/>
    <w:rsid w:val="00222307"/>
    <w:rsid w:val="00222D97"/>
    <w:rsid w:val="002230E3"/>
    <w:rsid w:val="0022680C"/>
    <w:rsid w:val="00226D5E"/>
    <w:rsid w:val="0023111B"/>
    <w:rsid w:val="002317CA"/>
    <w:rsid w:val="00234105"/>
    <w:rsid w:val="00234932"/>
    <w:rsid w:val="00234985"/>
    <w:rsid w:val="002352A8"/>
    <w:rsid w:val="0023533B"/>
    <w:rsid w:val="002361C0"/>
    <w:rsid w:val="00236539"/>
    <w:rsid w:val="0023676F"/>
    <w:rsid w:val="002375EC"/>
    <w:rsid w:val="002408E2"/>
    <w:rsid w:val="0024105D"/>
    <w:rsid w:val="002411B3"/>
    <w:rsid w:val="00242169"/>
    <w:rsid w:val="002430F4"/>
    <w:rsid w:val="00243BDE"/>
    <w:rsid w:val="002449F0"/>
    <w:rsid w:val="00244EAC"/>
    <w:rsid w:val="0024539A"/>
    <w:rsid w:val="00246239"/>
    <w:rsid w:val="002469BB"/>
    <w:rsid w:val="00247439"/>
    <w:rsid w:val="00247530"/>
    <w:rsid w:val="00247EF9"/>
    <w:rsid w:val="002503D6"/>
    <w:rsid w:val="00250E9C"/>
    <w:rsid w:val="0025202A"/>
    <w:rsid w:val="00252C2F"/>
    <w:rsid w:val="00253054"/>
    <w:rsid w:val="00253667"/>
    <w:rsid w:val="00254098"/>
    <w:rsid w:val="00254304"/>
    <w:rsid w:val="00255C52"/>
    <w:rsid w:val="002560D0"/>
    <w:rsid w:val="00256101"/>
    <w:rsid w:val="00256333"/>
    <w:rsid w:val="00257613"/>
    <w:rsid w:val="002606C6"/>
    <w:rsid w:val="00261359"/>
    <w:rsid w:val="002615EF"/>
    <w:rsid w:val="002623F3"/>
    <w:rsid w:val="00263885"/>
    <w:rsid w:val="00263EFA"/>
    <w:rsid w:val="002667C3"/>
    <w:rsid w:val="00270632"/>
    <w:rsid w:val="0027276A"/>
    <w:rsid w:val="00272E9D"/>
    <w:rsid w:val="002730CD"/>
    <w:rsid w:val="0027673C"/>
    <w:rsid w:val="0027712D"/>
    <w:rsid w:val="002800D1"/>
    <w:rsid w:val="00281874"/>
    <w:rsid w:val="00282115"/>
    <w:rsid w:val="002833F0"/>
    <w:rsid w:val="00283BF3"/>
    <w:rsid w:val="00284F8E"/>
    <w:rsid w:val="00285949"/>
    <w:rsid w:val="0028665C"/>
    <w:rsid w:val="00290777"/>
    <w:rsid w:val="002907D1"/>
    <w:rsid w:val="0029131A"/>
    <w:rsid w:val="00291382"/>
    <w:rsid w:val="002918C0"/>
    <w:rsid w:val="0029193E"/>
    <w:rsid w:val="00291B41"/>
    <w:rsid w:val="002929F3"/>
    <w:rsid w:val="00292B1A"/>
    <w:rsid w:val="00292CBD"/>
    <w:rsid w:val="00293AE7"/>
    <w:rsid w:val="00294815"/>
    <w:rsid w:val="0029673C"/>
    <w:rsid w:val="00297F37"/>
    <w:rsid w:val="002A12C8"/>
    <w:rsid w:val="002A13AF"/>
    <w:rsid w:val="002A1D6D"/>
    <w:rsid w:val="002A2D10"/>
    <w:rsid w:val="002A3AAB"/>
    <w:rsid w:val="002A3BAC"/>
    <w:rsid w:val="002A426F"/>
    <w:rsid w:val="002A4AF1"/>
    <w:rsid w:val="002A71A9"/>
    <w:rsid w:val="002A7398"/>
    <w:rsid w:val="002A77F8"/>
    <w:rsid w:val="002B1A3B"/>
    <w:rsid w:val="002B2CD4"/>
    <w:rsid w:val="002B3706"/>
    <w:rsid w:val="002B41EA"/>
    <w:rsid w:val="002C12BC"/>
    <w:rsid w:val="002C15EA"/>
    <w:rsid w:val="002C1DA1"/>
    <w:rsid w:val="002C2B41"/>
    <w:rsid w:val="002C30E6"/>
    <w:rsid w:val="002C3AF7"/>
    <w:rsid w:val="002C647A"/>
    <w:rsid w:val="002C6CFA"/>
    <w:rsid w:val="002C6E52"/>
    <w:rsid w:val="002C73F8"/>
    <w:rsid w:val="002C7F61"/>
    <w:rsid w:val="002D0F0A"/>
    <w:rsid w:val="002D17BD"/>
    <w:rsid w:val="002D2553"/>
    <w:rsid w:val="002D2D5D"/>
    <w:rsid w:val="002D480B"/>
    <w:rsid w:val="002D4C6C"/>
    <w:rsid w:val="002D54E6"/>
    <w:rsid w:val="002D65CB"/>
    <w:rsid w:val="002D6FD7"/>
    <w:rsid w:val="002E0403"/>
    <w:rsid w:val="002E076B"/>
    <w:rsid w:val="002E15E2"/>
    <w:rsid w:val="002E1978"/>
    <w:rsid w:val="002E1F51"/>
    <w:rsid w:val="002E21B1"/>
    <w:rsid w:val="002E5558"/>
    <w:rsid w:val="002E5BD3"/>
    <w:rsid w:val="002E6005"/>
    <w:rsid w:val="002E6B64"/>
    <w:rsid w:val="002F05D2"/>
    <w:rsid w:val="002F29AA"/>
    <w:rsid w:val="002F559E"/>
    <w:rsid w:val="002F55F7"/>
    <w:rsid w:val="002F6402"/>
    <w:rsid w:val="002F70E0"/>
    <w:rsid w:val="003007FC"/>
    <w:rsid w:val="00300C92"/>
    <w:rsid w:val="00301A37"/>
    <w:rsid w:val="003020C9"/>
    <w:rsid w:val="0030436E"/>
    <w:rsid w:val="00306515"/>
    <w:rsid w:val="00306CFB"/>
    <w:rsid w:val="00307E1D"/>
    <w:rsid w:val="00310385"/>
    <w:rsid w:val="00310E3F"/>
    <w:rsid w:val="00311642"/>
    <w:rsid w:val="00313179"/>
    <w:rsid w:val="0031393C"/>
    <w:rsid w:val="00313A79"/>
    <w:rsid w:val="0031411D"/>
    <w:rsid w:val="0031414C"/>
    <w:rsid w:val="00314BB1"/>
    <w:rsid w:val="00314CDC"/>
    <w:rsid w:val="0031514A"/>
    <w:rsid w:val="003160E9"/>
    <w:rsid w:val="00316144"/>
    <w:rsid w:val="003172E7"/>
    <w:rsid w:val="00317E61"/>
    <w:rsid w:val="00320AD5"/>
    <w:rsid w:val="0032149F"/>
    <w:rsid w:val="00321DAA"/>
    <w:rsid w:val="003229E1"/>
    <w:rsid w:val="00322FAE"/>
    <w:rsid w:val="00323689"/>
    <w:rsid w:val="00323712"/>
    <w:rsid w:val="003239D1"/>
    <w:rsid w:val="00325683"/>
    <w:rsid w:val="00326057"/>
    <w:rsid w:val="0033074E"/>
    <w:rsid w:val="003311A5"/>
    <w:rsid w:val="003320A8"/>
    <w:rsid w:val="0033263F"/>
    <w:rsid w:val="0033289A"/>
    <w:rsid w:val="00332F6B"/>
    <w:rsid w:val="00333248"/>
    <w:rsid w:val="00333B0A"/>
    <w:rsid w:val="00334307"/>
    <w:rsid w:val="0033439E"/>
    <w:rsid w:val="00335874"/>
    <w:rsid w:val="00336CB4"/>
    <w:rsid w:val="003373C2"/>
    <w:rsid w:val="00337D57"/>
    <w:rsid w:val="003420B1"/>
    <w:rsid w:val="00342548"/>
    <w:rsid w:val="00345B41"/>
    <w:rsid w:val="00346746"/>
    <w:rsid w:val="0035042A"/>
    <w:rsid w:val="003518AA"/>
    <w:rsid w:val="0035239F"/>
    <w:rsid w:val="00352A40"/>
    <w:rsid w:val="003538E2"/>
    <w:rsid w:val="00354D7F"/>
    <w:rsid w:val="00356836"/>
    <w:rsid w:val="00357D33"/>
    <w:rsid w:val="00360658"/>
    <w:rsid w:val="00360726"/>
    <w:rsid w:val="00361284"/>
    <w:rsid w:val="00361478"/>
    <w:rsid w:val="0036181F"/>
    <w:rsid w:val="003622BB"/>
    <w:rsid w:val="00362E53"/>
    <w:rsid w:val="0036453A"/>
    <w:rsid w:val="00367126"/>
    <w:rsid w:val="003674A8"/>
    <w:rsid w:val="003703E3"/>
    <w:rsid w:val="00370801"/>
    <w:rsid w:val="003739B7"/>
    <w:rsid w:val="00374674"/>
    <w:rsid w:val="00375FCA"/>
    <w:rsid w:val="003777E9"/>
    <w:rsid w:val="003802CE"/>
    <w:rsid w:val="00380417"/>
    <w:rsid w:val="0038210C"/>
    <w:rsid w:val="00382460"/>
    <w:rsid w:val="00382E4F"/>
    <w:rsid w:val="00383425"/>
    <w:rsid w:val="00383B43"/>
    <w:rsid w:val="00384507"/>
    <w:rsid w:val="003854AF"/>
    <w:rsid w:val="00385625"/>
    <w:rsid w:val="003857FF"/>
    <w:rsid w:val="0038628B"/>
    <w:rsid w:val="00386328"/>
    <w:rsid w:val="00386A22"/>
    <w:rsid w:val="0038733B"/>
    <w:rsid w:val="00387BBC"/>
    <w:rsid w:val="00387BBE"/>
    <w:rsid w:val="00390E0D"/>
    <w:rsid w:val="0039113A"/>
    <w:rsid w:val="003922EE"/>
    <w:rsid w:val="00393B8E"/>
    <w:rsid w:val="00394A69"/>
    <w:rsid w:val="00395B08"/>
    <w:rsid w:val="00395B33"/>
    <w:rsid w:val="003961FD"/>
    <w:rsid w:val="00397AB0"/>
    <w:rsid w:val="003A04B7"/>
    <w:rsid w:val="003A12C4"/>
    <w:rsid w:val="003A14AF"/>
    <w:rsid w:val="003A15FB"/>
    <w:rsid w:val="003A2775"/>
    <w:rsid w:val="003A2A41"/>
    <w:rsid w:val="003A370B"/>
    <w:rsid w:val="003A3B76"/>
    <w:rsid w:val="003A3E8F"/>
    <w:rsid w:val="003A4336"/>
    <w:rsid w:val="003A6017"/>
    <w:rsid w:val="003A6275"/>
    <w:rsid w:val="003A6BD6"/>
    <w:rsid w:val="003A71A7"/>
    <w:rsid w:val="003A7246"/>
    <w:rsid w:val="003B2039"/>
    <w:rsid w:val="003B2F94"/>
    <w:rsid w:val="003B4515"/>
    <w:rsid w:val="003B455E"/>
    <w:rsid w:val="003B48E3"/>
    <w:rsid w:val="003B5090"/>
    <w:rsid w:val="003B512B"/>
    <w:rsid w:val="003B557F"/>
    <w:rsid w:val="003B65D7"/>
    <w:rsid w:val="003B67D8"/>
    <w:rsid w:val="003B73AE"/>
    <w:rsid w:val="003B7CA3"/>
    <w:rsid w:val="003C1990"/>
    <w:rsid w:val="003C2975"/>
    <w:rsid w:val="003C2AAE"/>
    <w:rsid w:val="003C417B"/>
    <w:rsid w:val="003C6216"/>
    <w:rsid w:val="003C7743"/>
    <w:rsid w:val="003C7C5F"/>
    <w:rsid w:val="003D026C"/>
    <w:rsid w:val="003D0D95"/>
    <w:rsid w:val="003D124C"/>
    <w:rsid w:val="003D1B94"/>
    <w:rsid w:val="003D1EDF"/>
    <w:rsid w:val="003D2002"/>
    <w:rsid w:val="003D51B0"/>
    <w:rsid w:val="003D5881"/>
    <w:rsid w:val="003D5ACC"/>
    <w:rsid w:val="003D6619"/>
    <w:rsid w:val="003D66EE"/>
    <w:rsid w:val="003D7A44"/>
    <w:rsid w:val="003E141B"/>
    <w:rsid w:val="003E1DAC"/>
    <w:rsid w:val="003E2A02"/>
    <w:rsid w:val="003E2CA5"/>
    <w:rsid w:val="003E5BA0"/>
    <w:rsid w:val="003E5CD6"/>
    <w:rsid w:val="003E7CC1"/>
    <w:rsid w:val="003F0096"/>
    <w:rsid w:val="003F009B"/>
    <w:rsid w:val="003F297F"/>
    <w:rsid w:val="003F2BA3"/>
    <w:rsid w:val="003F366C"/>
    <w:rsid w:val="003F36EE"/>
    <w:rsid w:val="003F37C4"/>
    <w:rsid w:val="003F4116"/>
    <w:rsid w:val="003F4D24"/>
    <w:rsid w:val="003F4EE1"/>
    <w:rsid w:val="003F5444"/>
    <w:rsid w:val="003F6339"/>
    <w:rsid w:val="003F72F7"/>
    <w:rsid w:val="003F7FF5"/>
    <w:rsid w:val="00400384"/>
    <w:rsid w:val="004008C6"/>
    <w:rsid w:val="00400C3E"/>
    <w:rsid w:val="0040119D"/>
    <w:rsid w:val="0040289F"/>
    <w:rsid w:val="00402998"/>
    <w:rsid w:val="004035C8"/>
    <w:rsid w:val="004046E7"/>
    <w:rsid w:val="00404D24"/>
    <w:rsid w:val="00405D91"/>
    <w:rsid w:val="00406023"/>
    <w:rsid w:val="00406723"/>
    <w:rsid w:val="004069D4"/>
    <w:rsid w:val="00406E94"/>
    <w:rsid w:val="00407F60"/>
    <w:rsid w:val="00410EB4"/>
    <w:rsid w:val="00411B57"/>
    <w:rsid w:val="00412792"/>
    <w:rsid w:val="00412A0F"/>
    <w:rsid w:val="00412E7C"/>
    <w:rsid w:val="004144E9"/>
    <w:rsid w:val="00414E83"/>
    <w:rsid w:val="004159A5"/>
    <w:rsid w:val="004168CB"/>
    <w:rsid w:val="00417300"/>
    <w:rsid w:val="00417B95"/>
    <w:rsid w:val="004211FA"/>
    <w:rsid w:val="004217E1"/>
    <w:rsid w:val="00423AE8"/>
    <w:rsid w:val="00423D44"/>
    <w:rsid w:val="00424723"/>
    <w:rsid w:val="00425E3D"/>
    <w:rsid w:val="00425E63"/>
    <w:rsid w:val="00425FFA"/>
    <w:rsid w:val="00426C95"/>
    <w:rsid w:val="00427FA5"/>
    <w:rsid w:val="00430389"/>
    <w:rsid w:val="00430BCE"/>
    <w:rsid w:val="00430D89"/>
    <w:rsid w:val="00433B85"/>
    <w:rsid w:val="00436284"/>
    <w:rsid w:val="00436468"/>
    <w:rsid w:val="004367A5"/>
    <w:rsid w:val="00436A97"/>
    <w:rsid w:val="004415E5"/>
    <w:rsid w:val="004416B2"/>
    <w:rsid w:val="004439FB"/>
    <w:rsid w:val="00444AC1"/>
    <w:rsid w:val="00447956"/>
    <w:rsid w:val="00450C02"/>
    <w:rsid w:val="00450C41"/>
    <w:rsid w:val="004511DF"/>
    <w:rsid w:val="00451546"/>
    <w:rsid w:val="00452C39"/>
    <w:rsid w:val="00452C9D"/>
    <w:rsid w:val="0045359E"/>
    <w:rsid w:val="0045375E"/>
    <w:rsid w:val="004558D7"/>
    <w:rsid w:val="00455F7E"/>
    <w:rsid w:val="00457921"/>
    <w:rsid w:val="004579EC"/>
    <w:rsid w:val="004612CF"/>
    <w:rsid w:val="0046258C"/>
    <w:rsid w:val="00463046"/>
    <w:rsid w:val="0046322E"/>
    <w:rsid w:val="00464CD0"/>
    <w:rsid w:val="00464E3F"/>
    <w:rsid w:val="004669B5"/>
    <w:rsid w:val="00466D55"/>
    <w:rsid w:val="00467AA9"/>
    <w:rsid w:val="004713A6"/>
    <w:rsid w:val="00471474"/>
    <w:rsid w:val="0047256F"/>
    <w:rsid w:val="00472CEB"/>
    <w:rsid w:val="00473FAD"/>
    <w:rsid w:val="00474222"/>
    <w:rsid w:val="00474A0E"/>
    <w:rsid w:val="004766A9"/>
    <w:rsid w:val="00477E08"/>
    <w:rsid w:val="00482318"/>
    <w:rsid w:val="00482535"/>
    <w:rsid w:val="00482C06"/>
    <w:rsid w:val="004849BB"/>
    <w:rsid w:val="004857F6"/>
    <w:rsid w:val="00486538"/>
    <w:rsid w:val="004872CD"/>
    <w:rsid w:val="00487CBE"/>
    <w:rsid w:val="00490435"/>
    <w:rsid w:val="004906F1"/>
    <w:rsid w:val="00491910"/>
    <w:rsid w:val="00491E34"/>
    <w:rsid w:val="00491E97"/>
    <w:rsid w:val="00491FF0"/>
    <w:rsid w:val="00492293"/>
    <w:rsid w:val="00492FF4"/>
    <w:rsid w:val="00494197"/>
    <w:rsid w:val="00495EFC"/>
    <w:rsid w:val="00496C0E"/>
    <w:rsid w:val="00496F57"/>
    <w:rsid w:val="0049700C"/>
    <w:rsid w:val="00497632"/>
    <w:rsid w:val="00497735"/>
    <w:rsid w:val="00497834"/>
    <w:rsid w:val="004A05F3"/>
    <w:rsid w:val="004A114E"/>
    <w:rsid w:val="004A1D38"/>
    <w:rsid w:val="004A23D7"/>
    <w:rsid w:val="004A312B"/>
    <w:rsid w:val="004A36AE"/>
    <w:rsid w:val="004A398C"/>
    <w:rsid w:val="004A4024"/>
    <w:rsid w:val="004A4EAB"/>
    <w:rsid w:val="004A52F5"/>
    <w:rsid w:val="004A59E5"/>
    <w:rsid w:val="004B18D8"/>
    <w:rsid w:val="004B1D90"/>
    <w:rsid w:val="004B299D"/>
    <w:rsid w:val="004B301A"/>
    <w:rsid w:val="004B30D5"/>
    <w:rsid w:val="004B36F0"/>
    <w:rsid w:val="004B3FEC"/>
    <w:rsid w:val="004B5095"/>
    <w:rsid w:val="004B5240"/>
    <w:rsid w:val="004B7140"/>
    <w:rsid w:val="004B7951"/>
    <w:rsid w:val="004C0182"/>
    <w:rsid w:val="004C04FB"/>
    <w:rsid w:val="004C0AE1"/>
    <w:rsid w:val="004C2C11"/>
    <w:rsid w:val="004C3EEB"/>
    <w:rsid w:val="004C4043"/>
    <w:rsid w:val="004C4137"/>
    <w:rsid w:val="004C5F0D"/>
    <w:rsid w:val="004C64BF"/>
    <w:rsid w:val="004C67C1"/>
    <w:rsid w:val="004C77AD"/>
    <w:rsid w:val="004D04F5"/>
    <w:rsid w:val="004D17BF"/>
    <w:rsid w:val="004D2720"/>
    <w:rsid w:val="004D27D6"/>
    <w:rsid w:val="004D2B8C"/>
    <w:rsid w:val="004D5983"/>
    <w:rsid w:val="004D63F2"/>
    <w:rsid w:val="004D6E58"/>
    <w:rsid w:val="004E10E6"/>
    <w:rsid w:val="004E3D73"/>
    <w:rsid w:val="004E4CC7"/>
    <w:rsid w:val="004E4FEB"/>
    <w:rsid w:val="004E5C77"/>
    <w:rsid w:val="004E675F"/>
    <w:rsid w:val="004E6943"/>
    <w:rsid w:val="004E7227"/>
    <w:rsid w:val="004E7B0B"/>
    <w:rsid w:val="004F0B4E"/>
    <w:rsid w:val="004F0FBC"/>
    <w:rsid w:val="004F1109"/>
    <w:rsid w:val="004F1513"/>
    <w:rsid w:val="004F230B"/>
    <w:rsid w:val="004F2F7D"/>
    <w:rsid w:val="004F3DC0"/>
    <w:rsid w:val="004F479C"/>
    <w:rsid w:val="004F56D8"/>
    <w:rsid w:val="005017A3"/>
    <w:rsid w:val="00502587"/>
    <w:rsid w:val="00502664"/>
    <w:rsid w:val="005026F9"/>
    <w:rsid w:val="00506D4B"/>
    <w:rsid w:val="005113B8"/>
    <w:rsid w:val="00511A60"/>
    <w:rsid w:val="005131D7"/>
    <w:rsid w:val="0051392B"/>
    <w:rsid w:val="00514C59"/>
    <w:rsid w:val="005163E8"/>
    <w:rsid w:val="00516BAD"/>
    <w:rsid w:val="0051712A"/>
    <w:rsid w:val="0052130C"/>
    <w:rsid w:val="0052175B"/>
    <w:rsid w:val="005217A0"/>
    <w:rsid w:val="00521F8C"/>
    <w:rsid w:val="00522073"/>
    <w:rsid w:val="00522C55"/>
    <w:rsid w:val="00522ED1"/>
    <w:rsid w:val="00525602"/>
    <w:rsid w:val="0052754A"/>
    <w:rsid w:val="00527CD1"/>
    <w:rsid w:val="00530465"/>
    <w:rsid w:val="00530C33"/>
    <w:rsid w:val="00530CAD"/>
    <w:rsid w:val="00531D9C"/>
    <w:rsid w:val="00531FEC"/>
    <w:rsid w:val="00532D6F"/>
    <w:rsid w:val="005330DD"/>
    <w:rsid w:val="005342D0"/>
    <w:rsid w:val="005369A9"/>
    <w:rsid w:val="00537C67"/>
    <w:rsid w:val="00537FA4"/>
    <w:rsid w:val="0054069D"/>
    <w:rsid w:val="005416C8"/>
    <w:rsid w:val="00542D3B"/>
    <w:rsid w:val="005440CB"/>
    <w:rsid w:val="00551401"/>
    <w:rsid w:val="00551C15"/>
    <w:rsid w:val="00552192"/>
    <w:rsid w:val="00552685"/>
    <w:rsid w:val="00552ED9"/>
    <w:rsid w:val="005560F0"/>
    <w:rsid w:val="005571AA"/>
    <w:rsid w:val="0055733F"/>
    <w:rsid w:val="0055792A"/>
    <w:rsid w:val="00561FED"/>
    <w:rsid w:val="00563912"/>
    <w:rsid w:val="00564601"/>
    <w:rsid w:val="005655FD"/>
    <w:rsid w:val="00566726"/>
    <w:rsid w:val="00566E33"/>
    <w:rsid w:val="005717A7"/>
    <w:rsid w:val="005722E5"/>
    <w:rsid w:val="0057285C"/>
    <w:rsid w:val="005733C9"/>
    <w:rsid w:val="00573FAF"/>
    <w:rsid w:val="00574098"/>
    <w:rsid w:val="00575E69"/>
    <w:rsid w:val="00575FB1"/>
    <w:rsid w:val="005800A5"/>
    <w:rsid w:val="00581C1E"/>
    <w:rsid w:val="00582DD6"/>
    <w:rsid w:val="00582F79"/>
    <w:rsid w:val="00583688"/>
    <w:rsid w:val="00583C8B"/>
    <w:rsid w:val="00583E78"/>
    <w:rsid w:val="00584336"/>
    <w:rsid w:val="005843B7"/>
    <w:rsid w:val="005852C9"/>
    <w:rsid w:val="00585512"/>
    <w:rsid w:val="00585CA2"/>
    <w:rsid w:val="0058626C"/>
    <w:rsid w:val="00586711"/>
    <w:rsid w:val="00587F5D"/>
    <w:rsid w:val="005909E4"/>
    <w:rsid w:val="00590B41"/>
    <w:rsid w:val="0059216D"/>
    <w:rsid w:val="005931E6"/>
    <w:rsid w:val="00593721"/>
    <w:rsid w:val="00593A3C"/>
    <w:rsid w:val="005940E9"/>
    <w:rsid w:val="00594BBA"/>
    <w:rsid w:val="00595B90"/>
    <w:rsid w:val="0059796F"/>
    <w:rsid w:val="00597B54"/>
    <w:rsid w:val="005A19A9"/>
    <w:rsid w:val="005A1D72"/>
    <w:rsid w:val="005A2272"/>
    <w:rsid w:val="005A358C"/>
    <w:rsid w:val="005A7BF4"/>
    <w:rsid w:val="005B214B"/>
    <w:rsid w:val="005B2D01"/>
    <w:rsid w:val="005B2EB5"/>
    <w:rsid w:val="005B367D"/>
    <w:rsid w:val="005B37FB"/>
    <w:rsid w:val="005B4E8E"/>
    <w:rsid w:val="005B5A0A"/>
    <w:rsid w:val="005B657E"/>
    <w:rsid w:val="005B6A92"/>
    <w:rsid w:val="005C1784"/>
    <w:rsid w:val="005C2884"/>
    <w:rsid w:val="005C2D2C"/>
    <w:rsid w:val="005C3C3B"/>
    <w:rsid w:val="005C3D39"/>
    <w:rsid w:val="005C7472"/>
    <w:rsid w:val="005C74EF"/>
    <w:rsid w:val="005C799D"/>
    <w:rsid w:val="005C7F5F"/>
    <w:rsid w:val="005D1791"/>
    <w:rsid w:val="005D4D8A"/>
    <w:rsid w:val="005D51EE"/>
    <w:rsid w:val="005D692F"/>
    <w:rsid w:val="005D6EA9"/>
    <w:rsid w:val="005D71D1"/>
    <w:rsid w:val="005E09F6"/>
    <w:rsid w:val="005E0E19"/>
    <w:rsid w:val="005E122B"/>
    <w:rsid w:val="005E2C62"/>
    <w:rsid w:val="005E2EC4"/>
    <w:rsid w:val="005E31C4"/>
    <w:rsid w:val="005E3863"/>
    <w:rsid w:val="005E432F"/>
    <w:rsid w:val="005E43BF"/>
    <w:rsid w:val="005E4D69"/>
    <w:rsid w:val="005E5603"/>
    <w:rsid w:val="005E584D"/>
    <w:rsid w:val="005E7827"/>
    <w:rsid w:val="005F0AEA"/>
    <w:rsid w:val="005F1494"/>
    <w:rsid w:val="005F16EB"/>
    <w:rsid w:val="005F2B89"/>
    <w:rsid w:val="005F2E9C"/>
    <w:rsid w:val="005F40F4"/>
    <w:rsid w:val="005F41C9"/>
    <w:rsid w:val="005F48F4"/>
    <w:rsid w:val="005F6CCA"/>
    <w:rsid w:val="005F6CDF"/>
    <w:rsid w:val="0060015E"/>
    <w:rsid w:val="006003B3"/>
    <w:rsid w:val="00600DED"/>
    <w:rsid w:val="006026E1"/>
    <w:rsid w:val="00602738"/>
    <w:rsid w:val="00602CBE"/>
    <w:rsid w:val="00602F1B"/>
    <w:rsid w:val="00603886"/>
    <w:rsid w:val="00603EBD"/>
    <w:rsid w:val="00604DAB"/>
    <w:rsid w:val="006060F1"/>
    <w:rsid w:val="006063BC"/>
    <w:rsid w:val="00606477"/>
    <w:rsid w:val="0060666C"/>
    <w:rsid w:val="006070CE"/>
    <w:rsid w:val="00607415"/>
    <w:rsid w:val="0060746D"/>
    <w:rsid w:val="00607873"/>
    <w:rsid w:val="00607BDA"/>
    <w:rsid w:val="00607D4A"/>
    <w:rsid w:val="00610DD6"/>
    <w:rsid w:val="00611569"/>
    <w:rsid w:val="00612A30"/>
    <w:rsid w:val="00612B41"/>
    <w:rsid w:val="006130D4"/>
    <w:rsid w:val="0061372C"/>
    <w:rsid w:val="00614285"/>
    <w:rsid w:val="006146CC"/>
    <w:rsid w:val="00616F27"/>
    <w:rsid w:val="00621F3E"/>
    <w:rsid w:val="006221E3"/>
    <w:rsid w:val="00623075"/>
    <w:rsid w:val="006231DA"/>
    <w:rsid w:val="0062465F"/>
    <w:rsid w:val="00624FF5"/>
    <w:rsid w:val="00625C64"/>
    <w:rsid w:val="00625FAF"/>
    <w:rsid w:val="00626846"/>
    <w:rsid w:val="00630D1A"/>
    <w:rsid w:val="0063222C"/>
    <w:rsid w:val="00632A90"/>
    <w:rsid w:val="00632DE8"/>
    <w:rsid w:val="00633176"/>
    <w:rsid w:val="00634708"/>
    <w:rsid w:val="00636B95"/>
    <w:rsid w:val="00637192"/>
    <w:rsid w:val="006371BF"/>
    <w:rsid w:val="00640A71"/>
    <w:rsid w:val="00640A9B"/>
    <w:rsid w:val="00642ED9"/>
    <w:rsid w:val="00643153"/>
    <w:rsid w:val="0064394C"/>
    <w:rsid w:val="0064401F"/>
    <w:rsid w:val="00645259"/>
    <w:rsid w:val="00645A43"/>
    <w:rsid w:val="006464FB"/>
    <w:rsid w:val="00646E82"/>
    <w:rsid w:val="006470BC"/>
    <w:rsid w:val="0064767D"/>
    <w:rsid w:val="00650DE8"/>
    <w:rsid w:val="00651202"/>
    <w:rsid w:val="00651F05"/>
    <w:rsid w:val="006526CE"/>
    <w:rsid w:val="00652923"/>
    <w:rsid w:val="00652F30"/>
    <w:rsid w:val="0065349D"/>
    <w:rsid w:val="00654042"/>
    <w:rsid w:val="00654081"/>
    <w:rsid w:val="00654E2D"/>
    <w:rsid w:val="00661116"/>
    <w:rsid w:val="006615F2"/>
    <w:rsid w:val="00661B18"/>
    <w:rsid w:val="00663267"/>
    <w:rsid w:val="006640EE"/>
    <w:rsid w:val="006647A7"/>
    <w:rsid w:val="00664A8F"/>
    <w:rsid w:val="00665D51"/>
    <w:rsid w:val="00665EAF"/>
    <w:rsid w:val="00666FF1"/>
    <w:rsid w:val="006671AE"/>
    <w:rsid w:val="006706D2"/>
    <w:rsid w:val="00670737"/>
    <w:rsid w:val="0067099E"/>
    <w:rsid w:val="00671114"/>
    <w:rsid w:val="006730D6"/>
    <w:rsid w:val="00673533"/>
    <w:rsid w:val="00674586"/>
    <w:rsid w:val="00675CE6"/>
    <w:rsid w:val="006765EB"/>
    <w:rsid w:val="00676A86"/>
    <w:rsid w:val="00677410"/>
    <w:rsid w:val="00680602"/>
    <w:rsid w:val="00680FF9"/>
    <w:rsid w:val="006814B0"/>
    <w:rsid w:val="006833D3"/>
    <w:rsid w:val="00684AA1"/>
    <w:rsid w:val="00685672"/>
    <w:rsid w:val="006857D9"/>
    <w:rsid w:val="0068583F"/>
    <w:rsid w:val="006873A3"/>
    <w:rsid w:val="00690428"/>
    <w:rsid w:val="00690C52"/>
    <w:rsid w:val="006919BE"/>
    <w:rsid w:val="00691E7B"/>
    <w:rsid w:val="0069241F"/>
    <w:rsid w:val="00693A50"/>
    <w:rsid w:val="00693B3B"/>
    <w:rsid w:val="0069476E"/>
    <w:rsid w:val="00694F36"/>
    <w:rsid w:val="0069532D"/>
    <w:rsid w:val="0069605E"/>
    <w:rsid w:val="006A0628"/>
    <w:rsid w:val="006A1312"/>
    <w:rsid w:val="006A16DC"/>
    <w:rsid w:val="006A1ED5"/>
    <w:rsid w:val="006A1F74"/>
    <w:rsid w:val="006A23D8"/>
    <w:rsid w:val="006A25E4"/>
    <w:rsid w:val="006A34A1"/>
    <w:rsid w:val="006A34E5"/>
    <w:rsid w:val="006A4D01"/>
    <w:rsid w:val="006A51CA"/>
    <w:rsid w:val="006A5267"/>
    <w:rsid w:val="006A56A3"/>
    <w:rsid w:val="006A5D31"/>
    <w:rsid w:val="006A6A96"/>
    <w:rsid w:val="006A6C73"/>
    <w:rsid w:val="006B03FA"/>
    <w:rsid w:val="006B04A5"/>
    <w:rsid w:val="006B100B"/>
    <w:rsid w:val="006B2395"/>
    <w:rsid w:val="006B309E"/>
    <w:rsid w:val="006B334E"/>
    <w:rsid w:val="006B39DC"/>
    <w:rsid w:val="006B5DAF"/>
    <w:rsid w:val="006B64B3"/>
    <w:rsid w:val="006B72E4"/>
    <w:rsid w:val="006B767B"/>
    <w:rsid w:val="006B773C"/>
    <w:rsid w:val="006C1525"/>
    <w:rsid w:val="006C1C99"/>
    <w:rsid w:val="006C205C"/>
    <w:rsid w:val="006C2E9B"/>
    <w:rsid w:val="006C3044"/>
    <w:rsid w:val="006C3AF1"/>
    <w:rsid w:val="006C4EED"/>
    <w:rsid w:val="006C62D1"/>
    <w:rsid w:val="006C69B3"/>
    <w:rsid w:val="006C7533"/>
    <w:rsid w:val="006C7D96"/>
    <w:rsid w:val="006C7DFC"/>
    <w:rsid w:val="006D0EE9"/>
    <w:rsid w:val="006D2D9B"/>
    <w:rsid w:val="006D4799"/>
    <w:rsid w:val="006D501C"/>
    <w:rsid w:val="006D5036"/>
    <w:rsid w:val="006D5C59"/>
    <w:rsid w:val="006D62F9"/>
    <w:rsid w:val="006D64DD"/>
    <w:rsid w:val="006D69AE"/>
    <w:rsid w:val="006D6EB4"/>
    <w:rsid w:val="006D72A8"/>
    <w:rsid w:val="006D7300"/>
    <w:rsid w:val="006D7C23"/>
    <w:rsid w:val="006E042A"/>
    <w:rsid w:val="006E08CD"/>
    <w:rsid w:val="006E0B6B"/>
    <w:rsid w:val="006E1C79"/>
    <w:rsid w:val="006E1E45"/>
    <w:rsid w:val="006E2651"/>
    <w:rsid w:val="006E3553"/>
    <w:rsid w:val="006E5197"/>
    <w:rsid w:val="006E796C"/>
    <w:rsid w:val="006F07CA"/>
    <w:rsid w:val="006F6047"/>
    <w:rsid w:val="006F6B3E"/>
    <w:rsid w:val="006F7FB5"/>
    <w:rsid w:val="0070023E"/>
    <w:rsid w:val="007006D3"/>
    <w:rsid w:val="00701C84"/>
    <w:rsid w:val="007024F3"/>
    <w:rsid w:val="0070302B"/>
    <w:rsid w:val="007046B1"/>
    <w:rsid w:val="007051A6"/>
    <w:rsid w:val="00705B03"/>
    <w:rsid w:val="007063B9"/>
    <w:rsid w:val="00706A91"/>
    <w:rsid w:val="00707CF7"/>
    <w:rsid w:val="00707EE2"/>
    <w:rsid w:val="00710385"/>
    <w:rsid w:val="0071161E"/>
    <w:rsid w:val="00711779"/>
    <w:rsid w:val="00712C40"/>
    <w:rsid w:val="00713313"/>
    <w:rsid w:val="007139E0"/>
    <w:rsid w:val="00714B9C"/>
    <w:rsid w:val="00715470"/>
    <w:rsid w:val="0071630C"/>
    <w:rsid w:val="00717C29"/>
    <w:rsid w:val="0072022F"/>
    <w:rsid w:val="007202FA"/>
    <w:rsid w:val="0072221A"/>
    <w:rsid w:val="00722611"/>
    <w:rsid w:val="00722E06"/>
    <w:rsid w:val="0072325A"/>
    <w:rsid w:val="007238D9"/>
    <w:rsid w:val="00723A33"/>
    <w:rsid w:val="00723A9C"/>
    <w:rsid w:val="007245F6"/>
    <w:rsid w:val="0072475A"/>
    <w:rsid w:val="007250AD"/>
    <w:rsid w:val="007251C1"/>
    <w:rsid w:val="00726B1F"/>
    <w:rsid w:val="007306F0"/>
    <w:rsid w:val="007314C6"/>
    <w:rsid w:val="00735D0A"/>
    <w:rsid w:val="00736EEB"/>
    <w:rsid w:val="00737D47"/>
    <w:rsid w:val="0074082F"/>
    <w:rsid w:val="00740C5A"/>
    <w:rsid w:val="007414B9"/>
    <w:rsid w:val="007418C4"/>
    <w:rsid w:val="00741F18"/>
    <w:rsid w:val="007420B7"/>
    <w:rsid w:val="0074235D"/>
    <w:rsid w:val="0074261B"/>
    <w:rsid w:val="00742FBF"/>
    <w:rsid w:val="007432B1"/>
    <w:rsid w:val="00743EA6"/>
    <w:rsid w:val="007445C7"/>
    <w:rsid w:val="00745B75"/>
    <w:rsid w:val="00745D63"/>
    <w:rsid w:val="00746BE1"/>
    <w:rsid w:val="00746E9B"/>
    <w:rsid w:val="00746F77"/>
    <w:rsid w:val="00747577"/>
    <w:rsid w:val="00747696"/>
    <w:rsid w:val="00747F44"/>
    <w:rsid w:val="00747FF3"/>
    <w:rsid w:val="00750236"/>
    <w:rsid w:val="00750841"/>
    <w:rsid w:val="00750F23"/>
    <w:rsid w:val="00750F61"/>
    <w:rsid w:val="00751493"/>
    <w:rsid w:val="007529DE"/>
    <w:rsid w:val="00752DEE"/>
    <w:rsid w:val="00753A51"/>
    <w:rsid w:val="00754B58"/>
    <w:rsid w:val="00754BBE"/>
    <w:rsid w:val="007556A5"/>
    <w:rsid w:val="007557A9"/>
    <w:rsid w:val="0075626B"/>
    <w:rsid w:val="00756826"/>
    <w:rsid w:val="007573EB"/>
    <w:rsid w:val="0075763D"/>
    <w:rsid w:val="00757ADD"/>
    <w:rsid w:val="00757BAA"/>
    <w:rsid w:val="00760DAF"/>
    <w:rsid w:val="007612D5"/>
    <w:rsid w:val="00761A26"/>
    <w:rsid w:val="00762155"/>
    <w:rsid w:val="0076263E"/>
    <w:rsid w:val="007626EB"/>
    <w:rsid w:val="007633AC"/>
    <w:rsid w:val="00763A81"/>
    <w:rsid w:val="007655DB"/>
    <w:rsid w:val="00765992"/>
    <w:rsid w:val="00765EFA"/>
    <w:rsid w:val="00765F19"/>
    <w:rsid w:val="00766BEE"/>
    <w:rsid w:val="00767620"/>
    <w:rsid w:val="0076781E"/>
    <w:rsid w:val="00767CC7"/>
    <w:rsid w:val="00770D57"/>
    <w:rsid w:val="00771B83"/>
    <w:rsid w:val="00772623"/>
    <w:rsid w:val="00772CD7"/>
    <w:rsid w:val="00772F49"/>
    <w:rsid w:val="00773174"/>
    <w:rsid w:val="00773A85"/>
    <w:rsid w:val="00774021"/>
    <w:rsid w:val="00775562"/>
    <w:rsid w:val="007757A2"/>
    <w:rsid w:val="00777A36"/>
    <w:rsid w:val="007803E6"/>
    <w:rsid w:val="00780458"/>
    <w:rsid w:val="007809D4"/>
    <w:rsid w:val="0078297C"/>
    <w:rsid w:val="00782CF7"/>
    <w:rsid w:val="00782D00"/>
    <w:rsid w:val="00782EAA"/>
    <w:rsid w:val="0078333B"/>
    <w:rsid w:val="00784658"/>
    <w:rsid w:val="00784939"/>
    <w:rsid w:val="00784AD1"/>
    <w:rsid w:val="00784F26"/>
    <w:rsid w:val="0078794F"/>
    <w:rsid w:val="00790A1D"/>
    <w:rsid w:val="00790CD6"/>
    <w:rsid w:val="00790CDA"/>
    <w:rsid w:val="007913EA"/>
    <w:rsid w:val="00792B41"/>
    <w:rsid w:val="00793626"/>
    <w:rsid w:val="00796276"/>
    <w:rsid w:val="007964B9"/>
    <w:rsid w:val="00796E70"/>
    <w:rsid w:val="00796F9A"/>
    <w:rsid w:val="0079733F"/>
    <w:rsid w:val="007A2E2C"/>
    <w:rsid w:val="007A3FDC"/>
    <w:rsid w:val="007A5E9A"/>
    <w:rsid w:val="007A640B"/>
    <w:rsid w:val="007A6844"/>
    <w:rsid w:val="007B1DA9"/>
    <w:rsid w:val="007B2A1E"/>
    <w:rsid w:val="007B3061"/>
    <w:rsid w:val="007B3218"/>
    <w:rsid w:val="007B3B39"/>
    <w:rsid w:val="007B4218"/>
    <w:rsid w:val="007B60E1"/>
    <w:rsid w:val="007B730B"/>
    <w:rsid w:val="007B7E81"/>
    <w:rsid w:val="007B7EB5"/>
    <w:rsid w:val="007B7EFF"/>
    <w:rsid w:val="007C0A11"/>
    <w:rsid w:val="007C1352"/>
    <w:rsid w:val="007C13C4"/>
    <w:rsid w:val="007C2057"/>
    <w:rsid w:val="007C21C2"/>
    <w:rsid w:val="007C29DF"/>
    <w:rsid w:val="007C35EE"/>
    <w:rsid w:val="007C3972"/>
    <w:rsid w:val="007C3B44"/>
    <w:rsid w:val="007C4090"/>
    <w:rsid w:val="007C47D4"/>
    <w:rsid w:val="007C494C"/>
    <w:rsid w:val="007C50D7"/>
    <w:rsid w:val="007C603E"/>
    <w:rsid w:val="007C7F35"/>
    <w:rsid w:val="007D0C0A"/>
    <w:rsid w:val="007D2A26"/>
    <w:rsid w:val="007D32B8"/>
    <w:rsid w:val="007D4A96"/>
    <w:rsid w:val="007D7813"/>
    <w:rsid w:val="007D7AC2"/>
    <w:rsid w:val="007D7AE8"/>
    <w:rsid w:val="007D7C78"/>
    <w:rsid w:val="007E1DA5"/>
    <w:rsid w:val="007E1F5F"/>
    <w:rsid w:val="007E362E"/>
    <w:rsid w:val="007E61ED"/>
    <w:rsid w:val="007E70A7"/>
    <w:rsid w:val="007E7740"/>
    <w:rsid w:val="007F0315"/>
    <w:rsid w:val="007F09AE"/>
    <w:rsid w:val="007F150E"/>
    <w:rsid w:val="007F1E67"/>
    <w:rsid w:val="007F276C"/>
    <w:rsid w:val="007F3540"/>
    <w:rsid w:val="007F3C9F"/>
    <w:rsid w:val="007F3E6D"/>
    <w:rsid w:val="007F4A34"/>
    <w:rsid w:val="007F5A9A"/>
    <w:rsid w:val="007F6E11"/>
    <w:rsid w:val="007F6EA4"/>
    <w:rsid w:val="007F7F39"/>
    <w:rsid w:val="00800315"/>
    <w:rsid w:val="0080284E"/>
    <w:rsid w:val="00802C8D"/>
    <w:rsid w:val="00802F6F"/>
    <w:rsid w:val="008061DD"/>
    <w:rsid w:val="00806CC5"/>
    <w:rsid w:val="00806D0B"/>
    <w:rsid w:val="00811087"/>
    <w:rsid w:val="00814EE7"/>
    <w:rsid w:val="0081503E"/>
    <w:rsid w:val="00815578"/>
    <w:rsid w:val="00815C0C"/>
    <w:rsid w:val="00816225"/>
    <w:rsid w:val="0081785E"/>
    <w:rsid w:val="0081790E"/>
    <w:rsid w:val="00817A38"/>
    <w:rsid w:val="00820D1B"/>
    <w:rsid w:val="008210A7"/>
    <w:rsid w:val="00821E6F"/>
    <w:rsid w:val="008222DE"/>
    <w:rsid w:val="00822EDC"/>
    <w:rsid w:val="008236D1"/>
    <w:rsid w:val="00823E1F"/>
    <w:rsid w:val="00825DF0"/>
    <w:rsid w:val="00830486"/>
    <w:rsid w:val="0083257F"/>
    <w:rsid w:val="008348FC"/>
    <w:rsid w:val="00834E38"/>
    <w:rsid w:val="00834E50"/>
    <w:rsid w:val="00834EE5"/>
    <w:rsid w:val="008351BA"/>
    <w:rsid w:val="00835345"/>
    <w:rsid w:val="00836845"/>
    <w:rsid w:val="008373BC"/>
    <w:rsid w:val="008379FC"/>
    <w:rsid w:val="00840450"/>
    <w:rsid w:val="00841B82"/>
    <w:rsid w:val="008427B8"/>
    <w:rsid w:val="0084348B"/>
    <w:rsid w:val="0084349E"/>
    <w:rsid w:val="00843F89"/>
    <w:rsid w:val="00844FAB"/>
    <w:rsid w:val="00845A30"/>
    <w:rsid w:val="00846598"/>
    <w:rsid w:val="00846B52"/>
    <w:rsid w:val="00846CE5"/>
    <w:rsid w:val="008502CE"/>
    <w:rsid w:val="0085093E"/>
    <w:rsid w:val="00850A42"/>
    <w:rsid w:val="0085100A"/>
    <w:rsid w:val="00851427"/>
    <w:rsid w:val="00851FCA"/>
    <w:rsid w:val="0085637F"/>
    <w:rsid w:val="008614E6"/>
    <w:rsid w:val="0086189E"/>
    <w:rsid w:val="0086289E"/>
    <w:rsid w:val="00864025"/>
    <w:rsid w:val="0086442E"/>
    <w:rsid w:val="00865028"/>
    <w:rsid w:val="00865DF4"/>
    <w:rsid w:val="00866B54"/>
    <w:rsid w:val="0086790C"/>
    <w:rsid w:val="00867DC8"/>
    <w:rsid w:val="008706C2"/>
    <w:rsid w:val="00870E37"/>
    <w:rsid w:val="00871943"/>
    <w:rsid w:val="008734EB"/>
    <w:rsid w:val="0087575B"/>
    <w:rsid w:val="00876879"/>
    <w:rsid w:val="0087702A"/>
    <w:rsid w:val="00877C97"/>
    <w:rsid w:val="00880936"/>
    <w:rsid w:val="008809A8"/>
    <w:rsid w:val="00880FEA"/>
    <w:rsid w:val="008820EC"/>
    <w:rsid w:val="00884359"/>
    <w:rsid w:val="0088505D"/>
    <w:rsid w:val="0088588A"/>
    <w:rsid w:val="00886430"/>
    <w:rsid w:val="008879C5"/>
    <w:rsid w:val="00890F96"/>
    <w:rsid w:val="00891FC2"/>
    <w:rsid w:val="0089261D"/>
    <w:rsid w:val="00892863"/>
    <w:rsid w:val="00892D72"/>
    <w:rsid w:val="00893ED3"/>
    <w:rsid w:val="0089589F"/>
    <w:rsid w:val="00895DB7"/>
    <w:rsid w:val="0089753E"/>
    <w:rsid w:val="00897ED6"/>
    <w:rsid w:val="008A116A"/>
    <w:rsid w:val="008A12BD"/>
    <w:rsid w:val="008A14CF"/>
    <w:rsid w:val="008A23D0"/>
    <w:rsid w:val="008A2C93"/>
    <w:rsid w:val="008A2E57"/>
    <w:rsid w:val="008A3068"/>
    <w:rsid w:val="008A3076"/>
    <w:rsid w:val="008A34F4"/>
    <w:rsid w:val="008A4E20"/>
    <w:rsid w:val="008A5ED2"/>
    <w:rsid w:val="008A6CD7"/>
    <w:rsid w:val="008A732C"/>
    <w:rsid w:val="008A7EF3"/>
    <w:rsid w:val="008B05BF"/>
    <w:rsid w:val="008B2D16"/>
    <w:rsid w:val="008B3732"/>
    <w:rsid w:val="008B38DC"/>
    <w:rsid w:val="008B4ED7"/>
    <w:rsid w:val="008B721A"/>
    <w:rsid w:val="008C0DBE"/>
    <w:rsid w:val="008C21A1"/>
    <w:rsid w:val="008C251B"/>
    <w:rsid w:val="008C27D6"/>
    <w:rsid w:val="008C42C6"/>
    <w:rsid w:val="008C4606"/>
    <w:rsid w:val="008C563B"/>
    <w:rsid w:val="008C6386"/>
    <w:rsid w:val="008C64B2"/>
    <w:rsid w:val="008C7454"/>
    <w:rsid w:val="008C7B9F"/>
    <w:rsid w:val="008D0B76"/>
    <w:rsid w:val="008D2627"/>
    <w:rsid w:val="008D423A"/>
    <w:rsid w:val="008D6886"/>
    <w:rsid w:val="008D7532"/>
    <w:rsid w:val="008D767D"/>
    <w:rsid w:val="008E08DC"/>
    <w:rsid w:val="008E0C73"/>
    <w:rsid w:val="008E13BF"/>
    <w:rsid w:val="008E252B"/>
    <w:rsid w:val="008E298A"/>
    <w:rsid w:val="008E4D9F"/>
    <w:rsid w:val="008E52E9"/>
    <w:rsid w:val="008E6441"/>
    <w:rsid w:val="008E715E"/>
    <w:rsid w:val="008E735C"/>
    <w:rsid w:val="008E7395"/>
    <w:rsid w:val="008F1A88"/>
    <w:rsid w:val="008F2CC6"/>
    <w:rsid w:val="008F2DE2"/>
    <w:rsid w:val="008F3EBB"/>
    <w:rsid w:val="008F4C37"/>
    <w:rsid w:val="009001E6"/>
    <w:rsid w:val="00900991"/>
    <w:rsid w:val="00900BD2"/>
    <w:rsid w:val="00901468"/>
    <w:rsid w:val="00902089"/>
    <w:rsid w:val="00904417"/>
    <w:rsid w:val="00904490"/>
    <w:rsid w:val="00910739"/>
    <w:rsid w:val="00910958"/>
    <w:rsid w:val="00911C03"/>
    <w:rsid w:val="00911C2B"/>
    <w:rsid w:val="00911E9A"/>
    <w:rsid w:val="0091218A"/>
    <w:rsid w:val="00912CB6"/>
    <w:rsid w:val="00914565"/>
    <w:rsid w:val="009153D6"/>
    <w:rsid w:val="009161AD"/>
    <w:rsid w:val="0091664B"/>
    <w:rsid w:val="00920922"/>
    <w:rsid w:val="009210E8"/>
    <w:rsid w:val="009214E2"/>
    <w:rsid w:val="009219B6"/>
    <w:rsid w:val="009229E9"/>
    <w:rsid w:val="00922DFE"/>
    <w:rsid w:val="0092314D"/>
    <w:rsid w:val="009232BF"/>
    <w:rsid w:val="00924811"/>
    <w:rsid w:val="00924893"/>
    <w:rsid w:val="00924EA1"/>
    <w:rsid w:val="009269C2"/>
    <w:rsid w:val="00931630"/>
    <w:rsid w:val="00931A1C"/>
    <w:rsid w:val="00931DD1"/>
    <w:rsid w:val="0093378B"/>
    <w:rsid w:val="00935A12"/>
    <w:rsid w:val="00936427"/>
    <w:rsid w:val="00940012"/>
    <w:rsid w:val="00940813"/>
    <w:rsid w:val="0094276D"/>
    <w:rsid w:val="00944EE1"/>
    <w:rsid w:val="00945F64"/>
    <w:rsid w:val="009465E2"/>
    <w:rsid w:val="00947082"/>
    <w:rsid w:val="00950853"/>
    <w:rsid w:val="009509FF"/>
    <w:rsid w:val="00950A07"/>
    <w:rsid w:val="00950C1D"/>
    <w:rsid w:val="00950DF2"/>
    <w:rsid w:val="0095107B"/>
    <w:rsid w:val="009521CF"/>
    <w:rsid w:val="00953428"/>
    <w:rsid w:val="00954419"/>
    <w:rsid w:val="00955E2A"/>
    <w:rsid w:val="00956CDA"/>
    <w:rsid w:val="00960145"/>
    <w:rsid w:val="00960A82"/>
    <w:rsid w:val="00962456"/>
    <w:rsid w:val="00963BC6"/>
    <w:rsid w:val="00963CEA"/>
    <w:rsid w:val="0096500D"/>
    <w:rsid w:val="00967B6F"/>
    <w:rsid w:val="0097269A"/>
    <w:rsid w:val="0097486A"/>
    <w:rsid w:val="00974C6C"/>
    <w:rsid w:val="00975012"/>
    <w:rsid w:val="00975720"/>
    <w:rsid w:val="00975DB7"/>
    <w:rsid w:val="00975F3E"/>
    <w:rsid w:val="00976612"/>
    <w:rsid w:val="00977BB9"/>
    <w:rsid w:val="009813F3"/>
    <w:rsid w:val="00982E22"/>
    <w:rsid w:val="009837AB"/>
    <w:rsid w:val="00986FEF"/>
    <w:rsid w:val="00987453"/>
    <w:rsid w:val="00987787"/>
    <w:rsid w:val="00990501"/>
    <w:rsid w:val="00990B08"/>
    <w:rsid w:val="00990E52"/>
    <w:rsid w:val="00992C0B"/>
    <w:rsid w:val="00993BCB"/>
    <w:rsid w:val="00993D09"/>
    <w:rsid w:val="00993E13"/>
    <w:rsid w:val="00994DA5"/>
    <w:rsid w:val="00994EC4"/>
    <w:rsid w:val="00995812"/>
    <w:rsid w:val="00995AEB"/>
    <w:rsid w:val="00995BD9"/>
    <w:rsid w:val="00995DE3"/>
    <w:rsid w:val="00995E58"/>
    <w:rsid w:val="00996170"/>
    <w:rsid w:val="00996286"/>
    <w:rsid w:val="0099659C"/>
    <w:rsid w:val="009973E5"/>
    <w:rsid w:val="009A178C"/>
    <w:rsid w:val="009A1D30"/>
    <w:rsid w:val="009A42FB"/>
    <w:rsid w:val="009A4799"/>
    <w:rsid w:val="009A56EF"/>
    <w:rsid w:val="009A5798"/>
    <w:rsid w:val="009A5B4D"/>
    <w:rsid w:val="009A6289"/>
    <w:rsid w:val="009A651F"/>
    <w:rsid w:val="009A6AC1"/>
    <w:rsid w:val="009A6CB4"/>
    <w:rsid w:val="009A76A1"/>
    <w:rsid w:val="009A79BF"/>
    <w:rsid w:val="009B042D"/>
    <w:rsid w:val="009B1728"/>
    <w:rsid w:val="009B24B3"/>
    <w:rsid w:val="009B27C4"/>
    <w:rsid w:val="009B2D07"/>
    <w:rsid w:val="009B2E40"/>
    <w:rsid w:val="009B42A6"/>
    <w:rsid w:val="009B5070"/>
    <w:rsid w:val="009B5153"/>
    <w:rsid w:val="009B5D53"/>
    <w:rsid w:val="009B60D9"/>
    <w:rsid w:val="009B677C"/>
    <w:rsid w:val="009C3540"/>
    <w:rsid w:val="009C416F"/>
    <w:rsid w:val="009C4B02"/>
    <w:rsid w:val="009C4B67"/>
    <w:rsid w:val="009C6FE1"/>
    <w:rsid w:val="009C71D4"/>
    <w:rsid w:val="009D01D4"/>
    <w:rsid w:val="009D0BD4"/>
    <w:rsid w:val="009D175A"/>
    <w:rsid w:val="009D297F"/>
    <w:rsid w:val="009D2FF1"/>
    <w:rsid w:val="009D53EF"/>
    <w:rsid w:val="009D5833"/>
    <w:rsid w:val="009D60D4"/>
    <w:rsid w:val="009E1B05"/>
    <w:rsid w:val="009E2925"/>
    <w:rsid w:val="009E3E72"/>
    <w:rsid w:val="009E4D16"/>
    <w:rsid w:val="009E5458"/>
    <w:rsid w:val="009E5547"/>
    <w:rsid w:val="009E57E2"/>
    <w:rsid w:val="009E69B3"/>
    <w:rsid w:val="009E7A86"/>
    <w:rsid w:val="009E7C02"/>
    <w:rsid w:val="009E7CEB"/>
    <w:rsid w:val="009F269B"/>
    <w:rsid w:val="009F3F52"/>
    <w:rsid w:val="009F47C8"/>
    <w:rsid w:val="009F48A3"/>
    <w:rsid w:val="009F5813"/>
    <w:rsid w:val="009F669B"/>
    <w:rsid w:val="009F7088"/>
    <w:rsid w:val="009F7ADC"/>
    <w:rsid w:val="009F7E49"/>
    <w:rsid w:val="00A00F78"/>
    <w:rsid w:val="00A02A1A"/>
    <w:rsid w:val="00A02F00"/>
    <w:rsid w:val="00A0319E"/>
    <w:rsid w:val="00A032D6"/>
    <w:rsid w:val="00A034A5"/>
    <w:rsid w:val="00A04760"/>
    <w:rsid w:val="00A0511A"/>
    <w:rsid w:val="00A059A0"/>
    <w:rsid w:val="00A06F09"/>
    <w:rsid w:val="00A07979"/>
    <w:rsid w:val="00A07BEE"/>
    <w:rsid w:val="00A11121"/>
    <w:rsid w:val="00A11EDC"/>
    <w:rsid w:val="00A122F5"/>
    <w:rsid w:val="00A1427E"/>
    <w:rsid w:val="00A143FA"/>
    <w:rsid w:val="00A15ACE"/>
    <w:rsid w:val="00A1709E"/>
    <w:rsid w:val="00A171F6"/>
    <w:rsid w:val="00A1790B"/>
    <w:rsid w:val="00A17FC9"/>
    <w:rsid w:val="00A20304"/>
    <w:rsid w:val="00A209EB"/>
    <w:rsid w:val="00A21194"/>
    <w:rsid w:val="00A21377"/>
    <w:rsid w:val="00A22551"/>
    <w:rsid w:val="00A232D8"/>
    <w:rsid w:val="00A237CA"/>
    <w:rsid w:val="00A238B4"/>
    <w:rsid w:val="00A23D1C"/>
    <w:rsid w:val="00A23E40"/>
    <w:rsid w:val="00A2479A"/>
    <w:rsid w:val="00A24990"/>
    <w:rsid w:val="00A2598B"/>
    <w:rsid w:val="00A25C52"/>
    <w:rsid w:val="00A26DEE"/>
    <w:rsid w:val="00A271AB"/>
    <w:rsid w:val="00A272EF"/>
    <w:rsid w:val="00A27524"/>
    <w:rsid w:val="00A30302"/>
    <w:rsid w:val="00A325F7"/>
    <w:rsid w:val="00A32EBF"/>
    <w:rsid w:val="00A32F07"/>
    <w:rsid w:val="00A33982"/>
    <w:rsid w:val="00A35039"/>
    <w:rsid w:val="00A35B69"/>
    <w:rsid w:val="00A37038"/>
    <w:rsid w:val="00A37DEA"/>
    <w:rsid w:val="00A42700"/>
    <w:rsid w:val="00A4379F"/>
    <w:rsid w:val="00A43D51"/>
    <w:rsid w:val="00A44DB0"/>
    <w:rsid w:val="00A45E51"/>
    <w:rsid w:val="00A46112"/>
    <w:rsid w:val="00A46507"/>
    <w:rsid w:val="00A467BD"/>
    <w:rsid w:val="00A46A73"/>
    <w:rsid w:val="00A50116"/>
    <w:rsid w:val="00A519A4"/>
    <w:rsid w:val="00A545B5"/>
    <w:rsid w:val="00A54ABB"/>
    <w:rsid w:val="00A554C0"/>
    <w:rsid w:val="00A55CFE"/>
    <w:rsid w:val="00A5678A"/>
    <w:rsid w:val="00A56AAD"/>
    <w:rsid w:val="00A570A3"/>
    <w:rsid w:val="00A6249D"/>
    <w:rsid w:val="00A62957"/>
    <w:rsid w:val="00A62D0A"/>
    <w:rsid w:val="00A64A5B"/>
    <w:rsid w:val="00A64EF5"/>
    <w:rsid w:val="00A64F58"/>
    <w:rsid w:val="00A652AA"/>
    <w:rsid w:val="00A67531"/>
    <w:rsid w:val="00A704A1"/>
    <w:rsid w:val="00A70DE6"/>
    <w:rsid w:val="00A70E86"/>
    <w:rsid w:val="00A71579"/>
    <w:rsid w:val="00A71A58"/>
    <w:rsid w:val="00A71A9A"/>
    <w:rsid w:val="00A7219B"/>
    <w:rsid w:val="00A73868"/>
    <w:rsid w:val="00A73CDA"/>
    <w:rsid w:val="00A74138"/>
    <w:rsid w:val="00A7517D"/>
    <w:rsid w:val="00A75419"/>
    <w:rsid w:val="00A76D7F"/>
    <w:rsid w:val="00A770BF"/>
    <w:rsid w:val="00A77310"/>
    <w:rsid w:val="00A77894"/>
    <w:rsid w:val="00A80234"/>
    <w:rsid w:val="00A8060A"/>
    <w:rsid w:val="00A80A5B"/>
    <w:rsid w:val="00A82B13"/>
    <w:rsid w:val="00A82C56"/>
    <w:rsid w:val="00A82EAC"/>
    <w:rsid w:val="00A83A39"/>
    <w:rsid w:val="00A841DA"/>
    <w:rsid w:val="00A84E72"/>
    <w:rsid w:val="00A8702B"/>
    <w:rsid w:val="00A8704A"/>
    <w:rsid w:val="00A8770D"/>
    <w:rsid w:val="00A904D9"/>
    <w:rsid w:val="00A92C21"/>
    <w:rsid w:val="00A93826"/>
    <w:rsid w:val="00A93D5C"/>
    <w:rsid w:val="00A96707"/>
    <w:rsid w:val="00A96DE7"/>
    <w:rsid w:val="00A97723"/>
    <w:rsid w:val="00A978E8"/>
    <w:rsid w:val="00A97B5E"/>
    <w:rsid w:val="00AA130D"/>
    <w:rsid w:val="00AA3D20"/>
    <w:rsid w:val="00AA4F05"/>
    <w:rsid w:val="00AA5F1E"/>
    <w:rsid w:val="00AA5FA4"/>
    <w:rsid w:val="00AA70EF"/>
    <w:rsid w:val="00AB07D3"/>
    <w:rsid w:val="00AB1EC9"/>
    <w:rsid w:val="00AB1EDA"/>
    <w:rsid w:val="00AB2828"/>
    <w:rsid w:val="00AB301A"/>
    <w:rsid w:val="00AB32B5"/>
    <w:rsid w:val="00AB33F4"/>
    <w:rsid w:val="00AB362D"/>
    <w:rsid w:val="00AB3CF6"/>
    <w:rsid w:val="00AB4B1D"/>
    <w:rsid w:val="00AB5F62"/>
    <w:rsid w:val="00AB7D21"/>
    <w:rsid w:val="00AC0C96"/>
    <w:rsid w:val="00AC11C2"/>
    <w:rsid w:val="00AC11C6"/>
    <w:rsid w:val="00AC1650"/>
    <w:rsid w:val="00AC38EB"/>
    <w:rsid w:val="00AC44AC"/>
    <w:rsid w:val="00AC6A07"/>
    <w:rsid w:val="00AC740F"/>
    <w:rsid w:val="00AC74D3"/>
    <w:rsid w:val="00AC7CA4"/>
    <w:rsid w:val="00AD0441"/>
    <w:rsid w:val="00AD11D6"/>
    <w:rsid w:val="00AD17A8"/>
    <w:rsid w:val="00AD2C95"/>
    <w:rsid w:val="00AD3164"/>
    <w:rsid w:val="00AD341D"/>
    <w:rsid w:val="00AD4FC0"/>
    <w:rsid w:val="00AD53C7"/>
    <w:rsid w:val="00AD5957"/>
    <w:rsid w:val="00AD5CA6"/>
    <w:rsid w:val="00AD6454"/>
    <w:rsid w:val="00AD66A4"/>
    <w:rsid w:val="00AD71B4"/>
    <w:rsid w:val="00AD7F5D"/>
    <w:rsid w:val="00AD7F66"/>
    <w:rsid w:val="00AE087D"/>
    <w:rsid w:val="00AE26F1"/>
    <w:rsid w:val="00AE2EA2"/>
    <w:rsid w:val="00AE33A5"/>
    <w:rsid w:val="00AE40CC"/>
    <w:rsid w:val="00AE52B2"/>
    <w:rsid w:val="00AE5822"/>
    <w:rsid w:val="00AE590F"/>
    <w:rsid w:val="00AE7AE4"/>
    <w:rsid w:val="00AF11F8"/>
    <w:rsid w:val="00AF3D86"/>
    <w:rsid w:val="00AF3DF8"/>
    <w:rsid w:val="00AF4A54"/>
    <w:rsid w:val="00AF5183"/>
    <w:rsid w:val="00AF634C"/>
    <w:rsid w:val="00AF647B"/>
    <w:rsid w:val="00AF6EA1"/>
    <w:rsid w:val="00AF77DD"/>
    <w:rsid w:val="00AF7E21"/>
    <w:rsid w:val="00B00068"/>
    <w:rsid w:val="00B00405"/>
    <w:rsid w:val="00B0128F"/>
    <w:rsid w:val="00B01435"/>
    <w:rsid w:val="00B02D12"/>
    <w:rsid w:val="00B02DB2"/>
    <w:rsid w:val="00B04C25"/>
    <w:rsid w:val="00B068EB"/>
    <w:rsid w:val="00B06B54"/>
    <w:rsid w:val="00B10CA1"/>
    <w:rsid w:val="00B12513"/>
    <w:rsid w:val="00B14389"/>
    <w:rsid w:val="00B156CB"/>
    <w:rsid w:val="00B15B83"/>
    <w:rsid w:val="00B16D3F"/>
    <w:rsid w:val="00B171E1"/>
    <w:rsid w:val="00B172F1"/>
    <w:rsid w:val="00B235D1"/>
    <w:rsid w:val="00B251D5"/>
    <w:rsid w:val="00B25280"/>
    <w:rsid w:val="00B262E1"/>
    <w:rsid w:val="00B26F23"/>
    <w:rsid w:val="00B2725E"/>
    <w:rsid w:val="00B275D6"/>
    <w:rsid w:val="00B2765D"/>
    <w:rsid w:val="00B318AB"/>
    <w:rsid w:val="00B33EE5"/>
    <w:rsid w:val="00B34D67"/>
    <w:rsid w:val="00B35525"/>
    <w:rsid w:val="00B35F45"/>
    <w:rsid w:val="00B363CB"/>
    <w:rsid w:val="00B41339"/>
    <w:rsid w:val="00B41A3A"/>
    <w:rsid w:val="00B42866"/>
    <w:rsid w:val="00B4391C"/>
    <w:rsid w:val="00B450CD"/>
    <w:rsid w:val="00B4551B"/>
    <w:rsid w:val="00B45FF3"/>
    <w:rsid w:val="00B508E4"/>
    <w:rsid w:val="00B50C9F"/>
    <w:rsid w:val="00B51A62"/>
    <w:rsid w:val="00B51F0A"/>
    <w:rsid w:val="00B52F7E"/>
    <w:rsid w:val="00B5362F"/>
    <w:rsid w:val="00B54D2E"/>
    <w:rsid w:val="00B5545A"/>
    <w:rsid w:val="00B55B61"/>
    <w:rsid w:val="00B61E92"/>
    <w:rsid w:val="00B62C8C"/>
    <w:rsid w:val="00B64025"/>
    <w:rsid w:val="00B6429B"/>
    <w:rsid w:val="00B653F0"/>
    <w:rsid w:val="00B65539"/>
    <w:rsid w:val="00B65932"/>
    <w:rsid w:val="00B67367"/>
    <w:rsid w:val="00B700DC"/>
    <w:rsid w:val="00B70328"/>
    <w:rsid w:val="00B72409"/>
    <w:rsid w:val="00B730B9"/>
    <w:rsid w:val="00B737AB"/>
    <w:rsid w:val="00B73C52"/>
    <w:rsid w:val="00B75612"/>
    <w:rsid w:val="00B76261"/>
    <w:rsid w:val="00B76FE0"/>
    <w:rsid w:val="00B77EA5"/>
    <w:rsid w:val="00B82CC5"/>
    <w:rsid w:val="00B833A2"/>
    <w:rsid w:val="00B836B6"/>
    <w:rsid w:val="00B84435"/>
    <w:rsid w:val="00B86487"/>
    <w:rsid w:val="00B866C5"/>
    <w:rsid w:val="00B86A42"/>
    <w:rsid w:val="00B87A4A"/>
    <w:rsid w:val="00B90700"/>
    <w:rsid w:val="00B912BC"/>
    <w:rsid w:val="00B9314A"/>
    <w:rsid w:val="00B93639"/>
    <w:rsid w:val="00B94513"/>
    <w:rsid w:val="00B95F0C"/>
    <w:rsid w:val="00B966D7"/>
    <w:rsid w:val="00B96C65"/>
    <w:rsid w:val="00B97E8B"/>
    <w:rsid w:val="00BA0076"/>
    <w:rsid w:val="00BA0079"/>
    <w:rsid w:val="00BA04AC"/>
    <w:rsid w:val="00BA4D96"/>
    <w:rsid w:val="00BA6DF5"/>
    <w:rsid w:val="00BA736F"/>
    <w:rsid w:val="00BB0613"/>
    <w:rsid w:val="00BB078B"/>
    <w:rsid w:val="00BB08AD"/>
    <w:rsid w:val="00BB0A88"/>
    <w:rsid w:val="00BB0DD6"/>
    <w:rsid w:val="00BB0F97"/>
    <w:rsid w:val="00BB1249"/>
    <w:rsid w:val="00BB269D"/>
    <w:rsid w:val="00BB3126"/>
    <w:rsid w:val="00BB31E4"/>
    <w:rsid w:val="00BB4B62"/>
    <w:rsid w:val="00BB662A"/>
    <w:rsid w:val="00BB668E"/>
    <w:rsid w:val="00BB6B53"/>
    <w:rsid w:val="00BB79AE"/>
    <w:rsid w:val="00BC02EE"/>
    <w:rsid w:val="00BC1933"/>
    <w:rsid w:val="00BC198B"/>
    <w:rsid w:val="00BC2B58"/>
    <w:rsid w:val="00BC354A"/>
    <w:rsid w:val="00BC3BC3"/>
    <w:rsid w:val="00BC40E8"/>
    <w:rsid w:val="00BC410C"/>
    <w:rsid w:val="00BC44E0"/>
    <w:rsid w:val="00BC48AC"/>
    <w:rsid w:val="00BC5FD0"/>
    <w:rsid w:val="00BC60A1"/>
    <w:rsid w:val="00BC68F5"/>
    <w:rsid w:val="00BC6D20"/>
    <w:rsid w:val="00BD03DB"/>
    <w:rsid w:val="00BD0894"/>
    <w:rsid w:val="00BD21A2"/>
    <w:rsid w:val="00BD2EE0"/>
    <w:rsid w:val="00BD35D2"/>
    <w:rsid w:val="00BD3D4E"/>
    <w:rsid w:val="00BD4AAA"/>
    <w:rsid w:val="00BD5EFD"/>
    <w:rsid w:val="00BD67B1"/>
    <w:rsid w:val="00BD702F"/>
    <w:rsid w:val="00BD7BB3"/>
    <w:rsid w:val="00BE0A55"/>
    <w:rsid w:val="00BE381E"/>
    <w:rsid w:val="00BE3BA2"/>
    <w:rsid w:val="00BE79DE"/>
    <w:rsid w:val="00BF1357"/>
    <w:rsid w:val="00BF1F5D"/>
    <w:rsid w:val="00BF2ACB"/>
    <w:rsid w:val="00BF36A6"/>
    <w:rsid w:val="00BF3DD2"/>
    <w:rsid w:val="00BF44C7"/>
    <w:rsid w:val="00BF4B82"/>
    <w:rsid w:val="00BF59C3"/>
    <w:rsid w:val="00BF615E"/>
    <w:rsid w:val="00BF65F9"/>
    <w:rsid w:val="00BF6BE0"/>
    <w:rsid w:val="00BF6E3B"/>
    <w:rsid w:val="00C018AC"/>
    <w:rsid w:val="00C018AF"/>
    <w:rsid w:val="00C01B67"/>
    <w:rsid w:val="00C02383"/>
    <w:rsid w:val="00C0350E"/>
    <w:rsid w:val="00C0404E"/>
    <w:rsid w:val="00C0432E"/>
    <w:rsid w:val="00C046ED"/>
    <w:rsid w:val="00C051D4"/>
    <w:rsid w:val="00C07C48"/>
    <w:rsid w:val="00C1341B"/>
    <w:rsid w:val="00C139E5"/>
    <w:rsid w:val="00C157DB"/>
    <w:rsid w:val="00C17469"/>
    <w:rsid w:val="00C1751F"/>
    <w:rsid w:val="00C1783A"/>
    <w:rsid w:val="00C20342"/>
    <w:rsid w:val="00C20B8C"/>
    <w:rsid w:val="00C21972"/>
    <w:rsid w:val="00C24898"/>
    <w:rsid w:val="00C2504B"/>
    <w:rsid w:val="00C25A5A"/>
    <w:rsid w:val="00C25CD8"/>
    <w:rsid w:val="00C26F7E"/>
    <w:rsid w:val="00C27E63"/>
    <w:rsid w:val="00C30705"/>
    <w:rsid w:val="00C31031"/>
    <w:rsid w:val="00C3151A"/>
    <w:rsid w:val="00C335D8"/>
    <w:rsid w:val="00C37075"/>
    <w:rsid w:val="00C40C53"/>
    <w:rsid w:val="00C40F0A"/>
    <w:rsid w:val="00C41629"/>
    <w:rsid w:val="00C41E44"/>
    <w:rsid w:val="00C42F4F"/>
    <w:rsid w:val="00C431EE"/>
    <w:rsid w:val="00C43823"/>
    <w:rsid w:val="00C439DA"/>
    <w:rsid w:val="00C43CA0"/>
    <w:rsid w:val="00C44273"/>
    <w:rsid w:val="00C44BD3"/>
    <w:rsid w:val="00C452A9"/>
    <w:rsid w:val="00C455ED"/>
    <w:rsid w:val="00C4675E"/>
    <w:rsid w:val="00C46F23"/>
    <w:rsid w:val="00C5019A"/>
    <w:rsid w:val="00C516FD"/>
    <w:rsid w:val="00C52A2E"/>
    <w:rsid w:val="00C54211"/>
    <w:rsid w:val="00C542EE"/>
    <w:rsid w:val="00C54550"/>
    <w:rsid w:val="00C546E4"/>
    <w:rsid w:val="00C54A33"/>
    <w:rsid w:val="00C54CE4"/>
    <w:rsid w:val="00C576E1"/>
    <w:rsid w:val="00C57F47"/>
    <w:rsid w:val="00C637B7"/>
    <w:rsid w:val="00C63BB4"/>
    <w:rsid w:val="00C6598D"/>
    <w:rsid w:val="00C669E0"/>
    <w:rsid w:val="00C705D3"/>
    <w:rsid w:val="00C71575"/>
    <w:rsid w:val="00C72BED"/>
    <w:rsid w:val="00C7499C"/>
    <w:rsid w:val="00C749E4"/>
    <w:rsid w:val="00C7549A"/>
    <w:rsid w:val="00C77043"/>
    <w:rsid w:val="00C771DE"/>
    <w:rsid w:val="00C80169"/>
    <w:rsid w:val="00C809C1"/>
    <w:rsid w:val="00C831E4"/>
    <w:rsid w:val="00C836AA"/>
    <w:rsid w:val="00C84C2C"/>
    <w:rsid w:val="00C85A21"/>
    <w:rsid w:val="00C86634"/>
    <w:rsid w:val="00C86677"/>
    <w:rsid w:val="00C874D9"/>
    <w:rsid w:val="00C87516"/>
    <w:rsid w:val="00C87E49"/>
    <w:rsid w:val="00C9078D"/>
    <w:rsid w:val="00C91A43"/>
    <w:rsid w:val="00C937B5"/>
    <w:rsid w:val="00C93B03"/>
    <w:rsid w:val="00C93D77"/>
    <w:rsid w:val="00C93D97"/>
    <w:rsid w:val="00C946B5"/>
    <w:rsid w:val="00C95BF9"/>
    <w:rsid w:val="00C961EB"/>
    <w:rsid w:val="00C96760"/>
    <w:rsid w:val="00C9780D"/>
    <w:rsid w:val="00C97C8B"/>
    <w:rsid w:val="00CA11D8"/>
    <w:rsid w:val="00CA199D"/>
    <w:rsid w:val="00CA2711"/>
    <w:rsid w:val="00CA36D4"/>
    <w:rsid w:val="00CA3BBF"/>
    <w:rsid w:val="00CA3EE2"/>
    <w:rsid w:val="00CA41F7"/>
    <w:rsid w:val="00CA6960"/>
    <w:rsid w:val="00CA7C15"/>
    <w:rsid w:val="00CB0163"/>
    <w:rsid w:val="00CB32A2"/>
    <w:rsid w:val="00CB32BF"/>
    <w:rsid w:val="00CB3478"/>
    <w:rsid w:val="00CB36D5"/>
    <w:rsid w:val="00CB3811"/>
    <w:rsid w:val="00CB682D"/>
    <w:rsid w:val="00CC0AEE"/>
    <w:rsid w:val="00CC114D"/>
    <w:rsid w:val="00CC1FBA"/>
    <w:rsid w:val="00CC22EB"/>
    <w:rsid w:val="00CC300F"/>
    <w:rsid w:val="00CC32D2"/>
    <w:rsid w:val="00CC3B4E"/>
    <w:rsid w:val="00CC3C1F"/>
    <w:rsid w:val="00CC4392"/>
    <w:rsid w:val="00CC4CC5"/>
    <w:rsid w:val="00CC4D58"/>
    <w:rsid w:val="00CC53D6"/>
    <w:rsid w:val="00CC590E"/>
    <w:rsid w:val="00CC5D36"/>
    <w:rsid w:val="00CC5ED3"/>
    <w:rsid w:val="00CC6298"/>
    <w:rsid w:val="00CC6FDF"/>
    <w:rsid w:val="00CC7A3C"/>
    <w:rsid w:val="00CD0094"/>
    <w:rsid w:val="00CD01F9"/>
    <w:rsid w:val="00CD0EFA"/>
    <w:rsid w:val="00CD0F10"/>
    <w:rsid w:val="00CD173E"/>
    <w:rsid w:val="00CD276C"/>
    <w:rsid w:val="00CD2865"/>
    <w:rsid w:val="00CD3223"/>
    <w:rsid w:val="00CD5AE0"/>
    <w:rsid w:val="00CD66F9"/>
    <w:rsid w:val="00CD7409"/>
    <w:rsid w:val="00CD7CCD"/>
    <w:rsid w:val="00CE0587"/>
    <w:rsid w:val="00CE15AD"/>
    <w:rsid w:val="00CE1B91"/>
    <w:rsid w:val="00CE2BCD"/>
    <w:rsid w:val="00CE3BAE"/>
    <w:rsid w:val="00CF0257"/>
    <w:rsid w:val="00CF0D3E"/>
    <w:rsid w:val="00CF1574"/>
    <w:rsid w:val="00CF2587"/>
    <w:rsid w:val="00CF3DC0"/>
    <w:rsid w:val="00CF43FC"/>
    <w:rsid w:val="00CF550B"/>
    <w:rsid w:val="00CF6A32"/>
    <w:rsid w:val="00CF6C41"/>
    <w:rsid w:val="00CF73F2"/>
    <w:rsid w:val="00CF7C33"/>
    <w:rsid w:val="00D00ACB"/>
    <w:rsid w:val="00D036C9"/>
    <w:rsid w:val="00D04C3B"/>
    <w:rsid w:val="00D04DD5"/>
    <w:rsid w:val="00D064F8"/>
    <w:rsid w:val="00D06D32"/>
    <w:rsid w:val="00D10BF6"/>
    <w:rsid w:val="00D12060"/>
    <w:rsid w:val="00D128F4"/>
    <w:rsid w:val="00D13F74"/>
    <w:rsid w:val="00D142B7"/>
    <w:rsid w:val="00D155EE"/>
    <w:rsid w:val="00D15715"/>
    <w:rsid w:val="00D163C7"/>
    <w:rsid w:val="00D1738F"/>
    <w:rsid w:val="00D17D24"/>
    <w:rsid w:val="00D20A4F"/>
    <w:rsid w:val="00D20A6A"/>
    <w:rsid w:val="00D214EE"/>
    <w:rsid w:val="00D223EF"/>
    <w:rsid w:val="00D2354A"/>
    <w:rsid w:val="00D240B8"/>
    <w:rsid w:val="00D26885"/>
    <w:rsid w:val="00D26F78"/>
    <w:rsid w:val="00D2756B"/>
    <w:rsid w:val="00D27CA1"/>
    <w:rsid w:val="00D309C9"/>
    <w:rsid w:val="00D31837"/>
    <w:rsid w:val="00D3268E"/>
    <w:rsid w:val="00D330D5"/>
    <w:rsid w:val="00D331E1"/>
    <w:rsid w:val="00D335C1"/>
    <w:rsid w:val="00D33A97"/>
    <w:rsid w:val="00D344B6"/>
    <w:rsid w:val="00D3472E"/>
    <w:rsid w:val="00D34A0B"/>
    <w:rsid w:val="00D366B0"/>
    <w:rsid w:val="00D36F8A"/>
    <w:rsid w:val="00D37444"/>
    <w:rsid w:val="00D406B3"/>
    <w:rsid w:val="00D40E41"/>
    <w:rsid w:val="00D40E8C"/>
    <w:rsid w:val="00D40E99"/>
    <w:rsid w:val="00D416B4"/>
    <w:rsid w:val="00D41890"/>
    <w:rsid w:val="00D4296B"/>
    <w:rsid w:val="00D42E2E"/>
    <w:rsid w:val="00D43E93"/>
    <w:rsid w:val="00D44DCD"/>
    <w:rsid w:val="00D4551A"/>
    <w:rsid w:val="00D475E4"/>
    <w:rsid w:val="00D4794F"/>
    <w:rsid w:val="00D501C6"/>
    <w:rsid w:val="00D505FB"/>
    <w:rsid w:val="00D50864"/>
    <w:rsid w:val="00D50FBF"/>
    <w:rsid w:val="00D51B08"/>
    <w:rsid w:val="00D529E0"/>
    <w:rsid w:val="00D531F9"/>
    <w:rsid w:val="00D53A8F"/>
    <w:rsid w:val="00D5419C"/>
    <w:rsid w:val="00D54205"/>
    <w:rsid w:val="00D558DF"/>
    <w:rsid w:val="00D55F7E"/>
    <w:rsid w:val="00D56653"/>
    <w:rsid w:val="00D600AB"/>
    <w:rsid w:val="00D605F4"/>
    <w:rsid w:val="00D616B2"/>
    <w:rsid w:val="00D624F3"/>
    <w:rsid w:val="00D62793"/>
    <w:rsid w:val="00D62983"/>
    <w:rsid w:val="00D62B02"/>
    <w:rsid w:val="00D63230"/>
    <w:rsid w:val="00D63242"/>
    <w:rsid w:val="00D64D83"/>
    <w:rsid w:val="00D64E8F"/>
    <w:rsid w:val="00D64F8A"/>
    <w:rsid w:val="00D65FE3"/>
    <w:rsid w:val="00D66CE4"/>
    <w:rsid w:val="00D66E26"/>
    <w:rsid w:val="00D67E46"/>
    <w:rsid w:val="00D7019D"/>
    <w:rsid w:val="00D714E4"/>
    <w:rsid w:val="00D72595"/>
    <w:rsid w:val="00D729A8"/>
    <w:rsid w:val="00D73AE0"/>
    <w:rsid w:val="00D7481B"/>
    <w:rsid w:val="00D7505F"/>
    <w:rsid w:val="00D755CD"/>
    <w:rsid w:val="00D75789"/>
    <w:rsid w:val="00D76252"/>
    <w:rsid w:val="00D76C32"/>
    <w:rsid w:val="00D80189"/>
    <w:rsid w:val="00D806D0"/>
    <w:rsid w:val="00D81790"/>
    <w:rsid w:val="00D8189C"/>
    <w:rsid w:val="00D82224"/>
    <w:rsid w:val="00D82E53"/>
    <w:rsid w:val="00D844E3"/>
    <w:rsid w:val="00D8491C"/>
    <w:rsid w:val="00D87C7A"/>
    <w:rsid w:val="00D87EC8"/>
    <w:rsid w:val="00D91683"/>
    <w:rsid w:val="00D924B7"/>
    <w:rsid w:val="00D93FCF"/>
    <w:rsid w:val="00D9472A"/>
    <w:rsid w:val="00D948A6"/>
    <w:rsid w:val="00D95427"/>
    <w:rsid w:val="00D95612"/>
    <w:rsid w:val="00D97279"/>
    <w:rsid w:val="00D972EF"/>
    <w:rsid w:val="00D9777D"/>
    <w:rsid w:val="00D97F2C"/>
    <w:rsid w:val="00DA00CC"/>
    <w:rsid w:val="00DA0621"/>
    <w:rsid w:val="00DA12CC"/>
    <w:rsid w:val="00DA1399"/>
    <w:rsid w:val="00DA14DC"/>
    <w:rsid w:val="00DA1CB2"/>
    <w:rsid w:val="00DA2A4A"/>
    <w:rsid w:val="00DA3194"/>
    <w:rsid w:val="00DA5033"/>
    <w:rsid w:val="00DA5F18"/>
    <w:rsid w:val="00DA7839"/>
    <w:rsid w:val="00DA7EF2"/>
    <w:rsid w:val="00DB1A31"/>
    <w:rsid w:val="00DB1C1B"/>
    <w:rsid w:val="00DB1CE0"/>
    <w:rsid w:val="00DB2506"/>
    <w:rsid w:val="00DB2A99"/>
    <w:rsid w:val="00DB2C4E"/>
    <w:rsid w:val="00DB2E93"/>
    <w:rsid w:val="00DB3770"/>
    <w:rsid w:val="00DB3F69"/>
    <w:rsid w:val="00DB4688"/>
    <w:rsid w:val="00DB51DA"/>
    <w:rsid w:val="00DB56D4"/>
    <w:rsid w:val="00DB5D56"/>
    <w:rsid w:val="00DB74E0"/>
    <w:rsid w:val="00DB7A08"/>
    <w:rsid w:val="00DC0131"/>
    <w:rsid w:val="00DC0290"/>
    <w:rsid w:val="00DC02D0"/>
    <w:rsid w:val="00DC15C0"/>
    <w:rsid w:val="00DC2590"/>
    <w:rsid w:val="00DC2B10"/>
    <w:rsid w:val="00DC2EC3"/>
    <w:rsid w:val="00DC493D"/>
    <w:rsid w:val="00DC5A81"/>
    <w:rsid w:val="00DC5F18"/>
    <w:rsid w:val="00DC7090"/>
    <w:rsid w:val="00DC794C"/>
    <w:rsid w:val="00DC7E1D"/>
    <w:rsid w:val="00DD0CE5"/>
    <w:rsid w:val="00DD232E"/>
    <w:rsid w:val="00DD5111"/>
    <w:rsid w:val="00DD5DE6"/>
    <w:rsid w:val="00DD61A9"/>
    <w:rsid w:val="00DD650B"/>
    <w:rsid w:val="00DD65E2"/>
    <w:rsid w:val="00DD6A86"/>
    <w:rsid w:val="00DD76EE"/>
    <w:rsid w:val="00DD7FFB"/>
    <w:rsid w:val="00DE08E6"/>
    <w:rsid w:val="00DE0F85"/>
    <w:rsid w:val="00DE12CD"/>
    <w:rsid w:val="00DE406B"/>
    <w:rsid w:val="00DE4636"/>
    <w:rsid w:val="00DE571D"/>
    <w:rsid w:val="00DE580F"/>
    <w:rsid w:val="00DE5C5C"/>
    <w:rsid w:val="00DE7123"/>
    <w:rsid w:val="00DE7CB0"/>
    <w:rsid w:val="00DE7E13"/>
    <w:rsid w:val="00DF14DF"/>
    <w:rsid w:val="00DF20A4"/>
    <w:rsid w:val="00DF2115"/>
    <w:rsid w:val="00DF394D"/>
    <w:rsid w:val="00DF5524"/>
    <w:rsid w:val="00DF557A"/>
    <w:rsid w:val="00DF6C91"/>
    <w:rsid w:val="00DF6FA2"/>
    <w:rsid w:val="00DF71CF"/>
    <w:rsid w:val="00DF76B7"/>
    <w:rsid w:val="00DF7AFE"/>
    <w:rsid w:val="00E0070F"/>
    <w:rsid w:val="00E01212"/>
    <w:rsid w:val="00E01574"/>
    <w:rsid w:val="00E01652"/>
    <w:rsid w:val="00E0291D"/>
    <w:rsid w:val="00E0316F"/>
    <w:rsid w:val="00E03AEC"/>
    <w:rsid w:val="00E03B42"/>
    <w:rsid w:val="00E03DEF"/>
    <w:rsid w:val="00E0455F"/>
    <w:rsid w:val="00E04A71"/>
    <w:rsid w:val="00E04F97"/>
    <w:rsid w:val="00E055B6"/>
    <w:rsid w:val="00E064B2"/>
    <w:rsid w:val="00E06852"/>
    <w:rsid w:val="00E10038"/>
    <w:rsid w:val="00E104BC"/>
    <w:rsid w:val="00E10757"/>
    <w:rsid w:val="00E13828"/>
    <w:rsid w:val="00E1568B"/>
    <w:rsid w:val="00E1568F"/>
    <w:rsid w:val="00E17EB5"/>
    <w:rsid w:val="00E17F01"/>
    <w:rsid w:val="00E20FE6"/>
    <w:rsid w:val="00E22010"/>
    <w:rsid w:val="00E2406E"/>
    <w:rsid w:val="00E2456A"/>
    <w:rsid w:val="00E273A0"/>
    <w:rsid w:val="00E300ED"/>
    <w:rsid w:val="00E3070B"/>
    <w:rsid w:val="00E3112A"/>
    <w:rsid w:val="00E319A5"/>
    <w:rsid w:val="00E32A94"/>
    <w:rsid w:val="00E32AB6"/>
    <w:rsid w:val="00E32C77"/>
    <w:rsid w:val="00E32E4D"/>
    <w:rsid w:val="00E3321E"/>
    <w:rsid w:val="00E3390E"/>
    <w:rsid w:val="00E33F71"/>
    <w:rsid w:val="00E343B1"/>
    <w:rsid w:val="00E3480D"/>
    <w:rsid w:val="00E34EDD"/>
    <w:rsid w:val="00E35D64"/>
    <w:rsid w:val="00E3705E"/>
    <w:rsid w:val="00E37783"/>
    <w:rsid w:val="00E37829"/>
    <w:rsid w:val="00E37BED"/>
    <w:rsid w:val="00E37E7A"/>
    <w:rsid w:val="00E4328A"/>
    <w:rsid w:val="00E436F1"/>
    <w:rsid w:val="00E442CB"/>
    <w:rsid w:val="00E45235"/>
    <w:rsid w:val="00E45687"/>
    <w:rsid w:val="00E461BE"/>
    <w:rsid w:val="00E46771"/>
    <w:rsid w:val="00E51B2D"/>
    <w:rsid w:val="00E52F93"/>
    <w:rsid w:val="00E541EB"/>
    <w:rsid w:val="00E542B7"/>
    <w:rsid w:val="00E54AB0"/>
    <w:rsid w:val="00E5607E"/>
    <w:rsid w:val="00E560B5"/>
    <w:rsid w:val="00E57BB4"/>
    <w:rsid w:val="00E60F28"/>
    <w:rsid w:val="00E6227C"/>
    <w:rsid w:val="00E64789"/>
    <w:rsid w:val="00E6498D"/>
    <w:rsid w:val="00E650E3"/>
    <w:rsid w:val="00E67B42"/>
    <w:rsid w:val="00E7064A"/>
    <w:rsid w:val="00E70863"/>
    <w:rsid w:val="00E73B94"/>
    <w:rsid w:val="00E75382"/>
    <w:rsid w:val="00E75BD8"/>
    <w:rsid w:val="00E76464"/>
    <w:rsid w:val="00E800E8"/>
    <w:rsid w:val="00E80988"/>
    <w:rsid w:val="00E80F84"/>
    <w:rsid w:val="00E8260C"/>
    <w:rsid w:val="00E82C40"/>
    <w:rsid w:val="00E855AB"/>
    <w:rsid w:val="00E87355"/>
    <w:rsid w:val="00E913E4"/>
    <w:rsid w:val="00E91F2D"/>
    <w:rsid w:val="00E92A9D"/>
    <w:rsid w:val="00E92F3A"/>
    <w:rsid w:val="00E932D1"/>
    <w:rsid w:val="00E93EF7"/>
    <w:rsid w:val="00E94A92"/>
    <w:rsid w:val="00E94D2A"/>
    <w:rsid w:val="00E95C25"/>
    <w:rsid w:val="00E960AE"/>
    <w:rsid w:val="00E9646F"/>
    <w:rsid w:val="00E96D1A"/>
    <w:rsid w:val="00E97628"/>
    <w:rsid w:val="00EA17A2"/>
    <w:rsid w:val="00EA188F"/>
    <w:rsid w:val="00EA21CE"/>
    <w:rsid w:val="00EA285A"/>
    <w:rsid w:val="00EA410A"/>
    <w:rsid w:val="00EA43E5"/>
    <w:rsid w:val="00EA480D"/>
    <w:rsid w:val="00EA4A4E"/>
    <w:rsid w:val="00EA58FA"/>
    <w:rsid w:val="00EA5ED3"/>
    <w:rsid w:val="00EA668C"/>
    <w:rsid w:val="00EB2E67"/>
    <w:rsid w:val="00EB3CE2"/>
    <w:rsid w:val="00EB3DA6"/>
    <w:rsid w:val="00EB461D"/>
    <w:rsid w:val="00EB46D9"/>
    <w:rsid w:val="00EB476D"/>
    <w:rsid w:val="00EB57EA"/>
    <w:rsid w:val="00EB7ADF"/>
    <w:rsid w:val="00EC0BE7"/>
    <w:rsid w:val="00EC1147"/>
    <w:rsid w:val="00EC1501"/>
    <w:rsid w:val="00EC1A07"/>
    <w:rsid w:val="00EC1A2D"/>
    <w:rsid w:val="00EC24B6"/>
    <w:rsid w:val="00EC2E4A"/>
    <w:rsid w:val="00EC3255"/>
    <w:rsid w:val="00EC36A9"/>
    <w:rsid w:val="00EC38ED"/>
    <w:rsid w:val="00EC4073"/>
    <w:rsid w:val="00EC503E"/>
    <w:rsid w:val="00EC51E3"/>
    <w:rsid w:val="00EC5604"/>
    <w:rsid w:val="00EC57FE"/>
    <w:rsid w:val="00EC6634"/>
    <w:rsid w:val="00EC693B"/>
    <w:rsid w:val="00EC7A8E"/>
    <w:rsid w:val="00EC7B09"/>
    <w:rsid w:val="00ED0518"/>
    <w:rsid w:val="00ED062F"/>
    <w:rsid w:val="00ED08A7"/>
    <w:rsid w:val="00ED0B27"/>
    <w:rsid w:val="00ED2018"/>
    <w:rsid w:val="00ED39D0"/>
    <w:rsid w:val="00ED4809"/>
    <w:rsid w:val="00ED4DF6"/>
    <w:rsid w:val="00ED72BB"/>
    <w:rsid w:val="00ED7A86"/>
    <w:rsid w:val="00ED7DC4"/>
    <w:rsid w:val="00EE2091"/>
    <w:rsid w:val="00EE219F"/>
    <w:rsid w:val="00EE4007"/>
    <w:rsid w:val="00EE40BF"/>
    <w:rsid w:val="00EE51B5"/>
    <w:rsid w:val="00EE62BE"/>
    <w:rsid w:val="00EE63BD"/>
    <w:rsid w:val="00EE7AA7"/>
    <w:rsid w:val="00EF0F48"/>
    <w:rsid w:val="00EF16AD"/>
    <w:rsid w:val="00EF2F0A"/>
    <w:rsid w:val="00EF3512"/>
    <w:rsid w:val="00EF376F"/>
    <w:rsid w:val="00EF5741"/>
    <w:rsid w:val="00F00A4C"/>
    <w:rsid w:val="00F01167"/>
    <w:rsid w:val="00F02D7E"/>
    <w:rsid w:val="00F036B1"/>
    <w:rsid w:val="00F0396F"/>
    <w:rsid w:val="00F042CE"/>
    <w:rsid w:val="00F0485C"/>
    <w:rsid w:val="00F04A7F"/>
    <w:rsid w:val="00F057F2"/>
    <w:rsid w:val="00F06C12"/>
    <w:rsid w:val="00F0772F"/>
    <w:rsid w:val="00F1022F"/>
    <w:rsid w:val="00F1059E"/>
    <w:rsid w:val="00F10774"/>
    <w:rsid w:val="00F11C79"/>
    <w:rsid w:val="00F13BC6"/>
    <w:rsid w:val="00F1441F"/>
    <w:rsid w:val="00F144B5"/>
    <w:rsid w:val="00F154B3"/>
    <w:rsid w:val="00F16566"/>
    <w:rsid w:val="00F16FD3"/>
    <w:rsid w:val="00F21284"/>
    <w:rsid w:val="00F224E5"/>
    <w:rsid w:val="00F225BD"/>
    <w:rsid w:val="00F22D18"/>
    <w:rsid w:val="00F23DD7"/>
    <w:rsid w:val="00F24187"/>
    <w:rsid w:val="00F243D3"/>
    <w:rsid w:val="00F24BDD"/>
    <w:rsid w:val="00F2582E"/>
    <w:rsid w:val="00F259FA"/>
    <w:rsid w:val="00F25F53"/>
    <w:rsid w:val="00F26418"/>
    <w:rsid w:val="00F279A8"/>
    <w:rsid w:val="00F27B8C"/>
    <w:rsid w:val="00F301DA"/>
    <w:rsid w:val="00F30B4C"/>
    <w:rsid w:val="00F313FD"/>
    <w:rsid w:val="00F3360D"/>
    <w:rsid w:val="00F340F8"/>
    <w:rsid w:val="00F35CDB"/>
    <w:rsid w:val="00F36A6D"/>
    <w:rsid w:val="00F37394"/>
    <w:rsid w:val="00F376D1"/>
    <w:rsid w:val="00F4122E"/>
    <w:rsid w:val="00F41540"/>
    <w:rsid w:val="00F421D1"/>
    <w:rsid w:val="00F42555"/>
    <w:rsid w:val="00F43478"/>
    <w:rsid w:val="00F43ACC"/>
    <w:rsid w:val="00F45824"/>
    <w:rsid w:val="00F45B4D"/>
    <w:rsid w:val="00F46229"/>
    <w:rsid w:val="00F5118C"/>
    <w:rsid w:val="00F51198"/>
    <w:rsid w:val="00F528EC"/>
    <w:rsid w:val="00F53202"/>
    <w:rsid w:val="00F532EA"/>
    <w:rsid w:val="00F534FB"/>
    <w:rsid w:val="00F53629"/>
    <w:rsid w:val="00F5459F"/>
    <w:rsid w:val="00F55D4D"/>
    <w:rsid w:val="00F569E5"/>
    <w:rsid w:val="00F5707E"/>
    <w:rsid w:val="00F57966"/>
    <w:rsid w:val="00F6020E"/>
    <w:rsid w:val="00F6085F"/>
    <w:rsid w:val="00F61889"/>
    <w:rsid w:val="00F63EBD"/>
    <w:rsid w:val="00F64D1A"/>
    <w:rsid w:val="00F64F9A"/>
    <w:rsid w:val="00F65781"/>
    <w:rsid w:val="00F664E9"/>
    <w:rsid w:val="00F67309"/>
    <w:rsid w:val="00F67ABF"/>
    <w:rsid w:val="00F713AF"/>
    <w:rsid w:val="00F72AA5"/>
    <w:rsid w:val="00F731D7"/>
    <w:rsid w:val="00F73B6E"/>
    <w:rsid w:val="00F743EF"/>
    <w:rsid w:val="00F75B3F"/>
    <w:rsid w:val="00F77534"/>
    <w:rsid w:val="00F777B9"/>
    <w:rsid w:val="00F77BC5"/>
    <w:rsid w:val="00F86F95"/>
    <w:rsid w:val="00F873D3"/>
    <w:rsid w:val="00F90007"/>
    <w:rsid w:val="00F905FF"/>
    <w:rsid w:val="00F91B32"/>
    <w:rsid w:val="00F9278F"/>
    <w:rsid w:val="00F92856"/>
    <w:rsid w:val="00F92E67"/>
    <w:rsid w:val="00F93036"/>
    <w:rsid w:val="00F933FD"/>
    <w:rsid w:val="00F93950"/>
    <w:rsid w:val="00FA0AC0"/>
    <w:rsid w:val="00FA0D85"/>
    <w:rsid w:val="00FA10FC"/>
    <w:rsid w:val="00FA1B6B"/>
    <w:rsid w:val="00FA2D41"/>
    <w:rsid w:val="00FA5BD0"/>
    <w:rsid w:val="00FA60E7"/>
    <w:rsid w:val="00FA6C81"/>
    <w:rsid w:val="00FA6D2D"/>
    <w:rsid w:val="00FB111A"/>
    <w:rsid w:val="00FB146A"/>
    <w:rsid w:val="00FB16F9"/>
    <w:rsid w:val="00FB25D6"/>
    <w:rsid w:val="00FB41BE"/>
    <w:rsid w:val="00FB4369"/>
    <w:rsid w:val="00FB541A"/>
    <w:rsid w:val="00FB6A07"/>
    <w:rsid w:val="00FB6ABE"/>
    <w:rsid w:val="00FB79B2"/>
    <w:rsid w:val="00FC016E"/>
    <w:rsid w:val="00FC062D"/>
    <w:rsid w:val="00FC15D2"/>
    <w:rsid w:val="00FC2230"/>
    <w:rsid w:val="00FC34EA"/>
    <w:rsid w:val="00FC3614"/>
    <w:rsid w:val="00FC649A"/>
    <w:rsid w:val="00FC6F73"/>
    <w:rsid w:val="00FC7122"/>
    <w:rsid w:val="00FC7578"/>
    <w:rsid w:val="00FD1C98"/>
    <w:rsid w:val="00FD20B1"/>
    <w:rsid w:val="00FD22DA"/>
    <w:rsid w:val="00FD23AB"/>
    <w:rsid w:val="00FD32A6"/>
    <w:rsid w:val="00FD3474"/>
    <w:rsid w:val="00FD5159"/>
    <w:rsid w:val="00FD51BD"/>
    <w:rsid w:val="00FD642E"/>
    <w:rsid w:val="00FD6C15"/>
    <w:rsid w:val="00FD76DB"/>
    <w:rsid w:val="00FE09DF"/>
    <w:rsid w:val="00FE0CE3"/>
    <w:rsid w:val="00FE1167"/>
    <w:rsid w:val="00FE203F"/>
    <w:rsid w:val="00FE2EAD"/>
    <w:rsid w:val="00FE3AAB"/>
    <w:rsid w:val="00FE3D08"/>
    <w:rsid w:val="00FE446F"/>
    <w:rsid w:val="00FE5739"/>
    <w:rsid w:val="00FE683A"/>
    <w:rsid w:val="00FE6F63"/>
    <w:rsid w:val="00FE7358"/>
    <w:rsid w:val="00FF0BD7"/>
    <w:rsid w:val="00FF0C8F"/>
    <w:rsid w:val="00FF0E57"/>
    <w:rsid w:val="00FF16BD"/>
    <w:rsid w:val="00FF182D"/>
    <w:rsid w:val="00FF190B"/>
    <w:rsid w:val="00FF3FEB"/>
    <w:rsid w:val="00FF4D50"/>
    <w:rsid w:val="00FF55A8"/>
    <w:rsid w:val="00FF5B79"/>
    <w:rsid w:val="00FF5B88"/>
    <w:rsid w:val="00FF6628"/>
    <w:rsid w:val="00FF6C84"/>
    <w:rsid w:val="00FF6E97"/>
    <w:rsid w:val="00FF78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C4372"/>
  <w15:docId w15:val="{F2018666-7D29-7E47-8E31-0047172B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C86"/>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3B7CA3"/>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3B7CA3"/>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13277B"/>
    <w:pPr>
      <w:spacing w:line="276" w:lineRule="auto"/>
      <w:ind w:left="709" w:hanging="709"/>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13277B"/>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uiPriority w:val="34"/>
    <w:qFormat/>
    <w:rsid w:val="00B82CC5"/>
    <w:pPr>
      <w:ind w:left="720"/>
      <w:contextualSpacing/>
    </w:pPr>
  </w:style>
  <w:style w:type="numbering" w:customStyle="1" w:styleId="Estilo1">
    <w:name w:val="Estilo1"/>
    <w:uiPriority w:val="99"/>
    <w:rsid w:val="00025115"/>
    <w:pPr>
      <w:numPr>
        <w:numId w:val="9"/>
      </w:numPr>
    </w:pPr>
  </w:style>
  <w:style w:type="paragraph" w:styleId="Lista">
    <w:name w:val="List"/>
    <w:basedOn w:val="Normal"/>
    <w:uiPriority w:val="99"/>
    <w:unhideWhenUsed/>
    <w:rsid w:val="005F1494"/>
    <w:pPr>
      <w:ind w:left="283" w:hanging="283"/>
      <w:contextualSpacing/>
    </w:pPr>
  </w:style>
  <w:style w:type="paragraph" w:styleId="Continuarlista">
    <w:name w:val="List Continue"/>
    <w:basedOn w:val="Normal"/>
    <w:uiPriority w:val="99"/>
    <w:unhideWhenUsed/>
    <w:rsid w:val="005F1494"/>
    <w:pPr>
      <w:spacing w:after="120"/>
      <w:ind w:left="283"/>
      <w:contextualSpacing/>
    </w:pPr>
  </w:style>
  <w:style w:type="paragraph" w:styleId="Continuarlista2">
    <w:name w:val="List Continue 2"/>
    <w:basedOn w:val="Normal"/>
    <w:uiPriority w:val="99"/>
    <w:unhideWhenUsed/>
    <w:rsid w:val="005F1494"/>
    <w:pPr>
      <w:spacing w:after="120"/>
      <w:ind w:left="566"/>
      <w:contextualSpacing/>
    </w:pPr>
  </w:style>
  <w:style w:type="paragraph" w:styleId="Textoindependiente">
    <w:name w:val="Body Text"/>
    <w:basedOn w:val="Normal"/>
    <w:link w:val="TextoindependienteCar"/>
    <w:uiPriority w:val="99"/>
    <w:unhideWhenUsed/>
    <w:rsid w:val="005F1494"/>
    <w:pPr>
      <w:spacing w:after="120"/>
    </w:pPr>
  </w:style>
  <w:style w:type="character" w:customStyle="1" w:styleId="TextoindependienteCar">
    <w:name w:val="Texto independiente Car"/>
    <w:basedOn w:val="Fuentedeprrafopredeter"/>
    <w:link w:val="Textoindependiente"/>
    <w:uiPriority w:val="99"/>
    <w:rsid w:val="005F1494"/>
    <w:rPr>
      <w:sz w:val="16"/>
      <w:szCs w:val="16"/>
      <w:lang w:eastAsia="es-ES_tradnl"/>
    </w:rPr>
  </w:style>
  <w:style w:type="table" w:styleId="Tablaconcuadrcula">
    <w:name w:val="Table Grid"/>
    <w:basedOn w:val="Tablanormal"/>
    <w:uiPriority w:val="39"/>
    <w:rsid w:val="007314C6"/>
    <w:rPr>
      <w:rFonts w:ascii="Calibri" w:eastAsiaTheme="minorHAnsi" w:hAnsi="Calibr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uentedeprrafopredeter"/>
    <w:uiPriority w:val="99"/>
    <w:semiHidden/>
    <w:unhideWhenUsed/>
    <w:rsid w:val="002C73F8"/>
    <w:rPr>
      <w:color w:val="605E5C"/>
      <w:shd w:val="clear" w:color="auto" w:fill="E1DFDD"/>
    </w:rPr>
  </w:style>
  <w:style w:type="character" w:customStyle="1" w:styleId="Mencinsinresolver1">
    <w:name w:val="Mención sin resolver1"/>
    <w:basedOn w:val="Fuentedeprrafopredeter"/>
    <w:uiPriority w:val="99"/>
    <w:semiHidden/>
    <w:unhideWhenUsed/>
    <w:rsid w:val="00EC5604"/>
    <w:rPr>
      <w:color w:val="605E5C"/>
      <w:shd w:val="clear" w:color="auto" w:fill="E1DFDD"/>
    </w:rPr>
  </w:style>
  <w:style w:type="paragraph" w:styleId="Revisin">
    <w:name w:val="Revision"/>
    <w:hidden/>
    <w:uiPriority w:val="99"/>
    <w:semiHidden/>
    <w:rsid w:val="00EC5604"/>
    <w:rPr>
      <w:sz w:val="16"/>
      <w:szCs w:val="16"/>
      <w:lang w:eastAsia="es-ES_tradnl"/>
    </w:rPr>
  </w:style>
  <w:style w:type="character" w:customStyle="1" w:styleId="apple-converted-space">
    <w:name w:val="apple-converted-space"/>
    <w:rsid w:val="006A6A96"/>
  </w:style>
  <w:style w:type="paragraph" w:styleId="Bibliografa">
    <w:name w:val="Bibliography"/>
    <w:basedOn w:val="Normal"/>
    <w:next w:val="Normal"/>
    <w:uiPriority w:val="37"/>
    <w:unhideWhenUsed/>
    <w:rsid w:val="00990B08"/>
  </w:style>
  <w:style w:type="paragraph" w:styleId="Asuntodelcomentario">
    <w:name w:val="annotation subject"/>
    <w:basedOn w:val="Textocomentario"/>
    <w:next w:val="Textocomentario"/>
    <w:link w:val="AsuntodelcomentarioCar"/>
    <w:uiPriority w:val="99"/>
    <w:semiHidden/>
    <w:unhideWhenUsed/>
    <w:rsid w:val="0019417E"/>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19417E"/>
    <w:rPr>
      <w:rFonts w:ascii="Calibri" w:hAnsi="Calibri" w:cs="Times New Roman"/>
      <w:b/>
      <w:bCs/>
      <w:lang w:val="es-ES" w:eastAsia="es-ES_tradnl"/>
    </w:rPr>
  </w:style>
  <w:style w:type="paragraph" w:customStyle="1" w:styleId="Default">
    <w:name w:val="Default"/>
    <w:rsid w:val="00EC1A2D"/>
    <w:pPr>
      <w:autoSpaceDE w:val="0"/>
      <w:autoSpaceDN w:val="0"/>
      <w:adjustRightInd w:val="0"/>
    </w:pPr>
    <w:rPr>
      <w:rFonts w:ascii="Century Gothic" w:eastAsiaTheme="minorHAnsi" w:hAnsi="Century Gothic" w:cs="Century Gothic"/>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27353">
      <w:bodyDiv w:val="1"/>
      <w:marLeft w:val="0"/>
      <w:marRight w:val="0"/>
      <w:marTop w:val="0"/>
      <w:marBottom w:val="0"/>
      <w:divBdr>
        <w:top w:val="none" w:sz="0" w:space="0" w:color="auto"/>
        <w:left w:val="none" w:sz="0" w:space="0" w:color="auto"/>
        <w:bottom w:val="none" w:sz="0" w:space="0" w:color="auto"/>
        <w:right w:val="none" w:sz="0" w:space="0" w:color="auto"/>
      </w:divBdr>
    </w:div>
    <w:div w:id="155150058">
      <w:bodyDiv w:val="1"/>
      <w:marLeft w:val="0"/>
      <w:marRight w:val="0"/>
      <w:marTop w:val="0"/>
      <w:marBottom w:val="0"/>
      <w:divBdr>
        <w:top w:val="none" w:sz="0" w:space="0" w:color="auto"/>
        <w:left w:val="none" w:sz="0" w:space="0" w:color="auto"/>
        <w:bottom w:val="none" w:sz="0" w:space="0" w:color="auto"/>
        <w:right w:val="none" w:sz="0" w:space="0" w:color="auto"/>
      </w:divBdr>
    </w:div>
    <w:div w:id="215749427">
      <w:bodyDiv w:val="1"/>
      <w:marLeft w:val="0"/>
      <w:marRight w:val="0"/>
      <w:marTop w:val="0"/>
      <w:marBottom w:val="0"/>
      <w:divBdr>
        <w:top w:val="none" w:sz="0" w:space="0" w:color="auto"/>
        <w:left w:val="none" w:sz="0" w:space="0" w:color="auto"/>
        <w:bottom w:val="none" w:sz="0" w:space="0" w:color="auto"/>
        <w:right w:val="none" w:sz="0" w:space="0" w:color="auto"/>
      </w:divBdr>
    </w:div>
    <w:div w:id="684862228">
      <w:bodyDiv w:val="1"/>
      <w:marLeft w:val="0"/>
      <w:marRight w:val="0"/>
      <w:marTop w:val="0"/>
      <w:marBottom w:val="0"/>
      <w:divBdr>
        <w:top w:val="none" w:sz="0" w:space="0" w:color="auto"/>
        <w:left w:val="none" w:sz="0" w:space="0" w:color="auto"/>
        <w:bottom w:val="none" w:sz="0" w:space="0" w:color="auto"/>
        <w:right w:val="none" w:sz="0" w:space="0" w:color="auto"/>
      </w:divBdr>
    </w:div>
    <w:div w:id="738938836">
      <w:bodyDiv w:val="1"/>
      <w:marLeft w:val="0"/>
      <w:marRight w:val="0"/>
      <w:marTop w:val="0"/>
      <w:marBottom w:val="0"/>
      <w:divBdr>
        <w:top w:val="none" w:sz="0" w:space="0" w:color="auto"/>
        <w:left w:val="none" w:sz="0" w:space="0" w:color="auto"/>
        <w:bottom w:val="none" w:sz="0" w:space="0" w:color="auto"/>
        <w:right w:val="none" w:sz="0" w:space="0" w:color="auto"/>
      </w:divBdr>
    </w:div>
    <w:div w:id="1451433561">
      <w:bodyDiv w:val="1"/>
      <w:marLeft w:val="0"/>
      <w:marRight w:val="0"/>
      <w:marTop w:val="0"/>
      <w:marBottom w:val="0"/>
      <w:divBdr>
        <w:top w:val="none" w:sz="0" w:space="0" w:color="auto"/>
        <w:left w:val="none" w:sz="0" w:space="0" w:color="auto"/>
        <w:bottom w:val="none" w:sz="0" w:space="0" w:color="auto"/>
        <w:right w:val="none" w:sz="0" w:space="0" w:color="auto"/>
      </w:divBdr>
    </w:div>
    <w:div w:id="1524200981">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23351386">
      <w:bodyDiv w:val="1"/>
      <w:marLeft w:val="0"/>
      <w:marRight w:val="0"/>
      <w:marTop w:val="0"/>
      <w:marBottom w:val="0"/>
      <w:divBdr>
        <w:top w:val="none" w:sz="0" w:space="0" w:color="auto"/>
        <w:left w:val="none" w:sz="0" w:space="0" w:color="auto"/>
        <w:bottom w:val="none" w:sz="0" w:space="0" w:color="auto"/>
        <w:right w:val="none" w:sz="0" w:space="0" w:color="auto"/>
      </w:divBdr>
    </w:div>
    <w:div w:id="187927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Cop02</b:Tag>
    <b:SourceType>Book</b:SourceType>
    <b:Guid>{3A655269-3C6F-4714-9694-5D90FDA49406}</b:Guid>
    <b:Title>Introducción a la Lógica</b:Title>
    <b:Year>2002</b:Year>
    <b:City>México D.F.</b:City>
    <b:Publisher>Editorial Limusa</b:Publisher>
    <b:Author>
      <b:Author>
        <b:NameList>
          <b:Person>
            <b:Last>Copi</b:Last>
            <b:Middle>M.</b:Middle>
            <b:First>Irving</b:First>
          </b:Person>
          <b:Person>
            <b:Last>Cohen</b:Last>
            <b:First>Carl</b:First>
          </b:Person>
        </b:NameList>
      </b:Author>
      <b:Translator>
        <b:NameList>
          <b:Person>
            <b:Last>González Ruiz</b:Last>
            <b:Middle>Antonio</b:Middle>
            <b:First>Edgar</b:First>
          </b:Person>
        </b:NameList>
      </b:Translator>
    </b:Author>
    <b:RefOrder>1</b:RefOrder>
  </b:Source>
</b:Sources>
</file>

<file path=customXml/itemProps1.xml><?xml version="1.0" encoding="utf-8"?>
<ds:datastoreItem xmlns:ds="http://schemas.openxmlformats.org/officeDocument/2006/customXml" ds:itemID="{B0F46465-6884-4BAA-A5EC-95DA42F23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0EA701F8-230E-4F4A-B900-C2B394D0F5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58A071-3639-4E01-9534-13BE953B6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6834</Words>
  <Characters>37588</Characters>
  <Application>Microsoft Office Word</Application>
  <DocSecurity>0</DocSecurity>
  <Lines>313</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SONIA ESTHER JAIMES VALENCIA</cp:lastModifiedBy>
  <cp:revision>4</cp:revision>
  <cp:lastPrinted>2020-03-11T14:38:00Z</cp:lastPrinted>
  <dcterms:created xsi:type="dcterms:W3CDTF">2021-08-11T22:36:00Z</dcterms:created>
  <dcterms:modified xsi:type="dcterms:W3CDTF">2021-08-24T19:24:00Z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