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7FD5" w14:textId="77777777" w:rsidR="002721FC" w:rsidRPr="0094658C" w:rsidRDefault="002721FC" w:rsidP="002721FC">
      <w:pPr>
        <w:jc w:val="center"/>
        <w:rPr>
          <w:b/>
          <w:sz w:val="24"/>
          <w:szCs w:val="24"/>
        </w:rPr>
      </w:pPr>
      <w:r w:rsidRPr="0094658C">
        <w:rPr>
          <w:b/>
          <w:sz w:val="24"/>
          <w:szCs w:val="24"/>
        </w:rPr>
        <w:t>Consejero Ponente: NICOLÁS YEPES CORRALES</w:t>
      </w:r>
    </w:p>
    <w:p w14:paraId="1607B0C6" w14:textId="77777777" w:rsidR="002721FC" w:rsidRPr="0094658C" w:rsidRDefault="002721FC" w:rsidP="002721FC">
      <w:pPr>
        <w:spacing w:line="360" w:lineRule="auto"/>
        <w:rPr>
          <w:b/>
          <w:sz w:val="24"/>
          <w:szCs w:val="24"/>
        </w:rPr>
      </w:pPr>
    </w:p>
    <w:p w14:paraId="40155DB8" w14:textId="77777777" w:rsidR="002721FC" w:rsidRPr="0094658C" w:rsidRDefault="002721FC" w:rsidP="002721FC">
      <w:pPr>
        <w:spacing w:line="360" w:lineRule="auto"/>
        <w:rPr>
          <w:sz w:val="24"/>
          <w:szCs w:val="24"/>
        </w:rPr>
      </w:pPr>
      <w:r w:rsidRPr="0094658C">
        <w:rPr>
          <w:sz w:val="24"/>
          <w:szCs w:val="24"/>
        </w:rPr>
        <w:t xml:space="preserve">Bogotá D.C., </w:t>
      </w:r>
      <w:r>
        <w:rPr>
          <w:sz w:val="24"/>
          <w:szCs w:val="24"/>
        </w:rPr>
        <w:t>veinte</w:t>
      </w:r>
      <w:r w:rsidRPr="0094658C">
        <w:rPr>
          <w:sz w:val="24"/>
          <w:szCs w:val="24"/>
        </w:rPr>
        <w:t xml:space="preserve"> (2</w:t>
      </w:r>
      <w:r>
        <w:rPr>
          <w:sz w:val="24"/>
          <w:szCs w:val="24"/>
        </w:rPr>
        <w:t>0</w:t>
      </w:r>
      <w:r w:rsidRPr="0094658C">
        <w:rPr>
          <w:sz w:val="24"/>
          <w:szCs w:val="24"/>
        </w:rPr>
        <w:t xml:space="preserve">) de </w:t>
      </w:r>
      <w:r>
        <w:rPr>
          <w:sz w:val="24"/>
          <w:szCs w:val="24"/>
        </w:rPr>
        <w:t>agosto</w:t>
      </w:r>
      <w:r w:rsidRPr="0094658C">
        <w:rPr>
          <w:sz w:val="24"/>
          <w:szCs w:val="24"/>
        </w:rPr>
        <w:t xml:space="preserve"> de dos mil veintiuno (2021)</w:t>
      </w:r>
    </w:p>
    <w:p w14:paraId="0EB921C1" w14:textId="77777777" w:rsidR="002721FC" w:rsidRPr="0094658C" w:rsidRDefault="002721FC" w:rsidP="002721FC">
      <w:pPr>
        <w:spacing w:line="360" w:lineRule="auto"/>
        <w:rPr>
          <w:sz w:val="24"/>
          <w:szCs w:val="24"/>
        </w:rPr>
      </w:pPr>
    </w:p>
    <w:p w14:paraId="6F50AEA5" w14:textId="77777777" w:rsidR="002721FC" w:rsidRPr="00FA3ED9" w:rsidRDefault="002721FC" w:rsidP="002721FC">
      <w:pPr>
        <w:spacing w:line="276" w:lineRule="auto"/>
        <w:rPr>
          <w:rFonts w:eastAsia="Times New Roman"/>
          <w:sz w:val="24"/>
          <w:szCs w:val="24"/>
          <w:lang w:val="es-ES" w:eastAsia="es-ES"/>
        </w:rPr>
      </w:pPr>
      <w:bookmarkStart w:id="0" w:name="_Hlk75627401"/>
      <w:r w:rsidRPr="00FA3ED9">
        <w:rPr>
          <w:b/>
          <w:color w:val="000000"/>
          <w:sz w:val="24"/>
          <w:szCs w:val="24"/>
        </w:rPr>
        <w:t xml:space="preserve">Radicación: </w:t>
      </w:r>
      <w:r w:rsidRPr="00FA3ED9">
        <w:rPr>
          <w:rFonts w:eastAsia="Times New Roman"/>
          <w:sz w:val="24"/>
          <w:szCs w:val="24"/>
          <w:lang w:val="es-ES" w:eastAsia="es-ES"/>
        </w:rPr>
        <w:t>11001-03-15-000-2021-03478-00</w:t>
      </w:r>
    </w:p>
    <w:p w14:paraId="0548DF5D" w14:textId="77777777" w:rsidR="002721FC" w:rsidRPr="00FA3ED9" w:rsidRDefault="002721FC" w:rsidP="002721FC">
      <w:pPr>
        <w:spacing w:line="276" w:lineRule="auto"/>
        <w:rPr>
          <w:color w:val="000000"/>
          <w:sz w:val="24"/>
          <w:szCs w:val="24"/>
        </w:rPr>
      </w:pPr>
      <w:r w:rsidRPr="00FA3ED9">
        <w:rPr>
          <w:b/>
          <w:color w:val="000000"/>
          <w:sz w:val="24"/>
          <w:szCs w:val="24"/>
        </w:rPr>
        <w:t xml:space="preserve">Accionante: </w:t>
      </w:r>
      <w:r w:rsidRPr="00FA3ED9">
        <w:rPr>
          <w:sz w:val="24"/>
          <w:szCs w:val="24"/>
        </w:rPr>
        <w:t>Argemiro Senior Altamiranda</w:t>
      </w:r>
    </w:p>
    <w:p w14:paraId="57ADAA28" w14:textId="77777777" w:rsidR="002721FC" w:rsidRPr="00FA3ED9" w:rsidRDefault="002721FC" w:rsidP="002721FC">
      <w:pPr>
        <w:pStyle w:val="Sangradetextonormal"/>
        <w:tabs>
          <w:tab w:val="left" w:pos="3810"/>
        </w:tabs>
        <w:spacing w:after="0" w:line="276" w:lineRule="auto"/>
        <w:ind w:left="0"/>
        <w:jc w:val="both"/>
        <w:rPr>
          <w:rFonts w:ascii="Arial" w:hAnsi="Arial" w:cs="Arial"/>
        </w:rPr>
      </w:pPr>
      <w:r w:rsidRPr="00FA3ED9">
        <w:rPr>
          <w:rFonts w:ascii="Arial" w:hAnsi="Arial" w:cs="Arial"/>
          <w:b/>
          <w:color w:val="000000"/>
        </w:rPr>
        <w:t>Accionado:</w:t>
      </w:r>
      <w:r w:rsidRPr="00FA3ED9">
        <w:rPr>
          <w:rFonts w:ascii="Arial" w:hAnsi="Arial" w:cs="Arial"/>
          <w:b/>
          <w:color w:val="000000"/>
          <w:lang w:val="es-CO"/>
        </w:rPr>
        <w:t xml:space="preserve"> </w:t>
      </w:r>
      <w:r w:rsidRPr="00FA3ED9">
        <w:rPr>
          <w:rFonts w:ascii="Arial" w:hAnsi="Arial" w:cs="Arial"/>
        </w:rPr>
        <w:t xml:space="preserve">Sala Primera de Decisión del Tribunal Administrativo de Córdoba </w:t>
      </w:r>
    </w:p>
    <w:p w14:paraId="3C65A34A" w14:textId="77777777" w:rsidR="002721FC" w:rsidRPr="00FA3ED9" w:rsidRDefault="002721FC" w:rsidP="002721FC">
      <w:pPr>
        <w:pStyle w:val="Sangradetextonormal"/>
        <w:tabs>
          <w:tab w:val="left" w:pos="3810"/>
        </w:tabs>
        <w:spacing w:after="0" w:line="276" w:lineRule="auto"/>
        <w:ind w:left="0"/>
        <w:jc w:val="both"/>
        <w:rPr>
          <w:rFonts w:ascii="Arial" w:hAnsi="Arial" w:cs="Arial"/>
        </w:rPr>
      </w:pPr>
      <w:r w:rsidRPr="00FA3ED9">
        <w:rPr>
          <w:rFonts w:ascii="Arial" w:hAnsi="Arial" w:cs="Arial"/>
          <w:b/>
        </w:rPr>
        <w:t xml:space="preserve">Asunto: </w:t>
      </w:r>
      <w:r w:rsidRPr="00FA3ED9">
        <w:rPr>
          <w:rFonts w:ascii="Arial" w:hAnsi="Arial" w:cs="Arial"/>
        </w:rPr>
        <w:t>Acción de tutela – Sentencia de primera instancia</w:t>
      </w:r>
    </w:p>
    <w:bookmarkEnd w:id="0"/>
    <w:p w14:paraId="223610CC" w14:textId="77777777" w:rsidR="002721FC" w:rsidRPr="0094658C" w:rsidRDefault="002721FC" w:rsidP="002721FC">
      <w:pPr>
        <w:spacing w:line="360" w:lineRule="auto"/>
        <w:rPr>
          <w:sz w:val="24"/>
          <w:szCs w:val="24"/>
        </w:rPr>
      </w:pPr>
    </w:p>
    <w:p w14:paraId="0F2F1D75" w14:textId="77777777" w:rsidR="002721FC" w:rsidRPr="002E71A5" w:rsidRDefault="002721FC" w:rsidP="002721FC">
      <w:pPr>
        <w:ind w:right="50"/>
      </w:pPr>
      <w:r w:rsidRPr="002E71A5">
        <w:rPr>
          <w:b/>
          <w:lang w:val="es-ES_tradnl"/>
        </w:rPr>
        <w:t xml:space="preserve">Tema: </w:t>
      </w:r>
      <w:r w:rsidRPr="002E71A5">
        <w:rPr>
          <w:lang w:val="es-ES_tradnl"/>
        </w:rPr>
        <w:t xml:space="preserve">Acción de tutela en contra de providencia judicial. </w:t>
      </w:r>
      <w:r w:rsidRPr="002E71A5">
        <w:rPr>
          <w:b/>
        </w:rPr>
        <w:t xml:space="preserve">Sentido del fallo de tutela: </w:t>
      </w:r>
      <w:r w:rsidRPr="002E71A5">
        <w:t xml:space="preserve">Se declara improcedente. </w:t>
      </w:r>
    </w:p>
    <w:p w14:paraId="1D89BF96" w14:textId="77777777" w:rsidR="002721FC" w:rsidRPr="0094658C" w:rsidRDefault="002721FC" w:rsidP="002721FC">
      <w:pPr>
        <w:spacing w:line="360" w:lineRule="auto"/>
        <w:rPr>
          <w:sz w:val="24"/>
          <w:szCs w:val="24"/>
        </w:rPr>
      </w:pPr>
    </w:p>
    <w:p w14:paraId="4887AC2B" w14:textId="77777777" w:rsidR="002721FC" w:rsidRPr="0094658C" w:rsidRDefault="002721FC" w:rsidP="002721FC">
      <w:pPr>
        <w:spacing w:line="360" w:lineRule="auto"/>
        <w:rPr>
          <w:sz w:val="24"/>
          <w:szCs w:val="24"/>
        </w:rPr>
      </w:pPr>
      <w:r w:rsidRPr="0094658C">
        <w:rPr>
          <w:sz w:val="24"/>
          <w:szCs w:val="24"/>
        </w:rPr>
        <w:t>La Sala decide la acción de tutela presentada por Argemiro Senior Altamiranda en contra de la sentencia proferida el 3 de diciembre de 2020 por la Sala Primera de Decisión del Tribunal Administrativo de Córdoba.</w:t>
      </w:r>
    </w:p>
    <w:p w14:paraId="17E4BCD3" w14:textId="77777777" w:rsidR="002721FC" w:rsidRPr="0094658C" w:rsidRDefault="002721FC" w:rsidP="002721FC">
      <w:pPr>
        <w:rPr>
          <w:sz w:val="24"/>
          <w:szCs w:val="24"/>
        </w:rPr>
      </w:pPr>
    </w:p>
    <w:p w14:paraId="3D2C9DE7" w14:textId="77777777" w:rsidR="002721FC" w:rsidRPr="0094658C" w:rsidRDefault="002721FC" w:rsidP="002721FC">
      <w:pPr>
        <w:spacing w:line="360" w:lineRule="auto"/>
        <w:jc w:val="center"/>
        <w:rPr>
          <w:b/>
          <w:sz w:val="24"/>
          <w:szCs w:val="24"/>
        </w:rPr>
      </w:pPr>
      <w:r w:rsidRPr="0094658C">
        <w:rPr>
          <w:b/>
          <w:sz w:val="24"/>
          <w:szCs w:val="24"/>
        </w:rPr>
        <w:t>I. ANTECEDENTES</w:t>
      </w:r>
    </w:p>
    <w:p w14:paraId="73B28A0C" w14:textId="77777777" w:rsidR="002721FC" w:rsidRPr="0094658C" w:rsidRDefault="002721FC" w:rsidP="002721FC">
      <w:pPr>
        <w:spacing w:line="360" w:lineRule="auto"/>
        <w:rPr>
          <w:b/>
          <w:sz w:val="24"/>
          <w:szCs w:val="24"/>
        </w:rPr>
      </w:pPr>
    </w:p>
    <w:p w14:paraId="2366D41D" w14:textId="77777777" w:rsidR="002721FC" w:rsidRPr="0094658C" w:rsidRDefault="002721FC" w:rsidP="002721FC">
      <w:pPr>
        <w:spacing w:line="360" w:lineRule="auto"/>
        <w:rPr>
          <w:b/>
          <w:sz w:val="24"/>
          <w:szCs w:val="24"/>
        </w:rPr>
      </w:pPr>
      <w:r w:rsidRPr="0094658C">
        <w:rPr>
          <w:b/>
          <w:sz w:val="24"/>
          <w:szCs w:val="24"/>
        </w:rPr>
        <w:t xml:space="preserve">1.- La solicitud de tutela </w:t>
      </w:r>
    </w:p>
    <w:p w14:paraId="3AE429C9" w14:textId="77777777" w:rsidR="002721FC" w:rsidRPr="0094658C" w:rsidRDefault="002721FC" w:rsidP="002721FC">
      <w:pPr>
        <w:spacing w:line="360" w:lineRule="auto"/>
        <w:rPr>
          <w:b/>
          <w:sz w:val="24"/>
          <w:szCs w:val="24"/>
        </w:rPr>
      </w:pPr>
    </w:p>
    <w:p w14:paraId="5E23E846" w14:textId="77777777" w:rsidR="002721FC" w:rsidRDefault="002721FC" w:rsidP="002721FC">
      <w:pPr>
        <w:spacing w:line="360" w:lineRule="auto"/>
        <w:rPr>
          <w:sz w:val="24"/>
          <w:szCs w:val="24"/>
        </w:rPr>
      </w:pPr>
      <w:r w:rsidRPr="0094658C">
        <w:rPr>
          <w:sz w:val="24"/>
          <w:szCs w:val="24"/>
        </w:rPr>
        <w:t>El 4 de junio de 2021</w:t>
      </w:r>
      <w:r w:rsidRPr="0094658C">
        <w:rPr>
          <w:rStyle w:val="Refdenotaalpie"/>
          <w:sz w:val="24"/>
          <w:szCs w:val="24"/>
        </w:rPr>
        <w:footnoteReference w:id="1"/>
      </w:r>
      <w:r w:rsidRPr="0094658C">
        <w:rPr>
          <w:sz w:val="24"/>
          <w:szCs w:val="24"/>
        </w:rPr>
        <w:t>, Argemiro Senior Altamiranda, actuando mediante apoderado judicial</w:t>
      </w:r>
      <w:r w:rsidRPr="0094658C">
        <w:rPr>
          <w:rStyle w:val="Refdenotaalpie"/>
          <w:sz w:val="24"/>
          <w:szCs w:val="24"/>
        </w:rPr>
        <w:footnoteReference w:id="2"/>
      </w:r>
      <w:r w:rsidRPr="0094658C">
        <w:rPr>
          <w:sz w:val="24"/>
          <w:szCs w:val="24"/>
        </w:rPr>
        <w:t>, interpuso acción de tutela</w:t>
      </w:r>
      <w:r w:rsidRPr="0094658C">
        <w:rPr>
          <w:rStyle w:val="Refdenotaalpie"/>
          <w:sz w:val="24"/>
          <w:szCs w:val="24"/>
        </w:rPr>
        <w:footnoteReference w:id="3"/>
      </w:r>
      <w:r w:rsidRPr="0094658C">
        <w:rPr>
          <w:sz w:val="24"/>
          <w:szCs w:val="24"/>
        </w:rPr>
        <w:t xml:space="preserve"> en contra de la Sala Primera de Decisión del Tribunal Administrativo de Córdoba en procura de la protección de sus derechos fundamentales al debido proceso, a la igualdad, al trabajo, a la seguridad social, al mínimo vital, a la dignidad humana, y de los principios de favorabilidad, movilidad del salario, irrenunciabilidad de los derechos laborales y justicia redistributiva, en tanto al interior del proceso de nulidad y restablecimiento del derecho, radicado bajo el No. 23001-33-33-005-2017-00085-01, adelantado en contra de la Caja de Retiro de las Fuerzas Militares – C</w:t>
      </w:r>
      <w:r>
        <w:rPr>
          <w:sz w:val="24"/>
          <w:szCs w:val="24"/>
        </w:rPr>
        <w:t>REMIL</w:t>
      </w:r>
      <w:r w:rsidRPr="0094658C">
        <w:rPr>
          <w:sz w:val="24"/>
          <w:szCs w:val="24"/>
        </w:rPr>
        <w:t>, la autoridad judicial accionada resolvió, mediante providencia del 3 de diciembre de 2020, confirmar la sentencia de primera instancia dictada por el Juzgado Quinto Administrativo Mixto del Circuito Judicial de Montería, el 14 de marzo de 2019,</w:t>
      </w:r>
      <w:r w:rsidRPr="0094658C">
        <w:rPr>
          <w:sz w:val="24"/>
          <w:szCs w:val="24"/>
          <w:lang w:val="es-ES_tradnl"/>
        </w:rPr>
        <w:t xml:space="preserve"> </w:t>
      </w:r>
      <w:r>
        <w:rPr>
          <w:sz w:val="24"/>
          <w:szCs w:val="24"/>
          <w:lang w:val="es-ES_tradnl"/>
        </w:rPr>
        <w:t>nugatoria</w:t>
      </w:r>
      <w:r w:rsidRPr="00A703A4">
        <w:rPr>
          <w:sz w:val="24"/>
          <w:szCs w:val="24"/>
          <w:lang w:val="es-ES_tradnl"/>
        </w:rPr>
        <w:t xml:space="preserve"> de sus pretensiones</w:t>
      </w:r>
      <w:r w:rsidRPr="00A703A4">
        <w:rPr>
          <w:sz w:val="24"/>
          <w:szCs w:val="24"/>
        </w:rPr>
        <w:t>.</w:t>
      </w:r>
      <w:r w:rsidRPr="0094658C">
        <w:rPr>
          <w:sz w:val="24"/>
          <w:szCs w:val="24"/>
        </w:rPr>
        <w:t xml:space="preserve"> </w:t>
      </w:r>
    </w:p>
    <w:p w14:paraId="2292A09F" w14:textId="77777777" w:rsidR="002721FC" w:rsidRDefault="002721FC" w:rsidP="002721FC">
      <w:pPr>
        <w:spacing w:line="360" w:lineRule="auto"/>
        <w:rPr>
          <w:sz w:val="24"/>
          <w:szCs w:val="24"/>
        </w:rPr>
      </w:pPr>
    </w:p>
    <w:p w14:paraId="6E28A968" w14:textId="77777777" w:rsidR="002721FC" w:rsidRDefault="002721FC" w:rsidP="002721FC">
      <w:pPr>
        <w:spacing w:line="360" w:lineRule="auto"/>
        <w:rPr>
          <w:sz w:val="24"/>
          <w:szCs w:val="24"/>
        </w:rPr>
      </w:pPr>
    </w:p>
    <w:p w14:paraId="28F7FD15" w14:textId="77777777" w:rsidR="002721FC" w:rsidRDefault="002721FC" w:rsidP="002721FC">
      <w:pPr>
        <w:tabs>
          <w:tab w:val="left" w:pos="3300"/>
        </w:tabs>
        <w:spacing w:line="360" w:lineRule="auto"/>
        <w:rPr>
          <w:b/>
          <w:sz w:val="24"/>
          <w:szCs w:val="24"/>
        </w:rPr>
      </w:pPr>
      <w:r>
        <w:rPr>
          <w:b/>
          <w:sz w:val="24"/>
          <w:szCs w:val="24"/>
        </w:rPr>
        <w:lastRenderedPageBreak/>
        <w:t xml:space="preserve">2.-  Hechos </w:t>
      </w:r>
    </w:p>
    <w:p w14:paraId="4CB4E3AC" w14:textId="77777777" w:rsidR="002721FC" w:rsidRDefault="002721FC" w:rsidP="002721FC">
      <w:pPr>
        <w:tabs>
          <w:tab w:val="left" w:pos="3300"/>
        </w:tabs>
        <w:spacing w:line="360" w:lineRule="auto"/>
        <w:rPr>
          <w:b/>
          <w:sz w:val="24"/>
          <w:szCs w:val="24"/>
        </w:rPr>
      </w:pPr>
    </w:p>
    <w:p w14:paraId="528F1D8B" w14:textId="2A7BC06F" w:rsidR="002721FC" w:rsidRPr="007F594F" w:rsidRDefault="002721FC" w:rsidP="002721FC">
      <w:pPr>
        <w:tabs>
          <w:tab w:val="left" w:pos="3300"/>
        </w:tabs>
        <w:spacing w:line="360" w:lineRule="auto"/>
        <w:rPr>
          <w:b/>
          <w:sz w:val="24"/>
          <w:szCs w:val="24"/>
        </w:rPr>
      </w:pPr>
      <w:r>
        <w:rPr>
          <w:sz w:val="24"/>
          <w:szCs w:val="24"/>
        </w:rPr>
        <w:t xml:space="preserve">2.1.- Argemiro Senior Altamiranda estuvo vinculado al Ejército Nacional en calidad de soldado regular desde el 23 de noviembre de 1994 hasta el 17 de mayo de 1996. Posteriormente, pasó a ser soldado voluntario a partir del 1 de noviembre de 2003 y hasta el 31 de octubre de 2003 y, finalmente, se desempeñó como soldado profesional desde el 1 de noviembre de 2003 al 10 de marzo de 2015. </w:t>
      </w:r>
    </w:p>
    <w:p w14:paraId="576D3217" w14:textId="77777777" w:rsidR="002721FC" w:rsidRPr="00026A80" w:rsidRDefault="002721FC" w:rsidP="002721FC">
      <w:pPr>
        <w:tabs>
          <w:tab w:val="left" w:pos="3300"/>
        </w:tabs>
        <w:spacing w:line="360" w:lineRule="auto"/>
        <w:rPr>
          <w:sz w:val="24"/>
          <w:szCs w:val="24"/>
        </w:rPr>
      </w:pPr>
    </w:p>
    <w:p w14:paraId="132778F8" w14:textId="78438762" w:rsidR="002721FC" w:rsidRPr="00026A80" w:rsidRDefault="002721FC" w:rsidP="002721FC">
      <w:pPr>
        <w:spacing w:line="360" w:lineRule="auto"/>
        <w:rPr>
          <w:sz w:val="24"/>
          <w:szCs w:val="24"/>
        </w:rPr>
      </w:pPr>
      <w:r>
        <w:rPr>
          <w:sz w:val="24"/>
          <w:szCs w:val="24"/>
        </w:rPr>
        <w:t>2.2</w:t>
      </w:r>
      <w:r w:rsidRPr="00A703A4">
        <w:rPr>
          <w:sz w:val="24"/>
          <w:szCs w:val="24"/>
        </w:rPr>
        <w:t>.- Mediante la Resolución No. 4407 del 26 de mayo de 2015</w:t>
      </w:r>
      <w:r w:rsidRPr="00A703A4">
        <w:rPr>
          <w:rStyle w:val="Refdenotaalpie"/>
          <w:sz w:val="24"/>
          <w:szCs w:val="24"/>
        </w:rPr>
        <w:footnoteReference w:id="4"/>
      </w:r>
      <w:r w:rsidRPr="00A703A4">
        <w:rPr>
          <w:sz w:val="24"/>
          <w:szCs w:val="24"/>
        </w:rPr>
        <w:t xml:space="preserve"> la Caja de Retiro de las Fuerzas Militares </w:t>
      </w:r>
      <w:r>
        <w:rPr>
          <w:sz w:val="24"/>
          <w:szCs w:val="24"/>
        </w:rPr>
        <w:t>–</w:t>
      </w:r>
      <w:r w:rsidRPr="00A703A4">
        <w:rPr>
          <w:sz w:val="24"/>
          <w:szCs w:val="24"/>
        </w:rPr>
        <w:t xml:space="preserve"> CREMIL le reconoció la asignación de retiro en cuantía del 70% del salario mensual, adicionado en un 38.5% de la prima de antigüedad, más un 30% por concepto del subsidio familiar devengado en actividad. Luego, </w:t>
      </w:r>
      <w:r>
        <w:rPr>
          <w:sz w:val="24"/>
          <w:szCs w:val="24"/>
        </w:rPr>
        <w:t>a través de la Resolución N</w:t>
      </w:r>
      <w:r w:rsidRPr="00A703A4">
        <w:rPr>
          <w:sz w:val="24"/>
          <w:szCs w:val="24"/>
        </w:rPr>
        <w:t>o. 12997 del 4 de mayo de 2018</w:t>
      </w:r>
      <w:r w:rsidRPr="00A703A4">
        <w:rPr>
          <w:rStyle w:val="Refdenotaalpie"/>
          <w:sz w:val="24"/>
          <w:szCs w:val="24"/>
        </w:rPr>
        <w:footnoteReference w:id="5"/>
      </w:r>
      <w:r w:rsidRPr="00A703A4">
        <w:rPr>
          <w:sz w:val="24"/>
          <w:szCs w:val="24"/>
        </w:rPr>
        <w:t>, la</w:t>
      </w:r>
      <w:r>
        <w:rPr>
          <w:sz w:val="24"/>
          <w:szCs w:val="24"/>
        </w:rPr>
        <w:t xml:space="preserve"> entidad ordenó el incremento de la partida del sueldo en un 20% de la asignación de retiro. </w:t>
      </w:r>
    </w:p>
    <w:p w14:paraId="6C58890C" w14:textId="77777777" w:rsidR="002721FC" w:rsidRDefault="002721FC" w:rsidP="002721FC">
      <w:pPr>
        <w:spacing w:line="360" w:lineRule="auto"/>
        <w:rPr>
          <w:sz w:val="24"/>
          <w:szCs w:val="24"/>
        </w:rPr>
      </w:pPr>
    </w:p>
    <w:p w14:paraId="1B8E9217" w14:textId="77777777" w:rsidR="002721FC" w:rsidRPr="008F1BEB" w:rsidRDefault="002721FC" w:rsidP="002721FC">
      <w:pPr>
        <w:spacing w:line="360" w:lineRule="auto"/>
        <w:rPr>
          <w:sz w:val="24"/>
          <w:szCs w:val="24"/>
        </w:rPr>
      </w:pPr>
      <w:r>
        <w:rPr>
          <w:sz w:val="24"/>
          <w:szCs w:val="24"/>
        </w:rPr>
        <w:t>2.3.-</w:t>
      </w:r>
      <w:r w:rsidRPr="00A34641">
        <w:rPr>
          <w:sz w:val="24"/>
          <w:szCs w:val="24"/>
        </w:rPr>
        <w:t xml:space="preserve"> Por encontrarse inconforme con lo resuelto, solicitó la reliquidación de su asignación de retiro, petición despachada desfavorablemente a través del Oficio No. 69482 del 28 de septiembre 2015</w:t>
      </w:r>
      <w:r w:rsidRPr="00A34641">
        <w:rPr>
          <w:rStyle w:val="Refdenotaalpie"/>
          <w:sz w:val="24"/>
          <w:szCs w:val="24"/>
        </w:rPr>
        <w:footnoteReference w:id="6"/>
      </w:r>
      <w:r w:rsidRPr="00A34641">
        <w:rPr>
          <w:sz w:val="24"/>
          <w:szCs w:val="24"/>
        </w:rPr>
        <w:t>.</w:t>
      </w:r>
    </w:p>
    <w:p w14:paraId="4787323B" w14:textId="77777777" w:rsidR="002721FC" w:rsidRPr="008F1BEB" w:rsidRDefault="002721FC" w:rsidP="002721FC">
      <w:pPr>
        <w:spacing w:line="360" w:lineRule="auto"/>
        <w:rPr>
          <w:sz w:val="24"/>
          <w:szCs w:val="24"/>
        </w:rPr>
      </w:pPr>
    </w:p>
    <w:p w14:paraId="289ECBEA" w14:textId="77777777" w:rsidR="002721FC" w:rsidRDefault="002721FC" w:rsidP="002721FC">
      <w:pPr>
        <w:tabs>
          <w:tab w:val="left" w:pos="3300"/>
        </w:tabs>
        <w:spacing w:line="360" w:lineRule="auto"/>
        <w:rPr>
          <w:sz w:val="24"/>
          <w:szCs w:val="24"/>
        </w:rPr>
      </w:pPr>
      <w:r>
        <w:rPr>
          <w:sz w:val="24"/>
          <w:szCs w:val="24"/>
        </w:rPr>
        <w:t xml:space="preserve">2.4.- En razón de lo anterior, presentó demanda de nulidad y restablecimiento del derecho en contra del acto precedentemente señalado, con el fin de que la entidad pagadora reajustara su asignación de retiro incluyendo como factor prestacional el incremento del salario mínimo legal mensual vigente en porcentaje equivalente al 60%; reliquidara la prestación de conformidad con el artículo 16 del Decreto 4433 de </w:t>
      </w:r>
      <w:r w:rsidRPr="004D733B">
        <w:rPr>
          <w:sz w:val="24"/>
          <w:szCs w:val="24"/>
        </w:rPr>
        <w:t xml:space="preserve">2004; </w:t>
      </w:r>
      <w:r>
        <w:rPr>
          <w:sz w:val="24"/>
          <w:szCs w:val="24"/>
        </w:rPr>
        <w:t>incluyera</w:t>
      </w:r>
      <w:r w:rsidRPr="004D733B">
        <w:rPr>
          <w:sz w:val="24"/>
          <w:szCs w:val="24"/>
        </w:rPr>
        <w:t xml:space="preserve"> la prima de navidad; y </w:t>
      </w:r>
      <w:r>
        <w:rPr>
          <w:sz w:val="24"/>
          <w:szCs w:val="24"/>
        </w:rPr>
        <w:t xml:space="preserve">pagara </w:t>
      </w:r>
      <w:r w:rsidRPr="004D733B">
        <w:rPr>
          <w:sz w:val="24"/>
          <w:szCs w:val="24"/>
        </w:rPr>
        <w:t>la diferencia del subsidio familiar con el reajuste del 70%, según el Decreto 1794 de 2000, en virtud del principio de favorabilidad.</w:t>
      </w:r>
      <w:r>
        <w:rPr>
          <w:sz w:val="24"/>
          <w:szCs w:val="24"/>
        </w:rPr>
        <w:t xml:space="preserve"> </w:t>
      </w:r>
    </w:p>
    <w:p w14:paraId="6F01989C" w14:textId="77777777" w:rsidR="002721FC" w:rsidRDefault="002721FC" w:rsidP="002721FC">
      <w:pPr>
        <w:tabs>
          <w:tab w:val="left" w:pos="3300"/>
        </w:tabs>
        <w:spacing w:line="360" w:lineRule="auto"/>
        <w:rPr>
          <w:sz w:val="24"/>
          <w:szCs w:val="24"/>
        </w:rPr>
      </w:pPr>
    </w:p>
    <w:p w14:paraId="2B489940" w14:textId="77777777" w:rsidR="002721FC" w:rsidRDefault="002721FC" w:rsidP="002721FC">
      <w:pPr>
        <w:tabs>
          <w:tab w:val="left" w:pos="3300"/>
        </w:tabs>
        <w:spacing w:line="360" w:lineRule="auto"/>
        <w:rPr>
          <w:sz w:val="24"/>
          <w:szCs w:val="24"/>
        </w:rPr>
      </w:pPr>
      <w:r>
        <w:rPr>
          <w:sz w:val="24"/>
          <w:szCs w:val="24"/>
        </w:rPr>
        <w:t xml:space="preserve">2.5.- El asunto fue conocido en primera instancia por el Juzgado </w:t>
      </w:r>
      <w:r w:rsidRPr="008F1BEB">
        <w:rPr>
          <w:sz w:val="24"/>
          <w:szCs w:val="24"/>
        </w:rPr>
        <w:t>Quinto Administrativo Mixto del Circuito Judicial de Montería</w:t>
      </w:r>
      <w:r>
        <w:rPr>
          <w:sz w:val="24"/>
          <w:szCs w:val="24"/>
        </w:rPr>
        <w:t>,</w:t>
      </w:r>
      <w:r w:rsidRPr="008F1BEB">
        <w:rPr>
          <w:sz w:val="24"/>
          <w:szCs w:val="24"/>
        </w:rPr>
        <w:t xml:space="preserve"> que</w:t>
      </w:r>
      <w:r>
        <w:rPr>
          <w:sz w:val="24"/>
          <w:szCs w:val="24"/>
        </w:rPr>
        <w:t xml:space="preserve"> en fallo del </w:t>
      </w:r>
      <w:r w:rsidRPr="004008FC">
        <w:rPr>
          <w:sz w:val="24"/>
          <w:szCs w:val="24"/>
        </w:rPr>
        <w:t>14 de marzo de 2019</w:t>
      </w:r>
      <w:r w:rsidRPr="004008FC">
        <w:rPr>
          <w:rStyle w:val="Refdenotaalpie"/>
          <w:sz w:val="24"/>
          <w:szCs w:val="24"/>
        </w:rPr>
        <w:footnoteReference w:id="7"/>
      </w:r>
      <w:r w:rsidRPr="004008FC">
        <w:rPr>
          <w:sz w:val="24"/>
          <w:szCs w:val="24"/>
        </w:rPr>
        <w:t>, resolvió</w:t>
      </w:r>
      <w:r>
        <w:rPr>
          <w:sz w:val="24"/>
          <w:szCs w:val="24"/>
        </w:rPr>
        <w:t xml:space="preserve"> negar las pretensiones. Consideró que, en efecto, los soldados voluntarios que fueron profesionalizados tienen derecho a devengar un salario mínimo incrementado en un 60%, sin embargo, aquella súplica no era procedente por cuanto se demostró que la entidad </w:t>
      </w:r>
      <w:r>
        <w:rPr>
          <w:sz w:val="24"/>
          <w:szCs w:val="24"/>
        </w:rPr>
        <w:lastRenderedPageBreak/>
        <w:t xml:space="preserve">demandada reajustó la prestación con dicho incremento. De igual forma, indicó que no se acreditó que se haya realizado una indebida aplicación de la fórmula contenida en el artículo 16 del Decreto 4433 de 2004 al </w:t>
      </w:r>
      <w:r w:rsidRPr="00272AE8">
        <w:rPr>
          <w:sz w:val="24"/>
          <w:szCs w:val="24"/>
        </w:rPr>
        <w:t>calcular el monto de la asignación de retiro; y que no era posible incluir la duodécima parte de la prima</w:t>
      </w:r>
      <w:r>
        <w:rPr>
          <w:sz w:val="24"/>
          <w:szCs w:val="24"/>
        </w:rPr>
        <w:t xml:space="preserve"> de navidad, pues aquella no era una partida computable para la liquidación de la prestación objeto del pronunciamiento. Finalmente, frente al subsidio familiar, manifestó que no se configuró un derecho adquirido </w:t>
      </w:r>
      <w:r w:rsidRPr="00AF3AE0">
        <w:rPr>
          <w:sz w:val="24"/>
          <w:szCs w:val="24"/>
        </w:rPr>
        <w:t>por parte del actor y no se presentaron los supuestos fácticos necesarios para que se aplicara el Decreto 1794 de 2000</w:t>
      </w:r>
      <w:r>
        <w:rPr>
          <w:sz w:val="24"/>
          <w:szCs w:val="24"/>
        </w:rPr>
        <w:t xml:space="preserve"> mediante el principio de favorabilidad. </w:t>
      </w:r>
    </w:p>
    <w:p w14:paraId="1B2BFA67" w14:textId="77777777" w:rsidR="002721FC" w:rsidRPr="00717685" w:rsidRDefault="002721FC" w:rsidP="002721FC">
      <w:pPr>
        <w:tabs>
          <w:tab w:val="left" w:pos="3300"/>
        </w:tabs>
        <w:spacing w:line="360" w:lineRule="auto"/>
        <w:rPr>
          <w:sz w:val="24"/>
          <w:szCs w:val="24"/>
        </w:rPr>
      </w:pPr>
    </w:p>
    <w:p w14:paraId="01320635" w14:textId="4C8E0F44" w:rsidR="002721FC" w:rsidRDefault="002721FC" w:rsidP="002721FC">
      <w:pPr>
        <w:tabs>
          <w:tab w:val="left" w:pos="3300"/>
        </w:tabs>
        <w:spacing w:line="360" w:lineRule="auto"/>
        <w:rPr>
          <w:sz w:val="24"/>
          <w:szCs w:val="24"/>
        </w:rPr>
      </w:pPr>
      <w:r>
        <w:rPr>
          <w:sz w:val="24"/>
          <w:szCs w:val="24"/>
        </w:rPr>
        <w:t>2</w:t>
      </w:r>
      <w:r w:rsidRPr="006F6ABA">
        <w:rPr>
          <w:sz w:val="24"/>
          <w:szCs w:val="24"/>
        </w:rPr>
        <w:t>.6.- La decisión fue objeto de recurso de apelación</w:t>
      </w:r>
      <w:r w:rsidRPr="006F6ABA">
        <w:rPr>
          <w:rStyle w:val="Refdenotaalpie"/>
          <w:sz w:val="24"/>
          <w:szCs w:val="24"/>
        </w:rPr>
        <w:footnoteReference w:id="8"/>
      </w:r>
      <w:r w:rsidRPr="006F6ABA">
        <w:rPr>
          <w:sz w:val="24"/>
          <w:szCs w:val="24"/>
        </w:rPr>
        <w:t xml:space="preserve"> que fue desatado por el Tribunal Administrativo de Córdoba</w:t>
      </w:r>
      <w:r>
        <w:rPr>
          <w:sz w:val="24"/>
          <w:szCs w:val="24"/>
        </w:rPr>
        <w:t>,</w:t>
      </w:r>
      <w:r w:rsidRPr="006F6ABA">
        <w:rPr>
          <w:sz w:val="24"/>
          <w:szCs w:val="24"/>
        </w:rPr>
        <w:t xml:space="preserve"> a través de sentencia del 3 de diciembre de 2020</w:t>
      </w:r>
      <w:r w:rsidRPr="006F6ABA">
        <w:rPr>
          <w:rStyle w:val="Refdenotaalpie"/>
          <w:sz w:val="24"/>
          <w:szCs w:val="24"/>
        </w:rPr>
        <w:footnoteReference w:id="9"/>
      </w:r>
      <w:r w:rsidRPr="006F6ABA">
        <w:rPr>
          <w:sz w:val="24"/>
          <w:szCs w:val="24"/>
        </w:rPr>
        <w:t xml:space="preserve">. </w:t>
      </w:r>
      <w:r>
        <w:rPr>
          <w:sz w:val="24"/>
          <w:szCs w:val="24"/>
        </w:rPr>
        <w:t>Dicho cuerpo colegiado re</w:t>
      </w:r>
      <w:r w:rsidRPr="006F6ABA">
        <w:rPr>
          <w:sz w:val="24"/>
          <w:szCs w:val="24"/>
        </w:rPr>
        <w:t>solvió</w:t>
      </w:r>
      <w:r w:rsidRPr="00717685">
        <w:rPr>
          <w:sz w:val="24"/>
          <w:szCs w:val="24"/>
        </w:rPr>
        <w:t xml:space="preserve"> confirmar lo decido por el </w:t>
      </w:r>
      <w:r w:rsidRPr="00717685">
        <w:rPr>
          <w:i/>
          <w:sz w:val="24"/>
          <w:szCs w:val="24"/>
        </w:rPr>
        <w:t>a quo.</w:t>
      </w:r>
      <w:r>
        <w:rPr>
          <w:i/>
          <w:sz w:val="24"/>
          <w:szCs w:val="24"/>
        </w:rPr>
        <w:t xml:space="preserve"> </w:t>
      </w:r>
      <w:r>
        <w:rPr>
          <w:sz w:val="24"/>
          <w:szCs w:val="24"/>
        </w:rPr>
        <w:t>Para ello, p</w:t>
      </w:r>
      <w:r w:rsidRPr="00717685">
        <w:rPr>
          <w:sz w:val="24"/>
          <w:szCs w:val="24"/>
        </w:rPr>
        <w:t>recisó que al momento del retiro del actor, este devengaba el subsidio familiar regulado en el Decreto 1794 de 20</w:t>
      </w:r>
      <w:r>
        <w:rPr>
          <w:sz w:val="24"/>
          <w:szCs w:val="24"/>
        </w:rPr>
        <w:t>0</w:t>
      </w:r>
      <w:r w:rsidRPr="00717685">
        <w:rPr>
          <w:sz w:val="24"/>
          <w:szCs w:val="24"/>
        </w:rPr>
        <w:t xml:space="preserve">0 en un 30%, por lo que al liquidar la asignación de retiro, </w:t>
      </w:r>
      <w:r>
        <w:rPr>
          <w:sz w:val="24"/>
          <w:szCs w:val="24"/>
        </w:rPr>
        <w:t>la CREMIL tuvo</w:t>
      </w:r>
      <w:r w:rsidRPr="00717685">
        <w:rPr>
          <w:sz w:val="24"/>
          <w:szCs w:val="24"/>
        </w:rPr>
        <w:t xml:space="preserve"> en cuenta</w:t>
      </w:r>
      <w:r>
        <w:rPr>
          <w:sz w:val="24"/>
          <w:szCs w:val="24"/>
        </w:rPr>
        <w:t xml:space="preserve"> ese mismo porcentaje como partida computable </w:t>
      </w:r>
      <w:r w:rsidRPr="00717685">
        <w:rPr>
          <w:sz w:val="24"/>
          <w:szCs w:val="24"/>
        </w:rPr>
        <w:t xml:space="preserve">debido a que su derecho se causó con posterioridad a julio de 2014. En cuanto a la duodécima parte de la prima de </w:t>
      </w:r>
      <w:r w:rsidRPr="00381D03">
        <w:rPr>
          <w:sz w:val="24"/>
          <w:szCs w:val="24"/>
        </w:rPr>
        <w:t xml:space="preserve">navidad, manifestó que aquella no podía ser incluida como partida computable </w:t>
      </w:r>
      <w:r>
        <w:rPr>
          <w:sz w:val="24"/>
          <w:szCs w:val="24"/>
        </w:rPr>
        <w:t>en</w:t>
      </w:r>
      <w:r w:rsidRPr="00381D03">
        <w:rPr>
          <w:sz w:val="24"/>
          <w:szCs w:val="24"/>
        </w:rPr>
        <w:t xml:space="preserve"> la</w:t>
      </w:r>
      <w:r w:rsidRPr="00717685">
        <w:rPr>
          <w:sz w:val="24"/>
          <w:szCs w:val="24"/>
        </w:rPr>
        <w:t xml:space="preserve"> asignación de retiro de los soldados profesionales según la </w:t>
      </w:r>
      <w:r w:rsidRPr="00D031BA">
        <w:rPr>
          <w:sz w:val="24"/>
          <w:szCs w:val="24"/>
        </w:rPr>
        <w:t>sentencia de unificación SUJ-015-CE-S2-2019 del 25 de abril de 2019 dictada al interior del proceso de radicado No. 2013-00237-01 (1701-2016).</w:t>
      </w:r>
      <w:r>
        <w:rPr>
          <w:sz w:val="24"/>
          <w:szCs w:val="24"/>
        </w:rPr>
        <w:t xml:space="preserve"> </w:t>
      </w:r>
    </w:p>
    <w:p w14:paraId="7724C8FC" w14:textId="77777777" w:rsidR="002721FC" w:rsidRDefault="002721FC" w:rsidP="002721FC">
      <w:pPr>
        <w:tabs>
          <w:tab w:val="left" w:pos="3300"/>
        </w:tabs>
        <w:spacing w:line="360" w:lineRule="auto"/>
        <w:rPr>
          <w:sz w:val="24"/>
          <w:szCs w:val="24"/>
        </w:rPr>
      </w:pPr>
    </w:p>
    <w:p w14:paraId="593F726B" w14:textId="77777777" w:rsidR="002721FC" w:rsidRDefault="002721FC" w:rsidP="002721FC">
      <w:pPr>
        <w:tabs>
          <w:tab w:val="left" w:pos="3300"/>
        </w:tabs>
        <w:spacing w:line="360" w:lineRule="auto"/>
        <w:rPr>
          <w:sz w:val="24"/>
          <w:szCs w:val="24"/>
        </w:rPr>
      </w:pPr>
      <w:r>
        <w:rPr>
          <w:sz w:val="24"/>
          <w:szCs w:val="24"/>
        </w:rPr>
        <w:t xml:space="preserve">Por último, en lo relacionado con la prima de antigüedad, aseguró que en la resolución de reconocimiento inicial, la prestación se tuvo en cuenta en un 38,5% y al realizar el cálculo correspondiente, advirtió </w:t>
      </w:r>
      <w:r w:rsidRPr="00890EFE">
        <w:rPr>
          <w:sz w:val="24"/>
          <w:szCs w:val="24"/>
        </w:rPr>
        <w:t>que la CREMIL aplicó el porcentaje</w:t>
      </w:r>
      <w:r>
        <w:rPr>
          <w:sz w:val="24"/>
          <w:szCs w:val="24"/>
        </w:rPr>
        <w:t xml:space="preserve"> a la totalidad del salario y no se probó </w:t>
      </w:r>
      <w:r w:rsidRPr="008F45A1">
        <w:rPr>
          <w:sz w:val="24"/>
          <w:szCs w:val="24"/>
        </w:rPr>
        <w:t>que luego de efectuar el reajuste mediante Resolución no. 12997 del 4 de mayo de 2018</w:t>
      </w:r>
      <w:r>
        <w:rPr>
          <w:sz w:val="24"/>
          <w:szCs w:val="24"/>
        </w:rPr>
        <w:t xml:space="preserve">, se haya disminuido la base del 100% del salario. </w:t>
      </w:r>
    </w:p>
    <w:p w14:paraId="72155673" w14:textId="77777777" w:rsidR="002721FC" w:rsidRDefault="002721FC" w:rsidP="002721FC">
      <w:pPr>
        <w:spacing w:line="360" w:lineRule="auto"/>
        <w:rPr>
          <w:b/>
          <w:sz w:val="24"/>
          <w:szCs w:val="24"/>
        </w:rPr>
      </w:pPr>
    </w:p>
    <w:p w14:paraId="37A262FA" w14:textId="77777777" w:rsidR="002721FC" w:rsidRPr="0061629E" w:rsidRDefault="002721FC" w:rsidP="002721FC">
      <w:pPr>
        <w:spacing w:line="360" w:lineRule="auto"/>
        <w:rPr>
          <w:b/>
          <w:sz w:val="24"/>
          <w:szCs w:val="24"/>
        </w:rPr>
      </w:pPr>
      <w:r>
        <w:rPr>
          <w:b/>
          <w:sz w:val="24"/>
          <w:szCs w:val="24"/>
        </w:rPr>
        <w:t>3</w:t>
      </w:r>
      <w:r w:rsidRPr="0061629E">
        <w:rPr>
          <w:b/>
          <w:sz w:val="24"/>
          <w:szCs w:val="24"/>
        </w:rPr>
        <w:t xml:space="preserve">.- Fundamento de la solicitud de amparo </w:t>
      </w:r>
    </w:p>
    <w:p w14:paraId="6BBBEB8E" w14:textId="77777777" w:rsidR="002721FC" w:rsidRPr="0061629E" w:rsidRDefault="002721FC" w:rsidP="002721FC">
      <w:pPr>
        <w:spacing w:line="360" w:lineRule="auto"/>
        <w:rPr>
          <w:sz w:val="24"/>
          <w:szCs w:val="24"/>
        </w:rPr>
      </w:pPr>
    </w:p>
    <w:p w14:paraId="2348A584" w14:textId="77777777" w:rsidR="002721FC" w:rsidRPr="00266927" w:rsidRDefault="002721FC" w:rsidP="002721FC">
      <w:pPr>
        <w:spacing w:line="360" w:lineRule="auto"/>
        <w:rPr>
          <w:sz w:val="24"/>
          <w:szCs w:val="24"/>
        </w:rPr>
      </w:pPr>
      <w:r>
        <w:rPr>
          <w:sz w:val="24"/>
          <w:szCs w:val="24"/>
        </w:rPr>
        <w:t xml:space="preserve">El accionante alegó que la autoridad judicial accionada: </w:t>
      </w:r>
    </w:p>
    <w:p w14:paraId="35028767" w14:textId="77777777" w:rsidR="002721FC" w:rsidRPr="00266927" w:rsidRDefault="002721FC" w:rsidP="002721FC">
      <w:pPr>
        <w:spacing w:line="360" w:lineRule="auto"/>
        <w:rPr>
          <w:sz w:val="24"/>
          <w:szCs w:val="24"/>
        </w:rPr>
      </w:pPr>
    </w:p>
    <w:p w14:paraId="3D115B13" w14:textId="0CCAEB36" w:rsidR="002721FC" w:rsidRPr="00266927" w:rsidRDefault="002721FC" w:rsidP="002721FC">
      <w:pPr>
        <w:spacing w:line="360" w:lineRule="auto"/>
        <w:rPr>
          <w:sz w:val="24"/>
          <w:szCs w:val="24"/>
        </w:rPr>
      </w:pPr>
      <w:r>
        <w:rPr>
          <w:sz w:val="24"/>
          <w:szCs w:val="24"/>
        </w:rPr>
        <w:t>3.</w:t>
      </w:r>
      <w:r w:rsidRPr="00266927">
        <w:rPr>
          <w:sz w:val="24"/>
          <w:szCs w:val="24"/>
        </w:rPr>
        <w:t xml:space="preserve">1.- </w:t>
      </w:r>
      <w:r>
        <w:rPr>
          <w:sz w:val="24"/>
          <w:szCs w:val="24"/>
        </w:rPr>
        <w:t>Incurrió en los defectos sustantivo y de violación directa de la Constitución, pues e</w:t>
      </w:r>
      <w:r w:rsidRPr="00266927">
        <w:rPr>
          <w:sz w:val="24"/>
          <w:szCs w:val="24"/>
        </w:rPr>
        <w:t xml:space="preserve">l hecho de que </w:t>
      </w:r>
      <w:r>
        <w:rPr>
          <w:sz w:val="24"/>
          <w:szCs w:val="24"/>
        </w:rPr>
        <w:t xml:space="preserve">el </w:t>
      </w:r>
      <w:r w:rsidRPr="00343164">
        <w:rPr>
          <w:sz w:val="24"/>
          <w:szCs w:val="24"/>
        </w:rPr>
        <w:t>Decreto 1162</w:t>
      </w:r>
      <w:r>
        <w:rPr>
          <w:sz w:val="24"/>
          <w:szCs w:val="24"/>
        </w:rPr>
        <w:t xml:space="preserve"> de 2014 dispusiera</w:t>
      </w:r>
      <w:r w:rsidRPr="00266927">
        <w:rPr>
          <w:sz w:val="24"/>
          <w:szCs w:val="24"/>
        </w:rPr>
        <w:t xml:space="preserve"> que el subsidio familiar para quienes </w:t>
      </w:r>
      <w:r w:rsidRPr="00890EFE">
        <w:rPr>
          <w:sz w:val="24"/>
          <w:szCs w:val="24"/>
        </w:rPr>
        <w:t>lo devengaron conforme con los Decretos</w:t>
      </w:r>
      <w:r w:rsidRPr="00266927">
        <w:rPr>
          <w:sz w:val="24"/>
          <w:szCs w:val="24"/>
        </w:rPr>
        <w:t xml:space="preserve"> 1</w:t>
      </w:r>
      <w:r>
        <w:rPr>
          <w:sz w:val="24"/>
          <w:szCs w:val="24"/>
        </w:rPr>
        <w:t>794 de 2000 y 3770 de 2009, debía</w:t>
      </w:r>
      <w:r w:rsidRPr="00266927">
        <w:rPr>
          <w:sz w:val="24"/>
          <w:szCs w:val="24"/>
        </w:rPr>
        <w:t xml:space="preserve"> liquidarse </w:t>
      </w:r>
      <w:r w:rsidRPr="00266927">
        <w:rPr>
          <w:sz w:val="24"/>
          <w:szCs w:val="24"/>
        </w:rPr>
        <w:lastRenderedPageBreak/>
        <w:t xml:space="preserve">en un 30% de lo </w:t>
      </w:r>
      <w:r>
        <w:rPr>
          <w:sz w:val="24"/>
          <w:szCs w:val="24"/>
        </w:rPr>
        <w:t>recibido en actividad,</w:t>
      </w:r>
      <w:r w:rsidRPr="00266927">
        <w:rPr>
          <w:sz w:val="24"/>
          <w:szCs w:val="24"/>
        </w:rPr>
        <w:t xml:space="preserve"> compor</w:t>
      </w:r>
      <w:r>
        <w:rPr>
          <w:sz w:val="24"/>
          <w:szCs w:val="24"/>
        </w:rPr>
        <w:t>ta un trato discriminatorio, ya que</w:t>
      </w:r>
      <w:r w:rsidRPr="00266927">
        <w:rPr>
          <w:sz w:val="24"/>
          <w:szCs w:val="24"/>
        </w:rPr>
        <w:t xml:space="preserve"> el </w:t>
      </w:r>
      <w:r w:rsidRPr="00343164">
        <w:rPr>
          <w:sz w:val="24"/>
          <w:szCs w:val="24"/>
        </w:rPr>
        <w:t>Decreto 1161</w:t>
      </w:r>
      <w:r>
        <w:rPr>
          <w:sz w:val="24"/>
          <w:szCs w:val="24"/>
        </w:rPr>
        <w:t xml:space="preserve"> del mismo año determinó</w:t>
      </w:r>
      <w:r w:rsidRPr="00266927">
        <w:rPr>
          <w:sz w:val="24"/>
          <w:szCs w:val="24"/>
        </w:rPr>
        <w:t xml:space="preserve"> su valor en un 70% de la asignación básica, lo cual debió llevar a los jueces a aplicar la figura de excepción de inconstitucionalidad </w:t>
      </w:r>
      <w:r>
        <w:rPr>
          <w:sz w:val="24"/>
          <w:szCs w:val="24"/>
        </w:rPr>
        <w:t xml:space="preserve">y, al no hacerlo, se vulneró </w:t>
      </w:r>
      <w:r w:rsidRPr="00266927">
        <w:rPr>
          <w:sz w:val="24"/>
          <w:szCs w:val="24"/>
        </w:rPr>
        <w:t>su derecho a la igualdad. De igual forma, refi</w:t>
      </w:r>
      <w:r>
        <w:rPr>
          <w:sz w:val="24"/>
          <w:szCs w:val="24"/>
        </w:rPr>
        <w:t>rió</w:t>
      </w:r>
      <w:r w:rsidRPr="00266927">
        <w:rPr>
          <w:sz w:val="24"/>
          <w:szCs w:val="24"/>
        </w:rPr>
        <w:t xml:space="preserve"> que se </w:t>
      </w:r>
      <w:r>
        <w:rPr>
          <w:sz w:val="24"/>
          <w:szCs w:val="24"/>
        </w:rPr>
        <w:t>transgredió</w:t>
      </w:r>
      <w:r w:rsidRPr="00266927">
        <w:rPr>
          <w:sz w:val="24"/>
          <w:szCs w:val="24"/>
        </w:rPr>
        <w:t xml:space="preserve"> el principio de favorabilidad que rige en materia laboral y no se tuvieron en cuenta el artículo 21 de la Convención Americana de Derechos Humanos</w:t>
      </w:r>
      <w:r>
        <w:rPr>
          <w:sz w:val="24"/>
          <w:szCs w:val="24"/>
        </w:rPr>
        <w:t>,</w:t>
      </w:r>
      <w:r w:rsidRPr="00266927">
        <w:rPr>
          <w:sz w:val="24"/>
          <w:szCs w:val="24"/>
        </w:rPr>
        <w:t xml:space="preserve"> </w:t>
      </w:r>
      <w:r>
        <w:rPr>
          <w:sz w:val="24"/>
          <w:szCs w:val="24"/>
        </w:rPr>
        <w:t>ni</w:t>
      </w:r>
      <w:r w:rsidRPr="00266927">
        <w:rPr>
          <w:sz w:val="24"/>
          <w:szCs w:val="24"/>
        </w:rPr>
        <w:t xml:space="preserve"> los Convenios 95, 100 y 111 de la Organización Internacional del Trabajo, relacionados con la afectación al mínimo vital, la movilidad del salario, los derechos de los trabajadores, entre otros. </w:t>
      </w:r>
    </w:p>
    <w:p w14:paraId="5DDFCDE1" w14:textId="77777777" w:rsidR="002721FC" w:rsidRPr="00266927" w:rsidRDefault="002721FC" w:rsidP="002721FC">
      <w:pPr>
        <w:spacing w:line="360" w:lineRule="auto"/>
        <w:rPr>
          <w:sz w:val="24"/>
          <w:szCs w:val="24"/>
        </w:rPr>
      </w:pPr>
    </w:p>
    <w:p w14:paraId="6DEA12BE" w14:textId="77777777" w:rsidR="002721FC" w:rsidRPr="009E16AD" w:rsidRDefault="002721FC" w:rsidP="002721FC">
      <w:pPr>
        <w:spacing w:line="360" w:lineRule="auto"/>
        <w:rPr>
          <w:sz w:val="24"/>
          <w:szCs w:val="24"/>
        </w:rPr>
      </w:pPr>
      <w:r>
        <w:rPr>
          <w:sz w:val="24"/>
          <w:szCs w:val="24"/>
        </w:rPr>
        <w:t>3</w:t>
      </w:r>
      <w:r w:rsidRPr="00E84940">
        <w:rPr>
          <w:sz w:val="24"/>
          <w:szCs w:val="24"/>
        </w:rPr>
        <w:t xml:space="preserve">.2.- </w:t>
      </w:r>
      <w:r>
        <w:rPr>
          <w:sz w:val="24"/>
          <w:szCs w:val="24"/>
        </w:rPr>
        <w:t xml:space="preserve">Pasó por alto que </w:t>
      </w:r>
      <w:r w:rsidRPr="00E84940">
        <w:rPr>
          <w:sz w:val="24"/>
          <w:szCs w:val="24"/>
        </w:rPr>
        <w:t xml:space="preserve">la prima de antigüedad no fue liquidada de conformidad con los criterios establecidos por la Sección Segunda del Consejo de Estado mediante la sentencia de </w:t>
      </w:r>
      <w:r w:rsidRPr="00F503DE">
        <w:rPr>
          <w:sz w:val="24"/>
          <w:szCs w:val="24"/>
        </w:rPr>
        <w:t>unificación SUJ-015-CE-S2-2019</w:t>
      </w:r>
      <w:r w:rsidRPr="00E84940">
        <w:rPr>
          <w:sz w:val="24"/>
          <w:szCs w:val="24"/>
        </w:rPr>
        <w:t xml:space="preserve">, esto es, </w:t>
      </w:r>
      <w:r>
        <w:rPr>
          <w:sz w:val="24"/>
          <w:szCs w:val="24"/>
        </w:rPr>
        <w:t xml:space="preserve">no se calculó tomando como base el </w:t>
      </w:r>
      <w:r w:rsidRPr="00E84940">
        <w:rPr>
          <w:sz w:val="24"/>
          <w:szCs w:val="24"/>
        </w:rPr>
        <w:t>100% de la asignación salarial básica devengada por el soldado profesional</w:t>
      </w:r>
      <w:r>
        <w:rPr>
          <w:sz w:val="24"/>
          <w:szCs w:val="24"/>
        </w:rPr>
        <w:t xml:space="preserve">, sino que, en cambio, tiene en cuenta el 70%. Al respecto, indicó que la </w:t>
      </w:r>
      <w:r w:rsidRPr="00E84940">
        <w:rPr>
          <w:sz w:val="24"/>
          <w:szCs w:val="24"/>
        </w:rPr>
        <w:t xml:space="preserve">CREMIL </w:t>
      </w:r>
      <w:r w:rsidRPr="00890EFE">
        <w:rPr>
          <w:sz w:val="24"/>
          <w:szCs w:val="24"/>
        </w:rPr>
        <w:t>está tasando,</w:t>
      </w:r>
      <w:r w:rsidRPr="00E84940">
        <w:rPr>
          <w:sz w:val="24"/>
          <w:szCs w:val="24"/>
        </w:rPr>
        <w:t xml:space="preserve"> por concepto de prima de antigüedad</w:t>
      </w:r>
      <w:r>
        <w:rPr>
          <w:sz w:val="24"/>
          <w:szCs w:val="24"/>
        </w:rPr>
        <w:t>,</w:t>
      </w:r>
      <w:r w:rsidRPr="00E84940">
        <w:rPr>
          <w:sz w:val="24"/>
          <w:szCs w:val="24"/>
        </w:rPr>
        <w:t xml:space="preserve"> </w:t>
      </w:r>
      <w:r>
        <w:rPr>
          <w:sz w:val="24"/>
          <w:szCs w:val="24"/>
        </w:rPr>
        <w:t xml:space="preserve">la suma de </w:t>
      </w:r>
      <w:r w:rsidRPr="00E84940">
        <w:rPr>
          <w:sz w:val="24"/>
          <w:szCs w:val="24"/>
        </w:rPr>
        <w:t xml:space="preserve">$391.756, mientras que </w:t>
      </w:r>
      <w:r>
        <w:rPr>
          <w:sz w:val="24"/>
          <w:szCs w:val="24"/>
        </w:rPr>
        <w:t>aplicando</w:t>
      </w:r>
      <w:r w:rsidRPr="00E84940">
        <w:rPr>
          <w:sz w:val="24"/>
          <w:szCs w:val="24"/>
        </w:rPr>
        <w:t xml:space="preserve"> la fórmula </w:t>
      </w:r>
      <w:r>
        <w:rPr>
          <w:sz w:val="24"/>
          <w:szCs w:val="24"/>
        </w:rPr>
        <w:t>contenida en la referida sentencia de unificación, el valor a pagar debería ser de</w:t>
      </w:r>
      <w:r w:rsidRPr="00E84940">
        <w:rPr>
          <w:sz w:val="24"/>
          <w:szCs w:val="24"/>
        </w:rPr>
        <w:t xml:space="preserve"> $559.652,17.</w:t>
      </w:r>
      <w:r w:rsidRPr="00E84940">
        <w:rPr>
          <w:sz w:val="24"/>
          <w:szCs w:val="24"/>
        </w:rPr>
        <w:cr/>
      </w:r>
    </w:p>
    <w:p w14:paraId="47DDF357" w14:textId="77777777" w:rsidR="002721FC" w:rsidRPr="000D3B52" w:rsidRDefault="002721FC" w:rsidP="002721FC">
      <w:pPr>
        <w:spacing w:line="360" w:lineRule="auto"/>
        <w:rPr>
          <w:b/>
          <w:sz w:val="24"/>
          <w:szCs w:val="24"/>
        </w:rPr>
      </w:pPr>
      <w:r>
        <w:rPr>
          <w:b/>
          <w:sz w:val="24"/>
          <w:szCs w:val="24"/>
        </w:rPr>
        <w:t>4</w:t>
      </w:r>
      <w:r w:rsidRPr="000D3B52">
        <w:rPr>
          <w:b/>
          <w:sz w:val="24"/>
          <w:szCs w:val="24"/>
        </w:rPr>
        <w:t>.- Pretensiones</w:t>
      </w:r>
    </w:p>
    <w:p w14:paraId="28CD353C" w14:textId="77777777" w:rsidR="002721FC" w:rsidRPr="000D3B52" w:rsidRDefault="002721FC" w:rsidP="002721FC">
      <w:pPr>
        <w:spacing w:line="360" w:lineRule="auto"/>
        <w:rPr>
          <w:sz w:val="24"/>
          <w:szCs w:val="24"/>
        </w:rPr>
      </w:pPr>
    </w:p>
    <w:p w14:paraId="63801676" w14:textId="24BCA187" w:rsidR="002721FC" w:rsidRDefault="002721FC" w:rsidP="002721FC">
      <w:pPr>
        <w:tabs>
          <w:tab w:val="left" w:pos="3300"/>
        </w:tabs>
        <w:spacing w:line="360" w:lineRule="auto"/>
        <w:rPr>
          <w:sz w:val="24"/>
          <w:szCs w:val="24"/>
        </w:rPr>
      </w:pPr>
      <w:r w:rsidRPr="000D3B52">
        <w:rPr>
          <w:sz w:val="24"/>
          <w:szCs w:val="24"/>
        </w:rPr>
        <w:t>Solicitó</w:t>
      </w:r>
      <w:r>
        <w:rPr>
          <w:sz w:val="24"/>
          <w:szCs w:val="24"/>
        </w:rPr>
        <w:t>, el interesado,</w:t>
      </w:r>
      <w:r w:rsidRPr="000D3B52">
        <w:rPr>
          <w:sz w:val="24"/>
          <w:szCs w:val="24"/>
        </w:rPr>
        <w:t xml:space="preserve"> el amparo de los derechos fundamentales </w:t>
      </w:r>
      <w:r>
        <w:rPr>
          <w:sz w:val="24"/>
          <w:szCs w:val="24"/>
        </w:rPr>
        <w:t>invocados</w:t>
      </w:r>
      <w:r w:rsidRPr="000D3B52">
        <w:rPr>
          <w:sz w:val="24"/>
          <w:szCs w:val="24"/>
        </w:rPr>
        <w:t xml:space="preserve"> y</w:t>
      </w:r>
      <w:r>
        <w:rPr>
          <w:sz w:val="24"/>
          <w:szCs w:val="24"/>
        </w:rPr>
        <w:t>,</w:t>
      </w:r>
      <w:r w:rsidRPr="000D3B52">
        <w:rPr>
          <w:sz w:val="24"/>
          <w:szCs w:val="24"/>
        </w:rPr>
        <w:t xml:space="preserve"> en consecuencia, </w:t>
      </w:r>
      <w:r>
        <w:rPr>
          <w:sz w:val="24"/>
          <w:szCs w:val="24"/>
        </w:rPr>
        <w:t xml:space="preserve">que </w:t>
      </w:r>
      <w:r w:rsidRPr="000D3B52">
        <w:rPr>
          <w:sz w:val="24"/>
          <w:szCs w:val="24"/>
        </w:rPr>
        <w:t xml:space="preserve">se </w:t>
      </w:r>
      <w:r w:rsidR="0069146C">
        <w:rPr>
          <w:sz w:val="24"/>
          <w:szCs w:val="24"/>
        </w:rPr>
        <w:t>revocara</w:t>
      </w:r>
      <w:r w:rsidR="0069146C" w:rsidRPr="000D3B52">
        <w:rPr>
          <w:sz w:val="24"/>
          <w:szCs w:val="24"/>
        </w:rPr>
        <w:t xml:space="preserve"> </w:t>
      </w:r>
      <w:r w:rsidRPr="000D3B52">
        <w:rPr>
          <w:sz w:val="24"/>
          <w:szCs w:val="24"/>
        </w:rPr>
        <w:t xml:space="preserve">parcialmente la </w:t>
      </w:r>
      <w:r w:rsidRPr="009A35D9">
        <w:rPr>
          <w:sz w:val="24"/>
          <w:szCs w:val="24"/>
        </w:rPr>
        <w:t>decisión proferida el 7 de diciembre de 2020 por la Sala Primera de Decisión del Tribunal Administrativo de Córdoba para que</w:t>
      </w:r>
      <w:r>
        <w:rPr>
          <w:sz w:val="24"/>
          <w:szCs w:val="24"/>
        </w:rPr>
        <w:t>,</w:t>
      </w:r>
      <w:r w:rsidRPr="009A35D9">
        <w:rPr>
          <w:sz w:val="24"/>
          <w:szCs w:val="24"/>
        </w:rPr>
        <w:t xml:space="preserve"> en su lugar, se emit</w:t>
      </w:r>
      <w:r w:rsidR="00343164">
        <w:rPr>
          <w:sz w:val="24"/>
          <w:szCs w:val="24"/>
        </w:rPr>
        <w:t>iera</w:t>
      </w:r>
      <w:r w:rsidRPr="000D3B52">
        <w:rPr>
          <w:sz w:val="24"/>
          <w:szCs w:val="24"/>
        </w:rPr>
        <w:t xml:space="preserve"> un nuevo pronunciamie</w:t>
      </w:r>
      <w:r>
        <w:rPr>
          <w:sz w:val="24"/>
          <w:szCs w:val="24"/>
        </w:rPr>
        <w:t>nto en el que se acced</w:t>
      </w:r>
      <w:r w:rsidR="00343164">
        <w:rPr>
          <w:sz w:val="24"/>
          <w:szCs w:val="24"/>
        </w:rPr>
        <w:t>iera</w:t>
      </w:r>
      <w:r>
        <w:rPr>
          <w:sz w:val="24"/>
          <w:szCs w:val="24"/>
        </w:rPr>
        <w:t xml:space="preserve"> a las súplicas relacionadas con</w:t>
      </w:r>
      <w:r w:rsidRPr="000D3B52">
        <w:rPr>
          <w:sz w:val="24"/>
          <w:szCs w:val="24"/>
        </w:rPr>
        <w:t xml:space="preserve"> la reliquidación del subsidio familiar, aplicando la excepción de inconstitucionalidad para obtener el 70% de la prestación según lo establecido en el Decreto 1161 de 2014; y </w:t>
      </w:r>
      <w:r>
        <w:rPr>
          <w:sz w:val="24"/>
          <w:szCs w:val="24"/>
        </w:rPr>
        <w:t xml:space="preserve">se tenga en cuenta </w:t>
      </w:r>
      <w:r w:rsidRPr="000D3B52">
        <w:rPr>
          <w:sz w:val="24"/>
          <w:szCs w:val="24"/>
        </w:rPr>
        <w:t xml:space="preserve">la prima de antigüedad </w:t>
      </w:r>
      <w:r>
        <w:rPr>
          <w:sz w:val="24"/>
          <w:szCs w:val="24"/>
        </w:rPr>
        <w:t>en los términos</w:t>
      </w:r>
      <w:r w:rsidRPr="000D3B52">
        <w:rPr>
          <w:sz w:val="24"/>
          <w:szCs w:val="24"/>
        </w:rPr>
        <w:t xml:space="preserve"> </w:t>
      </w:r>
      <w:r>
        <w:rPr>
          <w:sz w:val="24"/>
          <w:szCs w:val="24"/>
        </w:rPr>
        <w:t xml:space="preserve">de </w:t>
      </w:r>
      <w:r w:rsidRPr="000D3B52">
        <w:rPr>
          <w:sz w:val="24"/>
          <w:szCs w:val="24"/>
        </w:rPr>
        <w:t>la sentencia de unificación SUJ-015-CE-S2-2019.</w:t>
      </w:r>
    </w:p>
    <w:p w14:paraId="43EA9AA3" w14:textId="77777777" w:rsidR="002721FC" w:rsidRDefault="002721FC" w:rsidP="002721FC">
      <w:pPr>
        <w:tabs>
          <w:tab w:val="left" w:pos="3300"/>
        </w:tabs>
        <w:spacing w:line="360" w:lineRule="auto"/>
        <w:rPr>
          <w:sz w:val="24"/>
          <w:szCs w:val="24"/>
        </w:rPr>
      </w:pPr>
    </w:p>
    <w:p w14:paraId="1A3B3D07" w14:textId="77777777" w:rsidR="002721FC" w:rsidRDefault="002721FC" w:rsidP="002721FC">
      <w:pPr>
        <w:tabs>
          <w:tab w:val="left" w:pos="3300"/>
        </w:tabs>
        <w:spacing w:line="360" w:lineRule="auto"/>
        <w:rPr>
          <w:b/>
          <w:sz w:val="24"/>
          <w:szCs w:val="24"/>
        </w:rPr>
      </w:pPr>
      <w:r>
        <w:rPr>
          <w:b/>
          <w:sz w:val="24"/>
          <w:szCs w:val="24"/>
        </w:rPr>
        <w:t>5.- Trámite de la acción de tutela y fundamento de la oposición</w:t>
      </w:r>
    </w:p>
    <w:p w14:paraId="6DA0F8E7" w14:textId="77777777" w:rsidR="002721FC" w:rsidRDefault="002721FC" w:rsidP="002721FC">
      <w:pPr>
        <w:tabs>
          <w:tab w:val="left" w:pos="3300"/>
        </w:tabs>
        <w:spacing w:line="360" w:lineRule="auto"/>
        <w:rPr>
          <w:b/>
          <w:sz w:val="24"/>
          <w:szCs w:val="24"/>
        </w:rPr>
      </w:pPr>
    </w:p>
    <w:p w14:paraId="53799B12" w14:textId="0F65F3DC" w:rsidR="002721FC" w:rsidRPr="00A94878" w:rsidRDefault="002721FC" w:rsidP="002721FC">
      <w:pPr>
        <w:tabs>
          <w:tab w:val="left" w:pos="3300"/>
        </w:tabs>
        <w:spacing w:line="360" w:lineRule="auto"/>
        <w:rPr>
          <w:sz w:val="24"/>
          <w:szCs w:val="24"/>
        </w:rPr>
      </w:pPr>
      <w:r>
        <w:rPr>
          <w:sz w:val="24"/>
          <w:szCs w:val="24"/>
        </w:rPr>
        <w:t>5.1.- Mediante auto del 10 de junio de 2021 el ponente admitió la acción de tutela</w:t>
      </w:r>
      <w:r>
        <w:rPr>
          <w:rStyle w:val="Refdenotaalpie"/>
          <w:sz w:val="24"/>
          <w:szCs w:val="24"/>
        </w:rPr>
        <w:footnoteReference w:id="10"/>
      </w:r>
      <w:r>
        <w:rPr>
          <w:sz w:val="24"/>
          <w:szCs w:val="24"/>
        </w:rPr>
        <w:t xml:space="preserve"> y ordenó notificar a las partes y a los terceros con interés</w:t>
      </w:r>
      <w:r>
        <w:rPr>
          <w:rStyle w:val="Refdenotaalpie"/>
          <w:sz w:val="24"/>
          <w:szCs w:val="24"/>
        </w:rPr>
        <w:footnoteReference w:id="11"/>
      </w:r>
      <w:r>
        <w:rPr>
          <w:sz w:val="24"/>
          <w:szCs w:val="24"/>
        </w:rPr>
        <w:t xml:space="preserve">. </w:t>
      </w:r>
    </w:p>
    <w:p w14:paraId="7B3EE3C4" w14:textId="738D8E35" w:rsidR="002721FC" w:rsidRPr="00B84127" w:rsidRDefault="002721FC" w:rsidP="002721FC">
      <w:pPr>
        <w:spacing w:line="360" w:lineRule="auto"/>
        <w:rPr>
          <w:sz w:val="24"/>
          <w:szCs w:val="24"/>
        </w:rPr>
      </w:pPr>
      <w:r>
        <w:rPr>
          <w:sz w:val="24"/>
          <w:szCs w:val="24"/>
        </w:rPr>
        <w:lastRenderedPageBreak/>
        <w:t>5</w:t>
      </w:r>
      <w:r w:rsidRPr="00B84127">
        <w:rPr>
          <w:sz w:val="24"/>
          <w:szCs w:val="24"/>
        </w:rPr>
        <w:t>.2.- En providencia del 1 de julio de 2021</w:t>
      </w:r>
      <w:r w:rsidRPr="00B84127">
        <w:rPr>
          <w:rStyle w:val="Refdenotaalpie"/>
          <w:sz w:val="24"/>
          <w:szCs w:val="24"/>
        </w:rPr>
        <w:footnoteReference w:id="12"/>
      </w:r>
      <w:r w:rsidRPr="00B84127">
        <w:rPr>
          <w:sz w:val="24"/>
          <w:szCs w:val="24"/>
        </w:rPr>
        <w:t xml:space="preserve"> se requirió a </w:t>
      </w:r>
      <w:r>
        <w:rPr>
          <w:sz w:val="24"/>
          <w:szCs w:val="24"/>
        </w:rPr>
        <w:t xml:space="preserve">la </w:t>
      </w:r>
      <w:r w:rsidRPr="00B84127">
        <w:rPr>
          <w:sz w:val="24"/>
          <w:szCs w:val="24"/>
        </w:rPr>
        <w:t>CREMIL para que allegara copia de los desprendibles de pago de la asignación de retiro reconocida al señor Argemiro Senior Altamiranda, correspondientes a los meses de abril, mayo y junio</w:t>
      </w:r>
      <w:r>
        <w:rPr>
          <w:sz w:val="24"/>
          <w:szCs w:val="24"/>
        </w:rPr>
        <w:t xml:space="preserve"> de 2021, en los que se incluyeran</w:t>
      </w:r>
      <w:r w:rsidRPr="00B84127">
        <w:rPr>
          <w:sz w:val="24"/>
          <w:szCs w:val="24"/>
        </w:rPr>
        <w:t>, de forma detallada y discriminada, los conceptos que conforman la referida asignación, el valor que corresponde a cada uno de ellos y la fórmula que usa</w:t>
      </w:r>
      <w:r>
        <w:rPr>
          <w:sz w:val="24"/>
          <w:szCs w:val="24"/>
        </w:rPr>
        <w:t xml:space="preserve">n para tasarlos. </w:t>
      </w:r>
    </w:p>
    <w:p w14:paraId="36B4DB6D" w14:textId="77777777" w:rsidR="002721FC" w:rsidRDefault="002721FC" w:rsidP="002721FC">
      <w:pPr>
        <w:spacing w:line="360" w:lineRule="auto"/>
        <w:rPr>
          <w:sz w:val="24"/>
          <w:szCs w:val="24"/>
        </w:rPr>
      </w:pPr>
    </w:p>
    <w:p w14:paraId="5352BCF0" w14:textId="77777777" w:rsidR="002721FC" w:rsidRDefault="002721FC" w:rsidP="002721FC">
      <w:pPr>
        <w:tabs>
          <w:tab w:val="left" w:pos="3300"/>
        </w:tabs>
        <w:spacing w:line="360" w:lineRule="auto"/>
        <w:rPr>
          <w:b/>
          <w:sz w:val="24"/>
          <w:szCs w:val="24"/>
        </w:rPr>
      </w:pPr>
      <w:r>
        <w:rPr>
          <w:b/>
          <w:sz w:val="24"/>
          <w:szCs w:val="24"/>
        </w:rPr>
        <w:t xml:space="preserve">5.3.- Contestaciones </w:t>
      </w:r>
    </w:p>
    <w:p w14:paraId="282722F3" w14:textId="77777777" w:rsidR="002721FC" w:rsidRPr="0094658C" w:rsidRDefault="002721FC" w:rsidP="002721FC">
      <w:pPr>
        <w:spacing w:line="360" w:lineRule="auto"/>
        <w:rPr>
          <w:sz w:val="24"/>
          <w:szCs w:val="24"/>
        </w:rPr>
      </w:pPr>
    </w:p>
    <w:p w14:paraId="00747D01" w14:textId="77777777" w:rsidR="002721FC" w:rsidRDefault="002721FC" w:rsidP="002721FC">
      <w:pPr>
        <w:spacing w:line="360" w:lineRule="auto"/>
        <w:rPr>
          <w:sz w:val="24"/>
          <w:szCs w:val="24"/>
        </w:rPr>
      </w:pPr>
      <w:r>
        <w:rPr>
          <w:sz w:val="24"/>
          <w:szCs w:val="24"/>
        </w:rPr>
        <w:t>5.3.1.- La CREMIL</w:t>
      </w:r>
      <w:r>
        <w:rPr>
          <w:rStyle w:val="Refdenotaalpie"/>
          <w:sz w:val="24"/>
          <w:szCs w:val="24"/>
        </w:rPr>
        <w:footnoteReference w:id="13"/>
      </w:r>
      <w:r>
        <w:rPr>
          <w:sz w:val="24"/>
          <w:szCs w:val="24"/>
        </w:rPr>
        <w:t xml:space="preserve"> solicitó declarar la improcedencia del amparo, pues considera que en el trámite judicial surtido no se vulneraron los derechos fundamentales alegados, en cambio, las providencias tuvieron como fundamento las normas y la jurisprudencia aplicables al caso concreto. </w:t>
      </w:r>
    </w:p>
    <w:p w14:paraId="0FEC2FBC" w14:textId="77777777" w:rsidR="002721FC" w:rsidRDefault="002721FC" w:rsidP="002721FC">
      <w:pPr>
        <w:spacing w:line="360" w:lineRule="auto"/>
        <w:rPr>
          <w:sz w:val="24"/>
          <w:szCs w:val="24"/>
        </w:rPr>
      </w:pPr>
    </w:p>
    <w:p w14:paraId="72F004C1" w14:textId="77777777" w:rsidR="002721FC" w:rsidRPr="00956044" w:rsidRDefault="002721FC" w:rsidP="002721FC">
      <w:pPr>
        <w:spacing w:line="360" w:lineRule="auto"/>
        <w:rPr>
          <w:sz w:val="24"/>
          <w:szCs w:val="24"/>
        </w:rPr>
      </w:pPr>
      <w:r>
        <w:rPr>
          <w:sz w:val="24"/>
          <w:szCs w:val="24"/>
        </w:rPr>
        <w:t>5</w:t>
      </w:r>
      <w:r w:rsidRPr="00956044">
        <w:rPr>
          <w:sz w:val="24"/>
          <w:szCs w:val="24"/>
        </w:rPr>
        <w:t>.3.1.1.- Al dar respuesta</w:t>
      </w:r>
      <w:r>
        <w:rPr>
          <w:rStyle w:val="Refdenotaalpie"/>
          <w:sz w:val="24"/>
          <w:szCs w:val="24"/>
        </w:rPr>
        <w:footnoteReference w:id="14"/>
      </w:r>
      <w:r w:rsidRPr="00956044">
        <w:rPr>
          <w:sz w:val="24"/>
          <w:szCs w:val="24"/>
        </w:rPr>
        <w:t xml:space="preserve"> al requerimiento realizado a través del auto del 1 de julio de 2021, </w:t>
      </w:r>
      <w:r>
        <w:rPr>
          <w:sz w:val="24"/>
          <w:szCs w:val="24"/>
        </w:rPr>
        <w:t xml:space="preserve">informó </w:t>
      </w:r>
      <w:r w:rsidRPr="00956044">
        <w:rPr>
          <w:sz w:val="24"/>
          <w:szCs w:val="24"/>
        </w:rPr>
        <w:t xml:space="preserve">lo siguiente: </w:t>
      </w:r>
    </w:p>
    <w:p w14:paraId="7CF35410" w14:textId="77777777" w:rsidR="002721FC" w:rsidRPr="00956044" w:rsidRDefault="002721FC" w:rsidP="002721FC">
      <w:pPr>
        <w:rPr>
          <w:sz w:val="24"/>
          <w:szCs w:val="24"/>
        </w:rPr>
      </w:pPr>
    </w:p>
    <w:p w14:paraId="1DECDA48" w14:textId="77777777" w:rsidR="002721FC" w:rsidRPr="002E71A5" w:rsidRDefault="002721FC" w:rsidP="006C0B52">
      <w:pPr>
        <w:ind w:left="142" w:right="193"/>
        <w:rPr>
          <w:i/>
          <w:sz w:val="22"/>
          <w:szCs w:val="22"/>
          <w:highlight w:val="yellow"/>
        </w:rPr>
      </w:pPr>
      <w:r w:rsidRPr="002E71A5">
        <w:rPr>
          <w:i/>
          <w:sz w:val="22"/>
          <w:szCs w:val="22"/>
        </w:rPr>
        <w:t>“Que revisada la nómina de asignaciones de retiro se verificó que al señor Soldado Profesional (RA) del Ejército ARGEMIRO SENIOR ALTAMIRANDA, identificado con cédula de ciudadanía No. 78764570, le figura su asignación de retiro liquidada con los siguientes porcentajes y partidas computables:</w:t>
      </w:r>
    </w:p>
    <w:p w14:paraId="227EC85C" w14:textId="77777777" w:rsidR="002721FC" w:rsidRPr="002E71A5" w:rsidRDefault="002721FC" w:rsidP="006C0B52">
      <w:pPr>
        <w:ind w:left="142" w:right="193"/>
        <w:rPr>
          <w:sz w:val="22"/>
          <w:szCs w:val="22"/>
          <w:highlight w:val="yellow"/>
        </w:rPr>
      </w:pPr>
    </w:p>
    <w:p w14:paraId="74D940D8" w14:textId="77777777" w:rsidR="002721FC" w:rsidRPr="002E71A5" w:rsidRDefault="002721FC" w:rsidP="006C0B52">
      <w:pPr>
        <w:tabs>
          <w:tab w:val="left" w:pos="3300"/>
        </w:tabs>
        <w:ind w:left="142" w:right="193"/>
        <w:rPr>
          <w:sz w:val="22"/>
          <w:szCs w:val="22"/>
        </w:rPr>
      </w:pPr>
    </w:p>
    <w:tbl>
      <w:tblPr>
        <w:tblStyle w:val="Tablaconcuadrcula"/>
        <w:tblW w:w="0" w:type="auto"/>
        <w:tblInd w:w="562" w:type="dxa"/>
        <w:tblLook w:val="04A0" w:firstRow="1" w:lastRow="0" w:firstColumn="1" w:lastColumn="0" w:noHBand="0" w:noVBand="1"/>
      </w:tblPr>
      <w:tblGrid>
        <w:gridCol w:w="2835"/>
        <w:gridCol w:w="3203"/>
        <w:gridCol w:w="2254"/>
      </w:tblGrid>
      <w:tr w:rsidR="002721FC" w:rsidRPr="002E71A5" w14:paraId="19D42F00" w14:textId="77777777" w:rsidTr="00675F2B">
        <w:tc>
          <w:tcPr>
            <w:tcW w:w="2835" w:type="dxa"/>
          </w:tcPr>
          <w:p w14:paraId="4D998CFD" w14:textId="77777777" w:rsidR="002721FC" w:rsidRPr="002E71A5" w:rsidRDefault="002721FC" w:rsidP="006C0B52">
            <w:pPr>
              <w:tabs>
                <w:tab w:val="left" w:pos="3300"/>
              </w:tabs>
              <w:ind w:left="142" w:right="193"/>
              <w:jc w:val="left"/>
            </w:pPr>
            <w:r w:rsidRPr="002E71A5">
              <w:t>SUELDO</w:t>
            </w:r>
          </w:p>
        </w:tc>
        <w:tc>
          <w:tcPr>
            <w:tcW w:w="3133" w:type="dxa"/>
          </w:tcPr>
          <w:p w14:paraId="16C29CC1" w14:textId="77777777" w:rsidR="002721FC" w:rsidRPr="002E71A5" w:rsidRDefault="002721FC" w:rsidP="006C0B52">
            <w:pPr>
              <w:tabs>
                <w:tab w:val="left" w:pos="3300"/>
              </w:tabs>
              <w:ind w:left="142" w:right="193"/>
              <w:jc w:val="center"/>
            </w:pPr>
            <w:r w:rsidRPr="002E71A5">
              <w:t>SMMLV + 60%</w:t>
            </w:r>
          </w:p>
        </w:tc>
        <w:tc>
          <w:tcPr>
            <w:tcW w:w="2254" w:type="dxa"/>
          </w:tcPr>
          <w:p w14:paraId="43045F98" w14:textId="77777777" w:rsidR="002721FC" w:rsidRPr="002E71A5" w:rsidRDefault="002721FC" w:rsidP="006C0B52">
            <w:pPr>
              <w:tabs>
                <w:tab w:val="left" w:pos="3300"/>
              </w:tabs>
              <w:ind w:left="142" w:right="193"/>
            </w:pPr>
            <w:r w:rsidRPr="002E71A5">
              <w:t>$1.453.642.00</w:t>
            </w:r>
          </w:p>
        </w:tc>
      </w:tr>
      <w:tr w:rsidR="002721FC" w:rsidRPr="002E71A5" w14:paraId="4A257BB0" w14:textId="77777777" w:rsidTr="00675F2B">
        <w:tc>
          <w:tcPr>
            <w:tcW w:w="2835" w:type="dxa"/>
          </w:tcPr>
          <w:p w14:paraId="7C1BD23C" w14:textId="77777777" w:rsidR="002721FC" w:rsidRPr="002E71A5" w:rsidRDefault="002721FC" w:rsidP="006C0B52">
            <w:pPr>
              <w:tabs>
                <w:tab w:val="left" w:pos="3300"/>
              </w:tabs>
              <w:ind w:left="142" w:right="193"/>
              <w:jc w:val="left"/>
              <w:rPr>
                <w:i/>
              </w:rPr>
            </w:pPr>
            <w:r w:rsidRPr="002E71A5">
              <w:rPr>
                <w:i/>
              </w:rPr>
              <w:t>PORCENTAJE DE LIQUIDACIÓN</w:t>
            </w:r>
          </w:p>
        </w:tc>
        <w:tc>
          <w:tcPr>
            <w:tcW w:w="3133" w:type="dxa"/>
          </w:tcPr>
          <w:p w14:paraId="525D53B0" w14:textId="77777777" w:rsidR="002721FC" w:rsidRPr="002E71A5" w:rsidRDefault="002721FC" w:rsidP="006C0B52">
            <w:pPr>
              <w:tabs>
                <w:tab w:val="left" w:pos="3300"/>
              </w:tabs>
              <w:ind w:left="142" w:right="193"/>
              <w:jc w:val="center"/>
              <w:rPr>
                <w:i/>
              </w:rPr>
            </w:pPr>
          </w:p>
        </w:tc>
        <w:tc>
          <w:tcPr>
            <w:tcW w:w="2254" w:type="dxa"/>
          </w:tcPr>
          <w:p w14:paraId="61606592" w14:textId="77777777" w:rsidR="002721FC" w:rsidRPr="002E71A5" w:rsidRDefault="002721FC" w:rsidP="006C0B52">
            <w:pPr>
              <w:tabs>
                <w:tab w:val="left" w:pos="3300"/>
              </w:tabs>
              <w:ind w:left="142" w:right="193"/>
              <w:rPr>
                <w:i/>
              </w:rPr>
            </w:pPr>
            <w:r w:rsidRPr="002E71A5">
              <w:rPr>
                <w:i/>
              </w:rPr>
              <w:t>70%</w:t>
            </w:r>
          </w:p>
        </w:tc>
      </w:tr>
      <w:tr w:rsidR="002721FC" w:rsidRPr="002E71A5" w14:paraId="327A6B53" w14:textId="77777777" w:rsidTr="00675F2B">
        <w:tc>
          <w:tcPr>
            <w:tcW w:w="2835" w:type="dxa"/>
          </w:tcPr>
          <w:p w14:paraId="1B06ED20" w14:textId="77777777" w:rsidR="002721FC" w:rsidRPr="002E71A5" w:rsidRDefault="002721FC" w:rsidP="006C0B52">
            <w:pPr>
              <w:tabs>
                <w:tab w:val="left" w:pos="3300"/>
              </w:tabs>
              <w:ind w:left="142" w:right="193"/>
              <w:jc w:val="left"/>
              <w:rPr>
                <w:b/>
                <w:i/>
              </w:rPr>
            </w:pPr>
            <w:r w:rsidRPr="002E71A5">
              <w:rPr>
                <w:b/>
                <w:i/>
              </w:rPr>
              <w:t>SUBTOTAL</w:t>
            </w:r>
          </w:p>
        </w:tc>
        <w:tc>
          <w:tcPr>
            <w:tcW w:w="3133" w:type="dxa"/>
          </w:tcPr>
          <w:p w14:paraId="73C3A476" w14:textId="77777777" w:rsidR="002721FC" w:rsidRPr="002E71A5" w:rsidRDefault="002721FC" w:rsidP="006C0B52">
            <w:pPr>
              <w:tabs>
                <w:tab w:val="left" w:pos="3300"/>
              </w:tabs>
              <w:ind w:left="142" w:right="193"/>
              <w:jc w:val="center"/>
              <w:rPr>
                <w:i/>
              </w:rPr>
            </w:pPr>
          </w:p>
        </w:tc>
        <w:tc>
          <w:tcPr>
            <w:tcW w:w="2254" w:type="dxa"/>
          </w:tcPr>
          <w:p w14:paraId="338939C8" w14:textId="77777777" w:rsidR="002721FC" w:rsidRPr="002E71A5" w:rsidRDefault="002721FC" w:rsidP="006C0B52">
            <w:pPr>
              <w:tabs>
                <w:tab w:val="left" w:pos="3300"/>
              </w:tabs>
              <w:ind w:left="142" w:right="193"/>
              <w:rPr>
                <w:b/>
                <w:i/>
              </w:rPr>
            </w:pPr>
            <w:r w:rsidRPr="002E71A5">
              <w:rPr>
                <w:b/>
                <w:i/>
              </w:rPr>
              <w:t>$1.017.549.00</w:t>
            </w:r>
          </w:p>
        </w:tc>
      </w:tr>
      <w:tr w:rsidR="002721FC" w:rsidRPr="002E71A5" w14:paraId="7E04B3A3" w14:textId="77777777" w:rsidTr="00675F2B">
        <w:tc>
          <w:tcPr>
            <w:tcW w:w="2835" w:type="dxa"/>
          </w:tcPr>
          <w:p w14:paraId="1D741570" w14:textId="77777777" w:rsidR="002721FC" w:rsidRPr="002E71A5" w:rsidRDefault="002721FC" w:rsidP="006C0B52">
            <w:pPr>
              <w:tabs>
                <w:tab w:val="left" w:pos="3300"/>
              </w:tabs>
              <w:ind w:left="142" w:right="193"/>
              <w:jc w:val="left"/>
              <w:rPr>
                <w:i/>
              </w:rPr>
            </w:pPr>
            <w:r w:rsidRPr="002E71A5">
              <w:rPr>
                <w:i/>
              </w:rPr>
              <w:t>PRIMA DE ANTIGÜEDAD</w:t>
            </w:r>
          </w:p>
        </w:tc>
        <w:tc>
          <w:tcPr>
            <w:tcW w:w="3133" w:type="dxa"/>
          </w:tcPr>
          <w:p w14:paraId="09672BB4" w14:textId="77777777" w:rsidR="002721FC" w:rsidRPr="002E71A5" w:rsidRDefault="002721FC" w:rsidP="006C0B52">
            <w:pPr>
              <w:tabs>
                <w:tab w:val="left" w:pos="3300"/>
              </w:tabs>
              <w:ind w:left="142" w:right="193"/>
              <w:jc w:val="center"/>
              <w:rPr>
                <w:i/>
              </w:rPr>
            </w:pPr>
            <w:r w:rsidRPr="002E71A5">
              <w:rPr>
                <w:i/>
              </w:rPr>
              <w:t>(SB*%LIQ*38,5%)</w:t>
            </w:r>
          </w:p>
        </w:tc>
        <w:tc>
          <w:tcPr>
            <w:tcW w:w="2254" w:type="dxa"/>
          </w:tcPr>
          <w:p w14:paraId="56044CD7" w14:textId="77777777" w:rsidR="002721FC" w:rsidRPr="002E71A5" w:rsidRDefault="002721FC" w:rsidP="006C0B52">
            <w:pPr>
              <w:tabs>
                <w:tab w:val="left" w:pos="3300"/>
              </w:tabs>
              <w:ind w:left="142" w:right="193"/>
              <w:rPr>
                <w:i/>
              </w:rPr>
            </w:pPr>
            <w:r w:rsidRPr="002E71A5">
              <w:rPr>
                <w:i/>
              </w:rPr>
              <w:t>$391.756.52</w:t>
            </w:r>
          </w:p>
        </w:tc>
      </w:tr>
      <w:tr w:rsidR="002721FC" w:rsidRPr="002E71A5" w14:paraId="1FAF733F" w14:textId="77777777" w:rsidTr="00675F2B">
        <w:tc>
          <w:tcPr>
            <w:tcW w:w="2835" w:type="dxa"/>
          </w:tcPr>
          <w:p w14:paraId="156C64C3" w14:textId="77777777" w:rsidR="002721FC" w:rsidRPr="002E71A5" w:rsidRDefault="002721FC" w:rsidP="006C0B52">
            <w:pPr>
              <w:tabs>
                <w:tab w:val="left" w:pos="3300"/>
              </w:tabs>
              <w:ind w:left="142" w:right="193"/>
              <w:jc w:val="left"/>
              <w:rPr>
                <w:i/>
              </w:rPr>
            </w:pPr>
            <w:r w:rsidRPr="002E71A5">
              <w:rPr>
                <w:i/>
              </w:rPr>
              <w:t>SUBSIDIO FAMILIAR</w:t>
            </w:r>
          </w:p>
        </w:tc>
        <w:tc>
          <w:tcPr>
            <w:tcW w:w="3133" w:type="dxa"/>
          </w:tcPr>
          <w:p w14:paraId="7A6239B8" w14:textId="77777777" w:rsidR="002721FC" w:rsidRPr="002E71A5" w:rsidRDefault="002721FC" w:rsidP="006C0B52">
            <w:pPr>
              <w:tabs>
                <w:tab w:val="left" w:pos="3300"/>
              </w:tabs>
              <w:ind w:left="142" w:right="193"/>
              <w:jc w:val="center"/>
              <w:rPr>
                <w:i/>
              </w:rPr>
            </w:pPr>
            <w:r w:rsidRPr="002E71A5">
              <w:rPr>
                <w:i/>
              </w:rPr>
              <w:t>([(SB*4%)+(SB*58,5%)]*30%)</w:t>
            </w:r>
          </w:p>
        </w:tc>
        <w:tc>
          <w:tcPr>
            <w:tcW w:w="2254" w:type="dxa"/>
          </w:tcPr>
          <w:p w14:paraId="254D407B" w14:textId="77777777" w:rsidR="002721FC" w:rsidRPr="002E71A5" w:rsidRDefault="002721FC" w:rsidP="006C0B52">
            <w:pPr>
              <w:tabs>
                <w:tab w:val="left" w:pos="3300"/>
              </w:tabs>
              <w:ind w:left="142" w:right="193"/>
              <w:rPr>
                <w:i/>
              </w:rPr>
            </w:pPr>
            <w:r w:rsidRPr="002E71A5">
              <w:rPr>
                <w:i/>
              </w:rPr>
              <w:t>$272.557.88</w:t>
            </w:r>
          </w:p>
        </w:tc>
      </w:tr>
      <w:tr w:rsidR="002721FC" w:rsidRPr="002E71A5" w14:paraId="27E1C14E" w14:textId="77777777" w:rsidTr="00675F2B">
        <w:tc>
          <w:tcPr>
            <w:tcW w:w="2835" w:type="dxa"/>
          </w:tcPr>
          <w:p w14:paraId="28E4F315" w14:textId="77777777" w:rsidR="002721FC" w:rsidRPr="002E71A5" w:rsidRDefault="002721FC" w:rsidP="006C0B52">
            <w:pPr>
              <w:tabs>
                <w:tab w:val="left" w:pos="3300"/>
              </w:tabs>
              <w:ind w:left="142" w:right="193"/>
              <w:jc w:val="left"/>
              <w:rPr>
                <w:b/>
                <w:i/>
              </w:rPr>
            </w:pPr>
            <w:r w:rsidRPr="002E71A5">
              <w:rPr>
                <w:b/>
                <w:i/>
              </w:rPr>
              <w:t>TOTAL ASIGNACION RETIRO</w:t>
            </w:r>
          </w:p>
        </w:tc>
        <w:tc>
          <w:tcPr>
            <w:tcW w:w="3133" w:type="dxa"/>
          </w:tcPr>
          <w:p w14:paraId="724E3322" w14:textId="77777777" w:rsidR="002721FC" w:rsidRPr="002E71A5" w:rsidRDefault="002721FC" w:rsidP="006C0B52">
            <w:pPr>
              <w:tabs>
                <w:tab w:val="left" w:pos="3300"/>
              </w:tabs>
              <w:ind w:left="142" w:right="193"/>
              <w:jc w:val="center"/>
              <w:rPr>
                <w:i/>
              </w:rPr>
            </w:pPr>
          </w:p>
        </w:tc>
        <w:tc>
          <w:tcPr>
            <w:tcW w:w="2254" w:type="dxa"/>
          </w:tcPr>
          <w:p w14:paraId="3D0C9CA2" w14:textId="77777777" w:rsidR="002721FC" w:rsidRPr="002E71A5" w:rsidRDefault="002721FC" w:rsidP="006C0B52">
            <w:pPr>
              <w:tabs>
                <w:tab w:val="left" w:pos="3300"/>
              </w:tabs>
              <w:ind w:left="142" w:right="193"/>
              <w:rPr>
                <w:b/>
                <w:i/>
              </w:rPr>
            </w:pPr>
            <w:r w:rsidRPr="002E71A5">
              <w:rPr>
                <w:b/>
                <w:i/>
              </w:rPr>
              <w:t>$1.681.863.00</w:t>
            </w:r>
          </w:p>
        </w:tc>
      </w:tr>
    </w:tbl>
    <w:p w14:paraId="1AC187A2" w14:textId="77777777" w:rsidR="002721FC" w:rsidRPr="002E71A5" w:rsidRDefault="002721FC" w:rsidP="006C0B52">
      <w:pPr>
        <w:ind w:left="142" w:right="193"/>
        <w:rPr>
          <w:sz w:val="22"/>
          <w:szCs w:val="22"/>
        </w:rPr>
      </w:pPr>
      <w:r w:rsidRPr="005F62C1">
        <w:rPr>
          <w:i/>
          <w:iCs/>
          <w:sz w:val="22"/>
          <w:szCs w:val="22"/>
        </w:rPr>
        <w:t>”</w:t>
      </w:r>
      <w:r w:rsidRPr="002E71A5">
        <w:rPr>
          <w:sz w:val="22"/>
          <w:szCs w:val="22"/>
        </w:rPr>
        <w:t>.</w:t>
      </w:r>
    </w:p>
    <w:p w14:paraId="0D7D1178" w14:textId="77777777" w:rsidR="002721FC" w:rsidRDefault="002721FC" w:rsidP="002721FC">
      <w:pPr>
        <w:spacing w:line="360" w:lineRule="auto"/>
        <w:ind w:firstLine="567"/>
        <w:rPr>
          <w:sz w:val="24"/>
          <w:szCs w:val="24"/>
        </w:rPr>
      </w:pPr>
    </w:p>
    <w:p w14:paraId="1213E43D" w14:textId="77777777" w:rsidR="002721FC" w:rsidRDefault="002721FC" w:rsidP="002721FC">
      <w:pPr>
        <w:spacing w:line="360" w:lineRule="auto"/>
        <w:rPr>
          <w:sz w:val="24"/>
          <w:szCs w:val="24"/>
        </w:rPr>
      </w:pPr>
      <w:r>
        <w:rPr>
          <w:sz w:val="24"/>
          <w:szCs w:val="24"/>
        </w:rPr>
        <w:t xml:space="preserve">5.3.2.- Por su parte, el Tribunal Administrativo de Córdoba y el </w:t>
      </w:r>
      <w:r w:rsidRPr="008F1BEB">
        <w:rPr>
          <w:sz w:val="24"/>
          <w:szCs w:val="24"/>
        </w:rPr>
        <w:t>Juzgado Quinto Administrativo Mixto del Circuito Judicial de Montería, guardaron silencio</w:t>
      </w:r>
      <w:r>
        <w:rPr>
          <w:sz w:val="24"/>
          <w:szCs w:val="24"/>
        </w:rPr>
        <w:t xml:space="preserve">. </w:t>
      </w:r>
    </w:p>
    <w:p w14:paraId="6DD1EA9C" w14:textId="77777777" w:rsidR="002721FC" w:rsidRDefault="002721FC" w:rsidP="002721FC">
      <w:pPr>
        <w:tabs>
          <w:tab w:val="left" w:pos="3300"/>
        </w:tabs>
        <w:spacing w:line="360" w:lineRule="auto"/>
        <w:rPr>
          <w:sz w:val="24"/>
          <w:szCs w:val="24"/>
        </w:rPr>
      </w:pPr>
    </w:p>
    <w:p w14:paraId="03429A84" w14:textId="77777777" w:rsidR="0030781F" w:rsidRDefault="0030781F" w:rsidP="002721FC">
      <w:pPr>
        <w:tabs>
          <w:tab w:val="left" w:pos="3300"/>
        </w:tabs>
        <w:spacing w:line="360" w:lineRule="auto"/>
        <w:rPr>
          <w:sz w:val="24"/>
          <w:szCs w:val="24"/>
        </w:rPr>
      </w:pPr>
    </w:p>
    <w:p w14:paraId="2D2E72FA" w14:textId="77777777" w:rsidR="0030781F" w:rsidRDefault="0030781F" w:rsidP="002721FC">
      <w:pPr>
        <w:tabs>
          <w:tab w:val="left" w:pos="3300"/>
        </w:tabs>
        <w:spacing w:line="360" w:lineRule="auto"/>
        <w:rPr>
          <w:sz w:val="24"/>
          <w:szCs w:val="24"/>
        </w:rPr>
      </w:pPr>
    </w:p>
    <w:p w14:paraId="69FD9D10" w14:textId="77777777" w:rsidR="0030781F" w:rsidRDefault="0030781F" w:rsidP="002721FC">
      <w:pPr>
        <w:tabs>
          <w:tab w:val="left" w:pos="3300"/>
        </w:tabs>
        <w:spacing w:line="360" w:lineRule="auto"/>
        <w:rPr>
          <w:sz w:val="24"/>
          <w:szCs w:val="24"/>
        </w:rPr>
      </w:pPr>
    </w:p>
    <w:p w14:paraId="29226679" w14:textId="77777777" w:rsidR="002721FC" w:rsidRDefault="002721FC" w:rsidP="002721FC">
      <w:pPr>
        <w:spacing w:line="360" w:lineRule="auto"/>
        <w:jc w:val="center"/>
        <w:rPr>
          <w:b/>
          <w:sz w:val="24"/>
          <w:szCs w:val="24"/>
        </w:rPr>
      </w:pPr>
      <w:r>
        <w:rPr>
          <w:b/>
          <w:sz w:val="24"/>
          <w:szCs w:val="24"/>
        </w:rPr>
        <w:lastRenderedPageBreak/>
        <w:t>II. CONSIDERACIONES</w:t>
      </w:r>
    </w:p>
    <w:p w14:paraId="27C1F6EA" w14:textId="77777777" w:rsidR="002721FC" w:rsidRDefault="002721FC" w:rsidP="002721FC">
      <w:pPr>
        <w:spacing w:line="360" w:lineRule="auto"/>
        <w:jc w:val="center"/>
        <w:rPr>
          <w:b/>
          <w:sz w:val="24"/>
          <w:szCs w:val="24"/>
        </w:rPr>
      </w:pPr>
    </w:p>
    <w:p w14:paraId="572A495F" w14:textId="77777777" w:rsidR="002721FC" w:rsidRDefault="002721FC" w:rsidP="002721FC">
      <w:pPr>
        <w:spacing w:line="360" w:lineRule="auto"/>
        <w:rPr>
          <w:b/>
          <w:sz w:val="24"/>
          <w:szCs w:val="24"/>
        </w:rPr>
      </w:pPr>
      <w:r>
        <w:rPr>
          <w:b/>
          <w:sz w:val="24"/>
          <w:szCs w:val="24"/>
        </w:rPr>
        <w:t xml:space="preserve">1.- Competencia </w:t>
      </w:r>
    </w:p>
    <w:p w14:paraId="0C4D9D9A" w14:textId="77777777" w:rsidR="002721FC" w:rsidRDefault="002721FC" w:rsidP="002721FC">
      <w:pPr>
        <w:spacing w:line="360" w:lineRule="auto"/>
        <w:rPr>
          <w:b/>
          <w:sz w:val="24"/>
          <w:szCs w:val="24"/>
        </w:rPr>
      </w:pPr>
    </w:p>
    <w:p w14:paraId="18A3D97D" w14:textId="77777777" w:rsidR="002721FC" w:rsidRPr="00553B3C" w:rsidRDefault="002721FC" w:rsidP="002721FC">
      <w:pPr>
        <w:spacing w:line="360" w:lineRule="auto"/>
        <w:rPr>
          <w:rFonts w:eastAsia="Arial"/>
          <w:sz w:val="24"/>
          <w:szCs w:val="24"/>
        </w:rPr>
      </w:pPr>
      <w:r>
        <w:rPr>
          <w:sz w:val="24"/>
          <w:szCs w:val="24"/>
        </w:rPr>
        <w:t xml:space="preserve">Esta Sala es competente para conocer de la acción de tutela interpuesta por </w:t>
      </w:r>
      <w:r w:rsidRPr="0094658C">
        <w:rPr>
          <w:sz w:val="24"/>
          <w:szCs w:val="24"/>
        </w:rPr>
        <w:t>Argemiro Senior Altamiranda</w:t>
      </w:r>
      <w:r>
        <w:rPr>
          <w:sz w:val="24"/>
          <w:szCs w:val="24"/>
        </w:rPr>
        <w:t xml:space="preserve"> en contra de la </w:t>
      </w:r>
      <w:r w:rsidRPr="0094658C">
        <w:rPr>
          <w:sz w:val="24"/>
          <w:szCs w:val="24"/>
        </w:rPr>
        <w:t>Sala Primera de Decisión del Tribunal Administrativo de Córdoba</w:t>
      </w:r>
      <w:r>
        <w:rPr>
          <w:sz w:val="24"/>
          <w:szCs w:val="24"/>
        </w:rPr>
        <w:t xml:space="preserve">, </w:t>
      </w:r>
      <w:r w:rsidRPr="00CF2F00">
        <w:rPr>
          <w:sz w:val="24"/>
          <w:szCs w:val="24"/>
        </w:rPr>
        <w:t xml:space="preserve">de conformidad </w:t>
      </w:r>
      <w:r w:rsidRPr="00CF2F00">
        <w:rPr>
          <w:rFonts w:eastAsia="Arial"/>
          <w:sz w:val="24"/>
          <w:szCs w:val="24"/>
        </w:rPr>
        <w:t>con lo establecido en los artículos 86 de la Constitución, 37 del Decreto 2591 de 1991 y 13 del Acuerdo 080 de 2019 de la Sala Plena del Consejo de Estado.</w:t>
      </w:r>
    </w:p>
    <w:p w14:paraId="60DB6142" w14:textId="77777777" w:rsidR="002721FC" w:rsidRDefault="002721FC" w:rsidP="002721FC">
      <w:pPr>
        <w:spacing w:line="360" w:lineRule="auto"/>
        <w:rPr>
          <w:b/>
          <w:sz w:val="24"/>
          <w:szCs w:val="24"/>
        </w:rPr>
      </w:pPr>
    </w:p>
    <w:p w14:paraId="5B2EFA71" w14:textId="40F64296" w:rsidR="002721FC" w:rsidRDefault="002721FC" w:rsidP="002721FC">
      <w:pPr>
        <w:spacing w:line="360" w:lineRule="auto"/>
        <w:rPr>
          <w:b/>
          <w:sz w:val="24"/>
          <w:szCs w:val="24"/>
        </w:rPr>
      </w:pPr>
      <w:r>
        <w:rPr>
          <w:b/>
          <w:sz w:val="24"/>
          <w:szCs w:val="24"/>
        </w:rPr>
        <w:t>2</w:t>
      </w:r>
      <w:r w:rsidR="00D12F85">
        <w:rPr>
          <w:b/>
          <w:sz w:val="24"/>
          <w:szCs w:val="24"/>
        </w:rPr>
        <w:t>.</w:t>
      </w:r>
      <w:r>
        <w:rPr>
          <w:b/>
          <w:sz w:val="24"/>
          <w:szCs w:val="24"/>
        </w:rPr>
        <w:t xml:space="preserve">- Problema jurídico </w:t>
      </w:r>
    </w:p>
    <w:p w14:paraId="344A963F" w14:textId="77777777" w:rsidR="002721FC" w:rsidRDefault="002721FC" w:rsidP="002721FC">
      <w:pPr>
        <w:spacing w:line="360" w:lineRule="auto"/>
        <w:rPr>
          <w:sz w:val="24"/>
          <w:szCs w:val="24"/>
        </w:rPr>
      </w:pPr>
    </w:p>
    <w:p w14:paraId="2C72B685" w14:textId="45BF6BA1" w:rsidR="002721FC" w:rsidRPr="00C3764D" w:rsidRDefault="002721FC" w:rsidP="002721FC">
      <w:pPr>
        <w:spacing w:line="360" w:lineRule="auto"/>
        <w:rPr>
          <w:rFonts w:eastAsia="Verdana"/>
          <w:sz w:val="24"/>
          <w:szCs w:val="24"/>
        </w:rPr>
      </w:pPr>
      <w:r w:rsidRPr="008D3CA9">
        <w:rPr>
          <w:rFonts w:eastAsia="Verdana"/>
          <w:sz w:val="24"/>
          <w:szCs w:val="24"/>
        </w:rPr>
        <w:t>La Sala abordará el cumplimiento de los requisitos generales de procedibilidad de la acción de tutela en contra de</w:t>
      </w:r>
      <w:r w:rsidRPr="00FE46A8">
        <w:rPr>
          <w:rFonts w:eastAsia="Verdana"/>
          <w:sz w:val="24"/>
          <w:szCs w:val="24"/>
        </w:rPr>
        <w:t xml:space="preserve"> providencia judicial</w:t>
      </w:r>
      <w:r w:rsidR="00400943">
        <w:rPr>
          <w:rFonts w:eastAsia="Verdana"/>
          <w:sz w:val="24"/>
          <w:szCs w:val="24"/>
        </w:rPr>
        <w:t>, d</w:t>
      </w:r>
      <w:r w:rsidRPr="00E234F5">
        <w:rPr>
          <w:rFonts w:eastAsia="Verdana"/>
          <w:sz w:val="24"/>
          <w:szCs w:val="24"/>
        </w:rPr>
        <w:t xml:space="preserve">e encontrar que </w:t>
      </w:r>
      <w:r>
        <w:rPr>
          <w:rFonts w:eastAsia="Verdana"/>
          <w:sz w:val="24"/>
          <w:szCs w:val="24"/>
        </w:rPr>
        <w:t>aquellos</w:t>
      </w:r>
      <w:r w:rsidRPr="00E234F5">
        <w:rPr>
          <w:rFonts w:eastAsia="Verdana"/>
          <w:sz w:val="24"/>
          <w:szCs w:val="24"/>
        </w:rPr>
        <w:t xml:space="preserve"> se encuentran superados, pasará a realizar el examen </w:t>
      </w:r>
      <w:r>
        <w:rPr>
          <w:rFonts w:eastAsia="Verdana"/>
          <w:sz w:val="24"/>
          <w:szCs w:val="24"/>
        </w:rPr>
        <w:t>de los defectos alegados</w:t>
      </w:r>
      <w:r w:rsidRPr="00E234F5">
        <w:rPr>
          <w:sz w:val="24"/>
        </w:rPr>
        <w:t>.</w:t>
      </w:r>
    </w:p>
    <w:p w14:paraId="47D0D8AB" w14:textId="77777777" w:rsidR="002721FC" w:rsidRDefault="002721FC" w:rsidP="002721FC">
      <w:pPr>
        <w:rPr>
          <w:sz w:val="24"/>
          <w:szCs w:val="24"/>
        </w:rPr>
      </w:pPr>
    </w:p>
    <w:p w14:paraId="3214F57C" w14:textId="77777777" w:rsidR="002721FC" w:rsidRDefault="002721FC" w:rsidP="002721FC">
      <w:pPr>
        <w:spacing w:line="360" w:lineRule="auto"/>
        <w:rPr>
          <w:b/>
          <w:sz w:val="24"/>
          <w:szCs w:val="24"/>
        </w:rPr>
      </w:pPr>
      <w:r>
        <w:rPr>
          <w:b/>
          <w:sz w:val="24"/>
          <w:szCs w:val="24"/>
        </w:rPr>
        <w:t xml:space="preserve">3.- La acción de tutela en contra de providencias judiciales </w:t>
      </w:r>
    </w:p>
    <w:p w14:paraId="691A55F5" w14:textId="77777777" w:rsidR="002721FC" w:rsidRDefault="002721FC" w:rsidP="002721FC">
      <w:pPr>
        <w:spacing w:line="360" w:lineRule="auto"/>
        <w:rPr>
          <w:b/>
          <w:sz w:val="24"/>
          <w:szCs w:val="24"/>
        </w:rPr>
      </w:pPr>
    </w:p>
    <w:p w14:paraId="326095E2" w14:textId="77777777" w:rsidR="002721FC" w:rsidRPr="00CF2F00" w:rsidRDefault="002721FC" w:rsidP="002721FC">
      <w:pPr>
        <w:spacing w:line="360" w:lineRule="auto"/>
        <w:rPr>
          <w:sz w:val="24"/>
          <w:szCs w:val="24"/>
        </w:rPr>
      </w:pPr>
      <w:r w:rsidRPr="00CF2F00">
        <w:rPr>
          <w:sz w:val="24"/>
          <w:szCs w:val="24"/>
        </w:rPr>
        <w:t>La Corte Constitucional en sentencia C-590 de 2005</w:t>
      </w:r>
      <w:r w:rsidRPr="00CF2F00">
        <w:rPr>
          <w:rStyle w:val="Refdenotaalpie"/>
          <w:sz w:val="24"/>
          <w:szCs w:val="24"/>
        </w:rPr>
        <w:footnoteReference w:id="15"/>
      </w:r>
      <w:r w:rsidRPr="00CF2F00">
        <w:rPr>
          <w:sz w:val="24"/>
          <w:szCs w:val="24"/>
        </w:rPr>
        <w:t xml:space="preserve"> reconoció que la acción de tutela en contra de providencias judiciales está sujeta al cumplimiento de rigurosos requisitos de procedibilidad</w:t>
      </w:r>
      <w:r w:rsidRPr="00CF2F00">
        <w:rPr>
          <w:rStyle w:val="Refdenotaalpie"/>
          <w:sz w:val="24"/>
          <w:szCs w:val="24"/>
        </w:rPr>
        <w:footnoteReference w:id="16"/>
      </w:r>
      <w:r w:rsidRPr="00CF2F00">
        <w:rPr>
          <w:sz w:val="24"/>
          <w:szCs w:val="24"/>
        </w:rPr>
        <w:t xml:space="preserve"> y de procedencia</w:t>
      </w:r>
      <w:r w:rsidRPr="00CF2F00">
        <w:rPr>
          <w:rStyle w:val="Refdenotaalpie"/>
          <w:sz w:val="24"/>
          <w:szCs w:val="24"/>
        </w:rPr>
        <w:footnoteReference w:id="17"/>
      </w:r>
      <w:r w:rsidRPr="00CF2F00">
        <w:rPr>
          <w:sz w:val="24"/>
          <w:szCs w:val="24"/>
        </w:rPr>
        <w:t>, con el fin de determinar si se vulneraron o no los derechos de orden superior.</w:t>
      </w:r>
    </w:p>
    <w:p w14:paraId="3E62DEEF" w14:textId="77777777" w:rsidR="002721FC" w:rsidRDefault="002721FC" w:rsidP="002721FC">
      <w:pPr>
        <w:tabs>
          <w:tab w:val="left" w:pos="3300"/>
        </w:tabs>
        <w:spacing w:line="360" w:lineRule="auto"/>
        <w:rPr>
          <w:sz w:val="24"/>
          <w:szCs w:val="24"/>
        </w:rPr>
      </w:pPr>
    </w:p>
    <w:p w14:paraId="720F5CE0" w14:textId="77777777" w:rsidR="002721FC" w:rsidRPr="008D3CA9" w:rsidRDefault="002721FC" w:rsidP="002721FC">
      <w:pPr>
        <w:spacing w:line="360" w:lineRule="auto"/>
        <w:rPr>
          <w:rFonts w:eastAsia="Verdana"/>
          <w:b/>
          <w:sz w:val="24"/>
          <w:szCs w:val="24"/>
        </w:rPr>
      </w:pPr>
      <w:r w:rsidRPr="008D3CA9">
        <w:rPr>
          <w:rFonts w:eastAsia="Verdana"/>
          <w:b/>
          <w:sz w:val="24"/>
          <w:szCs w:val="24"/>
        </w:rPr>
        <w:t xml:space="preserve">4.- El cumplimiento de los requisitos generales de la acción de tutela en el caso concreto </w:t>
      </w:r>
    </w:p>
    <w:p w14:paraId="526AE659" w14:textId="77777777" w:rsidR="002721FC" w:rsidRDefault="002721FC" w:rsidP="002721FC">
      <w:pPr>
        <w:rPr>
          <w:sz w:val="24"/>
          <w:szCs w:val="24"/>
        </w:rPr>
      </w:pPr>
    </w:p>
    <w:p w14:paraId="6A13D09A" w14:textId="77777777" w:rsidR="002721FC" w:rsidRDefault="002721FC" w:rsidP="002721FC">
      <w:pPr>
        <w:spacing w:line="360" w:lineRule="auto"/>
        <w:rPr>
          <w:sz w:val="24"/>
          <w:szCs w:val="24"/>
        </w:rPr>
      </w:pPr>
      <w:r>
        <w:rPr>
          <w:sz w:val="24"/>
          <w:szCs w:val="24"/>
        </w:rPr>
        <w:t xml:space="preserve">4.1.- Frente a los cargos relacionados con los defectos sustantivo y de violación directa de la Constitución endilgados a la autoridad </w:t>
      </w:r>
      <w:r w:rsidRPr="0005016E">
        <w:rPr>
          <w:sz w:val="24"/>
          <w:szCs w:val="24"/>
        </w:rPr>
        <w:t>judicial por confirmar la negativa del reajuste del subsidio familiar de conformidad con lo establecido en el Decreto 1794 de 2000, se advierte que est</w:t>
      </w:r>
      <w:r>
        <w:rPr>
          <w:sz w:val="24"/>
          <w:szCs w:val="24"/>
        </w:rPr>
        <w:t>os</w:t>
      </w:r>
      <w:r w:rsidRPr="0005016E">
        <w:rPr>
          <w:sz w:val="24"/>
          <w:szCs w:val="24"/>
        </w:rPr>
        <w:t xml:space="preserve"> no cumple</w:t>
      </w:r>
      <w:r>
        <w:rPr>
          <w:sz w:val="24"/>
          <w:szCs w:val="24"/>
        </w:rPr>
        <w:t>n</w:t>
      </w:r>
      <w:r w:rsidRPr="0005016E">
        <w:rPr>
          <w:sz w:val="24"/>
          <w:szCs w:val="24"/>
        </w:rPr>
        <w:t xml:space="preserve"> el requisito de relevancia constitucional, pues pese a que contiene</w:t>
      </w:r>
      <w:r>
        <w:rPr>
          <w:sz w:val="24"/>
          <w:szCs w:val="24"/>
        </w:rPr>
        <w:t>n</w:t>
      </w:r>
      <w:r w:rsidRPr="0005016E">
        <w:rPr>
          <w:sz w:val="24"/>
          <w:szCs w:val="24"/>
        </w:rPr>
        <w:t xml:space="preserve"> una carga argumentativa</w:t>
      </w:r>
      <w:r>
        <w:rPr>
          <w:sz w:val="24"/>
          <w:szCs w:val="24"/>
        </w:rPr>
        <w:t xml:space="preserve">, </w:t>
      </w:r>
      <w:r>
        <w:rPr>
          <w:i/>
          <w:sz w:val="24"/>
          <w:szCs w:val="24"/>
        </w:rPr>
        <w:t>prima facie,</w:t>
      </w:r>
      <w:r w:rsidRPr="0005016E">
        <w:rPr>
          <w:sz w:val="24"/>
          <w:szCs w:val="24"/>
        </w:rPr>
        <w:t xml:space="preserve"> suficiente, </w:t>
      </w:r>
      <w:r>
        <w:rPr>
          <w:sz w:val="24"/>
          <w:szCs w:val="24"/>
        </w:rPr>
        <w:t xml:space="preserve">tienen como fin, ciertamente, </w:t>
      </w:r>
      <w:r w:rsidRPr="0005016E">
        <w:rPr>
          <w:sz w:val="24"/>
          <w:szCs w:val="24"/>
        </w:rPr>
        <w:t xml:space="preserve">revivir el análisis jurídico efectuado por la Sala Primera de Decisión del Tribunal </w:t>
      </w:r>
      <w:r w:rsidRPr="0005016E">
        <w:rPr>
          <w:sz w:val="24"/>
          <w:szCs w:val="24"/>
        </w:rPr>
        <w:lastRenderedPageBreak/>
        <w:t>Administrativo de Córdoba</w:t>
      </w:r>
      <w:r>
        <w:rPr>
          <w:sz w:val="24"/>
          <w:szCs w:val="24"/>
        </w:rPr>
        <w:t xml:space="preserve">, dentro del proceso de nulidad y restablecimiento del derecho de radicado No. </w:t>
      </w:r>
      <w:r w:rsidRPr="0094658C">
        <w:rPr>
          <w:sz w:val="24"/>
          <w:szCs w:val="24"/>
        </w:rPr>
        <w:t>23001-33-33-005-2017-00085-01</w:t>
      </w:r>
      <w:r>
        <w:rPr>
          <w:sz w:val="24"/>
          <w:szCs w:val="24"/>
        </w:rPr>
        <w:t>.</w:t>
      </w:r>
    </w:p>
    <w:p w14:paraId="15368FD8" w14:textId="77777777" w:rsidR="002721FC" w:rsidRDefault="002721FC" w:rsidP="002721FC">
      <w:pPr>
        <w:spacing w:line="360" w:lineRule="auto"/>
        <w:rPr>
          <w:sz w:val="24"/>
          <w:szCs w:val="24"/>
        </w:rPr>
      </w:pPr>
    </w:p>
    <w:p w14:paraId="69391A86" w14:textId="77777777" w:rsidR="002721FC" w:rsidRDefault="002721FC" w:rsidP="002721FC">
      <w:pPr>
        <w:spacing w:line="360" w:lineRule="auto"/>
        <w:rPr>
          <w:sz w:val="24"/>
          <w:szCs w:val="24"/>
        </w:rPr>
      </w:pPr>
      <w:r>
        <w:rPr>
          <w:sz w:val="24"/>
          <w:szCs w:val="24"/>
        </w:rPr>
        <w:t>Al efecto, se observa que la autoridad judicial accionada explicó, en la sentencia del 30 de diciembre de 2020, que:</w:t>
      </w:r>
    </w:p>
    <w:p w14:paraId="4EBB6457" w14:textId="77777777" w:rsidR="002721FC" w:rsidRDefault="002721FC" w:rsidP="002721FC">
      <w:pPr>
        <w:spacing w:line="360" w:lineRule="auto"/>
        <w:rPr>
          <w:sz w:val="24"/>
          <w:szCs w:val="24"/>
        </w:rPr>
      </w:pPr>
    </w:p>
    <w:p w14:paraId="06053966" w14:textId="77777777" w:rsidR="002721FC" w:rsidRPr="00135A9C" w:rsidRDefault="002721FC" w:rsidP="006C0B52">
      <w:pPr>
        <w:ind w:left="142" w:right="192"/>
        <w:rPr>
          <w:i/>
          <w:sz w:val="22"/>
          <w:szCs w:val="22"/>
        </w:rPr>
      </w:pPr>
      <w:r w:rsidRPr="00135A9C">
        <w:rPr>
          <w:i/>
          <w:sz w:val="22"/>
          <w:szCs w:val="22"/>
        </w:rPr>
        <w:t xml:space="preserve">“En cuanto al subsidio familiar para los soldados que causen su derecho a la asignación de retiro con posterioridad a julio de 2014, dicha sentencia [de radicado No. </w:t>
      </w:r>
      <w:r w:rsidRPr="00135A9C">
        <w:rPr>
          <w:i/>
        </w:rPr>
        <w:t>85001-33-33-002-2013-00237-01 (1701-2016)</w:t>
      </w:r>
      <w:r w:rsidRPr="00135A9C">
        <w:rPr>
          <w:i/>
          <w:sz w:val="22"/>
          <w:szCs w:val="22"/>
        </w:rPr>
        <w:t xml:space="preserve">] concluyó lo siguiente: </w:t>
      </w:r>
    </w:p>
    <w:p w14:paraId="11779EBA" w14:textId="77777777" w:rsidR="002721FC" w:rsidRPr="002E71A5" w:rsidRDefault="002721FC" w:rsidP="006C0B52">
      <w:pPr>
        <w:ind w:left="142" w:right="192"/>
        <w:rPr>
          <w:i/>
        </w:rPr>
      </w:pPr>
    </w:p>
    <w:p w14:paraId="3511008A" w14:textId="77777777" w:rsidR="002721FC" w:rsidRPr="006C0B52" w:rsidRDefault="002721FC" w:rsidP="006C0B52">
      <w:pPr>
        <w:ind w:left="284" w:right="334"/>
        <w:rPr>
          <w:i/>
        </w:rPr>
      </w:pPr>
      <w:r w:rsidRPr="002E71A5">
        <w:rPr>
          <w:i/>
        </w:rPr>
        <w:t xml:space="preserve">En conclusión, [l]os soldados profesionales que causen su derecho a la asignación de retiro a partir de julio de 2014 tendrán derecho a que se incluya el subsidio familiar como partida computable en dicha </w:t>
      </w:r>
      <w:r w:rsidRPr="006C0B52">
        <w:rPr>
          <w:i/>
        </w:rPr>
        <w:t>prestación, así: en el porcentaje del 30% para quienes al momento de su retiro estén devengado el subsidio familiar regulado en el Decreto 1794 de 20003 y, en porcentaje del 70%, para el personal de soldados profesionales que no percibía tal partida.</w:t>
      </w:r>
    </w:p>
    <w:p w14:paraId="684E8619" w14:textId="77777777" w:rsidR="002721FC" w:rsidRPr="006C0B52" w:rsidRDefault="002721FC" w:rsidP="006C0B52">
      <w:pPr>
        <w:ind w:left="284" w:right="334"/>
        <w:rPr>
          <w:i/>
        </w:rPr>
      </w:pPr>
    </w:p>
    <w:p w14:paraId="277B505D" w14:textId="77777777" w:rsidR="002721FC" w:rsidRPr="006C0B52" w:rsidRDefault="002721FC" w:rsidP="006C0B52">
      <w:pPr>
        <w:ind w:left="284" w:right="334"/>
        <w:rPr>
          <w:i/>
        </w:rPr>
      </w:pPr>
      <w:r w:rsidRPr="006C0B52">
        <w:rPr>
          <w:i/>
        </w:rPr>
        <w:t>(…)</w:t>
      </w:r>
    </w:p>
    <w:p w14:paraId="40C6CD1D" w14:textId="77777777" w:rsidR="002721FC" w:rsidRPr="006C0B52" w:rsidRDefault="002721FC" w:rsidP="006C0B52">
      <w:pPr>
        <w:ind w:left="142" w:right="192"/>
        <w:rPr>
          <w:i/>
        </w:rPr>
      </w:pPr>
    </w:p>
    <w:p w14:paraId="25B79665" w14:textId="77777777" w:rsidR="002721FC" w:rsidRPr="0005016E" w:rsidRDefault="002721FC" w:rsidP="006C0B52">
      <w:pPr>
        <w:ind w:left="142" w:right="192"/>
        <w:rPr>
          <w:i/>
          <w:sz w:val="22"/>
          <w:szCs w:val="22"/>
        </w:rPr>
      </w:pPr>
      <w:r w:rsidRPr="006C0B52">
        <w:rPr>
          <w:i/>
          <w:sz w:val="22"/>
          <w:szCs w:val="22"/>
        </w:rPr>
        <w:t>Revisado el material probatorio se tiene que, en relación con la pretensión de reliquidación de la asignación de retiro incluyendo como partida computable el subsidio familiar, se precisa que el actor al momento de su retiro devengaba el subsidio familiar regulado en el Decreto 1794 de 2000 en un porcentaje de 30%, por lo que al liquidarle su asignación de retiro lo tuvieron en cuenta como partida computable en el mismo porcentaje, por lo que es dable concluir que este reconocimiento no está viciado de nulidad, toda vez que al causarse su derecho a la asignación de retiro con posterioridad a julio de 2014, lo procedente era incluir el subsidio familiar devengado en actividad”</w:t>
      </w:r>
      <w:r w:rsidRPr="006C0B52">
        <w:rPr>
          <w:rStyle w:val="Refdenotaalpie"/>
          <w:iCs/>
          <w:sz w:val="22"/>
          <w:szCs w:val="22"/>
        </w:rPr>
        <w:footnoteReference w:id="18"/>
      </w:r>
      <w:r w:rsidRPr="006C0B52">
        <w:rPr>
          <w:iCs/>
          <w:sz w:val="22"/>
          <w:szCs w:val="22"/>
        </w:rPr>
        <w:t>.</w:t>
      </w:r>
    </w:p>
    <w:p w14:paraId="0F1177C3" w14:textId="77777777" w:rsidR="002721FC" w:rsidRDefault="002721FC" w:rsidP="002721FC">
      <w:pPr>
        <w:spacing w:line="360" w:lineRule="auto"/>
        <w:rPr>
          <w:sz w:val="24"/>
          <w:szCs w:val="24"/>
        </w:rPr>
      </w:pPr>
    </w:p>
    <w:p w14:paraId="2C2C29DD" w14:textId="77777777" w:rsidR="002721FC" w:rsidRDefault="002721FC" w:rsidP="002721FC">
      <w:pPr>
        <w:spacing w:line="360" w:lineRule="auto"/>
        <w:rPr>
          <w:sz w:val="24"/>
          <w:szCs w:val="24"/>
        </w:rPr>
      </w:pPr>
      <w:r>
        <w:rPr>
          <w:sz w:val="24"/>
          <w:szCs w:val="24"/>
        </w:rPr>
        <w:t>Con esto, resulta evidente que lo pretendido por el tutelante es que se analice nuevamente, la procedencia del reajuste del subsidio familiar al liquidar su asignación de retiro,</w:t>
      </w:r>
      <w:r w:rsidRPr="00135A9C">
        <w:rPr>
          <w:sz w:val="24"/>
          <w:szCs w:val="24"/>
        </w:rPr>
        <w:t xml:space="preserve"> </w:t>
      </w:r>
      <w:r>
        <w:rPr>
          <w:sz w:val="24"/>
          <w:szCs w:val="24"/>
        </w:rPr>
        <w:t xml:space="preserve">pues </w:t>
      </w:r>
      <w:r w:rsidRPr="00CF2F00">
        <w:rPr>
          <w:sz w:val="24"/>
          <w:szCs w:val="24"/>
        </w:rPr>
        <w:t>si bien señaló la configuración de dos defectos, lo cierto es que repite los argumentos propuestos en sede ordinaria</w:t>
      </w:r>
      <w:r>
        <w:rPr>
          <w:sz w:val="24"/>
          <w:szCs w:val="24"/>
        </w:rPr>
        <w:t>,</w:t>
      </w:r>
      <w:r w:rsidRPr="00CF2F00">
        <w:rPr>
          <w:sz w:val="24"/>
          <w:szCs w:val="24"/>
        </w:rPr>
        <w:t xml:space="preserve"> tanto en la demanda, como en el recurso de apelación incoado en contra de la sentencia de primera ins</w:t>
      </w:r>
      <w:r>
        <w:rPr>
          <w:sz w:val="24"/>
          <w:szCs w:val="24"/>
        </w:rPr>
        <w:t xml:space="preserve">tancia; razón por la que la Sala declarará la improcedencia de estos reproches, por falta de relevancia constitucional. </w:t>
      </w:r>
    </w:p>
    <w:p w14:paraId="354EDBB4" w14:textId="77777777" w:rsidR="002721FC" w:rsidRDefault="002721FC" w:rsidP="002721FC">
      <w:pPr>
        <w:spacing w:line="360" w:lineRule="auto"/>
        <w:rPr>
          <w:sz w:val="24"/>
          <w:szCs w:val="24"/>
        </w:rPr>
      </w:pPr>
    </w:p>
    <w:p w14:paraId="2D4F48C1" w14:textId="745D18E5" w:rsidR="002721FC" w:rsidRDefault="002721FC" w:rsidP="002721FC">
      <w:pPr>
        <w:spacing w:line="360" w:lineRule="auto"/>
        <w:rPr>
          <w:sz w:val="24"/>
          <w:szCs w:val="24"/>
        </w:rPr>
      </w:pPr>
      <w:r>
        <w:rPr>
          <w:sz w:val="24"/>
          <w:szCs w:val="24"/>
        </w:rPr>
        <w:t xml:space="preserve">4.2.- No obstante, el argumento referido a la liquidación de la prima de antigüedad, en el que se alega el desconocimiento de los criterios planteados por la Sección Segunda de </w:t>
      </w:r>
      <w:r w:rsidRPr="00FA3ED9">
        <w:rPr>
          <w:sz w:val="24"/>
          <w:szCs w:val="24"/>
        </w:rPr>
        <w:t xml:space="preserve">esta Colegiatura mediante la sentencia SUJ-015-CE-S2-2019, goza de </w:t>
      </w:r>
      <w:r w:rsidRPr="00FA3ED9">
        <w:rPr>
          <w:i/>
          <w:sz w:val="24"/>
          <w:szCs w:val="24"/>
        </w:rPr>
        <w:t xml:space="preserve">relevancia constitucional, </w:t>
      </w:r>
      <w:r w:rsidRPr="00FA3ED9">
        <w:rPr>
          <w:sz w:val="24"/>
          <w:szCs w:val="24"/>
        </w:rPr>
        <w:t>puesto que trata de dilucidar si la decisión de la Sala Primera de Decisión del Tribunal Administrativo de Córdoba</w:t>
      </w:r>
      <w:r>
        <w:rPr>
          <w:sz w:val="24"/>
          <w:szCs w:val="24"/>
        </w:rPr>
        <w:t xml:space="preserve"> desconoció los derechos fundamentales invocados. </w:t>
      </w:r>
    </w:p>
    <w:p w14:paraId="3290F28B" w14:textId="77777777" w:rsidR="006C0B52" w:rsidRDefault="006C0B52" w:rsidP="002721FC">
      <w:pPr>
        <w:spacing w:line="360" w:lineRule="auto"/>
        <w:rPr>
          <w:sz w:val="24"/>
          <w:szCs w:val="24"/>
        </w:rPr>
      </w:pPr>
    </w:p>
    <w:p w14:paraId="002E9960" w14:textId="77777777" w:rsidR="002721FC" w:rsidRDefault="002721FC" w:rsidP="002721FC">
      <w:pPr>
        <w:spacing w:line="360" w:lineRule="auto"/>
        <w:rPr>
          <w:sz w:val="24"/>
          <w:szCs w:val="24"/>
        </w:rPr>
      </w:pPr>
      <w:r>
        <w:rPr>
          <w:sz w:val="24"/>
          <w:szCs w:val="24"/>
        </w:rPr>
        <w:t>En efecto, este cargo propone, básicamente, que la liquidación de la prima de antigüedad se efectuó se la siguiente manera:</w:t>
      </w:r>
    </w:p>
    <w:p w14:paraId="16BEB9D1" w14:textId="77777777" w:rsidR="002721FC" w:rsidRPr="002E71A5" w:rsidRDefault="002721FC" w:rsidP="002721FC">
      <w:pPr>
        <w:spacing w:line="360" w:lineRule="auto"/>
        <w:rPr>
          <w:sz w:val="13"/>
          <w:szCs w:val="13"/>
        </w:rPr>
      </w:pPr>
    </w:p>
    <w:tbl>
      <w:tblPr>
        <w:tblStyle w:val="Tablaconcuadrcula"/>
        <w:tblW w:w="0" w:type="auto"/>
        <w:tblInd w:w="562" w:type="dxa"/>
        <w:tblLook w:val="04A0" w:firstRow="1" w:lastRow="0" w:firstColumn="1" w:lastColumn="0" w:noHBand="0" w:noVBand="1"/>
      </w:tblPr>
      <w:tblGrid>
        <w:gridCol w:w="2835"/>
        <w:gridCol w:w="3133"/>
        <w:gridCol w:w="2254"/>
      </w:tblGrid>
      <w:tr w:rsidR="002721FC" w:rsidRPr="002E71A5" w14:paraId="09B04FE6" w14:textId="77777777" w:rsidTr="00675F2B">
        <w:tc>
          <w:tcPr>
            <w:tcW w:w="2835" w:type="dxa"/>
          </w:tcPr>
          <w:p w14:paraId="2DEB3469" w14:textId="77777777" w:rsidR="002721FC" w:rsidRPr="002E71A5" w:rsidRDefault="002721FC" w:rsidP="00675F2B">
            <w:pPr>
              <w:tabs>
                <w:tab w:val="left" w:pos="1380"/>
              </w:tabs>
              <w:spacing w:line="276" w:lineRule="auto"/>
              <w:jc w:val="center"/>
            </w:pPr>
            <w:r w:rsidRPr="002E71A5">
              <w:lastRenderedPageBreak/>
              <w:t>Salario Básico (SB)</w:t>
            </w:r>
          </w:p>
        </w:tc>
        <w:tc>
          <w:tcPr>
            <w:tcW w:w="3133" w:type="dxa"/>
          </w:tcPr>
          <w:p w14:paraId="33466BCE" w14:textId="77777777" w:rsidR="002721FC" w:rsidRPr="002E71A5" w:rsidRDefault="002721FC" w:rsidP="00675F2B">
            <w:pPr>
              <w:tabs>
                <w:tab w:val="left" w:pos="3300"/>
              </w:tabs>
              <w:spacing w:line="276" w:lineRule="auto"/>
              <w:jc w:val="center"/>
            </w:pPr>
            <w:r w:rsidRPr="002E71A5">
              <w:t>SMMLV + 60%</w:t>
            </w:r>
          </w:p>
        </w:tc>
        <w:tc>
          <w:tcPr>
            <w:tcW w:w="2254" w:type="dxa"/>
          </w:tcPr>
          <w:p w14:paraId="2FA28AB7" w14:textId="77777777" w:rsidR="002721FC" w:rsidRPr="002E71A5" w:rsidRDefault="002721FC" w:rsidP="00675F2B">
            <w:pPr>
              <w:tabs>
                <w:tab w:val="left" w:pos="3300"/>
              </w:tabs>
              <w:spacing w:line="276" w:lineRule="auto"/>
              <w:ind w:right="-250"/>
              <w:jc w:val="center"/>
            </w:pPr>
            <w:r w:rsidRPr="002E71A5">
              <w:t>$1.453.642.00</w:t>
            </w:r>
          </w:p>
        </w:tc>
      </w:tr>
      <w:tr w:rsidR="002721FC" w:rsidRPr="002E71A5" w14:paraId="75C03559" w14:textId="77777777" w:rsidTr="00675F2B">
        <w:tc>
          <w:tcPr>
            <w:tcW w:w="2835" w:type="dxa"/>
          </w:tcPr>
          <w:p w14:paraId="4BF5CD9F" w14:textId="77777777" w:rsidR="002721FC" w:rsidRPr="002E71A5" w:rsidRDefault="002721FC" w:rsidP="00675F2B">
            <w:pPr>
              <w:tabs>
                <w:tab w:val="left" w:pos="3300"/>
              </w:tabs>
              <w:spacing w:line="276" w:lineRule="auto"/>
              <w:jc w:val="center"/>
            </w:pPr>
            <w:r w:rsidRPr="002E71A5">
              <w:t>70% del salario mensual</w:t>
            </w:r>
          </w:p>
        </w:tc>
        <w:tc>
          <w:tcPr>
            <w:tcW w:w="3133" w:type="dxa"/>
          </w:tcPr>
          <w:p w14:paraId="2FDE26E7" w14:textId="77777777" w:rsidR="002721FC" w:rsidRPr="002E71A5" w:rsidRDefault="002721FC" w:rsidP="00675F2B">
            <w:pPr>
              <w:tabs>
                <w:tab w:val="left" w:pos="3300"/>
              </w:tabs>
              <w:spacing w:line="276" w:lineRule="auto"/>
              <w:jc w:val="center"/>
            </w:pPr>
            <w:r w:rsidRPr="002E71A5">
              <w:t>SB * 70%</w:t>
            </w:r>
          </w:p>
        </w:tc>
        <w:tc>
          <w:tcPr>
            <w:tcW w:w="2254" w:type="dxa"/>
          </w:tcPr>
          <w:p w14:paraId="78873319" w14:textId="77777777" w:rsidR="002721FC" w:rsidRPr="002E71A5" w:rsidRDefault="002721FC" w:rsidP="00675F2B">
            <w:pPr>
              <w:tabs>
                <w:tab w:val="left" w:pos="3300"/>
              </w:tabs>
              <w:spacing w:line="276" w:lineRule="auto"/>
              <w:ind w:right="-250"/>
              <w:jc w:val="center"/>
            </w:pPr>
            <w:r w:rsidRPr="002E71A5">
              <w:t>$1.017.549.00</w:t>
            </w:r>
          </w:p>
        </w:tc>
      </w:tr>
      <w:tr w:rsidR="002721FC" w:rsidRPr="002E71A5" w14:paraId="7BC9A7FE" w14:textId="77777777" w:rsidTr="00675F2B">
        <w:tc>
          <w:tcPr>
            <w:tcW w:w="2835" w:type="dxa"/>
          </w:tcPr>
          <w:p w14:paraId="69CB8D7E" w14:textId="77777777" w:rsidR="002721FC" w:rsidRPr="002E71A5" w:rsidRDefault="002721FC" w:rsidP="00675F2B">
            <w:pPr>
              <w:tabs>
                <w:tab w:val="left" w:pos="3300"/>
              </w:tabs>
              <w:spacing w:line="276" w:lineRule="auto"/>
              <w:jc w:val="center"/>
            </w:pPr>
            <w:r w:rsidRPr="002E71A5">
              <w:t>Prima de antigüedad</w:t>
            </w:r>
          </w:p>
        </w:tc>
        <w:tc>
          <w:tcPr>
            <w:tcW w:w="3133" w:type="dxa"/>
          </w:tcPr>
          <w:p w14:paraId="410005D9" w14:textId="77777777" w:rsidR="002721FC" w:rsidRPr="002E71A5" w:rsidRDefault="002721FC" w:rsidP="00675F2B">
            <w:pPr>
              <w:tabs>
                <w:tab w:val="left" w:pos="3300"/>
              </w:tabs>
              <w:spacing w:line="276" w:lineRule="auto"/>
              <w:jc w:val="center"/>
            </w:pPr>
            <w:r w:rsidRPr="002E71A5">
              <w:rPr>
                <w:b/>
              </w:rPr>
              <w:t>(SB*70%)</w:t>
            </w:r>
            <w:r w:rsidRPr="002E71A5">
              <w:t xml:space="preserve"> * 38,5 %</w:t>
            </w:r>
          </w:p>
        </w:tc>
        <w:tc>
          <w:tcPr>
            <w:tcW w:w="2254" w:type="dxa"/>
          </w:tcPr>
          <w:p w14:paraId="38ED1EF6" w14:textId="77777777" w:rsidR="002721FC" w:rsidRPr="002E71A5" w:rsidRDefault="002721FC" w:rsidP="00675F2B">
            <w:pPr>
              <w:tabs>
                <w:tab w:val="left" w:pos="3300"/>
              </w:tabs>
              <w:spacing w:line="276" w:lineRule="auto"/>
              <w:ind w:right="-250"/>
              <w:jc w:val="center"/>
              <w:rPr>
                <w:b/>
                <w:u w:val="single"/>
              </w:rPr>
            </w:pPr>
            <w:r w:rsidRPr="002E71A5">
              <w:rPr>
                <w:b/>
                <w:u w:val="single"/>
              </w:rPr>
              <w:t>$391.756.52</w:t>
            </w:r>
          </w:p>
        </w:tc>
      </w:tr>
    </w:tbl>
    <w:p w14:paraId="023EB94F" w14:textId="77777777" w:rsidR="002721FC" w:rsidRPr="002E71A5" w:rsidRDefault="002721FC" w:rsidP="002721FC">
      <w:pPr>
        <w:spacing w:line="360" w:lineRule="auto"/>
      </w:pPr>
    </w:p>
    <w:p w14:paraId="3B57ACE5" w14:textId="77777777" w:rsidR="002721FC" w:rsidRDefault="002721FC" w:rsidP="002721FC">
      <w:pPr>
        <w:spacing w:line="360" w:lineRule="auto"/>
        <w:rPr>
          <w:sz w:val="24"/>
          <w:szCs w:val="24"/>
        </w:rPr>
      </w:pPr>
      <w:r>
        <w:rPr>
          <w:sz w:val="24"/>
          <w:szCs w:val="24"/>
        </w:rPr>
        <w:t>Pero, según el peticionario, la forma correcta de tasar la prima de antigüedad debe ser la que sigue:</w:t>
      </w:r>
    </w:p>
    <w:p w14:paraId="2D909294" w14:textId="77777777" w:rsidR="002721FC" w:rsidRPr="002E71A5" w:rsidRDefault="002721FC" w:rsidP="002721FC">
      <w:pPr>
        <w:spacing w:line="360" w:lineRule="auto"/>
        <w:rPr>
          <w:sz w:val="15"/>
          <w:szCs w:val="15"/>
        </w:rPr>
      </w:pPr>
    </w:p>
    <w:tbl>
      <w:tblPr>
        <w:tblStyle w:val="Tablaconcuadrcula"/>
        <w:tblW w:w="0" w:type="auto"/>
        <w:tblInd w:w="562" w:type="dxa"/>
        <w:tblLook w:val="04A0" w:firstRow="1" w:lastRow="0" w:firstColumn="1" w:lastColumn="0" w:noHBand="0" w:noVBand="1"/>
      </w:tblPr>
      <w:tblGrid>
        <w:gridCol w:w="2835"/>
        <w:gridCol w:w="3133"/>
        <w:gridCol w:w="2254"/>
      </w:tblGrid>
      <w:tr w:rsidR="002721FC" w:rsidRPr="002E71A5" w14:paraId="0E9F66BF" w14:textId="77777777" w:rsidTr="00675F2B">
        <w:tc>
          <w:tcPr>
            <w:tcW w:w="2835" w:type="dxa"/>
          </w:tcPr>
          <w:p w14:paraId="1E5409E4" w14:textId="77777777" w:rsidR="002721FC" w:rsidRPr="002E71A5" w:rsidRDefault="002721FC" w:rsidP="00675F2B">
            <w:pPr>
              <w:tabs>
                <w:tab w:val="left" w:pos="1380"/>
              </w:tabs>
              <w:spacing w:line="276" w:lineRule="auto"/>
              <w:jc w:val="center"/>
            </w:pPr>
            <w:r w:rsidRPr="002E71A5">
              <w:t>Salario Básico (SB)</w:t>
            </w:r>
          </w:p>
        </w:tc>
        <w:tc>
          <w:tcPr>
            <w:tcW w:w="3133" w:type="dxa"/>
          </w:tcPr>
          <w:p w14:paraId="190C264E" w14:textId="77777777" w:rsidR="002721FC" w:rsidRPr="002E71A5" w:rsidRDefault="002721FC" w:rsidP="00675F2B">
            <w:pPr>
              <w:tabs>
                <w:tab w:val="left" w:pos="3300"/>
              </w:tabs>
              <w:spacing w:line="276" w:lineRule="auto"/>
              <w:jc w:val="center"/>
            </w:pPr>
            <w:r w:rsidRPr="002E71A5">
              <w:t>SMMLV + 60%</w:t>
            </w:r>
          </w:p>
        </w:tc>
        <w:tc>
          <w:tcPr>
            <w:tcW w:w="2254" w:type="dxa"/>
          </w:tcPr>
          <w:p w14:paraId="022633D7" w14:textId="77777777" w:rsidR="002721FC" w:rsidRPr="002E71A5" w:rsidRDefault="002721FC" w:rsidP="00675F2B">
            <w:pPr>
              <w:tabs>
                <w:tab w:val="left" w:pos="3300"/>
              </w:tabs>
              <w:spacing w:line="276" w:lineRule="auto"/>
              <w:ind w:right="-250"/>
              <w:jc w:val="center"/>
            </w:pPr>
            <w:r w:rsidRPr="002E71A5">
              <w:t>$1.453.642.00</w:t>
            </w:r>
          </w:p>
        </w:tc>
      </w:tr>
      <w:tr w:rsidR="002721FC" w:rsidRPr="002E71A5" w14:paraId="73E6DD79" w14:textId="77777777" w:rsidTr="00675F2B">
        <w:tc>
          <w:tcPr>
            <w:tcW w:w="2835" w:type="dxa"/>
          </w:tcPr>
          <w:p w14:paraId="1435643D" w14:textId="77777777" w:rsidR="002721FC" w:rsidRPr="002E71A5" w:rsidRDefault="002721FC" w:rsidP="00675F2B">
            <w:pPr>
              <w:tabs>
                <w:tab w:val="left" w:pos="3300"/>
              </w:tabs>
              <w:spacing w:line="276" w:lineRule="auto"/>
              <w:jc w:val="center"/>
            </w:pPr>
            <w:r w:rsidRPr="002E71A5">
              <w:t>70% del salario mensual</w:t>
            </w:r>
          </w:p>
        </w:tc>
        <w:tc>
          <w:tcPr>
            <w:tcW w:w="3133" w:type="dxa"/>
          </w:tcPr>
          <w:p w14:paraId="5F534124" w14:textId="77777777" w:rsidR="002721FC" w:rsidRPr="002E71A5" w:rsidRDefault="002721FC" w:rsidP="00675F2B">
            <w:pPr>
              <w:tabs>
                <w:tab w:val="left" w:pos="3300"/>
              </w:tabs>
              <w:spacing w:line="276" w:lineRule="auto"/>
              <w:jc w:val="center"/>
            </w:pPr>
            <w:r w:rsidRPr="002E71A5">
              <w:t>SB * 70%</w:t>
            </w:r>
          </w:p>
        </w:tc>
        <w:tc>
          <w:tcPr>
            <w:tcW w:w="2254" w:type="dxa"/>
          </w:tcPr>
          <w:p w14:paraId="17F6D8C6" w14:textId="77777777" w:rsidR="002721FC" w:rsidRPr="002E71A5" w:rsidRDefault="002721FC" w:rsidP="00675F2B">
            <w:pPr>
              <w:tabs>
                <w:tab w:val="left" w:pos="3300"/>
              </w:tabs>
              <w:spacing w:line="276" w:lineRule="auto"/>
              <w:ind w:right="-250"/>
              <w:jc w:val="center"/>
            </w:pPr>
            <w:r w:rsidRPr="002E71A5">
              <w:t>$1.017.549.00</w:t>
            </w:r>
          </w:p>
        </w:tc>
      </w:tr>
      <w:tr w:rsidR="002721FC" w:rsidRPr="002E71A5" w14:paraId="08A27142" w14:textId="77777777" w:rsidTr="00675F2B">
        <w:tc>
          <w:tcPr>
            <w:tcW w:w="2835" w:type="dxa"/>
          </w:tcPr>
          <w:p w14:paraId="7ACB57F9" w14:textId="77777777" w:rsidR="002721FC" w:rsidRPr="002E71A5" w:rsidRDefault="002721FC" w:rsidP="00675F2B">
            <w:pPr>
              <w:tabs>
                <w:tab w:val="left" w:pos="3300"/>
              </w:tabs>
              <w:spacing w:line="276" w:lineRule="auto"/>
              <w:jc w:val="center"/>
            </w:pPr>
            <w:r w:rsidRPr="002E71A5">
              <w:t>Prima de antigüedad</w:t>
            </w:r>
          </w:p>
        </w:tc>
        <w:tc>
          <w:tcPr>
            <w:tcW w:w="3133" w:type="dxa"/>
          </w:tcPr>
          <w:p w14:paraId="65FAF6BF" w14:textId="77777777" w:rsidR="002721FC" w:rsidRPr="002E71A5" w:rsidRDefault="002721FC" w:rsidP="00675F2B">
            <w:pPr>
              <w:tabs>
                <w:tab w:val="left" w:pos="3300"/>
              </w:tabs>
              <w:spacing w:line="276" w:lineRule="auto"/>
              <w:jc w:val="center"/>
            </w:pPr>
            <w:r w:rsidRPr="002E71A5">
              <w:rPr>
                <w:b/>
              </w:rPr>
              <w:t>SB</w:t>
            </w:r>
            <w:r w:rsidRPr="002E71A5">
              <w:t xml:space="preserve"> * 38,5 %</w:t>
            </w:r>
          </w:p>
        </w:tc>
        <w:tc>
          <w:tcPr>
            <w:tcW w:w="2254" w:type="dxa"/>
          </w:tcPr>
          <w:p w14:paraId="67D8F100" w14:textId="77777777" w:rsidR="002721FC" w:rsidRPr="002E71A5" w:rsidRDefault="002721FC" w:rsidP="00675F2B">
            <w:pPr>
              <w:tabs>
                <w:tab w:val="left" w:pos="3300"/>
              </w:tabs>
              <w:spacing w:line="276" w:lineRule="auto"/>
              <w:ind w:right="-250"/>
              <w:jc w:val="center"/>
              <w:rPr>
                <w:b/>
              </w:rPr>
            </w:pPr>
            <w:r w:rsidRPr="002E71A5">
              <w:rPr>
                <w:b/>
                <w:u w:val="single"/>
              </w:rPr>
              <w:t>$ 559.652.17</w:t>
            </w:r>
          </w:p>
        </w:tc>
      </w:tr>
    </w:tbl>
    <w:p w14:paraId="5ADFA5CD" w14:textId="77777777" w:rsidR="002721FC" w:rsidRPr="002E71A5" w:rsidRDefault="002721FC" w:rsidP="002721FC">
      <w:pPr>
        <w:spacing w:line="360" w:lineRule="auto"/>
      </w:pPr>
    </w:p>
    <w:p w14:paraId="50E8857C" w14:textId="3F4F7F17" w:rsidR="002721FC" w:rsidRDefault="002721FC" w:rsidP="002721FC">
      <w:pPr>
        <w:spacing w:line="360" w:lineRule="auto"/>
        <w:rPr>
          <w:sz w:val="24"/>
          <w:szCs w:val="24"/>
        </w:rPr>
      </w:pPr>
      <w:r>
        <w:rPr>
          <w:sz w:val="24"/>
          <w:szCs w:val="24"/>
        </w:rPr>
        <w:t xml:space="preserve">A pesar de lo expuesto, la actual causa no cumple el requisito de </w:t>
      </w:r>
      <w:r w:rsidRPr="00992566">
        <w:rPr>
          <w:i/>
          <w:sz w:val="24"/>
          <w:szCs w:val="24"/>
        </w:rPr>
        <w:t>subsidiariedad</w:t>
      </w:r>
      <w:r>
        <w:rPr>
          <w:sz w:val="24"/>
          <w:szCs w:val="24"/>
        </w:rPr>
        <w:t xml:space="preserve">, ya que contra la </w:t>
      </w:r>
      <w:r w:rsidRPr="00FA49EE">
        <w:rPr>
          <w:sz w:val="24"/>
          <w:szCs w:val="24"/>
        </w:rPr>
        <w:t>providencia objeto de tutela puede incoarse el recurso extraordinario de unificación de jurisprudencia</w:t>
      </w:r>
      <w:r w:rsidRPr="00FA49EE">
        <w:rPr>
          <w:rFonts w:eastAsia="Arial"/>
          <w:sz w:val="24"/>
          <w:szCs w:val="24"/>
        </w:rPr>
        <w:t xml:space="preserve">, regulado por los artículos 256 y siguientes del CPACA. Además, </w:t>
      </w:r>
      <w:r w:rsidRPr="00FA49EE">
        <w:rPr>
          <w:sz w:val="24"/>
          <w:szCs w:val="24"/>
        </w:rPr>
        <w:t>no se avista un perjuicio irremediable que impida que el interesado acuda a la jurisdicción ordinaria a efectos de pedir la protección de los derechos que alega inobservados.</w:t>
      </w:r>
      <w:r>
        <w:rPr>
          <w:sz w:val="24"/>
          <w:szCs w:val="24"/>
        </w:rPr>
        <w:t xml:space="preserve"> </w:t>
      </w:r>
    </w:p>
    <w:p w14:paraId="71D2CEAC" w14:textId="77777777" w:rsidR="00E718B1" w:rsidRDefault="00E718B1" w:rsidP="002721FC">
      <w:pPr>
        <w:spacing w:line="360" w:lineRule="auto"/>
        <w:rPr>
          <w:sz w:val="24"/>
          <w:szCs w:val="24"/>
        </w:rPr>
      </w:pPr>
    </w:p>
    <w:p w14:paraId="0BFFB585" w14:textId="390AE3D2" w:rsidR="002721FC" w:rsidRPr="008C2EDD" w:rsidRDefault="002721FC" w:rsidP="002721FC">
      <w:pPr>
        <w:spacing w:line="360" w:lineRule="auto"/>
        <w:rPr>
          <w:sz w:val="24"/>
          <w:szCs w:val="24"/>
        </w:rPr>
      </w:pPr>
      <w:r w:rsidRPr="008C2EDD">
        <w:rPr>
          <w:rFonts w:eastAsia="Dotum"/>
          <w:sz w:val="24"/>
          <w:szCs w:val="24"/>
        </w:rPr>
        <w:t xml:space="preserve">En mérito de lo expuesto, la </w:t>
      </w:r>
      <w:r w:rsidRPr="008C2EDD">
        <w:rPr>
          <w:sz w:val="24"/>
          <w:szCs w:val="24"/>
        </w:rPr>
        <w:t>Subsección C</w:t>
      </w:r>
      <w:r w:rsidRPr="008C2EDD">
        <w:rPr>
          <w:rFonts w:eastAsia="Dotum"/>
          <w:sz w:val="24"/>
          <w:szCs w:val="24"/>
        </w:rPr>
        <w:t xml:space="preserve"> de la</w:t>
      </w:r>
      <w:r w:rsidRPr="008C2EDD">
        <w:rPr>
          <w:sz w:val="24"/>
          <w:szCs w:val="24"/>
        </w:rPr>
        <w:t xml:space="preserve"> Sección Tercera</w:t>
      </w:r>
      <w:r w:rsidRPr="008C2EDD">
        <w:rPr>
          <w:rFonts w:eastAsia="Dotum"/>
          <w:sz w:val="24"/>
          <w:szCs w:val="24"/>
        </w:rPr>
        <w:t xml:space="preserve"> de la </w:t>
      </w:r>
      <w:r w:rsidRPr="008C2EDD">
        <w:rPr>
          <w:sz w:val="24"/>
          <w:szCs w:val="24"/>
        </w:rPr>
        <w:t>Sala de lo Contencioso Administrativo</w:t>
      </w:r>
      <w:r w:rsidRPr="008C2EDD">
        <w:rPr>
          <w:rFonts w:eastAsia="Dotum"/>
          <w:sz w:val="24"/>
          <w:szCs w:val="24"/>
        </w:rPr>
        <w:t xml:space="preserve"> del </w:t>
      </w:r>
      <w:r w:rsidRPr="008C2EDD">
        <w:rPr>
          <w:sz w:val="24"/>
          <w:szCs w:val="24"/>
        </w:rPr>
        <w:t>Consejo de Estado, administrando justicia en nombre de la República y por autoridad de la ley,</w:t>
      </w:r>
    </w:p>
    <w:p w14:paraId="6BE3620A" w14:textId="77777777" w:rsidR="002721FC" w:rsidRPr="00E718B1" w:rsidRDefault="002721FC" w:rsidP="002721FC">
      <w:pPr>
        <w:autoSpaceDE w:val="0"/>
        <w:autoSpaceDN w:val="0"/>
        <w:adjustRightInd w:val="0"/>
        <w:spacing w:line="360" w:lineRule="auto"/>
        <w:rPr>
          <w:rFonts w:eastAsia="Verdana"/>
          <w:sz w:val="15"/>
          <w:szCs w:val="15"/>
        </w:rPr>
      </w:pPr>
    </w:p>
    <w:p w14:paraId="0D3518B7" w14:textId="77777777" w:rsidR="002721FC" w:rsidRDefault="002721FC" w:rsidP="002721FC">
      <w:pPr>
        <w:tabs>
          <w:tab w:val="center" w:pos="4703"/>
          <w:tab w:val="left" w:pos="6059"/>
        </w:tabs>
        <w:autoSpaceDE w:val="0"/>
        <w:autoSpaceDN w:val="0"/>
        <w:adjustRightInd w:val="0"/>
        <w:spacing w:line="360" w:lineRule="auto"/>
        <w:jc w:val="center"/>
        <w:rPr>
          <w:rFonts w:eastAsia="Verdana"/>
          <w:b/>
          <w:sz w:val="24"/>
          <w:szCs w:val="24"/>
        </w:rPr>
      </w:pPr>
      <w:r w:rsidRPr="008C2EDD">
        <w:rPr>
          <w:rFonts w:eastAsia="Verdana"/>
          <w:b/>
          <w:sz w:val="24"/>
          <w:szCs w:val="24"/>
        </w:rPr>
        <w:t>III. RESUELVE</w:t>
      </w:r>
    </w:p>
    <w:p w14:paraId="4901DA5B" w14:textId="77777777" w:rsidR="002721FC" w:rsidRPr="00E718B1" w:rsidRDefault="002721FC" w:rsidP="002721FC">
      <w:pPr>
        <w:tabs>
          <w:tab w:val="center" w:pos="4703"/>
          <w:tab w:val="left" w:pos="6059"/>
        </w:tabs>
        <w:autoSpaceDE w:val="0"/>
        <w:autoSpaceDN w:val="0"/>
        <w:adjustRightInd w:val="0"/>
        <w:spacing w:line="360" w:lineRule="auto"/>
        <w:jc w:val="center"/>
        <w:rPr>
          <w:rFonts w:eastAsia="Verdana"/>
          <w:b/>
          <w:sz w:val="15"/>
          <w:szCs w:val="15"/>
        </w:rPr>
      </w:pPr>
    </w:p>
    <w:p w14:paraId="67229F89" w14:textId="77777777" w:rsidR="002721FC" w:rsidRPr="00874406" w:rsidRDefault="002721FC" w:rsidP="002721FC">
      <w:pPr>
        <w:spacing w:line="360" w:lineRule="auto"/>
        <w:rPr>
          <w:sz w:val="24"/>
          <w:szCs w:val="24"/>
        </w:rPr>
      </w:pPr>
      <w:r w:rsidRPr="00874406">
        <w:rPr>
          <w:b/>
          <w:sz w:val="24"/>
          <w:szCs w:val="24"/>
        </w:rPr>
        <w:t xml:space="preserve">PRIMERO: </w:t>
      </w:r>
      <w:r w:rsidRPr="00874406">
        <w:rPr>
          <w:sz w:val="24"/>
          <w:szCs w:val="24"/>
        </w:rPr>
        <w:t xml:space="preserve">Declarar la </w:t>
      </w:r>
      <w:r w:rsidRPr="00874406">
        <w:rPr>
          <w:b/>
          <w:sz w:val="24"/>
          <w:szCs w:val="24"/>
        </w:rPr>
        <w:t xml:space="preserve">IMPROCEDENCIA </w:t>
      </w:r>
      <w:r w:rsidRPr="00874406">
        <w:rPr>
          <w:sz w:val="24"/>
          <w:szCs w:val="24"/>
        </w:rPr>
        <w:t xml:space="preserve">de la acción de tutela con fundamento en las razones expuestas en la parte motiva de esta providencia. </w:t>
      </w:r>
    </w:p>
    <w:p w14:paraId="364F39BD" w14:textId="77777777" w:rsidR="002721FC" w:rsidRPr="00E718B1" w:rsidRDefault="002721FC" w:rsidP="002721FC">
      <w:pPr>
        <w:spacing w:line="360" w:lineRule="auto"/>
      </w:pPr>
    </w:p>
    <w:p w14:paraId="1866E1E0" w14:textId="77777777" w:rsidR="002721FC" w:rsidRPr="00874406" w:rsidRDefault="002721FC" w:rsidP="002721FC">
      <w:pPr>
        <w:pStyle w:val="Sinespaciado"/>
        <w:spacing w:line="360" w:lineRule="auto"/>
        <w:jc w:val="both"/>
        <w:rPr>
          <w:rFonts w:ascii="Arial" w:hAnsi="Arial" w:cs="Arial"/>
          <w:sz w:val="24"/>
          <w:szCs w:val="24"/>
        </w:rPr>
      </w:pPr>
      <w:r w:rsidRPr="00874406">
        <w:rPr>
          <w:rFonts w:ascii="Arial" w:hAnsi="Arial" w:cs="Arial"/>
          <w:b/>
          <w:sz w:val="24"/>
          <w:szCs w:val="24"/>
        </w:rPr>
        <w:t xml:space="preserve">SEGUNDO: NOTIFICAR </w:t>
      </w:r>
      <w:r w:rsidRPr="00874406">
        <w:rPr>
          <w:rFonts w:ascii="Arial" w:hAnsi="Arial" w:cs="Arial"/>
          <w:sz w:val="24"/>
          <w:szCs w:val="24"/>
        </w:rPr>
        <w:t xml:space="preserve">la presente decisión a los interesados por el medio más expedito. </w:t>
      </w:r>
    </w:p>
    <w:p w14:paraId="3DF41C87" w14:textId="77777777" w:rsidR="002721FC" w:rsidRPr="00E718B1" w:rsidRDefault="002721FC" w:rsidP="002721FC">
      <w:pPr>
        <w:spacing w:line="360" w:lineRule="auto"/>
        <w:rPr>
          <w:color w:val="000000"/>
        </w:rPr>
      </w:pPr>
    </w:p>
    <w:p w14:paraId="06ABD4C6" w14:textId="075066BC" w:rsidR="00E718B1" w:rsidRDefault="002721FC" w:rsidP="002721FC">
      <w:pPr>
        <w:spacing w:line="360" w:lineRule="auto"/>
        <w:rPr>
          <w:rFonts w:eastAsia="Arial"/>
          <w:sz w:val="24"/>
          <w:szCs w:val="24"/>
          <w:lang w:eastAsia="es-ES_tradnl"/>
        </w:rPr>
      </w:pPr>
      <w:r w:rsidRPr="00874406">
        <w:rPr>
          <w:b/>
          <w:sz w:val="24"/>
          <w:szCs w:val="24"/>
        </w:rPr>
        <w:t xml:space="preserve">TERCERO: </w:t>
      </w:r>
      <w:r w:rsidRPr="00874406">
        <w:rPr>
          <w:rFonts w:eastAsia="Arial"/>
          <w:b/>
          <w:sz w:val="24"/>
          <w:szCs w:val="24"/>
          <w:lang w:eastAsia="es-ES_tradnl"/>
        </w:rPr>
        <w:t xml:space="preserve">ENVIAR </w:t>
      </w:r>
      <w:r w:rsidRPr="00874406">
        <w:rPr>
          <w:rFonts w:eastAsia="Arial"/>
          <w:sz w:val="24"/>
          <w:szCs w:val="24"/>
          <w:lang w:eastAsia="es-ES_tradnl"/>
        </w:rPr>
        <w:t xml:space="preserve">a la Corte Constitucional para su eventual revisión, en caso de no ser impugnada en el término.  </w:t>
      </w:r>
    </w:p>
    <w:p w14:paraId="3281E887" w14:textId="77777777" w:rsidR="00E718B1" w:rsidRPr="00E718B1" w:rsidRDefault="00E718B1" w:rsidP="002721FC">
      <w:pPr>
        <w:spacing w:line="360" w:lineRule="auto"/>
        <w:rPr>
          <w:rFonts w:eastAsia="Arial"/>
          <w:sz w:val="24"/>
          <w:szCs w:val="24"/>
          <w:lang w:eastAsia="es-ES_tradnl"/>
        </w:rPr>
      </w:pPr>
    </w:p>
    <w:p w14:paraId="1D59341E" w14:textId="77777777" w:rsidR="002721FC" w:rsidRDefault="002721FC" w:rsidP="002721FC">
      <w:pPr>
        <w:tabs>
          <w:tab w:val="left" w:pos="709"/>
          <w:tab w:val="left" w:pos="1701"/>
        </w:tabs>
        <w:jc w:val="center"/>
        <w:rPr>
          <w:rFonts w:eastAsia="Arial"/>
          <w:b/>
          <w:sz w:val="24"/>
          <w:szCs w:val="24"/>
          <w:lang w:eastAsia="es-ES_tradnl"/>
        </w:rPr>
      </w:pPr>
      <w:r w:rsidRPr="005B32C2">
        <w:rPr>
          <w:rFonts w:eastAsia="Arial"/>
          <w:b/>
          <w:sz w:val="24"/>
          <w:szCs w:val="24"/>
          <w:lang w:eastAsia="es-ES_tradnl"/>
        </w:rPr>
        <w:t>CÓPIESE, NOTIFÍQUESE Y CÚMPLASE</w:t>
      </w:r>
    </w:p>
    <w:p w14:paraId="02311D0C" w14:textId="77777777" w:rsidR="002721FC" w:rsidRPr="005B32C2" w:rsidRDefault="002721FC" w:rsidP="002721FC">
      <w:pPr>
        <w:tabs>
          <w:tab w:val="left" w:pos="709"/>
          <w:tab w:val="left" w:pos="1701"/>
        </w:tabs>
        <w:jc w:val="center"/>
        <w:rPr>
          <w:rFonts w:eastAsia="Arial"/>
          <w:b/>
          <w:sz w:val="24"/>
          <w:szCs w:val="24"/>
          <w:lang w:eastAsia="es-ES_tradnl"/>
        </w:rPr>
      </w:pPr>
    </w:p>
    <w:p w14:paraId="3134070A" w14:textId="77777777" w:rsidR="002721FC" w:rsidRPr="005B32C2" w:rsidRDefault="002721FC" w:rsidP="002721FC">
      <w:pPr>
        <w:tabs>
          <w:tab w:val="left" w:pos="709"/>
          <w:tab w:val="left" w:pos="1701"/>
        </w:tabs>
        <w:jc w:val="center"/>
        <w:rPr>
          <w:rFonts w:eastAsia="Arial"/>
          <w:b/>
          <w:sz w:val="24"/>
          <w:szCs w:val="24"/>
          <w:lang w:eastAsia="es-ES_tradnl"/>
        </w:rPr>
      </w:pPr>
      <w:r w:rsidRPr="005B32C2">
        <w:rPr>
          <w:rFonts w:eastAsia="Arial"/>
          <w:b/>
          <w:sz w:val="24"/>
          <w:szCs w:val="24"/>
          <w:lang w:eastAsia="es-ES_tradnl"/>
        </w:rPr>
        <w:t>JAIME ENRIQUE RODRÍGUEZ NAVAS</w:t>
      </w:r>
    </w:p>
    <w:p w14:paraId="33FECE85" w14:textId="77777777" w:rsidR="002721FC" w:rsidRPr="002E71A5" w:rsidRDefault="002721FC" w:rsidP="002721FC">
      <w:pPr>
        <w:tabs>
          <w:tab w:val="left" w:pos="709"/>
          <w:tab w:val="left" w:pos="1701"/>
        </w:tabs>
        <w:jc w:val="center"/>
        <w:rPr>
          <w:rFonts w:eastAsia="Arial"/>
          <w:b/>
          <w:lang w:eastAsia="es-ES_tradnl"/>
        </w:rPr>
      </w:pPr>
      <w:r w:rsidRPr="002E71A5">
        <w:rPr>
          <w:rFonts w:eastAsia="Arial"/>
          <w:b/>
          <w:lang w:eastAsia="es-ES_tradnl"/>
        </w:rPr>
        <w:t>Presidente de Sala</w:t>
      </w:r>
    </w:p>
    <w:p w14:paraId="5145A486" w14:textId="77777777" w:rsidR="002721FC" w:rsidRDefault="002721FC" w:rsidP="002721FC">
      <w:pPr>
        <w:tabs>
          <w:tab w:val="left" w:pos="709"/>
          <w:tab w:val="left" w:pos="1701"/>
        </w:tabs>
        <w:jc w:val="center"/>
        <w:rPr>
          <w:rFonts w:eastAsia="Arial"/>
          <w:b/>
          <w:sz w:val="24"/>
          <w:szCs w:val="24"/>
          <w:lang w:eastAsia="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2721FC" w14:paraId="48A8AABC" w14:textId="77777777" w:rsidTr="00675F2B">
        <w:tc>
          <w:tcPr>
            <w:tcW w:w="4698" w:type="dxa"/>
          </w:tcPr>
          <w:p w14:paraId="77C58B35" w14:textId="77777777" w:rsidR="002721FC" w:rsidRPr="005B32C2" w:rsidRDefault="002721FC" w:rsidP="00675F2B">
            <w:pPr>
              <w:tabs>
                <w:tab w:val="left" w:pos="709"/>
                <w:tab w:val="left" w:pos="1701"/>
              </w:tabs>
              <w:jc w:val="center"/>
              <w:rPr>
                <w:rFonts w:eastAsia="Arial"/>
                <w:b/>
                <w:sz w:val="24"/>
                <w:szCs w:val="24"/>
                <w:lang w:eastAsia="es-ES_tradnl"/>
              </w:rPr>
            </w:pPr>
            <w:r w:rsidRPr="005B32C2">
              <w:rPr>
                <w:rFonts w:eastAsia="Arial"/>
                <w:b/>
                <w:sz w:val="24"/>
                <w:szCs w:val="24"/>
                <w:lang w:eastAsia="es-ES_tradnl"/>
              </w:rPr>
              <w:t>GUILLERMO SÁNCHEZ LUQUE</w:t>
            </w:r>
          </w:p>
          <w:p w14:paraId="0F14EA38" w14:textId="77777777" w:rsidR="002721FC" w:rsidRDefault="002721FC" w:rsidP="00675F2B">
            <w:pPr>
              <w:tabs>
                <w:tab w:val="left" w:pos="709"/>
                <w:tab w:val="left" w:pos="1701"/>
              </w:tabs>
              <w:jc w:val="center"/>
              <w:rPr>
                <w:rFonts w:eastAsia="Arial"/>
                <w:b/>
                <w:lang w:eastAsia="es-ES_tradnl"/>
              </w:rPr>
            </w:pPr>
            <w:r w:rsidRPr="002E71A5">
              <w:rPr>
                <w:rFonts w:eastAsia="Arial"/>
                <w:b/>
                <w:lang w:eastAsia="es-ES_tradnl"/>
              </w:rPr>
              <w:t>Consejero de Estado</w:t>
            </w:r>
          </w:p>
          <w:p w14:paraId="2AC3756F" w14:textId="77777777" w:rsidR="00E82B2C" w:rsidRPr="00E82B2C" w:rsidRDefault="00E82B2C" w:rsidP="00E82B2C">
            <w:pPr>
              <w:ind w:left="360"/>
              <w:jc w:val="center"/>
              <w:rPr>
                <w:b/>
                <w:bCs/>
                <w:sz w:val="21"/>
                <w:szCs w:val="21"/>
              </w:rPr>
            </w:pPr>
            <w:r w:rsidRPr="00E82B2C">
              <w:rPr>
                <w:b/>
                <w:bCs/>
                <w:sz w:val="21"/>
                <w:szCs w:val="21"/>
              </w:rPr>
              <w:t>Aclaración de Voto</w:t>
            </w:r>
          </w:p>
          <w:p w14:paraId="306A1A6C" w14:textId="277CE916" w:rsidR="00E82B2C" w:rsidRPr="00E82B2C" w:rsidRDefault="00E82B2C" w:rsidP="00E82B2C">
            <w:pPr>
              <w:ind w:left="360"/>
              <w:jc w:val="center"/>
              <w:rPr>
                <w:sz w:val="21"/>
                <w:szCs w:val="21"/>
              </w:rPr>
            </w:pPr>
            <w:r w:rsidRPr="00E82B2C">
              <w:rPr>
                <w:rFonts w:eastAsia="BatangChe"/>
                <w:b/>
                <w:bCs/>
                <w:sz w:val="21"/>
                <w:szCs w:val="21"/>
              </w:rPr>
              <w:t>Cfr. Rad.</w:t>
            </w:r>
            <w:r w:rsidRPr="00E82B2C">
              <w:rPr>
                <w:sz w:val="21"/>
                <w:szCs w:val="21"/>
              </w:rPr>
              <w:t xml:space="preserve"> </w:t>
            </w:r>
            <w:r w:rsidRPr="00E82B2C">
              <w:rPr>
                <w:rFonts w:eastAsia="BatangChe"/>
                <w:b/>
                <w:bCs/>
                <w:sz w:val="21"/>
                <w:szCs w:val="21"/>
              </w:rPr>
              <w:t>11001-03-15-000-2019-01299-00</w:t>
            </w:r>
          </w:p>
          <w:p w14:paraId="71845DEC" w14:textId="77777777" w:rsidR="00E82B2C" w:rsidRPr="0084763A" w:rsidRDefault="00E82B2C" w:rsidP="00E82B2C">
            <w:pPr>
              <w:rPr>
                <w:sz w:val="22"/>
                <w:szCs w:val="22"/>
              </w:rPr>
            </w:pPr>
          </w:p>
          <w:p w14:paraId="707A6AFC" w14:textId="1865A919" w:rsidR="00E82B2C" w:rsidRPr="002E71A5" w:rsidRDefault="00E82B2C" w:rsidP="00675F2B">
            <w:pPr>
              <w:tabs>
                <w:tab w:val="left" w:pos="709"/>
                <w:tab w:val="left" w:pos="1701"/>
              </w:tabs>
              <w:jc w:val="center"/>
              <w:rPr>
                <w:rFonts w:eastAsia="Arial"/>
                <w:b/>
                <w:lang w:eastAsia="es-ES_tradnl"/>
              </w:rPr>
            </w:pPr>
          </w:p>
        </w:tc>
        <w:tc>
          <w:tcPr>
            <w:tcW w:w="4698" w:type="dxa"/>
          </w:tcPr>
          <w:p w14:paraId="236733C5" w14:textId="77777777" w:rsidR="002721FC" w:rsidRPr="005B32C2" w:rsidRDefault="002721FC" w:rsidP="00675F2B">
            <w:pPr>
              <w:tabs>
                <w:tab w:val="left" w:pos="709"/>
                <w:tab w:val="left" w:pos="1701"/>
              </w:tabs>
              <w:jc w:val="center"/>
              <w:rPr>
                <w:rFonts w:eastAsia="Arial"/>
                <w:b/>
                <w:sz w:val="24"/>
                <w:szCs w:val="24"/>
                <w:lang w:eastAsia="es-ES_tradnl"/>
              </w:rPr>
            </w:pPr>
            <w:r w:rsidRPr="005B32C2">
              <w:rPr>
                <w:rFonts w:eastAsia="Arial"/>
                <w:b/>
                <w:sz w:val="24"/>
                <w:szCs w:val="24"/>
                <w:lang w:eastAsia="es-ES_tradnl"/>
              </w:rPr>
              <w:t>NICOLÁS YEPES CORRALES</w:t>
            </w:r>
          </w:p>
          <w:p w14:paraId="4939C789" w14:textId="2C81DE86" w:rsidR="002721FC" w:rsidRPr="002E71A5" w:rsidRDefault="002721FC" w:rsidP="00675F2B">
            <w:pPr>
              <w:jc w:val="center"/>
              <w:rPr>
                <w:rFonts w:eastAsia="Times New Roman"/>
                <w:lang w:eastAsia="es-ES_tradnl"/>
              </w:rPr>
            </w:pPr>
            <w:r w:rsidRPr="002E71A5">
              <w:rPr>
                <w:rFonts w:eastAsia="Arial"/>
                <w:b/>
                <w:lang w:eastAsia="es-ES_tradnl"/>
              </w:rPr>
              <w:t>Consejero Ponen</w:t>
            </w:r>
            <w:r w:rsidR="00E718B1">
              <w:rPr>
                <w:rFonts w:eastAsia="Arial"/>
                <w:b/>
                <w:lang w:eastAsia="es-ES_tradnl"/>
              </w:rPr>
              <w:t>te</w:t>
            </w:r>
          </w:p>
        </w:tc>
      </w:tr>
    </w:tbl>
    <w:p w14:paraId="7F797D3E" w14:textId="77777777" w:rsidR="008E4F44" w:rsidRPr="002721FC" w:rsidRDefault="008E4F44" w:rsidP="002721FC"/>
    <w:sectPr w:rsidR="008E4F44" w:rsidRPr="002721FC"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AD31" w14:textId="77777777" w:rsidR="00C13D1E" w:rsidRDefault="00C13D1E" w:rsidP="008A6D29">
      <w:r>
        <w:separator/>
      </w:r>
    </w:p>
  </w:endnote>
  <w:endnote w:type="continuationSeparator" w:id="0">
    <w:p w14:paraId="05986FEB" w14:textId="77777777" w:rsidR="00C13D1E" w:rsidRDefault="00C13D1E" w:rsidP="008A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notTrueType/>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B7D4" w14:textId="77777777" w:rsidR="00C13D1E" w:rsidRDefault="00C13D1E" w:rsidP="008A6D29">
      <w:r>
        <w:separator/>
      </w:r>
    </w:p>
  </w:footnote>
  <w:footnote w:type="continuationSeparator" w:id="0">
    <w:p w14:paraId="37BF92EE" w14:textId="77777777" w:rsidR="00C13D1E" w:rsidRDefault="00C13D1E" w:rsidP="008A6D29">
      <w:r>
        <w:continuationSeparator/>
      </w:r>
    </w:p>
  </w:footnote>
  <w:footnote w:id="1">
    <w:p w14:paraId="7936E817"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Según el documento de certificado 4EE75A6478F3B0E4 4E4E9DD7AFE5F694 08E5C649E4A2472A 57768CD620A5E26F, en el expediente de tutela digital. </w:t>
      </w:r>
    </w:p>
  </w:footnote>
  <w:footnote w:id="2">
    <w:p w14:paraId="4A72A594"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lang w:val="es-CO"/>
        </w:rPr>
        <w:t xml:space="preserve"> Folios 1-2 del documento de certificado </w:t>
      </w:r>
      <w:r w:rsidRPr="002E71A5">
        <w:rPr>
          <w:rFonts w:ascii="Arial" w:hAnsi="Arial" w:cs="Arial"/>
          <w:sz w:val="16"/>
          <w:szCs w:val="16"/>
        </w:rPr>
        <w:t xml:space="preserve">70DF722B2A801006 1C2D4363B3CF5B21 61AFABD692C8FEBC 2F4C7C4E620055BB, en el expediente de tutela digital. </w:t>
      </w:r>
    </w:p>
  </w:footnote>
  <w:footnote w:id="3">
    <w:p w14:paraId="2B46F5E9" w14:textId="77777777" w:rsidR="002721FC" w:rsidRPr="002E71A5" w:rsidRDefault="002721FC" w:rsidP="002721FC">
      <w:pPr>
        <w:pStyle w:val="Textonotapie"/>
        <w:jc w:val="both"/>
        <w:rPr>
          <w:rFonts w:ascii="Arial" w:hAnsi="Arial" w:cs="Arial"/>
          <w:sz w:val="16"/>
          <w:szCs w:val="16"/>
          <w:lang w:val="es-MX"/>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Folios 3-44 del documento de certificado </w:t>
      </w:r>
      <w:r w:rsidRPr="002E71A5">
        <w:rPr>
          <w:rFonts w:ascii="Arial" w:hAnsi="Arial" w:cs="Arial"/>
          <w:sz w:val="16"/>
          <w:szCs w:val="16"/>
        </w:rPr>
        <w:t>70DF722B2A801006 1C2D4363B3CF5B21 61AFABD692C8FEBC 2F4C7C4E620055BB, en el expediente de tutela digital.</w:t>
      </w:r>
    </w:p>
  </w:footnote>
  <w:footnote w:id="4">
    <w:p w14:paraId="5C54A8A2"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a folios 18-20 del documento de certificado D03A55830CB92266 C353AECC0BBE9090 4774CF7FF3031726 BE95640A0EF48C86, en el expediente de tutela digital. </w:t>
      </w:r>
    </w:p>
  </w:footnote>
  <w:footnote w:id="5">
    <w:p w14:paraId="36D64983"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a folios 171-174 del documento de certificado D03A55830CB92266 C353AECC0BBE9090 4774CF7FF3031726 BE95640A0EF48C86, en el expediente de tutela digital. </w:t>
      </w:r>
    </w:p>
  </w:footnote>
  <w:footnote w:id="6">
    <w:p w14:paraId="55CEE754"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Obra a folios 6-8 del documento de certificado D03A55830CB92266 C353AECC0BBE9090 4774CF7FF3031726 BE95640A0EF48C86, en el expediente de tutela digital.</w:t>
      </w:r>
    </w:p>
  </w:footnote>
  <w:footnote w:id="7">
    <w:p w14:paraId="7D8D58F4"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a folios 176-200 del documento de certificado D03A55830CB92266 C353AECC0BBE9090 4774CF7FF3031726 BE95640A0EF48C86, en el expediente de tutela digital. </w:t>
      </w:r>
    </w:p>
  </w:footnote>
  <w:footnote w:id="8">
    <w:p w14:paraId="329A87DF"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a folios 207-211 del documento de certificado D03A55830CB92266 C353AECC0BBE9090 4774CF7FF3031726 BE95640A0EF48C86, en el expediente de tutela digital. </w:t>
      </w:r>
    </w:p>
  </w:footnote>
  <w:footnote w:id="9">
    <w:p w14:paraId="6D5B39F8"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a folios 38-44 del documento de certificado D02A277B05AC04F0 5654607259B9A025 09779F0123A7C2BF C2BBDD8666FF4B45, en el expediente de tutela digital. </w:t>
      </w:r>
    </w:p>
  </w:footnote>
  <w:footnote w:id="10">
    <w:p w14:paraId="5FCBD5A1"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El auto obra en el documento de certificado 59F54DF3B63932AC A94A13BD8D52F924 A5C7D7646953566E CE46E1D6D9C66D83, en el expediente de tutela digital. </w:t>
      </w:r>
    </w:p>
  </w:footnote>
  <w:footnote w:id="11">
    <w:p w14:paraId="29CF691E"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Las notificaciones obran en el documento de certificado D53C8C31C8B87EDE D38C35D7EBDE233D CCAB086851E47DFF 0E1EDC8F869D85DB, en el expediente de tutela digital. </w:t>
      </w:r>
    </w:p>
  </w:footnote>
  <w:footnote w:id="12">
    <w:p w14:paraId="15005F65"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El auto obra en el documento de certificado 31EE04DB205B5187 717472D5497203E2 B34A4C2B6C04B808 BDE33F9DEEFEF236, en el expediente de tutela digital. </w:t>
      </w:r>
    </w:p>
  </w:footnote>
  <w:footnote w:id="13">
    <w:p w14:paraId="4A5861B5"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La contestación obra en el documento de certificado A7DB64F70C41CA6E 58D72BEB79FE26F8 522B153B4083983C 39DBE67DAE6107F1, en el expediente de tutela digital. </w:t>
      </w:r>
    </w:p>
  </w:footnote>
  <w:footnote w:id="14">
    <w:p w14:paraId="3BA9498D"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Obra en el documento de certificado 542CF4F2AEDF6925 DC733FD7B2FE3FE3 043B7E75D4FE2549 6246221B0302178D, en el expediente de tutela digital. </w:t>
      </w:r>
    </w:p>
  </w:footnote>
  <w:footnote w:id="15">
    <w:p w14:paraId="6877762B" w14:textId="77777777" w:rsidR="002721FC" w:rsidRPr="002E71A5" w:rsidRDefault="002721FC" w:rsidP="002721FC">
      <w:pPr>
        <w:pStyle w:val="Textonotapie"/>
        <w:contextualSpacing/>
        <w:jc w:val="both"/>
        <w:rPr>
          <w:rFonts w:ascii="Arial" w:hAnsi="Arial" w:cs="Arial"/>
          <w:sz w:val="16"/>
          <w:szCs w:val="16"/>
        </w:rPr>
      </w:pPr>
      <w:r w:rsidRPr="002E71A5">
        <w:rPr>
          <w:rStyle w:val="Refdenotaalpie"/>
          <w:rFonts w:ascii="Arial" w:hAnsi="Arial" w:cs="Arial"/>
          <w:sz w:val="16"/>
          <w:szCs w:val="16"/>
        </w:rPr>
        <w:footnoteRef/>
      </w:r>
      <w:r w:rsidRPr="002E71A5">
        <w:rPr>
          <w:rFonts w:ascii="Arial" w:hAnsi="Arial" w:cs="Arial"/>
          <w:sz w:val="16"/>
          <w:szCs w:val="16"/>
        </w:rPr>
        <w:t xml:space="preserve"> Corte Constitucional. Sentencia C-590 de 2005. </w:t>
      </w:r>
    </w:p>
  </w:footnote>
  <w:footnote w:id="16">
    <w:p w14:paraId="49FD488E" w14:textId="77777777" w:rsidR="002721FC" w:rsidRPr="002E71A5" w:rsidRDefault="002721FC" w:rsidP="002721FC">
      <w:pPr>
        <w:contextualSpacing/>
        <w:rPr>
          <w:sz w:val="16"/>
          <w:szCs w:val="16"/>
        </w:rPr>
      </w:pPr>
      <w:r w:rsidRPr="002E71A5">
        <w:rPr>
          <w:rStyle w:val="Refdenotaalpie"/>
          <w:sz w:val="16"/>
          <w:szCs w:val="16"/>
        </w:rPr>
        <w:footnoteRef/>
      </w:r>
      <w:r w:rsidRPr="002E71A5">
        <w:rPr>
          <w:sz w:val="16"/>
          <w:szCs w:val="16"/>
        </w:rPr>
        <w:t xml:space="preserve"> De acuerdo con la sentencia C-590 de 2005, la tutela en contra de providencia judicial está sujeta al cumplimiento de los siguientes requisitos generales de procedibilidad: que </w:t>
      </w:r>
      <w:r w:rsidRPr="002E71A5">
        <w:rPr>
          <w:rFonts w:eastAsia="SimSun"/>
          <w:sz w:val="16"/>
          <w:szCs w:val="16"/>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2E71A5">
        <w:rPr>
          <w:rFonts w:eastAsia="MS Mincho"/>
          <w:sz w:val="16"/>
          <w:szCs w:val="16"/>
          <w:lang w:eastAsia="es-CO"/>
        </w:rPr>
        <w:t xml:space="preserve">; </w:t>
      </w:r>
      <w:r w:rsidRPr="002E71A5">
        <w:rPr>
          <w:rFonts w:eastAsia="SimSun"/>
          <w:sz w:val="16"/>
          <w:szCs w:val="16"/>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17">
    <w:p w14:paraId="14D54FDF" w14:textId="77777777" w:rsidR="002721FC" w:rsidRPr="002E71A5" w:rsidRDefault="002721FC" w:rsidP="002721FC">
      <w:pPr>
        <w:contextualSpacing/>
        <w:rPr>
          <w:rFonts w:eastAsia="Verdana"/>
          <w:sz w:val="16"/>
          <w:szCs w:val="16"/>
        </w:rPr>
      </w:pPr>
      <w:r w:rsidRPr="002E71A5">
        <w:rPr>
          <w:rStyle w:val="Refdenotaalpie"/>
          <w:sz w:val="16"/>
          <w:szCs w:val="16"/>
        </w:rPr>
        <w:footnoteRef/>
      </w:r>
      <w:r w:rsidRPr="002E71A5">
        <w:rPr>
          <w:sz w:val="16"/>
          <w:szCs w:val="16"/>
        </w:rPr>
        <w:t xml:space="preserve"> Los requisitos específicos, también conocidos como defectos, son: d</w:t>
      </w:r>
      <w:r w:rsidRPr="002E71A5">
        <w:rPr>
          <w:rFonts w:eastAsia="Verdana"/>
          <w:sz w:val="16"/>
          <w:szCs w:val="16"/>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18">
    <w:p w14:paraId="5665E125" w14:textId="77777777" w:rsidR="002721FC" w:rsidRPr="002E71A5" w:rsidRDefault="002721FC" w:rsidP="002721FC">
      <w:pPr>
        <w:pStyle w:val="Textonotapie"/>
        <w:jc w:val="both"/>
        <w:rPr>
          <w:rFonts w:ascii="Arial" w:hAnsi="Arial" w:cs="Arial"/>
          <w:sz w:val="16"/>
          <w:szCs w:val="16"/>
          <w:lang w:val="es-CO"/>
        </w:rPr>
      </w:pPr>
      <w:r w:rsidRPr="002E71A5">
        <w:rPr>
          <w:rStyle w:val="Refdenotaalpie"/>
          <w:rFonts w:ascii="Arial" w:hAnsi="Arial" w:cs="Arial"/>
          <w:sz w:val="16"/>
          <w:szCs w:val="16"/>
        </w:rPr>
        <w:footnoteRef/>
      </w:r>
      <w:r w:rsidRPr="002E71A5">
        <w:rPr>
          <w:rFonts w:ascii="Arial" w:hAnsi="Arial" w:cs="Arial"/>
          <w:sz w:val="16"/>
          <w:szCs w:val="16"/>
        </w:rPr>
        <w:t xml:space="preserve"> </w:t>
      </w:r>
      <w:r w:rsidRPr="002E71A5">
        <w:rPr>
          <w:rFonts w:ascii="Arial" w:hAnsi="Arial" w:cs="Arial"/>
          <w:sz w:val="16"/>
          <w:szCs w:val="16"/>
          <w:lang w:val="es-CO"/>
        </w:rPr>
        <w:t xml:space="preserve">Folios 41-43 del documento de certificado D02A277B05AC04F0 5654607259B9A025 09779F0123A7C2BF C2BBDD8666FF4B45, en el expediente de tutela digital.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5"/>
        <w:szCs w:val="15"/>
      </w:rPr>
      <w:id w:val="1754622574"/>
      <w:docPartObj>
        <w:docPartGallery w:val="Page Numbers (Top of Page)"/>
        <w:docPartUnique/>
      </w:docPartObj>
    </w:sdtPr>
    <w:sdtEndPr>
      <w:rPr>
        <w:i w:val="0"/>
        <w:iCs/>
      </w:rPr>
    </w:sdtEndPr>
    <w:sdtContent>
      <w:p w14:paraId="42789D20" w14:textId="1F1B6746" w:rsidR="00900797" w:rsidRPr="00E718B1" w:rsidRDefault="00900797" w:rsidP="001D4120">
        <w:pPr>
          <w:pStyle w:val="Encabezado"/>
          <w:jc w:val="center"/>
          <w:rPr>
            <w:iCs/>
            <w:sz w:val="15"/>
            <w:szCs w:val="15"/>
          </w:rPr>
        </w:pPr>
        <w:r w:rsidRPr="00E718B1">
          <w:rPr>
            <w:iCs/>
            <w:sz w:val="15"/>
            <w:szCs w:val="15"/>
          </w:rPr>
          <w:fldChar w:fldCharType="begin"/>
        </w:r>
        <w:r w:rsidRPr="00E718B1">
          <w:rPr>
            <w:iCs/>
            <w:sz w:val="15"/>
            <w:szCs w:val="15"/>
          </w:rPr>
          <w:instrText>PAGE   \* MERGEFORMAT</w:instrText>
        </w:r>
        <w:r w:rsidRPr="00E718B1">
          <w:rPr>
            <w:iCs/>
            <w:sz w:val="15"/>
            <w:szCs w:val="15"/>
          </w:rPr>
          <w:fldChar w:fldCharType="separate"/>
        </w:r>
        <w:r w:rsidR="00FB1F2A" w:rsidRPr="00FB1F2A">
          <w:rPr>
            <w:iCs/>
            <w:noProof/>
            <w:sz w:val="15"/>
            <w:szCs w:val="15"/>
            <w:lang w:val="es-ES"/>
          </w:rPr>
          <w:t>8</w:t>
        </w:r>
        <w:r w:rsidRPr="00E718B1">
          <w:rPr>
            <w:iCs/>
            <w:sz w:val="15"/>
            <w:szCs w:val="15"/>
          </w:rPr>
          <w:fldChar w:fldCharType="end"/>
        </w:r>
      </w:p>
    </w:sdtContent>
  </w:sdt>
  <w:p w14:paraId="2830AB8B" w14:textId="77777777" w:rsidR="00900797" w:rsidRPr="00E718B1" w:rsidRDefault="00900797" w:rsidP="001D4120">
    <w:pPr>
      <w:jc w:val="right"/>
      <w:rPr>
        <w:i/>
        <w:color w:val="000000"/>
        <w:sz w:val="15"/>
        <w:szCs w:val="15"/>
      </w:rPr>
    </w:pPr>
    <w:r w:rsidRPr="00E718B1">
      <w:rPr>
        <w:i/>
        <w:color w:val="000000"/>
        <w:sz w:val="15"/>
        <w:szCs w:val="15"/>
      </w:rPr>
      <w:t xml:space="preserve">Sentencia de primera instancia </w:t>
    </w:r>
  </w:p>
  <w:p w14:paraId="6E31C1F2" w14:textId="77777777" w:rsidR="00B34FED" w:rsidRPr="00E718B1" w:rsidRDefault="00B34FED" w:rsidP="001D4120">
    <w:pPr>
      <w:jc w:val="right"/>
      <w:rPr>
        <w:rFonts w:eastAsia="Times New Roman"/>
        <w:i/>
        <w:sz w:val="15"/>
        <w:szCs w:val="15"/>
        <w:lang w:val="es-ES" w:eastAsia="es-ES"/>
      </w:rPr>
    </w:pPr>
    <w:r w:rsidRPr="00E718B1">
      <w:rPr>
        <w:b/>
        <w:i/>
        <w:color w:val="000000"/>
        <w:sz w:val="15"/>
        <w:szCs w:val="15"/>
      </w:rPr>
      <w:t xml:space="preserve">Radicación: </w:t>
    </w:r>
    <w:r w:rsidRPr="00E718B1">
      <w:rPr>
        <w:rFonts w:eastAsia="Times New Roman"/>
        <w:i/>
        <w:sz w:val="15"/>
        <w:szCs w:val="15"/>
        <w:lang w:val="es-ES" w:eastAsia="es-ES"/>
      </w:rPr>
      <w:t>11001-03-15-000-2021-03478-00</w:t>
    </w:r>
  </w:p>
  <w:p w14:paraId="05EA4193" w14:textId="77777777" w:rsidR="00B34FED" w:rsidRPr="00E718B1" w:rsidRDefault="00B34FED" w:rsidP="001D4120">
    <w:pPr>
      <w:jc w:val="right"/>
      <w:rPr>
        <w:i/>
        <w:color w:val="000000"/>
        <w:sz w:val="15"/>
        <w:szCs w:val="15"/>
      </w:rPr>
    </w:pPr>
    <w:r w:rsidRPr="00E718B1">
      <w:rPr>
        <w:b/>
        <w:i/>
        <w:color w:val="000000"/>
        <w:sz w:val="15"/>
        <w:szCs w:val="15"/>
      </w:rPr>
      <w:t xml:space="preserve">Accionante: </w:t>
    </w:r>
    <w:r w:rsidRPr="00E718B1">
      <w:rPr>
        <w:i/>
        <w:sz w:val="15"/>
        <w:szCs w:val="15"/>
      </w:rPr>
      <w:t>Argemiro Senior Altamiranda</w:t>
    </w:r>
  </w:p>
  <w:p w14:paraId="06E2642C" w14:textId="77777777" w:rsidR="00B34FED" w:rsidRPr="00E718B1" w:rsidRDefault="00B34FED" w:rsidP="001D4120">
    <w:pPr>
      <w:pStyle w:val="Sangradetextonormal"/>
      <w:tabs>
        <w:tab w:val="left" w:pos="3810"/>
      </w:tabs>
      <w:spacing w:after="0"/>
      <w:ind w:left="0"/>
      <w:jc w:val="right"/>
      <w:rPr>
        <w:rFonts w:ascii="Arial" w:hAnsi="Arial" w:cs="Arial"/>
        <w:sz w:val="15"/>
        <w:szCs w:val="15"/>
      </w:rPr>
    </w:pPr>
    <w:r w:rsidRPr="00E718B1">
      <w:rPr>
        <w:rFonts w:ascii="Arial" w:hAnsi="Arial" w:cs="Arial"/>
        <w:b/>
        <w:i/>
        <w:color w:val="000000"/>
        <w:sz w:val="15"/>
        <w:szCs w:val="15"/>
      </w:rPr>
      <w:t>Accionado:</w:t>
    </w:r>
    <w:r w:rsidRPr="00E718B1">
      <w:rPr>
        <w:rFonts w:ascii="Arial" w:hAnsi="Arial" w:cs="Arial"/>
        <w:b/>
        <w:i/>
        <w:color w:val="000000"/>
        <w:sz w:val="15"/>
        <w:szCs w:val="15"/>
        <w:lang w:val="es-CO"/>
      </w:rPr>
      <w:t xml:space="preserve"> </w:t>
    </w:r>
    <w:r w:rsidRPr="00E718B1">
      <w:rPr>
        <w:rFonts w:ascii="Arial" w:hAnsi="Arial" w:cs="Arial"/>
        <w:i/>
        <w:sz w:val="15"/>
        <w:szCs w:val="15"/>
      </w:rPr>
      <w:t>Sala Primera de Decisión del Tribunal Administrativo de Córdoba</w:t>
    </w:r>
    <w:r w:rsidRPr="00E718B1">
      <w:rPr>
        <w:rFonts w:ascii="Arial" w:hAnsi="Arial" w:cs="Arial"/>
        <w:sz w:val="15"/>
        <w:szCs w:val="15"/>
      </w:rPr>
      <w:t xml:space="preserve"> </w:t>
    </w:r>
  </w:p>
  <w:p w14:paraId="36298F34" w14:textId="77777777" w:rsidR="00900797" w:rsidRPr="00E718B1" w:rsidRDefault="00900797" w:rsidP="001D4120">
    <w:pPr>
      <w:pStyle w:val="Encabezado"/>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1C3F" w14:textId="77777777" w:rsidR="008A6D29" w:rsidRPr="0067560B" w:rsidRDefault="008A6D29" w:rsidP="008A6D29">
    <w:pPr>
      <w:pStyle w:val="Encabezado"/>
      <w:rPr>
        <w:sz w:val="24"/>
        <w:szCs w:val="24"/>
      </w:rPr>
    </w:pPr>
  </w:p>
  <w:p w14:paraId="14238CE8" w14:textId="77777777" w:rsidR="008A6D29" w:rsidRPr="0067560B" w:rsidRDefault="008A6D29" w:rsidP="008A6D29">
    <w:pPr>
      <w:pStyle w:val="Encabezado"/>
      <w:rPr>
        <w:sz w:val="24"/>
        <w:szCs w:val="24"/>
      </w:rPr>
    </w:pPr>
    <w:r w:rsidRPr="0067560B">
      <w:rPr>
        <w:noProof/>
        <w:sz w:val="24"/>
        <w:szCs w:val="24"/>
        <w:lang w:val="en-US"/>
      </w:rPr>
      <w:drawing>
        <wp:anchor distT="0" distB="0" distL="114300" distR="114300" simplePos="0" relativeHeight="251659264" behindDoc="1" locked="0" layoutInCell="1" allowOverlap="1" wp14:anchorId="7C99138E" wp14:editId="17902A38">
          <wp:simplePos x="0" y="0"/>
          <wp:positionH relativeFrom="column">
            <wp:posOffset>-100330</wp:posOffset>
          </wp:positionH>
          <wp:positionV relativeFrom="paragraph">
            <wp:posOffset>-250190</wp:posOffset>
          </wp:positionV>
          <wp:extent cx="1238250" cy="1154430"/>
          <wp:effectExtent l="0" t="0" r="0" b="0"/>
          <wp:wrapNone/>
          <wp:docPr id="2" name="Imagen 2"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168F6" w14:textId="77777777" w:rsidR="008A6D29" w:rsidRPr="0067560B" w:rsidRDefault="008A6D29" w:rsidP="008A6D29">
    <w:pPr>
      <w:ind w:right="-93"/>
      <w:jc w:val="center"/>
      <w:rPr>
        <w:b/>
        <w:bCs/>
        <w:sz w:val="24"/>
        <w:szCs w:val="24"/>
        <w:lang w:eastAsia="es-ES"/>
      </w:rPr>
    </w:pPr>
    <w:r w:rsidRPr="0067560B">
      <w:rPr>
        <w:b/>
        <w:bCs/>
        <w:sz w:val="24"/>
        <w:szCs w:val="24"/>
        <w:lang w:eastAsia="es-ES"/>
      </w:rPr>
      <w:t>CONSEJO DE ESTADO</w:t>
    </w:r>
  </w:p>
  <w:p w14:paraId="0C84868D" w14:textId="77777777" w:rsidR="008A6D29" w:rsidRPr="0067560B" w:rsidRDefault="008A6D29" w:rsidP="008A6D29">
    <w:pPr>
      <w:ind w:right="-93"/>
      <w:jc w:val="center"/>
      <w:rPr>
        <w:b/>
        <w:bCs/>
        <w:color w:val="000000"/>
        <w:sz w:val="24"/>
        <w:szCs w:val="24"/>
        <w:lang w:eastAsia="es-ES"/>
      </w:rPr>
    </w:pPr>
    <w:r w:rsidRPr="0067560B">
      <w:rPr>
        <w:b/>
        <w:bCs/>
        <w:color w:val="000000"/>
        <w:sz w:val="24"/>
        <w:szCs w:val="24"/>
        <w:lang w:eastAsia="es-ES"/>
      </w:rPr>
      <w:t>SALA DE LO CONTENCIOSO ADMINISTRATIVO</w:t>
    </w:r>
  </w:p>
  <w:p w14:paraId="532A9940" w14:textId="77777777" w:rsidR="008A6D29" w:rsidRPr="0067560B" w:rsidRDefault="008A6D29" w:rsidP="008A6D29">
    <w:pPr>
      <w:ind w:right="-93"/>
      <w:jc w:val="center"/>
      <w:rPr>
        <w:b/>
        <w:bCs/>
        <w:color w:val="000000"/>
        <w:sz w:val="24"/>
        <w:szCs w:val="24"/>
        <w:lang w:eastAsia="es-ES"/>
      </w:rPr>
    </w:pPr>
    <w:r w:rsidRPr="0067560B">
      <w:rPr>
        <w:b/>
        <w:bCs/>
        <w:color w:val="000000"/>
        <w:sz w:val="24"/>
        <w:szCs w:val="24"/>
        <w:lang w:eastAsia="es-ES"/>
      </w:rPr>
      <w:t>SECCIÓN TERCERA</w:t>
    </w:r>
  </w:p>
  <w:p w14:paraId="244617C6" w14:textId="77777777" w:rsidR="008A6D29" w:rsidRPr="0067560B" w:rsidRDefault="008A6D29" w:rsidP="008A6D29">
    <w:pPr>
      <w:tabs>
        <w:tab w:val="center" w:pos="4465"/>
        <w:tab w:val="right" w:pos="8931"/>
      </w:tabs>
      <w:ind w:right="-93"/>
      <w:jc w:val="center"/>
      <w:rPr>
        <w:b/>
        <w:bCs/>
        <w:color w:val="000000"/>
        <w:sz w:val="24"/>
        <w:szCs w:val="24"/>
        <w:lang w:eastAsia="es-ES"/>
      </w:rPr>
    </w:pPr>
    <w:r w:rsidRPr="0067560B">
      <w:rPr>
        <w:b/>
        <w:bCs/>
        <w:color w:val="000000"/>
        <w:sz w:val="24"/>
        <w:szCs w:val="24"/>
        <w:lang w:eastAsia="es-ES"/>
      </w:rPr>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29"/>
    <w:rsid w:val="00001E9E"/>
    <w:rsid w:val="00006D30"/>
    <w:rsid w:val="00014CB4"/>
    <w:rsid w:val="000157DC"/>
    <w:rsid w:val="00026A80"/>
    <w:rsid w:val="00027D19"/>
    <w:rsid w:val="0003497B"/>
    <w:rsid w:val="0005016E"/>
    <w:rsid w:val="00056264"/>
    <w:rsid w:val="000771EE"/>
    <w:rsid w:val="000953F8"/>
    <w:rsid w:val="00096641"/>
    <w:rsid w:val="000A264B"/>
    <w:rsid w:val="000B1D8C"/>
    <w:rsid w:val="000C20AF"/>
    <w:rsid w:val="000D3B52"/>
    <w:rsid w:val="000D3B5A"/>
    <w:rsid w:val="000E41F0"/>
    <w:rsid w:val="000F7960"/>
    <w:rsid w:val="001116BF"/>
    <w:rsid w:val="001236AB"/>
    <w:rsid w:val="001275FD"/>
    <w:rsid w:val="00135A9C"/>
    <w:rsid w:val="0015084B"/>
    <w:rsid w:val="00157081"/>
    <w:rsid w:val="00167FC8"/>
    <w:rsid w:val="0018370D"/>
    <w:rsid w:val="00196FDC"/>
    <w:rsid w:val="001A40E4"/>
    <w:rsid w:val="001C5254"/>
    <w:rsid w:val="001C74EC"/>
    <w:rsid w:val="001D1930"/>
    <w:rsid w:val="001D4120"/>
    <w:rsid w:val="001E7F78"/>
    <w:rsid w:val="00213072"/>
    <w:rsid w:val="00234AE7"/>
    <w:rsid w:val="00246A05"/>
    <w:rsid w:val="00255B33"/>
    <w:rsid w:val="00264BCC"/>
    <w:rsid w:val="00266927"/>
    <w:rsid w:val="00266980"/>
    <w:rsid w:val="00266B4B"/>
    <w:rsid w:val="002721FC"/>
    <w:rsid w:val="00272AE8"/>
    <w:rsid w:val="00273DF3"/>
    <w:rsid w:val="00274887"/>
    <w:rsid w:val="00275C9E"/>
    <w:rsid w:val="002765C3"/>
    <w:rsid w:val="00287F9B"/>
    <w:rsid w:val="00292948"/>
    <w:rsid w:val="0029513C"/>
    <w:rsid w:val="002A07E2"/>
    <w:rsid w:val="002C2910"/>
    <w:rsid w:val="002D1074"/>
    <w:rsid w:val="002D1AD7"/>
    <w:rsid w:val="002E4B24"/>
    <w:rsid w:val="002E71A5"/>
    <w:rsid w:val="002E7B16"/>
    <w:rsid w:val="0030781F"/>
    <w:rsid w:val="00311030"/>
    <w:rsid w:val="00330EAA"/>
    <w:rsid w:val="00343164"/>
    <w:rsid w:val="003546A8"/>
    <w:rsid w:val="00356D5E"/>
    <w:rsid w:val="00363715"/>
    <w:rsid w:val="0036696C"/>
    <w:rsid w:val="003743A3"/>
    <w:rsid w:val="00377510"/>
    <w:rsid w:val="00381D03"/>
    <w:rsid w:val="00397E6D"/>
    <w:rsid w:val="003A7419"/>
    <w:rsid w:val="003B4222"/>
    <w:rsid w:val="003C1B5E"/>
    <w:rsid w:val="003C5B55"/>
    <w:rsid w:val="003E1122"/>
    <w:rsid w:val="004008FC"/>
    <w:rsid w:val="00400943"/>
    <w:rsid w:val="00403461"/>
    <w:rsid w:val="00417DF1"/>
    <w:rsid w:val="00424EF3"/>
    <w:rsid w:val="004276DE"/>
    <w:rsid w:val="004418AA"/>
    <w:rsid w:val="0045237D"/>
    <w:rsid w:val="00454616"/>
    <w:rsid w:val="004668D8"/>
    <w:rsid w:val="00467146"/>
    <w:rsid w:val="00477C2F"/>
    <w:rsid w:val="004953AF"/>
    <w:rsid w:val="004A662D"/>
    <w:rsid w:val="004A7517"/>
    <w:rsid w:val="004D733B"/>
    <w:rsid w:val="00501243"/>
    <w:rsid w:val="00502275"/>
    <w:rsid w:val="00513186"/>
    <w:rsid w:val="00523D45"/>
    <w:rsid w:val="00527E6C"/>
    <w:rsid w:val="00543C33"/>
    <w:rsid w:val="00550897"/>
    <w:rsid w:val="00553B3C"/>
    <w:rsid w:val="00557339"/>
    <w:rsid w:val="00584B47"/>
    <w:rsid w:val="005A53D4"/>
    <w:rsid w:val="005A73CF"/>
    <w:rsid w:val="005C7E22"/>
    <w:rsid w:val="005D24C5"/>
    <w:rsid w:val="005E4B52"/>
    <w:rsid w:val="005F62C1"/>
    <w:rsid w:val="0061629E"/>
    <w:rsid w:val="0063788A"/>
    <w:rsid w:val="00644CA2"/>
    <w:rsid w:val="00657ED7"/>
    <w:rsid w:val="00665733"/>
    <w:rsid w:val="0066587C"/>
    <w:rsid w:val="00666AC6"/>
    <w:rsid w:val="006727B0"/>
    <w:rsid w:val="0069126B"/>
    <w:rsid w:val="0069146C"/>
    <w:rsid w:val="006A0B4B"/>
    <w:rsid w:val="006A1AA8"/>
    <w:rsid w:val="006B75D6"/>
    <w:rsid w:val="006C0B52"/>
    <w:rsid w:val="006C3E5C"/>
    <w:rsid w:val="006C62A5"/>
    <w:rsid w:val="006D428A"/>
    <w:rsid w:val="006E4817"/>
    <w:rsid w:val="006F6ABA"/>
    <w:rsid w:val="007131D4"/>
    <w:rsid w:val="00717685"/>
    <w:rsid w:val="00723844"/>
    <w:rsid w:val="007478EA"/>
    <w:rsid w:val="007559C2"/>
    <w:rsid w:val="007779A3"/>
    <w:rsid w:val="00785E4B"/>
    <w:rsid w:val="007B30F0"/>
    <w:rsid w:val="007C3F2F"/>
    <w:rsid w:val="007C781A"/>
    <w:rsid w:val="007F08FB"/>
    <w:rsid w:val="007F343E"/>
    <w:rsid w:val="007F594F"/>
    <w:rsid w:val="00800093"/>
    <w:rsid w:val="0080309A"/>
    <w:rsid w:val="008039B3"/>
    <w:rsid w:val="00805141"/>
    <w:rsid w:val="00810B28"/>
    <w:rsid w:val="00813A6C"/>
    <w:rsid w:val="00814654"/>
    <w:rsid w:val="00841CBB"/>
    <w:rsid w:val="00850DFA"/>
    <w:rsid w:val="00874406"/>
    <w:rsid w:val="0088417B"/>
    <w:rsid w:val="00890EFE"/>
    <w:rsid w:val="008A0555"/>
    <w:rsid w:val="008A6D29"/>
    <w:rsid w:val="008B6E7C"/>
    <w:rsid w:val="008C010E"/>
    <w:rsid w:val="008C2EDD"/>
    <w:rsid w:val="008C496C"/>
    <w:rsid w:val="008C7269"/>
    <w:rsid w:val="008D01A1"/>
    <w:rsid w:val="008D188F"/>
    <w:rsid w:val="008E37AF"/>
    <w:rsid w:val="008E4F44"/>
    <w:rsid w:val="008F45A1"/>
    <w:rsid w:val="00900797"/>
    <w:rsid w:val="0094658C"/>
    <w:rsid w:val="00956044"/>
    <w:rsid w:val="009668C2"/>
    <w:rsid w:val="00972F55"/>
    <w:rsid w:val="00975D81"/>
    <w:rsid w:val="00977A3F"/>
    <w:rsid w:val="00992566"/>
    <w:rsid w:val="00996041"/>
    <w:rsid w:val="009A0BCB"/>
    <w:rsid w:val="009A35D9"/>
    <w:rsid w:val="009A6E1D"/>
    <w:rsid w:val="009B1CB7"/>
    <w:rsid w:val="009C37FD"/>
    <w:rsid w:val="009C4311"/>
    <w:rsid w:val="009D3CBF"/>
    <w:rsid w:val="009D5840"/>
    <w:rsid w:val="009D5B46"/>
    <w:rsid w:val="009E16AD"/>
    <w:rsid w:val="009E6DE2"/>
    <w:rsid w:val="009F357F"/>
    <w:rsid w:val="00A12D20"/>
    <w:rsid w:val="00A1309E"/>
    <w:rsid w:val="00A231FE"/>
    <w:rsid w:val="00A34641"/>
    <w:rsid w:val="00A36B5A"/>
    <w:rsid w:val="00A42D54"/>
    <w:rsid w:val="00A43D3F"/>
    <w:rsid w:val="00A44C4C"/>
    <w:rsid w:val="00A50018"/>
    <w:rsid w:val="00A63D12"/>
    <w:rsid w:val="00A64DDA"/>
    <w:rsid w:val="00A703A4"/>
    <w:rsid w:val="00A80C3A"/>
    <w:rsid w:val="00A94878"/>
    <w:rsid w:val="00AA00BC"/>
    <w:rsid w:val="00AA70C9"/>
    <w:rsid w:val="00AC5B3A"/>
    <w:rsid w:val="00AC7D45"/>
    <w:rsid w:val="00AE2D3F"/>
    <w:rsid w:val="00AF3AE0"/>
    <w:rsid w:val="00AF4ACA"/>
    <w:rsid w:val="00B03E1D"/>
    <w:rsid w:val="00B1222D"/>
    <w:rsid w:val="00B32929"/>
    <w:rsid w:val="00B34FED"/>
    <w:rsid w:val="00B542E5"/>
    <w:rsid w:val="00B72E20"/>
    <w:rsid w:val="00B77847"/>
    <w:rsid w:val="00B81B4D"/>
    <w:rsid w:val="00B84127"/>
    <w:rsid w:val="00B9685F"/>
    <w:rsid w:val="00BA1E59"/>
    <w:rsid w:val="00BA5D3F"/>
    <w:rsid w:val="00BB5477"/>
    <w:rsid w:val="00BD2BFA"/>
    <w:rsid w:val="00BD734E"/>
    <w:rsid w:val="00BE436E"/>
    <w:rsid w:val="00BF1FE5"/>
    <w:rsid w:val="00C01628"/>
    <w:rsid w:val="00C03886"/>
    <w:rsid w:val="00C10EA7"/>
    <w:rsid w:val="00C12380"/>
    <w:rsid w:val="00C128F0"/>
    <w:rsid w:val="00C13D1E"/>
    <w:rsid w:val="00C25A0D"/>
    <w:rsid w:val="00C27FCF"/>
    <w:rsid w:val="00C3764D"/>
    <w:rsid w:val="00C40694"/>
    <w:rsid w:val="00C5644B"/>
    <w:rsid w:val="00C5768B"/>
    <w:rsid w:val="00C836DF"/>
    <w:rsid w:val="00C84E6D"/>
    <w:rsid w:val="00C97658"/>
    <w:rsid w:val="00CB6D9A"/>
    <w:rsid w:val="00CE7646"/>
    <w:rsid w:val="00D031BA"/>
    <w:rsid w:val="00D11762"/>
    <w:rsid w:val="00D12F85"/>
    <w:rsid w:val="00D23BF6"/>
    <w:rsid w:val="00D2518B"/>
    <w:rsid w:val="00D26BE7"/>
    <w:rsid w:val="00D36C34"/>
    <w:rsid w:val="00D447B3"/>
    <w:rsid w:val="00D47F7E"/>
    <w:rsid w:val="00D54AE7"/>
    <w:rsid w:val="00D574F3"/>
    <w:rsid w:val="00D63797"/>
    <w:rsid w:val="00D8032C"/>
    <w:rsid w:val="00D9314F"/>
    <w:rsid w:val="00D96DB7"/>
    <w:rsid w:val="00DA1FBD"/>
    <w:rsid w:val="00DA4471"/>
    <w:rsid w:val="00DA6D15"/>
    <w:rsid w:val="00DA6F6E"/>
    <w:rsid w:val="00DB10F7"/>
    <w:rsid w:val="00DB25B2"/>
    <w:rsid w:val="00DB2EB4"/>
    <w:rsid w:val="00DD77E0"/>
    <w:rsid w:val="00DE3C28"/>
    <w:rsid w:val="00DE42AC"/>
    <w:rsid w:val="00DE6EC4"/>
    <w:rsid w:val="00DF0174"/>
    <w:rsid w:val="00DF2E3C"/>
    <w:rsid w:val="00DF4507"/>
    <w:rsid w:val="00E234F5"/>
    <w:rsid w:val="00E30C99"/>
    <w:rsid w:val="00E426DC"/>
    <w:rsid w:val="00E50FF7"/>
    <w:rsid w:val="00E655E3"/>
    <w:rsid w:val="00E70CB9"/>
    <w:rsid w:val="00E718B1"/>
    <w:rsid w:val="00E77B5A"/>
    <w:rsid w:val="00E82B2C"/>
    <w:rsid w:val="00E84940"/>
    <w:rsid w:val="00E87B43"/>
    <w:rsid w:val="00EA68CF"/>
    <w:rsid w:val="00EA731D"/>
    <w:rsid w:val="00EC1991"/>
    <w:rsid w:val="00EC1B61"/>
    <w:rsid w:val="00EE56B9"/>
    <w:rsid w:val="00EE6EED"/>
    <w:rsid w:val="00EF074C"/>
    <w:rsid w:val="00F03114"/>
    <w:rsid w:val="00F1201E"/>
    <w:rsid w:val="00F12A18"/>
    <w:rsid w:val="00F17310"/>
    <w:rsid w:val="00F277C8"/>
    <w:rsid w:val="00F450A1"/>
    <w:rsid w:val="00F47A15"/>
    <w:rsid w:val="00F503DE"/>
    <w:rsid w:val="00F5093C"/>
    <w:rsid w:val="00F65158"/>
    <w:rsid w:val="00F70298"/>
    <w:rsid w:val="00F84BB2"/>
    <w:rsid w:val="00F87A9E"/>
    <w:rsid w:val="00FA3E37"/>
    <w:rsid w:val="00FA3ED9"/>
    <w:rsid w:val="00FA49EE"/>
    <w:rsid w:val="00FB1F1F"/>
    <w:rsid w:val="00FB1F2A"/>
    <w:rsid w:val="00FD0B9B"/>
    <w:rsid w:val="00FF4E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6EC0"/>
  <w15:chartTrackingRefBased/>
  <w15:docId w15:val="{E3DBCC35-12FB-4F7F-BF90-0EC7B52C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D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D29"/>
    <w:pPr>
      <w:tabs>
        <w:tab w:val="center" w:pos="4419"/>
        <w:tab w:val="right" w:pos="8838"/>
      </w:tabs>
    </w:pPr>
  </w:style>
  <w:style w:type="character" w:customStyle="1" w:styleId="EncabezadoCar">
    <w:name w:val="Encabezado Car"/>
    <w:basedOn w:val="Fuentedeprrafopredeter"/>
    <w:link w:val="Encabezado"/>
    <w:uiPriority w:val="99"/>
    <w:rsid w:val="008A6D29"/>
  </w:style>
  <w:style w:type="paragraph" w:styleId="Piedepgina">
    <w:name w:val="footer"/>
    <w:basedOn w:val="Normal"/>
    <w:link w:val="PiedepginaCar"/>
    <w:uiPriority w:val="99"/>
    <w:unhideWhenUsed/>
    <w:rsid w:val="008A6D29"/>
    <w:pPr>
      <w:tabs>
        <w:tab w:val="center" w:pos="4419"/>
        <w:tab w:val="right" w:pos="8838"/>
      </w:tabs>
    </w:pPr>
  </w:style>
  <w:style w:type="character" w:customStyle="1" w:styleId="PiedepginaCar">
    <w:name w:val="Pie de página Car"/>
    <w:basedOn w:val="Fuentedeprrafopredeter"/>
    <w:link w:val="Piedepgina"/>
    <w:uiPriority w:val="99"/>
    <w:rsid w:val="008A6D29"/>
  </w:style>
  <w:style w:type="paragraph" w:styleId="Sangradetextonormal">
    <w:name w:val="Body Text Indent"/>
    <w:basedOn w:val="Normal"/>
    <w:link w:val="SangradetextonormalCar"/>
    <w:unhideWhenUsed/>
    <w:qFormat/>
    <w:rsid w:val="008A6D29"/>
    <w:pPr>
      <w:spacing w:after="120"/>
      <w:ind w:left="283"/>
      <w:jc w:val="left"/>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qFormat/>
    <w:rsid w:val="008A6D29"/>
    <w:rPr>
      <w:rFonts w:ascii="Times New Roman" w:eastAsia="Times New Roman" w:hAnsi="Times New Roman" w:cs="Times New Roman"/>
      <w:sz w:val="24"/>
      <w:szCs w:val="24"/>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8A6D29"/>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8A6D29"/>
    <w:pPr>
      <w:overflowPunct w:val="0"/>
      <w:autoSpaceDE w:val="0"/>
      <w:autoSpaceDN w:val="0"/>
      <w:adjustRightInd w:val="0"/>
      <w:jc w:val="left"/>
      <w:textAlignment w:val="baseline"/>
    </w:pPr>
    <w:rPr>
      <w:rFonts w:ascii="Times New Roman" w:eastAsia="Times New Roman" w:hAnsi="Times New Roman" w:cs="Times New Roman"/>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8A6D29"/>
    <w:rPr>
      <w:rFonts w:ascii="Times New Roman" w:eastAsia="Times New Roman" w:hAnsi="Times New Roman" w:cs="Times New Roman"/>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A6D29"/>
    <w:rPr>
      <w:vertAlign w:val="superscript"/>
    </w:rPr>
  </w:style>
  <w:style w:type="paragraph" w:styleId="Lista">
    <w:name w:val="List"/>
    <w:basedOn w:val="Normal"/>
    <w:rsid w:val="009D5B46"/>
    <w:pPr>
      <w:autoSpaceDE w:val="0"/>
      <w:autoSpaceDN w:val="0"/>
      <w:ind w:left="283" w:hanging="283"/>
      <w:jc w:val="left"/>
    </w:pPr>
    <w:rPr>
      <w:rFonts w:eastAsia="Times New Roman"/>
      <w:sz w:val="28"/>
      <w:szCs w:val="28"/>
      <w:lang w:eastAsia="es-ES"/>
    </w:rPr>
  </w:style>
  <w:style w:type="table" w:styleId="Tablaconcuadrcula">
    <w:name w:val="Table Grid"/>
    <w:basedOn w:val="Tablanormal"/>
    <w:uiPriority w:val="39"/>
    <w:rsid w:val="00C03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10EA7"/>
    <w:pPr>
      <w:jc w:val="left"/>
    </w:pPr>
    <w:rPr>
      <w:rFonts w:ascii="Calibri" w:eastAsia="Calibri" w:hAnsi="Calibri" w:cs="Times New Roman"/>
      <w:sz w:val="22"/>
      <w:szCs w:val="22"/>
    </w:rPr>
  </w:style>
  <w:style w:type="character" w:customStyle="1" w:styleId="SinespaciadoCar">
    <w:name w:val="Sin espaciado Car"/>
    <w:link w:val="Sinespaciado"/>
    <w:uiPriority w:val="1"/>
    <w:locked/>
    <w:rsid w:val="00C10EA7"/>
    <w:rPr>
      <w:rFonts w:ascii="Calibri" w:eastAsia="Calibri" w:hAnsi="Calibri" w:cs="Times New Roman"/>
      <w:sz w:val="22"/>
      <w:szCs w:val="22"/>
    </w:rPr>
  </w:style>
  <w:style w:type="character" w:styleId="Refdecomentario">
    <w:name w:val="annotation reference"/>
    <w:basedOn w:val="Fuentedeprrafopredeter"/>
    <w:uiPriority w:val="99"/>
    <w:semiHidden/>
    <w:unhideWhenUsed/>
    <w:rsid w:val="004A662D"/>
    <w:rPr>
      <w:sz w:val="16"/>
      <w:szCs w:val="16"/>
    </w:rPr>
  </w:style>
  <w:style w:type="paragraph" w:styleId="Textocomentario">
    <w:name w:val="annotation text"/>
    <w:basedOn w:val="Normal"/>
    <w:link w:val="TextocomentarioCar"/>
    <w:uiPriority w:val="99"/>
    <w:semiHidden/>
    <w:unhideWhenUsed/>
    <w:rsid w:val="004A662D"/>
  </w:style>
  <w:style w:type="character" w:customStyle="1" w:styleId="TextocomentarioCar">
    <w:name w:val="Texto comentario Car"/>
    <w:basedOn w:val="Fuentedeprrafopredeter"/>
    <w:link w:val="Textocomentario"/>
    <w:uiPriority w:val="99"/>
    <w:semiHidden/>
    <w:rsid w:val="004A662D"/>
  </w:style>
  <w:style w:type="paragraph" w:styleId="Asuntodelcomentario">
    <w:name w:val="annotation subject"/>
    <w:basedOn w:val="Textocomentario"/>
    <w:next w:val="Textocomentario"/>
    <w:link w:val="AsuntodelcomentarioCar"/>
    <w:uiPriority w:val="99"/>
    <w:semiHidden/>
    <w:unhideWhenUsed/>
    <w:rsid w:val="004A662D"/>
    <w:rPr>
      <w:b/>
      <w:bCs/>
    </w:rPr>
  </w:style>
  <w:style w:type="character" w:customStyle="1" w:styleId="AsuntodelcomentarioCar">
    <w:name w:val="Asunto del comentario Car"/>
    <w:basedOn w:val="TextocomentarioCar"/>
    <w:link w:val="Asuntodelcomentario"/>
    <w:uiPriority w:val="99"/>
    <w:semiHidden/>
    <w:rsid w:val="004A662D"/>
    <w:rPr>
      <w:b/>
      <w:bCs/>
    </w:rPr>
  </w:style>
  <w:style w:type="paragraph" w:styleId="Textodeglobo">
    <w:name w:val="Balloon Text"/>
    <w:basedOn w:val="Normal"/>
    <w:link w:val="TextodegloboCar"/>
    <w:uiPriority w:val="99"/>
    <w:semiHidden/>
    <w:unhideWhenUsed/>
    <w:rsid w:val="004A66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62D"/>
    <w:rPr>
      <w:rFonts w:ascii="Segoe UI" w:hAnsi="Segoe UI" w:cs="Segoe UI"/>
      <w:sz w:val="18"/>
      <w:szCs w:val="18"/>
    </w:rPr>
  </w:style>
  <w:style w:type="paragraph" w:styleId="Revisin">
    <w:name w:val="Revision"/>
    <w:hidden/>
    <w:uiPriority w:val="99"/>
    <w:semiHidden/>
    <w:rsid w:val="0036371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A94F3-4F73-4E9D-98E0-6A83FBE28300}">
  <ds:schemaRefs>
    <ds:schemaRef ds:uri="http://schemas.openxmlformats.org/officeDocument/2006/bibliography"/>
  </ds:schemaRefs>
</ds:datastoreItem>
</file>

<file path=customXml/itemProps2.xml><?xml version="1.0" encoding="utf-8"?>
<ds:datastoreItem xmlns:ds="http://schemas.openxmlformats.org/officeDocument/2006/customXml" ds:itemID="{EC2C3D90-1C10-45AF-B928-59E25B199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13173-76AD-4616-AC19-17451ADB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93A23-3BDB-4973-B4C6-A5B4F4184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2451</Words>
  <Characters>13482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2021-08-24T01:29:00Z</dcterms:created>
  <dcterms:modified xsi:type="dcterms:W3CDTF">2021-08-24T01:29:00Z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