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4A924" w14:textId="77777777" w:rsidR="000C5DB7" w:rsidRPr="00CD42D0" w:rsidRDefault="000C5DB7" w:rsidP="0013277B">
      <w:pPr>
        <w:pStyle w:val="Sinespaciado"/>
        <w:rPr>
          <w:szCs w:val="24"/>
        </w:rPr>
      </w:pPr>
      <w:r w:rsidRPr="00CD42D0">
        <w:rPr>
          <w:szCs w:val="24"/>
        </w:rPr>
        <w:t>CONSEJERO PONENTE: JAIME ENRIQUE RODRÍGUEZ NAVAS</w:t>
      </w:r>
    </w:p>
    <w:p w14:paraId="50299F1F" w14:textId="77777777" w:rsidR="00F91B32" w:rsidRPr="00CD42D0" w:rsidRDefault="00F91B32" w:rsidP="00F77BC5">
      <w:pPr>
        <w:spacing w:line="276" w:lineRule="auto"/>
        <w:contextualSpacing/>
        <w:rPr>
          <w:b/>
          <w:bCs/>
          <w:sz w:val="24"/>
          <w:szCs w:val="24"/>
        </w:rPr>
      </w:pPr>
    </w:p>
    <w:p w14:paraId="67CA4851" w14:textId="22DD3717" w:rsidR="000C5DB7" w:rsidRPr="00CD42D0" w:rsidRDefault="000C5DB7" w:rsidP="00F77BC5">
      <w:pPr>
        <w:spacing w:line="276" w:lineRule="auto"/>
        <w:contextualSpacing/>
        <w:rPr>
          <w:bCs/>
          <w:sz w:val="24"/>
          <w:szCs w:val="24"/>
        </w:rPr>
      </w:pPr>
      <w:r w:rsidRPr="00CD42D0">
        <w:rPr>
          <w:bCs/>
          <w:sz w:val="24"/>
          <w:szCs w:val="24"/>
        </w:rPr>
        <w:t xml:space="preserve">Bogotá D.C., </w:t>
      </w:r>
      <w:r w:rsidR="004C3EEB" w:rsidRPr="00CD42D0">
        <w:rPr>
          <w:bCs/>
          <w:sz w:val="24"/>
          <w:szCs w:val="24"/>
        </w:rPr>
        <w:t>veinte</w:t>
      </w:r>
      <w:r w:rsidR="003F6339" w:rsidRPr="00CD42D0">
        <w:rPr>
          <w:bCs/>
          <w:sz w:val="24"/>
          <w:szCs w:val="24"/>
        </w:rPr>
        <w:t xml:space="preserve"> (</w:t>
      </w:r>
      <w:r w:rsidR="004C3EEB" w:rsidRPr="00CD42D0">
        <w:rPr>
          <w:bCs/>
          <w:sz w:val="24"/>
          <w:szCs w:val="24"/>
        </w:rPr>
        <w:t>20</w:t>
      </w:r>
      <w:r w:rsidR="003F6339" w:rsidRPr="00CD42D0">
        <w:rPr>
          <w:bCs/>
          <w:sz w:val="24"/>
          <w:szCs w:val="24"/>
        </w:rPr>
        <w:t xml:space="preserve">) de </w:t>
      </w:r>
      <w:r w:rsidR="004C3EEB" w:rsidRPr="00CD42D0">
        <w:rPr>
          <w:bCs/>
          <w:sz w:val="24"/>
          <w:szCs w:val="24"/>
        </w:rPr>
        <w:t>agosto</w:t>
      </w:r>
      <w:r w:rsidR="003F6339" w:rsidRPr="00CD42D0">
        <w:rPr>
          <w:bCs/>
          <w:sz w:val="24"/>
          <w:szCs w:val="24"/>
        </w:rPr>
        <w:t xml:space="preserve"> </w:t>
      </w:r>
      <w:r w:rsidR="007414B9" w:rsidRPr="00CD42D0">
        <w:rPr>
          <w:bCs/>
          <w:sz w:val="24"/>
          <w:szCs w:val="24"/>
        </w:rPr>
        <w:t>de</w:t>
      </w:r>
      <w:r w:rsidRPr="00CD42D0">
        <w:rPr>
          <w:bCs/>
          <w:sz w:val="24"/>
          <w:szCs w:val="24"/>
        </w:rPr>
        <w:t xml:space="preserve"> dos mil </w:t>
      </w:r>
      <w:r w:rsidR="00726B1F" w:rsidRPr="00CD42D0">
        <w:rPr>
          <w:bCs/>
          <w:sz w:val="24"/>
          <w:szCs w:val="24"/>
        </w:rPr>
        <w:t>veintiuno</w:t>
      </w:r>
      <w:r w:rsidRPr="00CD42D0">
        <w:rPr>
          <w:bCs/>
          <w:sz w:val="24"/>
          <w:szCs w:val="24"/>
        </w:rPr>
        <w:t xml:space="preserve"> (</w:t>
      </w:r>
      <w:r w:rsidR="00726B1F" w:rsidRPr="00CD42D0">
        <w:rPr>
          <w:bCs/>
          <w:sz w:val="24"/>
          <w:szCs w:val="24"/>
        </w:rPr>
        <w:t>2021</w:t>
      </w:r>
      <w:r w:rsidRPr="00CD42D0">
        <w:rPr>
          <w:bCs/>
          <w:sz w:val="24"/>
          <w:szCs w:val="24"/>
        </w:rPr>
        <w:t>)</w:t>
      </w:r>
    </w:p>
    <w:p w14:paraId="08FDD8A8" w14:textId="77777777" w:rsidR="001A5D58" w:rsidRPr="00CD42D0" w:rsidRDefault="001A5D58" w:rsidP="00F77BC5">
      <w:pPr>
        <w:spacing w:line="276" w:lineRule="auto"/>
        <w:contextualSpacing/>
        <w:rPr>
          <w:b/>
          <w:sz w:val="24"/>
          <w:szCs w:val="24"/>
        </w:rPr>
      </w:pPr>
    </w:p>
    <w:p w14:paraId="50F37946" w14:textId="77777777" w:rsidR="00BA6090" w:rsidRPr="00CD42D0" w:rsidRDefault="00BA6090" w:rsidP="00BA6090">
      <w:pPr>
        <w:spacing w:line="276" w:lineRule="auto"/>
        <w:ind w:left="1620" w:hanging="1620"/>
        <w:contextualSpacing/>
        <w:rPr>
          <w:b/>
          <w:sz w:val="24"/>
          <w:szCs w:val="24"/>
        </w:rPr>
      </w:pPr>
      <w:r w:rsidRPr="00CD42D0">
        <w:rPr>
          <w:b/>
          <w:sz w:val="24"/>
          <w:szCs w:val="24"/>
        </w:rPr>
        <w:t xml:space="preserve">Referencia: </w:t>
      </w:r>
      <w:r w:rsidRPr="00CD42D0">
        <w:rPr>
          <w:b/>
          <w:sz w:val="24"/>
          <w:szCs w:val="24"/>
        </w:rPr>
        <w:tab/>
      </w:r>
      <w:r w:rsidRPr="00CD42D0">
        <w:rPr>
          <w:sz w:val="24"/>
          <w:szCs w:val="24"/>
        </w:rPr>
        <w:t>Acción de Tutela</w:t>
      </w:r>
    </w:p>
    <w:p w14:paraId="27806380" w14:textId="37196BE6" w:rsidR="00BA6090" w:rsidRPr="00CD42D0" w:rsidRDefault="00BA6090" w:rsidP="00BA6090">
      <w:pPr>
        <w:spacing w:line="276" w:lineRule="auto"/>
        <w:ind w:left="1620" w:hanging="1620"/>
        <w:contextualSpacing/>
        <w:rPr>
          <w:sz w:val="24"/>
          <w:szCs w:val="24"/>
        </w:rPr>
      </w:pPr>
      <w:r w:rsidRPr="00CD42D0">
        <w:rPr>
          <w:b/>
          <w:sz w:val="24"/>
          <w:szCs w:val="24"/>
        </w:rPr>
        <w:t>Radicación:</w:t>
      </w:r>
      <w:r w:rsidRPr="00CD42D0">
        <w:rPr>
          <w:b/>
          <w:sz w:val="24"/>
          <w:szCs w:val="24"/>
        </w:rPr>
        <w:tab/>
      </w:r>
      <w:r w:rsidR="00434FE2" w:rsidRPr="00CD42D0">
        <w:rPr>
          <w:sz w:val="24"/>
          <w:szCs w:val="24"/>
        </w:rPr>
        <w:t>11001-03-15-000-2021-03278-00</w:t>
      </w:r>
    </w:p>
    <w:p w14:paraId="0375DCA7" w14:textId="1C22FFD9" w:rsidR="00BA6090" w:rsidRPr="00CD42D0" w:rsidRDefault="00BA6090" w:rsidP="00BA6090">
      <w:pPr>
        <w:spacing w:line="276" w:lineRule="auto"/>
        <w:ind w:left="1620" w:hanging="1620"/>
        <w:contextualSpacing/>
        <w:rPr>
          <w:sz w:val="24"/>
          <w:szCs w:val="24"/>
        </w:rPr>
      </w:pPr>
      <w:r w:rsidRPr="00CD42D0">
        <w:rPr>
          <w:b/>
          <w:sz w:val="24"/>
          <w:szCs w:val="24"/>
        </w:rPr>
        <w:t>Accionante:</w:t>
      </w:r>
      <w:r w:rsidRPr="00CD42D0">
        <w:rPr>
          <w:b/>
          <w:sz w:val="24"/>
          <w:szCs w:val="24"/>
        </w:rPr>
        <w:tab/>
      </w:r>
      <w:r w:rsidR="00434FE2" w:rsidRPr="00CD42D0">
        <w:rPr>
          <w:bCs/>
          <w:sz w:val="24"/>
          <w:szCs w:val="24"/>
        </w:rPr>
        <w:t>Juan Carlos Barragán Quintero</w:t>
      </w:r>
    </w:p>
    <w:p w14:paraId="5B9E9A27" w14:textId="729BD92A" w:rsidR="00BA6090" w:rsidRPr="00CD42D0" w:rsidRDefault="00BA6090" w:rsidP="00BA6090">
      <w:pPr>
        <w:spacing w:line="276" w:lineRule="auto"/>
        <w:ind w:left="1620" w:right="51" w:hanging="1620"/>
        <w:contextualSpacing/>
        <w:rPr>
          <w:bCs/>
          <w:sz w:val="24"/>
          <w:szCs w:val="24"/>
        </w:rPr>
      </w:pPr>
      <w:r w:rsidRPr="00CD42D0">
        <w:rPr>
          <w:b/>
          <w:sz w:val="24"/>
          <w:szCs w:val="24"/>
        </w:rPr>
        <w:t>Accionado:</w:t>
      </w:r>
      <w:r w:rsidRPr="00CD42D0">
        <w:rPr>
          <w:b/>
          <w:sz w:val="24"/>
          <w:szCs w:val="24"/>
        </w:rPr>
        <w:tab/>
      </w:r>
      <w:r w:rsidR="00434FE2" w:rsidRPr="00CD42D0">
        <w:rPr>
          <w:bCs/>
          <w:sz w:val="24"/>
          <w:szCs w:val="24"/>
        </w:rPr>
        <w:t>Tribunal Administrativo del Tolima</w:t>
      </w:r>
    </w:p>
    <w:p w14:paraId="56FB1AEA" w14:textId="77777777" w:rsidR="001A5D58" w:rsidRPr="00CD42D0" w:rsidRDefault="001A5D58" w:rsidP="00F77BC5">
      <w:pPr>
        <w:spacing w:line="276" w:lineRule="auto"/>
        <w:ind w:right="51"/>
        <w:contextualSpacing/>
        <w:rPr>
          <w:b/>
          <w:sz w:val="24"/>
          <w:szCs w:val="24"/>
        </w:rPr>
      </w:pPr>
    </w:p>
    <w:p w14:paraId="5502B028" w14:textId="2DBBA438" w:rsidR="000C5DB7" w:rsidRPr="00CD42D0" w:rsidRDefault="000C5DB7" w:rsidP="00F77BC5">
      <w:pPr>
        <w:pBdr>
          <w:bottom w:val="single" w:sz="12" w:space="0" w:color="auto"/>
        </w:pBdr>
        <w:spacing w:line="276" w:lineRule="auto"/>
        <w:ind w:left="2832" w:hanging="2832"/>
        <w:contextualSpacing/>
        <w:rPr>
          <w:b/>
          <w:sz w:val="24"/>
          <w:szCs w:val="24"/>
        </w:rPr>
      </w:pPr>
      <w:r w:rsidRPr="00CD42D0">
        <w:rPr>
          <w:b/>
          <w:sz w:val="24"/>
          <w:szCs w:val="24"/>
        </w:rPr>
        <w:t xml:space="preserve">SENTENCIA DE </w:t>
      </w:r>
      <w:r w:rsidR="001A5D58" w:rsidRPr="00CD42D0">
        <w:rPr>
          <w:b/>
          <w:sz w:val="24"/>
          <w:szCs w:val="24"/>
        </w:rPr>
        <w:t>PRIMERA</w:t>
      </w:r>
      <w:r w:rsidRPr="00CD42D0">
        <w:rPr>
          <w:b/>
          <w:sz w:val="24"/>
          <w:szCs w:val="24"/>
        </w:rPr>
        <w:t xml:space="preserve"> INSTANCIA</w:t>
      </w:r>
    </w:p>
    <w:p w14:paraId="632CC7FE" w14:textId="77777777" w:rsidR="000C5DB7" w:rsidRPr="00CD42D0" w:rsidRDefault="000C5DB7" w:rsidP="00F77BC5">
      <w:pPr>
        <w:spacing w:line="276" w:lineRule="auto"/>
        <w:contextualSpacing/>
        <w:rPr>
          <w:b/>
          <w:sz w:val="24"/>
          <w:szCs w:val="24"/>
        </w:rPr>
      </w:pPr>
    </w:p>
    <w:p w14:paraId="480156D4" w14:textId="194CF9FB" w:rsidR="0097486A" w:rsidRPr="00CD42D0" w:rsidRDefault="000C5DB7" w:rsidP="00F77BC5">
      <w:pPr>
        <w:spacing w:line="276" w:lineRule="auto"/>
        <w:contextualSpacing/>
        <w:rPr>
          <w:sz w:val="24"/>
          <w:szCs w:val="24"/>
        </w:rPr>
      </w:pPr>
      <w:r w:rsidRPr="00CD42D0">
        <w:rPr>
          <w:sz w:val="24"/>
          <w:szCs w:val="24"/>
        </w:rPr>
        <w:t>La Sala decide</w:t>
      </w:r>
      <w:r w:rsidR="0097486A" w:rsidRPr="00CD42D0">
        <w:rPr>
          <w:sz w:val="24"/>
          <w:szCs w:val="24"/>
        </w:rPr>
        <w:t xml:space="preserve"> </w:t>
      </w:r>
      <w:r w:rsidR="005717A7" w:rsidRPr="00CD42D0">
        <w:rPr>
          <w:sz w:val="24"/>
          <w:szCs w:val="24"/>
        </w:rPr>
        <w:t xml:space="preserve">la </w:t>
      </w:r>
      <w:r w:rsidR="009E4D16" w:rsidRPr="00CD42D0">
        <w:rPr>
          <w:sz w:val="24"/>
          <w:szCs w:val="24"/>
        </w:rPr>
        <w:t>solicitud de amparo</w:t>
      </w:r>
      <w:r w:rsidR="005717A7" w:rsidRPr="00CD42D0">
        <w:rPr>
          <w:sz w:val="24"/>
          <w:szCs w:val="24"/>
        </w:rPr>
        <w:t xml:space="preserve"> que</w:t>
      </w:r>
      <w:r w:rsidR="00A545B5" w:rsidRPr="00CD42D0">
        <w:rPr>
          <w:sz w:val="24"/>
          <w:szCs w:val="24"/>
        </w:rPr>
        <w:t xml:space="preserve"> </w:t>
      </w:r>
      <w:r w:rsidR="005717A7" w:rsidRPr="00CD42D0">
        <w:rPr>
          <w:sz w:val="24"/>
          <w:szCs w:val="24"/>
        </w:rPr>
        <w:t>present</w:t>
      </w:r>
      <w:r w:rsidR="009D0BD4" w:rsidRPr="00CD42D0">
        <w:rPr>
          <w:sz w:val="24"/>
          <w:szCs w:val="24"/>
        </w:rPr>
        <w:t>ó</w:t>
      </w:r>
      <w:r w:rsidR="005717A7" w:rsidRPr="00CD42D0">
        <w:rPr>
          <w:sz w:val="24"/>
          <w:szCs w:val="24"/>
        </w:rPr>
        <w:t xml:space="preserve"> </w:t>
      </w:r>
      <w:r w:rsidR="00434FE2" w:rsidRPr="00CD42D0">
        <w:rPr>
          <w:bCs/>
          <w:sz w:val="24"/>
          <w:szCs w:val="24"/>
        </w:rPr>
        <w:t>Juan Carlos Barragán Quintero</w:t>
      </w:r>
      <w:r w:rsidR="00B93639" w:rsidRPr="00CD42D0">
        <w:rPr>
          <w:sz w:val="24"/>
          <w:szCs w:val="24"/>
        </w:rPr>
        <w:t xml:space="preserve"> </w:t>
      </w:r>
      <w:r w:rsidR="00D155EE" w:rsidRPr="00CD42D0">
        <w:rPr>
          <w:sz w:val="24"/>
          <w:szCs w:val="24"/>
        </w:rPr>
        <w:t xml:space="preserve">en </w:t>
      </w:r>
      <w:r w:rsidR="005717A7" w:rsidRPr="00CD42D0">
        <w:rPr>
          <w:sz w:val="24"/>
          <w:szCs w:val="24"/>
        </w:rPr>
        <w:t xml:space="preserve">contra </w:t>
      </w:r>
      <w:r w:rsidR="00D155EE" w:rsidRPr="00CD42D0">
        <w:rPr>
          <w:sz w:val="24"/>
          <w:szCs w:val="24"/>
        </w:rPr>
        <w:t>d</w:t>
      </w:r>
      <w:r w:rsidR="009D0BD4" w:rsidRPr="00CD42D0">
        <w:rPr>
          <w:sz w:val="24"/>
          <w:szCs w:val="24"/>
        </w:rPr>
        <w:t xml:space="preserve">el </w:t>
      </w:r>
      <w:r w:rsidR="00434FE2" w:rsidRPr="00CD42D0">
        <w:rPr>
          <w:sz w:val="24"/>
          <w:szCs w:val="24"/>
        </w:rPr>
        <w:t>Tribunal Administrativo del Tolima.</w:t>
      </w:r>
    </w:p>
    <w:p w14:paraId="766CF102" w14:textId="77777777" w:rsidR="00E57BB4" w:rsidRPr="00CD42D0" w:rsidRDefault="00E57BB4" w:rsidP="00F77BC5">
      <w:pPr>
        <w:spacing w:line="276" w:lineRule="auto"/>
        <w:contextualSpacing/>
        <w:rPr>
          <w:sz w:val="24"/>
          <w:szCs w:val="24"/>
        </w:rPr>
      </w:pPr>
    </w:p>
    <w:p w14:paraId="4C66CC71" w14:textId="77777777" w:rsidR="000C5DB7" w:rsidRPr="00CD42D0" w:rsidRDefault="000C5DB7" w:rsidP="00F77BC5">
      <w:pPr>
        <w:pStyle w:val="Ttulo1"/>
        <w:spacing w:before="0" w:after="0"/>
        <w:rPr>
          <w:rFonts w:cs="Arial"/>
          <w:kern w:val="0"/>
          <w:szCs w:val="24"/>
        </w:rPr>
      </w:pPr>
      <w:r w:rsidRPr="00CD42D0">
        <w:rPr>
          <w:rFonts w:cs="Arial"/>
          <w:kern w:val="0"/>
          <w:szCs w:val="24"/>
        </w:rPr>
        <w:t>ANTECEDENTES</w:t>
      </w:r>
    </w:p>
    <w:p w14:paraId="1EBDE87D" w14:textId="77777777" w:rsidR="00E57BB4" w:rsidRPr="00CD42D0" w:rsidRDefault="00E57BB4" w:rsidP="00F77BC5">
      <w:pPr>
        <w:pStyle w:val="Ttulo2"/>
        <w:numPr>
          <w:ilvl w:val="0"/>
          <w:numId w:val="0"/>
        </w:numPr>
        <w:spacing w:before="0" w:after="0" w:line="276" w:lineRule="auto"/>
        <w:rPr>
          <w:rFonts w:cs="Arial"/>
          <w:szCs w:val="24"/>
          <w:lang w:eastAsia="es-ES"/>
        </w:rPr>
      </w:pPr>
    </w:p>
    <w:p w14:paraId="768CCA4A" w14:textId="405CC458" w:rsidR="00FF190B" w:rsidRPr="00CD42D0" w:rsidRDefault="000C5DB7" w:rsidP="00F77BC5">
      <w:pPr>
        <w:pStyle w:val="Ttulo2"/>
        <w:spacing w:before="0" w:after="0" w:line="276" w:lineRule="auto"/>
        <w:ind w:left="0" w:firstLine="0"/>
        <w:rPr>
          <w:rFonts w:cs="Arial"/>
          <w:szCs w:val="24"/>
          <w:lang w:eastAsia="es-ES"/>
        </w:rPr>
      </w:pPr>
      <w:r w:rsidRPr="00CD42D0">
        <w:rPr>
          <w:rFonts w:cs="Arial"/>
          <w:szCs w:val="24"/>
          <w:lang w:eastAsia="es-ES"/>
        </w:rPr>
        <w:t>Solicitud de tutela</w:t>
      </w:r>
      <w:r w:rsidR="00F340F8" w:rsidRPr="00CD42D0">
        <w:rPr>
          <w:rFonts w:cs="Arial"/>
          <w:szCs w:val="24"/>
          <w:lang w:eastAsia="es-ES"/>
        </w:rPr>
        <w:t xml:space="preserve"> y pretensiones</w:t>
      </w:r>
    </w:p>
    <w:p w14:paraId="123972A5" w14:textId="77777777" w:rsidR="00FF190B" w:rsidRPr="00CD42D0" w:rsidRDefault="00FF190B" w:rsidP="00F77BC5">
      <w:pPr>
        <w:overflowPunct w:val="0"/>
        <w:autoSpaceDE w:val="0"/>
        <w:autoSpaceDN w:val="0"/>
        <w:adjustRightInd w:val="0"/>
        <w:spacing w:line="276" w:lineRule="auto"/>
        <w:contextualSpacing/>
        <w:textAlignment w:val="baseline"/>
        <w:rPr>
          <w:sz w:val="24"/>
          <w:szCs w:val="24"/>
        </w:rPr>
      </w:pPr>
    </w:p>
    <w:p w14:paraId="6D2E027C" w14:textId="43A38628" w:rsidR="000425E9" w:rsidRPr="00CD42D0" w:rsidRDefault="000425E9" w:rsidP="000425E9">
      <w:pPr>
        <w:spacing w:line="276" w:lineRule="auto"/>
        <w:rPr>
          <w:sz w:val="24"/>
          <w:szCs w:val="24"/>
        </w:rPr>
      </w:pPr>
      <w:r w:rsidRPr="00CD42D0">
        <w:rPr>
          <w:sz w:val="24"/>
          <w:szCs w:val="24"/>
        </w:rPr>
        <w:t>Juan Carlos Barragán Quintero, por conducto de apoderado judicial, solicitó</w:t>
      </w:r>
      <w:r w:rsidRPr="00CD42D0">
        <w:rPr>
          <w:sz w:val="24"/>
          <w:szCs w:val="24"/>
          <w:vertAlign w:val="superscript"/>
        </w:rPr>
        <w:footnoteReference w:id="2"/>
      </w:r>
      <w:r w:rsidRPr="00CD42D0">
        <w:rPr>
          <w:sz w:val="24"/>
          <w:szCs w:val="24"/>
        </w:rPr>
        <w:t xml:space="preserve"> el amparo de sus derechos fundamentales al debido proceso y al acceso a la administración de justicia. Tales garantías las consideró vulneradas por el Tribunal Administrativo del Tolima con motivo del </w:t>
      </w:r>
      <w:r w:rsidR="00BB4535" w:rsidRPr="00CD42D0">
        <w:rPr>
          <w:sz w:val="24"/>
          <w:szCs w:val="24"/>
        </w:rPr>
        <w:t>proveído</w:t>
      </w:r>
      <w:r w:rsidRPr="00CD42D0">
        <w:rPr>
          <w:sz w:val="24"/>
          <w:szCs w:val="24"/>
        </w:rPr>
        <w:t xml:space="preserve"> del 11 de febrero de 2021. Este fue </w:t>
      </w:r>
      <w:r w:rsidR="000A029F" w:rsidRPr="00CD42D0">
        <w:rPr>
          <w:sz w:val="24"/>
          <w:szCs w:val="24"/>
        </w:rPr>
        <w:t>dictado</w:t>
      </w:r>
      <w:r w:rsidRPr="00CD42D0">
        <w:rPr>
          <w:sz w:val="24"/>
          <w:szCs w:val="24"/>
        </w:rPr>
        <w:t xml:space="preserve"> dentro del proceso de nulidad y restablecimiento del derecho identificado con el número único de radicación 11001-33-36-033-2014-00040-01, promovi</w:t>
      </w:r>
      <w:r w:rsidR="000A029F" w:rsidRPr="00CD42D0">
        <w:rPr>
          <w:sz w:val="24"/>
          <w:szCs w:val="24"/>
        </w:rPr>
        <w:t>do</w:t>
      </w:r>
      <w:r w:rsidRPr="00CD42D0">
        <w:rPr>
          <w:sz w:val="24"/>
          <w:szCs w:val="24"/>
        </w:rPr>
        <w:t xml:space="preserve"> contra el municipio de Ibagué – Secretaría de Tránsito. En su escrito de tutela, el actor pretendió que el citado fallo se deje sin efectos jurídicos y que, en su lugar, se </w:t>
      </w:r>
      <w:r w:rsidR="00BB4535" w:rsidRPr="00CD42D0">
        <w:rPr>
          <w:sz w:val="24"/>
          <w:szCs w:val="24"/>
        </w:rPr>
        <w:t xml:space="preserve">ordene </w:t>
      </w:r>
      <w:r w:rsidRPr="00CD42D0">
        <w:rPr>
          <w:sz w:val="24"/>
          <w:szCs w:val="24"/>
        </w:rPr>
        <w:t>dict</w:t>
      </w:r>
      <w:r w:rsidR="00BB4535" w:rsidRPr="00CD42D0">
        <w:rPr>
          <w:sz w:val="24"/>
          <w:szCs w:val="24"/>
        </w:rPr>
        <w:t>ar</w:t>
      </w:r>
      <w:r w:rsidRPr="00CD42D0">
        <w:rPr>
          <w:sz w:val="24"/>
          <w:szCs w:val="24"/>
        </w:rPr>
        <w:t xml:space="preserve"> uno que observe </w:t>
      </w:r>
      <w:r w:rsidR="008F20C4" w:rsidRPr="00CD42D0">
        <w:rPr>
          <w:sz w:val="24"/>
          <w:szCs w:val="24"/>
        </w:rPr>
        <w:t>las</w:t>
      </w:r>
      <w:r w:rsidR="00332216" w:rsidRPr="00CD42D0">
        <w:rPr>
          <w:sz w:val="24"/>
          <w:szCs w:val="24"/>
        </w:rPr>
        <w:t xml:space="preserve"> prerrogativas violadas </w:t>
      </w:r>
      <w:r w:rsidRPr="00CD42D0">
        <w:rPr>
          <w:sz w:val="24"/>
          <w:szCs w:val="24"/>
        </w:rPr>
        <w:t>y analice razonablemente las pruebas obrantes en el ordinario.</w:t>
      </w:r>
    </w:p>
    <w:p w14:paraId="602AD7A1" w14:textId="77777777" w:rsidR="00B6330D" w:rsidRPr="00CD42D0" w:rsidRDefault="00B6330D" w:rsidP="00BA6090">
      <w:pPr>
        <w:spacing w:line="276" w:lineRule="auto"/>
        <w:rPr>
          <w:bCs/>
          <w:sz w:val="24"/>
          <w:szCs w:val="24"/>
        </w:rPr>
      </w:pPr>
    </w:p>
    <w:p w14:paraId="3FAB417C" w14:textId="2615AEE0" w:rsidR="000C5DB7" w:rsidRPr="00CD42D0" w:rsidRDefault="000C5DB7" w:rsidP="00F77BC5">
      <w:pPr>
        <w:numPr>
          <w:ilvl w:val="0"/>
          <w:numId w:val="3"/>
        </w:numPr>
        <w:spacing w:line="276" w:lineRule="auto"/>
        <w:ind w:left="0" w:firstLine="0"/>
        <w:contextualSpacing/>
        <w:rPr>
          <w:rFonts w:eastAsia="Verdana"/>
          <w:b/>
          <w:sz w:val="24"/>
          <w:szCs w:val="24"/>
        </w:rPr>
      </w:pPr>
      <w:r w:rsidRPr="00CD42D0">
        <w:rPr>
          <w:rFonts w:eastAsia="Verdana"/>
          <w:b/>
          <w:sz w:val="24"/>
          <w:szCs w:val="24"/>
        </w:rPr>
        <w:t>Hechos</w:t>
      </w:r>
    </w:p>
    <w:p w14:paraId="28E28079" w14:textId="77777777" w:rsidR="003B65D7" w:rsidRPr="00CD42D0" w:rsidRDefault="003B65D7" w:rsidP="003B65D7">
      <w:pPr>
        <w:spacing w:line="276" w:lineRule="auto"/>
        <w:contextualSpacing/>
        <w:rPr>
          <w:rFonts w:eastAsia="Verdana"/>
          <w:b/>
          <w:sz w:val="24"/>
          <w:szCs w:val="24"/>
        </w:rPr>
      </w:pPr>
    </w:p>
    <w:p w14:paraId="22560944" w14:textId="22CA77FA" w:rsidR="00C84099" w:rsidRPr="00CD42D0" w:rsidRDefault="004D432B" w:rsidP="00C84099">
      <w:pPr>
        <w:pStyle w:val="Prrafodelista"/>
        <w:numPr>
          <w:ilvl w:val="1"/>
          <w:numId w:val="3"/>
        </w:numPr>
        <w:spacing w:line="276" w:lineRule="auto"/>
        <w:ind w:left="0" w:firstLine="0"/>
        <w:rPr>
          <w:sz w:val="24"/>
          <w:szCs w:val="24"/>
        </w:rPr>
      </w:pPr>
      <w:r w:rsidRPr="00CD42D0">
        <w:rPr>
          <w:sz w:val="24"/>
          <w:szCs w:val="24"/>
        </w:rPr>
        <w:t xml:space="preserve">Juan Carlos Barragán Quintero instauró demanda de nulidad y restablecimiento del derecho contra el municipio de Ibagué – Secretaría de Tránsito. En su libelo pretendió la nulidad </w:t>
      </w:r>
      <w:r w:rsidR="00EA5051" w:rsidRPr="00CD42D0">
        <w:rPr>
          <w:sz w:val="24"/>
          <w:szCs w:val="24"/>
        </w:rPr>
        <w:t>de</w:t>
      </w:r>
      <w:r w:rsidRPr="00CD42D0">
        <w:rPr>
          <w:sz w:val="24"/>
          <w:szCs w:val="24"/>
        </w:rPr>
        <w:t xml:space="preserve"> la</w:t>
      </w:r>
      <w:r w:rsidR="00D7563D" w:rsidRPr="00CD42D0">
        <w:rPr>
          <w:sz w:val="24"/>
          <w:szCs w:val="24"/>
        </w:rPr>
        <w:t>s</w:t>
      </w:r>
      <w:r w:rsidRPr="00CD42D0">
        <w:rPr>
          <w:sz w:val="24"/>
          <w:szCs w:val="24"/>
        </w:rPr>
        <w:t xml:space="preserve"> </w:t>
      </w:r>
      <w:r w:rsidR="00513F6C" w:rsidRPr="00CD42D0">
        <w:rPr>
          <w:sz w:val="24"/>
          <w:szCs w:val="24"/>
        </w:rPr>
        <w:t>r</w:t>
      </w:r>
      <w:r w:rsidRPr="00CD42D0">
        <w:rPr>
          <w:sz w:val="24"/>
          <w:szCs w:val="24"/>
        </w:rPr>
        <w:t>esoluci</w:t>
      </w:r>
      <w:r w:rsidR="00D7563D" w:rsidRPr="00CD42D0">
        <w:rPr>
          <w:sz w:val="24"/>
          <w:szCs w:val="24"/>
        </w:rPr>
        <w:t>ones</w:t>
      </w:r>
      <w:r w:rsidRPr="00CD42D0">
        <w:rPr>
          <w:sz w:val="24"/>
          <w:szCs w:val="24"/>
        </w:rPr>
        <w:t xml:space="preserve"> número</w:t>
      </w:r>
      <w:r w:rsidR="00D7563D" w:rsidRPr="00CD42D0">
        <w:rPr>
          <w:sz w:val="24"/>
          <w:szCs w:val="24"/>
        </w:rPr>
        <w:t>s</w:t>
      </w:r>
      <w:r w:rsidRPr="00CD42D0">
        <w:rPr>
          <w:sz w:val="24"/>
          <w:szCs w:val="24"/>
        </w:rPr>
        <w:t xml:space="preserve"> 3832 del 28 de septiembre de 2015, la cual </w:t>
      </w:r>
      <w:r w:rsidR="00D7563D" w:rsidRPr="00CD42D0">
        <w:rPr>
          <w:sz w:val="24"/>
          <w:szCs w:val="24"/>
        </w:rPr>
        <w:t>le impuso</w:t>
      </w:r>
      <w:r w:rsidRPr="00CD42D0">
        <w:rPr>
          <w:sz w:val="24"/>
          <w:szCs w:val="24"/>
        </w:rPr>
        <w:t xml:space="preserve"> una multa de tránsito y </w:t>
      </w:r>
      <w:r w:rsidR="00D7563D" w:rsidRPr="00CD42D0">
        <w:rPr>
          <w:sz w:val="24"/>
          <w:szCs w:val="24"/>
        </w:rPr>
        <w:t>le suspendió su</w:t>
      </w:r>
      <w:r w:rsidRPr="00CD42D0">
        <w:rPr>
          <w:sz w:val="24"/>
          <w:szCs w:val="24"/>
        </w:rPr>
        <w:t xml:space="preserve"> licencia de conducción por diez años</w:t>
      </w:r>
      <w:r w:rsidR="00D7563D" w:rsidRPr="00CD42D0">
        <w:rPr>
          <w:sz w:val="24"/>
          <w:szCs w:val="24"/>
        </w:rPr>
        <w:t>, y</w:t>
      </w:r>
      <w:r w:rsidR="003E5045" w:rsidRPr="00CD42D0">
        <w:rPr>
          <w:sz w:val="24"/>
          <w:szCs w:val="24"/>
        </w:rPr>
        <w:t xml:space="preserve"> 306 del 27 de noviembre de 2015, confirmatoria</w:t>
      </w:r>
      <w:r w:rsidR="00EA5051" w:rsidRPr="00CD42D0">
        <w:rPr>
          <w:sz w:val="24"/>
          <w:szCs w:val="24"/>
        </w:rPr>
        <w:t xml:space="preserve"> de la anterior</w:t>
      </w:r>
      <w:r w:rsidR="003E5045" w:rsidRPr="00CD42D0">
        <w:rPr>
          <w:sz w:val="24"/>
          <w:szCs w:val="24"/>
        </w:rPr>
        <w:t>.</w:t>
      </w:r>
      <w:r w:rsidR="00EA5051" w:rsidRPr="00CD42D0">
        <w:rPr>
          <w:sz w:val="24"/>
          <w:szCs w:val="24"/>
        </w:rPr>
        <w:t xml:space="preserve"> A título de restablecimiento del derecho solicitó que se borraran sus registros negativos en la base de datos de la entidad demandada y no se le coaccionara a pagar </w:t>
      </w:r>
      <w:r w:rsidR="00D7563D" w:rsidRPr="00CD42D0">
        <w:rPr>
          <w:sz w:val="24"/>
          <w:szCs w:val="24"/>
        </w:rPr>
        <w:t>la</w:t>
      </w:r>
      <w:r w:rsidR="00EA5051" w:rsidRPr="00CD42D0">
        <w:rPr>
          <w:sz w:val="24"/>
          <w:szCs w:val="24"/>
        </w:rPr>
        <w:t xml:space="preserve"> </w:t>
      </w:r>
      <w:r w:rsidR="009040C6" w:rsidRPr="00CD42D0">
        <w:rPr>
          <w:sz w:val="24"/>
          <w:szCs w:val="24"/>
        </w:rPr>
        <w:t xml:space="preserve">citada </w:t>
      </w:r>
      <w:r w:rsidR="00EA5051" w:rsidRPr="00CD42D0">
        <w:rPr>
          <w:sz w:val="24"/>
          <w:szCs w:val="24"/>
        </w:rPr>
        <w:t>multa.</w:t>
      </w:r>
    </w:p>
    <w:p w14:paraId="06FF9207" w14:textId="77777777" w:rsidR="004D432B" w:rsidRPr="00CD42D0" w:rsidRDefault="004D432B" w:rsidP="004D432B">
      <w:pPr>
        <w:pStyle w:val="Prrafodelista"/>
        <w:spacing w:line="276" w:lineRule="auto"/>
        <w:ind w:left="0"/>
        <w:rPr>
          <w:sz w:val="24"/>
          <w:szCs w:val="24"/>
        </w:rPr>
      </w:pPr>
    </w:p>
    <w:p w14:paraId="55B35BA5" w14:textId="544A2936" w:rsidR="00B05E26" w:rsidRPr="00CD42D0" w:rsidRDefault="00293B3D" w:rsidP="00C84099">
      <w:pPr>
        <w:pStyle w:val="Prrafodelista"/>
        <w:numPr>
          <w:ilvl w:val="1"/>
          <w:numId w:val="3"/>
        </w:numPr>
        <w:spacing w:line="276" w:lineRule="auto"/>
        <w:ind w:left="0" w:firstLine="0"/>
        <w:rPr>
          <w:sz w:val="24"/>
          <w:szCs w:val="24"/>
        </w:rPr>
      </w:pPr>
      <w:r w:rsidRPr="00CD42D0">
        <w:rPr>
          <w:sz w:val="24"/>
          <w:szCs w:val="24"/>
        </w:rPr>
        <w:t xml:space="preserve">En primera instancia el </w:t>
      </w:r>
      <w:r w:rsidR="00CB4792" w:rsidRPr="00CD42D0">
        <w:rPr>
          <w:sz w:val="24"/>
          <w:szCs w:val="24"/>
        </w:rPr>
        <w:t>Juzgado Tercero Administrativo de Ibagué</w:t>
      </w:r>
      <w:r w:rsidRPr="00CD42D0">
        <w:rPr>
          <w:sz w:val="24"/>
          <w:szCs w:val="24"/>
        </w:rPr>
        <w:t xml:space="preserve">, mediante </w:t>
      </w:r>
      <w:r w:rsidR="001962A9" w:rsidRPr="00CD42D0">
        <w:rPr>
          <w:sz w:val="24"/>
          <w:szCs w:val="24"/>
        </w:rPr>
        <w:t>fallo</w:t>
      </w:r>
      <w:r w:rsidR="00CB4792" w:rsidRPr="00CD42D0">
        <w:rPr>
          <w:rStyle w:val="Refdenotaalpie"/>
          <w:sz w:val="24"/>
          <w:szCs w:val="24"/>
        </w:rPr>
        <w:footnoteReference w:id="3"/>
      </w:r>
      <w:r w:rsidRPr="00CD42D0">
        <w:rPr>
          <w:sz w:val="24"/>
          <w:szCs w:val="24"/>
        </w:rPr>
        <w:t xml:space="preserve"> del </w:t>
      </w:r>
      <w:r w:rsidR="00CB4792" w:rsidRPr="00CD42D0">
        <w:rPr>
          <w:sz w:val="24"/>
          <w:szCs w:val="24"/>
        </w:rPr>
        <w:t>27</w:t>
      </w:r>
      <w:r w:rsidRPr="00CD42D0">
        <w:rPr>
          <w:sz w:val="24"/>
          <w:szCs w:val="24"/>
        </w:rPr>
        <w:t xml:space="preserve"> de </w:t>
      </w:r>
      <w:r w:rsidR="00CB4792" w:rsidRPr="00CD42D0">
        <w:rPr>
          <w:sz w:val="24"/>
          <w:szCs w:val="24"/>
        </w:rPr>
        <w:t>septiembre</w:t>
      </w:r>
      <w:r w:rsidRPr="00CD42D0">
        <w:rPr>
          <w:sz w:val="24"/>
          <w:szCs w:val="24"/>
        </w:rPr>
        <w:t xml:space="preserve"> de 2018, accedió a las súplicas de la demanda.</w:t>
      </w:r>
      <w:r w:rsidR="00CB4792" w:rsidRPr="00CD42D0">
        <w:rPr>
          <w:sz w:val="24"/>
          <w:szCs w:val="24"/>
        </w:rPr>
        <w:t xml:space="preserve"> Para sustentar su decisión consideró que, durante las diligencias policiales que terminaron en la multa impuesta al señor Barragán, no se observó el debido proceso. Al respecto, </w:t>
      </w:r>
      <w:r w:rsidR="00CB4792" w:rsidRPr="00CD42D0">
        <w:rPr>
          <w:sz w:val="24"/>
          <w:szCs w:val="24"/>
        </w:rPr>
        <w:lastRenderedPageBreak/>
        <w:t>indicó que</w:t>
      </w:r>
      <w:r w:rsidR="008D1ECE" w:rsidRPr="00CD42D0">
        <w:rPr>
          <w:sz w:val="24"/>
          <w:szCs w:val="24"/>
        </w:rPr>
        <w:t>:</w:t>
      </w:r>
      <w:r w:rsidR="00CB4792" w:rsidRPr="00CD42D0">
        <w:rPr>
          <w:sz w:val="24"/>
          <w:szCs w:val="24"/>
        </w:rPr>
        <w:t xml:space="preserve"> </w:t>
      </w:r>
      <w:r w:rsidR="00131CE8" w:rsidRPr="00CD42D0">
        <w:rPr>
          <w:sz w:val="24"/>
          <w:szCs w:val="24"/>
        </w:rPr>
        <w:t xml:space="preserve">(i) </w:t>
      </w:r>
      <w:r w:rsidR="00CB4792" w:rsidRPr="00CD42D0">
        <w:rPr>
          <w:sz w:val="24"/>
          <w:szCs w:val="24"/>
        </w:rPr>
        <w:t xml:space="preserve">la prueba de alcoholemia </w:t>
      </w:r>
      <w:r w:rsidR="00131CE8" w:rsidRPr="00CD42D0">
        <w:rPr>
          <w:sz w:val="24"/>
          <w:szCs w:val="24"/>
        </w:rPr>
        <w:t>hecha</w:t>
      </w:r>
      <w:r w:rsidR="00CB4792" w:rsidRPr="00CD42D0">
        <w:rPr>
          <w:sz w:val="24"/>
          <w:szCs w:val="24"/>
        </w:rPr>
        <w:t xml:space="preserve"> al </w:t>
      </w:r>
      <w:r w:rsidR="00131CE8" w:rsidRPr="00CD42D0">
        <w:rPr>
          <w:sz w:val="24"/>
          <w:szCs w:val="24"/>
        </w:rPr>
        <w:t>referido</w:t>
      </w:r>
      <w:r w:rsidR="00CB4792" w:rsidRPr="00CD42D0">
        <w:rPr>
          <w:sz w:val="24"/>
          <w:szCs w:val="24"/>
        </w:rPr>
        <w:t xml:space="preserve"> señor no incluyó </w:t>
      </w:r>
      <w:r w:rsidR="00667E27" w:rsidRPr="00CD42D0">
        <w:rPr>
          <w:sz w:val="24"/>
          <w:szCs w:val="24"/>
        </w:rPr>
        <w:t xml:space="preserve">la toma de </w:t>
      </w:r>
      <w:r w:rsidR="00CB4792" w:rsidRPr="00CD42D0">
        <w:rPr>
          <w:sz w:val="24"/>
          <w:szCs w:val="24"/>
        </w:rPr>
        <w:t xml:space="preserve">su respectiva huella dactilar a pesar de lo ordenado en la </w:t>
      </w:r>
      <w:r w:rsidR="00737B0A" w:rsidRPr="00CD42D0">
        <w:rPr>
          <w:sz w:val="24"/>
          <w:szCs w:val="24"/>
        </w:rPr>
        <w:t>r</w:t>
      </w:r>
      <w:r w:rsidR="00CB4792" w:rsidRPr="00CD42D0">
        <w:rPr>
          <w:sz w:val="24"/>
          <w:szCs w:val="24"/>
        </w:rPr>
        <w:t xml:space="preserve">esolución número 1183 de 2005, expedida por </w:t>
      </w:r>
      <w:r w:rsidR="00667E27" w:rsidRPr="00CD42D0">
        <w:rPr>
          <w:sz w:val="24"/>
          <w:szCs w:val="24"/>
        </w:rPr>
        <w:t>el municipio</w:t>
      </w:r>
      <w:r w:rsidR="00CB4792" w:rsidRPr="00CD42D0">
        <w:rPr>
          <w:sz w:val="24"/>
          <w:szCs w:val="24"/>
        </w:rPr>
        <w:t xml:space="preserve"> de Ibagué</w:t>
      </w:r>
      <w:r w:rsidR="00131CE8" w:rsidRPr="00CD42D0">
        <w:rPr>
          <w:sz w:val="24"/>
          <w:szCs w:val="24"/>
        </w:rPr>
        <w:t>;</w:t>
      </w:r>
      <w:r w:rsidR="00CB4792" w:rsidRPr="00CD42D0">
        <w:rPr>
          <w:sz w:val="24"/>
          <w:szCs w:val="24"/>
        </w:rPr>
        <w:t xml:space="preserve"> </w:t>
      </w:r>
      <w:r w:rsidR="00131CE8" w:rsidRPr="00CD42D0">
        <w:rPr>
          <w:sz w:val="24"/>
          <w:szCs w:val="24"/>
        </w:rPr>
        <w:t xml:space="preserve">(ii) antes de efectuar el examen en comento, </w:t>
      </w:r>
      <w:r w:rsidR="00737B0A" w:rsidRPr="00CD42D0">
        <w:rPr>
          <w:sz w:val="24"/>
          <w:szCs w:val="24"/>
        </w:rPr>
        <w:t>el</w:t>
      </w:r>
      <w:r w:rsidR="00131CE8" w:rsidRPr="00CD42D0">
        <w:rPr>
          <w:sz w:val="24"/>
          <w:szCs w:val="24"/>
        </w:rPr>
        <w:t xml:space="preserve"> policial a cargo no practic</w:t>
      </w:r>
      <w:r w:rsidR="00737B0A" w:rsidRPr="00CD42D0">
        <w:rPr>
          <w:sz w:val="24"/>
          <w:szCs w:val="24"/>
        </w:rPr>
        <w:t>ó</w:t>
      </w:r>
      <w:r w:rsidR="00131CE8" w:rsidRPr="00CD42D0">
        <w:rPr>
          <w:sz w:val="24"/>
          <w:szCs w:val="24"/>
        </w:rPr>
        <w:t xml:space="preserve"> un control negativo, es decir, no someti</w:t>
      </w:r>
      <w:r w:rsidR="00737B0A" w:rsidRPr="00CD42D0">
        <w:rPr>
          <w:sz w:val="24"/>
          <w:szCs w:val="24"/>
        </w:rPr>
        <w:t>ó</w:t>
      </w:r>
      <w:r w:rsidR="00131CE8" w:rsidRPr="00CD42D0">
        <w:rPr>
          <w:sz w:val="24"/>
          <w:szCs w:val="24"/>
        </w:rPr>
        <w:t xml:space="preserve"> el alcoholímetro a un ambiente libre de etanol, como lo ordena la resolución en cita; y, (iii)</w:t>
      </w:r>
      <w:r w:rsidR="00CB4792" w:rsidRPr="00CD42D0">
        <w:rPr>
          <w:sz w:val="24"/>
          <w:szCs w:val="24"/>
        </w:rPr>
        <w:t xml:space="preserve"> </w:t>
      </w:r>
      <w:r w:rsidR="00131CE8" w:rsidRPr="00CD42D0">
        <w:rPr>
          <w:sz w:val="24"/>
          <w:szCs w:val="24"/>
        </w:rPr>
        <w:t>respecto de</w:t>
      </w:r>
      <w:r w:rsidR="00CB4792" w:rsidRPr="00CD42D0">
        <w:rPr>
          <w:sz w:val="24"/>
          <w:szCs w:val="24"/>
        </w:rPr>
        <w:t>l alcoholímetro</w:t>
      </w:r>
      <w:r w:rsidR="00737B0A" w:rsidRPr="00CD42D0">
        <w:rPr>
          <w:rStyle w:val="Refdenotaalpie"/>
          <w:sz w:val="24"/>
          <w:szCs w:val="24"/>
        </w:rPr>
        <w:footnoteReference w:id="4"/>
      </w:r>
      <w:r w:rsidR="00131CE8" w:rsidRPr="00CD42D0">
        <w:rPr>
          <w:sz w:val="24"/>
          <w:szCs w:val="24"/>
        </w:rPr>
        <w:t xml:space="preserve">, </w:t>
      </w:r>
      <w:r w:rsidR="00CB4792" w:rsidRPr="00CD42D0">
        <w:rPr>
          <w:sz w:val="24"/>
          <w:szCs w:val="24"/>
        </w:rPr>
        <w:t xml:space="preserve">extrajo que su </w:t>
      </w:r>
      <w:r w:rsidR="00667E27" w:rsidRPr="00CD42D0">
        <w:rPr>
          <w:sz w:val="24"/>
          <w:szCs w:val="24"/>
        </w:rPr>
        <w:t xml:space="preserve">correspondiente </w:t>
      </w:r>
      <w:r w:rsidR="00CB4792" w:rsidRPr="00CD42D0">
        <w:rPr>
          <w:sz w:val="24"/>
          <w:szCs w:val="24"/>
        </w:rPr>
        <w:t>calibración se realizó el 11 de noviembre de 2014</w:t>
      </w:r>
      <w:r w:rsidR="00667E27" w:rsidRPr="00CD42D0">
        <w:rPr>
          <w:sz w:val="24"/>
          <w:szCs w:val="24"/>
        </w:rPr>
        <w:t xml:space="preserve"> y que</w:t>
      </w:r>
      <w:r w:rsidR="00131CE8" w:rsidRPr="00CD42D0">
        <w:rPr>
          <w:sz w:val="24"/>
          <w:szCs w:val="24"/>
        </w:rPr>
        <w:t xml:space="preserve"> </w:t>
      </w:r>
      <w:r w:rsidR="00CB4792" w:rsidRPr="00CD42D0">
        <w:rPr>
          <w:sz w:val="24"/>
          <w:szCs w:val="24"/>
        </w:rPr>
        <w:t xml:space="preserve">no obraba registro </w:t>
      </w:r>
      <w:r w:rsidR="00667E27" w:rsidRPr="00CD42D0">
        <w:rPr>
          <w:sz w:val="24"/>
          <w:szCs w:val="24"/>
        </w:rPr>
        <w:t>sobre</w:t>
      </w:r>
      <w:r w:rsidR="00CB4792" w:rsidRPr="00CD42D0">
        <w:rPr>
          <w:sz w:val="24"/>
          <w:szCs w:val="24"/>
        </w:rPr>
        <w:t xml:space="preserve"> la vigencia de es</w:t>
      </w:r>
      <w:r w:rsidR="00737B0A" w:rsidRPr="00CD42D0">
        <w:rPr>
          <w:sz w:val="24"/>
          <w:szCs w:val="24"/>
        </w:rPr>
        <w:t>ta</w:t>
      </w:r>
      <w:r w:rsidR="00EA16D8" w:rsidRPr="00CD42D0">
        <w:rPr>
          <w:rStyle w:val="Refdenotaalpie"/>
          <w:sz w:val="24"/>
          <w:szCs w:val="24"/>
        </w:rPr>
        <w:footnoteReference w:id="5"/>
      </w:r>
      <w:r w:rsidR="00CB4792" w:rsidRPr="00CD42D0">
        <w:rPr>
          <w:sz w:val="24"/>
          <w:szCs w:val="24"/>
        </w:rPr>
        <w:t>.</w:t>
      </w:r>
    </w:p>
    <w:p w14:paraId="4C1D6D8C" w14:textId="0F41C651" w:rsidR="00DB0E40" w:rsidRPr="00CD42D0" w:rsidRDefault="00DB0E40" w:rsidP="00DB0E40">
      <w:pPr>
        <w:pStyle w:val="Prrafodelista"/>
        <w:spacing w:line="276" w:lineRule="auto"/>
        <w:ind w:left="0"/>
        <w:rPr>
          <w:sz w:val="24"/>
          <w:szCs w:val="24"/>
        </w:rPr>
      </w:pPr>
    </w:p>
    <w:p w14:paraId="306BF35C" w14:textId="179E7C1F" w:rsidR="005417BE" w:rsidRPr="00CD42D0" w:rsidRDefault="005417BE" w:rsidP="00DB0E40">
      <w:pPr>
        <w:pStyle w:val="Prrafodelista"/>
        <w:spacing w:line="276" w:lineRule="auto"/>
        <w:ind w:left="0"/>
        <w:rPr>
          <w:sz w:val="24"/>
          <w:szCs w:val="24"/>
        </w:rPr>
      </w:pPr>
      <w:r w:rsidRPr="00CD42D0">
        <w:rPr>
          <w:sz w:val="24"/>
          <w:szCs w:val="24"/>
        </w:rPr>
        <w:t xml:space="preserve">El juzgado </w:t>
      </w:r>
      <w:r w:rsidR="00924D5E" w:rsidRPr="00CD42D0">
        <w:rPr>
          <w:sz w:val="24"/>
          <w:szCs w:val="24"/>
        </w:rPr>
        <w:t>también</w:t>
      </w:r>
      <w:r w:rsidRPr="00CD42D0">
        <w:rPr>
          <w:sz w:val="24"/>
          <w:szCs w:val="24"/>
        </w:rPr>
        <w:t xml:space="preserve"> </w:t>
      </w:r>
      <w:r w:rsidR="00924D5E" w:rsidRPr="00CD42D0">
        <w:rPr>
          <w:sz w:val="24"/>
          <w:szCs w:val="24"/>
        </w:rPr>
        <w:t>advirtió</w:t>
      </w:r>
      <w:r w:rsidRPr="00CD42D0">
        <w:rPr>
          <w:sz w:val="24"/>
          <w:szCs w:val="24"/>
        </w:rPr>
        <w:t xml:space="preserve"> que, durante el procedimiento incoado por el demandante para controvertir la multa en comento, </w:t>
      </w:r>
      <w:r w:rsidR="00B44E40" w:rsidRPr="00CD42D0">
        <w:rPr>
          <w:sz w:val="24"/>
          <w:szCs w:val="24"/>
        </w:rPr>
        <w:t xml:space="preserve">tampoco se respetó el debido proceso. En concreto, indicó que el actor no tuvo la oportunidad de </w:t>
      </w:r>
      <w:r w:rsidR="009D3E14" w:rsidRPr="00CD42D0">
        <w:rPr>
          <w:sz w:val="24"/>
          <w:szCs w:val="24"/>
        </w:rPr>
        <w:t>discutir</w:t>
      </w:r>
      <w:r w:rsidR="00B44E40" w:rsidRPr="00CD42D0">
        <w:rPr>
          <w:sz w:val="24"/>
          <w:szCs w:val="24"/>
        </w:rPr>
        <w:t xml:space="preserve"> las pruebas allegadas a esa actuación. En efecto,</w:t>
      </w:r>
      <w:r w:rsidR="008A145A" w:rsidRPr="00CD42D0">
        <w:rPr>
          <w:sz w:val="24"/>
          <w:szCs w:val="24"/>
        </w:rPr>
        <w:t xml:space="preserve"> anotó que el accionante no pudo rebatir el supuesto certificado de calibración que el municipio demandado dijo adjuntar. En cambio, reiteró que la administración anexó una constancia que no correspondía con el alcoholímetro utilizado en la diligencia objeto de control de legalidad. De ese modo, concluyó</w:t>
      </w:r>
      <w:r w:rsidR="009D3E14" w:rsidRPr="00CD42D0">
        <w:rPr>
          <w:sz w:val="24"/>
          <w:szCs w:val="24"/>
        </w:rPr>
        <w:t xml:space="preserve"> que</w:t>
      </w:r>
      <w:r w:rsidR="008A145A" w:rsidRPr="00CD42D0">
        <w:rPr>
          <w:sz w:val="24"/>
          <w:szCs w:val="24"/>
        </w:rPr>
        <w:t xml:space="preserve"> la parte demandada ni siquiera dio a conocer la prueba en la que tanto se apoyó.</w:t>
      </w:r>
    </w:p>
    <w:p w14:paraId="69AC3A34" w14:textId="77777777" w:rsidR="005417BE" w:rsidRPr="00CD42D0" w:rsidRDefault="005417BE" w:rsidP="00DB0E40">
      <w:pPr>
        <w:pStyle w:val="Prrafodelista"/>
        <w:spacing w:line="276" w:lineRule="auto"/>
        <w:ind w:left="0"/>
        <w:rPr>
          <w:sz w:val="24"/>
          <w:szCs w:val="24"/>
        </w:rPr>
      </w:pPr>
    </w:p>
    <w:p w14:paraId="42E168B9" w14:textId="79C00C2F" w:rsidR="0019616D" w:rsidRPr="00CD42D0" w:rsidRDefault="00DB0E40" w:rsidP="00D93E82">
      <w:pPr>
        <w:pStyle w:val="Prrafodelista"/>
        <w:numPr>
          <w:ilvl w:val="1"/>
          <w:numId w:val="3"/>
        </w:numPr>
        <w:spacing w:line="276" w:lineRule="auto"/>
        <w:ind w:left="0" w:firstLine="0"/>
        <w:rPr>
          <w:sz w:val="24"/>
          <w:szCs w:val="24"/>
        </w:rPr>
      </w:pPr>
      <w:r w:rsidRPr="00CD42D0">
        <w:rPr>
          <w:sz w:val="24"/>
          <w:szCs w:val="24"/>
        </w:rPr>
        <w:t xml:space="preserve">En segunda instancia el </w:t>
      </w:r>
      <w:r w:rsidR="00D93E82" w:rsidRPr="00CD42D0">
        <w:rPr>
          <w:sz w:val="24"/>
          <w:szCs w:val="24"/>
        </w:rPr>
        <w:t>Tribunal Administrativo del Tolima</w:t>
      </w:r>
      <w:r w:rsidRPr="00CD42D0">
        <w:rPr>
          <w:sz w:val="24"/>
          <w:szCs w:val="24"/>
        </w:rPr>
        <w:t>, en sentencia</w:t>
      </w:r>
      <w:r w:rsidR="004B5826" w:rsidRPr="00CD42D0">
        <w:rPr>
          <w:rStyle w:val="Refdenotaalpie"/>
          <w:sz w:val="24"/>
          <w:szCs w:val="24"/>
        </w:rPr>
        <w:footnoteReference w:id="6"/>
      </w:r>
      <w:r w:rsidRPr="00CD42D0">
        <w:rPr>
          <w:sz w:val="24"/>
          <w:szCs w:val="24"/>
        </w:rPr>
        <w:t xml:space="preserve"> del </w:t>
      </w:r>
      <w:r w:rsidR="00D93E82" w:rsidRPr="00CD42D0">
        <w:rPr>
          <w:sz w:val="24"/>
          <w:szCs w:val="24"/>
        </w:rPr>
        <w:t xml:space="preserve">11 </w:t>
      </w:r>
      <w:r w:rsidRPr="00CD42D0">
        <w:rPr>
          <w:sz w:val="24"/>
          <w:szCs w:val="24"/>
        </w:rPr>
        <w:t>de febrero de 202</w:t>
      </w:r>
      <w:r w:rsidR="00D93E82" w:rsidRPr="00CD42D0">
        <w:rPr>
          <w:sz w:val="24"/>
          <w:szCs w:val="24"/>
        </w:rPr>
        <w:t>1</w:t>
      </w:r>
      <w:r w:rsidRPr="00CD42D0">
        <w:rPr>
          <w:sz w:val="24"/>
          <w:szCs w:val="24"/>
        </w:rPr>
        <w:t xml:space="preserve">, </w:t>
      </w:r>
      <w:r w:rsidR="00D93E82" w:rsidRPr="00CD42D0">
        <w:rPr>
          <w:sz w:val="24"/>
          <w:szCs w:val="24"/>
        </w:rPr>
        <w:t>revocó</w:t>
      </w:r>
      <w:r w:rsidRPr="00CD42D0">
        <w:rPr>
          <w:sz w:val="24"/>
          <w:szCs w:val="24"/>
        </w:rPr>
        <w:t xml:space="preserve"> el proveído </w:t>
      </w:r>
      <w:r w:rsidR="00375764" w:rsidRPr="00CD42D0">
        <w:rPr>
          <w:sz w:val="24"/>
          <w:szCs w:val="24"/>
        </w:rPr>
        <w:t>apelado por la demandada</w:t>
      </w:r>
      <w:r w:rsidR="00D93E82" w:rsidRPr="00CD42D0">
        <w:rPr>
          <w:sz w:val="24"/>
          <w:szCs w:val="24"/>
        </w:rPr>
        <w:t xml:space="preserve"> y, en su lugar, negó las pretensiones de la demanda</w:t>
      </w:r>
      <w:r w:rsidR="009A6EEF" w:rsidRPr="00CD42D0">
        <w:rPr>
          <w:sz w:val="24"/>
          <w:szCs w:val="24"/>
        </w:rPr>
        <w:t>.</w:t>
      </w:r>
      <w:r w:rsidRPr="00CD42D0">
        <w:rPr>
          <w:sz w:val="24"/>
          <w:szCs w:val="24"/>
        </w:rPr>
        <w:t xml:space="preserve"> </w:t>
      </w:r>
      <w:r w:rsidR="00907B2E" w:rsidRPr="00CD42D0">
        <w:rPr>
          <w:sz w:val="24"/>
          <w:szCs w:val="24"/>
        </w:rPr>
        <w:t xml:space="preserve">En su criterio, las anomalías detectadas por su inferior no se desprendían del material probatorio obrante en el plenario. </w:t>
      </w:r>
      <w:r w:rsidR="00D767CC">
        <w:rPr>
          <w:sz w:val="24"/>
          <w:szCs w:val="24"/>
        </w:rPr>
        <w:t xml:space="preserve">A </w:t>
      </w:r>
      <w:r w:rsidR="00D767CC">
        <w:rPr>
          <w:i/>
          <w:iCs/>
          <w:sz w:val="24"/>
          <w:szCs w:val="24"/>
        </w:rPr>
        <w:t>c</w:t>
      </w:r>
      <w:r w:rsidR="00375764" w:rsidRPr="00CD42D0">
        <w:rPr>
          <w:i/>
          <w:iCs/>
          <w:sz w:val="24"/>
          <w:szCs w:val="24"/>
        </w:rPr>
        <w:t>ontrario</w:t>
      </w:r>
      <w:r w:rsidR="00375764" w:rsidRPr="00CD42D0">
        <w:rPr>
          <w:sz w:val="24"/>
          <w:szCs w:val="24"/>
        </w:rPr>
        <w:t xml:space="preserve"> </w:t>
      </w:r>
      <w:r w:rsidR="00375764" w:rsidRPr="00CD42D0">
        <w:rPr>
          <w:i/>
          <w:iCs/>
          <w:sz w:val="24"/>
          <w:szCs w:val="24"/>
        </w:rPr>
        <w:t>sensu</w:t>
      </w:r>
      <w:r w:rsidR="00375764" w:rsidRPr="00CD42D0">
        <w:rPr>
          <w:sz w:val="24"/>
          <w:szCs w:val="24"/>
        </w:rPr>
        <w:t xml:space="preserve">, halló acreditada la idoneidad del agente que participó en las diligencias ya identificadas, pues este asistió a un curso de actualización sobre la prueba de alcoholemia. De ese modo, concluyó que ese uniformado podía operar el alcoholímetro que le fue asignado, de acuerdo con los manuales de usuario que son específicos para ese aparato y no para otros, que son los que requieren prueba de control negativo. En todo caso, advirtió que ninguna pieza procesal demuestra que </w:t>
      </w:r>
      <w:r w:rsidR="00661F6D" w:rsidRPr="00CD42D0">
        <w:rPr>
          <w:sz w:val="24"/>
          <w:szCs w:val="24"/>
        </w:rPr>
        <w:t>esa</w:t>
      </w:r>
      <w:r w:rsidR="00375764" w:rsidRPr="00CD42D0">
        <w:rPr>
          <w:sz w:val="24"/>
          <w:szCs w:val="24"/>
        </w:rPr>
        <w:t xml:space="preserve"> última prueba no se hubiera hecho.</w:t>
      </w:r>
    </w:p>
    <w:p w14:paraId="1ACEA7B3" w14:textId="4D149BC0" w:rsidR="00EE2F24" w:rsidRPr="00CD42D0" w:rsidRDefault="00EE2F24" w:rsidP="00EE2F24">
      <w:pPr>
        <w:spacing w:line="276" w:lineRule="auto"/>
        <w:rPr>
          <w:sz w:val="24"/>
          <w:szCs w:val="24"/>
        </w:rPr>
      </w:pPr>
    </w:p>
    <w:p w14:paraId="2AA7E573" w14:textId="49EBEF08" w:rsidR="00EE2F24" w:rsidRPr="00CD42D0" w:rsidRDefault="00EE2F24" w:rsidP="00EE2F24">
      <w:pPr>
        <w:spacing w:line="276" w:lineRule="auto"/>
        <w:rPr>
          <w:sz w:val="24"/>
          <w:szCs w:val="24"/>
        </w:rPr>
      </w:pPr>
      <w:r w:rsidRPr="00CD42D0">
        <w:rPr>
          <w:sz w:val="24"/>
          <w:szCs w:val="24"/>
        </w:rPr>
        <w:t xml:space="preserve">Encontró </w:t>
      </w:r>
      <w:r w:rsidR="00CD42D0">
        <w:rPr>
          <w:sz w:val="24"/>
          <w:szCs w:val="24"/>
        </w:rPr>
        <w:t>acreditado</w:t>
      </w:r>
      <w:r w:rsidRPr="00CD42D0">
        <w:rPr>
          <w:sz w:val="24"/>
          <w:szCs w:val="24"/>
        </w:rPr>
        <w:t xml:space="preserve"> que el alcoholímetro en cuestión fue, en efecto, calibrado el 11 de noviembre de 2014. Sin embargo, se separó de la conclusión a la que llegó el juez de primera instancia. En su criterio, no era cierto que </w:t>
      </w:r>
      <w:r w:rsidR="006E79D0" w:rsidRPr="00CD42D0">
        <w:rPr>
          <w:sz w:val="24"/>
          <w:szCs w:val="24"/>
        </w:rPr>
        <w:t>no estuviera probada la fecha de vigencia de ese calibrado. De modo opuesto, los manuales de usuario respectivos y la página oficial del proveedor señalan que las calibraciones permanecen en vigor por un año. Ello, desde su visión, derrota</w:t>
      </w:r>
      <w:r w:rsidR="009B3FCB" w:rsidRPr="00CD42D0">
        <w:rPr>
          <w:sz w:val="24"/>
          <w:szCs w:val="24"/>
        </w:rPr>
        <w:t>ba</w:t>
      </w:r>
      <w:r w:rsidR="006E79D0" w:rsidRPr="00CD42D0">
        <w:rPr>
          <w:sz w:val="24"/>
          <w:szCs w:val="24"/>
        </w:rPr>
        <w:t xml:space="preserve"> la postura </w:t>
      </w:r>
      <w:r w:rsidR="009B3FCB" w:rsidRPr="00CD42D0">
        <w:rPr>
          <w:sz w:val="24"/>
          <w:szCs w:val="24"/>
        </w:rPr>
        <w:t>recurrida ante su sede</w:t>
      </w:r>
      <w:r w:rsidR="006E79D0" w:rsidRPr="00CD42D0">
        <w:rPr>
          <w:sz w:val="24"/>
          <w:szCs w:val="24"/>
        </w:rPr>
        <w:t>.</w:t>
      </w:r>
    </w:p>
    <w:p w14:paraId="246E9A6C" w14:textId="4226EF9C" w:rsidR="006E79D0" w:rsidRPr="00CD42D0" w:rsidRDefault="006E79D0" w:rsidP="00EE2F24">
      <w:pPr>
        <w:spacing w:line="276" w:lineRule="auto"/>
        <w:rPr>
          <w:sz w:val="24"/>
          <w:szCs w:val="24"/>
        </w:rPr>
      </w:pPr>
    </w:p>
    <w:p w14:paraId="6AC30D5C" w14:textId="44563CFC" w:rsidR="006E79D0" w:rsidRPr="00CD42D0" w:rsidRDefault="006E79D0" w:rsidP="00EE2F24">
      <w:pPr>
        <w:spacing w:line="276" w:lineRule="auto"/>
        <w:rPr>
          <w:sz w:val="24"/>
          <w:szCs w:val="24"/>
        </w:rPr>
      </w:pPr>
      <w:r w:rsidRPr="00CD42D0">
        <w:rPr>
          <w:sz w:val="24"/>
          <w:szCs w:val="24"/>
        </w:rPr>
        <w:t xml:space="preserve">Desde su perspectiva el señor Barragán contó con todas las garantías al interior del procedimiento administrativo en el cual resultó sancionado. Allí tuvo la oportunidad de </w:t>
      </w:r>
      <w:r w:rsidRPr="00CD42D0">
        <w:rPr>
          <w:sz w:val="24"/>
          <w:szCs w:val="24"/>
        </w:rPr>
        <w:lastRenderedPageBreak/>
        <w:t xml:space="preserve">asistir a las audiencias programadas, revisar el expediente y ejercer su derecho de defensa. Sin embargo, en sede </w:t>
      </w:r>
      <w:r w:rsidR="009B3FCB" w:rsidRPr="00CD42D0">
        <w:rPr>
          <w:sz w:val="24"/>
          <w:szCs w:val="24"/>
        </w:rPr>
        <w:t>contravencional</w:t>
      </w:r>
      <w:r w:rsidRPr="00CD42D0">
        <w:rPr>
          <w:sz w:val="24"/>
          <w:szCs w:val="24"/>
        </w:rPr>
        <w:t xml:space="preserve">, continuó, el citado señor se limitó a reiterar su versión de los hechos y a hacer afirmaciones que, finalmente, no probó. De ese modo, </w:t>
      </w:r>
      <w:r w:rsidR="009B3FCB" w:rsidRPr="00CD42D0">
        <w:rPr>
          <w:sz w:val="24"/>
          <w:szCs w:val="24"/>
        </w:rPr>
        <w:t>observó</w:t>
      </w:r>
      <w:r w:rsidRPr="00CD42D0">
        <w:rPr>
          <w:sz w:val="24"/>
          <w:szCs w:val="24"/>
        </w:rPr>
        <w:t xml:space="preserve"> que al actor no se le cercenó ninguna de esas oportunidades.</w:t>
      </w:r>
      <w:r w:rsidR="00516CC4" w:rsidRPr="00CD42D0">
        <w:rPr>
          <w:sz w:val="24"/>
          <w:szCs w:val="24"/>
        </w:rPr>
        <w:t xml:space="preserve"> A ello agregó que el procedimiento en comento no contempla el momento específico del traslado de pruebas, pero no cohíbe al multado de referirse a estas en todo momento.</w:t>
      </w:r>
    </w:p>
    <w:p w14:paraId="32198734" w14:textId="35462DB0" w:rsidR="00EC097F" w:rsidRPr="00CD42D0" w:rsidRDefault="00EC097F" w:rsidP="00EC097F">
      <w:pPr>
        <w:spacing w:line="276" w:lineRule="auto"/>
        <w:rPr>
          <w:sz w:val="24"/>
          <w:szCs w:val="24"/>
        </w:rPr>
      </w:pPr>
    </w:p>
    <w:p w14:paraId="1A1C16A6" w14:textId="77777777" w:rsidR="000C5DB7" w:rsidRPr="00CD42D0" w:rsidRDefault="000C5DB7" w:rsidP="00F77BC5">
      <w:pPr>
        <w:numPr>
          <w:ilvl w:val="0"/>
          <w:numId w:val="3"/>
        </w:numPr>
        <w:overflowPunct w:val="0"/>
        <w:autoSpaceDE w:val="0"/>
        <w:autoSpaceDN w:val="0"/>
        <w:adjustRightInd w:val="0"/>
        <w:spacing w:line="276" w:lineRule="auto"/>
        <w:ind w:left="0" w:firstLine="0"/>
        <w:contextualSpacing/>
        <w:rPr>
          <w:sz w:val="24"/>
          <w:szCs w:val="24"/>
        </w:rPr>
      </w:pPr>
      <w:r w:rsidRPr="00CD42D0">
        <w:rPr>
          <w:rFonts w:eastAsia="Arial Unicode MS"/>
          <w:b/>
          <w:sz w:val="24"/>
          <w:szCs w:val="24"/>
        </w:rPr>
        <w:t>Argumentos de la solicitud de tutela</w:t>
      </w:r>
    </w:p>
    <w:p w14:paraId="429DA94F" w14:textId="39692AA2" w:rsidR="00166AF6" w:rsidRPr="00CD42D0" w:rsidRDefault="00166AF6" w:rsidP="00F77BC5">
      <w:pPr>
        <w:overflowPunct w:val="0"/>
        <w:autoSpaceDE w:val="0"/>
        <w:autoSpaceDN w:val="0"/>
        <w:adjustRightInd w:val="0"/>
        <w:spacing w:line="276" w:lineRule="auto"/>
        <w:contextualSpacing/>
        <w:rPr>
          <w:sz w:val="24"/>
          <w:szCs w:val="24"/>
        </w:rPr>
      </w:pPr>
    </w:p>
    <w:p w14:paraId="4D1AE410" w14:textId="1ECDDAD6" w:rsidR="00D214EE" w:rsidRPr="00CD42D0" w:rsidRDefault="00FC6F73" w:rsidP="00F77BC5">
      <w:pPr>
        <w:pStyle w:val="Prrafodelista"/>
        <w:overflowPunct w:val="0"/>
        <w:autoSpaceDE w:val="0"/>
        <w:autoSpaceDN w:val="0"/>
        <w:adjustRightInd w:val="0"/>
        <w:spacing w:line="276" w:lineRule="auto"/>
        <w:ind w:left="0"/>
        <w:rPr>
          <w:sz w:val="24"/>
          <w:szCs w:val="24"/>
        </w:rPr>
      </w:pPr>
      <w:r w:rsidRPr="00CD42D0">
        <w:rPr>
          <w:sz w:val="24"/>
          <w:szCs w:val="24"/>
        </w:rPr>
        <w:t xml:space="preserve">Para </w:t>
      </w:r>
      <w:r w:rsidR="00471792" w:rsidRPr="00CD42D0">
        <w:rPr>
          <w:sz w:val="24"/>
          <w:szCs w:val="24"/>
        </w:rPr>
        <w:t>la</w:t>
      </w:r>
      <w:r w:rsidRPr="00CD42D0">
        <w:rPr>
          <w:sz w:val="24"/>
          <w:szCs w:val="24"/>
        </w:rPr>
        <w:t xml:space="preserve"> </w:t>
      </w:r>
      <w:r w:rsidR="00471792" w:rsidRPr="00CD42D0">
        <w:rPr>
          <w:sz w:val="24"/>
          <w:szCs w:val="24"/>
        </w:rPr>
        <w:t>solicitante</w:t>
      </w:r>
      <w:r w:rsidRPr="00CD42D0">
        <w:rPr>
          <w:sz w:val="24"/>
          <w:szCs w:val="24"/>
        </w:rPr>
        <w:t xml:space="preserve">, la sentencia enjuiciada incurrió en </w:t>
      </w:r>
      <w:r w:rsidR="00161044" w:rsidRPr="00CD42D0">
        <w:rPr>
          <w:b/>
          <w:bCs/>
          <w:sz w:val="24"/>
          <w:szCs w:val="24"/>
        </w:rPr>
        <w:t>defecto</w:t>
      </w:r>
      <w:r w:rsidR="006A5E5F" w:rsidRPr="00CD42D0">
        <w:rPr>
          <w:b/>
          <w:bCs/>
          <w:sz w:val="24"/>
          <w:szCs w:val="24"/>
        </w:rPr>
        <w:t xml:space="preserve"> fáctico</w:t>
      </w:r>
      <w:r w:rsidRPr="00CD42D0">
        <w:rPr>
          <w:sz w:val="24"/>
          <w:szCs w:val="24"/>
        </w:rPr>
        <w:t xml:space="preserve"> de acuerdo con los argumentos que se reconstruirán </w:t>
      </w:r>
      <w:r w:rsidR="00772F49" w:rsidRPr="00CD42D0">
        <w:rPr>
          <w:sz w:val="24"/>
          <w:szCs w:val="24"/>
        </w:rPr>
        <w:t>en su orden respectivo</w:t>
      </w:r>
      <w:r w:rsidRPr="00CD42D0">
        <w:rPr>
          <w:sz w:val="24"/>
          <w:szCs w:val="24"/>
        </w:rPr>
        <w:t>:</w:t>
      </w:r>
    </w:p>
    <w:p w14:paraId="416C0584" w14:textId="77777777" w:rsidR="001C0445" w:rsidRPr="00CD42D0" w:rsidRDefault="001C0445" w:rsidP="00DF21E0">
      <w:pPr>
        <w:rPr>
          <w:b/>
          <w:bCs/>
          <w:sz w:val="24"/>
          <w:szCs w:val="24"/>
        </w:rPr>
      </w:pPr>
    </w:p>
    <w:p w14:paraId="5DC3125C" w14:textId="62A60721" w:rsidR="00513F6C" w:rsidRPr="00CD42D0" w:rsidRDefault="006A5E5F" w:rsidP="00513F6C">
      <w:pPr>
        <w:pStyle w:val="Prrafodelista"/>
        <w:numPr>
          <w:ilvl w:val="1"/>
          <w:numId w:val="3"/>
        </w:numPr>
        <w:overflowPunct w:val="0"/>
        <w:autoSpaceDE w:val="0"/>
        <w:autoSpaceDN w:val="0"/>
        <w:adjustRightInd w:val="0"/>
        <w:spacing w:line="276" w:lineRule="auto"/>
        <w:ind w:left="0" w:firstLine="0"/>
        <w:rPr>
          <w:b/>
          <w:bCs/>
          <w:sz w:val="24"/>
          <w:szCs w:val="24"/>
        </w:rPr>
      </w:pPr>
      <w:r w:rsidRPr="00CD42D0">
        <w:rPr>
          <w:sz w:val="24"/>
          <w:szCs w:val="24"/>
        </w:rPr>
        <w:t>El tribunal accionado no tuvo en cuenta que los reproches propuestos en sede contencios</w:t>
      </w:r>
      <w:r w:rsidR="00B17935" w:rsidRPr="00CD42D0">
        <w:rPr>
          <w:sz w:val="24"/>
          <w:szCs w:val="24"/>
        </w:rPr>
        <w:t>a</w:t>
      </w:r>
      <w:r w:rsidRPr="00CD42D0">
        <w:rPr>
          <w:sz w:val="24"/>
          <w:szCs w:val="24"/>
        </w:rPr>
        <w:t xml:space="preserve"> giran alrededor, no de la embriaguez del demandante, sino de las irregularidades procedimentales que terminaron en </w:t>
      </w:r>
      <w:r w:rsidR="00A43F3C" w:rsidRPr="00CD42D0">
        <w:rPr>
          <w:sz w:val="24"/>
          <w:szCs w:val="24"/>
        </w:rPr>
        <w:t xml:space="preserve">la citada </w:t>
      </w:r>
      <w:r w:rsidRPr="00CD42D0">
        <w:rPr>
          <w:sz w:val="24"/>
          <w:szCs w:val="24"/>
        </w:rPr>
        <w:t>sanción.</w:t>
      </w:r>
      <w:r w:rsidR="00590923" w:rsidRPr="00CD42D0">
        <w:rPr>
          <w:sz w:val="24"/>
          <w:szCs w:val="24"/>
        </w:rPr>
        <w:t xml:space="preserve"> De estas, olvidó por completo que no se practicaron las pruebas solicitadas por el multado y decretadas dentro del trámite contravencional. Estas incluían el video que se tuvo que </w:t>
      </w:r>
      <w:r w:rsidR="00E32EEA" w:rsidRPr="00CD42D0">
        <w:rPr>
          <w:sz w:val="24"/>
          <w:szCs w:val="24"/>
        </w:rPr>
        <w:t>tomar</w:t>
      </w:r>
      <w:r w:rsidR="00590923" w:rsidRPr="00CD42D0">
        <w:rPr>
          <w:sz w:val="24"/>
          <w:szCs w:val="24"/>
        </w:rPr>
        <w:t xml:space="preserve"> al momento de recoger</w:t>
      </w:r>
      <w:r w:rsidR="00516CC4" w:rsidRPr="00CD42D0">
        <w:rPr>
          <w:sz w:val="24"/>
          <w:szCs w:val="24"/>
        </w:rPr>
        <w:t>se</w:t>
      </w:r>
      <w:r w:rsidR="00590923" w:rsidRPr="00CD42D0">
        <w:rPr>
          <w:sz w:val="24"/>
          <w:szCs w:val="24"/>
        </w:rPr>
        <w:t xml:space="preserve"> la prueba de alcoholemia, material que, a pesar de ser determinante, nunca se recolectó. Así mismo, no se le corrió traslado de las pruebas realmente incorporadas al expediente administrativo.</w:t>
      </w:r>
    </w:p>
    <w:p w14:paraId="73D4F1AC" w14:textId="77777777" w:rsidR="00855A04" w:rsidRPr="00CD42D0" w:rsidRDefault="00855A04" w:rsidP="00855A04">
      <w:pPr>
        <w:pStyle w:val="Prrafodelista"/>
        <w:overflowPunct w:val="0"/>
        <w:autoSpaceDE w:val="0"/>
        <w:autoSpaceDN w:val="0"/>
        <w:adjustRightInd w:val="0"/>
        <w:spacing w:line="276" w:lineRule="auto"/>
        <w:ind w:left="0"/>
        <w:rPr>
          <w:b/>
          <w:bCs/>
          <w:sz w:val="24"/>
          <w:szCs w:val="24"/>
        </w:rPr>
      </w:pPr>
    </w:p>
    <w:p w14:paraId="3E0163BF" w14:textId="24B3C702" w:rsidR="00513F6C" w:rsidRPr="00CD42D0" w:rsidRDefault="00513F6C" w:rsidP="00513F6C">
      <w:pPr>
        <w:pStyle w:val="Prrafodelista"/>
        <w:numPr>
          <w:ilvl w:val="1"/>
          <w:numId w:val="3"/>
        </w:numPr>
        <w:overflowPunct w:val="0"/>
        <w:autoSpaceDE w:val="0"/>
        <w:autoSpaceDN w:val="0"/>
        <w:adjustRightInd w:val="0"/>
        <w:spacing w:line="276" w:lineRule="auto"/>
        <w:ind w:left="0" w:firstLine="0"/>
        <w:rPr>
          <w:b/>
          <w:bCs/>
          <w:sz w:val="24"/>
          <w:szCs w:val="24"/>
        </w:rPr>
      </w:pPr>
      <w:r w:rsidRPr="00CD42D0">
        <w:rPr>
          <w:sz w:val="24"/>
          <w:szCs w:val="24"/>
        </w:rPr>
        <w:t>El análisis probatorio desconoció lo dispuesto en el numeral</w:t>
      </w:r>
      <w:r w:rsidR="00855A04" w:rsidRPr="00CD42D0">
        <w:rPr>
          <w:rStyle w:val="Refdenotaalpie"/>
          <w:sz w:val="24"/>
          <w:szCs w:val="24"/>
        </w:rPr>
        <w:footnoteReference w:id="7"/>
      </w:r>
      <w:r w:rsidRPr="00CD42D0">
        <w:rPr>
          <w:sz w:val="24"/>
          <w:szCs w:val="24"/>
        </w:rPr>
        <w:t xml:space="preserve"> </w:t>
      </w:r>
      <w:r w:rsidRPr="00CD42D0">
        <w:rPr>
          <w:sz w:val="24"/>
          <w:szCs w:val="24"/>
          <w:lang w:eastAsia="es-CO"/>
        </w:rPr>
        <w:t xml:space="preserve">4.4.3.3. de la resolución número 1183 de 2005. </w:t>
      </w:r>
      <w:r w:rsidR="00855A04" w:rsidRPr="00CD42D0">
        <w:rPr>
          <w:sz w:val="24"/>
          <w:szCs w:val="24"/>
          <w:lang w:eastAsia="es-CO"/>
        </w:rPr>
        <w:t xml:space="preserve">Sin embargo, el fallador accionado ignoró que el equipo utilizado el día de los hechos no cuenta con el control negativo </w:t>
      </w:r>
      <w:r w:rsidR="00590923" w:rsidRPr="00CD42D0">
        <w:rPr>
          <w:sz w:val="24"/>
          <w:szCs w:val="24"/>
          <w:lang w:eastAsia="es-CO"/>
        </w:rPr>
        <w:t>en</w:t>
      </w:r>
      <w:r w:rsidR="00855A04" w:rsidRPr="00CD42D0">
        <w:rPr>
          <w:sz w:val="24"/>
          <w:szCs w:val="24"/>
          <w:lang w:eastAsia="es-CO"/>
        </w:rPr>
        <w:t xml:space="preserve"> modo incorporado. En ese sentido, el policial a cargo de</w:t>
      </w:r>
      <w:r w:rsidR="00031497" w:rsidRPr="00CD42D0">
        <w:rPr>
          <w:sz w:val="24"/>
          <w:szCs w:val="24"/>
          <w:lang w:eastAsia="es-CO"/>
        </w:rPr>
        <w:t xml:space="preserve"> operar </w:t>
      </w:r>
      <w:r w:rsidR="00855A04" w:rsidRPr="00CD42D0">
        <w:rPr>
          <w:sz w:val="24"/>
          <w:szCs w:val="24"/>
          <w:lang w:eastAsia="es-CO"/>
        </w:rPr>
        <w:t xml:space="preserve">el aparato debió hacer </w:t>
      </w:r>
      <w:r w:rsidR="00683E99" w:rsidRPr="00CD42D0">
        <w:rPr>
          <w:sz w:val="24"/>
          <w:szCs w:val="24"/>
          <w:lang w:eastAsia="es-CO"/>
        </w:rPr>
        <w:t>tal</w:t>
      </w:r>
      <w:r w:rsidR="00855A04" w:rsidRPr="00CD42D0">
        <w:rPr>
          <w:sz w:val="24"/>
          <w:szCs w:val="24"/>
          <w:lang w:eastAsia="es-CO"/>
        </w:rPr>
        <w:t xml:space="preserve"> control antes de practicarle la prueba de alcoholemia. Aparte de eso, el </w:t>
      </w:r>
      <w:r w:rsidR="003F1817" w:rsidRPr="00CD42D0">
        <w:rPr>
          <w:sz w:val="24"/>
          <w:szCs w:val="24"/>
          <w:lang w:eastAsia="es-CO"/>
        </w:rPr>
        <w:t>tribunal</w:t>
      </w:r>
      <w:r w:rsidR="00855A04" w:rsidRPr="00CD42D0">
        <w:rPr>
          <w:sz w:val="24"/>
          <w:szCs w:val="24"/>
          <w:lang w:eastAsia="es-CO"/>
        </w:rPr>
        <w:t xml:space="preserve"> extrañó que en el expediente no obrara </w:t>
      </w:r>
      <w:r w:rsidR="00683E99" w:rsidRPr="00CD42D0">
        <w:rPr>
          <w:sz w:val="24"/>
          <w:szCs w:val="24"/>
          <w:lang w:eastAsia="es-CO"/>
        </w:rPr>
        <w:t xml:space="preserve">prueba de </w:t>
      </w:r>
      <w:r w:rsidR="00855A04" w:rsidRPr="00CD42D0">
        <w:rPr>
          <w:sz w:val="24"/>
          <w:szCs w:val="24"/>
          <w:lang w:eastAsia="es-CO"/>
        </w:rPr>
        <w:t>la referida verificación</w:t>
      </w:r>
      <w:r w:rsidR="00683E99" w:rsidRPr="00CD42D0">
        <w:rPr>
          <w:sz w:val="24"/>
          <w:szCs w:val="24"/>
          <w:lang w:eastAsia="es-CO"/>
        </w:rPr>
        <w:t xml:space="preserve">. </w:t>
      </w:r>
      <w:r w:rsidR="005137D1" w:rsidRPr="00CD42D0">
        <w:rPr>
          <w:sz w:val="24"/>
          <w:szCs w:val="24"/>
          <w:lang w:eastAsia="es-CO"/>
        </w:rPr>
        <w:t>No obstante</w:t>
      </w:r>
      <w:r w:rsidR="00683E99" w:rsidRPr="00CD42D0">
        <w:rPr>
          <w:sz w:val="24"/>
          <w:szCs w:val="24"/>
          <w:lang w:eastAsia="es-CO"/>
        </w:rPr>
        <w:t xml:space="preserve">, </w:t>
      </w:r>
      <w:r w:rsidR="005137D1" w:rsidRPr="00CD42D0">
        <w:rPr>
          <w:sz w:val="24"/>
          <w:szCs w:val="24"/>
          <w:lang w:eastAsia="es-CO"/>
        </w:rPr>
        <w:t>in</w:t>
      </w:r>
      <w:r w:rsidR="00683E99" w:rsidRPr="00CD42D0">
        <w:rPr>
          <w:sz w:val="24"/>
          <w:szCs w:val="24"/>
          <w:lang w:eastAsia="es-CO"/>
        </w:rPr>
        <w:t xml:space="preserve">advirtió que ese fue el centro del alegato </w:t>
      </w:r>
      <w:r w:rsidR="002533F4" w:rsidRPr="00CD42D0">
        <w:rPr>
          <w:sz w:val="24"/>
          <w:szCs w:val="24"/>
          <w:lang w:eastAsia="es-CO"/>
        </w:rPr>
        <w:t xml:space="preserve">de </w:t>
      </w:r>
      <w:r w:rsidR="005137D1" w:rsidRPr="00CD42D0">
        <w:rPr>
          <w:sz w:val="24"/>
          <w:szCs w:val="24"/>
          <w:lang w:eastAsia="es-CO"/>
        </w:rPr>
        <w:t>la</w:t>
      </w:r>
      <w:r w:rsidR="00683E99" w:rsidRPr="00CD42D0">
        <w:rPr>
          <w:sz w:val="24"/>
          <w:szCs w:val="24"/>
          <w:lang w:eastAsia="es-CO"/>
        </w:rPr>
        <w:t xml:space="preserve"> demanda: el ente demandado no hizo el examen indicado antes de practicar el estudio de alcoholemia.</w:t>
      </w:r>
    </w:p>
    <w:p w14:paraId="3E4D381D" w14:textId="77777777" w:rsidR="00683E99" w:rsidRPr="00CD42D0" w:rsidRDefault="00683E99" w:rsidP="002533F4">
      <w:pPr>
        <w:rPr>
          <w:b/>
          <w:bCs/>
          <w:sz w:val="24"/>
          <w:szCs w:val="24"/>
        </w:rPr>
      </w:pPr>
    </w:p>
    <w:p w14:paraId="682A6AB9" w14:textId="70FC9382" w:rsidR="00683E99" w:rsidRPr="00CD42D0" w:rsidRDefault="00683E99" w:rsidP="00513F6C">
      <w:pPr>
        <w:pStyle w:val="Prrafodelista"/>
        <w:numPr>
          <w:ilvl w:val="1"/>
          <w:numId w:val="3"/>
        </w:numPr>
        <w:overflowPunct w:val="0"/>
        <w:autoSpaceDE w:val="0"/>
        <w:autoSpaceDN w:val="0"/>
        <w:adjustRightInd w:val="0"/>
        <w:spacing w:line="276" w:lineRule="auto"/>
        <w:ind w:left="0" w:firstLine="0"/>
        <w:rPr>
          <w:b/>
          <w:bCs/>
          <w:sz w:val="24"/>
          <w:szCs w:val="24"/>
        </w:rPr>
      </w:pPr>
      <w:r w:rsidRPr="00CD42D0">
        <w:rPr>
          <w:sz w:val="24"/>
          <w:szCs w:val="24"/>
        </w:rPr>
        <w:t>La autoridad accionada obvió por completo que la prueba de alcoholemia debía estar acompañada de la toma de las huellas dactilares del presunto infractor.</w:t>
      </w:r>
    </w:p>
    <w:p w14:paraId="408EC83C" w14:textId="77777777" w:rsidR="00683E99" w:rsidRPr="00CD42D0" w:rsidRDefault="00683E99" w:rsidP="00B60B2A">
      <w:pPr>
        <w:rPr>
          <w:b/>
          <w:bCs/>
          <w:sz w:val="24"/>
          <w:szCs w:val="24"/>
        </w:rPr>
      </w:pPr>
    </w:p>
    <w:p w14:paraId="5D0FC1E8" w14:textId="24AB0D62" w:rsidR="00683E99" w:rsidRPr="00CD42D0" w:rsidRDefault="00516CC4" w:rsidP="00513F6C">
      <w:pPr>
        <w:pStyle w:val="Prrafodelista"/>
        <w:numPr>
          <w:ilvl w:val="1"/>
          <w:numId w:val="3"/>
        </w:numPr>
        <w:overflowPunct w:val="0"/>
        <w:autoSpaceDE w:val="0"/>
        <w:autoSpaceDN w:val="0"/>
        <w:adjustRightInd w:val="0"/>
        <w:spacing w:line="276" w:lineRule="auto"/>
        <w:ind w:left="0" w:firstLine="0"/>
        <w:rPr>
          <w:b/>
          <w:bCs/>
          <w:sz w:val="24"/>
          <w:szCs w:val="24"/>
        </w:rPr>
      </w:pPr>
      <w:r w:rsidRPr="00CD42D0">
        <w:rPr>
          <w:sz w:val="24"/>
          <w:szCs w:val="24"/>
        </w:rPr>
        <w:t>El proveído objeto de censura no analizó el certificado de calibración que sí tuvo en cuenta el juez contencioso de primera instancia.</w:t>
      </w:r>
    </w:p>
    <w:p w14:paraId="63485020" w14:textId="77777777" w:rsidR="00B60B2A" w:rsidRPr="00CD42D0" w:rsidRDefault="00B60B2A" w:rsidP="00B60B2A">
      <w:pPr>
        <w:pStyle w:val="Prrafodelista"/>
        <w:overflowPunct w:val="0"/>
        <w:autoSpaceDE w:val="0"/>
        <w:autoSpaceDN w:val="0"/>
        <w:adjustRightInd w:val="0"/>
        <w:spacing w:line="276" w:lineRule="auto"/>
        <w:ind w:left="0"/>
        <w:rPr>
          <w:b/>
          <w:bCs/>
          <w:sz w:val="24"/>
          <w:szCs w:val="24"/>
        </w:rPr>
      </w:pPr>
    </w:p>
    <w:p w14:paraId="6E13F4BD" w14:textId="77777777" w:rsidR="000C5DB7" w:rsidRPr="00CD42D0" w:rsidRDefault="00E800E8" w:rsidP="00F77BC5">
      <w:pPr>
        <w:numPr>
          <w:ilvl w:val="0"/>
          <w:numId w:val="3"/>
        </w:numPr>
        <w:overflowPunct w:val="0"/>
        <w:autoSpaceDE w:val="0"/>
        <w:autoSpaceDN w:val="0"/>
        <w:adjustRightInd w:val="0"/>
        <w:spacing w:line="276" w:lineRule="auto"/>
        <w:ind w:left="0" w:firstLine="0"/>
        <w:contextualSpacing/>
        <w:rPr>
          <w:rFonts w:eastAsia="Times New Roman"/>
          <w:b/>
          <w:sz w:val="24"/>
          <w:szCs w:val="24"/>
          <w:lang w:eastAsia="es-ES"/>
        </w:rPr>
      </w:pPr>
      <w:r w:rsidRPr="00CD42D0">
        <w:rPr>
          <w:b/>
          <w:sz w:val="24"/>
          <w:szCs w:val="24"/>
        </w:rPr>
        <w:t>Trámite</w:t>
      </w:r>
      <w:r w:rsidR="00166AF6" w:rsidRPr="00CD42D0">
        <w:rPr>
          <w:b/>
          <w:sz w:val="24"/>
          <w:szCs w:val="24"/>
        </w:rPr>
        <w:t xml:space="preserve"> de tutela e intervenciones  </w:t>
      </w:r>
    </w:p>
    <w:p w14:paraId="15F7CD83" w14:textId="77777777" w:rsidR="0096067B" w:rsidRDefault="0096067B" w:rsidP="0096067B">
      <w:pPr>
        <w:pStyle w:val="Prrafodelista"/>
        <w:overflowPunct w:val="0"/>
        <w:autoSpaceDE w:val="0"/>
        <w:autoSpaceDN w:val="0"/>
        <w:adjustRightInd w:val="0"/>
        <w:spacing w:line="276" w:lineRule="auto"/>
        <w:ind w:left="0"/>
        <w:rPr>
          <w:rFonts w:eastAsia="Verdana"/>
          <w:sz w:val="24"/>
          <w:szCs w:val="24"/>
        </w:rPr>
      </w:pPr>
    </w:p>
    <w:p w14:paraId="6E794374" w14:textId="0CE9D36A" w:rsidR="00181AF9" w:rsidRDefault="0096067B" w:rsidP="0096067B">
      <w:pPr>
        <w:pStyle w:val="Prrafodelista"/>
        <w:overflowPunct w:val="0"/>
        <w:autoSpaceDE w:val="0"/>
        <w:autoSpaceDN w:val="0"/>
        <w:adjustRightInd w:val="0"/>
        <w:spacing w:line="276" w:lineRule="auto"/>
        <w:ind w:left="0"/>
        <w:rPr>
          <w:rFonts w:eastAsia="Verdana"/>
          <w:sz w:val="24"/>
          <w:szCs w:val="24"/>
        </w:rPr>
      </w:pPr>
      <w:r>
        <w:rPr>
          <w:rFonts w:eastAsia="Verdana"/>
          <w:b/>
          <w:bCs/>
          <w:sz w:val="24"/>
          <w:szCs w:val="24"/>
        </w:rPr>
        <w:t xml:space="preserve">4.1. </w:t>
      </w:r>
      <w:r w:rsidR="00261359" w:rsidRPr="00CD42D0">
        <w:rPr>
          <w:rFonts w:eastAsia="Verdana"/>
          <w:sz w:val="24"/>
          <w:szCs w:val="24"/>
        </w:rPr>
        <w:t xml:space="preserve">El despacho sustanciador, mediante auto proferido el </w:t>
      </w:r>
      <w:r w:rsidR="00516CC4" w:rsidRPr="00CD42D0">
        <w:rPr>
          <w:rFonts w:eastAsia="Verdana"/>
          <w:sz w:val="24"/>
          <w:szCs w:val="24"/>
        </w:rPr>
        <w:t>4</w:t>
      </w:r>
      <w:r w:rsidR="0017431B" w:rsidRPr="00CD42D0">
        <w:rPr>
          <w:color w:val="000000"/>
          <w:sz w:val="24"/>
          <w:szCs w:val="24"/>
          <w:lang w:eastAsia="en-US"/>
        </w:rPr>
        <w:t xml:space="preserve"> </w:t>
      </w:r>
      <w:r w:rsidR="00563912" w:rsidRPr="00CD42D0">
        <w:rPr>
          <w:color w:val="000000"/>
          <w:sz w:val="24"/>
          <w:szCs w:val="24"/>
          <w:lang w:eastAsia="en-US"/>
        </w:rPr>
        <w:t xml:space="preserve">de </w:t>
      </w:r>
      <w:r w:rsidR="005F1D21" w:rsidRPr="00CD42D0">
        <w:rPr>
          <w:color w:val="000000"/>
          <w:sz w:val="24"/>
          <w:szCs w:val="24"/>
          <w:lang w:eastAsia="en-US"/>
        </w:rPr>
        <w:t>junio</w:t>
      </w:r>
      <w:r w:rsidR="00563912" w:rsidRPr="00CD42D0">
        <w:rPr>
          <w:color w:val="000000"/>
          <w:sz w:val="24"/>
          <w:szCs w:val="24"/>
          <w:lang w:eastAsia="en-US"/>
        </w:rPr>
        <w:t xml:space="preserve"> de </w:t>
      </w:r>
      <w:r w:rsidR="000813DB" w:rsidRPr="00CD42D0">
        <w:rPr>
          <w:color w:val="000000"/>
          <w:sz w:val="24"/>
          <w:szCs w:val="24"/>
          <w:lang w:eastAsia="en-US"/>
        </w:rPr>
        <w:t>202</w:t>
      </w:r>
      <w:r w:rsidR="008B721A" w:rsidRPr="00CD42D0">
        <w:rPr>
          <w:color w:val="000000"/>
          <w:sz w:val="24"/>
          <w:szCs w:val="24"/>
          <w:lang w:eastAsia="en-US"/>
        </w:rPr>
        <w:t>1</w:t>
      </w:r>
      <w:r w:rsidR="008B721A" w:rsidRPr="00CD42D0">
        <w:rPr>
          <w:color w:val="000000"/>
          <w:sz w:val="24"/>
          <w:szCs w:val="24"/>
          <w:vertAlign w:val="superscript"/>
          <w:lang w:eastAsia="en-US"/>
        </w:rPr>
        <w:t>[</w:t>
      </w:r>
      <w:r w:rsidR="007046B1" w:rsidRPr="00CD42D0">
        <w:rPr>
          <w:rStyle w:val="Refdenotaalpie"/>
          <w:color w:val="000000"/>
          <w:sz w:val="24"/>
          <w:szCs w:val="24"/>
          <w:lang w:eastAsia="en-US"/>
        </w:rPr>
        <w:footnoteReference w:id="8"/>
      </w:r>
      <w:r w:rsidR="008B721A" w:rsidRPr="00CD42D0">
        <w:rPr>
          <w:color w:val="000000"/>
          <w:sz w:val="24"/>
          <w:szCs w:val="24"/>
          <w:vertAlign w:val="superscript"/>
          <w:lang w:eastAsia="en-US"/>
        </w:rPr>
        <w:t>]</w:t>
      </w:r>
      <w:r w:rsidR="00261359" w:rsidRPr="00CD42D0">
        <w:rPr>
          <w:rFonts w:eastAsia="Verdana"/>
          <w:sz w:val="24"/>
          <w:szCs w:val="24"/>
        </w:rPr>
        <w:t xml:space="preserve">, admitió la </w:t>
      </w:r>
      <w:r w:rsidR="00563912" w:rsidRPr="00CD42D0">
        <w:rPr>
          <w:rFonts w:eastAsia="Verdana"/>
          <w:sz w:val="24"/>
          <w:szCs w:val="24"/>
        </w:rPr>
        <w:t>solicitud de tutela</w:t>
      </w:r>
      <w:r w:rsidR="00650DE8" w:rsidRPr="00CD42D0">
        <w:rPr>
          <w:rFonts w:eastAsia="Verdana"/>
          <w:sz w:val="24"/>
          <w:szCs w:val="24"/>
        </w:rPr>
        <w:t>.</w:t>
      </w:r>
      <w:r w:rsidR="00CC6FDF" w:rsidRPr="00CD42D0">
        <w:rPr>
          <w:rFonts w:eastAsia="Verdana"/>
          <w:sz w:val="24"/>
          <w:szCs w:val="24"/>
        </w:rPr>
        <w:t xml:space="preserve"> Igualmente, vinculó a</w:t>
      </w:r>
      <w:r w:rsidR="00F7745B" w:rsidRPr="00CD42D0">
        <w:rPr>
          <w:rFonts w:eastAsia="Verdana"/>
          <w:sz w:val="24"/>
          <w:szCs w:val="24"/>
        </w:rPr>
        <w:t xml:space="preserve">l municipio de Ibagué – Secretaría de </w:t>
      </w:r>
      <w:r w:rsidR="00F7745B" w:rsidRPr="00CD42D0">
        <w:rPr>
          <w:rFonts w:eastAsia="Verdana"/>
          <w:sz w:val="24"/>
          <w:szCs w:val="24"/>
        </w:rPr>
        <w:lastRenderedPageBreak/>
        <w:t>Tránsito, Transporte y Movilidad y al Juzgado Tercero Administrativo del Circuito Judicial de Ibagué</w:t>
      </w:r>
      <w:r w:rsidR="00D71299" w:rsidRPr="00CD42D0">
        <w:rPr>
          <w:sz w:val="24"/>
          <w:szCs w:val="24"/>
        </w:rPr>
        <w:t>,</w:t>
      </w:r>
      <w:r w:rsidR="00DD6336" w:rsidRPr="00CD42D0">
        <w:rPr>
          <w:rFonts w:eastAsia="Verdana"/>
          <w:sz w:val="24"/>
          <w:szCs w:val="24"/>
        </w:rPr>
        <w:t xml:space="preserve"> </w:t>
      </w:r>
      <w:r w:rsidR="005F1D21" w:rsidRPr="00CD42D0">
        <w:rPr>
          <w:rFonts w:eastAsia="Verdana"/>
          <w:sz w:val="24"/>
          <w:szCs w:val="24"/>
        </w:rPr>
        <w:t>en calidad de tercer</w:t>
      </w:r>
      <w:r w:rsidR="00DD6336" w:rsidRPr="00CD42D0">
        <w:rPr>
          <w:rFonts w:eastAsia="Verdana"/>
          <w:sz w:val="24"/>
          <w:szCs w:val="24"/>
        </w:rPr>
        <w:t>os</w:t>
      </w:r>
      <w:r w:rsidR="005F1D21" w:rsidRPr="00CD42D0">
        <w:rPr>
          <w:rFonts w:eastAsia="Verdana"/>
          <w:sz w:val="24"/>
          <w:szCs w:val="24"/>
        </w:rPr>
        <w:t xml:space="preserve"> interesad</w:t>
      </w:r>
      <w:r w:rsidR="00DD6336" w:rsidRPr="00CD42D0">
        <w:rPr>
          <w:rFonts w:eastAsia="Verdana"/>
          <w:sz w:val="24"/>
          <w:szCs w:val="24"/>
        </w:rPr>
        <w:t>os.</w:t>
      </w:r>
    </w:p>
    <w:p w14:paraId="016052B8" w14:textId="77777777" w:rsidR="0096067B" w:rsidRDefault="0096067B" w:rsidP="0096067B">
      <w:pPr>
        <w:pStyle w:val="Prrafodelista"/>
        <w:overflowPunct w:val="0"/>
        <w:autoSpaceDE w:val="0"/>
        <w:autoSpaceDN w:val="0"/>
        <w:adjustRightInd w:val="0"/>
        <w:spacing w:line="276" w:lineRule="auto"/>
        <w:ind w:left="0"/>
        <w:rPr>
          <w:rFonts w:eastAsia="Verdana"/>
          <w:sz w:val="24"/>
          <w:szCs w:val="24"/>
        </w:rPr>
      </w:pPr>
    </w:p>
    <w:p w14:paraId="14C83A1B" w14:textId="1C76CDAA" w:rsidR="00B06B54" w:rsidRPr="0096067B" w:rsidRDefault="0096067B" w:rsidP="0096067B">
      <w:pPr>
        <w:overflowPunct w:val="0"/>
        <w:autoSpaceDE w:val="0"/>
        <w:autoSpaceDN w:val="0"/>
        <w:adjustRightInd w:val="0"/>
        <w:spacing w:line="276" w:lineRule="auto"/>
        <w:rPr>
          <w:rFonts w:eastAsia="Verdana"/>
          <w:sz w:val="24"/>
          <w:szCs w:val="24"/>
        </w:rPr>
      </w:pPr>
      <w:r>
        <w:rPr>
          <w:rFonts w:eastAsia="Verdana"/>
          <w:b/>
          <w:bCs/>
          <w:sz w:val="24"/>
          <w:szCs w:val="24"/>
        </w:rPr>
        <w:t xml:space="preserve">4.2. </w:t>
      </w:r>
      <w:r w:rsidR="00DA4C59" w:rsidRPr="0096067B">
        <w:rPr>
          <w:rFonts w:eastAsia="Verdana"/>
          <w:sz w:val="24"/>
          <w:szCs w:val="24"/>
        </w:rPr>
        <w:t>El</w:t>
      </w:r>
      <w:r w:rsidR="00DD6336" w:rsidRPr="0096067B">
        <w:rPr>
          <w:rFonts w:eastAsia="Verdana"/>
          <w:b/>
          <w:bCs/>
          <w:sz w:val="24"/>
          <w:szCs w:val="24"/>
        </w:rPr>
        <w:t xml:space="preserve"> </w:t>
      </w:r>
      <w:r w:rsidR="00DA4C59" w:rsidRPr="0096067B">
        <w:rPr>
          <w:rFonts w:eastAsia="Verdana"/>
          <w:b/>
          <w:bCs/>
          <w:sz w:val="24"/>
          <w:szCs w:val="24"/>
        </w:rPr>
        <w:t>municipio de Ibagué</w:t>
      </w:r>
      <w:r w:rsidR="00DD6336" w:rsidRPr="0096067B">
        <w:rPr>
          <w:rFonts w:eastAsia="Verdana"/>
          <w:sz w:val="24"/>
          <w:szCs w:val="24"/>
        </w:rPr>
        <w:t xml:space="preserve"> afirmó</w:t>
      </w:r>
      <w:r w:rsidR="00181AF9" w:rsidRPr="00CD42D0">
        <w:rPr>
          <w:rStyle w:val="Refdenotaalpie"/>
          <w:rFonts w:eastAsia="Verdana"/>
          <w:sz w:val="24"/>
          <w:szCs w:val="24"/>
        </w:rPr>
        <w:footnoteReference w:id="9"/>
      </w:r>
      <w:r w:rsidR="00B06B54" w:rsidRPr="0096067B">
        <w:rPr>
          <w:rFonts w:eastAsia="Verdana"/>
          <w:sz w:val="24"/>
          <w:szCs w:val="24"/>
        </w:rPr>
        <w:t xml:space="preserve"> que </w:t>
      </w:r>
      <w:r w:rsidR="008C292F" w:rsidRPr="0096067B">
        <w:rPr>
          <w:rFonts w:eastAsia="Verdana"/>
          <w:sz w:val="24"/>
          <w:szCs w:val="24"/>
        </w:rPr>
        <w:t>la providencia atacada no merece reproche alguno, pues adoptó su decisión con base en fundamentos consistentes. En efecto, el señor Barragán sí incurrió en la infracción de tránsito que dio lugar a la sanción que se encuentra en firme. De hecho, fue encontrado en tercer grado de alcoholemia dentro de un procedimiento en el que se cumplieron todos los protocolos y la normatividad vigente. Concluyó, entonces, que los derechos del actor no fueron desconocidos.</w:t>
      </w:r>
    </w:p>
    <w:p w14:paraId="3A32FE41" w14:textId="77777777" w:rsidR="00181AF9" w:rsidRPr="00CD42D0" w:rsidRDefault="00181AF9" w:rsidP="00181AF9">
      <w:pPr>
        <w:rPr>
          <w:rFonts w:eastAsia="Verdana"/>
          <w:sz w:val="24"/>
          <w:szCs w:val="24"/>
        </w:rPr>
      </w:pPr>
    </w:p>
    <w:p w14:paraId="795BBE4A" w14:textId="1D8243E1" w:rsidR="004D2B8C" w:rsidRPr="00CD42D0" w:rsidRDefault="0096067B" w:rsidP="0096067B">
      <w:pPr>
        <w:pStyle w:val="Prrafodelista"/>
        <w:overflowPunct w:val="0"/>
        <w:autoSpaceDE w:val="0"/>
        <w:autoSpaceDN w:val="0"/>
        <w:adjustRightInd w:val="0"/>
        <w:spacing w:line="276" w:lineRule="auto"/>
        <w:ind w:left="0"/>
        <w:rPr>
          <w:rFonts w:eastAsia="Verdana"/>
          <w:sz w:val="24"/>
          <w:szCs w:val="24"/>
        </w:rPr>
      </w:pPr>
      <w:r>
        <w:rPr>
          <w:rFonts w:eastAsia="Verdana"/>
          <w:b/>
          <w:bCs/>
          <w:sz w:val="24"/>
          <w:szCs w:val="24"/>
        </w:rPr>
        <w:t xml:space="preserve">4.3. </w:t>
      </w:r>
      <w:r w:rsidR="00181AF9" w:rsidRPr="00CD42D0">
        <w:rPr>
          <w:rFonts w:eastAsia="Verdana"/>
          <w:sz w:val="24"/>
          <w:szCs w:val="24"/>
        </w:rPr>
        <w:t xml:space="preserve">El </w:t>
      </w:r>
      <w:r w:rsidR="00D71299" w:rsidRPr="00CD42D0">
        <w:rPr>
          <w:b/>
          <w:bCs/>
          <w:sz w:val="24"/>
          <w:szCs w:val="24"/>
        </w:rPr>
        <w:t xml:space="preserve">Tribunal Administrativo </w:t>
      </w:r>
      <w:r w:rsidR="00A24C95" w:rsidRPr="00CD42D0">
        <w:rPr>
          <w:b/>
          <w:bCs/>
          <w:sz w:val="24"/>
          <w:szCs w:val="24"/>
        </w:rPr>
        <w:t xml:space="preserve">del Tolima </w:t>
      </w:r>
      <w:r w:rsidR="00A24C95" w:rsidRPr="00CD42D0">
        <w:rPr>
          <w:sz w:val="24"/>
          <w:szCs w:val="24"/>
        </w:rPr>
        <w:t>y el</w:t>
      </w:r>
      <w:r w:rsidR="00A24C95" w:rsidRPr="00CD42D0">
        <w:rPr>
          <w:b/>
          <w:bCs/>
          <w:sz w:val="24"/>
          <w:szCs w:val="24"/>
        </w:rPr>
        <w:t xml:space="preserve"> Juzgado Tercero Administrativo del Circuito Judicial de Ibagué</w:t>
      </w:r>
      <w:r w:rsidR="00181AF9" w:rsidRPr="00CD42D0">
        <w:rPr>
          <w:rFonts w:eastAsia="Verdana"/>
          <w:sz w:val="24"/>
          <w:szCs w:val="24"/>
        </w:rPr>
        <w:t xml:space="preserve"> guard</w:t>
      </w:r>
      <w:r w:rsidR="00A24C95" w:rsidRPr="00CD42D0">
        <w:rPr>
          <w:rFonts w:eastAsia="Verdana"/>
          <w:sz w:val="24"/>
          <w:szCs w:val="24"/>
        </w:rPr>
        <w:t>aron</w:t>
      </w:r>
      <w:r w:rsidR="00181AF9" w:rsidRPr="00CD42D0">
        <w:rPr>
          <w:rFonts w:eastAsia="Verdana"/>
          <w:sz w:val="24"/>
          <w:szCs w:val="24"/>
        </w:rPr>
        <w:t xml:space="preserve"> silencio </w:t>
      </w:r>
      <w:r w:rsidR="00D71299" w:rsidRPr="00CD42D0">
        <w:rPr>
          <w:rFonts w:eastAsia="Verdana"/>
          <w:sz w:val="24"/>
          <w:szCs w:val="24"/>
        </w:rPr>
        <w:t>a pesar de haber sido</w:t>
      </w:r>
      <w:r w:rsidR="00181AF9" w:rsidRPr="00CD42D0">
        <w:rPr>
          <w:rFonts w:eastAsia="Verdana"/>
          <w:sz w:val="24"/>
          <w:szCs w:val="24"/>
        </w:rPr>
        <w:t xml:space="preserve"> notificado</w:t>
      </w:r>
      <w:r w:rsidR="00A24C95" w:rsidRPr="00CD42D0">
        <w:rPr>
          <w:rFonts w:eastAsia="Verdana"/>
          <w:sz w:val="24"/>
          <w:szCs w:val="24"/>
        </w:rPr>
        <w:t>s</w:t>
      </w:r>
      <w:r w:rsidR="00181AF9" w:rsidRPr="00CD42D0">
        <w:rPr>
          <w:rStyle w:val="Refdenotaalpie"/>
          <w:rFonts w:eastAsia="Verdana"/>
          <w:sz w:val="24"/>
          <w:szCs w:val="24"/>
        </w:rPr>
        <w:footnoteReference w:id="10"/>
      </w:r>
      <w:r w:rsidR="00181AF9" w:rsidRPr="00CD42D0">
        <w:rPr>
          <w:rFonts w:eastAsia="Verdana"/>
          <w:sz w:val="24"/>
          <w:szCs w:val="24"/>
        </w:rPr>
        <w:t>.</w:t>
      </w:r>
    </w:p>
    <w:p w14:paraId="1110DE3C" w14:textId="77777777" w:rsidR="005A19A9" w:rsidRPr="00CD42D0" w:rsidRDefault="005A19A9" w:rsidP="005A19A9">
      <w:pPr>
        <w:pStyle w:val="Prrafodelista"/>
        <w:overflowPunct w:val="0"/>
        <w:autoSpaceDE w:val="0"/>
        <w:autoSpaceDN w:val="0"/>
        <w:adjustRightInd w:val="0"/>
        <w:spacing w:line="276" w:lineRule="auto"/>
        <w:ind w:left="0"/>
        <w:rPr>
          <w:rFonts w:eastAsia="Verdana"/>
          <w:sz w:val="24"/>
          <w:szCs w:val="24"/>
        </w:rPr>
      </w:pPr>
    </w:p>
    <w:p w14:paraId="3DA09BAF" w14:textId="77777777" w:rsidR="00155E78" w:rsidRPr="00CD42D0" w:rsidRDefault="000C5DB7" w:rsidP="00F77BC5">
      <w:pPr>
        <w:pStyle w:val="Ttulo1"/>
        <w:spacing w:before="0" w:after="0"/>
        <w:rPr>
          <w:rFonts w:cs="Arial"/>
          <w:kern w:val="0"/>
          <w:szCs w:val="24"/>
        </w:rPr>
      </w:pPr>
      <w:r w:rsidRPr="00CD42D0">
        <w:rPr>
          <w:rFonts w:cs="Arial"/>
          <w:kern w:val="0"/>
          <w:szCs w:val="24"/>
        </w:rPr>
        <w:t>CONSIDERACIONES</w:t>
      </w:r>
    </w:p>
    <w:p w14:paraId="6535842E" w14:textId="77777777" w:rsidR="002B1A3B" w:rsidRPr="00CD42D0" w:rsidRDefault="002B1A3B" w:rsidP="002B1A3B">
      <w:pPr>
        <w:spacing w:line="276" w:lineRule="auto"/>
        <w:rPr>
          <w:sz w:val="24"/>
          <w:szCs w:val="24"/>
        </w:rPr>
      </w:pPr>
      <w:bookmarkStart w:id="0" w:name="_Hlk35352023"/>
    </w:p>
    <w:p w14:paraId="511CBFD0" w14:textId="77777777" w:rsidR="002B1A3B" w:rsidRPr="00CD42D0" w:rsidRDefault="002B1A3B" w:rsidP="002B1A3B">
      <w:pPr>
        <w:numPr>
          <w:ilvl w:val="0"/>
          <w:numId w:val="1"/>
        </w:numPr>
        <w:spacing w:line="276" w:lineRule="auto"/>
        <w:ind w:left="0" w:firstLine="0"/>
        <w:contextualSpacing/>
        <w:rPr>
          <w:b/>
          <w:sz w:val="24"/>
          <w:szCs w:val="24"/>
        </w:rPr>
      </w:pPr>
      <w:r w:rsidRPr="00CD42D0">
        <w:rPr>
          <w:b/>
          <w:sz w:val="24"/>
          <w:szCs w:val="24"/>
        </w:rPr>
        <w:t>Competencia</w:t>
      </w:r>
    </w:p>
    <w:p w14:paraId="5E82ACE3" w14:textId="77777777" w:rsidR="00825DF0" w:rsidRPr="00CD42D0" w:rsidRDefault="00825DF0" w:rsidP="00825DF0">
      <w:pPr>
        <w:overflowPunct w:val="0"/>
        <w:autoSpaceDE w:val="0"/>
        <w:autoSpaceDN w:val="0"/>
        <w:adjustRightInd w:val="0"/>
        <w:spacing w:line="276" w:lineRule="auto"/>
        <w:contextualSpacing/>
        <w:rPr>
          <w:rFonts w:eastAsia="Times New Roman"/>
          <w:sz w:val="24"/>
          <w:szCs w:val="24"/>
          <w:lang w:eastAsia="es-ES"/>
        </w:rPr>
      </w:pPr>
    </w:p>
    <w:p w14:paraId="562F677D" w14:textId="77777777" w:rsidR="00825DF0" w:rsidRPr="00CD42D0" w:rsidRDefault="00825DF0" w:rsidP="00825DF0">
      <w:pPr>
        <w:overflowPunct w:val="0"/>
        <w:autoSpaceDE w:val="0"/>
        <w:autoSpaceDN w:val="0"/>
        <w:adjustRightInd w:val="0"/>
        <w:spacing w:line="276" w:lineRule="auto"/>
        <w:contextualSpacing/>
        <w:rPr>
          <w:rFonts w:eastAsia="Times New Roman"/>
          <w:sz w:val="24"/>
          <w:szCs w:val="24"/>
          <w:lang w:eastAsia="es-ES"/>
        </w:rPr>
      </w:pPr>
      <w:r w:rsidRPr="00CD42D0">
        <w:rPr>
          <w:rFonts w:eastAsia="Times New Roman"/>
          <w:sz w:val="24"/>
          <w:szCs w:val="24"/>
          <w:lang w:eastAsia="es-ES"/>
        </w:rPr>
        <w:t>Esta Sala es competente para decidir la presente acción de tutela en virtud de lo establecido en el artículo 86 Superior, el artículo 37 del Decreto 2591 de 1991, el Decreto 1069 de 2015, modificado por el Decreto 333 de 2021, y el Acuerdo 080 del 12 de marzo de 2019, expedido por la Sala Plena de esta Corporación</w:t>
      </w:r>
      <w:r w:rsidRPr="00CD42D0">
        <w:rPr>
          <w:rFonts w:eastAsia="Times New Roman"/>
          <w:sz w:val="24"/>
          <w:szCs w:val="24"/>
          <w:vertAlign w:val="superscript"/>
          <w:lang w:eastAsia="es-ES"/>
        </w:rPr>
        <w:footnoteReference w:id="11"/>
      </w:r>
      <w:r w:rsidRPr="00CD42D0">
        <w:rPr>
          <w:rFonts w:eastAsia="Times New Roman"/>
          <w:sz w:val="24"/>
          <w:szCs w:val="24"/>
          <w:lang w:eastAsia="es-ES"/>
        </w:rPr>
        <w:t>.</w:t>
      </w:r>
    </w:p>
    <w:p w14:paraId="73A21D3E" w14:textId="77777777" w:rsidR="00825DF0" w:rsidRPr="00CD42D0" w:rsidRDefault="00825DF0" w:rsidP="00825DF0">
      <w:pPr>
        <w:overflowPunct w:val="0"/>
        <w:autoSpaceDE w:val="0"/>
        <w:autoSpaceDN w:val="0"/>
        <w:adjustRightInd w:val="0"/>
        <w:spacing w:line="276" w:lineRule="auto"/>
        <w:contextualSpacing/>
        <w:rPr>
          <w:rFonts w:eastAsia="Times New Roman"/>
          <w:sz w:val="24"/>
          <w:szCs w:val="24"/>
          <w:lang w:eastAsia="es-ES"/>
        </w:rPr>
      </w:pPr>
    </w:p>
    <w:p w14:paraId="2D48D6E0" w14:textId="77777777" w:rsidR="00825DF0" w:rsidRPr="00CD42D0" w:rsidRDefault="00825DF0" w:rsidP="00825DF0">
      <w:pPr>
        <w:numPr>
          <w:ilvl w:val="0"/>
          <w:numId w:val="1"/>
        </w:numPr>
        <w:spacing w:line="276" w:lineRule="auto"/>
        <w:ind w:hanging="720"/>
        <w:contextualSpacing/>
        <w:rPr>
          <w:b/>
          <w:sz w:val="24"/>
          <w:szCs w:val="24"/>
        </w:rPr>
      </w:pPr>
      <w:r w:rsidRPr="00CD42D0">
        <w:rPr>
          <w:b/>
          <w:sz w:val="24"/>
          <w:szCs w:val="24"/>
        </w:rPr>
        <w:t>Procedibilidad de la acción</w:t>
      </w:r>
    </w:p>
    <w:p w14:paraId="5E6812E2" w14:textId="77777777" w:rsidR="00825DF0" w:rsidRPr="00CD42D0" w:rsidRDefault="00825DF0" w:rsidP="00825DF0">
      <w:pPr>
        <w:spacing w:line="276" w:lineRule="auto"/>
        <w:contextualSpacing/>
        <w:rPr>
          <w:sz w:val="24"/>
          <w:szCs w:val="24"/>
        </w:rPr>
      </w:pPr>
    </w:p>
    <w:p w14:paraId="59A95B31" w14:textId="23B833AA" w:rsidR="00825DF0" w:rsidRPr="00CD42D0" w:rsidRDefault="00825DF0" w:rsidP="00825DF0">
      <w:pPr>
        <w:spacing w:line="276" w:lineRule="auto"/>
        <w:contextualSpacing/>
        <w:rPr>
          <w:sz w:val="24"/>
          <w:szCs w:val="24"/>
        </w:rPr>
      </w:pPr>
      <w:r w:rsidRPr="00CD42D0">
        <w:rPr>
          <w:sz w:val="24"/>
          <w:szCs w:val="24"/>
        </w:rPr>
        <w:t>En los casos en que la solicitud de amparo ataca una providencia judicial, la doctrina constitucional ha indicado que el juez de tutela debe, en forma preliminar, realizar un examen de procedibilidad general de la acción, pues, solo una vez verificada la observancia de los requisitos que la determinan, procede el pronunciamiento de fondo sobre la problemática jurídica que el actor plantea en función de los defectos que reprocha a la actuación acusada y conforme a las causales específicas de procedencia de la acción de tutela contra providencias judiciales.</w:t>
      </w:r>
    </w:p>
    <w:p w14:paraId="61C935C0" w14:textId="77777777" w:rsidR="00DA00CC" w:rsidRPr="00CD42D0" w:rsidRDefault="00DA00CC" w:rsidP="00DA00CC">
      <w:pPr>
        <w:spacing w:line="276" w:lineRule="auto"/>
        <w:contextualSpacing/>
        <w:rPr>
          <w:rFonts w:eastAsia="Arial"/>
          <w:color w:val="000000"/>
          <w:sz w:val="24"/>
          <w:szCs w:val="24"/>
        </w:rPr>
      </w:pPr>
    </w:p>
    <w:p w14:paraId="7F1FEB73" w14:textId="77777777" w:rsidR="00DA00CC" w:rsidRPr="00CD42D0" w:rsidRDefault="00DA00CC" w:rsidP="00DA00CC">
      <w:pPr>
        <w:spacing w:line="276" w:lineRule="auto"/>
        <w:contextualSpacing/>
        <w:rPr>
          <w:rFonts w:eastAsia="Arial"/>
          <w:color w:val="000000"/>
          <w:sz w:val="24"/>
          <w:szCs w:val="24"/>
          <w:vertAlign w:val="superscript"/>
        </w:rPr>
      </w:pPr>
      <w:r w:rsidRPr="00CD42D0">
        <w:rPr>
          <w:rFonts w:eastAsia="Arial"/>
          <w:color w:val="000000"/>
          <w:sz w:val="24"/>
          <w:szCs w:val="24"/>
        </w:rPr>
        <w:t>De conformidad con lo anterior, en el presente apartado se efectuará el examen correspondiente a los requisitos generales de procedibilidad de la presente acción.</w:t>
      </w:r>
    </w:p>
    <w:p w14:paraId="06989FC7" w14:textId="77777777" w:rsidR="00DA00CC" w:rsidRPr="00CD42D0" w:rsidRDefault="00DA00CC" w:rsidP="00DA00CC">
      <w:pPr>
        <w:spacing w:line="276" w:lineRule="auto"/>
        <w:contextualSpacing/>
        <w:rPr>
          <w:sz w:val="24"/>
          <w:szCs w:val="24"/>
        </w:rPr>
      </w:pPr>
    </w:p>
    <w:p w14:paraId="283658A8" w14:textId="41B82EC4" w:rsidR="00DA00CC" w:rsidRPr="00CD42D0" w:rsidRDefault="00B34E95" w:rsidP="00DA00CC">
      <w:pPr>
        <w:numPr>
          <w:ilvl w:val="1"/>
          <w:numId w:val="1"/>
        </w:numPr>
        <w:spacing w:line="276" w:lineRule="auto"/>
        <w:ind w:left="0" w:firstLine="0"/>
        <w:contextualSpacing/>
        <w:rPr>
          <w:rFonts w:eastAsia="Verdana"/>
          <w:b/>
          <w:bCs/>
          <w:sz w:val="24"/>
          <w:szCs w:val="24"/>
        </w:rPr>
      </w:pPr>
      <w:bookmarkStart w:id="1" w:name="_ftnref21"/>
      <w:bookmarkEnd w:id="1"/>
      <w:r w:rsidRPr="00CD42D0">
        <w:rPr>
          <w:rFonts w:eastAsia="Verdana"/>
          <w:sz w:val="24"/>
          <w:szCs w:val="24"/>
        </w:rPr>
        <w:t xml:space="preserve">El </w:t>
      </w:r>
      <w:r w:rsidR="00DA00CC" w:rsidRPr="00CD42D0">
        <w:rPr>
          <w:rFonts w:eastAsia="Verdana"/>
          <w:sz w:val="24"/>
          <w:szCs w:val="24"/>
        </w:rPr>
        <w:t>actor obró como demanda</w:t>
      </w:r>
      <w:r w:rsidR="00E24DF9" w:rsidRPr="00CD42D0">
        <w:rPr>
          <w:rFonts w:eastAsia="Verdana"/>
          <w:sz w:val="24"/>
          <w:szCs w:val="24"/>
        </w:rPr>
        <w:t>nte</w:t>
      </w:r>
      <w:r w:rsidR="00DA00CC" w:rsidRPr="00CD42D0">
        <w:rPr>
          <w:rFonts w:eastAsia="Verdana"/>
          <w:sz w:val="24"/>
          <w:szCs w:val="24"/>
        </w:rPr>
        <w:t xml:space="preserve"> en el proceso dentro del cual se profirió el fallo enjuiciado. Igualmente, el </w:t>
      </w:r>
      <w:r w:rsidRPr="00CD42D0">
        <w:rPr>
          <w:rFonts w:eastAsia="Verdana"/>
          <w:sz w:val="24"/>
          <w:szCs w:val="24"/>
        </w:rPr>
        <w:t>Tribunal Administrativo del Tolima</w:t>
      </w:r>
      <w:r w:rsidR="00E24DF9" w:rsidRPr="00CD42D0">
        <w:rPr>
          <w:rFonts w:eastAsia="Verdana"/>
          <w:sz w:val="24"/>
          <w:szCs w:val="24"/>
        </w:rPr>
        <w:t>,</w:t>
      </w:r>
      <w:r w:rsidR="00DA00CC" w:rsidRPr="00CD42D0">
        <w:rPr>
          <w:rFonts w:eastAsia="Verdana"/>
          <w:sz w:val="24"/>
          <w:szCs w:val="24"/>
        </w:rPr>
        <w:t xml:space="preserve"> fue la autoridad que dictó esa providencia. Por ese motivo es de esa </w:t>
      </w:r>
      <w:r w:rsidR="00C45F04" w:rsidRPr="00CD42D0">
        <w:rPr>
          <w:rFonts w:eastAsia="Verdana"/>
          <w:sz w:val="24"/>
          <w:szCs w:val="24"/>
        </w:rPr>
        <w:t>Corporación</w:t>
      </w:r>
      <w:r w:rsidR="00DA00CC" w:rsidRPr="00CD42D0">
        <w:rPr>
          <w:rFonts w:eastAsia="Verdana"/>
          <w:sz w:val="24"/>
          <w:szCs w:val="24"/>
        </w:rPr>
        <w:t xml:space="preserve"> que </w:t>
      </w:r>
      <w:r w:rsidRPr="00CD42D0">
        <w:rPr>
          <w:rFonts w:eastAsia="Verdana"/>
          <w:sz w:val="24"/>
          <w:szCs w:val="24"/>
        </w:rPr>
        <w:t>el</w:t>
      </w:r>
      <w:r w:rsidR="00DA00CC" w:rsidRPr="00CD42D0">
        <w:rPr>
          <w:rFonts w:eastAsia="Verdana"/>
          <w:sz w:val="24"/>
          <w:szCs w:val="24"/>
        </w:rPr>
        <w:t xml:space="preserve"> accionante predica el desconocimiento de sus derechos fundamentales. En consecuencia, sería ese el ente </w:t>
      </w:r>
      <w:r w:rsidR="00DA00CC" w:rsidRPr="00CD42D0">
        <w:rPr>
          <w:rFonts w:eastAsia="Verdana"/>
          <w:sz w:val="24"/>
          <w:szCs w:val="24"/>
        </w:rPr>
        <w:lastRenderedPageBreak/>
        <w:t xml:space="preserve">llamado a cumplir una eventual orden de tutela. Por tanto, se encuentra satisfecho el presupuesto de </w:t>
      </w:r>
      <w:r w:rsidR="00DA00CC" w:rsidRPr="00CD42D0">
        <w:rPr>
          <w:rFonts w:eastAsia="Verdana"/>
          <w:b/>
          <w:bCs/>
          <w:sz w:val="24"/>
          <w:szCs w:val="24"/>
        </w:rPr>
        <w:t>legitimación</w:t>
      </w:r>
      <w:r w:rsidR="00AA1082" w:rsidRPr="00CD42D0">
        <w:rPr>
          <w:rFonts w:eastAsia="Verdana"/>
          <w:b/>
          <w:bCs/>
          <w:sz w:val="24"/>
          <w:szCs w:val="24"/>
        </w:rPr>
        <w:t xml:space="preserve"> en la causa</w:t>
      </w:r>
      <w:r w:rsidR="00DA00CC" w:rsidRPr="00CD42D0">
        <w:rPr>
          <w:sz w:val="24"/>
          <w:szCs w:val="24"/>
          <w:vertAlign w:val="superscript"/>
        </w:rPr>
        <w:footnoteReference w:id="12"/>
      </w:r>
      <w:r w:rsidR="00DA00CC" w:rsidRPr="00CD42D0">
        <w:rPr>
          <w:rFonts w:eastAsia="Verdana"/>
          <w:sz w:val="24"/>
          <w:szCs w:val="24"/>
        </w:rPr>
        <w:t xml:space="preserve"> </w:t>
      </w:r>
      <w:r w:rsidR="00DA00CC" w:rsidRPr="00CD42D0">
        <w:rPr>
          <w:rFonts w:eastAsia="Verdana"/>
          <w:b/>
          <w:bCs/>
          <w:sz w:val="24"/>
          <w:szCs w:val="24"/>
        </w:rPr>
        <w:t>por activa y pasiva</w:t>
      </w:r>
      <w:r w:rsidR="00DA00CC" w:rsidRPr="00CD42D0">
        <w:rPr>
          <w:rFonts w:eastAsia="Verdana"/>
          <w:sz w:val="24"/>
          <w:szCs w:val="24"/>
        </w:rPr>
        <w:t>.</w:t>
      </w:r>
    </w:p>
    <w:p w14:paraId="1B8B1B40" w14:textId="77777777" w:rsidR="00AA1082" w:rsidRPr="00CD42D0" w:rsidRDefault="00AA1082" w:rsidP="00DA00CC">
      <w:pPr>
        <w:spacing w:line="276" w:lineRule="auto"/>
        <w:contextualSpacing/>
        <w:rPr>
          <w:sz w:val="24"/>
          <w:szCs w:val="24"/>
        </w:rPr>
      </w:pPr>
    </w:p>
    <w:p w14:paraId="7277D15E" w14:textId="071161B6" w:rsidR="00DA00CC" w:rsidRPr="00CD42D0" w:rsidRDefault="00DA00CC" w:rsidP="00DA00CC">
      <w:pPr>
        <w:spacing w:line="276" w:lineRule="auto"/>
        <w:contextualSpacing/>
        <w:rPr>
          <w:sz w:val="24"/>
          <w:szCs w:val="24"/>
        </w:rPr>
      </w:pPr>
      <w:r w:rsidRPr="00CD42D0">
        <w:rPr>
          <w:sz w:val="24"/>
          <w:szCs w:val="24"/>
        </w:rPr>
        <w:t xml:space="preserve">En lo que atañe </w:t>
      </w:r>
      <w:r w:rsidR="00B34E95" w:rsidRPr="00CD42D0">
        <w:rPr>
          <w:sz w:val="24"/>
          <w:szCs w:val="24"/>
        </w:rPr>
        <w:t>al municipio de Ibagué – Secretaría de Tránsito, Transporte y Movilidad y al Juzgado Tercero Administrativo del Circuito de Ibagué</w:t>
      </w:r>
      <w:r w:rsidRPr="00CD42D0">
        <w:rPr>
          <w:sz w:val="24"/>
          <w:szCs w:val="24"/>
        </w:rPr>
        <w:t>, se observa que es necesario mantener su vinculación a esta acción. Su respectiva calidad de, en su orden, demandada y fallador de primera instancia dentro del trámite identificado arriba requiere enterarlos del desarrollo de este asunto y permitirles que participen.</w:t>
      </w:r>
    </w:p>
    <w:p w14:paraId="308DAA0D" w14:textId="77777777" w:rsidR="002B1A3B" w:rsidRPr="00CD42D0" w:rsidRDefault="002B1A3B" w:rsidP="002B1A3B">
      <w:pPr>
        <w:spacing w:line="276" w:lineRule="auto"/>
        <w:contextualSpacing/>
        <w:rPr>
          <w:sz w:val="24"/>
          <w:szCs w:val="24"/>
        </w:rPr>
      </w:pPr>
    </w:p>
    <w:p w14:paraId="2CC0A4E9" w14:textId="3ACFECEF" w:rsidR="002B1A3B" w:rsidRPr="00CD42D0" w:rsidRDefault="002B1A3B" w:rsidP="002B1A3B">
      <w:pPr>
        <w:numPr>
          <w:ilvl w:val="1"/>
          <w:numId w:val="1"/>
        </w:numPr>
        <w:overflowPunct w:val="0"/>
        <w:autoSpaceDE w:val="0"/>
        <w:autoSpaceDN w:val="0"/>
        <w:adjustRightInd w:val="0"/>
        <w:spacing w:line="276" w:lineRule="auto"/>
        <w:ind w:left="0" w:firstLine="0"/>
        <w:contextualSpacing/>
        <w:rPr>
          <w:rFonts w:eastAsia="Times New Roman"/>
          <w:b/>
          <w:bCs/>
          <w:sz w:val="24"/>
          <w:szCs w:val="24"/>
          <w:lang w:eastAsia="es-ES"/>
        </w:rPr>
      </w:pPr>
      <w:r w:rsidRPr="00CD42D0">
        <w:rPr>
          <w:rFonts w:eastAsia="Times New Roman"/>
          <w:sz w:val="24"/>
          <w:szCs w:val="24"/>
          <w:lang w:eastAsia="es-ES"/>
        </w:rPr>
        <w:t xml:space="preserve">El escrito de amparo expresa clara y suficientemente los hechos y fundamentos de la afectación de derechos que se imputa a la decisión enjuiciada. En concreto, no hay puntos ambiguos ni oscuros en la argumentación expuesta por </w:t>
      </w:r>
      <w:r w:rsidR="00003A4C" w:rsidRPr="00CD42D0">
        <w:rPr>
          <w:rFonts w:eastAsia="Times New Roman"/>
          <w:sz w:val="24"/>
          <w:szCs w:val="24"/>
          <w:lang w:eastAsia="es-ES"/>
        </w:rPr>
        <w:t>l</w:t>
      </w:r>
      <w:r w:rsidR="002C4B0C" w:rsidRPr="00CD42D0">
        <w:rPr>
          <w:rFonts w:eastAsia="Times New Roman"/>
          <w:sz w:val="24"/>
          <w:szCs w:val="24"/>
          <w:lang w:eastAsia="es-ES"/>
        </w:rPr>
        <w:t>a</w:t>
      </w:r>
      <w:r w:rsidRPr="00CD42D0">
        <w:rPr>
          <w:rFonts w:eastAsia="Times New Roman"/>
          <w:sz w:val="24"/>
          <w:szCs w:val="24"/>
          <w:lang w:eastAsia="es-ES"/>
        </w:rPr>
        <w:t xml:space="preserve"> actor</w:t>
      </w:r>
      <w:r w:rsidR="002C4B0C" w:rsidRPr="00CD42D0">
        <w:rPr>
          <w:rFonts w:eastAsia="Times New Roman"/>
          <w:sz w:val="24"/>
          <w:szCs w:val="24"/>
          <w:lang w:eastAsia="es-ES"/>
        </w:rPr>
        <w:t>a</w:t>
      </w:r>
      <w:r w:rsidRPr="00CD42D0">
        <w:rPr>
          <w:rFonts w:eastAsia="Times New Roman"/>
          <w:sz w:val="24"/>
          <w:szCs w:val="24"/>
          <w:lang w:eastAsia="es-ES"/>
        </w:rPr>
        <w:t xml:space="preserve">. De igual modo, se avizora que </w:t>
      </w:r>
      <w:r w:rsidR="00555014" w:rsidRPr="00CD42D0">
        <w:rPr>
          <w:rFonts w:eastAsia="Times New Roman"/>
          <w:sz w:val="24"/>
          <w:szCs w:val="24"/>
          <w:lang w:eastAsia="es-ES"/>
        </w:rPr>
        <w:t>la</w:t>
      </w:r>
      <w:r w:rsidRPr="00CD42D0">
        <w:rPr>
          <w:rFonts w:eastAsia="Times New Roman"/>
          <w:sz w:val="24"/>
          <w:szCs w:val="24"/>
          <w:lang w:eastAsia="es-ES"/>
        </w:rPr>
        <w:t xml:space="preserve"> accionante formul</w:t>
      </w:r>
      <w:r w:rsidR="00003A4C" w:rsidRPr="00CD42D0">
        <w:rPr>
          <w:rFonts w:eastAsia="Times New Roman"/>
          <w:sz w:val="24"/>
          <w:szCs w:val="24"/>
          <w:lang w:eastAsia="es-ES"/>
        </w:rPr>
        <w:t>ó</w:t>
      </w:r>
      <w:r w:rsidRPr="00CD42D0">
        <w:rPr>
          <w:rFonts w:eastAsia="Times New Roman"/>
          <w:sz w:val="24"/>
          <w:szCs w:val="24"/>
          <w:lang w:eastAsia="es-ES"/>
        </w:rPr>
        <w:t xml:space="preserve"> unos cargos particulares contra </w:t>
      </w:r>
      <w:r w:rsidR="00003A4C" w:rsidRPr="00CD42D0">
        <w:rPr>
          <w:rFonts w:eastAsia="Times New Roman"/>
          <w:sz w:val="24"/>
          <w:szCs w:val="24"/>
          <w:lang w:eastAsia="es-ES"/>
        </w:rPr>
        <w:t>el fallo</w:t>
      </w:r>
      <w:r w:rsidRPr="00CD42D0">
        <w:rPr>
          <w:rFonts w:eastAsia="Times New Roman"/>
          <w:sz w:val="24"/>
          <w:szCs w:val="24"/>
          <w:lang w:eastAsia="es-ES"/>
        </w:rPr>
        <w:t xml:space="preserve"> enjuiciado. Además, el material obrante en el plenario permite corroborar la comprensión de los elementos dilucidados en el escrito de tutela. De todo lo anterior se concluye que las inconformidades en cita cumplen una </w:t>
      </w:r>
      <w:r w:rsidRPr="00CD42D0">
        <w:rPr>
          <w:rFonts w:eastAsia="Times New Roman"/>
          <w:b/>
          <w:bCs/>
          <w:sz w:val="24"/>
          <w:szCs w:val="24"/>
          <w:lang w:eastAsia="es-ES"/>
        </w:rPr>
        <w:t>carga argumentativa mínima</w:t>
      </w:r>
      <w:r w:rsidRPr="00CD42D0">
        <w:rPr>
          <w:rFonts w:eastAsia="Times New Roman"/>
          <w:sz w:val="24"/>
          <w:szCs w:val="24"/>
          <w:lang w:eastAsia="es-ES"/>
        </w:rPr>
        <w:t xml:space="preserve"> que permite que estas sean estudiadas en la presente oportunidad.</w:t>
      </w:r>
    </w:p>
    <w:bookmarkEnd w:id="0"/>
    <w:p w14:paraId="47AE83C7" w14:textId="77777777" w:rsidR="005D5F5A" w:rsidRPr="00CD42D0" w:rsidRDefault="005D5F5A" w:rsidP="005D5F5A">
      <w:pPr>
        <w:overflowPunct w:val="0"/>
        <w:autoSpaceDE w:val="0"/>
        <w:autoSpaceDN w:val="0"/>
        <w:adjustRightInd w:val="0"/>
        <w:spacing w:line="276" w:lineRule="auto"/>
        <w:contextualSpacing/>
        <w:rPr>
          <w:rFonts w:eastAsia="Times New Roman"/>
          <w:b/>
          <w:bCs/>
          <w:sz w:val="24"/>
          <w:szCs w:val="24"/>
          <w:lang w:eastAsia="es-ES"/>
        </w:rPr>
      </w:pPr>
    </w:p>
    <w:p w14:paraId="21C01281" w14:textId="2972D6D2" w:rsidR="002E50E7" w:rsidRPr="00CD42D0" w:rsidRDefault="005D5F5A" w:rsidP="002E50E7">
      <w:pPr>
        <w:numPr>
          <w:ilvl w:val="1"/>
          <w:numId w:val="1"/>
        </w:numPr>
        <w:overflowPunct w:val="0"/>
        <w:autoSpaceDE w:val="0"/>
        <w:autoSpaceDN w:val="0"/>
        <w:adjustRightInd w:val="0"/>
        <w:spacing w:line="276" w:lineRule="auto"/>
        <w:ind w:left="0" w:firstLine="0"/>
        <w:contextualSpacing/>
        <w:rPr>
          <w:rFonts w:eastAsia="Times New Roman"/>
          <w:b/>
          <w:bCs/>
          <w:sz w:val="24"/>
          <w:szCs w:val="24"/>
          <w:lang w:eastAsia="es-ES"/>
        </w:rPr>
      </w:pPr>
      <w:r w:rsidRPr="00CD42D0">
        <w:rPr>
          <w:sz w:val="24"/>
          <w:szCs w:val="24"/>
        </w:rPr>
        <w:t xml:space="preserve">Debe </w:t>
      </w:r>
      <w:r w:rsidR="00DD041D" w:rsidRPr="00CD42D0">
        <w:rPr>
          <w:sz w:val="24"/>
          <w:szCs w:val="24"/>
        </w:rPr>
        <w:t>analizarse</w:t>
      </w:r>
      <w:r w:rsidRPr="00CD42D0">
        <w:rPr>
          <w:sz w:val="24"/>
          <w:szCs w:val="24"/>
        </w:rPr>
        <w:t xml:space="preserve"> ahora el requisito de </w:t>
      </w:r>
      <w:r w:rsidRPr="00CD42D0">
        <w:rPr>
          <w:b/>
          <w:bCs/>
          <w:sz w:val="24"/>
          <w:szCs w:val="24"/>
        </w:rPr>
        <w:t>relevancia constitucional</w:t>
      </w:r>
      <w:r w:rsidRPr="00CD42D0">
        <w:rPr>
          <w:sz w:val="24"/>
          <w:szCs w:val="24"/>
        </w:rPr>
        <w:t xml:space="preserve">. Para el actor el fallo enjuiciado: (i) olvidó que, en sede procedimental, no se le respetó el debido proceso </w:t>
      </w:r>
      <w:r w:rsidR="0046452F" w:rsidRPr="00CD42D0">
        <w:rPr>
          <w:sz w:val="24"/>
          <w:szCs w:val="24"/>
        </w:rPr>
        <w:t>por cuanto</w:t>
      </w:r>
      <w:r w:rsidRPr="00CD42D0">
        <w:rPr>
          <w:sz w:val="24"/>
          <w:szCs w:val="24"/>
        </w:rPr>
        <w:t xml:space="preserve"> las pruebas practicadas allí </w:t>
      </w:r>
      <w:r w:rsidR="0046452F" w:rsidRPr="00CD42D0">
        <w:rPr>
          <w:sz w:val="24"/>
          <w:szCs w:val="24"/>
        </w:rPr>
        <w:t xml:space="preserve">no se le trasladaron </w:t>
      </w:r>
      <w:r w:rsidRPr="00CD42D0">
        <w:rPr>
          <w:sz w:val="24"/>
          <w:szCs w:val="24"/>
        </w:rPr>
        <w:t>ni se practicaron las solicitadas por él; (</w:t>
      </w:r>
      <w:proofErr w:type="spellStart"/>
      <w:r w:rsidRPr="00CD42D0">
        <w:rPr>
          <w:sz w:val="24"/>
          <w:szCs w:val="24"/>
        </w:rPr>
        <w:t>ii</w:t>
      </w:r>
      <w:proofErr w:type="spellEnd"/>
      <w:r w:rsidRPr="00CD42D0">
        <w:rPr>
          <w:sz w:val="24"/>
          <w:szCs w:val="24"/>
        </w:rPr>
        <w:t>) desconoció la resolución número 1183 de 2005, expedida por el alcalde municipal de Ibagué, en la medida en que no advirtió que</w:t>
      </w:r>
      <w:r w:rsidR="0046452F" w:rsidRPr="00CD42D0">
        <w:rPr>
          <w:sz w:val="24"/>
          <w:szCs w:val="24"/>
        </w:rPr>
        <w:t xml:space="preserve"> </w:t>
      </w:r>
      <w:r w:rsidRPr="00CD42D0">
        <w:rPr>
          <w:sz w:val="24"/>
          <w:szCs w:val="24"/>
        </w:rPr>
        <w:t xml:space="preserve">no se practicó la prueba de control negativo </w:t>
      </w:r>
      <w:r w:rsidR="0046452F" w:rsidRPr="00CD42D0">
        <w:rPr>
          <w:sz w:val="24"/>
          <w:szCs w:val="24"/>
        </w:rPr>
        <w:t xml:space="preserve">sobre el alcoholímetro empleado y </w:t>
      </w:r>
      <w:r w:rsidRPr="00CD42D0">
        <w:rPr>
          <w:sz w:val="24"/>
          <w:szCs w:val="24"/>
        </w:rPr>
        <w:t xml:space="preserve">el examen de alcoholemia </w:t>
      </w:r>
      <w:r w:rsidR="0046452F" w:rsidRPr="00CD42D0">
        <w:rPr>
          <w:sz w:val="24"/>
          <w:szCs w:val="24"/>
        </w:rPr>
        <w:t>resultante</w:t>
      </w:r>
      <w:r w:rsidRPr="00CD42D0">
        <w:rPr>
          <w:sz w:val="24"/>
          <w:szCs w:val="24"/>
        </w:rPr>
        <w:t xml:space="preserve"> no se acompañó de sus respectivas huellas dactilares; (iii) obvió que el certificado de calibración demuestra que el alcoholímetro con el que se le practicó la prueba en comento no estaba en condiciones para operar.</w:t>
      </w:r>
    </w:p>
    <w:p w14:paraId="60929542" w14:textId="77777777" w:rsidR="002E50E7" w:rsidRPr="00CD42D0" w:rsidRDefault="002E50E7" w:rsidP="003D45B6">
      <w:pPr>
        <w:rPr>
          <w:rFonts w:eastAsia="Times New Roman"/>
          <w:sz w:val="24"/>
          <w:szCs w:val="24"/>
          <w:lang w:eastAsia="es-ES"/>
        </w:rPr>
      </w:pPr>
    </w:p>
    <w:p w14:paraId="6FB12500" w14:textId="2CADA624" w:rsidR="002E50E7" w:rsidRPr="00CD42D0" w:rsidRDefault="002E50E7" w:rsidP="002E50E7">
      <w:pPr>
        <w:overflowPunct w:val="0"/>
        <w:autoSpaceDE w:val="0"/>
        <w:autoSpaceDN w:val="0"/>
        <w:adjustRightInd w:val="0"/>
        <w:spacing w:line="276" w:lineRule="auto"/>
        <w:contextualSpacing/>
        <w:rPr>
          <w:rFonts w:eastAsia="Times New Roman"/>
          <w:b/>
          <w:bCs/>
          <w:sz w:val="24"/>
          <w:szCs w:val="24"/>
          <w:lang w:eastAsia="es-ES"/>
        </w:rPr>
      </w:pPr>
      <w:r w:rsidRPr="00CD42D0">
        <w:rPr>
          <w:rFonts w:eastAsia="Times New Roman"/>
          <w:sz w:val="24"/>
          <w:szCs w:val="24"/>
          <w:lang w:eastAsia="es-ES"/>
        </w:rPr>
        <w:t xml:space="preserve">El tribunal, en cambio, consideró que el procedimiento contravencional en el que el actor fue </w:t>
      </w:r>
      <w:r w:rsidR="00770112" w:rsidRPr="00CD42D0">
        <w:rPr>
          <w:rFonts w:eastAsia="Times New Roman"/>
          <w:sz w:val="24"/>
          <w:szCs w:val="24"/>
          <w:lang w:eastAsia="es-ES"/>
        </w:rPr>
        <w:t>sancionado</w:t>
      </w:r>
      <w:r w:rsidRPr="00CD42D0">
        <w:rPr>
          <w:rFonts w:eastAsia="Times New Roman"/>
          <w:sz w:val="24"/>
          <w:szCs w:val="24"/>
          <w:lang w:eastAsia="es-ES"/>
        </w:rPr>
        <w:t xml:space="preserve"> no </w:t>
      </w:r>
      <w:r w:rsidR="00CD42D0">
        <w:rPr>
          <w:rFonts w:eastAsia="Times New Roman"/>
          <w:sz w:val="24"/>
          <w:szCs w:val="24"/>
          <w:lang w:eastAsia="es-ES"/>
        </w:rPr>
        <w:t>dispone</w:t>
      </w:r>
      <w:r w:rsidRPr="00CD42D0">
        <w:rPr>
          <w:rFonts w:eastAsia="Times New Roman"/>
          <w:sz w:val="24"/>
          <w:szCs w:val="24"/>
          <w:lang w:eastAsia="es-ES"/>
        </w:rPr>
        <w:t xml:space="preserve"> </w:t>
      </w:r>
      <w:r w:rsidR="003D45B6" w:rsidRPr="00CD42D0">
        <w:rPr>
          <w:rFonts w:eastAsia="Times New Roman"/>
          <w:sz w:val="24"/>
          <w:szCs w:val="24"/>
          <w:lang w:eastAsia="es-ES"/>
        </w:rPr>
        <w:t>una etapa</w:t>
      </w:r>
      <w:r w:rsidRPr="00CD42D0">
        <w:rPr>
          <w:rFonts w:eastAsia="Times New Roman"/>
          <w:sz w:val="24"/>
          <w:szCs w:val="24"/>
          <w:lang w:eastAsia="es-ES"/>
        </w:rPr>
        <w:t xml:space="preserve"> de traslado de pruebas, pero sí permite la consulta del respectivo expediente administrativo y la controversia del material que obre allí. Así mismo, a partir de la información registrada en la página de internet del fabricante del ya varias veces mencionado alcoholímetro, </w:t>
      </w:r>
      <w:r w:rsidR="0037076C" w:rsidRPr="00CD42D0">
        <w:rPr>
          <w:rFonts w:eastAsia="Times New Roman"/>
          <w:sz w:val="24"/>
          <w:szCs w:val="24"/>
          <w:lang w:eastAsia="es-ES"/>
        </w:rPr>
        <w:t>concluyó</w:t>
      </w:r>
      <w:r w:rsidRPr="00CD42D0">
        <w:rPr>
          <w:rFonts w:eastAsia="Times New Roman"/>
          <w:sz w:val="24"/>
          <w:szCs w:val="24"/>
          <w:lang w:eastAsia="es-ES"/>
        </w:rPr>
        <w:t xml:space="preserve"> que ese artefacto no requería prueba de control negativo. Por último, </w:t>
      </w:r>
      <w:r w:rsidR="0037076C" w:rsidRPr="00CD42D0">
        <w:rPr>
          <w:rFonts w:eastAsia="Times New Roman"/>
          <w:sz w:val="24"/>
          <w:szCs w:val="24"/>
          <w:lang w:eastAsia="es-ES"/>
        </w:rPr>
        <w:t>advirtió</w:t>
      </w:r>
      <w:r w:rsidRPr="00CD42D0">
        <w:rPr>
          <w:rFonts w:eastAsia="Times New Roman"/>
          <w:sz w:val="24"/>
          <w:szCs w:val="24"/>
          <w:lang w:eastAsia="es-ES"/>
        </w:rPr>
        <w:t xml:space="preserve"> que </w:t>
      </w:r>
      <w:r w:rsidR="00582BA5" w:rsidRPr="00CD42D0">
        <w:rPr>
          <w:rFonts w:eastAsia="Times New Roman"/>
          <w:sz w:val="24"/>
          <w:szCs w:val="24"/>
          <w:lang w:eastAsia="es-ES"/>
        </w:rPr>
        <w:t>el certificado</w:t>
      </w:r>
      <w:r w:rsidRPr="00CD42D0">
        <w:rPr>
          <w:rFonts w:eastAsia="Times New Roman"/>
          <w:sz w:val="24"/>
          <w:szCs w:val="24"/>
          <w:lang w:eastAsia="es-ES"/>
        </w:rPr>
        <w:t xml:space="preserve"> de calibración del </w:t>
      </w:r>
      <w:r w:rsidR="00796B6F" w:rsidRPr="00CD42D0">
        <w:rPr>
          <w:rFonts w:eastAsia="Times New Roman"/>
          <w:sz w:val="24"/>
          <w:szCs w:val="24"/>
          <w:lang w:eastAsia="es-ES"/>
        </w:rPr>
        <w:t>citado</w:t>
      </w:r>
      <w:r w:rsidRPr="00CD42D0">
        <w:rPr>
          <w:rFonts w:eastAsia="Times New Roman"/>
          <w:sz w:val="24"/>
          <w:szCs w:val="24"/>
          <w:lang w:eastAsia="es-ES"/>
        </w:rPr>
        <w:t xml:space="preserve"> aparato no tenía un año de haberse expedido, lo que corrobora su vigencia</w:t>
      </w:r>
      <w:r w:rsidR="0037076C" w:rsidRPr="00CD42D0">
        <w:rPr>
          <w:rFonts w:eastAsia="Times New Roman"/>
          <w:sz w:val="24"/>
          <w:szCs w:val="24"/>
          <w:lang w:eastAsia="es-ES"/>
        </w:rPr>
        <w:t>,</w:t>
      </w:r>
      <w:r w:rsidRPr="00CD42D0">
        <w:rPr>
          <w:rFonts w:eastAsia="Times New Roman"/>
          <w:sz w:val="24"/>
          <w:szCs w:val="24"/>
          <w:lang w:eastAsia="es-ES"/>
        </w:rPr>
        <w:t xml:space="preserve"> debido a que ese tipo </w:t>
      </w:r>
      <w:r w:rsidR="00CD42D0">
        <w:rPr>
          <w:rFonts w:eastAsia="Times New Roman"/>
          <w:sz w:val="24"/>
          <w:szCs w:val="24"/>
          <w:lang w:eastAsia="es-ES"/>
        </w:rPr>
        <w:t>calibraciones</w:t>
      </w:r>
      <w:r w:rsidRPr="00CD42D0">
        <w:rPr>
          <w:rFonts w:eastAsia="Times New Roman"/>
          <w:sz w:val="24"/>
          <w:szCs w:val="24"/>
          <w:lang w:eastAsia="es-ES"/>
        </w:rPr>
        <w:t xml:space="preserve"> </w:t>
      </w:r>
      <w:r w:rsidR="0037076C" w:rsidRPr="00CD42D0">
        <w:rPr>
          <w:rFonts w:eastAsia="Times New Roman"/>
          <w:sz w:val="24"/>
          <w:szCs w:val="24"/>
          <w:lang w:eastAsia="es-ES"/>
        </w:rPr>
        <w:t>son anuales</w:t>
      </w:r>
      <w:r w:rsidRPr="00CD42D0">
        <w:rPr>
          <w:rFonts w:eastAsia="Times New Roman"/>
          <w:sz w:val="24"/>
          <w:szCs w:val="24"/>
          <w:lang w:eastAsia="es-ES"/>
        </w:rPr>
        <w:t>.</w:t>
      </w:r>
    </w:p>
    <w:p w14:paraId="71FE0C04" w14:textId="77777777" w:rsidR="002E50E7" w:rsidRPr="00CD42D0" w:rsidRDefault="002E50E7" w:rsidP="002E50E7">
      <w:pPr>
        <w:rPr>
          <w:rFonts w:eastAsia="Times New Roman"/>
          <w:sz w:val="24"/>
          <w:szCs w:val="24"/>
          <w:lang w:eastAsia="es-ES"/>
        </w:rPr>
      </w:pPr>
    </w:p>
    <w:p w14:paraId="050730F4" w14:textId="79E44758" w:rsidR="005E10FD" w:rsidRPr="00CD42D0" w:rsidRDefault="00796B6F" w:rsidP="008D08B9">
      <w:pPr>
        <w:overflowPunct w:val="0"/>
        <w:autoSpaceDE w:val="0"/>
        <w:autoSpaceDN w:val="0"/>
        <w:adjustRightInd w:val="0"/>
        <w:spacing w:line="276" w:lineRule="auto"/>
        <w:contextualSpacing/>
        <w:rPr>
          <w:rFonts w:eastAsia="Times New Roman"/>
          <w:sz w:val="24"/>
          <w:szCs w:val="24"/>
          <w:lang w:eastAsia="es-ES"/>
        </w:rPr>
      </w:pPr>
      <w:r w:rsidRPr="00CD42D0">
        <w:rPr>
          <w:rFonts w:eastAsia="Times New Roman"/>
          <w:sz w:val="24"/>
          <w:szCs w:val="24"/>
          <w:lang w:eastAsia="es-ES"/>
        </w:rPr>
        <w:t>Esos</w:t>
      </w:r>
      <w:r w:rsidR="009D7161" w:rsidRPr="00CD42D0">
        <w:rPr>
          <w:rFonts w:eastAsia="Times New Roman"/>
          <w:sz w:val="24"/>
          <w:szCs w:val="24"/>
          <w:lang w:eastAsia="es-ES"/>
        </w:rPr>
        <w:t xml:space="preserve"> raciocinios, sin embargo, no son atacados por el </w:t>
      </w:r>
      <w:r w:rsidRPr="00CD42D0">
        <w:rPr>
          <w:rFonts w:eastAsia="Times New Roman"/>
          <w:sz w:val="24"/>
          <w:szCs w:val="24"/>
          <w:lang w:eastAsia="es-ES"/>
        </w:rPr>
        <w:t>solicitante</w:t>
      </w:r>
      <w:r w:rsidR="008D08B9" w:rsidRPr="00CD42D0">
        <w:rPr>
          <w:rFonts w:eastAsia="Times New Roman"/>
          <w:sz w:val="24"/>
          <w:szCs w:val="24"/>
          <w:lang w:eastAsia="es-ES"/>
        </w:rPr>
        <w:t xml:space="preserve">. </w:t>
      </w:r>
      <w:r w:rsidR="005D7846" w:rsidRPr="00CD42D0">
        <w:rPr>
          <w:rFonts w:eastAsia="Times New Roman"/>
          <w:sz w:val="24"/>
          <w:szCs w:val="24"/>
          <w:lang w:eastAsia="es-ES"/>
        </w:rPr>
        <w:t>Así las cosas</w:t>
      </w:r>
      <w:r w:rsidR="009D7161" w:rsidRPr="00CD42D0">
        <w:rPr>
          <w:rFonts w:eastAsia="Times New Roman"/>
          <w:sz w:val="24"/>
          <w:szCs w:val="24"/>
          <w:lang w:eastAsia="es-ES"/>
        </w:rPr>
        <w:t xml:space="preserve">, </w:t>
      </w:r>
      <w:r w:rsidRPr="00CD42D0">
        <w:rPr>
          <w:rFonts w:eastAsia="Times New Roman"/>
          <w:sz w:val="24"/>
          <w:szCs w:val="24"/>
          <w:lang w:eastAsia="es-ES"/>
        </w:rPr>
        <w:t xml:space="preserve">el peticionario </w:t>
      </w:r>
      <w:r w:rsidR="009D7161" w:rsidRPr="00CD42D0">
        <w:rPr>
          <w:rFonts w:eastAsia="Times New Roman"/>
          <w:sz w:val="24"/>
          <w:szCs w:val="24"/>
          <w:lang w:eastAsia="es-ES"/>
        </w:rPr>
        <w:t xml:space="preserve">no </w:t>
      </w:r>
      <w:r w:rsidR="005D7846" w:rsidRPr="00CD42D0">
        <w:rPr>
          <w:rFonts w:eastAsia="Times New Roman"/>
          <w:sz w:val="24"/>
          <w:szCs w:val="24"/>
          <w:lang w:eastAsia="es-ES"/>
        </w:rPr>
        <w:t>mostró</w:t>
      </w:r>
      <w:r w:rsidR="00134CD6" w:rsidRPr="00CD42D0">
        <w:rPr>
          <w:rFonts w:eastAsia="Times New Roman"/>
          <w:sz w:val="24"/>
          <w:szCs w:val="24"/>
          <w:lang w:eastAsia="es-ES"/>
        </w:rPr>
        <w:t xml:space="preserve"> </w:t>
      </w:r>
      <w:r w:rsidR="009D7161" w:rsidRPr="00CD42D0">
        <w:rPr>
          <w:rFonts w:eastAsia="Times New Roman"/>
          <w:sz w:val="24"/>
          <w:szCs w:val="24"/>
          <w:lang w:eastAsia="es-ES"/>
        </w:rPr>
        <w:t>que, en efecto, se le haya impedido</w:t>
      </w:r>
      <w:r w:rsidR="00134CD6" w:rsidRPr="00CD42D0">
        <w:rPr>
          <w:rFonts w:eastAsia="Times New Roman"/>
          <w:sz w:val="24"/>
          <w:szCs w:val="24"/>
          <w:lang w:eastAsia="es-ES"/>
        </w:rPr>
        <w:t>:</w:t>
      </w:r>
      <w:r w:rsidR="009D7161" w:rsidRPr="00CD42D0">
        <w:rPr>
          <w:rFonts w:eastAsia="Times New Roman"/>
          <w:sz w:val="24"/>
          <w:szCs w:val="24"/>
          <w:lang w:eastAsia="es-ES"/>
        </w:rPr>
        <w:t xml:space="preserve"> consultar el expediente administrativo que se llevaba en su contra, pronunciarse en las audiencias a las que asistió o radicar algún escrito en el que se haya opuesto a las pruebas obrantes en esa sede, ni que su decir se hubiera dejado sin valoración alguna</w:t>
      </w:r>
      <w:r w:rsidR="005E10FD" w:rsidRPr="00CD42D0">
        <w:rPr>
          <w:rFonts w:eastAsia="Times New Roman"/>
          <w:sz w:val="24"/>
          <w:szCs w:val="24"/>
          <w:lang w:eastAsia="es-ES"/>
        </w:rPr>
        <w:t xml:space="preserve"> por parte del ente </w:t>
      </w:r>
      <w:r w:rsidR="005E10FD" w:rsidRPr="00CD42D0">
        <w:rPr>
          <w:rFonts w:eastAsia="Times New Roman"/>
          <w:sz w:val="24"/>
          <w:szCs w:val="24"/>
          <w:lang w:eastAsia="es-ES"/>
        </w:rPr>
        <w:lastRenderedPageBreak/>
        <w:t>demandado en el ordinario</w:t>
      </w:r>
      <w:r w:rsidR="009D7161" w:rsidRPr="00CD42D0">
        <w:rPr>
          <w:rFonts w:eastAsia="Times New Roman"/>
          <w:sz w:val="24"/>
          <w:szCs w:val="24"/>
          <w:lang w:eastAsia="es-ES"/>
        </w:rPr>
        <w:t xml:space="preserve">. </w:t>
      </w:r>
      <w:r w:rsidR="005D7846" w:rsidRPr="00CD42D0">
        <w:rPr>
          <w:rFonts w:eastAsia="Times New Roman"/>
          <w:sz w:val="24"/>
          <w:szCs w:val="24"/>
          <w:lang w:eastAsia="es-ES"/>
        </w:rPr>
        <w:t>T</w:t>
      </w:r>
      <w:r w:rsidR="005E10FD" w:rsidRPr="00CD42D0">
        <w:rPr>
          <w:rFonts w:eastAsia="Times New Roman"/>
          <w:sz w:val="24"/>
          <w:szCs w:val="24"/>
          <w:lang w:eastAsia="es-ES"/>
        </w:rPr>
        <w:t xml:space="preserve">ampoco </w:t>
      </w:r>
      <w:r w:rsidR="005D7846" w:rsidRPr="00CD42D0">
        <w:rPr>
          <w:rFonts w:eastAsia="Times New Roman"/>
          <w:sz w:val="24"/>
          <w:szCs w:val="24"/>
          <w:lang w:eastAsia="es-ES"/>
        </w:rPr>
        <w:t>mostró por qué</w:t>
      </w:r>
      <w:r w:rsidR="005E10FD" w:rsidRPr="00CD42D0">
        <w:rPr>
          <w:rFonts w:eastAsia="Times New Roman"/>
          <w:sz w:val="24"/>
          <w:szCs w:val="24"/>
          <w:lang w:eastAsia="es-ES"/>
        </w:rPr>
        <w:t xml:space="preserve"> </w:t>
      </w:r>
      <w:r w:rsidR="005D7846" w:rsidRPr="00CD42D0">
        <w:rPr>
          <w:rFonts w:eastAsia="Times New Roman"/>
          <w:sz w:val="24"/>
          <w:szCs w:val="24"/>
          <w:lang w:eastAsia="es-ES"/>
        </w:rPr>
        <w:t xml:space="preserve">los asertos </w:t>
      </w:r>
      <w:r w:rsidR="005E10FD" w:rsidRPr="00CD42D0">
        <w:rPr>
          <w:rFonts w:eastAsia="Times New Roman"/>
          <w:sz w:val="24"/>
          <w:szCs w:val="24"/>
          <w:lang w:eastAsia="es-ES"/>
        </w:rPr>
        <w:t>del tribunal</w:t>
      </w:r>
      <w:r w:rsidR="005D7846" w:rsidRPr="00CD42D0">
        <w:rPr>
          <w:rFonts w:eastAsia="Times New Roman"/>
          <w:sz w:val="24"/>
          <w:szCs w:val="24"/>
          <w:lang w:eastAsia="es-ES"/>
        </w:rPr>
        <w:t>, según los cuales la</w:t>
      </w:r>
      <w:r w:rsidR="005E10FD" w:rsidRPr="00CD42D0">
        <w:rPr>
          <w:rFonts w:eastAsia="Times New Roman"/>
          <w:sz w:val="24"/>
          <w:szCs w:val="24"/>
          <w:lang w:eastAsia="es-ES"/>
        </w:rPr>
        <w:t xml:space="preserve"> prueba de control negativo </w:t>
      </w:r>
      <w:r w:rsidR="005D7846" w:rsidRPr="00CD42D0">
        <w:rPr>
          <w:rFonts w:eastAsia="Times New Roman"/>
          <w:sz w:val="24"/>
          <w:szCs w:val="24"/>
          <w:lang w:eastAsia="es-ES"/>
        </w:rPr>
        <w:t xml:space="preserve">no era necesaria para el tipo de alcoholímetros como aquel que estaba en cuestión </w:t>
      </w:r>
      <w:r w:rsidR="005E10FD" w:rsidRPr="00CD42D0">
        <w:rPr>
          <w:rFonts w:eastAsia="Times New Roman"/>
          <w:sz w:val="24"/>
          <w:szCs w:val="24"/>
          <w:lang w:eastAsia="es-ES"/>
        </w:rPr>
        <w:t xml:space="preserve">y la vigencia del certificado de calibración </w:t>
      </w:r>
      <w:r w:rsidR="005D7846" w:rsidRPr="00CD42D0">
        <w:rPr>
          <w:rFonts w:eastAsia="Times New Roman"/>
          <w:sz w:val="24"/>
          <w:szCs w:val="24"/>
          <w:lang w:eastAsia="es-ES"/>
        </w:rPr>
        <w:t>de ese aparato</w:t>
      </w:r>
      <w:r w:rsidR="005E10FD" w:rsidRPr="00CD42D0">
        <w:rPr>
          <w:rFonts w:eastAsia="Times New Roman"/>
          <w:sz w:val="24"/>
          <w:szCs w:val="24"/>
          <w:lang w:eastAsia="es-ES"/>
        </w:rPr>
        <w:t xml:space="preserve"> </w:t>
      </w:r>
      <w:r w:rsidR="005D7846" w:rsidRPr="00CD42D0">
        <w:rPr>
          <w:rFonts w:eastAsia="Times New Roman"/>
          <w:sz w:val="24"/>
          <w:szCs w:val="24"/>
          <w:lang w:eastAsia="es-ES"/>
        </w:rPr>
        <w:t>era por un año, constituían un defecto.</w:t>
      </w:r>
    </w:p>
    <w:p w14:paraId="5DF58B21" w14:textId="77777777" w:rsidR="005E10FD" w:rsidRPr="00CD42D0" w:rsidRDefault="005E10FD" w:rsidP="008D08B9">
      <w:pPr>
        <w:overflowPunct w:val="0"/>
        <w:autoSpaceDE w:val="0"/>
        <w:autoSpaceDN w:val="0"/>
        <w:adjustRightInd w:val="0"/>
        <w:spacing w:line="276" w:lineRule="auto"/>
        <w:contextualSpacing/>
        <w:rPr>
          <w:rFonts w:eastAsia="Times New Roman"/>
          <w:sz w:val="24"/>
          <w:szCs w:val="24"/>
          <w:lang w:eastAsia="es-ES"/>
        </w:rPr>
      </w:pPr>
    </w:p>
    <w:p w14:paraId="622D0293" w14:textId="741E0E2B" w:rsidR="00C34747" w:rsidRPr="00CD42D0" w:rsidRDefault="00875909" w:rsidP="00C34747">
      <w:pPr>
        <w:overflowPunct w:val="0"/>
        <w:autoSpaceDE w:val="0"/>
        <w:autoSpaceDN w:val="0"/>
        <w:adjustRightInd w:val="0"/>
        <w:spacing w:line="276" w:lineRule="auto"/>
        <w:contextualSpacing/>
        <w:rPr>
          <w:rFonts w:eastAsia="Times New Roman"/>
          <w:sz w:val="24"/>
          <w:szCs w:val="24"/>
          <w:lang w:eastAsia="es-ES"/>
        </w:rPr>
      </w:pPr>
      <w:r w:rsidRPr="00CD42D0">
        <w:rPr>
          <w:rFonts w:eastAsia="Times New Roman"/>
          <w:sz w:val="24"/>
          <w:szCs w:val="24"/>
          <w:lang w:eastAsia="es-ES"/>
        </w:rPr>
        <w:t xml:space="preserve">Las razones expuestas por el accionante, en suma, se presentan como una propuesta de interpretación y solución que él efectúa de su caso concreto. </w:t>
      </w:r>
      <w:r w:rsidR="00C34747" w:rsidRPr="00CD42D0">
        <w:rPr>
          <w:rFonts w:eastAsia="Times New Roman"/>
          <w:sz w:val="24"/>
          <w:szCs w:val="24"/>
          <w:lang w:eastAsia="es-ES"/>
        </w:rPr>
        <w:t xml:space="preserve">Del modo expuesto, el solicitante se contrajo a parafrasear los mismos argumentos que expuso en sede contenciosa. Así, el actor no advirtió la falla constitucional que lleva al defecto que endilga a la decisión objeto de tutela. </w:t>
      </w:r>
      <w:r w:rsidR="00C34747" w:rsidRPr="00CD42D0">
        <w:rPr>
          <w:rFonts w:eastAsia="Times New Roman"/>
          <w:i/>
          <w:iCs/>
          <w:sz w:val="24"/>
          <w:szCs w:val="24"/>
          <w:lang w:eastAsia="es-ES"/>
        </w:rPr>
        <w:t>Contrario sensu</w:t>
      </w:r>
      <w:r w:rsidR="00C34747" w:rsidRPr="00CD42D0">
        <w:rPr>
          <w:rFonts w:eastAsia="Times New Roman"/>
          <w:sz w:val="24"/>
          <w:szCs w:val="24"/>
          <w:lang w:eastAsia="es-ES"/>
        </w:rPr>
        <w:t xml:space="preserve">, deja ver que su único objetivo es que, a toda costa, se le exonere de la </w:t>
      </w:r>
      <w:r w:rsidR="00D6143D" w:rsidRPr="00CD42D0">
        <w:rPr>
          <w:rFonts w:eastAsia="Times New Roman"/>
          <w:sz w:val="24"/>
          <w:szCs w:val="24"/>
          <w:lang w:eastAsia="es-ES"/>
        </w:rPr>
        <w:t>sanción</w:t>
      </w:r>
      <w:r w:rsidR="00C34747" w:rsidRPr="00CD42D0">
        <w:rPr>
          <w:rFonts w:eastAsia="Times New Roman"/>
          <w:sz w:val="24"/>
          <w:szCs w:val="24"/>
          <w:lang w:eastAsia="es-ES"/>
        </w:rPr>
        <w:t xml:space="preserve"> que le fue impuesta. Así las cosas, su idea, más que poner de presente </w:t>
      </w:r>
      <w:r w:rsidR="00D6143D" w:rsidRPr="00CD42D0">
        <w:rPr>
          <w:rFonts w:eastAsia="Times New Roman"/>
          <w:sz w:val="24"/>
          <w:szCs w:val="24"/>
          <w:lang w:eastAsia="es-ES"/>
        </w:rPr>
        <w:t>el desconocimiento</w:t>
      </w:r>
      <w:r w:rsidR="00C34747" w:rsidRPr="00CD42D0">
        <w:rPr>
          <w:rFonts w:eastAsia="Times New Roman"/>
          <w:sz w:val="24"/>
          <w:szCs w:val="24"/>
          <w:lang w:eastAsia="es-ES"/>
        </w:rPr>
        <w:t xml:space="preserve"> de sus derechos fundamentales, es hacer triunfar tesis que, repetidamente, se le han negado.</w:t>
      </w:r>
    </w:p>
    <w:p w14:paraId="0CCFD33D" w14:textId="77777777" w:rsidR="00C34747" w:rsidRPr="00CD42D0" w:rsidRDefault="00C34747" w:rsidP="00C34747">
      <w:pPr>
        <w:overflowPunct w:val="0"/>
        <w:autoSpaceDE w:val="0"/>
        <w:autoSpaceDN w:val="0"/>
        <w:adjustRightInd w:val="0"/>
        <w:spacing w:line="276" w:lineRule="auto"/>
        <w:contextualSpacing/>
        <w:rPr>
          <w:sz w:val="24"/>
          <w:szCs w:val="24"/>
        </w:rPr>
      </w:pPr>
    </w:p>
    <w:p w14:paraId="2B6836C5" w14:textId="3D7DFDDC" w:rsidR="00C34747" w:rsidRPr="00CD42D0" w:rsidRDefault="00C34747" w:rsidP="00C34747">
      <w:pPr>
        <w:overflowPunct w:val="0"/>
        <w:autoSpaceDE w:val="0"/>
        <w:autoSpaceDN w:val="0"/>
        <w:adjustRightInd w:val="0"/>
        <w:spacing w:line="276" w:lineRule="auto"/>
        <w:contextualSpacing/>
        <w:rPr>
          <w:sz w:val="24"/>
          <w:szCs w:val="24"/>
        </w:rPr>
      </w:pPr>
      <w:r w:rsidRPr="00CD42D0">
        <w:rPr>
          <w:sz w:val="24"/>
          <w:szCs w:val="24"/>
        </w:rPr>
        <w:t>En resumen, el cargo bajo estudio no reclama la solución de un problema constitucional que implique un estudio de razonabilidad de la providencia objeto de tutela, sino que se limita a revivir una controversia legal</w:t>
      </w:r>
      <w:bookmarkStart w:id="3" w:name="_Ref48207766"/>
      <w:r w:rsidRPr="00CD42D0">
        <w:rPr>
          <w:sz w:val="24"/>
          <w:szCs w:val="24"/>
          <w:vertAlign w:val="superscript"/>
        </w:rPr>
        <w:footnoteReference w:id="13"/>
      </w:r>
      <w:bookmarkEnd w:id="3"/>
      <w:r w:rsidRPr="00CD42D0">
        <w:rPr>
          <w:sz w:val="24"/>
          <w:szCs w:val="24"/>
        </w:rPr>
        <w:t xml:space="preserve">. En ese sentido, ese reparo apunta a lo que, en criterio </w:t>
      </w:r>
      <w:r w:rsidR="00D879AD" w:rsidRPr="00CD42D0">
        <w:rPr>
          <w:sz w:val="24"/>
          <w:szCs w:val="24"/>
        </w:rPr>
        <w:t>del</w:t>
      </w:r>
      <w:r w:rsidRPr="00CD42D0">
        <w:rPr>
          <w:sz w:val="24"/>
          <w:szCs w:val="24"/>
        </w:rPr>
        <w:t xml:space="preserve"> actor, habría sido la decisión correcta de su caso. De ese modo, el punto impide ponderar entre </w:t>
      </w:r>
      <w:r w:rsidRPr="00CD42D0">
        <w:rPr>
          <w:bCs/>
          <w:sz w:val="24"/>
          <w:szCs w:val="24"/>
        </w:rPr>
        <w:t xml:space="preserve">la finalidad de la tutela como garantía </w:t>
      </w:r>
      <w:r w:rsidRPr="00CD42D0">
        <w:rPr>
          <w:bCs/>
          <w:i/>
          <w:sz w:val="24"/>
          <w:szCs w:val="24"/>
        </w:rPr>
        <w:t>iusfundamental</w:t>
      </w:r>
      <w:r w:rsidRPr="00CD42D0">
        <w:rPr>
          <w:bCs/>
          <w:sz w:val="24"/>
          <w:szCs w:val="24"/>
        </w:rPr>
        <w:t xml:space="preserve"> y los principios de </w:t>
      </w:r>
      <w:r w:rsidRPr="00CD42D0">
        <w:rPr>
          <w:sz w:val="24"/>
          <w:szCs w:val="24"/>
        </w:rPr>
        <w:t>cosa juzgada y seguridad jurídica que gobiernan las decisiones judiciales</w:t>
      </w:r>
      <w:r w:rsidRPr="00CD42D0">
        <w:rPr>
          <w:iCs/>
          <w:sz w:val="24"/>
          <w:szCs w:val="24"/>
          <w:vertAlign w:val="superscript"/>
        </w:rPr>
        <w:footnoteReference w:id="14"/>
      </w:r>
      <w:r w:rsidRPr="00CD42D0">
        <w:rPr>
          <w:sz w:val="24"/>
          <w:szCs w:val="24"/>
        </w:rPr>
        <w:t>. Así, como la protesta no lleva a resolver asuntos de dimensión constitucional, esta no permite actuar con respeto de las competencias legales y del principio de autonomía de los jueces</w:t>
      </w:r>
      <w:r w:rsidRPr="00CD42D0">
        <w:rPr>
          <w:sz w:val="24"/>
          <w:szCs w:val="24"/>
          <w:vertAlign w:val="superscript"/>
        </w:rPr>
        <w:footnoteReference w:id="15"/>
      </w:r>
      <w:r w:rsidRPr="00CD42D0">
        <w:rPr>
          <w:sz w:val="24"/>
          <w:szCs w:val="24"/>
        </w:rPr>
        <w:t>. Por tanto, se declarará su improcedencia.</w:t>
      </w:r>
    </w:p>
    <w:p w14:paraId="2B32E9B0" w14:textId="77777777" w:rsidR="00960145" w:rsidRPr="00CD42D0" w:rsidRDefault="00960145" w:rsidP="00960145">
      <w:pPr>
        <w:pStyle w:val="Prrafodelista"/>
        <w:spacing w:line="276" w:lineRule="auto"/>
        <w:ind w:left="0"/>
        <w:rPr>
          <w:rFonts w:eastAsia="Times New Roman"/>
          <w:bCs/>
          <w:sz w:val="24"/>
          <w:szCs w:val="24"/>
          <w:lang w:eastAsia="es-ES"/>
        </w:rPr>
      </w:pPr>
    </w:p>
    <w:p w14:paraId="6F3B84C6" w14:textId="77777777" w:rsidR="002A1D6D" w:rsidRPr="00CD42D0" w:rsidRDefault="002A1D6D" w:rsidP="00F77BC5">
      <w:pPr>
        <w:pStyle w:val="Ttulo1"/>
        <w:spacing w:before="0" w:after="0"/>
        <w:ind w:hanging="147"/>
        <w:rPr>
          <w:rFonts w:cs="Arial"/>
          <w:kern w:val="0"/>
          <w:szCs w:val="24"/>
        </w:rPr>
      </w:pPr>
      <w:r w:rsidRPr="00CD42D0">
        <w:rPr>
          <w:rFonts w:cs="Arial"/>
          <w:kern w:val="0"/>
          <w:szCs w:val="24"/>
        </w:rPr>
        <w:t>DECISIÓN</w:t>
      </w:r>
    </w:p>
    <w:p w14:paraId="59619CFC" w14:textId="77777777" w:rsidR="002A1D6D" w:rsidRPr="00CD42D0" w:rsidRDefault="002A1D6D" w:rsidP="00F77BC5">
      <w:pPr>
        <w:spacing w:line="276" w:lineRule="auto"/>
        <w:contextualSpacing/>
        <w:rPr>
          <w:rFonts w:eastAsia="Times New Roman"/>
          <w:sz w:val="24"/>
          <w:szCs w:val="24"/>
        </w:rPr>
      </w:pPr>
    </w:p>
    <w:p w14:paraId="10D04F89" w14:textId="4D17D870" w:rsidR="002A1D6D" w:rsidRPr="00CD42D0" w:rsidRDefault="002A1D6D" w:rsidP="00F77BC5">
      <w:pPr>
        <w:spacing w:line="276" w:lineRule="auto"/>
        <w:contextualSpacing/>
        <w:rPr>
          <w:rFonts w:eastAsia="Times New Roman"/>
          <w:sz w:val="24"/>
          <w:szCs w:val="24"/>
        </w:rPr>
      </w:pPr>
      <w:r w:rsidRPr="00CD42D0">
        <w:rPr>
          <w:rFonts w:eastAsia="Times New Roman"/>
          <w:sz w:val="24"/>
          <w:szCs w:val="24"/>
        </w:rPr>
        <w:t>En mérito de lo expuesto, el Consejo de Estado, Sala de lo Contencioso Administrativo, Sección Tercera, Subsección C, administrando justicia en nombre de la República y por autoridad de la ley,</w:t>
      </w:r>
    </w:p>
    <w:p w14:paraId="3A68ED8D" w14:textId="77777777" w:rsidR="006B100B" w:rsidRPr="00CD42D0" w:rsidRDefault="006B100B" w:rsidP="00F77BC5">
      <w:pPr>
        <w:pStyle w:val="RESUELVE"/>
        <w:spacing w:before="0" w:after="0"/>
        <w:rPr>
          <w:rFonts w:cs="Arial"/>
          <w:kern w:val="0"/>
          <w:szCs w:val="24"/>
          <w:lang w:val="es-CO"/>
        </w:rPr>
      </w:pPr>
    </w:p>
    <w:p w14:paraId="2287E209" w14:textId="4F7E46A4" w:rsidR="000C5DB7" w:rsidRPr="00CD42D0" w:rsidRDefault="002A1D6D" w:rsidP="00F77BC5">
      <w:pPr>
        <w:pStyle w:val="RESUELVE"/>
        <w:spacing w:before="0" w:after="0"/>
        <w:rPr>
          <w:rFonts w:cs="Arial"/>
          <w:kern w:val="0"/>
          <w:szCs w:val="24"/>
          <w:lang w:val="es-CO"/>
        </w:rPr>
      </w:pPr>
      <w:r w:rsidRPr="00CD42D0">
        <w:rPr>
          <w:rFonts w:cs="Arial"/>
          <w:kern w:val="0"/>
          <w:szCs w:val="24"/>
          <w:lang w:val="es-CO"/>
        </w:rPr>
        <w:t>FALLA</w:t>
      </w:r>
    </w:p>
    <w:p w14:paraId="3E987887" w14:textId="05AD1986" w:rsidR="00383B43" w:rsidRPr="00CD42D0" w:rsidRDefault="00383B43" w:rsidP="00F77BC5">
      <w:pPr>
        <w:spacing w:line="276" w:lineRule="auto"/>
        <w:jc w:val="center"/>
        <w:rPr>
          <w:rFonts w:eastAsia="Verdana"/>
          <w:b/>
          <w:sz w:val="24"/>
          <w:szCs w:val="24"/>
        </w:rPr>
      </w:pPr>
    </w:p>
    <w:p w14:paraId="3BC110ED" w14:textId="382A5FE9" w:rsidR="004C0AE1" w:rsidRPr="00CD42D0" w:rsidRDefault="004D4F52" w:rsidP="00F77BC5">
      <w:pPr>
        <w:pStyle w:val="Prrafodelista"/>
        <w:numPr>
          <w:ilvl w:val="0"/>
          <w:numId w:val="27"/>
        </w:numPr>
        <w:spacing w:line="276" w:lineRule="auto"/>
        <w:ind w:left="0" w:firstLine="0"/>
        <w:rPr>
          <w:rFonts w:eastAsia="Verdana"/>
          <w:b/>
          <w:sz w:val="24"/>
          <w:szCs w:val="24"/>
          <w:lang w:val="es-ES_tradnl"/>
        </w:rPr>
      </w:pPr>
      <w:bookmarkStart w:id="4" w:name="_Hlk40368302"/>
      <w:r w:rsidRPr="00CD42D0">
        <w:rPr>
          <w:rFonts w:eastAsia="Verdana"/>
          <w:b/>
          <w:sz w:val="24"/>
          <w:szCs w:val="24"/>
          <w:lang w:val="es-ES_tradnl"/>
        </w:rPr>
        <w:t xml:space="preserve">DECLARAR </w:t>
      </w:r>
      <w:r w:rsidRPr="00CD42D0">
        <w:rPr>
          <w:rFonts w:eastAsia="Verdana"/>
          <w:bCs/>
          <w:sz w:val="24"/>
          <w:szCs w:val="24"/>
          <w:lang w:val="es-ES_tradnl"/>
        </w:rPr>
        <w:t xml:space="preserve">la improcedencia de </w:t>
      </w:r>
      <w:r w:rsidR="00A64F58" w:rsidRPr="00CD42D0">
        <w:rPr>
          <w:rFonts w:eastAsia="Verdana"/>
          <w:bCs/>
          <w:sz w:val="24"/>
          <w:szCs w:val="24"/>
          <w:lang w:val="es-ES_tradnl"/>
        </w:rPr>
        <w:t xml:space="preserve">la solicitud de amparo presentada por </w:t>
      </w:r>
      <w:r w:rsidRPr="00CD42D0">
        <w:rPr>
          <w:rFonts w:eastAsia="Verdana"/>
          <w:bCs/>
          <w:sz w:val="24"/>
          <w:szCs w:val="24"/>
          <w:lang w:val="es-ES_tradnl"/>
        </w:rPr>
        <w:t>Juan Carlos Barragán Quintero</w:t>
      </w:r>
      <w:r w:rsidR="00226581" w:rsidRPr="00CD42D0">
        <w:rPr>
          <w:rFonts w:eastAsia="Verdana"/>
          <w:bCs/>
          <w:sz w:val="24"/>
          <w:szCs w:val="24"/>
          <w:lang w:val="es-ES_tradnl"/>
        </w:rPr>
        <w:t xml:space="preserve"> </w:t>
      </w:r>
      <w:r w:rsidR="00A64F58" w:rsidRPr="00CD42D0">
        <w:rPr>
          <w:rFonts w:eastAsia="Verdana"/>
          <w:bCs/>
          <w:sz w:val="24"/>
          <w:szCs w:val="24"/>
          <w:lang w:val="es-ES_tradnl"/>
        </w:rPr>
        <w:t xml:space="preserve">en contra </w:t>
      </w:r>
      <w:r w:rsidR="00CD42D0" w:rsidRPr="00CD42D0">
        <w:rPr>
          <w:rFonts w:eastAsia="Verdana"/>
          <w:bCs/>
          <w:sz w:val="24"/>
          <w:szCs w:val="24"/>
          <w:lang w:val="es-ES_tradnl"/>
        </w:rPr>
        <w:t>de</w:t>
      </w:r>
      <w:r w:rsidR="00CD42D0">
        <w:rPr>
          <w:rFonts w:eastAsia="Verdana"/>
          <w:bCs/>
          <w:sz w:val="24"/>
          <w:szCs w:val="24"/>
          <w:lang w:val="es-ES_tradnl"/>
        </w:rPr>
        <w:t xml:space="preserve"> </w:t>
      </w:r>
      <w:r w:rsidR="00CD42D0" w:rsidRPr="00CD42D0">
        <w:rPr>
          <w:rFonts w:eastAsia="Verdana"/>
          <w:bCs/>
          <w:sz w:val="24"/>
          <w:szCs w:val="24"/>
          <w:lang w:val="es-ES_tradnl"/>
        </w:rPr>
        <w:t>l</w:t>
      </w:r>
      <w:r w:rsidR="00CD42D0">
        <w:rPr>
          <w:rFonts w:eastAsia="Verdana"/>
          <w:bCs/>
          <w:sz w:val="24"/>
          <w:szCs w:val="24"/>
          <w:lang w:val="es-ES_tradnl"/>
        </w:rPr>
        <w:t>a sentencia del</w:t>
      </w:r>
      <w:r w:rsidR="00CD42D0" w:rsidRPr="00CD42D0">
        <w:rPr>
          <w:rFonts w:eastAsia="Verdana"/>
          <w:bCs/>
          <w:sz w:val="24"/>
          <w:szCs w:val="24"/>
          <w:lang w:val="es-ES_tradnl"/>
        </w:rPr>
        <w:t xml:space="preserve"> 11 de febrero de 2021</w:t>
      </w:r>
      <w:r w:rsidR="00CD42D0">
        <w:rPr>
          <w:rFonts w:eastAsia="Verdana"/>
          <w:bCs/>
          <w:sz w:val="24"/>
          <w:szCs w:val="24"/>
          <w:lang w:val="es-ES_tradnl"/>
        </w:rPr>
        <w:t>, proferida por e</w:t>
      </w:r>
      <w:r w:rsidR="00A64F58" w:rsidRPr="00CD42D0">
        <w:rPr>
          <w:rFonts w:eastAsia="Verdana"/>
          <w:bCs/>
          <w:sz w:val="24"/>
          <w:szCs w:val="24"/>
          <w:lang w:val="es-ES_tradnl"/>
        </w:rPr>
        <w:t xml:space="preserve">l </w:t>
      </w:r>
      <w:r w:rsidRPr="00CD42D0">
        <w:rPr>
          <w:rFonts w:eastAsia="Verdana"/>
          <w:bCs/>
          <w:sz w:val="24"/>
          <w:szCs w:val="24"/>
          <w:lang w:val="es-ES_tradnl"/>
        </w:rPr>
        <w:t>Tribunal Administrativo del Tolima</w:t>
      </w:r>
      <w:r w:rsidR="00A64F58" w:rsidRPr="00CD42D0">
        <w:rPr>
          <w:rFonts w:eastAsia="Verdana"/>
          <w:bCs/>
          <w:sz w:val="24"/>
          <w:szCs w:val="24"/>
          <w:lang w:val="es-ES_tradnl"/>
        </w:rPr>
        <w:t>, por los motivos expuestos en la parte considerativa de este fallo.</w:t>
      </w:r>
    </w:p>
    <w:p w14:paraId="16910F99" w14:textId="77777777" w:rsidR="00B700DC" w:rsidRPr="00CD42D0" w:rsidRDefault="00B700DC" w:rsidP="00C157DB">
      <w:pPr>
        <w:pStyle w:val="Prrafodelista"/>
        <w:spacing w:line="276" w:lineRule="auto"/>
        <w:ind w:left="0"/>
        <w:rPr>
          <w:rFonts w:eastAsia="Verdana"/>
          <w:sz w:val="24"/>
          <w:szCs w:val="24"/>
          <w:lang w:val="es-ES_tradnl"/>
        </w:rPr>
      </w:pPr>
    </w:p>
    <w:p w14:paraId="755D2FA1" w14:textId="38EBD4E5" w:rsidR="004C0AE1" w:rsidRPr="00CD42D0" w:rsidRDefault="004C0AE1" w:rsidP="00F77BC5">
      <w:pPr>
        <w:pStyle w:val="Prrafodelista"/>
        <w:numPr>
          <w:ilvl w:val="0"/>
          <w:numId w:val="27"/>
        </w:numPr>
        <w:spacing w:line="276" w:lineRule="auto"/>
        <w:ind w:left="0" w:firstLine="0"/>
        <w:rPr>
          <w:rFonts w:eastAsia="Verdana"/>
          <w:sz w:val="24"/>
          <w:szCs w:val="24"/>
          <w:lang w:val="es-ES_tradnl"/>
        </w:rPr>
      </w:pPr>
      <w:r w:rsidRPr="00CD42D0">
        <w:rPr>
          <w:rFonts w:eastAsia="Verdana"/>
          <w:b/>
          <w:sz w:val="24"/>
          <w:szCs w:val="24"/>
          <w:lang w:val="es-ES_tradnl"/>
        </w:rPr>
        <w:lastRenderedPageBreak/>
        <w:t xml:space="preserve">NOTIFICAR </w:t>
      </w:r>
      <w:r w:rsidRPr="00CD42D0">
        <w:rPr>
          <w:rFonts w:eastAsia="Verdana"/>
          <w:sz w:val="24"/>
          <w:szCs w:val="24"/>
          <w:lang w:val="es-ES_tradnl"/>
        </w:rPr>
        <w:t>la presente decisión a las partes y a los interesados por el medio más expedito.</w:t>
      </w:r>
    </w:p>
    <w:p w14:paraId="2F5DE2DB" w14:textId="77777777" w:rsidR="00F94566" w:rsidRPr="00CD42D0" w:rsidRDefault="00F94566" w:rsidP="00F77BC5">
      <w:pPr>
        <w:pStyle w:val="Prrafodelista"/>
        <w:spacing w:line="276" w:lineRule="auto"/>
        <w:ind w:left="0"/>
        <w:rPr>
          <w:rFonts w:eastAsia="Verdana"/>
          <w:sz w:val="24"/>
          <w:szCs w:val="24"/>
          <w:lang w:val="es-ES_tradnl"/>
        </w:rPr>
      </w:pPr>
    </w:p>
    <w:p w14:paraId="7DFE9682" w14:textId="42A9A202" w:rsidR="004C0AE1" w:rsidRPr="00CD42D0" w:rsidRDefault="004C0AE1" w:rsidP="00F77BC5">
      <w:pPr>
        <w:pStyle w:val="Prrafodelista"/>
        <w:numPr>
          <w:ilvl w:val="0"/>
          <w:numId w:val="27"/>
        </w:numPr>
        <w:spacing w:line="276" w:lineRule="auto"/>
        <w:ind w:left="0" w:firstLine="0"/>
        <w:rPr>
          <w:rFonts w:eastAsia="Verdana"/>
          <w:sz w:val="24"/>
          <w:szCs w:val="24"/>
          <w:lang w:val="es-ES_tradnl"/>
        </w:rPr>
      </w:pPr>
      <w:r w:rsidRPr="00CD42D0">
        <w:rPr>
          <w:rFonts w:eastAsia="Verdana"/>
          <w:b/>
          <w:sz w:val="24"/>
          <w:szCs w:val="24"/>
          <w:lang w:val="es-ES_tradnl"/>
        </w:rPr>
        <w:t xml:space="preserve">ENVIAR </w:t>
      </w:r>
      <w:r w:rsidRPr="00CD42D0">
        <w:rPr>
          <w:rFonts w:eastAsia="Verdana"/>
          <w:sz w:val="24"/>
          <w:szCs w:val="24"/>
          <w:lang w:val="es-ES_tradnl"/>
        </w:rPr>
        <w:t xml:space="preserve">la presente providencia a la Corte Constitucional para su eventual revisión, en caso de no ser impugnada.  </w:t>
      </w:r>
    </w:p>
    <w:bookmarkEnd w:id="4"/>
    <w:p w14:paraId="654CE2A3" w14:textId="5832E9A3" w:rsidR="003538E2" w:rsidRPr="00CD42D0" w:rsidRDefault="003538E2" w:rsidP="00F77BC5">
      <w:pPr>
        <w:spacing w:line="276" w:lineRule="auto"/>
        <w:contextualSpacing/>
        <w:rPr>
          <w:rFonts w:eastAsia="Verdana"/>
          <w:b/>
          <w:sz w:val="24"/>
          <w:szCs w:val="24"/>
          <w:lang w:val="es-ES_tradnl"/>
        </w:rPr>
      </w:pPr>
    </w:p>
    <w:p w14:paraId="17B7F027" w14:textId="672A8568" w:rsidR="00A64EF5" w:rsidRPr="00CD42D0" w:rsidRDefault="000C5DB7" w:rsidP="00F77BC5">
      <w:pPr>
        <w:spacing w:line="276" w:lineRule="auto"/>
        <w:contextualSpacing/>
        <w:rPr>
          <w:rFonts w:eastAsia="Verdana"/>
          <w:b/>
          <w:sz w:val="24"/>
          <w:szCs w:val="24"/>
        </w:rPr>
      </w:pPr>
      <w:r w:rsidRPr="00CD42D0">
        <w:rPr>
          <w:rFonts w:eastAsia="Verdana"/>
          <w:b/>
          <w:sz w:val="24"/>
          <w:szCs w:val="24"/>
        </w:rPr>
        <w:t>NOTIFÍQUESE Y CÚMPLASE</w:t>
      </w:r>
    </w:p>
    <w:p w14:paraId="4722EACC" w14:textId="3B2B7628" w:rsidR="0085093E" w:rsidRPr="00CD42D0" w:rsidRDefault="0085093E" w:rsidP="00F77BC5">
      <w:pPr>
        <w:spacing w:line="276" w:lineRule="auto"/>
        <w:contextualSpacing/>
        <w:jc w:val="center"/>
        <w:rPr>
          <w:rFonts w:eastAsia="Verdana"/>
          <w:b/>
          <w:sz w:val="24"/>
          <w:szCs w:val="24"/>
        </w:rPr>
      </w:pPr>
    </w:p>
    <w:p w14:paraId="0D609F12" w14:textId="4EC33467" w:rsidR="00C71156" w:rsidRPr="00CD42D0" w:rsidRDefault="00C71156" w:rsidP="00F77BC5">
      <w:pPr>
        <w:spacing w:line="276" w:lineRule="auto"/>
        <w:contextualSpacing/>
        <w:jc w:val="center"/>
        <w:rPr>
          <w:rFonts w:eastAsia="Verdana"/>
          <w:b/>
          <w:sz w:val="24"/>
          <w:szCs w:val="24"/>
        </w:rPr>
      </w:pPr>
    </w:p>
    <w:p w14:paraId="31BE3C78" w14:textId="6A229465" w:rsidR="00C71156" w:rsidRPr="00CD42D0" w:rsidRDefault="00C71156" w:rsidP="00F77BC5">
      <w:pPr>
        <w:spacing w:line="276" w:lineRule="auto"/>
        <w:contextualSpacing/>
        <w:jc w:val="center"/>
        <w:rPr>
          <w:rFonts w:eastAsia="Verdana"/>
          <w:b/>
          <w:sz w:val="24"/>
          <w:szCs w:val="24"/>
        </w:rPr>
      </w:pPr>
    </w:p>
    <w:p w14:paraId="4BA3C780" w14:textId="77777777" w:rsidR="00C71156" w:rsidRPr="00CD42D0" w:rsidRDefault="00C71156" w:rsidP="00F77BC5">
      <w:pPr>
        <w:spacing w:line="276" w:lineRule="auto"/>
        <w:contextualSpacing/>
        <w:jc w:val="center"/>
        <w:rPr>
          <w:rFonts w:eastAsia="Verdana"/>
          <w:b/>
          <w:sz w:val="24"/>
          <w:szCs w:val="24"/>
        </w:rPr>
      </w:pPr>
    </w:p>
    <w:p w14:paraId="2FF7383A" w14:textId="59C62874" w:rsidR="005C2D2C" w:rsidRPr="00CD42D0" w:rsidRDefault="005C2D2C" w:rsidP="00F77BC5">
      <w:pPr>
        <w:spacing w:line="276" w:lineRule="auto"/>
        <w:contextualSpacing/>
        <w:jc w:val="center"/>
        <w:rPr>
          <w:rFonts w:eastAsia="Verdana"/>
          <w:b/>
          <w:sz w:val="24"/>
          <w:szCs w:val="24"/>
        </w:rPr>
      </w:pPr>
      <w:r w:rsidRPr="00CD42D0">
        <w:rPr>
          <w:rFonts w:eastAsia="Verdana"/>
          <w:b/>
          <w:sz w:val="24"/>
          <w:szCs w:val="24"/>
        </w:rPr>
        <w:t>JAIME ENRIQUE RODRÍGUEZ NAVAS</w:t>
      </w:r>
    </w:p>
    <w:p w14:paraId="411CDC80" w14:textId="53599D5F" w:rsidR="000C5DB7" w:rsidRPr="00CD42D0" w:rsidRDefault="000C5DB7" w:rsidP="00F77BC5">
      <w:pPr>
        <w:spacing w:line="276" w:lineRule="auto"/>
        <w:contextualSpacing/>
        <w:jc w:val="center"/>
        <w:rPr>
          <w:rFonts w:eastAsia="Verdana"/>
          <w:b/>
          <w:sz w:val="24"/>
          <w:szCs w:val="24"/>
        </w:rPr>
      </w:pPr>
      <w:r w:rsidRPr="00CD42D0">
        <w:rPr>
          <w:rFonts w:eastAsia="Verdana"/>
          <w:b/>
          <w:sz w:val="24"/>
          <w:szCs w:val="24"/>
        </w:rPr>
        <w:t>Presidente de Sala</w:t>
      </w:r>
    </w:p>
    <w:p w14:paraId="7E89CB11" w14:textId="6529470D" w:rsidR="0085093E" w:rsidRPr="00CD42D0" w:rsidRDefault="0085093E" w:rsidP="00F77BC5">
      <w:pPr>
        <w:spacing w:line="276" w:lineRule="auto"/>
        <w:contextualSpacing/>
        <w:jc w:val="center"/>
        <w:rPr>
          <w:rFonts w:eastAsia="Verdana"/>
          <w:b/>
          <w:sz w:val="24"/>
          <w:szCs w:val="24"/>
        </w:rPr>
      </w:pPr>
    </w:p>
    <w:p w14:paraId="7B97977C" w14:textId="019B611E" w:rsidR="00C71156" w:rsidRPr="00CD42D0" w:rsidRDefault="00C71156" w:rsidP="00F77BC5">
      <w:pPr>
        <w:spacing w:line="276" w:lineRule="auto"/>
        <w:contextualSpacing/>
        <w:jc w:val="center"/>
        <w:rPr>
          <w:rFonts w:eastAsia="Verdana"/>
          <w:b/>
          <w:sz w:val="24"/>
          <w:szCs w:val="24"/>
        </w:rPr>
      </w:pPr>
    </w:p>
    <w:p w14:paraId="40E9731F" w14:textId="56F24115" w:rsidR="00C71156" w:rsidRPr="00CD42D0" w:rsidRDefault="00C71156" w:rsidP="00F77BC5">
      <w:pPr>
        <w:spacing w:line="276" w:lineRule="auto"/>
        <w:contextualSpacing/>
        <w:jc w:val="center"/>
        <w:rPr>
          <w:rFonts w:eastAsia="Verdana"/>
          <w:b/>
          <w:sz w:val="24"/>
          <w:szCs w:val="24"/>
        </w:rPr>
      </w:pPr>
    </w:p>
    <w:p w14:paraId="26B7993F" w14:textId="77777777" w:rsidR="00C71156" w:rsidRPr="00CD42D0" w:rsidRDefault="00C71156" w:rsidP="00F77BC5">
      <w:pPr>
        <w:spacing w:line="276" w:lineRule="auto"/>
        <w:contextualSpacing/>
        <w:jc w:val="center"/>
        <w:rPr>
          <w:rFonts w:eastAsia="Verdana"/>
          <w:b/>
          <w:sz w:val="24"/>
          <w:szCs w:val="24"/>
        </w:rPr>
      </w:pPr>
    </w:p>
    <w:p w14:paraId="6F16FACA" w14:textId="6A4DDBA2" w:rsidR="005C2D2C" w:rsidRPr="00CD42D0" w:rsidRDefault="005C2D2C" w:rsidP="00F77BC5">
      <w:pPr>
        <w:spacing w:line="276" w:lineRule="auto"/>
        <w:contextualSpacing/>
        <w:jc w:val="center"/>
        <w:rPr>
          <w:rFonts w:eastAsia="Verdana"/>
          <w:b/>
          <w:sz w:val="24"/>
          <w:szCs w:val="24"/>
        </w:rPr>
      </w:pPr>
      <w:r w:rsidRPr="00CD42D0">
        <w:rPr>
          <w:rFonts w:eastAsia="Verdana"/>
          <w:b/>
          <w:sz w:val="24"/>
          <w:szCs w:val="24"/>
        </w:rPr>
        <w:t>GUILLERMO SÁNCHEZ LUQUE</w:t>
      </w:r>
    </w:p>
    <w:p w14:paraId="68F9BF2E" w14:textId="2BC02806" w:rsidR="000C605F" w:rsidRPr="00CD42D0" w:rsidRDefault="000C5DB7" w:rsidP="00643153">
      <w:pPr>
        <w:spacing w:line="276" w:lineRule="auto"/>
        <w:contextualSpacing/>
        <w:jc w:val="center"/>
        <w:rPr>
          <w:rFonts w:eastAsia="Verdana"/>
          <w:b/>
          <w:sz w:val="24"/>
          <w:szCs w:val="24"/>
        </w:rPr>
      </w:pPr>
      <w:r w:rsidRPr="00CD42D0">
        <w:rPr>
          <w:rFonts w:eastAsia="Verdana"/>
          <w:b/>
          <w:sz w:val="24"/>
          <w:szCs w:val="24"/>
        </w:rPr>
        <w:t>Magistrado</w:t>
      </w:r>
    </w:p>
    <w:p w14:paraId="50149491" w14:textId="03E0C00E" w:rsidR="00643153" w:rsidRPr="00CD42D0" w:rsidRDefault="0096067B" w:rsidP="00F77BC5">
      <w:pPr>
        <w:spacing w:line="276" w:lineRule="auto"/>
        <w:contextualSpacing/>
        <w:jc w:val="center"/>
        <w:rPr>
          <w:rFonts w:eastAsia="Verdana"/>
          <w:b/>
          <w:sz w:val="24"/>
          <w:szCs w:val="24"/>
        </w:rPr>
      </w:pPr>
      <w:r w:rsidRPr="0096067B">
        <w:rPr>
          <w:rFonts w:eastAsia="Verdana"/>
          <w:b/>
          <w:sz w:val="24"/>
          <w:szCs w:val="24"/>
        </w:rPr>
        <w:t>Aclaración de voto Cfr. Rad. 11001-03-15-000-2019-01299-00</w:t>
      </w:r>
    </w:p>
    <w:p w14:paraId="5A3735CB" w14:textId="13179161" w:rsidR="00C71156" w:rsidRPr="00CD42D0" w:rsidRDefault="00C71156" w:rsidP="00F77BC5">
      <w:pPr>
        <w:spacing w:line="276" w:lineRule="auto"/>
        <w:contextualSpacing/>
        <w:jc w:val="center"/>
        <w:rPr>
          <w:rFonts w:eastAsia="Verdana"/>
          <w:b/>
          <w:sz w:val="24"/>
          <w:szCs w:val="24"/>
        </w:rPr>
      </w:pPr>
    </w:p>
    <w:p w14:paraId="0A30E78B" w14:textId="112F86E8" w:rsidR="00C71156" w:rsidRPr="00CD42D0" w:rsidRDefault="00C71156" w:rsidP="00F77BC5">
      <w:pPr>
        <w:spacing w:line="276" w:lineRule="auto"/>
        <w:contextualSpacing/>
        <w:jc w:val="center"/>
        <w:rPr>
          <w:rFonts w:eastAsia="Verdana"/>
          <w:b/>
          <w:sz w:val="24"/>
          <w:szCs w:val="24"/>
        </w:rPr>
      </w:pPr>
    </w:p>
    <w:p w14:paraId="675729BA" w14:textId="77777777" w:rsidR="00C71156" w:rsidRPr="00CD42D0" w:rsidRDefault="00C71156" w:rsidP="00F77BC5">
      <w:pPr>
        <w:spacing w:line="276" w:lineRule="auto"/>
        <w:contextualSpacing/>
        <w:jc w:val="center"/>
        <w:rPr>
          <w:rFonts w:eastAsia="Verdana"/>
          <w:b/>
          <w:sz w:val="24"/>
          <w:szCs w:val="24"/>
        </w:rPr>
      </w:pPr>
    </w:p>
    <w:p w14:paraId="5E00FC79" w14:textId="77777777" w:rsidR="000C5DB7" w:rsidRPr="00CD42D0" w:rsidRDefault="000C5DB7" w:rsidP="00F77BC5">
      <w:pPr>
        <w:spacing w:line="276" w:lineRule="auto"/>
        <w:contextualSpacing/>
        <w:jc w:val="center"/>
        <w:rPr>
          <w:rFonts w:eastAsia="Verdana"/>
          <w:b/>
          <w:sz w:val="24"/>
          <w:szCs w:val="24"/>
        </w:rPr>
      </w:pPr>
      <w:r w:rsidRPr="00CD42D0">
        <w:rPr>
          <w:rFonts w:eastAsia="Verdana"/>
          <w:b/>
          <w:sz w:val="24"/>
          <w:szCs w:val="24"/>
        </w:rPr>
        <w:t>NICOLÁS YEPES CORRALES</w:t>
      </w:r>
    </w:p>
    <w:p w14:paraId="20683EF9" w14:textId="5A4493BF" w:rsidR="00467AA9" w:rsidRPr="00CD42D0" w:rsidRDefault="000C5DB7" w:rsidP="00F77BC5">
      <w:pPr>
        <w:spacing w:line="276" w:lineRule="auto"/>
        <w:contextualSpacing/>
        <w:jc w:val="center"/>
        <w:rPr>
          <w:rFonts w:eastAsia="Verdana"/>
          <w:b/>
          <w:sz w:val="24"/>
          <w:szCs w:val="24"/>
        </w:rPr>
      </w:pPr>
      <w:r w:rsidRPr="00CD42D0">
        <w:rPr>
          <w:rFonts w:eastAsia="Verdana"/>
          <w:b/>
          <w:sz w:val="24"/>
          <w:szCs w:val="24"/>
        </w:rPr>
        <w:t>Magistrado</w:t>
      </w:r>
    </w:p>
    <w:sectPr w:rsidR="00467AA9" w:rsidRPr="00CD42D0" w:rsidSect="00E57BB4">
      <w:headerReference w:type="default" r:id="rId11"/>
      <w:footerReference w:type="default" r:id="rId12"/>
      <w:headerReference w:type="first" r:id="rId13"/>
      <w:footerReference w:type="first" r:id="rId14"/>
      <w:pgSz w:w="12242" w:h="18722" w:code="14"/>
      <w:pgMar w:top="2552" w:right="1418" w:bottom="1985" w:left="1701" w:header="709"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F0312" w14:textId="77777777" w:rsidR="00FD797D" w:rsidRDefault="00FD797D" w:rsidP="00117091">
      <w:r>
        <w:separator/>
      </w:r>
    </w:p>
  </w:endnote>
  <w:endnote w:type="continuationSeparator" w:id="0">
    <w:p w14:paraId="0E1BF127" w14:textId="77777777" w:rsidR="00FD797D" w:rsidRDefault="00FD797D" w:rsidP="00117091">
      <w:r>
        <w:continuationSeparator/>
      </w:r>
    </w:p>
  </w:endnote>
  <w:endnote w:type="continuationNotice" w:id="1">
    <w:p w14:paraId="385B0158" w14:textId="77777777" w:rsidR="00FD797D" w:rsidRDefault="00FD79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86189E" w14:paraId="22CC7AFE" w14:textId="77777777" w:rsidTr="00B6429B">
      <w:trPr>
        <w:jc w:val="right"/>
      </w:trPr>
      <w:tc>
        <w:tcPr>
          <w:tcW w:w="4795" w:type="dxa"/>
          <w:vAlign w:val="center"/>
        </w:tcPr>
        <w:p w14:paraId="1A1DAD26" w14:textId="77777777" w:rsidR="0086189E" w:rsidRDefault="0086189E" w:rsidP="00B6429B">
          <w:pPr>
            <w:pStyle w:val="Encabezado"/>
            <w:jc w:val="center"/>
            <w:rPr>
              <w:color w:val="767171"/>
              <w:sz w:val="20"/>
              <w:szCs w:val="20"/>
            </w:rPr>
          </w:pPr>
          <w:r w:rsidRPr="00A21194">
            <w:rPr>
              <w:color w:val="767171"/>
              <w:sz w:val="20"/>
              <w:szCs w:val="20"/>
            </w:rPr>
            <w:t>Calle 12 No. 7-65 – Tel: (57-1) 350-6700 – Bogotá D.C. – Colombia</w:t>
          </w:r>
        </w:p>
        <w:p w14:paraId="7F88392F" w14:textId="77777777" w:rsidR="0086189E" w:rsidRPr="00A21194" w:rsidRDefault="0086189E"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2806AAA0" w14:textId="77777777" w:rsidR="0086189E" w:rsidRPr="00B6429B" w:rsidRDefault="0086189E" w:rsidP="00B6429B">
          <w:pPr>
            <w:pStyle w:val="Piedepgina"/>
            <w:jc w:val="center"/>
          </w:pPr>
          <w:r w:rsidRPr="00B6429B">
            <w:fldChar w:fldCharType="begin"/>
          </w:r>
          <w:r w:rsidRPr="00B6429B">
            <w:instrText>PAGE   \* MERGEFORMAT</w:instrText>
          </w:r>
          <w:r w:rsidRPr="00B6429B">
            <w:fldChar w:fldCharType="separate"/>
          </w:r>
          <w:r w:rsidR="00661F6D" w:rsidRPr="00661F6D">
            <w:rPr>
              <w:noProof/>
              <w:lang w:val="es-ES"/>
            </w:rPr>
            <w:t>6</w:t>
          </w:r>
          <w:r w:rsidRPr="00B6429B">
            <w:fldChar w:fldCharType="end"/>
          </w:r>
        </w:p>
      </w:tc>
    </w:tr>
  </w:tbl>
  <w:p w14:paraId="199724F6" w14:textId="77777777" w:rsidR="0086189E" w:rsidRPr="008C0DBE" w:rsidRDefault="0086189E" w:rsidP="00394A69">
    <w:pPr>
      <w:pStyle w:val="Piedepgina"/>
      <w:jc w:val="center"/>
      <w:rPr>
        <w:color w:val="767171"/>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86189E" w14:paraId="1D900BCF" w14:textId="77777777" w:rsidTr="00B6429B">
      <w:trPr>
        <w:jc w:val="right"/>
      </w:trPr>
      <w:tc>
        <w:tcPr>
          <w:tcW w:w="4795" w:type="dxa"/>
          <w:vAlign w:val="center"/>
        </w:tcPr>
        <w:p w14:paraId="505917EF" w14:textId="77777777" w:rsidR="0086189E" w:rsidRDefault="0086189E" w:rsidP="00850A42">
          <w:pPr>
            <w:pStyle w:val="Encabezado"/>
            <w:tabs>
              <w:tab w:val="clear" w:pos="4252"/>
              <w:tab w:val="clear" w:pos="8504"/>
            </w:tabs>
            <w:jc w:val="center"/>
            <w:rPr>
              <w:color w:val="767171"/>
              <w:sz w:val="20"/>
              <w:szCs w:val="20"/>
            </w:rPr>
          </w:pPr>
          <w:r w:rsidRPr="00A21194">
            <w:rPr>
              <w:color w:val="767171"/>
              <w:sz w:val="20"/>
              <w:szCs w:val="20"/>
            </w:rPr>
            <w:t>Calle 12 No. 7-65 – Tel: (57-1) 350-6700 – Bogotá D.C. – Colombia</w:t>
          </w:r>
        </w:p>
        <w:p w14:paraId="04F80AD6" w14:textId="77777777" w:rsidR="0086189E" w:rsidRPr="00A21194" w:rsidRDefault="0086189E" w:rsidP="00850A42">
          <w:pPr>
            <w:pStyle w:val="Encabezado"/>
            <w:tabs>
              <w:tab w:val="clear" w:pos="4252"/>
              <w:tab w:val="clear" w:pos="8504"/>
            </w:tabs>
            <w:jc w:val="center"/>
            <w:rPr>
              <w:caps/>
              <w:color w:val="000000"/>
            </w:rPr>
          </w:pPr>
          <w:r w:rsidRPr="00A21194">
            <w:rPr>
              <w:color w:val="767171"/>
              <w:sz w:val="20"/>
              <w:szCs w:val="20"/>
            </w:rPr>
            <w:t>www.consejodeestado.gov.co</w:t>
          </w:r>
        </w:p>
      </w:tc>
      <w:tc>
        <w:tcPr>
          <w:tcW w:w="250" w:type="pct"/>
          <w:shd w:val="clear" w:color="auto" w:fill="auto"/>
          <w:vAlign w:val="center"/>
        </w:tcPr>
        <w:p w14:paraId="3AC47382" w14:textId="77777777" w:rsidR="0086189E" w:rsidRPr="00B6429B" w:rsidRDefault="0086189E" w:rsidP="00850A42">
          <w:pPr>
            <w:pStyle w:val="Piedepgina"/>
            <w:tabs>
              <w:tab w:val="clear" w:pos="4252"/>
              <w:tab w:val="clear" w:pos="8504"/>
            </w:tabs>
            <w:jc w:val="center"/>
          </w:pPr>
          <w:r w:rsidRPr="00B6429B">
            <w:fldChar w:fldCharType="begin"/>
          </w:r>
          <w:r w:rsidRPr="00B6429B">
            <w:instrText>PAGE   \* MERGEFORMAT</w:instrText>
          </w:r>
          <w:r w:rsidRPr="00B6429B">
            <w:fldChar w:fldCharType="separate"/>
          </w:r>
          <w:r w:rsidR="00661F6D" w:rsidRPr="00661F6D">
            <w:rPr>
              <w:noProof/>
              <w:lang w:val="es-ES"/>
            </w:rPr>
            <w:t>1</w:t>
          </w:r>
          <w:r w:rsidRPr="00B6429B">
            <w:fldChar w:fldCharType="end"/>
          </w:r>
        </w:p>
      </w:tc>
    </w:tr>
  </w:tbl>
  <w:p w14:paraId="3A21C5E9" w14:textId="77777777" w:rsidR="0086189E" w:rsidRDefault="0086189E" w:rsidP="00850A42">
    <w:pPr>
      <w:pStyle w:val="Piedepgina"/>
      <w:tabs>
        <w:tab w:val="clear" w:pos="4252"/>
        <w:tab w:val="clear" w:pos="85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7886E" w14:textId="77777777" w:rsidR="00FD797D" w:rsidRDefault="00FD797D" w:rsidP="00117091">
      <w:r>
        <w:separator/>
      </w:r>
    </w:p>
  </w:footnote>
  <w:footnote w:type="continuationSeparator" w:id="0">
    <w:p w14:paraId="5AE19CF9" w14:textId="77777777" w:rsidR="00FD797D" w:rsidRDefault="00FD797D" w:rsidP="00117091">
      <w:r>
        <w:continuationSeparator/>
      </w:r>
    </w:p>
  </w:footnote>
  <w:footnote w:type="continuationNotice" w:id="1">
    <w:p w14:paraId="41D9655F" w14:textId="77777777" w:rsidR="00FD797D" w:rsidRDefault="00FD797D"/>
  </w:footnote>
  <w:footnote w:id="2">
    <w:p w14:paraId="19224E94" w14:textId="77777777" w:rsidR="000425E9" w:rsidRPr="007F09F8" w:rsidRDefault="000425E9" w:rsidP="000425E9">
      <w:pPr>
        <w:pStyle w:val="Textonotapie"/>
      </w:pPr>
      <w:r>
        <w:rPr>
          <w:rStyle w:val="Refdenotaalpie"/>
        </w:rPr>
        <w:footnoteRef/>
      </w:r>
      <w:r>
        <w:t xml:space="preserve"> Ver, archivo con certificado </w:t>
      </w:r>
      <w:r w:rsidRPr="00C81F8A">
        <w:t>F3FE3503C160ACEA 4D7EE75A2A4B8C57 D96DCE68D30E7281 603BF8F746D3CD98</w:t>
      </w:r>
      <w:r>
        <w:t>.</w:t>
      </w:r>
    </w:p>
  </w:footnote>
  <w:footnote w:id="3">
    <w:p w14:paraId="7515F208" w14:textId="56FAD0CA" w:rsidR="00CB4792" w:rsidRPr="00CB4792" w:rsidRDefault="00CB4792">
      <w:pPr>
        <w:pStyle w:val="Textonotapie"/>
      </w:pPr>
      <w:r>
        <w:rPr>
          <w:rStyle w:val="Refdenotaalpie"/>
        </w:rPr>
        <w:footnoteRef/>
      </w:r>
      <w:r>
        <w:t xml:space="preserve"> Ver, archivo con certificado </w:t>
      </w:r>
      <w:r w:rsidRPr="00CB4792">
        <w:t>24F0FA98FE9F2B80 5153B31F5A6CA6DE 09451209E5E45501 1CEA6E5F95860764</w:t>
      </w:r>
      <w:r>
        <w:t>. pp. 32-</w:t>
      </w:r>
      <w:r w:rsidR="008A145A">
        <w:t>49.</w:t>
      </w:r>
    </w:p>
  </w:footnote>
  <w:footnote w:id="4">
    <w:p w14:paraId="559642A5" w14:textId="66B4D76D" w:rsidR="00737B0A" w:rsidRPr="00737B0A" w:rsidRDefault="00737B0A">
      <w:pPr>
        <w:pStyle w:val="Textonotapie"/>
      </w:pPr>
      <w:r>
        <w:rPr>
          <w:rStyle w:val="Refdenotaalpie"/>
        </w:rPr>
        <w:footnoteRef/>
      </w:r>
      <w:r>
        <w:t xml:space="preserve"> Marca </w:t>
      </w:r>
      <w:proofErr w:type="spellStart"/>
      <w:r w:rsidRPr="00737B0A">
        <w:rPr>
          <w:i/>
          <w:iCs/>
        </w:rPr>
        <w:t>lifeloc</w:t>
      </w:r>
      <w:proofErr w:type="spellEnd"/>
      <w:r w:rsidRPr="00737B0A">
        <w:t xml:space="preserve"> </w:t>
      </w:r>
      <w:r>
        <w:t xml:space="preserve">e </w:t>
      </w:r>
      <w:r w:rsidRPr="00737B0A">
        <w:t>identificado con el número de serial 14350121</w:t>
      </w:r>
      <w:r>
        <w:t>.</w:t>
      </w:r>
    </w:p>
  </w:footnote>
  <w:footnote w:id="5">
    <w:p w14:paraId="0E73C078" w14:textId="09EAA8EA" w:rsidR="00EA16D8" w:rsidRPr="00EA16D8" w:rsidRDefault="00EA16D8">
      <w:pPr>
        <w:pStyle w:val="Textonotapie"/>
      </w:pPr>
      <w:r>
        <w:rPr>
          <w:rStyle w:val="Refdenotaalpie"/>
        </w:rPr>
        <w:footnoteRef/>
      </w:r>
      <w:r>
        <w:t xml:space="preserve"> Sobre ese punto el juzgado indicó: “En este sentido es preciso indicar que si bien a folio 108 aparece un certificado de calibración con vigencia del 6 de noviembre de 2014 al 6 de noviembre de 2015, el mismo [sic] corresponde a un alcoholímetro diferente [nota de pie de página número 7: “Esta [sic] identificado como FC 20 BT 13440085”] al utilizado en la prueba realizada</w:t>
      </w:r>
      <w:r w:rsidR="00737B0A">
        <w:t xml:space="preserve"> al señor Juan Carlos Barragán, sin que en consecuencia se logre acreditar por la administración que el elemento contaba con la calibración vigente exigida por el artículo 4.4.3.1. de la Resolución No. 1183 de 2005, haciéndose hincapié en que dicha documental fue solicitada insistentemente por esta instancia judicial en el trámite procesal pertinente [nota de pie de página número 8: “Ver audiencia inicial (</w:t>
      </w:r>
      <w:r w:rsidR="00661F6D">
        <w:t>fol.</w:t>
      </w:r>
      <w:r w:rsidR="00737B0A">
        <w:t xml:space="preserve"> [sic] 143-146) y de pruebas (Fol. 160-161)”], no obstante la Secretaría de Tránsito, Transporte y Movilidad de Ibagué no allegó un documento diferente al ya mencionado precedentemente”.</w:t>
      </w:r>
    </w:p>
  </w:footnote>
  <w:footnote w:id="6">
    <w:p w14:paraId="7AC74BDE" w14:textId="0A9DABAF" w:rsidR="004B5826" w:rsidRPr="004B5826" w:rsidRDefault="004B5826">
      <w:pPr>
        <w:pStyle w:val="Textonotapie"/>
      </w:pPr>
      <w:r>
        <w:rPr>
          <w:rStyle w:val="Refdenotaalpie"/>
        </w:rPr>
        <w:footnoteRef/>
      </w:r>
      <w:r>
        <w:t xml:space="preserve"> </w:t>
      </w:r>
      <w:r w:rsidRPr="004B5826">
        <w:t>Ver, archivo con c</w:t>
      </w:r>
      <w:r>
        <w:t xml:space="preserve">ertificado </w:t>
      </w:r>
      <w:r w:rsidRPr="004B5826">
        <w:t>24F0FA98FE9F2B80 5153B31F5A6CA6DE 09451209E5E45501 1CEA6E5F95860764</w:t>
      </w:r>
      <w:r>
        <w:t>, pp. 50-65.</w:t>
      </w:r>
    </w:p>
  </w:footnote>
  <w:footnote w:id="7">
    <w:p w14:paraId="54F23ACB" w14:textId="2CC44C8F" w:rsidR="00855A04" w:rsidRPr="00855A04" w:rsidRDefault="00855A04">
      <w:pPr>
        <w:pStyle w:val="Textonotapie"/>
      </w:pPr>
      <w:r>
        <w:rPr>
          <w:rStyle w:val="Refdenotaalpie"/>
        </w:rPr>
        <w:footnoteRef/>
      </w:r>
      <w:r>
        <w:t xml:space="preserve"> </w:t>
      </w:r>
      <w:r w:rsidRPr="00855A04">
        <w:t>Esta ordena que “[c]</w:t>
      </w:r>
      <w:proofErr w:type="spellStart"/>
      <w:r w:rsidRPr="00855A04">
        <w:t>omo</w:t>
      </w:r>
      <w:proofErr w:type="spellEnd"/>
      <w:r w:rsidRPr="00855A04">
        <w:t xml:space="preserve"> parte del control de calidad del método, antes de efectuar una prueba al examinado, se debe realizar un control negativo (blanco-</w:t>
      </w:r>
      <w:proofErr w:type="spellStart"/>
      <w:r w:rsidRPr="00855A04">
        <w:t>blank</w:t>
      </w:r>
      <w:proofErr w:type="spellEnd"/>
      <w:r w:rsidRPr="00855A04">
        <w:t xml:space="preserve">), es decir, de un ambiente libre de etanol 110, siguiendo las recomendaciones del fabricante para tal efecto. El resultado de este control negativo debe ser 0.00; de no ser así no se debe continuar con la prueba y sería necesario utilizar otro </w:t>
      </w:r>
      <w:proofErr w:type="spellStart"/>
      <w:r w:rsidRPr="00855A04">
        <w:t>alcohosensor</w:t>
      </w:r>
      <w:proofErr w:type="spellEnd"/>
      <w:r w:rsidRPr="00855A04">
        <w:t xml:space="preserve"> o recolectar muestra de sangre para análisis de alcoholemia en el laboratorio”.</w:t>
      </w:r>
    </w:p>
  </w:footnote>
  <w:footnote w:id="8">
    <w:p w14:paraId="320833F8" w14:textId="5303C801" w:rsidR="0086189E" w:rsidRPr="00F77BC5" w:rsidRDefault="0086189E" w:rsidP="002421C8">
      <w:pPr>
        <w:pStyle w:val="Textonotapie"/>
      </w:pPr>
      <w:r w:rsidRPr="00F77BC5">
        <w:rPr>
          <w:rStyle w:val="Refdenotaalpie"/>
          <w:szCs w:val="16"/>
        </w:rPr>
        <w:footnoteRef/>
      </w:r>
      <w:r w:rsidRPr="00F77BC5">
        <w:t xml:space="preserve"> Ver, archivo con certificado </w:t>
      </w:r>
      <w:r w:rsidR="00F7745B" w:rsidRPr="00F7745B">
        <w:t>1854B77F89AEA7B0 71B80DCC1D110D16 24CB6A927E7DC441 0B3F9BEE3D1A084A</w:t>
      </w:r>
      <w:r w:rsidRPr="00F77BC5">
        <w:t>.</w:t>
      </w:r>
    </w:p>
  </w:footnote>
  <w:footnote w:id="9">
    <w:p w14:paraId="28E4A5DE" w14:textId="6423718E" w:rsidR="00181AF9" w:rsidRPr="00181AF9" w:rsidRDefault="00181AF9" w:rsidP="002421C8">
      <w:pPr>
        <w:pStyle w:val="Textonotapie"/>
      </w:pPr>
      <w:r>
        <w:rPr>
          <w:rStyle w:val="Refdenotaalpie"/>
        </w:rPr>
        <w:footnoteRef/>
      </w:r>
      <w:r>
        <w:t xml:space="preserve"> </w:t>
      </w:r>
      <w:r w:rsidRPr="00181AF9">
        <w:t>Ver, archivo con certificado</w:t>
      </w:r>
      <w:r>
        <w:t xml:space="preserve"> </w:t>
      </w:r>
      <w:r w:rsidR="00DA4C59" w:rsidRPr="00DA4C59">
        <w:t>3CD649EF923CE7D3 175A567D72B9D824 8E44217C8CA24BFC 01796B239F25A7F0</w:t>
      </w:r>
      <w:r>
        <w:t>.</w:t>
      </w:r>
    </w:p>
  </w:footnote>
  <w:footnote w:id="10">
    <w:p w14:paraId="7CCCF946" w14:textId="3D22F1F8" w:rsidR="00181AF9" w:rsidRPr="00181AF9" w:rsidRDefault="00181AF9" w:rsidP="002421C8">
      <w:pPr>
        <w:pStyle w:val="Textonotapie"/>
      </w:pPr>
      <w:r>
        <w:rPr>
          <w:rStyle w:val="Refdenotaalpie"/>
        </w:rPr>
        <w:footnoteRef/>
      </w:r>
      <w:r>
        <w:t xml:space="preserve"> </w:t>
      </w:r>
      <w:r w:rsidRPr="00181AF9">
        <w:t>Ver, archivo con certificado</w:t>
      </w:r>
      <w:r>
        <w:t xml:space="preserve"> </w:t>
      </w:r>
      <w:r w:rsidR="00A24C95" w:rsidRPr="00A24C95">
        <w:t>B4C7EF4F50D50227 517D26880B6D83C4 B25AA3D32E98E235 735719EFA3FFEE6E</w:t>
      </w:r>
      <w:r>
        <w:t>.</w:t>
      </w:r>
    </w:p>
  </w:footnote>
  <w:footnote w:id="11">
    <w:p w14:paraId="43E8A540" w14:textId="77777777" w:rsidR="00825DF0" w:rsidRPr="00F77BC5" w:rsidRDefault="00825DF0" w:rsidP="002421C8">
      <w:pPr>
        <w:pStyle w:val="Textonotapie"/>
        <w:rPr>
          <w:szCs w:val="16"/>
        </w:rPr>
      </w:pPr>
      <w:r w:rsidRPr="00F77BC5">
        <w:rPr>
          <w:rStyle w:val="Refdenotaalpie"/>
          <w:szCs w:val="16"/>
        </w:rPr>
        <w:footnoteRef/>
      </w:r>
      <w:r w:rsidRPr="00F77BC5">
        <w:rPr>
          <w:szCs w:val="16"/>
        </w:rPr>
        <w:t xml:space="preserve"> “Por medio del cual se modificó el reglamento interno del Consejo de Estado”.</w:t>
      </w:r>
    </w:p>
  </w:footnote>
  <w:footnote w:id="12">
    <w:p w14:paraId="3C3F54C2" w14:textId="77777777" w:rsidR="00DA00CC" w:rsidRPr="004053F0" w:rsidRDefault="00DA00CC" w:rsidP="002421C8">
      <w:pPr>
        <w:pStyle w:val="Textonotapie"/>
        <w:rPr>
          <w:szCs w:val="16"/>
          <w:lang w:val="fr-FR"/>
        </w:rPr>
      </w:pPr>
      <w:r w:rsidRPr="004053F0">
        <w:rPr>
          <w:rStyle w:val="Refdenotaalpie"/>
          <w:szCs w:val="16"/>
        </w:rPr>
        <w:footnoteRef/>
      </w:r>
      <w:r w:rsidRPr="004053F0">
        <w:rPr>
          <w:szCs w:val="16"/>
        </w:rPr>
        <w:t xml:space="preserve"> La legitimación en la causa por activa es exigencia contenida en la jurisprudencia de la Corte Constitucional. Al respecto, puede consultarse el siguiente fallo: </w:t>
      </w:r>
      <w:bookmarkStart w:id="2" w:name="_Hlk30924782"/>
      <w:r w:rsidRPr="004053F0">
        <w:rPr>
          <w:szCs w:val="16"/>
        </w:rPr>
        <w:t xml:space="preserve">Corte Constitucional. Sentencia T-511 de 2017. Dicha </w:t>
      </w:r>
      <w:bookmarkEnd w:id="2"/>
      <w:r w:rsidRPr="004053F0">
        <w:rPr>
          <w:szCs w:val="16"/>
        </w:rPr>
        <w:t xml:space="preserve">decisión judicial se soporta en las siguientes sentencias: Corte Constitucional. </w:t>
      </w:r>
      <w:r w:rsidRPr="004053F0">
        <w:rPr>
          <w:szCs w:val="16"/>
          <w:lang w:val="fr-FR"/>
        </w:rPr>
        <w:t xml:space="preserve">Sentencias T-416 de </w:t>
      </w:r>
      <w:proofErr w:type="gramStart"/>
      <w:r w:rsidRPr="004053F0">
        <w:rPr>
          <w:szCs w:val="16"/>
          <w:lang w:val="fr-FR"/>
        </w:rPr>
        <w:t>1997;</w:t>
      </w:r>
      <w:proofErr w:type="gramEnd"/>
      <w:r w:rsidRPr="004053F0">
        <w:rPr>
          <w:szCs w:val="16"/>
          <w:lang w:val="fr-FR"/>
        </w:rPr>
        <w:t xml:space="preserve"> T-086 de 2016; T-176 de 2011; T-435 de 2016, y SU-454 de 2016.</w:t>
      </w:r>
    </w:p>
  </w:footnote>
  <w:footnote w:id="13">
    <w:p w14:paraId="0E999B01" w14:textId="77777777" w:rsidR="00C34747" w:rsidRPr="000F516F" w:rsidRDefault="00C34747" w:rsidP="00C34747">
      <w:pPr>
        <w:pStyle w:val="Textonotapie"/>
        <w:rPr>
          <w:szCs w:val="16"/>
        </w:rPr>
      </w:pPr>
      <w:r w:rsidRPr="000F516F">
        <w:rPr>
          <w:rStyle w:val="Refdenotaalpie"/>
          <w:szCs w:val="16"/>
        </w:rPr>
        <w:footnoteRef/>
      </w:r>
      <w:r w:rsidRPr="000F516F">
        <w:rPr>
          <w:szCs w:val="16"/>
        </w:rPr>
        <w:t xml:space="preserve"> </w:t>
      </w:r>
      <w:r>
        <w:rPr>
          <w:szCs w:val="16"/>
        </w:rPr>
        <w:t xml:space="preserve">Así ha dicho la Corte Constitucional: </w:t>
      </w:r>
      <w:r w:rsidRPr="000F516F">
        <w:rPr>
          <w:szCs w:val="16"/>
        </w:rPr>
        <w:t>“</w:t>
      </w:r>
      <w:r>
        <w:rPr>
          <w:szCs w:val="16"/>
        </w:rPr>
        <w:t>l</w:t>
      </w:r>
      <w:r w:rsidRPr="000F516F">
        <w:rPr>
          <w:szCs w:val="16"/>
        </w:rPr>
        <w:t xml:space="preserve">os fundamentos de una decisión de tutela contra una sentencia judicial deben aclarar con transparencia la relevancia </w:t>
      </w:r>
      <w:r w:rsidRPr="000F516F">
        <w:rPr>
          <w:i/>
          <w:iCs/>
          <w:szCs w:val="16"/>
        </w:rPr>
        <w:t>iusfundamental</w:t>
      </w:r>
      <w:r w:rsidRPr="000F516F">
        <w:rPr>
          <w:szCs w:val="16"/>
        </w:rPr>
        <w:t xml:space="preserve"> del punto que se discute y el juez debe contraerse a estudiar esta cuestión y ninguna otra. No se trata entonces de un mecanismo que permita al juez constitucional ordenar la anulación de decisiones que no comparte o suplantar al juez ordinario en su tarea de interpretar el derecho legislado y evaluar las pruebas del caso. De lo que se trata es de un mecanismo excepcional, subsidiario y residual para proteger los derechos fundamentales de quien […] se encuentra en condición de indefensión y que permite la aplicación uniforme y coherente – es decir segura y en condiciones de igualdad – de los derechos fundamentales a los distintos ámbitos del derecho”. Corte Constitucional. Sentencia C-590 de 2005”.</w:t>
      </w:r>
    </w:p>
  </w:footnote>
  <w:footnote w:id="14">
    <w:p w14:paraId="35DC3581" w14:textId="77777777" w:rsidR="00C34747" w:rsidRPr="000F516F" w:rsidRDefault="00C34747" w:rsidP="00C34747">
      <w:pPr>
        <w:pStyle w:val="Textonotapie"/>
        <w:rPr>
          <w:szCs w:val="16"/>
        </w:rPr>
      </w:pPr>
      <w:r w:rsidRPr="000F516F">
        <w:rPr>
          <w:rStyle w:val="Refdenotaalpie"/>
          <w:szCs w:val="16"/>
        </w:rPr>
        <w:footnoteRef/>
      </w:r>
      <w:r w:rsidRPr="000F516F">
        <w:rPr>
          <w:szCs w:val="16"/>
        </w:rPr>
        <w:t xml:space="preserve"> “No se trata de convertir la tutela en un mecanismo ritualista, sino de exigir una actuación razonable para conciliar la protección eficaz de los derechos fundamentales, con los principios y valores en juego, al controvertir una providencia judicial”. Corte Constitucional. Sentencia T-066 de 2019.</w:t>
      </w:r>
    </w:p>
  </w:footnote>
  <w:footnote w:id="15">
    <w:p w14:paraId="5BFD5BEB" w14:textId="77777777" w:rsidR="00C34747" w:rsidRPr="000F516F" w:rsidRDefault="00C34747" w:rsidP="00C34747">
      <w:pPr>
        <w:pStyle w:val="Textonotapie"/>
        <w:rPr>
          <w:szCs w:val="16"/>
        </w:rPr>
      </w:pPr>
      <w:r w:rsidRPr="000F516F">
        <w:rPr>
          <w:rStyle w:val="Refdenotaalpie"/>
          <w:szCs w:val="16"/>
        </w:rPr>
        <w:footnoteRef/>
      </w:r>
      <w:r w:rsidRPr="000F516F">
        <w:rPr>
          <w:szCs w:val="16"/>
        </w:rPr>
        <w:t xml:space="preserve"> Consejo de Estado, Sala de lo Contencioso Administrativo, Sección Tercera, Subsección C. Sentencias del 21 de febrero de 2020, expediente n.° 2019-5066-00, y 4 de mayo de 2020, expediente n.° 2020-836-00.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22CBC" w14:textId="77777777" w:rsidR="0086189E" w:rsidRPr="00A15ACE" w:rsidRDefault="0086189E" w:rsidP="00203055">
    <w:pPr>
      <w:pStyle w:val="Encabezado"/>
      <w:tabs>
        <w:tab w:val="clear" w:pos="4252"/>
        <w:tab w:val="clear" w:pos="8504"/>
      </w:tabs>
    </w:pPr>
    <w:r>
      <w:rPr>
        <w:noProof/>
        <w:lang w:eastAsia="es-CO"/>
      </w:rPr>
      <w:drawing>
        <wp:anchor distT="0" distB="0" distL="114300" distR="114300" simplePos="0" relativeHeight="251689984" behindDoc="0" locked="0" layoutInCell="1" allowOverlap="1" wp14:anchorId="428F8081" wp14:editId="1641B60C">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7AF10C" w14:textId="77777777" w:rsidR="0086189E" w:rsidRPr="00A15ACE" w:rsidRDefault="0086189E" w:rsidP="00203055">
    <w:pPr>
      <w:pStyle w:val="Encabezado"/>
      <w:tabs>
        <w:tab w:val="clear" w:pos="4252"/>
        <w:tab w:val="clear" w:pos="8504"/>
      </w:tabs>
    </w:pPr>
  </w:p>
  <w:p w14:paraId="2A7E67E0" w14:textId="77777777" w:rsidR="0086189E" w:rsidRPr="00A15ACE" w:rsidRDefault="0086189E" w:rsidP="00203055">
    <w:pPr>
      <w:pStyle w:val="Encabezado"/>
      <w:tabs>
        <w:tab w:val="clear" w:pos="4252"/>
        <w:tab w:val="clear" w:pos="8504"/>
      </w:tabs>
    </w:pPr>
    <w:r w:rsidRPr="0070023E">
      <w:rPr>
        <w:noProof/>
        <w:sz w:val="20"/>
        <w:szCs w:val="20"/>
        <w:lang w:eastAsia="es-CO"/>
      </w:rPr>
      <mc:AlternateContent>
        <mc:Choice Requires="wps">
          <w:drawing>
            <wp:anchor distT="0" distB="0" distL="114300" distR="114300" simplePos="0" relativeHeight="251656192" behindDoc="0" locked="0" layoutInCell="1" allowOverlap="1" wp14:anchorId="71F1B463" wp14:editId="60A2257C">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0C10D07"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C6TFc10AEAAIsDAAAO&#10;AAAAAAAAAAAAAAAAAC4CAABkcnMvZTJvRG9jLnhtbFBLAQItABQABgAIAAAAIQAgexct3AAAAAgB&#10;AAAPAAAAAAAAAAAAAAAAACoEAABkcnMvZG93bnJldi54bWxQSwUGAAAAAAQABADzAAAAMwUAAAAA&#10;" strokeweight="2.25pt">
              <v:shadow color="#1f3763" opacity=".5" offset="1pt"/>
            </v:shape>
          </w:pict>
        </mc:Fallback>
      </mc:AlternateContent>
    </w:r>
  </w:p>
  <w:p w14:paraId="4E63C26F" w14:textId="26006F67" w:rsidR="0086189E" w:rsidRPr="00F532EA" w:rsidRDefault="0086189E" w:rsidP="00203055">
    <w:pPr>
      <w:pStyle w:val="Encabezado"/>
      <w:tabs>
        <w:tab w:val="clear" w:pos="4252"/>
        <w:tab w:val="clear" w:pos="8504"/>
      </w:tabs>
      <w:jc w:val="right"/>
      <w:rPr>
        <w:color w:val="767171"/>
        <w:sz w:val="20"/>
        <w:szCs w:val="20"/>
      </w:rPr>
    </w:pPr>
    <w:r w:rsidRPr="00F532EA">
      <w:rPr>
        <w:color w:val="767171"/>
        <w:sz w:val="20"/>
        <w:szCs w:val="20"/>
      </w:rPr>
      <w:t xml:space="preserve">Radicado: </w:t>
    </w:r>
    <w:r w:rsidRPr="007B3B39">
      <w:rPr>
        <w:color w:val="767171"/>
        <w:sz w:val="20"/>
        <w:szCs w:val="20"/>
      </w:rPr>
      <w:t>11001-03-15-000-202</w:t>
    </w:r>
    <w:r w:rsidR="00D558DF">
      <w:rPr>
        <w:color w:val="767171"/>
        <w:sz w:val="20"/>
        <w:szCs w:val="20"/>
      </w:rPr>
      <w:t>1</w:t>
    </w:r>
    <w:r w:rsidRPr="007B3B39">
      <w:rPr>
        <w:color w:val="767171"/>
        <w:sz w:val="20"/>
        <w:szCs w:val="20"/>
      </w:rPr>
      <w:t>-0</w:t>
    </w:r>
    <w:r w:rsidR="000C685C">
      <w:rPr>
        <w:color w:val="767171"/>
        <w:sz w:val="20"/>
        <w:szCs w:val="20"/>
      </w:rPr>
      <w:t>3</w:t>
    </w:r>
    <w:r w:rsidR="00CB4792">
      <w:rPr>
        <w:color w:val="767171"/>
        <w:sz w:val="20"/>
        <w:szCs w:val="20"/>
      </w:rPr>
      <w:t>278</w:t>
    </w:r>
    <w:r w:rsidRPr="007B3B39">
      <w:rPr>
        <w:color w:val="767171"/>
        <w:sz w:val="20"/>
        <w:szCs w:val="20"/>
      </w:rPr>
      <w:t>-00</w:t>
    </w:r>
  </w:p>
  <w:p w14:paraId="6426EFCB" w14:textId="39F71E16" w:rsidR="0086189E" w:rsidRPr="00C4675E" w:rsidRDefault="0086189E" w:rsidP="00203055">
    <w:pPr>
      <w:pStyle w:val="Encabezado"/>
      <w:tabs>
        <w:tab w:val="clear" w:pos="4252"/>
        <w:tab w:val="clear" w:pos="8504"/>
      </w:tabs>
      <w:jc w:val="right"/>
      <w:rPr>
        <w:color w:val="767171"/>
        <w:sz w:val="20"/>
        <w:szCs w:val="20"/>
      </w:rPr>
    </w:pPr>
    <w:r w:rsidRPr="00F532EA">
      <w:rPr>
        <w:color w:val="767171"/>
        <w:sz w:val="20"/>
        <w:szCs w:val="20"/>
      </w:rPr>
      <w:tab/>
    </w:r>
    <w:r w:rsidRPr="00F532EA">
      <w:rPr>
        <w:color w:val="767171"/>
        <w:sz w:val="20"/>
        <w:szCs w:val="20"/>
      </w:rPr>
      <w:tab/>
    </w:r>
    <w:r>
      <w:rPr>
        <w:color w:val="767171"/>
        <w:sz w:val="20"/>
        <w:szCs w:val="20"/>
      </w:rPr>
      <w:t>Accionante:</w:t>
    </w:r>
    <w:r w:rsidR="00CB4792">
      <w:rPr>
        <w:color w:val="767171"/>
        <w:sz w:val="20"/>
        <w:szCs w:val="20"/>
      </w:rPr>
      <w:t xml:space="preserve"> Juan Carlos Barragán Quintero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9586D" w14:textId="77777777" w:rsidR="0086189E" w:rsidRPr="00A15ACE" w:rsidRDefault="0086189E" w:rsidP="00850A42">
    <w:pPr>
      <w:pStyle w:val="Encabezado"/>
      <w:tabs>
        <w:tab w:val="clear" w:pos="4252"/>
        <w:tab w:val="clear" w:pos="8504"/>
      </w:tabs>
    </w:pPr>
    <w:r>
      <w:rPr>
        <w:noProof/>
        <w:lang w:eastAsia="es-CO"/>
      </w:rPr>
      <w:drawing>
        <wp:anchor distT="0" distB="0" distL="114300" distR="114300" simplePos="0" relativeHeight="251658752" behindDoc="0" locked="0" layoutInCell="1" allowOverlap="1" wp14:anchorId="4784F910" wp14:editId="5353ADAF">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E24182" w14:textId="77777777" w:rsidR="0086189E" w:rsidRPr="00A15ACE" w:rsidRDefault="0086189E" w:rsidP="00850A42">
    <w:pPr>
      <w:pStyle w:val="Encabezado"/>
      <w:tabs>
        <w:tab w:val="clear" w:pos="4252"/>
        <w:tab w:val="clear" w:pos="8504"/>
      </w:tabs>
      <w:rPr>
        <w:color w:val="767171"/>
      </w:rPr>
    </w:pPr>
  </w:p>
  <w:p w14:paraId="27F8185B" w14:textId="77777777" w:rsidR="0086189E" w:rsidRPr="007F276C" w:rsidRDefault="0086189E" w:rsidP="0013277B">
    <w:pPr>
      <w:pStyle w:val="Sinespaciado"/>
    </w:pPr>
    <w:r w:rsidRPr="007F276C">
      <w:t>CONSEJO DE ESTADO</w:t>
    </w:r>
  </w:p>
  <w:p w14:paraId="73CB25C2" w14:textId="77777777" w:rsidR="0086189E" w:rsidRPr="007F276C" w:rsidRDefault="0086189E" w:rsidP="0013277B">
    <w:pPr>
      <w:pStyle w:val="Sinespaciado"/>
    </w:pPr>
    <w:r w:rsidRPr="007F276C">
      <w:t>SALA DE LO CONTENCIOSO ADMINISTRATIVO</w:t>
    </w:r>
  </w:p>
  <w:p w14:paraId="53748759" w14:textId="77777777" w:rsidR="0086189E" w:rsidRPr="007F276C" w:rsidRDefault="0086189E" w:rsidP="0013277B">
    <w:pPr>
      <w:pStyle w:val="Sinespaciado"/>
    </w:pPr>
    <w:r w:rsidRPr="007F276C">
      <w:t>SECCIÓN TERCERA – SUBSECCIÓN C</w:t>
    </w:r>
  </w:p>
  <w:p w14:paraId="3879558C" w14:textId="77777777" w:rsidR="0086189E" w:rsidRDefault="0086189E" w:rsidP="00850A42">
    <w:pPr>
      <w:pStyle w:val="Encabezado"/>
      <w:tabs>
        <w:tab w:val="clear" w:pos="4252"/>
        <w:tab w:val="clear"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5A68"/>
    <w:multiLevelType w:val="hybridMultilevel"/>
    <w:tmpl w:val="1D9AF256"/>
    <w:lvl w:ilvl="0" w:tplc="71C62E9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21E16"/>
    <w:multiLevelType w:val="multilevel"/>
    <w:tmpl w:val="7774FE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 w15:restartNumberingAfterBreak="0">
    <w:nsid w:val="07701001"/>
    <w:multiLevelType w:val="multilevel"/>
    <w:tmpl w:val="3AF081F4"/>
    <w:lvl w:ilvl="0">
      <w:start w:val="1"/>
      <w:numFmt w:val="decimal"/>
      <w:lvlText w:val="%1."/>
      <w:lvlJc w:val="left"/>
      <w:pPr>
        <w:ind w:left="360" w:hanging="360"/>
      </w:pPr>
      <w:rPr>
        <w:rFonts w:hint="default"/>
      </w:rPr>
    </w:lvl>
    <w:lvl w:ilvl="1">
      <w:start w:val="1"/>
      <w:numFmt w:val="none"/>
      <w:lvlText w:val="2.5."/>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E521F5"/>
    <w:multiLevelType w:val="hybridMultilevel"/>
    <w:tmpl w:val="481CAEE8"/>
    <w:lvl w:ilvl="0" w:tplc="43FA3ECA">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211DA"/>
    <w:multiLevelType w:val="hybridMultilevel"/>
    <w:tmpl w:val="BE2E816C"/>
    <w:lvl w:ilvl="0" w:tplc="DF2073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4CA410E"/>
    <w:multiLevelType w:val="hybridMultilevel"/>
    <w:tmpl w:val="619AC48C"/>
    <w:lvl w:ilvl="0" w:tplc="0652F7D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C1349"/>
    <w:multiLevelType w:val="hybridMultilevel"/>
    <w:tmpl w:val="BB30B85A"/>
    <w:lvl w:ilvl="0" w:tplc="0C94FA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7F2A4B"/>
    <w:multiLevelType w:val="hybridMultilevel"/>
    <w:tmpl w:val="8A123A5C"/>
    <w:lvl w:ilvl="0" w:tplc="7FF8CA56">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617264"/>
    <w:multiLevelType w:val="multilevel"/>
    <w:tmpl w:val="7774FE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0"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D374F73"/>
    <w:multiLevelType w:val="multilevel"/>
    <w:tmpl w:val="ABAEDE02"/>
    <w:lvl w:ilvl="0">
      <w:start w:val="1"/>
      <w:numFmt w:val="upperRoman"/>
      <w:pStyle w:val="Ttulo1"/>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7265EF3"/>
    <w:multiLevelType w:val="multilevel"/>
    <w:tmpl w:val="ABAEDE02"/>
    <w:numStyleLink w:val="Estilo1"/>
  </w:abstractNum>
  <w:abstractNum w:abstractNumId="13" w15:restartNumberingAfterBreak="0">
    <w:nsid w:val="3A407B3E"/>
    <w:multiLevelType w:val="hybridMultilevel"/>
    <w:tmpl w:val="8ED03882"/>
    <w:lvl w:ilvl="0" w:tplc="6C1E3D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0C57DD"/>
    <w:multiLevelType w:val="hybridMultilevel"/>
    <w:tmpl w:val="05C47AA8"/>
    <w:lvl w:ilvl="0" w:tplc="8D1A8BA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EC1398C"/>
    <w:multiLevelType w:val="hybridMultilevel"/>
    <w:tmpl w:val="E0D4C2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48C7B9A"/>
    <w:multiLevelType w:val="multilevel"/>
    <w:tmpl w:val="ABAEDE02"/>
    <w:styleLink w:val="Estilo1"/>
    <w:lvl w:ilvl="0">
      <w:start w:val="3"/>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3A70353"/>
    <w:multiLevelType w:val="hybridMultilevel"/>
    <w:tmpl w:val="43100F48"/>
    <w:lvl w:ilvl="0" w:tplc="6396DC70">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090510"/>
    <w:multiLevelType w:val="hybridMultilevel"/>
    <w:tmpl w:val="865A96CA"/>
    <w:lvl w:ilvl="0" w:tplc="A8CE6A8A">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1" w15:restartNumberingAfterBreak="0">
    <w:nsid w:val="5F2A282F"/>
    <w:multiLevelType w:val="hybridMultilevel"/>
    <w:tmpl w:val="B10A7E36"/>
    <w:lvl w:ilvl="0" w:tplc="9FCAA5CA">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C41244"/>
    <w:multiLevelType w:val="multilevel"/>
    <w:tmpl w:val="771C0008"/>
    <w:lvl w:ilvl="0">
      <w:start w:val="1"/>
      <w:numFmt w:val="ordinalText"/>
      <w:lvlText w:val="%1."/>
      <w:lvlJc w:val="left"/>
      <w:pPr>
        <w:ind w:left="0" w:firstLine="0"/>
      </w:pPr>
      <w:rPr>
        <w:rFonts w:ascii="Arial" w:hAnsi="Arial" w:hint="default"/>
        <w:b/>
        <w:i w:val="0"/>
        <w:caps/>
        <w:strike w:val="0"/>
        <w:dstrike w:val="0"/>
        <w:vanish w:val="0"/>
        <w:sz w:val="24"/>
        <w:vertAlign w:val="baseline"/>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3" w15:restartNumberingAfterBreak="0">
    <w:nsid w:val="64BD6038"/>
    <w:multiLevelType w:val="multilevel"/>
    <w:tmpl w:val="A8E846F4"/>
    <w:lvl w:ilvl="0">
      <w:start w:val="1"/>
      <w:numFmt w:val="decimal"/>
      <w:lvlText w:val="%1."/>
      <w:lvlJc w:val="left"/>
      <w:pPr>
        <w:ind w:left="360" w:hanging="360"/>
      </w:pPr>
      <w:rPr>
        <w:rFonts w:hint="default"/>
      </w:rPr>
    </w:lvl>
    <w:lvl w:ilvl="1">
      <w:start w:val="1"/>
      <w:numFmt w:val="none"/>
      <w:lvlText w:val="2.6."/>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87C2289"/>
    <w:multiLevelType w:val="multilevel"/>
    <w:tmpl w:val="4DA05710"/>
    <w:lvl w:ilvl="0">
      <w:start w:val="1"/>
      <w:numFmt w:val="decimal"/>
      <w:lvlText w:val="%1."/>
      <w:lvlJc w:val="left"/>
      <w:pPr>
        <w:ind w:left="360" w:hanging="360"/>
      </w:pPr>
      <w:rPr>
        <w:rFonts w:hint="default"/>
      </w:rPr>
    </w:lvl>
    <w:lvl w:ilvl="1">
      <w:start w:val="1"/>
      <w:numFmt w:val="none"/>
      <w:lvlText w:val="2.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B16B14"/>
    <w:multiLevelType w:val="hybridMultilevel"/>
    <w:tmpl w:val="51549D50"/>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F1D7296"/>
    <w:multiLevelType w:val="hybridMultilevel"/>
    <w:tmpl w:val="7474F05E"/>
    <w:lvl w:ilvl="0" w:tplc="B42222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47252D"/>
    <w:multiLevelType w:val="hybridMultilevel"/>
    <w:tmpl w:val="3E9EAA42"/>
    <w:lvl w:ilvl="0" w:tplc="AA90D0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43753C"/>
    <w:multiLevelType w:val="multilevel"/>
    <w:tmpl w:val="AAA6266E"/>
    <w:lvl w:ilvl="0">
      <w:start w:val="1"/>
      <w:numFmt w:val="decimal"/>
      <w:lvlText w:val="%1."/>
      <w:lvlJc w:val="left"/>
      <w:pPr>
        <w:ind w:left="360" w:hanging="360"/>
      </w:pPr>
      <w:rPr>
        <w:rFonts w:hint="default"/>
      </w:rPr>
    </w:lvl>
    <w:lvl w:ilvl="1">
      <w:start w:val="1"/>
      <w:numFmt w:val="none"/>
      <w:lvlText w:val="2.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0"/>
  </w:num>
  <w:num w:numId="5">
    <w:abstractNumId w:val="11"/>
  </w:num>
  <w:num w:numId="6">
    <w:abstractNumId w:val="26"/>
  </w:num>
  <w:num w:numId="7">
    <w:abstractNumId w:val="17"/>
  </w:num>
  <w:num w:numId="8">
    <w:abstractNumId w:val="15"/>
  </w:num>
  <w:num w:numId="9">
    <w:abstractNumId w:val="16"/>
  </w:num>
  <w:num w:numId="10">
    <w:abstractNumId w:val="12"/>
  </w:num>
  <w:num w:numId="11">
    <w:abstractNumId w:val="7"/>
  </w:num>
  <w:num w:numId="12">
    <w:abstractNumId w:val="13"/>
  </w:num>
  <w:num w:numId="13">
    <w:abstractNumId w:val="8"/>
  </w:num>
  <w:num w:numId="14">
    <w:abstractNumId w:val="24"/>
  </w:num>
  <w:num w:numId="15">
    <w:abstractNumId w:val="2"/>
  </w:num>
  <w:num w:numId="16">
    <w:abstractNumId w:val="23"/>
  </w:num>
  <w:num w:numId="17">
    <w:abstractNumId w:val="29"/>
  </w:num>
  <w:num w:numId="18">
    <w:abstractNumId w:val="27"/>
  </w:num>
  <w:num w:numId="19">
    <w:abstractNumId w:val="21"/>
  </w:num>
  <w:num w:numId="20">
    <w:abstractNumId w:val="3"/>
  </w:num>
  <w:num w:numId="21">
    <w:abstractNumId w:val="4"/>
  </w:num>
  <w:num w:numId="22">
    <w:abstractNumId w:val="22"/>
  </w:num>
  <w:num w:numId="23">
    <w:abstractNumId w:val="14"/>
  </w:num>
  <w:num w:numId="24">
    <w:abstractNumId w:val="0"/>
  </w:num>
  <w:num w:numId="25">
    <w:abstractNumId w:val="9"/>
  </w:num>
  <w:num w:numId="26">
    <w:abstractNumId w:val="19"/>
  </w:num>
  <w:num w:numId="27">
    <w:abstractNumId w:val="25"/>
  </w:num>
  <w:num w:numId="28">
    <w:abstractNumId w:val="28"/>
  </w:num>
  <w:num w:numId="29">
    <w:abstractNumId w:val="18"/>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241"/>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2646"/>
    <w:rsid w:val="00002BCB"/>
    <w:rsid w:val="00003427"/>
    <w:rsid w:val="00003548"/>
    <w:rsid w:val="00003A4C"/>
    <w:rsid w:val="000042FA"/>
    <w:rsid w:val="00006D3C"/>
    <w:rsid w:val="000078E1"/>
    <w:rsid w:val="00007CCA"/>
    <w:rsid w:val="00007FB3"/>
    <w:rsid w:val="00011912"/>
    <w:rsid w:val="0001211B"/>
    <w:rsid w:val="0001294D"/>
    <w:rsid w:val="0001306A"/>
    <w:rsid w:val="00013229"/>
    <w:rsid w:val="00013E47"/>
    <w:rsid w:val="000148D2"/>
    <w:rsid w:val="00014967"/>
    <w:rsid w:val="00014C90"/>
    <w:rsid w:val="00014D69"/>
    <w:rsid w:val="00016594"/>
    <w:rsid w:val="000165D0"/>
    <w:rsid w:val="0001778E"/>
    <w:rsid w:val="00017CB3"/>
    <w:rsid w:val="000205FD"/>
    <w:rsid w:val="00020C81"/>
    <w:rsid w:val="00020F1D"/>
    <w:rsid w:val="00021439"/>
    <w:rsid w:val="00024CD3"/>
    <w:rsid w:val="00024ED7"/>
    <w:rsid w:val="00025115"/>
    <w:rsid w:val="00025159"/>
    <w:rsid w:val="00025657"/>
    <w:rsid w:val="00025D43"/>
    <w:rsid w:val="00026643"/>
    <w:rsid w:val="0002715D"/>
    <w:rsid w:val="000274C1"/>
    <w:rsid w:val="00030424"/>
    <w:rsid w:val="0003044A"/>
    <w:rsid w:val="00030D50"/>
    <w:rsid w:val="00031497"/>
    <w:rsid w:val="0003163C"/>
    <w:rsid w:val="00032747"/>
    <w:rsid w:val="00035168"/>
    <w:rsid w:val="000352C9"/>
    <w:rsid w:val="000369DF"/>
    <w:rsid w:val="00036A46"/>
    <w:rsid w:val="0003723B"/>
    <w:rsid w:val="00037471"/>
    <w:rsid w:val="00040E52"/>
    <w:rsid w:val="000412C2"/>
    <w:rsid w:val="000415BD"/>
    <w:rsid w:val="00041BF1"/>
    <w:rsid w:val="0004241E"/>
    <w:rsid w:val="000425E9"/>
    <w:rsid w:val="0004418D"/>
    <w:rsid w:val="000447FE"/>
    <w:rsid w:val="0004512E"/>
    <w:rsid w:val="000452C0"/>
    <w:rsid w:val="0004588A"/>
    <w:rsid w:val="000460CA"/>
    <w:rsid w:val="00051906"/>
    <w:rsid w:val="00051CA2"/>
    <w:rsid w:val="0005219F"/>
    <w:rsid w:val="000526A4"/>
    <w:rsid w:val="000529AB"/>
    <w:rsid w:val="00052B30"/>
    <w:rsid w:val="00052C39"/>
    <w:rsid w:val="000531F3"/>
    <w:rsid w:val="0005325C"/>
    <w:rsid w:val="000544A4"/>
    <w:rsid w:val="000548C3"/>
    <w:rsid w:val="00055579"/>
    <w:rsid w:val="0005624F"/>
    <w:rsid w:val="000569D4"/>
    <w:rsid w:val="00056C68"/>
    <w:rsid w:val="00056DFC"/>
    <w:rsid w:val="00056EC2"/>
    <w:rsid w:val="00057AB2"/>
    <w:rsid w:val="0006136F"/>
    <w:rsid w:val="000614B8"/>
    <w:rsid w:val="00061B93"/>
    <w:rsid w:val="00061E0A"/>
    <w:rsid w:val="00062419"/>
    <w:rsid w:val="00062839"/>
    <w:rsid w:val="00062E7F"/>
    <w:rsid w:val="000632DC"/>
    <w:rsid w:val="000640AC"/>
    <w:rsid w:val="00064461"/>
    <w:rsid w:val="00065394"/>
    <w:rsid w:val="000655DF"/>
    <w:rsid w:val="00065F3A"/>
    <w:rsid w:val="00066855"/>
    <w:rsid w:val="00066F0B"/>
    <w:rsid w:val="00067858"/>
    <w:rsid w:val="00070576"/>
    <w:rsid w:val="00070C82"/>
    <w:rsid w:val="00071226"/>
    <w:rsid w:val="000714DF"/>
    <w:rsid w:val="000728E0"/>
    <w:rsid w:val="0007303A"/>
    <w:rsid w:val="00073869"/>
    <w:rsid w:val="0007389A"/>
    <w:rsid w:val="00074469"/>
    <w:rsid w:val="00077ABA"/>
    <w:rsid w:val="0008006A"/>
    <w:rsid w:val="000813DB"/>
    <w:rsid w:val="00082421"/>
    <w:rsid w:val="0008290D"/>
    <w:rsid w:val="000829E5"/>
    <w:rsid w:val="00082FCD"/>
    <w:rsid w:val="000837F5"/>
    <w:rsid w:val="00083B8F"/>
    <w:rsid w:val="00083C27"/>
    <w:rsid w:val="000876A6"/>
    <w:rsid w:val="00090310"/>
    <w:rsid w:val="00091755"/>
    <w:rsid w:val="00091E4D"/>
    <w:rsid w:val="000920C2"/>
    <w:rsid w:val="000937EE"/>
    <w:rsid w:val="00094AEA"/>
    <w:rsid w:val="00094E7B"/>
    <w:rsid w:val="0009717D"/>
    <w:rsid w:val="000A029F"/>
    <w:rsid w:val="000A1E41"/>
    <w:rsid w:val="000A2262"/>
    <w:rsid w:val="000A2B33"/>
    <w:rsid w:val="000A3101"/>
    <w:rsid w:val="000A34B6"/>
    <w:rsid w:val="000A39D7"/>
    <w:rsid w:val="000A42B2"/>
    <w:rsid w:val="000A4FB0"/>
    <w:rsid w:val="000A54A1"/>
    <w:rsid w:val="000A5554"/>
    <w:rsid w:val="000A555D"/>
    <w:rsid w:val="000A7A33"/>
    <w:rsid w:val="000B0A38"/>
    <w:rsid w:val="000B0F12"/>
    <w:rsid w:val="000B15AE"/>
    <w:rsid w:val="000B42A8"/>
    <w:rsid w:val="000B51B3"/>
    <w:rsid w:val="000B5547"/>
    <w:rsid w:val="000B7608"/>
    <w:rsid w:val="000C09E1"/>
    <w:rsid w:val="000C264F"/>
    <w:rsid w:val="000C2723"/>
    <w:rsid w:val="000C2B43"/>
    <w:rsid w:val="000C3ED0"/>
    <w:rsid w:val="000C445C"/>
    <w:rsid w:val="000C456C"/>
    <w:rsid w:val="000C581D"/>
    <w:rsid w:val="000C5DB7"/>
    <w:rsid w:val="000C605F"/>
    <w:rsid w:val="000C6238"/>
    <w:rsid w:val="000C66BA"/>
    <w:rsid w:val="000C685C"/>
    <w:rsid w:val="000C6D2E"/>
    <w:rsid w:val="000C7B4F"/>
    <w:rsid w:val="000C7E44"/>
    <w:rsid w:val="000D0E41"/>
    <w:rsid w:val="000D0FE6"/>
    <w:rsid w:val="000D16F0"/>
    <w:rsid w:val="000D223A"/>
    <w:rsid w:val="000D2C46"/>
    <w:rsid w:val="000D3C86"/>
    <w:rsid w:val="000D4D6C"/>
    <w:rsid w:val="000D52BC"/>
    <w:rsid w:val="000D546D"/>
    <w:rsid w:val="000D5563"/>
    <w:rsid w:val="000D5D41"/>
    <w:rsid w:val="000D6BFF"/>
    <w:rsid w:val="000D6E0F"/>
    <w:rsid w:val="000D7EE8"/>
    <w:rsid w:val="000E19A0"/>
    <w:rsid w:val="000E22EA"/>
    <w:rsid w:val="000E2D62"/>
    <w:rsid w:val="000E2F23"/>
    <w:rsid w:val="000E42C3"/>
    <w:rsid w:val="000E6CF6"/>
    <w:rsid w:val="000E709F"/>
    <w:rsid w:val="000E7701"/>
    <w:rsid w:val="000E7F59"/>
    <w:rsid w:val="000F04B3"/>
    <w:rsid w:val="000F053A"/>
    <w:rsid w:val="000F1B8D"/>
    <w:rsid w:val="000F1CE9"/>
    <w:rsid w:val="000F32A0"/>
    <w:rsid w:val="000F3570"/>
    <w:rsid w:val="000F4101"/>
    <w:rsid w:val="000F46CE"/>
    <w:rsid w:val="000F4980"/>
    <w:rsid w:val="000F4FF8"/>
    <w:rsid w:val="000F65CA"/>
    <w:rsid w:val="000F6D77"/>
    <w:rsid w:val="000F7BDA"/>
    <w:rsid w:val="000F7E83"/>
    <w:rsid w:val="00101C60"/>
    <w:rsid w:val="00101E8A"/>
    <w:rsid w:val="0010217B"/>
    <w:rsid w:val="001038EA"/>
    <w:rsid w:val="001041C2"/>
    <w:rsid w:val="0010435F"/>
    <w:rsid w:val="001045A0"/>
    <w:rsid w:val="00106CCC"/>
    <w:rsid w:val="00106FB6"/>
    <w:rsid w:val="0011079E"/>
    <w:rsid w:val="00112F1A"/>
    <w:rsid w:val="00113BD7"/>
    <w:rsid w:val="00113CAE"/>
    <w:rsid w:val="00115814"/>
    <w:rsid w:val="00115EBE"/>
    <w:rsid w:val="00117091"/>
    <w:rsid w:val="00121D97"/>
    <w:rsid w:val="001221EA"/>
    <w:rsid w:val="001230E5"/>
    <w:rsid w:val="00123126"/>
    <w:rsid w:val="00123D71"/>
    <w:rsid w:val="00124ED7"/>
    <w:rsid w:val="00124F8D"/>
    <w:rsid w:val="00126A63"/>
    <w:rsid w:val="00127D92"/>
    <w:rsid w:val="00130F7C"/>
    <w:rsid w:val="00131078"/>
    <w:rsid w:val="001314F6"/>
    <w:rsid w:val="00131CE8"/>
    <w:rsid w:val="0013277B"/>
    <w:rsid w:val="00132DD7"/>
    <w:rsid w:val="00133CD1"/>
    <w:rsid w:val="00133F91"/>
    <w:rsid w:val="00134CD6"/>
    <w:rsid w:val="0013529D"/>
    <w:rsid w:val="0013542E"/>
    <w:rsid w:val="00137438"/>
    <w:rsid w:val="00137807"/>
    <w:rsid w:val="00140BF3"/>
    <w:rsid w:val="00141670"/>
    <w:rsid w:val="001416A3"/>
    <w:rsid w:val="001447CB"/>
    <w:rsid w:val="001462FA"/>
    <w:rsid w:val="0015060C"/>
    <w:rsid w:val="00150D25"/>
    <w:rsid w:val="001510A3"/>
    <w:rsid w:val="00151AAB"/>
    <w:rsid w:val="00151CE2"/>
    <w:rsid w:val="001520C5"/>
    <w:rsid w:val="001524ED"/>
    <w:rsid w:val="00152A55"/>
    <w:rsid w:val="00152C23"/>
    <w:rsid w:val="0015433E"/>
    <w:rsid w:val="00154621"/>
    <w:rsid w:val="0015533A"/>
    <w:rsid w:val="00155E78"/>
    <w:rsid w:val="00156E62"/>
    <w:rsid w:val="00161044"/>
    <w:rsid w:val="0016141D"/>
    <w:rsid w:val="00161478"/>
    <w:rsid w:val="00162A82"/>
    <w:rsid w:val="00163C26"/>
    <w:rsid w:val="001648E2"/>
    <w:rsid w:val="001652C6"/>
    <w:rsid w:val="001653CA"/>
    <w:rsid w:val="00165674"/>
    <w:rsid w:val="001658F7"/>
    <w:rsid w:val="00165F5A"/>
    <w:rsid w:val="00166AF6"/>
    <w:rsid w:val="00167331"/>
    <w:rsid w:val="001707E0"/>
    <w:rsid w:val="00170DE1"/>
    <w:rsid w:val="00170DE6"/>
    <w:rsid w:val="00170FDD"/>
    <w:rsid w:val="00171055"/>
    <w:rsid w:val="001718C1"/>
    <w:rsid w:val="0017254C"/>
    <w:rsid w:val="001728B3"/>
    <w:rsid w:val="00172B9D"/>
    <w:rsid w:val="001733AF"/>
    <w:rsid w:val="001737B9"/>
    <w:rsid w:val="0017431B"/>
    <w:rsid w:val="00175800"/>
    <w:rsid w:val="00176539"/>
    <w:rsid w:val="00176B3D"/>
    <w:rsid w:val="0017738B"/>
    <w:rsid w:val="00177946"/>
    <w:rsid w:val="00180162"/>
    <w:rsid w:val="00181571"/>
    <w:rsid w:val="001816BE"/>
    <w:rsid w:val="00181AF9"/>
    <w:rsid w:val="00181E01"/>
    <w:rsid w:val="00182116"/>
    <w:rsid w:val="001835F7"/>
    <w:rsid w:val="00183FC5"/>
    <w:rsid w:val="00184DCA"/>
    <w:rsid w:val="0018534B"/>
    <w:rsid w:val="001859CD"/>
    <w:rsid w:val="0019048F"/>
    <w:rsid w:val="00190A86"/>
    <w:rsid w:val="0019195B"/>
    <w:rsid w:val="00191F52"/>
    <w:rsid w:val="0019311A"/>
    <w:rsid w:val="0019313B"/>
    <w:rsid w:val="00193204"/>
    <w:rsid w:val="0019417E"/>
    <w:rsid w:val="0019459B"/>
    <w:rsid w:val="001945DD"/>
    <w:rsid w:val="00194ACD"/>
    <w:rsid w:val="00194CD0"/>
    <w:rsid w:val="00195702"/>
    <w:rsid w:val="00195C51"/>
    <w:rsid w:val="0019616D"/>
    <w:rsid w:val="001962A9"/>
    <w:rsid w:val="00196A2F"/>
    <w:rsid w:val="00197E69"/>
    <w:rsid w:val="001A06C7"/>
    <w:rsid w:val="001A098E"/>
    <w:rsid w:val="001A2083"/>
    <w:rsid w:val="001A2338"/>
    <w:rsid w:val="001A2E86"/>
    <w:rsid w:val="001A4A26"/>
    <w:rsid w:val="001A5AEB"/>
    <w:rsid w:val="001A5D58"/>
    <w:rsid w:val="001A6C86"/>
    <w:rsid w:val="001A78A0"/>
    <w:rsid w:val="001A7A33"/>
    <w:rsid w:val="001B1F2E"/>
    <w:rsid w:val="001B2F00"/>
    <w:rsid w:val="001B368A"/>
    <w:rsid w:val="001B45B3"/>
    <w:rsid w:val="001B4B0D"/>
    <w:rsid w:val="001B586B"/>
    <w:rsid w:val="001B7AD5"/>
    <w:rsid w:val="001C0445"/>
    <w:rsid w:val="001C16CB"/>
    <w:rsid w:val="001C3556"/>
    <w:rsid w:val="001C3610"/>
    <w:rsid w:val="001C3A72"/>
    <w:rsid w:val="001C3C1F"/>
    <w:rsid w:val="001C7B8D"/>
    <w:rsid w:val="001C7DFF"/>
    <w:rsid w:val="001D06FF"/>
    <w:rsid w:val="001D1445"/>
    <w:rsid w:val="001D1E28"/>
    <w:rsid w:val="001D1FFA"/>
    <w:rsid w:val="001D2CB4"/>
    <w:rsid w:val="001D2DA5"/>
    <w:rsid w:val="001D3797"/>
    <w:rsid w:val="001D47B7"/>
    <w:rsid w:val="001D4E62"/>
    <w:rsid w:val="001D7371"/>
    <w:rsid w:val="001D79F8"/>
    <w:rsid w:val="001E0688"/>
    <w:rsid w:val="001E2A25"/>
    <w:rsid w:val="001E52CA"/>
    <w:rsid w:val="001E5970"/>
    <w:rsid w:val="001E622B"/>
    <w:rsid w:val="001E6CC0"/>
    <w:rsid w:val="001E6FBA"/>
    <w:rsid w:val="001E7763"/>
    <w:rsid w:val="001F039B"/>
    <w:rsid w:val="001F2066"/>
    <w:rsid w:val="001F2150"/>
    <w:rsid w:val="001F21E4"/>
    <w:rsid w:val="001F2572"/>
    <w:rsid w:val="001F2F2C"/>
    <w:rsid w:val="001F335A"/>
    <w:rsid w:val="001F543F"/>
    <w:rsid w:val="001F5570"/>
    <w:rsid w:val="001F6092"/>
    <w:rsid w:val="001F6E71"/>
    <w:rsid w:val="001F724D"/>
    <w:rsid w:val="001F7EE0"/>
    <w:rsid w:val="00200716"/>
    <w:rsid w:val="0020077C"/>
    <w:rsid w:val="00201EC3"/>
    <w:rsid w:val="00202697"/>
    <w:rsid w:val="00203055"/>
    <w:rsid w:val="002032B7"/>
    <w:rsid w:val="00205D92"/>
    <w:rsid w:val="00206260"/>
    <w:rsid w:val="0020663C"/>
    <w:rsid w:val="0020739D"/>
    <w:rsid w:val="00207C74"/>
    <w:rsid w:val="0021149F"/>
    <w:rsid w:val="002137D0"/>
    <w:rsid w:val="00213BBF"/>
    <w:rsid w:val="00213FD0"/>
    <w:rsid w:val="00214673"/>
    <w:rsid w:val="00214D23"/>
    <w:rsid w:val="0021624A"/>
    <w:rsid w:val="00216E6F"/>
    <w:rsid w:val="00222307"/>
    <w:rsid w:val="00222D97"/>
    <w:rsid w:val="002230E3"/>
    <w:rsid w:val="00226581"/>
    <w:rsid w:val="0022680C"/>
    <w:rsid w:val="00226D5E"/>
    <w:rsid w:val="0023111B"/>
    <w:rsid w:val="002317CA"/>
    <w:rsid w:val="00234105"/>
    <w:rsid w:val="00234932"/>
    <w:rsid w:val="00234985"/>
    <w:rsid w:val="002352A8"/>
    <w:rsid w:val="0023533B"/>
    <w:rsid w:val="002361C0"/>
    <w:rsid w:val="00236539"/>
    <w:rsid w:val="0023676F"/>
    <w:rsid w:val="002375EC"/>
    <w:rsid w:val="002408E2"/>
    <w:rsid w:val="0024105D"/>
    <w:rsid w:val="002411B3"/>
    <w:rsid w:val="00242169"/>
    <w:rsid w:val="002421C8"/>
    <w:rsid w:val="002430F4"/>
    <w:rsid w:val="00243BDE"/>
    <w:rsid w:val="002449F0"/>
    <w:rsid w:val="00244EAC"/>
    <w:rsid w:val="00246239"/>
    <w:rsid w:val="002469BB"/>
    <w:rsid w:val="00247439"/>
    <w:rsid w:val="00247530"/>
    <w:rsid w:val="00247B25"/>
    <w:rsid w:val="00247B85"/>
    <w:rsid w:val="00247EF9"/>
    <w:rsid w:val="002503D6"/>
    <w:rsid w:val="00250E9C"/>
    <w:rsid w:val="0025202A"/>
    <w:rsid w:val="00252C2F"/>
    <w:rsid w:val="00253054"/>
    <w:rsid w:val="002533F4"/>
    <w:rsid w:val="00253667"/>
    <w:rsid w:val="00254098"/>
    <w:rsid w:val="00254304"/>
    <w:rsid w:val="00255C52"/>
    <w:rsid w:val="002560D0"/>
    <w:rsid w:val="00256101"/>
    <w:rsid w:val="00256333"/>
    <w:rsid w:val="00256425"/>
    <w:rsid w:val="00257613"/>
    <w:rsid w:val="002606C6"/>
    <w:rsid w:val="00261359"/>
    <w:rsid w:val="002615EF"/>
    <w:rsid w:val="002623F3"/>
    <w:rsid w:val="00263885"/>
    <w:rsid w:val="00263EFA"/>
    <w:rsid w:val="002667C3"/>
    <w:rsid w:val="00270632"/>
    <w:rsid w:val="00270DC5"/>
    <w:rsid w:val="0027276A"/>
    <w:rsid w:val="00272E9D"/>
    <w:rsid w:val="002730CD"/>
    <w:rsid w:val="0027673C"/>
    <w:rsid w:val="0027712D"/>
    <w:rsid w:val="002800D1"/>
    <w:rsid w:val="00281874"/>
    <w:rsid w:val="00282115"/>
    <w:rsid w:val="002833F0"/>
    <w:rsid w:val="00283BF3"/>
    <w:rsid w:val="00284F8E"/>
    <w:rsid w:val="00285581"/>
    <w:rsid w:val="00285949"/>
    <w:rsid w:val="0028665C"/>
    <w:rsid w:val="00290777"/>
    <w:rsid w:val="002907D1"/>
    <w:rsid w:val="0029131A"/>
    <w:rsid w:val="00291382"/>
    <w:rsid w:val="002918C0"/>
    <w:rsid w:val="0029193E"/>
    <w:rsid w:val="00291B41"/>
    <w:rsid w:val="002929F3"/>
    <w:rsid w:val="00292B1A"/>
    <w:rsid w:val="00292CBD"/>
    <w:rsid w:val="00293AE7"/>
    <w:rsid w:val="00293B3D"/>
    <w:rsid w:val="00293EC2"/>
    <w:rsid w:val="00294815"/>
    <w:rsid w:val="0029673C"/>
    <w:rsid w:val="00297F37"/>
    <w:rsid w:val="002A12C8"/>
    <w:rsid w:val="002A13AF"/>
    <w:rsid w:val="002A1D6D"/>
    <w:rsid w:val="002A2D10"/>
    <w:rsid w:val="002A3AAB"/>
    <w:rsid w:val="002A3BAC"/>
    <w:rsid w:val="002A3D9B"/>
    <w:rsid w:val="002A426F"/>
    <w:rsid w:val="002A4AF1"/>
    <w:rsid w:val="002A6E7F"/>
    <w:rsid w:val="002A71A9"/>
    <w:rsid w:val="002A7398"/>
    <w:rsid w:val="002A77F8"/>
    <w:rsid w:val="002B1A3B"/>
    <w:rsid w:val="002B25CE"/>
    <w:rsid w:val="002B2CD4"/>
    <w:rsid w:val="002B41EA"/>
    <w:rsid w:val="002C12BC"/>
    <w:rsid w:val="002C15EA"/>
    <w:rsid w:val="002C186C"/>
    <w:rsid w:val="002C1DA1"/>
    <w:rsid w:val="002C2B41"/>
    <w:rsid w:val="002C30E6"/>
    <w:rsid w:val="002C3AF7"/>
    <w:rsid w:val="002C4B0C"/>
    <w:rsid w:val="002C647A"/>
    <w:rsid w:val="002C6CFA"/>
    <w:rsid w:val="002C6E52"/>
    <w:rsid w:val="002C73F8"/>
    <w:rsid w:val="002C7F61"/>
    <w:rsid w:val="002D0F0A"/>
    <w:rsid w:val="002D17BD"/>
    <w:rsid w:val="002D2553"/>
    <w:rsid w:val="002D2D5D"/>
    <w:rsid w:val="002D480B"/>
    <w:rsid w:val="002D4C6C"/>
    <w:rsid w:val="002D54E6"/>
    <w:rsid w:val="002D65CB"/>
    <w:rsid w:val="002D6FD7"/>
    <w:rsid w:val="002E0403"/>
    <w:rsid w:val="002E076B"/>
    <w:rsid w:val="002E15E2"/>
    <w:rsid w:val="002E1978"/>
    <w:rsid w:val="002E1F51"/>
    <w:rsid w:val="002E21B1"/>
    <w:rsid w:val="002E50E7"/>
    <w:rsid w:val="002E5558"/>
    <w:rsid w:val="002E5BD3"/>
    <w:rsid w:val="002E6005"/>
    <w:rsid w:val="002E6B64"/>
    <w:rsid w:val="002F05D2"/>
    <w:rsid w:val="002F29AA"/>
    <w:rsid w:val="002F559E"/>
    <w:rsid w:val="002F55F7"/>
    <w:rsid w:val="002F6402"/>
    <w:rsid w:val="002F70E0"/>
    <w:rsid w:val="003007FC"/>
    <w:rsid w:val="00300C92"/>
    <w:rsid w:val="00301A37"/>
    <w:rsid w:val="003020C9"/>
    <w:rsid w:val="0030436E"/>
    <w:rsid w:val="00306515"/>
    <w:rsid w:val="00307E1D"/>
    <w:rsid w:val="00310385"/>
    <w:rsid w:val="00311642"/>
    <w:rsid w:val="00313179"/>
    <w:rsid w:val="0031393C"/>
    <w:rsid w:val="00313A79"/>
    <w:rsid w:val="0031411D"/>
    <w:rsid w:val="0031414C"/>
    <w:rsid w:val="00314BB1"/>
    <w:rsid w:val="00314CDC"/>
    <w:rsid w:val="0031514A"/>
    <w:rsid w:val="00316144"/>
    <w:rsid w:val="003172E7"/>
    <w:rsid w:val="00317E61"/>
    <w:rsid w:val="00320AD5"/>
    <w:rsid w:val="00321DAA"/>
    <w:rsid w:val="003229E1"/>
    <w:rsid w:val="00322FAE"/>
    <w:rsid w:val="00323689"/>
    <w:rsid w:val="00323712"/>
    <w:rsid w:val="003239D1"/>
    <w:rsid w:val="00325683"/>
    <w:rsid w:val="00326057"/>
    <w:rsid w:val="003265C9"/>
    <w:rsid w:val="0033074E"/>
    <w:rsid w:val="003311A5"/>
    <w:rsid w:val="003320A8"/>
    <w:rsid w:val="00332216"/>
    <w:rsid w:val="0033263F"/>
    <w:rsid w:val="0033289A"/>
    <w:rsid w:val="00332F6B"/>
    <w:rsid w:val="00333248"/>
    <w:rsid w:val="00333B0A"/>
    <w:rsid w:val="00334307"/>
    <w:rsid w:val="0033439E"/>
    <w:rsid w:val="00335874"/>
    <w:rsid w:val="00336CB4"/>
    <w:rsid w:val="003373C2"/>
    <w:rsid w:val="00337D57"/>
    <w:rsid w:val="003420B1"/>
    <w:rsid w:val="00342548"/>
    <w:rsid w:val="00345B41"/>
    <w:rsid w:val="00346746"/>
    <w:rsid w:val="0035042A"/>
    <w:rsid w:val="003518AA"/>
    <w:rsid w:val="0035239F"/>
    <w:rsid w:val="00352A40"/>
    <w:rsid w:val="003538E2"/>
    <w:rsid w:val="00354D7F"/>
    <w:rsid w:val="00356836"/>
    <w:rsid w:val="00357D33"/>
    <w:rsid w:val="00360658"/>
    <w:rsid w:val="00360726"/>
    <w:rsid w:val="00361284"/>
    <w:rsid w:val="00361478"/>
    <w:rsid w:val="0036181F"/>
    <w:rsid w:val="003622BB"/>
    <w:rsid w:val="00362E53"/>
    <w:rsid w:val="003635EB"/>
    <w:rsid w:val="0036453A"/>
    <w:rsid w:val="00367126"/>
    <w:rsid w:val="003674A8"/>
    <w:rsid w:val="003703E3"/>
    <w:rsid w:val="0037076C"/>
    <w:rsid w:val="00370801"/>
    <w:rsid w:val="00371598"/>
    <w:rsid w:val="003721CD"/>
    <w:rsid w:val="003739B7"/>
    <w:rsid w:val="00374674"/>
    <w:rsid w:val="00375764"/>
    <w:rsid w:val="00375FCA"/>
    <w:rsid w:val="003777E9"/>
    <w:rsid w:val="003802CE"/>
    <w:rsid w:val="00380417"/>
    <w:rsid w:val="0038210C"/>
    <w:rsid w:val="00382460"/>
    <w:rsid w:val="00382793"/>
    <w:rsid w:val="00382E4F"/>
    <w:rsid w:val="00383425"/>
    <w:rsid w:val="00383B43"/>
    <w:rsid w:val="00384507"/>
    <w:rsid w:val="003854AF"/>
    <w:rsid w:val="00385625"/>
    <w:rsid w:val="003857FF"/>
    <w:rsid w:val="0038628B"/>
    <w:rsid w:val="00386328"/>
    <w:rsid w:val="00386A22"/>
    <w:rsid w:val="0038733B"/>
    <w:rsid w:val="00387BBC"/>
    <w:rsid w:val="00387BBE"/>
    <w:rsid w:val="00390E0D"/>
    <w:rsid w:val="0039113A"/>
    <w:rsid w:val="00391756"/>
    <w:rsid w:val="003922EE"/>
    <w:rsid w:val="00393B8E"/>
    <w:rsid w:val="00394A69"/>
    <w:rsid w:val="00395B08"/>
    <w:rsid w:val="00395B33"/>
    <w:rsid w:val="003961FD"/>
    <w:rsid w:val="00397AB0"/>
    <w:rsid w:val="003A04B7"/>
    <w:rsid w:val="003A12C4"/>
    <w:rsid w:val="003A14AF"/>
    <w:rsid w:val="003A15FB"/>
    <w:rsid w:val="003A2775"/>
    <w:rsid w:val="003A2A41"/>
    <w:rsid w:val="003A370B"/>
    <w:rsid w:val="003A3B76"/>
    <w:rsid w:val="003A3E8F"/>
    <w:rsid w:val="003A4336"/>
    <w:rsid w:val="003A6017"/>
    <w:rsid w:val="003A6275"/>
    <w:rsid w:val="003A6BD6"/>
    <w:rsid w:val="003A71A7"/>
    <w:rsid w:val="003A7246"/>
    <w:rsid w:val="003B2039"/>
    <w:rsid w:val="003B2F94"/>
    <w:rsid w:val="003B4515"/>
    <w:rsid w:val="003B455E"/>
    <w:rsid w:val="003B48E3"/>
    <w:rsid w:val="003B5090"/>
    <w:rsid w:val="003B557F"/>
    <w:rsid w:val="003B65D7"/>
    <w:rsid w:val="003B67D8"/>
    <w:rsid w:val="003B73AE"/>
    <w:rsid w:val="003B7CA3"/>
    <w:rsid w:val="003C1990"/>
    <w:rsid w:val="003C2AAE"/>
    <w:rsid w:val="003C417B"/>
    <w:rsid w:val="003C6216"/>
    <w:rsid w:val="003C7743"/>
    <w:rsid w:val="003C7C5F"/>
    <w:rsid w:val="003D026C"/>
    <w:rsid w:val="003D0D95"/>
    <w:rsid w:val="003D124C"/>
    <w:rsid w:val="003D1B94"/>
    <w:rsid w:val="003D1EDF"/>
    <w:rsid w:val="003D2002"/>
    <w:rsid w:val="003D45B6"/>
    <w:rsid w:val="003D51B0"/>
    <w:rsid w:val="003D5881"/>
    <w:rsid w:val="003D5ACC"/>
    <w:rsid w:val="003D6619"/>
    <w:rsid w:val="003D66EE"/>
    <w:rsid w:val="003D79BA"/>
    <w:rsid w:val="003D7A44"/>
    <w:rsid w:val="003E141B"/>
    <w:rsid w:val="003E1DAC"/>
    <w:rsid w:val="003E2A02"/>
    <w:rsid w:val="003E2CA5"/>
    <w:rsid w:val="003E5045"/>
    <w:rsid w:val="003E5BA0"/>
    <w:rsid w:val="003E5CD6"/>
    <w:rsid w:val="003E7CC1"/>
    <w:rsid w:val="003F0096"/>
    <w:rsid w:val="003F009B"/>
    <w:rsid w:val="003F1817"/>
    <w:rsid w:val="003F297F"/>
    <w:rsid w:val="003F2BA3"/>
    <w:rsid w:val="003F366C"/>
    <w:rsid w:val="003F36EE"/>
    <w:rsid w:val="003F37C4"/>
    <w:rsid w:val="003F4116"/>
    <w:rsid w:val="003F4D24"/>
    <w:rsid w:val="003F4EE1"/>
    <w:rsid w:val="003F5444"/>
    <w:rsid w:val="003F6339"/>
    <w:rsid w:val="003F72F7"/>
    <w:rsid w:val="003F7FF5"/>
    <w:rsid w:val="00400384"/>
    <w:rsid w:val="0040056C"/>
    <w:rsid w:val="00400C3E"/>
    <w:rsid w:val="0040119D"/>
    <w:rsid w:val="0040289F"/>
    <w:rsid w:val="00402998"/>
    <w:rsid w:val="004035C8"/>
    <w:rsid w:val="004046E7"/>
    <w:rsid w:val="00404D24"/>
    <w:rsid w:val="004053EF"/>
    <w:rsid w:val="00405D91"/>
    <w:rsid w:val="00406023"/>
    <w:rsid w:val="00406723"/>
    <w:rsid w:val="004069D4"/>
    <w:rsid w:val="00406AB8"/>
    <w:rsid w:val="00406E94"/>
    <w:rsid w:val="00407495"/>
    <w:rsid w:val="00407F60"/>
    <w:rsid w:val="00410EB4"/>
    <w:rsid w:val="00411B57"/>
    <w:rsid w:val="00412792"/>
    <w:rsid w:val="00412A0F"/>
    <w:rsid w:val="00412E7C"/>
    <w:rsid w:val="004144E9"/>
    <w:rsid w:val="00414E83"/>
    <w:rsid w:val="004159A5"/>
    <w:rsid w:val="004168CB"/>
    <w:rsid w:val="00417300"/>
    <w:rsid w:val="00417B95"/>
    <w:rsid w:val="004211FA"/>
    <w:rsid w:val="004217E1"/>
    <w:rsid w:val="00423AE8"/>
    <w:rsid w:val="00423D44"/>
    <w:rsid w:val="00424723"/>
    <w:rsid w:val="00425E3D"/>
    <w:rsid w:val="00425E63"/>
    <w:rsid w:val="00425FFA"/>
    <w:rsid w:val="00426C95"/>
    <w:rsid w:val="00427FA5"/>
    <w:rsid w:val="00430389"/>
    <w:rsid w:val="00430BCE"/>
    <w:rsid w:val="00430D89"/>
    <w:rsid w:val="00433B85"/>
    <w:rsid w:val="0043407A"/>
    <w:rsid w:val="00434FE2"/>
    <w:rsid w:val="00436284"/>
    <w:rsid w:val="00436468"/>
    <w:rsid w:val="0043651D"/>
    <w:rsid w:val="004367A5"/>
    <w:rsid w:val="00436A97"/>
    <w:rsid w:val="004370A3"/>
    <w:rsid w:val="004415E5"/>
    <w:rsid w:val="004416B2"/>
    <w:rsid w:val="004439FB"/>
    <w:rsid w:val="00444AC1"/>
    <w:rsid w:val="00447956"/>
    <w:rsid w:val="00450C02"/>
    <w:rsid w:val="00450C41"/>
    <w:rsid w:val="004511DF"/>
    <w:rsid w:val="00451546"/>
    <w:rsid w:val="00452C39"/>
    <w:rsid w:val="00452C9D"/>
    <w:rsid w:val="0045359E"/>
    <w:rsid w:val="0045375E"/>
    <w:rsid w:val="004558D7"/>
    <w:rsid w:val="00455F7E"/>
    <w:rsid w:val="00457921"/>
    <w:rsid w:val="004579EC"/>
    <w:rsid w:val="004612CF"/>
    <w:rsid w:val="0046258C"/>
    <w:rsid w:val="00463046"/>
    <w:rsid w:val="0046322E"/>
    <w:rsid w:val="0046452F"/>
    <w:rsid w:val="00464CD0"/>
    <w:rsid w:val="00464E3F"/>
    <w:rsid w:val="004669B5"/>
    <w:rsid w:val="00466D55"/>
    <w:rsid w:val="0046788E"/>
    <w:rsid w:val="00467AA9"/>
    <w:rsid w:val="004713A6"/>
    <w:rsid w:val="00471474"/>
    <w:rsid w:val="00471792"/>
    <w:rsid w:val="0047256F"/>
    <w:rsid w:val="00472CEB"/>
    <w:rsid w:val="00472DBF"/>
    <w:rsid w:val="00473FAD"/>
    <w:rsid w:val="00474222"/>
    <w:rsid w:val="00474A0E"/>
    <w:rsid w:val="004766A9"/>
    <w:rsid w:val="00477E08"/>
    <w:rsid w:val="00480CF3"/>
    <w:rsid w:val="00482318"/>
    <w:rsid w:val="00482535"/>
    <w:rsid w:val="00482C06"/>
    <w:rsid w:val="004849BB"/>
    <w:rsid w:val="004857F6"/>
    <w:rsid w:val="00486538"/>
    <w:rsid w:val="004872CD"/>
    <w:rsid w:val="00487CBE"/>
    <w:rsid w:val="00490435"/>
    <w:rsid w:val="004906F1"/>
    <w:rsid w:val="00491910"/>
    <w:rsid w:val="00491E34"/>
    <w:rsid w:val="00491E97"/>
    <w:rsid w:val="00491FF0"/>
    <w:rsid w:val="00492293"/>
    <w:rsid w:val="00492FF4"/>
    <w:rsid w:val="00494197"/>
    <w:rsid w:val="00494E66"/>
    <w:rsid w:val="00495EFC"/>
    <w:rsid w:val="00496C0E"/>
    <w:rsid w:val="00496F57"/>
    <w:rsid w:val="0049700C"/>
    <w:rsid w:val="00497632"/>
    <w:rsid w:val="00497735"/>
    <w:rsid w:val="00497834"/>
    <w:rsid w:val="004A05F3"/>
    <w:rsid w:val="004A114E"/>
    <w:rsid w:val="004A1D38"/>
    <w:rsid w:val="004A23D7"/>
    <w:rsid w:val="004A312B"/>
    <w:rsid w:val="004A36AE"/>
    <w:rsid w:val="004A398C"/>
    <w:rsid w:val="004A4024"/>
    <w:rsid w:val="004A4EAB"/>
    <w:rsid w:val="004A52F5"/>
    <w:rsid w:val="004A59E5"/>
    <w:rsid w:val="004B18D8"/>
    <w:rsid w:val="004B1D90"/>
    <w:rsid w:val="004B299D"/>
    <w:rsid w:val="004B301A"/>
    <w:rsid w:val="004B30D5"/>
    <w:rsid w:val="004B36F0"/>
    <w:rsid w:val="004B3FEC"/>
    <w:rsid w:val="004B5095"/>
    <w:rsid w:val="004B5240"/>
    <w:rsid w:val="004B5826"/>
    <w:rsid w:val="004B647A"/>
    <w:rsid w:val="004B7140"/>
    <w:rsid w:val="004B7951"/>
    <w:rsid w:val="004C0182"/>
    <w:rsid w:val="004C04FB"/>
    <w:rsid w:val="004C0AE1"/>
    <w:rsid w:val="004C2C11"/>
    <w:rsid w:val="004C3EEB"/>
    <w:rsid w:val="004C4043"/>
    <w:rsid w:val="004C4137"/>
    <w:rsid w:val="004C5F0D"/>
    <w:rsid w:val="004C64BF"/>
    <w:rsid w:val="004C67C1"/>
    <w:rsid w:val="004C77AD"/>
    <w:rsid w:val="004D04F5"/>
    <w:rsid w:val="004D17BF"/>
    <w:rsid w:val="004D22C8"/>
    <w:rsid w:val="004D2720"/>
    <w:rsid w:val="004D27D6"/>
    <w:rsid w:val="004D2B8C"/>
    <w:rsid w:val="004D432B"/>
    <w:rsid w:val="004D4CFE"/>
    <w:rsid w:val="004D4F52"/>
    <w:rsid w:val="004D5983"/>
    <w:rsid w:val="004D63F2"/>
    <w:rsid w:val="004D6E58"/>
    <w:rsid w:val="004E10E6"/>
    <w:rsid w:val="004E3221"/>
    <w:rsid w:val="004E3D73"/>
    <w:rsid w:val="004E3E60"/>
    <w:rsid w:val="004E4CC7"/>
    <w:rsid w:val="004E4FEB"/>
    <w:rsid w:val="004E5C77"/>
    <w:rsid w:val="004E675F"/>
    <w:rsid w:val="004E6943"/>
    <w:rsid w:val="004E7227"/>
    <w:rsid w:val="004E7B0B"/>
    <w:rsid w:val="004F0B4E"/>
    <w:rsid w:val="004F0FBC"/>
    <w:rsid w:val="004F1109"/>
    <w:rsid w:val="004F1513"/>
    <w:rsid w:val="004F230B"/>
    <w:rsid w:val="004F2F7D"/>
    <w:rsid w:val="004F479C"/>
    <w:rsid w:val="004F56D8"/>
    <w:rsid w:val="005017A3"/>
    <w:rsid w:val="00502587"/>
    <w:rsid w:val="00502664"/>
    <w:rsid w:val="005026F9"/>
    <w:rsid w:val="00506D4B"/>
    <w:rsid w:val="005113B8"/>
    <w:rsid w:val="00511A60"/>
    <w:rsid w:val="005131D7"/>
    <w:rsid w:val="005137D1"/>
    <w:rsid w:val="0051392B"/>
    <w:rsid w:val="00513F6C"/>
    <w:rsid w:val="00514C59"/>
    <w:rsid w:val="005163E8"/>
    <w:rsid w:val="00516BAD"/>
    <w:rsid w:val="00516CC4"/>
    <w:rsid w:val="00516E04"/>
    <w:rsid w:val="0051712A"/>
    <w:rsid w:val="00520F5E"/>
    <w:rsid w:val="00520F5F"/>
    <w:rsid w:val="0052130C"/>
    <w:rsid w:val="0052175B"/>
    <w:rsid w:val="005217A0"/>
    <w:rsid w:val="00521F8C"/>
    <w:rsid w:val="00522073"/>
    <w:rsid w:val="00522C55"/>
    <w:rsid w:val="00522ED1"/>
    <w:rsid w:val="00525602"/>
    <w:rsid w:val="0052754A"/>
    <w:rsid w:val="00527CD1"/>
    <w:rsid w:val="00530336"/>
    <w:rsid w:val="00530465"/>
    <w:rsid w:val="00530C33"/>
    <w:rsid w:val="00530CAD"/>
    <w:rsid w:val="00531D9C"/>
    <w:rsid w:val="00531FEC"/>
    <w:rsid w:val="00532D6F"/>
    <w:rsid w:val="005330DD"/>
    <w:rsid w:val="005342D0"/>
    <w:rsid w:val="0053652E"/>
    <w:rsid w:val="005369A9"/>
    <w:rsid w:val="00537C67"/>
    <w:rsid w:val="00537FA4"/>
    <w:rsid w:val="0054069D"/>
    <w:rsid w:val="005416C8"/>
    <w:rsid w:val="005417BE"/>
    <w:rsid w:val="00542D3B"/>
    <w:rsid w:val="005440CB"/>
    <w:rsid w:val="00551401"/>
    <w:rsid w:val="00551C15"/>
    <w:rsid w:val="00552192"/>
    <w:rsid w:val="00552685"/>
    <w:rsid w:val="00552ED9"/>
    <w:rsid w:val="00555014"/>
    <w:rsid w:val="00555B8B"/>
    <w:rsid w:val="005560F0"/>
    <w:rsid w:val="005571AA"/>
    <w:rsid w:val="0055733F"/>
    <w:rsid w:val="0055792A"/>
    <w:rsid w:val="00561FED"/>
    <w:rsid w:val="00563912"/>
    <w:rsid w:val="00564601"/>
    <w:rsid w:val="005655FD"/>
    <w:rsid w:val="00566726"/>
    <w:rsid w:val="00566E33"/>
    <w:rsid w:val="005717A7"/>
    <w:rsid w:val="00572278"/>
    <w:rsid w:val="005722E5"/>
    <w:rsid w:val="0057285C"/>
    <w:rsid w:val="005733C9"/>
    <w:rsid w:val="00573FAF"/>
    <w:rsid w:val="00574098"/>
    <w:rsid w:val="00575E69"/>
    <w:rsid w:val="005800A5"/>
    <w:rsid w:val="005805F1"/>
    <w:rsid w:val="00581C1E"/>
    <w:rsid w:val="00582259"/>
    <w:rsid w:val="00582BA5"/>
    <w:rsid w:val="00582DD6"/>
    <w:rsid w:val="00582F79"/>
    <w:rsid w:val="00583688"/>
    <w:rsid w:val="00583C8B"/>
    <w:rsid w:val="00583E78"/>
    <w:rsid w:val="00584336"/>
    <w:rsid w:val="005843B7"/>
    <w:rsid w:val="005852C9"/>
    <w:rsid w:val="00585CA2"/>
    <w:rsid w:val="0058626C"/>
    <w:rsid w:val="00586711"/>
    <w:rsid w:val="00587F5D"/>
    <w:rsid w:val="00590923"/>
    <w:rsid w:val="005909E4"/>
    <w:rsid w:val="00590B41"/>
    <w:rsid w:val="0059216D"/>
    <w:rsid w:val="005931E6"/>
    <w:rsid w:val="00593A3C"/>
    <w:rsid w:val="005940E9"/>
    <w:rsid w:val="00594BBA"/>
    <w:rsid w:val="00595B90"/>
    <w:rsid w:val="005963D2"/>
    <w:rsid w:val="0059796F"/>
    <w:rsid w:val="00597B54"/>
    <w:rsid w:val="005A19A9"/>
    <w:rsid w:val="005A1D72"/>
    <w:rsid w:val="005A2125"/>
    <w:rsid w:val="005A2272"/>
    <w:rsid w:val="005A358C"/>
    <w:rsid w:val="005A7BF4"/>
    <w:rsid w:val="005B024C"/>
    <w:rsid w:val="005B214B"/>
    <w:rsid w:val="005B2D01"/>
    <w:rsid w:val="005B2EB5"/>
    <w:rsid w:val="005B367D"/>
    <w:rsid w:val="005B37FB"/>
    <w:rsid w:val="005B5A0A"/>
    <w:rsid w:val="005B657E"/>
    <w:rsid w:val="005B6A92"/>
    <w:rsid w:val="005C1784"/>
    <w:rsid w:val="005C2884"/>
    <w:rsid w:val="005C2D2C"/>
    <w:rsid w:val="005C3C3B"/>
    <w:rsid w:val="005C3D39"/>
    <w:rsid w:val="005C7472"/>
    <w:rsid w:val="005C74EF"/>
    <w:rsid w:val="005C799D"/>
    <w:rsid w:val="005C7F5F"/>
    <w:rsid w:val="005D1791"/>
    <w:rsid w:val="005D4D8A"/>
    <w:rsid w:val="005D51EE"/>
    <w:rsid w:val="005D5F5A"/>
    <w:rsid w:val="005D6EA9"/>
    <w:rsid w:val="005D71D1"/>
    <w:rsid w:val="005D7846"/>
    <w:rsid w:val="005E09F6"/>
    <w:rsid w:val="005E0E19"/>
    <w:rsid w:val="005E10FD"/>
    <w:rsid w:val="005E122B"/>
    <w:rsid w:val="005E2C62"/>
    <w:rsid w:val="005E2EC4"/>
    <w:rsid w:val="005E31C4"/>
    <w:rsid w:val="005E3863"/>
    <w:rsid w:val="005E432F"/>
    <w:rsid w:val="005E43BF"/>
    <w:rsid w:val="005E4819"/>
    <w:rsid w:val="005E4D69"/>
    <w:rsid w:val="005E5603"/>
    <w:rsid w:val="005E584D"/>
    <w:rsid w:val="005E7827"/>
    <w:rsid w:val="005F0AEA"/>
    <w:rsid w:val="005F1494"/>
    <w:rsid w:val="005F16EB"/>
    <w:rsid w:val="005F1D21"/>
    <w:rsid w:val="005F2B89"/>
    <w:rsid w:val="005F2E9C"/>
    <w:rsid w:val="005F3693"/>
    <w:rsid w:val="005F40F4"/>
    <w:rsid w:val="005F48F4"/>
    <w:rsid w:val="005F6CCA"/>
    <w:rsid w:val="005F6CDF"/>
    <w:rsid w:val="0060015E"/>
    <w:rsid w:val="006003B3"/>
    <w:rsid w:val="00600DED"/>
    <w:rsid w:val="00601617"/>
    <w:rsid w:val="006026E1"/>
    <w:rsid w:val="00602738"/>
    <w:rsid w:val="00602CBE"/>
    <w:rsid w:val="00603886"/>
    <w:rsid w:val="00603EBD"/>
    <w:rsid w:val="00604DAB"/>
    <w:rsid w:val="006060F1"/>
    <w:rsid w:val="00606210"/>
    <w:rsid w:val="006063BC"/>
    <w:rsid w:val="00606477"/>
    <w:rsid w:val="0060666C"/>
    <w:rsid w:val="006070CE"/>
    <w:rsid w:val="00607415"/>
    <w:rsid w:val="0060746D"/>
    <w:rsid w:val="00607873"/>
    <w:rsid w:val="00607BDA"/>
    <w:rsid w:val="00607D4A"/>
    <w:rsid w:val="00610DD6"/>
    <w:rsid w:val="00611569"/>
    <w:rsid w:val="00612A30"/>
    <w:rsid w:val="00612B41"/>
    <w:rsid w:val="006130D4"/>
    <w:rsid w:val="0061372C"/>
    <w:rsid w:val="00614285"/>
    <w:rsid w:val="006146CC"/>
    <w:rsid w:val="00616F27"/>
    <w:rsid w:val="00621F3E"/>
    <w:rsid w:val="006221E3"/>
    <w:rsid w:val="00623075"/>
    <w:rsid w:val="006231DA"/>
    <w:rsid w:val="0062465F"/>
    <w:rsid w:val="00624FF5"/>
    <w:rsid w:val="00625C64"/>
    <w:rsid w:val="00625FAF"/>
    <w:rsid w:val="00626846"/>
    <w:rsid w:val="00627C39"/>
    <w:rsid w:val="00630D1A"/>
    <w:rsid w:val="0063222C"/>
    <w:rsid w:val="00632A90"/>
    <w:rsid w:val="00632DE8"/>
    <w:rsid w:val="00633176"/>
    <w:rsid w:val="00634571"/>
    <w:rsid w:val="00634708"/>
    <w:rsid w:val="00636B95"/>
    <w:rsid w:val="00637192"/>
    <w:rsid w:val="006371BF"/>
    <w:rsid w:val="00640A71"/>
    <w:rsid w:val="00640A9B"/>
    <w:rsid w:val="00642CBD"/>
    <w:rsid w:val="00642ED9"/>
    <w:rsid w:val="00643153"/>
    <w:rsid w:val="0064394C"/>
    <w:rsid w:val="0064401F"/>
    <w:rsid w:val="00645259"/>
    <w:rsid w:val="00645A43"/>
    <w:rsid w:val="006464FB"/>
    <w:rsid w:val="00646E82"/>
    <w:rsid w:val="00646F07"/>
    <w:rsid w:val="006470BC"/>
    <w:rsid w:val="0064767D"/>
    <w:rsid w:val="00650DE8"/>
    <w:rsid w:val="00651202"/>
    <w:rsid w:val="00651F05"/>
    <w:rsid w:val="0065202A"/>
    <w:rsid w:val="0065247D"/>
    <w:rsid w:val="006526CE"/>
    <w:rsid w:val="00652923"/>
    <w:rsid w:val="00652F30"/>
    <w:rsid w:val="0065349D"/>
    <w:rsid w:val="00654042"/>
    <w:rsid w:val="00654081"/>
    <w:rsid w:val="00654E2D"/>
    <w:rsid w:val="00661116"/>
    <w:rsid w:val="006615F2"/>
    <w:rsid w:val="00661B18"/>
    <w:rsid w:val="00661F6D"/>
    <w:rsid w:val="00663267"/>
    <w:rsid w:val="006640EE"/>
    <w:rsid w:val="006647A7"/>
    <w:rsid w:val="00664A8F"/>
    <w:rsid w:val="00665D51"/>
    <w:rsid w:val="00665EAF"/>
    <w:rsid w:val="00666FF1"/>
    <w:rsid w:val="006671AE"/>
    <w:rsid w:val="00667E27"/>
    <w:rsid w:val="006706D2"/>
    <w:rsid w:val="00670737"/>
    <w:rsid w:val="0067099E"/>
    <w:rsid w:val="00671114"/>
    <w:rsid w:val="00672868"/>
    <w:rsid w:val="006730D6"/>
    <w:rsid w:val="00673458"/>
    <w:rsid w:val="00673533"/>
    <w:rsid w:val="00674586"/>
    <w:rsid w:val="00675CE6"/>
    <w:rsid w:val="006765EB"/>
    <w:rsid w:val="00676A86"/>
    <w:rsid w:val="00677410"/>
    <w:rsid w:val="00677FEA"/>
    <w:rsid w:val="00680602"/>
    <w:rsid w:val="00680FF9"/>
    <w:rsid w:val="006814B0"/>
    <w:rsid w:val="006833D3"/>
    <w:rsid w:val="00683E99"/>
    <w:rsid w:val="00684AA1"/>
    <w:rsid w:val="00685672"/>
    <w:rsid w:val="006857D9"/>
    <w:rsid w:val="0068583F"/>
    <w:rsid w:val="006873A3"/>
    <w:rsid w:val="00690428"/>
    <w:rsid w:val="00690C52"/>
    <w:rsid w:val="006919BE"/>
    <w:rsid w:val="00691E7B"/>
    <w:rsid w:val="0069241F"/>
    <w:rsid w:val="00693A50"/>
    <w:rsid w:val="00693B3B"/>
    <w:rsid w:val="0069476E"/>
    <w:rsid w:val="00694F36"/>
    <w:rsid w:val="0069532D"/>
    <w:rsid w:val="0069605E"/>
    <w:rsid w:val="006A0628"/>
    <w:rsid w:val="006A16DC"/>
    <w:rsid w:val="006A1C13"/>
    <w:rsid w:val="006A1F74"/>
    <w:rsid w:val="006A23D8"/>
    <w:rsid w:val="006A25E4"/>
    <w:rsid w:val="006A34A1"/>
    <w:rsid w:val="006A34E5"/>
    <w:rsid w:val="006A4D01"/>
    <w:rsid w:val="006A51CA"/>
    <w:rsid w:val="006A5267"/>
    <w:rsid w:val="006A56A3"/>
    <w:rsid w:val="006A5D31"/>
    <w:rsid w:val="006A5E5F"/>
    <w:rsid w:val="006A6A96"/>
    <w:rsid w:val="006A6C73"/>
    <w:rsid w:val="006B03FA"/>
    <w:rsid w:val="006B04A5"/>
    <w:rsid w:val="006B100B"/>
    <w:rsid w:val="006B2395"/>
    <w:rsid w:val="006B309E"/>
    <w:rsid w:val="006B334E"/>
    <w:rsid w:val="006B39DC"/>
    <w:rsid w:val="006B5DAF"/>
    <w:rsid w:val="006B64B3"/>
    <w:rsid w:val="006B72E4"/>
    <w:rsid w:val="006B767B"/>
    <w:rsid w:val="006B773C"/>
    <w:rsid w:val="006C1525"/>
    <w:rsid w:val="006C1C99"/>
    <w:rsid w:val="006C205C"/>
    <w:rsid w:val="006C295E"/>
    <w:rsid w:val="006C2E9B"/>
    <w:rsid w:val="006C3044"/>
    <w:rsid w:val="006C3AF1"/>
    <w:rsid w:val="006C4EED"/>
    <w:rsid w:val="006C62D1"/>
    <w:rsid w:val="006C69B3"/>
    <w:rsid w:val="006C69E5"/>
    <w:rsid w:val="006C7533"/>
    <w:rsid w:val="006C7D96"/>
    <w:rsid w:val="006C7DFC"/>
    <w:rsid w:val="006D0EE9"/>
    <w:rsid w:val="006D2D9B"/>
    <w:rsid w:val="006D4799"/>
    <w:rsid w:val="006D501C"/>
    <w:rsid w:val="006D5036"/>
    <w:rsid w:val="006D5C59"/>
    <w:rsid w:val="006D62F9"/>
    <w:rsid w:val="006D64DD"/>
    <w:rsid w:val="006D69AE"/>
    <w:rsid w:val="006D6EB4"/>
    <w:rsid w:val="006D72A8"/>
    <w:rsid w:val="006D7300"/>
    <w:rsid w:val="006D7C23"/>
    <w:rsid w:val="006E042A"/>
    <w:rsid w:val="006E08CD"/>
    <w:rsid w:val="006E0B6B"/>
    <w:rsid w:val="006E1C79"/>
    <w:rsid w:val="006E1E45"/>
    <w:rsid w:val="006E2651"/>
    <w:rsid w:val="006E3553"/>
    <w:rsid w:val="006E5197"/>
    <w:rsid w:val="006E796C"/>
    <w:rsid w:val="006E79D0"/>
    <w:rsid w:val="006F07CA"/>
    <w:rsid w:val="006F6047"/>
    <w:rsid w:val="006F6B3E"/>
    <w:rsid w:val="006F6C33"/>
    <w:rsid w:val="006F7FB5"/>
    <w:rsid w:val="0070023E"/>
    <w:rsid w:val="007006D3"/>
    <w:rsid w:val="00701C84"/>
    <w:rsid w:val="007024F3"/>
    <w:rsid w:val="0070302B"/>
    <w:rsid w:val="007046B1"/>
    <w:rsid w:val="007051A6"/>
    <w:rsid w:val="00705B03"/>
    <w:rsid w:val="007063B9"/>
    <w:rsid w:val="00706A91"/>
    <w:rsid w:val="007075A8"/>
    <w:rsid w:val="00707CF7"/>
    <w:rsid w:val="00707EE2"/>
    <w:rsid w:val="00710385"/>
    <w:rsid w:val="0071161E"/>
    <w:rsid w:val="00711779"/>
    <w:rsid w:val="00712C40"/>
    <w:rsid w:val="00713313"/>
    <w:rsid w:val="007139E0"/>
    <w:rsid w:val="00714B9C"/>
    <w:rsid w:val="00715470"/>
    <w:rsid w:val="0071630C"/>
    <w:rsid w:val="00717C29"/>
    <w:rsid w:val="0072022F"/>
    <w:rsid w:val="007202FA"/>
    <w:rsid w:val="0072221A"/>
    <w:rsid w:val="00722611"/>
    <w:rsid w:val="00722E06"/>
    <w:rsid w:val="0072325A"/>
    <w:rsid w:val="007238D9"/>
    <w:rsid w:val="00723A33"/>
    <w:rsid w:val="00723A9C"/>
    <w:rsid w:val="007245F6"/>
    <w:rsid w:val="0072475A"/>
    <w:rsid w:val="007250AD"/>
    <w:rsid w:val="007251C1"/>
    <w:rsid w:val="00726960"/>
    <w:rsid w:val="00726B1F"/>
    <w:rsid w:val="007306F0"/>
    <w:rsid w:val="007309F1"/>
    <w:rsid w:val="007312BE"/>
    <w:rsid w:val="007314C6"/>
    <w:rsid w:val="00735D0A"/>
    <w:rsid w:val="00736EEB"/>
    <w:rsid w:val="00737B0A"/>
    <w:rsid w:val="00737D47"/>
    <w:rsid w:val="0074082F"/>
    <w:rsid w:val="00740C5A"/>
    <w:rsid w:val="007414B9"/>
    <w:rsid w:val="007418C4"/>
    <w:rsid w:val="00741F18"/>
    <w:rsid w:val="007420B7"/>
    <w:rsid w:val="0074235D"/>
    <w:rsid w:val="0074261B"/>
    <w:rsid w:val="00742FBF"/>
    <w:rsid w:val="007432B1"/>
    <w:rsid w:val="00743EA6"/>
    <w:rsid w:val="007445C7"/>
    <w:rsid w:val="00745B75"/>
    <w:rsid w:val="00745D63"/>
    <w:rsid w:val="00746BE1"/>
    <w:rsid w:val="00746E9B"/>
    <w:rsid w:val="00746F77"/>
    <w:rsid w:val="00747577"/>
    <w:rsid w:val="00747696"/>
    <w:rsid w:val="00747F44"/>
    <w:rsid w:val="00747FF3"/>
    <w:rsid w:val="00750236"/>
    <w:rsid w:val="00750841"/>
    <w:rsid w:val="00750F23"/>
    <w:rsid w:val="00750F61"/>
    <w:rsid w:val="00751493"/>
    <w:rsid w:val="007529DE"/>
    <w:rsid w:val="00752DEE"/>
    <w:rsid w:val="00753A51"/>
    <w:rsid w:val="00754B58"/>
    <w:rsid w:val="00754BBE"/>
    <w:rsid w:val="007556A5"/>
    <w:rsid w:val="007557A9"/>
    <w:rsid w:val="0075626B"/>
    <w:rsid w:val="00756826"/>
    <w:rsid w:val="007573EB"/>
    <w:rsid w:val="0075763D"/>
    <w:rsid w:val="00757ADD"/>
    <w:rsid w:val="00757BAA"/>
    <w:rsid w:val="00760DAF"/>
    <w:rsid w:val="007612D5"/>
    <w:rsid w:val="00761A26"/>
    <w:rsid w:val="00761AE5"/>
    <w:rsid w:val="00762155"/>
    <w:rsid w:val="0076263E"/>
    <w:rsid w:val="007626EB"/>
    <w:rsid w:val="007633AC"/>
    <w:rsid w:val="00763A81"/>
    <w:rsid w:val="007655DB"/>
    <w:rsid w:val="00765992"/>
    <w:rsid w:val="00765EFA"/>
    <w:rsid w:val="00765F19"/>
    <w:rsid w:val="00766BEE"/>
    <w:rsid w:val="00767620"/>
    <w:rsid w:val="0076781E"/>
    <w:rsid w:val="00767CC7"/>
    <w:rsid w:val="00770112"/>
    <w:rsid w:val="00770D57"/>
    <w:rsid w:val="00771B83"/>
    <w:rsid w:val="00772623"/>
    <w:rsid w:val="00772CD7"/>
    <w:rsid w:val="00772F49"/>
    <w:rsid w:val="00773A85"/>
    <w:rsid w:val="00774021"/>
    <w:rsid w:val="00775562"/>
    <w:rsid w:val="007757A2"/>
    <w:rsid w:val="00777A36"/>
    <w:rsid w:val="007803E6"/>
    <w:rsid w:val="00780458"/>
    <w:rsid w:val="007809D4"/>
    <w:rsid w:val="00780D1E"/>
    <w:rsid w:val="0078297C"/>
    <w:rsid w:val="00782CF7"/>
    <w:rsid w:val="00782D00"/>
    <w:rsid w:val="00782EAA"/>
    <w:rsid w:val="0078333B"/>
    <w:rsid w:val="00784658"/>
    <w:rsid w:val="00784939"/>
    <w:rsid w:val="00784AD1"/>
    <w:rsid w:val="00784F26"/>
    <w:rsid w:val="0078794F"/>
    <w:rsid w:val="00790A1D"/>
    <w:rsid w:val="00790CD6"/>
    <w:rsid w:val="00790CDA"/>
    <w:rsid w:val="007913EA"/>
    <w:rsid w:val="00792B41"/>
    <w:rsid w:val="00793626"/>
    <w:rsid w:val="00796276"/>
    <w:rsid w:val="007964B9"/>
    <w:rsid w:val="00796B6F"/>
    <w:rsid w:val="00796E70"/>
    <w:rsid w:val="00796F9A"/>
    <w:rsid w:val="0079733F"/>
    <w:rsid w:val="007A2E2C"/>
    <w:rsid w:val="007A3FDC"/>
    <w:rsid w:val="007A5E9A"/>
    <w:rsid w:val="007A640B"/>
    <w:rsid w:val="007A6844"/>
    <w:rsid w:val="007B0BEF"/>
    <w:rsid w:val="007B1DA9"/>
    <w:rsid w:val="007B2A1E"/>
    <w:rsid w:val="007B2FEE"/>
    <w:rsid w:val="007B3061"/>
    <w:rsid w:val="007B3218"/>
    <w:rsid w:val="007B3B39"/>
    <w:rsid w:val="007B4218"/>
    <w:rsid w:val="007B60E1"/>
    <w:rsid w:val="007B730B"/>
    <w:rsid w:val="007B7E81"/>
    <w:rsid w:val="007B7EB5"/>
    <w:rsid w:val="007B7EFF"/>
    <w:rsid w:val="007C0A11"/>
    <w:rsid w:val="007C1352"/>
    <w:rsid w:val="007C13C4"/>
    <w:rsid w:val="007C2057"/>
    <w:rsid w:val="007C21C2"/>
    <w:rsid w:val="007C29DF"/>
    <w:rsid w:val="007C35EE"/>
    <w:rsid w:val="007C3972"/>
    <w:rsid w:val="007C3B44"/>
    <w:rsid w:val="007C4090"/>
    <w:rsid w:val="007C47D4"/>
    <w:rsid w:val="007C494C"/>
    <w:rsid w:val="007C50D7"/>
    <w:rsid w:val="007C603E"/>
    <w:rsid w:val="007C7F35"/>
    <w:rsid w:val="007D0C0A"/>
    <w:rsid w:val="007D2A26"/>
    <w:rsid w:val="007D32B8"/>
    <w:rsid w:val="007D4A96"/>
    <w:rsid w:val="007D7813"/>
    <w:rsid w:val="007D7AC2"/>
    <w:rsid w:val="007D7AE8"/>
    <w:rsid w:val="007D7C78"/>
    <w:rsid w:val="007E1842"/>
    <w:rsid w:val="007E1DA5"/>
    <w:rsid w:val="007E1F5F"/>
    <w:rsid w:val="007E362E"/>
    <w:rsid w:val="007E4E17"/>
    <w:rsid w:val="007E61ED"/>
    <w:rsid w:val="007E70A7"/>
    <w:rsid w:val="007E7740"/>
    <w:rsid w:val="007F0315"/>
    <w:rsid w:val="007F09AE"/>
    <w:rsid w:val="007F150E"/>
    <w:rsid w:val="007F1E67"/>
    <w:rsid w:val="007F276C"/>
    <w:rsid w:val="007F2B41"/>
    <w:rsid w:val="007F3540"/>
    <w:rsid w:val="007F3C9F"/>
    <w:rsid w:val="007F3E6D"/>
    <w:rsid w:val="007F48BD"/>
    <w:rsid w:val="007F4A34"/>
    <w:rsid w:val="007F5A9A"/>
    <w:rsid w:val="007F6E11"/>
    <w:rsid w:val="007F6EA4"/>
    <w:rsid w:val="007F7F39"/>
    <w:rsid w:val="00800315"/>
    <w:rsid w:val="0080284E"/>
    <w:rsid w:val="00802C8D"/>
    <w:rsid w:val="00802F6F"/>
    <w:rsid w:val="008061DD"/>
    <w:rsid w:val="00806CC5"/>
    <w:rsid w:val="00806D0B"/>
    <w:rsid w:val="00814EE7"/>
    <w:rsid w:val="0081503E"/>
    <w:rsid w:val="00815578"/>
    <w:rsid w:val="00815C0C"/>
    <w:rsid w:val="00816225"/>
    <w:rsid w:val="0081785E"/>
    <w:rsid w:val="0081790E"/>
    <w:rsid w:val="00817A38"/>
    <w:rsid w:val="00820D1B"/>
    <w:rsid w:val="008210A7"/>
    <w:rsid w:val="00821E6F"/>
    <w:rsid w:val="008222DE"/>
    <w:rsid w:val="00822EDC"/>
    <w:rsid w:val="008236D1"/>
    <w:rsid w:val="00823E1F"/>
    <w:rsid w:val="00825DF0"/>
    <w:rsid w:val="0083015D"/>
    <w:rsid w:val="00830486"/>
    <w:rsid w:val="0083257F"/>
    <w:rsid w:val="00833857"/>
    <w:rsid w:val="008348FC"/>
    <w:rsid w:val="00834E38"/>
    <w:rsid w:val="00834E50"/>
    <w:rsid w:val="00834EE5"/>
    <w:rsid w:val="008351BA"/>
    <w:rsid w:val="00835345"/>
    <w:rsid w:val="00836845"/>
    <w:rsid w:val="0083701A"/>
    <w:rsid w:val="008373BC"/>
    <w:rsid w:val="008379FC"/>
    <w:rsid w:val="00841B82"/>
    <w:rsid w:val="0084236D"/>
    <w:rsid w:val="008427B8"/>
    <w:rsid w:val="0084348B"/>
    <w:rsid w:val="0084349E"/>
    <w:rsid w:val="00843F89"/>
    <w:rsid w:val="00844FAB"/>
    <w:rsid w:val="00845A30"/>
    <w:rsid w:val="00846294"/>
    <w:rsid w:val="00846598"/>
    <w:rsid w:val="00846B52"/>
    <w:rsid w:val="00846CE5"/>
    <w:rsid w:val="008502CE"/>
    <w:rsid w:val="0085093E"/>
    <w:rsid w:val="00850A42"/>
    <w:rsid w:val="0085100A"/>
    <w:rsid w:val="00851427"/>
    <w:rsid w:val="00851FCA"/>
    <w:rsid w:val="00855A04"/>
    <w:rsid w:val="0085637F"/>
    <w:rsid w:val="008614E6"/>
    <w:rsid w:val="0086189E"/>
    <w:rsid w:val="0086289E"/>
    <w:rsid w:val="00864025"/>
    <w:rsid w:val="0086442E"/>
    <w:rsid w:val="00865028"/>
    <w:rsid w:val="00865DF4"/>
    <w:rsid w:val="00866B54"/>
    <w:rsid w:val="0086790C"/>
    <w:rsid w:val="00867DC8"/>
    <w:rsid w:val="008706C2"/>
    <w:rsid w:val="00870E37"/>
    <w:rsid w:val="00871943"/>
    <w:rsid w:val="008734EB"/>
    <w:rsid w:val="0087575B"/>
    <w:rsid w:val="00875909"/>
    <w:rsid w:val="00876879"/>
    <w:rsid w:val="0087702A"/>
    <w:rsid w:val="00877C97"/>
    <w:rsid w:val="00880936"/>
    <w:rsid w:val="008809A8"/>
    <w:rsid w:val="00880FEA"/>
    <w:rsid w:val="008810A0"/>
    <w:rsid w:val="008820EC"/>
    <w:rsid w:val="00884359"/>
    <w:rsid w:val="0088505D"/>
    <w:rsid w:val="0088588A"/>
    <w:rsid w:val="00886430"/>
    <w:rsid w:val="008879C5"/>
    <w:rsid w:val="00890F96"/>
    <w:rsid w:val="00891FC2"/>
    <w:rsid w:val="0089261D"/>
    <w:rsid w:val="00892863"/>
    <w:rsid w:val="00892D72"/>
    <w:rsid w:val="00893ED3"/>
    <w:rsid w:val="00894A2E"/>
    <w:rsid w:val="0089589F"/>
    <w:rsid w:val="00895DB7"/>
    <w:rsid w:val="00897531"/>
    <w:rsid w:val="0089753E"/>
    <w:rsid w:val="00897ED6"/>
    <w:rsid w:val="008A116A"/>
    <w:rsid w:val="008A12BD"/>
    <w:rsid w:val="008A145A"/>
    <w:rsid w:val="008A14CF"/>
    <w:rsid w:val="008A23D0"/>
    <w:rsid w:val="008A2C93"/>
    <w:rsid w:val="008A2E57"/>
    <w:rsid w:val="008A3068"/>
    <w:rsid w:val="008A3076"/>
    <w:rsid w:val="008A34F4"/>
    <w:rsid w:val="008A4E20"/>
    <w:rsid w:val="008A5ED2"/>
    <w:rsid w:val="008A6CD7"/>
    <w:rsid w:val="008A732C"/>
    <w:rsid w:val="008A7742"/>
    <w:rsid w:val="008A781A"/>
    <w:rsid w:val="008A7EF3"/>
    <w:rsid w:val="008B05BF"/>
    <w:rsid w:val="008B2D16"/>
    <w:rsid w:val="008B3482"/>
    <w:rsid w:val="008B3732"/>
    <w:rsid w:val="008B38DC"/>
    <w:rsid w:val="008B4ED7"/>
    <w:rsid w:val="008B721A"/>
    <w:rsid w:val="008C0DBE"/>
    <w:rsid w:val="008C21A1"/>
    <w:rsid w:val="008C251B"/>
    <w:rsid w:val="008C27D6"/>
    <w:rsid w:val="008C292F"/>
    <w:rsid w:val="008C42C6"/>
    <w:rsid w:val="008C4606"/>
    <w:rsid w:val="008C563B"/>
    <w:rsid w:val="008C6386"/>
    <w:rsid w:val="008C64B2"/>
    <w:rsid w:val="008C7454"/>
    <w:rsid w:val="008C7B9F"/>
    <w:rsid w:val="008D08B9"/>
    <w:rsid w:val="008D0B76"/>
    <w:rsid w:val="008D1ECE"/>
    <w:rsid w:val="008D2627"/>
    <w:rsid w:val="008D423A"/>
    <w:rsid w:val="008D5807"/>
    <w:rsid w:val="008D6886"/>
    <w:rsid w:val="008D7532"/>
    <w:rsid w:val="008D767D"/>
    <w:rsid w:val="008E08DC"/>
    <w:rsid w:val="008E0C73"/>
    <w:rsid w:val="008E13BF"/>
    <w:rsid w:val="008E252B"/>
    <w:rsid w:val="008E298A"/>
    <w:rsid w:val="008E4D9F"/>
    <w:rsid w:val="008E52E9"/>
    <w:rsid w:val="008E6441"/>
    <w:rsid w:val="008E6470"/>
    <w:rsid w:val="008E715E"/>
    <w:rsid w:val="008E735C"/>
    <w:rsid w:val="008E7395"/>
    <w:rsid w:val="008F1A88"/>
    <w:rsid w:val="008F20C4"/>
    <w:rsid w:val="008F2CC6"/>
    <w:rsid w:val="008F2DE2"/>
    <w:rsid w:val="008F3EBB"/>
    <w:rsid w:val="008F4C37"/>
    <w:rsid w:val="009001E6"/>
    <w:rsid w:val="00900991"/>
    <w:rsid w:val="00900BD2"/>
    <w:rsid w:val="00901468"/>
    <w:rsid w:val="00902089"/>
    <w:rsid w:val="009040C6"/>
    <w:rsid w:val="00904417"/>
    <w:rsid w:val="00904490"/>
    <w:rsid w:val="00907B2E"/>
    <w:rsid w:val="00910739"/>
    <w:rsid w:val="00910958"/>
    <w:rsid w:val="00911C03"/>
    <w:rsid w:val="00911C2B"/>
    <w:rsid w:val="00911E9A"/>
    <w:rsid w:val="0091218A"/>
    <w:rsid w:val="00912CB6"/>
    <w:rsid w:val="00914565"/>
    <w:rsid w:val="009153D6"/>
    <w:rsid w:val="009161AD"/>
    <w:rsid w:val="0091664B"/>
    <w:rsid w:val="00920922"/>
    <w:rsid w:val="009210E8"/>
    <w:rsid w:val="009214E2"/>
    <w:rsid w:val="009219B6"/>
    <w:rsid w:val="009229E9"/>
    <w:rsid w:val="00922DFE"/>
    <w:rsid w:val="0092314D"/>
    <w:rsid w:val="009232BF"/>
    <w:rsid w:val="00924811"/>
    <w:rsid w:val="00924893"/>
    <w:rsid w:val="00924D5E"/>
    <w:rsid w:val="00924EA1"/>
    <w:rsid w:val="009269C2"/>
    <w:rsid w:val="00931630"/>
    <w:rsid w:val="00931A1C"/>
    <w:rsid w:val="00931DD1"/>
    <w:rsid w:val="0093378B"/>
    <w:rsid w:val="00935A12"/>
    <w:rsid w:val="00936427"/>
    <w:rsid w:val="00940012"/>
    <w:rsid w:val="00940813"/>
    <w:rsid w:val="00940BF8"/>
    <w:rsid w:val="0094276D"/>
    <w:rsid w:val="00944EE1"/>
    <w:rsid w:val="00945F64"/>
    <w:rsid w:val="009465E2"/>
    <w:rsid w:val="00947082"/>
    <w:rsid w:val="00950853"/>
    <w:rsid w:val="009509FF"/>
    <w:rsid w:val="00950A07"/>
    <w:rsid w:val="00950C1D"/>
    <w:rsid w:val="00950DF2"/>
    <w:rsid w:val="0095107B"/>
    <w:rsid w:val="009511E6"/>
    <w:rsid w:val="009521CF"/>
    <w:rsid w:val="00953428"/>
    <w:rsid w:val="00954419"/>
    <w:rsid w:val="00955E2A"/>
    <w:rsid w:val="00956CDA"/>
    <w:rsid w:val="00960145"/>
    <w:rsid w:val="0096067B"/>
    <w:rsid w:val="00960A82"/>
    <w:rsid w:val="00962456"/>
    <w:rsid w:val="00963BC6"/>
    <w:rsid w:val="00963CEA"/>
    <w:rsid w:val="0096500D"/>
    <w:rsid w:val="00967B6F"/>
    <w:rsid w:val="0097269A"/>
    <w:rsid w:val="00972D7D"/>
    <w:rsid w:val="0097486A"/>
    <w:rsid w:val="00974C6C"/>
    <w:rsid w:val="00975012"/>
    <w:rsid w:val="00975720"/>
    <w:rsid w:val="00975DB7"/>
    <w:rsid w:val="00975F3E"/>
    <w:rsid w:val="00976612"/>
    <w:rsid w:val="00977BB9"/>
    <w:rsid w:val="009813F3"/>
    <w:rsid w:val="00982E22"/>
    <w:rsid w:val="009837AB"/>
    <w:rsid w:val="00986FEF"/>
    <w:rsid w:val="00987453"/>
    <w:rsid w:val="00987787"/>
    <w:rsid w:val="00990501"/>
    <w:rsid w:val="00990670"/>
    <w:rsid w:val="00990B08"/>
    <w:rsid w:val="00990E52"/>
    <w:rsid w:val="00992C0B"/>
    <w:rsid w:val="00993BCB"/>
    <w:rsid w:val="00993D09"/>
    <w:rsid w:val="00993E13"/>
    <w:rsid w:val="00994791"/>
    <w:rsid w:val="00994DA5"/>
    <w:rsid w:val="00994EC4"/>
    <w:rsid w:val="00995812"/>
    <w:rsid w:val="00995AEB"/>
    <w:rsid w:val="00995BD9"/>
    <w:rsid w:val="00995DE3"/>
    <w:rsid w:val="00995E58"/>
    <w:rsid w:val="00996170"/>
    <w:rsid w:val="00996286"/>
    <w:rsid w:val="0099659C"/>
    <w:rsid w:val="009973E5"/>
    <w:rsid w:val="009A07AC"/>
    <w:rsid w:val="009A178C"/>
    <w:rsid w:val="009A348E"/>
    <w:rsid w:val="009A42FB"/>
    <w:rsid w:val="009A4799"/>
    <w:rsid w:val="009A56EF"/>
    <w:rsid w:val="009A5798"/>
    <w:rsid w:val="009A5B4D"/>
    <w:rsid w:val="009A6289"/>
    <w:rsid w:val="009A651F"/>
    <w:rsid w:val="009A6AC1"/>
    <w:rsid w:val="009A6CB4"/>
    <w:rsid w:val="009A6EEF"/>
    <w:rsid w:val="009A76A1"/>
    <w:rsid w:val="009A79BF"/>
    <w:rsid w:val="009B042D"/>
    <w:rsid w:val="009B1728"/>
    <w:rsid w:val="009B24B3"/>
    <w:rsid w:val="009B27C4"/>
    <w:rsid w:val="009B2D07"/>
    <w:rsid w:val="009B2E40"/>
    <w:rsid w:val="009B3FCB"/>
    <w:rsid w:val="009B42A6"/>
    <w:rsid w:val="009B5070"/>
    <w:rsid w:val="009B5153"/>
    <w:rsid w:val="009B60D9"/>
    <w:rsid w:val="009B677C"/>
    <w:rsid w:val="009C3540"/>
    <w:rsid w:val="009C416F"/>
    <w:rsid w:val="009C4B02"/>
    <w:rsid w:val="009C4B67"/>
    <w:rsid w:val="009C6FE1"/>
    <w:rsid w:val="009C71D4"/>
    <w:rsid w:val="009C76FB"/>
    <w:rsid w:val="009D01D4"/>
    <w:rsid w:val="009D0BD4"/>
    <w:rsid w:val="009D175A"/>
    <w:rsid w:val="009D2057"/>
    <w:rsid w:val="009D297F"/>
    <w:rsid w:val="009D2E0C"/>
    <w:rsid w:val="009D2FF1"/>
    <w:rsid w:val="009D3E14"/>
    <w:rsid w:val="009D53EF"/>
    <w:rsid w:val="009D5833"/>
    <w:rsid w:val="009D60D4"/>
    <w:rsid w:val="009D7161"/>
    <w:rsid w:val="009E1B05"/>
    <w:rsid w:val="009E2925"/>
    <w:rsid w:val="009E3E72"/>
    <w:rsid w:val="009E4D16"/>
    <w:rsid w:val="009E5458"/>
    <w:rsid w:val="009E5547"/>
    <w:rsid w:val="009E57E2"/>
    <w:rsid w:val="009E69B3"/>
    <w:rsid w:val="009E7A86"/>
    <w:rsid w:val="009E7C02"/>
    <w:rsid w:val="009E7CEB"/>
    <w:rsid w:val="009F0F82"/>
    <w:rsid w:val="009F269B"/>
    <w:rsid w:val="009F3F52"/>
    <w:rsid w:val="009F47C8"/>
    <w:rsid w:val="009F48A3"/>
    <w:rsid w:val="009F5813"/>
    <w:rsid w:val="009F669B"/>
    <w:rsid w:val="009F7088"/>
    <w:rsid w:val="009F7ADC"/>
    <w:rsid w:val="009F7E49"/>
    <w:rsid w:val="00A00F78"/>
    <w:rsid w:val="00A02A1A"/>
    <w:rsid w:val="00A02F00"/>
    <w:rsid w:val="00A0319E"/>
    <w:rsid w:val="00A032D6"/>
    <w:rsid w:val="00A034A5"/>
    <w:rsid w:val="00A04760"/>
    <w:rsid w:val="00A04DC8"/>
    <w:rsid w:val="00A0511A"/>
    <w:rsid w:val="00A059A0"/>
    <w:rsid w:val="00A06F09"/>
    <w:rsid w:val="00A07979"/>
    <w:rsid w:val="00A07ABD"/>
    <w:rsid w:val="00A07BEE"/>
    <w:rsid w:val="00A11121"/>
    <w:rsid w:val="00A11EDC"/>
    <w:rsid w:val="00A122F5"/>
    <w:rsid w:val="00A1427E"/>
    <w:rsid w:val="00A143FA"/>
    <w:rsid w:val="00A15ACE"/>
    <w:rsid w:val="00A1709E"/>
    <w:rsid w:val="00A171F6"/>
    <w:rsid w:val="00A1790B"/>
    <w:rsid w:val="00A17FC9"/>
    <w:rsid w:val="00A20304"/>
    <w:rsid w:val="00A209EB"/>
    <w:rsid w:val="00A21194"/>
    <w:rsid w:val="00A21377"/>
    <w:rsid w:val="00A22551"/>
    <w:rsid w:val="00A232D8"/>
    <w:rsid w:val="00A237CA"/>
    <w:rsid w:val="00A238B4"/>
    <w:rsid w:val="00A23D1C"/>
    <w:rsid w:val="00A23E40"/>
    <w:rsid w:val="00A24303"/>
    <w:rsid w:val="00A2479A"/>
    <w:rsid w:val="00A24990"/>
    <w:rsid w:val="00A24C95"/>
    <w:rsid w:val="00A2598B"/>
    <w:rsid w:val="00A25C52"/>
    <w:rsid w:val="00A26DEE"/>
    <w:rsid w:val="00A271AB"/>
    <w:rsid w:val="00A272EF"/>
    <w:rsid w:val="00A27524"/>
    <w:rsid w:val="00A30302"/>
    <w:rsid w:val="00A325F7"/>
    <w:rsid w:val="00A32EBF"/>
    <w:rsid w:val="00A32F07"/>
    <w:rsid w:val="00A33982"/>
    <w:rsid w:val="00A35008"/>
    <w:rsid w:val="00A35039"/>
    <w:rsid w:val="00A35B69"/>
    <w:rsid w:val="00A37038"/>
    <w:rsid w:val="00A37DEA"/>
    <w:rsid w:val="00A42700"/>
    <w:rsid w:val="00A4379F"/>
    <w:rsid w:val="00A43D51"/>
    <w:rsid w:val="00A43F3C"/>
    <w:rsid w:val="00A45E51"/>
    <w:rsid w:val="00A46112"/>
    <w:rsid w:val="00A46507"/>
    <w:rsid w:val="00A467BD"/>
    <w:rsid w:val="00A46A73"/>
    <w:rsid w:val="00A50116"/>
    <w:rsid w:val="00A50F07"/>
    <w:rsid w:val="00A519A4"/>
    <w:rsid w:val="00A545B5"/>
    <w:rsid w:val="00A54ABB"/>
    <w:rsid w:val="00A554C0"/>
    <w:rsid w:val="00A55CFE"/>
    <w:rsid w:val="00A5678A"/>
    <w:rsid w:val="00A56AAD"/>
    <w:rsid w:val="00A570A3"/>
    <w:rsid w:val="00A6249D"/>
    <w:rsid w:val="00A62957"/>
    <w:rsid w:val="00A62D0A"/>
    <w:rsid w:val="00A64A5B"/>
    <w:rsid w:val="00A64EF5"/>
    <w:rsid w:val="00A64F58"/>
    <w:rsid w:val="00A652AA"/>
    <w:rsid w:val="00A65B94"/>
    <w:rsid w:val="00A67531"/>
    <w:rsid w:val="00A67910"/>
    <w:rsid w:val="00A704A1"/>
    <w:rsid w:val="00A70DE6"/>
    <w:rsid w:val="00A70E86"/>
    <w:rsid w:val="00A71579"/>
    <w:rsid w:val="00A71A58"/>
    <w:rsid w:val="00A71A9A"/>
    <w:rsid w:val="00A7219B"/>
    <w:rsid w:val="00A73868"/>
    <w:rsid w:val="00A73CDA"/>
    <w:rsid w:val="00A74138"/>
    <w:rsid w:val="00A7517D"/>
    <w:rsid w:val="00A75419"/>
    <w:rsid w:val="00A7564F"/>
    <w:rsid w:val="00A76D7F"/>
    <w:rsid w:val="00A770BF"/>
    <w:rsid w:val="00A77310"/>
    <w:rsid w:val="00A77894"/>
    <w:rsid w:val="00A80234"/>
    <w:rsid w:val="00A8060A"/>
    <w:rsid w:val="00A80A5B"/>
    <w:rsid w:val="00A82B13"/>
    <w:rsid w:val="00A82C56"/>
    <w:rsid w:val="00A82EAC"/>
    <w:rsid w:val="00A83A39"/>
    <w:rsid w:val="00A841DA"/>
    <w:rsid w:val="00A84E72"/>
    <w:rsid w:val="00A8702B"/>
    <w:rsid w:val="00A8704A"/>
    <w:rsid w:val="00A904D9"/>
    <w:rsid w:val="00A92C21"/>
    <w:rsid w:val="00A93826"/>
    <w:rsid w:val="00A93D5C"/>
    <w:rsid w:val="00A96707"/>
    <w:rsid w:val="00A96DE7"/>
    <w:rsid w:val="00A97723"/>
    <w:rsid w:val="00A978E8"/>
    <w:rsid w:val="00A97B5E"/>
    <w:rsid w:val="00AA1082"/>
    <w:rsid w:val="00AA130D"/>
    <w:rsid w:val="00AA3D20"/>
    <w:rsid w:val="00AA4F05"/>
    <w:rsid w:val="00AA5F1E"/>
    <w:rsid w:val="00AA5FA4"/>
    <w:rsid w:val="00AA70EF"/>
    <w:rsid w:val="00AB07D3"/>
    <w:rsid w:val="00AB1EC9"/>
    <w:rsid w:val="00AB1EDA"/>
    <w:rsid w:val="00AB2828"/>
    <w:rsid w:val="00AB301A"/>
    <w:rsid w:val="00AB32B5"/>
    <w:rsid w:val="00AB33F4"/>
    <w:rsid w:val="00AB362D"/>
    <w:rsid w:val="00AB3CF6"/>
    <w:rsid w:val="00AB4B1D"/>
    <w:rsid w:val="00AB5F62"/>
    <w:rsid w:val="00AB7D21"/>
    <w:rsid w:val="00AC0C96"/>
    <w:rsid w:val="00AC11C2"/>
    <w:rsid w:val="00AC11C6"/>
    <w:rsid w:val="00AC1650"/>
    <w:rsid w:val="00AC2D03"/>
    <w:rsid w:val="00AC38EB"/>
    <w:rsid w:val="00AC3ECC"/>
    <w:rsid w:val="00AC44AC"/>
    <w:rsid w:val="00AC66E7"/>
    <w:rsid w:val="00AC6A07"/>
    <w:rsid w:val="00AC740F"/>
    <w:rsid w:val="00AC74D3"/>
    <w:rsid w:val="00AC7CA4"/>
    <w:rsid w:val="00AD0441"/>
    <w:rsid w:val="00AD11D6"/>
    <w:rsid w:val="00AD17A8"/>
    <w:rsid w:val="00AD2C95"/>
    <w:rsid w:val="00AD341D"/>
    <w:rsid w:val="00AD4FC0"/>
    <w:rsid w:val="00AD53C7"/>
    <w:rsid w:val="00AD5CA6"/>
    <w:rsid w:val="00AD6454"/>
    <w:rsid w:val="00AD66A4"/>
    <w:rsid w:val="00AD71B4"/>
    <w:rsid w:val="00AD7F5D"/>
    <w:rsid w:val="00AD7F66"/>
    <w:rsid w:val="00AE087D"/>
    <w:rsid w:val="00AE26F1"/>
    <w:rsid w:val="00AE2EA2"/>
    <w:rsid w:val="00AE33A5"/>
    <w:rsid w:val="00AE40CC"/>
    <w:rsid w:val="00AE52B2"/>
    <w:rsid w:val="00AE5822"/>
    <w:rsid w:val="00AE590F"/>
    <w:rsid w:val="00AE7AE4"/>
    <w:rsid w:val="00AF11F8"/>
    <w:rsid w:val="00AF3D86"/>
    <w:rsid w:val="00AF3DF8"/>
    <w:rsid w:val="00AF4A54"/>
    <w:rsid w:val="00AF634C"/>
    <w:rsid w:val="00AF647B"/>
    <w:rsid w:val="00AF6EA1"/>
    <w:rsid w:val="00AF77DD"/>
    <w:rsid w:val="00AF7E21"/>
    <w:rsid w:val="00B00068"/>
    <w:rsid w:val="00B00405"/>
    <w:rsid w:val="00B0128F"/>
    <w:rsid w:val="00B01435"/>
    <w:rsid w:val="00B01EB8"/>
    <w:rsid w:val="00B02257"/>
    <w:rsid w:val="00B02D12"/>
    <w:rsid w:val="00B02DB2"/>
    <w:rsid w:val="00B04C25"/>
    <w:rsid w:val="00B05E26"/>
    <w:rsid w:val="00B068EB"/>
    <w:rsid w:val="00B06B54"/>
    <w:rsid w:val="00B10CA1"/>
    <w:rsid w:val="00B12513"/>
    <w:rsid w:val="00B14389"/>
    <w:rsid w:val="00B156CB"/>
    <w:rsid w:val="00B15B83"/>
    <w:rsid w:val="00B16D3F"/>
    <w:rsid w:val="00B171E1"/>
    <w:rsid w:val="00B172F1"/>
    <w:rsid w:val="00B17935"/>
    <w:rsid w:val="00B235D1"/>
    <w:rsid w:val="00B251D5"/>
    <w:rsid w:val="00B25280"/>
    <w:rsid w:val="00B262E1"/>
    <w:rsid w:val="00B26F23"/>
    <w:rsid w:val="00B2725E"/>
    <w:rsid w:val="00B275D6"/>
    <w:rsid w:val="00B2765D"/>
    <w:rsid w:val="00B318AB"/>
    <w:rsid w:val="00B33EE5"/>
    <w:rsid w:val="00B34E95"/>
    <w:rsid w:val="00B35525"/>
    <w:rsid w:val="00B35F45"/>
    <w:rsid w:val="00B363CB"/>
    <w:rsid w:val="00B368DE"/>
    <w:rsid w:val="00B4028A"/>
    <w:rsid w:val="00B41339"/>
    <w:rsid w:val="00B41A3A"/>
    <w:rsid w:val="00B42866"/>
    <w:rsid w:val="00B4391C"/>
    <w:rsid w:val="00B44E40"/>
    <w:rsid w:val="00B450CD"/>
    <w:rsid w:val="00B4551B"/>
    <w:rsid w:val="00B45FF3"/>
    <w:rsid w:val="00B47F6C"/>
    <w:rsid w:val="00B508E4"/>
    <w:rsid w:val="00B50C9F"/>
    <w:rsid w:val="00B51A62"/>
    <w:rsid w:val="00B51F0A"/>
    <w:rsid w:val="00B52F7E"/>
    <w:rsid w:val="00B5362F"/>
    <w:rsid w:val="00B53B83"/>
    <w:rsid w:val="00B54D2E"/>
    <w:rsid w:val="00B5545A"/>
    <w:rsid w:val="00B55B61"/>
    <w:rsid w:val="00B60B2A"/>
    <w:rsid w:val="00B61E92"/>
    <w:rsid w:val="00B62C8C"/>
    <w:rsid w:val="00B6330D"/>
    <w:rsid w:val="00B64025"/>
    <w:rsid w:val="00B6429B"/>
    <w:rsid w:val="00B6455F"/>
    <w:rsid w:val="00B653F0"/>
    <w:rsid w:val="00B65410"/>
    <w:rsid w:val="00B65539"/>
    <w:rsid w:val="00B65932"/>
    <w:rsid w:val="00B67367"/>
    <w:rsid w:val="00B700DC"/>
    <w:rsid w:val="00B70328"/>
    <w:rsid w:val="00B721CD"/>
    <w:rsid w:val="00B72409"/>
    <w:rsid w:val="00B730B9"/>
    <w:rsid w:val="00B737AB"/>
    <w:rsid w:val="00B73C52"/>
    <w:rsid w:val="00B75612"/>
    <w:rsid w:val="00B76196"/>
    <w:rsid w:val="00B76261"/>
    <w:rsid w:val="00B77EA5"/>
    <w:rsid w:val="00B82CC5"/>
    <w:rsid w:val="00B833A2"/>
    <w:rsid w:val="00B836B6"/>
    <w:rsid w:val="00B84435"/>
    <w:rsid w:val="00B86487"/>
    <w:rsid w:val="00B866C5"/>
    <w:rsid w:val="00B86A42"/>
    <w:rsid w:val="00B87A4A"/>
    <w:rsid w:val="00B90700"/>
    <w:rsid w:val="00B9314A"/>
    <w:rsid w:val="00B93639"/>
    <w:rsid w:val="00B94513"/>
    <w:rsid w:val="00B95F0C"/>
    <w:rsid w:val="00B966D7"/>
    <w:rsid w:val="00B96C65"/>
    <w:rsid w:val="00B97E8B"/>
    <w:rsid w:val="00BA0076"/>
    <w:rsid w:val="00BA0079"/>
    <w:rsid w:val="00BA04AC"/>
    <w:rsid w:val="00BA3FB7"/>
    <w:rsid w:val="00BA4D96"/>
    <w:rsid w:val="00BA6090"/>
    <w:rsid w:val="00BA6DF5"/>
    <w:rsid w:val="00BA736F"/>
    <w:rsid w:val="00BB0613"/>
    <w:rsid w:val="00BB078B"/>
    <w:rsid w:val="00BB08AD"/>
    <w:rsid w:val="00BB0A88"/>
    <w:rsid w:val="00BB0DD6"/>
    <w:rsid w:val="00BB0F97"/>
    <w:rsid w:val="00BB1249"/>
    <w:rsid w:val="00BB269D"/>
    <w:rsid w:val="00BB3126"/>
    <w:rsid w:val="00BB31E4"/>
    <w:rsid w:val="00BB4535"/>
    <w:rsid w:val="00BB4B62"/>
    <w:rsid w:val="00BB662A"/>
    <w:rsid w:val="00BB668E"/>
    <w:rsid w:val="00BB6B53"/>
    <w:rsid w:val="00BB79AE"/>
    <w:rsid w:val="00BC02EE"/>
    <w:rsid w:val="00BC1933"/>
    <w:rsid w:val="00BC198B"/>
    <w:rsid w:val="00BC2B58"/>
    <w:rsid w:val="00BC354A"/>
    <w:rsid w:val="00BC3BC3"/>
    <w:rsid w:val="00BC40E8"/>
    <w:rsid w:val="00BC410C"/>
    <w:rsid w:val="00BC44E0"/>
    <w:rsid w:val="00BC48AC"/>
    <w:rsid w:val="00BC5FD0"/>
    <w:rsid w:val="00BC60A1"/>
    <w:rsid w:val="00BC68F5"/>
    <w:rsid w:val="00BC6D20"/>
    <w:rsid w:val="00BD03DB"/>
    <w:rsid w:val="00BD0894"/>
    <w:rsid w:val="00BD1F79"/>
    <w:rsid w:val="00BD21A2"/>
    <w:rsid w:val="00BD25D5"/>
    <w:rsid w:val="00BD2EE0"/>
    <w:rsid w:val="00BD35D2"/>
    <w:rsid w:val="00BD3D4E"/>
    <w:rsid w:val="00BD4AAA"/>
    <w:rsid w:val="00BD5EFD"/>
    <w:rsid w:val="00BD67B1"/>
    <w:rsid w:val="00BD702F"/>
    <w:rsid w:val="00BD7BB3"/>
    <w:rsid w:val="00BE0A55"/>
    <w:rsid w:val="00BE381E"/>
    <w:rsid w:val="00BE3BA2"/>
    <w:rsid w:val="00BE79DE"/>
    <w:rsid w:val="00BF1357"/>
    <w:rsid w:val="00BF1F5D"/>
    <w:rsid w:val="00BF2ACB"/>
    <w:rsid w:val="00BF36A6"/>
    <w:rsid w:val="00BF3DD2"/>
    <w:rsid w:val="00BF44C7"/>
    <w:rsid w:val="00BF4B82"/>
    <w:rsid w:val="00BF59C3"/>
    <w:rsid w:val="00BF615E"/>
    <w:rsid w:val="00BF65F9"/>
    <w:rsid w:val="00BF6BE0"/>
    <w:rsid w:val="00BF6E3B"/>
    <w:rsid w:val="00C018AC"/>
    <w:rsid w:val="00C018AF"/>
    <w:rsid w:val="00C01B67"/>
    <w:rsid w:val="00C02383"/>
    <w:rsid w:val="00C0350E"/>
    <w:rsid w:val="00C0404E"/>
    <w:rsid w:val="00C0432E"/>
    <w:rsid w:val="00C046ED"/>
    <w:rsid w:val="00C051D4"/>
    <w:rsid w:val="00C07C48"/>
    <w:rsid w:val="00C1341B"/>
    <w:rsid w:val="00C139E5"/>
    <w:rsid w:val="00C157DB"/>
    <w:rsid w:val="00C17469"/>
    <w:rsid w:val="00C1751F"/>
    <w:rsid w:val="00C1783A"/>
    <w:rsid w:val="00C20342"/>
    <w:rsid w:val="00C20B8C"/>
    <w:rsid w:val="00C21972"/>
    <w:rsid w:val="00C24898"/>
    <w:rsid w:val="00C2504B"/>
    <w:rsid w:val="00C25A5A"/>
    <w:rsid w:val="00C25CD8"/>
    <w:rsid w:val="00C25D74"/>
    <w:rsid w:val="00C26F7E"/>
    <w:rsid w:val="00C27E63"/>
    <w:rsid w:val="00C27FBE"/>
    <w:rsid w:val="00C30705"/>
    <w:rsid w:val="00C31031"/>
    <w:rsid w:val="00C3151A"/>
    <w:rsid w:val="00C335D8"/>
    <w:rsid w:val="00C34747"/>
    <w:rsid w:val="00C37075"/>
    <w:rsid w:val="00C4013A"/>
    <w:rsid w:val="00C40C53"/>
    <w:rsid w:val="00C40F0A"/>
    <w:rsid w:val="00C41629"/>
    <w:rsid w:val="00C41E44"/>
    <w:rsid w:val="00C42F4F"/>
    <w:rsid w:val="00C431EE"/>
    <w:rsid w:val="00C43823"/>
    <w:rsid w:val="00C439DA"/>
    <w:rsid w:val="00C43CA0"/>
    <w:rsid w:val="00C44273"/>
    <w:rsid w:val="00C44BD3"/>
    <w:rsid w:val="00C452A9"/>
    <w:rsid w:val="00C455ED"/>
    <w:rsid w:val="00C45CF4"/>
    <w:rsid w:val="00C45F04"/>
    <w:rsid w:val="00C4675E"/>
    <w:rsid w:val="00C46DB0"/>
    <w:rsid w:val="00C46F23"/>
    <w:rsid w:val="00C5019A"/>
    <w:rsid w:val="00C516FD"/>
    <w:rsid w:val="00C52A2E"/>
    <w:rsid w:val="00C54211"/>
    <w:rsid w:val="00C542EE"/>
    <w:rsid w:val="00C54550"/>
    <w:rsid w:val="00C546E4"/>
    <w:rsid w:val="00C54A33"/>
    <w:rsid w:val="00C54CE4"/>
    <w:rsid w:val="00C57F47"/>
    <w:rsid w:val="00C637B7"/>
    <w:rsid w:val="00C63BB4"/>
    <w:rsid w:val="00C6598D"/>
    <w:rsid w:val="00C669E0"/>
    <w:rsid w:val="00C705D3"/>
    <w:rsid w:val="00C70D6B"/>
    <w:rsid w:val="00C71156"/>
    <w:rsid w:val="00C71575"/>
    <w:rsid w:val="00C72BED"/>
    <w:rsid w:val="00C7499C"/>
    <w:rsid w:val="00C749E4"/>
    <w:rsid w:val="00C7549A"/>
    <w:rsid w:val="00C77043"/>
    <w:rsid w:val="00C771DE"/>
    <w:rsid w:val="00C80169"/>
    <w:rsid w:val="00C809C1"/>
    <w:rsid w:val="00C831E4"/>
    <w:rsid w:val="00C836AA"/>
    <w:rsid w:val="00C84099"/>
    <w:rsid w:val="00C84C2C"/>
    <w:rsid w:val="00C85986"/>
    <w:rsid w:val="00C85A21"/>
    <w:rsid w:val="00C86634"/>
    <w:rsid w:val="00C86677"/>
    <w:rsid w:val="00C874D9"/>
    <w:rsid w:val="00C87516"/>
    <w:rsid w:val="00C87E49"/>
    <w:rsid w:val="00C9078D"/>
    <w:rsid w:val="00C91A43"/>
    <w:rsid w:val="00C92A24"/>
    <w:rsid w:val="00C937B5"/>
    <w:rsid w:val="00C93B03"/>
    <w:rsid w:val="00C93D77"/>
    <w:rsid w:val="00C93D97"/>
    <w:rsid w:val="00C9433E"/>
    <w:rsid w:val="00C946B5"/>
    <w:rsid w:val="00C95BF9"/>
    <w:rsid w:val="00C961EB"/>
    <w:rsid w:val="00C96760"/>
    <w:rsid w:val="00C9780D"/>
    <w:rsid w:val="00C97C8B"/>
    <w:rsid w:val="00CA11D8"/>
    <w:rsid w:val="00CA199D"/>
    <w:rsid w:val="00CA213F"/>
    <w:rsid w:val="00CA2711"/>
    <w:rsid w:val="00CA36D4"/>
    <w:rsid w:val="00CA3BBF"/>
    <w:rsid w:val="00CA3EE2"/>
    <w:rsid w:val="00CA41F7"/>
    <w:rsid w:val="00CA6960"/>
    <w:rsid w:val="00CA7C15"/>
    <w:rsid w:val="00CB0163"/>
    <w:rsid w:val="00CB2F1F"/>
    <w:rsid w:val="00CB32A2"/>
    <w:rsid w:val="00CB32BF"/>
    <w:rsid w:val="00CB3478"/>
    <w:rsid w:val="00CB36D5"/>
    <w:rsid w:val="00CB3811"/>
    <w:rsid w:val="00CB4792"/>
    <w:rsid w:val="00CB682D"/>
    <w:rsid w:val="00CB700D"/>
    <w:rsid w:val="00CC0AEE"/>
    <w:rsid w:val="00CC114D"/>
    <w:rsid w:val="00CC1FBA"/>
    <w:rsid w:val="00CC22EB"/>
    <w:rsid w:val="00CC300F"/>
    <w:rsid w:val="00CC32D2"/>
    <w:rsid w:val="00CC3B4E"/>
    <w:rsid w:val="00CC3C1F"/>
    <w:rsid w:val="00CC4392"/>
    <w:rsid w:val="00CC4CC5"/>
    <w:rsid w:val="00CC4D58"/>
    <w:rsid w:val="00CC53D6"/>
    <w:rsid w:val="00CC590E"/>
    <w:rsid w:val="00CC5D36"/>
    <w:rsid w:val="00CC5ED3"/>
    <w:rsid w:val="00CC6298"/>
    <w:rsid w:val="00CC6FDF"/>
    <w:rsid w:val="00CC73BD"/>
    <w:rsid w:val="00CC7A3C"/>
    <w:rsid w:val="00CD0094"/>
    <w:rsid w:val="00CD01F9"/>
    <w:rsid w:val="00CD0EFA"/>
    <w:rsid w:val="00CD0F10"/>
    <w:rsid w:val="00CD173E"/>
    <w:rsid w:val="00CD276C"/>
    <w:rsid w:val="00CD2865"/>
    <w:rsid w:val="00CD3223"/>
    <w:rsid w:val="00CD42D0"/>
    <w:rsid w:val="00CD5394"/>
    <w:rsid w:val="00CD5AE0"/>
    <w:rsid w:val="00CD7409"/>
    <w:rsid w:val="00CD7CCD"/>
    <w:rsid w:val="00CE0587"/>
    <w:rsid w:val="00CE15AD"/>
    <w:rsid w:val="00CE1B91"/>
    <w:rsid w:val="00CE2BCD"/>
    <w:rsid w:val="00CE3BAE"/>
    <w:rsid w:val="00CF0257"/>
    <w:rsid w:val="00CF0D3E"/>
    <w:rsid w:val="00CF1574"/>
    <w:rsid w:val="00CF2587"/>
    <w:rsid w:val="00CF3DC0"/>
    <w:rsid w:val="00CF43FC"/>
    <w:rsid w:val="00CF550B"/>
    <w:rsid w:val="00CF6A2A"/>
    <w:rsid w:val="00CF6A32"/>
    <w:rsid w:val="00CF6C41"/>
    <w:rsid w:val="00CF73F2"/>
    <w:rsid w:val="00CF7C33"/>
    <w:rsid w:val="00D006C5"/>
    <w:rsid w:val="00D00ACB"/>
    <w:rsid w:val="00D036C9"/>
    <w:rsid w:val="00D04C3B"/>
    <w:rsid w:val="00D04DD5"/>
    <w:rsid w:val="00D064F8"/>
    <w:rsid w:val="00D06D32"/>
    <w:rsid w:val="00D10BF6"/>
    <w:rsid w:val="00D12060"/>
    <w:rsid w:val="00D128F4"/>
    <w:rsid w:val="00D13F74"/>
    <w:rsid w:val="00D142B7"/>
    <w:rsid w:val="00D155EE"/>
    <w:rsid w:val="00D15715"/>
    <w:rsid w:val="00D163C7"/>
    <w:rsid w:val="00D1738F"/>
    <w:rsid w:val="00D174B2"/>
    <w:rsid w:val="00D17D24"/>
    <w:rsid w:val="00D20A4F"/>
    <w:rsid w:val="00D20A6A"/>
    <w:rsid w:val="00D20BC2"/>
    <w:rsid w:val="00D212D4"/>
    <w:rsid w:val="00D214EE"/>
    <w:rsid w:val="00D223EF"/>
    <w:rsid w:val="00D23342"/>
    <w:rsid w:val="00D2354A"/>
    <w:rsid w:val="00D240B8"/>
    <w:rsid w:val="00D26885"/>
    <w:rsid w:val="00D26F78"/>
    <w:rsid w:val="00D2756B"/>
    <w:rsid w:val="00D27CA1"/>
    <w:rsid w:val="00D309C9"/>
    <w:rsid w:val="00D31837"/>
    <w:rsid w:val="00D3268E"/>
    <w:rsid w:val="00D330D5"/>
    <w:rsid w:val="00D331E1"/>
    <w:rsid w:val="00D335C1"/>
    <w:rsid w:val="00D33A97"/>
    <w:rsid w:val="00D344B6"/>
    <w:rsid w:val="00D3472E"/>
    <w:rsid w:val="00D3498D"/>
    <w:rsid w:val="00D34A0B"/>
    <w:rsid w:val="00D366B0"/>
    <w:rsid w:val="00D36F8A"/>
    <w:rsid w:val="00D37160"/>
    <w:rsid w:val="00D37444"/>
    <w:rsid w:val="00D406B3"/>
    <w:rsid w:val="00D40E41"/>
    <w:rsid w:val="00D40E8C"/>
    <w:rsid w:val="00D40E99"/>
    <w:rsid w:val="00D4167C"/>
    <w:rsid w:val="00D416B4"/>
    <w:rsid w:val="00D41890"/>
    <w:rsid w:val="00D4296B"/>
    <w:rsid w:val="00D42E2E"/>
    <w:rsid w:val="00D43794"/>
    <w:rsid w:val="00D43E93"/>
    <w:rsid w:val="00D43EF6"/>
    <w:rsid w:val="00D44DCD"/>
    <w:rsid w:val="00D4551A"/>
    <w:rsid w:val="00D475E4"/>
    <w:rsid w:val="00D4794F"/>
    <w:rsid w:val="00D501C6"/>
    <w:rsid w:val="00D505FB"/>
    <w:rsid w:val="00D50864"/>
    <w:rsid w:val="00D50FBF"/>
    <w:rsid w:val="00D51B08"/>
    <w:rsid w:val="00D529E0"/>
    <w:rsid w:val="00D531F9"/>
    <w:rsid w:val="00D53A8F"/>
    <w:rsid w:val="00D5419C"/>
    <w:rsid w:val="00D54205"/>
    <w:rsid w:val="00D54E91"/>
    <w:rsid w:val="00D558DF"/>
    <w:rsid w:val="00D55F7E"/>
    <w:rsid w:val="00D56653"/>
    <w:rsid w:val="00D600AB"/>
    <w:rsid w:val="00D605F4"/>
    <w:rsid w:val="00D6143D"/>
    <w:rsid w:val="00D616B2"/>
    <w:rsid w:val="00D624F3"/>
    <w:rsid w:val="00D62793"/>
    <w:rsid w:val="00D62983"/>
    <w:rsid w:val="00D62B02"/>
    <w:rsid w:val="00D63230"/>
    <w:rsid w:val="00D63242"/>
    <w:rsid w:val="00D64D83"/>
    <w:rsid w:val="00D64E8F"/>
    <w:rsid w:val="00D64F8A"/>
    <w:rsid w:val="00D65FE3"/>
    <w:rsid w:val="00D66CE4"/>
    <w:rsid w:val="00D66E26"/>
    <w:rsid w:val="00D67E46"/>
    <w:rsid w:val="00D7019D"/>
    <w:rsid w:val="00D71299"/>
    <w:rsid w:val="00D714E4"/>
    <w:rsid w:val="00D72595"/>
    <w:rsid w:val="00D729A8"/>
    <w:rsid w:val="00D72CEC"/>
    <w:rsid w:val="00D73AE0"/>
    <w:rsid w:val="00D7481B"/>
    <w:rsid w:val="00D7505F"/>
    <w:rsid w:val="00D755CD"/>
    <w:rsid w:val="00D7563D"/>
    <w:rsid w:val="00D75789"/>
    <w:rsid w:val="00D76252"/>
    <w:rsid w:val="00D767CC"/>
    <w:rsid w:val="00D76C32"/>
    <w:rsid w:val="00D80189"/>
    <w:rsid w:val="00D806D0"/>
    <w:rsid w:val="00D81790"/>
    <w:rsid w:val="00D8189C"/>
    <w:rsid w:val="00D82224"/>
    <w:rsid w:val="00D82E53"/>
    <w:rsid w:val="00D844E3"/>
    <w:rsid w:val="00D8491C"/>
    <w:rsid w:val="00D879AD"/>
    <w:rsid w:val="00D87C7A"/>
    <w:rsid w:val="00D87EC8"/>
    <w:rsid w:val="00D91683"/>
    <w:rsid w:val="00D92D5A"/>
    <w:rsid w:val="00D93E82"/>
    <w:rsid w:val="00D93FCF"/>
    <w:rsid w:val="00D9472A"/>
    <w:rsid w:val="00D948A6"/>
    <w:rsid w:val="00D95427"/>
    <w:rsid w:val="00D95612"/>
    <w:rsid w:val="00D97279"/>
    <w:rsid w:val="00D972EF"/>
    <w:rsid w:val="00D9777D"/>
    <w:rsid w:val="00D97F2C"/>
    <w:rsid w:val="00DA00CC"/>
    <w:rsid w:val="00DA0621"/>
    <w:rsid w:val="00DA12CC"/>
    <w:rsid w:val="00DA1399"/>
    <w:rsid w:val="00DA14DC"/>
    <w:rsid w:val="00DA1CB2"/>
    <w:rsid w:val="00DA2A4A"/>
    <w:rsid w:val="00DA3194"/>
    <w:rsid w:val="00DA48C5"/>
    <w:rsid w:val="00DA4C59"/>
    <w:rsid w:val="00DA5033"/>
    <w:rsid w:val="00DA5F18"/>
    <w:rsid w:val="00DA6FE1"/>
    <w:rsid w:val="00DA7839"/>
    <w:rsid w:val="00DA7EF2"/>
    <w:rsid w:val="00DB0E40"/>
    <w:rsid w:val="00DB1A31"/>
    <w:rsid w:val="00DB1C1B"/>
    <w:rsid w:val="00DB1CE0"/>
    <w:rsid w:val="00DB2506"/>
    <w:rsid w:val="00DB2A99"/>
    <w:rsid w:val="00DB2C4E"/>
    <w:rsid w:val="00DB2E93"/>
    <w:rsid w:val="00DB3770"/>
    <w:rsid w:val="00DB3F69"/>
    <w:rsid w:val="00DB4688"/>
    <w:rsid w:val="00DB51DA"/>
    <w:rsid w:val="00DB54E6"/>
    <w:rsid w:val="00DB5671"/>
    <w:rsid w:val="00DB56D4"/>
    <w:rsid w:val="00DB5D56"/>
    <w:rsid w:val="00DB74E0"/>
    <w:rsid w:val="00DB7A08"/>
    <w:rsid w:val="00DC0131"/>
    <w:rsid w:val="00DC0290"/>
    <w:rsid w:val="00DC02D0"/>
    <w:rsid w:val="00DC15C0"/>
    <w:rsid w:val="00DC2590"/>
    <w:rsid w:val="00DC2B10"/>
    <w:rsid w:val="00DC2EC3"/>
    <w:rsid w:val="00DC493D"/>
    <w:rsid w:val="00DC5A81"/>
    <w:rsid w:val="00DC5F18"/>
    <w:rsid w:val="00DC7090"/>
    <w:rsid w:val="00DC794C"/>
    <w:rsid w:val="00DC7E1D"/>
    <w:rsid w:val="00DD041D"/>
    <w:rsid w:val="00DD0CE5"/>
    <w:rsid w:val="00DD232E"/>
    <w:rsid w:val="00DD2555"/>
    <w:rsid w:val="00DD31F0"/>
    <w:rsid w:val="00DD5111"/>
    <w:rsid w:val="00DD5DE6"/>
    <w:rsid w:val="00DD61A9"/>
    <w:rsid w:val="00DD6336"/>
    <w:rsid w:val="00DD650B"/>
    <w:rsid w:val="00DD65E2"/>
    <w:rsid w:val="00DD76EE"/>
    <w:rsid w:val="00DD7FFB"/>
    <w:rsid w:val="00DE08E6"/>
    <w:rsid w:val="00DE0F85"/>
    <w:rsid w:val="00DE12CD"/>
    <w:rsid w:val="00DE196D"/>
    <w:rsid w:val="00DE406B"/>
    <w:rsid w:val="00DE4636"/>
    <w:rsid w:val="00DE571D"/>
    <w:rsid w:val="00DE580F"/>
    <w:rsid w:val="00DE5C5C"/>
    <w:rsid w:val="00DE7123"/>
    <w:rsid w:val="00DE7CB0"/>
    <w:rsid w:val="00DE7E13"/>
    <w:rsid w:val="00DF14DF"/>
    <w:rsid w:val="00DF20A4"/>
    <w:rsid w:val="00DF2115"/>
    <w:rsid w:val="00DF21E0"/>
    <w:rsid w:val="00DF5524"/>
    <w:rsid w:val="00DF557A"/>
    <w:rsid w:val="00DF6C91"/>
    <w:rsid w:val="00DF6FA2"/>
    <w:rsid w:val="00DF71CF"/>
    <w:rsid w:val="00DF76B7"/>
    <w:rsid w:val="00DF7AFE"/>
    <w:rsid w:val="00E0070F"/>
    <w:rsid w:val="00E01212"/>
    <w:rsid w:val="00E01574"/>
    <w:rsid w:val="00E01652"/>
    <w:rsid w:val="00E0291D"/>
    <w:rsid w:val="00E0316F"/>
    <w:rsid w:val="00E03AEC"/>
    <w:rsid w:val="00E03B42"/>
    <w:rsid w:val="00E03DEF"/>
    <w:rsid w:val="00E0455F"/>
    <w:rsid w:val="00E04A71"/>
    <w:rsid w:val="00E04F97"/>
    <w:rsid w:val="00E055B6"/>
    <w:rsid w:val="00E064B2"/>
    <w:rsid w:val="00E06852"/>
    <w:rsid w:val="00E10038"/>
    <w:rsid w:val="00E104BC"/>
    <w:rsid w:val="00E10757"/>
    <w:rsid w:val="00E13828"/>
    <w:rsid w:val="00E1568B"/>
    <w:rsid w:val="00E1568F"/>
    <w:rsid w:val="00E15F8B"/>
    <w:rsid w:val="00E1600D"/>
    <w:rsid w:val="00E17EB5"/>
    <w:rsid w:val="00E17F01"/>
    <w:rsid w:val="00E20FE6"/>
    <w:rsid w:val="00E22010"/>
    <w:rsid w:val="00E2406E"/>
    <w:rsid w:val="00E2456A"/>
    <w:rsid w:val="00E24DF9"/>
    <w:rsid w:val="00E273A0"/>
    <w:rsid w:val="00E300ED"/>
    <w:rsid w:val="00E3070B"/>
    <w:rsid w:val="00E3112A"/>
    <w:rsid w:val="00E319A5"/>
    <w:rsid w:val="00E32A94"/>
    <w:rsid w:val="00E32E4D"/>
    <w:rsid w:val="00E32EEA"/>
    <w:rsid w:val="00E3321E"/>
    <w:rsid w:val="00E3390E"/>
    <w:rsid w:val="00E33F71"/>
    <w:rsid w:val="00E343B1"/>
    <w:rsid w:val="00E34EDD"/>
    <w:rsid w:val="00E35D64"/>
    <w:rsid w:val="00E3705E"/>
    <w:rsid w:val="00E37783"/>
    <w:rsid w:val="00E37829"/>
    <w:rsid w:val="00E37BED"/>
    <w:rsid w:val="00E37E7A"/>
    <w:rsid w:val="00E4328A"/>
    <w:rsid w:val="00E436F1"/>
    <w:rsid w:val="00E442CB"/>
    <w:rsid w:val="00E45235"/>
    <w:rsid w:val="00E45687"/>
    <w:rsid w:val="00E461BE"/>
    <w:rsid w:val="00E46771"/>
    <w:rsid w:val="00E469CB"/>
    <w:rsid w:val="00E50841"/>
    <w:rsid w:val="00E51B2D"/>
    <w:rsid w:val="00E52F93"/>
    <w:rsid w:val="00E541EB"/>
    <w:rsid w:val="00E542B7"/>
    <w:rsid w:val="00E54AB0"/>
    <w:rsid w:val="00E5607E"/>
    <w:rsid w:val="00E560B5"/>
    <w:rsid w:val="00E57BB4"/>
    <w:rsid w:val="00E60F28"/>
    <w:rsid w:val="00E6227C"/>
    <w:rsid w:val="00E64789"/>
    <w:rsid w:val="00E6498D"/>
    <w:rsid w:val="00E650E3"/>
    <w:rsid w:val="00E657BC"/>
    <w:rsid w:val="00E67B42"/>
    <w:rsid w:val="00E7064A"/>
    <w:rsid w:val="00E70863"/>
    <w:rsid w:val="00E73B94"/>
    <w:rsid w:val="00E74DAD"/>
    <w:rsid w:val="00E75382"/>
    <w:rsid w:val="00E75BD8"/>
    <w:rsid w:val="00E76464"/>
    <w:rsid w:val="00E800E8"/>
    <w:rsid w:val="00E80988"/>
    <w:rsid w:val="00E80F84"/>
    <w:rsid w:val="00E8260C"/>
    <w:rsid w:val="00E82C40"/>
    <w:rsid w:val="00E855AB"/>
    <w:rsid w:val="00E85DBA"/>
    <w:rsid w:val="00E87355"/>
    <w:rsid w:val="00E913E4"/>
    <w:rsid w:val="00E91A99"/>
    <w:rsid w:val="00E91F2D"/>
    <w:rsid w:val="00E92A9D"/>
    <w:rsid w:val="00E932D1"/>
    <w:rsid w:val="00E93EF7"/>
    <w:rsid w:val="00E94A92"/>
    <w:rsid w:val="00E94D2A"/>
    <w:rsid w:val="00E95C25"/>
    <w:rsid w:val="00E960AE"/>
    <w:rsid w:val="00E9646F"/>
    <w:rsid w:val="00E96D1A"/>
    <w:rsid w:val="00E97628"/>
    <w:rsid w:val="00EA16D8"/>
    <w:rsid w:val="00EA17A2"/>
    <w:rsid w:val="00EA188F"/>
    <w:rsid w:val="00EA21CE"/>
    <w:rsid w:val="00EA285A"/>
    <w:rsid w:val="00EA410A"/>
    <w:rsid w:val="00EA43E5"/>
    <w:rsid w:val="00EA4A4E"/>
    <w:rsid w:val="00EA5051"/>
    <w:rsid w:val="00EA58FA"/>
    <w:rsid w:val="00EA5ED3"/>
    <w:rsid w:val="00EA668C"/>
    <w:rsid w:val="00EB2E67"/>
    <w:rsid w:val="00EB3CE2"/>
    <w:rsid w:val="00EB3DA6"/>
    <w:rsid w:val="00EB461D"/>
    <w:rsid w:val="00EB46D9"/>
    <w:rsid w:val="00EB476D"/>
    <w:rsid w:val="00EB57EA"/>
    <w:rsid w:val="00EB76A9"/>
    <w:rsid w:val="00EB7ADF"/>
    <w:rsid w:val="00EC097F"/>
    <w:rsid w:val="00EC0BE7"/>
    <w:rsid w:val="00EC1147"/>
    <w:rsid w:val="00EC1501"/>
    <w:rsid w:val="00EC1A07"/>
    <w:rsid w:val="00EC1A2D"/>
    <w:rsid w:val="00EC24B6"/>
    <w:rsid w:val="00EC2E4A"/>
    <w:rsid w:val="00EC3255"/>
    <w:rsid w:val="00EC36A9"/>
    <w:rsid w:val="00EC38ED"/>
    <w:rsid w:val="00EC4073"/>
    <w:rsid w:val="00EC503E"/>
    <w:rsid w:val="00EC5604"/>
    <w:rsid w:val="00EC57FE"/>
    <w:rsid w:val="00EC6634"/>
    <w:rsid w:val="00EC693B"/>
    <w:rsid w:val="00EC6B8F"/>
    <w:rsid w:val="00EC7A8E"/>
    <w:rsid w:val="00EC7B09"/>
    <w:rsid w:val="00ED0518"/>
    <w:rsid w:val="00ED062F"/>
    <w:rsid w:val="00ED08A7"/>
    <w:rsid w:val="00ED0B27"/>
    <w:rsid w:val="00ED12A9"/>
    <w:rsid w:val="00ED2018"/>
    <w:rsid w:val="00ED39D0"/>
    <w:rsid w:val="00ED3BBE"/>
    <w:rsid w:val="00ED4809"/>
    <w:rsid w:val="00ED4DF6"/>
    <w:rsid w:val="00ED72BB"/>
    <w:rsid w:val="00ED7A86"/>
    <w:rsid w:val="00ED7DC4"/>
    <w:rsid w:val="00EE2091"/>
    <w:rsid w:val="00EE219F"/>
    <w:rsid w:val="00EE2F24"/>
    <w:rsid w:val="00EE4007"/>
    <w:rsid w:val="00EE40BF"/>
    <w:rsid w:val="00EE51B5"/>
    <w:rsid w:val="00EE62BE"/>
    <w:rsid w:val="00EE63BD"/>
    <w:rsid w:val="00EE7AA7"/>
    <w:rsid w:val="00EF030D"/>
    <w:rsid w:val="00EF0F48"/>
    <w:rsid w:val="00EF16AD"/>
    <w:rsid w:val="00EF2F0A"/>
    <w:rsid w:val="00EF3512"/>
    <w:rsid w:val="00EF376F"/>
    <w:rsid w:val="00EF5741"/>
    <w:rsid w:val="00F00A4C"/>
    <w:rsid w:val="00F01167"/>
    <w:rsid w:val="00F02D7E"/>
    <w:rsid w:val="00F036B1"/>
    <w:rsid w:val="00F0396F"/>
    <w:rsid w:val="00F0485C"/>
    <w:rsid w:val="00F04A7F"/>
    <w:rsid w:val="00F057F2"/>
    <w:rsid w:val="00F06C12"/>
    <w:rsid w:val="00F0772F"/>
    <w:rsid w:val="00F1022F"/>
    <w:rsid w:val="00F1059E"/>
    <w:rsid w:val="00F10774"/>
    <w:rsid w:val="00F11C79"/>
    <w:rsid w:val="00F13BC6"/>
    <w:rsid w:val="00F1441F"/>
    <w:rsid w:val="00F144B5"/>
    <w:rsid w:val="00F1535B"/>
    <w:rsid w:val="00F154B3"/>
    <w:rsid w:val="00F16566"/>
    <w:rsid w:val="00F16790"/>
    <w:rsid w:val="00F16FD3"/>
    <w:rsid w:val="00F21284"/>
    <w:rsid w:val="00F224E5"/>
    <w:rsid w:val="00F225BD"/>
    <w:rsid w:val="00F22D18"/>
    <w:rsid w:val="00F23DD7"/>
    <w:rsid w:val="00F24187"/>
    <w:rsid w:val="00F243D3"/>
    <w:rsid w:val="00F24BDD"/>
    <w:rsid w:val="00F2582E"/>
    <w:rsid w:val="00F259FA"/>
    <w:rsid w:val="00F25F53"/>
    <w:rsid w:val="00F26418"/>
    <w:rsid w:val="00F279A8"/>
    <w:rsid w:val="00F27B8C"/>
    <w:rsid w:val="00F301DA"/>
    <w:rsid w:val="00F30B4C"/>
    <w:rsid w:val="00F313FD"/>
    <w:rsid w:val="00F3360D"/>
    <w:rsid w:val="00F340F8"/>
    <w:rsid w:val="00F35CDB"/>
    <w:rsid w:val="00F36A6D"/>
    <w:rsid w:val="00F37394"/>
    <w:rsid w:val="00F376D1"/>
    <w:rsid w:val="00F4122E"/>
    <w:rsid w:val="00F41540"/>
    <w:rsid w:val="00F421D1"/>
    <w:rsid w:val="00F42555"/>
    <w:rsid w:val="00F43478"/>
    <w:rsid w:val="00F43ACC"/>
    <w:rsid w:val="00F45824"/>
    <w:rsid w:val="00F45B4D"/>
    <w:rsid w:val="00F46229"/>
    <w:rsid w:val="00F5118C"/>
    <w:rsid w:val="00F51198"/>
    <w:rsid w:val="00F528EC"/>
    <w:rsid w:val="00F53202"/>
    <w:rsid w:val="00F532EA"/>
    <w:rsid w:val="00F534FB"/>
    <w:rsid w:val="00F53629"/>
    <w:rsid w:val="00F5459F"/>
    <w:rsid w:val="00F55D4D"/>
    <w:rsid w:val="00F569E5"/>
    <w:rsid w:val="00F5707E"/>
    <w:rsid w:val="00F57966"/>
    <w:rsid w:val="00F6020E"/>
    <w:rsid w:val="00F6085F"/>
    <w:rsid w:val="00F61889"/>
    <w:rsid w:val="00F63EBD"/>
    <w:rsid w:val="00F64D1A"/>
    <w:rsid w:val="00F64F9A"/>
    <w:rsid w:val="00F653FC"/>
    <w:rsid w:val="00F65781"/>
    <w:rsid w:val="00F664E9"/>
    <w:rsid w:val="00F67ABF"/>
    <w:rsid w:val="00F70BFF"/>
    <w:rsid w:val="00F713AF"/>
    <w:rsid w:val="00F72AA5"/>
    <w:rsid w:val="00F731D7"/>
    <w:rsid w:val="00F73B6E"/>
    <w:rsid w:val="00F743EF"/>
    <w:rsid w:val="00F75B3F"/>
    <w:rsid w:val="00F7745B"/>
    <w:rsid w:val="00F77534"/>
    <w:rsid w:val="00F777B9"/>
    <w:rsid w:val="00F77BC5"/>
    <w:rsid w:val="00F82647"/>
    <w:rsid w:val="00F86F95"/>
    <w:rsid w:val="00F873D3"/>
    <w:rsid w:val="00F90007"/>
    <w:rsid w:val="00F905FF"/>
    <w:rsid w:val="00F91480"/>
    <w:rsid w:val="00F91B32"/>
    <w:rsid w:val="00F9278F"/>
    <w:rsid w:val="00F92856"/>
    <w:rsid w:val="00F92E67"/>
    <w:rsid w:val="00F93036"/>
    <w:rsid w:val="00F933FD"/>
    <w:rsid w:val="00F93950"/>
    <w:rsid w:val="00F94566"/>
    <w:rsid w:val="00FA0AC0"/>
    <w:rsid w:val="00FA0D85"/>
    <w:rsid w:val="00FA10FC"/>
    <w:rsid w:val="00FA1B6B"/>
    <w:rsid w:val="00FA2D41"/>
    <w:rsid w:val="00FA5BD0"/>
    <w:rsid w:val="00FA60E7"/>
    <w:rsid w:val="00FA6C81"/>
    <w:rsid w:val="00FA6D2D"/>
    <w:rsid w:val="00FB111A"/>
    <w:rsid w:val="00FB146A"/>
    <w:rsid w:val="00FB16F9"/>
    <w:rsid w:val="00FB25D6"/>
    <w:rsid w:val="00FB2F17"/>
    <w:rsid w:val="00FB41BE"/>
    <w:rsid w:val="00FB4369"/>
    <w:rsid w:val="00FB541A"/>
    <w:rsid w:val="00FB6A07"/>
    <w:rsid w:val="00FB6ABE"/>
    <w:rsid w:val="00FB79B2"/>
    <w:rsid w:val="00FC016E"/>
    <w:rsid w:val="00FC062D"/>
    <w:rsid w:val="00FC15D2"/>
    <w:rsid w:val="00FC2230"/>
    <w:rsid w:val="00FC34EA"/>
    <w:rsid w:val="00FC3614"/>
    <w:rsid w:val="00FC649A"/>
    <w:rsid w:val="00FC6F73"/>
    <w:rsid w:val="00FC7122"/>
    <w:rsid w:val="00FC7578"/>
    <w:rsid w:val="00FD1C98"/>
    <w:rsid w:val="00FD20B1"/>
    <w:rsid w:val="00FD22DA"/>
    <w:rsid w:val="00FD23AB"/>
    <w:rsid w:val="00FD32A6"/>
    <w:rsid w:val="00FD3474"/>
    <w:rsid w:val="00FD5159"/>
    <w:rsid w:val="00FD51BD"/>
    <w:rsid w:val="00FD642E"/>
    <w:rsid w:val="00FD6C15"/>
    <w:rsid w:val="00FD76DB"/>
    <w:rsid w:val="00FD797D"/>
    <w:rsid w:val="00FE09DF"/>
    <w:rsid w:val="00FE0CE3"/>
    <w:rsid w:val="00FE1167"/>
    <w:rsid w:val="00FE203F"/>
    <w:rsid w:val="00FE2EAD"/>
    <w:rsid w:val="00FE3AAB"/>
    <w:rsid w:val="00FE3D08"/>
    <w:rsid w:val="00FE446F"/>
    <w:rsid w:val="00FE5739"/>
    <w:rsid w:val="00FE683A"/>
    <w:rsid w:val="00FE6F63"/>
    <w:rsid w:val="00FE7358"/>
    <w:rsid w:val="00FF0BD7"/>
    <w:rsid w:val="00FF0C8F"/>
    <w:rsid w:val="00FF0E57"/>
    <w:rsid w:val="00FF16BD"/>
    <w:rsid w:val="00FF182D"/>
    <w:rsid w:val="00FF190B"/>
    <w:rsid w:val="00FF3E12"/>
    <w:rsid w:val="00FF3FEB"/>
    <w:rsid w:val="00FF4D50"/>
    <w:rsid w:val="00FF55A8"/>
    <w:rsid w:val="00FF5B79"/>
    <w:rsid w:val="00FF5B88"/>
    <w:rsid w:val="00FF6628"/>
    <w:rsid w:val="00FF6E97"/>
    <w:rsid w:val="00FF78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C4372"/>
  <w15:docId w15:val="{6A2F6986-7D96-994D-B0D7-F64662923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C86"/>
    <w:pPr>
      <w:jc w:val="both"/>
    </w:pPr>
    <w:rPr>
      <w:sz w:val="16"/>
      <w:szCs w:val="16"/>
      <w:lang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3B7CA3"/>
    <w:rPr>
      <w:szCs w:val="20"/>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qFormat/>
    <w:rsid w:val="003B7CA3"/>
    <w:rPr>
      <w:sz w:val="16"/>
      <w:lang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uiPriority w:val="99"/>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13277B"/>
    <w:pPr>
      <w:spacing w:line="276" w:lineRule="auto"/>
      <w:ind w:left="709" w:hanging="709"/>
      <w:jc w:val="center"/>
    </w:pPr>
    <w:rPr>
      <w:b/>
      <w:caps/>
      <w:color w:val="000000"/>
      <w:sz w:val="24"/>
      <w:szCs w:val="16"/>
      <w:lang w:eastAsia="es-ES_tradnl"/>
    </w:rPr>
  </w:style>
  <w:style w:type="character" w:customStyle="1" w:styleId="SinespaciadoCar">
    <w:name w:val="Sin espaciado Car"/>
    <w:aliases w:val="Encabezado1 Car"/>
    <w:link w:val="Sinespaciado"/>
    <w:uiPriority w:val="1"/>
    <w:rsid w:val="0013277B"/>
    <w:rPr>
      <w:b/>
      <w:caps/>
      <w:color w:val="000000"/>
      <w:sz w:val="24"/>
      <w:szCs w:val="16"/>
      <w:lang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uiPriority w:val="34"/>
    <w:qFormat/>
    <w:rsid w:val="00B82CC5"/>
    <w:pPr>
      <w:ind w:left="720"/>
      <w:contextualSpacing/>
    </w:pPr>
  </w:style>
  <w:style w:type="numbering" w:customStyle="1" w:styleId="Estilo1">
    <w:name w:val="Estilo1"/>
    <w:uiPriority w:val="99"/>
    <w:rsid w:val="00025115"/>
    <w:pPr>
      <w:numPr>
        <w:numId w:val="9"/>
      </w:numPr>
    </w:pPr>
  </w:style>
  <w:style w:type="paragraph" w:styleId="Lista">
    <w:name w:val="List"/>
    <w:basedOn w:val="Normal"/>
    <w:uiPriority w:val="99"/>
    <w:unhideWhenUsed/>
    <w:rsid w:val="005F1494"/>
    <w:pPr>
      <w:ind w:left="283" w:hanging="283"/>
      <w:contextualSpacing/>
    </w:pPr>
  </w:style>
  <w:style w:type="paragraph" w:styleId="Continuarlista">
    <w:name w:val="List Continue"/>
    <w:basedOn w:val="Normal"/>
    <w:uiPriority w:val="99"/>
    <w:unhideWhenUsed/>
    <w:rsid w:val="005F1494"/>
    <w:pPr>
      <w:spacing w:after="120"/>
      <w:ind w:left="283"/>
      <w:contextualSpacing/>
    </w:pPr>
  </w:style>
  <w:style w:type="paragraph" w:styleId="Continuarlista2">
    <w:name w:val="List Continue 2"/>
    <w:basedOn w:val="Normal"/>
    <w:uiPriority w:val="99"/>
    <w:unhideWhenUsed/>
    <w:rsid w:val="005F1494"/>
    <w:pPr>
      <w:spacing w:after="120"/>
      <w:ind w:left="566"/>
      <w:contextualSpacing/>
    </w:pPr>
  </w:style>
  <w:style w:type="paragraph" w:styleId="Textoindependiente">
    <w:name w:val="Body Text"/>
    <w:basedOn w:val="Normal"/>
    <w:link w:val="TextoindependienteCar"/>
    <w:uiPriority w:val="99"/>
    <w:unhideWhenUsed/>
    <w:rsid w:val="005F1494"/>
    <w:pPr>
      <w:spacing w:after="120"/>
    </w:pPr>
  </w:style>
  <w:style w:type="character" w:customStyle="1" w:styleId="TextoindependienteCar">
    <w:name w:val="Texto independiente Car"/>
    <w:basedOn w:val="Fuentedeprrafopredeter"/>
    <w:link w:val="Textoindependiente"/>
    <w:uiPriority w:val="99"/>
    <w:rsid w:val="005F1494"/>
    <w:rPr>
      <w:sz w:val="16"/>
      <w:szCs w:val="16"/>
      <w:lang w:eastAsia="es-ES_tradnl"/>
    </w:rPr>
  </w:style>
  <w:style w:type="table" w:styleId="Tablaconcuadrcula">
    <w:name w:val="Table Grid"/>
    <w:basedOn w:val="Tablanormal"/>
    <w:uiPriority w:val="39"/>
    <w:rsid w:val="007314C6"/>
    <w:rPr>
      <w:rFonts w:ascii="Calibri" w:eastAsiaTheme="minorHAnsi" w:hAnsi="Calibr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Fuentedeprrafopredeter"/>
    <w:uiPriority w:val="99"/>
    <w:semiHidden/>
    <w:unhideWhenUsed/>
    <w:rsid w:val="002C73F8"/>
    <w:rPr>
      <w:color w:val="605E5C"/>
      <w:shd w:val="clear" w:color="auto" w:fill="E1DFDD"/>
    </w:rPr>
  </w:style>
  <w:style w:type="character" w:customStyle="1" w:styleId="Mencinsinresolver1">
    <w:name w:val="Mención sin resolver1"/>
    <w:basedOn w:val="Fuentedeprrafopredeter"/>
    <w:uiPriority w:val="99"/>
    <w:semiHidden/>
    <w:unhideWhenUsed/>
    <w:rsid w:val="00EC5604"/>
    <w:rPr>
      <w:color w:val="605E5C"/>
      <w:shd w:val="clear" w:color="auto" w:fill="E1DFDD"/>
    </w:rPr>
  </w:style>
  <w:style w:type="paragraph" w:styleId="Revisin">
    <w:name w:val="Revision"/>
    <w:hidden/>
    <w:uiPriority w:val="99"/>
    <w:semiHidden/>
    <w:rsid w:val="00EC5604"/>
    <w:rPr>
      <w:sz w:val="16"/>
      <w:szCs w:val="16"/>
      <w:lang w:eastAsia="es-ES_tradnl"/>
    </w:rPr>
  </w:style>
  <w:style w:type="character" w:customStyle="1" w:styleId="apple-converted-space">
    <w:name w:val="apple-converted-space"/>
    <w:rsid w:val="006A6A96"/>
  </w:style>
  <w:style w:type="paragraph" w:styleId="Bibliografa">
    <w:name w:val="Bibliography"/>
    <w:basedOn w:val="Normal"/>
    <w:next w:val="Normal"/>
    <w:uiPriority w:val="37"/>
    <w:unhideWhenUsed/>
    <w:rsid w:val="00990B08"/>
  </w:style>
  <w:style w:type="paragraph" w:styleId="Asuntodelcomentario">
    <w:name w:val="annotation subject"/>
    <w:basedOn w:val="Textocomentario"/>
    <w:next w:val="Textocomentario"/>
    <w:link w:val="AsuntodelcomentarioCar"/>
    <w:uiPriority w:val="99"/>
    <w:semiHidden/>
    <w:unhideWhenUsed/>
    <w:rsid w:val="0019417E"/>
    <w:pPr>
      <w:spacing w:after="0" w:line="240" w:lineRule="auto"/>
      <w:jc w:val="both"/>
    </w:pPr>
    <w:rPr>
      <w:rFonts w:ascii="Arial" w:hAnsi="Arial" w:cs="Arial"/>
      <w:b/>
      <w:bCs/>
      <w:lang w:val="es-CO" w:eastAsia="es-ES_tradnl"/>
    </w:rPr>
  </w:style>
  <w:style w:type="character" w:customStyle="1" w:styleId="AsuntodelcomentarioCar">
    <w:name w:val="Asunto del comentario Car"/>
    <w:basedOn w:val="TextocomentarioCar"/>
    <w:link w:val="Asuntodelcomentario"/>
    <w:uiPriority w:val="99"/>
    <w:semiHidden/>
    <w:rsid w:val="0019417E"/>
    <w:rPr>
      <w:rFonts w:ascii="Calibri" w:hAnsi="Calibri" w:cs="Times New Roman"/>
      <w:b/>
      <w:bCs/>
      <w:lang w:val="es-ES" w:eastAsia="es-ES_tradnl"/>
    </w:rPr>
  </w:style>
  <w:style w:type="paragraph" w:customStyle="1" w:styleId="Default">
    <w:name w:val="Default"/>
    <w:rsid w:val="00EC1A2D"/>
    <w:pPr>
      <w:autoSpaceDE w:val="0"/>
      <w:autoSpaceDN w:val="0"/>
      <w:adjustRightInd w:val="0"/>
    </w:pPr>
    <w:rPr>
      <w:rFonts w:ascii="Century Gothic" w:eastAsiaTheme="minorHAnsi" w:hAnsi="Century Gothic" w:cs="Century Gothic"/>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27353">
      <w:bodyDiv w:val="1"/>
      <w:marLeft w:val="0"/>
      <w:marRight w:val="0"/>
      <w:marTop w:val="0"/>
      <w:marBottom w:val="0"/>
      <w:divBdr>
        <w:top w:val="none" w:sz="0" w:space="0" w:color="auto"/>
        <w:left w:val="none" w:sz="0" w:space="0" w:color="auto"/>
        <w:bottom w:val="none" w:sz="0" w:space="0" w:color="auto"/>
        <w:right w:val="none" w:sz="0" w:space="0" w:color="auto"/>
      </w:divBdr>
    </w:div>
    <w:div w:id="152722821">
      <w:bodyDiv w:val="1"/>
      <w:marLeft w:val="0"/>
      <w:marRight w:val="0"/>
      <w:marTop w:val="0"/>
      <w:marBottom w:val="0"/>
      <w:divBdr>
        <w:top w:val="none" w:sz="0" w:space="0" w:color="auto"/>
        <w:left w:val="none" w:sz="0" w:space="0" w:color="auto"/>
        <w:bottom w:val="none" w:sz="0" w:space="0" w:color="auto"/>
        <w:right w:val="none" w:sz="0" w:space="0" w:color="auto"/>
      </w:divBdr>
    </w:div>
    <w:div w:id="155150058">
      <w:bodyDiv w:val="1"/>
      <w:marLeft w:val="0"/>
      <w:marRight w:val="0"/>
      <w:marTop w:val="0"/>
      <w:marBottom w:val="0"/>
      <w:divBdr>
        <w:top w:val="none" w:sz="0" w:space="0" w:color="auto"/>
        <w:left w:val="none" w:sz="0" w:space="0" w:color="auto"/>
        <w:bottom w:val="none" w:sz="0" w:space="0" w:color="auto"/>
        <w:right w:val="none" w:sz="0" w:space="0" w:color="auto"/>
      </w:divBdr>
    </w:div>
    <w:div w:id="215749427">
      <w:bodyDiv w:val="1"/>
      <w:marLeft w:val="0"/>
      <w:marRight w:val="0"/>
      <w:marTop w:val="0"/>
      <w:marBottom w:val="0"/>
      <w:divBdr>
        <w:top w:val="none" w:sz="0" w:space="0" w:color="auto"/>
        <w:left w:val="none" w:sz="0" w:space="0" w:color="auto"/>
        <w:bottom w:val="none" w:sz="0" w:space="0" w:color="auto"/>
        <w:right w:val="none" w:sz="0" w:space="0" w:color="auto"/>
      </w:divBdr>
    </w:div>
    <w:div w:id="287512340">
      <w:bodyDiv w:val="1"/>
      <w:marLeft w:val="0"/>
      <w:marRight w:val="0"/>
      <w:marTop w:val="0"/>
      <w:marBottom w:val="0"/>
      <w:divBdr>
        <w:top w:val="none" w:sz="0" w:space="0" w:color="auto"/>
        <w:left w:val="none" w:sz="0" w:space="0" w:color="auto"/>
        <w:bottom w:val="none" w:sz="0" w:space="0" w:color="auto"/>
        <w:right w:val="none" w:sz="0" w:space="0" w:color="auto"/>
      </w:divBdr>
    </w:div>
    <w:div w:id="684862228">
      <w:bodyDiv w:val="1"/>
      <w:marLeft w:val="0"/>
      <w:marRight w:val="0"/>
      <w:marTop w:val="0"/>
      <w:marBottom w:val="0"/>
      <w:divBdr>
        <w:top w:val="none" w:sz="0" w:space="0" w:color="auto"/>
        <w:left w:val="none" w:sz="0" w:space="0" w:color="auto"/>
        <w:bottom w:val="none" w:sz="0" w:space="0" w:color="auto"/>
        <w:right w:val="none" w:sz="0" w:space="0" w:color="auto"/>
      </w:divBdr>
    </w:div>
    <w:div w:id="738938836">
      <w:bodyDiv w:val="1"/>
      <w:marLeft w:val="0"/>
      <w:marRight w:val="0"/>
      <w:marTop w:val="0"/>
      <w:marBottom w:val="0"/>
      <w:divBdr>
        <w:top w:val="none" w:sz="0" w:space="0" w:color="auto"/>
        <w:left w:val="none" w:sz="0" w:space="0" w:color="auto"/>
        <w:bottom w:val="none" w:sz="0" w:space="0" w:color="auto"/>
        <w:right w:val="none" w:sz="0" w:space="0" w:color="auto"/>
      </w:divBdr>
    </w:div>
    <w:div w:id="1451433561">
      <w:bodyDiv w:val="1"/>
      <w:marLeft w:val="0"/>
      <w:marRight w:val="0"/>
      <w:marTop w:val="0"/>
      <w:marBottom w:val="0"/>
      <w:divBdr>
        <w:top w:val="none" w:sz="0" w:space="0" w:color="auto"/>
        <w:left w:val="none" w:sz="0" w:space="0" w:color="auto"/>
        <w:bottom w:val="none" w:sz="0" w:space="0" w:color="auto"/>
        <w:right w:val="none" w:sz="0" w:space="0" w:color="auto"/>
      </w:divBdr>
    </w:div>
    <w:div w:id="1524200981">
      <w:bodyDiv w:val="1"/>
      <w:marLeft w:val="0"/>
      <w:marRight w:val="0"/>
      <w:marTop w:val="0"/>
      <w:marBottom w:val="0"/>
      <w:divBdr>
        <w:top w:val="none" w:sz="0" w:space="0" w:color="auto"/>
        <w:left w:val="none" w:sz="0" w:space="0" w:color="auto"/>
        <w:bottom w:val="none" w:sz="0" w:space="0" w:color="auto"/>
        <w:right w:val="none" w:sz="0" w:space="0" w:color="auto"/>
      </w:divBdr>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1823351386">
      <w:bodyDiv w:val="1"/>
      <w:marLeft w:val="0"/>
      <w:marRight w:val="0"/>
      <w:marTop w:val="0"/>
      <w:marBottom w:val="0"/>
      <w:divBdr>
        <w:top w:val="none" w:sz="0" w:space="0" w:color="auto"/>
        <w:left w:val="none" w:sz="0" w:space="0" w:color="auto"/>
        <w:bottom w:val="none" w:sz="0" w:space="0" w:color="auto"/>
        <w:right w:val="none" w:sz="0" w:space="0" w:color="auto"/>
      </w:divBdr>
    </w:div>
    <w:div w:id="1879270649">
      <w:bodyDiv w:val="1"/>
      <w:marLeft w:val="0"/>
      <w:marRight w:val="0"/>
      <w:marTop w:val="0"/>
      <w:marBottom w:val="0"/>
      <w:divBdr>
        <w:top w:val="none" w:sz="0" w:space="0" w:color="auto"/>
        <w:left w:val="none" w:sz="0" w:space="0" w:color="auto"/>
        <w:bottom w:val="none" w:sz="0" w:space="0" w:color="auto"/>
        <w:right w:val="none" w:sz="0" w:space="0" w:color="auto"/>
      </w:divBdr>
    </w:div>
    <w:div w:id="2043361754">
      <w:bodyDiv w:val="1"/>
      <w:marLeft w:val="0"/>
      <w:marRight w:val="0"/>
      <w:marTop w:val="0"/>
      <w:marBottom w:val="0"/>
      <w:divBdr>
        <w:top w:val="none" w:sz="0" w:space="0" w:color="auto"/>
        <w:left w:val="none" w:sz="0" w:space="0" w:color="auto"/>
        <w:bottom w:val="none" w:sz="0" w:space="0" w:color="auto"/>
        <w:right w:val="none" w:sz="0" w:space="0" w:color="auto"/>
      </w:divBdr>
    </w:div>
    <w:div w:id="213204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Cop02</b:Tag>
    <b:SourceType>Book</b:SourceType>
    <b:Guid>{3A655269-3C6F-4714-9694-5D90FDA49406}</b:Guid>
    <b:Title>Introducción a la Lógica</b:Title>
    <b:Year>2002</b:Year>
    <b:City>México D.F.</b:City>
    <b:Publisher>Editorial Limusa</b:Publisher>
    <b:Author>
      <b:Author>
        <b:NameList>
          <b:Person>
            <b:Last>Copi</b:Last>
            <b:Middle>M.</b:Middle>
            <b:First>Irving</b:First>
          </b:Person>
          <b:Person>
            <b:Last>Cohen</b:Last>
            <b:First>Carl</b:First>
          </b:Person>
        </b:NameList>
      </b:Author>
      <b:Translator>
        <b:NameList>
          <b:Person>
            <b:Last>González Ruiz</b:Last>
            <b:Middle>Antonio</b:Middle>
            <b:First>Edgar</b:First>
          </b:Person>
        </b:NameList>
      </b:Translator>
    </b:Author>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482183-9C17-4B3D-9859-B5588A189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955682-13B2-48BF-8A5C-9BE597E5278C}">
  <ds:schemaRefs>
    <ds:schemaRef ds:uri="http://schemas.openxmlformats.org/officeDocument/2006/bibliography"/>
  </ds:schemaRefs>
</ds:datastoreItem>
</file>

<file path=customXml/itemProps3.xml><?xml version="1.0" encoding="utf-8"?>
<ds:datastoreItem xmlns:ds="http://schemas.openxmlformats.org/officeDocument/2006/customXml" ds:itemID="{0EA701F8-230E-4F4A-B900-C2B394D0F5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96DFCD-62D7-4D54-99ED-51E1D40E2F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2361</Words>
  <Characters>12988</Characters>
  <Application>Microsoft Office Word</Application>
  <DocSecurity>0</DocSecurity>
  <Lines>108</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Calle 12 No. 7-65 – Tel: (57-1) 350-6700 – Bogotá D.C. – Colombiawww.consejodeestado.gov.co</dc:creator>
  <cp:lastModifiedBy>Dymelza Salcedo Rodriguez</cp:lastModifiedBy>
  <cp:revision>2</cp:revision>
  <cp:lastPrinted>2020-03-11T14:38:00Z</cp:lastPrinted>
  <dcterms:created xsi:type="dcterms:W3CDTF">2021-08-11T22:15:00Z</dcterms:created>
  <dcterms:modified xsi:type="dcterms:W3CDTF">2021-08-11T22:15:00Z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