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E8848B" w14:textId="77777777" w:rsidR="000C5DB7" w:rsidRPr="008C32D5" w:rsidRDefault="000C5DB7" w:rsidP="008C32D5">
      <w:pPr>
        <w:pStyle w:val="Sinespaciado"/>
        <w:spacing w:line="276" w:lineRule="auto"/>
        <w:rPr>
          <w:szCs w:val="24"/>
        </w:rPr>
      </w:pPr>
      <w:r w:rsidRPr="008C32D5">
        <w:rPr>
          <w:szCs w:val="24"/>
        </w:rPr>
        <w:t>CONSEJERO PONENTE: JAIME ENRIQUE RODRÍGUEZ NAVAS</w:t>
      </w:r>
    </w:p>
    <w:p w14:paraId="48319E4A" w14:textId="77777777" w:rsidR="00F91B32" w:rsidRPr="008C32D5" w:rsidRDefault="00F91B32" w:rsidP="008C32D5">
      <w:pPr>
        <w:spacing w:line="276" w:lineRule="auto"/>
        <w:contextualSpacing/>
        <w:rPr>
          <w:b/>
          <w:bCs/>
          <w:sz w:val="24"/>
          <w:szCs w:val="24"/>
        </w:rPr>
      </w:pPr>
    </w:p>
    <w:p w14:paraId="329255E6" w14:textId="2000CC4D" w:rsidR="000C5DB7" w:rsidRPr="008C32D5" w:rsidRDefault="000C5DB7" w:rsidP="008C32D5">
      <w:pPr>
        <w:spacing w:line="276" w:lineRule="auto"/>
        <w:contextualSpacing/>
        <w:rPr>
          <w:bCs/>
          <w:sz w:val="24"/>
          <w:szCs w:val="24"/>
        </w:rPr>
      </w:pPr>
      <w:r w:rsidRPr="008C32D5">
        <w:rPr>
          <w:bCs/>
          <w:sz w:val="24"/>
          <w:szCs w:val="24"/>
        </w:rPr>
        <w:t>Bogotá D.C.,</w:t>
      </w:r>
      <w:r w:rsidR="00C53B7C" w:rsidRPr="008C32D5">
        <w:rPr>
          <w:bCs/>
          <w:sz w:val="24"/>
          <w:szCs w:val="24"/>
        </w:rPr>
        <w:t xml:space="preserve"> </w:t>
      </w:r>
      <w:r w:rsidR="002559BC">
        <w:rPr>
          <w:bCs/>
          <w:sz w:val="24"/>
          <w:szCs w:val="24"/>
        </w:rPr>
        <w:t>seis</w:t>
      </w:r>
      <w:r w:rsidR="006A6312" w:rsidRPr="008C32D5">
        <w:rPr>
          <w:bCs/>
          <w:sz w:val="24"/>
          <w:szCs w:val="24"/>
        </w:rPr>
        <w:t xml:space="preserve"> </w:t>
      </w:r>
      <w:r w:rsidRPr="008C32D5">
        <w:rPr>
          <w:bCs/>
          <w:sz w:val="24"/>
          <w:szCs w:val="24"/>
        </w:rPr>
        <w:t>(</w:t>
      </w:r>
      <w:r w:rsidR="002559BC">
        <w:rPr>
          <w:bCs/>
          <w:sz w:val="24"/>
          <w:szCs w:val="24"/>
        </w:rPr>
        <w:t>6</w:t>
      </w:r>
      <w:r w:rsidRPr="008C32D5">
        <w:rPr>
          <w:bCs/>
          <w:sz w:val="24"/>
          <w:szCs w:val="24"/>
        </w:rPr>
        <w:t>) de</w:t>
      </w:r>
      <w:r w:rsidR="00C53B7C" w:rsidRPr="008C32D5">
        <w:rPr>
          <w:bCs/>
          <w:sz w:val="24"/>
          <w:szCs w:val="24"/>
        </w:rPr>
        <w:t xml:space="preserve"> </w:t>
      </w:r>
      <w:r w:rsidR="002559BC">
        <w:rPr>
          <w:bCs/>
          <w:sz w:val="24"/>
          <w:szCs w:val="24"/>
        </w:rPr>
        <w:t>agosto</w:t>
      </w:r>
      <w:r w:rsidR="00C53B7C" w:rsidRPr="008C32D5">
        <w:rPr>
          <w:bCs/>
          <w:sz w:val="24"/>
          <w:szCs w:val="24"/>
        </w:rPr>
        <w:t xml:space="preserve"> </w:t>
      </w:r>
      <w:r w:rsidRPr="008C32D5">
        <w:rPr>
          <w:bCs/>
          <w:sz w:val="24"/>
          <w:szCs w:val="24"/>
        </w:rPr>
        <w:t xml:space="preserve">de dos mil </w:t>
      </w:r>
      <w:r w:rsidR="00C87516" w:rsidRPr="008C32D5">
        <w:rPr>
          <w:bCs/>
          <w:sz w:val="24"/>
          <w:szCs w:val="24"/>
        </w:rPr>
        <w:t>veint</w:t>
      </w:r>
      <w:r w:rsidR="00980DDD" w:rsidRPr="008C32D5">
        <w:rPr>
          <w:bCs/>
          <w:sz w:val="24"/>
          <w:szCs w:val="24"/>
        </w:rPr>
        <w:t>iuno</w:t>
      </w:r>
      <w:r w:rsidRPr="008C32D5">
        <w:rPr>
          <w:bCs/>
          <w:sz w:val="24"/>
          <w:szCs w:val="24"/>
        </w:rPr>
        <w:t xml:space="preserve"> (</w:t>
      </w:r>
      <w:r w:rsidR="00C87516" w:rsidRPr="008C32D5">
        <w:rPr>
          <w:bCs/>
          <w:sz w:val="24"/>
          <w:szCs w:val="24"/>
        </w:rPr>
        <w:t>202</w:t>
      </w:r>
      <w:r w:rsidR="00980DDD" w:rsidRPr="008C32D5">
        <w:rPr>
          <w:bCs/>
          <w:sz w:val="24"/>
          <w:szCs w:val="24"/>
        </w:rPr>
        <w:t>1</w:t>
      </w:r>
      <w:r w:rsidR="001F52D2" w:rsidRPr="008C32D5">
        <w:rPr>
          <w:bCs/>
          <w:sz w:val="24"/>
          <w:szCs w:val="24"/>
        </w:rPr>
        <w:t>)</w:t>
      </w:r>
    </w:p>
    <w:p w14:paraId="32F62A4D" w14:textId="77777777" w:rsidR="00F91B32" w:rsidRPr="008C32D5" w:rsidRDefault="00F91B32" w:rsidP="008C32D5">
      <w:pPr>
        <w:spacing w:line="276" w:lineRule="auto"/>
        <w:contextualSpacing/>
        <w:rPr>
          <w:bCs/>
          <w:sz w:val="24"/>
          <w:szCs w:val="24"/>
        </w:rPr>
      </w:pPr>
    </w:p>
    <w:p w14:paraId="28C1AC55" w14:textId="77777777" w:rsidR="000C5DB7" w:rsidRPr="008C32D5" w:rsidRDefault="000C5DB7" w:rsidP="008C32D5">
      <w:pPr>
        <w:spacing w:line="276" w:lineRule="auto"/>
        <w:ind w:left="1620" w:hanging="1620"/>
        <w:contextualSpacing/>
        <w:rPr>
          <w:b/>
          <w:sz w:val="24"/>
          <w:szCs w:val="24"/>
        </w:rPr>
      </w:pPr>
      <w:r w:rsidRPr="008C32D5">
        <w:rPr>
          <w:b/>
          <w:sz w:val="24"/>
          <w:szCs w:val="24"/>
        </w:rPr>
        <w:t xml:space="preserve">Referencia: </w:t>
      </w:r>
      <w:r w:rsidRPr="008C32D5">
        <w:rPr>
          <w:b/>
          <w:sz w:val="24"/>
          <w:szCs w:val="24"/>
        </w:rPr>
        <w:tab/>
      </w:r>
      <w:r w:rsidRPr="008C32D5">
        <w:rPr>
          <w:sz w:val="24"/>
          <w:szCs w:val="24"/>
        </w:rPr>
        <w:t>A</w:t>
      </w:r>
      <w:r w:rsidR="00E45687" w:rsidRPr="008C32D5">
        <w:rPr>
          <w:sz w:val="24"/>
          <w:szCs w:val="24"/>
        </w:rPr>
        <w:t xml:space="preserve">cción de </w:t>
      </w:r>
      <w:r w:rsidR="00041C53" w:rsidRPr="008C32D5">
        <w:rPr>
          <w:sz w:val="24"/>
          <w:szCs w:val="24"/>
        </w:rPr>
        <w:t>T</w:t>
      </w:r>
      <w:r w:rsidR="00E45687" w:rsidRPr="008C32D5">
        <w:rPr>
          <w:sz w:val="24"/>
          <w:szCs w:val="24"/>
        </w:rPr>
        <w:t>utela</w:t>
      </w:r>
    </w:p>
    <w:p w14:paraId="28FD02FC" w14:textId="58E6CB41" w:rsidR="000C5DB7" w:rsidRPr="008C32D5" w:rsidRDefault="000C5DB7" w:rsidP="008C32D5">
      <w:pPr>
        <w:spacing w:line="276" w:lineRule="auto"/>
        <w:ind w:left="1620" w:hanging="1620"/>
        <w:contextualSpacing/>
        <w:rPr>
          <w:sz w:val="24"/>
          <w:szCs w:val="24"/>
        </w:rPr>
      </w:pPr>
      <w:r w:rsidRPr="008C32D5">
        <w:rPr>
          <w:b/>
          <w:sz w:val="24"/>
          <w:szCs w:val="24"/>
        </w:rPr>
        <w:t>Radicación:</w:t>
      </w:r>
      <w:r w:rsidRPr="008C32D5">
        <w:rPr>
          <w:b/>
          <w:sz w:val="24"/>
          <w:szCs w:val="24"/>
        </w:rPr>
        <w:tab/>
      </w:r>
      <w:r w:rsidR="00E70DD2" w:rsidRPr="008C32D5">
        <w:rPr>
          <w:sz w:val="24"/>
          <w:szCs w:val="24"/>
        </w:rPr>
        <w:t>11001-03-15-000-2021-04090-00</w:t>
      </w:r>
    </w:p>
    <w:p w14:paraId="0D6849AD" w14:textId="3A55FAB2" w:rsidR="000C5DB7" w:rsidRPr="008C32D5" w:rsidRDefault="000C5DB7" w:rsidP="008C32D5">
      <w:pPr>
        <w:spacing w:line="276" w:lineRule="auto"/>
        <w:ind w:left="1620" w:hanging="1620"/>
        <w:contextualSpacing/>
        <w:rPr>
          <w:sz w:val="24"/>
          <w:szCs w:val="24"/>
        </w:rPr>
      </w:pPr>
      <w:r w:rsidRPr="008C32D5">
        <w:rPr>
          <w:b/>
          <w:sz w:val="24"/>
          <w:szCs w:val="24"/>
        </w:rPr>
        <w:t>Accionante:</w:t>
      </w:r>
      <w:r w:rsidRPr="008C32D5">
        <w:rPr>
          <w:b/>
          <w:sz w:val="24"/>
          <w:szCs w:val="24"/>
        </w:rPr>
        <w:tab/>
      </w:r>
      <w:r w:rsidR="00E70DD2" w:rsidRPr="008C32D5">
        <w:rPr>
          <w:bCs/>
          <w:sz w:val="24"/>
          <w:szCs w:val="24"/>
        </w:rPr>
        <w:t xml:space="preserve">Inversiones </w:t>
      </w:r>
      <w:proofErr w:type="spellStart"/>
      <w:r w:rsidR="00E70DD2" w:rsidRPr="008C32D5">
        <w:rPr>
          <w:bCs/>
          <w:sz w:val="24"/>
          <w:szCs w:val="24"/>
        </w:rPr>
        <w:t>Fervar</w:t>
      </w:r>
      <w:proofErr w:type="spellEnd"/>
      <w:r w:rsidR="00E70DD2" w:rsidRPr="008C32D5">
        <w:rPr>
          <w:bCs/>
          <w:sz w:val="24"/>
          <w:szCs w:val="24"/>
        </w:rPr>
        <w:t xml:space="preserve"> Ltda.</w:t>
      </w:r>
    </w:p>
    <w:p w14:paraId="74DF3A4D" w14:textId="7D08AF1B" w:rsidR="000C5DB7" w:rsidRPr="008C32D5" w:rsidRDefault="000C5DB7" w:rsidP="008C32D5">
      <w:pPr>
        <w:spacing w:line="276" w:lineRule="auto"/>
        <w:ind w:left="1620" w:right="51" w:hanging="1620"/>
        <w:contextualSpacing/>
        <w:rPr>
          <w:bCs/>
          <w:sz w:val="24"/>
          <w:szCs w:val="24"/>
        </w:rPr>
      </w:pPr>
      <w:r w:rsidRPr="008C32D5">
        <w:rPr>
          <w:b/>
          <w:sz w:val="24"/>
          <w:szCs w:val="24"/>
        </w:rPr>
        <w:t>Accionado</w:t>
      </w:r>
      <w:r w:rsidR="000C39C0" w:rsidRPr="008C32D5">
        <w:rPr>
          <w:b/>
          <w:sz w:val="24"/>
          <w:szCs w:val="24"/>
        </w:rPr>
        <w:t>:</w:t>
      </w:r>
      <w:r w:rsidRPr="008C32D5">
        <w:rPr>
          <w:b/>
          <w:sz w:val="24"/>
          <w:szCs w:val="24"/>
        </w:rPr>
        <w:tab/>
      </w:r>
      <w:r w:rsidR="000C39C0" w:rsidRPr="008C32D5">
        <w:rPr>
          <w:bCs/>
          <w:sz w:val="24"/>
          <w:szCs w:val="24"/>
        </w:rPr>
        <w:t>Consejo Superior de la Judicatura</w:t>
      </w:r>
    </w:p>
    <w:p w14:paraId="32CC8E9D" w14:textId="77777777" w:rsidR="000C5DB7" w:rsidRPr="008C32D5" w:rsidRDefault="000C5DB7" w:rsidP="008C32D5">
      <w:pPr>
        <w:spacing w:line="276" w:lineRule="auto"/>
        <w:ind w:right="51"/>
        <w:contextualSpacing/>
        <w:rPr>
          <w:b/>
          <w:sz w:val="24"/>
          <w:szCs w:val="24"/>
        </w:rPr>
      </w:pPr>
    </w:p>
    <w:p w14:paraId="6C87F393" w14:textId="6EA29C6B" w:rsidR="000C5DB7" w:rsidRPr="002559BC" w:rsidRDefault="00211F0C" w:rsidP="008C32D5">
      <w:pPr>
        <w:pBdr>
          <w:bottom w:val="single" w:sz="12" w:space="0" w:color="auto"/>
        </w:pBdr>
        <w:spacing w:line="276" w:lineRule="auto"/>
        <w:ind w:left="2832" w:hanging="2832"/>
        <w:contextualSpacing/>
        <w:rPr>
          <w:b/>
          <w:sz w:val="24"/>
          <w:szCs w:val="24"/>
        </w:rPr>
      </w:pPr>
      <w:r w:rsidRPr="008C32D5">
        <w:rPr>
          <w:b/>
          <w:sz w:val="24"/>
          <w:szCs w:val="24"/>
        </w:rPr>
        <w:t xml:space="preserve">AUTO </w:t>
      </w:r>
      <w:r w:rsidR="00ED12B0" w:rsidRPr="008C32D5">
        <w:rPr>
          <w:b/>
          <w:sz w:val="24"/>
          <w:szCs w:val="24"/>
        </w:rPr>
        <w:t>DE TR</w:t>
      </w:r>
      <w:r w:rsidR="00ED12B0" w:rsidRPr="002559BC">
        <w:rPr>
          <w:b/>
          <w:sz w:val="24"/>
          <w:szCs w:val="24"/>
        </w:rPr>
        <w:t>ÁMITE</w:t>
      </w:r>
    </w:p>
    <w:p w14:paraId="3B3ADC24" w14:textId="6F57B021" w:rsidR="00220D35" w:rsidRPr="008C32D5" w:rsidRDefault="00220D35" w:rsidP="008C32D5">
      <w:pPr>
        <w:spacing w:line="276" w:lineRule="auto"/>
        <w:contextualSpacing/>
        <w:rPr>
          <w:bCs/>
          <w:sz w:val="24"/>
          <w:szCs w:val="24"/>
        </w:rPr>
      </w:pPr>
    </w:p>
    <w:p w14:paraId="120CCB1E" w14:textId="19A0DECC" w:rsidR="00ED12B0" w:rsidRPr="008C32D5" w:rsidRDefault="00ED12B0" w:rsidP="008C32D5">
      <w:pPr>
        <w:spacing w:line="276" w:lineRule="auto"/>
        <w:contextualSpacing/>
        <w:rPr>
          <w:bCs/>
          <w:sz w:val="24"/>
          <w:szCs w:val="24"/>
        </w:rPr>
      </w:pPr>
      <w:r w:rsidRPr="008C32D5">
        <w:rPr>
          <w:bCs/>
          <w:sz w:val="24"/>
          <w:szCs w:val="24"/>
        </w:rPr>
        <w:t>El despacho decide</w:t>
      </w:r>
      <w:r w:rsidR="00160146">
        <w:rPr>
          <w:bCs/>
          <w:sz w:val="24"/>
          <w:szCs w:val="24"/>
        </w:rPr>
        <w:t xml:space="preserve"> si hay mérito para requerir a las últimas autoridades vinculadas al presente trámite.</w:t>
      </w:r>
    </w:p>
    <w:p w14:paraId="378B9308" w14:textId="77777777" w:rsidR="002F54E0" w:rsidRPr="002F54E0" w:rsidRDefault="002F54E0" w:rsidP="008C32D5">
      <w:pPr>
        <w:spacing w:line="276" w:lineRule="auto"/>
        <w:contextualSpacing/>
        <w:rPr>
          <w:sz w:val="24"/>
          <w:szCs w:val="24"/>
        </w:rPr>
      </w:pPr>
    </w:p>
    <w:p w14:paraId="009463CA" w14:textId="77777777" w:rsidR="002F54E0" w:rsidRPr="002F54E0" w:rsidRDefault="002F54E0" w:rsidP="008C32D5">
      <w:pPr>
        <w:keepNext/>
        <w:numPr>
          <w:ilvl w:val="0"/>
          <w:numId w:val="5"/>
        </w:numPr>
        <w:spacing w:line="276" w:lineRule="auto"/>
        <w:ind w:left="714" w:hanging="357"/>
        <w:jc w:val="center"/>
        <w:outlineLvl w:val="0"/>
        <w:rPr>
          <w:rFonts w:eastAsia="Times New Roman"/>
          <w:b/>
          <w:bCs/>
          <w:caps/>
          <w:sz w:val="24"/>
          <w:szCs w:val="24"/>
        </w:rPr>
      </w:pPr>
      <w:r w:rsidRPr="002F54E0">
        <w:rPr>
          <w:rFonts w:eastAsia="Times New Roman"/>
          <w:b/>
          <w:bCs/>
          <w:caps/>
          <w:sz w:val="24"/>
          <w:szCs w:val="24"/>
        </w:rPr>
        <w:t>ANTECEDENTES</w:t>
      </w:r>
    </w:p>
    <w:p w14:paraId="57C4F39B" w14:textId="77777777" w:rsidR="002F54E0" w:rsidRPr="002F54E0" w:rsidRDefault="002F54E0" w:rsidP="008C32D5">
      <w:pPr>
        <w:keepNext/>
        <w:spacing w:line="276" w:lineRule="auto"/>
        <w:jc w:val="left"/>
        <w:outlineLvl w:val="1"/>
        <w:rPr>
          <w:rFonts w:eastAsia="Times New Roman"/>
          <w:b/>
          <w:bCs/>
          <w:iCs/>
          <w:sz w:val="24"/>
          <w:szCs w:val="24"/>
          <w:lang w:eastAsia="es-ES"/>
        </w:rPr>
      </w:pPr>
    </w:p>
    <w:p w14:paraId="38CEB327" w14:textId="2B8CD5DD" w:rsidR="00ED12B0" w:rsidRPr="008C32D5" w:rsidRDefault="002F54E0" w:rsidP="008C32D5">
      <w:pPr>
        <w:keepNext/>
        <w:numPr>
          <w:ilvl w:val="0"/>
          <w:numId w:val="6"/>
        </w:numPr>
        <w:spacing w:line="276" w:lineRule="auto"/>
        <w:ind w:left="0" w:firstLine="0"/>
        <w:jc w:val="left"/>
        <w:outlineLvl w:val="1"/>
        <w:rPr>
          <w:rFonts w:eastAsia="Times New Roman"/>
          <w:b/>
          <w:bCs/>
          <w:iCs/>
          <w:sz w:val="24"/>
          <w:szCs w:val="24"/>
          <w:lang w:eastAsia="es-ES"/>
        </w:rPr>
      </w:pPr>
      <w:r w:rsidRPr="002F54E0">
        <w:rPr>
          <w:rFonts w:eastAsia="Times New Roman"/>
          <w:b/>
          <w:bCs/>
          <w:iCs/>
          <w:sz w:val="24"/>
          <w:szCs w:val="24"/>
          <w:lang w:eastAsia="es-ES"/>
        </w:rPr>
        <w:t>Solicitud de tutela y pretensiones</w:t>
      </w:r>
    </w:p>
    <w:p w14:paraId="0FCACBE5" w14:textId="77777777" w:rsidR="00ED12B0" w:rsidRPr="008C32D5" w:rsidRDefault="00ED12B0" w:rsidP="008C32D5">
      <w:pPr>
        <w:spacing w:line="276" w:lineRule="auto"/>
        <w:contextualSpacing/>
        <w:rPr>
          <w:bCs/>
          <w:sz w:val="24"/>
          <w:szCs w:val="24"/>
        </w:rPr>
      </w:pPr>
    </w:p>
    <w:p w14:paraId="78EE8DFB" w14:textId="340FD5D3" w:rsidR="00195FFB" w:rsidRPr="008C32D5" w:rsidRDefault="008C6A06" w:rsidP="008C32D5">
      <w:pPr>
        <w:spacing w:line="276" w:lineRule="auto"/>
        <w:rPr>
          <w:sz w:val="24"/>
          <w:szCs w:val="24"/>
        </w:rPr>
      </w:pPr>
      <w:r w:rsidRPr="008C32D5">
        <w:rPr>
          <w:sz w:val="24"/>
          <w:szCs w:val="24"/>
        </w:rPr>
        <w:t xml:space="preserve">Inversiones </w:t>
      </w:r>
      <w:proofErr w:type="spellStart"/>
      <w:r w:rsidRPr="008C32D5">
        <w:rPr>
          <w:sz w:val="24"/>
          <w:szCs w:val="24"/>
        </w:rPr>
        <w:t>Fervar</w:t>
      </w:r>
      <w:proofErr w:type="spellEnd"/>
      <w:r w:rsidRPr="008C32D5">
        <w:rPr>
          <w:sz w:val="24"/>
          <w:szCs w:val="24"/>
        </w:rPr>
        <w:t xml:space="preserve"> Ltda.</w:t>
      </w:r>
      <w:r w:rsidR="00211F0C" w:rsidRPr="008C32D5">
        <w:rPr>
          <w:sz w:val="24"/>
          <w:szCs w:val="24"/>
        </w:rPr>
        <w:t xml:space="preserve">, </w:t>
      </w:r>
      <w:r w:rsidRPr="008C32D5">
        <w:rPr>
          <w:sz w:val="24"/>
          <w:szCs w:val="24"/>
        </w:rPr>
        <w:t>a través de su representante legal, Hugo Ernesto Fernández Arias</w:t>
      </w:r>
      <w:r w:rsidR="008E74C7" w:rsidRPr="008C32D5">
        <w:rPr>
          <w:sz w:val="24"/>
          <w:szCs w:val="24"/>
        </w:rPr>
        <w:t>,</w:t>
      </w:r>
      <w:r w:rsidR="00211F0C" w:rsidRPr="008C32D5">
        <w:rPr>
          <w:sz w:val="24"/>
          <w:szCs w:val="24"/>
        </w:rPr>
        <w:t xml:space="preserve"> solicit</w:t>
      </w:r>
      <w:r w:rsidR="00DC694B" w:rsidRPr="008C32D5">
        <w:rPr>
          <w:sz w:val="24"/>
          <w:szCs w:val="24"/>
        </w:rPr>
        <w:t>ó</w:t>
      </w:r>
      <w:r w:rsidR="00211F0C" w:rsidRPr="008C32D5">
        <w:rPr>
          <w:sz w:val="24"/>
          <w:szCs w:val="24"/>
        </w:rPr>
        <w:t xml:space="preserve"> </w:t>
      </w:r>
      <w:r w:rsidR="00716301" w:rsidRPr="008C32D5">
        <w:rPr>
          <w:sz w:val="24"/>
          <w:szCs w:val="24"/>
        </w:rPr>
        <w:t>el</w:t>
      </w:r>
      <w:r w:rsidR="00211F0C" w:rsidRPr="008C32D5">
        <w:rPr>
          <w:sz w:val="24"/>
          <w:szCs w:val="24"/>
        </w:rPr>
        <w:t xml:space="preserve"> amparo</w:t>
      </w:r>
      <w:r w:rsidR="003425A9" w:rsidRPr="008C32D5">
        <w:rPr>
          <w:rStyle w:val="Refdenotaalpie"/>
          <w:sz w:val="24"/>
          <w:szCs w:val="24"/>
        </w:rPr>
        <w:footnoteReference w:id="1"/>
      </w:r>
      <w:r w:rsidR="00211F0C" w:rsidRPr="008C32D5">
        <w:rPr>
          <w:sz w:val="24"/>
          <w:szCs w:val="24"/>
        </w:rPr>
        <w:t xml:space="preserve"> de</w:t>
      </w:r>
      <w:r w:rsidR="000C39C0" w:rsidRPr="008C32D5">
        <w:rPr>
          <w:sz w:val="24"/>
          <w:szCs w:val="24"/>
        </w:rPr>
        <w:t xml:space="preserve"> </w:t>
      </w:r>
      <w:r w:rsidR="00211F0C" w:rsidRPr="008C32D5">
        <w:rPr>
          <w:sz w:val="24"/>
          <w:szCs w:val="24"/>
        </w:rPr>
        <w:t>su</w:t>
      </w:r>
      <w:r w:rsidRPr="008C32D5">
        <w:rPr>
          <w:sz w:val="24"/>
          <w:szCs w:val="24"/>
        </w:rPr>
        <w:t>s</w:t>
      </w:r>
      <w:r w:rsidR="00211F0C" w:rsidRPr="008C32D5">
        <w:rPr>
          <w:sz w:val="24"/>
          <w:szCs w:val="24"/>
        </w:rPr>
        <w:t xml:space="preserve"> derecho</w:t>
      </w:r>
      <w:r w:rsidRPr="008C32D5">
        <w:rPr>
          <w:sz w:val="24"/>
          <w:szCs w:val="24"/>
        </w:rPr>
        <w:t>s</w:t>
      </w:r>
      <w:r w:rsidR="00041C53" w:rsidRPr="008C32D5">
        <w:rPr>
          <w:sz w:val="24"/>
          <w:szCs w:val="24"/>
        </w:rPr>
        <w:t xml:space="preserve"> fundamental</w:t>
      </w:r>
      <w:r w:rsidRPr="008C32D5">
        <w:rPr>
          <w:sz w:val="24"/>
          <w:szCs w:val="24"/>
        </w:rPr>
        <w:t>es</w:t>
      </w:r>
      <w:r w:rsidR="008E74C7" w:rsidRPr="008C32D5">
        <w:rPr>
          <w:sz w:val="24"/>
          <w:szCs w:val="24"/>
        </w:rPr>
        <w:t xml:space="preserve"> </w:t>
      </w:r>
      <w:r w:rsidR="000C39C0" w:rsidRPr="008C32D5">
        <w:rPr>
          <w:sz w:val="24"/>
          <w:szCs w:val="24"/>
        </w:rPr>
        <w:t xml:space="preserve">de petición, </w:t>
      </w:r>
      <w:r w:rsidRPr="008C32D5">
        <w:rPr>
          <w:sz w:val="24"/>
          <w:szCs w:val="24"/>
        </w:rPr>
        <w:t xml:space="preserve">a la propiedad privada, al debido proceso y al acceso a la administración de justicia. Tales garantías las </w:t>
      </w:r>
      <w:r w:rsidR="006A6312" w:rsidRPr="008C32D5">
        <w:rPr>
          <w:sz w:val="24"/>
          <w:szCs w:val="24"/>
        </w:rPr>
        <w:t>consider</w:t>
      </w:r>
      <w:r w:rsidR="00C07D40" w:rsidRPr="008C32D5">
        <w:rPr>
          <w:sz w:val="24"/>
          <w:szCs w:val="24"/>
        </w:rPr>
        <w:t>ó</w:t>
      </w:r>
      <w:r w:rsidR="006A6312" w:rsidRPr="008C32D5">
        <w:rPr>
          <w:sz w:val="24"/>
          <w:szCs w:val="24"/>
        </w:rPr>
        <w:t xml:space="preserve"> vulnerad</w:t>
      </w:r>
      <w:r w:rsidRPr="008C32D5">
        <w:rPr>
          <w:sz w:val="24"/>
          <w:szCs w:val="24"/>
        </w:rPr>
        <w:t>as</w:t>
      </w:r>
      <w:r w:rsidR="00211F0C" w:rsidRPr="008C32D5">
        <w:rPr>
          <w:sz w:val="24"/>
          <w:szCs w:val="24"/>
        </w:rPr>
        <w:t xml:space="preserve"> por </w:t>
      </w:r>
      <w:r w:rsidR="00DC694B" w:rsidRPr="008C32D5">
        <w:rPr>
          <w:sz w:val="24"/>
          <w:szCs w:val="24"/>
        </w:rPr>
        <w:t xml:space="preserve">el </w:t>
      </w:r>
      <w:r w:rsidR="000C39C0" w:rsidRPr="008C32D5">
        <w:rPr>
          <w:sz w:val="24"/>
          <w:szCs w:val="24"/>
        </w:rPr>
        <w:t>Consejo Superior de la Judicatura</w:t>
      </w:r>
      <w:r w:rsidR="002B0D72" w:rsidRPr="008C32D5">
        <w:rPr>
          <w:sz w:val="24"/>
          <w:szCs w:val="24"/>
        </w:rPr>
        <w:t xml:space="preserve">. En su </w:t>
      </w:r>
      <w:r w:rsidR="00FF3D3E" w:rsidRPr="008C32D5">
        <w:rPr>
          <w:sz w:val="24"/>
          <w:szCs w:val="24"/>
        </w:rPr>
        <w:t>memorial</w:t>
      </w:r>
      <w:r w:rsidR="002B0D72" w:rsidRPr="008C32D5">
        <w:rPr>
          <w:sz w:val="24"/>
          <w:szCs w:val="24"/>
        </w:rPr>
        <w:t xml:space="preserve">, </w:t>
      </w:r>
      <w:r w:rsidRPr="008C32D5">
        <w:rPr>
          <w:sz w:val="24"/>
          <w:szCs w:val="24"/>
        </w:rPr>
        <w:t>la sociedad en referencia</w:t>
      </w:r>
      <w:r w:rsidR="00D25FB8" w:rsidRPr="008C32D5">
        <w:rPr>
          <w:sz w:val="24"/>
          <w:szCs w:val="24"/>
        </w:rPr>
        <w:t xml:space="preserve"> </w:t>
      </w:r>
      <w:r w:rsidR="000C39C0" w:rsidRPr="008C32D5">
        <w:rPr>
          <w:sz w:val="24"/>
          <w:szCs w:val="24"/>
        </w:rPr>
        <w:t xml:space="preserve">manifestó que la autoridad </w:t>
      </w:r>
      <w:r w:rsidRPr="008C32D5">
        <w:rPr>
          <w:sz w:val="24"/>
          <w:szCs w:val="24"/>
        </w:rPr>
        <w:t xml:space="preserve">accionada no ha contestado a la petición </w:t>
      </w:r>
      <w:r w:rsidR="002F54E0" w:rsidRPr="008C32D5">
        <w:rPr>
          <w:sz w:val="24"/>
          <w:szCs w:val="24"/>
        </w:rPr>
        <w:t>radicada</w:t>
      </w:r>
      <w:r w:rsidRPr="008C32D5">
        <w:rPr>
          <w:sz w:val="24"/>
          <w:szCs w:val="24"/>
        </w:rPr>
        <w:t xml:space="preserve"> el 26 de abril de 2020, por medio de la cual solicitó la devolución de los dineros consignados con el fin de participar en </w:t>
      </w:r>
      <w:r w:rsidR="00195FFB" w:rsidRPr="008C32D5">
        <w:rPr>
          <w:sz w:val="24"/>
          <w:szCs w:val="24"/>
        </w:rPr>
        <w:t>varias</w:t>
      </w:r>
      <w:r w:rsidRPr="008C32D5">
        <w:rPr>
          <w:sz w:val="24"/>
          <w:szCs w:val="24"/>
        </w:rPr>
        <w:t xml:space="preserve"> diligencias de remate</w:t>
      </w:r>
      <w:r w:rsidR="00D25FB8" w:rsidRPr="008C32D5">
        <w:rPr>
          <w:sz w:val="24"/>
          <w:szCs w:val="24"/>
        </w:rPr>
        <w:t>.</w:t>
      </w:r>
      <w:r w:rsidR="002F54E0" w:rsidRPr="008C32D5">
        <w:rPr>
          <w:sz w:val="24"/>
          <w:szCs w:val="24"/>
        </w:rPr>
        <w:t xml:space="preserve"> De ese modo, pretendió que este fallador ordene dar respuesta y devolver esas sumas.</w:t>
      </w:r>
    </w:p>
    <w:p w14:paraId="4DFB4E49" w14:textId="77777777" w:rsidR="002F54E0" w:rsidRPr="008C32D5" w:rsidRDefault="002F54E0" w:rsidP="008C32D5">
      <w:pPr>
        <w:spacing w:line="276" w:lineRule="auto"/>
        <w:rPr>
          <w:bCs/>
          <w:sz w:val="24"/>
          <w:szCs w:val="24"/>
        </w:rPr>
      </w:pPr>
    </w:p>
    <w:p w14:paraId="3CF71891" w14:textId="77777777" w:rsidR="002F54E0" w:rsidRPr="008C32D5" w:rsidRDefault="002F54E0" w:rsidP="008C32D5">
      <w:pPr>
        <w:numPr>
          <w:ilvl w:val="0"/>
          <w:numId w:val="3"/>
        </w:numPr>
        <w:spacing w:line="276" w:lineRule="auto"/>
        <w:ind w:left="0" w:firstLine="0"/>
        <w:contextualSpacing/>
        <w:rPr>
          <w:rFonts w:eastAsia="Verdana"/>
          <w:b/>
          <w:sz w:val="24"/>
          <w:szCs w:val="24"/>
        </w:rPr>
      </w:pPr>
      <w:r w:rsidRPr="008C32D5">
        <w:rPr>
          <w:rFonts w:eastAsia="Verdana"/>
          <w:b/>
          <w:sz w:val="24"/>
          <w:szCs w:val="24"/>
        </w:rPr>
        <w:t>Hechos</w:t>
      </w:r>
    </w:p>
    <w:p w14:paraId="6E76488B" w14:textId="77777777" w:rsidR="002F54E0" w:rsidRPr="008C32D5" w:rsidRDefault="002F54E0" w:rsidP="008C32D5">
      <w:pPr>
        <w:spacing w:line="276" w:lineRule="auto"/>
        <w:contextualSpacing/>
        <w:rPr>
          <w:rFonts w:eastAsia="Verdana"/>
          <w:b/>
          <w:sz w:val="24"/>
          <w:szCs w:val="24"/>
        </w:rPr>
      </w:pPr>
    </w:p>
    <w:p w14:paraId="7364FF24" w14:textId="6B775FA3" w:rsidR="002F54E0" w:rsidRPr="008C32D5" w:rsidRDefault="002F54E0" w:rsidP="008C32D5">
      <w:pPr>
        <w:spacing w:line="276" w:lineRule="auto"/>
        <w:rPr>
          <w:sz w:val="24"/>
          <w:szCs w:val="24"/>
        </w:rPr>
      </w:pPr>
      <w:r w:rsidRPr="008C32D5">
        <w:rPr>
          <w:sz w:val="24"/>
          <w:szCs w:val="24"/>
        </w:rPr>
        <w:t xml:space="preserve">La accionante relató que, desde hace dos años, está </w:t>
      </w:r>
      <w:r w:rsidR="009C128B" w:rsidRPr="008C32D5">
        <w:rPr>
          <w:sz w:val="24"/>
          <w:szCs w:val="24"/>
        </w:rPr>
        <w:t>adelantando las actuaciones</w:t>
      </w:r>
      <w:r w:rsidRPr="008C32D5">
        <w:rPr>
          <w:sz w:val="24"/>
          <w:szCs w:val="24"/>
        </w:rPr>
        <w:t xml:space="preserve"> necesarias para que la autoridad accionada le reembolse los dineros de base que depositó para participar en varias diligencias de remate. Al respecto, indicó que, a pesar de sus gestiones, esa Corporación todavía no le ha regresado los montos correspondientes. La última petición que radicó</w:t>
      </w:r>
      <w:r w:rsidR="009C128B" w:rsidRPr="008C32D5">
        <w:rPr>
          <w:sz w:val="24"/>
          <w:szCs w:val="24"/>
        </w:rPr>
        <w:t>, precisó,</w:t>
      </w:r>
      <w:r w:rsidRPr="008C32D5">
        <w:rPr>
          <w:sz w:val="24"/>
          <w:szCs w:val="24"/>
        </w:rPr>
        <w:t xml:space="preserve"> fue enviada con dirección al buzón de correo electrónico </w:t>
      </w:r>
      <w:hyperlink r:id="rId11" w:history="1">
        <w:r w:rsidRPr="008C32D5">
          <w:rPr>
            <w:rStyle w:val="Hipervnculo"/>
            <w:sz w:val="24"/>
            <w:szCs w:val="24"/>
          </w:rPr>
          <w:t>info@cendoj.ramajudicial.gov.co</w:t>
        </w:r>
      </w:hyperlink>
      <w:r w:rsidRPr="008C32D5">
        <w:rPr>
          <w:sz w:val="24"/>
          <w:szCs w:val="24"/>
        </w:rPr>
        <w:t>. No obstante, hasta el momento no ha recibido la respectiva contestación a sus inquietudes.</w:t>
      </w:r>
    </w:p>
    <w:p w14:paraId="4186447E" w14:textId="01CBBFB4" w:rsidR="00195FFB" w:rsidRPr="008C32D5" w:rsidRDefault="00195FFB" w:rsidP="008C32D5">
      <w:pPr>
        <w:spacing w:line="276" w:lineRule="auto"/>
        <w:rPr>
          <w:sz w:val="24"/>
          <w:szCs w:val="24"/>
        </w:rPr>
      </w:pPr>
    </w:p>
    <w:p w14:paraId="323E07C6" w14:textId="77777777" w:rsidR="00003587" w:rsidRPr="008C32D5" w:rsidRDefault="00003587" w:rsidP="008C32D5">
      <w:pPr>
        <w:numPr>
          <w:ilvl w:val="0"/>
          <w:numId w:val="3"/>
        </w:numPr>
        <w:overflowPunct w:val="0"/>
        <w:autoSpaceDE w:val="0"/>
        <w:autoSpaceDN w:val="0"/>
        <w:adjustRightInd w:val="0"/>
        <w:spacing w:line="276" w:lineRule="auto"/>
        <w:ind w:left="0" w:firstLine="0"/>
        <w:contextualSpacing/>
        <w:rPr>
          <w:sz w:val="24"/>
          <w:szCs w:val="24"/>
        </w:rPr>
      </w:pPr>
      <w:r w:rsidRPr="008C32D5">
        <w:rPr>
          <w:rFonts w:eastAsia="Arial Unicode MS"/>
          <w:b/>
          <w:sz w:val="24"/>
          <w:szCs w:val="24"/>
        </w:rPr>
        <w:t>Argumentos de la solicitud de tutela</w:t>
      </w:r>
    </w:p>
    <w:p w14:paraId="10BCF5DE" w14:textId="77777777" w:rsidR="00003587" w:rsidRPr="008C32D5" w:rsidRDefault="00003587" w:rsidP="008C32D5">
      <w:pPr>
        <w:overflowPunct w:val="0"/>
        <w:autoSpaceDE w:val="0"/>
        <w:autoSpaceDN w:val="0"/>
        <w:adjustRightInd w:val="0"/>
        <w:spacing w:line="276" w:lineRule="auto"/>
        <w:contextualSpacing/>
        <w:rPr>
          <w:sz w:val="24"/>
          <w:szCs w:val="24"/>
        </w:rPr>
      </w:pPr>
    </w:p>
    <w:p w14:paraId="008610C5" w14:textId="69D0F4EA" w:rsidR="00003587" w:rsidRPr="008C32D5" w:rsidRDefault="00B62F45" w:rsidP="008C32D5">
      <w:pPr>
        <w:spacing w:line="276" w:lineRule="auto"/>
        <w:rPr>
          <w:sz w:val="24"/>
          <w:szCs w:val="24"/>
        </w:rPr>
      </w:pPr>
      <w:r w:rsidRPr="008C32D5">
        <w:rPr>
          <w:sz w:val="24"/>
          <w:szCs w:val="24"/>
        </w:rPr>
        <w:t>La solicitante consideró que el Consejo Superior de la Judicatura está desconociendo su derecho de petición en la medida en que no ha resuelto sobre la devolución materia de reclamo. En ese sentido, estimó que ese organismo también está incurriendo en retención indebida de dineros. Por último, arguyó que ambas conductas l</w:t>
      </w:r>
      <w:r w:rsidR="009C128B" w:rsidRPr="008C32D5">
        <w:rPr>
          <w:sz w:val="24"/>
          <w:szCs w:val="24"/>
        </w:rPr>
        <w:t>e</w:t>
      </w:r>
      <w:r w:rsidRPr="008C32D5">
        <w:rPr>
          <w:sz w:val="24"/>
          <w:szCs w:val="24"/>
        </w:rPr>
        <w:t xml:space="preserve"> afectan.</w:t>
      </w:r>
    </w:p>
    <w:p w14:paraId="1256A942" w14:textId="77777777" w:rsidR="00B62F45" w:rsidRPr="008C32D5" w:rsidRDefault="00B62F45" w:rsidP="008C32D5">
      <w:pPr>
        <w:numPr>
          <w:ilvl w:val="0"/>
          <w:numId w:val="3"/>
        </w:numPr>
        <w:overflowPunct w:val="0"/>
        <w:autoSpaceDE w:val="0"/>
        <w:autoSpaceDN w:val="0"/>
        <w:adjustRightInd w:val="0"/>
        <w:spacing w:line="276" w:lineRule="auto"/>
        <w:ind w:left="0" w:firstLine="0"/>
        <w:contextualSpacing/>
        <w:rPr>
          <w:rFonts w:eastAsia="Times New Roman"/>
          <w:b/>
          <w:sz w:val="24"/>
          <w:szCs w:val="24"/>
          <w:lang w:eastAsia="es-ES"/>
        </w:rPr>
      </w:pPr>
      <w:r w:rsidRPr="008C32D5">
        <w:rPr>
          <w:b/>
          <w:sz w:val="24"/>
          <w:szCs w:val="24"/>
        </w:rPr>
        <w:lastRenderedPageBreak/>
        <w:t xml:space="preserve">Trámite de tutela e intervenciones  </w:t>
      </w:r>
    </w:p>
    <w:p w14:paraId="21A816FB" w14:textId="77777777" w:rsidR="00B62F45" w:rsidRPr="008C32D5" w:rsidRDefault="00B62F45" w:rsidP="008C32D5">
      <w:pPr>
        <w:overflowPunct w:val="0"/>
        <w:autoSpaceDE w:val="0"/>
        <w:autoSpaceDN w:val="0"/>
        <w:adjustRightInd w:val="0"/>
        <w:spacing w:line="276" w:lineRule="auto"/>
        <w:contextualSpacing/>
        <w:rPr>
          <w:b/>
          <w:sz w:val="24"/>
          <w:szCs w:val="24"/>
        </w:rPr>
      </w:pPr>
    </w:p>
    <w:p w14:paraId="48865208" w14:textId="537C9EB8" w:rsidR="00B62F45" w:rsidRPr="008C32D5" w:rsidRDefault="00B62F45" w:rsidP="008C32D5">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8C32D5">
        <w:rPr>
          <w:rFonts w:eastAsia="Verdana"/>
          <w:sz w:val="24"/>
          <w:szCs w:val="24"/>
        </w:rPr>
        <w:t xml:space="preserve">El despacho sustanciador, mediante auto proferido el </w:t>
      </w:r>
      <w:r w:rsidR="005F519E" w:rsidRPr="008C32D5">
        <w:rPr>
          <w:color w:val="000000"/>
          <w:sz w:val="24"/>
          <w:szCs w:val="24"/>
          <w:lang w:eastAsia="en-US"/>
        </w:rPr>
        <w:t>30</w:t>
      </w:r>
      <w:r w:rsidRPr="008C32D5">
        <w:rPr>
          <w:color w:val="000000"/>
          <w:sz w:val="24"/>
          <w:szCs w:val="24"/>
          <w:lang w:eastAsia="en-US"/>
        </w:rPr>
        <w:t xml:space="preserve"> de junio de 2021</w:t>
      </w:r>
      <w:r w:rsidRPr="008C32D5">
        <w:rPr>
          <w:color w:val="000000"/>
          <w:sz w:val="24"/>
          <w:szCs w:val="24"/>
          <w:vertAlign w:val="superscript"/>
          <w:lang w:eastAsia="en-US"/>
        </w:rPr>
        <w:t>[</w:t>
      </w:r>
      <w:r w:rsidRPr="008C32D5">
        <w:rPr>
          <w:rStyle w:val="Refdenotaalpie"/>
          <w:color w:val="000000"/>
          <w:sz w:val="24"/>
          <w:szCs w:val="24"/>
          <w:lang w:eastAsia="en-US"/>
        </w:rPr>
        <w:footnoteReference w:id="2"/>
      </w:r>
      <w:r w:rsidRPr="008C32D5">
        <w:rPr>
          <w:color w:val="000000"/>
          <w:sz w:val="24"/>
          <w:szCs w:val="24"/>
          <w:vertAlign w:val="superscript"/>
          <w:lang w:eastAsia="en-US"/>
        </w:rPr>
        <w:t>]</w:t>
      </w:r>
      <w:r w:rsidRPr="008C32D5">
        <w:rPr>
          <w:rFonts w:eastAsia="Verdana"/>
          <w:sz w:val="24"/>
          <w:szCs w:val="24"/>
        </w:rPr>
        <w:t>, admitió la solicitud de tutela</w:t>
      </w:r>
      <w:r w:rsidR="005F519E" w:rsidRPr="008C32D5">
        <w:rPr>
          <w:rFonts w:eastAsia="Verdana"/>
          <w:sz w:val="24"/>
          <w:szCs w:val="24"/>
        </w:rPr>
        <w:t xml:space="preserve"> y ordenó a la entidad accionada que rindiera informe</w:t>
      </w:r>
      <w:r w:rsidRPr="008C32D5">
        <w:rPr>
          <w:rFonts w:eastAsia="Verdana"/>
          <w:sz w:val="24"/>
          <w:szCs w:val="24"/>
        </w:rPr>
        <w:t>.</w:t>
      </w:r>
    </w:p>
    <w:p w14:paraId="6EE1DDC5" w14:textId="77777777" w:rsidR="00371ABD" w:rsidRPr="008C32D5" w:rsidRDefault="00371ABD" w:rsidP="008C32D5">
      <w:pPr>
        <w:pStyle w:val="Prrafodelista"/>
        <w:overflowPunct w:val="0"/>
        <w:autoSpaceDE w:val="0"/>
        <w:autoSpaceDN w:val="0"/>
        <w:adjustRightInd w:val="0"/>
        <w:spacing w:line="276" w:lineRule="auto"/>
        <w:ind w:left="0"/>
        <w:rPr>
          <w:rFonts w:eastAsia="Verdana"/>
          <w:sz w:val="24"/>
          <w:szCs w:val="24"/>
        </w:rPr>
      </w:pPr>
    </w:p>
    <w:p w14:paraId="6B75F55F" w14:textId="24DB8B0F" w:rsidR="00371ABD" w:rsidRDefault="002A4A3B" w:rsidP="008C32D5">
      <w:pPr>
        <w:pStyle w:val="Prrafodelista"/>
        <w:numPr>
          <w:ilvl w:val="1"/>
          <w:numId w:val="3"/>
        </w:numPr>
        <w:overflowPunct w:val="0"/>
        <w:autoSpaceDE w:val="0"/>
        <w:autoSpaceDN w:val="0"/>
        <w:adjustRightInd w:val="0"/>
        <w:spacing w:line="276" w:lineRule="auto"/>
        <w:ind w:left="0" w:firstLine="0"/>
        <w:rPr>
          <w:rFonts w:eastAsia="Verdana"/>
          <w:sz w:val="24"/>
          <w:szCs w:val="24"/>
        </w:rPr>
      </w:pPr>
      <w:r w:rsidRPr="008C32D5">
        <w:rPr>
          <w:rFonts w:eastAsia="Verdana"/>
          <w:sz w:val="24"/>
          <w:szCs w:val="24"/>
        </w:rPr>
        <w:t xml:space="preserve">El </w:t>
      </w:r>
      <w:r w:rsidRPr="008C32D5">
        <w:rPr>
          <w:rFonts w:eastAsia="Verdana"/>
          <w:b/>
          <w:bCs/>
          <w:sz w:val="24"/>
          <w:szCs w:val="24"/>
        </w:rPr>
        <w:t>Consejo Superior de la Judicatura</w:t>
      </w:r>
      <w:r w:rsidRPr="008C32D5">
        <w:rPr>
          <w:rFonts w:eastAsia="Verdana"/>
          <w:sz w:val="24"/>
          <w:szCs w:val="24"/>
        </w:rPr>
        <w:t xml:space="preserve"> manifestó</w:t>
      </w:r>
      <w:r w:rsidRPr="008C32D5">
        <w:rPr>
          <w:rStyle w:val="Refdenotaalpie"/>
          <w:rFonts w:eastAsia="Verdana"/>
          <w:sz w:val="24"/>
          <w:szCs w:val="24"/>
        </w:rPr>
        <w:footnoteReference w:id="3"/>
      </w:r>
      <w:r w:rsidRPr="008C32D5">
        <w:rPr>
          <w:rFonts w:eastAsia="Verdana"/>
          <w:sz w:val="24"/>
          <w:szCs w:val="24"/>
        </w:rPr>
        <w:t xml:space="preserve"> que</w:t>
      </w:r>
      <w:r w:rsidR="3F516167" w:rsidRPr="008C32D5">
        <w:rPr>
          <w:rFonts w:eastAsia="Verdana"/>
          <w:sz w:val="24"/>
          <w:szCs w:val="24"/>
        </w:rPr>
        <w:t>,</w:t>
      </w:r>
      <w:r w:rsidRPr="008C32D5">
        <w:rPr>
          <w:rFonts w:eastAsia="Verdana"/>
          <w:sz w:val="24"/>
          <w:szCs w:val="24"/>
        </w:rPr>
        <w:t xml:space="preserve"> a pesar de su unidad institucional, cada una de sus dependencias tiene funciones y competencias propias y separadas. A partir de lo anterior afirmó que la Dirección Seccional de Administración Judicial de Bogotá y la Dirección Ejecutiva de Administración Judicial son los despachos llamados a responder las inconformidades de la parte actora. De ese modo, son las que estarían en vocación para cumplir las eventuales órdenes de tutela.</w:t>
      </w:r>
    </w:p>
    <w:p w14:paraId="5A1398FB" w14:textId="77777777" w:rsidR="007F0669" w:rsidRPr="007F0669" w:rsidRDefault="007F0669" w:rsidP="007F0669">
      <w:pPr>
        <w:pStyle w:val="Prrafodelista"/>
        <w:rPr>
          <w:rFonts w:eastAsia="Verdana"/>
          <w:sz w:val="24"/>
          <w:szCs w:val="24"/>
        </w:rPr>
      </w:pPr>
    </w:p>
    <w:p w14:paraId="2C82D1C9" w14:textId="64C1A816" w:rsidR="007F0669" w:rsidRPr="007F0669" w:rsidRDefault="007F0669" w:rsidP="008C32D5">
      <w:pPr>
        <w:pStyle w:val="Prrafodelista"/>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 xml:space="preserve">El despacho sustanciador, </w:t>
      </w:r>
      <w:r w:rsidR="009C01CE">
        <w:rPr>
          <w:rFonts w:eastAsia="Verdana"/>
          <w:sz w:val="24"/>
          <w:szCs w:val="24"/>
        </w:rPr>
        <w:t>por medio de</w:t>
      </w:r>
      <w:r>
        <w:rPr>
          <w:rFonts w:eastAsia="Verdana"/>
          <w:sz w:val="24"/>
          <w:szCs w:val="24"/>
        </w:rPr>
        <w:t xml:space="preserve"> auto proferido el 23 de julio de 2021</w:t>
      </w:r>
      <w:r>
        <w:rPr>
          <w:rFonts w:eastAsia="Verdana"/>
          <w:sz w:val="24"/>
          <w:szCs w:val="24"/>
          <w:vertAlign w:val="superscript"/>
        </w:rPr>
        <w:t>[</w:t>
      </w:r>
      <w:r>
        <w:rPr>
          <w:rStyle w:val="Refdenotaalpie"/>
          <w:rFonts w:eastAsia="Verdana"/>
          <w:sz w:val="24"/>
          <w:szCs w:val="24"/>
        </w:rPr>
        <w:footnoteReference w:id="4"/>
      </w:r>
      <w:r>
        <w:rPr>
          <w:rFonts w:eastAsia="Verdana"/>
          <w:sz w:val="24"/>
          <w:szCs w:val="24"/>
          <w:vertAlign w:val="superscript"/>
        </w:rPr>
        <w:t>]</w:t>
      </w:r>
      <w:r>
        <w:rPr>
          <w:rFonts w:eastAsia="Verdana"/>
          <w:sz w:val="24"/>
          <w:szCs w:val="24"/>
        </w:rPr>
        <w:t xml:space="preserve">, vinculó a </w:t>
      </w:r>
      <w:r w:rsidRPr="008C32D5">
        <w:rPr>
          <w:rFonts w:eastAsia="Verdana"/>
          <w:sz w:val="24"/>
          <w:szCs w:val="24"/>
        </w:rPr>
        <w:t xml:space="preserve">la Dirección Seccional de Administración Judicial de Bogotá y la Dirección Ejecutiva de Administración Judicial </w:t>
      </w:r>
      <w:r>
        <w:rPr>
          <w:rFonts w:eastAsia="Verdana"/>
          <w:sz w:val="24"/>
          <w:szCs w:val="24"/>
        </w:rPr>
        <w:t xml:space="preserve">al presente proceso. Además, ordenó remitirles </w:t>
      </w:r>
      <w:r w:rsidRPr="008C32D5">
        <w:rPr>
          <w:sz w:val="24"/>
          <w:szCs w:val="24"/>
        </w:rPr>
        <w:t xml:space="preserve">el escrito de tutela, sus anexos, el auto </w:t>
      </w:r>
      <w:proofErr w:type="spellStart"/>
      <w:r w:rsidRPr="008C32D5">
        <w:rPr>
          <w:sz w:val="24"/>
          <w:szCs w:val="24"/>
        </w:rPr>
        <w:t>admisorio</w:t>
      </w:r>
      <w:proofErr w:type="spellEnd"/>
      <w:r w:rsidRPr="008C32D5">
        <w:rPr>
          <w:sz w:val="24"/>
          <w:szCs w:val="24"/>
        </w:rPr>
        <w:t xml:space="preserve"> de la solicitud de amparo y el auto</w:t>
      </w:r>
      <w:r>
        <w:rPr>
          <w:sz w:val="24"/>
          <w:szCs w:val="24"/>
        </w:rPr>
        <w:t xml:space="preserve"> bajo reseña. Finalmente, concedió tres días para rendir el informe respectivo.</w:t>
      </w:r>
    </w:p>
    <w:p w14:paraId="0EAED381" w14:textId="77777777" w:rsidR="007F0669" w:rsidRPr="007F0669" w:rsidRDefault="007F0669" w:rsidP="007F0669">
      <w:pPr>
        <w:pStyle w:val="Prrafodelista"/>
        <w:rPr>
          <w:rFonts w:eastAsia="Verdana"/>
          <w:sz w:val="24"/>
          <w:szCs w:val="24"/>
        </w:rPr>
      </w:pPr>
    </w:p>
    <w:p w14:paraId="0769ED11" w14:textId="09DADDDA" w:rsidR="007F0669" w:rsidRDefault="007F0669" w:rsidP="008C32D5">
      <w:pPr>
        <w:pStyle w:val="Prrafodelista"/>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 xml:space="preserve">La </w:t>
      </w:r>
      <w:r w:rsidRPr="518B99AB">
        <w:rPr>
          <w:rFonts w:eastAsia="Verdana"/>
          <w:b/>
          <w:bCs/>
          <w:sz w:val="24"/>
          <w:szCs w:val="24"/>
        </w:rPr>
        <w:t>Dirección Ejecutiva de Administración Judicial</w:t>
      </w:r>
      <w:r w:rsidR="009C01CE">
        <w:rPr>
          <w:rFonts w:eastAsia="Verdana"/>
          <w:sz w:val="24"/>
          <w:szCs w:val="24"/>
        </w:rPr>
        <w:t>, a través de memorial</w:t>
      </w:r>
      <w:r w:rsidR="009C01CE">
        <w:rPr>
          <w:rStyle w:val="Refdenotaalpie"/>
          <w:rFonts w:eastAsia="Verdana"/>
          <w:sz w:val="24"/>
          <w:szCs w:val="24"/>
        </w:rPr>
        <w:footnoteReference w:id="5"/>
      </w:r>
      <w:r w:rsidR="009C01CE">
        <w:rPr>
          <w:rFonts w:eastAsia="Verdana"/>
          <w:sz w:val="24"/>
          <w:szCs w:val="24"/>
        </w:rPr>
        <w:t xml:space="preserve"> electrónico del 29 de julio de 2021, indicó que no le fueron </w:t>
      </w:r>
      <w:r w:rsidR="00705D73">
        <w:rPr>
          <w:rFonts w:eastAsia="Verdana"/>
          <w:sz w:val="24"/>
          <w:szCs w:val="24"/>
        </w:rPr>
        <w:t>adjuntos</w:t>
      </w:r>
      <w:r w:rsidR="009C01CE">
        <w:rPr>
          <w:rFonts w:eastAsia="Verdana"/>
          <w:sz w:val="24"/>
          <w:szCs w:val="24"/>
        </w:rPr>
        <w:t xml:space="preserve"> los </w:t>
      </w:r>
      <w:r w:rsidR="0002785D">
        <w:rPr>
          <w:rFonts w:eastAsia="Verdana"/>
          <w:sz w:val="24"/>
          <w:szCs w:val="24"/>
        </w:rPr>
        <w:t>documentos</w:t>
      </w:r>
      <w:r w:rsidR="009C01CE">
        <w:rPr>
          <w:rFonts w:eastAsia="Verdana"/>
          <w:sz w:val="24"/>
          <w:szCs w:val="24"/>
        </w:rPr>
        <w:t xml:space="preserve"> ordenados por la providencia descrita en el numeral anterior.</w:t>
      </w:r>
    </w:p>
    <w:p w14:paraId="0FEAEB56" w14:textId="77777777" w:rsidR="009C01CE" w:rsidRPr="009C01CE" w:rsidRDefault="009C01CE" w:rsidP="009C01CE">
      <w:pPr>
        <w:pStyle w:val="Prrafodelista"/>
        <w:rPr>
          <w:rFonts w:eastAsia="Verdana"/>
          <w:sz w:val="24"/>
          <w:szCs w:val="24"/>
        </w:rPr>
      </w:pPr>
    </w:p>
    <w:p w14:paraId="4023C6BC" w14:textId="516FD0BE" w:rsidR="009C01CE" w:rsidRPr="008C32D5" w:rsidRDefault="009C01CE" w:rsidP="008C32D5">
      <w:pPr>
        <w:pStyle w:val="Prrafodelista"/>
        <w:numPr>
          <w:ilvl w:val="1"/>
          <w:numId w:val="3"/>
        </w:numPr>
        <w:overflowPunct w:val="0"/>
        <w:autoSpaceDE w:val="0"/>
        <w:autoSpaceDN w:val="0"/>
        <w:adjustRightInd w:val="0"/>
        <w:spacing w:line="276" w:lineRule="auto"/>
        <w:ind w:left="0" w:firstLine="0"/>
        <w:rPr>
          <w:rFonts w:eastAsia="Verdana"/>
          <w:sz w:val="24"/>
          <w:szCs w:val="24"/>
        </w:rPr>
      </w:pPr>
      <w:r>
        <w:rPr>
          <w:rFonts w:eastAsia="Verdana"/>
          <w:sz w:val="24"/>
          <w:szCs w:val="24"/>
        </w:rPr>
        <w:t>La Secretaría General de esta Corporación, con oficio</w:t>
      </w:r>
      <w:r w:rsidR="00705D73">
        <w:rPr>
          <w:rStyle w:val="Refdenotaalpie"/>
          <w:rFonts w:eastAsia="Verdana"/>
          <w:sz w:val="24"/>
          <w:szCs w:val="24"/>
        </w:rPr>
        <w:footnoteReference w:id="6"/>
      </w:r>
      <w:r>
        <w:rPr>
          <w:rFonts w:eastAsia="Verdana"/>
          <w:sz w:val="24"/>
          <w:szCs w:val="24"/>
        </w:rPr>
        <w:t xml:space="preserve"> electrónico del 30 de julio de 2021, especificó que ya había enviado los anexos en cita y los volvió a remitir.</w:t>
      </w:r>
    </w:p>
    <w:p w14:paraId="285EC046" w14:textId="77777777" w:rsidR="002C4246" w:rsidRPr="008C32D5" w:rsidRDefault="002C4246" w:rsidP="008C32D5">
      <w:pPr>
        <w:pStyle w:val="Prrafodelista"/>
        <w:overflowPunct w:val="0"/>
        <w:autoSpaceDE w:val="0"/>
        <w:autoSpaceDN w:val="0"/>
        <w:adjustRightInd w:val="0"/>
        <w:spacing w:line="276" w:lineRule="auto"/>
        <w:ind w:left="0"/>
        <w:rPr>
          <w:rFonts w:eastAsia="Verdana"/>
          <w:sz w:val="24"/>
          <w:szCs w:val="24"/>
        </w:rPr>
      </w:pPr>
    </w:p>
    <w:p w14:paraId="56030CB4" w14:textId="77777777" w:rsidR="002C4246" w:rsidRPr="008C32D5" w:rsidRDefault="002C4246" w:rsidP="008C32D5">
      <w:pPr>
        <w:pStyle w:val="Ttulo1"/>
        <w:spacing w:before="0" w:after="0"/>
        <w:rPr>
          <w:rFonts w:cs="Arial"/>
          <w:szCs w:val="24"/>
        </w:rPr>
      </w:pPr>
      <w:r w:rsidRPr="008C32D5">
        <w:rPr>
          <w:rFonts w:cs="Arial"/>
          <w:szCs w:val="24"/>
        </w:rPr>
        <w:t>CONSIDERACIONES</w:t>
      </w:r>
    </w:p>
    <w:p w14:paraId="4E0B35F9" w14:textId="77777777" w:rsidR="002C4246" w:rsidRPr="008C32D5" w:rsidRDefault="002C4246" w:rsidP="008C32D5">
      <w:pPr>
        <w:spacing w:line="276" w:lineRule="auto"/>
        <w:rPr>
          <w:sz w:val="24"/>
          <w:szCs w:val="24"/>
        </w:rPr>
      </w:pPr>
    </w:p>
    <w:p w14:paraId="6A4256CF" w14:textId="6389758E" w:rsidR="00286F87" w:rsidRDefault="00D152DA" w:rsidP="008C32D5">
      <w:pPr>
        <w:spacing w:line="276" w:lineRule="auto"/>
        <w:rPr>
          <w:sz w:val="24"/>
          <w:szCs w:val="24"/>
        </w:rPr>
      </w:pPr>
      <w:r w:rsidRPr="518B99AB">
        <w:rPr>
          <w:sz w:val="24"/>
          <w:szCs w:val="24"/>
        </w:rPr>
        <w:t>A pesar de que los despachos indivi</w:t>
      </w:r>
      <w:r w:rsidR="00545AC5">
        <w:rPr>
          <w:sz w:val="24"/>
          <w:szCs w:val="24"/>
        </w:rPr>
        <w:t xml:space="preserve">dualizados en el acápite de antecedentes de este </w:t>
      </w:r>
      <w:r w:rsidRPr="518B99AB">
        <w:rPr>
          <w:sz w:val="24"/>
          <w:szCs w:val="24"/>
        </w:rPr>
        <w:t>proveído han guardado silencio, su</w:t>
      </w:r>
      <w:r w:rsidR="0002785D" w:rsidRPr="518B99AB">
        <w:rPr>
          <w:sz w:val="24"/>
          <w:szCs w:val="24"/>
        </w:rPr>
        <w:t>s respectivos</w:t>
      </w:r>
      <w:r w:rsidRPr="518B99AB">
        <w:rPr>
          <w:sz w:val="24"/>
          <w:szCs w:val="24"/>
        </w:rPr>
        <w:t xml:space="preserve"> informe</w:t>
      </w:r>
      <w:r w:rsidR="0002785D" w:rsidRPr="518B99AB">
        <w:rPr>
          <w:sz w:val="24"/>
          <w:szCs w:val="24"/>
        </w:rPr>
        <w:t>s</w:t>
      </w:r>
      <w:r w:rsidRPr="518B99AB">
        <w:rPr>
          <w:sz w:val="24"/>
          <w:szCs w:val="24"/>
        </w:rPr>
        <w:t xml:space="preserve"> se requiere</w:t>
      </w:r>
      <w:r w:rsidR="0002785D" w:rsidRPr="518B99AB">
        <w:rPr>
          <w:sz w:val="24"/>
          <w:szCs w:val="24"/>
        </w:rPr>
        <w:t>n</w:t>
      </w:r>
      <w:r w:rsidRPr="518B99AB">
        <w:rPr>
          <w:sz w:val="24"/>
          <w:szCs w:val="24"/>
        </w:rPr>
        <w:t xml:space="preserve"> urgentemente. </w:t>
      </w:r>
      <w:r w:rsidR="0002785D" w:rsidRPr="518B99AB">
        <w:rPr>
          <w:sz w:val="24"/>
          <w:szCs w:val="24"/>
        </w:rPr>
        <w:t>Éstos</w:t>
      </w:r>
      <w:r w:rsidRPr="518B99AB">
        <w:rPr>
          <w:sz w:val="24"/>
          <w:szCs w:val="24"/>
        </w:rPr>
        <w:t xml:space="preserve"> permitirá</w:t>
      </w:r>
      <w:r w:rsidR="0002785D" w:rsidRPr="518B99AB">
        <w:rPr>
          <w:sz w:val="24"/>
          <w:szCs w:val="24"/>
        </w:rPr>
        <w:t>n</w:t>
      </w:r>
      <w:r w:rsidRPr="518B99AB">
        <w:rPr>
          <w:sz w:val="24"/>
          <w:szCs w:val="24"/>
        </w:rPr>
        <w:t xml:space="preserve"> que </w:t>
      </w:r>
      <w:r w:rsidR="0002785D" w:rsidRPr="518B99AB">
        <w:rPr>
          <w:sz w:val="24"/>
          <w:szCs w:val="24"/>
        </w:rPr>
        <w:t>la</w:t>
      </w:r>
      <w:r w:rsidRPr="518B99AB">
        <w:rPr>
          <w:sz w:val="24"/>
          <w:szCs w:val="24"/>
        </w:rPr>
        <w:t xml:space="preserve"> Sala conozca con precisión las especificidades </w:t>
      </w:r>
      <w:r w:rsidR="0002785D" w:rsidRPr="518B99AB">
        <w:rPr>
          <w:sz w:val="24"/>
          <w:szCs w:val="24"/>
        </w:rPr>
        <w:t>de</w:t>
      </w:r>
      <w:r w:rsidRPr="518B99AB">
        <w:rPr>
          <w:sz w:val="24"/>
          <w:szCs w:val="24"/>
        </w:rPr>
        <w:t xml:space="preserve"> las </w:t>
      </w:r>
      <w:r w:rsidR="0002785D" w:rsidRPr="518B99AB">
        <w:rPr>
          <w:sz w:val="24"/>
          <w:szCs w:val="24"/>
        </w:rPr>
        <w:t>variables de hecho</w:t>
      </w:r>
      <w:r w:rsidRPr="518B99AB">
        <w:rPr>
          <w:sz w:val="24"/>
          <w:szCs w:val="24"/>
        </w:rPr>
        <w:t xml:space="preserve"> que la parte actora relacionó en su escrito de amparo. Así las cosas, podrá saberse si los dineros objeto de reclamo están consignados a órdenes del Consejo Superior de la Judicatura, a cuánto asciende su respectivo monto, en qué cuenta pública fueron depositados, en qué circunstancias fueron dejados a disposición de ese organismo y si hay lugar a su reembolso. </w:t>
      </w:r>
      <w:r w:rsidR="00AA4209" w:rsidRPr="518B99AB">
        <w:rPr>
          <w:sz w:val="24"/>
          <w:szCs w:val="24"/>
        </w:rPr>
        <w:t xml:space="preserve">Ello indica que el material obrante en el plenario no permite adoptar una decisión plenamente enterada, lo cual se </w:t>
      </w:r>
      <w:r w:rsidR="26827876" w:rsidRPr="518B99AB">
        <w:rPr>
          <w:sz w:val="24"/>
          <w:szCs w:val="24"/>
        </w:rPr>
        <w:t>necesita</w:t>
      </w:r>
      <w:r w:rsidR="00AA4209" w:rsidRPr="518B99AB">
        <w:rPr>
          <w:sz w:val="24"/>
          <w:szCs w:val="24"/>
        </w:rPr>
        <w:t>.</w:t>
      </w:r>
    </w:p>
    <w:p w14:paraId="70B0E066" w14:textId="77777777" w:rsidR="00D152DA" w:rsidRPr="008C32D5" w:rsidRDefault="00D152DA" w:rsidP="008C32D5">
      <w:pPr>
        <w:spacing w:line="276" w:lineRule="auto"/>
        <w:rPr>
          <w:sz w:val="24"/>
          <w:szCs w:val="24"/>
        </w:rPr>
      </w:pPr>
    </w:p>
    <w:p w14:paraId="59F202CB" w14:textId="042F6E50" w:rsidR="000F4D56" w:rsidRPr="008C32D5" w:rsidRDefault="00286F87" w:rsidP="008C32D5">
      <w:pPr>
        <w:spacing w:line="276" w:lineRule="auto"/>
        <w:rPr>
          <w:sz w:val="24"/>
          <w:szCs w:val="24"/>
        </w:rPr>
      </w:pPr>
      <w:r w:rsidRPr="008C32D5">
        <w:rPr>
          <w:sz w:val="24"/>
          <w:szCs w:val="24"/>
        </w:rPr>
        <w:t xml:space="preserve">En consonancia con lo expuesto se </w:t>
      </w:r>
      <w:r w:rsidR="0016356A">
        <w:rPr>
          <w:sz w:val="24"/>
          <w:szCs w:val="24"/>
        </w:rPr>
        <w:t>requerirá</w:t>
      </w:r>
      <w:r w:rsidR="00FD2252" w:rsidRPr="008C32D5">
        <w:rPr>
          <w:sz w:val="24"/>
          <w:szCs w:val="24"/>
        </w:rPr>
        <w:t xml:space="preserve"> a la</w:t>
      </w:r>
      <w:r w:rsidR="000F4D56" w:rsidRPr="008C32D5">
        <w:rPr>
          <w:sz w:val="24"/>
          <w:szCs w:val="24"/>
        </w:rPr>
        <w:t>s</w:t>
      </w:r>
      <w:r w:rsidR="00FD2252" w:rsidRPr="008C32D5">
        <w:rPr>
          <w:sz w:val="24"/>
          <w:szCs w:val="24"/>
        </w:rPr>
        <w:t xml:space="preserve"> </w:t>
      </w:r>
      <w:r w:rsidR="000F4D56" w:rsidRPr="008C32D5">
        <w:rPr>
          <w:sz w:val="24"/>
          <w:szCs w:val="24"/>
        </w:rPr>
        <w:t>dependencias</w:t>
      </w:r>
      <w:r w:rsidR="00FD2252" w:rsidRPr="008C32D5">
        <w:rPr>
          <w:sz w:val="24"/>
          <w:szCs w:val="24"/>
        </w:rPr>
        <w:t xml:space="preserve"> </w:t>
      </w:r>
      <w:r w:rsidR="000F4D56" w:rsidRPr="008C32D5">
        <w:rPr>
          <w:sz w:val="24"/>
          <w:szCs w:val="24"/>
        </w:rPr>
        <w:t>vinculadas</w:t>
      </w:r>
      <w:r w:rsidR="00FD2252" w:rsidRPr="008C32D5">
        <w:rPr>
          <w:sz w:val="24"/>
          <w:szCs w:val="24"/>
        </w:rPr>
        <w:t xml:space="preserve"> </w:t>
      </w:r>
      <w:r w:rsidR="0016356A">
        <w:rPr>
          <w:sz w:val="24"/>
          <w:szCs w:val="24"/>
        </w:rPr>
        <w:t xml:space="preserve">por </w:t>
      </w:r>
      <w:r w:rsidR="0016356A" w:rsidRPr="00EB399B">
        <w:rPr>
          <w:b/>
          <w:sz w:val="24"/>
          <w:szCs w:val="24"/>
        </w:rPr>
        <w:t>última vez</w:t>
      </w:r>
      <w:r w:rsidR="0016356A">
        <w:rPr>
          <w:sz w:val="24"/>
          <w:szCs w:val="24"/>
        </w:rPr>
        <w:t xml:space="preserve"> para </w:t>
      </w:r>
      <w:r w:rsidR="00FD2252" w:rsidRPr="008C32D5">
        <w:rPr>
          <w:sz w:val="24"/>
          <w:szCs w:val="24"/>
        </w:rPr>
        <w:t>que rinda</w:t>
      </w:r>
      <w:r w:rsidR="000F4D56" w:rsidRPr="008C32D5">
        <w:rPr>
          <w:sz w:val="24"/>
          <w:szCs w:val="24"/>
        </w:rPr>
        <w:t>n</w:t>
      </w:r>
      <w:r w:rsidR="00FD2252" w:rsidRPr="008C32D5">
        <w:rPr>
          <w:sz w:val="24"/>
          <w:szCs w:val="24"/>
        </w:rPr>
        <w:t xml:space="preserve"> informe en el que se pronuncie</w:t>
      </w:r>
      <w:r w:rsidR="000F4D56" w:rsidRPr="008C32D5">
        <w:rPr>
          <w:sz w:val="24"/>
          <w:szCs w:val="24"/>
        </w:rPr>
        <w:t>n</w:t>
      </w:r>
      <w:r w:rsidR="00FD2252" w:rsidRPr="008C32D5">
        <w:rPr>
          <w:sz w:val="24"/>
          <w:szCs w:val="24"/>
        </w:rPr>
        <w:t xml:space="preserve"> sobre los fundamentos de hecho y de derecho expuestos en la solicitud de amparo. </w:t>
      </w:r>
      <w:r w:rsidR="000F4D56" w:rsidRPr="008C32D5">
        <w:rPr>
          <w:sz w:val="24"/>
          <w:szCs w:val="24"/>
        </w:rPr>
        <w:t xml:space="preserve">En </w:t>
      </w:r>
      <w:r w:rsidR="000245C0" w:rsidRPr="008C32D5">
        <w:rPr>
          <w:sz w:val="24"/>
          <w:szCs w:val="24"/>
        </w:rPr>
        <w:t xml:space="preserve">concreto, ambos despachos deberán explicar qué trámite interno le han dado a la petición reseñada por </w:t>
      </w:r>
      <w:r w:rsidR="000245C0" w:rsidRPr="008C32D5">
        <w:rPr>
          <w:sz w:val="24"/>
          <w:szCs w:val="24"/>
        </w:rPr>
        <w:lastRenderedPageBreak/>
        <w:t>la actora en su escrito de tutela. Así mismo, deberán orientar si las actuaciones adelantadas por esta son las pertinentes para obtener la devolución de los dineros consignados para participar en las diligencias de remate descritas en el memorial de amparo y sus documentos anexos.</w:t>
      </w:r>
      <w:r w:rsidR="00BB22FB" w:rsidRPr="008C32D5">
        <w:rPr>
          <w:sz w:val="24"/>
          <w:szCs w:val="24"/>
        </w:rPr>
        <w:t xml:space="preserve"> Finalmente, deberán aportar las consideraciones fácticas y normativas que sean necesarias para que este fallador resuelva la acción de tutela de la referencia.</w:t>
      </w:r>
      <w:r w:rsidR="0016356A">
        <w:rPr>
          <w:sz w:val="24"/>
          <w:szCs w:val="24"/>
        </w:rPr>
        <w:t xml:space="preserve"> Si esas autoridades continúan guardando silencio, se dictará fallo en el que se apliquen los efectos y consecuencias de la presunción de veracidad, según lo dispone el artículo 20 del Decreto 2591 de 1991.</w:t>
      </w:r>
    </w:p>
    <w:p w14:paraId="3048FBA3" w14:textId="77777777" w:rsidR="000F4D56" w:rsidRPr="008C32D5" w:rsidRDefault="000F4D56" w:rsidP="008C32D5">
      <w:pPr>
        <w:spacing w:line="276" w:lineRule="auto"/>
        <w:rPr>
          <w:sz w:val="24"/>
          <w:szCs w:val="24"/>
        </w:rPr>
      </w:pPr>
    </w:p>
    <w:p w14:paraId="63AA1059" w14:textId="13D541E2" w:rsidR="00286F87" w:rsidRPr="008C32D5" w:rsidRDefault="000F4D56" w:rsidP="008C32D5">
      <w:pPr>
        <w:spacing w:line="276" w:lineRule="auto"/>
        <w:rPr>
          <w:sz w:val="24"/>
          <w:szCs w:val="24"/>
        </w:rPr>
      </w:pPr>
      <w:r w:rsidRPr="008C32D5">
        <w:rPr>
          <w:sz w:val="24"/>
          <w:szCs w:val="24"/>
        </w:rPr>
        <w:t>Como</w:t>
      </w:r>
      <w:r w:rsidR="00FD2252" w:rsidRPr="008C32D5">
        <w:rPr>
          <w:sz w:val="24"/>
          <w:szCs w:val="24"/>
        </w:rPr>
        <w:t xml:space="preserve"> últim</w:t>
      </w:r>
      <w:r w:rsidRPr="008C32D5">
        <w:rPr>
          <w:sz w:val="24"/>
          <w:szCs w:val="24"/>
        </w:rPr>
        <w:t>a medida</w:t>
      </w:r>
      <w:r w:rsidR="00FD2252" w:rsidRPr="008C32D5">
        <w:rPr>
          <w:sz w:val="24"/>
          <w:szCs w:val="24"/>
        </w:rPr>
        <w:t>,</w:t>
      </w:r>
      <w:r w:rsidR="00286F87" w:rsidRPr="008C32D5">
        <w:rPr>
          <w:sz w:val="24"/>
          <w:szCs w:val="24"/>
        </w:rPr>
        <w:t xml:space="preserve"> se suspenderán los términos del proceso mientras se cumplen las órdenes a dar en la parte resolutiva de este auto.</w:t>
      </w:r>
    </w:p>
    <w:p w14:paraId="32DB5A99" w14:textId="77777777" w:rsidR="00196199" w:rsidRPr="008C32D5" w:rsidRDefault="00196199" w:rsidP="008C32D5">
      <w:pPr>
        <w:spacing w:line="276" w:lineRule="auto"/>
        <w:rPr>
          <w:sz w:val="24"/>
          <w:szCs w:val="24"/>
        </w:rPr>
      </w:pPr>
    </w:p>
    <w:p w14:paraId="496A2F62" w14:textId="77777777" w:rsidR="000F4D56" w:rsidRPr="008C32D5" w:rsidRDefault="000F4D56" w:rsidP="008C32D5">
      <w:pPr>
        <w:pStyle w:val="Textoindependiente21"/>
        <w:spacing w:after="0" w:line="276" w:lineRule="auto"/>
        <w:ind w:left="0"/>
        <w:jc w:val="both"/>
        <w:rPr>
          <w:rFonts w:cs="Arial"/>
          <w:sz w:val="24"/>
          <w:szCs w:val="24"/>
        </w:rPr>
      </w:pPr>
      <w:r w:rsidRPr="008C32D5">
        <w:rPr>
          <w:rFonts w:cs="Arial"/>
          <w:sz w:val="24"/>
          <w:szCs w:val="24"/>
          <w:lang w:val="es-CO"/>
        </w:rPr>
        <w:t xml:space="preserve">Por lo expuesto, este Despacho, en uso de sus facultades constitucionales y legales, </w:t>
      </w:r>
    </w:p>
    <w:p w14:paraId="1235038D" w14:textId="77777777" w:rsidR="00235DF0" w:rsidRPr="008C32D5" w:rsidRDefault="00235DF0" w:rsidP="008C32D5">
      <w:pPr>
        <w:pStyle w:val="Textoindependiente21"/>
        <w:spacing w:after="0" w:line="276" w:lineRule="auto"/>
        <w:ind w:left="0"/>
        <w:jc w:val="both"/>
        <w:rPr>
          <w:rFonts w:cs="Arial"/>
          <w:sz w:val="24"/>
          <w:szCs w:val="24"/>
        </w:rPr>
      </w:pPr>
    </w:p>
    <w:p w14:paraId="1F4F10E0" w14:textId="25702CC0" w:rsidR="00D15183" w:rsidRPr="008C32D5" w:rsidRDefault="00D15183" w:rsidP="008C32D5">
      <w:pPr>
        <w:pStyle w:val="Textoindependiente21"/>
        <w:spacing w:after="0" w:line="276" w:lineRule="auto"/>
        <w:ind w:left="0"/>
        <w:jc w:val="center"/>
        <w:rPr>
          <w:rFonts w:cs="Arial"/>
          <w:b/>
          <w:sz w:val="24"/>
          <w:szCs w:val="24"/>
        </w:rPr>
      </w:pPr>
      <w:r w:rsidRPr="008C32D5">
        <w:rPr>
          <w:rFonts w:cs="Arial"/>
          <w:b/>
          <w:sz w:val="24"/>
          <w:szCs w:val="24"/>
        </w:rPr>
        <w:t>RESUELVE</w:t>
      </w:r>
    </w:p>
    <w:p w14:paraId="37472855" w14:textId="77777777" w:rsidR="00D15183" w:rsidRPr="008C32D5" w:rsidRDefault="00D15183" w:rsidP="008C32D5">
      <w:pPr>
        <w:pStyle w:val="Textoindependiente21"/>
        <w:spacing w:after="0" w:line="276" w:lineRule="auto"/>
        <w:ind w:left="0"/>
        <w:jc w:val="both"/>
        <w:rPr>
          <w:rFonts w:cs="Arial"/>
          <w:sz w:val="24"/>
          <w:szCs w:val="24"/>
          <w:highlight w:val="yellow"/>
        </w:rPr>
      </w:pPr>
    </w:p>
    <w:p w14:paraId="369C545D" w14:textId="2B387252" w:rsidR="00EA2AD9" w:rsidRPr="008C32D5" w:rsidRDefault="0016356A" w:rsidP="008C32D5">
      <w:pPr>
        <w:pStyle w:val="Prrafodelista"/>
        <w:numPr>
          <w:ilvl w:val="0"/>
          <w:numId w:val="13"/>
        </w:numPr>
        <w:spacing w:line="276" w:lineRule="auto"/>
        <w:ind w:left="0" w:firstLine="0"/>
        <w:rPr>
          <w:sz w:val="24"/>
          <w:szCs w:val="24"/>
        </w:rPr>
      </w:pPr>
      <w:r>
        <w:rPr>
          <w:b/>
          <w:sz w:val="24"/>
          <w:szCs w:val="24"/>
        </w:rPr>
        <w:t>REQUERIR</w:t>
      </w:r>
      <w:r w:rsidR="00D15183" w:rsidRPr="008C32D5">
        <w:rPr>
          <w:sz w:val="24"/>
          <w:szCs w:val="24"/>
        </w:rPr>
        <w:t xml:space="preserve"> </w:t>
      </w:r>
      <w:r>
        <w:rPr>
          <w:sz w:val="24"/>
          <w:szCs w:val="24"/>
        </w:rPr>
        <w:t>por última vez</w:t>
      </w:r>
      <w:r w:rsidR="00F12E7C" w:rsidRPr="008C32D5">
        <w:rPr>
          <w:sz w:val="24"/>
          <w:szCs w:val="24"/>
        </w:rPr>
        <w:t xml:space="preserve"> a la Dirección Seccional de Administración Judicial de Bogotá y la Dirección Ejecutiva de Administración Judicial, dependencias integrantes del Co</w:t>
      </w:r>
      <w:r>
        <w:rPr>
          <w:sz w:val="24"/>
          <w:szCs w:val="24"/>
        </w:rPr>
        <w:t>nsejo Superior de la Judicatura, con el fin de que rindan el informe dispuesto en el artículo 20 del Decreto 2591 de 1991.</w:t>
      </w:r>
    </w:p>
    <w:p w14:paraId="247FD9B7" w14:textId="77777777" w:rsidR="00A0517A" w:rsidRPr="008C32D5" w:rsidRDefault="00A0517A" w:rsidP="008C32D5">
      <w:pPr>
        <w:pStyle w:val="Prrafodelista"/>
        <w:spacing w:line="276" w:lineRule="auto"/>
        <w:ind w:left="0"/>
        <w:rPr>
          <w:sz w:val="24"/>
          <w:szCs w:val="24"/>
        </w:rPr>
      </w:pPr>
    </w:p>
    <w:p w14:paraId="13CBF1F6" w14:textId="3F34A29F" w:rsidR="00EA2AD9" w:rsidRPr="008C32D5" w:rsidRDefault="00D15183" w:rsidP="008C32D5">
      <w:pPr>
        <w:pStyle w:val="Prrafodelista"/>
        <w:numPr>
          <w:ilvl w:val="0"/>
          <w:numId w:val="13"/>
        </w:numPr>
        <w:spacing w:line="276" w:lineRule="auto"/>
        <w:ind w:left="0" w:firstLine="0"/>
        <w:rPr>
          <w:sz w:val="24"/>
          <w:szCs w:val="24"/>
        </w:rPr>
      </w:pPr>
      <w:r w:rsidRPr="008C32D5">
        <w:rPr>
          <w:b/>
          <w:sz w:val="24"/>
          <w:szCs w:val="24"/>
        </w:rPr>
        <w:t>ORDENAR</w:t>
      </w:r>
      <w:r w:rsidRPr="008C32D5">
        <w:rPr>
          <w:sz w:val="24"/>
          <w:szCs w:val="24"/>
        </w:rPr>
        <w:t xml:space="preserve"> que, por conducto de la Secretaría General de esta Corporación, se notifique el presente proveído a las </w:t>
      </w:r>
      <w:r w:rsidR="00F12E7C" w:rsidRPr="008C32D5">
        <w:rPr>
          <w:sz w:val="24"/>
          <w:szCs w:val="24"/>
        </w:rPr>
        <w:t>vinculadas</w:t>
      </w:r>
      <w:r w:rsidRPr="008C32D5">
        <w:rPr>
          <w:sz w:val="24"/>
          <w:szCs w:val="24"/>
        </w:rPr>
        <w:t xml:space="preserve"> de la forma más expedita posible. Además, esta providencia deberá ser publicada en las páginas web del Consejo de Estado y la Rama Judicial.</w:t>
      </w:r>
    </w:p>
    <w:p w14:paraId="6B22229A" w14:textId="77777777" w:rsidR="00CC4776" w:rsidRPr="008C32D5" w:rsidRDefault="00CC4776" w:rsidP="008C32D5">
      <w:pPr>
        <w:pStyle w:val="Prrafodelista"/>
        <w:spacing w:line="276" w:lineRule="auto"/>
        <w:ind w:left="0"/>
        <w:rPr>
          <w:sz w:val="24"/>
          <w:szCs w:val="24"/>
        </w:rPr>
      </w:pPr>
    </w:p>
    <w:p w14:paraId="3262F746" w14:textId="0CEA3F1F" w:rsidR="00EA2AD9" w:rsidRPr="008C32D5" w:rsidRDefault="00D15183" w:rsidP="008C32D5">
      <w:pPr>
        <w:pStyle w:val="Prrafodelista"/>
        <w:spacing w:line="276" w:lineRule="auto"/>
        <w:ind w:left="0"/>
        <w:rPr>
          <w:sz w:val="24"/>
          <w:szCs w:val="24"/>
        </w:rPr>
      </w:pPr>
      <w:r w:rsidRPr="008C32D5">
        <w:rPr>
          <w:sz w:val="24"/>
          <w:szCs w:val="24"/>
        </w:rPr>
        <w:t xml:space="preserve">La Secretaría General </w:t>
      </w:r>
      <w:r w:rsidRPr="008C32D5">
        <w:rPr>
          <w:b/>
          <w:sz w:val="24"/>
          <w:szCs w:val="24"/>
        </w:rPr>
        <w:t>solamente devolverá</w:t>
      </w:r>
      <w:r w:rsidRPr="008C32D5">
        <w:rPr>
          <w:sz w:val="24"/>
          <w:szCs w:val="24"/>
        </w:rPr>
        <w:t xml:space="preserve"> el expediente al Despacho, una vez se haya efectivamente notificado a los sujetos procesales</w:t>
      </w:r>
      <w:r w:rsidR="00B36DB4" w:rsidRPr="008C32D5">
        <w:rPr>
          <w:sz w:val="24"/>
          <w:szCs w:val="24"/>
        </w:rPr>
        <w:t xml:space="preserve"> vinculados a este trámite</w:t>
      </w:r>
      <w:r w:rsidRPr="008C32D5">
        <w:rPr>
          <w:sz w:val="24"/>
          <w:szCs w:val="24"/>
        </w:rPr>
        <w:t>.</w:t>
      </w:r>
    </w:p>
    <w:p w14:paraId="19B51438" w14:textId="77777777" w:rsidR="00EA2AD9" w:rsidRPr="008C32D5" w:rsidRDefault="00EA2AD9" w:rsidP="008C32D5">
      <w:pPr>
        <w:spacing w:line="276" w:lineRule="auto"/>
        <w:rPr>
          <w:b/>
          <w:color w:val="000000"/>
          <w:sz w:val="24"/>
          <w:szCs w:val="24"/>
        </w:rPr>
      </w:pPr>
    </w:p>
    <w:p w14:paraId="30D849F4" w14:textId="7F2AA68A" w:rsidR="00EA2AD9" w:rsidRPr="008C32D5" w:rsidRDefault="00D15183" w:rsidP="008C32D5">
      <w:pPr>
        <w:pStyle w:val="Prrafodelista"/>
        <w:numPr>
          <w:ilvl w:val="0"/>
          <w:numId w:val="13"/>
        </w:numPr>
        <w:spacing w:line="276" w:lineRule="auto"/>
        <w:ind w:left="0" w:firstLine="0"/>
        <w:rPr>
          <w:sz w:val="24"/>
          <w:szCs w:val="24"/>
        </w:rPr>
      </w:pPr>
      <w:r w:rsidRPr="7CAAD142">
        <w:rPr>
          <w:b/>
          <w:bCs/>
          <w:color w:val="000000" w:themeColor="text1"/>
          <w:sz w:val="24"/>
          <w:szCs w:val="24"/>
        </w:rPr>
        <w:t xml:space="preserve">COMUNICAR </w:t>
      </w:r>
      <w:r w:rsidRPr="7CAAD142">
        <w:rPr>
          <w:color w:val="000000" w:themeColor="text1"/>
          <w:sz w:val="24"/>
          <w:szCs w:val="24"/>
        </w:rPr>
        <w:t xml:space="preserve">a </w:t>
      </w:r>
      <w:r w:rsidR="00BB22FB" w:rsidRPr="7CAAD142">
        <w:rPr>
          <w:color w:val="000000" w:themeColor="text1"/>
          <w:sz w:val="24"/>
          <w:szCs w:val="24"/>
        </w:rPr>
        <w:t xml:space="preserve">las dependencias </w:t>
      </w:r>
      <w:r w:rsidR="0016356A" w:rsidRPr="7CAAD142">
        <w:rPr>
          <w:color w:val="000000" w:themeColor="text1"/>
          <w:sz w:val="24"/>
          <w:szCs w:val="24"/>
        </w:rPr>
        <w:t>indicadas en el numeral primero del presente auto que</w:t>
      </w:r>
      <w:r w:rsidR="78EF75E0" w:rsidRPr="7CAAD142">
        <w:rPr>
          <w:color w:val="000000" w:themeColor="text1"/>
          <w:sz w:val="24"/>
          <w:szCs w:val="24"/>
        </w:rPr>
        <w:t xml:space="preserve"> </w:t>
      </w:r>
      <w:r w:rsidR="0016356A" w:rsidRPr="7CAAD142">
        <w:rPr>
          <w:color w:val="000000" w:themeColor="text1"/>
          <w:sz w:val="24"/>
          <w:szCs w:val="24"/>
        </w:rPr>
        <w:t>de no cumplirse la orden allí precisada, se dictará fallo en el que se aplique a la presente acción los efectos y consecuencias de la presunción de veracidad, según lo dispuesto en el artículo 20 del Decreto 2591 de 1991.</w:t>
      </w:r>
    </w:p>
    <w:p w14:paraId="38C96758" w14:textId="77777777" w:rsidR="00B025D3" w:rsidRPr="008C32D5" w:rsidRDefault="00B025D3" w:rsidP="008C32D5">
      <w:pPr>
        <w:spacing w:line="276" w:lineRule="auto"/>
        <w:rPr>
          <w:sz w:val="24"/>
          <w:szCs w:val="24"/>
        </w:rPr>
      </w:pPr>
    </w:p>
    <w:p w14:paraId="3E16BD96" w14:textId="4274B2C8" w:rsidR="000E3941" w:rsidRPr="008C32D5" w:rsidRDefault="000E3941" w:rsidP="008C32D5">
      <w:pPr>
        <w:pStyle w:val="Prrafodelista"/>
        <w:numPr>
          <w:ilvl w:val="0"/>
          <w:numId w:val="13"/>
        </w:numPr>
        <w:spacing w:line="276" w:lineRule="auto"/>
        <w:ind w:left="0" w:firstLine="0"/>
        <w:rPr>
          <w:sz w:val="24"/>
          <w:szCs w:val="24"/>
        </w:rPr>
      </w:pPr>
      <w:r w:rsidRPr="008C32D5">
        <w:rPr>
          <w:b/>
          <w:sz w:val="24"/>
          <w:szCs w:val="24"/>
        </w:rPr>
        <w:t>SUSPENDER</w:t>
      </w:r>
      <w:r w:rsidRPr="008C32D5">
        <w:rPr>
          <w:sz w:val="24"/>
          <w:szCs w:val="24"/>
        </w:rPr>
        <w:t xml:space="preserve"> </w:t>
      </w:r>
      <w:r w:rsidRPr="008C32D5">
        <w:rPr>
          <w:sz w:val="24"/>
          <w:szCs w:val="24"/>
          <w:lang w:val="es-ES"/>
        </w:rPr>
        <w:t>los términos de la presente acción constitucional hasta tanto se dé cumplimiento a las órdenes impartidas en esta providencia y el expediente regrese al Despacho desde la Secretaría General.</w:t>
      </w:r>
    </w:p>
    <w:p w14:paraId="2A6C8FB0" w14:textId="77777777" w:rsidR="000E3941" w:rsidRPr="008C32D5" w:rsidRDefault="000E3941" w:rsidP="008C32D5">
      <w:pPr>
        <w:pStyle w:val="Textoindependiente21"/>
        <w:spacing w:after="0" w:line="276" w:lineRule="auto"/>
        <w:ind w:left="0"/>
        <w:jc w:val="both"/>
        <w:rPr>
          <w:rFonts w:cs="Arial"/>
          <w:sz w:val="24"/>
          <w:szCs w:val="24"/>
          <w:lang w:val="es-CO"/>
        </w:rPr>
      </w:pPr>
    </w:p>
    <w:p w14:paraId="4DD10BC6" w14:textId="1ACE478F" w:rsidR="00211F0C" w:rsidRPr="008C32D5" w:rsidRDefault="00041C53" w:rsidP="008C32D5">
      <w:pPr>
        <w:pStyle w:val="Textoindependiente21"/>
        <w:spacing w:after="0" w:line="276" w:lineRule="auto"/>
        <w:ind w:left="0"/>
        <w:jc w:val="center"/>
        <w:rPr>
          <w:rFonts w:cs="Arial"/>
          <w:sz w:val="24"/>
          <w:szCs w:val="24"/>
        </w:rPr>
      </w:pPr>
      <w:r w:rsidRPr="008C32D5">
        <w:rPr>
          <w:rFonts w:cs="Arial"/>
          <w:b/>
          <w:sz w:val="24"/>
          <w:szCs w:val="24"/>
        </w:rPr>
        <w:t>NOTIFÍQUESE Y CÚMPLASE</w:t>
      </w:r>
    </w:p>
    <w:p w14:paraId="66F0C6BF" w14:textId="17DE6908" w:rsidR="00EE0F80" w:rsidRDefault="00EE0F80" w:rsidP="008C32D5">
      <w:pPr>
        <w:pStyle w:val="Textoindependiente21"/>
        <w:spacing w:after="0" w:line="276" w:lineRule="auto"/>
        <w:ind w:left="0"/>
        <w:jc w:val="center"/>
        <w:rPr>
          <w:rFonts w:cs="Arial"/>
          <w:b/>
          <w:sz w:val="24"/>
          <w:szCs w:val="24"/>
        </w:rPr>
      </w:pPr>
    </w:p>
    <w:p w14:paraId="3B2FA152" w14:textId="77777777" w:rsidR="00EB399B" w:rsidRDefault="00EB399B" w:rsidP="008C32D5">
      <w:pPr>
        <w:pStyle w:val="Textoindependiente21"/>
        <w:spacing w:after="0" w:line="276" w:lineRule="auto"/>
        <w:ind w:left="0"/>
        <w:jc w:val="center"/>
        <w:rPr>
          <w:rFonts w:cs="Arial"/>
          <w:b/>
          <w:sz w:val="24"/>
          <w:szCs w:val="24"/>
        </w:rPr>
      </w:pPr>
    </w:p>
    <w:p w14:paraId="4A700C35" w14:textId="77777777" w:rsidR="001E2FBA" w:rsidRPr="008C32D5" w:rsidRDefault="001E2FBA" w:rsidP="008C32D5">
      <w:pPr>
        <w:pStyle w:val="Textoindependiente21"/>
        <w:spacing w:after="0" w:line="276" w:lineRule="auto"/>
        <w:ind w:left="0"/>
        <w:jc w:val="center"/>
        <w:rPr>
          <w:rFonts w:cs="Arial"/>
          <w:b/>
          <w:sz w:val="24"/>
          <w:szCs w:val="24"/>
        </w:rPr>
      </w:pPr>
    </w:p>
    <w:p w14:paraId="6CB4D1A4" w14:textId="77777777" w:rsidR="00211F0C" w:rsidRPr="008C32D5" w:rsidRDefault="00211F0C" w:rsidP="008C32D5">
      <w:pPr>
        <w:pStyle w:val="Textoindependiente21"/>
        <w:spacing w:after="0" w:line="276" w:lineRule="auto"/>
        <w:ind w:left="0"/>
        <w:jc w:val="center"/>
        <w:rPr>
          <w:rFonts w:cs="Arial"/>
          <w:b/>
          <w:sz w:val="24"/>
          <w:szCs w:val="24"/>
        </w:rPr>
      </w:pPr>
      <w:r w:rsidRPr="008C32D5">
        <w:rPr>
          <w:rFonts w:cs="Arial"/>
          <w:b/>
          <w:sz w:val="24"/>
          <w:szCs w:val="24"/>
        </w:rPr>
        <w:t>JAIME ENRIQUE RODRÍGUEZ NAVAS</w:t>
      </w:r>
    </w:p>
    <w:p w14:paraId="6FDB5FF6" w14:textId="77777777" w:rsidR="004849BB" w:rsidRPr="008C32D5" w:rsidRDefault="00211F0C" w:rsidP="008C32D5">
      <w:pPr>
        <w:pStyle w:val="Textoindependiente21"/>
        <w:spacing w:after="0" w:line="276" w:lineRule="auto"/>
        <w:ind w:left="0"/>
        <w:jc w:val="center"/>
        <w:rPr>
          <w:rFonts w:cs="Arial"/>
          <w:sz w:val="24"/>
          <w:szCs w:val="24"/>
        </w:rPr>
      </w:pPr>
      <w:r w:rsidRPr="008C32D5">
        <w:rPr>
          <w:rFonts w:cs="Arial"/>
          <w:b/>
          <w:sz w:val="24"/>
          <w:szCs w:val="24"/>
        </w:rPr>
        <w:t>Magistrado</w:t>
      </w:r>
    </w:p>
    <w:sectPr w:rsidR="004849BB" w:rsidRPr="008C32D5" w:rsidSect="006D1B50">
      <w:headerReference w:type="even" r:id="rId12"/>
      <w:headerReference w:type="default" r:id="rId13"/>
      <w:footerReference w:type="even" r:id="rId14"/>
      <w:footerReference w:type="default" r:id="rId15"/>
      <w:headerReference w:type="first" r:id="rId16"/>
      <w:footerReference w:type="first" r:id="rId17"/>
      <w:pgSz w:w="12242" w:h="18722" w:code="119"/>
      <w:pgMar w:top="2552" w:right="1418" w:bottom="1985" w:left="1701" w:header="709" w:footer="970" w:gutter="0"/>
      <w:pgNumType w:start="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B444D" w14:textId="77777777" w:rsidR="00D63052" w:rsidRDefault="00D63052" w:rsidP="00117091">
      <w:r>
        <w:separator/>
      </w:r>
    </w:p>
  </w:endnote>
  <w:endnote w:type="continuationSeparator" w:id="0">
    <w:p w14:paraId="779B255E" w14:textId="77777777" w:rsidR="00D63052" w:rsidRDefault="00D63052"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26FE8" w14:textId="77777777" w:rsidR="005E6CC3" w:rsidRDefault="005E6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8C48A" w14:textId="77777777" w:rsidR="001E2FBA" w:rsidRDefault="001E2FBA" w:rsidP="001E2FBA">
    <w:pPr>
      <w:pStyle w:val="Encabezado"/>
      <w:jc w:val="center"/>
      <w:rPr>
        <w:color w:val="767171"/>
        <w:sz w:val="20"/>
        <w:szCs w:val="20"/>
      </w:rPr>
    </w:pPr>
    <w:r w:rsidRPr="00A21194">
      <w:rPr>
        <w:color w:val="767171"/>
        <w:sz w:val="20"/>
        <w:szCs w:val="20"/>
      </w:rPr>
      <w:t>Calle 12 No. 7-65 – Tel: (57-1) 350-6700 – Bogotá D.C. – Colombia</w:t>
    </w:r>
  </w:p>
  <w:p w14:paraId="044527C1" w14:textId="52F8C4F6" w:rsidR="005246BA" w:rsidRDefault="001E2FBA" w:rsidP="001E2FBA">
    <w:pPr>
      <w:pStyle w:val="Piedepgina"/>
      <w:jc w:val="center"/>
    </w:pPr>
    <w:r w:rsidRPr="00A21194">
      <w:rPr>
        <w:color w:val="767171"/>
        <w:sz w:val="20"/>
        <w:szCs w:val="20"/>
      </w:rPr>
      <w:t>www.consejodeestado.gov.co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6B0D8" w14:textId="77777777" w:rsidR="001E2FBA" w:rsidRPr="001E2FBA" w:rsidRDefault="001E2FBA" w:rsidP="001E2FBA">
    <w:pPr>
      <w:tabs>
        <w:tab w:val="center" w:pos="4252"/>
        <w:tab w:val="right" w:pos="8504"/>
      </w:tabs>
      <w:jc w:val="center"/>
      <w:rPr>
        <w:color w:val="767171"/>
        <w:sz w:val="20"/>
        <w:szCs w:val="20"/>
      </w:rPr>
    </w:pPr>
    <w:r w:rsidRPr="001E2FBA">
      <w:rPr>
        <w:color w:val="767171"/>
        <w:sz w:val="20"/>
        <w:szCs w:val="20"/>
      </w:rPr>
      <w:t>Calle 12 No. 7-65 – Tel: (57-1) 350-6700 – Bogotá D.C. – Colombia</w:t>
    </w:r>
  </w:p>
  <w:p w14:paraId="5CC0FDFD" w14:textId="368B0E02" w:rsidR="00F91B32" w:rsidRPr="005246BA" w:rsidRDefault="001E2FBA" w:rsidP="001E2FBA">
    <w:pPr>
      <w:pStyle w:val="Piedepgina"/>
      <w:tabs>
        <w:tab w:val="clear" w:pos="4252"/>
        <w:tab w:val="clear" w:pos="8504"/>
      </w:tabs>
      <w:jc w:val="center"/>
    </w:pPr>
    <w:r w:rsidRPr="001E2FBA">
      <w:rPr>
        <w:color w:val="767171"/>
        <w:sz w:val="20"/>
        <w:szCs w:val="20"/>
      </w:rPr>
      <w:t>www.consejodeestado.gov.co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CBBB88" w14:textId="77777777" w:rsidR="00D63052" w:rsidRDefault="00D63052" w:rsidP="00117091">
      <w:r>
        <w:separator/>
      </w:r>
    </w:p>
  </w:footnote>
  <w:footnote w:type="continuationSeparator" w:id="0">
    <w:p w14:paraId="0D55FAEC" w14:textId="77777777" w:rsidR="00D63052" w:rsidRDefault="00D63052" w:rsidP="00117091">
      <w:r>
        <w:continuationSeparator/>
      </w:r>
    </w:p>
  </w:footnote>
  <w:footnote w:id="1">
    <w:p w14:paraId="22F62EC8" w14:textId="0034D422" w:rsidR="003425A9" w:rsidRPr="003425A9" w:rsidRDefault="003425A9">
      <w:pPr>
        <w:pStyle w:val="Textonotapie"/>
      </w:pPr>
      <w:r>
        <w:rPr>
          <w:rStyle w:val="Refdenotaalpie"/>
        </w:rPr>
        <w:footnoteRef/>
      </w:r>
      <w:r>
        <w:t xml:space="preserve"> </w:t>
      </w:r>
      <w:r w:rsidRPr="003425A9">
        <w:t>Ver, archiv</w:t>
      </w:r>
      <w:r>
        <w:t>o</w:t>
      </w:r>
      <w:r w:rsidRPr="003425A9">
        <w:t xml:space="preserve"> con certificado </w:t>
      </w:r>
      <w:r w:rsidR="008C6A06" w:rsidRPr="008C6A06">
        <w:t>48F684AE34CC0961 990886A60A09F4F6 31D41F1035B3201D 7BA23A992C62C83A</w:t>
      </w:r>
      <w:r>
        <w:t>.</w:t>
      </w:r>
    </w:p>
  </w:footnote>
  <w:footnote w:id="2">
    <w:p w14:paraId="4ED2B1A5" w14:textId="08E14EAE" w:rsidR="00B62F45" w:rsidRPr="00F77BC5" w:rsidRDefault="00B62F45" w:rsidP="00B62F45">
      <w:pPr>
        <w:pStyle w:val="Textonotapie"/>
      </w:pPr>
      <w:bookmarkStart w:id="0" w:name="_GoBack"/>
      <w:bookmarkEnd w:id="0"/>
      <w:r w:rsidRPr="00F77BC5">
        <w:rPr>
          <w:rStyle w:val="Refdenotaalpie"/>
          <w:szCs w:val="16"/>
        </w:rPr>
        <w:footnoteRef/>
      </w:r>
      <w:r w:rsidRPr="00F77BC5">
        <w:t xml:space="preserve"> Ver, archivo con certificado </w:t>
      </w:r>
      <w:r w:rsidR="005F519E" w:rsidRPr="005F519E">
        <w:t>99A8B9663499BBA2 9870B0A86D7D3D0E F5187414F95A51E7 D7A1D90A26DDE34C</w:t>
      </w:r>
      <w:r w:rsidRPr="00F77BC5">
        <w:t>.</w:t>
      </w:r>
    </w:p>
  </w:footnote>
  <w:footnote w:id="3">
    <w:p w14:paraId="61E3863F" w14:textId="5C7D2700" w:rsidR="002A4A3B" w:rsidRPr="002A4A3B" w:rsidRDefault="002A4A3B">
      <w:pPr>
        <w:pStyle w:val="Textonotapie"/>
      </w:pPr>
      <w:r>
        <w:rPr>
          <w:rStyle w:val="Refdenotaalpie"/>
        </w:rPr>
        <w:footnoteRef/>
      </w:r>
      <w:r>
        <w:t xml:space="preserve"> </w:t>
      </w:r>
      <w:r w:rsidRPr="002A4A3B">
        <w:t>Ver, archivo con certificado FDFCBDC6C7FDD81A E456512B690203BE B4C2871468D04741 96CECA3516EC2401</w:t>
      </w:r>
      <w:r>
        <w:t>.</w:t>
      </w:r>
    </w:p>
  </w:footnote>
  <w:footnote w:id="4">
    <w:p w14:paraId="732A864B" w14:textId="792D0EA5" w:rsidR="007F0669" w:rsidRDefault="007F0669">
      <w:pPr>
        <w:pStyle w:val="Textonotapie"/>
      </w:pPr>
      <w:r>
        <w:rPr>
          <w:rStyle w:val="Refdenotaalpie"/>
        </w:rPr>
        <w:footnoteRef/>
      </w:r>
      <w:r>
        <w:t xml:space="preserve"> Ver, archivo con certificado </w:t>
      </w:r>
      <w:r w:rsidRPr="007F0669">
        <w:t>569637B248966383 73CAE8D37C12F030 64</w:t>
      </w:r>
      <w:r>
        <w:t>80F94026672938 D08A250450C04B6F.</w:t>
      </w:r>
    </w:p>
  </w:footnote>
  <w:footnote w:id="5">
    <w:p w14:paraId="76AA2D7A" w14:textId="40CCF9A9" w:rsidR="009C01CE" w:rsidRDefault="009C01CE">
      <w:pPr>
        <w:pStyle w:val="Textonotapie"/>
      </w:pPr>
      <w:r>
        <w:rPr>
          <w:rStyle w:val="Refdenotaalpie"/>
        </w:rPr>
        <w:footnoteRef/>
      </w:r>
      <w:r w:rsidR="518B99AB">
        <w:t xml:space="preserve"> Ver, archivo con certificado </w:t>
      </w:r>
      <w:r w:rsidR="518B99AB" w:rsidRPr="009C01CE">
        <w:t>E0A14D6EBAE2E810 A05AA269115EFD28 506DA9F7649D56A9 2462E83393D567D0</w:t>
      </w:r>
      <w:r w:rsidR="518B99AB">
        <w:t>.</w:t>
      </w:r>
    </w:p>
  </w:footnote>
  <w:footnote w:id="6">
    <w:p w14:paraId="49A7F5F8" w14:textId="782AA5D0" w:rsidR="00705D73" w:rsidRDefault="00705D73">
      <w:pPr>
        <w:pStyle w:val="Textonotapie"/>
      </w:pPr>
      <w:r>
        <w:rPr>
          <w:rStyle w:val="Refdenotaalpie"/>
        </w:rPr>
        <w:footnoteRef/>
      </w:r>
      <w:r>
        <w:t xml:space="preserve"> Ver, archivos con certificados </w:t>
      </w:r>
      <w:r w:rsidRPr="00705D73">
        <w:t>B0FB6C7EF1447C7A C3EA99DB56CE6DE1 29229F87FABF734B 7CE4926BCE4E11A2</w:t>
      </w:r>
      <w:r>
        <w:t xml:space="preserve"> y </w:t>
      </w:r>
      <w:r w:rsidRPr="00705D73">
        <w:t>7D4C38D8C181B60F 6E7C42A4644DDD0B 638215F01BE19869 231C54AB09C8B4F3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6B6F8" w14:textId="77777777" w:rsidR="005E6CC3" w:rsidRDefault="005E6C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5304763"/>
      <w:docPartObj>
        <w:docPartGallery w:val="Page Numbers (Top of Page)"/>
        <w:docPartUnique/>
      </w:docPartObj>
    </w:sdtPr>
    <w:sdtEndPr>
      <w:rPr>
        <w:noProof/>
        <w:sz w:val="24"/>
        <w:szCs w:val="24"/>
      </w:rPr>
    </w:sdtEndPr>
    <w:sdtContent>
      <w:p w14:paraId="5BFF3C34" w14:textId="76FD38EB" w:rsidR="005246BA" w:rsidRPr="005246BA" w:rsidRDefault="001E2FBA" w:rsidP="001E2FBA">
        <w:pPr>
          <w:pStyle w:val="Encabezado"/>
          <w:tabs>
            <w:tab w:val="clear" w:pos="4252"/>
            <w:tab w:val="clear" w:pos="8504"/>
          </w:tabs>
          <w:jc w:val="right"/>
          <w:rPr>
            <w:sz w:val="24"/>
            <w:szCs w:val="24"/>
          </w:rPr>
        </w:pPr>
        <w:r w:rsidRPr="001E2FBA">
          <w:rPr>
            <w:noProof/>
            <w:sz w:val="28"/>
            <w:szCs w:val="28"/>
            <w:lang w:eastAsia="es-CO"/>
          </w:rPr>
          <w:drawing>
            <wp:anchor distT="0" distB="0" distL="114300" distR="114300" simplePos="0" relativeHeight="251664384" behindDoc="0" locked="0" layoutInCell="1" allowOverlap="1" wp14:anchorId="2E9B2822" wp14:editId="149502BF">
              <wp:simplePos x="0" y="0"/>
              <wp:positionH relativeFrom="column">
                <wp:posOffset>-474980</wp:posOffset>
              </wp:positionH>
              <wp:positionV relativeFrom="paragraph">
                <wp:posOffset>3175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51A5D6EA" w14:textId="3E028B23" w:rsidR="001E2FBA" w:rsidRPr="001E2FBA" w:rsidRDefault="001E2FBA" w:rsidP="001E2FBA">
    <w:pPr>
      <w:jc w:val="right"/>
      <w:rPr>
        <w:sz w:val="24"/>
        <w:szCs w:val="24"/>
      </w:rPr>
    </w:pPr>
  </w:p>
  <w:p w14:paraId="6232A5FF" w14:textId="77777777" w:rsidR="001E2FBA" w:rsidRPr="001E2FBA" w:rsidRDefault="001E2FBA" w:rsidP="001E2FBA">
    <w:r w:rsidRPr="001E2FBA">
      <w:rPr>
        <w:noProof/>
        <w:sz w:val="20"/>
        <w:szCs w:val="20"/>
        <w:lang w:eastAsia="es-CO"/>
      </w:rPr>
      <mc:AlternateContent>
        <mc:Choice Requires="wps">
          <w:drawing>
            <wp:anchor distT="0" distB="0" distL="114300" distR="114300" simplePos="0" relativeHeight="251663360" behindDoc="0" locked="0" layoutInCell="1" allowOverlap="1" wp14:anchorId="1791B375" wp14:editId="4B9E4F91">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4="http://schemas.microsoft.com/office/drawing/2010/main" xmlns:pic="http://schemas.openxmlformats.org/drawingml/2006/picture" xmlns:a="http://schemas.openxmlformats.org/drawingml/2006/main">
          <w:pict>
            <v:shapetype id="_x0000_t32" coordsize="21600,21600" o:oned="t" filled="f" o:spt="32" path="m,l21600,21600e" w14:anchorId="02A6369A">
              <v:path fillok="f" arrowok="t" o:connecttype="none"/>
              <o:lock v:ext="edit" shapetype="t"/>
            </v:shapetype>
            <v:shape id="AutoShape 2" style="position:absolute;margin-left:108.65pt;margin-top:4.75pt;width:425.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4C17236B" w14:textId="3365ED1E" w:rsidR="001E2FBA" w:rsidRPr="001E2FBA" w:rsidRDefault="001E2FBA" w:rsidP="001E2FBA">
    <w:pPr>
      <w:jc w:val="right"/>
      <w:rPr>
        <w:color w:val="767171"/>
        <w:sz w:val="20"/>
        <w:szCs w:val="20"/>
      </w:rPr>
    </w:pPr>
    <w:r w:rsidRPr="001E2FBA">
      <w:rPr>
        <w:color w:val="767171"/>
        <w:sz w:val="20"/>
        <w:szCs w:val="20"/>
      </w:rPr>
      <w:t xml:space="preserve">Radicado: </w:t>
    </w:r>
    <w:r w:rsidR="007146D1" w:rsidRPr="007146D1">
      <w:rPr>
        <w:color w:val="767171"/>
        <w:sz w:val="20"/>
        <w:szCs w:val="20"/>
      </w:rPr>
      <w:t>11001-03-15-000-2021-0</w:t>
    </w:r>
    <w:r w:rsidR="005E6CC3">
      <w:rPr>
        <w:color w:val="767171"/>
        <w:sz w:val="20"/>
        <w:szCs w:val="20"/>
      </w:rPr>
      <w:t>4090</w:t>
    </w:r>
    <w:r w:rsidR="007146D1" w:rsidRPr="007146D1">
      <w:rPr>
        <w:color w:val="767171"/>
        <w:sz w:val="20"/>
        <w:szCs w:val="20"/>
      </w:rPr>
      <w:t>-00</w:t>
    </w:r>
  </w:p>
  <w:p w14:paraId="67DCBAE3" w14:textId="63D7D2BB" w:rsidR="00117091" w:rsidRPr="001E2FBA" w:rsidRDefault="001E2FBA" w:rsidP="001E2FBA">
    <w:pPr>
      <w:jc w:val="right"/>
      <w:rPr>
        <w:color w:val="767171"/>
        <w:sz w:val="20"/>
        <w:szCs w:val="20"/>
      </w:rPr>
    </w:pPr>
    <w:r w:rsidRPr="001E2FBA">
      <w:rPr>
        <w:color w:val="767171"/>
        <w:sz w:val="20"/>
        <w:szCs w:val="20"/>
      </w:rPr>
      <w:tab/>
    </w:r>
    <w:r w:rsidRPr="001E2FBA">
      <w:rPr>
        <w:color w:val="767171"/>
        <w:sz w:val="20"/>
        <w:szCs w:val="20"/>
      </w:rPr>
      <w:tab/>
    </w:r>
    <w:r w:rsidR="007315DB">
      <w:rPr>
        <w:color w:val="767171"/>
        <w:sz w:val="20"/>
        <w:szCs w:val="20"/>
      </w:rPr>
      <w:t>Accionante</w:t>
    </w:r>
    <w:r w:rsidRPr="001E2FBA">
      <w:rPr>
        <w:color w:val="767171"/>
        <w:sz w:val="20"/>
        <w:szCs w:val="20"/>
      </w:rPr>
      <w:t xml:space="preserve">: </w:t>
    </w:r>
    <w:r w:rsidR="005E6CC3">
      <w:rPr>
        <w:color w:val="767171"/>
        <w:sz w:val="20"/>
        <w:szCs w:val="20"/>
      </w:rPr>
      <w:t xml:space="preserve">Industrias </w:t>
    </w:r>
    <w:proofErr w:type="spellStart"/>
    <w:r w:rsidR="005E6CC3">
      <w:rPr>
        <w:color w:val="767171"/>
        <w:sz w:val="20"/>
        <w:szCs w:val="20"/>
      </w:rPr>
      <w:t>Fervar</w:t>
    </w:r>
    <w:proofErr w:type="spellEnd"/>
    <w:r w:rsidR="005E6CC3">
      <w:rPr>
        <w:color w:val="767171"/>
        <w:sz w:val="20"/>
        <w:szCs w:val="20"/>
      </w:rPr>
      <w:t xml:space="preserve"> Ltda.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275835"/>
      <w:docPartObj>
        <w:docPartGallery w:val="Page Numbers (Top of Page)"/>
        <w:docPartUnique/>
      </w:docPartObj>
    </w:sdtPr>
    <w:sdtEndPr>
      <w:rPr>
        <w:noProof/>
      </w:rPr>
    </w:sdtEndPr>
    <w:sdtContent>
      <w:p w14:paraId="7560551A" w14:textId="0DC64663" w:rsidR="005246BA" w:rsidRDefault="005246BA" w:rsidP="001E2FBA">
        <w:pPr>
          <w:pStyle w:val="Encabezado"/>
          <w:tabs>
            <w:tab w:val="clear" w:pos="4252"/>
            <w:tab w:val="clear" w:pos="8504"/>
          </w:tabs>
          <w:jc w:val="right"/>
        </w:pPr>
        <w:r w:rsidRPr="005246BA">
          <w:rPr>
            <w:noProof/>
            <w:lang w:eastAsia="es-CO"/>
          </w:rPr>
          <w:drawing>
            <wp:anchor distT="0" distB="0" distL="114300" distR="114300" simplePos="0" relativeHeight="251661312" behindDoc="0" locked="0" layoutInCell="1" allowOverlap="1" wp14:anchorId="3F6CC620" wp14:editId="4699651B">
              <wp:simplePos x="0" y="0"/>
              <wp:positionH relativeFrom="column">
                <wp:posOffset>-474980</wp:posOffset>
              </wp:positionH>
              <wp:positionV relativeFrom="paragraph">
                <wp:posOffset>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1D347941" w14:textId="4E5E2F26" w:rsidR="005246BA" w:rsidRPr="005246BA" w:rsidRDefault="005246BA" w:rsidP="001E2FBA">
    <w:pPr>
      <w:jc w:val="right"/>
      <w:rPr>
        <w:sz w:val="24"/>
        <w:szCs w:val="24"/>
      </w:rPr>
    </w:pPr>
  </w:p>
  <w:p w14:paraId="3CE96AF9" w14:textId="77777777" w:rsidR="005246BA" w:rsidRPr="005246BA" w:rsidRDefault="005246BA" w:rsidP="001E2FBA">
    <w:pPr>
      <w:spacing w:line="252" w:lineRule="auto"/>
      <w:jc w:val="center"/>
      <w:rPr>
        <w:b/>
        <w:caps/>
        <w:color w:val="000000"/>
        <w:sz w:val="24"/>
      </w:rPr>
    </w:pPr>
    <w:r w:rsidRPr="005246BA">
      <w:rPr>
        <w:b/>
        <w:caps/>
        <w:color w:val="000000"/>
        <w:sz w:val="24"/>
      </w:rPr>
      <w:t>CONSEJO DE ESTADO</w:t>
    </w:r>
  </w:p>
  <w:p w14:paraId="61B99AEA" w14:textId="77777777" w:rsidR="005246BA" w:rsidRPr="005246BA" w:rsidRDefault="005246BA" w:rsidP="001E2FBA">
    <w:pPr>
      <w:spacing w:line="252" w:lineRule="auto"/>
      <w:jc w:val="center"/>
      <w:rPr>
        <w:b/>
        <w:caps/>
        <w:color w:val="000000"/>
        <w:sz w:val="24"/>
      </w:rPr>
    </w:pPr>
    <w:r w:rsidRPr="005246BA">
      <w:rPr>
        <w:b/>
        <w:caps/>
        <w:color w:val="000000"/>
        <w:sz w:val="24"/>
      </w:rPr>
      <w:t>SALA DE LO CONTENCIOSO ADMINISTRATIVO</w:t>
    </w:r>
  </w:p>
  <w:p w14:paraId="4F24CBF6" w14:textId="33F714F3" w:rsidR="00F1441F" w:rsidRPr="005246BA" w:rsidRDefault="005246BA" w:rsidP="001E2FBA">
    <w:pPr>
      <w:spacing w:line="252" w:lineRule="auto"/>
      <w:jc w:val="center"/>
      <w:rPr>
        <w:b/>
        <w:caps/>
        <w:color w:val="000000"/>
        <w:sz w:val="24"/>
      </w:rPr>
    </w:pPr>
    <w:r w:rsidRPr="005246BA">
      <w:rPr>
        <w:b/>
        <w:caps/>
        <w:color w:val="000000"/>
        <w:sz w:val="24"/>
      </w:rPr>
      <w:t>SECCIÓN TERCERA – SUBSECCIÓN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9A846B0"/>
    <w:multiLevelType w:val="hybridMultilevel"/>
    <w:tmpl w:val="1A442C38"/>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374F73"/>
    <w:multiLevelType w:val="hybridMultilevel"/>
    <w:tmpl w:val="2404F872"/>
    <w:lvl w:ilvl="0" w:tplc="CA78E80E">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F366421"/>
    <w:multiLevelType w:val="hybridMultilevel"/>
    <w:tmpl w:val="491E735A"/>
    <w:lvl w:ilvl="0" w:tplc="775EEE8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56C2A"/>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5E871CE3"/>
    <w:multiLevelType w:val="hybridMultilevel"/>
    <w:tmpl w:val="8A7C2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D425D81"/>
    <w:multiLevelType w:val="hybridMultilevel"/>
    <w:tmpl w:val="E2F6B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num>
  <w:num w:numId="6">
    <w:abstractNumId w:val="11"/>
  </w:num>
  <w:num w:numId="7">
    <w:abstractNumId w:val="8"/>
  </w:num>
  <w:num w:numId="8">
    <w:abstractNumId w:val="3"/>
  </w:num>
  <w:num w:numId="9">
    <w:abstractNumId w:val="12"/>
  </w:num>
  <w:num w:numId="10">
    <w:abstractNumId w:val="10"/>
  </w:num>
  <w:num w:numId="11">
    <w:abstractNumId w:val="6"/>
  </w:num>
  <w:num w:numId="12">
    <w:abstractNumId w:val="5"/>
  </w:num>
  <w:num w:numId="13">
    <w:abstractNumId w:val="7"/>
  </w:num>
  <w:num w:numId="1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3587"/>
    <w:rsid w:val="00006D3C"/>
    <w:rsid w:val="000147F6"/>
    <w:rsid w:val="00015A33"/>
    <w:rsid w:val="00015FA6"/>
    <w:rsid w:val="00016A0D"/>
    <w:rsid w:val="00020F1A"/>
    <w:rsid w:val="000245C0"/>
    <w:rsid w:val="0002785D"/>
    <w:rsid w:val="0003199B"/>
    <w:rsid w:val="00037EDA"/>
    <w:rsid w:val="00040C04"/>
    <w:rsid w:val="00041C53"/>
    <w:rsid w:val="00042E3E"/>
    <w:rsid w:val="0007063E"/>
    <w:rsid w:val="000728E0"/>
    <w:rsid w:val="00073869"/>
    <w:rsid w:val="000743C1"/>
    <w:rsid w:val="00082694"/>
    <w:rsid w:val="00083B8F"/>
    <w:rsid w:val="00094E7B"/>
    <w:rsid w:val="000A22DF"/>
    <w:rsid w:val="000A3124"/>
    <w:rsid w:val="000A3CB6"/>
    <w:rsid w:val="000B3102"/>
    <w:rsid w:val="000C151B"/>
    <w:rsid w:val="000C2B43"/>
    <w:rsid w:val="000C39C0"/>
    <w:rsid w:val="000C5DB7"/>
    <w:rsid w:val="000C6A27"/>
    <w:rsid w:val="000C7B4F"/>
    <w:rsid w:val="000D2239"/>
    <w:rsid w:val="000D6F14"/>
    <w:rsid w:val="000E3941"/>
    <w:rsid w:val="000F2816"/>
    <w:rsid w:val="000F4D56"/>
    <w:rsid w:val="000F6324"/>
    <w:rsid w:val="00100930"/>
    <w:rsid w:val="00105541"/>
    <w:rsid w:val="00115865"/>
    <w:rsid w:val="00116E3A"/>
    <w:rsid w:val="00117091"/>
    <w:rsid w:val="001314F6"/>
    <w:rsid w:val="00133F91"/>
    <w:rsid w:val="00134351"/>
    <w:rsid w:val="00136349"/>
    <w:rsid w:val="001371FA"/>
    <w:rsid w:val="00141725"/>
    <w:rsid w:val="0014485E"/>
    <w:rsid w:val="00145765"/>
    <w:rsid w:val="00155E78"/>
    <w:rsid w:val="00160146"/>
    <w:rsid w:val="0016356A"/>
    <w:rsid w:val="00166AF6"/>
    <w:rsid w:val="00172467"/>
    <w:rsid w:val="00192CF0"/>
    <w:rsid w:val="00195FFB"/>
    <w:rsid w:val="00196199"/>
    <w:rsid w:val="001C074E"/>
    <w:rsid w:val="001C3C1F"/>
    <w:rsid w:val="001D291E"/>
    <w:rsid w:val="001D4E62"/>
    <w:rsid w:val="001D5050"/>
    <w:rsid w:val="001E087B"/>
    <w:rsid w:val="001E2FBA"/>
    <w:rsid w:val="001F31AE"/>
    <w:rsid w:val="001F52D2"/>
    <w:rsid w:val="001F5C55"/>
    <w:rsid w:val="00201EC3"/>
    <w:rsid w:val="0020574F"/>
    <w:rsid w:val="00211F0C"/>
    <w:rsid w:val="00220D35"/>
    <w:rsid w:val="002230E3"/>
    <w:rsid w:val="00224519"/>
    <w:rsid w:val="002248FD"/>
    <w:rsid w:val="00230E88"/>
    <w:rsid w:val="0023508E"/>
    <w:rsid w:val="00235DF0"/>
    <w:rsid w:val="00244669"/>
    <w:rsid w:val="00246239"/>
    <w:rsid w:val="002476F7"/>
    <w:rsid w:val="002559BC"/>
    <w:rsid w:val="0026436E"/>
    <w:rsid w:val="00281874"/>
    <w:rsid w:val="0028665C"/>
    <w:rsid w:val="00286F87"/>
    <w:rsid w:val="00293EAE"/>
    <w:rsid w:val="002A4A3B"/>
    <w:rsid w:val="002A4ED9"/>
    <w:rsid w:val="002B0D72"/>
    <w:rsid w:val="002B6BE2"/>
    <w:rsid w:val="002C12BC"/>
    <w:rsid w:val="002C2DC6"/>
    <w:rsid w:val="002C4246"/>
    <w:rsid w:val="002D480B"/>
    <w:rsid w:val="002E1978"/>
    <w:rsid w:val="002F54E0"/>
    <w:rsid w:val="003104E4"/>
    <w:rsid w:val="0031514A"/>
    <w:rsid w:val="00335297"/>
    <w:rsid w:val="003425A9"/>
    <w:rsid w:val="003425E3"/>
    <w:rsid w:val="00360658"/>
    <w:rsid w:val="00361478"/>
    <w:rsid w:val="00371ABD"/>
    <w:rsid w:val="00374674"/>
    <w:rsid w:val="003769AA"/>
    <w:rsid w:val="00383425"/>
    <w:rsid w:val="003844BA"/>
    <w:rsid w:val="00384507"/>
    <w:rsid w:val="00387BBC"/>
    <w:rsid w:val="00394A69"/>
    <w:rsid w:val="003A12C4"/>
    <w:rsid w:val="003A7176"/>
    <w:rsid w:val="003B4515"/>
    <w:rsid w:val="003B4907"/>
    <w:rsid w:val="003B53E9"/>
    <w:rsid w:val="003B5D3C"/>
    <w:rsid w:val="003C6B19"/>
    <w:rsid w:val="003C6FC7"/>
    <w:rsid w:val="003D1B94"/>
    <w:rsid w:val="003D4579"/>
    <w:rsid w:val="003D4CEE"/>
    <w:rsid w:val="003E0BD3"/>
    <w:rsid w:val="003F2BA3"/>
    <w:rsid w:val="003F7FF5"/>
    <w:rsid w:val="00402998"/>
    <w:rsid w:val="00411A7A"/>
    <w:rsid w:val="00413BBD"/>
    <w:rsid w:val="00413F0D"/>
    <w:rsid w:val="00414600"/>
    <w:rsid w:val="004211FA"/>
    <w:rsid w:val="00424723"/>
    <w:rsid w:val="00430389"/>
    <w:rsid w:val="00430D89"/>
    <w:rsid w:val="00432158"/>
    <w:rsid w:val="00454226"/>
    <w:rsid w:val="00457483"/>
    <w:rsid w:val="0046107A"/>
    <w:rsid w:val="004656B0"/>
    <w:rsid w:val="00482D4A"/>
    <w:rsid w:val="004849BB"/>
    <w:rsid w:val="004857F6"/>
    <w:rsid w:val="00491910"/>
    <w:rsid w:val="00494241"/>
    <w:rsid w:val="00497735"/>
    <w:rsid w:val="004A1D38"/>
    <w:rsid w:val="004A59E5"/>
    <w:rsid w:val="004A6E29"/>
    <w:rsid w:val="004D0CCD"/>
    <w:rsid w:val="004D5983"/>
    <w:rsid w:val="004D63F2"/>
    <w:rsid w:val="004E07BA"/>
    <w:rsid w:val="004E3D73"/>
    <w:rsid w:val="004E7414"/>
    <w:rsid w:val="0050079D"/>
    <w:rsid w:val="00500B03"/>
    <w:rsid w:val="00522073"/>
    <w:rsid w:val="005246BA"/>
    <w:rsid w:val="0052553E"/>
    <w:rsid w:val="00530CAD"/>
    <w:rsid w:val="00537386"/>
    <w:rsid w:val="0054069D"/>
    <w:rsid w:val="00540879"/>
    <w:rsid w:val="00541422"/>
    <w:rsid w:val="00541BA0"/>
    <w:rsid w:val="00545AC5"/>
    <w:rsid w:val="00546F02"/>
    <w:rsid w:val="00566726"/>
    <w:rsid w:val="0057176E"/>
    <w:rsid w:val="00573057"/>
    <w:rsid w:val="00585CA2"/>
    <w:rsid w:val="005A6ACD"/>
    <w:rsid w:val="005C5894"/>
    <w:rsid w:val="005D087B"/>
    <w:rsid w:val="005D0C1E"/>
    <w:rsid w:val="005D1791"/>
    <w:rsid w:val="005D38F0"/>
    <w:rsid w:val="005D485A"/>
    <w:rsid w:val="005E4910"/>
    <w:rsid w:val="005E6CC3"/>
    <w:rsid w:val="005F3CB1"/>
    <w:rsid w:val="005F519E"/>
    <w:rsid w:val="00600A22"/>
    <w:rsid w:val="006056CA"/>
    <w:rsid w:val="006101A7"/>
    <w:rsid w:val="006110CA"/>
    <w:rsid w:val="00621F3E"/>
    <w:rsid w:val="0062758F"/>
    <w:rsid w:val="00631E4A"/>
    <w:rsid w:val="006334E8"/>
    <w:rsid w:val="00635821"/>
    <w:rsid w:val="00635971"/>
    <w:rsid w:val="006371BF"/>
    <w:rsid w:val="0064023F"/>
    <w:rsid w:val="00651F05"/>
    <w:rsid w:val="00653E9B"/>
    <w:rsid w:val="006615F2"/>
    <w:rsid w:val="00663131"/>
    <w:rsid w:val="00663267"/>
    <w:rsid w:val="00664A8F"/>
    <w:rsid w:val="00664F54"/>
    <w:rsid w:val="006774D1"/>
    <w:rsid w:val="00685672"/>
    <w:rsid w:val="00690952"/>
    <w:rsid w:val="006976AD"/>
    <w:rsid w:val="006A4765"/>
    <w:rsid w:val="006A47F8"/>
    <w:rsid w:val="006A6312"/>
    <w:rsid w:val="006A6B54"/>
    <w:rsid w:val="006B36F2"/>
    <w:rsid w:val="006C3BA5"/>
    <w:rsid w:val="006D1B50"/>
    <w:rsid w:val="006D32BC"/>
    <w:rsid w:val="006D4799"/>
    <w:rsid w:val="006E2222"/>
    <w:rsid w:val="006E7C64"/>
    <w:rsid w:val="006F4691"/>
    <w:rsid w:val="006F6047"/>
    <w:rsid w:val="006F7F36"/>
    <w:rsid w:val="0070023E"/>
    <w:rsid w:val="00705D73"/>
    <w:rsid w:val="007146D1"/>
    <w:rsid w:val="00716301"/>
    <w:rsid w:val="0072475A"/>
    <w:rsid w:val="007263AB"/>
    <w:rsid w:val="007315DB"/>
    <w:rsid w:val="00737A0F"/>
    <w:rsid w:val="007406C7"/>
    <w:rsid w:val="0074235D"/>
    <w:rsid w:val="00745D63"/>
    <w:rsid w:val="007467CF"/>
    <w:rsid w:val="00751AD6"/>
    <w:rsid w:val="00755829"/>
    <w:rsid w:val="00760DAF"/>
    <w:rsid w:val="00773A85"/>
    <w:rsid w:val="00782F78"/>
    <w:rsid w:val="00790935"/>
    <w:rsid w:val="007A018D"/>
    <w:rsid w:val="007B6D04"/>
    <w:rsid w:val="007D4A96"/>
    <w:rsid w:val="007F0669"/>
    <w:rsid w:val="007F1C17"/>
    <w:rsid w:val="007F276C"/>
    <w:rsid w:val="007F3540"/>
    <w:rsid w:val="007F385C"/>
    <w:rsid w:val="007F69BC"/>
    <w:rsid w:val="007F6E30"/>
    <w:rsid w:val="008006F5"/>
    <w:rsid w:val="00805813"/>
    <w:rsid w:val="008126F2"/>
    <w:rsid w:val="00812C83"/>
    <w:rsid w:val="00814434"/>
    <w:rsid w:val="00817206"/>
    <w:rsid w:val="00817A38"/>
    <w:rsid w:val="00822EDC"/>
    <w:rsid w:val="00823E1F"/>
    <w:rsid w:val="00825833"/>
    <w:rsid w:val="0083319F"/>
    <w:rsid w:val="00835345"/>
    <w:rsid w:val="008412FB"/>
    <w:rsid w:val="0084279E"/>
    <w:rsid w:val="00845144"/>
    <w:rsid w:val="0085197E"/>
    <w:rsid w:val="00855024"/>
    <w:rsid w:val="0085611F"/>
    <w:rsid w:val="00857BD3"/>
    <w:rsid w:val="00871943"/>
    <w:rsid w:val="008879C5"/>
    <w:rsid w:val="00890662"/>
    <w:rsid w:val="00892327"/>
    <w:rsid w:val="008B20F9"/>
    <w:rsid w:val="008C0DBE"/>
    <w:rsid w:val="008C32D5"/>
    <w:rsid w:val="008C4606"/>
    <w:rsid w:val="008C64B2"/>
    <w:rsid w:val="008C6A06"/>
    <w:rsid w:val="008D1C6A"/>
    <w:rsid w:val="008D5505"/>
    <w:rsid w:val="008D7532"/>
    <w:rsid w:val="008D7C1C"/>
    <w:rsid w:val="008E74C7"/>
    <w:rsid w:val="008E7A32"/>
    <w:rsid w:val="008F07E0"/>
    <w:rsid w:val="00900BD2"/>
    <w:rsid w:val="00906DB6"/>
    <w:rsid w:val="00911C03"/>
    <w:rsid w:val="00911C2B"/>
    <w:rsid w:val="009210E8"/>
    <w:rsid w:val="009214E2"/>
    <w:rsid w:val="00923855"/>
    <w:rsid w:val="00932ED9"/>
    <w:rsid w:val="00937F6A"/>
    <w:rsid w:val="00940813"/>
    <w:rsid w:val="009502F8"/>
    <w:rsid w:val="00960024"/>
    <w:rsid w:val="00960484"/>
    <w:rsid w:val="009630D5"/>
    <w:rsid w:val="00964AF9"/>
    <w:rsid w:val="009660E7"/>
    <w:rsid w:val="00973BB6"/>
    <w:rsid w:val="0097486A"/>
    <w:rsid w:val="00980DDD"/>
    <w:rsid w:val="00986FEF"/>
    <w:rsid w:val="00996286"/>
    <w:rsid w:val="009A4799"/>
    <w:rsid w:val="009A5798"/>
    <w:rsid w:val="009B438F"/>
    <w:rsid w:val="009C01CE"/>
    <w:rsid w:val="009C0F98"/>
    <w:rsid w:val="009C128B"/>
    <w:rsid w:val="009E0F53"/>
    <w:rsid w:val="009E2149"/>
    <w:rsid w:val="009E4DEF"/>
    <w:rsid w:val="009F5813"/>
    <w:rsid w:val="00A0511A"/>
    <w:rsid w:val="00A0517A"/>
    <w:rsid w:val="00A15ACE"/>
    <w:rsid w:val="00A22571"/>
    <w:rsid w:val="00A25C52"/>
    <w:rsid w:val="00A26DEE"/>
    <w:rsid w:val="00A42088"/>
    <w:rsid w:val="00A451C3"/>
    <w:rsid w:val="00A467BD"/>
    <w:rsid w:val="00A478D9"/>
    <w:rsid w:val="00A533FB"/>
    <w:rsid w:val="00A57736"/>
    <w:rsid w:val="00A66623"/>
    <w:rsid w:val="00A725D2"/>
    <w:rsid w:val="00A7330F"/>
    <w:rsid w:val="00A73868"/>
    <w:rsid w:val="00A75464"/>
    <w:rsid w:val="00A8203E"/>
    <w:rsid w:val="00A84D0A"/>
    <w:rsid w:val="00A85772"/>
    <w:rsid w:val="00A8702B"/>
    <w:rsid w:val="00A93F4B"/>
    <w:rsid w:val="00A97984"/>
    <w:rsid w:val="00AA4209"/>
    <w:rsid w:val="00AA5A86"/>
    <w:rsid w:val="00AB33F4"/>
    <w:rsid w:val="00AB57F7"/>
    <w:rsid w:val="00AC243A"/>
    <w:rsid w:val="00AE5822"/>
    <w:rsid w:val="00AE65EA"/>
    <w:rsid w:val="00AF0E14"/>
    <w:rsid w:val="00AF634C"/>
    <w:rsid w:val="00B00068"/>
    <w:rsid w:val="00B025D3"/>
    <w:rsid w:val="00B04B67"/>
    <w:rsid w:val="00B125B1"/>
    <w:rsid w:val="00B14389"/>
    <w:rsid w:val="00B15D1C"/>
    <w:rsid w:val="00B167E5"/>
    <w:rsid w:val="00B22B7D"/>
    <w:rsid w:val="00B251D5"/>
    <w:rsid w:val="00B36DB4"/>
    <w:rsid w:val="00B40203"/>
    <w:rsid w:val="00B459D9"/>
    <w:rsid w:val="00B46A0E"/>
    <w:rsid w:val="00B50520"/>
    <w:rsid w:val="00B54FB6"/>
    <w:rsid w:val="00B552F1"/>
    <w:rsid w:val="00B62F45"/>
    <w:rsid w:val="00B74E6A"/>
    <w:rsid w:val="00B82AE5"/>
    <w:rsid w:val="00B82CAE"/>
    <w:rsid w:val="00B91FD1"/>
    <w:rsid w:val="00B9314A"/>
    <w:rsid w:val="00B97E8B"/>
    <w:rsid w:val="00BB0DD6"/>
    <w:rsid w:val="00BB0FE7"/>
    <w:rsid w:val="00BB13C7"/>
    <w:rsid w:val="00BB22FB"/>
    <w:rsid w:val="00BB79AE"/>
    <w:rsid w:val="00BD5A1A"/>
    <w:rsid w:val="00BD67B1"/>
    <w:rsid w:val="00BF0D35"/>
    <w:rsid w:val="00BF2ACB"/>
    <w:rsid w:val="00BF443B"/>
    <w:rsid w:val="00BF606B"/>
    <w:rsid w:val="00C018AC"/>
    <w:rsid w:val="00C070A7"/>
    <w:rsid w:val="00C07D40"/>
    <w:rsid w:val="00C15140"/>
    <w:rsid w:val="00C25EFB"/>
    <w:rsid w:val="00C31F60"/>
    <w:rsid w:val="00C33061"/>
    <w:rsid w:val="00C43CA0"/>
    <w:rsid w:val="00C53B7C"/>
    <w:rsid w:val="00C54A33"/>
    <w:rsid w:val="00C66D38"/>
    <w:rsid w:val="00C73406"/>
    <w:rsid w:val="00C7549A"/>
    <w:rsid w:val="00C80FC9"/>
    <w:rsid w:val="00C8226F"/>
    <w:rsid w:val="00C87516"/>
    <w:rsid w:val="00C92045"/>
    <w:rsid w:val="00CA30A9"/>
    <w:rsid w:val="00CB3811"/>
    <w:rsid w:val="00CB4AEA"/>
    <w:rsid w:val="00CC4776"/>
    <w:rsid w:val="00CC64AC"/>
    <w:rsid w:val="00CF1371"/>
    <w:rsid w:val="00CF1CDF"/>
    <w:rsid w:val="00D03C11"/>
    <w:rsid w:val="00D04A44"/>
    <w:rsid w:val="00D0678C"/>
    <w:rsid w:val="00D14A88"/>
    <w:rsid w:val="00D15183"/>
    <w:rsid w:val="00D152DA"/>
    <w:rsid w:val="00D163C7"/>
    <w:rsid w:val="00D20454"/>
    <w:rsid w:val="00D25FB8"/>
    <w:rsid w:val="00D2756B"/>
    <w:rsid w:val="00D31837"/>
    <w:rsid w:val="00D43F28"/>
    <w:rsid w:val="00D51D42"/>
    <w:rsid w:val="00D53A8F"/>
    <w:rsid w:val="00D63052"/>
    <w:rsid w:val="00D6559A"/>
    <w:rsid w:val="00D70A38"/>
    <w:rsid w:val="00D729A8"/>
    <w:rsid w:val="00D77846"/>
    <w:rsid w:val="00D87340"/>
    <w:rsid w:val="00DB299B"/>
    <w:rsid w:val="00DB319B"/>
    <w:rsid w:val="00DB4688"/>
    <w:rsid w:val="00DB6EC4"/>
    <w:rsid w:val="00DB7A08"/>
    <w:rsid w:val="00DC694B"/>
    <w:rsid w:val="00DE0C52"/>
    <w:rsid w:val="00DE7123"/>
    <w:rsid w:val="00DF0227"/>
    <w:rsid w:val="00DF40E2"/>
    <w:rsid w:val="00E155CB"/>
    <w:rsid w:val="00E21757"/>
    <w:rsid w:val="00E23209"/>
    <w:rsid w:val="00E24C8E"/>
    <w:rsid w:val="00E40975"/>
    <w:rsid w:val="00E4328A"/>
    <w:rsid w:val="00E45687"/>
    <w:rsid w:val="00E50237"/>
    <w:rsid w:val="00E52D8A"/>
    <w:rsid w:val="00E560B5"/>
    <w:rsid w:val="00E67CC0"/>
    <w:rsid w:val="00E70863"/>
    <w:rsid w:val="00E70DD2"/>
    <w:rsid w:val="00E70FDF"/>
    <w:rsid w:val="00E75C3A"/>
    <w:rsid w:val="00E7605A"/>
    <w:rsid w:val="00E800E8"/>
    <w:rsid w:val="00E82171"/>
    <w:rsid w:val="00E85ADA"/>
    <w:rsid w:val="00E87355"/>
    <w:rsid w:val="00EA2AD9"/>
    <w:rsid w:val="00EA58FA"/>
    <w:rsid w:val="00EB27E9"/>
    <w:rsid w:val="00EB399B"/>
    <w:rsid w:val="00EB5059"/>
    <w:rsid w:val="00EB557D"/>
    <w:rsid w:val="00EB57EA"/>
    <w:rsid w:val="00EC289B"/>
    <w:rsid w:val="00EC2BB0"/>
    <w:rsid w:val="00EC38ED"/>
    <w:rsid w:val="00EC5D51"/>
    <w:rsid w:val="00ED12B0"/>
    <w:rsid w:val="00ED72BB"/>
    <w:rsid w:val="00EE0F80"/>
    <w:rsid w:val="00EE7EFF"/>
    <w:rsid w:val="00EF1924"/>
    <w:rsid w:val="00EF4098"/>
    <w:rsid w:val="00F01167"/>
    <w:rsid w:val="00F069D7"/>
    <w:rsid w:val="00F0772F"/>
    <w:rsid w:val="00F07E3B"/>
    <w:rsid w:val="00F12094"/>
    <w:rsid w:val="00F12E7C"/>
    <w:rsid w:val="00F1441F"/>
    <w:rsid w:val="00F159E2"/>
    <w:rsid w:val="00F16FD3"/>
    <w:rsid w:val="00F41540"/>
    <w:rsid w:val="00F44CC4"/>
    <w:rsid w:val="00F532EA"/>
    <w:rsid w:val="00F553B1"/>
    <w:rsid w:val="00F60CA7"/>
    <w:rsid w:val="00F63117"/>
    <w:rsid w:val="00F66511"/>
    <w:rsid w:val="00F713AF"/>
    <w:rsid w:val="00F8420A"/>
    <w:rsid w:val="00F91918"/>
    <w:rsid w:val="00F91B32"/>
    <w:rsid w:val="00F9236A"/>
    <w:rsid w:val="00F96C71"/>
    <w:rsid w:val="00F96D29"/>
    <w:rsid w:val="00FA5BD0"/>
    <w:rsid w:val="00FA6954"/>
    <w:rsid w:val="00FB1950"/>
    <w:rsid w:val="00FB1B47"/>
    <w:rsid w:val="00FC2C50"/>
    <w:rsid w:val="00FC2CC4"/>
    <w:rsid w:val="00FC3582"/>
    <w:rsid w:val="00FD2252"/>
    <w:rsid w:val="00FD3474"/>
    <w:rsid w:val="00FE09DF"/>
    <w:rsid w:val="00FE3D08"/>
    <w:rsid w:val="00FF0699"/>
    <w:rsid w:val="00FF0BD7"/>
    <w:rsid w:val="00FF0DA0"/>
    <w:rsid w:val="00FF1225"/>
    <w:rsid w:val="00FF190B"/>
    <w:rsid w:val="00FF3D3E"/>
    <w:rsid w:val="00FF55A8"/>
    <w:rsid w:val="00FF5B79"/>
    <w:rsid w:val="04DDD5AA"/>
    <w:rsid w:val="26827876"/>
    <w:rsid w:val="3F516167"/>
    <w:rsid w:val="518B99AB"/>
    <w:rsid w:val="6D34A8C2"/>
    <w:rsid w:val="78EF75E0"/>
    <w:rsid w:val="7CAAD1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59244"/>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6F7"/>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C070A7"/>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C070A7"/>
    <w:rPr>
      <w:sz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6E7C64"/>
    <w:pPr>
      <w:ind w:left="720"/>
      <w:contextualSpacing/>
    </w:pPr>
  </w:style>
  <w:style w:type="character" w:customStyle="1" w:styleId="UnresolvedMention">
    <w:name w:val="Unresolved Mention"/>
    <w:basedOn w:val="Fuentedeprrafopredeter"/>
    <w:uiPriority w:val="99"/>
    <w:semiHidden/>
    <w:unhideWhenUsed/>
    <w:rsid w:val="002F5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627">
      <w:bodyDiv w:val="1"/>
      <w:marLeft w:val="0"/>
      <w:marRight w:val="0"/>
      <w:marTop w:val="0"/>
      <w:marBottom w:val="0"/>
      <w:divBdr>
        <w:top w:val="none" w:sz="0" w:space="0" w:color="auto"/>
        <w:left w:val="none" w:sz="0" w:space="0" w:color="auto"/>
        <w:bottom w:val="none" w:sz="0" w:space="0" w:color="auto"/>
        <w:right w:val="none" w:sz="0" w:space="0" w:color="auto"/>
      </w:divBdr>
    </w:div>
    <w:div w:id="637997276">
      <w:bodyDiv w:val="1"/>
      <w:marLeft w:val="0"/>
      <w:marRight w:val="0"/>
      <w:marTop w:val="0"/>
      <w:marBottom w:val="0"/>
      <w:divBdr>
        <w:top w:val="none" w:sz="0" w:space="0" w:color="auto"/>
        <w:left w:val="none" w:sz="0" w:space="0" w:color="auto"/>
        <w:bottom w:val="none" w:sz="0" w:space="0" w:color="auto"/>
        <w:right w:val="none" w:sz="0" w:space="0" w:color="auto"/>
      </w:divBdr>
    </w:div>
    <w:div w:id="859246855">
      <w:bodyDiv w:val="1"/>
      <w:marLeft w:val="0"/>
      <w:marRight w:val="0"/>
      <w:marTop w:val="0"/>
      <w:marBottom w:val="0"/>
      <w:divBdr>
        <w:top w:val="none" w:sz="0" w:space="0" w:color="auto"/>
        <w:left w:val="none" w:sz="0" w:space="0" w:color="auto"/>
        <w:bottom w:val="none" w:sz="0" w:space="0" w:color="auto"/>
        <w:right w:val="none" w:sz="0" w:space="0" w:color="auto"/>
      </w:divBdr>
    </w:div>
    <w:div w:id="890994126">
      <w:bodyDiv w:val="1"/>
      <w:marLeft w:val="0"/>
      <w:marRight w:val="0"/>
      <w:marTop w:val="0"/>
      <w:marBottom w:val="0"/>
      <w:divBdr>
        <w:top w:val="none" w:sz="0" w:space="0" w:color="auto"/>
        <w:left w:val="none" w:sz="0" w:space="0" w:color="auto"/>
        <w:bottom w:val="none" w:sz="0" w:space="0" w:color="auto"/>
        <w:right w:val="none" w:sz="0" w:space="0" w:color="auto"/>
      </w:divBdr>
    </w:div>
    <w:div w:id="1223641982">
      <w:bodyDiv w:val="1"/>
      <w:marLeft w:val="0"/>
      <w:marRight w:val="0"/>
      <w:marTop w:val="0"/>
      <w:marBottom w:val="0"/>
      <w:divBdr>
        <w:top w:val="none" w:sz="0" w:space="0" w:color="auto"/>
        <w:left w:val="none" w:sz="0" w:space="0" w:color="auto"/>
        <w:bottom w:val="none" w:sz="0" w:space="0" w:color="auto"/>
        <w:right w:val="none" w:sz="0" w:space="0" w:color="auto"/>
      </w:divBdr>
      <w:divsChild>
        <w:div w:id="427695571">
          <w:marLeft w:val="0"/>
          <w:marRight w:val="0"/>
          <w:marTop w:val="0"/>
          <w:marBottom w:val="0"/>
          <w:divBdr>
            <w:top w:val="none" w:sz="0" w:space="0" w:color="auto"/>
            <w:left w:val="none" w:sz="0" w:space="0" w:color="auto"/>
            <w:bottom w:val="none" w:sz="0" w:space="0" w:color="auto"/>
            <w:right w:val="none" w:sz="0" w:space="0" w:color="auto"/>
          </w:divBdr>
        </w:div>
      </w:divsChild>
    </w:div>
    <w:div w:id="1262107411">
      <w:bodyDiv w:val="1"/>
      <w:marLeft w:val="0"/>
      <w:marRight w:val="0"/>
      <w:marTop w:val="0"/>
      <w:marBottom w:val="0"/>
      <w:divBdr>
        <w:top w:val="none" w:sz="0" w:space="0" w:color="auto"/>
        <w:left w:val="none" w:sz="0" w:space="0" w:color="auto"/>
        <w:bottom w:val="none" w:sz="0" w:space="0" w:color="auto"/>
        <w:right w:val="none" w:sz="0" w:space="0" w:color="auto"/>
      </w:divBdr>
      <w:divsChild>
        <w:div w:id="705175893">
          <w:marLeft w:val="0"/>
          <w:marRight w:val="0"/>
          <w:marTop w:val="0"/>
          <w:marBottom w:val="0"/>
          <w:divBdr>
            <w:top w:val="none" w:sz="0" w:space="0" w:color="auto"/>
            <w:left w:val="none" w:sz="0" w:space="0" w:color="auto"/>
            <w:bottom w:val="none" w:sz="0" w:space="0" w:color="auto"/>
            <w:right w:val="none" w:sz="0" w:space="0" w:color="auto"/>
          </w:divBdr>
        </w:div>
      </w:divsChild>
    </w:div>
    <w:div w:id="1499347077">
      <w:bodyDiv w:val="1"/>
      <w:marLeft w:val="0"/>
      <w:marRight w:val="0"/>
      <w:marTop w:val="0"/>
      <w:marBottom w:val="0"/>
      <w:divBdr>
        <w:top w:val="none" w:sz="0" w:space="0" w:color="auto"/>
        <w:left w:val="none" w:sz="0" w:space="0" w:color="auto"/>
        <w:bottom w:val="none" w:sz="0" w:space="0" w:color="auto"/>
        <w:right w:val="none" w:sz="0" w:space="0" w:color="auto"/>
      </w:divBdr>
    </w:div>
    <w:div w:id="155380779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586065338">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9915208">
      <w:bodyDiv w:val="1"/>
      <w:marLeft w:val="0"/>
      <w:marRight w:val="0"/>
      <w:marTop w:val="0"/>
      <w:marBottom w:val="0"/>
      <w:divBdr>
        <w:top w:val="none" w:sz="0" w:space="0" w:color="auto"/>
        <w:left w:val="none" w:sz="0" w:space="0" w:color="auto"/>
        <w:bottom w:val="none" w:sz="0" w:space="0" w:color="auto"/>
        <w:right w:val="none" w:sz="0" w:space="0" w:color="auto"/>
      </w:divBdr>
    </w:div>
    <w:div w:id="187075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endoj.ramajudicial.gov.c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470537"/>
    <w:rsid w:val="00470537"/>
    <w:rsid w:val="005613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57712-5867-4EB2-B4F7-645A1DE5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4.xml><?xml version="1.0" encoding="utf-8"?>
<ds:datastoreItem xmlns:ds="http://schemas.openxmlformats.org/officeDocument/2006/customXml" ds:itemID="{F035713C-2F10-4028-8B60-4E1ED3DAF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1060</Words>
  <Characters>5832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ESTHER JAIMES VALENCIA</cp:lastModifiedBy>
  <cp:revision>3</cp:revision>
  <cp:lastPrinted>2020-01-14T15:01:00Z</cp:lastPrinted>
  <dcterms:created xsi:type="dcterms:W3CDTF">2021-08-09T18:21:00Z</dcterms:created>
  <dcterms:modified xsi:type="dcterms:W3CDTF">2021-08-09T18:21:00Z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