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45791" w14:textId="54D763A8" w:rsidR="005E489B" w:rsidRPr="00906E1B" w:rsidRDefault="005E489B" w:rsidP="003F45B2">
      <w:pPr>
        <w:pStyle w:val="Ttulo1"/>
        <w:spacing w:line="276" w:lineRule="auto"/>
        <w:jc w:val="center"/>
        <w:rPr>
          <w:rFonts w:ascii="Arial" w:hAnsi="Arial" w:cs="Arial"/>
          <w:color w:val="000000" w:themeColor="text1"/>
          <w:sz w:val="24"/>
          <w:szCs w:val="24"/>
          <w:lang w:eastAsia="es-ES"/>
        </w:rPr>
      </w:pPr>
      <w:r w:rsidRPr="00906E1B">
        <w:rPr>
          <w:rFonts w:ascii="Arial" w:hAnsi="Arial" w:cs="Arial"/>
          <w:noProof/>
          <w:color w:val="000000" w:themeColor="text1"/>
          <w:sz w:val="24"/>
          <w:szCs w:val="24"/>
          <w:lang w:val="es-ES" w:eastAsia="es-ES"/>
        </w:rPr>
        <w:drawing>
          <wp:anchor distT="0" distB="0" distL="114300" distR="114300" simplePos="0" relativeHeight="251657728" behindDoc="0" locked="0" layoutInCell="1" allowOverlap="1" wp14:anchorId="2741D1B0" wp14:editId="23160C67">
            <wp:simplePos x="0" y="0"/>
            <wp:positionH relativeFrom="column">
              <wp:posOffset>-51319</wp:posOffset>
            </wp:positionH>
            <wp:positionV relativeFrom="paragraph">
              <wp:posOffset>-245248</wp:posOffset>
            </wp:positionV>
            <wp:extent cx="1197246" cy="1115706"/>
            <wp:effectExtent l="0" t="0" r="0" b="0"/>
            <wp:wrapNone/>
            <wp:docPr id="2"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4176" cy="1122164"/>
                    </a:xfrm>
                    <a:prstGeom prst="rect">
                      <a:avLst/>
                    </a:prstGeom>
                  </pic:spPr>
                </pic:pic>
              </a:graphicData>
            </a:graphic>
            <wp14:sizeRelH relativeFrom="margin">
              <wp14:pctWidth>0</wp14:pctWidth>
            </wp14:sizeRelH>
            <wp14:sizeRelV relativeFrom="margin">
              <wp14:pctHeight>0</wp14:pctHeight>
            </wp14:sizeRelV>
          </wp:anchor>
        </w:drawing>
      </w:r>
      <w:r w:rsidRPr="00906E1B">
        <w:rPr>
          <w:rFonts w:ascii="Arial" w:hAnsi="Arial" w:cs="Arial"/>
          <w:b/>
          <w:color w:val="000000" w:themeColor="text1"/>
          <w:sz w:val="24"/>
          <w:szCs w:val="24"/>
          <w:lang w:eastAsia="es-ES"/>
        </w:rPr>
        <w:t>CONSEJO DE ESTADO</w:t>
      </w:r>
    </w:p>
    <w:p w14:paraId="525040E6" w14:textId="77777777" w:rsidR="005E489B" w:rsidRPr="00906E1B" w:rsidRDefault="005E489B" w:rsidP="003F45B2">
      <w:pPr>
        <w:spacing w:line="276" w:lineRule="auto"/>
        <w:jc w:val="center"/>
        <w:rPr>
          <w:rFonts w:ascii="Arial" w:hAnsi="Arial" w:cs="Arial"/>
          <w:b/>
          <w:color w:val="000000" w:themeColor="text1"/>
          <w:sz w:val="24"/>
          <w:szCs w:val="24"/>
          <w:lang w:eastAsia="es-ES"/>
        </w:rPr>
      </w:pPr>
      <w:r w:rsidRPr="00906E1B">
        <w:rPr>
          <w:rFonts w:ascii="Arial" w:hAnsi="Arial" w:cs="Arial"/>
          <w:b/>
          <w:color w:val="000000" w:themeColor="text1"/>
          <w:sz w:val="24"/>
          <w:szCs w:val="24"/>
          <w:lang w:eastAsia="es-ES"/>
        </w:rPr>
        <w:t>SALA DE LO CONTENCIOSO ADMINISTRATIVO</w:t>
      </w:r>
    </w:p>
    <w:p w14:paraId="6BD68E9E" w14:textId="77777777" w:rsidR="005E489B" w:rsidRPr="00906E1B" w:rsidRDefault="005E489B" w:rsidP="003F45B2">
      <w:pPr>
        <w:spacing w:line="276" w:lineRule="auto"/>
        <w:jc w:val="center"/>
        <w:rPr>
          <w:rFonts w:ascii="Arial" w:hAnsi="Arial" w:cs="Arial"/>
          <w:b/>
          <w:color w:val="000000" w:themeColor="text1"/>
          <w:sz w:val="24"/>
          <w:szCs w:val="24"/>
          <w:lang w:eastAsia="es-ES"/>
        </w:rPr>
      </w:pPr>
      <w:r w:rsidRPr="00906E1B">
        <w:rPr>
          <w:rFonts w:ascii="Arial" w:hAnsi="Arial" w:cs="Arial"/>
          <w:b/>
          <w:color w:val="000000" w:themeColor="text1"/>
          <w:sz w:val="24"/>
          <w:szCs w:val="24"/>
          <w:lang w:eastAsia="es-ES"/>
        </w:rPr>
        <w:t>SECCIÓN TERCERA</w:t>
      </w:r>
    </w:p>
    <w:p w14:paraId="212A4627" w14:textId="77777777" w:rsidR="005E489B" w:rsidRPr="00906E1B" w:rsidRDefault="005E489B" w:rsidP="003F45B2">
      <w:pPr>
        <w:spacing w:line="276" w:lineRule="auto"/>
        <w:jc w:val="center"/>
        <w:rPr>
          <w:rFonts w:ascii="Arial" w:hAnsi="Arial" w:cs="Arial"/>
          <w:b/>
          <w:color w:val="000000" w:themeColor="text1"/>
          <w:sz w:val="24"/>
          <w:szCs w:val="24"/>
          <w:lang w:eastAsia="es-ES"/>
        </w:rPr>
      </w:pPr>
      <w:r w:rsidRPr="00906E1B">
        <w:rPr>
          <w:rFonts w:ascii="Arial" w:hAnsi="Arial" w:cs="Arial"/>
          <w:b/>
          <w:color w:val="000000" w:themeColor="text1"/>
          <w:sz w:val="24"/>
          <w:szCs w:val="24"/>
          <w:lang w:eastAsia="es-ES"/>
        </w:rPr>
        <w:t>SUBSECCIÓN B</w:t>
      </w:r>
    </w:p>
    <w:p w14:paraId="6DD1F84B" w14:textId="77777777" w:rsidR="005E489B" w:rsidRPr="00906E1B" w:rsidRDefault="005E489B" w:rsidP="003F45B2">
      <w:pPr>
        <w:spacing w:line="276" w:lineRule="auto"/>
        <w:jc w:val="center"/>
        <w:rPr>
          <w:rFonts w:ascii="Arial" w:hAnsi="Arial" w:cs="Arial"/>
          <w:b/>
          <w:color w:val="000000" w:themeColor="text1"/>
          <w:sz w:val="24"/>
          <w:szCs w:val="24"/>
          <w:lang w:eastAsia="es-ES"/>
        </w:rPr>
      </w:pPr>
    </w:p>
    <w:p w14:paraId="2B2F42F1" w14:textId="77777777" w:rsidR="005E489B" w:rsidRPr="00906E1B" w:rsidRDefault="005E489B" w:rsidP="003F45B2">
      <w:pPr>
        <w:spacing w:line="276" w:lineRule="auto"/>
        <w:jc w:val="center"/>
        <w:rPr>
          <w:rFonts w:ascii="Arial" w:hAnsi="Arial" w:cs="Arial"/>
          <w:b/>
          <w:color w:val="000000" w:themeColor="text1"/>
          <w:sz w:val="24"/>
          <w:szCs w:val="24"/>
          <w:lang w:eastAsia="es-ES"/>
        </w:rPr>
      </w:pPr>
      <w:r w:rsidRPr="00906E1B">
        <w:rPr>
          <w:rFonts w:ascii="Arial" w:hAnsi="Arial" w:cs="Arial"/>
          <w:b/>
          <w:color w:val="000000" w:themeColor="text1"/>
          <w:sz w:val="24"/>
          <w:szCs w:val="24"/>
          <w:lang w:eastAsia="es-ES"/>
        </w:rPr>
        <w:t>Magistrado ponente: MARTÍN BERMÚDEZ MUÑOZ</w:t>
      </w:r>
    </w:p>
    <w:p w14:paraId="4F27EE64" w14:textId="77777777" w:rsidR="005E489B" w:rsidRPr="00906E1B" w:rsidRDefault="005E489B" w:rsidP="003F45B2">
      <w:pPr>
        <w:tabs>
          <w:tab w:val="left" w:pos="0"/>
        </w:tabs>
        <w:spacing w:line="276" w:lineRule="auto"/>
        <w:rPr>
          <w:rFonts w:ascii="Arial" w:hAnsi="Arial" w:cs="Arial"/>
          <w:b/>
          <w:bCs/>
          <w:color w:val="000000" w:themeColor="text1"/>
          <w:sz w:val="24"/>
          <w:szCs w:val="24"/>
        </w:rPr>
      </w:pPr>
      <w:r w:rsidRPr="00906E1B">
        <w:rPr>
          <w:rFonts w:ascii="Arial" w:hAnsi="Arial" w:cs="Arial"/>
          <w:b/>
          <w:bCs/>
          <w:color w:val="000000" w:themeColor="text1"/>
          <w:sz w:val="24"/>
          <w:szCs w:val="24"/>
        </w:rPr>
        <w:tab/>
      </w:r>
    </w:p>
    <w:p w14:paraId="49F1602C" w14:textId="4D15EEAD" w:rsidR="005E489B" w:rsidRPr="00906E1B" w:rsidRDefault="005E489B" w:rsidP="003F45B2">
      <w:pPr>
        <w:spacing w:line="276" w:lineRule="auto"/>
        <w:jc w:val="center"/>
        <w:rPr>
          <w:rFonts w:ascii="Arial" w:hAnsi="Arial" w:cs="Arial"/>
          <w:color w:val="000000" w:themeColor="text1"/>
          <w:sz w:val="24"/>
          <w:szCs w:val="24"/>
        </w:rPr>
      </w:pPr>
      <w:r w:rsidRPr="00906E1B">
        <w:rPr>
          <w:rFonts w:ascii="Arial" w:hAnsi="Arial" w:cs="Arial"/>
          <w:color w:val="000000" w:themeColor="text1"/>
          <w:sz w:val="24"/>
          <w:szCs w:val="24"/>
        </w:rPr>
        <w:t xml:space="preserve">Bogotá D.C., </w:t>
      </w:r>
      <w:r w:rsidR="004B1219" w:rsidRPr="00906E1B">
        <w:rPr>
          <w:rFonts w:ascii="Arial" w:hAnsi="Arial" w:cs="Arial"/>
          <w:color w:val="000000" w:themeColor="text1"/>
          <w:sz w:val="24"/>
          <w:szCs w:val="24"/>
        </w:rPr>
        <w:t>veintitrés</w:t>
      </w:r>
      <w:r w:rsidRPr="00906E1B">
        <w:rPr>
          <w:rFonts w:ascii="Arial" w:hAnsi="Arial" w:cs="Arial"/>
          <w:color w:val="000000" w:themeColor="text1"/>
          <w:sz w:val="24"/>
          <w:szCs w:val="24"/>
        </w:rPr>
        <w:t xml:space="preserve"> (</w:t>
      </w:r>
      <w:r w:rsidR="004B1219" w:rsidRPr="00906E1B">
        <w:rPr>
          <w:rFonts w:ascii="Arial" w:hAnsi="Arial" w:cs="Arial"/>
          <w:color w:val="000000" w:themeColor="text1"/>
          <w:sz w:val="24"/>
          <w:szCs w:val="24"/>
        </w:rPr>
        <w:t>23</w:t>
      </w:r>
      <w:r w:rsidRPr="00906E1B">
        <w:rPr>
          <w:rFonts w:ascii="Arial" w:hAnsi="Arial" w:cs="Arial"/>
          <w:color w:val="000000" w:themeColor="text1"/>
          <w:sz w:val="24"/>
          <w:szCs w:val="24"/>
        </w:rPr>
        <w:t xml:space="preserve">) de </w:t>
      </w:r>
      <w:r w:rsidR="00C34C00" w:rsidRPr="00906E1B">
        <w:rPr>
          <w:rFonts w:ascii="Arial" w:hAnsi="Arial" w:cs="Arial"/>
          <w:color w:val="000000" w:themeColor="text1"/>
          <w:sz w:val="24"/>
          <w:szCs w:val="24"/>
        </w:rPr>
        <w:t xml:space="preserve">julio </w:t>
      </w:r>
      <w:r w:rsidRPr="00906E1B">
        <w:rPr>
          <w:rFonts w:ascii="Arial" w:hAnsi="Arial" w:cs="Arial"/>
          <w:color w:val="000000" w:themeColor="text1"/>
          <w:sz w:val="24"/>
          <w:szCs w:val="24"/>
        </w:rPr>
        <w:t>de dos mil veintiuno (2021)</w:t>
      </w:r>
    </w:p>
    <w:p w14:paraId="4C035CC3" w14:textId="77777777" w:rsidR="005E489B" w:rsidRPr="00906E1B" w:rsidRDefault="005E489B" w:rsidP="003F45B2">
      <w:pPr>
        <w:spacing w:line="276" w:lineRule="auto"/>
        <w:ind w:left="1985" w:hanging="1985"/>
        <w:jc w:val="both"/>
        <w:rPr>
          <w:rFonts w:ascii="Arial" w:hAnsi="Arial" w:cs="Arial"/>
          <w:b/>
          <w:bCs/>
          <w:color w:val="000000" w:themeColor="text1"/>
          <w:sz w:val="24"/>
          <w:szCs w:val="24"/>
        </w:rPr>
      </w:pPr>
    </w:p>
    <w:p w14:paraId="380A8A72" w14:textId="77777777" w:rsidR="005E489B" w:rsidRPr="00906E1B" w:rsidRDefault="005E489B" w:rsidP="003F45B2">
      <w:pPr>
        <w:spacing w:line="276" w:lineRule="auto"/>
        <w:ind w:left="1985" w:hanging="1985"/>
        <w:jc w:val="both"/>
        <w:rPr>
          <w:rFonts w:ascii="Arial" w:hAnsi="Arial" w:cs="Arial"/>
          <w:color w:val="000000" w:themeColor="text1"/>
          <w:sz w:val="24"/>
          <w:szCs w:val="24"/>
        </w:rPr>
      </w:pPr>
      <w:r w:rsidRPr="00906E1B">
        <w:rPr>
          <w:rFonts w:ascii="Arial" w:hAnsi="Arial" w:cs="Arial"/>
          <w:b/>
          <w:bCs/>
          <w:color w:val="000000" w:themeColor="text1"/>
          <w:sz w:val="24"/>
          <w:szCs w:val="24"/>
        </w:rPr>
        <w:t xml:space="preserve">Referencia: </w:t>
      </w:r>
      <w:r w:rsidRPr="00906E1B">
        <w:rPr>
          <w:rFonts w:ascii="Arial" w:hAnsi="Arial" w:cs="Arial"/>
          <w:b/>
          <w:bCs/>
          <w:color w:val="000000" w:themeColor="text1"/>
          <w:sz w:val="24"/>
          <w:szCs w:val="24"/>
        </w:rPr>
        <w:tab/>
      </w:r>
      <w:r w:rsidRPr="00906E1B">
        <w:rPr>
          <w:rFonts w:ascii="Arial" w:hAnsi="Arial" w:cs="Arial"/>
          <w:b/>
          <w:bCs/>
          <w:color w:val="000000" w:themeColor="text1"/>
          <w:sz w:val="24"/>
          <w:szCs w:val="24"/>
        </w:rPr>
        <w:tab/>
      </w:r>
      <w:r w:rsidRPr="00906E1B">
        <w:rPr>
          <w:rFonts w:ascii="Arial" w:hAnsi="Arial" w:cs="Arial"/>
          <w:color w:val="000000" w:themeColor="text1"/>
          <w:sz w:val="24"/>
          <w:szCs w:val="24"/>
        </w:rPr>
        <w:t>Acción de tutela</w:t>
      </w:r>
    </w:p>
    <w:p w14:paraId="076DF695" w14:textId="77777777" w:rsidR="005E489B" w:rsidRPr="00906E1B" w:rsidRDefault="005E489B" w:rsidP="003F45B2">
      <w:pPr>
        <w:spacing w:line="276" w:lineRule="auto"/>
        <w:jc w:val="both"/>
        <w:rPr>
          <w:rFonts w:ascii="Arial" w:hAnsi="Arial" w:cs="Arial"/>
          <w:color w:val="000000" w:themeColor="text1"/>
          <w:sz w:val="24"/>
          <w:szCs w:val="24"/>
        </w:rPr>
      </w:pPr>
      <w:r w:rsidRPr="00906E1B">
        <w:rPr>
          <w:rFonts w:ascii="Arial" w:hAnsi="Arial" w:cs="Arial"/>
          <w:b/>
          <w:bCs/>
          <w:color w:val="000000" w:themeColor="text1"/>
          <w:sz w:val="24"/>
          <w:szCs w:val="24"/>
        </w:rPr>
        <w:t>Radicación:</w:t>
      </w:r>
      <w:r w:rsidRPr="00906E1B">
        <w:rPr>
          <w:rFonts w:ascii="Arial" w:hAnsi="Arial" w:cs="Arial"/>
          <w:b/>
          <w:bCs/>
          <w:color w:val="000000" w:themeColor="text1"/>
          <w:sz w:val="24"/>
          <w:szCs w:val="24"/>
        </w:rPr>
        <w:tab/>
      </w:r>
      <w:r w:rsidRPr="00906E1B">
        <w:rPr>
          <w:rFonts w:ascii="Arial" w:hAnsi="Arial" w:cs="Arial"/>
          <w:b/>
          <w:bCs/>
          <w:color w:val="000000" w:themeColor="text1"/>
          <w:sz w:val="24"/>
          <w:szCs w:val="24"/>
        </w:rPr>
        <w:tab/>
      </w:r>
      <w:r w:rsidRPr="00906E1B">
        <w:rPr>
          <w:rFonts w:ascii="Arial" w:hAnsi="Arial" w:cs="Arial"/>
          <w:bCs/>
          <w:color w:val="000000" w:themeColor="text1"/>
          <w:sz w:val="24"/>
          <w:szCs w:val="24"/>
        </w:rPr>
        <w:t>11001-03-15-000-2020-04921-01</w:t>
      </w:r>
    </w:p>
    <w:p w14:paraId="20996A54" w14:textId="3BA847B6" w:rsidR="005E489B" w:rsidRPr="00906E1B" w:rsidRDefault="005E489B" w:rsidP="003F45B2">
      <w:pPr>
        <w:spacing w:line="276" w:lineRule="auto"/>
        <w:ind w:left="1980" w:hanging="1980"/>
        <w:jc w:val="both"/>
        <w:rPr>
          <w:rFonts w:ascii="Arial" w:hAnsi="Arial" w:cs="Arial"/>
          <w:color w:val="000000" w:themeColor="text1"/>
          <w:sz w:val="24"/>
          <w:szCs w:val="24"/>
        </w:rPr>
      </w:pPr>
      <w:r w:rsidRPr="753EAABC">
        <w:rPr>
          <w:rFonts w:ascii="Arial" w:hAnsi="Arial" w:cs="Arial"/>
          <w:b/>
          <w:bCs/>
          <w:color w:val="000000" w:themeColor="text1"/>
          <w:sz w:val="24"/>
          <w:szCs w:val="24"/>
        </w:rPr>
        <w:t xml:space="preserve">Demandante: </w:t>
      </w:r>
      <w:r>
        <w:tab/>
      </w:r>
      <w:r w:rsidR="008F0246">
        <w:tab/>
      </w:r>
      <w:r w:rsidR="002768D2">
        <w:t>Ó</w:t>
      </w:r>
      <w:r w:rsidRPr="753EAABC">
        <w:rPr>
          <w:rFonts w:ascii="Arial" w:hAnsi="Arial" w:cs="Arial"/>
          <w:color w:val="000000" w:themeColor="text1"/>
          <w:sz w:val="24"/>
          <w:szCs w:val="24"/>
        </w:rPr>
        <w:t xml:space="preserve">scar Mauricio Gil Gómez </w:t>
      </w:r>
    </w:p>
    <w:p w14:paraId="2A6824D4" w14:textId="2B802C5D" w:rsidR="005E489B" w:rsidRPr="00906E1B" w:rsidRDefault="005E489B" w:rsidP="003F45B2">
      <w:pPr>
        <w:spacing w:line="276" w:lineRule="auto"/>
        <w:ind w:left="2120" w:right="51" w:hanging="2120"/>
        <w:jc w:val="both"/>
        <w:rPr>
          <w:rFonts w:ascii="Arial" w:hAnsi="Arial" w:cs="Arial"/>
          <w:color w:val="000000" w:themeColor="text1"/>
          <w:sz w:val="24"/>
          <w:szCs w:val="24"/>
        </w:rPr>
      </w:pPr>
      <w:r w:rsidRPr="00906E1B">
        <w:rPr>
          <w:rFonts w:ascii="Arial" w:hAnsi="Arial" w:cs="Arial"/>
          <w:b/>
          <w:bCs/>
          <w:color w:val="000000" w:themeColor="text1"/>
          <w:sz w:val="24"/>
          <w:szCs w:val="24"/>
        </w:rPr>
        <w:t>Demandado</w:t>
      </w:r>
      <w:r w:rsidRPr="00906E1B">
        <w:rPr>
          <w:rFonts w:ascii="Arial" w:hAnsi="Arial" w:cs="Arial"/>
          <w:color w:val="000000" w:themeColor="text1"/>
          <w:sz w:val="24"/>
          <w:szCs w:val="24"/>
        </w:rPr>
        <w:t xml:space="preserve">: </w:t>
      </w:r>
      <w:r w:rsidRPr="00906E1B">
        <w:rPr>
          <w:rFonts w:ascii="Arial" w:hAnsi="Arial" w:cs="Arial"/>
          <w:color w:val="000000" w:themeColor="text1"/>
          <w:sz w:val="24"/>
          <w:szCs w:val="24"/>
        </w:rPr>
        <w:tab/>
        <w:t>Consejo Superior de la Judicatura</w:t>
      </w:r>
      <w:r w:rsidR="004B1219" w:rsidRPr="00906E1B">
        <w:rPr>
          <w:rFonts w:ascii="Arial" w:hAnsi="Arial" w:cs="Arial"/>
          <w:color w:val="000000" w:themeColor="text1"/>
          <w:sz w:val="24"/>
          <w:szCs w:val="24"/>
        </w:rPr>
        <w:t xml:space="preserve"> Sala Disciplinaria</w:t>
      </w:r>
    </w:p>
    <w:p w14:paraId="6D81509B" w14:textId="14FE2E1E" w:rsidR="005E489B" w:rsidRPr="00906E1B" w:rsidRDefault="005E489B" w:rsidP="003F45B2">
      <w:pPr>
        <w:spacing w:line="276" w:lineRule="auto"/>
        <w:rPr>
          <w:rFonts w:ascii="Arial" w:hAnsi="Arial" w:cs="Arial"/>
          <w:color w:val="000000" w:themeColor="text1"/>
          <w:sz w:val="24"/>
          <w:szCs w:val="24"/>
        </w:rPr>
      </w:pPr>
    </w:p>
    <w:p w14:paraId="20B3CA65" w14:textId="41D3DD8B" w:rsidR="005E489B" w:rsidRPr="00906E1B" w:rsidRDefault="005E489B" w:rsidP="753EAABC">
      <w:pPr>
        <w:pBdr>
          <w:bottom w:val="single" w:sz="12" w:space="0" w:color="auto"/>
        </w:pBdr>
        <w:spacing w:line="276" w:lineRule="auto"/>
        <w:ind w:left="2127" w:hanging="2127"/>
        <w:jc w:val="both"/>
        <w:rPr>
          <w:rFonts w:ascii="Arial" w:hAnsi="Arial" w:cs="Arial"/>
          <w:b/>
          <w:bCs/>
          <w:color w:val="000000" w:themeColor="text1"/>
          <w:sz w:val="24"/>
          <w:szCs w:val="24"/>
        </w:rPr>
      </w:pPr>
      <w:r w:rsidRPr="753EAABC">
        <w:rPr>
          <w:rFonts w:ascii="Arial" w:hAnsi="Arial" w:cs="Arial"/>
          <w:b/>
          <w:bCs/>
          <w:color w:val="000000" w:themeColor="text1"/>
          <w:sz w:val="24"/>
          <w:szCs w:val="24"/>
        </w:rPr>
        <w:t>Temas:</w:t>
      </w:r>
      <w:r w:rsidRPr="753EAABC">
        <w:rPr>
          <w:rFonts w:ascii="Arial" w:hAnsi="Arial" w:cs="Arial"/>
          <w:color w:val="000000" w:themeColor="text1"/>
          <w:sz w:val="24"/>
          <w:szCs w:val="24"/>
        </w:rPr>
        <w:t xml:space="preserve"> </w:t>
      </w:r>
      <w:r>
        <w:tab/>
      </w:r>
      <w:r w:rsidRPr="753EAABC">
        <w:rPr>
          <w:rFonts w:ascii="Arial" w:hAnsi="Arial" w:cs="Arial"/>
          <w:i/>
          <w:iCs/>
          <w:color w:val="000000" w:themeColor="text1"/>
          <w:sz w:val="24"/>
          <w:szCs w:val="24"/>
        </w:rPr>
        <w:t xml:space="preserve">Tutela contra providencia judicial / </w:t>
      </w:r>
      <w:r w:rsidR="00312799" w:rsidRPr="753EAABC">
        <w:rPr>
          <w:rFonts w:ascii="Arial" w:hAnsi="Arial" w:cs="Arial"/>
          <w:i/>
          <w:iCs/>
          <w:color w:val="000000" w:themeColor="text1"/>
          <w:sz w:val="24"/>
          <w:szCs w:val="24"/>
        </w:rPr>
        <w:t xml:space="preserve">Indebida notificación / </w:t>
      </w:r>
      <w:r w:rsidR="00C34C00" w:rsidRPr="753EAABC">
        <w:rPr>
          <w:rFonts w:ascii="Arial" w:hAnsi="Arial" w:cs="Arial"/>
          <w:i/>
          <w:iCs/>
          <w:color w:val="000000" w:themeColor="text1"/>
          <w:sz w:val="24"/>
          <w:szCs w:val="24"/>
        </w:rPr>
        <w:t xml:space="preserve">Principio non bis in diem / Niega </w:t>
      </w:r>
      <w:r w:rsidR="00AE5BCF" w:rsidRPr="753EAABC">
        <w:rPr>
          <w:rFonts w:ascii="Arial" w:hAnsi="Arial" w:cs="Arial"/>
          <w:i/>
          <w:iCs/>
          <w:color w:val="000000" w:themeColor="text1"/>
          <w:sz w:val="24"/>
          <w:szCs w:val="24"/>
        </w:rPr>
        <w:t xml:space="preserve">aclaración y </w:t>
      </w:r>
      <w:r w:rsidR="00C34C00" w:rsidRPr="753EAABC">
        <w:rPr>
          <w:rFonts w:ascii="Arial" w:hAnsi="Arial" w:cs="Arial"/>
          <w:i/>
          <w:iCs/>
          <w:color w:val="000000" w:themeColor="text1"/>
          <w:sz w:val="24"/>
          <w:szCs w:val="24"/>
        </w:rPr>
        <w:t xml:space="preserve">adición a la sentencia de segunda instancia. </w:t>
      </w:r>
    </w:p>
    <w:p w14:paraId="1D34E7CF" w14:textId="0ECFA6A8" w:rsidR="00C34C00" w:rsidRPr="00906E1B" w:rsidRDefault="00C34C00" w:rsidP="003F45B2">
      <w:pPr>
        <w:pBdr>
          <w:bottom w:val="single" w:sz="12" w:space="0" w:color="auto"/>
        </w:pBdr>
        <w:spacing w:line="276" w:lineRule="auto"/>
        <w:rPr>
          <w:rFonts w:ascii="Arial" w:hAnsi="Arial" w:cs="Arial"/>
          <w:b/>
          <w:color w:val="000000" w:themeColor="text1"/>
          <w:sz w:val="24"/>
          <w:szCs w:val="24"/>
        </w:rPr>
      </w:pPr>
    </w:p>
    <w:p w14:paraId="4F393E04" w14:textId="77777777" w:rsidR="00050CAE" w:rsidRPr="00906E1B" w:rsidRDefault="00050CAE" w:rsidP="003F45B2">
      <w:pPr>
        <w:pBdr>
          <w:bottom w:val="single" w:sz="12" w:space="0" w:color="auto"/>
        </w:pBdr>
        <w:spacing w:line="276" w:lineRule="auto"/>
        <w:rPr>
          <w:rFonts w:ascii="Arial" w:hAnsi="Arial" w:cs="Arial"/>
          <w:b/>
          <w:color w:val="000000" w:themeColor="text1"/>
          <w:sz w:val="24"/>
          <w:szCs w:val="24"/>
        </w:rPr>
      </w:pPr>
    </w:p>
    <w:p w14:paraId="51951391" w14:textId="1FE43D62" w:rsidR="00C83D9F" w:rsidRPr="00906E1B" w:rsidRDefault="3DDC6BB9" w:rsidP="753EAABC">
      <w:pPr>
        <w:pBdr>
          <w:bottom w:val="single" w:sz="12" w:space="0" w:color="auto"/>
        </w:pBdr>
        <w:spacing w:line="276" w:lineRule="auto"/>
        <w:rPr>
          <w:rFonts w:ascii="Arial" w:hAnsi="Arial" w:cs="Arial"/>
          <w:b/>
          <w:bCs/>
          <w:color w:val="000000" w:themeColor="text1"/>
          <w:sz w:val="24"/>
          <w:szCs w:val="24"/>
        </w:rPr>
      </w:pPr>
      <w:r w:rsidRPr="753EAABC">
        <w:rPr>
          <w:rFonts w:ascii="Arial" w:hAnsi="Arial" w:cs="Arial"/>
          <w:b/>
          <w:bCs/>
          <w:color w:val="000000" w:themeColor="text1"/>
          <w:sz w:val="24"/>
          <w:szCs w:val="24"/>
        </w:rPr>
        <w:t xml:space="preserve">AUTO QUE REVUELVE SOLICITUD DE </w:t>
      </w:r>
      <w:r w:rsidR="008F0246">
        <w:rPr>
          <w:rFonts w:ascii="Arial" w:hAnsi="Arial" w:cs="Arial"/>
          <w:b/>
          <w:bCs/>
          <w:color w:val="000000" w:themeColor="text1"/>
          <w:sz w:val="24"/>
          <w:szCs w:val="24"/>
        </w:rPr>
        <w:t xml:space="preserve">ACLARACIÓN Y </w:t>
      </w:r>
      <w:r w:rsidRPr="753EAABC">
        <w:rPr>
          <w:rFonts w:ascii="Arial" w:hAnsi="Arial" w:cs="Arial"/>
          <w:b/>
          <w:bCs/>
          <w:color w:val="000000" w:themeColor="text1"/>
          <w:sz w:val="24"/>
          <w:szCs w:val="24"/>
        </w:rPr>
        <w:t>ADICIÓN</w:t>
      </w:r>
    </w:p>
    <w:p w14:paraId="538F89AD" w14:textId="4BAA61CE" w:rsidR="005E489B" w:rsidRPr="00906E1B" w:rsidRDefault="005E489B" w:rsidP="003F45B2">
      <w:pPr>
        <w:spacing w:line="276" w:lineRule="auto"/>
        <w:rPr>
          <w:rFonts w:ascii="Arial" w:hAnsi="Arial" w:cs="Arial"/>
          <w:color w:val="000000" w:themeColor="text1"/>
          <w:sz w:val="24"/>
          <w:szCs w:val="24"/>
        </w:rPr>
      </w:pPr>
    </w:p>
    <w:p w14:paraId="08269FE9" w14:textId="743DDDCE" w:rsidR="00C34C00" w:rsidRPr="00906E1B" w:rsidRDefault="00312799" w:rsidP="003F45B2">
      <w:pPr>
        <w:spacing w:line="276" w:lineRule="auto"/>
        <w:jc w:val="both"/>
        <w:rPr>
          <w:rFonts w:ascii="Arial" w:hAnsi="Arial" w:cs="Arial"/>
          <w:color w:val="000000" w:themeColor="text1"/>
          <w:sz w:val="24"/>
          <w:szCs w:val="24"/>
        </w:rPr>
      </w:pPr>
      <w:r w:rsidRPr="00906E1B">
        <w:rPr>
          <w:rFonts w:ascii="Arial" w:hAnsi="Arial" w:cs="Arial"/>
          <w:color w:val="000000" w:themeColor="text1"/>
          <w:sz w:val="24"/>
          <w:szCs w:val="24"/>
        </w:rPr>
        <w:t xml:space="preserve">Procede la Sala a decidir </w:t>
      </w:r>
      <w:r w:rsidR="00C34C00" w:rsidRPr="00906E1B">
        <w:rPr>
          <w:rFonts w:ascii="Arial" w:hAnsi="Arial" w:cs="Arial"/>
          <w:color w:val="000000" w:themeColor="text1"/>
          <w:sz w:val="24"/>
          <w:szCs w:val="24"/>
        </w:rPr>
        <w:t>la</w:t>
      </w:r>
      <w:r w:rsidR="000815B1" w:rsidRPr="00906E1B">
        <w:rPr>
          <w:rFonts w:ascii="Arial" w:hAnsi="Arial" w:cs="Arial"/>
          <w:color w:val="000000" w:themeColor="text1"/>
          <w:sz w:val="24"/>
          <w:szCs w:val="24"/>
        </w:rPr>
        <w:t>s</w:t>
      </w:r>
      <w:r w:rsidR="00C34C00" w:rsidRPr="00906E1B">
        <w:rPr>
          <w:rFonts w:ascii="Arial" w:hAnsi="Arial" w:cs="Arial"/>
          <w:color w:val="000000" w:themeColor="text1"/>
          <w:sz w:val="24"/>
          <w:szCs w:val="24"/>
        </w:rPr>
        <w:t xml:space="preserve"> solicitud</w:t>
      </w:r>
      <w:r w:rsidR="000815B1" w:rsidRPr="00906E1B">
        <w:rPr>
          <w:rFonts w:ascii="Arial" w:hAnsi="Arial" w:cs="Arial"/>
          <w:color w:val="000000" w:themeColor="text1"/>
          <w:sz w:val="24"/>
          <w:szCs w:val="24"/>
        </w:rPr>
        <w:t>es</w:t>
      </w:r>
      <w:r w:rsidR="00C34C00" w:rsidRPr="00906E1B">
        <w:rPr>
          <w:rFonts w:ascii="Arial" w:hAnsi="Arial" w:cs="Arial"/>
          <w:color w:val="000000" w:themeColor="text1"/>
          <w:sz w:val="24"/>
          <w:szCs w:val="24"/>
        </w:rPr>
        <w:t xml:space="preserve"> </w:t>
      </w:r>
      <w:r w:rsidR="00535493" w:rsidRPr="00906E1B">
        <w:rPr>
          <w:rFonts w:ascii="Arial" w:hAnsi="Arial" w:cs="Arial"/>
          <w:color w:val="000000" w:themeColor="text1"/>
          <w:sz w:val="24"/>
          <w:szCs w:val="24"/>
        </w:rPr>
        <w:t xml:space="preserve">de aclaración y adición </w:t>
      </w:r>
      <w:r w:rsidR="00C34C00" w:rsidRPr="00906E1B">
        <w:rPr>
          <w:rFonts w:ascii="Arial" w:hAnsi="Arial" w:cs="Arial"/>
          <w:color w:val="000000" w:themeColor="text1"/>
          <w:sz w:val="24"/>
          <w:szCs w:val="24"/>
        </w:rPr>
        <w:t>presentada</w:t>
      </w:r>
      <w:r w:rsidR="000815B1" w:rsidRPr="00906E1B">
        <w:rPr>
          <w:rFonts w:ascii="Arial" w:hAnsi="Arial" w:cs="Arial"/>
          <w:color w:val="000000" w:themeColor="text1"/>
          <w:sz w:val="24"/>
          <w:szCs w:val="24"/>
        </w:rPr>
        <w:t>s</w:t>
      </w:r>
      <w:r w:rsidR="00C34C00" w:rsidRPr="00906E1B">
        <w:rPr>
          <w:rFonts w:ascii="Arial" w:hAnsi="Arial" w:cs="Arial"/>
          <w:color w:val="000000" w:themeColor="text1"/>
          <w:sz w:val="24"/>
          <w:szCs w:val="24"/>
        </w:rPr>
        <w:t xml:space="preserve"> por el señor </w:t>
      </w:r>
      <w:r w:rsidR="008F0246">
        <w:rPr>
          <w:rFonts w:ascii="Arial" w:hAnsi="Arial" w:cs="Arial"/>
          <w:color w:val="000000" w:themeColor="text1"/>
          <w:sz w:val="24"/>
          <w:szCs w:val="24"/>
        </w:rPr>
        <w:t>Ó</w:t>
      </w:r>
      <w:r w:rsidR="008F0246" w:rsidRPr="00906E1B">
        <w:rPr>
          <w:rFonts w:ascii="Arial" w:hAnsi="Arial" w:cs="Arial"/>
          <w:color w:val="000000" w:themeColor="text1"/>
          <w:sz w:val="24"/>
          <w:szCs w:val="24"/>
        </w:rPr>
        <w:t xml:space="preserve">scar </w:t>
      </w:r>
      <w:r w:rsidR="00C34C00" w:rsidRPr="00906E1B">
        <w:rPr>
          <w:rFonts w:ascii="Arial" w:hAnsi="Arial" w:cs="Arial"/>
          <w:color w:val="000000" w:themeColor="text1"/>
          <w:sz w:val="24"/>
          <w:szCs w:val="24"/>
        </w:rPr>
        <w:t xml:space="preserve">Mauricio Gil Gómez a la sentencia </w:t>
      </w:r>
      <w:r w:rsidR="0098372D" w:rsidRPr="00906E1B">
        <w:rPr>
          <w:rFonts w:ascii="Arial" w:hAnsi="Arial" w:cs="Arial"/>
          <w:color w:val="000000" w:themeColor="text1"/>
          <w:sz w:val="24"/>
          <w:szCs w:val="24"/>
        </w:rPr>
        <w:t xml:space="preserve">de segunda instancia </w:t>
      </w:r>
      <w:r w:rsidR="00C34C00" w:rsidRPr="00906E1B">
        <w:rPr>
          <w:rFonts w:ascii="Arial" w:hAnsi="Arial" w:cs="Arial"/>
          <w:color w:val="000000" w:themeColor="text1"/>
          <w:sz w:val="24"/>
          <w:szCs w:val="24"/>
        </w:rPr>
        <w:t>proferida</w:t>
      </w:r>
      <w:r w:rsidR="007A6B33" w:rsidRPr="00906E1B">
        <w:rPr>
          <w:rFonts w:ascii="Arial" w:hAnsi="Arial" w:cs="Arial"/>
          <w:color w:val="000000" w:themeColor="text1"/>
          <w:sz w:val="24"/>
          <w:szCs w:val="24"/>
        </w:rPr>
        <w:t xml:space="preserve"> el 28 de mayo de 2021 por </w:t>
      </w:r>
      <w:r w:rsidR="008F0246">
        <w:rPr>
          <w:rFonts w:ascii="Arial" w:hAnsi="Arial" w:cs="Arial"/>
          <w:color w:val="000000" w:themeColor="text1"/>
          <w:sz w:val="24"/>
          <w:szCs w:val="24"/>
        </w:rPr>
        <w:t>esta</w:t>
      </w:r>
      <w:r w:rsidR="008F0246" w:rsidRPr="00906E1B">
        <w:rPr>
          <w:rFonts w:ascii="Arial" w:hAnsi="Arial" w:cs="Arial"/>
          <w:color w:val="000000" w:themeColor="text1"/>
          <w:sz w:val="24"/>
          <w:szCs w:val="24"/>
        </w:rPr>
        <w:t xml:space="preserve"> </w:t>
      </w:r>
      <w:r w:rsidR="007A6B33" w:rsidRPr="00906E1B">
        <w:rPr>
          <w:rFonts w:ascii="Arial" w:hAnsi="Arial" w:cs="Arial"/>
          <w:color w:val="000000" w:themeColor="text1"/>
          <w:sz w:val="24"/>
          <w:szCs w:val="24"/>
        </w:rPr>
        <w:t>Subsección</w:t>
      </w:r>
      <w:r w:rsidR="00C34C00" w:rsidRPr="00906E1B">
        <w:rPr>
          <w:rFonts w:ascii="Arial" w:hAnsi="Arial" w:cs="Arial"/>
          <w:color w:val="000000" w:themeColor="text1"/>
          <w:sz w:val="24"/>
          <w:szCs w:val="24"/>
        </w:rPr>
        <w:t xml:space="preserve">. </w:t>
      </w:r>
    </w:p>
    <w:p w14:paraId="69FEDB0C" w14:textId="366EAC41" w:rsidR="005E489B" w:rsidRPr="00906E1B" w:rsidRDefault="005E489B" w:rsidP="003F45B2">
      <w:pPr>
        <w:spacing w:line="276" w:lineRule="auto"/>
        <w:jc w:val="both"/>
        <w:rPr>
          <w:rFonts w:ascii="Arial" w:hAnsi="Arial" w:cs="Arial"/>
          <w:color w:val="000000" w:themeColor="text1"/>
          <w:sz w:val="24"/>
          <w:szCs w:val="24"/>
        </w:rPr>
      </w:pPr>
    </w:p>
    <w:p w14:paraId="4ED2FA0D" w14:textId="77777777" w:rsidR="00050CAE" w:rsidRPr="00906E1B" w:rsidRDefault="00050CAE" w:rsidP="003F45B2">
      <w:pPr>
        <w:spacing w:line="276" w:lineRule="auto"/>
        <w:jc w:val="both"/>
        <w:rPr>
          <w:rFonts w:ascii="Arial" w:hAnsi="Arial" w:cs="Arial"/>
          <w:color w:val="000000" w:themeColor="text1"/>
          <w:sz w:val="24"/>
          <w:szCs w:val="24"/>
        </w:rPr>
      </w:pPr>
    </w:p>
    <w:p w14:paraId="7B7F30D4" w14:textId="77777777" w:rsidR="00C34C00" w:rsidRPr="00906E1B" w:rsidRDefault="00C34C00" w:rsidP="003F45B2">
      <w:pPr>
        <w:spacing w:line="276" w:lineRule="auto"/>
        <w:jc w:val="center"/>
        <w:rPr>
          <w:rFonts w:ascii="Arial" w:eastAsia="?????? Pro W3" w:hAnsi="Arial" w:cs="Arial"/>
          <w:b/>
          <w:color w:val="000000" w:themeColor="text1"/>
          <w:sz w:val="24"/>
          <w:szCs w:val="24"/>
        </w:rPr>
      </w:pPr>
      <w:r w:rsidRPr="00906E1B">
        <w:rPr>
          <w:rFonts w:ascii="Arial" w:eastAsia="?????? Pro W3" w:hAnsi="Arial" w:cs="Arial"/>
          <w:b/>
          <w:color w:val="000000" w:themeColor="text1"/>
          <w:sz w:val="24"/>
          <w:szCs w:val="24"/>
        </w:rPr>
        <w:t>I. ANTECEDENTES</w:t>
      </w:r>
    </w:p>
    <w:p w14:paraId="08984F29" w14:textId="77777777" w:rsidR="00312799" w:rsidRPr="00906E1B" w:rsidRDefault="00312799" w:rsidP="003F45B2">
      <w:pPr>
        <w:spacing w:line="276" w:lineRule="auto"/>
        <w:jc w:val="both"/>
        <w:rPr>
          <w:rFonts w:ascii="Arial" w:hAnsi="Arial" w:cs="Arial"/>
          <w:color w:val="000000" w:themeColor="text1"/>
          <w:sz w:val="24"/>
          <w:szCs w:val="24"/>
        </w:rPr>
      </w:pPr>
    </w:p>
    <w:p w14:paraId="1959E10D" w14:textId="6BFB2760" w:rsidR="0098372D" w:rsidRPr="00906E1B" w:rsidRDefault="00C34C00" w:rsidP="003F45B2">
      <w:pPr>
        <w:spacing w:line="276" w:lineRule="auto"/>
        <w:jc w:val="both"/>
        <w:rPr>
          <w:rFonts w:ascii="Arial" w:hAnsi="Arial" w:cs="Arial"/>
          <w:color w:val="000000" w:themeColor="text1"/>
          <w:sz w:val="24"/>
          <w:szCs w:val="24"/>
        </w:rPr>
      </w:pPr>
      <w:r w:rsidRPr="00906E1B">
        <w:rPr>
          <w:rFonts w:ascii="Arial" w:hAnsi="Arial" w:cs="Arial"/>
          <w:color w:val="000000" w:themeColor="text1"/>
          <w:sz w:val="24"/>
          <w:szCs w:val="24"/>
        </w:rPr>
        <w:t xml:space="preserve">1.- </w:t>
      </w:r>
      <w:r w:rsidR="0098372D" w:rsidRPr="00906E1B">
        <w:rPr>
          <w:rFonts w:ascii="Arial" w:hAnsi="Arial" w:cs="Arial"/>
          <w:color w:val="000000" w:themeColor="text1"/>
          <w:sz w:val="24"/>
          <w:szCs w:val="24"/>
        </w:rPr>
        <w:t xml:space="preserve">El 23 de junio de 2021 el señor Gil Gómez presentó </w:t>
      </w:r>
      <w:r w:rsidR="00535493" w:rsidRPr="00906E1B">
        <w:rPr>
          <w:rFonts w:ascii="Arial" w:hAnsi="Arial" w:cs="Arial"/>
          <w:color w:val="000000" w:themeColor="text1"/>
          <w:sz w:val="24"/>
          <w:szCs w:val="24"/>
        </w:rPr>
        <w:t xml:space="preserve">sendas </w:t>
      </w:r>
      <w:r w:rsidR="0098372D" w:rsidRPr="00906E1B">
        <w:rPr>
          <w:rFonts w:ascii="Arial" w:hAnsi="Arial" w:cs="Arial"/>
          <w:color w:val="000000" w:themeColor="text1"/>
          <w:sz w:val="24"/>
          <w:szCs w:val="24"/>
        </w:rPr>
        <w:t>solicitud</w:t>
      </w:r>
      <w:r w:rsidR="00535493" w:rsidRPr="00906E1B">
        <w:rPr>
          <w:rFonts w:ascii="Arial" w:hAnsi="Arial" w:cs="Arial"/>
          <w:color w:val="000000" w:themeColor="text1"/>
          <w:sz w:val="24"/>
          <w:szCs w:val="24"/>
        </w:rPr>
        <w:t>es</w:t>
      </w:r>
      <w:r w:rsidR="0098372D" w:rsidRPr="00906E1B">
        <w:rPr>
          <w:rFonts w:ascii="Arial" w:hAnsi="Arial" w:cs="Arial"/>
          <w:color w:val="000000" w:themeColor="text1"/>
          <w:sz w:val="24"/>
          <w:szCs w:val="24"/>
        </w:rPr>
        <w:t xml:space="preserve"> de adición y aclaración a la sentencia emitida por esta Corporación el 28 de mayo de 2021 y notificada por correo electrónico el 21 de junio del mismo año. </w:t>
      </w:r>
    </w:p>
    <w:p w14:paraId="798B6769" w14:textId="77777777" w:rsidR="0098372D" w:rsidRPr="00906E1B" w:rsidRDefault="0098372D" w:rsidP="003F45B2">
      <w:pPr>
        <w:spacing w:line="276" w:lineRule="auto"/>
        <w:jc w:val="both"/>
        <w:rPr>
          <w:rFonts w:ascii="Arial" w:hAnsi="Arial" w:cs="Arial"/>
          <w:color w:val="000000" w:themeColor="text1"/>
          <w:sz w:val="24"/>
          <w:szCs w:val="24"/>
        </w:rPr>
      </w:pPr>
    </w:p>
    <w:p w14:paraId="28A71DE5" w14:textId="69D7AE1A" w:rsidR="00312799" w:rsidRPr="00906E1B" w:rsidRDefault="0098372D" w:rsidP="003F45B2">
      <w:pPr>
        <w:spacing w:line="276" w:lineRule="auto"/>
        <w:jc w:val="both"/>
        <w:rPr>
          <w:rFonts w:ascii="Arial" w:hAnsi="Arial" w:cs="Arial"/>
          <w:color w:val="000000" w:themeColor="text1"/>
          <w:sz w:val="24"/>
          <w:szCs w:val="24"/>
        </w:rPr>
      </w:pPr>
      <w:r w:rsidRPr="00906E1B">
        <w:rPr>
          <w:rFonts w:ascii="Arial" w:hAnsi="Arial" w:cs="Arial"/>
          <w:color w:val="000000" w:themeColor="text1"/>
          <w:sz w:val="24"/>
          <w:szCs w:val="24"/>
        </w:rPr>
        <w:t xml:space="preserve">2.- </w:t>
      </w:r>
      <w:r w:rsidR="00C34C00" w:rsidRPr="00906E1B">
        <w:rPr>
          <w:rFonts w:ascii="Arial" w:hAnsi="Arial" w:cs="Arial"/>
          <w:color w:val="000000" w:themeColor="text1"/>
          <w:sz w:val="24"/>
          <w:szCs w:val="24"/>
        </w:rPr>
        <w:t>En su solicitud de aclaración y adición, el accionante formuló las peticiones</w:t>
      </w:r>
      <w:r w:rsidR="008F0246">
        <w:rPr>
          <w:rFonts w:ascii="Arial" w:hAnsi="Arial" w:cs="Arial"/>
          <w:color w:val="000000" w:themeColor="text1"/>
          <w:sz w:val="24"/>
          <w:szCs w:val="24"/>
        </w:rPr>
        <w:t xml:space="preserve"> que se transcriben textualmente</w:t>
      </w:r>
      <w:r w:rsidR="00C34C00" w:rsidRPr="00906E1B">
        <w:rPr>
          <w:rFonts w:ascii="Arial" w:hAnsi="Arial" w:cs="Arial"/>
          <w:color w:val="000000" w:themeColor="text1"/>
          <w:sz w:val="24"/>
          <w:szCs w:val="24"/>
        </w:rPr>
        <w:t xml:space="preserve">: </w:t>
      </w:r>
    </w:p>
    <w:p w14:paraId="7F745733" w14:textId="77777777" w:rsidR="00C34C00" w:rsidRPr="00906E1B" w:rsidRDefault="00C34C00" w:rsidP="003F45B2">
      <w:pPr>
        <w:spacing w:line="276" w:lineRule="auto"/>
        <w:jc w:val="both"/>
        <w:rPr>
          <w:rFonts w:ascii="Arial" w:hAnsi="Arial" w:cs="Arial"/>
          <w:color w:val="000000" w:themeColor="text1"/>
          <w:sz w:val="24"/>
          <w:szCs w:val="24"/>
        </w:rPr>
      </w:pPr>
    </w:p>
    <w:p w14:paraId="62EF8AF5" w14:textId="4EF5003A" w:rsidR="00C34C00" w:rsidRPr="00906E1B" w:rsidRDefault="00C34C00" w:rsidP="003F45B2">
      <w:pPr>
        <w:spacing w:line="276" w:lineRule="auto"/>
        <w:ind w:left="708"/>
        <w:jc w:val="both"/>
        <w:rPr>
          <w:rFonts w:ascii="Arial" w:eastAsiaTheme="minorHAnsi" w:hAnsi="Arial" w:cs="Arial"/>
          <w:i/>
          <w:iCs/>
          <w:color w:val="000000" w:themeColor="text1"/>
          <w:sz w:val="24"/>
          <w:szCs w:val="24"/>
        </w:rPr>
      </w:pPr>
      <w:r w:rsidRPr="00906E1B">
        <w:rPr>
          <w:rFonts w:ascii="Arial" w:eastAsiaTheme="minorHAnsi" w:hAnsi="Arial" w:cs="Arial"/>
          <w:i/>
          <w:iCs/>
          <w:color w:val="000000" w:themeColor="text1"/>
          <w:sz w:val="24"/>
          <w:szCs w:val="24"/>
        </w:rPr>
        <w:t>&lt;&lt;1. Se aclare porque la notificación sin la copia integra, autentica y gratuita de la sentencia de segunda instancia proferida por el C.S.J., el 8 de julio de 2020 está perfectamente realizada y no está viciada por indebida notificación.</w:t>
      </w:r>
    </w:p>
    <w:p w14:paraId="28075123" w14:textId="77777777" w:rsidR="00917708" w:rsidRPr="00906E1B" w:rsidRDefault="00917708" w:rsidP="003F45B2">
      <w:pPr>
        <w:spacing w:line="276" w:lineRule="auto"/>
        <w:ind w:left="708"/>
        <w:jc w:val="both"/>
        <w:rPr>
          <w:rFonts w:ascii="Arial" w:eastAsiaTheme="minorHAnsi" w:hAnsi="Arial" w:cs="Arial"/>
          <w:i/>
          <w:iCs/>
          <w:color w:val="000000" w:themeColor="text1"/>
          <w:sz w:val="24"/>
          <w:szCs w:val="24"/>
        </w:rPr>
      </w:pPr>
    </w:p>
    <w:p w14:paraId="54757AC9" w14:textId="1F3C24D9" w:rsidR="00C34C00" w:rsidRPr="00906E1B" w:rsidRDefault="00C34C00" w:rsidP="003F45B2">
      <w:pPr>
        <w:spacing w:line="276" w:lineRule="auto"/>
        <w:ind w:left="708"/>
        <w:jc w:val="both"/>
        <w:rPr>
          <w:rFonts w:ascii="Arial" w:eastAsiaTheme="minorHAnsi" w:hAnsi="Arial" w:cs="Arial"/>
          <w:i/>
          <w:iCs/>
          <w:color w:val="000000" w:themeColor="text1"/>
          <w:sz w:val="24"/>
          <w:szCs w:val="24"/>
        </w:rPr>
      </w:pPr>
      <w:r w:rsidRPr="00906E1B">
        <w:rPr>
          <w:rFonts w:ascii="Arial" w:eastAsiaTheme="minorHAnsi" w:hAnsi="Arial" w:cs="Arial"/>
          <w:i/>
          <w:iCs/>
          <w:color w:val="000000" w:themeColor="text1"/>
          <w:sz w:val="24"/>
          <w:szCs w:val="24"/>
        </w:rPr>
        <w:lastRenderedPageBreak/>
        <w:t>2. Se aclare cu</w:t>
      </w:r>
      <w:r w:rsidR="002768D2">
        <w:rPr>
          <w:rFonts w:ascii="Arial" w:eastAsiaTheme="minorHAnsi" w:hAnsi="Arial" w:cs="Arial"/>
          <w:i/>
          <w:iCs/>
          <w:color w:val="000000" w:themeColor="text1"/>
          <w:sz w:val="24"/>
          <w:szCs w:val="24"/>
        </w:rPr>
        <w:t>á</w:t>
      </w:r>
      <w:r w:rsidRPr="00906E1B">
        <w:rPr>
          <w:rFonts w:ascii="Arial" w:eastAsiaTheme="minorHAnsi" w:hAnsi="Arial" w:cs="Arial"/>
          <w:i/>
          <w:iCs/>
          <w:color w:val="000000" w:themeColor="text1"/>
          <w:sz w:val="24"/>
          <w:szCs w:val="24"/>
        </w:rPr>
        <w:t xml:space="preserve">l es la conducta del 25 de julio de 2016, que dice el fallo en el numeral 10.13.1 de los Antecedentes, </w:t>
      </w:r>
      <w:r w:rsidR="002768D2">
        <w:rPr>
          <w:rFonts w:ascii="Arial" w:eastAsiaTheme="minorHAnsi" w:hAnsi="Arial" w:cs="Arial"/>
          <w:i/>
          <w:iCs/>
          <w:color w:val="000000" w:themeColor="text1"/>
          <w:sz w:val="24"/>
          <w:szCs w:val="24"/>
        </w:rPr>
        <w:t xml:space="preserve">[y por qué] </w:t>
      </w:r>
      <w:r w:rsidRPr="00906E1B">
        <w:rPr>
          <w:rFonts w:ascii="Arial" w:eastAsiaTheme="minorHAnsi" w:hAnsi="Arial" w:cs="Arial"/>
          <w:i/>
          <w:iCs/>
          <w:color w:val="000000" w:themeColor="text1"/>
          <w:sz w:val="24"/>
          <w:szCs w:val="24"/>
        </w:rPr>
        <w:t xml:space="preserve">es la última conducta realizada por el disciplinable, y no el 15 de julio de 2015, como se desprende de todo el proceso disciplinario y de la que parte la sala en los HECHOS del fallo. </w:t>
      </w:r>
    </w:p>
    <w:p w14:paraId="5EEB22A4" w14:textId="77777777" w:rsidR="00917708" w:rsidRPr="00906E1B" w:rsidRDefault="00917708" w:rsidP="003F45B2">
      <w:pPr>
        <w:spacing w:line="276" w:lineRule="auto"/>
        <w:ind w:left="708"/>
        <w:jc w:val="both"/>
        <w:rPr>
          <w:rFonts w:ascii="Arial" w:eastAsiaTheme="minorHAnsi" w:hAnsi="Arial" w:cs="Arial"/>
          <w:i/>
          <w:iCs/>
          <w:color w:val="000000" w:themeColor="text1"/>
          <w:sz w:val="24"/>
          <w:szCs w:val="24"/>
        </w:rPr>
      </w:pPr>
    </w:p>
    <w:p w14:paraId="6EEDE8CD" w14:textId="7D9CE709" w:rsidR="00C34C00" w:rsidRPr="00906E1B" w:rsidRDefault="00C34C00" w:rsidP="003F45B2">
      <w:pPr>
        <w:spacing w:line="276" w:lineRule="auto"/>
        <w:ind w:left="708"/>
        <w:jc w:val="both"/>
        <w:rPr>
          <w:rFonts w:ascii="Arial" w:eastAsiaTheme="minorHAnsi" w:hAnsi="Arial" w:cs="Arial"/>
          <w:i/>
          <w:iCs/>
          <w:color w:val="000000" w:themeColor="text1"/>
          <w:sz w:val="24"/>
          <w:szCs w:val="24"/>
        </w:rPr>
      </w:pPr>
      <w:r w:rsidRPr="00906E1B">
        <w:rPr>
          <w:rFonts w:ascii="Arial" w:eastAsiaTheme="minorHAnsi" w:hAnsi="Arial" w:cs="Arial"/>
          <w:i/>
          <w:iCs/>
          <w:color w:val="000000" w:themeColor="text1"/>
          <w:sz w:val="24"/>
          <w:szCs w:val="24"/>
        </w:rPr>
        <w:t xml:space="preserve">3. Se aclare por qué, la falta de la inclusión DE LA SENTENCIA en la notificación, que es lo que se alega en la acción, es un defecto orgánico y no procedimental, como lo asegura la sala, para negar la prescripción. </w:t>
      </w:r>
    </w:p>
    <w:p w14:paraId="07582EF9" w14:textId="77777777" w:rsidR="00917708" w:rsidRPr="00906E1B" w:rsidRDefault="00917708" w:rsidP="003F45B2">
      <w:pPr>
        <w:spacing w:line="276" w:lineRule="auto"/>
        <w:ind w:left="708"/>
        <w:jc w:val="both"/>
        <w:rPr>
          <w:rFonts w:ascii="Arial" w:eastAsiaTheme="minorHAnsi" w:hAnsi="Arial" w:cs="Arial"/>
          <w:i/>
          <w:iCs/>
          <w:color w:val="000000" w:themeColor="text1"/>
          <w:sz w:val="24"/>
          <w:szCs w:val="24"/>
        </w:rPr>
      </w:pPr>
    </w:p>
    <w:p w14:paraId="4CF2D897" w14:textId="5D0EACBE" w:rsidR="00C34C00" w:rsidRPr="00906E1B" w:rsidRDefault="00C34C00" w:rsidP="003F45B2">
      <w:pPr>
        <w:spacing w:line="276" w:lineRule="auto"/>
        <w:ind w:left="708"/>
        <w:jc w:val="both"/>
        <w:rPr>
          <w:rFonts w:ascii="Arial" w:eastAsiaTheme="minorHAnsi" w:hAnsi="Arial" w:cs="Arial"/>
          <w:i/>
          <w:iCs/>
          <w:color w:val="000000" w:themeColor="text1"/>
          <w:sz w:val="24"/>
          <w:szCs w:val="24"/>
        </w:rPr>
      </w:pPr>
      <w:r w:rsidRPr="00906E1B">
        <w:rPr>
          <w:rFonts w:ascii="Arial" w:eastAsiaTheme="minorHAnsi" w:hAnsi="Arial" w:cs="Arial"/>
          <w:i/>
          <w:iCs/>
          <w:color w:val="000000" w:themeColor="text1"/>
          <w:sz w:val="24"/>
          <w:szCs w:val="24"/>
        </w:rPr>
        <w:t xml:space="preserve">4. Se aclare, si la consideración y posición de la sala y lo que dice el fallo es, que en la notificación personal de sentencias, la inclusión de la copia íntegra, auténtica y gratuita de la sentencia, no es obligatoria. </w:t>
      </w:r>
    </w:p>
    <w:p w14:paraId="1705EE43" w14:textId="77777777" w:rsidR="00917708" w:rsidRPr="00906E1B" w:rsidRDefault="00917708" w:rsidP="003F45B2">
      <w:pPr>
        <w:spacing w:line="276" w:lineRule="auto"/>
        <w:ind w:left="708"/>
        <w:jc w:val="both"/>
        <w:rPr>
          <w:rFonts w:ascii="Arial" w:eastAsiaTheme="minorHAnsi" w:hAnsi="Arial" w:cs="Arial"/>
          <w:i/>
          <w:iCs/>
          <w:color w:val="000000" w:themeColor="text1"/>
          <w:sz w:val="24"/>
          <w:szCs w:val="24"/>
        </w:rPr>
      </w:pPr>
    </w:p>
    <w:p w14:paraId="1907F44B" w14:textId="59922FC5" w:rsidR="00C34C00" w:rsidRPr="00906E1B" w:rsidRDefault="00C34C00" w:rsidP="003F45B2">
      <w:pPr>
        <w:spacing w:line="276" w:lineRule="auto"/>
        <w:ind w:left="708"/>
        <w:jc w:val="both"/>
        <w:rPr>
          <w:rFonts w:ascii="Arial" w:eastAsiaTheme="minorHAnsi" w:hAnsi="Arial" w:cs="Arial"/>
          <w:i/>
          <w:iCs/>
          <w:color w:val="000000" w:themeColor="text1"/>
          <w:sz w:val="24"/>
          <w:szCs w:val="24"/>
        </w:rPr>
      </w:pPr>
      <w:r w:rsidRPr="00906E1B">
        <w:rPr>
          <w:rFonts w:ascii="Arial" w:eastAsiaTheme="minorHAnsi" w:hAnsi="Arial" w:cs="Arial"/>
          <w:i/>
          <w:iCs/>
          <w:color w:val="000000" w:themeColor="text1"/>
          <w:sz w:val="24"/>
          <w:szCs w:val="24"/>
        </w:rPr>
        <w:t xml:space="preserve">5. Se aclare cual es el alcance del principio constitucional del NON BIS IN IDEM y en el caso concreto, cuando se presenta. Si el que viola el derecho es quien ordena investigar dos veces por los mismos hechos, o el que investiga dos veces por los mismos hechos. </w:t>
      </w:r>
    </w:p>
    <w:p w14:paraId="583F7194" w14:textId="77777777" w:rsidR="00917708" w:rsidRPr="00906E1B" w:rsidRDefault="00917708" w:rsidP="003F45B2">
      <w:pPr>
        <w:spacing w:line="276" w:lineRule="auto"/>
        <w:ind w:left="708"/>
        <w:jc w:val="both"/>
        <w:rPr>
          <w:rFonts w:ascii="Arial" w:eastAsiaTheme="minorHAnsi" w:hAnsi="Arial" w:cs="Arial"/>
          <w:i/>
          <w:iCs/>
          <w:color w:val="000000" w:themeColor="text1"/>
          <w:sz w:val="24"/>
          <w:szCs w:val="24"/>
        </w:rPr>
      </w:pPr>
    </w:p>
    <w:p w14:paraId="14CE9882" w14:textId="14F532E1" w:rsidR="00C34C00" w:rsidRPr="00906E1B" w:rsidRDefault="00C34C00" w:rsidP="003F45B2">
      <w:pPr>
        <w:spacing w:line="276" w:lineRule="auto"/>
        <w:ind w:left="708"/>
        <w:jc w:val="both"/>
        <w:rPr>
          <w:rFonts w:ascii="Arial" w:eastAsiaTheme="minorHAnsi" w:hAnsi="Arial" w:cs="Arial"/>
          <w:i/>
          <w:iCs/>
          <w:color w:val="000000" w:themeColor="text1"/>
          <w:sz w:val="24"/>
          <w:szCs w:val="24"/>
        </w:rPr>
      </w:pPr>
      <w:r w:rsidRPr="00906E1B">
        <w:rPr>
          <w:rFonts w:ascii="Arial" w:eastAsiaTheme="minorHAnsi" w:hAnsi="Arial" w:cs="Arial"/>
          <w:i/>
          <w:iCs/>
          <w:color w:val="000000" w:themeColor="text1"/>
          <w:sz w:val="24"/>
          <w:szCs w:val="24"/>
        </w:rPr>
        <w:t xml:space="preserve">6. Se aclare si el Consejo Seccional De la Judicatura de Bogotá puede compulsarse copias a sí mismo para que investigue unos hechos que ya investigó, habida cuenta que los Magistrados en ambos procesos son del mismo rango y cumplen las mismas funciones, es decir, representan a la misma corporación en el mismo nivel. </w:t>
      </w:r>
    </w:p>
    <w:p w14:paraId="1DAD9BBC" w14:textId="77777777" w:rsidR="00917708" w:rsidRPr="00906E1B" w:rsidRDefault="00917708" w:rsidP="003F45B2">
      <w:pPr>
        <w:spacing w:line="276" w:lineRule="auto"/>
        <w:ind w:left="708"/>
        <w:jc w:val="both"/>
        <w:rPr>
          <w:rFonts w:ascii="Arial" w:eastAsiaTheme="minorHAnsi" w:hAnsi="Arial" w:cs="Arial"/>
          <w:i/>
          <w:iCs/>
          <w:color w:val="000000" w:themeColor="text1"/>
          <w:sz w:val="24"/>
          <w:szCs w:val="24"/>
        </w:rPr>
      </w:pPr>
    </w:p>
    <w:p w14:paraId="68B039E8" w14:textId="599AB397" w:rsidR="00312799" w:rsidRPr="00906E1B" w:rsidRDefault="00C34C00" w:rsidP="003F45B2">
      <w:pPr>
        <w:spacing w:line="276" w:lineRule="auto"/>
        <w:ind w:left="708"/>
        <w:jc w:val="both"/>
        <w:rPr>
          <w:rFonts w:ascii="Arial" w:eastAsiaTheme="minorHAnsi" w:hAnsi="Arial" w:cs="Arial"/>
          <w:i/>
          <w:iCs/>
          <w:color w:val="000000" w:themeColor="text1"/>
          <w:sz w:val="24"/>
          <w:szCs w:val="24"/>
        </w:rPr>
      </w:pPr>
      <w:r w:rsidRPr="00906E1B">
        <w:rPr>
          <w:rFonts w:ascii="Arial" w:eastAsiaTheme="minorHAnsi" w:hAnsi="Arial" w:cs="Arial"/>
          <w:i/>
          <w:iCs/>
          <w:color w:val="000000" w:themeColor="text1"/>
          <w:sz w:val="24"/>
          <w:szCs w:val="24"/>
        </w:rPr>
        <w:t>7. Se adicione la sentencia, conforme a lo ordenado por el artículo 287 del C.G.P., o sea mediante sentencia complementaria, donde se pronuncie la sala y resuelva, lo solicitado en la acción de Tutela, que no consta en la sentencia, en cuanto a la prescripción de la acción disciplinaria, por la falta de la incorporación de la copia íntegra auténtica y gratuita de la SENTENCIA de segunda instancia, en la notificación que de la misma hizo el secretario del C.S.J., teniendo en cuenta que la última actuación investigada dentro del disciplinario, fue la firma del contrato de transacción el 15 de julio de 2015 y que la copia de LA SENTENCIA que se pretendió notificar el 14 de julio de 2020, fue enviada por correo electrónico el 18 de julio de 2020, por el secretario de la Sala Jurisdiccional Disciplinaria del Consejo Superior de la Judicatura, del cual reposa copia como prueba en los anexos de la acción.&gt;&gt;</w:t>
      </w:r>
    </w:p>
    <w:p w14:paraId="03638DDF" w14:textId="1D465DDC" w:rsidR="0098372D" w:rsidRPr="00906E1B" w:rsidRDefault="0098372D" w:rsidP="003F45B2">
      <w:pPr>
        <w:spacing w:line="276" w:lineRule="auto"/>
        <w:jc w:val="both"/>
        <w:rPr>
          <w:rFonts w:ascii="Arial" w:eastAsiaTheme="minorHAnsi" w:hAnsi="Arial" w:cs="Arial"/>
          <w:color w:val="000000" w:themeColor="text1"/>
          <w:sz w:val="24"/>
          <w:szCs w:val="24"/>
        </w:rPr>
      </w:pPr>
    </w:p>
    <w:p w14:paraId="2C119615" w14:textId="006831ED" w:rsidR="0098372D" w:rsidRPr="002768D2" w:rsidRDefault="006C1D01" w:rsidP="003F45B2">
      <w:pPr>
        <w:spacing w:line="276" w:lineRule="auto"/>
        <w:jc w:val="both"/>
        <w:rPr>
          <w:rFonts w:ascii="Arial" w:eastAsiaTheme="minorHAnsi" w:hAnsi="Arial" w:cs="Arial"/>
          <w:color w:val="000000" w:themeColor="text1"/>
          <w:sz w:val="24"/>
          <w:szCs w:val="24"/>
        </w:rPr>
      </w:pPr>
      <w:r w:rsidRPr="00906E1B">
        <w:rPr>
          <w:rFonts w:ascii="Arial" w:eastAsiaTheme="minorHAnsi" w:hAnsi="Arial" w:cs="Arial"/>
          <w:bCs/>
          <w:color w:val="000000" w:themeColor="text1"/>
          <w:sz w:val="24"/>
          <w:szCs w:val="24"/>
        </w:rPr>
        <w:t xml:space="preserve">3.- </w:t>
      </w:r>
      <w:r w:rsidRPr="002768D2">
        <w:rPr>
          <w:rFonts w:ascii="Arial" w:eastAsiaTheme="minorHAnsi" w:hAnsi="Arial" w:cs="Arial"/>
          <w:color w:val="000000" w:themeColor="text1"/>
          <w:sz w:val="24"/>
          <w:szCs w:val="24"/>
        </w:rPr>
        <w:t>Como fundamentos</w:t>
      </w:r>
      <w:r w:rsidR="00334327">
        <w:rPr>
          <w:rFonts w:ascii="Arial" w:eastAsiaTheme="minorHAnsi" w:hAnsi="Arial" w:cs="Arial"/>
          <w:color w:val="000000" w:themeColor="text1"/>
          <w:sz w:val="24"/>
          <w:szCs w:val="24"/>
        </w:rPr>
        <w:t xml:space="preserve"> de la solicitud</w:t>
      </w:r>
      <w:r w:rsidRPr="002768D2">
        <w:rPr>
          <w:rFonts w:ascii="Arial" w:eastAsiaTheme="minorHAnsi" w:hAnsi="Arial" w:cs="Arial"/>
          <w:color w:val="000000" w:themeColor="text1"/>
          <w:sz w:val="24"/>
          <w:szCs w:val="24"/>
        </w:rPr>
        <w:t xml:space="preserve"> señaló lo</w:t>
      </w:r>
      <w:r w:rsidR="00CB33B3" w:rsidRPr="002768D2">
        <w:rPr>
          <w:rFonts w:ascii="Arial" w:eastAsiaTheme="minorHAnsi" w:hAnsi="Arial" w:cs="Arial"/>
          <w:color w:val="000000" w:themeColor="text1"/>
          <w:sz w:val="24"/>
          <w:szCs w:val="24"/>
        </w:rPr>
        <w:t>s</w:t>
      </w:r>
      <w:r w:rsidRPr="002768D2">
        <w:rPr>
          <w:rFonts w:ascii="Arial" w:eastAsiaTheme="minorHAnsi" w:hAnsi="Arial" w:cs="Arial"/>
          <w:color w:val="000000" w:themeColor="text1"/>
          <w:sz w:val="24"/>
          <w:szCs w:val="24"/>
        </w:rPr>
        <w:t xml:space="preserve"> siguiente</w:t>
      </w:r>
      <w:r w:rsidR="00CB33B3" w:rsidRPr="002768D2">
        <w:rPr>
          <w:rFonts w:ascii="Arial" w:eastAsiaTheme="minorHAnsi" w:hAnsi="Arial" w:cs="Arial"/>
          <w:color w:val="000000" w:themeColor="text1"/>
          <w:sz w:val="24"/>
          <w:szCs w:val="24"/>
        </w:rPr>
        <w:t>s:</w:t>
      </w:r>
    </w:p>
    <w:p w14:paraId="745E0EC8" w14:textId="77777777" w:rsidR="0098372D" w:rsidRPr="00906E1B" w:rsidRDefault="0098372D" w:rsidP="003F45B2">
      <w:pPr>
        <w:spacing w:line="276" w:lineRule="auto"/>
        <w:jc w:val="both"/>
        <w:rPr>
          <w:rFonts w:ascii="Arial" w:hAnsi="Arial" w:cs="Arial"/>
          <w:color w:val="000000" w:themeColor="text1"/>
          <w:sz w:val="24"/>
          <w:szCs w:val="24"/>
        </w:rPr>
      </w:pPr>
    </w:p>
    <w:p w14:paraId="5769FFF2" w14:textId="508EDC7C" w:rsidR="0098372D" w:rsidRPr="00906E1B" w:rsidRDefault="006C1D01" w:rsidP="003F45B2">
      <w:pPr>
        <w:spacing w:line="276" w:lineRule="auto"/>
        <w:jc w:val="both"/>
        <w:rPr>
          <w:rFonts w:ascii="Arial" w:hAnsi="Arial" w:cs="Arial"/>
          <w:color w:val="000000" w:themeColor="text1"/>
          <w:sz w:val="24"/>
          <w:szCs w:val="24"/>
        </w:rPr>
      </w:pPr>
      <w:r w:rsidRPr="00906E1B">
        <w:rPr>
          <w:rFonts w:ascii="Arial" w:hAnsi="Arial" w:cs="Arial"/>
          <w:color w:val="000000" w:themeColor="text1"/>
          <w:sz w:val="24"/>
          <w:szCs w:val="24"/>
        </w:rPr>
        <w:t>3.1</w:t>
      </w:r>
      <w:r w:rsidR="00F665B2" w:rsidRPr="00906E1B">
        <w:rPr>
          <w:rFonts w:ascii="Arial" w:hAnsi="Arial" w:cs="Arial"/>
          <w:color w:val="000000" w:themeColor="text1"/>
          <w:sz w:val="24"/>
          <w:szCs w:val="24"/>
        </w:rPr>
        <w:t>.</w:t>
      </w:r>
      <w:r w:rsidR="0098372D" w:rsidRPr="00906E1B">
        <w:rPr>
          <w:rFonts w:ascii="Arial" w:hAnsi="Arial" w:cs="Arial"/>
          <w:color w:val="000000" w:themeColor="text1"/>
          <w:sz w:val="24"/>
          <w:szCs w:val="24"/>
        </w:rPr>
        <w:t>-</w:t>
      </w:r>
      <w:r w:rsidR="00F665B2" w:rsidRPr="00906E1B">
        <w:rPr>
          <w:rFonts w:ascii="Arial" w:hAnsi="Arial" w:cs="Arial"/>
          <w:color w:val="000000" w:themeColor="text1"/>
          <w:sz w:val="24"/>
          <w:szCs w:val="24"/>
        </w:rPr>
        <w:t xml:space="preserve"> En primer lugar</w:t>
      </w:r>
      <w:r w:rsidR="0098372D" w:rsidRPr="00906E1B">
        <w:rPr>
          <w:rFonts w:ascii="Arial" w:hAnsi="Arial" w:cs="Arial"/>
          <w:color w:val="000000" w:themeColor="text1"/>
          <w:sz w:val="24"/>
          <w:szCs w:val="24"/>
        </w:rPr>
        <w:t xml:space="preserve">, </w:t>
      </w:r>
      <w:r w:rsidR="00F665B2" w:rsidRPr="00906E1B">
        <w:rPr>
          <w:rFonts w:ascii="Arial" w:hAnsi="Arial" w:cs="Arial"/>
          <w:color w:val="000000" w:themeColor="text1"/>
          <w:sz w:val="24"/>
          <w:szCs w:val="24"/>
        </w:rPr>
        <w:t xml:space="preserve">el accionante </w:t>
      </w:r>
      <w:r w:rsidR="0098372D" w:rsidRPr="00906E1B">
        <w:rPr>
          <w:rFonts w:ascii="Arial" w:hAnsi="Arial" w:cs="Arial"/>
          <w:color w:val="000000" w:themeColor="text1"/>
          <w:sz w:val="24"/>
          <w:szCs w:val="24"/>
        </w:rPr>
        <w:t>manifestó que no fue el salvamento de voto lo que se notificó en indebida forma, sino la sentencia de segunda instancia</w:t>
      </w:r>
      <w:r w:rsidR="00556909" w:rsidRPr="00906E1B">
        <w:rPr>
          <w:rFonts w:ascii="Arial" w:hAnsi="Arial" w:cs="Arial"/>
          <w:color w:val="000000" w:themeColor="text1"/>
          <w:sz w:val="24"/>
          <w:szCs w:val="24"/>
        </w:rPr>
        <w:t xml:space="preserve">; </w:t>
      </w:r>
      <w:r w:rsidR="0098372D" w:rsidRPr="00906E1B">
        <w:rPr>
          <w:rFonts w:ascii="Arial" w:hAnsi="Arial" w:cs="Arial"/>
          <w:color w:val="000000" w:themeColor="text1"/>
          <w:sz w:val="24"/>
          <w:szCs w:val="24"/>
        </w:rPr>
        <w:t xml:space="preserve">por lo </w:t>
      </w:r>
      <w:r w:rsidR="00556909" w:rsidRPr="00906E1B">
        <w:rPr>
          <w:rFonts w:ascii="Arial" w:hAnsi="Arial" w:cs="Arial"/>
          <w:color w:val="000000" w:themeColor="text1"/>
          <w:sz w:val="24"/>
          <w:szCs w:val="24"/>
        </w:rPr>
        <w:t>tanto,</w:t>
      </w:r>
      <w:r w:rsidR="0098372D" w:rsidRPr="00906E1B">
        <w:rPr>
          <w:rFonts w:ascii="Arial" w:hAnsi="Arial" w:cs="Arial"/>
          <w:color w:val="000000" w:themeColor="text1"/>
          <w:sz w:val="24"/>
          <w:szCs w:val="24"/>
        </w:rPr>
        <w:t xml:space="preserve"> pid</w:t>
      </w:r>
      <w:r w:rsidR="006C38D6" w:rsidRPr="00906E1B">
        <w:rPr>
          <w:rFonts w:ascii="Arial" w:hAnsi="Arial" w:cs="Arial"/>
          <w:color w:val="000000" w:themeColor="text1"/>
          <w:sz w:val="24"/>
          <w:szCs w:val="24"/>
        </w:rPr>
        <w:t>ió</w:t>
      </w:r>
      <w:r w:rsidR="0098372D" w:rsidRPr="00906E1B">
        <w:rPr>
          <w:rFonts w:ascii="Arial" w:hAnsi="Arial" w:cs="Arial"/>
          <w:color w:val="000000" w:themeColor="text1"/>
          <w:sz w:val="24"/>
          <w:szCs w:val="24"/>
        </w:rPr>
        <w:t xml:space="preserve"> a la Sala que aclar</w:t>
      </w:r>
      <w:r w:rsidR="00556909" w:rsidRPr="00906E1B">
        <w:rPr>
          <w:rFonts w:ascii="Arial" w:hAnsi="Arial" w:cs="Arial"/>
          <w:color w:val="000000" w:themeColor="text1"/>
          <w:sz w:val="24"/>
          <w:szCs w:val="24"/>
        </w:rPr>
        <w:t>ara</w:t>
      </w:r>
      <w:r w:rsidR="0098372D" w:rsidRPr="00906E1B">
        <w:rPr>
          <w:rFonts w:ascii="Arial" w:hAnsi="Arial" w:cs="Arial"/>
          <w:color w:val="000000" w:themeColor="text1"/>
          <w:sz w:val="24"/>
          <w:szCs w:val="24"/>
        </w:rPr>
        <w:t xml:space="preserve"> (i) </w:t>
      </w:r>
      <w:r w:rsidR="00091F44" w:rsidRPr="00906E1B">
        <w:rPr>
          <w:rFonts w:ascii="Arial" w:hAnsi="Arial" w:cs="Arial"/>
          <w:color w:val="000000" w:themeColor="text1"/>
          <w:sz w:val="24"/>
          <w:szCs w:val="24"/>
        </w:rPr>
        <w:t xml:space="preserve">si </w:t>
      </w:r>
      <w:r w:rsidR="00556909" w:rsidRPr="00906E1B">
        <w:rPr>
          <w:rFonts w:ascii="Arial" w:hAnsi="Arial" w:cs="Arial"/>
          <w:color w:val="000000" w:themeColor="text1"/>
          <w:sz w:val="24"/>
          <w:szCs w:val="24"/>
        </w:rPr>
        <w:t>su</w:t>
      </w:r>
      <w:r w:rsidR="00091F44" w:rsidRPr="00906E1B">
        <w:rPr>
          <w:rFonts w:ascii="Arial" w:hAnsi="Arial" w:cs="Arial"/>
          <w:color w:val="000000" w:themeColor="text1"/>
          <w:sz w:val="24"/>
          <w:szCs w:val="24"/>
        </w:rPr>
        <w:t xml:space="preserve"> posición es que la notificación personal de sentencias no es obligatoria, </w:t>
      </w:r>
      <w:r w:rsidR="0098372D" w:rsidRPr="00906E1B">
        <w:rPr>
          <w:rFonts w:ascii="Arial" w:hAnsi="Arial" w:cs="Arial"/>
          <w:color w:val="000000" w:themeColor="text1"/>
          <w:sz w:val="24"/>
          <w:szCs w:val="24"/>
        </w:rPr>
        <w:t xml:space="preserve">(ii) </w:t>
      </w:r>
      <w:r w:rsidR="00091F44" w:rsidRPr="00906E1B">
        <w:rPr>
          <w:rFonts w:ascii="Arial" w:hAnsi="Arial" w:cs="Arial"/>
          <w:color w:val="000000" w:themeColor="text1"/>
          <w:sz w:val="24"/>
          <w:szCs w:val="24"/>
        </w:rPr>
        <w:t>por qué la notificación sin copia íntegra, auténtica y gratuita no configura un vicio</w:t>
      </w:r>
      <w:r w:rsidR="0098372D" w:rsidRPr="00906E1B">
        <w:rPr>
          <w:rFonts w:ascii="Arial" w:hAnsi="Arial" w:cs="Arial"/>
          <w:color w:val="000000" w:themeColor="text1"/>
          <w:sz w:val="24"/>
          <w:szCs w:val="24"/>
        </w:rPr>
        <w:t xml:space="preserve"> y (iii) por qué la falta de inclusión de la sentencia en la notificación es un defecto orgánico y no un defecto procedimental. </w:t>
      </w:r>
    </w:p>
    <w:p w14:paraId="188CD955" w14:textId="77777777" w:rsidR="0098372D" w:rsidRPr="00906E1B" w:rsidRDefault="0098372D" w:rsidP="003F45B2">
      <w:pPr>
        <w:spacing w:line="276" w:lineRule="auto"/>
        <w:jc w:val="both"/>
        <w:rPr>
          <w:rFonts w:ascii="Arial" w:hAnsi="Arial" w:cs="Arial"/>
          <w:color w:val="000000" w:themeColor="text1"/>
          <w:sz w:val="24"/>
          <w:szCs w:val="24"/>
        </w:rPr>
      </w:pPr>
    </w:p>
    <w:p w14:paraId="6E7A535D" w14:textId="13AD5139" w:rsidR="0098372D" w:rsidRPr="00906E1B" w:rsidRDefault="006C1D01" w:rsidP="003F45B2">
      <w:pPr>
        <w:spacing w:line="276" w:lineRule="auto"/>
        <w:jc w:val="both"/>
        <w:rPr>
          <w:rFonts w:ascii="Arial" w:hAnsi="Arial" w:cs="Arial"/>
          <w:color w:val="000000" w:themeColor="text1"/>
          <w:sz w:val="24"/>
          <w:szCs w:val="24"/>
        </w:rPr>
      </w:pPr>
      <w:r w:rsidRPr="00906E1B">
        <w:rPr>
          <w:rFonts w:ascii="Arial" w:hAnsi="Arial" w:cs="Arial"/>
          <w:color w:val="000000" w:themeColor="text1"/>
          <w:sz w:val="24"/>
          <w:szCs w:val="24"/>
        </w:rPr>
        <w:t>3.2</w:t>
      </w:r>
      <w:r w:rsidR="0098372D" w:rsidRPr="00906E1B">
        <w:rPr>
          <w:rFonts w:ascii="Arial" w:hAnsi="Arial" w:cs="Arial"/>
          <w:color w:val="000000" w:themeColor="text1"/>
          <w:sz w:val="24"/>
          <w:szCs w:val="24"/>
        </w:rPr>
        <w:t>.-</w:t>
      </w:r>
      <w:r w:rsidR="00F665B2" w:rsidRPr="00906E1B">
        <w:rPr>
          <w:rFonts w:ascii="Arial" w:hAnsi="Arial" w:cs="Arial"/>
          <w:color w:val="000000" w:themeColor="text1"/>
          <w:sz w:val="24"/>
          <w:szCs w:val="24"/>
        </w:rPr>
        <w:t xml:space="preserve"> En segundo lugar</w:t>
      </w:r>
      <w:r w:rsidR="0098372D" w:rsidRPr="00906E1B">
        <w:rPr>
          <w:rFonts w:ascii="Arial" w:hAnsi="Arial" w:cs="Arial"/>
          <w:color w:val="000000" w:themeColor="text1"/>
          <w:sz w:val="24"/>
          <w:szCs w:val="24"/>
        </w:rPr>
        <w:t>, afirm</w:t>
      </w:r>
      <w:r w:rsidR="00F665B2" w:rsidRPr="00906E1B">
        <w:rPr>
          <w:rFonts w:ascii="Arial" w:hAnsi="Arial" w:cs="Arial"/>
          <w:color w:val="000000" w:themeColor="text1"/>
          <w:sz w:val="24"/>
          <w:szCs w:val="24"/>
        </w:rPr>
        <w:t>ó</w:t>
      </w:r>
      <w:r w:rsidR="0098372D" w:rsidRPr="00906E1B">
        <w:rPr>
          <w:rFonts w:ascii="Arial" w:hAnsi="Arial" w:cs="Arial"/>
          <w:color w:val="000000" w:themeColor="text1"/>
          <w:sz w:val="24"/>
          <w:szCs w:val="24"/>
        </w:rPr>
        <w:t xml:space="preserve"> que </w:t>
      </w:r>
      <w:r w:rsidR="006C38D6" w:rsidRPr="00906E1B">
        <w:rPr>
          <w:rFonts w:ascii="Arial" w:hAnsi="Arial" w:cs="Arial"/>
          <w:color w:val="000000" w:themeColor="text1"/>
          <w:sz w:val="24"/>
          <w:szCs w:val="24"/>
        </w:rPr>
        <w:t>el contrato de transacción se firmó el 15 de julio de 2015, por lo que el término para la prescripción de la acción disciplinaria debería contarse desde ese momento</w:t>
      </w:r>
      <w:r w:rsidR="00556909" w:rsidRPr="00906E1B">
        <w:rPr>
          <w:rFonts w:ascii="Arial" w:hAnsi="Arial" w:cs="Arial"/>
          <w:color w:val="000000" w:themeColor="text1"/>
          <w:sz w:val="24"/>
          <w:szCs w:val="24"/>
        </w:rPr>
        <w:t>. En efecto, no comprende por qué</w:t>
      </w:r>
      <w:r w:rsidR="006C38D6" w:rsidRPr="00906E1B">
        <w:rPr>
          <w:rFonts w:ascii="Arial" w:hAnsi="Arial" w:cs="Arial"/>
          <w:color w:val="000000" w:themeColor="text1"/>
          <w:sz w:val="24"/>
          <w:szCs w:val="24"/>
        </w:rPr>
        <w:t xml:space="preserve"> la Sala estimó que la última conducta realizada por el accionante fue el 25 de julio de 2016 y, por consiguiente, realizó </w:t>
      </w:r>
      <w:r w:rsidR="00334327" w:rsidRPr="00906E1B">
        <w:rPr>
          <w:rFonts w:ascii="Arial" w:hAnsi="Arial" w:cs="Arial"/>
          <w:color w:val="000000" w:themeColor="text1"/>
          <w:sz w:val="24"/>
          <w:szCs w:val="24"/>
        </w:rPr>
        <w:t xml:space="preserve">desde esa fecha </w:t>
      </w:r>
      <w:r w:rsidR="006C38D6" w:rsidRPr="00906E1B">
        <w:rPr>
          <w:rFonts w:ascii="Arial" w:hAnsi="Arial" w:cs="Arial"/>
          <w:color w:val="000000" w:themeColor="text1"/>
          <w:sz w:val="24"/>
          <w:szCs w:val="24"/>
        </w:rPr>
        <w:t xml:space="preserve">el conteo para la prescripción. </w:t>
      </w:r>
    </w:p>
    <w:p w14:paraId="6249FDFF" w14:textId="77777777" w:rsidR="0098372D" w:rsidRPr="00906E1B" w:rsidRDefault="0098372D" w:rsidP="003F45B2">
      <w:pPr>
        <w:spacing w:line="276" w:lineRule="auto"/>
        <w:jc w:val="both"/>
        <w:rPr>
          <w:rFonts w:ascii="Arial" w:hAnsi="Arial" w:cs="Arial"/>
          <w:color w:val="000000" w:themeColor="text1"/>
          <w:sz w:val="24"/>
          <w:szCs w:val="24"/>
        </w:rPr>
      </w:pPr>
    </w:p>
    <w:p w14:paraId="24D471DD" w14:textId="71EC2435" w:rsidR="00E201D5" w:rsidRPr="00906E1B" w:rsidRDefault="006C1D01" w:rsidP="003F45B2">
      <w:pPr>
        <w:spacing w:line="276" w:lineRule="auto"/>
        <w:jc w:val="both"/>
        <w:rPr>
          <w:rFonts w:ascii="Arial" w:hAnsi="Arial" w:cs="Arial"/>
          <w:color w:val="000000" w:themeColor="text1"/>
          <w:sz w:val="24"/>
          <w:szCs w:val="24"/>
        </w:rPr>
      </w:pPr>
      <w:r w:rsidRPr="00906E1B">
        <w:rPr>
          <w:rFonts w:ascii="Arial" w:hAnsi="Arial" w:cs="Arial"/>
          <w:color w:val="000000" w:themeColor="text1"/>
          <w:sz w:val="24"/>
          <w:szCs w:val="24"/>
        </w:rPr>
        <w:t>3.3</w:t>
      </w:r>
      <w:r w:rsidR="0098372D" w:rsidRPr="00906E1B">
        <w:rPr>
          <w:rFonts w:ascii="Arial" w:hAnsi="Arial" w:cs="Arial"/>
          <w:color w:val="000000" w:themeColor="text1"/>
          <w:sz w:val="24"/>
          <w:szCs w:val="24"/>
        </w:rPr>
        <w:t>.-</w:t>
      </w:r>
      <w:r w:rsidR="00F665B2" w:rsidRPr="00906E1B">
        <w:rPr>
          <w:rFonts w:ascii="Arial" w:hAnsi="Arial" w:cs="Arial"/>
          <w:color w:val="000000" w:themeColor="text1"/>
          <w:sz w:val="24"/>
          <w:szCs w:val="24"/>
        </w:rPr>
        <w:t xml:space="preserve"> En tercer lugar</w:t>
      </w:r>
      <w:r w:rsidR="0098372D" w:rsidRPr="00906E1B">
        <w:rPr>
          <w:rFonts w:ascii="Arial" w:hAnsi="Arial" w:cs="Arial"/>
          <w:color w:val="000000" w:themeColor="text1"/>
          <w:sz w:val="24"/>
          <w:szCs w:val="24"/>
        </w:rPr>
        <w:t>, señal</w:t>
      </w:r>
      <w:r w:rsidR="00F665B2" w:rsidRPr="00906E1B">
        <w:rPr>
          <w:rFonts w:ascii="Arial" w:hAnsi="Arial" w:cs="Arial"/>
          <w:color w:val="000000" w:themeColor="text1"/>
          <w:sz w:val="24"/>
          <w:szCs w:val="24"/>
        </w:rPr>
        <w:t>ó</w:t>
      </w:r>
      <w:r w:rsidR="0098372D" w:rsidRPr="00906E1B">
        <w:rPr>
          <w:rFonts w:ascii="Arial" w:hAnsi="Arial" w:cs="Arial"/>
          <w:color w:val="000000" w:themeColor="text1"/>
          <w:sz w:val="24"/>
          <w:szCs w:val="24"/>
        </w:rPr>
        <w:t xml:space="preserve"> que</w:t>
      </w:r>
      <w:r w:rsidR="00556909" w:rsidRPr="00906E1B">
        <w:rPr>
          <w:rFonts w:ascii="Arial" w:hAnsi="Arial" w:cs="Arial"/>
          <w:color w:val="000000" w:themeColor="text1"/>
          <w:sz w:val="24"/>
          <w:szCs w:val="24"/>
        </w:rPr>
        <w:t xml:space="preserve"> </w:t>
      </w:r>
      <w:r w:rsidR="006C38D6" w:rsidRPr="00906E1B">
        <w:rPr>
          <w:rFonts w:ascii="Arial" w:hAnsi="Arial" w:cs="Arial"/>
          <w:color w:val="000000" w:themeColor="text1"/>
          <w:sz w:val="24"/>
          <w:szCs w:val="24"/>
        </w:rPr>
        <w:t xml:space="preserve">el Consejo Seccional de la Judicatura de Bogotá ordenó </w:t>
      </w:r>
      <w:r w:rsidR="00556909" w:rsidRPr="00906E1B">
        <w:rPr>
          <w:rFonts w:ascii="Arial" w:hAnsi="Arial" w:cs="Arial"/>
          <w:color w:val="000000" w:themeColor="text1"/>
          <w:sz w:val="24"/>
          <w:szCs w:val="24"/>
        </w:rPr>
        <w:t xml:space="preserve">en primera instancia </w:t>
      </w:r>
      <w:r w:rsidR="000815B1" w:rsidRPr="00906E1B">
        <w:rPr>
          <w:rFonts w:ascii="Arial" w:hAnsi="Arial" w:cs="Arial"/>
          <w:color w:val="000000" w:themeColor="text1"/>
          <w:sz w:val="24"/>
          <w:szCs w:val="24"/>
        </w:rPr>
        <w:t xml:space="preserve">compulsar copias a </w:t>
      </w:r>
      <w:r w:rsidR="00334327" w:rsidRPr="00906E1B">
        <w:rPr>
          <w:rFonts w:ascii="Arial" w:hAnsi="Arial" w:cs="Arial"/>
          <w:color w:val="000000" w:themeColor="text1"/>
          <w:sz w:val="24"/>
          <w:szCs w:val="24"/>
        </w:rPr>
        <w:t>s</w:t>
      </w:r>
      <w:r w:rsidR="00334327">
        <w:rPr>
          <w:rFonts w:ascii="Arial" w:hAnsi="Arial" w:cs="Arial"/>
          <w:color w:val="000000" w:themeColor="text1"/>
          <w:sz w:val="24"/>
          <w:szCs w:val="24"/>
        </w:rPr>
        <w:t>í</w:t>
      </w:r>
      <w:r w:rsidR="00334327" w:rsidRPr="00906E1B">
        <w:rPr>
          <w:rFonts w:ascii="Arial" w:hAnsi="Arial" w:cs="Arial"/>
          <w:color w:val="000000" w:themeColor="text1"/>
          <w:sz w:val="24"/>
          <w:szCs w:val="24"/>
        </w:rPr>
        <w:t xml:space="preserve"> </w:t>
      </w:r>
      <w:r w:rsidR="000815B1" w:rsidRPr="00906E1B">
        <w:rPr>
          <w:rFonts w:ascii="Arial" w:hAnsi="Arial" w:cs="Arial"/>
          <w:color w:val="000000" w:themeColor="text1"/>
          <w:sz w:val="24"/>
          <w:szCs w:val="24"/>
        </w:rPr>
        <w:t>mismo para dar inicio a una nueva investigación</w:t>
      </w:r>
      <w:r w:rsidR="00556909" w:rsidRPr="00906E1B">
        <w:rPr>
          <w:rFonts w:ascii="Arial" w:hAnsi="Arial" w:cs="Arial"/>
          <w:color w:val="000000" w:themeColor="text1"/>
          <w:sz w:val="24"/>
          <w:szCs w:val="24"/>
        </w:rPr>
        <w:t xml:space="preserve">, a pesar de que los </w:t>
      </w:r>
      <w:r w:rsidR="000815B1" w:rsidRPr="00906E1B">
        <w:rPr>
          <w:rFonts w:ascii="Arial" w:hAnsi="Arial" w:cs="Arial"/>
          <w:color w:val="000000" w:themeColor="text1"/>
          <w:sz w:val="24"/>
          <w:szCs w:val="24"/>
        </w:rPr>
        <w:t xml:space="preserve">hechos </w:t>
      </w:r>
      <w:r w:rsidR="00556909" w:rsidRPr="00906E1B">
        <w:rPr>
          <w:rFonts w:ascii="Arial" w:hAnsi="Arial" w:cs="Arial"/>
          <w:color w:val="000000" w:themeColor="text1"/>
          <w:sz w:val="24"/>
          <w:szCs w:val="24"/>
        </w:rPr>
        <w:t xml:space="preserve">ya se habían tratado </w:t>
      </w:r>
      <w:r w:rsidR="000815B1" w:rsidRPr="00906E1B">
        <w:rPr>
          <w:rFonts w:ascii="Arial" w:hAnsi="Arial" w:cs="Arial"/>
          <w:color w:val="000000" w:themeColor="text1"/>
          <w:sz w:val="24"/>
          <w:szCs w:val="24"/>
        </w:rPr>
        <w:t xml:space="preserve">en esa providencia. Por consiguiente, requirió que se aclarara (i) si el Consejo Seccional de la Judicatura de Bogotá puede compulsarse copias a </w:t>
      </w:r>
      <w:r w:rsidR="00334327" w:rsidRPr="00906E1B">
        <w:rPr>
          <w:rFonts w:ascii="Arial" w:hAnsi="Arial" w:cs="Arial"/>
          <w:color w:val="000000" w:themeColor="text1"/>
          <w:sz w:val="24"/>
          <w:szCs w:val="24"/>
        </w:rPr>
        <w:t>s</w:t>
      </w:r>
      <w:r w:rsidR="00334327">
        <w:rPr>
          <w:rFonts w:ascii="Arial" w:hAnsi="Arial" w:cs="Arial"/>
          <w:color w:val="000000" w:themeColor="text1"/>
          <w:sz w:val="24"/>
          <w:szCs w:val="24"/>
        </w:rPr>
        <w:t xml:space="preserve">í </w:t>
      </w:r>
      <w:r w:rsidR="000815B1" w:rsidRPr="00906E1B">
        <w:rPr>
          <w:rFonts w:ascii="Arial" w:hAnsi="Arial" w:cs="Arial"/>
          <w:color w:val="000000" w:themeColor="text1"/>
          <w:sz w:val="24"/>
          <w:szCs w:val="24"/>
        </w:rPr>
        <w:t xml:space="preserve">mismo y (ii) si </w:t>
      </w:r>
      <w:r w:rsidR="00E201D5" w:rsidRPr="00906E1B">
        <w:rPr>
          <w:rFonts w:ascii="Arial" w:hAnsi="Arial" w:cs="Arial"/>
          <w:color w:val="000000" w:themeColor="text1"/>
          <w:sz w:val="24"/>
          <w:szCs w:val="24"/>
        </w:rPr>
        <w:t xml:space="preserve">viola el principio de </w:t>
      </w:r>
      <w:r w:rsidR="00E201D5" w:rsidRPr="00906E1B">
        <w:rPr>
          <w:rFonts w:ascii="Arial" w:hAnsi="Arial" w:cs="Arial"/>
          <w:i/>
          <w:iCs/>
          <w:color w:val="000000" w:themeColor="text1"/>
          <w:sz w:val="24"/>
          <w:szCs w:val="24"/>
        </w:rPr>
        <w:t>non bis in ídem</w:t>
      </w:r>
      <w:r w:rsidR="00E201D5" w:rsidRPr="00906E1B">
        <w:rPr>
          <w:rFonts w:ascii="Arial" w:hAnsi="Arial" w:cs="Arial"/>
          <w:color w:val="000000" w:themeColor="text1"/>
          <w:sz w:val="24"/>
          <w:szCs w:val="24"/>
        </w:rPr>
        <w:t xml:space="preserve"> quien ordena investigar dos veces por los mismos hecho</w:t>
      </w:r>
      <w:r w:rsidR="00334327">
        <w:rPr>
          <w:rFonts w:ascii="Arial" w:hAnsi="Arial" w:cs="Arial"/>
          <w:color w:val="000000" w:themeColor="text1"/>
          <w:sz w:val="24"/>
          <w:szCs w:val="24"/>
        </w:rPr>
        <w:t>s</w:t>
      </w:r>
      <w:r w:rsidR="00E201D5" w:rsidRPr="00906E1B">
        <w:rPr>
          <w:rFonts w:ascii="Arial" w:hAnsi="Arial" w:cs="Arial"/>
          <w:color w:val="000000" w:themeColor="text1"/>
          <w:sz w:val="24"/>
          <w:szCs w:val="24"/>
        </w:rPr>
        <w:t xml:space="preserve"> o</w:t>
      </w:r>
      <w:r w:rsidR="00556909" w:rsidRPr="00906E1B">
        <w:rPr>
          <w:rFonts w:ascii="Arial" w:hAnsi="Arial" w:cs="Arial"/>
          <w:color w:val="000000" w:themeColor="text1"/>
          <w:sz w:val="24"/>
          <w:szCs w:val="24"/>
        </w:rPr>
        <w:t>, en cambio,</w:t>
      </w:r>
      <w:r w:rsidR="00E201D5" w:rsidRPr="00906E1B">
        <w:rPr>
          <w:rFonts w:ascii="Arial" w:hAnsi="Arial" w:cs="Arial"/>
          <w:color w:val="000000" w:themeColor="text1"/>
          <w:sz w:val="24"/>
          <w:szCs w:val="24"/>
        </w:rPr>
        <w:t xml:space="preserve"> </w:t>
      </w:r>
      <w:r w:rsidR="00556909" w:rsidRPr="00906E1B">
        <w:rPr>
          <w:rFonts w:ascii="Arial" w:hAnsi="Arial" w:cs="Arial"/>
          <w:color w:val="000000" w:themeColor="text1"/>
          <w:sz w:val="24"/>
          <w:szCs w:val="24"/>
        </w:rPr>
        <w:t>quien</w:t>
      </w:r>
      <w:r w:rsidR="00E201D5" w:rsidRPr="00906E1B">
        <w:rPr>
          <w:rFonts w:ascii="Arial" w:hAnsi="Arial" w:cs="Arial"/>
          <w:color w:val="000000" w:themeColor="text1"/>
          <w:sz w:val="24"/>
          <w:szCs w:val="24"/>
        </w:rPr>
        <w:t xml:space="preserve"> investiga dos veces por los mismos hecho</w:t>
      </w:r>
      <w:r w:rsidR="000815B1" w:rsidRPr="00906E1B">
        <w:rPr>
          <w:rFonts w:ascii="Arial" w:hAnsi="Arial" w:cs="Arial"/>
          <w:color w:val="000000" w:themeColor="text1"/>
          <w:sz w:val="24"/>
          <w:szCs w:val="24"/>
        </w:rPr>
        <w:t xml:space="preserve">s. </w:t>
      </w:r>
      <w:r w:rsidR="00E201D5" w:rsidRPr="00906E1B">
        <w:rPr>
          <w:rFonts w:ascii="Arial" w:hAnsi="Arial" w:cs="Arial"/>
          <w:color w:val="000000" w:themeColor="text1"/>
          <w:sz w:val="24"/>
          <w:szCs w:val="24"/>
        </w:rPr>
        <w:t xml:space="preserve"> </w:t>
      </w:r>
    </w:p>
    <w:p w14:paraId="07425A98" w14:textId="77777777" w:rsidR="00E201D5" w:rsidRPr="00906E1B" w:rsidRDefault="00E201D5" w:rsidP="003F45B2">
      <w:pPr>
        <w:spacing w:line="276" w:lineRule="auto"/>
        <w:jc w:val="both"/>
        <w:rPr>
          <w:rFonts w:ascii="Arial" w:hAnsi="Arial" w:cs="Arial"/>
          <w:color w:val="000000" w:themeColor="text1"/>
          <w:sz w:val="24"/>
          <w:szCs w:val="24"/>
        </w:rPr>
      </w:pPr>
    </w:p>
    <w:p w14:paraId="179A1FBC" w14:textId="4B1BC85A" w:rsidR="00E201D5" w:rsidRPr="00906E1B" w:rsidRDefault="006C1D01" w:rsidP="003F45B2">
      <w:pPr>
        <w:spacing w:line="276" w:lineRule="auto"/>
        <w:jc w:val="both"/>
        <w:rPr>
          <w:rFonts w:ascii="Arial" w:hAnsi="Arial" w:cs="Arial"/>
          <w:color w:val="000000" w:themeColor="text1"/>
          <w:sz w:val="24"/>
          <w:szCs w:val="24"/>
        </w:rPr>
      </w:pPr>
      <w:r w:rsidRPr="00906E1B">
        <w:rPr>
          <w:rFonts w:ascii="Arial" w:hAnsi="Arial" w:cs="Arial"/>
          <w:color w:val="000000" w:themeColor="text1"/>
          <w:sz w:val="24"/>
          <w:szCs w:val="24"/>
        </w:rPr>
        <w:t>3.4</w:t>
      </w:r>
      <w:r w:rsidR="000815B1" w:rsidRPr="00906E1B">
        <w:rPr>
          <w:rFonts w:ascii="Arial" w:hAnsi="Arial" w:cs="Arial"/>
          <w:color w:val="000000" w:themeColor="text1"/>
          <w:sz w:val="24"/>
          <w:szCs w:val="24"/>
        </w:rPr>
        <w:t>.- Con base en lo anterior</w:t>
      </w:r>
      <w:r w:rsidR="00556909" w:rsidRPr="00906E1B">
        <w:rPr>
          <w:rFonts w:ascii="Arial" w:hAnsi="Arial" w:cs="Arial"/>
          <w:color w:val="000000" w:themeColor="text1"/>
          <w:sz w:val="24"/>
          <w:szCs w:val="24"/>
        </w:rPr>
        <w:t>,</w:t>
      </w:r>
      <w:r w:rsidR="000815B1" w:rsidRPr="00906E1B">
        <w:rPr>
          <w:rFonts w:ascii="Arial" w:hAnsi="Arial" w:cs="Arial"/>
          <w:color w:val="000000" w:themeColor="text1"/>
          <w:sz w:val="24"/>
          <w:szCs w:val="24"/>
        </w:rPr>
        <w:t xml:space="preserve"> solicitó q</w:t>
      </w:r>
      <w:r w:rsidR="00E201D5" w:rsidRPr="00906E1B">
        <w:rPr>
          <w:rFonts w:ascii="Arial" w:hAnsi="Arial" w:cs="Arial"/>
          <w:color w:val="000000" w:themeColor="text1"/>
          <w:sz w:val="24"/>
          <w:szCs w:val="24"/>
        </w:rPr>
        <w:t xml:space="preserve">ue se </w:t>
      </w:r>
      <w:r w:rsidR="000815B1" w:rsidRPr="00906E1B">
        <w:rPr>
          <w:rFonts w:ascii="Arial" w:hAnsi="Arial" w:cs="Arial"/>
          <w:color w:val="000000" w:themeColor="text1"/>
          <w:sz w:val="24"/>
          <w:szCs w:val="24"/>
        </w:rPr>
        <w:t xml:space="preserve">adicionara a la sentencia lo solicitado en la acción de tutela. Es decir, </w:t>
      </w:r>
      <w:r w:rsidR="00E201D5" w:rsidRPr="00906E1B">
        <w:rPr>
          <w:rFonts w:ascii="Arial" w:hAnsi="Arial" w:cs="Arial"/>
          <w:color w:val="000000" w:themeColor="text1"/>
          <w:sz w:val="24"/>
          <w:szCs w:val="24"/>
        </w:rPr>
        <w:t>la prescripción de la acción disciplinaria por falta de incorporación de la copia íntegra de la sentencia de segunda instancia</w:t>
      </w:r>
      <w:r w:rsidR="00C83D9F" w:rsidRPr="00906E1B">
        <w:rPr>
          <w:rFonts w:ascii="Arial" w:hAnsi="Arial" w:cs="Arial"/>
          <w:color w:val="000000" w:themeColor="text1"/>
          <w:sz w:val="24"/>
          <w:szCs w:val="24"/>
        </w:rPr>
        <w:t xml:space="preserve">. </w:t>
      </w:r>
    </w:p>
    <w:p w14:paraId="524EE2CE" w14:textId="77777777" w:rsidR="0098372D" w:rsidRPr="00906E1B" w:rsidRDefault="0098372D" w:rsidP="003F45B2">
      <w:pPr>
        <w:spacing w:line="276" w:lineRule="auto"/>
        <w:jc w:val="both"/>
        <w:rPr>
          <w:rFonts w:ascii="Arial" w:eastAsiaTheme="minorHAnsi" w:hAnsi="Arial" w:cs="Arial"/>
          <w:color w:val="000000" w:themeColor="text1"/>
          <w:sz w:val="24"/>
          <w:szCs w:val="24"/>
        </w:rPr>
      </w:pPr>
    </w:p>
    <w:p w14:paraId="00633937" w14:textId="77777777" w:rsidR="0098372D" w:rsidRPr="00906E1B" w:rsidRDefault="0098372D" w:rsidP="003F45B2">
      <w:pPr>
        <w:spacing w:line="276" w:lineRule="auto"/>
        <w:jc w:val="both"/>
        <w:rPr>
          <w:rFonts w:ascii="Arial" w:eastAsiaTheme="minorHAnsi" w:hAnsi="Arial" w:cs="Arial"/>
          <w:color w:val="000000" w:themeColor="text1"/>
          <w:sz w:val="24"/>
          <w:szCs w:val="24"/>
        </w:rPr>
      </w:pPr>
    </w:p>
    <w:p w14:paraId="0CC148D4" w14:textId="1AD22170" w:rsidR="00C34C00" w:rsidRPr="00906E1B" w:rsidRDefault="0098372D" w:rsidP="003F45B2">
      <w:pPr>
        <w:spacing w:line="276" w:lineRule="auto"/>
        <w:jc w:val="center"/>
        <w:rPr>
          <w:rFonts w:ascii="Arial" w:eastAsiaTheme="minorHAnsi" w:hAnsi="Arial" w:cs="Arial"/>
          <w:color w:val="000000" w:themeColor="text1"/>
          <w:sz w:val="24"/>
          <w:szCs w:val="24"/>
        </w:rPr>
      </w:pPr>
      <w:r w:rsidRPr="00906E1B">
        <w:rPr>
          <w:rFonts w:ascii="Arial" w:eastAsia="?????? Pro W3" w:hAnsi="Arial" w:cs="Arial"/>
          <w:b/>
          <w:color w:val="000000" w:themeColor="text1"/>
          <w:sz w:val="24"/>
          <w:szCs w:val="24"/>
        </w:rPr>
        <w:t>II. CONSIDERACIONES</w:t>
      </w:r>
    </w:p>
    <w:p w14:paraId="4E75710F" w14:textId="24ABE7CF" w:rsidR="002C1391" w:rsidRPr="00906E1B" w:rsidRDefault="002C1391" w:rsidP="003F45B2">
      <w:pPr>
        <w:spacing w:line="276" w:lineRule="auto"/>
        <w:jc w:val="both"/>
        <w:rPr>
          <w:rFonts w:ascii="Arial" w:hAnsi="Arial" w:cs="Arial"/>
          <w:color w:val="000000" w:themeColor="text1"/>
          <w:sz w:val="24"/>
          <w:szCs w:val="24"/>
        </w:rPr>
      </w:pPr>
    </w:p>
    <w:p w14:paraId="3AE8B353" w14:textId="515CF619" w:rsidR="009738F5" w:rsidRPr="00906E1B" w:rsidRDefault="00CB33B3" w:rsidP="003F45B2">
      <w:pPr>
        <w:spacing w:line="276" w:lineRule="auto"/>
        <w:jc w:val="both"/>
        <w:rPr>
          <w:rFonts w:ascii="Arial" w:hAnsi="Arial" w:cs="Arial"/>
          <w:color w:val="000000" w:themeColor="text1"/>
          <w:sz w:val="24"/>
          <w:szCs w:val="24"/>
        </w:rPr>
      </w:pPr>
      <w:r w:rsidRPr="00906E1B">
        <w:rPr>
          <w:rFonts w:ascii="Arial" w:hAnsi="Arial" w:cs="Arial"/>
          <w:color w:val="000000" w:themeColor="text1"/>
          <w:sz w:val="24"/>
          <w:szCs w:val="24"/>
        </w:rPr>
        <w:t>4</w:t>
      </w:r>
      <w:r w:rsidR="009738F5" w:rsidRPr="00906E1B">
        <w:rPr>
          <w:rFonts w:ascii="Arial" w:hAnsi="Arial" w:cs="Arial"/>
          <w:color w:val="000000" w:themeColor="text1"/>
          <w:sz w:val="24"/>
          <w:szCs w:val="24"/>
        </w:rPr>
        <w:t xml:space="preserve">.- La Sala no </w:t>
      </w:r>
      <w:r w:rsidR="00334327">
        <w:rPr>
          <w:rFonts w:ascii="Arial" w:hAnsi="Arial" w:cs="Arial"/>
          <w:color w:val="000000" w:themeColor="text1"/>
          <w:sz w:val="24"/>
          <w:szCs w:val="24"/>
        </w:rPr>
        <w:t>accederá a la solicitud de adición</w:t>
      </w:r>
      <w:r w:rsidR="009738F5" w:rsidRPr="00906E1B">
        <w:rPr>
          <w:rFonts w:ascii="Arial" w:hAnsi="Arial" w:cs="Arial"/>
          <w:color w:val="000000" w:themeColor="text1"/>
          <w:sz w:val="24"/>
          <w:szCs w:val="24"/>
        </w:rPr>
        <w:t xml:space="preserve">, </w:t>
      </w:r>
      <w:r w:rsidR="007E6465" w:rsidRPr="00906E1B">
        <w:rPr>
          <w:rFonts w:ascii="Arial" w:hAnsi="Arial" w:cs="Arial"/>
          <w:color w:val="000000" w:themeColor="text1"/>
          <w:sz w:val="24"/>
          <w:szCs w:val="24"/>
        </w:rPr>
        <w:t xml:space="preserve">pues </w:t>
      </w:r>
      <w:r w:rsidR="0018010A" w:rsidRPr="00906E1B">
        <w:rPr>
          <w:rFonts w:ascii="Arial" w:hAnsi="Arial" w:cs="Arial"/>
          <w:color w:val="000000" w:themeColor="text1"/>
          <w:sz w:val="24"/>
          <w:szCs w:val="24"/>
        </w:rPr>
        <w:t>no encuentra que hubiese omitido pronunciarse sobre los cargos</w:t>
      </w:r>
      <w:r w:rsidR="003F45B2" w:rsidRPr="00906E1B">
        <w:rPr>
          <w:rFonts w:ascii="Arial" w:hAnsi="Arial" w:cs="Arial"/>
          <w:color w:val="000000" w:themeColor="text1"/>
          <w:sz w:val="24"/>
          <w:szCs w:val="24"/>
        </w:rPr>
        <w:t xml:space="preserve"> formulados en la</w:t>
      </w:r>
      <w:r w:rsidR="0018010A" w:rsidRPr="00906E1B">
        <w:rPr>
          <w:rFonts w:ascii="Arial" w:hAnsi="Arial" w:cs="Arial"/>
          <w:color w:val="000000" w:themeColor="text1"/>
          <w:sz w:val="24"/>
          <w:szCs w:val="24"/>
        </w:rPr>
        <w:t xml:space="preserve"> impugnación</w:t>
      </w:r>
      <w:r w:rsidR="009738F5" w:rsidRPr="00906E1B">
        <w:rPr>
          <w:rFonts w:ascii="Arial" w:hAnsi="Arial" w:cs="Arial"/>
          <w:color w:val="000000" w:themeColor="text1"/>
          <w:sz w:val="24"/>
          <w:szCs w:val="24"/>
        </w:rPr>
        <w:t xml:space="preserve">. </w:t>
      </w:r>
    </w:p>
    <w:p w14:paraId="67E73409" w14:textId="77777777" w:rsidR="006C1D01" w:rsidRPr="00906E1B" w:rsidRDefault="006C1D01" w:rsidP="003F45B2">
      <w:pPr>
        <w:spacing w:line="276" w:lineRule="auto"/>
        <w:jc w:val="both"/>
        <w:rPr>
          <w:rFonts w:ascii="Arial" w:hAnsi="Arial" w:cs="Arial"/>
          <w:color w:val="000000" w:themeColor="text1"/>
          <w:sz w:val="24"/>
          <w:szCs w:val="24"/>
        </w:rPr>
      </w:pPr>
    </w:p>
    <w:p w14:paraId="2BC41E3A" w14:textId="432E01AA" w:rsidR="006C1D01" w:rsidRPr="00906E1B" w:rsidRDefault="00CB33B3" w:rsidP="003F45B2">
      <w:pPr>
        <w:spacing w:line="276" w:lineRule="auto"/>
        <w:jc w:val="both"/>
        <w:rPr>
          <w:rStyle w:val="normaltextrun"/>
          <w:rFonts w:ascii="Arial" w:eastAsia="Times New Roman" w:hAnsi="Arial" w:cs="Arial"/>
          <w:color w:val="000000" w:themeColor="text1"/>
          <w:sz w:val="24"/>
          <w:szCs w:val="24"/>
          <w:shd w:val="clear" w:color="auto" w:fill="FFFFFF"/>
        </w:rPr>
      </w:pPr>
      <w:r w:rsidRPr="00906E1B">
        <w:rPr>
          <w:rStyle w:val="normaltextrun"/>
          <w:rFonts w:ascii="Arial" w:eastAsia="Times New Roman" w:hAnsi="Arial" w:cs="Arial"/>
          <w:color w:val="000000" w:themeColor="text1"/>
          <w:sz w:val="24"/>
          <w:szCs w:val="24"/>
          <w:shd w:val="clear" w:color="auto" w:fill="FFFFFF"/>
        </w:rPr>
        <w:t>5</w:t>
      </w:r>
      <w:r w:rsidR="006C1D01" w:rsidRPr="00906E1B">
        <w:rPr>
          <w:rStyle w:val="normaltextrun"/>
          <w:rFonts w:ascii="Arial" w:eastAsia="Times New Roman" w:hAnsi="Arial" w:cs="Arial"/>
          <w:color w:val="000000" w:themeColor="text1"/>
          <w:sz w:val="24"/>
          <w:szCs w:val="24"/>
          <w:shd w:val="clear" w:color="auto" w:fill="FFFFFF"/>
        </w:rPr>
        <w:t>.- El artículo 285 del</w:t>
      </w:r>
      <w:r w:rsidR="007E6465" w:rsidRPr="00906E1B">
        <w:rPr>
          <w:rStyle w:val="normaltextrun"/>
          <w:rFonts w:ascii="Arial" w:eastAsia="Times New Roman" w:hAnsi="Arial" w:cs="Arial"/>
          <w:color w:val="000000" w:themeColor="text1"/>
          <w:sz w:val="24"/>
          <w:szCs w:val="24"/>
          <w:shd w:val="clear" w:color="auto" w:fill="FFFFFF"/>
        </w:rPr>
        <w:t xml:space="preserve"> Código General del Proceso,</w:t>
      </w:r>
      <w:r w:rsidR="006C1D01" w:rsidRPr="00906E1B">
        <w:rPr>
          <w:rStyle w:val="normaltextrun"/>
          <w:rFonts w:ascii="Arial" w:eastAsia="Times New Roman" w:hAnsi="Arial" w:cs="Arial"/>
          <w:color w:val="000000" w:themeColor="text1"/>
          <w:sz w:val="24"/>
          <w:szCs w:val="24"/>
          <w:shd w:val="clear" w:color="auto" w:fill="FFFFFF"/>
        </w:rPr>
        <w:t xml:space="preserve"> aplicable al asunto por remisión del artículo 4</w:t>
      </w:r>
      <w:r w:rsidR="003F45B2" w:rsidRPr="00906E1B">
        <w:rPr>
          <w:rStyle w:val="normaltextrun"/>
          <w:rFonts w:ascii="Arial" w:eastAsia="Times New Roman" w:hAnsi="Arial" w:cs="Arial"/>
          <w:color w:val="000000" w:themeColor="text1"/>
          <w:sz w:val="24"/>
          <w:szCs w:val="24"/>
          <w:shd w:val="clear" w:color="auto" w:fill="FFFFFF"/>
        </w:rPr>
        <w:t>°</w:t>
      </w:r>
      <w:r w:rsidR="006C1D01" w:rsidRPr="00906E1B">
        <w:rPr>
          <w:rStyle w:val="normaltextrun"/>
          <w:rFonts w:ascii="Arial" w:eastAsia="Times New Roman" w:hAnsi="Arial" w:cs="Arial"/>
          <w:color w:val="000000" w:themeColor="text1"/>
          <w:sz w:val="24"/>
          <w:szCs w:val="24"/>
          <w:shd w:val="clear" w:color="auto" w:fill="FFFFFF"/>
        </w:rPr>
        <w:t> del Decreto 306 de 1992</w:t>
      </w:r>
      <w:r w:rsidR="003F45B2" w:rsidRPr="00906E1B">
        <w:rPr>
          <w:rStyle w:val="Refdenotaalpie"/>
          <w:rFonts w:ascii="Arial" w:eastAsia="Times New Roman" w:hAnsi="Arial" w:cs="Arial"/>
          <w:color w:val="000000" w:themeColor="text1"/>
          <w:sz w:val="24"/>
          <w:szCs w:val="24"/>
          <w:shd w:val="clear" w:color="auto" w:fill="FFFFFF"/>
        </w:rPr>
        <w:footnoteReference w:id="1"/>
      </w:r>
      <w:r w:rsidR="006C1D01" w:rsidRPr="00906E1B">
        <w:rPr>
          <w:rStyle w:val="normaltextrun"/>
          <w:rFonts w:ascii="Arial" w:eastAsia="Times New Roman" w:hAnsi="Arial" w:cs="Arial"/>
          <w:color w:val="000000" w:themeColor="text1"/>
          <w:sz w:val="24"/>
          <w:szCs w:val="24"/>
          <w:shd w:val="clear" w:color="auto" w:fill="FFFFFF"/>
        </w:rPr>
        <w:t xml:space="preserve">, dispone que las sentencias son irreformables o inmutables por el juez que las profiere. Sin embargo, de manera excepcional y para casos </w:t>
      </w:r>
      <w:r w:rsidR="006C1D01" w:rsidRPr="00906E1B">
        <w:rPr>
          <w:rStyle w:val="normaltextrun"/>
          <w:rFonts w:ascii="Arial" w:eastAsia="Times New Roman" w:hAnsi="Arial" w:cs="Arial"/>
          <w:color w:val="000000" w:themeColor="text1"/>
          <w:sz w:val="24"/>
          <w:szCs w:val="24"/>
          <w:shd w:val="clear" w:color="auto" w:fill="FFFFFF"/>
        </w:rPr>
        <w:lastRenderedPageBreak/>
        <w:t>expresamente establecidos, la norma permite que el juez, de oficio o a solicitud de parte, las pueda aclarar, corregir o adicionar, siempre que estén contenidas en la parte resolutiva de la sentencia o influyan en ellas</w:t>
      </w:r>
      <w:r w:rsidR="006C1D01" w:rsidRPr="00906E1B">
        <w:rPr>
          <w:rStyle w:val="Refdenotaalpie"/>
          <w:rFonts w:ascii="Arial" w:hAnsi="Arial" w:cs="Arial"/>
          <w:color w:val="000000" w:themeColor="text1"/>
          <w:sz w:val="24"/>
          <w:szCs w:val="24"/>
        </w:rPr>
        <w:footnoteReference w:id="2"/>
      </w:r>
      <w:r w:rsidRPr="00906E1B">
        <w:rPr>
          <w:rStyle w:val="normaltextrun"/>
          <w:rFonts w:ascii="Arial" w:eastAsia="Times New Roman" w:hAnsi="Arial" w:cs="Arial"/>
          <w:color w:val="000000" w:themeColor="text1"/>
          <w:sz w:val="24"/>
          <w:szCs w:val="24"/>
          <w:shd w:val="clear" w:color="auto" w:fill="FFFFFF"/>
        </w:rPr>
        <w:t>.</w:t>
      </w:r>
    </w:p>
    <w:p w14:paraId="01AD7EE5" w14:textId="77777777" w:rsidR="00CB33B3" w:rsidRPr="00906E1B" w:rsidRDefault="00CB33B3" w:rsidP="003F45B2">
      <w:pPr>
        <w:spacing w:line="276" w:lineRule="auto"/>
        <w:jc w:val="both"/>
        <w:rPr>
          <w:rStyle w:val="normaltextrun"/>
          <w:rFonts w:ascii="Arial" w:eastAsia="Times New Roman" w:hAnsi="Arial" w:cs="Arial"/>
          <w:color w:val="000000" w:themeColor="text1"/>
          <w:sz w:val="24"/>
          <w:szCs w:val="24"/>
          <w:shd w:val="clear" w:color="auto" w:fill="FFFFFF"/>
        </w:rPr>
      </w:pPr>
    </w:p>
    <w:p w14:paraId="0D9E3374" w14:textId="4258828B" w:rsidR="00CB33B3" w:rsidRPr="00906E1B" w:rsidRDefault="00CB33B3" w:rsidP="003F45B2">
      <w:pPr>
        <w:pStyle w:val="Textoindependiente"/>
        <w:spacing w:line="276" w:lineRule="auto"/>
        <w:rPr>
          <w:rFonts w:ascii="Arial" w:hAnsi="Arial" w:cs="Arial"/>
          <w:i/>
          <w:iCs/>
          <w:color w:val="000000" w:themeColor="text1"/>
          <w:sz w:val="24"/>
          <w:szCs w:val="24"/>
          <w:lang w:val="es-CO"/>
        </w:rPr>
      </w:pPr>
      <w:r w:rsidRPr="00906E1B">
        <w:rPr>
          <w:rStyle w:val="normaltextrun"/>
          <w:rFonts w:ascii="Arial" w:hAnsi="Arial" w:cs="Arial"/>
          <w:color w:val="000000" w:themeColor="text1"/>
          <w:sz w:val="24"/>
          <w:szCs w:val="24"/>
          <w:shd w:val="clear" w:color="auto" w:fill="FFFFFF"/>
        </w:rPr>
        <w:t xml:space="preserve">6.- A su vez, en lo que tiene que ver con la adición, </w:t>
      </w:r>
      <w:r w:rsidRPr="00906E1B">
        <w:rPr>
          <w:rFonts w:ascii="Arial" w:hAnsi="Arial" w:cs="Arial"/>
          <w:color w:val="000000" w:themeColor="text1"/>
          <w:sz w:val="24"/>
          <w:szCs w:val="24"/>
          <w:lang w:val="es-CO"/>
        </w:rPr>
        <w:t>el artículo 287 del Código General del Proceso dispone que &lt;&lt;</w:t>
      </w:r>
      <w:r w:rsidRPr="00906E1B">
        <w:rPr>
          <w:rFonts w:ascii="Arial" w:hAnsi="Arial" w:cs="Arial"/>
          <w:i/>
          <w:iCs/>
          <w:color w:val="000000" w:themeColor="text1"/>
          <w:sz w:val="24"/>
          <w:szCs w:val="24"/>
          <w:lang w:val="es-CO"/>
        </w:rPr>
        <w:t>Cuando la sentencia omita resolver sobre cualquiera de los extremos de la litis o sobre cualquier otro punto que de conformidad con la ley debía ser objeto de pronunciamiento, deberá adicionarse por medio de sentencia complementaria, dentro de la ejecutoria, de oficio o a solicitud de parte presentada en la misma oportunidad. (…)</w:t>
      </w:r>
      <w:r w:rsidR="007E6465" w:rsidRPr="00906E1B">
        <w:rPr>
          <w:rFonts w:ascii="Arial" w:hAnsi="Arial" w:cs="Arial"/>
          <w:i/>
          <w:iCs/>
          <w:color w:val="000000" w:themeColor="text1"/>
          <w:sz w:val="24"/>
          <w:szCs w:val="24"/>
          <w:lang w:val="es-CO"/>
        </w:rPr>
        <w:t>.</w:t>
      </w:r>
      <w:r w:rsidRPr="00906E1B">
        <w:rPr>
          <w:rFonts w:ascii="Arial" w:hAnsi="Arial" w:cs="Arial"/>
          <w:i/>
          <w:iCs/>
          <w:color w:val="000000" w:themeColor="text1"/>
          <w:sz w:val="24"/>
          <w:szCs w:val="24"/>
          <w:lang w:val="es-CO"/>
        </w:rPr>
        <w:t>&gt;&gt;</w:t>
      </w:r>
    </w:p>
    <w:p w14:paraId="340CE758" w14:textId="77777777" w:rsidR="00CB33B3" w:rsidRPr="00906E1B" w:rsidRDefault="00CB33B3" w:rsidP="003F45B2">
      <w:pPr>
        <w:pStyle w:val="Textoindependiente21"/>
        <w:spacing w:line="276" w:lineRule="auto"/>
        <w:rPr>
          <w:rFonts w:ascii="Arial" w:hAnsi="Arial" w:cs="Arial"/>
          <w:color w:val="000000" w:themeColor="text1"/>
          <w:sz w:val="24"/>
          <w:szCs w:val="24"/>
        </w:rPr>
      </w:pPr>
    </w:p>
    <w:p w14:paraId="6E13DAE1" w14:textId="0B5FB72C" w:rsidR="00CB33B3" w:rsidRPr="00906E1B" w:rsidRDefault="00CB33B3" w:rsidP="003F45B2">
      <w:pPr>
        <w:pStyle w:val="Prrafodelista"/>
        <w:spacing w:line="276" w:lineRule="auto"/>
        <w:ind w:left="0"/>
        <w:jc w:val="both"/>
        <w:rPr>
          <w:rFonts w:ascii="Arial" w:eastAsia="Times New Roman" w:hAnsi="Arial" w:cs="Arial"/>
          <w:color w:val="000000" w:themeColor="text1"/>
          <w:sz w:val="24"/>
          <w:szCs w:val="24"/>
          <w:u w:color="000000"/>
          <w:bdr w:val="none" w:sz="0" w:space="0" w:color="auto" w:frame="1"/>
          <w:lang w:eastAsia="es-CO"/>
        </w:rPr>
      </w:pPr>
      <w:r w:rsidRPr="00906E1B">
        <w:rPr>
          <w:rFonts w:ascii="Arial" w:hAnsi="Arial" w:cs="Arial"/>
          <w:color w:val="000000" w:themeColor="text1"/>
          <w:sz w:val="24"/>
          <w:szCs w:val="24"/>
        </w:rPr>
        <w:t xml:space="preserve">7.- </w:t>
      </w:r>
      <w:r w:rsidR="007E6465" w:rsidRPr="00906E1B">
        <w:rPr>
          <w:rFonts w:ascii="Arial" w:hAnsi="Arial" w:cs="Arial"/>
          <w:color w:val="000000" w:themeColor="text1"/>
          <w:sz w:val="24"/>
          <w:szCs w:val="24"/>
        </w:rPr>
        <w:t>A</w:t>
      </w:r>
      <w:r w:rsidRPr="00906E1B">
        <w:rPr>
          <w:rFonts w:ascii="Arial" w:hAnsi="Arial" w:cs="Arial"/>
          <w:color w:val="000000" w:themeColor="text1"/>
          <w:sz w:val="24"/>
          <w:szCs w:val="24"/>
        </w:rPr>
        <w:t>sí</w:t>
      </w:r>
      <w:r w:rsidR="007E6465" w:rsidRPr="00906E1B">
        <w:rPr>
          <w:rFonts w:ascii="Arial" w:hAnsi="Arial" w:cs="Arial"/>
          <w:color w:val="000000" w:themeColor="text1"/>
          <w:sz w:val="24"/>
          <w:szCs w:val="24"/>
        </w:rPr>
        <w:t xml:space="preserve"> las cosas</w:t>
      </w:r>
      <w:r w:rsidRPr="00906E1B">
        <w:rPr>
          <w:rFonts w:ascii="Arial" w:hAnsi="Arial" w:cs="Arial"/>
          <w:color w:val="000000" w:themeColor="text1"/>
          <w:sz w:val="24"/>
          <w:szCs w:val="24"/>
        </w:rPr>
        <w:t>, la adición de providencias</w:t>
      </w:r>
      <w:r w:rsidR="007E6465" w:rsidRPr="00906E1B">
        <w:rPr>
          <w:rFonts w:ascii="Arial" w:hAnsi="Arial" w:cs="Arial"/>
          <w:color w:val="000000" w:themeColor="text1"/>
          <w:sz w:val="24"/>
          <w:szCs w:val="24"/>
        </w:rPr>
        <w:t xml:space="preserve"> </w:t>
      </w:r>
      <w:r w:rsidR="00334327" w:rsidRPr="00906E1B">
        <w:rPr>
          <w:rFonts w:ascii="Arial" w:hAnsi="Arial" w:cs="Arial"/>
          <w:color w:val="000000" w:themeColor="text1"/>
          <w:sz w:val="24"/>
          <w:szCs w:val="24"/>
        </w:rPr>
        <w:t xml:space="preserve">es procedente </w:t>
      </w:r>
      <w:r w:rsidRPr="00906E1B">
        <w:rPr>
          <w:rFonts w:ascii="Arial" w:hAnsi="Arial" w:cs="Arial"/>
          <w:color w:val="000000" w:themeColor="text1"/>
          <w:sz w:val="24"/>
          <w:szCs w:val="24"/>
        </w:rPr>
        <w:t xml:space="preserve">siempre y cuando estén dados los siguientes presupuestos: </w:t>
      </w:r>
      <w:r w:rsidR="007E6465" w:rsidRPr="00906E1B">
        <w:rPr>
          <w:rFonts w:ascii="Arial" w:hAnsi="Arial" w:cs="Arial"/>
          <w:color w:val="000000" w:themeColor="text1"/>
          <w:sz w:val="24"/>
          <w:szCs w:val="24"/>
        </w:rPr>
        <w:t>(</w:t>
      </w:r>
      <w:r w:rsidRPr="00906E1B">
        <w:rPr>
          <w:rFonts w:ascii="Arial" w:hAnsi="Arial" w:cs="Arial"/>
          <w:color w:val="000000" w:themeColor="text1"/>
          <w:sz w:val="24"/>
          <w:szCs w:val="24"/>
        </w:rPr>
        <w:t>i)</w:t>
      </w:r>
      <w:r w:rsidRPr="00906E1B">
        <w:rPr>
          <w:rFonts w:ascii="Arial" w:hAnsi="Arial" w:cs="Arial"/>
          <w:i/>
          <w:color w:val="000000" w:themeColor="text1"/>
          <w:sz w:val="24"/>
          <w:szCs w:val="24"/>
        </w:rPr>
        <w:t xml:space="preserve"> </w:t>
      </w:r>
      <w:r w:rsidRPr="00906E1B">
        <w:rPr>
          <w:rFonts w:ascii="Arial" w:hAnsi="Arial" w:cs="Arial"/>
          <w:color w:val="000000" w:themeColor="text1"/>
          <w:sz w:val="24"/>
          <w:szCs w:val="24"/>
        </w:rPr>
        <w:t xml:space="preserve">que la solicitud se presente dentro del término de ejecutoria de la decisión de la cual se pretende la adición, o de oficio, dentro del mismo término y </w:t>
      </w:r>
      <w:r w:rsidR="007E6465" w:rsidRPr="00906E1B">
        <w:rPr>
          <w:rFonts w:ascii="Arial" w:hAnsi="Arial" w:cs="Arial"/>
          <w:color w:val="000000" w:themeColor="text1"/>
          <w:sz w:val="24"/>
          <w:szCs w:val="24"/>
        </w:rPr>
        <w:t>(</w:t>
      </w:r>
      <w:r w:rsidRPr="00906E1B">
        <w:rPr>
          <w:rFonts w:ascii="Arial" w:hAnsi="Arial" w:cs="Arial"/>
          <w:color w:val="000000" w:themeColor="text1"/>
          <w:sz w:val="24"/>
          <w:szCs w:val="24"/>
        </w:rPr>
        <w:t xml:space="preserve">ii) que en la providencia objeto de adición </w:t>
      </w:r>
      <w:r w:rsidR="00334327">
        <w:rPr>
          <w:rFonts w:ascii="Arial" w:hAnsi="Arial" w:cs="Arial"/>
          <w:color w:val="000000" w:themeColor="text1"/>
          <w:sz w:val="24"/>
          <w:szCs w:val="24"/>
        </w:rPr>
        <w:t xml:space="preserve">no </w:t>
      </w:r>
      <w:r w:rsidRPr="00906E1B">
        <w:rPr>
          <w:rFonts w:ascii="Arial" w:hAnsi="Arial" w:cs="Arial"/>
          <w:color w:val="000000" w:themeColor="text1"/>
          <w:sz w:val="24"/>
          <w:szCs w:val="24"/>
        </w:rPr>
        <w:t xml:space="preserve">se </w:t>
      </w:r>
      <w:r w:rsidR="00334327">
        <w:rPr>
          <w:rFonts w:ascii="Arial" w:hAnsi="Arial" w:cs="Arial"/>
          <w:color w:val="000000" w:themeColor="text1"/>
          <w:sz w:val="24"/>
          <w:szCs w:val="24"/>
        </w:rPr>
        <w:t xml:space="preserve">haya resuelto </w:t>
      </w:r>
      <w:r w:rsidRPr="00906E1B">
        <w:rPr>
          <w:rFonts w:ascii="Arial" w:hAnsi="Arial" w:cs="Arial"/>
          <w:color w:val="000000" w:themeColor="text1"/>
          <w:sz w:val="24"/>
          <w:szCs w:val="24"/>
        </w:rPr>
        <w:t xml:space="preserve">algún extremo de la </w:t>
      </w:r>
      <w:r w:rsidRPr="00906E1B">
        <w:rPr>
          <w:rFonts w:ascii="Arial" w:hAnsi="Arial" w:cs="Arial"/>
          <w:i/>
          <w:iCs/>
          <w:color w:val="000000" w:themeColor="text1"/>
          <w:sz w:val="24"/>
          <w:szCs w:val="24"/>
        </w:rPr>
        <w:t>litis</w:t>
      </w:r>
      <w:r w:rsidRPr="00906E1B">
        <w:rPr>
          <w:rFonts w:ascii="Arial" w:hAnsi="Arial" w:cs="Arial"/>
          <w:color w:val="000000" w:themeColor="text1"/>
          <w:sz w:val="24"/>
          <w:szCs w:val="24"/>
        </w:rPr>
        <w:t xml:space="preserve"> o cualquier otro punto que obligatoriamente debía ser objeto pronunciamiento expreso.</w:t>
      </w:r>
    </w:p>
    <w:p w14:paraId="0AC0E79F" w14:textId="77777777" w:rsidR="00CB33B3" w:rsidRPr="00906E1B" w:rsidRDefault="00CB33B3" w:rsidP="003F45B2">
      <w:pPr>
        <w:pStyle w:val="Prrafodelista"/>
        <w:spacing w:line="276" w:lineRule="auto"/>
        <w:ind w:left="0"/>
        <w:jc w:val="both"/>
        <w:rPr>
          <w:rFonts w:ascii="Arial" w:eastAsia="Times New Roman" w:hAnsi="Arial" w:cs="Arial"/>
          <w:color w:val="000000" w:themeColor="text1"/>
          <w:sz w:val="24"/>
          <w:szCs w:val="24"/>
          <w:u w:color="000000"/>
          <w:bdr w:val="none" w:sz="0" w:space="0" w:color="auto" w:frame="1"/>
          <w:lang w:eastAsia="es-CO"/>
        </w:rPr>
      </w:pPr>
    </w:p>
    <w:p w14:paraId="2A8FB70C" w14:textId="34EE0396" w:rsidR="00E12CCA" w:rsidRPr="00906E1B" w:rsidRDefault="00CB33B3" w:rsidP="003F45B2">
      <w:pPr>
        <w:pStyle w:val="Prrafodelista"/>
        <w:spacing w:line="276" w:lineRule="auto"/>
        <w:ind w:left="0"/>
        <w:jc w:val="both"/>
        <w:rPr>
          <w:rFonts w:ascii="Arial" w:hAnsi="Arial" w:cs="Arial"/>
          <w:color w:val="000000" w:themeColor="text1"/>
          <w:sz w:val="24"/>
          <w:szCs w:val="24"/>
        </w:rPr>
      </w:pPr>
      <w:r w:rsidRPr="00906E1B">
        <w:rPr>
          <w:rFonts w:ascii="Arial" w:hAnsi="Arial" w:cs="Arial"/>
          <w:color w:val="000000" w:themeColor="text1"/>
          <w:sz w:val="24"/>
          <w:szCs w:val="24"/>
        </w:rPr>
        <w:t>8.- La Sala advierte que</w:t>
      </w:r>
      <w:r w:rsidR="003F45B2" w:rsidRPr="00906E1B">
        <w:rPr>
          <w:rFonts w:ascii="Arial" w:hAnsi="Arial" w:cs="Arial"/>
          <w:color w:val="000000" w:themeColor="text1"/>
          <w:sz w:val="24"/>
          <w:szCs w:val="24"/>
        </w:rPr>
        <w:t xml:space="preserve"> </w:t>
      </w:r>
      <w:r w:rsidRPr="00906E1B">
        <w:rPr>
          <w:rFonts w:ascii="Arial" w:hAnsi="Arial" w:cs="Arial"/>
          <w:color w:val="000000" w:themeColor="text1"/>
          <w:sz w:val="24"/>
          <w:szCs w:val="24"/>
        </w:rPr>
        <w:t xml:space="preserve">en este caso la solicitud de adición y aclaración se presentó dentro del término de ejecutoria del fallo, dado que la decisión se notificó el </w:t>
      </w:r>
      <w:r w:rsidR="0018010A" w:rsidRPr="00906E1B">
        <w:rPr>
          <w:rFonts w:ascii="Arial" w:hAnsi="Arial" w:cs="Arial"/>
          <w:color w:val="000000" w:themeColor="text1"/>
          <w:sz w:val="24"/>
          <w:szCs w:val="24"/>
        </w:rPr>
        <w:t xml:space="preserve">21 de junio de 2021 y la solicitud se presentó </w:t>
      </w:r>
      <w:r w:rsidRPr="00906E1B">
        <w:rPr>
          <w:rFonts w:ascii="Arial" w:hAnsi="Arial" w:cs="Arial"/>
          <w:color w:val="000000" w:themeColor="text1"/>
          <w:sz w:val="24"/>
          <w:szCs w:val="24"/>
        </w:rPr>
        <w:t xml:space="preserve">el </w:t>
      </w:r>
      <w:r w:rsidR="0018010A" w:rsidRPr="00906E1B">
        <w:rPr>
          <w:rFonts w:ascii="Arial" w:hAnsi="Arial" w:cs="Arial"/>
          <w:color w:val="000000" w:themeColor="text1"/>
          <w:sz w:val="24"/>
          <w:szCs w:val="24"/>
        </w:rPr>
        <w:t xml:space="preserve">23 </w:t>
      </w:r>
      <w:r w:rsidR="00A56A94" w:rsidRPr="00906E1B">
        <w:rPr>
          <w:rFonts w:ascii="Arial" w:hAnsi="Arial" w:cs="Arial"/>
          <w:color w:val="000000" w:themeColor="text1"/>
          <w:sz w:val="24"/>
          <w:szCs w:val="24"/>
        </w:rPr>
        <w:t xml:space="preserve">de junio </w:t>
      </w:r>
      <w:r w:rsidR="0018010A" w:rsidRPr="00906E1B">
        <w:rPr>
          <w:rFonts w:ascii="Arial" w:hAnsi="Arial" w:cs="Arial"/>
          <w:color w:val="000000" w:themeColor="text1"/>
          <w:sz w:val="24"/>
          <w:szCs w:val="24"/>
        </w:rPr>
        <w:t>siguiente</w:t>
      </w:r>
      <w:r w:rsidR="00E12CCA" w:rsidRPr="00906E1B">
        <w:rPr>
          <w:rFonts w:ascii="Arial" w:hAnsi="Arial" w:cs="Arial"/>
          <w:color w:val="000000" w:themeColor="text1"/>
          <w:sz w:val="24"/>
          <w:szCs w:val="24"/>
        </w:rPr>
        <w:t>.</w:t>
      </w:r>
    </w:p>
    <w:p w14:paraId="280569D5" w14:textId="77777777" w:rsidR="00E12CCA" w:rsidRPr="00906E1B" w:rsidRDefault="00E12CCA" w:rsidP="003F45B2">
      <w:pPr>
        <w:pStyle w:val="Prrafodelista"/>
        <w:spacing w:line="276" w:lineRule="auto"/>
        <w:ind w:left="0"/>
        <w:jc w:val="both"/>
        <w:rPr>
          <w:rFonts w:ascii="Arial" w:hAnsi="Arial" w:cs="Arial"/>
          <w:color w:val="000000" w:themeColor="text1"/>
          <w:sz w:val="24"/>
          <w:szCs w:val="24"/>
        </w:rPr>
      </w:pPr>
    </w:p>
    <w:p w14:paraId="34ED572A" w14:textId="2CE5FCBC" w:rsidR="003F45B2" w:rsidRPr="00906E1B" w:rsidRDefault="0018010A" w:rsidP="003F45B2">
      <w:pPr>
        <w:pStyle w:val="Prrafodelista"/>
        <w:spacing w:line="276" w:lineRule="auto"/>
        <w:ind w:left="0"/>
        <w:jc w:val="both"/>
        <w:rPr>
          <w:rFonts w:ascii="Arial" w:hAnsi="Arial" w:cs="Arial"/>
          <w:color w:val="000000" w:themeColor="text1"/>
          <w:sz w:val="24"/>
          <w:szCs w:val="24"/>
        </w:rPr>
      </w:pPr>
      <w:r w:rsidRPr="00906E1B">
        <w:rPr>
          <w:rFonts w:ascii="Arial" w:hAnsi="Arial" w:cs="Arial"/>
          <w:color w:val="000000" w:themeColor="text1"/>
          <w:sz w:val="24"/>
          <w:szCs w:val="24"/>
        </w:rPr>
        <w:t>9.- Respecto de los cargos de a</w:t>
      </w:r>
      <w:r w:rsidR="005A4AC9">
        <w:rPr>
          <w:rFonts w:ascii="Arial" w:hAnsi="Arial" w:cs="Arial"/>
          <w:color w:val="000000" w:themeColor="text1"/>
          <w:sz w:val="24"/>
          <w:szCs w:val="24"/>
        </w:rPr>
        <w:t>claración</w:t>
      </w:r>
      <w:r w:rsidRPr="00906E1B">
        <w:rPr>
          <w:rFonts w:ascii="Arial" w:hAnsi="Arial" w:cs="Arial"/>
          <w:color w:val="000000" w:themeColor="text1"/>
          <w:sz w:val="24"/>
          <w:szCs w:val="24"/>
        </w:rPr>
        <w:t xml:space="preserve"> relacionados con el tema de la notificación de la sentencia de segunda instancia dentro del proceso disciplinario</w:t>
      </w:r>
      <w:r w:rsidR="00535493" w:rsidRPr="00906E1B">
        <w:rPr>
          <w:rFonts w:ascii="Arial" w:hAnsi="Arial" w:cs="Arial"/>
          <w:color w:val="000000" w:themeColor="text1"/>
          <w:sz w:val="24"/>
          <w:szCs w:val="24"/>
        </w:rPr>
        <w:t xml:space="preserve">, la Sala </w:t>
      </w:r>
      <w:r w:rsidR="008E728D" w:rsidRPr="00906E1B">
        <w:rPr>
          <w:rFonts w:ascii="Arial" w:hAnsi="Arial" w:cs="Arial"/>
          <w:color w:val="000000" w:themeColor="text1"/>
          <w:sz w:val="24"/>
          <w:szCs w:val="24"/>
        </w:rPr>
        <w:t xml:space="preserve">constata </w:t>
      </w:r>
      <w:r w:rsidRPr="00906E1B">
        <w:rPr>
          <w:rFonts w:ascii="Arial" w:hAnsi="Arial" w:cs="Arial"/>
          <w:color w:val="000000" w:themeColor="text1"/>
          <w:sz w:val="24"/>
          <w:szCs w:val="24"/>
        </w:rPr>
        <w:t xml:space="preserve">que </w:t>
      </w:r>
      <w:r w:rsidR="008E728D" w:rsidRPr="00906E1B">
        <w:rPr>
          <w:rFonts w:ascii="Arial" w:hAnsi="Arial" w:cs="Arial"/>
          <w:color w:val="000000" w:themeColor="text1"/>
          <w:sz w:val="24"/>
          <w:szCs w:val="24"/>
        </w:rPr>
        <w:t xml:space="preserve">la Sala Jurisdiccional del Consejo Seccional de la Judicatura de Bogotá dictó sentencia condenatoria el 8 de julio </w:t>
      </w:r>
      <w:r w:rsidR="002402E1" w:rsidRPr="00906E1B">
        <w:rPr>
          <w:rFonts w:ascii="Arial" w:hAnsi="Arial" w:cs="Arial"/>
          <w:color w:val="000000" w:themeColor="text1"/>
          <w:sz w:val="24"/>
          <w:szCs w:val="24"/>
        </w:rPr>
        <w:t xml:space="preserve">de 2020 </w:t>
      </w:r>
      <w:r w:rsidR="008E728D" w:rsidRPr="00906E1B">
        <w:rPr>
          <w:rFonts w:ascii="Arial" w:hAnsi="Arial" w:cs="Arial"/>
          <w:color w:val="000000" w:themeColor="text1"/>
          <w:sz w:val="24"/>
          <w:szCs w:val="24"/>
        </w:rPr>
        <w:t>y</w:t>
      </w:r>
      <w:r w:rsidR="0014076B" w:rsidRPr="00906E1B">
        <w:rPr>
          <w:rFonts w:ascii="Arial" w:hAnsi="Arial" w:cs="Arial"/>
          <w:color w:val="000000" w:themeColor="text1"/>
          <w:sz w:val="24"/>
          <w:szCs w:val="24"/>
        </w:rPr>
        <w:t xml:space="preserve">, </w:t>
      </w:r>
      <w:r w:rsidR="002402E1" w:rsidRPr="00906E1B">
        <w:rPr>
          <w:rFonts w:ascii="Arial" w:hAnsi="Arial" w:cs="Arial"/>
          <w:color w:val="000000" w:themeColor="text1"/>
          <w:sz w:val="24"/>
          <w:szCs w:val="24"/>
        </w:rPr>
        <w:t xml:space="preserve">en el correo mediante el cual </w:t>
      </w:r>
      <w:r w:rsidR="008E728D" w:rsidRPr="00906E1B">
        <w:rPr>
          <w:rFonts w:ascii="Arial" w:hAnsi="Arial" w:cs="Arial"/>
          <w:color w:val="000000" w:themeColor="text1"/>
          <w:sz w:val="24"/>
          <w:szCs w:val="24"/>
        </w:rPr>
        <w:t>notificó al accionante de dicha</w:t>
      </w:r>
      <w:r w:rsidR="002402E1" w:rsidRPr="00906E1B">
        <w:rPr>
          <w:rFonts w:ascii="Arial" w:hAnsi="Arial" w:cs="Arial"/>
          <w:color w:val="000000" w:themeColor="text1"/>
          <w:sz w:val="24"/>
          <w:szCs w:val="24"/>
        </w:rPr>
        <w:t xml:space="preserve"> actuación</w:t>
      </w:r>
      <w:r w:rsidR="0014076B" w:rsidRPr="00906E1B">
        <w:rPr>
          <w:rFonts w:ascii="Arial" w:hAnsi="Arial" w:cs="Arial"/>
          <w:color w:val="000000" w:themeColor="text1"/>
          <w:sz w:val="24"/>
          <w:szCs w:val="24"/>
        </w:rPr>
        <w:t xml:space="preserve"> </w:t>
      </w:r>
      <w:bookmarkStart w:id="0" w:name="_Hlk78553106"/>
      <w:r w:rsidR="009738F5" w:rsidRPr="00906E1B">
        <w:rPr>
          <w:rFonts w:ascii="Arial" w:hAnsi="Arial" w:cs="Arial"/>
          <w:color w:val="000000" w:themeColor="text1"/>
          <w:sz w:val="24"/>
          <w:szCs w:val="24"/>
        </w:rPr>
        <w:t>–</w:t>
      </w:r>
      <w:bookmarkEnd w:id="0"/>
      <w:r w:rsidR="009738F5" w:rsidRPr="00906E1B">
        <w:rPr>
          <w:rFonts w:ascii="Arial" w:hAnsi="Arial" w:cs="Arial"/>
          <w:color w:val="000000" w:themeColor="text1"/>
          <w:sz w:val="24"/>
          <w:szCs w:val="24"/>
        </w:rPr>
        <w:t xml:space="preserve">enviado </w:t>
      </w:r>
      <w:r w:rsidR="0014076B" w:rsidRPr="00906E1B">
        <w:rPr>
          <w:rFonts w:ascii="Arial" w:hAnsi="Arial" w:cs="Arial"/>
          <w:color w:val="000000" w:themeColor="text1"/>
          <w:sz w:val="24"/>
          <w:szCs w:val="24"/>
        </w:rPr>
        <w:t>el 14 de julio de 2020</w:t>
      </w:r>
      <w:r w:rsidR="009738F5" w:rsidRPr="00906E1B">
        <w:rPr>
          <w:rFonts w:ascii="Arial" w:hAnsi="Arial" w:cs="Arial"/>
          <w:color w:val="000000" w:themeColor="text1"/>
          <w:sz w:val="24"/>
          <w:szCs w:val="24"/>
        </w:rPr>
        <w:t>–</w:t>
      </w:r>
      <w:r w:rsidR="008E728D" w:rsidRPr="00906E1B">
        <w:rPr>
          <w:rFonts w:ascii="Arial" w:hAnsi="Arial" w:cs="Arial"/>
          <w:color w:val="000000" w:themeColor="text1"/>
          <w:sz w:val="24"/>
          <w:szCs w:val="24"/>
        </w:rPr>
        <w:t xml:space="preserve">, </w:t>
      </w:r>
      <w:r w:rsidR="002402E1" w:rsidRPr="00906E1B">
        <w:rPr>
          <w:rFonts w:ascii="Arial" w:hAnsi="Arial" w:cs="Arial"/>
          <w:color w:val="000000" w:themeColor="text1"/>
          <w:sz w:val="24"/>
          <w:szCs w:val="24"/>
        </w:rPr>
        <w:t xml:space="preserve">no adjuntó copia de la providencia. </w:t>
      </w:r>
      <w:r w:rsidR="00F83148">
        <w:rPr>
          <w:rFonts w:ascii="Arial" w:hAnsi="Arial" w:cs="Arial"/>
          <w:color w:val="000000" w:themeColor="text1"/>
          <w:sz w:val="24"/>
          <w:szCs w:val="24"/>
        </w:rPr>
        <w:t xml:space="preserve">El actor recibió una copia de la decisión </w:t>
      </w:r>
      <w:r w:rsidR="002402E1" w:rsidRPr="00906E1B">
        <w:rPr>
          <w:rFonts w:ascii="Arial" w:hAnsi="Arial" w:cs="Arial"/>
          <w:color w:val="000000" w:themeColor="text1"/>
          <w:sz w:val="24"/>
          <w:szCs w:val="24"/>
        </w:rPr>
        <w:t>el 18 de septiembre de 2020</w:t>
      </w:r>
      <w:r w:rsidR="00F83148">
        <w:rPr>
          <w:rFonts w:ascii="Arial" w:hAnsi="Arial" w:cs="Arial"/>
          <w:color w:val="000000" w:themeColor="text1"/>
          <w:sz w:val="24"/>
          <w:szCs w:val="24"/>
        </w:rPr>
        <w:t xml:space="preserve"> </w:t>
      </w:r>
      <w:r w:rsidR="00F83148" w:rsidRPr="00906E1B">
        <w:rPr>
          <w:rFonts w:ascii="Arial" w:hAnsi="Arial" w:cs="Arial"/>
          <w:color w:val="000000" w:themeColor="text1"/>
          <w:sz w:val="24"/>
          <w:szCs w:val="24"/>
        </w:rPr>
        <w:t>–</w:t>
      </w:r>
      <w:r w:rsidR="00F83148">
        <w:rPr>
          <w:rFonts w:ascii="Arial" w:hAnsi="Arial" w:cs="Arial"/>
          <w:color w:val="000000" w:themeColor="text1"/>
          <w:sz w:val="24"/>
          <w:szCs w:val="24"/>
        </w:rPr>
        <w:t>es decir, después de más de dos meses</w:t>
      </w:r>
      <w:r w:rsidR="00F83148" w:rsidRPr="00906E1B">
        <w:rPr>
          <w:rFonts w:ascii="Arial" w:hAnsi="Arial" w:cs="Arial"/>
          <w:color w:val="000000" w:themeColor="text1"/>
          <w:sz w:val="24"/>
          <w:szCs w:val="24"/>
        </w:rPr>
        <w:t>–</w:t>
      </w:r>
      <w:r w:rsidR="00F83148">
        <w:rPr>
          <w:rFonts w:ascii="Arial" w:hAnsi="Arial" w:cs="Arial"/>
          <w:color w:val="000000" w:themeColor="text1"/>
          <w:sz w:val="24"/>
          <w:szCs w:val="24"/>
        </w:rPr>
        <w:t xml:space="preserve">, </w:t>
      </w:r>
      <w:r w:rsidR="002402E1" w:rsidRPr="00906E1B">
        <w:rPr>
          <w:rFonts w:ascii="Arial" w:hAnsi="Arial" w:cs="Arial"/>
          <w:color w:val="000000" w:themeColor="text1"/>
          <w:sz w:val="24"/>
          <w:szCs w:val="24"/>
        </w:rPr>
        <w:t xml:space="preserve">pero esta vez no fueron anexados los salvamentos de voto (folios 884- 887). </w:t>
      </w:r>
    </w:p>
    <w:p w14:paraId="7A73211A" w14:textId="77777777" w:rsidR="003F45B2" w:rsidRPr="00906E1B" w:rsidRDefault="003F45B2" w:rsidP="003F45B2">
      <w:pPr>
        <w:pStyle w:val="Prrafodelista"/>
        <w:spacing w:line="276" w:lineRule="auto"/>
        <w:ind w:left="0"/>
        <w:jc w:val="both"/>
        <w:rPr>
          <w:rFonts w:ascii="Arial" w:hAnsi="Arial" w:cs="Arial"/>
          <w:color w:val="000000" w:themeColor="text1"/>
          <w:sz w:val="24"/>
          <w:szCs w:val="24"/>
        </w:rPr>
      </w:pPr>
    </w:p>
    <w:p w14:paraId="062BBD80" w14:textId="72CFD14C" w:rsidR="003F45B2" w:rsidRPr="00774AD3" w:rsidRDefault="00A56A94" w:rsidP="003F45B2">
      <w:pPr>
        <w:pStyle w:val="Prrafodelista"/>
        <w:spacing w:line="276" w:lineRule="auto"/>
        <w:ind w:left="0"/>
        <w:jc w:val="both"/>
        <w:rPr>
          <w:rFonts w:ascii="Arial" w:hAnsi="Arial" w:cs="Arial"/>
          <w:color w:val="000000" w:themeColor="text1"/>
          <w:sz w:val="24"/>
          <w:szCs w:val="24"/>
          <w:shd w:val="clear" w:color="auto" w:fill="FFFFFF"/>
        </w:rPr>
      </w:pPr>
      <w:r w:rsidRPr="00774AD3">
        <w:rPr>
          <w:rFonts w:ascii="Arial" w:hAnsi="Arial" w:cs="Arial"/>
          <w:color w:val="000000" w:themeColor="text1"/>
          <w:sz w:val="24"/>
          <w:szCs w:val="24"/>
        </w:rPr>
        <w:t xml:space="preserve">9.1.- </w:t>
      </w:r>
      <w:r w:rsidR="00785A06" w:rsidRPr="00774AD3">
        <w:rPr>
          <w:rFonts w:ascii="Arial" w:hAnsi="Arial" w:cs="Arial"/>
          <w:color w:val="000000" w:themeColor="text1"/>
          <w:sz w:val="24"/>
          <w:szCs w:val="24"/>
        </w:rPr>
        <w:t>Para la Sala</w:t>
      </w:r>
      <w:r w:rsidR="00F83148" w:rsidRPr="00774AD3">
        <w:rPr>
          <w:rFonts w:ascii="Arial" w:hAnsi="Arial" w:cs="Arial"/>
          <w:color w:val="000000" w:themeColor="text1"/>
          <w:sz w:val="24"/>
          <w:szCs w:val="24"/>
        </w:rPr>
        <w:t>,</w:t>
      </w:r>
      <w:r w:rsidRPr="00774AD3">
        <w:rPr>
          <w:rFonts w:ascii="Arial" w:hAnsi="Arial" w:cs="Arial"/>
          <w:color w:val="000000" w:themeColor="text1"/>
          <w:sz w:val="24"/>
          <w:szCs w:val="24"/>
        </w:rPr>
        <w:t xml:space="preserve"> el artículo 72 del Código Disciplinario del Abogado establece (i) que </w:t>
      </w:r>
      <w:r w:rsidRPr="00774AD3">
        <w:rPr>
          <w:rFonts w:ascii="Arial" w:eastAsia="Times New Roman" w:hAnsi="Arial" w:cs="Arial"/>
          <w:color w:val="000000" w:themeColor="text1"/>
          <w:sz w:val="24"/>
          <w:szCs w:val="24"/>
          <w:lang w:eastAsia="es-MX"/>
        </w:rPr>
        <w:t>l</w:t>
      </w:r>
      <w:r w:rsidRPr="00774AD3">
        <w:rPr>
          <w:rFonts w:ascii="Arial" w:eastAsia="Times New Roman" w:hAnsi="Arial" w:cs="Arial"/>
          <w:color w:val="000000" w:themeColor="text1"/>
          <w:sz w:val="24"/>
          <w:szCs w:val="24"/>
          <w:lang w:val="es-US" w:eastAsia="es-MX"/>
        </w:rPr>
        <w:t xml:space="preserve">as decisiones que deban notificarse personalmente podrán ser enviadas a la dirección de correo electrónico del disciplinable o de su defensor y (ii) que la notificación se entenderá surtida en la fecha que aparezca en que el correo electrónico sea enviado. En este </w:t>
      </w:r>
      <w:r w:rsidRPr="00774AD3">
        <w:rPr>
          <w:rFonts w:ascii="Arial" w:eastAsia="Times New Roman" w:hAnsi="Arial" w:cs="Arial"/>
          <w:color w:val="000000" w:themeColor="text1"/>
          <w:sz w:val="24"/>
          <w:szCs w:val="24"/>
          <w:lang w:val="es-US" w:eastAsia="es-MX"/>
        </w:rPr>
        <w:lastRenderedPageBreak/>
        <w:t>sentido, la norma no indica que sea obligatorio anexar una copia de la providencia al correo por medio del cual se surte la notificación</w:t>
      </w:r>
      <w:r w:rsidR="003F45B2" w:rsidRPr="00774AD3">
        <w:rPr>
          <w:rFonts w:ascii="Arial" w:eastAsia="Times New Roman" w:hAnsi="Arial" w:cs="Arial"/>
          <w:color w:val="000000" w:themeColor="text1"/>
          <w:sz w:val="24"/>
          <w:szCs w:val="24"/>
          <w:lang w:val="es-US" w:eastAsia="es-MX"/>
        </w:rPr>
        <w:t>. P</w:t>
      </w:r>
      <w:r w:rsidR="00785A06" w:rsidRPr="00774AD3">
        <w:rPr>
          <w:rFonts w:ascii="Arial" w:eastAsia="Times New Roman" w:hAnsi="Arial" w:cs="Arial"/>
          <w:color w:val="000000" w:themeColor="text1"/>
          <w:sz w:val="24"/>
          <w:szCs w:val="24"/>
          <w:lang w:val="es-US" w:eastAsia="es-MX"/>
        </w:rPr>
        <w:t>or lo tanto, para la Sala es</w:t>
      </w:r>
      <w:r w:rsidR="007676FF" w:rsidRPr="00774AD3">
        <w:rPr>
          <w:rFonts w:ascii="Arial" w:eastAsia="Times New Roman" w:hAnsi="Arial" w:cs="Arial"/>
          <w:color w:val="000000" w:themeColor="text1"/>
          <w:sz w:val="24"/>
          <w:szCs w:val="24"/>
          <w:lang w:val="es-US" w:eastAsia="es-MX"/>
        </w:rPr>
        <w:t xml:space="preserve"> claro que la </w:t>
      </w:r>
      <w:r w:rsidR="007676FF" w:rsidRPr="00774AD3">
        <w:rPr>
          <w:rFonts w:ascii="Arial" w:hAnsi="Arial" w:cs="Arial"/>
          <w:color w:val="000000" w:themeColor="text1"/>
          <w:sz w:val="24"/>
          <w:szCs w:val="24"/>
        </w:rPr>
        <w:t>Sala Jurisdiccional del Consejo Seccional de la Judicatura de Bogotá</w:t>
      </w:r>
      <w:r w:rsidR="007676FF" w:rsidRPr="00774AD3">
        <w:rPr>
          <w:rFonts w:ascii="Arial" w:eastAsia="Times New Roman" w:hAnsi="Arial" w:cs="Arial"/>
          <w:color w:val="000000" w:themeColor="text1"/>
          <w:sz w:val="24"/>
          <w:szCs w:val="24"/>
          <w:lang w:val="es-US" w:eastAsia="es-MX"/>
        </w:rPr>
        <w:t xml:space="preserve"> no incurrió en una irregularidad procesal y </w:t>
      </w:r>
      <w:r w:rsidR="003F45B2" w:rsidRPr="00774AD3">
        <w:rPr>
          <w:rFonts w:ascii="Arial" w:eastAsia="Times New Roman" w:hAnsi="Arial" w:cs="Arial"/>
          <w:color w:val="000000" w:themeColor="text1"/>
          <w:sz w:val="24"/>
          <w:szCs w:val="24"/>
          <w:lang w:val="es-US" w:eastAsia="es-MX"/>
        </w:rPr>
        <w:t xml:space="preserve">que </w:t>
      </w:r>
      <w:r w:rsidR="007676FF" w:rsidRPr="00774AD3">
        <w:rPr>
          <w:rFonts w:ascii="Arial" w:eastAsia="Times New Roman" w:hAnsi="Arial" w:cs="Arial"/>
          <w:color w:val="000000" w:themeColor="text1"/>
          <w:sz w:val="24"/>
          <w:szCs w:val="24"/>
          <w:lang w:val="es-US" w:eastAsia="es-MX"/>
        </w:rPr>
        <w:t xml:space="preserve">el accionante </w:t>
      </w:r>
      <w:r w:rsidR="003F45B2" w:rsidRPr="00774AD3">
        <w:rPr>
          <w:rFonts w:ascii="Arial" w:eastAsia="Times New Roman" w:hAnsi="Arial" w:cs="Arial"/>
          <w:color w:val="000000" w:themeColor="text1"/>
          <w:sz w:val="24"/>
          <w:szCs w:val="24"/>
          <w:lang w:val="es-US" w:eastAsia="es-MX"/>
        </w:rPr>
        <w:t xml:space="preserve">fue </w:t>
      </w:r>
      <w:r w:rsidR="00906E1B" w:rsidRPr="00774AD3">
        <w:rPr>
          <w:rFonts w:ascii="Arial" w:eastAsia="Times New Roman" w:hAnsi="Arial" w:cs="Arial"/>
          <w:color w:val="000000" w:themeColor="text1"/>
          <w:sz w:val="24"/>
          <w:szCs w:val="24"/>
          <w:lang w:val="es-US" w:eastAsia="es-MX"/>
        </w:rPr>
        <w:t xml:space="preserve">notificado </w:t>
      </w:r>
      <w:r w:rsidR="007676FF" w:rsidRPr="00774AD3">
        <w:rPr>
          <w:rFonts w:ascii="Arial" w:eastAsia="Times New Roman" w:hAnsi="Arial" w:cs="Arial"/>
          <w:color w:val="000000" w:themeColor="text1"/>
          <w:sz w:val="24"/>
          <w:szCs w:val="24"/>
          <w:lang w:val="es-US" w:eastAsia="es-MX"/>
        </w:rPr>
        <w:t>desde el 14 de junio de 2020</w:t>
      </w:r>
      <w:r w:rsidR="00F83148" w:rsidRPr="00774AD3">
        <w:rPr>
          <w:rFonts w:ascii="Arial" w:eastAsia="Times New Roman" w:hAnsi="Arial" w:cs="Arial"/>
          <w:color w:val="000000" w:themeColor="text1"/>
          <w:sz w:val="24"/>
          <w:szCs w:val="24"/>
          <w:lang w:val="es-US" w:eastAsia="es-MX"/>
        </w:rPr>
        <w:t>,</w:t>
      </w:r>
      <w:r w:rsidR="003F45B2" w:rsidRPr="00774AD3">
        <w:rPr>
          <w:rFonts w:ascii="Arial" w:eastAsia="Times New Roman" w:hAnsi="Arial" w:cs="Arial"/>
          <w:color w:val="000000" w:themeColor="text1"/>
          <w:sz w:val="24"/>
          <w:szCs w:val="24"/>
          <w:lang w:val="es-US" w:eastAsia="es-MX"/>
        </w:rPr>
        <w:t xml:space="preserve"> fecha en la cual </w:t>
      </w:r>
      <w:r w:rsidR="003F45B2" w:rsidRPr="00774AD3">
        <w:rPr>
          <w:rFonts w:ascii="Arial" w:hAnsi="Arial" w:cs="Arial"/>
          <w:color w:val="000000" w:themeColor="text1"/>
          <w:sz w:val="24"/>
          <w:szCs w:val="24"/>
          <w:shd w:val="clear" w:color="auto" w:fill="FFFFFF"/>
        </w:rPr>
        <w:t>se le indicó el sentido de la decisión a través de un correo electrónico</w:t>
      </w:r>
      <w:r w:rsidR="00F83148" w:rsidRPr="00774AD3">
        <w:rPr>
          <w:rFonts w:ascii="Arial" w:hAnsi="Arial" w:cs="Arial"/>
          <w:color w:val="000000" w:themeColor="text1"/>
          <w:sz w:val="24"/>
          <w:szCs w:val="24"/>
          <w:shd w:val="clear" w:color="auto" w:fill="FFFFFF"/>
        </w:rPr>
        <w:t xml:space="preserve"> en el que </w:t>
      </w:r>
      <w:r w:rsidR="003F45B2" w:rsidRPr="00774AD3">
        <w:rPr>
          <w:rFonts w:ascii="Arial" w:hAnsi="Arial" w:cs="Arial"/>
          <w:color w:val="000000" w:themeColor="text1"/>
          <w:sz w:val="24"/>
          <w:szCs w:val="24"/>
          <w:shd w:val="clear" w:color="auto" w:fill="FFFFFF"/>
        </w:rPr>
        <w:t>se transcribió la parte resolutiva de la sentencia y se dijo que la notificación se hacía por ese medio atendiendo a la medidas adoptadas con ocasión de la pandemia Covid-19.</w:t>
      </w:r>
    </w:p>
    <w:p w14:paraId="598B8DC8" w14:textId="77777777" w:rsidR="003F45B2" w:rsidRPr="00774AD3" w:rsidRDefault="003F45B2" w:rsidP="003F45B2">
      <w:pPr>
        <w:pStyle w:val="Prrafodelista"/>
        <w:spacing w:line="276" w:lineRule="auto"/>
        <w:ind w:left="0"/>
        <w:jc w:val="both"/>
        <w:rPr>
          <w:rFonts w:ascii="Arial" w:hAnsi="Arial" w:cs="Arial"/>
          <w:color w:val="000000" w:themeColor="text1"/>
          <w:sz w:val="24"/>
          <w:szCs w:val="24"/>
          <w:shd w:val="clear" w:color="auto" w:fill="FFFFFF"/>
        </w:rPr>
      </w:pPr>
    </w:p>
    <w:p w14:paraId="48A1ADD2" w14:textId="065DAFA3" w:rsidR="00906E1B" w:rsidRPr="00774AD3" w:rsidRDefault="007676FF" w:rsidP="00906E1B">
      <w:pPr>
        <w:pStyle w:val="Prrafodelista"/>
        <w:spacing w:line="276" w:lineRule="auto"/>
        <w:ind w:left="0"/>
        <w:jc w:val="both"/>
        <w:rPr>
          <w:rFonts w:ascii="Arial" w:hAnsi="Arial" w:cs="Arial"/>
          <w:color w:val="000000" w:themeColor="text1"/>
          <w:sz w:val="24"/>
          <w:szCs w:val="24"/>
          <w:shd w:val="clear" w:color="auto" w:fill="FFFFFF"/>
        </w:rPr>
      </w:pPr>
      <w:r w:rsidRPr="00774AD3">
        <w:rPr>
          <w:rFonts w:ascii="Arial" w:eastAsia="Times New Roman" w:hAnsi="Arial" w:cs="Arial"/>
          <w:color w:val="000000" w:themeColor="text1"/>
          <w:sz w:val="24"/>
          <w:szCs w:val="24"/>
          <w:lang w:val="es-US" w:eastAsia="es-MX"/>
        </w:rPr>
        <w:t xml:space="preserve">9.2.- Por otra parte, </w:t>
      </w:r>
      <w:r w:rsidR="003F45B2" w:rsidRPr="00774AD3">
        <w:rPr>
          <w:rFonts w:ascii="Arial" w:eastAsia="Times New Roman" w:hAnsi="Arial" w:cs="Arial"/>
          <w:color w:val="000000" w:themeColor="text1"/>
          <w:sz w:val="24"/>
          <w:szCs w:val="24"/>
          <w:lang w:val="es-US" w:eastAsia="es-MX"/>
        </w:rPr>
        <w:t xml:space="preserve">tal como se mencionó en la sentencia, </w:t>
      </w:r>
      <w:r w:rsidRPr="00774AD3">
        <w:rPr>
          <w:rFonts w:ascii="Arial" w:hAnsi="Arial" w:cs="Arial"/>
          <w:color w:val="000000" w:themeColor="text1"/>
          <w:sz w:val="24"/>
          <w:szCs w:val="24"/>
        </w:rPr>
        <w:t xml:space="preserve">la falta de notificación del salvamento de voto no acarrea un defecto procedimental. Por </w:t>
      </w:r>
      <w:r w:rsidR="003F45B2" w:rsidRPr="00774AD3">
        <w:rPr>
          <w:rFonts w:ascii="Arial" w:hAnsi="Arial" w:cs="Arial"/>
          <w:color w:val="000000" w:themeColor="text1"/>
          <w:sz w:val="24"/>
          <w:szCs w:val="24"/>
        </w:rPr>
        <w:t>consiguiente</w:t>
      </w:r>
      <w:r w:rsidRPr="00774AD3">
        <w:rPr>
          <w:rFonts w:ascii="Arial" w:hAnsi="Arial" w:cs="Arial"/>
          <w:color w:val="000000" w:themeColor="text1"/>
          <w:sz w:val="24"/>
          <w:szCs w:val="24"/>
        </w:rPr>
        <w:t xml:space="preserve">, </w:t>
      </w:r>
      <w:r w:rsidR="003F45B2" w:rsidRPr="00774AD3">
        <w:rPr>
          <w:rFonts w:ascii="Arial" w:hAnsi="Arial" w:cs="Arial"/>
          <w:color w:val="000000" w:themeColor="text1"/>
          <w:sz w:val="24"/>
          <w:szCs w:val="24"/>
        </w:rPr>
        <w:t xml:space="preserve">la Sala reitera que </w:t>
      </w:r>
      <w:r w:rsidRPr="00774AD3">
        <w:rPr>
          <w:rFonts w:ascii="Arial" w:hAnsi="Arial" w:cs="Arial"/>
          <w:color w:val="000000" w:themeColor="text1"/>
          <w:sz w:val="24"/>
          <w:szCs w:val="24"/>
        </w:rPr>
        <w:t xml:space="preserve">el accionante se entendía notificado desde que se le </w:t>
      </w:r>
      <w:r w:rsidR="00F83148" w:rsidRPr="00774AD3">
        <w:rPr>
          <w:rFonts w:ascii="Arial" w:hAnsi="Arial" w:cs="Arial"/>
          <w:color w:val="000000" w:themeColor="text1"/>
          <w:sz w:val="24"/>
          <w:szCs w:val="24"/>
        </w:rPr>
        <w:t xml:space="preserve">envió el </w:t>
      </w:r>
      <w:r w:rsidRPr="00774AD3">
        <w:rPr>
          <w:rFonts w:ascii="Arial" w:hAnsi="Arial" w:cs="Arial"/>
          <w:color w:val="000000" w:themeColor="text1"/>
          <w:sz w:val="24"/>
          <w:szCs w:val="24"/>
        </w:rPr>
        <w:t xml:space="preserve">correo </w:t>
      </w:r>
      <w:r w:rsidR="003F45B2" w:rsidRPr="00774AD3">
        <w:rPr>
          <w:rFonts w:ascii="Arial" w:hAnsi="Arial" w:cs="Arial"/>
          <w:color w:val="000000" w:themeColor="text1"/>
          <w:sz w:val="24"/>
          <w:szCs w:val="24"/>
        </w:rPr>
        <w:t xml:space="preserve">electrónico </w:t>
      </w:r>
      <w:r w:rsidRPr="00774AD3">
        <w:rPr>
          <w:rFonts w:ascii="Arial" w:hAnsi="Arial" w:cs="Arial"/>
          <w:color w:val="000000" w:themeColor="text1"/>
          <w:sz w:val="24"/>
          <w:szCs w:val="24"/>
        </w:rPr>
        <w:t>señalando el sentido de la decisión</w:t>
      </w:r>
      <w:r w:rsidR="00906E1B" w:rsidRPr="00774AD3">
        <w:rPr>
          <w:rFonts w:ascii="Arial" w:hAnsi="Arial" w:cs="Arial"/>
          <w:color w:val="000000" w:themeColor="text1"/>
          <w:sz w:val="24"/>
          <w:szCs w:val="24"/>
        </w:rPr>
        <w:t xml:space="preserve">: </w:t>
      </w:r>
      <w:r w:rsidR="00906E1B" w:rsidRPr="00774AD3">
        <w:rPr>
          <w:rFonts w:ascii="Arial" w:hAnsi="Arial" w:cs="Arial"/>
          <w:i/>
          <w:iCs/>
          <w:color w:val="000000" w:themeColor="text1"/>
          <w:sz w:val="24"/>
          <w:szCs w:val="24"/>
        </w:rPr>
        <w:t>&lt;&lt;</w:t>
      </w:r>
      <w:r w:rsidR="00906E1B" w:rsidRPr="00774AD3">
        <w:rPr>
          <w:rFonts w:ascii="Arial" w:hAnsi="Arial" w:cs="Arial"/>
          <w:i/>
          <w:iCs/>
          <w:color w:val="000000" w:themeColor="text1"/>
          <w:sz w:val="24"/>
          <w:szCs w:val="24"/>
          <w:lang w:eastAsia="es-ES"/>
        </w:rPr>
        <w:t>para el caso, los hechos datan del 25 de julio de 2016 y la sanción se impuso el 8 de julio de 2020, dentro del término de 5 años</w:t>
      </w:r>
      <w:r w:rsidR="00906E1B" w:rsidRPr="00774AD3">
        <w:rPr>
          <w:rFonts w:ascii="Arial" w:eastAsia="Calibri" w:hAnsi="Arial" w:cs="Arial"/>
          <w:i/>
          <w:iCs/>
          <w:color w:val="000000" w:themeColor="text1"/>
          <w:sz w:val="24"/>
          <w:szCs w:val="24"/>
          <w:lang w:val="es-ES_tradnl"/>
        </w:rPr>
        <w:t xml:space="preserve">. Valga aclarar que </w:t>
      </w:r>
      <w:r w:rsidR="00906E1B" w:rsidRPr="00774AD3">
        <w:rPr>
          <w:rFonts w:ascii="Arial" w:hAnsi="Arial" w:cs="Arial"/>
          <w:i/>
          <w:iCs/>
          <w:color w:val="000000" w:themeColor="text1"/>
          <w:sz w:val="24"/>
          <w:szCs w:val="24"/>
          <w:shd w:val="clear" w:color="auto" w:fill="FFFFFF"/>
        </w:rPr>
        <w:t>la notificación enviada al correo electrónico el 14 de julio de 2020, sin los salvamentos de voto, surtió la notificación&gt;&gt;.</w:t>
      </w:r>
      <w:r w:rsidR="00906E1B" w:rsidRPr="00774AD3">
        <w:rPr>
          <w:rFonts w:ascii="Arial" w:hAnsi="Arial" w:cs="Arial"/>
          <w:color w:val="000000" w:themeColor="text1"/>
          <w:sz w:val="24"/>
          <w:szCs w:val="24"/>
          <w:shd w:val="clear" w:color="auto" w:fill="FFFFFF"/>
        </w:rPr>
        <w:t xml:space="preserve"> </w:t>
      </w:r>
    </w:p>
    <w:p w14:paraId="0F9CDBEC" w14:textId="77777777" w:rsidR="003F45B2" w:rsidRPr="00774AD3" w:rsidRDefault="003F45B2" w:rsidP="003F45B2">
      <w:pPr>
        <w:pStyle w:val="Prrafodelista"/>
        <w:spacing w:line="276" w:lineRule="auto"/>
        <w:ind w:left="0"/>
        <w:jc w:val="both"/>
        <w:rPr>
          <w:rFonts w:ascii="Arial" w:hAnsi="Arial" w:cs="Arial"/>
          <w:color w:val="000000" w:themeColor="text1"/>
          <w:sz w:val="24"/>
          <w:szCs w:val="24"/>
          <w:shd w:val="clear" w:color="auto" w:fill="FFFFFF"/>
        </w:rPr>
      </w:pPr>
    </w:p>
    <w:p w14:paraId="72D139F4" w14:textId="3570353F" w:rsidR="003F45B2" w:rsidRPr="00774AD3" w:rsidRDefault="000B356E" w:rsidP="003F45B2">
      <w:pPr>
        <w:pStyle w:val="Prrafodelista"/>
        <w:spacing w:line="276" w:lineRule="auto"/>
        <w:ind w:left="0"/>
        <w:jc w:val="both"/>
        <w:rPr>
          <w:rFonts w:ascii="Arial" w:hAnsi="Arial" w:cs="Arial"/>
          <w:i/>
          <w:iCs/>
          <w:color w:val="000000" w:themeColor="text1"/>
          <w:sz w:val="24"/>
          <w:szCs w:val="24"/>
        </w:rPr>
      </w:pPr>
      <w:r w:rsidRPr="00774AD3">
        <w:rPr>
          <w:rFonts w:ascii="Arial" w:hAnsi="Arial" w:cs="Arial"/>
          <w:color w:val="000000" w:themeColor="text1"/>
          <w:sz w:val="24"/>
          <w:szCs w:val="24"/>
        </w:rPr>
        <w:t>9.3</w:t>
      </w:r>
      <w:r w:rsidR="00E12CCA" w:rsidRPr="00774AD3">
        <w:rPr>
          <w:rFonts w:ascii="Arial" w:hAnsi="Arial" w:cs="Arial"/>
          <w:color w:val="000000" w:themeColor="text1"/>
          <w:sz w:val="24"/>
          <w:szCs w:val="24"/>
        </w:rPr>
        <w:t xml:space="preserve">.- </w:t>
      </w:r>
      <w:r w:rsidR="00AE5BCF" w:rsidRPr="00774AD3">
        <w:rPr>
          <w:rFonts w:ascii="Arial" w:hAnsi="Arial" w:cs="Arial"/>
          <w:color w:val="000000" w:themeColor="text1"/>
          <w:sz w:val="24"/>
          <w:szCs w:val="24"/>
        </w:rPr>
        <w:t>E</w:t>
      </w:r>
      <w:r w:rsidR="000F3351" w:rsidRPr="00774AD3">
        <w:rPr>
          <w:rFonts w:ascii="Arial" w:hAnsi="Arial" w:cs="Arial"/>
          <w:color w:val="000000" w:themeColor="text1"/>
          <w:sz w:val="24"/>
          <w:szCs w:val="24"/>
        </w:rPr>
        <w:t>n cuanto a la compulsa de copias</w:t>
      </w:r>
      <w:r w:rsidR="007D7A61" w:rsidRPr="00774AD3">
        <w:rPr>
          <w:rFonts w:ascii="Arial" w:hAnsi="Arial" w:cs="Arial"/>
          <w:color w:val="000000" w:themeColor="text1"/>
          <w:sz w:val="24"/>
          <w:szCs w:val="24"/>
        </w:rPr>
        <w:t xml:space="preserve">, </w:t>
      </w:r>
      <w:r w:rsidR="000F3351" w:rsidRPr="00774AD3">
        <w:rPr>
          <w:rFonts w:ascii="Arial" w:hAnsi="Arial" w:cs="Arial"/>
          <w:color w:val="000000" w:themeColor="text1"/>
          <w:sz w:val="24"/>
          <w:szCs w:val="24"/>
        </w:rPr>
        <w:t xml:space="preserve">en la providencia se dijo </w:t>
      </w:r>
      <w:r w:rsidR="007D7A61" w:rsidRPr="00774AD3">
        <w:rPr>
          <w:rFonts w:ascii="Arial" w:hAnsi="Arial" w:cs="Arial"/>
          <w:color w:val="000000" w:themeColor="text1"/>
          <w:sz w:val="24"/>
          <w:szCs w:val="24"/>
        </w:rPr>
        <w:t xml:space="preserve">que </w:t>
      </w:r>
      <w:r w:rsidR="003D6CDE" w:rsidRPr="00774AD3">
        <w:rPr>
          <w:rFonts w:ascii="Arial" w:hAnsi="Arial" w:cs="Arial"/>
          <w:color w:val="000000" w:themeColor="text1"/>
          <w:sz w:val="24"/>
          <w:szCs w:val="24"/>
        </w:rPr>
        <w:t xml:space="preserve">esta </w:t>
      </w:r>
      <w:r w:rsidR="007D7A61" w:rsidRPr="00774AD3">
        <w:rPr>
          <w:rFonts w:ascii="Arial" w:hAnsi="Arial" w:cs="Arial"/>
          <w:color w:val="000000" w:themeColor="text1"/>
          <w:sz w:val="24"/>
          <w:szCs w:val="24"/>
        </w:rPr>
        <w:t xml:space="preserve">remisión no vulnera el principio de </w:t>
      </w:r>
      <w:r w:rsidR="007D7A61" w:rsidRPr="00774AD3">
        <w:rPr>
          <w:rFonts w:ascii="Arial" w:hAnsi="Arial" w:cs="Arial"/>
          <w:i/>
          <w:color w:val="000000" w:themeColor="text1"/>
          <w:sz w:val="24"/>
          <w:szCs w:val="24"/>
        </w:rPr>
        <w:t>non bis in ídem</w:t>
      </w:r>
      <w:r w:rsidR="007D7A61" w:rsidRPr="00774AD3">
        <w:rPr>
          <w:rFonts w:ascii="Arial" w:hAnsi="Arial" w:cs="Arial"/>
          <w:color w:val="000000" w:themeColor="text1"/>
          <w:sz w:val="24"/>
          <w:szCs w:val="24"/>
        </w:rPr>
        <w:t xml:space="preserve">, pues </w:t>
      </w:r>
      <w:r w:rsidR="007D7A61" w:rsidRPr="00774AD3">
        <w:rPr>
          <w:rFonts w:ascii="Arial" w:hAnsi="Arial" w:cs="Arial"/>
          <w:i/>
          <w:iCs/>
          <w:color w:val="000000" w:themeColor="text1"/>
          <w:sz w:val="24"/>
          <w:szCs w:val="24"/>
        </w:rPr>
        <w:t>&lt;&lt;(i) será el juez competente quien determinará si hay lugar o no abrir la investigación, (ii) en ese proceso podrá ejercer su derecho de defensa, y (iii) en la determinación quedó consignado que la investigación sería por los hechos que no fueron objeto de análisis.&gt;&gt;</w:t>
      </w:r>
    </w:p>
    <w:p w14:paraId="2CB78608" w14:textId="77777777" w:rsidR="000B356E" w:rsidRPr="00774AD3" w:rsidRDefault="000B356E" w:rsidP="003F45B2">
      <w:pPr>
        <w:pStyle w:val="Prrafodelista"/>
        <w:spacing w:line="276" w:lineRule="auto"/>
        <w:ind w:left="0"/>
        <w:jc w:val="both"/>
        <w:rPr>
          <w:rFonts w:ascii="Arial" w:hAnsi="Arial" w:cs="Arial"/>
          <w:i/>
          <w:iCs/>
          <w:color w:val="000000" w:themeColor="text1"/>
          <w:sz w:val="24"/>
          <w:szCs w:val="24"/>
        </w:rPr>
      </w:pPr>
    </w:p>
    <w:p w14:paraId="179DBA13" w14:textId="70BFD8AC" w:rsidR="000B356E" w:rsidRPr="00774AD3" w:rsidRDefault="000B356E" w:rsidP="003F45B2">
      <w:pPr>
        <w:pStyle w:val="Prrafodelista"/>
        <w:spacing w:line="276" w:lineRule="auto"/>
        <w:ind w:left="0"/>
        <w:jc w:val="both"/>
        <w:rPr>
          <w:rFonts w:ascii="Arial" w:hAnsi="Arial" w:cs="Arial"/>
          <w:color w:val="000000" w:themeColor="text1"/>
          <w:sz w:val="24"/>
          <w:szCs w:val="24"/>
          <w:shd w:val="clear" w:color="auto" w:fill="FFFFFF"/>
        </w:rPr>
      </w:pPr>
      <w:r w:rsidRPr="00774AD3">
        <w:rPr>
          <w:rFonts w:ascii="Arial" w:hAnsi="Arial" w:cs="Arial"/>
          <w:iCs/>
          <w:color w:val="000000" w:themeColor="text1"/>
          <w:sz w:val="24"/>
          <w:szCs w:val="24"/>
        </w:rPr>
        <w:t xml:space="preserve">9.4.- </w:t>
      </w:r>
      <w:r w:rsidRPr="00774AD3">
        <w:rPr>
          <w:rFonts w:ascii="Arial" w:hAnsi="Arial" w:cs="Arial"/>
          <w:color w:val="000000" w:themeColor="text1"/>
          <w:sz w:val="24"/>
          <w:szCs w:val="24"/>
          <w:shd w:val="clear" w:color="auto" w:fill="FFFFFF"/>
        </w:rPr>
        <w:t xml:space="preserve">Así las cosas, para resolver lo concerniente a la adición, respecto a la prescripción, si se cuenta la prescripción de la acción disciplinaria desde la suscripción de los contratos, esto es, a partir del 15 de julio de 2015 –tal como lo solicita el accionante–, es claro que la acción se agotó en el término de cinco (5) años, toda vez que la providencia se notificó el 14 de julio de 2020, un día antes de que prescribiera la acción disciplinaria. Se resalta que no había lugar a aplicar el término de ejecutoria porque el artículo 83 del Código Disciplinario del Abogado establece que las decisiones contra las que no procedan los recurso quedan en firme a partir de la notificación. </w:t>
      </w:r>
    </w:p>
    <w:p w14:paraId="38D77B17" w14:textId="77777777" w:rsidR="00AE5BCF" w:rsidRPr="00774AD3" w:rsidRDefault="00AE5BCF" w:rsidP="003F45B2">
      <w:pPr>
        <w:pStyle w:val="Prrafodelista"/>
        <w:spacing w:line="276" w:lineRule="auto"/>
        <w:ind w:left="0"/>
        <w:jc w:val="both"/>
        <w:rPr>
          <w:rFonts w:ascii="Arial" w:hAnsi="Arial" w:cs="Arial"/>
          <w:i/>
          <w:iCs/>
          <w:color w:val="000000" w:themeColor="text1"/>
          <w:sz w:val="24"/>
          <w:szCs w:val="24"/>
        </w:rPr>
      </w:pPr>
    </w:p>
    <w:p w14:paraId="3D99E278" w14:textId="22DFCF59" w:rsidR="00AE5BCF" w:rsidRPr="00AE5BCF" w:rsidRDefault="00AE5BCF" w:rsidP="003F45B2">
      <w:pPr>
        <w:pStyle w:val="Prrafodelista"/>
        <w:spacing w:line="276" w:lineRule="auto"/>
        <w:ind w:left="0"/>
        <w:jc w:val="both"/>
        <w:rPr>
          <w:rFonts w:ascii="Arial" w:hAnsi="Arial" w:cs="Arial"/>
          <w:iCs/>
          <w:color w:val="000000" w:themeColor="text1"/>
          <w:sz w:val="24"/>
          <w:szCs w:val="24"/>
        </w:rPr>
      </w:pPr>
      <w:r w:rsidRPr="00774AD3">
        <w:rPr>
          <w:rFonts w:ascii="Arial" w:hAnsi="Arial" w:cs="Arial"/>
          <w:iCs/>
          <w:color w:val="000000" w:themeColor="text1"/>
          <w:sz w:val="24"/>
          <w:szCs w:val="24"/>
        </w:rPr>
        <w:t>9.5.- En ese orden de ideas, la Sala no encuentra que haya lugar a la aclaración o adición de la sentencia.</w:t>
      </w:r>
    </w:p>
    <w:p w14:paraId="79683DFA" w14:textId="77777777" w:rsidR="003F45B2" w:rsidRPr="00906E1B" w:rsidRDefault="003F45B2" w:rsidP="003F45B2">
      <w:pPr>
        <w:pStyle w:val="Prrafodelista"/>
        <w:spacing w:line="276" w:lineRule="auto"/>
        <w:ind w:left="0"/>
        <w:jc w:val="both"/>
        <w:rPr>
          <w:rFonts w:ascii="Arial" w:hAnsi="Arial" w:cs="Arial"/>
          <w:i/>
          <w:iCs/>
          <w:color w:val="000000" w:themeColor="text1"/>
          <w:sz w:val="24"/>
          <w:szCs w:val="24"/>
        </w:rPr>
      </w:pPr>
    </w:p>
    <w:p w14:paraId="24B4DBB1" w14:textId="5FA93522" w:rsidR="00E201D5" w:rsidRPr="00906E1B" w:rsidRDefault="00E201D5" w:rsidP="003F45B2">
      <w:pPr>
        <w:pStyle w:val="Prrafodelista"/>
        <w:spacing w:line="276" w:lineRule="auto"/>
        <w:ind w:left="0"/>
        <w:jc w:val="both"/>
        <w:rPr>
          <w:rFonts w:ascii="Arial" w:hAnsi="Arial" w:cs="Arial"/>
          <w:color w:val="000000" w:themeColor="text1"/>
          <w:sz w:val="24"/>
          <w:szCs w:val="24"/>
        </w:rPr>
      </w:pPr>
      <w:r w:rsidRPr="00906E1B">
        <w:rPr>
          <w:rFonts w:ascii="Arial" w:eastAsia="Arial" w:hAnsi="Arial" w:cs="Arial"/>
          <w:color w:val="000000" w:themeColor="text1"/>
          <w:sz w:val="24"/>
          <w:szCs w:val="24"/>
        </w:rPr>
        <w:t>En mérito de lo expuesto, la Subsección B, Sección Tercera de la Sala de lo Contencioso Administrativo del Consejo de Estado, administrando justicia en nombre de la República y por autoridad de la ley,</w:t>
      </w:r>
    </w:p>
    <w:p w14:paraId="495CC9C0" w14:textId="77777777" w:rsidR="00E201D5" w:rsidRPr="00906E1B" w:rsidRDefault="00E201D5" w:rsidP="003F45B2">
      <w:pPr>
        <w:spacing w:line="276" w:lineRule="auto"/>
        <w:jc w:val="center"/>
        <w:rPr>
          <w:rFonts w:ascii="Arial" w:eastAsia="Arial" w:hAnsi="Arial" w:cs="Arial"/>
          <w:b/>
          <w:bCs/>
          <w:color w:val="000000" w:themeColor="text1"/>
          <w:sz w:val="24"/>
          <w:szCs w:val="24"/>
        </w:rPr>
      </w:pPr>
    </w:p>
    <w:p w14:paraId="07B4AA4A" w14:textId="77777777" w:rsidR="00E201D5" w:rsidRPr="00906E1B" w:rsidRDefault="00E201D5" w:rsidP="003F45B2">
      <w:pPr>
        <w:spacing w:line="276" w:lineRule="auto"/>
        <w:jc w:val="center"/>
        <w:rPr>
          <w:rFonts w:ascii="Arial" w:eastAsia="Arial" w:hAnsi="Arial" w:cs="Arial"/>
          <w:b/>
          <w:bCs/>
          <w:color w:val="000000" w:themeColor="text1"/>
          <w:sz w:val="24"/>
          <w:szCs w:val="24"/>
        </w:rPr>
      </w:pPr>
      <w:r w:rsidRPr="00906E1B">
        <w:rPr>
          <w:rFonts w:ascii="Arial" w:eastAsia="Arial" w:hAnsi="Arial" w:cs="Arial"/>
          <w:b/>
          <w:bCs/>
          <w:color w:val="000000" w:themeColor="text1"/>
          <w:sz w:val="24"/>
          <w:szCs w:val="24"/>
        </w:rPr>
        <w:t>RESUELVE</w:t>
      </w:r>
    </w:p>
    <w:p w14:paraId="38F57CB3" w14:textId="77777777" w:rsidR="00E201D5" w:rsidRPr="00906E1B" w:rsidRDefault="00E201D5" w:rsidP="003F45B2">
      <w:pPr>
        <w:spacing w:line="276" w:lineRule="auto"/>
        <w:jc w:val="center"/>
        <w:rPr>
          <w:rFonts w:ascii="Arial" w:eastAsia="Arial" w:hAnsi="Arial" w:cs="Arial"/>
          <w:color w:val="000000" w:themeColor="text1"/>
          <w:sz w:val="24"/>
          <w:szCs w:val="24"/>
        </w:rPr>
      </w:pPr>
    </w:p>
    <w:p w14:paraId="3CBDB220" w14:textId="2C87CE1A" w:rsidR="00E201D5" w:rsidRPr="00906E1B" w:rsidRDefault="00E201D5" w:rsidP="003F45B2">
      <w:pPr>
        <w:widowControl w:val="0"/>
        <w:spacing w:line="276" w:lineRule="auto"/>
        <w:ind w:right="51"/>
        <w:contextualSpacing/>
        <w:jc w:val="both"/>
        <w:rPr>
          <w:rFonts w:ascii="Arial" w:eastAsia="Times New Roman" w:hAnsi="Arial" w:cs="Arial"/>
          <w:color w:val="000000" w:themeColor="text1"/>
          <w:sz w:val="24"/>
          <w:szCs w:val="24"/>
          <w:lang w:eastAsia="es-ES"/>
        </w:rPr>
      </w:pPr>
      <w:r w:rsidRPr="00906E1B">
        <w:rPr>
          <w:rFonts w:ascii="Arial" w:eastAsia="Arial" w:hAnsi="Arial" w:cs="Arial"/>
          <w:b/>
          <w:bCs/>
          <w:color w:val="000000" w:themeColor="text1"/>
          <w:sz w:val="24"/>
          <w:szCs w:val="24"/>
        </w:rPr>
        <w:t>PRIMERO:</w:t>
      </w:r>
      <w:r w:rsidRPr="00906E1B">
        <w:rPr>
          <w:rFonts w:ascii="Arial" w:eastAsia="Times New Roman" w:hAnsi="Arial" w:cs="Arial"/>
          <w:b/>
          <w:bCs/>
          <w:color w:val="000000" w:themeColor="text1"/>
          <w:sz w:val="24"/>
          <w:szCs w:val="24"/>
          <w:lang w:eastAsia="es-ES"/>
        </w:rPr>
        <w:t xml:space="preserve"> NIÉGA</w:t>
      </w:r>
      <w:r w:rsidR="00F83148">
        <w:rPr>
          <w:rFonts w:ascii="Arial" w:eastAsia="Times New Roman" w:hAnsi="Arial" w:cs="Arial"/>
          <w:b/>
          <w:bCs/>
          <w:color w:val="000000" w:themeColor="text1"/>
          <w:sz w:val="24"/>
          <w:szCs w:val="24"/>
          <w:lang w:eastAsia="es-ES"/>
        </w:rPr>
        <w:t>N</w:t>
      </w:r>
      <w:r w:rsidRPr="00906E1B">
        <w:rPr>
          <w:rFonts w:ascii="Arial" w:eastAsia="Times New Roman" w:hAnsi="Arial" w:cs="Arial"/>
          <w:b/>
          <w:bCs/>
          <w:color w:val="000000" w:themeColor="text1"/>
          <w:sz w:val="24"/>
          <w:szCs w:val="24"/>
          <w:lang w:eastAsia="es-ES"/>
        </w:rPr>
        <w:t xml:space="preserve">SE </w:t>
      </w:r>
      <w:r w:rsidRPr="00906E1B">
        <w:rPr>
          <w:rFonts w:ascii="Arial" w:eastAsia="Times New Roman" w:hAnsi="Arial" w:cs="Arial"/>
          <w:color w:val="000000" w:themeColor="text1"/>
          <w:sz w:val="24"/>
          <w:szCs w:val="24"/>
          <w:lang w:eastAsia="es-ES"/>
        </w:rPr>
        <w:t>las solicitudes de aclaración y adición, conforme se expuso en la parte motiva de esta providencia complementaria.</w:t>
      </w:r>
      <w:r w:rsidRPr="00906E1B">
        <w:rPr>
          <w:rFonts w:ascii="Arial" w:eastAsia="Times New Roman" w:hAnsi="Arial" w:cs="Arial"/>
          <w:b/>
          <w:bCs/>
          <w:color w:val="000000" w:themeColor="text1"/>
          <w:sz w:val="24"/>
          <w:szCs w:val="24"/>
          <w:lang w:eastAsia="es-ES"/>
        </w:rPr>
        <w:t xml:space="preserve"> </w:t>
      </w:r>
    </w:p>
    <w:p w14:paraId="546739F5" w14:textId="77777777" w:rsidR="00E201D5" w:rsidRPr="00906E1B" w:rsidRDefault="00E201D5" w:rsidP="003F45B2">
      <w:pPr>
        <w:widowControl w:val="0"/>
        <w:spacing w:line="276" w:lineRule="auto"/>
        <w:ind w:right="51"/>
        <w:contextualSpacing/>
        <w:jc w:val="both"/>
        <w:rPr>
          <w:rFonts w:ascii="Arial" w:eastAsia="Times New Roman" w:hAnsi="Arial" w:cs="Arial"/>
          <w:b/>
          <w:bCs/>
          <w:color w:val="000000" w:themeColor="text1"/>
          <w:sz w:val="24"/>
          <w:szCs w:val="24"/>
          <w:lang w:eastAsia="es-ES"/>
        </w:rPr>
      </w:pPr>
    </w:p>
    <w:p w14:paraId="17275F06" w14:textId="77777777" w:rsidR="00E201D5" w:rsidRPr="00906E1B" w:rsidRDefault="00E201D5" w:rsidP="003F45B2">
      <w:pPr>
        <w:widowControl w:val="0"/>
        <w:spacing w:line="276" w:lineRule="auto"/>
        <w:ind w:right="51"/>
        <w:contextualSpacing/>
        <w:jc w:val="both"/>
        <w:rPr>
          <w:rFonts w:ascii="Arial" w:eastAsia="Times New Roman" w:hAnsi="Arial" w:cs="Arial"/>
          <w:color w:val="000000" w:themeColor="text1"/>
          <w:sz w:val="24"/>
          <w:szCs w:val="24"/>
          <w:lang w:eastAsia="es-ES"/>
        </w:rPr>
      </w:pPr>
      <w:r w:rsidRPr="00906E1B">
        <w:rPr>
          <w:rFonts w:ascii="Arial" w:eastAsia="Times New Roman" w:hAnsi="Arial" w:cs="Arial"/>
          <w:b/>
          <w:bCs/>
          <w:color w:val="000000" w:themeColor="text1"/>
          <w:sz w:val="24"/>
          <w:szCs w:val="24"/>
          <w:lang w:eastAsia="es-ES"/>
        </w:rPr>
        <w:t>SEGUNDO:</w:t>
      </w:r>
      <w:r w:rsidRPr="00906E1B">
        <w:rPr>
          <w:rFonts w:ascii="Arial" w:eastAsia="Times New Roman" w:hAnsi="Arial" w:cs="Arial"/>
          <w:b/>
          <w:bCs/>
          <w:color w:val="000000" w:themeColor="text1"/>
          <w:sz w:val="24"/>
          <w:szCs w:val="24"/>
        </w:rPr>
        <w:t xml:space="preserve"> NOTIFÍQUESE </w:t>
      </w:r>
      <w:r w:rsidRPr="00906E1B">
        <w:rPr>
          <w:rFonts w:ascii="Arial" w:eastAsia="Times New Roman" w:hAnsi="Arial" w:cs="Arial"/>
          <w:color w:val="000000" w:themeColor="text1"/>
          <w:sz w:val="24"/>
          <w:szCs w:val="24"/>
        </w:rPr>
        <w:t>la presente providencia a las partes a la dirección de correo electrónico señalada por ellos dentro del proceso, enviándoles copia de la decisión que se adopta</w:t>
      </w:r>
      <w:r w:rsidRPr="00906E1B">
        <w:rPr>
          <w:rFonts w:ascii="Arial" w:hAnsi="Arial" w:cs="Arial"/>
          <w:sz w:val="24"/>
          <w:szCs w:val="24"/>
        </w:rPr>
        <w:t>.</w:t>
      </w:r>
    </w:p>
    <w:p w14:paraId="5C7515B0" w14:textId="77777777" w:rsidR="00E201D5" w:rsidRPr="00906E1B" w:rsidRDefault="00E201D5" w:rsidP="003F45B2">
      <w:pPr>
        <w:widowControl w:val="0"/>
        <w:spacing w:line="276" w:lineRule="auto"/>
        <w:ind w:right="51"/>
        <w:contextualSpacing/>
        <w:jc w:val="both"/>
        <w:rPr>
          <w:rFonts w:ascii="Arial" w:eastAsia="Times New Roman" w:hAnsi="Arial" w:cs="Arial"/>
          <w:bCs/>
          <w:color w:val="000000" w:themeColor="text1"/>
          <w:sz w:val="24"/>
          <w:szCs w:val="24"/>
          <w:lang w:eastAsia="es-ES"/>
        </w:rPr>
      </w:pPr>
    </w:p>
    <w:p w14:paraId="12CDD6BC" w14:textId="77777777" w:rsidR="00E201D5" w:rsidRPr="00906E1B" w:rsidRDefault="00E201D5" w:rsidP="003F45B2">
      <w:pPr>
        <w:widowControl w:val="0"/>
        <w:spacing w:line="276" w:lineRule="auto"/>
        <w:ind w:right="51"/>
        <w:contextualSpacing/>
        <w:jc w:val="both"/>
        <w:rPr>
          <w:rFonts w:ascii="Arial" w:eastAsia="Times New Roman" w:hAnsi="Arial" w:cs="Arial"/>
          <w:color w:val="000000" w:themeColor="text1"/>
          <w:sz w:val="24"/>
          <w:szCs w:val="24"/>
        </w:rPr>
      </w:pPr>
      <w:r w:rsidRPr="00906E1B">
        <w:rPr>
          <w:rFonts w:ascii="Arial" w:eastAsia="Times New Roman" w:hAnsi="Arial" w:cs="Arial"/>
          <w:b/>
          <w:color w:val="000000" w:themeColor="text1"/>
          <w:sz w:val="24"/>
          <w:szCs w:val="24"/>
          <w:bdr w:val="none" w:sz="0" w:space="0" w:color="auto" w:frame="1"/>
          <w:shd w:val="clear" w:color="auto" w:fill="FFFFFF"/>
          <w:lang w:eastAsia="es-ES"/>
        </w:rPr>
        <w:t>TERCERO:</w:t>
      </w:r>
      <w:r w:rsidRPr="00906E1B">
        <w:rPr>
          <w:rFonts w:ascii="Arial" w:eastAsia="Dotum" w:hAnsi="Arial" w:cs="Arial"/>
          <w:color w:val="000000" w:themeColor="text1"/>
          <w:sz w:val="24"/>
          <w:szCs w:val="24"/>
          <w:bdr w:val="none" w:sz="0" w:space="0" w:color="auto" w:frame="1"/>
          <w:shd w:val="clear" w:color="auto" w:fill="FFFFFF"/>
        </w:rPr>
        <w:t xml:space="preserve"> </w:t>
      </w:r>
      <w:r w:rsidRPr="00906E1B">
        <w:rPr>
          <w:rFonts w:ascii="Arial" w:eastAsia="Dotum" w:hAnsi="Arial" w:cs="Arial"/>
          <w:b/>
          <w:bCs/>
          <w:color w:val="000000" w:themeColor="text1"/>
          <w:sz w:val="24"/>
          <w:szCs w:val="24"/>
          <w:bdr w:val="none" w:sz="0" w:space="0" w:color="auto" w:frame="1"/>
          <w:shd w:val="clear" w:color="auto" w:fill="FFFFFF"/>
        </w:rPr>
        <w:t xml:space="preserve">ENVÍESE </w:t>
      </w:r>
      <w:r w:rsidRPr="00906E1B">
        <w:rPr>
          <w:rFonts w:ascii="Arial" w:eastAsia="Dotum" w:hAnsi="Arial" w:cs="Arial"/>
          <w:color w:val="000000" w:themeColor="text1"/>
          <w:sz w:val="24"/>
          <w:szCs w:val="24"/>
          <w:bdr w:val="none" w:sz="0" w:space="0" w:color="auto" w:frame="1"/>
          <w:shd w:val="clear" w:color="auto" w:fill="FFFFFF"/>
        </w:rPr>
        <w:t>el expediente a la</w:t>
      </w:r>
      <w:r w:rsidRPr="00906E1B">
        <w:rPr>
          <w:rFonts w:ascii="Arial" w:eastAsia="Dotum" w:hAnsi="Arial" w:cs="Arial"/>
          <w:b/>
          <w:bCs/>
          <w:color w:val="000000" w:themeColor="text1"/>
          <w:sz w:val="24"/>
          <w:szCs w:val="24"/>
          <w:bdr w:val="none" w:sz="0" w:space="0" w:color="auto" w:frame="1"/>
          <w:shd w:val="clear" w:color="auto" w:fill="FFFFFF"/>
        </w:rPr>
        <w:t xml:space="preserve"> </w:t>
      </w:r>
      <w:r w:rsidRPr="00906E1B">
        <w:rPr>
          <w:rFonts w:ascii="Arial" w:eastAsia="Dotum" w:hAnsi="Arial" w:cs="Arial"/>
          <w:color w:val="000000" w:themeColor="text1"/>
          <w:sz w:val="24"/>
          <w:szCs w:val="24"/>
          <w:bdr w:val="none" w:sz="0" w:space="0" w:color="auto" w:frame="1"/>
          <w:shd w:val="clear" w:color="auto" w:fill="FFFFFF"/>
        </w:rPr>
        <w:t>Corte constitucional para su eventual revisión.</w:t>
      </w:r>
    </w:p>
    <w:p w14:paraId="7DB39CF2" w14:textId="77777777" w:rsidR="00E201D5" w:rsidRPr="00906E1B" w:rsidRDefault="00E201D5" w:rsidP="003F45B2">
      <w:pPr>
        <w:spacing w:line="276" w:lineRule="auto"/>
        <w:jc w:val="both"/>
        <w:rPr>
          <w:rFonts w:ascii="Arial" w:eastAsia="Times New Roman" w:hAnsi="Arial" w:cs="Arial"/>
          <w:color w:val="000000" w:themeColor="text1"/>
          <w:sz w:val="24"/>
          <w:szCs w:val="24"/>
        </w:rPr>
      </w:pPr>
    </w:p>
    <w:p w14:paraId="6E98E806" w14:textId="26F09990" w:rsidR="00E201D5" w:rsidRPr="00906E1B" w:rsidRDefault="00E201D5" w:rsidP="003F45B2">
      <w:pPr>
        <w:spacing w:line="276" w:lineRule="auto"/>
        <w:jc w:val="both"/>
        <w:textAlignment w:val="baseline"/>
        <w:rPr>
          <w:rFonts w:ascii="Arial" w:eastAsia="Dotum" w:hAnsi="Arial" w:cs="Arial"/>
          <w:color w:val="000000" w:themeColor="text1"/>
          <w:sz w:val="24"/>
          <w:szCs w:val="24"/>
          <w:bdr w:val="none" w:sz="0" w:space="0" w:color="auto" w:frame="1"/>
          <w:shd w:val="clear" w:color="auto" w:fill="FFFFFF"/>
        </w:rPr>
      </w:pPr>
      <w:r w:rsidRPr="00906E1B">
        <w:rPr>
          <w:rFonts w:ascii="Arial" w:eastAsia="Times New Roman" w:hAnsi="Arial" w:cs="Arial"/>
          <w:b/>
          <w:bCs/>
          <w:color w:val="000000" w:themeColor="text1"/>
          <w:sz w:val="24"/>
          <w:szCs w:val="24"/>
        </w:rPr>
        <w:t>CUARTO</w:t>
      </w:r>
      <w:r w:rsidRPr="00906E1B">
        <w:rPr>
          <w:rFonts w:ascii="Arial" w:eastAsia="Times New Roman" w:hAnsi="Arial" w:cs="Arial"/>
          <w:b/>
          <w:color w:val="000000" w:themeColor="text1"/>
          <w:sz w:val="24"/>
          <w:szCs w:val="24"/>
        </w:rPr>
        <w:t>: PUBLÍQUESE</w:t>
      </w:r>
      <w:r w:rsidRPr="00906E1B">
        <w:rPr>
          <w:rFonts w:ascii="Arial" w:eastAsia="Times New Roman" w:hAnsi="Arial" w:cs="Arial"/>
          <w:color w:val="000000" w:themeColor="text1"/>
          <w:sz w:val="24"/>
          <w:szCs w:val="24"/>
        </w:rPr>
        <w:t xml:space="preserve"> la presente providencia en la página </w:t>
      </w:r>
      <w:r w:rsidR="00F83148">
        <w:rPr>
          <w:rFonts w:ascii="Arial" w:eastAsia="Times New Roman" w:hAnsi="Arial" w:cs="Arial"/>
          <w:color w:val="000000" w:themeColor="text1"/>
          <w:sz w:val="24"/>
          <w:szCs w:val="24"/>
        </w:rPr>
        <w:t>w</w:t>
      </w:r>
      <w:r w:rsidR="00F83148" w:rsidRPr="00906E1B">
        <w:rPr>
          <w:rFonts w:ascii="Arial" w:eastAsia="Times New Roman" w:hAnsi="Arial" w:cs="Arial"/>
          <w:color w:val="000000" w:themeColor="text1"/>
          <w:sz w:val="24"/>
          <w:szCs w:val="24"/>
        </w:rPr>
        <w:t xml:space="preserve">eb </w:t>
      </w:r>
      <w:r w:rsidRPr="00906E1B">
        <w:rPr>
          <w:rFonts w:ascii="Arial" w:eastAsia="Times New Roman" w:hAnsi="Arial" w:cs="Arial"/>
          <w:color w:val="000000" w:themeColor="text1"/>
          <w:sz w:val="24"/>
          <w:szCs w:val="24"/>
        </w:rPr>
        <w:t>de la Corporación</w:t>
      </w:r>
    </w:p>
    <w:p w14:paraId="7B0A0E9C" w14:textId="77777777" w:rsidR="00E201D5" w:rsidRPr="00906E1B" w:rsidRDefault="00E201D5" w:rsidP="003F45B2">
      <w:pPr>
        <w:spacing w:line="276" w:lineRule="auto"/>
        <w:ind w:right="-234"/>
        <w:contextualSpacing/>
        <w:jc w:val="both"/>
        <w:rPr>
          <w:rFonts w:ascii="Arial" w:eastAsia="Verdana" w:hAnsi="Arial" w:cs="Arial"/>
          <w:color w:val="000000" w:themeColor="text1"/>
          <w:sz w:val="24"/>
          <w:szCs w:val="24"/>
        </w:rPr>
      </w:pPr>
    </w:p>
    <w:p w14:paraId="4BDF6E2F" w14:textId="77777777" w:rsidR="00E201D5" w:rsidRPr="00906E1B" w:rsidRDefault="00E201D5" w:rsidP="003F45B2">
      <w:pPr>
        <w:spacing w:line="276" w:lineRule="auto"/>
        <w:ind w:right="-234"/>
        <w:jc w:val="center"/>
        <w:rPr>
          <w:rFonts w:ascii="Arial" w:hAnsi="Arial" w:cs="Arial"/>
          <w:b/>
          <w:bCs/>
          <w:color w:val="000000" w:themeColor="text1"/>
          <w:sz w:val="24"/>
          <w:szCs w:val="24"/>
        </w:rPr>
      </w:pPr>
      <w:r w:rsidRPr="00906E1B">
        <w:rPr>
          <w:rFonts w:ascii="Arial" w:hAnsi="Arial" w:cs="Arial"/>
          <w:b/>
          <w:bCs/>
          <w:color w:val="000000" w:themeColor="text1"/>
          <w:sz w:val="24"/>
          <w:szCs w:val="24"/>
        </w:rPr>
        <w:t>CÓPIESE, NOTIFÍQUESE Y CÚMPLASE</w:t>
      </w:r>
    </w:p>
    <w:p w14:paraId="5592D01F" w14:textId="77777777" w:rsidR="00E201D5" w:rsidRPr="00906E1B" w:rsidRDefault="00E201D5" w:rsidP="003F45B2">
      <w:pPr>
        <w:spacing w:line="276" w:lineRule="auto"/>
        <w:ind w:right="-233"/>
        <w:jc w:val="both"/>
        <w:rPr>
          <w:rFonts w:ascii="Arial" w:eastAsia="Arial" w:hAnsi="Arial" w:cs="Arial"/>
          <w:color w:val="000000" w:themeColor="text1"/>
          <w:sz w:val="24"/>
          <w:szCs w:val="24"/>
        </w:rPr>
      </w:pPr>
    </w:p>
    <w:p w14:paraId="7C47274D" w14:textId="0F0F69AF" w:rsidR="00E201D5" w:rsidRPr="00906E1B" w:rsidRDefault="00E201D5" w:rsidP="003F45B2">
      <w:pPr>
        <w:spacing w:line="276" w:lineRule="auto"/>
        <w:ind w:right="-233"/>
        <w:jc w:val="center"/>
        <w:rPr>
          <w:rFonts w:ascii="Arial" w:eastAsia="Arial" w:hAnsi="Arial" w:cs="Arial"/>
          <w:color w:val="000000" w:themeColor="text1"/>
          <w:sz w:val="24"/>
          <w:szCs w:val="24"/>
        </w:rPr>
      </w:pPr>
      <w:r w:rsidRPr="00906E1B">
        <w:rPr>
          <w:rFonts w:ascii="Arial" w:eastAsia="Arial" w:hAnsi="Arial" w:cs="Arial"/>
          <w:color w:val="000000" w:themeColor="text1"/>
          <w:sz w:val="24"/>
          <w:szCs w:val="24"/>
        </w:rPr>
        <w:t>Esta sentencia se estudió y aprobó en sesión celebrada en la fecha.</w:t>
      </w:r>
    </w:p>
    <w:p w14:paraId="4903350C" w14:textId="77777777" w:rsidR="00E201D5" w:rsidRPr="00906E1B" w:rsidRDefault="00E201D5" w:rsidP="003F45B2">
      <w:pPr>
        <w:spacing w:line="276" w:lineRule="auto"/>
        <w:ind w:right="-233"/>
        <w:rPr>
          <w:rFonts w:ascii="Arial" w:eastAsia="Arial" w:hAnsi="Arial" w:cs="Arial"/>
          <w:b/>
          <w:bCs/>
          <w:color w:val="000000" w:themeColor="text1"/>
          <w:sz w:val="24"/>
          <w:szCs w:val="24"/>
        </w:rPr>
      </w:pPr>
    </w:p>
    <w:p w14:paraId="1B16E87A" w14:textId="77777777" w:rsidR="00E201D5" w:rsidRPr="00906E1B" w:rsidRDefault="00E201D5" w:rsidP="003F45B2">
      <w:pPr>
        <w:spacing w:line="276" w:lineRule="auto"/>
        <w:ind w:right="-233"/>
        <w:rPr>
          <w:rFonts w:ascii="Arial" w:eastAsia="Arial" w:hAnsi="Arial" w:cs="Arial"/>
          <w:b/>
          <w:bCs/>
          <w:color w:val="000000" w:themeColor="text1"/>
          <w:sz w:val="24"/>
          <w:szCs w:val="24"/>
        </w:rPr>
      </w:pPr>
    </w:p>
    <w:p w14:paraId="58E13F00" w14:textId="6F32C925" w:rsidR="00E201D5" w:rsidRPr="00906E1B" w:rsidRDefault="00E201D5" w:rsidP="003F45B2">
      <w:pPr>
        <w:spacing w:line="276" w:lineRule="auto"/>
        <w:ind w:right="-233"/>
        <w:contextualSpacing/>
        <w:jc w:val="center"/>
        <w:rPr>
          <w:rFonts w:ascii="Arial" w:hAnsi="Arial" w:cs="Arial"/>
          <w:sz w:val="24"/>
          <w:szCs w:val="24"/>
        </w:rPr>
      </w:pPr>
      <w:r w:rsidRPr="00906E1B">
        <w:rPr>
          <w:rFonts w:ascii="Arial" w:eastAsia="Arial" w:hAnsi="Arial" w:cs="Arial"/>
          <w:bCs/>
          <w:color w:val="000000" w:themeColor="text1"/>
          <w:sz w:val="24"/>
          <w:szCs w:val="24"/>
        </w:rPr>
        <w:t>Con firma electrónica                                           Con firma electrónica</w:t>
      </w:r>
    </w:p>
    <w:p w14:paraId="543AC30F" w14:textId="0A5B76B9" w:rsidR="00E201D5" w:rsidRPr="00906E1B" w:rsidRDefault="00E201D5" w:rsidP="003F45B2">
      <w:pPr>
        <w:spacing w:line="276" w:lineRule="auto"/>
        <w:ind w:right="51"/>
        <w:contextualSpacing/>
        <w:jc w:val="center"/>
        <w:rPr>
          <w:rFonts w:ascii="Arial" w:eastAsia="Arial" w:hAnsi="Arial" w:cs="Arial"/>
          <w:b/>
          <w:bCs/>
          <w:color w:val="000000" w:themeColor="text1"/>
          <w:sz w:val="24"/>
          <w:szCs w:val="24"/>
        </w:rPr>
      </w:pPr>
      <w:r w:rsidRPr="00906E1B">
        <w:rPr>
          <w:rFonts w:ascii="Arial" w:eastAsia="Arial" w:hAnsi="Arial" w:cs="Arial"/>
          <w:b/>
          <w:bCs/>
          <w:color w:val="000000" w:themeColor="text1"/>
          <w:sz w:val="24"/>
          <w:szCs w:val="24"/>
        </w:rPr>
        <w:t xml:space="preserve">ALBERTO MONTAÑA PLATA </w:t>
      </w:r>
      <w:r w:rsidRPr="00906E1B">
        <w:rPr>
          <w:rFonts w:ascii="Arial" w:eastAsia="Arial" w:hAnsi="Arial" w:cs="Arial"/>
          <w:b/>
          <w:bCs/>
          <w:color w:val="000000" w:themeColor="text1"/>
          <w:sz w:val="24"/>
          <w:szCs w:val="24"/>
        </w:rPr>
        <w:tab/>
      </w:r>
      <w:r w:rsidRPr="00906E1B">
        <w:rPr>
          <w:rFonts w:ascii="Arial" w:eastAsia="Arial" w:hAnsi="Arial" w:cs="Arial"/>
          <w:b/>
          <w:bCs/>
          <w:color w:val="000000" w:themeColor="text1"/>
          <w:sz w:val="24"/>
          <w:szCs w:val="24"/>
        </w:rPr>
        <w:tab/>
      </w:r>
      <w:r w:rsidRPr="00906E1B">
        <w:rPr>
          <w:rFonts w:ascii="Arial" w:eastAsia="Arial" w:hAnsi="Arial" w:cs="Arial"/>
          <w:b/>
          <w:bCs/>
          <w:color w:val="000000" w:themeColor="text1"/>
          <w:sz w:val="24"/>
          <w:szCs w:val="24"/>
        </w:rPr>
        <w:tab/>
        <w:t xml:space="preserve"> MARTÍN BERMÚDEZ MUÑOZ</w:t>
      </w:r>
    </w:p>
    <w:p w14:paraId="6D59EB0A" w14:textId="5318A935" w:rsidR="00E201D5" w:rsidRPr="00906E1B" w:rsidRDefault="00F83148" w:rsidP="002768D2">
      <w:pPr>
        <w:spacing w:line="276" w:lineRule="auto"/>
        <w:ind w:right="51" w:firstLine="708"/>
        <w:contextualSpacing/>
        <w:rPr>
          <w:rFonts w:ascii="Arial" w:eastAsia="Arial" w:hAnsi="Arial" w:cs="Arial"/>
          <w:b/>
          <w:bCs/>
          <w:color w:val="000000" w:themeColor="text1"/>
          <w:sz w:val="24"/>
          <w:szCs w:val="24"/>
        </w:rPr>
      </w:pPr>
      <w:r>
        <w:rPr>
          <w:rFonts w:ascii="Arial" w:eastAsia="Arial" w:hAnsi="Arial" w:cs="Arial"/>
          <w:b/>
          <w:bCs/>
          <w:color w:val="000000" w:themeColor="text1"/>
          <w:sz w:val="24"/>
          <w:szCs w:val="24"/>
        </w:rPr>
        <w:t xml:space="preserve">               </w:t>
      </w:r>
      <w:r w:rsidR="00E201D5" w:rsidRPr="00906E1B">
        <w:rPr>
          <w:rFonts w:ascii="Arial" w:eastAsia="Arial" w:hAnsi="Arial" w:cs="Arial"/>
          <w:b/>
          <w:bCs/>
          <w:color w:val="000000" w:themeColor="text1"/>
          <w:sz w:val="24"/>
          <w:szCs w:val="24"/>
        </w:rPr>
        <w:t>Presidente</w:t>
      </w:r>
      <w:r w:rsidR="00E201D5" w:rsidRPr="00906E1B">
        <w:rPr>
          <w:rFonts w:ascii="Arial" w:eastAsia="Arial" w:hAnsi="Arial" w:cs="Arial"/>
          <w:b/>
          <w:bCs/>
          <w:color w:val="000000" w:themeColor="text1"/>
          <w:sz w:val="24"/>
          <w:szCs w:val="24"/>
        </w:rPr>
        <w:tab/>
      </w:r>
      <w:r w:rsidR="00E201D5" w:rsidRPr="00906E1B">
        <w:rPr>
          <w:rFonts w:ascii="Arial" w:eastAsia="Arial" w:hAnsi="Arial" w:cs="Arial"/>
          <w:b/>
          <w:bCs/>
          <w:color w:val="000000" w:themeColor="text1"/>
          <w:sz w:val="24"/>
          <w:szCs w:val="24"/>
        </w:rPr>
        <w:tab/>
      </w:r>
      <w:r w:rsidR="00E201D5" w:rsidRPr="00906E1B">
        <w:rPr>
          <w:rFonts w:ascii="Arial" w:eastAsia="Arial" w:hAnsi="Arial" w:cs="Arial"/>
          <w:b/>
          <w:bCs/>
          <w:color w:val="000000" w:themeColor="text1"/>
          <w:sz w:val="24"/>
          <w:szCs w:val="24"/>
        </w:rPr>
        <w:tab/>
      </w:r>
      <w:r w:rsidR="00E201D5" w:rsidRPr="00906E1B">
        <w:rPr>
          <w:rFonts w:ascii="Arial" w:eastAsia="Arial" w:hAnsi="Arial" w:cs="Arial"/>
          <w:b/>
          <w:bCs/>
          <w:color w:val="000000" w:themeColor="text1"/>
          <w:sz w:val="24"/>
          <w:szCs w:val="24"/>
        </w:rPr>
        <w:tab/>
      </w:r>
      <w:r w:rsidR="00E201D5" w:rsidRPr="00906E1B">
        <w:rPr>
          <w:rFonts w:ascii="Arial" w:eastAsia="Arial" w:hAnsi="Arial" w:cs="Arial"/>
          <w:b/>
          <w:bCs/>
          <w:color w:val="000000" w:themeColor="text1"/>
          <w:sz w:val="24"/>
          <w:szCs w:val="24"/>
        </w:rPr>
        <w:tab/>
        <w:t xml:space="preserve">      Magistrado</w:t>
      </w:r>
    </w:p>
    <w:p w14:paraId="2D9AE19C" w14:textId="77777777" w:rsidR="00E201D5" w:rsidRPr="00906E1B" w:rsidRDefault="00E201D5" w:rsidP="003F45B2">
      <w:pPr>
        <w:spacing w:line="276" w:lineRule="auto"/>
        <w:ind w:right="-233"/>
        <w:jc w:val="center"/>
        <w:rPr>
          <w:rFonts w:ascii="Arial" w:eastAsia="Arial" w:hAnsi="Arial" w:cs="Arial"/>
          <w:color w:val="000000" w:themeColor="text1"/>
          <w:sz w:val="24"/>
          <w:szCs w:val="24"/>
        </w:rPr>
      </w:pPr>
    </w:p>
    <w:p w14:paraId="29CDE4A1" w14:textId="77777777" w:rsidR="00E201D5" w:rsidRPr="00906E1B" w:rsidRDefault="00E201D5" w:rsidP="003F45B2">
      <w:pPr>
        <w:spacing w:line="276" w:lineRule="auto"/>
        <w:ind w:right="-232"/>
        <w:contextualSpacing/>
        <w:jc w:val="center"/>
        <w:rPr>
          <w:rFonts w:ascii="Arial" w:eastAsia="Arial" w:hAnsi="Arial" w:cs="Arial"/>
          <w:bCs/>
          <w:color w:val="000000" w:themeColor="text1"/>
          <w:sz w:val="24"/>
          <w:szCs w:val="24"/>
        </w:rPr>
      </w:pPr>
    </w:p>
    <w:p w14:paraId="5AC8CEDA" w14:textId="77777777" w:rsidR="00E201D5" w:rsidRPr="00906E1B" w:rsidRDefault="00E201D5" w:rsidP="003F45B2">
      <w:pPr>
        <w:spacing w:line="276" w:lineRule="auto"/>
        <w:ind w:left="708" w:right="-232" w:hanging="708"/>
        <w:contextualSpacing/>
        <w:jc w:val="center"/>
        <w:rPr>
          <w:rFonts w:ascii="Arial" w:hAnsi="Arial" w:cs="Arial"/>
          <w:sz w:val="24"/>
          <w:szCs w:val="24"/>
        </w:rPr>
      </w:pPr>
      <w:r w:rsidRPr="00906E1B">
        <w:rPr>
          <w:rFonts w:ascii="Arial" w:eastAsia="Arial" w:hAnsi="Arial" w:cs="Arial"/>
          <w:bCs/>
          <w:color w:val="000000" w:themeColor="text1"/>
          <w:sz w:val="24"/>
          <w:szCs w:val="24"/>
        </w:rPr>
        <w:t>Con firma electrónica</w:t>
      </w:r>
    </w:p>
    <w:p w14:paraId="64B45D48" w14:textId="75251998" w:rsidR="00E201D5" w:rsidRPr="00906E1B" w:rsidRDefault="00E201D5" w:rsidP="003F45B2">
      <w:pPr>
        <w:spacing w:line="276" w:lineRule="auto"/>
        <w:ind w:right="-232"/>
        <w:contextualSpacing/>
        <w:jc w:val="center"/>
        <w:rPr>
          <w:rFonts w:ascii="Arial" w:eastAsia="Arial" w:hAnsi="Arial" w:cs="Arial"/>
          <w:b/>
          <w:bCs/>
          <w:color w:val="000000" w:themeColor="text1"/>
          <w:sz w:val="24"/>
          <w:szCs w:val="24"/>
        </w:rPr>
      </w:pPr>
      <w:r w:rsidRPr="00906E1B">
        <w:rPr>
          <w:rFonts w:ascii="Arial" w:eastAsia="Arial" w:hAnsi="Arial" w:cs="Arial"/>
          <w:b/>
          <w:bCs/>
          <w:color w:val="000000" w:themeColor="text1"/>
          <w:sz w:val="24"/>
          <w:szCs w:val="24"/>
        </w:rPr>
        <w:t>ALEXÁNDE</w:t>
      </w:r>
      <w:r w:rsidR="007676FF" w:rsidRPr="00906E1B">
        <w:rPr>
          <w:rFonts w:ascii="Arial" w:eastAsia="Arial" w:hAnsi="Arial" w:cs="Arial"/>
          <w:b/>
          <w:bCs/>
          <w:color w:val="000000" w:themeColor="text1"/>
          <w:sz w:val="24"/>
          <w:szCs w:val="24"/>
        </w:rPr>
        <w:t>R</w:t>
      </w:r>
      <w:r w:rsidRPr="00906E1B">
        <w:rPr>
          <w:rFonts w:ascii="Arial" w:eastAsia="Arial" w:hAnsi="Arial" w:cs="Arial"/>
          <w:b/>
          <w:bCs/>
          <w:color w:val="000000" w:themeColor="text1"/>
          <w:sz w:val="24"/>
          <w:szCs w:val="24"/>
        </w:rPr>
        <w:t xml:space="preserve"> JOJOA BOLAÑOS</w:t>
      </w:r>
    </w:p>
    <w:p w14:paraId="766B760F" w14:textId="4D11BE02" w:rsidR="00E201D5" w:rsidRPr="00906E1B" w:rsidRDefault="00E201D5" w:rsidP="003F45B2">
      <w:pPr>
        <w:spacing w:line="276" w:lineRule="auto"/>
        <w:ind w:right="-232"/>
        <w:contextualSpacing/>
        <w:jc w:val="center"/>
        <w:rPr>
          <w:rFonts w:ascii="Arial" w:eastAsia="Arial" w:hAnsi="Arial" w:cs="Arial"/>
          <w:b/>
          <w:bCs/>
          <w:color w:val="000000" w:themeColor="text1"/>
          <w:sz w:val="24"/>
          <w:szCs w:val="24"/>
        </w:rPr>
      </w:pPr>
      <w:r w:rsidRPr="00906E1B">
        <w:rPr>
          <w:rFonts w:ascii="Arial" w:eastAsia="Arial" w:hAnsi="Arial" w:cs="Arial"/>
          <w:b/>
          <w:bCs/>
          <w:color w:val="000000" w:themeColor="text1"/>
          <w:sz w:val="24"/>
          <w:szCs w:val="24"/>
        </w:rPr>
        <w:t>Magistrado</w:t>
      </w:r>
      <w:r w:rsidR="00F83148">
        <w:rPr>
          <w:rFonts w:ascii="Arial" w:eastAsia="Arial" w:hAnsi="Arial" w:cs="Arial"/>
          <w:b/>
          <w:bCs/>
          <w:color w:val="000000" w:themeColor="text1"/>
          <w:sz w:val="24"/>
          <w:szCs w:val="24"/>
        </w:rPr>
        <w:t xml:space="preserve"> (E)</w:t>
      </w:r>
    </w:p>
    <w:p w14:paraId="0417EB91" w14:textId="77777777" w:rsidR="00E201D5" w:rsidRPr="00906E1B" w:rsidRDefault="00E201D5" w:rsidP="003F45B2">
      <w:pPr>
        <w:spacing w:line="276" w:lineRule="auto"/>
        <w:jc w:val="center"/>
        <w:rPr>
          <w:rFonts w:ascii="Arial" w:hAnsi="Arial" w:cs="Arial"/>
          <w:sz w:val="24"/>
          <w:szCs w:val="24"/>
        </w:rPr>
      </w:pPr>
    </w:p>
    <w:sectPr w:rsidR="00E201D5" w:rsidRPr="00906E1B" w:rsidSect="00B175ED">
      <w:headerReference w:type="default" r:id="rId8"/>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BC6DC" w14:textId="77777777" w:rsidR="001E25B2" w:rsidRDefault="001E25B2" w:rsidP="0098372D">
      <w:r>
        <w:separator/>
      </w:r>
    </w:p>
  </w:endnote>
  <w:endnote w:type="continuationSeparator" w:id="0">
    <w:p w14:paraId="66DF90E0" w14:textId="77777777" w:rsidR="001E25B2" w:rsidRDefault="001E25B2" w:rsidP="00983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 Pro W3">
    <w:altName w:val="ＭＳ ゴシック"/>
    <w:panose1 w:val="020B0604020202020204"/>
    <w:charset w:val="80"/>
    <w:family w:val="auto"/>
    <w:notTrueType/>
    <w:pitch w:val="variable"/>
    <w:sig w:usb0="00000000" w:usb1="08070000" w:usb2="00000010" w:usb3="00000000" w:csb0="00020000"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C1BE3" w14:textId="77777777" w:rsidR="001E25B2" w:rsidRDefault="001E25B2" w:rsidP="0098372D">
      <w:r>
        <w:separator/>
      </w:r>
    </w:p>
  </w:footnote>
  <w:footnote w:type="continuationSeparator" w:id="0">
    <w:p w14:paraId="5DE20B3B" w14:textId="77777777" w:rsidR="001E25B2" w:rsidRDefault="001E25B2" w:rsidP="0098372D">
      <w:r>
        <w:continuationSeparator/>
      </w:r>
    </w:p>
  </w:footnote>
  <w:footnote w:id="1">
    <w:p w14:paraId="0DD86F2E" w14:textId="77777777" w:rsidR="00785A06" w:rsidRPr="004B138B" w:rsidRDefault="00785A06" w:rsidP="003F45B2">
      <w:pPr>
        <w:pStyle w:val="Normal1"/>
        <w:pBdr>
          <w:top w:val="nil"/>
          <w:left w:val="nil"/>
          <w:bottom w:val="nil"/>
          <w:right w:val="nil"/>
          <w:between w:val="nil"/>
        </w:pBdr>
        <w:spacing w:after="100" w:line="240" w:lineRule="auto"/>
        <w:rPr>
          <w:color w:val="000000"/>
          <w:sz w:val="18"/>
          <w:szCs w:val="18"/>
        </w:rPr>
      </w:pPr>
      <w:r w:rsidRPr="004B138B">
        <w:rPr>
          <w:rStyle w:val="Refdenotaalpie"/>
          <w:sz w:val="18"/>
          <w:szCs w:val="18"/>
        </w:rPr>
        <w:footnoteRef/>
      </w:r>
      <w:r w:rsidRPr="004B138B">
        <w:rPr>
          <w:sz w:val="18"/>
          <w:szCs w:val="18"/>
        </w:rPr>
        <w:t xml:space="preserve"> </w:t>
      </w:r>
      <w:r w:rsidRPr="004B138B">
        <w:rPr>
          <w:color w:val="000000"/>
          <w:sz w:val="18"/>
          <w:szCs w:val="18"/>
        </w:rPr>
        <w:t>Artículo 4º- De los principios aplicables para interpretar el procedimiento previsto por el Decreto 2591 de 1991. Para la interpretación de las disposiciones sobre trámite de la acción de tutela previstas por el Decreto 2591 de 1991 se aplicarán los principios generales del Código de Procedimiento Civil, en todo aquello en que no sean contrarios a dicho decreto.</w:t>
      </w:r>
    </w:p>
  </w:footnote>
  <w:footnote w:id="2">
    <w:p w14:paraId="78755268" w14:textId="77777777" w:rsidR="00785A06" w:rsidRPr="004B138B" w:rsidRDefault="00785A06" w:rsidP="006C1D01">
      <w:pPr>
        <w:pStyle w:val="Normal1"/>
        <w:pBdr>
          <w:top w:val="nil"/>
          <w:left w:val="nil"/>
          <w:bottom w:val="nil"/>
          <w:right w:val="nil"/>
          <w:between w:val="nil"/>
        </w:pBdr>
        <w:spacing w:line="240" w:lineRule="auto"/>
        <w:ind w:right="-93"/>
        <w:rPr>
          <w:color w:val="000000"/>
          <w:sz w:val="18"/>
          <w:szCs w:val="18"/>
        </w:rPr>
      </w:pPr>
      <w:r w:rsidRPr="004B138B">
        <w:rPr>
          <w:rStyle w:val="Refdenotaalpie"/>
          <w:sz w:val="18"/>
          <w:szCs w:val="18"/>
        </w:rPr>
        <w:footnoteRef/>
      </w:r>
      <w:r w:rsidRPr="004B138B">
        <w:rPr>
          <w:sz w:val="18"/>
          <w:szCs w:val="18"/>
        </w:rPr>
        <w:t xml:space="preserve"> </w:t>
      </w:r>
      <w:r w:rsidRPr="004B138B">
        <w:rPr>
          <w:color w:val="000000"/>
          <w:sz w:val="18"/>
          <w:szCs w:val="18"/>
        </w:rPr>
        <w:t>Artículo 285. Aclaración. La sentencia no es revocable ni reformable por el juez que la pronunció. Sin embargo, podrá ser aclarada, de oficio o a solicitud de parte, cuando contenga conceptos o frases que ofrezcan verdadero motivo de duda, siempre que estén contenidas en la parte resolutiva de la sentencia o influyan en ella. (…)</w:t>
      </w:r>
    </w:p>
    <w:p w14:paraId="47E75C9D" w14:textId="77777777" w:rsidR="00785A06" w:rsidRDefault="00785A06" w:rsidP="006C1D01">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58406" w14:textId="3F35127C" w:rsidR="00785A06" w:rsidRPr="00DA42A5" w:rsidRDefault="00785A06" w:rsidP="00050CAE">
    <w:pPr>
      <w:pStyle w:val="Encabezado"/>
      <w:rPr>
        <w:rFonts w:ascii="Arial" w:hAnsi="Arial" w:cs="Arial"/>
      </w:rPr>
    </w:pPr>
    <w:r w:rsidRPr="00DA42A5">
      <w:rPr>
        <w:rFonts w:ascii="Arial" w:hAnsi="Arial" w:cs="Arial"/>
        <w:noProof/>
        <w:lang w:val="es-ES" w:eastAsia="es-ES"/>
      </w:rPr>
      <w:drawing>
        <wp:anchor distT="0" distB="0" distL="114300" distR="114300" simplePos="0" relativeHeight="251665408" behindDoc="0" locked="0" layoutInCell="1" allowOverlap="1" wp14:anchorId="7212E6FA" wp14:editId="743E1923">
          <wp:simplePos x="0" y="0"/>
          <wp:positionH relativeFrom="column">
            <wp:posOffset>-82296</wp:posOffset>
          </wp:positionH>
          <wp:positionV relativeFrom="paragraph">
            <wp:posOffset>-192024</wp:posOffset>
          </wp:positionV>
          <wp:extent cx="1094105" cy="1019175"/>
          <wp:effectExtent l="0" t="0" r="0" b="0"/>
          <wp:wrapNone/>
          <wp:docPr id="3" name="Imagen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SCUDO CE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4105" cy="1019175"/>
                  </a:xfrm>
                  <a:prstGeom prst="rect">
                    <a:avLst/>
                  </a:prstGeom>
                </pic:spPr>
              </pic:pic>
            </a:graphicData>
          </a:graphic>
          <wp14:sizeRelH relativeFrom="margin">
            <wp14:pctWidth>0</wp14:pctWidth>
          </wp14:sizeRelH>
          <wp14:sizeRelV relativeFrom="margin">
            <wp14:pctHeight>0</wp14:pctHeight>
          </wp14:sizeRelV>
        </wp:anchor>
      </w:drawing>
    </w:r>
  </w:p>
  <w:p w14:paraId="2876B452" w14:textId="77777777" w:rsidR="00785A06" w:rsidRPr="00F4188B" w:rsidRDefault="00785A06" w:rsidP="00050CAE">
    <w:pPr>
      <w:pStyle w:val="Encabezado"/>
      <w:rPr>
        <w:rFonts w:ascii="Arial" w:hAnsi="Arial" w:cs="Arial"/>
        <w:sz w:val="20"/>
        <w:szCs w:val="20"/>
      </w:rPr>
    </w:pPr>
    <w:r w:rsidRPr="00F4188B">
      <w:rPr>
        <w:rFonts w:ascii="Arial" w:hAnsi="Arial" w:cs="Arial"/>
        <w:noProof/>
        <w:sz w:val="24"/>
        <w:szCs w:val="24"/>
        <w:lang w:val="es-ES" w:eastAsia="es-ES"/>
      </w:rPr>
      <mc:AlternateContent>
        <mc:Choice Requires="wps">
          <w:drawing>
            <wp:anchor distT="0" distB="0" distL="114300" distR="114300" simplePos="0" relativeHeight="251663360" behindDoc="0" locked="0" layoutInCell="1" allowOverlap="1" wp14:anchorId="01518721" wp14:editId="2FB9BF27">
              <wp:simplePos x="0" y="0"/>
              <wp:positionH relativeFrom="column">
                <wp:posOffset>1379855</wp:posOffset>
              </wp:positionH>
              <wp:positionV relativeFrom="paragraph">
                <wp:posOffset>60325</wp:posOffset>
              </wp:positionV>
              <wp:extent cx="5288915" cy="21590"/>
              <wp:effectExtent l="19050" t="19050" r="6985" b="3556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8915" cy="21590"/>
                      </a:xfrm>
                      <a:prstGeom prst="straightConnector1">
                        <a:avLst/>
                      </a:prstGeom>
                      <a:noFill/>
                      <a:ln w="2857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386275" id="_x0000_t32" coordsize="21600,21600" o:spt="32" o:oned="t" path="m,l21600,21600e" filled="f">
              <v:path arrowok="t" fillok="f" o:connecttype="none"/>
              <o:lock v:ext="edit" shapetype="t"/>
            </v:shapetype>
            <v:shape id="AutoShape 1" o:spid="_x0000_s1026" type="#_x0000_t32" style="position:absolute;margin-left:108.65pt;margin-top:4.75pt;width:416.45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" strokeweight="2.25pt"/>
          </w:pict>
        </mc:Fallback>
      </mc:AlternateContent>
    </w:r>
  </w:p>
  <w:p w14:paraId="6CF074F8" w14:textId="201D4DC4" w:rsidR="00785A06" w:rsidRPr="00050CAE" w:rsidRDefault="00785A06" w:rsidP="00050CAE">
    <w:pPr>
      <w:pStyle w:val="Encabezado"/>
      <w:jc w:val="right"/>
      <w:rPr>
        <w:rFonts w:ascii="Arial" w:hAnsi="Arial" w:cs="Arial"/>
        <w:color w:val="808080" w:themeColor="background1" w:themeShade="80"/>
        <w:sz w:val="18"/>
        <w:szCs w:val="18"/>
        <w:lang w:val="uz-Cyrl-UZ"/>
      </w:rPr>
    </w:pPr>
    <w:r w:rsidRPr="00050CAE">
      <w:rPr>
        <w:rFonts w:ascii="Arial" w:hAnsi="Arial" w:cs="Arial"/>
        <w:color w:val="808080" w:themeColor="background1" w:themeShade="80"/>
        <w:sz w:val="18"/>
        <w:szCs w:val="18"/>
      </w:rPr>
      <w:t>Radicado:</w:t>
    </w:r>
    <w:r w:rsidRPr="00050CAE">
      <w:rPr>
        <w:rFonts w:ascii="Arial" w:hAnsi="Arial" w:cs="Arial"/>
        <w:color w:val="808080" w:themeColor="background1" w:themeShade="80"/>
        <w:sz w:val="18"/>
        <w:szCs w:val="18"/>
        <w:lang w:val="uz-Cyrl-UZ"/>
      </w:rPr>
      <w:t xml:space="preserve"> </w:t>
    </w:r>
    <w:r w:rsidRPr="00050CAE">
      <w:rPr>
        <w:rFonts w:ascii="Arial" w:hAnsi="Arial" w:cs="Arial"/>
        <w:bCs/>
        <w:color w:val="808080" w:themeColor="background1" w:themeShade="80"/>
        <w:sz w:val="18"/>
        <w:szCs w:val="18"/>
      </w:rPr>
      <w:t>11001-03-15-000-2020-04921-01</w:t>
    </w:r>
  </w:p>
  <w:p w14:paraId="5FC43D5C" w14:textId="47179F02" w:rsidR="00785A06" w:rsidRPr="00050CAE" w:rsidRDefault="00785A06" w:rsidP="00050CAE">
    <w:pPr>
      <w:pStyle w:val="Encabezado"/>
      <w:jc w:val="right"/>
      <w:rPr>
        <w:rFonts w:ascii="Arial" w:hAnsi="Arial" w:cs="Arial"/>
        <w:color w:val="808080" w:themeColor="background1" w:themeShade="80"/>
        <w:sz w:val="18"/>
        <w:szCs w:val="18"/>
        <w:lang w:val="es-ES"/>
      </w:rPr>
    </w:pPr>
    <w:r w:rsidRPr="00050CAE">
      <w:rPr>
        <w:rFonts w:ascii="Arial" w:hAnsi="Arial" w:cs="Arial"/>
        <w:color w:val="808080" w:themeColor="background1" w:themeShade="80"/>
        <w:sz w:val="18"/>
        <w:szCs w:val="18"/>
      </w:rPr>
      <w:t xml:space="preserve"> Accionante: </w:t>
    </w:r>
    <w:r w:rsidRPr="00050CAE">
      <w:rPr>
        <w:rFonts w:ascii="Arial" w:hAnsi="Arial" w:cs="Arial"/>
        <w:color w:val="808080" w:themeColor="background1" w:themeShade="80"/>
        <w:sz w:val="18"/>
        <w:szCs w:val="18"/>
        <w:lang w:val="es-ES"/>
      </w:rPr>
      <w:t>Oscar Mauricio Gil Gómez</w:t>
    </w:r>
  </w:p>
  <w:p w14:paraId="703BF673" w14:textId="4D1293DD" w:rsidR="00785A06" w:rsidRDefault="00785A06" w:rsidP="00050CAE">
    <w:pPr>
      <w:pStyle w:val="Encabezado"/>
      <w:jc w:val="right"/>
      <w:rPr>
        <w:rFonts w:ascii="Arial" w:hAnsi="Arial" w:cs="Arial"/>
        <w:color w:val="808080" w:themeColor="background1" w:themeShade="80"/>
        <w:sz w:val="18"/>
        <w:szCs w:val="18"/>
        <w:lang w:val="es-ES"/>
      </w:rPr>
    </w:pPr>
    <w:r w:rsidRPr="00050CAE">
      <w:rPr>
        <w:rFonts w:ascii="Arial" w:hAnsi="Arial" w:cs="Arial"/>
        <w:color w:val="808080" w:themeColor="background1" w:themeShade="80"/>
        <w:sz w:val="18"/>
        <w:szCs w:val="18"/>
        <w:lang w:val="es-ES"/>
      </w:rPr>
      <w:t>Niega solicitud de adición y aclaración</w:t>
    </w:r>
  </w:p>
  <w:p w14:paraId="5CBF6ABD" w14:textId="77777777" w:rsidR="00785A06" w:rsidRPr="00050CAE" w:rsidRDefault="00785A06" w:rsidP="00050CAE">
    <w:pPr>
      <w:pStyle w:val="Encabezado"/>
      <w:jc w:val="right"/>
      <w:rPr>
        <w:rFonts w:ascii="Arial" w:hAnsi="Arial" w:cs="Arial"/>
        <w:color w:val="808080" w:themeColor="background1" w:themeShade="80"/>
        <w:sz w:val="18"/>
        <w:szCs w:val="18"/>
        <w:lang w:val="es-ES"/>
      </w:rPr>
    </w:pPr>
  </w:p>
  <w:p w14:paraId="1300CF36" w14:textId="6F564554" w:rsidR="00785A06" w:rsidRPr="00050CAE" w:rsidRDefault="00785A06" w:rsidP="00050CAE">
    <w:pPr>
      <w:pStyle w:val="Encabezado"/>
      <w:jc w:val="right"/>
      <w:rPr>
        <w:rFonts w:ascii="Arial" w:hAnsi="Arial" w:cs="Arial"/>
        <w:color w:val="808080" w:themeColor="background1" w:themeShade="80"/>
        <w:sz w:val="18"/>
        <w:szCs w:val="18"/>
        <w:lang w:val="es-ES"/>
      </w:rPr>
    </w:pPr>
    <w:r>
      <w:rPr>
        <w:rFonts w:ascii="Arial" w:hAnsi="Arial" w:cs="Arial"/>
        <w:color w:val="808080" w:themeColor="background1" w:themeShade="80"/>
        <w:sz w:val="18"/>
        <w:szCs w:val="18"/>
        <w:lang w:val="es-ES"/>
      </w:rPr>
      <w:tab/>
    </w:r>
    <w:r w:rsidRPr="000F3351">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12A53"/>
    <w:multiLevelType w:val="hybridMultilevel"/>
    <w:tmpl w:val="E8B8A32C"/>
    <w:lvl w:ilvl="0" w:tplc="240A000F">
      <w:start w:val="1"/>
      <w:numFmt w:val="decimal"/>
      <w:lvlText w:val="%1."/>
      <w:lvlJc w:val="left"/>
      <w:pPr>
        <w:ind w:left="36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89B"/>
    <w:rsid w:val="00050CAE"/>
    <w:rsid w:val="000815B1"/>
    <w:rsid w:val="00091F44"/>
    <w:rsid w:val="000B356E"/>
    <w:rsid w:val="000D79FE"/>
    <w:rsid w:val="000F3351"/>
    <w:rsid w:val="0014076B"/>
    <w:rsid w:val="0018010A"/>
    <w:rsid w:val="001E25B2"/>
    <w:rsid w:val="00210F85"/>
    <w:rsid w:val="00237EF1"/>
    <w:rsid w:val="002402E1"/>
    <w:rsid w:val="00266FD0"/>
    <w:rsid w:val="00272F31"/>
    <w:rsid w:val="002768D2"/>
    <w:rsid w:val="0029130B"/>
    <w:rsid w:val="002C1391"/>
    <w:rsid w:val="002F3E15"/>
    <w:rsid w:val="00312799"/>
    <w:rsid w:val="00334327"/>
    <w:rsid w:val="003806D2"/>
    <w:rsid w:val="003D6CDE"/>
    <w:rsid w:val="003F45B2"/>
    <w:rsid w:val="004B1219"/>
    <w:rsid w:val="00535493"/>
    <w:rsid w:val="00556909"/>
    <w:rsid w:val="005A4AC9"/>
    <w:rsid w:val="005D5EC4"/>
    <w:rsid w:val="005E489B"/>
    <w:rsid w:val="006C1D01"/>
    <w:rsid w:val="006C38D6"/>
    <w:rsid w:val="006E5300"/>
    <w:rsid w:val="00737951"/>
    <w:rsid w:val="007676FF"/>
    <w:rsid w:val="00774AD3"/>
    <w:rsid w:val="00785A06"/>
    <w:rsid w:val="007A6B33"/>
    <w:rsid w:val="007D7A61"/>
    <w:rsid w:val="007E6465"/>
    <w:rsid w:val="008A23A7"/>
    <w:rsid w:val="008E728D"/>
    <w:rsid w:val="008F0246"/>
    <w:rsid w:val="008F2085"/>
    <w:rsid w:val="00906E1B"/>
    <w:rsid w:val="00917708"/>
    <w:rsid w:val="009237F6"/>
    <w:rsid w:val="00935327"/>
    <w:rsid w:val="00952394"/>
    <w:rsid w:val="009545E4"/>
    <w:rsid w:val="009738F5"/>
    <w:rsid w:val="0098372D"/>
    <w:rsid w:val="009F4A7E"/>
    <w:rsid w:val="00A56A94"/>
    <w:rsid w:val="00AE5BCF"/>
    <w:rsid w:val="00B175ED"/>
    <w:rsid w:val="00C34C00"/>
    <w:rsid w:val="00C83D9F"/>
    <w:rsid w:val="00CB33B3"/>
    <w:rsid w:val="00D81B48"/>
    <w:rsid w:val="00DB3F31"/>
    <w:rsid w:val="00E12CCA"/>
    <w:rsid w:val="00E201D5"/>
    <w:rsid w:val="00EA1768"/>
    <w:rsid w:val="00ED56A0"/>
    <w:rsid w:val="00EF0A05"/>
    <w:rsid w:val="00F06157"/>
    <w:rsid w:val="00F665B2"/>
    <w:rsid w:val="00F83148"/>
    <w:rsid w:val="00FC4DE5"/>
    <w:rsid w:val="28433697"/>
    <w:rsid w:val="3DDC6BB9"/>
    <w:rsid w:val="753EAABC"/>
    <w:rsid w:val="7FA64F3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B97289"/>
  <w15:docId w15:val="{B80B366A-1BF9-0D4B-9F01-9C4DC94F9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89B"/>
    <w:rPr>
      <w:rFonts w:ascii="Calibri" w:eastAsia="Calibri" w:hAnsi="Calibri" w:cs="Times New Roman"/>
      <w:sz w:val="22"/>
      <w:szCs w:val="22"/>
      <w:lang w:val="es-ES_tradnl"/>
    </w:rPr>
  </w:style>
  <w:style w:type="paragraph" w:styleId="Ttulo1">
    <w:name w:val="heading 1"/>
    <w:basedOn w:val="Normal"/>
    <w:next w:val="Normal"/>
    <w:link w:val="Ttulo1Car"/>
    <w:uiPriority w:val="9"/>
    <w:qFormat/>
    <w:rsid w:val="005E489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489B"/>
    <w:rPr>
      <w:rFonts w:asciiTheme="majorHAnsi" w:eastAsiaTheme="majorEastAsia" w:hAnsiTheme="majorHAnsi" w:cstheme="majorBidi"/>
      <w:color w:val="2F5496" w:themeColor="accent1" w:themeShade="BF"/>
      <w:sz w:val="32"/>
      <w:szCs w:val="32"/>
      <w:lang w:val="es-ES_tradnl"/>
    </w:rPr>
  </w:style>
  <w:style w:type="character" w:customStyle="1" w:styleId="TextonotapieCar1">
    <w:name w:val="Texto nota pie Car1"/>
    <w:aliases w:val="Footnote Text Char Char Char Char Char Car,Footnote Text Char Char Char Char Car,Footnote reference Car,FA Fu Car,Footnote Text Char Char Char Car1,Footnote Text Char Char Char Car Car,ft Car,texto de nota al pie Car,Car1 Car"/>
    <w:link w:val="Textonotapie"/>
    <w:qFormat/>
    <w:locked/>
    <w:rsid w:val="00C34C00"/>
  </w:style>
  <w:style w:type="paragraph" w:styleId="Textonotapie">
    <w:name w:val="footnote text"/>
    <w:aliases w:val="Footnote Text Char Char Char Char Char,Footnote Text Char Char Char Char,Footnote reference,FA Fu,Footnote Text Char Char Char,Footnote Text Char Char Char Car,ft,texto de nota al pie,FA Fußnotentext,FA Fuﬂnotentext,Footnote Text Cha,Car1"/>
    <w:basedOn w:val="Normal"/>
    <w:link w:val="TextonotapieCar1"/>
    <w:unhideWhenUsed/>
    <w:qFormat/>
    <w:rsid w:val="00C34C00"/>
    <w:rPr>
      <w:rFonts w:asciiTheme="minorHAnsi" w:eastAsiaTheme="minorHAnsi" w:hAnsiTheme="minorHAnsi" w:cstheme="minorBidi"/>
      <w:sz w:val="24"/>
      <w:szCs w:val="24"/>
      <w:lang w:val="es-US"/>
    </w:rPr>
  </w:style>
  <w:style w:type="character" w:customStyle="1" w:styleId="TextonotapieCar">
    <w:name w:val="Texto nota pie Car"/>
    <w:basedOn w:val="Fuentedeprrafopredeter"/>
    <w:uiPriority w:val="99"/>
    <w:semiHidden/>
    <w:rsid w:val="00C34C00"/>
    <w:rPr>
      <w:rFonts w:ascii="Calibri" w:eastAsia="Calibri" w:hAnsi="Calibri" w:cs="Times New Roman"/>
      <w:sz w:val="20"/>
      <w:szCs w:val="20"/>
      <w:lang w:val="es-ES_tradnl"/>
    </w:rPr>
  </w:style>
  <w:style w:type="character" w:styleId="Refdenotaalpie">
    <w:name w:val="footnote reference"/>
    <w:aliases w:val="Texto de nota al pie,referencia nota al pie,Ref. de nota al pie 2,Pie de Página,FC,Appel note de bas de page,Texto nota pie Car1 Car,Texto nota pie Car2 Car Car,Texto nota pie Car1 Car Car Car,Footnote reference Car Car Car Car,BVI f"/>
    <w:link w:val="Piedepagina"/>
    <w:uiPriority w:val="99"/>
    <w:unhideWhenUsed/>
    <w:qFormat/>
    <w:rsid w:val="0098372D"/>
    <w:rPr>
      <w:vertAlign w:val="superscript"/>
    </w:rPr>
  </w:style>
  <w:style w:type="paragraph" w:customStyle="1" w:styleId="Piedepagina">
    <w:name w:val="Pie de pagina"/>
    <w:basedOn w:val="Normal"/>
    <w:link w:val="Refdenotaalpie"/>
    <w:uiPriority w:val="99"/>
    <w:rsid w:val="0098372D"/>
    <w:pPr>
      <w:spacing w:after="160" w:line="240" w:lineRule="exact"/>
    </w:pPr>
    <w:rPr>
      <w:rFonts w:asciiTheme="minorHAnsi" w:eastAsiaTheme="minorHAnsi" w:hAnsiTheme="minorHAnsi" w:cstheme="minorBidi"/>
      <w:sz w:val="24"/>
      <w:szCs w:val="24"/>
      <w:vertAlign w:val="superscript"/>
      <w:lang w:val="es-US"/>
    </w:rPr>
  </w:style>
  <w:style w:type="paragraph" w:styleId="NormalWeb">
    <w:name w:val="Normal (Web)"/>
    <w:basedOn w:val="Normal"/>
    <w:uiPriority w:val="99"/>
    <w:unhideWhenUsed/>
    <w:rsid w:val="0098372D"/>
    <w:pPr>
      <w:spacing w:before="100" w:beforeAutospacing="1" w:after="100" w:afterAutospacing="1"/>
    </w:pPr>
    <w:rPr>
      <w:rFonts w:ascii="Times New Roman" w:eastAsia="Times New Roman" w:hAnsi="Times New Roman"/>
      <w:sz w:val="24"/>
      <w:szCs w:val="24"/>
      <w:lang w:val="es-CO" w:eastAsia="es-CO"/>
    </w:rPr>
  </w:style>
  <w:style w:type="character" w:customStyle="1" w:styleId="normaltextrun">
    <w:name w:val="normaltextrun"/>
    <w:basedOn w:val="Fuentedeprrafopredeter"/>
    <w:rsid w:val="006C1D01"/>
  </w:style>
  <w:style w:type="paragraph" w:customStyle="1" w:styleId="Normal1">
    <w:name w:val="Normal1"/>
    <w:rsid w:val="006C1D01"/>
    <w:pPr>
      <w:spacing w:line="360" w:lineRule="auto"/>
      <w:jc w:val="both"/>
    </w:pPr>
    <w:rPr>
      <w:rFonts w:ascii="Arial" w:eastAsia="Arial" w:hAnsi="Arial" w:cs="Arial"/>
      <w:lang w:val="es-CO" w:eastAsia="es-ES"/>
    </w:rPr>
  </w:style>
  <w:style w:type="paragraph" w:styleId="Prrafodelista">
    <w:name w:val="List Paragraph"/>
    <w:basedOn w:val="Normal"/>
    <w:uiPriority w:val="34"/>
    <w:qFormat/>
    <w:rsid w:val="00CB33B3"/>
    <w:pPr>
      <w:spacing w:after="160" w:line="259" w:lineRule="auto"/>
      <w:ind w:left="720"/>
      <w:contextualSpacing/>
    </w:pPr>
    <w:rPr>
      <w:rFonts w:asciiTheme="minorHAnsi" w:eastAsiaTheme="minorHAnsi" w:hAnsiTheme="minorHAnsi" w:cstheme="minorBidi"/>
      <w:lang w:val="es-CO"/>
    </w:rPr>
  </w:style>
  <w:style w:type="paragraph" w:customStyle="1" w:styleId="Textoindependiente21">
    <w:name w:val="Texto independiente 21"/>
    <w:basedOn w:val="Normal"/>
    <w:rsid w:val="00CB33B3"/>
    <w:pPr>
      <w:overflowPunct w:val="0"/>
      <w:autoSpaceDE w:val="0"/>
      <w:autoSpaceDN w:val="0"/>
      <w:adjustRightInd w:val="0"/>
      <w:spacing w:line="360" w:lineRule="auto"/>
      <w:jc w:val="both"/>
      <w:textAlignment w:val="baseline"/>
    </w:pPr>
    <w:rPr>
      <w:rFonts w:ascii="Comic Sans MS" w:eastAsia="Times New Roman" w:hAnsi="Comic Sans MS"/>
      <w:sz w:val="28"/>
      <w:szCs w:val="20"/>
      <w:lang w:eastAsia="es-ES"/>
    </w:rPr>
  </w:style>
  <w:style w:type="character" w:customStyle="1" w:styleId="apple-converted-space">
    <w:name w:val="apple-converted-space"/>
    <w:rsid w:val="00CB33B3"/>
  </w:style>
  <w:style w:type="paragraph" w:styleId="Sinespaciado">
    <w:name w:val="No Spacing"/>
    <w:link w:val="SinespaciadoCar"/>
    <w:uiPriority w:val="1"/>
    <w:qFormat/>
    <w:rsid w:val="00CB33B3"/>
    <w:rPr>
      <w:rFonts w:ascii="Times New Roman" w:eastAsia="Times New Roman" w:hAnsi="Times New Roman" w:cs="Times New Roman"/>
      <w:sz w:val="20"/>
      <w:szCs w:val="20"/>
      <w:lang w:val="es-ES" w:eastAsia="es-ES"/>
    </w:rPr>
  </w:style>
  <w:style w:type="character" w:customStyle="1" w:styleId="SinespaciadoCar">
    <w:name w:val="Sin espaciado Car"/>
    <w:link w:val="Sinespaciado"/>
    <w:uiPriority w:val="1"/>
    <w:rsid w:val="00CB33B3"/>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iPriority w:val="99"/>
    <w:rsid w:val="00CB33B3"/>
    <w:pPr>
      <w:spacing w:line="360" w:lineRule="auto"/>
      <w:jc w:val="both"/>
    </w:pPr>
    <w:rPr>
      <w:rFonts w:ascii="Times New Roman" w:eastAsia="Times New Roman" w:hAnsi="Times New Roman"/>
      <w:sz w:val="28"/>
      <w:szCs w:val="20"/>
      <w:lang w:eastAsia="es-ES"/>
    </w:rPr>
  </w:style>
  <w:style w:type="character" w:customStyle="1" w:styleId="TextoindependienteCar">
    <w:name w:val="Texto independiente Car"/>
    <w:basedOn w:val="Fuentedeprrafopredeter"/>
    <w:link w:val="Textoindependiente"/>
    <w:uiPriority w:val="99"/>
    <w:rsid w:val="00CB33B3"/>
    <w:rPr>
      <w:rFonts w:ascii="Times New Roman" w:eastAsia="Times New Roman" w:hAnsi="Times New Roman" w:cs="Times New Roman"/>
      <w:sz w:val="28"/>
      <w:szCs w:val="20"/>
      <w:lang w:val="es-ES_tradnl" w:eastAsia="es-ES"/>
    </w:rPr>
  </w:style>
  <w:style w:type="paragraph" w:styleId="Encabezado">
    <w:name w:val="header"/>
    <w:basedOn w:val="Normal"/>
    <w:link w:val="EncabezadoCar"/>
    <w:uiPriority w:val="99"/>
    <w:unhideWhenUsed/>
    <w:rsid w:val="000F3351"/>
    <w:pPr>
      <w:tabs>
        <w:tab w:val="center" w:pos="4252"/>
        <w:tab w:val="right" w:pos="8504"/>
      </w:tabs>
    </w:pPr>
  </w:style>
  <w:style w:type="character" w:customStyle="1" w:styleId="EncabezadoCar">
    <w:name w:val="Encabezado Car"/>
    <w:basedOn w:val="Fuentedeprrafopredeter"/>
    <w:link w:val="Encabezado"/>
    <w:uiPriority w:val="99"/>
    <w:rsid w:val="000F3351"/>
    <w:rPr>
      <w:rFonts w:ascii="Calibri" w:eastAsia="Calibri" w:hAnsi="Calibri" w:cs="Times New Roman"/>
      <w:sz w:val="22"/>
      <w:szCs w:val="22"/>
      <w:lang w:val="es-ES_tradnl"/>
    </w:rPr>
  </w:style>
  <w:style w:type="paragraph" w:styleId="Piedepgina">
    <w:name w:val="footer"/>
    <w:basedOn w:val="Normal"/>
    <w:link w:val="PiedepginaCar"/>
    <w:uiPriority w:val="99"/>
    <w:unhideWhenUsed/>
    <w:rsid w:val="000F3351"/>
    <w:pPr>
      <w:tabs>
        <w:tab w:val="center" w:pos="4252"/>
        <w:tab w:val="right" w:pos="8504"/>
      </w:tabs>
    </w:pPr>
  </w:style>
  <w:style w:type="character" w:customStyle="1" w:styleId="PiedepginaCar">
    <w:name w:val="Pie de página Car"/>
    <w:basedOn w:val="Fuentedeprrafopredeter"/>
    <w:link w:val="Piedepgina"/>
    <w:uiPriority w:val="99"/>
    <w:rsid w:val="000F3351"/>
    <w:rPr>
      <w:rFonts w:ascii="Calibri" w:eastAsia="Calibri" w:hAnsi="Calibri" w:cs="Times New Roman"/>
      <w:sz w:val="22"/>
      <w:szCs w:val="22"/>
      <w:lang w:val="es-ES_tradnl"/>
    </w:rPr>
  </w:style>
  <w:style w:type="character" w:styleId="Hipervnculo">
    <w:name w:val="Hyperlink"/>
    <w:basedOn w:val="Fuentedeprrafopredeter"/>
    <w:uiPriority w:val="99"/>
    <w:semiHidden/>
    <w:unhideWhenUsed/>
    <w:rsid w:val="00A56A94"/>
    <w:rPr>
      <w:color w:val="0000FF"/>
      <w:u w:val="single"/>
    </w:rPr>
  </w:style>
  <w:style w:type="character" w:styleId="Refdecomentario">
    <w:name w:val="annotation reference"/>
    <w:basedOn w:val="Fuentedeprrafopredeter"/>
    <w:uiPriority w:val="99"/>
    <w:semiHidden/>
    <w:unhideWhenUsed/>
    <w:rsid w:val="008F0246"/>
    <w:rPr>
      <w:sz w:val="16"/>
      <w:szCs w:val="16"/>
    </w:rPr>
  </w:style>
  <w:style w:type="paragraph" w:styleId="Textocomentario">
    <w:name w:val="annotation text"/>
    <w:basedOn w:val="Normal"/>
    <w:link w:val="TextocomentarioCar"/>
    <w:uiPriority w:val="99"/>
    <w:semiHidden/>
    <w:unhideWhenUsed/>
    <w:rsid w:val="008F0246"/>
    <w:rPr>
      <w:sz w:val="20"/>
      <w:szCs w:val="20"/>
    </w:rPr>
  </w:style>
  <w:style w:type="character" w:customStyle="1" w:styleId="TextocomentarioCar">
    <w:name w:val="Texto comentario Car"/>
    <w:basedOn w:val="Fuentedeprrafopredeter"/>
    <w:link w:val="Textocomentario"/>
    <w:uiPriority w:val="99"/>
    <w:semiHidden/>
    <w:rsid w:val="008F0246"/>
    <w:rPr>
      <w:rFonts w:ascii="Calibri" w:eastAsia="Calibri" w:hAnsi="Calibri"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F0246"/>
    <w:rPr>
      <w:b/>
      <w:bCs/>
    </w:rPr>
  </w:style>
  <w:style w:type="character" w:customStyle="1" w:styleId="AsuntodelcomentarioCar">
    <w:name w:val="Asunto del comentario Car"/>
    <w:basedOn w:val="TextocomentarioCar"/>
    <w:link w:val="Asuntodelcomentario"/>
    <w:uiPriority w:val="99"/>
    <w:semiHidden/>
    <w:rsid w:val="008F0246"/>
    <w:rPr>
      <w:rFonts w:ascii="Calibri" w:eastAsia="Calibri" w:hAnsi="Calibri" w:cs="Times New Roman"/>
      <w:b/>
      <w:bC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014783">
      <w:bodyDiv w:val="1"/>
      <w:marLeft w:val="0"/>
      <w:marRight w:val="0"/>
      <w:marTop w:val="0"/>
      <w:marBottom w:val="0"/>
      <w:divBdr>
        <w:top w:val="none" w:sz="0" w:space="0" w:color="auto"/>
        <w:left w:val="none" w:sz="0" w:space="0" w:color="auto"/>
        <w:bottom w:val="none" w:sz="0" w:space="0" w:color="auto"/>
        <w:right w:val="none" w:sz="0" w:space="0" w:color="auto"/>
      </w:divBdr>
    </w:div>
    <w:div w:id="189631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1799</Words>
  <Characters>9899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Vegalara</dc:creator>
  <cp:keywords/>
  <dc:description/>
  <cp:lastModifiedBy>Laura Vegalara</cp:lastModifiedBy>
  <cp:revision>2</cp:revision>
  <dcterms:created xsi:type="dcterms:W3CDTF">2021-08-04T22:14:00Z</dcterms:created>
  <dcterms:modified xsi:type="dcterms:W3CDTF">2021-08-04T22:14:00Z</dcterms:modified>
</cp:coreProperties>
</file>