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013CD" w14:textId="77777777" w:rsidR="000C5DB7" w:rsidRPr="003537D3" w:rsidRDefault="000C5DB7" w:rsidP="00A866E0">
      <w:pPr>
        <w:pStyle w:val="Sinespaciado"/>
      </w:pPr>
      <w:r w:rsidRPr="003537D3">
        <w:t>CONSEJERO PONENTE: JAIME ENRIQUE RODRÍGUEZ NAVAS</w:t>
      </w:r>
    </w:p>
    <w:p w14:paraId="77749C61" w14:textId="3B80FE65" w:rsidR="00027850" w:rsidRPr="003537D3" w:rsidRDefault="00027850" w:rsidP="00AE19E9">
      <w:pPr>
        <w:spacing w:line="276" w:lineRule="auto"/>
        <w:contextualSpacing/>
        <w:rPr>
          <w:b/>
          <w:bCs/>
          <w:sz w:val="24"/>
          <w:szCs w:val="24"/>
        </w:rPr>
      </w:pPr>
    </w:p>
    <w:p w14:paraId="4FA03D62" w14:textId="03731AC9" w:rsidR="00027850" w:rsidRPr="003537D3" w:rsidRDefault="007109A7" w:rsidP="00AE19E9">
      <w:pPr>
        <w:spacing w:line="276" w:lineRule="auto"/>
        <w:contextualSpacing/>
        <w:rPr>
          <w:bCs/>
          <w:sz w:val="24"/>
          <w:szCs w:val="24"/>
        </w:rPr>
      </w:pPr>
      <w:r w:rsidRPr="003537D3">
        <w:rPr>
          <w:bCs/>
          <w:sz w:val="24"/>
          <w:szCs w:val="24"/>
        </w:rPr>
        <w:t xml:space="preserve">Bogotá D.C., </w:t>
      </w:r>
      <w:r w:rsidR="00C878D4">
        <w:rPr>
          <w:bCs/>
          <w:sz w:val="24"/>
          <w:szCs w:val="24"/>
        </w:rPr>
        <w:t>dieciséis (16</w:t>
      </w:r>
      <w:r w:rsidRPr="003537D3">
        <w:rPr>
          <w:bCs/>
          <w:sz w:val="24"/>
          <w:szCs w:val="24"/>
        </w:rPr>
        <w:t>) de abril</w:t>
      </w:r>
      <w:r w:rsidR="00027850" w:rsidRPr="003537D3">
        <w:rPr>
          <w:bCs/>
          <w:sz w:val="24"/>
          <w:szCs w:val="24"/>
        </w:rPr>
        <w:t xml:space="preserve"> de dos mil veintiuno (2021)</w:t>
      </w:r>
    </w:p>
    <w:p w14:paraId="515FB417" w14:textId="77777777" w:rsidR="00027850" w:rsidRPr="003537D3" w:rsidRDefault="00027850" w:rsidP="00AE19E9">
      <w:pPr>
        <w:spacing w:line="276" w:lineRule="auto"/>
        <w:contextualSpacing/>
        <w:rPr>
          <w:b/>
          <w:sz w:val="24"/>
          <w:szCs w:val="24"/>
        </w:rPr>
      </w:pPr>
    </w:p>
    <w:p w14:paraId="5F8CA7E0" w14:textId="77777777" w:rsidR="00027850" w:rsidRPr="003537D3" w:rsidRDefault="00027850" w:rsidP="00AE19E9">
      <w:pPr>
        <w:spacing w:line="276" w:lineRule="auto"/>
        <w:ind w:left="1985" w:hanging="1985"/>
        <w:contextualSpacing/>
        <w:rPr>
          <w:b/>
          <w:sz w:val="24"/>
          <w:szCs w:val="24"/>
        </w:rPr>
      </w:pPr>
      <w:r w:rsidRPr="003537D3">
        <w:rPr>
          <w:b/>
          <w:sz w:val="24"/>
          <w:szCs w:val="24"/>
        </w:rPr>
        <w:t xml:space="preserve">Referencia: </w:t>
      </w:r>
      <w:r w:rsidRPr="003537D3">
        <w:rPr>
          <w:b/>
          <w:sz w:val="24"/>
          <w:szCs w:val="24"/>
        </w:rPr>
        <w:tab/>
      </w:r>
      <w:r w:rsidRPr="003537D3">
        <w:rPr>
          <w:sz w:val="24"/>
          <w:szCs w:val="24"/>
        </w:rPr>
        <w:t>Acción de tutela</w:t>
      </w:r>
    </w:p>
    <w:p w14:paraId="4A4DE044" w14:textId="77777777" w:rsidR="007109A7" w:rsidRPr="003537D3" w:rsidRDefault="007109A7" w:rsidP="00AE19E9">
      <w:pPr>
        <w:tabs>
          <w:tab w:val="left" w:pos="1985"/>
        </w:tabs>
        <w:spacing w:line="276" w:lineRule="auto"/>
        <w:ind w:left="1980" w:hanging="1980"/>
        <w:rPr>
          <w:sz w:val="24"/>
          <w:szCs w:val="24"/>
          <w:lang w:val="es-ES"/>
        </w:rPr>
      </w:pPr>
      <w:bookmarkStart w:id="0" w:name="_Hlk55288909"/>
      <w:r w:rsidRPr="003537D3">
        <w:rPr>
          <w:b/>
          <w:sz w:val="24"/>
          <w:szCs w:val="24"/>
          <w:lang w:val="es-ES"/>
        </w:rPr>
        <w:t>Radicación:</w:t>
      </w:r>
      <w:r w:rsidRPr="003537D3">
        <w:rPr>
          <w:b/>
          <w:sz w:val="24"/>
          <w:szCs w:val="24"/>
          <w:lang w:val="es-ES"/>
        </w:rPr>
        <w:tab/>
      </w:r>
      <w:bookmarkStart w:id="1" w:name="_Hlk38370324"/>
      <w:r w:rsidRPr="003537D3">
        <w:rPr>
          <w:bCs/>
          <w:sz w:val="24"/>
          <w:szCs w:val="24"/>
        </w:rPr>
        <w:t>11001-03-15-000-2021-00512-00</w:t>
      </w:r>
    </w:p>
    <w:bookmarkEnd w:id="1"/>
    <w:p w14:paraId="28A15EB5" w14:textId="77777777" w:rsidR="007109A7" w:rsidRPr="003537D3" w:rsidRDefault="007109A7" w:rsidP="00AE19E9">
      <w:pPr>
        <w:tabs>
          <w:tab w:val="left" w:pos="1985"/>
        </w:tabs>
        <w:spacing w:line="276" w:lineRule="auto"/>
        <w:ind w:left="1980" w:hanging="1980"/>
        <w:rPr>
          <w:b/>
          <w:bCs/>
          <w:sz w:val="24"/>
          <w:szCs w:val="24"/>
        </w:rPr>
      </w:pPr>
      <w:r w:rsidRPr="003537D3">
        <w:rPr>
          <w:b/>
          <w:sz w:val="24"/>
          <w:szCs w:val="24"/>
          <w:lang w:val="es-ES"/>
        </w:rPr>
        <w:t>Accionante:</w:t>
      </w:r>
      <w:r w:rsidRPr="003537D3">
        <w:rPr>
          <w:b/>
          <w:sz w:val="24"/>
          <w:szCs w:val="24"/>
          <w:lang w:val="es-ES"/>
        </w:rPr>
        <w:tab/>
      </w:r>
      <w:bookmarkStart w:id="2" w:name="_Hlk39513731"/>
      <w:r w:rsidRPr="003537D3">
        <w:rPr>
          <w:bCs/>
          <w:sz w:val="24"/>
          <w:szCs w:val="24"/>
        </w:rPr>
        <w:t>Compañía Energética de Occidente S.A.S. E.S.P.</w:t>
      </w:r>
    </w:p>
    <w:bookmarkEnd w:id="2"/>
    <w:p w14:paraId="51BAFC9A" w14:textId="3BBA9B01" w:rsidR="007109A7" w:rsidRPr="003537D3" w:rsidRDefault="007109A7" w:rsidP="00AE19E9">
      <w:pPr>
        <w:tabs>
          <w:tab w:val="left" w:pos="1985"/>
        </w:tabs>
        <w:spacing w:line="276" w:lineRule="auto"/>
        <w:ind w:left="1980" w:hanging="1980"/>
        <w:rPr>
          <w:b/>
          <w:sz w:val="24"/>
          <w:szCs w:val="24"/>
        </w:rPr>
      </w:pPr>
      <w:r w:rsidRPr="003537D3">
        <w:rPr>
          <w:b/>
          <w:sz w:val="24"/>
          <w:szCs w:val="24"/>
          <w:lang w:val="es-ES"/>
        </w:rPr>
        <w:t>Accionado:</w:t>
      </w:r>
      <w:r w:rsidRPr="003537D3">
        <w:rPr>
          <w:b/>
          <w:sz w:val="24"/>
          <w:szCs w:val="24"/>
          <w:lang w:val="es-ES"/>
        </w:rPr>
        <w:tab/>
      </w:r>
      <w:r w:rsidRPr="003537D3">
        <w:rPr>
          <w:sz w:val="24"/>
          <w:szCs w:val="24"/>
          <w:lang w:val="es-ES"/>
        </w:rPr>
        <w:t xml:space="preserve">Tribunal de Arbitramento </w:t>
      </w:r>
      <w:r w:rsidRPr="003537D3">
        <w:rPr>
          <w:bCs/>
          <w:sz w:val="24"/>
          <w:szCs w:val="24"/>
        </w:rPr>
        <w:t xml:space="preserve">integrado por </w:t>
      </w:r>
      <w:r w:rsidR="0047242F" w:rsidRPr="003537D3">
        <w:rPr>
          <w:bCs/>
          <w:sz w:val="24"/>
          <w:szCs w:val="24"/>
        </w:rPr>
        <w:t>Antonio Pabón Santander</w:t>
      </w:r>
      <w:r w:rsidR="0047242F">
        <w:rPr>
          <w:bCs/>
          <w:sz w:val="24"/>
          <w:szCs w:val="24"/>
        </w:rPr>
        <w:t>,</w:t>
      </w:r>
      <w:r w:rsidR="0047242F" w:rsidRPr="003537D3">
        <w:rPr>
          <w:bCs/>
          <w:sz w:val="24"/>
          <w:szCs w:val="24"/>
        </w:rPr>
        <w:t xml:space="preserve"> </w:t>
      </w:r>
      <w:r w:rsidR="0047242F">
        <w:rPr>
          <w:bCs/>
          <w:sz w:val="24"/>
          <w:szCs w:val="24"/>
        </w:rPr>
        <w:t>Myriam Guerrero de Escobar y Sergio Muñoz Laverde</w:t>
      </w:r>
    </w:p>
    <w:p w14:paraId="2C96E390" w14:textId="2CD39A85" w:rsidR="00027850" w:rsidRPr="003537D3" w:rsidRDefault="00027850" w:rsidP="00AE19E9">
      <w:pPr>
        <w:tabs>
          <w:tab w:val="left" w:pos="1985"/>
        </w:tabs>
        <w:spacing w:line="276" w:lineRule="auto"/>
        <w:ind w:left="1980" w:hanging="1980"/>
        <w:rPr>
          <w:bCs/>
          <w:sz w:val="24"/>
          <w:szCs w:val="24"/>
          <w:lang w:val="es-ES" w:eastAsia="en-US"/>
        </w:rPr>
      </w:pPr>
      <w:r w:rsidRPr="003537D3">
        <w:rPr>
          <w:bCs/>
          <w:sz w:val="24"/>
          <w:szCs w:val="24"/>
          <w:lang w:val="es-ES" w:eastAsia="en-US"/>
        </w:rPr>
        <w:t xml:space="preserve"> </w:t>
      </w:r>
      <w:bookmarkEnd w:id="0"/>
    </w:p>
    <w:p w14:paraId="33A4C8AE" w14:textId="77777777" w:rsidR="00027850" w:rsidRPr="003537D3" w:rsidRDefault="00027850" w:rsidP="00AE19E9">
      <w:pPr>
        <w:pBdr>
          <w:bottom w:val="single" w:sz="12" w:space="0" w:color="auto"/>
        </w:pBdr>
        <w:spacing w:line="276" w:lineRule="auto"/>
        <w:ind w:left="2832" w:hanging="2832"/>
        <w:contextualSpacing/>
        <w:rPr>
          <w:b/>
          <w:sz w:val="24"/>
          <w:szCs w:val="24"/>
        </w:rPr>
      </w:pPr>
      <w:r w:rsidRPr="003537D3">
        <w:rPr>
          <w:b/>
          <w:sz w:val="24"/>
          <w:szCs w:val="24"/>
        </w:rPr>
        <w:t>SENTENCIA DE PRIMERA INSTANCIA</w:t>
      </w:r>
    </w:p>
    <w:p w14:paraId="53B38BFC" w14:textId="77777777" w:rsidR="00027850" w:rsidRPr="003537D3" w:rsidRDefault="00027850" w:rsidP="00AE19E9">
      <w:pPr>
        <w:spacing w:line="276" w:lineRule="auto"/>
        <w:contextualSpacing/>
        <w:rPr>
          <w:b/>
          <w:sz w:val="24"/>
          <w:szCs w:val="24"/>
        </w:rPr>
      </w:pPr>
    </w:p>
    <w:p w14:paraId="2A0E150B" w14:textId="109ADEA5" w:rsidR="00027850" w:rsidRPr="003537D3" w:rsidRDefault="00027850" w:rsidP="00AE19E9">
      <w:pPr>
        <w:spacing w:line="276" w:lineRule="auto"/>
        <w:rPr>
          <w:bCs/>
          <w:sz w:val="24"/>
          <w:szCs w:val="24"/>
          <w:lang w:val="es-ES" w:eastAsia="en-US"/>
        </w:rPr>
      </w:pPr>
      <w:r w:rsidRPr="003537D3">
        <w:rPr>
          <w:rFonts w:eastAsia="Verdana"/>
          <w:sz w:val="24"/>
          <w:szCs w:val="24"/>
        </w:rPr>
        <w:t xml:space="preserve">La Sala decide la acción de tutela presentada por </w:t>
      </w:r>
      <w:r w:rsidR="007109A7" w:rsidRPr="003537D3">
        <w:rPr>
          <w:bCs/>
          <w:sz w:val="24"/>
          <w:szCs w:val="24"/>
        </w:rPr>
        <w:t>Compañía Energética de Occidente S.A.S. E.S.P.</w:t>
      </w:r>
      <w:r w:rsidRPr="003537D3">
        <w:rPr>
          <w:bCs/>
          <w:sz w:val="24"/>
          <w:szCs w:val="24"/>
          <w:lang w:val="es-ES" w:eastAsia="en-US"/>
        </w:rPr>
        <w:t xml:space="preserve"> </w:t>
      </w:r>
      <w:r w:rsidRPr="003537D3">
        <w:rPr>
          <w:bCs/>
          <w:sz w:val="24"/>
          <w:szCs w:val="24"/>
        </w:rPr>
        <w:t xml:space="preserve">en contra </w:t>
      </w:r>
      <w:r w:rsidRPr="003537D3">
        <w:rPr>
          <w:bCs/>
          <w:sz w:val="24"/>
          <w:szCs w:val="24"/>
          <w:lang w:val="es-ES"/>
        </w:rPr>
        <w:t xml:space="preserve">del </w:t>
      </w:r>
      <w:r w:rsidR="007109A7" w:rsidRPr="003537D3">
        <w:rPr>
          <w:sz w:val="24"/>
          <w:szCs w:val="24"/>
          <w:lang w:val="es-ES"/>
        </w:rPr>
        <w:t xml:space="preserve">Tribunal de Arbitramento </w:t>
      </w:r>
      <w:r w:rsidR="007109A7" w:rsidRPr="003537D3">
        <w:rPr>
          <w:bCs/>
          <w:sz w:val="24"/>
          <w:szCs w:val="24"/>
        </w:rPr>
        <w:t xml:space="preserve">integrado por </w:t>
      </w:r>
      <w:r w:rsidR="0047242F" w:rsidRPr="003537D3">
        <w:rPr>
          <w:bCs/>
          <w:sz w:val="24"/>
          <w:szCs w:val="24"/>
        </w:rPr>
        <w:t>Antonio Pabón Santander</w:t>
      </w:r>
      <w:r w:rsidR="0047242F">
        <w:rPr>
          <w:bCs/>
          <w:sz w:val="24"/>
          <w:szCs w:val="24"/>
        </w:rPr>
        <w:t>,</w:t>
      </w:r>
      <w:r w:rsidR="0047242F" w:rsidRPr="003537D3">
        <w:rPr>
          <w:bCs/>
          <w:sz w:val="24"/>
          <w:szCs w:val="24"/>
        </w:rPr>
        <w:t xml:space="preserve"> </w:t>
      </w:r>
      <w:r w:rsidR="0047242F">
        <w:rPr>
          <w:bCs/>
          <w:sz w:val="24"/>
          <w:szCs w:val="24"/>
        </w:rPr>
        <w:t>Myriam Guerrero de Escobar y Sergio Muñoz Laverde</w:t>
      </w:r>
      <w:r w:rsidR="00084A35">
        <w:rPr>
          <w:bCs/>
          <w:sz w:val="24"/>
          <w:szCs w:val="24"/>
        </w:rPr>
        <w:t>.</w:t>
      </w:r>
    </w:p>
    <w:p w14:paraId="794A204F" w14:textId="77777777" w:rsidR="00027850" w:rsidRPr="003537D3" w:rsidRDefault="00027850" w:rsidP="00AE19E9">
      <w:pPr>
        <w:spacing w:line="276" w:lineRule="auto"/>
        <w:rPr>
          <w:rFonts w:eastAsia="Verdana"/>
          <w:sz w:val="24"/>
          <w:szCs w:val="24"/>
          <w:lang w:val="es-ES"/>
        </w:rPr>
      </w:pPr>
    </w:p>
    <w:p w14:paraId="2BC66452" w14:textId="77777777" w:rsidR="00027850" w:rsidRPr="003537D3" w:rsidRDefault="00027850" w:rsidP="00AE19E9">
      <w:pPr>
        <w:keepNext/>
        <w:numPr>
          <w:ilvl w:val="0"/>
          <w:numId w:val="5"/>
        </w:numPr>
        <w:spacing w:line="276" w:lineRule="auto"/>
        <w:ind w:left="714" w:hanging="357"/>
        <w:jc w:val="center"/>
        <w:outlineLvl w:val="0"/>
        <w:rPr>
          <w:rFonts w:eastAsia="Times New Roman"/>
          <w:b/>
          <w:bCs/>
          <w:caps/>
          <w:kern w:val="32"/>
          <w:sz w:val="24"/>
          <w:szCs w:val="24"/>
        </w:rPr>
      </w:pPr>
      <w:r w:rsidRPr="003537D3">
        <w:rPr>
          <w:rFonts w:eastAsia="Times New Roman"/>
          <w:b/>
          <w:bCs/>
          <w:caps/>
          <w:kern w:val="32"/>
          <w:sz w:val="24"/>
          <w:szCs w:val="24"/>
        </w:rPr>
        <w:t>ANTECEDENTES</w:t>
      </w:r>
    </w:p>
    <w:p w14:paraId="75036DBC" w14:textId="77777777" w:rsidR="00027850" w:rsidRPr="003537D3" w:rsidRDefault="00027850" w:rsidP="00AE19E9">
      <w:pPr>
        <w:spacing w:line="276" w:lineRule="auto"/>
        <w:rPr>
          <w:sz w:val="24"/>
          <w:szCs w:val="24"/>
        </w:rPr>
      </w:pPr>
    </w:p>
    <w:p w14:paraId="1F95BE3C" w14:textId="649C89A8" w:rsidR="00027850" w:rsidRPr="003537D3" w:rsidRDefault="00980965" w:rsidP="00980965">
      <w:pPr>
        <w:keepNext/>
        <w:spacing w:line="276" w:lineRule="auto"/>
        <w:jc w:val="left"/>
        <w:outlineLvl w:val="1"/>
        <w:rPr>
          <w:rFonts w:eastAsia="Times New Roman"/>
          <w:b/>
          <w:bCs/>
          <w:iCs/>
          <w:sz w:val="24"/>
          <w:szCs w:val="24"/>
          <w:lang w:eastAsia="es-ES"/>
        </w:rPr>
      </w:pPr>
      <w:r>
        <w:rPr>
          <w:rFonts w:eastAsia="Times New Roman"/>
          <w:b/>
          <w:bCs/>
          <w:iCs/>
          <w:sz w:val="24"/>
          <w:szCs w:val="24"/>
          <w:lang w:eastAsia="es-ES"/>
        </w:rPr>
        <w:t xml:space="preserve">1.1. </w:t>
      </w:r>
      <w:r w:rsidR="00027850" w:rsidRPr="003537D3">
        <w:rPr>
          <w:rFonts w:eastAsia="Times New Roman"/>
          <w:b/>
          <w:bCs/>
          <w:iCs/>
          <w:sz w:val="24"/>
          <w:szCs w:val="24"/>
          <w:lang w:eastAsia="es-ES"/>
        </w:rPr>
        <w:t>Solicitud de tutela</w:t>
      </w:r>
    </w:p>
    <w:p w14:paraId="4EAFBDDE" w14:textId="77777777" w:rsidR="00027850" w:rsidRPr="003537D3" w:rsidRDefault="00027850" w:rsidP="00AE19E9">
      <w:pPr>
        <w:spacing w:line="276" w:lineRule="auto"/>
        <w:contextualSpacing/>
        <w:rPr>
          <w:bCs/>
          <w:sz w:val="24"/>
          <w:szCs w:val="24"/>
        </w:rPr>
      </w:pPr>
    </w:p>
    <w:p w14:paraId="7B5B0893" w14:textId="68B4C7A0" w:rsidR="00027850" w:rsidRDefault="009D3D38" w:rsidP="00AE19E9">
      <w:pPr>
        <w:tabs>
          <w:tab w:val="left" w:pos="1985"/>
        </w:tabs>
        <w:spacing w:line="276" w:lineRule="auto"/>
        <w:rPr>
          <w:bCs/>
          <w:sz w:val="24"/>
          <w:szCs w:val="24"/>
          <w:lang w:val="es-ES" w:eastAsia="en-US"/>
        </w:rPr>
      </w:pPr>
      <w:r w:rsidRPr="003537D3">
        <w:rPr>
          <w:bCs/>
          <w:sz w:val="24"/>
          <w:szCs w:val="24"/>
        </w:rPr>
        <w:t>Compañía Energética de Occidente S.A.S. E.S.P.</w:t>
      </w:r>
      <w:r w:rsidRPr="003537D3">
        <w:rPr>
          <w:bCs/>
          <w:sz w:val="24"/>
          <w:szCs w:val="24"/>
          <w:lang w:val="es-ES" w:eastAsia="en-US"/>
        </w:rPr>
        <w:t xml:space="preserve"> (en adelante, CEO) presenta acción de tutela </w:t>
      </w:r>
      <w:r w:rsidRPr="003537D3">
        <w:rPr>
          <w:bCs/>
          <w:sz w:val="24"/>
          <w:szCs w:val="24"/>
        </w:rPr>
        <w:t xml:space="preserve">contra </w:t>
      </w:r>
      <w:r w:rsidRPr="003537D3">
        <w:rPr>
          <w:bCs/>
          <w:sz w:val="24"/>
          <w:szCs w:val="24"/>
          <w:lang w:val="es-ES"/>
        </w:rPr>
        <w:t xml:space="preserve">el </w:t>
      </w:r>
      <w:r w:rsidRPr="003537D3">
        <w:rPr>
          <w:sz w:val="24"/>
          <w:szCs w:val="24"/>
          <w:lang w:val="es-ES"/>
        </w:rPr>
        <w:t xml:space="preserve">Tribunal de Arbitramento </w:t>
      </w:r>
      <w:r w:rsidRPr="003537D3">
        <w:rPr>
          <w:bCs/>
          <w:sz w:val="24"/>
          <w:szCs w:val="24"/>
        </w:rPr>
        <w:t xml:space="preserve">integrado por </w:t>
      </w:r>
      <w:r w:rsidR="005C2EB6" w:rsidRPr="003537D3">
        <w:rPr>
          <w:bCs/>
          <w:sz w:val="24"/>
          <w:szCs w:val="24"/>
        </w:rPr>
        <w:t>Antonio Pabón Santander</w:t>
      </w:r>
      <w:r w:rsidR="005C2EB6">
        <w:rPr>
          <w:bCs/>
          <w:sz w:val="24"/>
          <w:szCs w:val="24"/>
        </w:rPr>
        <w:t>,</w:t>
      </w:r>
      <w:r w:rsidR="005C2EB6" w:rsidRPr="003537D3">
        <w:rPr>
          <w:bCs/>
          <w:sz w:val="24"/>
          <w:szCs w:val="24"/>
        </w:rPr>
        <w:t xml:space="preserve"> </w:t>
      </w:r>
      <w:r w:rsidR="005C2EB6">
        <w:rPr>
          <w:bCs/>
          <w:sz w:val="24"/>
          <w:szCs w:val="24"/>
        </w:rPr>
        <w:t>Myriam Guerrero de Escobar y Sergio Muñoz Laverde</w:t>
      </w:r>
      <w:r w:rsidR="00A73EFB">
        <w:rPr>
          <w:rStyle w:val="Refdenotaalpie"/>
          <w:bCs/>
          <w:sz w:val="24"/>
          <w:szCs w:val="24"/>
        </w:rPr>
        <w:footnoteReference w:id="1"/>
      </w:r>
      <w:r w:rsidR="007A0C44">
        <w:rPr>
          <w:bCs/>
          <w:sz w:val="24"/>
          <w:szCs w:val="24"/>
        </w:rPr>
        <w:t xml:space="preserve"> (en adelante, el Tribunal de Arbitramento)</w:t>
      </w:r>
      <w:r w:rsidRPr="003537D3">
        <w:rPr>
          <w:bCs/>
          <w:sz w:val="24"/>
          <w:szCs w:val="24"/>
        </w:rPr>
        <w:t xml:space="preserve">. La sociedad accionante pretende que se amparen sus derechos </w:t>
      </w:r>
      <w:r w:rsidR="005C2EB6" w:rsidRPr="003537D3">
        <w:rPr>
          <w:bCs/>
          <w:sz w:val="24"/>
          <w:szCs w:val="24"/>
        </w:rPr>
        <w:t>a la libertad de empresa, a la libre competencia económica</w:t>
      </w:r>
      <w:r w:rsidR="005C2EB6">
        <w:rPr>
          <w:bCs/>
          <w:sz w:val="24"/>
          <w:szCs w:val="24"/>
        </w:rPr>
        <w:t>,</w:t>
      </w:r>
      <w:r w:rsidR="005C2EB6" w:rsidRPr="003537D3">
        <w:rPr>
          <w:bCs/>
          <w:sz w:val="24"/>
          <w:szCs w:val="24"/>
        </w:rPr>
        <w:t xml:space="preserve"> </w:t>
      </w:r>
      <w:r w:rsidRPr="003537D3">
        <w:rPr>
          <w:bCs/>
          <w:sz w:val="24"/>
          <w:szCs w:val="24"/>
        </w:rPr>
        <w:t xml:space="preserve">al debido proceso, al acceso a la administración de justicia, y al </w:t>
      </w:r>
      <w:r w:rsidRPr="0047242F">
        <w:rPr>
          <w:bCs/>
          <w:i/>
          <w:sz w:val="24"/>
          <w:szCs w:val="24"/>
        </w:rPr>
        <w:t>habeas data</w:t>
      </w:r>
      <w:r w:rsidRPr="003537D3">
        <w:rPr>
          <w:bCs/>
          <w:sz w:val="24"/>
          <w:szCs w:val="24"/>
        </w:rPr>
        <w:t>. Garantías que, en su criterio, fueron vulneradas con ocasión del auto No. 9 del 7 de diciembre de 2020</w:t>
      </w:r>
      <w:r w:rsidR="00195638" w:rsidRPr="003537D3">
        <w:rPr>
          <w:bCs/>
          <w:sz w:val="24"/>
          <w:szCs w:val="24"/>
        </w:rPr>
        <w:t xml:space="preserve"> proferido por </w:t>
      </w:r>
      <w:r w:rsidR="00753A8E">
        <w:rPr>
          <w:bCs/>
          <w:sz w:val="24"/>
          <w:szCs w:val="24"/>
        </w:rPr>
        <w:t>la autoridad en mención, dentro</w:t>
      </w:r>
      <w:r w:rsidR="00195638" w:rsidRPr="003537D3">
        <w:rPr>
          <w:bCs/>
          <w:sz w:val="24"/>
          <w:szCs w:val="24"/>
        </w:rPr>
        <w:t xml:space="preserve"> </w:t>
      </w:r>
      <w:r w:rsidR="00753A8E">
        <w:rPr>
          <w:bCs/>
          <w:sz w:val="24"/>
          <w:szCs w:val="24"/>
        </w:rPr>
        <w:t>d</w:t>
      </w:r>
      <w:r w:rsidR="00195638" w:rsidRPr="003537D3">
        <w:rPr>
          <w:bCs/>
          <w:sz w:val="24"/>
          <w:szCs w:val="24"/>
        </w:rPr>
        <w:t xml:space="preserve">el trámite </w:t>
      </w:r>
      <w:r w:rsidR="00195638" w:rsidRPr="006C031C">
        <w:rPr>
          <w:bCs/>
          <w:sz w:val="24"/>
          <w:szCs w:val="24"/>
        </w:rPr>
        <w:t>arbitral</w:t>
      </w:r>
      <w:r w:rsidR="00195638" w:rsidRPr="003537D3">
        <w:rPr>
          <w:bCs/>
          <w:sz w:val="24"/>
          <w:szCs w:val="24"/>
        </w:rPr>
        <w:t xml:space="preserve"> que </w:t>
      </w:r>
      <w:r w:rsidR="007A0C44">
        <w:rPr>
          <w:bCs/>
          <w:sz w:val="24"/>
          <w:szCs w:val="24"/>
        </w:rPr>
        <w:t>estudia</w:t>
      </w:r>
      <w:r w:rsidR="00195638" w:rsidRPr="003537D3">
        <w:rPr>
          <w:bCs/>
          <w:sz w:val="24"/>
          <w:szCs w:val="24"/>
        </w:rPr>
        <w:t xml:space="preserve"> la controversia suscitada </w:t>
      </w:r>
      <w:r w:rsidR="00753A8E">
        <w:rPr>
          <w:bCs/>
          <w:sz w:val="24"/>
          <w:szCs w:val="24"/>
        </w:rPr>
        <w:t>entre CEO</w:t>
      </w:r>
      <w:r w:rsidR="00195638" w:rsidRPr="003537D3">
        <w:rPr>
          <w:bCs/>
          <w:sz w:val="24"/>
          <w:szCs w:val="24"/>
        </w:rPr>
        <w:t xml:space="preserve"> y </w:t>
      </w:r>
      <w:r w:rsidR="00195638" w:rsidRPr="003537D3">
        <w:rPr>
          <w:bCs/>
          <w:sz w:val="24"/>
          <w:szCs w:val="24"/>
          <w:lang w:val="es-ES" w:eastAsia="en-US"/>
        </w:rPr>
        <w:t>Centrales Eléctricas del Cauca S.A. E.S.P. (en adelante, CEDELCA).</w:t>
      </w:r>
    </w:p>
    <w:p w14:paraId="45CB016A" w14:textId="686C921E" w:rsidR="000778B0" w:rsidRPr="003537D3" w:rsidRDefault="000778B0" w:rsidP="00AE19E9">
      <w:pPr>
        <w:tabs>
          <w:tab w:val="left" w:pos="1985"/>
        </w:tabs>
        <w:spacing w:line="276" w:lineRule="auto"/>
        <w:rPr>
          <w:bCs/>
          <w:sz w:val="24"/>
          <w:szCs w:val="24"/>
          <w:lang w:val="es-ES"/>
        </w:rPr>
      </w:pPr>
    </w:p>
    <w:p w14:paraId="2E520133" w14:textId="6FFA9D33" w:rsidR="00027850" w:rsidRPr="003537D3" w:rsidRDefault="00980965" w:rsidP="00980965">
      <w:pPr>
        <w:keepNext/>
        <w:spacing w:line="276" w:lineRule="auto"/>
        <w:jc w:val="left"/>
        <w:outlineLvl w:val="1"/>
        <w:rPr>
          <w:rFonts w:eastAsia="Times New Roman"/>
          <w:b/>
          <w:bCs/>
          <w:iCs/>
          <w:sz w:val="24"/>
          <w:szCs w:val="24"/>
          <w:lang w:val="es-ES" w:eastAsia="es-ES"/>
        </w:rPr>
      </w:pPr>
      <w:r>
        <w:rPr>
          <w:rFonts w:eastAsia="Times New Roman"/>
          <w:b/>
          <w:bCs/>
          <w:iCs/>
          <w:sz w:val="24"/>
          <w:szCs w:val="24"/>
          <w:lang w:val="es-ES" w:eastAsia="es-ES"/>
        </w:rPr>
        <w:t xml:space="preserve">1.2. </w:t>
      </w:r>
      <w:r w:rsidR="00027850" w:rsidRPr="003537D3">
        <w:rPr>
          <w:rFonts w:eastAsia="Times New Roman"/>
          <w:b/>
          <w:bCs/>
          <w:iCs/>
          <w:sz w:val="24"/>
          <w:szCs w:val="24"/>
          <w:lang w:val="es-ES" w:eastAsia="es-ES"/>
        </w:rPr>
        <w:t xml:space="preserve">Hechos </w:t>
      </w:r>
    </w:p>
    <w:p w14:paraId="1B04C963" w14:textId="2EBBD24E" w:rsidR="00027850" w:rsidRDefault="00027850" w:rsidP="00AE19E9">
      <w:pPr>
        <w:spacing w:line="276" w:lineRule="auto"/>
        <w:rPr>
          <w:sz w:val="24"/>
          <w:szCs w:val="24"/>
          <w:lang w:val="es-ES" w:eastAsia="es-ES"/>
        </w:rPr>
      </w:pPr>
    </w:p>
    <w:p w14:paraId="767FBE5E" w14:textId="3D840576" w:rsidR="002145FF" w:rsidRDefault="002145FF" w:rsidP="00AE19E9">
      <w:pPr>
        <w:spacing w:line="276" w:lineRule="auto"/>
        <w:rPr>
          <w:sz w:val="24"/>
          <w:szCs w:val="24"/>
          <w:lang w:val="es-ES" w:eastAsia="es-ES"/>
        </w:rPr>
      </w:pPr>
      <w:r>
        <w:rPr>
          <w:sz w:val="24"/>
          <w:szCs w:val="24"/>
          <w:lang w:val="es-ES" w:eastAsia="es-ES"/>
        </w:rPr>
        <w:t>De la lectura del escrito de tutela y de los anexos se desprenden los siguientes hechos:</w:t>
      </w:r>
    </w:p>
    <w:p w14:paraId="6F1FE6CA" w14:textId="77777777" w:rsidR="002145FF" w:rsidRPr="003537D3" w:rsidRDefault="002145FF" w:rsidP="00AE19E9">
      <w:pPr>
        <w:spacing w:line="276" w:lineRule="auto"/>
        <w:rPr>
          <w:sz w:val="24"/>
          <w:szCs w:val="24"/>
          <w:lang w:val="es-ES" w:eastAsia="es-ES"/>
        </w:rPr>
      </w:pPr>
    </w:p>
    <w:p w14:paraId="67AC638C" w14:textId="21ECD7CD" w:rsidR="00187231" w:rsidRDefault="00980965" w:rsidP="00AE19E9">
      <w:pPr>
        <w:tabs>
          <w:tab w:val="left" w:pos="1985"/>
        </w:tabs>
        <w:spacing w:line="276" w:lineRule="auto"/>
        <w:rPr>
          <w:bCs/>
          <w:sz w:val="24"/>
          <w:szCs w:val="24"/>
          <w:lang w:val="es-ES" w:eastAsia="en-US"/>
        </w:rPr>
      </w:pPr>
      <w:r>
        <w:rPr>
          <w:b/>
          <w:bCs/>
          <w:sz w:val="24"/>
          <w:szCs w:val="24"/>
          <w:lang w:val="es-ES" w:eastAsia="en-US"/>
        </w:rPr>
        <w:t>1.</w:t>
      </w:r>
      <w:r w:rsidR="004546BF" w:rsidRPr="001A7B2D">
        <w:rPr>
          <w:b/>
          <w:bCs/>
          <w:sz w:val="24"/>
          <w:szCs w:val="24"/>
          <w:lang w:val="es-ES" w:eastAsia="en-US"/>
        </w:rPr>
        <w:t>2.1.</w:t>
      </w:r>
      <w:r w:rsidR="004546BF" w:rsidRPr="003537D3">
        <w:rPr>
          <w:b/>
          <w:bCs/>
          <w:sz w:val="24"/>
          <w:szCs w:val="24"/>
          <w:lang w:val="es-ES" w:eastAsia="en-US"/>
        </w:rPr>
        <w:t xml:space="preserve"> </w:t>
      </w:r>
      <w:r w:rsidR="00302902">
        <w:rPr>
          <w:bCs/>
          <w:sz w:val="24"/>
          <w:szCs w:val="24"/>
          <w:lang w:val="es-ES" w:eastAsia="en-US"/>
        </w:rPr>
        <w:t>CEDELCA afrontó una difícil situación económica en los años noventa. Esta circunstancia llevó a que la Superintendencia de Servicios Públicos Domiciliarios la interviniera durante muchos años, y</w:t>
      </w:r>
      <w:r w:rsidR="007A0C44">
        <w:rPr>
          <w:bCs/>
          <w:sz w:val="24"/>
          <w:szCs w:val="24"/>
          <w:lang w:val="es-ES" w:eastAsia="en-US"/>
        </w:rPr>
        <w:t>, en consecuencia,</w:t>
      </w:r>
      <w:r w:rsidR="00302902">
        <w:rPr>
          <w:bCs/>
          <w:sz w:val="24"/>
          <w:szCs w:val="24"/>
          <w:lang w:val="es-ES" w:eastAsia="en-US"/>
        </w:rPr>
        <w:t xml:space="preserve"> </w:t>
      </w:r>
      <w:r w:rsidR="007A0C44">
        <w:rPr>
          <w:bCs/>
          <w:sz w:val="24"/>
          <w:szCs w:val="24"/>
          <w:lang w:val="es-ES" w:eastAsia="en-US"/>
        </w:rPr>
        <w:t xml:space="preserve">le </w:t>
      </w:r>
      <w:r w:rsidR="00302902">
        <w:rPr>
          <w:bCs/>
          <w:sz w:val="24"/>
          <w:szCs w:val="24"/>
          <w:lang w:val="es-ES" w:eastAsia="en-US"/>
        </w:rPr>
        <w:t>diseñara un plan de salvamento empresarial que comprend</w:t>
      </w:r>
      <w:r w:rsidR="00187231">
        <w:rPr>
          <w:bCs/>
          <w:sz w:val="24"/>
          <w:szCs w:val="24"/>
          <w:lang w:val="es-ES" w:eastAsia="en-US"/>
        </w:rPr>
        <w:t>ía diversas estrategias</w:t>
      </w:r>
      <w:r w:rsidR="00BF2AE3">
        <w:rPr>
          <w:rStyle w:val="Refdenotaalpie"/>
          <w:bCs/>
          <w:sz w:val="24"/>
          <w:szCs w:val="24"/>
          <w:lang w:val="es-ES" w:eastAsia="en-US"/>
        </w:rPr>
        <w:footnoteReference w:id="2"/>
      </w:r>
      <w:r w:rsidR="00187231">
        <w:rPr>
          <w:bCs/>
          <w:sz w:val="24"/>
          <w:szCs w:val="24"/>
          <w:lang w:val="es-ES" w:eastAsia="en-US"/>
        </w:rPr>
        <w:t xml:space="preserve">. </w:t>
      </w:r>
    </w:p>
    <w:p w14:paraId="7DCCE541" w14:textId="77777777" w:rsidR="00187231" w:rsidRDefault="00187231" w:rsidP="00AE19E9">
      <w:pPr>
        <w:tabs>
          <w:tab w:val="left" w:pos="1985"/>
        </w:tabs>
        <w:spacing w:line="276" w:lineRule="auto"/>
        <w:rPr>
          <w:bCs/>
          <w:sz w:val="24"/>
          <w:szCs w:val="24"/>
          <w:lang w:val="es-ES" w:eastAsia="en-US"/>
        </w:rPr>
      </w:pPr>
    </w:p>
    <w:p w14:paraId="3A287F48" w14:textId="106ED6B8" w:rsidR="00302902" w:rsidRDefault="00980965" w:rsidP="00AE19E9">
      <w:pPr>
        <w:tabs>
          <w:tab w:val="left" w:pos="1985"/>
        </w:tabs>
        <w:spacing w:line="276" w:lineRule="auto"/>
        <w:rPr>
          <w:bCs/>
          <w:sz w:val="24"/>
          <w:szCs w:val="24"/>
          <w:lang w:val="es-ES" w:eastAsia="en-US"/>
        </w:rPr>
      </w:pPr>
      <w:r>
        <w:rPr>
          <w:b/>
          <w:bCs/>
          <w:sz w:val="24"/>
          <w:szCs w:val="24"/>
          <w:lang w:val="es-ES" w:eastAsia="en-US"/>
        </w:rPr>
        <w:t>1.</w:t>
      </w:r>
      <w:r w:rsidR="001A7B2D" w:rsidRPr="001A7B2D">
        <w:rPr>
          <w:b/>
          <w:bCs/>
          <w:sz w:val="24"/>
          <w:szCs w:val="24"/>
          <w:lang w:val="es-ES" w:eastAsia="en-US"/>
        </w:rPr>
        <w:t>2.2.</w:t>
      </w:r>
      <w:r w:rsidR="001A7B2D" w:rsidRPr="003537D3">
        <w:rPr>
          <w:b/>
          <w:bCs/>
          <w:sz w:val="24"/>
          <w:szCs w:val="24"/>
          <w:lang w:val="es-ES" w:eastAsia="en-US"/>
        </w:rPr>
        <w:t xml:space="preserve"> </w:t>
      </w:r>
      <w:r w:rsidR="00187231">
        <w:rPr>
          <w:bCs/>
          <w:sz w:val="24"/>
          <w:szCs w:val="24"/>
          <w:lang w:val="es-ES" w:eastAsia="en-US"/>
        </w:rPr>
        <w:t>Este plan</w:t>
      </w:r>
      <w:r w:rsidR="007A0C44">
        <w:rPr>
          <w:bCs/>
          <w:sz w:val="24"/>
          <w:szCs w:val="24"/>
          <w:lang w:val="es-ES" w:eastAsia="en-US"/>
        </w:rPr>
        <w:t xml:space="preserve"> de salvamento</w:t>
      </w:r>
      <w:r w:rsidR="00187231">
        <w:rPr>
          <w:bCs/>
          <w:sz w:val="24"/>
          <w:szCs w:val="24"/>
          <w:lang w:val="es-ES" w:eastAsia="en-US"/>
        </w:rPr>
        <w:t xml:space="preserve"> quedó consignado en el documento CONPES 3492 de 2007, que, en una de sus disposiciones, ordenó a CEDELCA qu</w:t>
      </w:r>
      <w:r w:rsidR="007A0C44">
        <w:rPr>
          <w:bCs/>
          <w:sz w:val="24"/>
          <w:szCs w:val="24"/>
          <w:lang w:val="es-ES" w:eastAsia="en-US"/>
        </w:rPr>
        <w:t xml:space="preserve">e realizara un concurso </w:t>
      </w:r>
      <w:r w:rsidR="007A0C44">
        <w:rPr>
          <w:bCs/>
          <w:sz w:val="24"/>
          <w:szCs w:val="24"/>
          <w:lang w:val="es-ES" w:eastAsia="en-US"/>
        </w:rPr>
        <w:lastRenderedPageBreak/>
        <w:t>público</w:t>
      </w:r>
      <w:r w:rsidR="00187231">
        <w:rPr>
          <w:bCs/>
          <w:sz w:val="24"/>
          <w:szCs w:val="24"/>
          <w:lang w:val="es-ES" w:eastAsia="en-US"/>
        </w:rPr>
        <w:t xml:space="preserve"> </w:t>
      </w:r>
      <w:r w:rsidR="007A0C44">
        <w:rPr>
          <w:bCs/>
          <w:sz w:val="24"/>
          <w:szCs w:val="24"/>
          <w:lang w:val="es-ES" w:eastAsia="en-US"/>
        </w:rPr>
        <w:t>para seleccionar</w:t>
      </w:r>
      <w:r w:rsidR="00187231">
        <w:rPr>
          <w:bCs/>
          <w:sz w:val="24"/>
          <w:szCs w:val="24"/>
          <w:lang w:val="es-ES" w:eastAsia="en-US"/>
        </w:rPr>
        <w:t xml:space="preserve"> un gestor especializado</w:t>
      </w:r>
      <w:r w:rsidR="007A0C44">
        <w:rPr>
          <w:bCs/>
          <w:sz w:val="24"/>
          <w:szCs w:val="24"/>
          <w:lang w:val="es-ES" w:eastAsia="en-US"/>
        </w:rPr>
        <w:t>,</w:t>
      </w:r>
      <w:r w:rsidR="00187231">
        <w:rPr>
          <w:bCs/>
          <w:sz w:val="24"/>
          <w:szCs w:val="24"/>
          <w:lang w:val="es-ES" w:eastAsia="en-US"/>
        </w:rPr>
        <w:t xml:space="preserve"> </w:t>
      </w:r>
      <w:r w:rsidR="007A0C44">
        <w:rPr>
          <w:bCs/>
          <w:sz w:val="24"/>
          <w:szCs w:val="24"/>
          <w:lang w:val="es-ES" w:eastAsia="en-US"/>
        </w:rPr>
        <w:t>encargado de</w:t>
      </w:r>
      <w:r w:rsidR="00187231">
        <w:rPr>
          <w:bCs/>
          <w:sz w:val="24"/>
          <w:szCs w:val="24"/>
          <w:lang w:val="es-ES" w:eastAsia="en-US"/>
        </w:rPr>
        <w:t xml:space="preserve"> prestar los servicios de distribución y comercialización de </w:t>
      </w:r>
      <w:r w:rsidR="0047242F">
        <w:rPr>
          <w:bCs/>
          <w:sz w:val="24"/>
          <w:szCs w:val="24"/>
          <w:lang w:val="es-ES" w:eastAsia="en-US"/>
        </w:rPr>
        <w:t xml:space="preserve">la </w:t>
      </w:r>
      <w:r w:rsidR="00187231">
        <w:rPr>
          <w:bCs/>
          <w:sz w:val="24"/>
          <w:szCs w:val="24"/>
          <w:lang w:val="es-ES" w:eastAsia="en-US"/>
        </w:rPr>
        <w:t xml:space="preserve">energía eléctrica en el departamento del Cauca. </w:t>
      </w:r>
    </w:p>
    <w:p w14:paraId="25CBC974" w14:textId="76B8CD94" w:rsidR="00187231" w:rsidRDefault="00187231" w:rsidP="00AE19E9">
      <w:pPr>
        <w:tabs>
          <w:tab w:val="left" w:pos="1985"/>
        </w:tabs>
        <w:spacing w:line="276" w:lineRule="auto"/>
        <w:rPr>
          <w:bCs/>
          <w:sz w:val="24"/>
          <w:szCs w:val="24"/>
          <w:lang w:val="es-ES" w:eastAsia="en-US"/>
        </w:rPr>
      </w:pPr>
    </w:p>
    <w:p w14:paraId="1CADF3BC" w14:textId="205C1C7C" w:rsidR="00187231" w:rsidRDefault="00980965" w:rsidP="00AE19E9">
      <w:pPr>
        <w:tabs>
          <w:tab w:val="left" w:pos="1985"/>
        </w:tabs>
        <w:spacing w:line="276" w:lineRule="auto"/>
        <w:rPr>
          <w:bCs/>
          <w:sz w:val="24"/>
          <w:szCs w:val="24"/>
          <w:lang w:val="es-ES" w:eastAsia="en-US"/>
        </w:rPr>
      </w:pPr>
      <w:r>
        <w:rPr>
          <w:b/>
          <w:bCs/>
          <w:sz w:val="24"/>
          <w:szCs w:val="24"/>
          <w:lang w:val="es-ES" w:eastAsia="en-US"/>
        </w:rPr>
        <w:t>1.</w:t>
      </w:r>
      <w:r w:rsidR="001A7B2D" w:rsidRPr="001A7B2D">
        <w:rPr>
          <w:b/>
          <w:bCs/>
          <w:sz w:val="24"/>
          <w:szCs w:val="24"/>
          <w:lang w:val="es-ES" w:eastAsia="en-US"/>
        </w:rPr>
        <w:t>2.3.</w:t>
      </w:r>
      <w:r w:rsidR="001A7B2D" w:rsidRPr="003537D3">
        <w:rPr>
          <w:b/>
          <w:bCs/>
          <w:sz w:val="24"/>
          <w:szCs w:val="24"/>
          <w:lang w:val="es-ES" w:eastAsia="en-US"/>
        </w:rPr>
        <w:t xml:space="preserve"> </w:t>
      </w:r>
      <w:r w:rsidR="00187231">
        <w:rPr>
          <w:bCs/>
          <w:sz w:val="24"/>
          <w:szCs w:val="24"/>
          <w:lang w:val="es-ES" w:eastAsia="en-US"/>
        </w:rPr>
        <w:t>En cumplimiento de lo anterior, el 7 de octubre de 2008, CEDELCA suscribió un contrato con Compañía de Electricidad del Cauca S.A. E.S.P. (en adelante,</w:t>
      </w:r>
      <w:r w:rsidR="007A0C44">
        <w:rPr>
          <w:bCs/>
          <w:sz w:val="24"/>
          <w:szCs w:val="24"/>
          <w:lang w:val="es-ES" w:eastAsia="en-US"/>
        </w:rPr>
        <w:t xml:space="preserve"> CEC), con el objeto de que esta última</w:t>
      </w:r>
      <w:r w:rsidR="00187231">
        <w:rPr>
          <w:bCs/>
          <w:sz w:val="24"/>
          <w:szCs w:val="24"/>
          <w:lang w:val="es-ES" w:eastAsia="en-US"/>
        </w:rPr>
        <w:t xml:space="preserve"> realizara la gestión administrativa, operativa, comercial y técnica</w:t>
      </w:r>
      <w:r w:rsidR="007A0C44">
        <w:rPr>
          <w:bCs/>
          <w:sz w:val="24"/>
          <w:szCs w:val="24"/>
          <w:lang w:val="es-ES" w:eastAsia="en-US"/>
        </w:rPr>
        <w:t>,</w:t>
      </w:r>
      <w:r w:rsidR="00187231">
        <w:rPr>
          <w:bCs/>
          <w:sz w:val="24"/>
          <w:szCs w:val="24"/>
          <w:lang w:val="es-ES" w:eastAsia="en-US"/>
        </w:rPr>
        <w:t xml:space="preserve"> y demás actividades necesarias para la distribución y comercialización de </w:t>
      </w:r>
      <w:r w:rsidR="0047242F">
        <w:rPr>
          <w:bCs/>
          <w:sz w:val="24"/>
          <w:szCs w:val="24"/>
          <w:lang w:val="es-ES" w:eastAsia="en-US"/>
        </w:rPr>
        <w:t xml:space="preserve">la </w:t>
      </w:r>
      <w:r w:rsidR="00187231">
        <w:rPr>
          <w:bCs/>
          <w:sz w:val="24"/>
          <w:szCs w:val="24"/>
          <w:lang w:val="es-ES" w:eastAsia="en-US"/>
        </w:rPr>
        <w:t xml:space="preserve">energía eléctrica en el departamento del Cauca. </w:t>
      </w:r>
    </w:p>
    <w:p w14:paraId="26743B22" w14:textId="77777777" w:rsidR="00187231" w:rsidRDefault="00187231" w:rsidP="00AE19E9">
      <w:pPr>
        <w:tabs>
          <w:tab w:val="left" w:pos="1985"/>
        </w:tabs>
        <w:spacing w:line="276" w:lineRule="auto"/>
        <w:rPr>
          <w:bCs/>
          <w:sz w:val="24"/>
          <w:szCs w:val="24"/>
          <w:lang w:val="es-ES" w:eastAsia="en-US"/>
        </w:rPr>
      </w:pPr>
    </w:p>
    <w:p w14:paraId="3A51AEB0" w14:textId="108FDC0F" w:rsidR="001A7B2D" w:rsidRDefault="00980965" w:rsidP="00AE19E9">
      <w:pPr>
        <w:tabs>
          <w:tab w:val="left" w:pos="1985"/>
        </w:tabs>
        <w:spacing w:line="276" w:lineRule="auto"/>
        <w:rPr>
          <w:bCs/>
          <w:sz w:val="24"/>
          <w:szCs w:val="24"/>
          <w:lang w:val="es-ES" w:eastAsia="en-US"/>
        </w:rPr>
      </w:pPr>
      <w:r>
        <w:rPr>
          <w:b/>
          <w:bCs/>
          <w:sz w:val="24"/>
          <w:szCs w:val="24"/>
          <w:lang w:val="es-ES" w:eastAsia="en-US"/>
        </w:rPr>
        <w:t>1.</w:t>
      </w:r>
      <w:r w:rsidR="001A7B2D" w:rsidRPr="001A7B2D">
        <w:rPr>
          <w:b/>
          <w:bCs/>
          <w:sz w:val="24"/>
          <w:szCs w:val="24"/>
          <w:lang w:val="es-ES" w:eastAsia="en-US"/>
        </w:rPr>
        <w:t>2.4.</w:t>
      </w:r>
      <w:r w:rsidR="001A7B2D" w:rsidRPr="003537D3">
        <w:rPr>
          <w:b/>
          <w:bCs/>
          <w:sz w:val="24"/>
          <w:szCs w:val="24"/>
          <w:lang w:val="es-ES" w:eastAsia="en-US"/>
        </w:rPr>
        <w:t xml:space="preserve"> </w:t>
      </w:r>
      <w:r w:rsidR="00187231">
        <w:rPr>
          <w:bCs/>
          <w:sz w:val="24"/>
          <w:szCs w:val="24"/>
          <w:lang w:val="es-ES" w:eastAsia="en-US"/>
        </w:rPr>
        <w:t xml:space="preserve">CEDELCA declaró la terminación unilateral del contrato celebrado con CEC, </w:t>
      </w:r>
      <w:r w:rsidR="007A0C44">
        <w:rPr>
          <w:bCs/>
          <w:sz w:val="24"/>
          <w:szCs w:val="24"/>
          <w:lang w:val="es-ES" w:eastAsia="en-US"/>
        </w:rPr>
        <w:t>con fundamento en</w:t>
      </w:r>
      <w:r w:rsidR="00187231">
        <w:rPr>
          <w:bCs/>
          <w:sz w:val="24"/>
          <w:szCs w:val="24"/>
          <w:lang w:val="es-ES" w:eastAsia="en-US"/>
        </w:rPr>
        <w:t xml:space="preserve"> incumplimientos</w:t>
      </w:r>
      <w:r w:rsidR="00A564FF">
        <w:rPr>
          <w:bCs/>
          <w:sz w:val="24"/>
          <w:szCs w:val="24"/>
          <w:lang w:val="es-ES" w:eastAsia="en-US"/>
        </w:rPr>
        <w:t xml:space="preserve"> que atribuyó a</w:t>
      </w:r>
      <w:r w:rsidR="00383560">
        <w:rPr>
          <w:bCs/>
          <w:sz w:val="24"/>
          <w:szCs w:val="24"/>
          <w:lang w:val="es-ES" w:eastAsia="en-US"/>
        </w:rPr>
        <w:t xml:space="preserve"> </w:t>
      </w:r>
      <w:r w:rsidR="0047242F">
        <w:rPr>
          <w:bCs/>
          <w:sz w:val="24"/>
          <w:szCs w:val="24"/>
          <w:lang w:val="es-ES" w:eastAsia="en-US"/>
        </w:rPr>
        <w:t>aquel</w:t>
      </w:r>
      <w:r w:rsidR="00383560">
        <w:rPr>
          <w:bCs/>
          <w:sz w:val="24"/>
          <w:szCs w:val="24"/>
          <w:lang w:val="es-ES" w:eastAsia="en-US"/>
        </w:rPr>
        <w:t xml:space="preserve"> gestor en la ejecución del negocio jurídico. </w:t>
      </w:r>
    </w:p>
    <w:p w14:paraId="4D1199F9" w14:textId="77777777" w:rsidR="001A7B2D" w:rsidRDefault="001A7B2D" w:rsidP="00AE19E9">
      <w:pPr>
        <w:tabs>
          <w:tab w:val="left" w:pos="1985"/>
        </w:tabs>
        <w:spacing w:line="276" w:lineRule="auto"/>
        <w:rPr>
          <w:bCs/>
          <w:sz w:val="24"/>
          <w:szCs w:val="24"/>
          <w:lang w:val="es-ES" w:eastAsia="en-US"/>
        </w:rPr>
      </w:pPr>
    </w:p>
    <w:p w14:paraId="709A0B9F" w14:textId="0C22CEC0" w:rsidR="001A7B2D" w:rsidRDefault="00980965" w:rsidP="00AE19E9">
      <w:pPr>
        <w:tabs>
          <w:tab w:val="left" w:pos="1985"/>
        </w:tabs>
        <w:spacing w:line="276" w:lineRule="auto"/>
        <w:rPr>
          <w:bCs/>
          <w:sz w:val="24"/>
          <w:szCs w:val="24"/>
          <w:lang w:val="es-ES" w:eastAsia="en-US"/>
        </w:rPr>
      </w:pPr>
      <w:r>
        <w:rPr>
          <w:b/>
          <w:bCs/>
          <w:sz w:val="24"/>
          <w:szCs w:val="24"/>
          <w:lang w:val="es-ES" w:eastAsia="en-US"/>
        </w:rPr>
        <w:t>1.</w:t>
      </w:r>
      <w:r w:rsidR="001A7B2D">
        <w:rPr>
          <w:b/>
          <w:bCs/>
          <w:sz w:val="24"/>
          <w:szCs w:val="24"/>
          <w:lang w:val="es-ES" w:eastAsia="en-US"/>
        </w:rPr>
        <w:t xml:space="preserve">2.5. </w:t>
      </w:r>
      <w:r w:rsidR="00383560">
        <w:rPr>
          <w:bCs/>
          <w:sz w:val="24"/>
          <w:szCs w:val="24"/>
          <w:lang w:val="es-ES" w:eastAsia="en-US"/>
        </w:rPr>
        <w:t xml:space="preserve">Dentro del </w:t>
      </w:r>
      <w:r w:rsidR="001A7B2D">
        <w:rPr>
          <w:bCs/>
          <w:sz w:val="24"/>
          <w:szCs w:val="24"/>
          <w:lang w:val="es-ES" w:eastAsia="en-US"/>
        </w:rPr>
        <w:t xml:space="preserve">referido </w:t>
      </w:r>
      <w:r w:rsidR="00383560">
        <w:rPr>
          <w:bCs/>
          <w:sz w:val="24"/>
          <w:szCs w:val="24"/>
          <w:lang w:val="es-ES" w:eastAsia="en-US"/>
        </w:rPr>
        <w:t>contrato de gestión se generó una cartera que corresponde a la energía que comercializó CEC en determinados ciclos de suministros y que fue por ella facturada</w:t>
      </w:r>
      <w:r w:rsidR="001A7B2D">
        <w:rPr>
          <w:bCs/>
          <w:sz w:val="24"/>
          <w:szCs w:val="24"/>
          <w:lang w:val="es-ES" w:eastAsia="en-US"/>
        </w:rPr>
        <w:t xml:space="preserve">. </w:t>
      </w:r>
      <w:r w:rsidR="00FD07EA">
        <w:rPr>
          <w:bCs/>
          <w:sz w:val="24"/>
          <w:szCs w:val="24"/>
          <w:lang w:val="es-ES" w:eastAsia="en-US"/>
        </w:rPr>
        <w:t xml:space="preserve">Lo anterior dio origen a un proceso arbitral entre </w:t>
      </w:r>
      <w:r w:rsidR="00154A85">
        <w:rPr>
          <w:bCs/>
          <w:sz w:val="24"/>
          <w:szCs w:val="24"/>
          <w:lang w:val="es-ES" w:eastAsia="en-US"/>
        </w:rPr>
        <w:t>esas</w:t>
      </w:r>
      <w:r w:rsidR="00FD07EA">
        <w:rPr>
          <w:bCs/>
          <w:sz w:val="24"/>
          <w:szCs w:val="24"/>
          <w:lang w:val="es-ES" w:eastAsia="en-US"/>
        </w:rPr>
        <w:t xml:space="preserve"> partes, que</w:t>
      </w:r>
      <w:r w:rsidR="003C785A">
        <w:rPr>
          <w:bCs/>
          <w:sz w:val="24"/>
          <w:szCs w:val="24"/>
          <w:lang w:val="es-ES" w:eastAsia="en-US"/>
        </w:rPr>
        <w:t xml:space="preserve"> concluyó con la decisión contenida en un laudo que definió que </w:t>
      </w:r>
      <w:r w:rsidR="0047242F">
        <w:rPr>
          <w:bCs/>
          <w:sz w:val="24"/>
          <w:szCs w:val="24"/>
          <w:lang w:val="es-ES" w:eastAsia="en-US"/>
        </w:rPr>
        <w:t>esa</w:t>
      </w:r>
      <w:r w:rsidR="003C785A">
        <w:rPr>
          <w:bCs/>
          <w:sz w:val="24"/>
          <w:szCs w:val="24"/>
          <w:lang w:val="es-ES" w:eastAsia="en-US"/>
        </w:rPr>
        <w:t xml:space="preserve"> cartera pasó a ser de propiedad de CEDELCA desde el momento en que hubo la terminación del vínculo contractual, y que, en consecuencia, CEC no tenía derecho a ningún reconocimiento sobre aquella.</w:t>
      </w:r>
    </w:p>
    <w:p w14:paraId="473D71F1" w14:textId="77777777" w:rsidR="00302902" w:rsidRDefault="00302902" w:rsidP="00AE19E9">
      <w:pPr>
        <w:tabs>
          <w:tab w:val="left" w:pos="1985"/>
        </w:tabs>
        <w:spacing w:line="276" w:lineRule="auto"/>
        <w:rPr>
          <w:b/>
          <w:bCs/>
          <w:sz w:val="24"/>
          <w:szCs w:val="24"/>
          <w:lang w:val="es-ES" w:eastAsia="en-US"/>
        </w:rPr>
      </w:pPr>
    </w:p>
    <w:p w14:paraId="4691429A" w14:textId="3EA6DA54" w:rsidR="008744E2" w:rsidRPr="003537D3" w:rsidRDefault="00980965" w:rsidP="00AE19E9">
      <w:pPr>
        <w:tabs>
          <w:tab w:val="left" w:pos="1985"/>
        </w:tabs>
        <w:spacing w:line="276" w:lineRule="auto"/>
        <w:rPr>
          <w:bCs/>
          <w:sz w:val="24"/>
          <w:szCs w:val="24"/>
          <w:lang w:val="es-ES" w:eastAsia="en-US"/>
        </w:rPr>
      </w:pPr>
      <w:r>
        <w:rPr>
          <w:b/>
          <w:bCs/>
          <w:sz w:val="24"/>
          <w:szCs w:val="24"/>
          <w:lang w:val="es-ES" w:eastAsia="en-US"/>
        </w:rPr>
        <w:t>1.</w:t>
      </w:r>
      <w:r w:rsidR="003C785A">
        <w:rPr>
          <w:b/>
          <w:bCs/>
          <w:sz w:val="24"/>
          <w:szCs w:val="24"/>
          <w:lang w:val="es-ES" w:eastAsia="en-US"/>
        </w:rPr>
        <w:t>2.6</w:t>
      </w:r>
      <w:r w:rsidR="001A7B2D" w:rsidRPr="003C785A">
        <w:rPr>
          <w:b/>
          <w:bCs/>
          <w:sz w:val="24"/>
          <w:szCs w:val="24"/>
          <w:lang w:val="es-ES" w:eastAsia="en-US"/>
        </w:rPr>
        <w:t>.</w:t>
      </w:r>
      <w:r w:rsidR="001A7B2D" w:rsidRPr="003537D3">
        <w:rPr>
          <w:b/>
          <w:bCs/>
          <w:sz w:val="24"/>
          <w:szCs w:val="24"/>
          <w:lang w:val="es-ES" w:eastAsia="en-US"/>
        </w:rPr>
        <w:t xml:space="preserve"> </w:t>
      </w:r>
      <w:r w:rsidR="0047242F">
        <w:rPr>
          <w:bCs/>
          <w:sz w:val="24"/>
          <w:szCs w:val="24"/>
          <w:lang w:val="es-ES" w:eastAsia="en-US"/>
        </w:rPr>
        <w:t>Luego</w:t>
      </w:r>
      <w:r w:rsidR="00383560" w:rsidRPr="00383560">
        <w:rPr>
          <w:bCs/>
          <w:sz w:val="24"/>
          <w:szCs w:val="24"/>
          <w:lang w:val="es-ES" w:eastAsia="en-US"/>
        </w:rPr>
        <w:t>,</w:t>
      </w:r>
      <w:r w:rsidR="00383560">
        <w:rPr>
          <w:bCs/>
          <w:sz w:val="24"/>
          <w:szCs w:val="24"/>
          <w:lang w:val="es-ES" w:eastAsia="en-US"/>
        </w:rPr>
        <w:t xml:space="preserve"> con el propósito de mantener el cumplimiento de los lineamientos del CONPES 3492 de 2007 y de las políticas gubernamentales derivadas de la intervención de la correspondiente superintendencia, </w:t>
      </w:r>
      <w:r w:rsidR="006C2743" w:rsidRPr="003537D3">
        <w:rPr>
          <w:bCs/>
          <w:sz w:val="24"/>
          <w:szCs w:val="24"/>
          <w:lang w:val="es-ES" w:eastAsia="en-US"/>
        </w:rPr>
        <w:t>CEDELCA</w:t>
      </w:r>
      <w:r w:rsidR="008744E2" w:rsidRPr="003537D3">
        <w:rPr>
          <w:bCs/>
          <w:sz w:val="24"/>
          <w:szCs w:val="24"/>
          <w:lang w:val="es-ES" w:eastAsia="en-US"/>
        </w:rPr>
        <w:t>, como empresa contratante, y CEO, actuando como “El Gestor”, suscribieron contrato de gestión el 28 de junio de 2010</w:t>
      </w:r>
      <w:r w:rsidR="00BF2AE3">
        <w:rPr>
          <w:rStyle w:val="Refdenotaalpie"/>
          <w:bCs/>
          <w:sz w:val="24"/>
          <w:szCs w:val="24"/>
          <w:lang w:val="es-ES" w:eastAsia="en-US"/>
        </w:rPr>
        <w:footnoteReference w:id="3"/>
      </w:r>
      <w:r w:rsidR="008744E2" w:rsidRPr="003537D3">
        <w:rPr>
          <w:bCs/>
          <w:sz w:val="24"/>
          <w:szCs w:val="24"/>
          <w:lang w:val="es-ES" w:eastAsia="en-US"/>
        </w:rPr>
        <w:t>. El negocio jurídico tenía el siguiente objeto contractual:</w:t>
      </w:r>
    </w:p>
    <w:p w14:paraId="114B92F8" w14:textId="2445DFD8" w:rsidR="006C2743" w:rsidRPr="003537D3" w:rsidRDefault="006C2743" w:rsidP="00AE19E9">
      <w:pPr>
        <w:tabs>
          <w:tab w:val="left" w:pos="1985"/>
        </w:tabs>
        <w:spacing w:line="276" w:lineRule="auto"/>
        <w:rPr>
          <w:bCs/>
          <w:sz w:val="24"/>
          <w:szCs w:val="24"/>
          <w:lang w:val="es-ES" w:eastAsia="en-US"/>
        </w:rPr>
      </w:pPr>
    </w:p>
    <w:p w14:paraId="76BE38A2" w14:textId="28D77B41" w:rsidR="006C2743" w:rsidRPr="003537D3" w:rsidRDefault="006C2743" w:rsidP="00AE19E9">
      <w:pPr>
        <w:tabs>
          <w:tab w:val="left" w:pos="1985"/>
        </w:tabs>
        <w:spacing w:line="276" w:lineRule="auto"/>
        <w:ind w:left="708"/>
        <w:rPr>
          <w:bCs/>
          <w:sz w:val="20"/>
          <w:szCs w:val="24"/>
          <w:lang w:val="es-ES" w:eastAsia="en-US"/>
        </w:rPr>
      </w:pPr>
      <w:r w:rsidRPr="003537D3">
        <w:rPr>
          <w:bCs/>
          <w:sz w:val="20"/>
          <w:szCs w:val="24"/>
          <w:lang w:val="es-ES" w:eastAsia="en-US"/>
        </w:rPr>
        <w:t>“</w:t>
      </w:r>
      <w:r w:rsidR="008744E2" w:rsidRPr="003537D3">
        <w:rPr>
          <w:bCs/>
          <w:sz w:val="20"/>
          <w:szCs w:val="24"/>
          <w:lang w:val="es-ES" w:eastAsia="en-US"/>
        </w:rPr>
        <w:t>El objeto del presente Contrato consiste en que EL GESTOR por su cuenta y riesgo asuma la gestión administrativa, operativa, técnica y comercial, la inversión, ampliación de coberturas, rehabilitación y mantenimiento preventivo y correctivo de la infraestructura y demás actividades necesarias para la distribución y comercialización de energía eléctrica en el Departamento del Cauca”</w:t>
      </w:r>
      <w:r w:rsidR="00BF2AE3">
        <w:rPr>
          <w:rStyle w:val="Refdenotaalpie"/>
          <w:bCs/>
          <w:sz w:val="20"/>
          <w:szCs w:val="24"/>
          <w:lang w:val="es-ES" w:eastAsia="en-US"/>
        </w:rPr>
        <w:footnoteReference w:id="4"/>
      </w:r>
      <w:r w:rsidR="008744E2" w:rsidRPr="003537D3">
        <w:rPr>
          <w:bCs/>
          <w:sz w:val="20"/>
          <w:szCs w:val="24"/>
          <w:lang w:val="es-ES" w:eastAsia="en-US"/>
        </w:rPr>
        <w:t>.</w:t>
      </w:r>
    </w:p>
    <w:p w14:paraId="0C19771E" w14:textId="0DAB3E43" w:rsidR="006C2743" w:rsidRPr="003537D3" w:rsidRDefault="006C2743" w:rsidP="00AE19E9">
      <w:pPr>
        <w:tabs>
          <w:tab w:val="left" w:pos="1985"/>
        </w:tabs>
        <w:spacing w:line="276" w:lineRule="auto"/>
        <w:rPr>
          <w:b/>
          <w:bCs/>
          <w:sz w:val="24"/>
          <w:szCs w:val="24"/>
          <w:lang w:val="es-ES" w:eastAsia="en-US"/>
        </w:rPr>
      </w:pPr>
    </w:p>
    <w:p w14:paraId="7D804CA7" w14:textId="295518B6" w:rsidR="008744E2" w:rsidRDefault="008744E2" w:rsidP="00AE19E9">
      <w:pPr>
        <w:tabs>
          <w:tab w:val="left" w:pos="1985"/>
        </w:tabs>
        <w:spacing w:line="276" w:lineRule="auto"/>
        <w:rPr>
          <w:bCs/>
          <w:sz w:val="24"/>
          <w:szCs w:val="24"/>
          <w:lang w:val="es-ES" w:eastAsia="en-US"/>
        </w:rPr>
      </w:pPr>
      <w:r w:rsidRPr="003537D3">
        <w:rPr>
          <w:bCs/>
          <w:sz w:val="24"/>
          <w:szCs w:val="24"/>
          <w:lang w:val="es-ES" w:eastAsia="en-US"/>
        </w:rPr>
        <w:t xml:space="preserve">La cláusula 23 del contrato estipulaba que cualquier controversia o diferencia que </w:t>
      </w:r>
      <w:r w:rsidR="00EA5161" w:rsidRPr="003537D3">
        <w:rPr>
          <w:bCs/>
          <w:sz w:val="24"/>
          <w:szCs w:val="24"/>
          <w:lang w:val="es-ES" w:eastAsia="en-US"/>
        </w:rPr>
        <w:t>surgiera</w:t>
      </w:r>
      <w:r w:rsidRPr="003537D3">
        <w:rPr>
          <w:bCs/>
          <w:sz w:val="24"/>
          <w:szCs w:val="24"/>
          <w:lang w:val="es-ES" w:eastAsia="en-US"/>
        </w:rPr>
        <w:t xml:space="preserve"> entre las partes, con ocasión de la ejecución</w:t>
      </w:r>
      <w:r w:rsidR="00753A8E">
        <w:rPr>
          <w:bCs/>
          <w:sz w:val="24"/>
          <w:szCs w:val="24"/>
          <w:lang w:val="es-ES" w:eastAsia="en-US"/>
        </w:rPr>
        <w:t xml:space="preserve"> del </w:t>
      </w:r>
      <w:r w:rsidR="00EA5161" w:rsidRPr="003537D3">
        <w:rPr>
          <w:bCs/>
          <w:sz w:val="24"/>
          <w:szCs w:val="24"/>
          <w:lang w:val="es-ES" w:eastAsia="en-US"/>
        </w:rPr>
        <w:t>vínculo</w:t>
      </w:r>
      <w:r w:rsidRPr="003537D3">
        <w:rPr>
          <w:bCs/>
          <w:sz w:val="24"/>
          <w:szCs w:val="24"/>
          <w:lang w:val="es-ES" w:eastAsia="en-US"/>
        </w:rPr>
        <w:t xml:space="preserve"> contractual</w:t>
      </w:r>
      <w:r w:rsidR="00EA5161" w:rsidRPr="003537D3">
        <w:rPr>
          <w:bCs/>
          <w:sz w:val="24"/>
          <w:szCs w:val="24"/>
          <w:lang w:val="es-ES" w:eastAsia="en-US"/>
        </w:rPr>
        <w:t xml:space="preserve">, y que no </w:t>
      </w:r>
      <w:r w:rsidR="007A0C44">
        <w:rPr>
          <w:bCs/>
          <w:sz w:val="24"/>
          <w:szCs w:val="24"/>
          <w:lang w:val="es-ES" w:eastAsia="en-US"/>
        </w:rPr>
        <w:t>pudiera</w:t>
      </w:r>
      <w:r w:rsidR="00EA5161" w:rsidRPr="003537D3">
        <w:rPr>
          <w:bCs/>
          <w:sz w:val="24"/>
          <w:szCs w:val="24"/>
          <w:lang w:val="es-ES" w:eastAsia="en-US"/>
        </w:rPr>
        <w:t xml:space="preserve"> resolverse de</w:t>
      </w:r>
      <w:r w:rsidR="007A0C44">
        <w:rPr>
          <w:bCs/>
          <w:sz w:val="24"/>
          <w:szCs w:val="24"/>
          <w:lang w:val="es-ES" w:eastAsia="en-US"/>
        </w:rPr>
        <w:t xml:space="preserve"> manera directa y amigable, sería</w:t>
      </w:r>
      <w:r w:rsidR="00EA5161" w:rsidRPr="003537D3">
        <w:rPr>
          <w:bCs/>
          <w:sz w:val="24"/>
          <w:szCs w:val="24"/>
          <w:lang w:val="es-ES" w:eastAsia="en-US"/>
        </w:rPr>
        <w:t xml:space="preserve"> sometida a discusión ante un tribunal de arbitramento</w:t>
      </w:r>
      <w:r w:rsidR="00BF2AE3">
        <w:rPr>
          <w:rStyle w:val="Refdenotaalpie"/>
          <w:bCs/>
          <w:sz w:val="24"/>
          <w:szCs w:val="24"/>
          <w:lang w:val="es-ES" w:eastAsia="en-US"/>
        </w:rPr>
        <w:footnoteReference w:id="5"/>
      </w:r>
      <w:r w:rsidR="00EA5161" w:rsidRPr="003537D3">
        <w:rPr>
          <w:bCs/>
          <w:sz w:val="24"/>
          <w:szCs w:val="24"/>
          <w:lang w:val="es-ES" w:eastAsia="en-US"/>
        </w:rPr>
        <w:t>.</w:t>
      </w:r>
    </w:p>
    <w:p w14:paraId="4D7385ED" w14:textId="7387944B" w:rsidR="00383560" w:rsidRDefault="00383560" w:rsidP="00AE19E9">
      <w:pPr>
        <w:tabs>
          <w:tab w:val="left" w:pos="1985"/>
        </w:tabs>
        <w:spacing w:line="276" w:lineRule="auto"/>
        <w:rPr>
          <w:bCs/>
          <w:sz w:val="24"/>
          <w:szCs w:val="24"/>
          <w:lang w:val="es-ES" w:eastAsia="en-US"/>
        </w:rPr>
      </w:pPr>
    </w:p>
    <w:p w14:paraId="3C3F697B" w14:textId="4966EFCD" w:rsidR="001A7B2D" w:rsidRDefault="00383560" w:rsidP="00AE19E9">
      <w:pPr>
        <w:tabs>
          <w:tab w:val="left" w:pos="1985"/>
        </w:tabs>
        <w:spacing w:line="276" w:lineRule="auto"/>
        <w:rPr>
          <w:bCs/>
          <w:sz w:val="24"/>
          <w:szCs w:val="24"/>
          <w:lang w:val="es-ES" w:eastAsia="en-US"/>
        </w:rPr>
      </w:pPr>
      <w:r>
        <w:rPr>
          <w:bCs/>
          <w:sz w:val="24"/>
          <w:szCs w:val="24"/>
          <w:lang w:val="es-ES" w:eastAsia="en-US"/>
        </w:rPr>
        <w:t xml:space="preserve">CEDELCA entregó a CEO </w:t>
      </w:r>
      <w:r w:rsidR="001A7B2D">
        <w:rPr>
          <w:bCs/>
          <w:sz w:val="24"/>
          <w:szCs w:val="24"/>
          <w:lang w:val="es-ES" w:eastAsia="en-US"/>
        </w:rPr>
        <w:t>dos carteras para que las gestionara: (i) la que estaba en discusión con CEC en el trámite arbitral in</w:t>
      </w:r>
      <w:r w:rsidR="00BF2AE3">
        <w:rPr>
          <w:bCs/>
          <w:sz w:val="24"/>
          <w:szCs w:val="24"/>
          <w:lang w:val="es-ES" w:eastAsia="en-US"/>
        </w:rPr>
        <w:t>i</w:t>
      </w:r>
      <w:r w:rsidR="001A7B2D">
        <w:rPr>
          <w:bCs/>
          <w:sz w:val="24"/>
          <w:szCs w:val="24"/>
          <w:lang w:val="es-ES" w:eastAsia="en-US"/>
        </w:rPr>
        <w:t xml:space="preserve">cial; y (ii) la que se denominaba “Cartera de Propiedad de Cedelca”, que correspondía a servicios prestados y facturados por la </w:t>
      </w:r>
      <w:r w:rsidR="001A7B2D">
        <w:rPr>
          <w:bCs/>
          <w:sz w:val="24"/>
          <w:szCs w:val="24"/>
          <w:lang w:val="es-ES" w:eastAsia="en-US"/>
        </w:rPr>
        <w:lastRenderedPageBreak/>
        <w:t>convocante, pero que no habían sido alcanzados a recaudar hasta el inicio del nuevo contrato de gestión celebrado con el convocado.</w:t>
      </w:r>
    </w:p>
    <w:p w14:paraId="6B48F240" w14:textId="10F316BB" w:rsidR="006C2743" w:rsidRPr="003537D3" w:rsidRDefault="006C2743" w:rsidP="00AE19E9">
      <w:pPr>
        <w:tabs>
          <w:tab w:val="left" w:pos="1985"/>
        </w:tabs>
        <w:spacing w:line="276" w:lineRule="auto"/>
        <w:rPr>
          <w:b/>
          <w:bCs/>
          <w:sz w:val="24"/>
          <w:szCs w:val="24"/>
          <w:lang w:val="es-ES" w:eastAsia="en-US"/>
        </w:rPr>
      </w:pPr>
    </w:p>
    <w:p w14:paraId="3B02F154" w14:textId="21F664FD" w:rsidR="004546BF" w:rsidRPr="003537D3" w:rsidRDefault="00980965" w:rsidP="00AE19E9">
      <w:pPr>
        <w:tabs>
          <w:tab w:val="left" w:pos="1985"/>
        </w:tabs>
        <w:spacing w:line="276" w:lineRule="auto"/>
        <w:rPr>
          <w:color w:val="000000"/>
          <w:sz w:val="24"/>
          <w:szCs w:val="24"/>
        </w:rPr>
      </w:pPr>
      <w:r>
        <w:rPr>
          <w:b/>
          <w:bCs/>
          <w:sz w:val="24"/>
          <w:szCs w:val="24"/>
          <w:lang w:val="es-ES" w:eastAsia="en-US"/>
        </w:rPr>
        <w:t>1.</w:t>
      </w:r>
      <w:r w:rsidR="003C785A">
        <w:rPr>
          <w:b/>
          <w:bCs/>
          <w:sz w:val="24"/>
          <w:szCs w:val="24"/>
          <w:lang w:val="es-ES" w:eastAsia="en-US"/>
        </w:rPr>
        <w:t>2.7</w:t>
      </w:r>
      <w:r w:rsidR="003920B5" w:rsidRPr="003537D3">
        <w:rPr>
          <w:b/>
          <w:bCs/>
          <w:sz w:val="24"/>
          <w:szCs w:val="24"/>
          <w:lang w:val="es-ES" w:eastAsia="en-US"/>
        </w:rPr>
        <w:t xml:space="preserve">. </w:t>
      </w:r>
      <w:r w:rsidR="004546BF" w:rsidRPr="003537D3">
        <w:rPr>
          <w:bCs/>
          <w:sz w:val="24"/>
          <w:szCs w:val="24"/>
          <w:lang w:val="es-ES" w:eastAsia="en-US"/>
        </w:rPr>
        <w:t>CEDELCA</w:t>
      </w:r>
      <w:r w:rsidR="00953EB6" w:rsidRPr="003537D3">
        <w:rPr>
          <w:bCs/>
          <w:sz w:val="24"/>
          <w:szCs w:val="24"/>
          <w:lang w:val="es-ES" w:eastAsia="en-US"/>
        </w:rPr>
        <w:t>, el 5 de abril de 2019,</w:t>
      </w:r>
      <w:r w:rsidR="004546BF" w:rsidRPr="003537D3">
        <w:rPr>
          <w:b/>
          <w:bCs/>
          <w:sz w:val="24"/>
          <w:szCs w:val="24"/>
          <w:lang w:val="es-ES" w:eastAsia="en-US"/>
        </w:rPr>
        <w:t xml:space="preserve"> </w:t>
      </w:r>
      <w:r w:rsidR="004546BF" w:rsidRPr="003537D3">
        <w:rPr>
          <w:color w:val="000000"/>
          <w:sz w:val="24"/>
          <w:szCs w:val="24"/>
        </w:rPr>
        <w:t xml:space="preserve">presentó solicitud de convocatoria a conformación de Tribunal de Arbitramento y demanda arbitral en la Cámara de Comercio de Bogotá, en contra de CEO, con la pretensión, entre otras, </w:t>
      </w:r>
      <w:r w:rsidR="006C2743" w:rsidRPr="003537D3">
        <w:rPr>
          <w:color w:val="000000"/>
          <w:sz w:val="24"/>
          <w:szCs w:val="24"/>
        </w:rPr>
        <w:t>de que</w:t>
      </w:r>
      <w:r w:rsidR="007A0C44">
        <w:rPr>
          <w:color w:val="000000"/>
          <w:sz w:val="24"/>
          <w:szCs w:val="24"/>
        </w:rPr>
        <w:t xml:space="preserve"> se</w:t>
      </w:r>
      <w:r w:rsidR="006C2743" w:rsidRPr="003537D3">
        <w:rPr>
          <w:color w:val="000000"/>
          <w:sz w:val="24"/>
          <w:szCs w:val="24"/>
        </w:rPr>
        <w:t xml:space="preserve"> le pagaran una</w:t>
      </w:r>
      <w:r w:rsidR="00EA5161" w:rsidRPr="003537D3">
        <w:rPr>
          <w:color w:val="000000"/>
          <w:sz w:val="24"/>
          <w:szCs w:val="24"/>
        </w:rPr>
        <w:t>s</w:t>
      </w:r>
      <w:r w:rsidR="006C2743" w:rsidRPr="003537D3">
        <w:rPr>
          <w:color w:val="000000"/>
          <w:sz w:val="24"/>
          <w:szCs w:val="24"/>
        </w:rPr>
        <w:t xml:space="preserve"> sumas de dineros</w:t>
      </w:r>
      <w:r w:rsidR="001A7B2D">
        <w:rPr>
          <w:color w:val="000000"/>
          <w:sz w:val="24"/>
          <w:szCs w:val="24"/>
        </w:rPr>
        <w:t xml:space="preserve">, en su criterio adeudadas, </w:t>
      </w:r>
      <w:r w:rsidR="006C2743" w:rsidRPr="003537D3">
        <w:rPr>
          <w:color w:val="000000"/>
          <w:sz w:val="24"/>
          <w:szCs w:val="24"/>
        </w:rPr>
        <w:t>por concepto de las comisiones cobradas sobre las dos cart</w:t>
      </w:r>
      <w:r w:rsidR="001A7B2D">
        <w:rPr>
          <w:color w:val="000000"/>
          <w:sz w:val="24"/>
          <w:szCs w:val="24"/>
        </w:rPr>
        <w:t>eras</w:t>
      </w:r>
      <w:r w:rsidR="00FD07EA">
        <w:rPr>
          <w:color w:val="000000"/>
          <w:sz w:val="24"/>
          <w:szCs w:val="24"/>
        </w:rPr>
        <w:t xml:space="preserve"> ya</w:t>
      </w:r>
      <w:r w:rsidR="001A7B2D">
        <w:rPr>
          <w:color w:val="000000"/>
          <w:sz w:val="24"/>
          <w:szCs w:val="24"/>
        </w:rPr>
        <w:t xml:space="preserve"> relacionadas</w:t>
      </w:r>
      <w:r w:rsidR="00BF2AE3">
        <w:rPr>
          <w:rStyle w:val="Refdenotaalpie"/>
          <w:color w:val="000000"/>
          <w:sz w:val="24"/>
          <w:szCs w:val="24"/>
        </w:rPr>
        <w:footnoteReference w:id="6"/>
      </w:r>
      <w:r w:rsidR="001A7B2D">
        <w:rPr>
          <w:color w:val="000000"/>
          <w:sz w:val="24"/>
          <w:szCs w:val="24"/>
        </w:rPr>
        <w:t>.</w:t>
      </w:r>
    </w:p>
    <w:p w14:paraId="3C9A313C" w14:textId="07117351" w:rsidR="00953EB6" w:rsidRPr="003537D3" w:rsidRDefault="00953EB6" w:rsidP="00AE19E9">
      <w:pPr>
        <w:tabs>
          <w:tab w:val="left" w:pos="1985"/>
        </w:tabs>
        <w:spacing w:line="276" w:lineRule="auto"/>
        <w:rPr>
          <w:color w:val="000000"/>
          <w:sz w:val="24"/>
          <w:szCs w:val="24"/>
        </w:rPr>
      </w:pPr>
    </w:p>
    <w:p w14:paraId="0995DD15" w14:textId="27B09572" w:rsidR="00953EB6" w:rsidRPr="003537D3" w:rsidRDefault="00980965" w:rsidP="00AE19E9">
      <w:pPr>
        <w:tabs>
          <w:tab w:val="left" w:pos="1985"/>
        </w:tabs>
        <w:spacing w:line="276" w:lineRule="auto"/>
        <w:rPr>
          <w:bCs/>
          <w:sz w:val="24"/>
          <w:szCs w:val="24"/>
          <w:lang w:val="es-ES" w:eastAsia="en-US"/>
        </w:rPr>
      </w:pPr>
      <w:r>
        <w:rPr>
          <w:b/>
          <w:bCs/>
          <w:sz w:val="24"/>
          <w:szCs w:val="24"/>
          <w:lang w:val="es-ES" w:eastAsia="en-US"/>
        </w:rPr>
        <w:t>1.</w:t>
      </w:r>
      <w:r w:rsidR="003C785A">
        <w:rPr>
          <w:b/>
          <w:bCs/>
          <w:sz w:val="24"/>
          <w:szCs w:val="24"/>
          <w:lang w:val="es-ES" w:eastAsia="en-US"/>
        </w:rPr>
        <w:t>2.8</w:t>
      </w:r>
      <w:r w:rsidR="00953EB6" w:rsidRPr="003537D3">
        <w:rPr>
          <w:b/>
          <w:bCs/>
          <w:sz w:val="24"/>
          <w:szCs w:val="24"/>
          <w:lang w:val="es-ES" w:eastAsia="en-US"/>
        </w:rPr>
        <w:t xml:space="preserve">. </w:t>
      </w:r>
      <w:r w:rsidR="00953EB6" w:rsidRPr="003537D3">
        <w:rPr>
          <w:bCs/>
          <w:sz w:val="24"/>
          <w:szCs w:val="24"/>
          <w:lang w:val="es-ES" w:eastAsia="en-US"/>
        </w:rPr>
        <w:t xml:space="preserve">El Centro de Arbitraje y Conciliación </w:t>
      </w:r>
      <w:r w:rsidR="00753A8E">
        <w:rPr>
          <w:bCs/>
          <w:sz w:val="24"/>
          <w:szCs w:val="24"/>
          <w:lang w:val="es-ES" w:eastAsia="en-US"/>
        </w:rPr>
        <w:t>de la Cámara de Comercio de Bogotá</w:t>
      </w:r>
      <w:r w:rsidR="00953EB6" w:rsidRPr="003537D3">
        <w:rPr>
          <w:bCs/>
          <w:sz w:val="24"/>
          <w:szCs w:val="24"/>
          <w:lang w:val="es-ES" w:eastAsia="en-US"/>
        </w:rPr>
        <w:t xml:space="preserve">, en cumplimiento de la mencionada cláusula compromisoria, designó como árbitros a </w:t>
      </w:r>
      <w:r w:rsidR="00953EB6" w:rsidRPr="003537D3">
        <w:rPr>
          <w:bCs/>
          <w:sz w:val="24"/>
          <w:szCs w:val="24"/>
        </w:rPr>
        <w:t>Myriam Guerrero de Escobar, Sergio Muñoz Laverde y</w:t>
      </w:r>
      <w:r w:rsidR="00753A8E">
        <w:rPr>
          <w:bCs/>
          <w:sz w:val="24"/>
          <w:szCs w:val="24"/>
        </w:rPr>
        <w:t xml:space="preserve"> a</w:t>
      </w:r>
      <w:r w:rsidR="00953EB6" w:rsidRPr="003537D3">
        <w:rPr>
          <w:bCs/>
          <w:sz w:val="24"/>
          <w:szCs w:val="24"/>
        </w:rPr>
        <w:t xml:space="preserve"> Antonio Pabón Santander, quienes admitieron la demanda presentada por CEO, </w:t>
      </w:r>
      <w:r w:rsidR="00753A8E">
        <w:rPr>
          <w:bCs/>
          <w:sz w:val="24"/>
          <w:szCs w:val="24"/>
        </w:rPr>
        <w:t>con el</w:t>
      </w:r>
      <w:r w:rsidR="00953EB6" w:rsidRPr="003537D3">
        <w:rPr>
          <w:bCs/>
          <w:sz w:val="24"/>
          <w:szCs w:val="24"/>
        </w:rPr>
        <w:t xml:space="preserve"> auto No. 2 del 6 de abril de 2020</w:t>
      </w:r>
      <w:r w:rsidR="006E2518">
        <w:rPr>
          <w:rStyle w:val="Refdenotaalpie"/>
          <w:bCs/>
          <w:sz w:val="24"/>
          <w:szCs w:val="24"/>
        </w:rPr>
        <w:footnoteReference w:id="7"/>
      </w:r>
      <w:r w:rsidR="00953EB6" w:rsidRPr="003537D3">
        <w:rPr>
          <w:bCs/>
          <w:sz w:val="24"/>
          <w:szCs w:val="24"/>
        </w:rPr>
        <w:t>.</w:t>
      </w:r>
    </w:p>
    <w:p w14:paraId="4381A7F1" w14:textId="77777777" w:rsidR="00953EB6" w:rsidRPr="003537D3" w:rsidRDefault="00953EB6" w:rsidP="00AE19E9">
      <w:pPr>
        <w:tabs>
          <w:tab w:val="left" w:pos="1985"/>
        </w:tabs>
        <w:spacing w:line="276" w:lineRule="auto"/>
        <w:rPr>
          <w:b/>
          <w:bCs/>
          <w:sz w:val="24"/>
          <w:szCs w:val="24"/>
          <w:lang w:val="es-ES" w:eastAsia="en-US"/>
        </w:rPr>
      </w:pPr>
    </w:p>
    <w:p w14:paraId="3188C823" w14:textId="1D9B33D5" w:rsidR="00195638" w:rsidRPr="002E6B63" w:rsidRDefault="00980965" w:rsidP="00AE19E9">
      <w:pPr>
        <w:tabs>
          <w:tab w:val="left" w:pos="1985"/>
        </w:tabs>
        <w:spacing w:line="276" w:lineRule="auto"/>
        <w:rPr>
          <w:bCs/>
          <w:sz w:val="24"/>
          <w:szCs w:val="24"/>
          <w:lang w:val="es-ES" w:eastAsia="en-US"/>
        </w:rPr>
      </w:pPr>
      <w:r>
        <w:rPr>
          <w:b/>
          <w:bCs/>
          <w:sz w:val="24"/>
          <w:szCs w:val="24"/>
          <w:lang w:val="es-ES" w:eastAsia="en-US"/>
        </w:rPr>
        <w:t>1.</w:t>
      </w:r>
      <w:r w:rsidR="003C785A">
        <w:rPr>
          <w:b/>
          <w:bCs/>
          <w:sz w:val="24"/>
          <w:szCs w:val="24"/>
          <w:lang w:val="es-ES" w:eastAsia="en-US"/>
        </w:rPr>
        <w:t>2.9</w:t>
      </w:r>
      <w:r w:rsidR="00953EB6" w:rsidRPr="003537D3">
        <w:rPr>
          <w:b/>
          <w:bCs/>
          <w:sz w:val="24"/>
          <w:szCs w:val="24"/>
          <w:lang w:val="es-ES" w:eastAsia="en-US"/>
        </w:rPr>
        <w:t xml:space="preserve">. </w:t>
      </w:r>
      <w:r w:rsidR="00195638" w:rsidRPr="003537D3">
        <w:rPr>
          <w:bCs/>
          <w:sz w:val="24"/>
          <w:szCs w:val="24"/>
          <w:lang w:val="es-ES" w:eastAsia="en-US"/>
        </w:rPr>
        <w:t xml:space="preserve">CEDELCA, en ejercicio del derecho de petición, </w:t>
      </w:r>
      <w:r w:rsidR="00753A8E">
        <w:rPr>
          <w:bCs/>
          <w:sz w:val="24"/>
          <w:szCs w:val="24"/>
          <w:lang w:val="es-ES" w:eastAsia="en-US"/>
        </w:rPr>
        <w:t xml:space="preserve">presentó </w:t>
      </w:r>
      <w:r w:rsidR="002E6B63">
        <w:rPr>
          <w:bCs/>
          <w:sz w:val="24"/>
          <w:szCs w:val="24"/>
          <w:lang w:val="es-ES" w:eastAsia="en-US"/>
        </w:rPr>
        <w:t xml:space="preserve">las siguientes solicitudes a </w:t>
      </w:r>
      <w:r w:rsidR="00753A8E">
        <w:rPr>
          <w:bCs/>
          <w:sz w:val="24"/>
          <w:szCs w:val="24"/>
          <w:lang w:eastAsia="en-US"/>
        </w:rPr>
        <w:t>CEO</w:t>
      </w:r>
      <w:r w:rsidR="002E6B63">
        <w:rPr>
          <w:bCs/>
          <w:sz w:val="24"/>
          <w:szCs w:val="24"/>
          <w:lang w:eastAsia="en-US"/>
        </w:rPr>
        <w:t>,</w:t>
      </w:r>
      <w:r w:rsidR="00195638" w:rsidRPr="003537D3">
        <w:rPr>
          <w:bCs/>
          <w:sz w:val="24"/>
          <w:szCs w:val="24"/>
          <w:lang w:val="es-ES" w:eastAsia="en-US"/>
        </w:rPr>
        <w:t xml:space="preserve"> el 29 de julio de 2020</w:t>
      </w:r>
      <w:r w:rsidR="00195638" w:rsidRPr="003537D3">
        <w:rPr>
          <w:bCs/>
          <w:sz w:val="24"/>
          <w:szCs w:val="24"/>
          <w:lang w:eastAsia="en-US"/>
        </w:rPr>
        <w:t xml:space="preserve">: </w:t>
      </w:r>
    </w:p>
    <w:p w14:paraId="6772B649" w14:textId="77777777" w:rsidR="00195638" w:rsidRPr="003537D3" w:rsidRDefault="00195638" w:rsidP="00AE19E9">
      <w:pPr>
        <w:tabs>
          <w:tab w:val="left" w:pos="1985"/>
        </w:tabs>
        <w:spacing w:line="276" w:lineRule="auto"/>
        <w:rPr>
          <w:bCs/>
          <w:sz w:val="24"/>
          <w:szCs w:val="24"/>
          <w:lang w:eastAsia="en-US"/>
        </w:rPr>
      </w:pPr>
    </w:p>
    <w:p w14:paraId="36C80AFA" w14:textId="77777777" w:rsidR="00195638" w:rsidRPr="003537D3" w:rsidRDefault="00195638" w:rsidP="00AE19E9">
      <w:pPr>
        <w:tabs>
          <w:tab w:val="left" w:pos="1985"/>
        </w:tabs>
        <w:spacing w:line="276" w:lineRule="auto"/>
        <w:ind w:left="708"/>
        <w:rPr>
          <w:bCs/>
          <w:sz w:val="20"/>
          <w:szCs w:val="24"/>
          <w:lang w:eastAsia="en-US"/>
        </w:rPr>
      </w:pPr>
      <w:r w:rsidRPr="003537D3">
        <w:rPr>
          <w:bCs/>
          <w:sz w:val="20"/>
          <w:szCs w:val="24"/>
          <w:lang w:eastAsia="en-US"/>
        </w:rPr>
        <w:t>“1. Remitir Back up de toda la información contenida en el sistema de información comercial SIEC, hasta el 31 de julio de 2010.</w:t>
      </w:r>
    </w:p>
    <w:p w14:paraId="3359E759" w14:textId="77777777" w:rsidR="00195638" w:rsidRPr="003537D3" w:rsidRDefault="00195638" w:rsidP="00AE19E9">
      <w:pPr>
        <w:tabs>
          <w:tab w:val="left" w:pos="1985"/>
        </w:tabs>
        <w:spacing w:line="276" w:lineRule="auto"/>
        <w:ind w:left="708"/>
        <w:rPr>
          <w:bCs/>
          <w:sz w:val="20"/>
          <w:szCs w:val="24"/>
          <w:lang w:eastAsia="en-US"/>
        </w:rPr>
      </w:pPr>
      <w:r w:rsidRPr="003537D3">
        <w:rPr>
          <w:bCs/>
          <w:sz w:val="20"/>
          <w:szCs w:val="24"/>
          <w:lang w:eastAsia="en-US"/>
        </w:rPr>
        <w:t>2. Remitir Back up de la información contenida en el Sistema de información SIEC, a partir del 1 de agosto de 2010 y en adelante que tenga relación con la gestión y recaudo de la “Cartera Propiedad de CEDELCA” y “Cartera presunta propiedad de CEC”.</w:t>
      </w:r>
    </w:p>
    <w:p w14:paraId="1B0D0299" w14:textId="77777777" w:rsidR="00195638" w:rsidRPr="003537D3" w:rsidRDefault="00195638" w:rsidP="00AE19E9">
      <w:pPr>
        <w:tabs>
          <w:tab w:val="left" w:pos="1985"/>
        </w:tabs>
        <w:spacing w:line="276" w:lineRule="auto"/>
        <w:ind w:left="708"/>
        <w:rPr>
          <w:bCs/>
          <w:sz w:val="20"/>
          <w:szCs w:val="24"/>
          <w:lang w:eastAsia="en-US"/>
        </w:rPr>
      </w:pPr>
      <w:r w:rsidRPr="003537D3">
        <w:rPr>
          <w:bCs/>
          <w:sz w:val="20"/>
          <w:szCs w:val="24"/>
          <w:lang w:eastAsia="en-US"/>
        </w:rPr>
        <w:t>3. Remitir back up de la información contenida en el sistema de Información SMARTFLEX relacionada con la gestión de la cartera entregada a CEO como “Cartera propiedad de CEDELCA” y “cartera presunta propiedad de CEC”, desde el día que inició operación este sistema a corte 31 de julio de 2020.</w:t>
      </w:r>
    </w:p>
    <w:p w14:paraId="5D296313" w14:textId="77777777" w:rsidR="00195638" w:rsidRPr="003537D3" w:rsidRDefault="00195638" w:rsidP="00AE19E9">
      <w:pPr>
        <w:tabs>
          <w:tab w:val="left" w:pos="1985"/>
        </w:tabs>
        <w:spacing w:line="276" w:lineRule="auto"/>
        <w:ind w:left="708"/>
        <w:rPr>
          <w:bCs/>
          <w:sz w:val="20"/>
          <w:szCs w:val="24"/>
          <w:lang w:val="es-ES" w:eastAsia="en-US"/>
        </w:rPr>
      </w:pPr>
      <w:r w:rsidRPr="003537D3">
        <w:rPr>
          <w:bCs/>
          <w:sz w:val="20"/>
          <w:szCs w:val="24"/>
          <w:lang w:eastAsia="en-US"/>
        </w:rPr>
        <w:t>4. Remitir Back up de toda la información que consta en el Sistema de Gestión Documental ORFEO, hasta el 31 de julio de 2010”</w:t>
      </w:r>
      <w:r w:rsidRPr="003537D3">
        <w:rPr>
          <w:rStyle w:val="Refdenotaalpie"/>
          <w:bCs/>
          <w:sz w:val="20"/>
          <w:szCs w:val="24"/>
          <w:lang w:eastAsia="en-US"/>
        </w:rPr>
        <w:footnoteReference w:id="8"/>
      </w:r>
      <w:r w:rsidRPr="003537D3">
        <w:rPr>
          <w:bCs/>
          <w:sz w:val="20"/>
          <w:szCs w:val="24"/>
          <w:lang w:eastAsia="en-US"/>
        </w:rPr>
        <w:t>.</w:t>
      </w:r>
    </w:p>
    <w:p w14:paraId="0B6C0B69" w14:textId="61E3BB55" w:rsidR="00195638" w:rsidRPr="003537D3" w:rsidRDefault="00195638" w:rsidP="00AE19E9">
      <w:pPr>
        <w:spacing w:line="276" w:lineRule="auto"/>
        <w:rPr>
          <w:sz w:val="24"/>
          <w:szCs w:val="24"/>
          <w:lang w:val="es-ES" w:eastAsia="es-ES"/>
        </w:rPr>
      </w:pPr>
    </w:p>
    <w:p w14:paraId="652BC1B8" w14:textId="3EB5583B" w:rsidR="002E6B63" w:rsidRDefault="00980965" w:rsidP="00AE19E9">
      <w:pPr>
        <w:tabs>
          <w:tab w:val="left" w:pos="1985"/>
        </w:tabs>
        <w:spacing w:line="276" w:lineRule="auto"/>
        <w:rPr>
          <w:bCs/>
          <w:sz w:val="24"/>
          <w:szCs w:val="24"/>
          <w:lang w:val="es-ES" w:eastAsia="en-US"/>
        </w:rPr>
      </w:pPr>
      <w:r>
        <w:rPr>
          <w:b/>
          <w:bCs/>
          <w:sz w:val="24"/>
          <w:szCs w:val="24"/>
          <w:lang w:val="es-ES" w:eastAsia="en-US"/>
        </w:rPr>
        <w:t>1.</w:t>
      </w:r>
      <w:r w:rsidR="003C785A">
        <w:rPr>
          <w:b/>
          <w:bCs/>
          <w:sz w:val="24"/>
          <w:szCs w:val="24"/>
          <w:lang w:val="es-ES" w:eastAsia="en-US"/>
        </w:rPr>
        <w:t>2.10</w:t>
      </w:r>
      <w:r w:rsidR="004546BF" w:rsidRPr="003537D3">
        <w:rPr>
          <w:b/>
          <w:bCs/>
          <w:sz w:val="24"/>
          <w:szCs w:val="24"/>
          <w:lang w:val="es-ES" w:eastAsia="en-US"/>
        </w:rPr>
        <w:t xml:space="preserve">. </w:t>
      </w:r>
      <w:r w:rsidR="00953EB6" w:rsidRPr="003537D3">
        <w:rPr>
          <w:bCs/>
          <w:sz w:val="24"/>
          <w:szCs w:val="24"/>
          <w:lang w:val="es-ES" w:eastAsia="en-US"/>
        </w:rPr>
        <w:t>CEDELCA</w:t>
      </w:r>
      <w:r w:rsidR="00953EB6" w:rsidRPr="003537D3">
        <w:rPr>
          <w:b/>
          <w:bCs/>
          <w:sz w:val="24"/>
          <w:szCs w:val="24"/>
          <w:lang w:val="es-ES" w:eastAsia="en-US"/>
        </w:rPr>
        <w:t xml:space="preserve"> </w:t>
      </w:r>
      <w:r w:rsidR="00953EB6" w:rsidRPr="003537D3">
        <w:rPr>
          <w:bCs/>
          <w:sz w:val="24"/>
          <w:szCs w:val="24"/>
          <w:lang w:val="es-ES" w:eastAsia="en-US"/>
        </w:rPr>
        <w:t xml:space="preserve">presentó solicitud de medida </w:t>
      </w:r>
      <w:r w:rsidR="00957378" w:rsidRPr="003537D3">
        <w:rPr>
          <w:bCs/>
          <w:sz w:val="24"/>
          <w:szCs w:val="24"/>
          <w:lang w:val="es-ES" w:eastAsia="en-US"/>
        </w:rPr>
        <w:t>cautelar</w:t>
      </w:r>
      <w:r w:rsidR="00FD07EA">
        <w:rPr>
          <w:bCs/>
          <w:sz w:val="24"/>
          <w:szCs w:val="24"/>
          <w:lang w:val="es-ES" w:eastAsia="en-US"/>
        </w:rPr>
        <w:t xml:space="preserve"> con fines probatorios</w:t>
      </w:r>
      <w:r w:rsidR="00957378" w:rsidRPr="003537D3">
        <w:rPr>
          <w:bCs/>
          <w:sz w:val="24"/>
          <w:szCs w:val="24"/>
          <w:lang w:val="es-ES" w:eastAsia="en-US"/>
        </w:rPr>
        <w:t>, el 25 de septiembre de 2020</w:t>
      </w:r>
      <w:r w:rsidR="00BF2AE3">
        <w:rPr>
          <w:rStyle w:val="Refdenotaalpie"/>
          <w:bCs/>
          <w:sz w:val="24"/>
          <w:szCs w:val="24"/>
          <w:lang w:val="es-ES" w:eastAsia="en-US"/>
        </w:rPr>
        <w:footnoteReference w:id="9"/>
      </w:r>
      <w:r w:rsidR="001E75D8" w:rsidRPr="003537D3">
        <w:rPr>
          <w:bCs/>
          <w:sz w:val="24"/>
          <w:szCs w:val="24"/>
          <w:lang w:val="es-ES" w:eastAsia="en-US"/>
        </w:rPr>
        <w:t xml:space="preserve">, encaminada a que </w:t>
      </w:r>
      <w:r w:rsidR="002E6B63">
        <w:rPr>
          <w:bCs/>
          <w:sz w:val="24"/>
          <w:szCs w:val="24"/>
          <w:lang w:val="es-ES" w:eastAsia="en-US"/>
        </w:rPr>
        <w:t>el Tribunal de Arbitramento</w:t>
      </w:r>
      <w:r w:rsidR="001E75D8" w:rsidRPr="003537D3">
        <w:rPr>
          <w:bCs/>
          <w:sz w:val="24"/>
          <w:szCs w:val="24"/>
          <w:lang w:val="es-ES" w:eastAsia="en-US"/>
        </w:rPr>
        <w:t xml:space="preserve"> ordenara a </w:t>
      </w:r>
      <w:r w:rsidR="002E6B63">
        <w:rPr>
          <w:bCs/>
          <w:sz w:val="24"/>
          <w:szCs w:val="24"/>
          <w:lang w:val="es-ES" w:eastAsia="en-US"/>
        </w:rPr>
        <w:t>CEO</w:t>
      </w:r>
      <w:r w:rsidR="001E75D8" w:rsidRPr="003537D3">
        <w:rPr>
          <w:bCs/>
          <w:sz w:val="24"/>
          <w:szCs w:val="24"/>
          <w:lang w:val="es-ES" w:eastAsia="en-US"/>
        </w:rPr>
        <w:t xml:space="preserve">, que entregara la información </w:t>
      </w:r>
      <w:r w:rsidR="002E6B63">
        <w:rPr>
          <w:bCs/>
          <w:sz w:val="24"/>
          <w:szCs w:val="24"/>
          <w:lang w:val="es-ES" w:eastAsia="en-US"/>
        </w:rPr>
        <w:t>requerida</w:t>
      </w:r>
      <w:r w:rsidR="001E75D8" w:rsidRPr="003537D3">
        <w:rPr>
          <w:bCs/>
          <w:sz w:val="24"/>
          <w:szCs w:val="24"/>
          <w:lang w:val="es-ES" w:eastAsia="en-US"/>
        </w:rPr>
        <w:t xml:space="preserve"> en </w:t>
      </w:r>
      <w:r w:rsidR="002E6B63">
        <w:rPr>
          <w:bCs/>
          <w:sz w:val="24"/>
          <w:szCs w:val="24"/>
          <w:lang w:val="es-ES" w:eastAsia="en-US"/>
        </w:rPr>
        <w:t xml:space="preserve">la petición formulada el 29 de julio de 2020. La convocante </w:t>
      </w:r>
      <w:r w:rsidR="006E2518">
        <w:rPr>
          <w:bCs/>
          <w:sz w:val="24"/>
          <w:szCs w:val="24"/>
          <w:lang w:val="es-ES" w:eastAsia="en-US"/>
        </w:rPr>
        <w:t>expresó</w:t>
      </w:r>
      <w:r w:rsidR="002E6B63">
        <w:rPr>
          <w:bCs/>
          <w:sz w:val="24"/>
          <w:szCs w:val="24"/>
          <w:lang w:val="es-ES" w:eastAsia="en-US"/>
        </w:rPr>
        <w:t xml:space="preserve"> que necesitaba contar con los soportes pertinentes, y que estaban en poder del convocado, para elaborar un dictamen pericial de parte que serviría de sustento a </w:t>
      </w:r>
      <w:r w:rsidR="006E2518">
        <w:rPr>
          <w:bCs/>
          <w:sz w:val="24"/>
          <w:szCs w:val="24"/>
          <w:lang w:val="es-ES" w:eastAsia="en-US"/>
        </w:rPr>
        <w:t>una</w:t>
      </w:r>
      <w:r w:rsidR="002E6B63">
        <w:rPr>
          <w:bCs/>
          <w:sz w:val="24"/>
          <w:szCs w:val="24"/>
          <w:lang w:val="es-ES" w:eastAsia="en-US"/>
        </w:rPr>
        <w:t xml:space="preserve"> reforma a la demanda que pretendía presentar. Además, </w:t>
      </w:r>
      <w:r w:rsidR="006E2518">
        <w:rPr>
          <w:bCs/>
          <w:sz w:val="24"/>
          <w:szCs w:val="24"/>
          <w:lang w:val="es-ES" w:eastAsia="en-US"/>
        </w:rPr>
        <w:t xml:space="preserve">afirmó </w:t>
      </w:r>
      <w:r w:rsidR="002E6B63">
        <w:rPr>
          <w:bCs/>
          <w:sz w:val="24"/>
          <w:szCs w:val="24"/>
          <w:lang w:val="es-ES" w:eastAsia="en-US"/>
        </w:rPr>
        <w:t>que CEO no había entregado</w:t>
      </w:r>
      <w:r w:rsidR="006E2518">
        <w:rPr>
          <w:bCs/>
          <w:sz w:val="24"/>
          <w:szCs w:val="24"/>
          <w:lang w:val="es-ES" w:eastAsia="en-US"/>
        </w:rPr>
        <w:t xml:space="preserve"> la información</w:t>
      </w:r>
      <w:r w:rsidR="002E6B63">
        <w:rPr>
          <w:bCs/>
          <w:sz w:val="24"/>
          <w:szCs w:val="24"/>
          <w:lang w:val="es-ES" w:eastAsia="en-US"/>
        </w:rPr>
        <w:t>, a pesar de que se le había pedido antes.</w:t>
      </w:r>
    </w:p>
    <w:p w14:paraId="207C58AC" w14:textId="43CC5C53" w:rsidR="002E6B63" w:rsidRPr="003537D3" w:rsidRDefault="002E6B63" w:rsidP="00AE19E9">
      <w:pPr>
        <w:tabs>
          <w:tab w:val="left" w:pos="1985"/>
        </w:tabs>
        <w:spacing w:line="276" w:lineRule="auto"/>
        <w:rPr>
          <w:b/>
          <w:bCs/>
          <w:sz w:val="24"/>
          <w:szCs w:val="24"/>
          <w:lang w:val="es-ES" w:eastAsia="en-US"/>
        </w:rPr>
      </w:pPr>
    </w:p>
    <w:p w14:paraId="0DB155F1" w14:textId="570D57E6" w:rsidR="002E6B63" w:rsidRPr="00433145" w:rsidRDefault="00980965" w:rsidP="00AE19E9">
      <w:pPr>
        <w:tabs>
          <w:tab w:val="left" w:pos="1985"/>
        </w:tabs>
        <w:spacing w:line="276" w:lineRule="auto"/>
        <w:rPr>
          <w:sz w:val="24"/>
          <w:lang w:eastAsia="en-US"/>
        </w:rPr>
      </w:pPr>
      <w:r>
        <w:rPr>
          <w:b/>
          <w:bCs/>
          <w:sz w:val="24"/>
          <w:lang w:val="es-ES" w:eastAsia="en-US"/>
        </w:rPr>
        <w:lastRenderedPageBreak/>
        <w:t>1.</w:t>
      </w:r>
      <w:r w:rsidR="003C785A">
        <w:rPr>
          <w:b/>
          <w:bCs/>
          <w:sz w:val="24"/>
          <w:lang w:val="es-ES" w:eastAsia="en-US"/>
        </w:rPr>
        <w:t>2.11</w:t>
      </w:r>
      <w:r w:rsidR="008D13D5">
        <w:rPr>
          <w:b/>
          <w:bCs/>
          <w:sz w:val="24"/>
          <w:lang w:val="es-ES" w:eastAsia="en-US"/>
        </w:rPr>
        <w:t xml:space="preserve">. </w:t>
      </w:r>
      <w:r w:rsidR="00195638" w:rsidRPr="002E6B63">
        <w:rPr>
          <w:bCs/>
          <w:sz w:val="24"/>
          <w:lang w:val="es-ES" w:eastAsia="en-US"/>
        </w:rPr>
        <w:t xml:space="preserve">El </w:t>
      </w:r>
      <w:r w:rsidR="004546BF" w:rsidRPr="002E6B63">
        <w:rPr>
          <w:sz w:val="24"/>
          <w:lang w:val="es-ES" w:eastAsia="en-US"/>
        </w:rPr>
        <w:t xml:space="preserve">Tribunal de Arbitramento, </w:t>
      </w:r>
      <w:r w:rsidR="002E6B63" w:rsidRPr="002E6B63">
        <w:rPr>
          <w:sz w:val="24"/>
          <w:lang w:val="es-ES_tradnl" w:eastAsia="en-US"/>
        </w:rPr>
        <w:t>con el</w:t>
      </w:r>
      <w:r w:rsidR="00195638" w:rsidRPr="002E6B63">
        <w:rPr>
          <w:sz w:val="24"/>
          <w:lang w:val="es-ES_tradnl" w:eastAsia="en-US"/>
        </w:rPr>
        <w:t xml:space="preserve"> auto No. 8 del 9 de octubre de 2020</w:t>
      </w:r>
      <w:r w:rsidR="00BF2AE3">
        <w:rPr>
          <w:rStyle w:val="Refdenotaalpie"/>
          <w:sz w:val="24"/>
          <w:lang w:val="es-ES_tradnl" w:eastAsia="en-US"/>
        </w:rPr>
        <w:footnoteReference w:id="10"/>
      </w:r>
      <w:r w:rsidR="00195638" w:rsidRPr="002E6B63">
        <w:rPr>
          <w:sz w:val="24"/>
          <w:lang w:val="es-ES_tradnl" w:eastAsia="en-US"/>
        </w:rPr>
        <w:t xml:space="preserve">, </w:t>
      </w:r>
      <w:r w:rsidR="004546BF" w:rsidRPr="002E6B63">
        <w:rPr>
          <w:sz w:val="24"/>
          <w:lang w:val="es-ES_tradnl" w:eastAsia="en-US"/>
        </w:rPr>
        <w:t>decretó la medida cautelar</w:t>
      </w:r>
      <w:r w:rsidR="001E75D8" w:rsidRPr="002E6B63">
        <w:rPr>
          <w:sz w:val="24"/>
          <w:lang w:val="es-ES_tradnl" w:eastAsia="en-US"/>
        </w:rPr>
        <w:t xml:space="preserve"> </w:t>
      </w:r>
      <w:r w:rsidR="001E75D8" w:rsidRPr="002E6B63">
        <w:rPr>
          <w:sz w:val="24"/>
          <w:lang w:eastAsia="en-US"/>
        </w:rPr>
        <w:t xml:space="preserve">“en el sentido de ordenar a </w:t>
      </w:r>
      <w:r w:rsidR="001E75D8" w:rsidRPr="002E6B63">
        <w:rPr>
          <w:b/>
          <w:bCs/>
          <w:sz w:val="24"/>
          <w:lang w:eastAsia="en-US"/>
        </w:rPr>
        <w:t>CEO S.A.S. E.S.P</w:t>
      </w:r>
      <w:r w:rsidR="001E75D8" w:rsidRPr="002E6B63">
        <w:rPr>
          <w:sz w:val="24"/>
          <w:lang w:eastAsia="en-US"/>
        </w:rPr>
        <w:t xml:space="preserve">. permitir a </w:t>
      </w:r>
      <w:r w:rsidR="001E75D8" w:rsidRPr="002E6B63">
        <w:rPr>
          <w:b/>
          <w:bCs/>
          <w:sz w:val="24"/>
          <w:lang w:eastAsia="en-US"/>
        </w:rPr>
        <w:t>CEDELCA S.A. E.S.P</w:t>
      </w:r>
      <w:r w:rsidR="001E75D8" w:rsidRPr="002E6B63">
        <w:rPr>
          <w:sz w:val="24"/>
          <w:lang w:eastAsia="en-US"/>
        </w:rPr>
        <w:t xml:space="preserve">. el acceso a toda la información solicitada en su </w:t>
      </w:r>
      <w:r w:rsidR="00A564FF">
        <w:rPr>
          <w:sz w:val="24"/>
          <w:lang w:eastAsia="en-US"/>
        </w:rPr>
        <w:t>escrito</w:t>
      </w:r>
      <w:r w:rsidR="001E75D8" w:rsidRPr="002E6B63">
        <w:rPr>
          <w:sz w:val="24"/>
          <w:lang w:eastAsia="en-US"/>
        </w:rPr>
        <w:t xml:space="preserve"> de petición del 29 de julio de 2020</w:t>
      </w:r>
      <w:r w:rsidR="00A24EEB" w:rsidRPr="00A24EEB">
        <w:rPr>
          <w:sz w:val="24"/>
          <w:lang w:eastAsia="en-US"/>
        </w:rPr>
        <w:t>, dentro</w:t>
      </w:r>
      <w:r w:rsidR="005763BF">
        <w:rPr>
          <w:sz w:val="24"/>
          <w:lang w:eastAsia="en-US"/>
        </w:rPr>
        <w:t xml:space="preserve"> [sic]</w:t>
      </w:r>
      <w:r w:rsidR="00A24EEB" w:rsidRPr="00A24EEB">
        <w:rPr>
          <w:sz w:val="24"/>
          <w:lang w:eastAsia="en-US"/>
        </w:rPr>
        <w:t xml:space="preserve"> los diez (10) días siguient</w:t>
      </w:r>
      <w:r w:rsidR="00A24EEB">
        <w:rPr>
          <w:sz w:val="24"/>
          <w:lang w:eastAsia="en-US"/>
        </w:rPr>
        <w:t>es a la ejecutoria de este auto</w:t>
      </w:r>
      <w:r w:rsidR="001E75D8" w:rsidRPr="002E6B63">
        <w:rPr>
          <w:sz w:val="24"/>
          <w:lang w:eastAsia="en-US"/>
        </w:rPr>
        <w:t>”</w:t>
      </w:r>
      <w:r w:rsidR="00A24EEB">
        <w:rPr>
          <w:rStyle w:val="Refdenotaalpie"/>
          <w:sz w:val="24"/>
          <w:lang w:eastAsia="en-US"/>
        </w:rPr>
        <w:footnoteReference w:id="11"/>
      </w:r>
      <w:r w:rsidR="001E75D8" w:rsidRPr="002E6B63">
        <w:rPr>
          <w:sz w:val="24"/>
          <w:lang w:eastAsia="en-US"/>
        </w:rPr>
        <w:t xml:space="preserve">. </w:t>
      </w:r>
      <w:r w:rsidR="002E6B63">
        <w:rPr>
          <w:sz w:val="24"/>
          <w:lang w:eastAsia="en-US"/>
        </w:rPr>
        <w:t xml:space="preserve">La autoridad arbitral </w:t>
      </w:r>
      <w:r w:rsidR="008D13D5">
        <w:rPr>
          <w:sz w:val="24"/>
          <w:lang w:eastAsia="en-US"/>
        </w:rPr>
        <w:t>encontró satisfechos los requisitos previstos en el artículo 32 de la Ley 1563 de 2012, para acceder a la medida.</w:t>
      </w:r>
    </w:p>
    <w:p w14:paraId="0393A437" w14:textId="0D01EEA1" w:rsidR="003B77F9" w:rsidRPr="003537D3" w:rsidRDefault="003B77F9" w:rsidP="00AE19E9">
      <w:pPr>
        <w:tabs>
          <w:tab w:val="left" w:pos="1985"/>
        </w:tabs>
        <w:spacing w:line="276" w:lineRule="auto"/>
        <w:rPr>
          <w:sz w:val="24"/>
          <w:szCs w:val="24"/>
          <w:lang w:eastAsia="en-US"/>
        </w:rPr>
      </w:pPr>
    </w:p>
    <w:p w14:paraId="3F32819A" w14:textId="0BC5D640" w:rsidR="008D13D5" w:rsidRDefault="00980965" w:rsidP="00AE19E9">
      <w:pPr>
        <w:tabs>
          <w:tab w:val="left" w:pos="1985"/>
        </w:tabs>
        <w:spacing w:line="276" w:lineRule="auto"/>
        <w:rPr>
          <w:sz w:val="24"/>
          <w:szCs w:val="24"/>
          <w:lang w:eastAsia="en-US"/>
        </w:rPr>
      </w:pPr>
      <w:r>
        <w:rPr>
          <w:b/>
          <w:sz w:val="24"/>
          <w:szCs w:val="24"/>
          <w:lang w:eastAsia="en-US"/>
        </w:rPr>
        <w:t>1.</w:t>
      </w:r>
      <w:r w:rsidR="003B77F9" w:rsidRPr="003537D3">
        <w:rPr>
          <w:b/>
          <w:sz w:val="24"/>
          <w:szCs w:val="24"/>
          <w:lang w:eastAsia="en-US"/>
        </w:rPr>
        <w:t>2.</w:t>
      </w:r>
      <w:r w:rsidR="003C785A">
        <w:rPr>
          <w:b/>
          <w:sz w:val="24"/>
          <w:szCs w:val="24"/>
          <w:lang w:eastAsia="en-US"/>
        </w:rPr>
        <w:t>12</w:t>
      </w:r>
      <w:r w:rsidR="003B77F9" w:rsidRPr="003537D3">
        <w:rPr>
          <w:sz w:val="24"/>
          <w:szCs w:val="24"/>
          <w:lang w:eastAsia="en-US"/>
        </w:rPr>
        <w:t>.</w:t>
      </w:r>
      <w:r w:rsidR="008D13D5">
        <w:rPr>
          <w:sz w:val="24"/>
          <w:szCs w:val="24"/>
          <w:lang w:eastAsia="en-US"/>
        </w:rPr>
        <w:t xml:space="preserve"> </w:t>
      </w:r>
      <w:r w:rsidR="006E2518">
        <w:rPr>
          <w:sz w:val="24"/>
          <w:szCs w:val="24"/>
          <w:lang w:eastAsia="en-US"/>
        </w:rPr>
        <w:t>CEO envió unos memoriales a CEDELCA, el 3 y 4 de noviembre de 2020, en los que le explicaba las razones para no entregar alguna parte de la información requerida</w:t>
      </w:r>
      <w:r w:rsidR="006E2518">
        <w:rPr>
          <w:rStyle w:val="Refdenotaalpie"/>
          <w:sz w:val="24"/>
          <w:szCs w:val="24"/>
          <w:lang w:eastAsia="en-US"/>
        </w:rPr>
        <w:footnoteReference w:id="12"/>
      </w:r>
      <w:r w:rsidR="006E2518">
        <w:rPr>
          <w:sz w:val="24"/>
          <w:szCs w:val="24"/>
          <w:lang w:eastAsia="en-US"/>
        </w:rPr>
        <w:t>.</w:t>
      </w:r>
      <w:r w:rsidR="008D13D5">
        <w:rPr>
          <w:sz w:val="24"/>
          <w:szCs w:val="24"/>
          <w:lang w:eastAsia="en-US"/>
        </w:rPr>
        <w:t xml:space="preserve"> </w:t>
      </w:r>
    </w:p>
    <w:p w14:paraId="2E441446" w14:textId="64E77B1C" w:rsidR="00160258" w:rsidRDefault="00160258" w:rsidP="00AE19E9">
      <w:pPr>
        <w:tabs>
          <w:tab w:val="left" w:pos="1985"/>
        </w:tabs>
        <w:spacing w:line="276" w:lineRule="auto"/>
        <w:rPr>
          <w:sz w:val="24"/>
          <w:szCs w:val="24"/>
          <w:lang w:eastAsia="en-US"/>
        </w:rPr>
      </w:pPr>
    </w:p>
    <w:p w14:paraId="1F6AC67A" w14:textId="53AE1454" w:rsidR="00160258" w:rsidRPr="00160258" w:rsidRDefault="00980965" w:rsidP="006E2518">
      <w:pPr>
        <w:tabs>
          <w:tab w:val="left" w:pos="1985"/>
        </w:tabs>
        <w:spacing w:line="276" w:lineRule="auto"/>
        <w:rPr>
          <w:sz w:val="24"/>
          <w:szCs w:val="24"/>
          <w:lang w:eastAsia="en-US"/>
        </w:rPr>
      </w:pPr>
      <w:r>
        <w:rPr>
          <w:b/>
          <w:sz w:val="24"/>
          <w:szCs w:val="24"/>
          <w:lang w:eastAsia="en-US"/>
        </w:rPr>
        <w:t>1.</w:t>
      </w:r>
      <w:r w:rsidR="00160258">
        <w:rPr>
          <w:b/>
          <w:sz w:val="24"/>
          <w:szCs w:val="24"/>
          <w:lang w:eastAsia="en-US"/>
        </w:rPr>
        <w:t xml:space="preserve">2.13. </w:t>
      </w:r>
      <w:r w:rsidR="006E2518" w:rsidRPr="006E2518">
        <w:rPr>
          <w:sz w:val="24"/>
          <w:szCs w:val="24"/>
          <w:lang w:eastAsia="en-US"/>
        </w:rPr>
        <w:t>Luego,</w:t>
      </w:r>
      <w:r w:rsidR="006E2518">
        <w:rPr>
          <w:b/>
          <w:sz w:val="24"/>
          <w:szCs w:val="24"/>
          <w:lang w:eastAsia="en-US"/>
        </w:rPr>
        <w:t xml:space="preserve"> </w:t>
      </w:r>
      <w:r w:rsidR="006E2518">
        <w:rPr>
          <w:sz w:val="24"/>
          <w:szCs w:val="24"/>
          <w:lang w:eastAsia="en-US"/>
        </w:rPr>
        <w:t>CEO radicó un memorial ante el Tribunal de Arbitramento, el 10 de noviembre de 2020</w:t>
      </w:r>
      <w:r w:rsidR="006E2518">
        <w:rPr>
          <w:rStyle w:val="Refdenotaalpie"/>
          <w:sz w:val="24"/>
          <w:szCs w:val="24"/>
          <w:lang w:eastAsia="en-US"/>
        </w:rPr>
        <w:footnoteReference w:id="13"/>
      </w:r>
      <w:r w:rsidR="006E2518">
        <w:rPr>
          <w:sz w:val="24"/>
          <w:szCs w:val="24"/>
          <w:lang w:eastAsia="en-US"/>
        </w:rPr>
        <w:t xml:space="preserve">, en el que puso de presente el proceso de extracción de la información adelantado </w:t>
      </w:r>
      <w:r w:rsidR="00FD07EA">
        <w:rPr>
          <w:sz w:val="24"/>
          <w:szCs w:val="24"/>
          <w:lang w:eastAsia="en-US"/>
        </w:rPr>
        <w:t>por</w:t>
      </w:r>
      <w:r w:rsidR="006E2518">
        <w:rPr>
          <w:sz w:val="24"/>
          <w:szCs w:val="24"/>
          <w:lang w:eastAsia="en-US"/>
        </w:rPr>
        <w:t xml:space="preserve"> las partes, entre el 29 de octubre de 2020 y el 4 de noviembre de 2020. </w:t>
      </w:r>
      <w:r w:rsidR="00057B62" w:rsidRPr="00057B62">
        <w:rPr>
          <w:sz w:val="24"/>
          <w:szCs w:val="24"/>
          <w:lang w:eastAsia="en-US"/>
        </w:rPr>
        <w:t>En consecuencia,</w:t>
      </w:r>
      <w:r w:rsidR="006E2518" w:rsidRPr="00057B62">
        <w:rPr>
          <w:sz w:val="24"/>
          <w:szCs w:val="24"/>
          <w:lang w:eastAsia="en-US"/>
        </w:rPr>
        <w:t xml:space="preserve"> </w:t>
      </w:r>
      <w:r w:rsidR="00057B62">
        <w:rPr>
          <w:sz w:val="24"/>
          <w:szCs w:val="24"/>
          <w:lang w:eastAsia="en-US"/>
        </w:rPr>
        <w:t>requirió</w:t>
      </w:r>
      <w:r w:rsidR="006E2518">
        <w:rPr>
          <w:sz w:val="24"/>
          <w:szCs w:val="24"/>
          <w:lang w:eastAsia="en-US"/>
        </w:rPr>
        <w:t xml:space="preserve"> que se fijara fecha para la celebración de la audiencia de conciliación, puesto que, en su opinión, ya se encontraba concluida la diligencia </w:t>
      </w:r>
      <w:r w:rsidR="00424C8B">
        <w:rPr>
          <w:sz w:val="24"/>
          <w:szCs w:val="24"/>
          <w:lang w:eastAsia="en-US"/>
        </w:rPr>
        <w:t>dispuesta</w:t>
      </w:r>
      <w:r w:rsidR="006E2518">
        <w:rPr>
          <w:sz w:val="24"/>
          <w:szCs w:val="24"/>
          <w:lang w:eastAsia="en-US"/>
        </w:rPr>
        <w:t xml:space="preserve"> con ocasión de la medida cautelar.</w:t>
      </w:r>
    </w:p>
    <w:p w14:paraId="39B25275" w14:textId="0C57B291" w:rsidR="00195638" w:rsidRPr="003537D3" w:rsidRDefault="00195638" w:rsidP="00AE19E9">
      <w:pPr>
        <w:tabs>
          <w:tab w:val="left" w:pos="1985"/>
        </w:tabs>
        <w:spacing w:line="276" w:lineRule="auto"/>
        <w:rPr>
          <w:sz w:val="24"/>
          <w:szCs w:val="24"/>
          <w:lang w:eastAsia="en-US"/>
        </w:rPr>
      </w:pPr>
    </w:p>
    <w:p w14:paraId="5C9821BC" w14:textId="1A613ADB" w:rsidR="006A3F80" w:rsidRDefault="00980965" w:rsidP="00AE19E9">
      <w:pPr>
        <w:autoSpaceDE w:val="0"/>
        <w:autoSpaceDN w:val="0"/>
        <w:adjustRightInd w:val="0"/>
        <w:spacing w:line="276" w:lineRule="auto"/>
        <w:rPr>
          <w:sz w:val="24"/>
          <w:szCs w:val="24"/>
          <w:lang w:eastAsia="ja-JP"/>
        </w:rPr>
      </w:pPr>
      <w:r>
        <w:rPr>
          <w:b/>
          <w:sz w:val="24"/>
          <w:szCs w:val="24"/>
          <w:lang w:eastAsia="ja-JP"/>
        </w:rPr>
        <w:t>1.</w:t>
      </w:r>
      <w:r w:rsidR="00160258">
        <w:rPr>
          <w:b/>
          <w:sz w:val="24"/>
          <w:szCs w:val="24"/>
          <w:lang w:eastAsia="ja-JP"/>
        </w:rPr>
        <w:t>2.14</w:t>
      </w:r>
      <w:r w:rsidR="001E1321" w:rsidRPr="003537D3">
        <w:rPr>
          <w:b/>
          <w:sz w:val="24"/>
          <w:szCs w:val="24"/>
          <w:lang w:eastAsia="ja-JP"/>
        </w:rPr>
        <w:t xml:space="preserve">. </w:t>
      </w:r>
      <w:r w:rsidR="008D13D5" w:rsidRPr="003537D3">
        <w:rPr>
          <w:sz w:val="24"/>
          <w:szCs w:val="24"/>
          <w:lang w:eastAsia="ja-JP"/>
        </w:rPr>
        <w:t>CEDELCA</w:t>
      </w:r>
      <w:r w:rsidR="008D13D5">
        <w:rPr>
          <w:sz w:val="24"/>
          <w:szCs w:val="24"/>
          <w:lang w:eastAsia="ja-JP"/>
        </w:rPr>
        <w:t xml:space="preserve">, </w:t>
      </w:r>
      <w:r w:rsidR="007F1B32">
        <w:rPr>
          <w:sz w:val="24"/>
          <w:szCs w:val="24"/>
          <w:lang w:eastAsia="ja-JP"/>
        </w:rPr>
        <w:t xml:space="preserve">el </w:t>
      </w:r>
      <w:r w:rsidR="00960F14" w:rsidRPr="00960F14">
        <w:rPr>
          <w:sz w:val="24"/>
          <w:szCs w:val="24"/>
          <w:lang w:eastAsia="ja-JP"/>
        </w:rPr>
        <w:t>10 de noviembre de 2020</w:t>
      </w:r>
      <w:r w:rsidR="007F1B32">
        <w:rPr>
          <w:sz w:val="24"/>
          <w:szCs w:val="24"/>
          <w:lang w:eastAsia="ja-JP"/>
        </w:rPr>
        <w:t xml:space="preserve">, comunicó al Tribunal de Arbitramento que CEO no había suministrado la totalidad de la información. </w:t>
      </w:r>
      <w:r w:rsidR="007F1B32" w:rsidRPr="00057B62">
        <w:rPr>
          <w:sz w:val="24"/>
          <w:szCs w:val="24"/>
          <w:lang w:eastAsia="ja-JP"/>
        </w:rPr>
        <w:t>Así que pidió</w:t>
      </w:r>
      <w:r w:rsidR="007F1B32">
        <w:rPr>
          <w:sz w:val="24"/>
          <w:szCs w:val="24"/>
          <w:lang w:eastAsia="ja-JP"/>
        </w:rPr>
        <w:t xml:space="preserve"> que se le </w:t>
      </w:r>
      <w:r w:rsidR="00960F14">
        <w:rPr>
          <w:sz w:val="24"/>
          <w:szCs w:val="24"/>
          <w:lang w:eastAsia="ja-JP"/>
        </w:rPr>
        <w:t>conminara</w:t>
      </w:r>
      <w:r w:rsidR="007F1B32">
        <w:rPr>
          <w:sz w:val="24"/>
          <w:szCs w:val="24"/>
          <w:lang w:eastAsia="ja-JP"/>
        </w:rPr>
        <w:t xml:space="preserve"> a la parte convocada, </w:t>
      </w:r>
      <w:r w:rsidR="00960F14">
        <w:rPr>
          <w:sz w:val="24"/>
          <w:szCs w:val="24"/>
          <w:lang w:eastAsia="ja-JP"/>
        </w:rPr>
        <w:t>para que cumpliera de manera integral e inmediata</w:t>
      </w:r>
      <w:r w:rsidR="007F1B32">
        <w:rPr>
          <w:sz w:val="24"/>
          <w:szCs w:val="24"/>
          <w:lang w:eastAsia="ja-JP"/>
        </w:rPr>
        <w:t xml:space="preserve"> la medida cautelar</w:t>
      </w:r>
      <w:r w:rsidR="00BF2AE3">
        <w:rPr>
          <w:rStyle w:val="Refdenotaalpie"/>
          <w:sz w:val="24"/>
          <w:szCs w:val="24"/>
          <w:lang w:eastAsia="ja-JP"/>
        </w:rPr>
        <w:footnoteReference w:id="14"/>
      </w:r>
      <w:r w:rsidR="00BE7BE5">
        <w:rPr>
          <w:sz w:val="24"/>
          <w:szCs w:val="24"/>
          <w:lang w:eastAsia="ja-JP"/>
        </w:rPr>
        <w:t xml:space="preserve">. Como sustento de lo anterior, la convocante allegó </w:t>
      </w:r>
      <w:r w:rsidR="007F1B32" w:rsidRPr="003537D3">
        <w:rPr>
          <w:sz w:val="24"/>
          <w:szCs w:val="24"/>
          <w:lang w:eastAsia="ja-JP"/>
        </w:rPr>
        <w:t>el “Informe del Proceso de Extracción de Información de los Sistemas de información OPENS SMARTFLEX y SIEC”</w:t>
      </w:r>
      <w:r w:rsidR="00154A85">
        <w:rPr>
          <w:rStyle w:val="Refdenotaalpie"/>
          <w:sz w:val="24"/>
          <w:szCs w:val="24"/>
          <w:lang w:eastAsia="ja-JP"/>
        </w:rPr>
        <w:footnoteReference w:id="15"/>
      </w:r>
      <w:r w:rsidR="00BE7BE5">
        <w:rPr>
          <w:sz w:val="24"/>
          <w:szCs w:val="24"/>
          <w:lang w:eastAsia="ja-JP"/>
        </w:rPr>
        <w:t>,</w:t>
      </w:r>
      <w:r w:rsidR="007F1B32" w:rsidRPr="003537D3">
        <w:rPr>
          <w:sz w:val="24"/>
          <w:szCs w:val="24"/>
          <w:lang w:eastAsia="ja-JP"/>
        </w:rPr>
        <w:t xml:space="preserve"> </w:t>
      </w:r>
      <w:r w:rsidR="00BE7BE5">
        <w:rPr>
          <w:sz w:val="24"/>
          <w:szCs w:val="24"/>
          <w:lang w:eastAsia="ja-JP"/>
        </w:rPr>
        <w:t>elabora</w:t>
      </w:r>
      <w:r w:rsidR="007F1B32">
        <w:rPr>
          <w:sz w:val="24"/>
          <w:szCs w:val="24"/>
          <w:lang w:eastAsia="ja-JP"/>
        </w:rPr>
        <w:t>do</w:t>
      </w:r>
      <w:r w:rsidR="007F1B32" w:rsidRPr="003537D3">
        <w:rPr>
          <w:sz w:val="24"/>
          <w:szCs w:val="24"/>
          <w:lang w:eastAsia="ja-JP"/>
        </w:rPr>
        <w:t xml:space="preserve"> p</w:t>
      </w:r>
      <w:r w:rsidR="00BE7BE5">
        <w:rPr>
          <w:sz w:val="24"/>
          <w:szCs w:val="24"/>
          <w:lang w:eastAsia="ja-JP"/>
        </w:rPr>
        <w:t xml:space="preserve">or el perito Julio </w:t>
      </w:r>
      <w:r w:rsidR="00960F14">
        <w:rPr>
          <w:sz w:val="24"/>
          <w:szCs w:val="24"/>
          <w:lang w:eastAsia="ja-JP"/>
        </w:rPr>
        <w:t xml:space="preserve">Villareal, quien </w:t>
      </w:r>
      <w:r w:rsidR="007F1B32">
        <w:rPr>
          <w:sz w:val="24"/>
          <w:szCs w:val="24"/>
          <w:lang w:eastAsia="ja-JP"/>
        </w:rPr>
        <w:t>relacionó la información, en su parecer, faltante. Esta era:</w:t>
      </w:r>
    </w:p>
    <w:p w14:paraId="00172AE3" w14:textId="77777777" w:rsidR="006A3F80" w:rsidRDefault="006A3F80" w:rsidP="00AE19E9">
      <w:pPr>
        <w:autoSpaceDE w:val="0"/>
        <w:autoSpaceDN w:val="0"/>
        <w:adjustRightInd w:val="0"/>
        <w:spacing w:line="276" w:lineRule="auto"/>
        <w:rPr>
          <w:sz w:val="24"/>
          <w:szCs w:val="24"/>
          <w:lang w:eastAsia="ja-JP"/>
        </w:rPr>
      </w:pPr>
    </w:p>
    <w:p w14:paraId="31D4A021" w14:textId="77777777" w:rsidR="00960F14"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w:t>
      </w:r>
      <w:r w:rsidR="00960F14" w:rsidRPr="00960F14">
        <w:rPr>
          <w:sz w:val="20"/>
          <w:szCs w:val="24"/>
          <w:lang w:eastAsia="ja-JP"/>
        </w:rPr>
        <w:t>A continuación, relacionamos la información relevante faltante:</w:t>
      </w:r>
    </w:p>
    <w:p w14:paraId="5DAC2C87" w14:textId="77777777" w:rsidR="00960F14" w:rsidRDefault="00960F14" w:rsidP="00AE19E9">
      <w:pPr>
        <w:autoSpaceDE w:val="0"/>
        <w:autoSpaceDN w:val="0"/>
        <w:adjustRightInd w:val="0"/>
        <w:spacing w:line="276" w:lineRule="auto"/>
        <w:ind w:left="708"/>
        <w:rPr>
          <w:sz w:val="20"/>
          <w:szCs w:val="24"/>
          <w:lang w:eastAsia="ja-JP"/>
        </w:rPr>
      </w:pPr>
    </w:p>
    <w:p w14:paraId="7843DEC7" w14:textId="3D1159BB" w:rsidR="007F1B32" w:rsidRPr="003537D3"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 xml:space="preserve">a. Vista o consulta denominada “v_cuenta_persona”, que contiene los datos básicos y comerciales de los clientes de CEDELCA y CEC los cuales son necesarios para caracterizar y segmentar la cartera por municipio. </w:t>
      </w:r>
    </w:p>
    <w:p w14:paraId="5EC66995" w14:textId="77777777" w:rsidR="007F1B32" w:rsidRPr="003537D3"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 xml:space="preserve">b. Clase de uso e identificación del deudor. </w:t>
      </w:r>
    </w:p>
    <w:p w14:paraId="7CCD6B8B" w14:textId="36B7559E" w:rsidR="007F1B32" w:rsidRPr="003537D3"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 xml:space="preserve">c. Código informático en lenguaje PL/SQL representado en tres Funciones denominada “f_dueno_cartera”, “f_dueno_cartera_i”, “f_dueno_interes” que mediante los parámetros año, mes, código del concepto, cuenta, dígitos de chequeo, valor y tipo valores, establece el dueño del concepto por ese valor y por ende el dueño de la cartera. </w:t>
      </w:r>
    </w:p>
    <w:p w14:paraId="6FA39B58" w14:textId="6481D37F" w:rsidR="007F1B32" w:rsidRPr="003537D3"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 xml:space="preserve">d. Tabla datos “Factura”, que contiene la información de cada factura como la fecha de expedición, mes y año de cobro, numero de la factura como documento ejecutivo que origino el cobro de cartera, es el insumo para la </w:t>
      </w:r>
      <w:r w:rsidR="00AF5DF2">
        <w:rPr>
          <w:sz w:val="20"/>
          <w:szCs w:val="24"/>
          <w:lang w:eastAsia="ja-JP"/>
        </w:rPr>
        <w:t>denominada (bis)</w:t>
      </w:r>
      <w:r w:rsidRPr="003537D3">
        <w:rPr>
          <w:sz w:val="20"/>
          <w:szCs w:val="24"/>
          <w:lang w:eastAsia="ja-JP"/>
        </w:rPr>
        <w:t xml:space="preserve"> “f_dueno_cartera”, “f_dueno_cartera_i”, </w:t>
      </w:r>
      <w:r w:rsidRPr="003537D3">
        <w:rPr>
          <w:sz w:val="20"/>
          <w:szCs w:val="24"/>
          <w:lang w:eastAsia="ja-JP"/>
        </w:rPr>
        <w:lastRenderedPageBreak/>
        <w:t>“f_dueno_interes</w:t>
      </w:r>
      <w:r w:rsidR="00AF5DF2">
        <w:rPr>
          <w:sz w:val="20"/>
          <w:szCs w:val="24"/>
          <w:lang w:eastAsia="ja-JP"/>
        </w:rPr>
        <w:t xml:space="preserve"> (bis)</w:t>
      </w:r>
      <w:r w:rsidRPr="003537D3">
        <w:rPr>
          <w:sz w:val="20"/>
          <w:szCs w:val="24"/>
          <w:lang w:eastAsia="ja-JP"/>
        </w:rPr>
        <w:t xml:space="preserve">” y poder establecer las facturas que pertenecen a CEC y CEDELCA mediante la lógica computacional establecida en la función referida anteriormente. </w:t>
      </w:r>
    </w:p>
    <w:p w14:paraId="728B75E1" w14:textId="77777777" w:rsidR="007F1B32" w:rsidRPr="003537D3"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 xml:space="preserve">e. Tabla denominada “detalle factura” que es la desagregación del valor cobrado en la tabla factura por concepto comercial estableciendo el valor adeudado por ese concepto comercial e insumo de la lógica computacional para establecer el dueño de cartera CEC y CEDELCA. </w:t>
      </w:r>
    </w:p>
    <w:p w14:paraId="4C41331F" w14:textId="4BDE2B71" w:rsidR="006A3F80" w:rsidRPr="00BE7BE5" w:rsidRDefault="007F1B32" w:rsidP="00AE19E9">
      <w:pPr>
        <w:autoSpaceDE w:val="0"/>
        <w:autoSpaceDN w:val="0"/>
        <w:adjustRightInd w:val="0"/>
        <w:spacing w:line="276" w:lineRule="auto"/>
        <w:ind w:left="708"/>
        <w:rPr>
          <w:sz w:val="20"/>
          <w:szCs w:val="24"/>
          <w:lang w:eastAsia="ja-JP"/>
        </w:rPr>
      </w:pPr>
      <w:r w:rsidRPr="003537D3">
        <w:rPr>
          <w:sz w:val="20"/>
          <w:szCs w:val="24"/>
          <w:lang w:eastAsia="ja-JP"/>
        </w:rPr>
        <w:t>f. Procedimiento almacenado en lenguaje PL/SQL denominado “PK_FACTURA”, que establece la priorización de recaudo aplicado a las facturas tanto a nivel de dueño de la cartera (CEC, CEDELCA y CEO) y a nivel de conceptos de facturación”</w:t>
      </w:r>
      <w:r w:rsidR="00BF2AE3">
        <w:rPr>
          <w:rStyle w:val="Refdenotaalpie"/>
          <w:sz w:val="20"/>
          <w:szCs w:val="24"/>
          <w:lang w:eastAsia="ja-JP"/>
        </w:rPr>
        <w:footnoteReference w:id="16"/>
      </w:r>
      <w:r w:rsidRPr="003537D3">
        <w:rPr>
          <w:sz w:val="20"/>
          <w:szCs w:val="24"/>
          <w:lang w:eastAsia="ja-JP"/>
        </w:rPr>
        <w:t>.</w:t>
      </w:r>
    </w:p>
    <w:p w14:paraId="7896A7A8" w14:textId="63A2DC9C" w:rsidR="00195638" w:rsidRPr="003537D3" w:rsidRDefault="00195638" w:rsidP="00AE19E9">
      <w:pPr>
        <w:spacing w:line="276" w:lineRule="auto"/>
        <w:rPr>
          <w:sz w:val="24"/>
          <w:szCs w:val="24"/>
          <w:lang w:eastAsia="es-ES"/>
        </w:rPr>
      </w:pPr>
    </w:p>
    <w:p w14:paraId="373106B7" w14:textId="63BB4611" w:rsidR="00BE7BE5" w:rsidRPr="00BE7BE5" w:rsidRDefault="00980965" w:rsidP="00AE19E9">
      <w:pPr>
        <w:autoSpaceDE w:val="0"/>
        <w:autoSpaceDN w:val="0"/>
        <w:adjustRightInd w:val="0"/>
        <w:spacing w:line="276" w:lineRule="auto"/>
        <w:rPr>
          <w:sz w:val="24"/>
          <w:szCs w:val="24"/>
          <w:lang w:val="es-ES_tradnl" w:eastAsia="es-ES"/>
        </w:rPr>
      </w:pPr>
      <w:r>
        <w:rPr>
          <w:b/>
          <w:sz w:val="24"/>
          <w:szCs w:val="24"/>
          <w:lang w:val="es-ES_tradnl" w:eastAsia="es-ES"/>
        </w:rPr>
        <w:t>1.</w:t>
      </w:r>
      <w:r w:rsidR="00160258">
        <w:rPr>
          <w:b/>
          <w:sz w:val="24"/>
          <w:szCs w:val="24"/>
          <w:lang w:val="es-ES_tradnl" w:eastAsia="es-ES"/>
        </w:rPr>
        <w:t>2.15</w:t>
      </w:r>
      <w:r w:rsidR="004546BF" w:rsidRPr="00160258">
        <w:rPr>
          <w:b/>
          <w:sz w:val="24"/>
          <w:szCs w:val="24"/>
          <w:lang w:val="es-ES_tradnl" w:eastAsia="es-ES"/>
        </w:rPr>
        <w:t xml:space="preserve">. </w:t>
      </w:r>
      <w:r w:rsidR="00BE7BE5" w:rsidRPr="00160258">
        <w:rPr>
          <w:sz w:val="24"/>
          <w:szCs w:val="24"/>
          <w:lang w:val="es-ES_tradnl" w:eastAsia="es-ES"/>
        </w:rPr>
        <w:t>CEO aportó memorial al Tribunal de Arbitramento, en el que contestó a cada uno de los puntos indicados por</w:t>
      </w:r>
      <w:r w:rsidR="006E2518">
        <w:rPr>
          <w:sz w:val="24"/>
          <w:szCs w:val="24"/>
          <w:lang w:val="es-ES_tradnl" w:eastAsia="es-ES"/>
        </w:rPr>
        <w:t xml:space="preserve"> el perito de</w:t>
      </w:r>
      <w:r w:rsidR="00BE7BE5" w:rsidRPr="00160258">
        <w:rPr>
          <w:sz w:val="24"/>
          <w:szCs w:val="24"/>
          <w:lang w:val="es-ES_tradnl" w:eastAsia="es-ES"/>
        </w:rPr>
        <w:t xml:space="preserve"> CEDELCA, el 19 de noviembre de 2020. Además, reiteró su petición de que se declarara satisfecha la medida cautelar decretada, y de que se fijara fecha de realización de la audiencia de conciliación</w:t>
      </w:r>
      <w:r w:rsidR="00160258" w:rsidRPr="00160258">
        <w:rPr>
          <w:rStyle w:val="Refdenotaalpie"/>
          <w:sz w:val="24"/>
          <w:szCs w:val="24"/>
          <w:lang w:val="es-ES_tradnl" w:eastAsia="es-ES"/>
        </w:rPr>
        <w:footnoteReference w:id="17"/>
      </w:r>
      <w:r w:rsidR="00BE7BE5" w:rsidRPr="00160258">
        <w:rPr>
          <w:sz w:val="24"/>
          <w:szCs w:val="24"/>
          <w:lang w:val="es-ES_tradnl" w:eastAsia="es-ES"/>
        </w:rPr>
        <w:t>.</w:t>
      </w:r>
    </w:p>
    <w:p w14:paraId="054CA71D" w14:textId="389A0582" w:rsidR="00195638" w:rsidRPr="003537D3" w:rsidRDefault="00195638" w:rsidP="00AE19E9">
      <w:pPr>
        <w:spacing w:line="276" w:lineRule="auto"/>
        <w:rPr>
          <w:sz w:val="24"/>
          <w:szCs w:val="24"/>
          <w:lang w:val="es-ES_tradnl" w:eastAsia="es-ES"/>
        </w:rPr>
      </w:pPr>
    </w:p>
    <w:p w14:paraId="68B3ACBE" w14:textId="0C44C464" w:rsidR="00195638" w:rsidRPr="00BE7BE5" w:rsidRDefault="00980965" w:rsidP="00AE19E9">
      <w:pPr>
        <w:spacing w:line="276" w:lineRule="auto"/>
        <w:rPr>
          <w:b/>
          <w:bCs/>
          <w:sz w:val="24"/>
          <w:szCs w:val="24"/>
          <w:lang w:eastAsia="es-ES"/>
        </w:rPr>
      </w:pPr>
      <w:r>
        <w:rPr>
          <w:b/>
          <w:bCs/>
          <w:sz w:val="24"/>
          <w:szCs w:val="24"/>
          <w:lang w:eastAsia="es-ES"/>
        </w:rPr>
        <w:t>1.</w:t>
      </w:r>
      <w:r w:rsidR="00160258">
        <w:rPr>
          <w:b/>
          <w:bCs/>
          <w:sz w:val="24"/>
          <w:szCs w:val="24"/>
          <w:lang w:eastAsia="es-ES"/>
        </w:rPr>
        <w:t>2.16</w:t>
      </w:r>
      <w:r w:rsidR="004546BF" w:rsidRPr="003537D3">
        <w:rPr>
          <w:b/>
          <w:bCs/>
          <w:sz w:val="24"/>
          <w:szCs w:val="24"/>
          <w:lang w:eastAsia="es-ES"/>
        </w:rPr>
        <w:t xml:space="preserve">. </w:t>
      </w:r>
      <w:r w:rsidR="00BE7BE5">
        <w:rPr>
          <w:bCs/>
          <w:sz w:val="24"/>
          <w:szCs w:val="24"/>
          <w:lang w:eastAsia="es-ES"/>
        </w:rPr>
        <w:t>E</w:t>
      </w:r>
      <w:r w:rsidR="00195638" w:rsidRPr="003537D3">
        <w:rPr>
          <w:bCs/>
          <w:sz w:val="24"/>
          <w:szCs w:val="24"/>
          <w:lang w:eastAsia="es-ES"/>
        </w:rPr>
        <w:t xml:space="preserve">l Tribunal de Arbitramento profirió el auto No. 9 </w:t>
      </w:r>
      <w:r w:rsidR="00195638" w:rsidRPr="003537D3">
        <w:rPr>
          <w:sz w:val="24"/>
          <w:szCs w:val="24"/>
          <w:lang w:eastAsia="es-ES"/>
        </w:rPr>
        <w:t xml:space="preserve">del 7 de diciembre de 2020, en el que </w:t>
      </w:r>
      <w:r w:rsidR="00195638" w:rsidRPr="003537D3">
        <w:rPr>
          <w:sz w:val="24"/>
          <w:szCs w:val="24"/>
          <w:lang w:val="es-ES" w:eastAsia="es-ES"/>
        </w:rPr>
        <w:t>dispuso:</w:t>
      </w:r>
    </w:p>
    <w:p w14:paraId="4FF6F17B" w14:textId="77777777" w:rsidR="00195638" w:rsidRPr="003537D3" w:rsidRDefault="00195638" w:rsidP="00AE19E9">
      <w:pPr>
        <w:spacing w:line="276" w:lineRule="auto"/>
        <w:rPr>
          <w:sz w:val="24"/>
          <w:szCs w:val="24"/>
          <w:lang w:eastAsia="es-ES"/>
        </w:rPr>
      </w:pPr>
    </w:p>
    <w:p w14:paraId="4F9ACA35" w14:textId="77777777" w:rsidR="00195638" w:rsidRPr="003537D3" w:rsidRDefault="00195638" w:rsidP="00AE19E9">
      <w:pPr>
        <w:spacing w:line="276" w:lineRule="auto"/>
        <w:ind w:left="708"/>
        <w:rPr>
          <w:sz w:val="20"/>
          <w:szCs w:val="24"/>
          <w:lang w:eastAsia="es-ES"/>
        </w:rPr>
      </w:pPr>
      <w:r w:rsidRPr="003537D3">
        <w:rPr>
          <w:bCs/>
          <w:sz w:val="20"/>
          <w:szCs w:val="24"/>
          <w:lang w:eastAsia="es-ES"/>
        </w:rPr>
        <w:t>“</w:t>
      </w:r>
      <w:r w:rsidRPr="003537D3">
        <w:rPr>
          <w:b/>
          <w:bCs/>
          <w:sz w:val="20"/>
          <w:szCs w:val="24"/>
          <w:lang w:eastAsia="es-ES"/>
        </w:rPr>
        <w:t xml:space="preserve">PRIMERO. </w:t>
      </w:r>
      <w:r w:rsidRPr="003537D3">
        <w:rPr>
          <w:sz w:val="20"/>
          <w:szCs w:val="24"/>
          <w:lang w:eastAsia="es-ES"/>
        </w:rPr>
        <w:t xml:space="preserve">Ordenarle a </w:t>
      </w:r>
      <w:r w:rsidRPr="003537D3">
        <w:rPr>
          <w:b/>
          <w:bCs/>
          <w:sz w:val="20"/>
          <w:szCs w:val="24"/>
          <w:lang w:eastAsia="es-ES"/>
        </w:rPr>
        <w:t xml:space="preserve">CEO S.A.S. E.S.P. </w:t>
      </w:r>
      <w:r w:rsidRPr="003537D3">
        <w:rPr>
          <w:sz w:val="20"/>
          <w:szCs w:val="24"/>
          <w:lang w:eastAsia="es-ES"/>
        </w:rPr>
        <w:t xml:space="preserve">dar cumplimiento íntegro a la medida cautelar decretada el 9 de octubre de 2020. Para ese efecto debe permitir a </w:t>
      </w:r>
      <w:r w:rsidRPr="003537D3">
        <w:rPr>
          <w:b/>
          <w:bCs/>
          <w:sz w:val="20"/>
          <w:szCs w:val="24"/>
          <w:lang w:eastAsia="es-ES"/>
        </w:rPr>
        <w:t xml:space="preserve">CEDELCA S.A. E.S.P. </w:t>
      </w:r>
      <w:r w:rsidRPr="003537D3">
        <w:rPr>
          <w:sz w:val="20"/>
          <w:szCs w:val="24"/>
          <w:lang w:eastAsia="es-ES"/>
        </w:rPr>
        <w:t xml:space="preserve">el acceso a toda la información solicitada en su derecho de petición del 29 de julio de 2020, especialmente lo indicado por el perito Julio E. Villarreal. El cumplimiento de la totalidad de la medida cautelar deberá darse dentro de los quince (15) días siguientes a la ejecutoria de este auto. </w:t>
      </w:r>
    </w:p>
    <w:p w14:paraId="004C3AE2" w14:textId="77777777" w:rsidR="00195638" w:rsidRPr="003537D3" w:rsidRDefault="00195638" w:rsidP="00AE19E9">
      <w:pPr>
        <w:spacing w:line="276" w:lineRule="auto"/>
        <w:ind w:left="708"/>
        <w:rPr>
          <w:sz w:val="20"/>
          <w:szCs w:val="24"/>
          <w:lang w:eastAsia="es-ES"/>
        </w:rPr>
      </w:pPr>
    </w:p>
    <w:p w14:paraId="077BAB99" w14:textId="77777777" w:rsidR="00195638" w:rsidRPr="003537D3" w:rsidRDefault="00195638" w:rsidP="00AE19E9">
      <w:pPr>
        <w:spacing w:line="276" w:lineRule="auto"/>
        <w:ind w:left="708"/>
        <w:rPr>
          <w:sz w:val="20"/>
          <w:szCs w:val="24"/>
          <w:lang w:eastAsia="es-ES"/>
        </w:rPr>
      </w:pPr>
      <w:r w:rsidRPr="003537D3">
        <w:rPr>
          <w:b/>
          <w:bCs/>
          <w:sz w:val="20"/>
          <w:szCs w:val="24"/>
          <w:lang w:eastAsia="es-ES"/>
        </w:rPr>
        <w:t xml:space="preserve">SEGUNDO. </w:t>
      </w:r>
      <w:r w:rsidRPr="003537D3">
        <w:rPr>
          <w:sz w:val="20"/>
          <w:szCs w:val="24"/>
          <w:lang w:eastAsia="es-ES"/>
        </w:rPr>
        <w:t xml:space="preserve">Ordenarle a </w:t>
      </w:r>
      <w:r w:rsidRPr="003537D3">
        <w:rPr>
          <w:b/>
          <w:bCs/>
          <w:sz w:val="20"/>
          <w:szCs w:val="24"/>
          <w:lang w:eastAsia="es-ES"/>
        </w:rPr>
        <w:t xml:space="preserve">CEDELCA S.A. E.S.P. </w:t>
      </w:r>
      <w:r w:rsidRPr="003537D3">
        <w:rPr>
          <w:sz w:val="20"/>
          <w:szCs w:val="24"/>
          <w:lang w:eastAsia="es-ES"/>
        </w:rPr>
        <w:t xml:space="preserve">(i) que en el término de tres (3) días siguientes a la ejecutoria de esta providencia, solicite a </w:t>
      </w:r>
      <w:r w:rsidRPr="003537D3">
        <w:rPr>
          <w:b/>
          <w:bCs/>
          <w:sz w:val="20"/>
          <w:szCs w:val="24"/>
          <w:lang w:eastAsia="es-ES"/>
        </w:rPr>
        <w:t xml:space="preserve">CEO S.A.S. E.S.P., </w:t>
      </w:r>
      <w:r w:rsidRPr="003537D3">
        <w:rPr>
          <w:sz w:val="20"/>
          <w:szCs w:val="24"/>
          <w:lang w:eastAsia="es-ES"/>
        </w:rPr>
        <w:t xml:space="preserve">en un solo escrito, el listado de la información pendiente y necesaria para la realización de la experticia de parte y (ii) que en caso de extraer información que sea de </w:t>
      </w:r>
      <w:r w:rsidRPr="003537D3">
        <w:rPr>
          <w:b/>
          <w:bCs/>
          <w:sz w:val="20"/>
          <w:szCs w:val="24"/>
          <w:lang w:eastAsia="es-ES"/>
        </w:rPr>
        <w:t xml:space="preserve">CEO S.A.S. E.S.P. </w:t>
      </w:r>
      <w:r w:rsidRPr="003537D3">
        <w:rPr>
          <w:sz w:val="20"/>
          <w:szCs w:val="24"/>
          <w:lang w:eastAsia="es-ES"/>
        </w:rPr>
        <w:t xml:space="preserve">y no tenga relación alguna con el trámite arbitral, </w:t>
      </w:r>
      <w:r w:rsidRPr="003537D3">
        <w:rPr>
          <w:b/>
          <w:bCs/>
          <w:sz w:val="20"/>
          <w:szCs w:val="24"/>
          <w:lang w:eastAsia="es-ES"/>
        </w:rPr>
        <w:t xml:space="preserve">CEDELCA S.A. E.S.P. </w:t>
      </w:r>
      <w:r w:rsidRPr="003537D3">
        <w:rPr>
          <w:sz w:val="20"/>
          <w:szCs w:val="24"/>
          <w:lang w:eastAsia="es-ES"/>
        </w:rPr>
        <w:t xml:space="preserve">se abstenga de analizarla, tratarla, y proceda a su devolución inmediata y completa a </w:t>
      </w:r>
      <w:r w:rsidRPr="003537D3">
        <w:rPr>
          <w:b/>
          <w:bCs/>
          <w:sz w:val="20"/>
          <w:szCs w:val="24"/>
          <w:lang w:eastAsia="es-ES"/>
        </w:rPr>
        <w:t>CEO S.A.S. E.S.P.</w:t>
      </w:r>
      <w:r w:rsidRPr="003537D3">
        <w:rPr>
          <w:bCs/>
          <w:sz w:val="20"/>
          <w:szCs w:val="24"/>
          <w:lang w:eastAsia="es-ES"/>
        </w:rPr>
        <w:t>”</w:t>
      </w:r>
      <w:r w:rsidRPr="003537D3">
        <w:rPr>
          <w:bCs/>
          <w:sz w:val="20"/>
          <w:szCs w:val="24"/>
          <w:vertAlign w:val="superscript"/>
          <w:lang w:eastAsia="es-ES"/>
        </w:rPr>
        <w:footnoteReference w:id="18"/>
      </w:r>
      <w:r w:rsidRPr="003537D3">
        <w:rPr>
          <w:bCs/>
          <w:sz w:val="20"/>
          <w:szCs w:val="24"/>
          <w:lang w:eastAsia="es-ES"/>
        </w:rPr>
        <w:t>.</w:t>
      </w:r>
    </w:p>
    <w:p w14:paraId="2E72C89A" w14:textId="77777777" w:rsidR="00195638" w:rsidRPr="003537D3" w:rsidRDefault="00195638" w:rsidP="00AE19E9">
      <w:pPr>
        <w:spacing w:line="276" w:lineRule="auto"/>
        <w:rPr>
          <w:bCs/>
          <w:sz w:val="24"/>
          <w:szCs w:val="24"/>
          <w:lang w:eastAsia="es-ES"/>
        </w:rPr>
      </w:pPr>
    </w:p>
    <w:p w14:paraId="4DEFF1FA" w14:textId="6F21E100" w:rsidR="003C785A" w:rsidRDefault="00195638" w:rsidP="00AE19E9">
      <w:pPr>
        <w:spacing w:line="276" w:lineRule="auto"/>
        <w:rPr>
          <w:bCs/>
          <w:sz w:val="24"/>
          <w:szCs w:val="24"/>
          <w:lang w:eastAsia="es-ES"/>
        </w:rPr>
      </w:pPr>
      <w:r w:rsidRPr="003537D3">
        <w:rPr>
          <w:bCs/>
          <w:sz w:val="24"/>
          <w:szCs w:val="24"/>
          <w:lang w:eastAsia="es-ES"/>
        </w:rPr>
        <w:t xml:space="preserve">Como sustento de </w:t>
      </w:r>
      <w:r w:rsidR="00BE7BE5">
        <w:rPr>
          <w:bCs/>
          <w:sz w:val="24"/>
          <w:szCs w:val="24"/>
          <w:lang w:eastAsia="es-ES"/>
        </w:rPr>
        <w:t>su decisión, la autoridad contra la que se dirige la tutela</w:t>
      </w:r>
      <w:r w:rsidR="003C785A">
        <w:rPr>
          <w:bCs/>
          <w:sz w:val="24"/>
          <w:szCs w:val="24"/>
          <w:lang w:eastAsia="es-ES"/>
        </w:rPr>
        <w:t xml:space="preserve">, en primer lugar, indicó </w:t>
      </w:r>
      <w:r w:rsidR="006E2518">
        <w:rPr>
          <w:bCs/>
          <w:sz w:val="24"/>
          <w:szCs w:val="24"/>
          <w:lang w:eastAsia="es-ES"/>
        </w:rPr>
        <w:t>que</w:t>
      </w:r>
      <w:r w:rsidR="003C785A">
        <w:rPr>
          <w:bCs/>
          <w:sz w:val="24"/>
          <w:szCs w:val="24"/>
          <w:lang w:eastAsia="es-ES"/>
        </w:rPr>
        <w:t xml:space="preserve"> </w:t>
      </w:r>
      <w:r w:rsidR="00960F14">
        <w:rPr>
          <w:bCs/>
          <w:sz w:val="24"/>
          <w:szCs w:val="24"/>
          <w:lang w:eastAsia="es-ES"/>
        </w:rPr>
        <w:t xml:space="preserve">si </w:t>
      </w:r>
      <w:r w:rsidR="008B53BF">
        <w:rPr>
          <w:bCs/>
          <w:sz w:val="24"/>
          <w:szCs w:val="24"/>
          <w:lang w:eastAsia="es-ES"/>
        </w:rPr>
        <w:t>CEDELCA reconoció</w:t>
      </w:r>
      <w:r w:rsidR="00960F14">
        <w:rPr>
          <w:bCs/>
          <w:sz w:val="24"/>
          <w:szCs w:val="24"/>
          <w:lang w:eastAsia="es-ES"/>
        </w:rPr>
        <w:t xml:space="preserve"> que no permitió el suministro de una parte de </w:t>
      </w:r>
      <w:r w:rsidR="008B53BF">
        <w:rPr>
          <w:bCs/>
          <w:sz w:val="24"/>
          <w:szCs w:val="24"/>
          <w:lang w:eastAsia="es-ES"/>
        </w:rPr>
        <w:t>información</w:t>
      </w:r>
      <w:r w:rsidR="00960F14">
        <w:rPr>
          <w:bCs/>
          <w:sz w:val="24"/>
          <w:szCs w:val="24"/>
          <w:lang w:eastAsia="es-ES"/>
        </w:rPr>
        <w:t xml:space="preserve">, por ser reservada o porque fue solicitada de manera tardía, entonces </w:t>
      </w:r>
      <w:r w:rsidR="006E2518">
        <w:rPr>
          <w:bCs/>
          <w:sz w:val="24"/>
          <w:szCs w:val="24"/>
          <w:lang w:eastAsia="es-ES"/>
        </w:rPr>
        <w:t>no se encontraba acreditada</w:t>
      </w:r>
      <w:r w:rsidR="00960F14">
        <w:rPr>
          <w:bCs/>
          <w:sz w:val="24"/>
          <w:szCs w:val="24"/>
          <w:lang w:eastAsia="es-ES"/>
        </w:rPr>
        <w:t xml:space="preserve"> </w:t>
      </w:r>
      <w:r w:rsidR="006E2518">
        <w:rPr>
          <w:bCs/>
          <w:sz w:val="24"/>
          <w:szCs w:val="24"/>
          <w:lang w:eastAsia="es-ES"/>
        </w:rPr>
        <w:t>la</w:t>
      </w:r>
      <w:r w:rsidR="008B53BF">
        <w:rPr>
          <w:bCs/>
          <w:sz w:val="24"/>
          <w:szCs w:val="24"/>
          <w:lang w:eastAsia="es-ES"/>
        </w:rPr>
        <w:t xml:space="preserve"> entrega total de las bases de datos requeridas</w:t>
      </w:r>
      <w:r w:rsidR="00960F14">
        <w:rPr>
          <w:bCs/>
          <w:sz w:val="24"/>
          <w:szCs w:val="24"/>
          <w:lang w:eastAsia="es-ES"/>
        </w:rPr>
        <w:t xml:space="preserve">. Asimismo, </w:t>
      </w:r>
      <w:r w:rsidR="003C785A">
        <w:rPr>
          <w:bCs/>
          <w:sz w:val="24"/>
          <w:szCs w:val="24"/>
          <w:lang w:eastAsia="es-ES"/>
        </w:rPr>
        <w:t xml:space="preserve">precisó que </w:t>
      </w:r>
      <w:r w:rsidR="003C785A" w:rsidRPr="003C785A">
        <w:rPr>
          <w:bCs/>
          <w:sz w:val="24"/>
          <w:szCs w:val="24"/>
          <w:lang w:eastAsia="es-ES"/>
        </w:rPr>
        <w:t>“</w:t>
      </w:r>
      <w:r w:rsidR="003C785A" w:rsidRPr="003C785A">
        <w:rPr>
          <w:sz w:val="24"/>
          <w:szCs w:val="24"/>
        </w:rPr>
        <w:t>la reserva no es oponible a un juez que ha de recaudar una prueba contable relacionada con el proceso que va a resolver”</w:t>
      </w:r>
      <w:r w:rsidR="0028592C">
        <w:rPr>
          <w:rStyle w:val="Refdenotaalpie"/>
          <w:sz w:val="24"/>
          <w:szCs w:val="24"/>
        </w:rPr>
        <w:footnoteReference w:id="19"/>
      </w:r>
      <w:r w:rsidR="003C785A" w:rsidRPr="003C785A">
        <w:rPr>
          <w:sz w:val="24"/>
          <w:szCs w:val="24"/>
        </w:rPr>
        <w:t>.</w:t>
      </w:r>
    </w:p>
    <w:p w14:paraId="0998038E" w14:textId="77777777" w:rsidR="003C785A" w:rsidRDefault="003C785A" w:rsidP="00AE19E9">
      <w:pPr>
        <w:spacing w:line="276" w:lineRule="auto"/>
        <w:rPr>
          <w:bCs/>
          <w:sz w:val="24"/>
          <w:szCs w:val="24"/>
          <w:lang w:eastAsia="es-ES"/>
        </w:rPr>
      </w:pPr>
    </w:p>
    <w:p w14:paraId="4B49D6E8" w14:textId="006D8E89" w:rsidR="003C785A" w:rsidRPr="00975C61" w:rsidRDefault="00975C61" w:rsidP="00AE19E9">
      <w:pPr>
        <w:spacing w:line="276" w:lineRule="auto"/>
        <w:rPr>
          <w:bCs/>
          <w:sz w:val="24"/>
          <w:szCs w:val="24"/>
          <w:lang w:eastAsia="es-ES"/>
        </w:rPr>
      </w:pPr>
      <w:r w:rsidRPr="00975C61">
        <w:rPr>
          <w:bCs/>
          <w:sz w:val="24"/>
          <w:szCs w:val="24"/>
          <w:lang w:eastAsia="es-ES"/>
        </w:rPr>
        <w:t>En segundo lugar, puso de presente que</w:t>
      </w:r>
      <w:r w:rsidR="008B53BF">
        <w:rPr>
          <w:bCs/>
          <w:sz w:val="24"/>
          <w:szCs w:val="24"/>
          <w:lang w:eastAsia="es-ES"/>
        </w:rPr>
        <w:t>,</w:t>
      </w:r>
      <w:r w:rsidRPr="00975C61">
        <w:rPr>
          <w:bCs/>
          <w:sz w:val="24"/>
          <w:szCs w:val="24"/>
          <w:lang w:eastAsia="es-ES"/>
        </w:rPr>
        <w:t xml:space="preserve"> comoquiera</w:t>
      </w:r>
      <w:r w:rsidR="008B53BF">
        <w:rPr>
          <w:bCs/>
          <w:sz w:val="24"/>
          <w:szCs w:val="24"/>
          <w:lang w:eastAsia="es-ES"/>
        </w:rPr>
        <w:t xml:space="preserve"> que</w:t>
      </w:r>
      <w:r w:rsidRPr="00975C61">
        <w:rPr>
          <w:bCs/>
          <w:sz w:val="24"/>
          <w:szCs w:val="24"/>
          <w:lang w:eastAsia="es-ES"/>
        </w:rPr>
        <w:t xml:space="preserve"> no era el experto técnico</w:t>
      </w:r>
      <w:r w:rsidR="008B53BF">
        <w:rPr>
          <w:bCs/>
          <w:sz w:val="24"/>
          <w:szCs w:val="24"/>
          <w:lang w:eastAsia="es-ES"/>
        </w:rPr>
        <w:t>,</w:t>
      </w:r>
      <w:r w:rsidRPr="00975C61">
        <w:rPr>
          <w:bCs/>
          <w:sz w:val="24"/>
          <w:szCs w:val="24"/>
          <w:lang w:eastAsia="es-ES"/>
        </w:rPr>
        <w:t xml:space="preserve"> </w:t>
      </w:r>
      <w:r w:rsidR="008B53BF">
        <w:rPr>
          <w:bCs/>
          <w:sz w:val="24"/>
          <w:szCs w:val="24"/>
          <w:lang w:eastAsia="es-ES"/>
        </w:rPr>
        <w:t>no</w:t>
      </w:r>
      <w:r w:rsidRPr="00975C61">
        <w:rPr>
          <w:bCs/>
          <w:sz w:val="24"/>
          <w:szCs w:val="24"/>
          <w:lang w:eastAsia="es-ES"/>
        </w:rPr>
        <w:t xml:space="preserve"> conocía los sistemas sobre los cuales s</w:t>
      </w:r>
      <w:r w:rsidR="008B53BF">
        <w:rPr>
          <w:bCs/>
          <w:sz w:val="24"/>
          <w:szCs w:val="24"/>
          <w:lang w:eastAsia="es-ES"/>
        </w:rPr>
        <w:t xml:space="preserve">e extrajo la información y </w:t>
      </w:r>
      <w:r w:rsidRPr="00975C61">
        <w:rPr>
          <w:bCs/>
          <w:sz w:val="24"/>
          <w:szCs w:val="24"/>
          <w:lang w:eastAsia="es-ES"/>
        </w:rPr>
        <w:t>no ha</w:t>
      </w:r>
      <w:r w:rsidR="008B53BF">
        <w:rPr>
          <w:bCs/>
          <w:sz w:val="24"/>
          <w:szCs w:val="24"/>
          <w:lang w:eastAsia="es-ES"/>
        </w:rPr>
        <w:t>bía</w:t>
      </w:r>
      <w:r w:rsidRPr="00975C61">
        <w:rPr>
          <w:bCs/>
          <w:sz w:val="24"/>
          <w:szCs w:val="24"/>
          <w:lang w:eastAsia="es-ES"/>
        </w:rPr>
        <w:t xml:space="preserve"> tenido acceso a la información ya entregada o no a CEDELCA, resultaba razonable tener como guía los parámetros del perito Julio Villareal, quien precisamente </w:t>
      </w:r>
      <w:r w:rsidR="008B53BF">
        <w:rPr>
          <w:bCs/>
          <w:sz w:val="24"/>
          <w:szCs w:val="24"/>
          <w:lang w:eastAsia="es-ES"/>
        </w:rPr>
        <w:t>fue</w:t>
      </w:r>
      <w:r w:rsidRPr="00975C61">
        <w:rPr>
          <w:bCs/>
          <w:sz w:val="24"/>
          <w:szCs w:val="24"/>
          <w:lang w:eastAsia="es-ES"/>
        </w:rPr>
        <w:t xml:space="preserve"> el que </w:t>
      </w:r>
      <w:r w:rsidR="008B53BF">
        <w:rPr>
          <w:bCs/>
          <w:sz w:val="24"/>
          <w:szCs w:val="24"/>
          <w:lang w:eastAsia="es-ES"/>
        </w:rPr>
        <w:t xml:space="preserve">manifestó </w:t>
      </w:r>
      <w:r w:rsidRPr="00975C61">
        <w:rPr>
          <w:bCs/>
          <w:sz w:val="24"/>
          <w:szCs w:val="24"/>
          <w:lang w:eastAsia="es-ES"/>
        </w:rPr>
        <w:t>que no contaba con la información pertinente para rendir el dictamen técnico pretendido.</w:t>
      </w:r>
    </w:p>
    <w:p w14:paraId="048690C2" w14:textId="6DF09781" w:rsidR="00195638" w:rsidRPr="003537D3" w:rsidRDefault="00195638" w:rsidP="00AE19E9">
      <w:pPr>
        <w:spacing w:line="276" w:lineRule="auto"/>
        <w:rPr>
          <w:sz w:val="24"/>
          <w:szCs w:val="24"/>
          <w:lang w:eastAsia="es-ES"/>
        </w:rPr>
      </w:pPr>
      <w:r w:rsidRPr="003537D3">
        <w:rPr>
          <w:sz w:val="24"/>
          <w:szCs w:val="24"/>
          <w:lang w:eastAsia="es-ES"/>
        </w:rPr>
        <w:lastRenderedPageBreak/>
        <w:t xml:space="preserve"> </w:t>
      </w:r>
    </w:p>
    <w:p w14:paraId="69F86D1E" w14:textId="206B2670" w:rsidR="0028592C" w:rsidRDefault="00975C61" w:rsidP="00AE19E9">
      <w:pPr>
        <w:spacing w:line="276" w:lineRule="auto"/>
        <w:rPr>
          <w:sz w:val="24"/>
          <w:szCs w:val="24"/>
          <w:lang w:eastAsia="es-ES"/>
        </w:rPr>
      </w:pPr>
      <w:r>
        <w:rPr>
          <w:sz w:val="24"/>
          <w:szCs w:val="24"/>
          <w:lang w:eastAsia="es-ES"/>
        </w:rPr>
        <w:t xml:space="preserve">Finalmente, en aras de proteger la información de CEO que no </w:t>
      </w:r>
      <w:r w:rsidR="008B53BF">
        <w:rPr>
          <w:sz w:val="24"/>
          <w:szCs w:val="24"/>
          <w:lang w:eastAsia="es-ES"/>
        </w:rPr>
        <w:t>tuviera</w:t>
      </w:r>
      <w:r>
        <w:rPr>
          <w:sz w:val="24"/>
          <w:szCs w:val="24"/>
          <w:lang w:eastAsia="es-ES"/>
        </w:rPr>
        <w:t xml:space="preserve"> relación alguna con el proceso arbitral, y</w:t>
      </w:r>
      <w:r w:rsidR="008B53BF">
        <w:rPr>
          <w:sz w:val="24"/>
          <w:szCs w:val="24"/>
          <w:lang w:eastAsia="es-ES"/>
        </w:rPr>
        <w:t xml:space="preserve"> al tener en</w:t>
      </w:r>
      <w:r w:rsidR="006E2518">
        <w:rPr>
          <w:sz w:val="24"/>
          <w:szCs w:val="24"/>
          <w:lang w:eastAsia="es-ES"/>
        </w:rPr>
        <w:t xml:space="preserve"> </w:t>
      </w:r>
      <w:r w:rsidR="008B53BF">
        <w:rPr>
          <w:sz w:val="24"/>
          <w:szCs w:val="24"/>
          <w:lang w:eastAsia="es-ES"/>
        </w:rPr>
        <w:t>cuenta</w:t>
      </w:r>
      <w:r>
        <w:rPr>
          <w:sz w:val="24"/>
          <w:szCs w:val="24"/>
          <w:lang w:eastAsia="es-ES"/>
        </w:rPr>
        <w:t xml:space="preserve"> que </w:t>
      </w:r>
      <w:r w:rsidR="008B53BF">
        <w:rPr>
          <w:sz w:val="24"/>
          <w:szCs w:val="24"/>
          <w:lang w:eastAsia="es-ES"/>
        </w:rPr>
        <w:t>era posible que CEDELCA la extrajera</w:t>
      </w:r>
      <w:r>
        <w:rPr>
          <w:sz w:val="24"/>
          <w:szCs w:val="24"/>
          <w:lang w:eastAsia="es-ES"/>
        </w:rPr>
        <w:t>, el Tribunal de Arbitramento le advirtió al p</w:t>
      </w:r>
      <w:r w:rsidR="00A24EEB">
        <w:rPr>
          <w:sz w:val="24"/>
          <w:szCs w:val="24"/>
          <w:lang w:eastAsia="es-ES"/>
        </w:rPr>
        <w:t>er</w:t>
      </w:r>
      <w:r w:rsidR="008B53BF">
        <w:rPr>
          <w:sz w:val="24"/>
          <w:szCs w:val="24"/>
          <w:lang w:eastAsia="es-ES"/>
        </w:rPr>
        <w:t>ito Julio Villarreal que debía</w:t>
      </w:r>
      <w:r>
        <w:rPr>
          <w:sz w:val="24"/>
          <w:szCs w:val="24"/>
          <w:lang w:eastAsia="es-ES"/>
        </w:rPr>
        <w:t xml:space="preserve"> limitarse a la informació</w:t>
      </w:r>
      <w:r w:rsidR="008B53BF">
        <w:rPr>
          <w:sz w:val="24"/>
          <w:szCs w:val="24"/>
          <w:lang w:eastAsia="es-ES"/>
        </w:rPr>
        <w:t>n</w:t>
      </w:r>
      <w:r>
        <w:rPr>
          <w:sz w:val="24"/>
          <w:szCs w:val="24"/>
          <w:lang w:eastAsia="es-ES"/>
        </w:rPr>
        <w:t xml:space="preserve"> que</w:t>
      </w:r>
      <w:r w:rsidR="008B53BF">
        <w:rPr>
          <w:sz w:val="24"/>
          <w:szCs w:val="24"/>
          <w:lang w:eastAsia="es-ES"/>
        </w:rPr>
        <w:t>,</w:t>
      </w:r>
      <w:r>
        <w:rPr>
          <w:sz w:val="24"/>
          <w:szCs w:val="24"/>
          <w:lang w:eastAsia="es-ES"/>
        </w:rPr>
        <w:t xml:space="preserve"> de manera exclusiva</w:t>
      </w:r>
      <w:r w:rsidR="008B53BF">
        <w:rPr>
          <w:sz w:val="24"/>
          <w:szCs w:val="24"/>
          <w:lang w:eastAsia="es-ES"/>
        </w:rPr>
        <w:t>,</w:t>
      </w:r>
      <w:r>
        <w:rPr>
          <w:sz w:val="24"/>
          <w:szCs w:val="24"/>
          <w:lang w:eastAsia="es-ES"/>
        </w:rPr>
        <w:t xml:space="preserve"> </w:t>
      </w:r>
      <w:r w:rsidR="00CF122B">
        <w:rPr>
          <w:sz w:val="24"/>
          <w:szCs w:val="24"/>
          <w:lang w:eastAsia="es-ES"/>
        </w:rPr>
        <w:t>fuera</w:t>
      </w:r>
      <w:r>
        <w:rPr>
          <w:sz w:val="24"/>
          <w:szCs w:val="24"/>
          <w:lang w:eastAsia="es-ES"/>
        </w:rPr>
        <w:t xml:space="preserve"> necesaria para la elaboración del dictamen pericial y para el presente proceso. </w:t>
      </w:r>
      <w:r w:rsidR="00A24EEB">
        <w:rPr>
          <w:sz w:val="24"/>
          <w:szCs w:val="24"/>
          <w:lang w:eastAsia="es-ES"/>
        </w:rPr>
        <w:t xml:space="preserve">Cualquier otra información que no correspondiera, </w:t>
      </w:r>
      <w:r w:rsidR="00424C8B">
        <w:rPr>
          <w:sz w:val="24"/>
          <w:szCs w:val="24"/>
          <w:lang w:eastAsia="es-ES"/>
        </w:rPr>
        <w:t>afirmó</w:t>
      </w:r>
      <w:r w:rsidR="008B53BF">
        <w:rPr>
          <w:sz w:val="24"/>
          <w:szCs w:val="24"/>
          <w:lang w:eastAsia="es-ES"/>
        </w:rPr>
        <w:t>, le asistía</w:t>
      </w:r>
      <w:r w:rsidR="00A24EEB">
        <w:rPr>
          <w:sz w:val="24"/>
          <w:szCs w:val="24"/>
          <w:lang w:eastAsia="es-ES"/>
        </w:rPr>
        <w:t xml:space="preserve"> la carga de </w:t>
      </w:r>
      <w:r w:rsidR="008B53BF">
        <w:rPr>
          <w:sz w:val="24"/>
          <w:szCs w:val="24"/>
          <w:lang w:eastAsia="es-ES"/>
        </w:rPr>
        <w:t>abstenerse de revisar y de devolverla a CEO</w:t>
      </w:r>
      <w:r w:rsidR="00A24EEB" w:rsidRPr="009E1031">
        <w:rPr>
          <w:bCs/>
          <w:sz w:val="20"/>
          <w:szCs w:val="20"/>
          <w:vertAlign w:val="superscript"/>
          <w:lang w:eastAsia="es-ES"/>
        </w:rPr>
        <w:footnoteReference w:id="20"/>
      </w:r>
      <w:r w:rsidR="00A24EEB">
        <w:rPr>
          <w:sz w:val="24"/>
          <w:szCs w:val="24"/>
          <w:lang w:eastAsia="es-ES"/>
        </w:rPr>
        <w:t>.</w:t>
      </w:r>
    </w:p>
    <w:p w14:paraId="13C8E3DC" w14:textId="77777777" w:rsidR="00160258" w:rsidRDefault="00160258" w:rsidP="00AE19E9">
      <w:pPr>
        <w:spacing w:line="276" w:lineRule="auto"/>
        <w:rPr>
          <w:sz w:val="24"/>
          <w:szCs w:val="24"/>
          <w:lang w:eastAsia="es-ES"/>
        </w:rPr>
      </w:pPr>
    </w:p>
    <w:p w14:paraId="3BAE91B9" w14:textId="15B7FF73" w:rsidR="00351A63" w:rsidRPr="00351A63" w:rsidRDefault="00980965" w:rsidP="00AE19E9">
      <w:pPr>
        <w:spacing w:line="276" w:lineRule="auto"/>
        <w:rPr>
          <w:sz w:val="24"/>
          <w:szCs w:val="24"/>
          <w:lang w:eastAsia="es-ES"/>
        </w:rPr>
      </w:pPr>
      <w:r>
        <w:rPr>
          <w:b/>
          <w:sz w:val="24"/>
          <w:szCs w:val="24"/>
          <w:lang w:eastAsia="es-ES"/>
        </w:rPr>
        <w:t>1.</w:t>
      </w:r>
      <w:r w:rsidR="00160258">
        <w:rPr>
          <w:b/>
          <w:sz w:val="24"/>
          <w:szCs w:val="24"/>
          <w:lang w:eastAsia="es-ES"/>
        </w:rPr>
        <w:t>2.17</w:t>
      </w:r>
      <w:r w:rsidR="00351A63">
        <w:rPr>
          <w:b/>
          <w:sz w:val="24"/>
          <w:szCs w:val="24"/>
          <w:lang w:eastAsia="es-ES"/>
        </w:rPr>
        <w:t xml:space="preserve">. </w:t>
      </w:r>
      <w:r w:rsidR="00351A63">
        <w:rPr>
          <w:sz w:val="24"/>
          <w:szCs w:val="24"/>
          <w:lang w:eastAsia="es-ES"/>
        </w:rPr>
        <w:t>En cumplimiento de lo anterior, CEDELCA envió un correo electrónico a CEO, el 14 de diciembre de 2020</w:t>
      </w:r>
      <w:r w:rsidR="003C0725">
        <w:rPr>
          <w:rStyle w:val="Refdenotaalpie"/>
          <w:sz w:val="24"/>
          <w:szCs w:val="24"/>
          <w:lang w:eastAsia="es-ES"/>
        </w:rPr>
        <w:footnoteReference w:id="21"/>
      </w:r>
      <w:r w:rsidR="00351A63">
        <w:rPr>
          <w:sz w:val="24"/>
          <w:szCs w:val="24"/>
          <w:lang w:eastAsia="es-ES"/>
        </w:rPr>
        <w:t xml:space="preserve">, en el que le comunicó </w:t>
      </w:r>
      <w:r w:rsidR="00351A63" w:rsidRPr="00351A63">
        <w:rPr>
          <w:sz w:val="24"/>
          <w:szCs w:val="24"/>
          <w:lang w:eastAsia="es-ES"/>
        </w:rPr>
        <w:t xml:space="preserve">la información </w:t>
      </w:r>
      <w:r w:rsidR="00351A63">
        <w:rPr>
          <w:sz w:val="24"/>
          <w:szCs w:val="24"/>
          <w:lang w:eastAsia="es-ES"/>
        </w:rPr>
        <w:t>necesaria</w:t>
      </w:r>
      <w:r w:rsidR="00351A63" w:rsidRPr="00351A63">
        <w:rPr>
          <w:sz w:val="24"/>
          <w:szCs w:val="24"/>
          <w:lang w:eastAsia="es-ES"/>
        </w:rPr>
        <w:t xml:space="preserve"> para dar cumplimiento total a la m</w:t>
      </w:r>
      <w:r w:rsidR="00351A63">
        <w:rPr>
          <w:sz w:val="24"/>
          <w:szCs w:val="24"/>
          <w:lang w:eastAsia="es-ES"/>
        </w:rPr>
        <w:t>edida cautelar impuesta por el T</w:t>
      </w:r>
      <w:r w:rsidR="00351A63" w:rsidRPr="00351A63">
        <w:rPr>
          <w:sz w:val="24"/>
          <w:szCs w:val="24"/>
          <w:lang w:eastAsia="es-ES"/>
        </w:rPr>
        <w:t>r</w:t>
      </w:r>
      <w:r w:rsidR="00351A63">
        <w:rPr>
          <w:sz w:val="24"/>
          <w:szCs w:val="24"/>
          <w:lang w:eastAsia="es-ES"/>
        </w:rPr>
        <w:t>ibunal de Arbitramento</w:t>
      </w:r>
      <w:r w:rsidR="00E46430">
        <w:rPr>
          <w:sz w:val="24"/>
          <w:szCs w:val="24"/>
          <w:lang w:eastAsia="es-ES"/>
        </w:rPr>
        <w:t>, conforme a lo indicado por el perito</w:t>
      </w:r>
      <w:r w:rsidR="00351A63">
        <w:rPr>
          <w:sz w:val="24"/>
          <w:szCs w:val="24"/>
          <w:lang w:eastAsia="es-ES"/>
        </w:rPr>
        <w:t>.</w:t>
      </w:r>
    </w:p>
    <w:p w14:paraId="6DECAF91" w14:textId="77777777" w:rsidR="008B53BF" w:rsidRPr="008B53BF" w:rsidRDefault="008B53BF" w:rsidP="00AE19E9">
      <w:pPr>
        <w:spacing w:line="276" w:lineRule="auto"/>
        <w:rPr>
          <w:sz w:val="24"/>
          <w:szCs w:val="24"/>
          <w:lang w:eastAsia="es-ES"/>
        </w:rPr>
      </w:pPr>
    </w:p>
    <w:p w14:paraId="0BC2C546" w14:textId="189A4A87" w:rsidR="00027850" w:rsidRPr="003537D3" w:rsidRDefault="00980965" w:rsidP="00AE19E9">
      <w:pPr>
        <w:overflowPunct w:val="0"/>
        <w:autoSpaceDE w:val="0"/>
        <w:autoSpaceDN w:val="0"/>
        <w:adjustRightInd w:val="0"/>
        <w:spacing w:line="276" w:lineRule="auto"/>
        <w:contextualSpacing/>
        <w:rPr>
          <w:rFonts w:eastAsia="Times New Roman"/>
          <w:b/>
          <w:sz w:val="24"/>
          <w:szCs w:val="24"/>
          <w:lang w:eastAsia="es-ES"/>
        </w:rPr>
      </w:pPr>
      <w:r>
        <w:rPr>
          <w:rFonts w:eastAsia="Times New Roman"/>
          <w:b/>
          <w:sz w:val="24"/>
          <w:szCs w:val="24"/>
          <w:lang w:eastAsia="es-ES"/>
        </w:rPr>
        <w:t>1.</w:t>
      </w:r>
      <w:r w:rsidR="00027850" w:rsidRPr="003537D3">
        <w:rPr>
          <w:rFonts w:eastAsia="Times New Roman"/>
          <w:b/>
          <w:sz w:val="24"/>
          <w:szCs w:val="24"/>
          <w:lang w:eastAsia="es-ES"/>
        </w:rPr>
        <w:t>3. Pretensiones de tutela</w:t>
      </w:r>
      <w:r w:rsidR="00027850" w:rsidRPr="003537D3">
        <w:rPr>
          <w:bCs/>
          <w:sz w:val="24"/>
          <w:szCs w:val="24"/>
          <w:lang w:val="es-ES" w:eastAsia="en-US"/>
        </w:rPr>
        <w:t xml:space="preserve"> </w:t>
      </w:r>
    </w:p>
    <w:p w14:paraId="4A16C2CE" w14:textId="22E6F4DC" w:rsidR="00027850" w:rsidRPr="003537D3" w:rsidRDefault="00027850" w:rsidP="00AE19E9">
      <w:pPr>
        <w:overflowPunct w:val="0"/>
        <w:autoSpaceDE w:val="0"/>
        <w:autoSpaceDN w:val="0"/>
        <w:adjustRightInd w:val="0"/>
        <w:spacing w:line="276" w:lineRule="auto"/>
        <w:contextualSpacing/>
        <w:rPr>
          <w:rFonts w:eastAsia="Times New Roman"/>
          <w:sz w:val="24"/>
          <w:szCs w:val="24"/>
          <w:lang w:eastAsia="es-ES"/>
        </w:rPr>
      </w:pPr>
    </w:p>
    <w:p w14:paraId="114C655B" w14:textId="532245A5" w:rsidR="00003B92" w:rsidRDefault="00003B92" w:rsidP="00AE19E9">
      <w:pPr>
        <w:overflowPunct w:val="0"/>
        <w:autoSpaceDE w:val="0"/>
        <w:autoSpaceDN w:val="0"/>
        <w:adjustRightInd w:val="0"/>
        <w:spacing w:line="276" w:lineRule="auto"/>
        <w:contextualSpacing/>
        <w:rPr>
          <w:rFonts w:eastAsia="Times New Roman"/>
          <w:sz w:val="24"/>
          <w:szCs w:val="24"/>
          <w:lang w:eastAsia="es-ES"/>
        </w:rPr>
      </w:pPr>
      <w:r w:rsidRPr="003537D3">
        <w:rPr>
          <w:rFonts w:eastAsia="Times New Roman"/>
          <w:sz w:val="24"/>
          <w:szCs w:val="24"/>
          <w:lang w:eastAsia="es-ES"/>
        </w:rPr>
        <w:t xml:space="preserve">La sociedad accionante </w:t>
      </w:r>
      <w:r w:rsidR="00E448B8" w:rsidRPr="003537D3">
        <w:rPr>
          <w:rFonts w:eastAsia="Times New Roman"/>
          <w:sz w:val="24"/>
          <w:szCs w:val="24"/>
          <w:lang w:eastAsia="es-ES"/>
        </w:rPr>
        <w:t>pretende que esta Corporación declare que el Tribunal de Arbitramento ha vulnerado sus derechos al debido proceso y al acceso a la administración de justicia; “ha dado apertura a la generación de perjuicios irremediables por violación a la libertad de empresa</w:t>
      </w:r>
      <w:r w:rsidR="008B53BF">
        <w:rPr>
          <w:rFonts w:eastAsia="Times New Roman"/>
          <w:sz w:val="24"/>
          <w:szCs w:val="24"/>
          <w:lang w:eastAsia="es-ES"/>
        </w:rPr>
        <w:t xml:space="preserve"> y libre competencia económica”</w:t>
      </w:r>
      <w:r w:rsidR="003C0725">
        <w:rPr>
          <w:rStyle w:val="Refdenotaalpie"/>
          <w:rFonts w:eastAsia="Times New Roman"/>
          <w:sz w:val="24"/>
          <w:szCs w:val="24"/>
          <w:lang w:eastAsia="es-ES"/>
        </w:rPr>
        <w:footnoteReference w:id="22"/>
      </w:r>
      <w:r w:rsidR="008B53BF">
        <w:rPr>
          <w:rFonts w:eastAsia="Times New Roman"/>
          <w:sz w:val="24"/>
          <w:szCs w:val="24"/>
          <w:lang w:eastAsia="es-ES"/>
        </w:rPr>
        <w:t>;</w:t>
      </w:r>
      <w:r w:rsidR="00E448B8" w:rsidRPr="003537D3">
        <w:rPr>
          <w:rFonts w:eastAsia="Times New Roman"/>
          <w:sz w:val="24"/>
          <w:szCs w:val="24"/>
          <w:lang w:eastAsia="es-ES"/>
        </w:rPr>
        <w:t xml:space="preserve"> y ha emitido una orden que amenaza el derecho al </w:t>
      </w:r>
      <w:r w:rsidR="00E448B8" w:rsidRPr="0047242F">
        <w:rPr>
          <w:rFonts w:eastAsia="Times New Roman"/>
          <w:i/>
          <w:sz w:val="24"/>
          <w:szCs w:val="24"/>
          <w:lang w:eastAsia="es-ES"/>
        </w:rPr>
        <w:t>habeas data</w:t>
      </w:r>
      <w:r w:rsidR="00E448B8" w:rsidRPr="003537D3">
        <w:rPr>
          <w:rFonts w:eastAsia="Times New Roman"/>
          <w:sz w:val="24"/>
          <w:szCs w:val="24"/>
          <w:lang w:eastAsia="es-ES"/>
        </w:rPr>
        <w:t xml:space="preserve"> de los usuarios de CEO. Como consecuencia de</w:t>
      </w:r>
      <w:r w:rsidR="00E46430">
        <w:rPr>
          <w:rFonts w:eastAsia="Times New Roman"/>
          <w:sz w:val="24"/>
          <w:szCs w:val="24"/>
          <w:lang w:eastAsia="es-ES"/>
        </w:rPr>
        <w:t xml:space="preserve"> lo anterior, solicita que </w:t>
      </w:r>
      <w:r w:rsidR="00923840" w:rsidRPr="003537D3">
        <w:rPr>
          <w:rFonts w:eastAsia="Times New Roman"/>
          <w:sz w:val="24"/>
          <w:szCs w:val="24"/>
          <w:lang w:eastAsia="es-ES"/>
        </w:rPr>
        <w:t>se ordene a los árbitros que</w:t>
      </w:r>
      <w:r w:rsidR="008B53BF">
        <w:rPr>
          <w:rFonts w:eastAsia="Times New Roman"/>
          <w:sz w:val="24"/>
          <w:szCs w:val="24"/>
          <w:lang w:eastAsia="es-ES"/>
        </w:rPr>
        <w:t xml:space="preserve"> </w:t>
      </w:r>
      <w:r w:rsidR="00923840" w:rsidRPr="003537D3">
        <w:rPr>
          <w:rFonts w:eastAsia="Times New Roman"/>
          <w:sz w:val="24"/>
          <w:szCs w:val="24"/>
          <w:lang w:eastAsia="es-ES"/>
        </w:rPr>
        <w:t>dicte</w:t>
      </w:r>
      <w:r w:rsidR="008B53BF">
        <w:rPr>
          <w:rFonts w:eastAsia="Times New Roman"/>
          <w:sz w:val="24"/>
          <w:szCs w:val="24"/>
          <w:lang w:eastAsia="es-ES"/>
        </w:rPr>
        <w:t>n</w:t>
      </w:r>
      <w:r w:rsidR="00923840" w:rsidRPr="003537D3">
        <w:rPr>
          <w:rFonts w:eastAsia="Times New Roman"/>
          <w:sz w:val="24"/>
          <w:szCs w:val="24"/>
          <w:lang w:eastAsia="es-ES"/>
        </w:rPr>
        <w:t xml:space="preserve"> </w:t>
      </w:r>
      <w:r w:rsidR="00424C8B">
        <w:rPr>
          <w:rFonts w:eastAsia="Times New Roman"/>
          <w:sz w:val="24"/>
          <w:szCs w:val="24"/>
          <w:lang w:eastAsia="es-ES"/>
        </w:rPr>
        <w:t>una providencia</w:t>
      </w:r>
      <w:r w:rsidR="00923840" w:rsidRPr="003537D3">
        <w:rPr>
          <w:rFonts w:eastAsia="Times New Roman"/>
          <w:sz w:val="24"/>
          <w:szCs w:val="24"/>
          <w:lang w:eastAsia="es-ES"/>
        </w:rPr>
        <w:t xml:space="preserve"> en </w:t>
      </w:r>
      <w:r w:rsidR="00424C8B">
        <w:rPr>
          <w:rFonts w:eastAsia="Times New Roman"/>
          <w:sz w:val="24"/>
          <w:szCs w:val="24"/>
          <w:lang w:eastAsia="es-ES"/>
        </w:rPr>
        <w:t>la</w:t>
      </w:r>
      <w:r w:rsidR="00923840" w:rsidRPr="003537D3">
        <w:rPr>
          <w:rFonts w:eastAsia="Times New Roman"/>
          <w:sz w:val="24"/>
          <w:szCs w:val="24"/>
          <w:lang w:eastAsia="es-ES"/>
        </w:rPr>
        <w:t xml:space="preserve"> que </w:t>
      </w:r>
      <w:r w:rsidR="00E448B8" w:rsidRPr="003537D3">
        <w:rPr>
          <w:rFonts w:eastAsia="Times New Roman"/>
          <w:sz w:val="24"/>
          <w:szCs w:val="24"/>
          <w:lang w:eastAsia="es-ES"/>
        </w:rPr>
        <w:t>“se aclare”</w:t>
      </w:r>
      <w:r w:rsidR="00923840" w:rsidRPr="003537D3">
        <w:rPr>
          <w:rFonts w:eastAsia="Times New Roman"/>
          <w:sz w:val="24"/>
          <w:szCs w:val="24"/>
          <w:lang w:eastAsia="es-ES"/>
        </w:rPr>
        <w:t xml:space="preserve"> que</w:t>
      </w:r>
      <w:r w:rsidR="00E448B8" w:rsidRPr="003537D3">
        <w:rPr>
          <w:rFonts w:eastAsia="Times New Roman"/>
          <w:sz w:val="24"/>
          <w:szCs w:val="24"/>
          <w:lang w:eastAsia="es-ES"/>
        </w:rPr>
        <w:t xml:space="preserve"> la decisión contenida en el auto No. 9 del 7 de diciembre de 2020, </w:t>
      </w:r>
      <w:r w:rsidR="008B53BF">
        <w:rPr>
          <w:rFonts w:eastAsia="Times New Roman"/>
          <w:sz w:val="24"/>
          <w:szCs w:val="24"/>
          <w:lang w:eastAsia="es-ES"/>
        </w:rPr>
        <w:t>debe ser entendida en el sentido de que a CEO solo le corresponde suministrar</w:t>
      </w:r>
      <w:r w:rsidR="00E448B8" w:rsidRPr="003537D3">
        <w:rPr>
          <w:rFonts w:eastAsia="Times New Roman"/>
          <w:sz w:val="24"/>
          <w:szCs w:val="24"/>
          <w:lang w:eastAsia="es-ES"/>
        </w:rPr>
        <w:t xml:space="preserve"> “la información relacionada con la </w:t>
      </w:r>
      <w:r w:rsidR="00923840" w:rsidRPr="003537D3">
        <w:rPr>
          <w:color w:val="666666"/>
          <w:sz w:val="24"/>
          <w:szCs w:val="24"/>
          <w:shd w:val="clear" w:color="auto" w:fill="FFFFFF"/>
        </w:rPr>
        <w:t>«</w:t>
      </w:r>
      <w:r w:rsidR="00923840" w:rsidRPr="003537D3">
        <w:rPr>
          <w:rFonts w:eastAsia="Times New Roman"/>
          <w:sz w:val="24"/>
          <w:szCs w:val="24"/>
          <w:lang w:eastAsia="es-ES"/>
        </w:rPr>
        <w:t>Cartera Propiedad de CEDELCA</w:t>
      </w:r>
      <w:r w:rsidR="00923840" w:rsidRPr="003537D3">
        <w:rPr>
          <w:color w:val="666666"/>
          <w:sz w:val="24"/>
          <w:szCs w:val="24"/>
          <w:shd w:val="clear" w:color="auto" w:fill="FFFFFF"/>
        </w:rPr>
        <w:t>» y</w:t>
      </w:r>
      <w:r w:rsidR="00923840" w:rsidRPr="003537D3">
        <w:rPr>
          <w:rFonts w:eastAsia="Times New Roman"/>
          <w:sz w:val="24"/>
          <w:szCs w:val="24"/>
          <w:lang w:eastAsia="es-ES"/>
        </w:rPr>
        <w:t xml:space="preserve"> </w:t>
      </w:r>
      <w:r w:rsidR="00923840" w:rsidRPr="003537D3">
        <w:rPr>
          <w:color w:val="666666"/>
          <w:sz w:val="24"/>
          <w:szCs w:val="24"/>
          <w:shd w:val="clear" w:color="auto" w:fill="FFFFFF"/>
        </w:rPr>
        <w:t>«</w:t>
      </w:r>
      <w:r w:rsidR="00923840" w:rsidRPr="003537D3">
        <w:rPr>
          <w:rFonts w:eastAsia="Times New Roman"/>
          <w:sz w:val="24"/>
          <w:szCs w:val="24"/>
          <w:lang w:eastAsia="es-ES"/>
        </w:rPr>
        <w:t>Cartera presunta propiedad de CEC</w:t>
      </w:r>
      <w:r w:rsidR="00923840" w:rsidRPr="003537D3">
        <w:rPr>
          <w:color w:val="666666"/>
          <w:sz w:val="24"/>
          <w:szCs w:val="24"/>
          <w:shd w:val="clear" w:color="auto" w:fill="FFFFFF"/>
        </w:rPr>
        <w:t>»</w:t>
      </w:r>
      <w:r w:rsidR="00E448B8" w:rsidRPr="003537D3">
        <w:rPr>
          <w:rFonts w:eastAsia="Times New Roman"/>
          <w:sz w:val="24"/>
          <w:szCs w:val="24"/>
          <w:lang w:eastAsia="es-ES"/>
        </w:rPr>
        <w:t>”</w:t>
      </w:r>
      <w:r w:rsidR="00A73EFB">
        <w:rPr>
          <w:rStyle w:val="Refdenotaalpie"/>
          <w:rFonts w:eastAsia="Times New Roman"/>
          <w:sz w:val="24"/>
          <w:szCs w:val="24"/>
          <w:lang w:eastAsia="es-ES"/>
        </w:rPr>
        <w:footnoteReference w:id="23"/>
      </w:r>
      <w:r w:rsidR="00923840" w:rsidRPr="003537D3">
        <w:rPr>
          <w:rFonts w:eastAsia="Times New Roman"/>
          <w:sz w:val="24"/>
          <w:szCs w:val="24"/>
          <w:lang w:eastAsia="es-ES"/>
        </w:rPr>
        <w:t>.</w:t>
      </w:r>
    </w:p>
    <w:p w14:paraId="7C48B539" w14:textId="1B1FD474" w:rsidR="00C022C9" w:rsidRDefault="00C022C9" w:rsidP="00AE19E9">
      <w:pPr>
        <w:overflowPunct w:val="0"/>
        <w:autoSpaceDE w:val="0"/>
        <w:autoSpaceDN w:val="0"/>
        <w:adjustRightInd w:val="0"/>
        <w:spacing w:line="276" w:lineRule="auto"/>
        <w:contextualSpacing/>
        <w:rPr>
          <w:rFonts w:eastAsia="Times New Roman"/>
          <w:sz w:val="24"/>
          <w:szCs w:val="24"/>
          <w:lang w:eastAsia="es-ES"/>
        </w:rPr>
      </w:pPr>
    </w:p>
    <w:p w14:paraId="51CBAA4D" w14:textId="174FA191" w:rsidR="00C022C9" w:rsidRDefault="00C83DEA" w:rsidP="00AE19E9">
      <w:pPr>
        <w:tabs>
          <w:tab w:val="left" w:pos="1985"/>
        </w:tabs>
        <w:spacing w:line="276" w:lineRule="auto"/>
        <w:rPr>
          <w:bCs/>
          <w:sz w:val="24"/>
          <w:szCs w:val="24"/>
        </w:rPr>
      </w:pPr>
      <w:r>
        <w:rPr>
          <w:bCs/>
          <w:sz w:val="24"/>
          <w:szCs w:val="24"/>
        </w:rPr>
        <w:t xml:space="preserve">En el escrito de tutela, </w:t>
      </w:r>
      <w:r>
        <w:rPr>
          <w:bCs/>
          <w:sz w:val="24"/>
          <w:szCs w:val="24"/>
          <w:lang w:val="es-ES"/>
        </w:rPr>
        <w:t>l</w:t>
      </w:r>
      <w:r w:rsidR="00C022C9">
        <w:rPr>
          <w:bCs/>
          <w:sz w:val="24"/>
          <w:szCs w:val="24"/>
          <w:lang w:val="es-ES"/>
        </w:rPr>
        <w:t>a parte actora</w:t>
      </w:r>
      <w:r>
        <w:rPr>
          <w:bCs/>
          <w:sz w:val="24"/>
          <w:szCs w:val="24"/>
          <w:lang w:val="es-ES"/>
        </w:rPr>
        <w:t xml:space="preserve"> también</w:t>
      </w:r>
      <w:r w:rsidR="00C022C9">
        <w:rPr>
          <w:bCs/>
          <w:sz w:val="24"/>
          <w:szCs w:val="24"/>
          <w:lang w:val="es-ES"/>
        </w:rPr>
        <w:t xml:space="preserve"> </w:t>
      </w:r>
      <w:r>
        <w:rPr>
          <w:bCs/>
          <w:sz w:val="24"/>
          <w:szCs w:val="24"/>
          <w:lang w:val="es-ES"/>
        </w:rPr>
        <w:t>pidió</w:t>
      </w:r>
      <w:r w:rsidR="00C022C9">
        <w:rPr>
          <w:bCs/>
          <w:sz w:val="24"/>
          <w:szCs w:val="24"/>
          <w:lang w:val="es-ES"/>
        </w:rPr>
        <w:t xml:space="preserve">, como medida provisional, que esta Corporación suspendiera </w:t>
      </w:r>
      <w:r>
        <w:rPr>
          <w:bCs/>
          <w:sz w:val="24"/>
          <w:szCs w:val="24"/>
          <w:lang w:val="es-ES"/>
        </w:rPr>
        <w:t>los efectos</w:t>
      </w:r>
      <w:r w:rsidR="00C022C9">
        <w:rPr>
          <w:bCs/>
          <w:sz w:val="24"/>
          <w:szCs w:val="24"/>
          <w:lang w:val="es-ES"/>
        </w:rPr>
        <w:t xml:space="preserve"> </w:t>
      </w:r>
      <w:r>
        <w:rPr>
          <w:bCs/>
          <w:sz w:val="24"/>
          <w:szCs w:val="24"/>
          <w:lang w:val="es-ES"/>
        </w:rPr>
        <w:t>d</w:t>
      </w:r>
      <w:r w:rsidR="00C022C9">
        <w:rPr>
          <w:bCs/>
          <w:sz w:val="24"/>
          <w:szCs w:val="24"/>
          <w:lang w:val="es-ES"/>
        </w:rPr>
        <w:t xml:space="preserve">el auto </w:t>
      </w:r>
      <w:r w:rsidR="00C022C9" w:rsidRPr="003537D3">
        <w:rPr>
          <w:bCs/>
          <w:sz w:val="24"/>
          <w:szCs w:val="24"/>
        </w:rPr>
        <w:t>No. 9 del 7 de diciembre de 2020</w:t>
      </w:r>
      <w:r w:rsidR="00C022C9">
        <w:rPr>
          <w:bCs/>
          <w:sz w:val="24"/>
          <w:szCs w:val="24"/>
        </w:rPr>
        <w:t>, que</w:t>
      </w:r>
      <w:r w:rsidR="00424C8B">
        <w:rPr>
          <w:bCs/>
          <w:sz w:val="24"/>
          <w:szCs w:val="24"/>
        </w:rPr>
        <w:t>, en su criterio,</w:t>
      </w:r>
      <w:r w:rsidR="00C022C9">
        <w:rPr>
          <w:bCs/>
          <w:sz w:val="24"/>
          <w:szCs w:val="24"/>
        </w:rPr>
        <w:t xml:space="preserve"> fijaba “como plazo para entregar la información el próximo 18 de febrero”</w:t>
      </w:r>
      <w:r w:rsidR="00A73EFB">
        <w:rPr>
          <w:rStyle w:val="Refdenotaalpie"/>
          <w:bCs/>
          <w:sz w:val="24"/>
          <w:szCs w:val="24"/>
        </w:rPr>
        <w:footnoteReference w:id="24"/>
      </w:r>
      <w:r w:rsidR="00C022C9">
        <w:rPr>
          <w:bCs/>
          <w:sz w:val="24"/>
          <w:szCs w:val="24"/>
        </w:rPr>
        <w:t>.</w:t>
      </w:r>
    </w:p>
    <w:p w14:paraId="45A0EB14" w14:textId="77777777" w:rsidR="00111C5F" w:rsidRPr="003537D3" w:rsidRDefault="00111C5F" w:rsidP="00AE19E9">
      <w:pPr>
        <w:tabs>
          <w:tab w:val="left" w:pos="1985"/>
        </w:tabs>
        <w:spacing w:line="276" w:lineRule="auto"/>
        <w:rPr>
          <w:bCs/>
          <w:sz w:val="24"/>
          <w:szCs w:val="24"/>
          <w:lang w:val="es-ES"/>
        </w:rPr>
      </w:pPr>
    </w:p>
    <w:p w14:paraId="0FE78EB5" w14:textId="4B36AF50" w:rsidR="00923840" w:rsidRDefault="00980965" w:rsidP="00AE19E9">
      <w:pPr>
        <w:pStyle w:val="Ttulo2"/>
        <w:numPr>
          <w:ilvl w:val="0"/>
          <w:numId w:val="0"/>
        </w:numPr>
        <w:spacing w:before="0" w:after="0" w:line="276" w:lineRule="auto"/>
        <w:rPr>
          <w:rFonts w:cs="Arial"/>
          <w:szCs w:val="24"/>
        </w:rPr>
      </w:pPr>
      <w:r>
        <w:rPr>
          <w:rFonts w:cs="Arial"/>
          <w:szCs w:val="24"/>
        </w:rPr>
        <w:t>1.</w:t>
      </w:r>
      <w:r w:rsidR="00A24EEB">
        <w:rPr>
          <w:rFonts w:cs="Arial"/>
          <w:szCs w:val="24"/>
        </w:rPr>
        <w:t xml:space="preserve">4. </w:t>
      </w:r>
      <w:r w:rsidR="00923840" w:rsidRPr="003537D3">
        <w:rPr>
          <w:rFonts w:cs="Arial"/>
          <w:szCs w:val="24"/>
        </w:rPr>
        <w:t>Argumentos de la acción de tutela</w:t>
      </w:r>
    </w:p>
    <w:p w14:paraId="0DF07EE9" w14:textId="327AB11E" w:rsidR="00AE19E9" w:rsidRPr="00AE19E9" w:rsidRDefault="00AE19E9" w:rsidP="00AE19E9">
      <w:pPr>
        <w:spacing w:line="276" w:lineRule="auto"/>
        <w:rPr>
          <w:sz w:val="24"/>
        </w:rPr>
      </w:pPr>
    </w:p>
    <w:p w14:paraId="56DF175A" w14:textId="0126F776" w:rsidR="00C745EA" w:rsidRDefault="00AE19E9" w:rsidP="00AE19E9">
      <w:pPr>
        <w:spacing w:line="276" w:lineRule="auto"/>
        <w:rPr>
          <w:iCs/>
          <w:sz w:val="24"/>
          <w:szCs w:val="24"/>
          <w:lang w:val="es-419"/>
        </w:rPr>
      </w:pPr>
      <w:r>
        <w:rPr>
          <w:iCs/>
          <w:sz w:val="24"/>
          <w:szCs w:val="24"/>
        </w:rPr>
        <w:t>L</w:t>
      </w:r>
      <w:r w:rsidR="004F4F55" w:rsidRPr="004F4F55">
        <w:rPr>
          <w:iCs/>
          <w:sz w:val="24"/>
          <w:szCs w:val="24"/>
          <w:lang w:val="es-419"/>
        </w:rPr>
        <w:t>a sociedad accionante presenta los siguientes reproches en cuanto a la actuación del Tribunal de Arbitramento</w:t>
      </w:r>
      <w:r w:rsidR="004F4F55">
        <w:rPr>
          <w:iCs/>
          <w:sz w:val="24"/>
          <w:szCs w:val="24"/>
          <w:lang w:val="es-419"/>
        </w:rPr>
        <w:t>:</w:t>
      </w:r>
    </w:p>
    <w:p w14:paraId="593E6311" w14:textId="77777777" w:rsidR="004F4F55" w:rsidRDefault="004F4F55" w:rsidP="00AE19E9">
      <w:pPr>
        <w:spacing w:line="276" w:lineRule="auto"/>
        <w:rPr>
          <w:sz w:val="24"/>
          <w:szCs w:val="24"/>
        </w:rPr>
      </w:pPr>
    </w:p>
    <w:p w14:paraId="15376EC0" w14:textId="466A5086" w:rsidR="004F4F55" w:rsidRPr="004F4F55" w:rsidRDefault="004F4F55" w:rsidP="00AE19E9">
      <w:pPr>
        <w:pStyle w:val="Prrafodelista"/>
        <w:numPr>
          <w:ilvl w:val="0"/>
          <w:numId w:val="39"/>
        </w:numPr>
        <w:spacing w:line="276" w:lineRule="auto"/>
        <w:jc w:val="both"/>
        <w:rPr>
          <w:rFonts w:ascii="Arial" w:hAnsi="Arial" w:cs="Arial"/>
          <w:iCs/>
          <w:lang w:val="es-419"/>
        </w:rPr>
      </w:pPr>
      <w:r>
        <w:rPr>
          <w:rFonts w:ascii="Arial" w:hAnsi="Arial" w:cs="Arial"/>
          <w:iCs/>
          <w:lang w:val="es-CO"/>
        </w:rPr>
        <w:t>L</w:t>
      </w:r>
      <w:r w:rsidRPr="004F4F55">
        <w:rPr>
          <w:rFonts w:ascii="Arial" w:hAnsi="Arial" w:cs="Arial"/>
          <w:iCs/>
          <w:lang w:val="es-419"/>
        </w:rPr>
        <w:t xml:space="preserve">a providencia que puede resultar lesiva de los derechos fundamentales de la parte actora, adolece de un defecto sustantivo por inaplicación de los </w:t>
      </w:r>
      <w:r w:rsidRPr="004F4F55">
        <w:rPr>
          <w:rFonts w:ascii="Arial" w:hAnsi="Arial" w:cs="Arial"/>
        </w:rPr>
        <w:t>artículos 268 del Código General del Proceso y 66 del Código de Comercio</w:t>
      </w:r>
      <w:r w:rsidRPr="004F4F55">
        <w:rPr>
          <w:rFonts w:ascii="Arial" w:hAnsi="Arial" w:cs="Arial"/>
          <w:iCs/>
        </w:rPr>
        <w:t xml:space="preserve">, al decretar la exhibición </w:t>
      </w:r>
      <w:r w:rsidRPr="004F4F55">
        <w:rPr>
          <w:rFonts w:ascii="Arial" w:hAnsi="Arial" w:cs="Arial"/>
          <w:iCs/>
        </w:rPr>
        <w:lastRenderedPageBreak/>
        <w:t xml:space="preserve">de unos documentos de carácter comercial, sin la presencia del juez y sin que estén vinculados </w:t>
      </w:r>
      <w:r w:rsidR="00E46430">
        <w:rPr>
          <w:rFonts w:ascii="Arial" w:hAnsi="Arial" w:cs="Arial"/>
          <w:iCs/>
        </w:rPr>
        <w:t>con el</w:t>
      </w:r>
      <w:r w:rsidRPr="004F4F55">
        <w:rPr>
          <w:rFonts w:ascii="Arial" w:hAnsi="Arial" w:cs="Arial"/>
          <w:iCs/>
        </w:rPr>
        <w:t xml:space="preserve"> objeto del conflicto jurídico</w:t>
      </w:r>
      <w:r w:rsidRPr="004F4F55">
        <w:rPr>
          <w:rFonts w:ascii="Arial" w:hAnsi="Arial" w:cs="Arial"/>
          <w:iCs/>
          <w:lang w:val="es-CO"/>
        </w:rPr>
        <w:t>.</w:t>
      </w:r>
    </w:p>
    <w:p w14:paraId="5F45E9A1" w14:textId="2EB28AD5" w:rsidR="004F4F55" w:rsidRPr="004F4F55" w:rsidRDefault="00154A85" w:rsidP="00AE19E9">
      <w:pPr>
        <w:pStyle w:val="Prrafodelista"/>
        <w:numPr>
          <w:ilvl w:val="0"/>
          <w:numId w:val="39"/>
        </w:numPr>
        <w:spacing w:line="276" w:lineRule="auto"/>
        <w:jc w:val="both"/>
        <w:rPr>
          <w:rFonts w:ascii="Arial" w:hAnsi="Arial" w:cs="Arial"/>
          <w:iCs/>
          <w:lang w:val="es-419"/>
        </w:rPr>
      </w:pPr>
      <w:r>
        <w:rPr>
          <w:rFonts w:ascii="Arial" w:hAnsi="Arial" w:cs="Arial"/>
          <w:iCs/>
          <w:lang w:val="es-419"/>
        </w:rPr>
        <w:t>El Tribunal de Arbitramento modifica el</w:t>
      </w:r>
      <w:r w:rsidR="004F4F55" w:rsidRPr="004F4F55">
        <w:rPr>
          <w:rFonts w:ascii="Arial" w:hAnsi="Arial" w:cs="Arial"/>
          <w:iCs/>
          <w:lang w:val="es-419"/>
        </w:rPr>
        <w:t xml:space="preserve"> objeto de la medida cautelar, al otorgar la posibilida</w:t>
      </w:r>
      <w:r w:rsidR="00424C8B">
        <w:rPr>
          <w:rFonts w:ascii="Arial" w:hAnsi="Arial" w:cs="Arial"/>
          <w:iCs/>
          <w:lang w:val="es-419"/>
        </w:rPr>
        <w:t>d de acceder a información</w:t>
      </w:r>
      <w:r w:rsidR="004F4F55" w:rsidRPr="004F4F55">
        <w:rPr>
          <w:rFonts w:ascii="Arial" w:hAnsi="Arial" w:cs="Arial"/>
          <w:iCs/>
          <w:lang w:val="es-419"/>
        </w:rPr>
        <w:t xml:space="preserve"> que no esté relacionada con </w:t>
      </w:r>
      <w:r w:rsidR="00E46430">
        <w:rPr>
          <w:rFonts w:ascii="Arial" w:hAnsi="Arial" w:cs="Arial"/>
          <w:iCs/>
          <w:lang w:val="es-419"/>
        </w:rPr>
        <w:t>los propósitos perseguidos en</w:t>
      </w:r>
      <w:r w:rsidR="004F4F55" w:rsidRPr="004F4F55">
        <w:rPr>
          <w:rFonts w:ascii="Arial" w:hAnsi="Arial" w:cs="Arial"/>
          <w:iCs/>
          <w:lang w:val="es-419"/>
        </w:rPr>
        <w:t xml:space="preserve"> el </w:t>
      </w:r>
      <w:r w:rsidR="00A564FF">
        <w:rPr>
          <w:rFonts w:ascii="Arial" w:hAnsi="Arial" w:cs="Arial"/>
          <w:iCs/>
          <w:lang w:val="es-419"/>
        </w:rPr>
        <w:t xml:space="preserve">escrito que le fue presentado en ejercicio del </w:t>
      </w:r>
      <w:r w:rsidR="004F4F55" w:rsidRPr="004F4F55">
        <w:rPr>
          <w:rFonts w:ascii="Arial" w:hAnsi="Arial" w:cs="Arial"/>
          <w:iCs/>
          <w:lang w:val="es-419"/>
        </w:rPr>
        <w:t>derecho de p</w:t>
      </w:r>
      <w:r w:rsidR="00E46430">
        <w:rPr>
          <w:rFonts w:ascii="Arial" w:hAnsi="Arial" w:cs="Arial"/>
          <w:iCs/>
          <w:lang w:val="es-419"/>
        </w:rPr>
        <w:t>etición del 29 de julio de 2020;</w:t>
      </w:r>
      <w:r w:rsidR="004F4F55" w:rsidRPr="004F4F55">
        <w:rPr>
          <w:rFonts w:ascii="Arial" w:hAnsi="Arial" w:cs="Arial"/>
          <w:iCs/>
          <w:lang w:val="es-419"/>
        </w:rPr>
        <w:t xml:space="preserve"> </w:t>
      </w:r>
      <w:r w:rsidR="004F4F55" w:rsidRPr="004F4F55">
        <w:rPr>
          <w:rFonts w:ascii="Arial" w:hAnsi="Arial" w:cs="Arial"/>
        </w:rPr>
        <w:t>lo que ubica al accionante en un escenario de vulnerabilidad</w:t>
      </w:r>
      <w:r w:rsidR="004F4F55">
        <w:rPr>
          <w:rFonts w:ascii="Arial" w:hAnsi="Arial" w:cs="Arial"/>
          <w:iCs/>
          <w:lang w:val="es-419"/>
        </w:rPr>
        <w:t>.</w:t>
      </w:r>
      <w:r w:rsidR="004F4F55" w:rsidRPr="004F4F55">
        <w:rPr>
          <w:rFonts w:ascii="Arial" w:hAnsi="Arial" w:cs="Arial"/>
          <w:iCs/>
          <w:lang w:val="es-419"/>
        </w:rPr>
        <w:t xml:space="preserve"> </w:t>
      </w:r>
    </w:p>
    <w:p w14:paraId="1820A938" w14:textId="2018D8A0" w:rsidR="004F4F55" w:rsidRDefault="00154A85" w:rsidP="00AE19E9">
      <w:pPr>
        <w:pStyle w:val="Prrafodelista"/>
        <w:numPr>
          <w:ilvl w:val="0"/>
          <w:numId w:val="39"/>
        </w:numPr>
        <w:spacing w:line="276" w:lineRule="auto"/>
        <w:jc w:val="both"/>
        <w:rPr>
          <w:rFonts w:ascii="Arial" w:hAnsi="Arial" w:cs="Arial"/>
          <w:iCs/>
          <w:lang w:val="es-419"/>
        </w:rPr>
      </w:pPr>
      <w:r>
        <w:rPr>
          <w:rFonts w:ascii="Arial" w:hAnsi="Arial" w:cs="Arial"/>
          <w:iCs/>
          <w:lang w:val="es-419"/>
        </w:rPr>
        <w:t>L</w:t>
      </w:r>
      <w:r w:rsidR="004F4F55" w:rsidRPr="004F4F55">
        <w:rPr>
          <w:rFonts w:ascii="Arial" w:hAnsi="Arial" w:cs="Arial"/>
          <w:iCs/>
          <w:lang w:val="es-419"/>
        </w:rPr>
        <w:t>os árbitros extralimitan la habilitación que le han otorgado las partes en el proceso arbitral, al impartir unas órdenes que abordan asuntos ajenos al contrato</w:t>
      </w:r>
      <w:r w:rsidR="00E46430">
        <w:rPr>
          <w:rFonts w:ascii="Arial" w:hAnsi="Arial" w:cs="Arial"/>
          <w:iCs/>
          <w:lang w:val="es-419"/>
        </w:rPr>
        <w:t xml:space="preserve"> de gestión y a la controversia</w:t>
      </w:r>
      <w:r w:rsidR="004F4F55" w:rsidRPr="004F4F55">
        <w:rPr>
          <w:rFonts w:ascii="Arial" w:hAnsi="Arial" w:cs="Arial"/>
          <w:iCs/>
          <w:lang w:val="es-419"/>
        </w:rPr>
        <w:t xml:space="preserve"> objeto de la demanda arbitral</w:t>
      </w:r>
      <w:r w:rsidR="004F4F55">
        <w:rPr>
          <w:rFonts w:ascii="Arial" w:hAnsi="Arial" w:cs="Arial"/>
          <w:iCs/>
          <w:lang w:val="es-419"/>
        </w:rPr>
        <w:t>.</w:t>
      </w:r>
    </w:p>
    <w:p w14:paraId="4E7F793F" w14:textId="430B5B83" w:rsidR="004F4F55" w:rsidRPr="004F4F55" w:rsidRDefault="00154A85" w:rsidP="00AE19E9">
      <w:pPr>
        <w:pStyle w:val="Prrafodelista"/>
        <w:numPr>
          <w:ilvl w:val="0"/>
          <w:numId w:val="39"/>
        </w:numPr>
        <w:spacing w:line="276" w:lineRule="auto"/>
        <w:jc w:val="both"/>
        <w:rPr>
          <w:rFonts w:ascii="Arial" w:hAnsi="Arial" w:cs="Arial"/>
          <w:iCs/>
          <w:lang w:val="es-419"/>
        </w:rPr>
      </w:pPr>
      <w:r>
        <w:rPr>
          <w:rFonts w:ascii="Arial" w:hAnsi="Arial" w:cs="Arial"/>
          <w:iCs/>
          <w:lang w:val="es-419"/>
        </w:rPr>
        <w:t>La</w:t>
      </w:r>
      <w:r w:rsidR="004F4F55">
        <w:rPr>
          <w:rFonts w:ascii="Arial" w:hAnsi="Arial" w:cs="Arial"/>
          <w:iCs/>
          <w:lang w:val="es-419"/>
        </w:rPr>
        <w:t xml:space="preserve"> autoridad arbitral desconoce</w:t>
      </w:r>
      <w:r w:rsidR="002B0B8D" w:rsidRPr="004F4F55">
        <w:rPr>
          <w:rFonts w:ascii="Arial" w:hAnsi="Arial" w:cs="Arial"/>
          <w:iCs/>
          <w:lang w:val="es-419"/>
        </w:rPr>
        <w:t xml:space="preserve"> los derechos a </w:t>
      </w:r>
      <w:r w:rsidR="002B0B8D" w:rsidRPr="004F4F55">
        <w:rPr>
          <w:rFonts w:ascii="Arial" w:hAnsi="Arial" w:cs="Arial"/>
          <w:iCs/>
          <w:lang w:val="es-CO"/>
        </w:rPr>
        <w:t>la libre empresa y a la libre competencia</w:t>
      </w:r>
      <w:r w:rsidR="002B0B8D" w:rsidRPr="004F4F55">
        <w:rPr>
          <w:rFonts w:ascii="Arial" w:hAnsi="Arial" w:cs="Arial"/>
          <w:iCs/>
        </w:rPr>
        <w:t xml:space="preserve"> económica</w:t>
      </w:r>
      <w:r w:rsidR="002B0B8D" w:rsidRPr="004F4F55">
        <w:rPr>
          <w:rFonts w:ascii="Arial" w:hAnsi="Arial" w:cs="Arial"/>
          <w:iCs/>
          <w:lang w:val="es-419"/>
        </w:rPr>
        <w:t>, al pasar por alto que CEO es un actor relevante para el mercado de distribución y comercialización de energía eléctrica, y, en consecuencia, imponerle la carga de suministrar una información “sensible”, en términos de libre competencia, a quien puede ser un competidor directo y potencial</w:t>
      </w:r>
      <w:r w:rsidR="004F4F55">
        <w:rPr>
          <w:rFonts w:ascii="Arial" w:hAnsi="Arial" w:cs="Arial"/>
          <w:iCs/>
          <w:lang w:val="es-419"/>
        </w:rPr>
        <w:t xml:space="preserve"> en aquel sector.</w:t>
      </w:r>
      <w:r w:rsidR="002B0B8D" w:rsidRPr="004F4F55">
        <w:rPr>
          <w:rFonts w:ascii="Arial" w:hAnsi="Arial" w:cs="Arial"/>
          <w:iCs/>
          <w:lang w:val="es-419"/>
        </w:rPr>
        <w:t xml:space="preserve"> </w:t>
      </w:r>
    </w:p>
    <w:p w14:paraId="2842401D" w14:textId="1345975C" w:rsidR="004F4F55" w:rsidRPr="004F4F55" w:rsidRDefault="004F4F55" w:rsidP="00AE19E9">
      <w:pPr>
        <w:pStyle w:val="Prrafodelista"/>
        <w:numPr>
          <w:ilvl w:val="0"/>
          <w:numId w:val="39"/>
        </w:numPr>
        <w:spacing w:line="276" w:lineRule="auto"/>
        <w:jc w:val="both"/>
        <w:rPr>
          <w:rFonts w:ascii="Arial" w:hAnsi="Arial" w:cs="Arial"/>
          <w:iCs/>
          <w:lang w:val="es-419"/>
        </w:rPr>
      </w:pPr>
      <w:r>
        <w:rPr>
          <w:rFonts w:ascii="Arial" w:hAnsi="Arial" w:cs="Arial"/>
          <w:iCs/>
          <w:lang w:val="es-419"/>
        </w:rPr>
        <w:t>En este asunto hay una vulneración</w:t>
      </w:r>
      <w:r w:rsidRPr="004F4F55">
        <w:rPr>
          <w:rFonts w:ascii="Arial" w:hAnsi="Arial" w:cs="Arial"/>
          <w:iCs/>
          <w:lang w:val="es-419"/>
        </w:rPr>
        <w:t xml:space="preserve"> </w:t>
      </w:r>
      <w:r>
        <w:rPr>
          <w:rFonts w:ascii="Arial" w:hAnsi="Arial" w:cs="Arial"/>
          <w:iCs/>
          <w:lang w:val="es-419"/>
        </w:rPr>
        <w:t>d</w:t>
      </w:r>
      <w:r w:rsidRPr="004F4F55">
        <w:rPr>
          <w:rFonts w:ascii="Arial" w:hAnsi="Arial" w:cs="Arial"/>
          <w:iCs/>
          <w:lang w:val="es-419"/>
        </w:rPr>
        <w:t xml:space="preserve">el derecho al </w:t>
      </w:r>
      <w:r w:rsidRPr="004F4F55">
        <w:rPr>
          <w:rFonts w:ascii="Arial" w:hAnsi="Arial" w:cs="Arial"/>
          <w:i/>
          <w:iCs/>
          <w:lang w:val="es-419"/>
        </w:rPr>
        <w:t>habeas data</w:t>
      </w:r>
      <w:r w:rsidR="00E46430">
        <w:rPr>
          <w:rFonts w:ascii="Arial" w:hAnsi="Arial" w:cs="Arial"/>
          <w:iCs/>
          <w:lang w:val="es-419"/>
        </w:rPr>
        <w:t>,</w:t>
      </w:r>
      <w:r w:rsidRPr="004F4F55">
        <w:rPr>
          <w:rFonts w:ascii="Arial" w:hAnsi="Arial" w:cs="Arial"/>
          <w:i/>
          <w:iCs/>
          <w:lang w:val="es-419"/>
        </w:rPr>
        <w:t xml:space="preserve"> </w:t>
      </w:r>
      <w:r w:rsidRPr="004F4F55">
        <w:rPr>
          <w:rFonts w:ascii="Arial" w:hAnsi="Arial" w:cs="Arial"/>
          <w:iCs/>
          <w:lang w:val="es-419"/>
        </w:rPr>
        <w:t>al permitir al convocante</w:t>
      </w:r>
      <w:r w:rsidR="00E72499">
        <w:rPr>
          <w:rFonts w:ascii="Arial" w:hAnsi="Arial" w:cs="Arial"/>
          <w:iCs/>
          <w:lang w:val="es-419"/>
        </w:rPr>
        <w:t>,</w:t>
      </w:r>
      <w:r w:rsidRPr="004F4F55">
        <w:rPr>
          <w:rFonts w:ascii="Arial" w:hAnsi="Arial" w:cs="Arial"/>
          <w:iCs/>
          <w:lang w:val="es-419"/>
        </w:rPr>
        <w:t xml:space="preserve"> </w:t>
      </w:r>
      <w:r w:rsidR="00E72499">
        <w:rPr>
          <w:rFonts w:ascii="Arial" w:hAnsi="Arial" w:cs="Arial"/>
          <w:iCs/>
          <w:lang w:val="es-419"/>
        </w:rPr>
        <w:t>el acceso</w:t>
      </w:r>
      <w:r w:rsidRPr="004F4F55">
        <w:rPr>
          <w:rFonts w:ascii="Arial" w:hAnsi="Arial" w:cs="Arial"/>
          <w:iCs/>
          <w:lang w:val="es-419"/>
        </w:rPr>
        <w:t xml:space="preserve"> a información que contien</w:t>
      </w:r>
      <w:r w:rsidR="00E46430">
        <w:rPr>
          <w:rFonts w:ascii="Arial" w:hAnsi="Arial" w:cs="Arial"/>
          <w:iCs/>
          <w:lang w:val="es-419"/>
        </w:rPr>
        <w:t>e datos personales de sus usuarios, quienes</w:t>
      </w:r>
      <w:r w:rsidR="00E72499">
        <w:rPr>
          <w:rFonts w:ascii="Arial" w:hAnsi="Arial" w:cs="Arial"/>
          <w:iCs/>
          <w:lang w:val="es-419"/>
        </w:rPr>
        <w:t>, por cierto,</w:t>
      </w:r>
      <w:r w:rsidR="00E46430">
        <w:rPr>
          <w:rFonts w:ascii="Arial" w:hAnsi="Arial" w:cs="Arial"/>
          <w:iCs/>
          <w:lang w:val="es-419"/>
        </w:rPr>
        <w:t xml:space="preserve"> </w:t>
      </w:r>
      <w:r w:rsidRPr="004F4F55">
        <w:rPr>
          <w:rFonts w:ascii="Arial" w:hAnsi="Arial" w:cs="Arial"/>
        </w:rPr>
        <w:t xml:space="preserve">no han otorgado una autorización expresa para que </w:t>
      </w:r>
      <w:r w:rsidR="00CF122B">
        <w:rPr>
          <w:rFonts w:ascii="Arial" w:hAnsi="Arial" w:cs="Arial"/>
        </w:rPr>
        <w:t>fuera</w:t>
      </w:r>
      <w:r w:rsidRPr="004F4F55">
        <w:rPr>
          <w:rFonts w:ascii="Arial" w:hAnsi="Arial" w:cs="Arial"/>
        </w:rPr>
        <w:t xml:space="preserve"> compartida a terceros</w:t>
      </w:r>
      <w:r>
        <w:rPr>
          <w:rFonts w:ascii="Arial" w:hAnsi="Arial" w:cs="Arial"/>
          <w:iCs/>
          <w:lang w:val="es-419"/>
        </w:rPr>
        <w:t>.</w:t>
      </w:r>
      <w:r w:rsidRPr="004F4F55">
        <w:rPr>
          <w:rFonts w:ascii="Arial" w:hAnsi="Arial" w:cs="Arial"/>
          <w:iCs/>
          <w:lang w:val="es-419"/>
        </w:rPr>
        <w:t xml:space="preserve"> </w:t>
      </w:r>
    </w:p>
    <w:p w14:paraId="109E2CE5" w14:textId="33880426" w:rsidR="00027850" w:rsidRPr="00E46430" w:rsidRDefault="00C83DEA" w:rsidP="00C83DEA">
      <w:pPr>
        <w:pStyle w:val="Prrafodelista"/>
        <w:numPr>
          <w:ilvl w:val="0"/>
          <w:numId w:val="39"/>
        </w:numPr>
        <w:spacing w:line="276" w:lineRule="auto"/>
        <w:jc w:val="both"/>
        <w:rPr>
          <w:rFonts w:ascii="Arial" w:hAnsi="Arial" w:cs="Arial"/>
          <w:iCs/>
          <w:lang w:val="es-419"/>
        </w:rPr>
      </w:pPr>
      <w:r>
        <w:rPr>
          <w:rFonts w:ascii="Arial" w:hAnsi="Arial" w:cs="Arial"/>
          <w:iCs/>
          <w:lang w:val="es-419"/>
        </w:rPr>
        <w:t>C</w:t>
      </w:r>
      <w:r w:rsidR="004F4F55" w:rsidRPr="00C83DEA">
        <w:rPr>
          <w:rFonts w:ascii="Arial" w:hAnsi="Arial" w:cs="Arial"/>
          <w:iCs/>
          <w:lang w:val="es-419"/>
        </w:rPr>
        <w:t xml:space="preserve">onforme a los términos de un juicio estricto de proporcionalidad, existen otras medidas más garantistas que las órdenes impartidas en el auto No. 9 del 7 de </w:t>
      </w:r>
      <w:r w:rsidR="004F4F55" w:rsidRPr="00E46430">
        <w:rPr>
          <w:rFonts w:ascii="Arial" w:hAnsi="Arial" w:cs="Arial"/>
          <w:iCs/>
          <w:lang w:val="es-419"/>
        </w:rPr>
        <w:t>diciembre de 2020</w:t>
      </w:r>
      <w:r w:rsidRPr="00E46430">
        <w:rPr>
          <w:rFonts w:ascii="Arial" w:hAnsi="Arial" w:cs="Arial"/>
          <w:iCs/>
          <w:lang w:val="es-419"/>
        </w:rPr>
        <w:t>, para lograr el fin perseguido por CEDELCA.</w:t>
      </w:r>
    </w:p>
    <w:p w14:paraId="7AEA094F" w14:textId="77777777" w:rsidR="00C83DEA" w:rsidRPr="00E46430" w:rsidRDefault="00C83DEA" w:rsidP="00E46430">
      <w:pPr>
        <w:spacing w:line="276" w:lineRule="auto"/>
        <w:rPr>
          <w:iCs/>
          <w:sz w:val="24"/>
          <w:szCs w:val="24"/>
          <w:lang w:val="es-419"/>
        </w:rPr>
      </w:pPr>
    </w:p>
    <w:p w14:paraId="1F2D0DB5" w14:textId="49705B5E" w:rsidR="00027850" w:rsidRPr="00E46430" w:rsidRDefault="00980965" w:rsidP="00AE19E9">
      <w:pPr>
        <w:overflowPunct w:val="0"/>
        <w:autoSpaceDE w:val="0"/>
        <w:autoSpaceDN w:val="0"/>
        <w:adjustRightInd w:val="0"/>
        <w:spacing w:line="276" w:lineRule="auto"/>
        <w:contextualSpacing/>
        <w:rPr>
          <w:rFonts w:eastAsia="Times New Roman"/>
          <w:b/>
          <w:sz w:val="24"/>
          <w:szCs w:val="24"/>
          <w:lang w:eastAsia="es-ES"/>
        </w:rPr>
      </w:pPr>
      <w:r>
        <w:rPr>
          <w:b/>
          <w:sz w:val="24"/>
          <w:szCs w:val="24"/>
        </w:rPr>
        <w:t>1.</w:t>
      </w:r>
      <w:r w:rsidR="00EB0959" w:rsidRPr="00E46430">
        <w:rPr>
          <w:b/>
          <w:sz w:val="24"/>
          <w:szCs w:val="24"/>
        </w:rPr>
        <w:t>5</w:t>
      </w:r>
      <w:r w:rsidR="00027850" w:rsidRPr="00E46430">
        <w:rPr>
          <w:b/>
          <w:sz w:val="24"/>
          <w:szCs w:val="24"/>
        </w:rPr>
        <w:t xml:space="preserve">. Trámite de tutela e intervenciones  </w:t>
      </w:r>
    </w:p>
    <w:p w14:paraId="1E739B4B" w14:textId="77777777" w:rsidR="00027850" w:rsidRPr="00E46430" w:rsidRDefault="00027850" w:rsidP="00AE19E9">
      <w:pPr>
        <w:overflowPunct w:val="0"/>
        <w:autoSpaceDE w:val="0"/>
        <w:autoSpaceDN w:val="0"/>
        <w:adjustRightInd w:val="0"/>
        <w:spacing w:line="276" w:lineRule="auto"/>
        <w:contextualSpacing/>
        <w:rPr>
          <w:sz w:val="24"/>
          <w:szCs w:val="24"/>
        </w:rPr>
      </w:pPr>
    </w:p>
    <w:p w14:paraId="741D0286" w14:textId="04F66B79" w:rsidR="00C83DEA" w:rsidRDefault="00980965" w:rsidP="00AE19E9">
      <w:pPr>
        <w:overflowPunct w:val="0"/>
        <w:autoSpaceDE w:val="0"/>
        <w:autoSpaceDN w:val="0"/>
        <w:adjustRightInd w:val="0"/>
        <w:spacing w:line="276" w:lineRule="auto"/>
        <w:contextualSpacing/>
        <w:rPr>
          <w:sz w:val="24"/>
          <w:szCs w:val="24"/>
        </w:rPr>
      </w:pPr>
      <w:r>
        <w:rPr>
          <w:b/>
          <w:sz w:val="24"/>
          <w:szCs w:val="24"/>
        </w:rPr>
        <w:t>1.</w:t>
      </w:r>
      <w:r w:rsidR="00EB0959" w:rsidRPr="003537D3">
        <w:rPr>
          <w:b/>
          <w:sz w:val="24"/>
          <w:szCs w:val="24"/>
        </w:rPr>
        <w:t>5</w:t>
      </w:r>
      <w:r w:rsidR="00027850" w:rsidRPr="003537D3">
        <w:rPr>
          <w:b/>
          <w:sz w:val="24"/>
          <w:szCs w:val="24"/>
        </w:rPr>
        <w:t xml:space="preserve">.1. </w:t>
      </w:r>
      <w:r w:rsidR="00027850" w:rsidRPr="00C83DEA">
        <w:rPr>
          <w:sz w:val="24"/>
          <w:szCs w:val="24"/>
        </w:rPr>
        <w:t>El Despacho Sustanciador</w:t>
      </w:r>
      <w:r w:rsidR="00027850" w:rsidRPr="003537D3">
        <w:rPr>
          <w:sz w:val="24"/>
          <w:szCs w:val="24"/>
        </w:rPr>
        <w:t xml:space="preserve"> </w:t>
      </w:r>
      <w:r w:rsidR="00CE2681" w:rsidRPr="003537D3">
        <w:rPr>
          <w:sz w:val="24"/>
          <w:szCs w:val="24"/>
        </w:rPr>
        <w:t xml:space="preserve">de esta Sala </w:t>
      </w:r>
      <w:r w:rsidR="00C83DEA">
        <w:rPr>
          <w:sz w:val="24"/>
          <w:szCs w:val="24"/>
        </w:rPr>
        <w:t>profirió el auto del 12 de febrero de 2021</w:t>
      </w:r>
      <w:r w:rsidR="00027850" w:rsidRPr="003537D3">
        <w:rPr>
          <w:sz w:val="24"/>
          <w:szCs w:val="24"/>
          <w:vertAlign w:val="superscript"/>
        </w:rPr>
        <w:footnoteReference w:id="25"/>
      </w:r>
      <w:r w:rsidR="00C022C9">
        <w:rPr>
          <w:sz w:val="24"/>
          <w:szCs w:val="24"/>
        </w:rPr>
        <w:t>,</w:t>
      </w:r>
      <w:r w:rsidR="00C83DEA">
        <w:rPr>
          <w:sz w:val="24"/>
          <w:szCs w:val="24"/>
        </w:rPr>
        <w:t xml:space="preserve"> en el que: (i) admitió la acción de tutela; (ii) negó la solicitud de suspensión provisional presentada por el accionante, </w:t>
      </w:r>
      <w:r w:rsidR="00C83DEA" w:rsidRPr="00C83DEA">
        <w:rPr>
          <w:bCs/>
          <w:sz w:val="24"/>
          <w:szCs w:val="24"/>
        </w:rPr>
        <w:t>en el entendido que, respecto del numeral primero de la parte resolutiva del auto No.</w:t>
      </w:r>
      <w:r w:rsidR="00084A35">
        <w:rPr>
          <w:bCs/>
          <w:sz w:val="24"/>
          <w:szCs w:val="24"/>
        </w:rPr>
        <w:t xml:space="preserve"> </w:t>
      </w:r>
      <w:r w:rsidR="00C83DEA" w:rsidRPr="00C83DEA">
        <w:rPr>
          <w:bCs/>
          <w:sz w:val="24"/>
          <w:szCs w:val="24"/>
        </w:rPr>
        <w:t xml:space="preserve">9 del 7 de diciembre de 2020, </w:t>
      </w:r>
      <w:r w:rsidR="00C83DEA" w:rsidRPr="00E46430">
        <w:rPr>
          <w:bCs/>
          <w:sz w:val="24"/>
          <w:szCs w:val="24"/>
        </w:rPr>
        <w:t xml:space="preserve">“a CEO S.A.S le corresponderá </w:t>
      </w:r>
      <w:r w:rsidR="00C83DEA" w:rsidRPr="00E46430">
        <w:rPr>
          <w:sz w:val="24"/>
          <w:szCs w:val="24"/>
          <w:lang w:val="es-ES_tradnl"/>
        </w:rPr>
        <w:t xml:space="preserve">permitir el acceso a la información indicada por el perito Julio Villarreal el 14 de diciembre de 2020, únicamente conforme a los términos del derecho de petición del 29 de julio de 2020, y siempre que guarde relación con la </w:t>
      </w:r>
      <w:r w:rsidR="00E46430" w:rsidRPr="00E46430">
        <w:rPr>
          <w:color w:val="4D5156"/>
          <w:sz w:val="24"/>
          <w:szCs w:val="24"/>
          <w:shd w:val="clear" w:color="auto" w:fill="FFFFFF"/>
        </w:rPr>
        <w:t xml:space="preserve">« </w:t>
      </w:r>
      <w:r w:rsidR="00E46430" w:rsidRPr="00E46430">
        <w:rPr>
          <w:sz w:val="24"/>
          <w:szCs w:val="24"/>
          <w:lang w:val="es-ES_tradnl"/>
        </w:rPr>
        <w:t>Cartera Propiedad de CEDELCA</w:t>
      </w:r>
      <w:r w:rsidR="00E46430" w:rsidRPr="00E46430">
        <w:rPr>
          <w:color w:val="4D5156"/>
          <w:sz w:val="24"/>
          <w:szCs w:val="24"/>
          <w:shd w:val="clear" w:color="auto" w:fill="FFFFFF"/>
        </w:rPr>
        <w:t>»</w:t>
      </w:r>
      <w:r w:rsidR="00C83DEA" w:rsidRPr="00E46430">
        <w:rPr>
          <w:sz w:val="24"/>
          <w:szCs w:val="24"/>
          <w:lang w:val="es-ES_tradnl"/>
        </w:rPr>
        <w:t xml:space="preserve"> y la </w:t>
      </w:r>
      <w:r w:rsidR="00E46430" w:rsidRPr="00E46430">
        <w:rPr>
          <w:color w:val="4D5156"/>
          <w:sz w:val="24"/>
          <w:szCs w:val="24"/>
          <w:shd w:val="clear" w:color="auto" w:fill="FFFFFF"/>
        </w:rPr>
        <w:t>«</w:t>
      </w:r>
      <w:r w:rsidR="00E46430" w:rsidRPr="00E46430">
        <w:rPr>
          <w:sz w:val="24"/>
          <w:szCs w:val="24"/>
          <w:lang w:val="es-ES_tradnl"/>
        </w:rPr>
        <w:t>Cartera presunta propiedad de CEC</w:t>
      </w:r>
      <w:r w:rsidR="00E46430" w:rsidRPr="00E46430">
        <w:rPr>
          <w:color w:val="4D5156"/>
          <w:sz w:val="24"/>
          <w:szCs w:val="24"/>
          <w:shd w:val="clear" w:color="auto" w:fill="FFFFFF"/>
        </w:rPr>
        <w:t>»</w:t>
      </w:r>
      <w:r w:rsidR="00C83DEA" w:rsidRPr="00E46430">
        <w:rPr>
          <w:sz w:val="24"/>
          <w:szCs w:val="24"/>
          <w:lang w:val="es-ES_tradnl"/>
        </w:rPr>
        <w:t>, asuntos definidos en la petición</w:t>
      </w:r>
      <w:r w:rsidR="00C83DEA" w:rsidRPr="00C83DEA">
        <w:rPr>
          <w:bCs/>
          <w:sz w:val="24"/>
          <w:szCs w:val="24"/>
        </w:rPr>
        <w:t>”</w:t>
      </w:r>
      <w:r w:rsidR="00C83DEA">
        <w:rPr>
          <w:bCs/>
          <w:sz w:val="24"/>
          <w:szCs w:val="24"/>
        </w:rPr>
        <w:t xml:space="preserve">; </w:t>
      </w:r>
      <w:r w:rsidR="00BC199B">
        <w:rPr>
          <w:bCs/>
          <w:sz w:val="24"/>
          <w:szCs w:val="24"/>
        </w:rPr>
        <w:t xml:space="preserve">y </w:t>
      </w:r>
      <w:r w:rsidR="00C83DEA">
        <w:rPr>
          <w:bCs/>
          <w:sz w:val="24"/>
          <w:szCs w:val="24"/>
        </w:rPr>
        <w:t xml:space="preserve">(iii) </w:t>
      </w:r>
      <w:r w:rsidR="006A2F4F">
        <w:rPr>
          <w:bCs/>
          <w:sz w:val="24"/>
          <w:szCs w:val="24"/>
        </w:rPr>
        <w:t>requirió</w:t>
      </w:r>
      <w:r w:rsidR="00C83DEA">
        <w:rPr>
          <w:bCs/>
          <w:sz w:val="24"/>
          <w:szCs w:val="24"/>
        </w:rPr>
        <w:t xml:space="preserve"> al perito Julio </w:t>
      </w:r>
      <w:r w:rsidR="00C83DEA" w:rsidRPr="00BC199B">
        <w:rPr>
          <w:bCs/>
          <w:sz w:val="24"/>
          <w:szCs w:val="24"/>
        </w:rPr>
        <w:t>Villarreal que explicar</w:t>
      </w:r>
      <w:r w:rsidR="00BC199B">
        <w:rPr>
          <w:bCs/>
          <w:sz w:val="24"/>
          <w:szCs w:val="24"/>
        </w:rPr>
        <w:t>a</w:t>
      </w:r>
      <w:r w:rsidR="00C83DEA" w:rsidRPr="00BC199B">
        <w:rPr>
          <w:bCs/>
          <w:sz w:val="24"/>
          <w:szCs w:val="24"/>
        </w:rPr>
        <w:t xml:space="preserve"> </w:t>
      </w:r>
      <w:r w:rsidR="00C83DEA" w:rsidRPr="00BC199B">
        <w:rPr>
          <w:sz w:val="24"/>
          <w:szCs w:val="24"/>
          <w:lang w:val="es-ES"/>
        </w:rPr>
        <w:t xml:space="preserve">las razones por las que </w:t>
      </w:r>
      <w:r w:rsidR="00E46430">
        <w:rPr>
          <w:sz w:val="24"/>
          <w:szCs w:val="24"/>
          <w:lang w:val="es-ES"/>
        </w:rPr>
        <w:t>requería</w:t>
      </w:r>
      <w:r w:rsidR="00C83DEA" w:rsidRPr="00BC199B">
        <w:rPr>
          <w:sz w:val="24"/>
          <w:szCs w:val="24"/>
          <w:lang w:val="es-ES"/>
        </w:rPr>
        <w:t xml:space="preserve"> la información </w:t>
      </w:r>
      <w:r w:rsidR="00C83DEA" w:rsidRPr="00BC199B">
        <w:rPr>
          <w:sz w:val="24"/>
          <w:szCs w:val="24"/>
          <w:lang w:val="es-ES_tradnl"/>
        </w:rPr>
        <w:t>qu</w:t>
      </w:r>
      <w:r w:rsidR="00E46430">
        <w:rPr>
          <w:sz w:val="24"/>
          <w:szCs w:val="24"/>
          <w:lang w:val="es-ES_tradnl"/>
        </w:rPr>
        <w:t xml:space="preserve">e le puso de presente a CEDELCA, </w:t>
      </w:r>
      <w:r w:rsidR="00C83DEA" w:rsidRPr="00BC199B">
        <w:rPr>
          <w:sz w:val="24"/>
          <w:szCs w:val="24"/>
          <w:lang w:val="es-ES_tradnl"/>
        </w:rPr>
        <w:t>el 14 de diciembre de 2020</w:t>
      </w:r>
      <w:r w:rsidR="00E46430">
        <w:rPr>
          <w:sz w:val="24"/>
          <w:szCs w:val="24"/>
          <w:lang w:val="es-ES_tradnl"/>
        </w:rPr>
        <w:t>.</w:t>
      </w:r>
    </w:p>
    <w:p w14:paraId="29F7EB48" w14:textId="35D34F33" w:rsidR="00C83DEA" w:rsidRDefault="00C83DEA" w:rsidP="00AE19E9">
      <w:pPr>
        <w:overflowPunct w:val="0"/>
        <w:autoSpaceDE w:val="0"/>
        <w:autoSpaceDN w:val="0"/>
        <w:adjustRightInd w:val="0"/>
        <w:spacing w:line="276" w:lineRule="auto"/>
        <w:contextualSpacing/>
        <w:rPr>
          <w:bCs/>
          <w:sz w:val="24"/>
          <w:szCs w:val="24"/>
        </w:rPr>
      </w:pPr>
    </w:p>
    <w:p w14:paraId="54194B1C" w14:textId="305B5C7C" w:rsidR="00027850" w:rsidRPr="00C022C9" w:rsidRDefault="00027850" w:rsidP="00AE19E9">
      <w:pPr>
        <w:overflowPunct w:val="0"/>
        <w:autoSpaceDE w:val="0"/>
        <w:autoSpaceDN w:val="0"/>
        <w:adjustRightInd w:val="0"/>
        <w:spacing w:line="276" w:lineRule="auto"/>
        <w:contextualSpacing/>
        <w:rPr>
          <w:bCs/>
          <w:sz w:val="24"/>
          <w:szCs w:val="24"/>
        </w:rPr>
      </w:pPr>
      <w:r w:rsidRPr="003537D3">
        <w:rPr>
          <w:sz w:val="24"/>
          <w:szCs w:val="24"/>
        </w:rPr>
        <w:t xml:space="preserve">Notificadas las partes y vinculados como terceros interesados quienes participaron en el proceso ordinario objeto del escrito de tutela, </w:t>
      </w:r>
      <w:r w:rsidR="00BC199B">
        <w:rPr>
          <w:sz w:val="24"/>
          <w:szCs w:val="24"/>
        </w:rPr>
        <w:t xml:space="preserve">ese despacho </w:t>
      </w:r>
      <w:r w:rsidRPr="003537D3">
        <w:rPr>
          <w:sz w:val="24"/>
          <w:szCs w:val="24"/>
        </w:rPr>
        <w:t>recibió las siguientes respuestas:</w:t>
      </w:r>
    </w:p>
    <w:p w14:paraId="69635A38" w14:textId="07026328" w:rsidR="00027850" w:rsidRPr="003537D3" w:rsidRDefault="00027850" w:rsidP="00AE19E9">
      <w:pPr>
        <w:overflowPunct w:val="0"/>
        <w:autoSpaceDE w:val="0"/>
        <w:autoSpaceDN w:val="0"/>
        <w:adjustRightInd w:val="0"/>
        <w:spacing w:line="276" w:lineRule="auto"/>
        <w:contextualSpacing/>
        <w:rPr>
          <w:sz w:val="24"/>
          <w:szCs w:val="24"/>
        </w:rPr>
      </w:pPr>
    </w:p>
    <w:p w14:paraId="3A950697" w14:textId="4465F9C3" w:rsidR="00046DF7" w:rsidRPr="003537D3" w:rsidRDefault="00980965" w:rsidP="00AE19E9">
      <w:pPr>
        <w:overflowPunct w:val="0"/>
        <w:autoSpaceDE w:val="0"/>
        <w:autoSpaceDN w:val="0"/>
        <w:adjustRightInd w:val="0"/>
        <w:spacing w:line="276" w:lineRule="auto"/>
        <w:contextualSpacing/>
        <w:rPr>
          <w:sz w:val="24"/>
          <w:szCs w:val="24"/>
        </w:rPr>
      </w:pPr>
      <w:r>
        <w:rPr>
          <w:b/>
          <w:sz w:val="24"/>
          <w:szCs w:val="24"/>
        </w:rPr>
        <w:lastRenderedPageBreak/>
        <w:t>1.</w:t>
      </w:r>
      <w:r w:rsidR="00C022C9">
        <w:rPr>
          <w:b/>
          <w:sz w:val="24"/>
          <w:szCs w:val="24"/>
        </w:rPr>
        <w:t xml:space="preserve">5.2. </w:t>
      </w:r>
      <w:r w:rsidR="007109A7" w:rsidRPr="003537D3">
        <w:rPr>
          <w:sz w:val="24"/>
          <w:szCs w:val="24"/>
        </w:rPr>
        <w:t>El Tribunal de Arbitramento</w:t>
      </w:r>
      <w:r w:rsidR="0028592C">
        <w:rPr>
          <w:rStyle w:val="Refdenotaalpie"/>
          <w:sz w:val="24"/>
          <w:szCs w:val="24"/>
        </w:rPr>
        <w:footnoteReference w:id="26"/>
      </w:r>
      <w:r w:rsidR="007109A7" w:rsidRPr="003537D3">
        <w:rPr>
          <w:sz w:val="24"/>
          <w:szCs w:val="24"/>
        </w:rPr>
        <w:t xml:space="preserve"> solicitó que se negaran las peticiones del escrito de tutela, puesto que, en su parecer, no ha vulnerado los derechos fundamentales de la sociedad accionante. Como sustento de lo anterior, </w:t>
      </w:r>
      <w:r w:rsidR="002B2E88" w:rsidRPr="003537D3">
        <w:rPr>
          <w:sz w:val="24"/>
          <w:szCs w:val="24"/>
        </w:rPr>
        <w:t>precisó</w:t>
      </w:r>
      <w:r w:rsidR="00046DF7" w:rsidRPr="003537D3">
        <w:rPr>
          <w:sz w:val="24"/>
          <w:szCs w:val="24"/>
        </w:rPr>
        <w:t xml:space="preserve"> que</w:t>
      </w:r>
      <w:r w:rsidR="002B2E88" w:rsidRPr="003537D3">
        <w:rPr>
          <w:sz w:val="24"/>
          <w:szCs w:val="24"/>
        </w:rPr>
        <w:t>: (i)</w:t>
      </w:r>
      <w:r w:rsidR="00046DF7" w:rsidRPr="003537D3">
        <w:rPr>
          <w:sz w:val="24"/>
          <w:szCs w:val="24"/>
        </w:rPr>
        <w:t xml:space="preserve"> </w:t>
      </w:r>
      <w:r w:rsidR="007F00FD" w:rsidRPr="003537D3">
        <w:rPr>
          <w:sz w:val="24"/>
          <w:szCs w:val="24"/>
        </w:rPr>
        <w:t>la controversia no se centra en la</w:t>
      </w:r>
      <w:r w:rsidR="00046DF7" w:rsidRPr="003537D3">
        <w:rPr>
          <w:sz w:val="24"/>
          <w:szCs w:val="24"/>
        </w:rPr>
        <w:t xml:space="preserve"> </w:t>
      </w:r>
      <w:r w:rsidR="007F00FD" w:rsidRPr="003537D3">
        <w:rPr>
          <w:sz w:val="24"/>
          <w:szCs w:val="24"/>
        </w:rPr>
        <w:t>práctica de</w:t>
      </w:r>
      <w:r w:rsidR="00046DF7" w:rsidRPr="003537D3">
        <w:rPr>
          <w:sz w:val="24"/>
          <w:szCs w:val="24"/>
        </w:rPr>
        <w:t xml:space="preserve"> un medio de prueba, como así lo entiende </w:t>
      </w:r>
      <w:r w:rsidR="00BC199B">
        <w:rPr>
          <w:sz w:val="24"/>
          <w:szCs w:val="24"/>
        </w:rPr>
        <w:t>CEO</w:t>
      </w:r>
      <w:r w:rsidR="00046DF7" w:rsidRPr="003537D3">
        <w:rPr>
          <w:sz w:val="24"/>
          <w:szCs w:val="24"/>
        </w:rPr>
        <w:t xml:space="preserve">, </w:t>
      </w:r>
      <w:r w:rsidR="002B2E88" w:rsidRPr="003537D3">
        <w:rPr>
          <w:sz w:val="24"/>
          <w:szCs w:val="24"/>
        </w:rPr>
        <w:t xml:space="preserve">sino </w:t>
      </w:r>
      <w:r w:rsidR="007F00FD" w:rsidRPr="003537D3">
        <w:rPr>
          <w:sz w:val="24"/>
          <w:szCs w:val="24"/>
        </w:rPr>
        <w:t>en e</w:t>
      </w:r>
      <w:r w:rsidR="002B2E88" w:rsidRPr="003537D3">
        <w:rPr>
          <w:sz w:val="24"/>
          <w:szCs w:val="24"/>
        </w:rPr>
        <w:t>l cumplimiento de una medida cautelar con fines probatorios; (</w:t>
      </w:r>
      <w:r w:rsidR="00046DF7" w:rsidRPr="003537D3">
        <w:rPr>
          <w:sz w:val="24"/>
          <w:szCs w:val="24"/>
        </w:rPr>
        <w:t>i</w:t>
      </w:r>
      <w:r w:rsidR="002B2E88" w:rsidRPr="003537D3">
        <w:rPr>
          <w:sz w:val="24"/>
          <w:szCs w:val="24"/>
        </w:rPr>
        <w:t xml:space="preserve">i) </w:t>
      </w:r>
      <w:r w:rsidR="007F00FD" w:rsidRPr="003537D3">
        <w:rPr>
          <w:sz w:val="24"/>
          <w:szCs w:val="24"/>
        </w:rPr>
        <w:t xml:space="preserve">la cautela reside en el </w:t>
      </w:r>
      <w:r w:rsidR="00046DF7" w:rsidRPr="003537D3">
        <w:rPr>
          <w:sz w:val="24"/>
          <w:szCs w:val="24"/>
        </w:rPr>
        <w:t>recaudo de la información para la elaboración de un dictamen pericial de parte</w:t>
      </w:r>
      <w:r w:rsidR="007F00FD" w:rsidRPr="003537D3">
        <w:rPr>
          <w:sz w:val="24"/>
          <w:szCs w:val="24"/>
        </w:rPr>
        <w:t xml:space="preserve">, </w:t>
      </w:r>
      <w:r w:rsidR="00076DD1">
        <w:rPr>
          <w:sz w:val="24"/>
          <w:szCs w:val="24"/>
        </w:rPr>
        <w:t xml:space="preserve">que ha sido </w:t>
      </w:r>
      <w:r w:rsidR="00046DF7" w:rsidRPr="003537D3">
        <w:rPr>
          <w:sz w:val="24"/>
          <w:szCs w:val="24"/>
        </w:rPr>
        <w:t xml:space="preserve">delimitada conforme a los parámetros </w:t>
      </w:r>
      <w:r w:rsidR="007F00FD" w:rsidRPr="003537D3">
        <w:rPr>
          <w:sz w:val="24"/>
          <w:szCs w:val="24"/>
        </w:rPr>
        <w:t>del perito; y (iii) ha tenido el cuidado de restringir el acceso y uso de la información a solo aquella que esté relacionada con el objeto del litigio, de tal manera que no ha afectado las garantías de la actora ni mucho menos de terceros.</w:t>
      </w:r>
    </w:p>
    <w:p w14:paraId="118B0CF4" w14:textId="4873A188" w:rsidR="007F00FD" w:rsidRPr="003537D3" w:rsidRDefault="007F00FD" w:rsidP="00AE19E9">
      <w:pPr>
        <w:overflowPunct w:val="0"/>
        <w:autoSpaceDE w:val="0"/>
        <w:autoSpaceDN w:val="0"/>
        <w:adjustRightInd w:val="0"/>
        <w:spacing w:line="276" w:lineRule="auto"/>
        <w:contextualSpacing/>
        <w:rPr>
          <w:sz w:val="24"/>
          <w:szCs w:val="24"/>
        </w:rPr>
      </w:pPr>
    </w:p>
    <w:p w14:paraId="74034D66" w14:textId="681EE8D1" w:rsidR="00046DF7" w:rsidRDefault="00980965" w:rsidP="00AE19E9">
      <w:pPr>
        <w:overflowPunct w:val="0"/>
        <w:autoSpaceDE w:val="0"/>
        <w:autoSpaceDN w:val="0"/>
        <w:adjustRightInd w:val="0"/>
        <w:spacing w:line="276" w:lineRule="auto"/>
        <w:contextualSpacing/>
        <w:rPr>
          <w:sz w:val="24"/>
          <w:szCs w:val="24"/>
        </w:rPr>
      </w:pPr>
      <w:r>
        <w:rPr>
          <w:b/>
          <w:sz w:val="24"/>
          <w:szCs w:val="24"/>
        </w:rPr>
        <w:t>1.</w:t>
      </w:r>
      <w:r w:rsidR="00C022C9">
        <w:rPr>
          <w:b/>
          <w:sz w:val="24"/>
          <w:szCs w:val="24"/>
        </w:rPr>
        <w:t xml:space="preserve">5.3. </w:t>
      </w:r>
      <w:r w:rsidR="007F00FD" w:rsidRPr="003537D3">
        <w:rPr>
          <w:sz w:val="24"/>
          <w:szCs w:val="24"/>
        </w:rPr>
        <w:t>CEDELCA</w:t>
      </w:r>
      <w:r w:rsidR="0028592C">
        <w:rPr>
          <w:rStyle w:val="Refdenotaalpie"/>
          <w:sz w:val="24"/>
          <w:szCs w:val="24"/>
        </w:rPr>
        <w:footnoteReference w:id="27"/>
      </w:r>
      <w:r w:rsidR="007F00FD" w:rsidRPr="003537D3">
        <w:rPr>
          <w:sz w:val="24"/>
          <w:szCs w:val="24"/>
        </w:rPr>
        <w:t xml:space="preserve"> </w:t>
      </w:r>
      <w:r w:rsidR="00D23E36" w:rsidRPr="003537D3">
        <w:rPr>
          <w:sz w:val="24"/>
          <w:szCs w:val="24"/>
        </w:rPr>
        <w:t xml:space="preserve">afirmó que la acción de tutela es improcedente, </w:t>
      </w:r>
      <w:r w:rsidR="00B86C8A">
        <w:rPr>
          <w:sz w:val="24"/>
          <w:szCs w:val="24"/>
        </w:rPr>
        <w:t>al considerar que CEO</w:t>
      </w:r>
      <w:r w:rsidR="00D23E36" w:rsidRPr="003537D3">
        <w:rPr>
          <w:sz w:val="24"/>
          <w:szCs w:val="24"/>
        </w:rPr>
        <w:t xml:space="preserve"> pretende utilizar este mecanismo constitucional como “un nuevo recurso”. </w:t>
      </w:r>
      <w:r w:rsidR="00076DD1">
        <w:rPr>
          <w:sz w:val="24"/>
          <w:szCs w:val="24"/>
        </w:rPr>
        <w:t xml:space="preserve">También </w:t>
      </w:r>
      <w:r w:rsidR="00B86C8A" w:rsidRPr="003537D3">
        <w:rPr>
          <w:sz w:val="24"/>
          <w:szCs w:val="24"/>
        </w:rPr>
        <w:t>expresó que el</w:t>
      </w:r>
      <w:r w:rsidR="00076DD1">
        <w:rPr>
          <w:sz w:val="24"/>
          <w:szCs w:val="24"/>
        </w:rPr>
        <w:t xml:space="preserve"> Tribunal de Arbitramento no ha</w:t>
      </w:r>
      <w:r w:rsidR="00B86C8A" w:rsidRPr="003537D3">
        <w:rPr>
          <w:sz w:val="24"/>
          <w:szCs w:val="24"/>
        </w:rPr>
        <w:t xml:space="preserve"> variado el alcance de la prueba</w:t>
      </w:r>
      <w:r w:rsidR="00B86C8A">
        <w:rPr>
          <w:sz w:val="24"/>
          <w:szCs w:val="24"/>
        </w:rPr>
        <w:t xml:space="preserve"> porque</w:t>
      </w:r>
      <w:r w:rsidR="00B86C8A" w:rsidRPr="003537D3">
        <w:rPr>
          <w:sz w:val="24"/>
          <w:szCs w:val="24"/>
        </w:rPr>
        <w:t xml:space="preserve"> ya ha aclarado</w:t>
      </w:r>
      <w:r w:rsidR="00B86C8A">
        <w:rPr>
          <w:sz w:val="24"/>
          <w:szCs w:val="24"/>
        </w:rPr>
        <w:t xml:space="preserve"> que lo solicitado corresponde </w:t>
      </w:r>
      <w:r w:rsidR="00B86C8A" w:rsidRPr="003537D3">
        <w:rPr>
          <w:sz w:val="24"/>
          <w:szCs w:val="24"/>
        </w:rPr>
        <w:t>a la información de las carteras</w:t>
      </w:r>
      <w:r w:rsidR="00B86C8A">
        <w:rPr>
          <w:sz w:val="24"/>
          <w:szCs w:val="24"/>
        </w:rPr>
        <w:t xml:space="preserve"> en discusión</w:t>
      </w:r>
      <w:r w:rsidR="00B86C8A" w:rsidRPr="003537D3">
        <w:rPr>
          <w:sz w:val="24"/>
          <w:szCs w:val="24"/>
        </w:rPr>
        <w:t>.</w:t>
      </w:r>
      <w:r w:rsidR="00076DD1">
        <w:rPr>
          <w:sz w:val="24"/>
          <w:szCs w:val="24"/>
        </w:rPr>
        <w:t xml:space="preserve"> Luego,</w:t>
      </w:r>
      <w:r w:rsidR="00D23E36" w:rsidRPr="003537D3">
        <w:rPr>
          <w:sz w:val="24"/>
          <w:szCs w:val="24"/>
        </w:rPr>
        <w:t xml:space="preserve"> argumentó que ya </w:t>
      </w:r>
      <w:r w:rsidR="00076DD1">
        <w:rPr>
          <w:sz w:val="24"/>
          <w:szCs w:val="24"/>
        </w:rPr>
        <w:t>le</w:t>
      </w:r>
      <w:r w:rsidR="00D23E36" w:rsidRPr="003537D3">
        <w:rPr>
          <w:sz w:val="24"/>
          <w:szCs w:val="24"/>
        </w:rPr>
        <w:t xml:space="preserve"> había requerido </w:t>
      </w:r>
      <w:r w:rsidR="00076DD1">
        <w:rPr>
          <w:sz w:val="24"/>
          <w:szCs w:val="24"/>
        </w:rPr>
        <w:t>la información</w:t>
      </w:r>
      <w:r w:rsidR="00076DD1" w:rsidRPr="003537D3">
        <w:rPr>
          <w:sz w:val="24"/>
          <w:szCs w:val="24"/>
        </w:rPr>
        <w:t xml:space="preserve"> </w:t>
      </w:r>
      <w:r w:rsidR="00D23E36" w:rsidRPr="003537D3">
        <w:rPr>
          <w:sz w:val="24"/>
          <w:szCs w:val="24"/>
        </w:rPr>
        <w:t>a</w:t>
      </w:r>
      <w:r w:rsidR="00076DD1">
        <w:rPr>
          <w:sz w:val="24"/>
          <w:szCs w:val="24"/>
        </w:rPr>
        <w:t xml:space="preserve">l convocado, </w:t>
      </w:r>
      <w:r w:rsidR="00D23E36" w:rsidRPr="003537D3">
        <w:rPr>
          <w:sz w:val="24"/>
          <w:szCs w:val="24"/>
        </w:rPr>
        <w:t xml:space="preserve">desde hace mucho tiempo, </w:t>
      </w:r>
      <w:r w:rsidR="00076DD1">
        <w:rPr>
          <w:sz w:val="24"/>
          <w:szCs w:val="24"/>
        </w:rPr>
        <w:t>con el objeto de</w:t>
      </w:r>
      <w:r w:rsidR="00D23E36" w:rsidRPr="003537D3">
        <w:rPr>
          <w:sz w:val="24"/>
          <w:szCs w:val="24"/>
        </w:rPr>
        <w:t xml:space="preserve"> conocer la gestión que </w:t>
      </w:r>
      <w:r w:rsidR="00076DD1">
        <w:rPr>
          <w:sz w:val="24"/>
          <w:szCs w:val="24"/>
        </w:rPr>
        <w:t>venía</w:t>
      </w:r>
      <w:r w:rsidR="00D23E36" w:rsidRPr="003537D3">
        <w:rPr>
          <w:sz w:val="24"/>
          <w:szCs w:val="24"/>
        </w:rPr>
        <w:t xml:space="preserve"> ejecutando </w:t>
      </w:r>
      <w:r w:rsidR="00003B92" w:rsidRPr="003537D3">
        <w:rPr>
          <w:sz w:val="24"/>
          <w:szCs w:val="24"/>
        </w:rPr>
        <w:t xml:space="preserve">de una cartera de su propiedad. </w:t>
      </w:r>
      <w:r w:rsidR="00076DD1">
        <w:rPr>
          <w:sz w:val="24"/>
          <w:szCs w:val="24"/>
        </w:rPr>
        <w:t>Finalmente</w:t>
      </w:r>
      <w:r w:rsidR="00003B92" w:rsidRPr="003537D3">
        <w:rPr>
          <w:sz w:val="24"/>
          <w:szCs w:val="24"/>
        </w:rPr>
        <w:t xml:space="preserve">, </w:t>
      </w:r>
      <w:r w:rsidR="00076DD1">
        <w:rPr>
          <w:sz w:val="24"/>
          <w:szCs w:val="24"/>
        </w:rPr>
        <w:t>agregó que no estaba</w:t>
      </w:r>
      <w:r w:rsidR="00003B92" w:rsidRPr="003537D3">
        <w:rPr>
          <w:sz w:val="24"/>
          <w:szCs w:val="24"/>
        </w:rPr>
        <w:t xml:space="preserve"> interesada en datos comerciales ni sensibles de CEO. </w:t>
      </w:r>
    </w:p>
    <w:p w14:paraId="33E79A3B" w14:textId="39AD3545" w:rsidR="00C022C9" w:rsidRDefault="00C022C9" w:rsidP="00AE19E9">
      <w:pPr>
        <w:overflowPunct w:val="0"/>
        <w:autoSpaceDE w:val="0"/>
        <w:autoSpaceDN w:val="0"/>
        <w:adjustRightInd w:val="0"/>
        <w:spacing w:line="276" w:lineRule="auto"/>
        <w:contextualSpacing/>
        <w:rPr>
          <w:sz w:val="24"/>
          <w:szCs w:val="24"/>
        </w:rPr>
      </w:pPr>
    </w:p>
    <w:p w14:paraId="6D3E3AE8" w14:textId="0B874A3B" w:rsidR="008D67CC" w:rsidRDefault="00980965" w:rsidP="00AE19E9">
      <w:pPr>
        <w:overflowPunct w:val="0"/>
        <w:autoSpaceDE w:val="0"/>
        <w:autoSpaceDN w:val="0"/>
        <w:adjustRightInd w:val="0"/>
        <w:spacing w:line="276" w:lineRule="auto"/>
        <w:contextualSpacing/>
        <w:rPr>
          <w:sz w:val="24"/>
          <w:szCs w:val="24"/>
        </w:rPr>
      </w:pPr>
      <w:r>
        <w:rPr>
          <w:b/>
          <w:sz w:val="24"/>
          <w:szCs w:val="24"/>
        </w:rPr>
        <w:t>1.</w:t>
      </w:r>
      <w:r w:rsidR="00C022C9">
        <w:rPr>
          <w:b/>
          <w:sz w:val="24"/>
          <w:szCs w:val="24"/>
        </w:rPr>
        <w:t xml:space="preserve">5.4. </w:t>
      </w:r>
      <w:r w:rsidR="008D67CC">
        <w:rPr>
          <w:sz w:val="24"/>
          <w:szCs w:val="24"/>
        </w:rPr>
        <w:t>El perito Julio Villarreal</w:t>
      </w:r>
      <w:r w:rsidR="003A6CF8">
        <w:rPr>
          <w:rStyle w:val="Refdenotaalpie"/>
          <w:sz w:val="24"/>
          <w:szCs w:val="24"/>
        </w:rPr>
        <w:footnoteReference w:id="28"/>
      </w:r>
      <w:r w:rsidR="00154A85">
        <w:rPr>
          <w:sz w:val="24"/>
          <w:szCs w:val="24"/>
        </w:rPr>
        <w:t xml:space="preserve"> informó</w:t>
      </w:r>
      <w:r w:rsidR="00076DD1" w:rsidRPr="00076DD1">
        <w:rPr>
          <w:sz w:val="24"/>
          <w:szCs w:val="24"/>
        </w:rPr>
        <w:t xml:space="preserve"> </w:t>
      </w:r>
      <w:r w:rsidR="00076DD1">
        <w:rPr>
          <w:sz w:val="24"/>
          <w:szCs w:val="24"/>
        </w:rPr>
        <w:t>que</w:t>
      </w:r>
      <w:r w:rsidR="008D67CC">
        <w:rPr>
          <w:sz w:val="24"/>
          <w:szCs w:val="24"/>
        </w:rPr>
        <w:t xml:space="preserve">: (i) </w:t>
      </w:r>
      <w:r w:rsidR="008D67CC" w:rsidRPr="008D67CC">
        <w:rPr>
          <w:sz w:val="24"/>
          <w:szCs w:val="24"/>
        </w:rPr>
        <w:t>la solicitud de información comercial solo atañe</w:t>
      </w:r>
      <w:r w:rsidR="003A6CF8">
        <w:rPr>
          <w:sz w:val="24"/>
          <w:szCs w:val="24"/>
        </w:rPr>
        <w:t xml:space="preserve"> </w:t>
      </w:r>
      <w:r w:rsidR="008D67CC" w:rsidRPr="008D67CC">
        <w:rPr>
          <w:sz w:val="24"/>
          <w:szCs w:val="24"/>
        </w:rPr>
        <w:t xml:space="preserve">a la “Cartera Propiedad de CEDELCA” y </w:t>
      </w:r>
      <w:r w:rsidR="00E82079">
        <w:rPr>
          <w:sz w:val="24"/>
          <w:szCs w:val="24"/>
        </w:rPr>
        <w:t xml:space="preserve">a </w:t>
      </w:r>
      <w:r w:rsidR="008D67CC" w:rsidRPr="008D67CC">
        <w:rPr>
          <w:sz w:val="24"/>
          <w:szCs w:val="24"/>
        </w:rPr>
        <w:t xml:space="preserve">la “Cartera presunta propiedad de </w:t>
      </w:r>
      <w:r w:rsidR="00E82079">
        <w:rPr>
          <w:sz w:val="24"/>
          <w:szCs w:val="24"/>
        </w:rPr>
        <w:t>CEC”</w:t>
      </w:r>
      <w:r w:rsidR="008D67CC">
        <w:rPr>
          <w:sz w:val="24"/>
          <w:szCs w:val="24"/>
        </w:rPr>
        <w:t xml:space="preserve">; </w:t>
      </w:r>
      <w:r w:rsidR="00076DD1">
        <w:rPr>
          <w:sz w:val="24"/>
          <w:szCs w:val="24"/>
        </w:rPr>
        <w:t xml:space="preserve">(ii) </w:t>
      </w:r>
      <w:r w:rsidR="00076DD1" w:rsidRPr="008D67CC">
        <w:rPr>
          <w:sz w:val="24"/>
          <w:szCs w:val="24"/>
        </w:rPr>
        <w:t>es importante obtener la información comercial necesaria</w:t>
      </w:r>
      <w:r w:rsidR="00076DD1">
        <w:rPr>
          <w:sz w:val="24"/>
          <w:szCs w:val="24"/>
        </w:rPr>
        <w:t xml:space="preserve"> en los </w:t>
      </w:r>
      <w:r w:rsidR="00076DD1" w:rsidRPr="008D67CC">
        <w:rPr>
          <w:sz w:val="24"/>
          <w:szCs w:val="24"/>
        </w:rPr>
        <w:t>backups de la</w:t>
      </w:r>
      <w:r w:rsidR="003A2FE2">
        <w:rPr>
          <w:sz w:val="24"/>
          <w:szCs w:val="24"/>
        </w:rPr>
        <w:t>s</w:t>
      </w:r>
      <w:r w:rsidR="00076DD1" w:rsidRPr="008D67CC">
        <w:rPr>
          <w:sz w:val="24"/>
          <w:szCs w:val="24"/>
        </w:rPr>
        <w:t xml:space="preserve"> base</w:t>
      </w:r>
      <w:r w:rsidR="003A2FE2">
        <w:rPr>
          <w:sz w:val="24"/>
          <w:szCs w:val="24"/>
        </w:rPr>
        <w:t>s</w:t>
      </w:r>
      <w:r w:rsidR="00076DD1" w:rsidRPr="008D67CC">
        <w:rPr>
          <w:sz w:val="24"/>
          <w:szCs w:val="24"/>
        </w:rPr>
        <w:t xml:space="preserve"> de datos de los sistemas comerciales SIEC y OPEN SMART</w:t>
      </w:r>
      <w:r w:rsidR="00076DD1">
        <w:rPr>
          <w:sz w:val="24"/>
          <w:szCs w:val="24"/>
        </w:rPr>
        <w:t xml:space="preserve"> </w:t>
      </w:r>
      <w:r w:rsidR="00046770">
        <w:rPr>
          <w:sz w:val="24"/>
          <w:szCs w:val="24"/>
        </w:rPr>
        <w:t>FLEX</w:t>
      </w:r>
      <w:r w:rsidR="00076DD1">
        <w:rPr>
          <w:sz w:val="24"/>
          <w:szCs w:val="24"/>
        </w:rPr>
        <w:t>,</w:t>
      </w:r>
      <w:r w:rsidR="00076DD1" w:rsidRPr="008D67CC">
        <w:rPr>
          <w:sz w:val="24"/>
          <w:szCs w:val="24"/>
        </w:rPr>
        <w:t xml:space="preserve"> asociada</w:t>
      </w:r>
      <w:r w:rsidR="003A2FE2">
        <w:rPr>
          <w:sz w:val="24"/>
          <w:szCs w:val="24"/>
        </w:rPr>
        <w:t>s</w:t>
      </w:r>
      <w:r w:rsidR="00076DD1" w:rsidRPr="008D67CC">
        <w:rPr>
          <w:sz w:val="24"/>
          <w:szCs w:val="24"/>
        </w:rPr>
        <w:t xml:space="preserve"> a la “Cartera Propiedad de CEDELCA” y </w:t>
      </w:r>
      <w:r w:rsidR="00076DD1">
        <w:rPr>
          <w:sz w:val="24"/>
          <w:szCs w:val="24"/>
        </w:rPr>
        <w:t xml:space="preserve">a </w:t>
      </w:r>
      <w:r w:rsidR="00076DD1" w:rsidRPr="008D67CC">
        <w:rPr>
          <w:sz w:val="24"/>
          <w:szCs w:val="24"/>
        </w:rPr>
        <w:t>la “Cartera presunta</w:t>
      </w:r>
      <w:r w:rsidR="00076DD1">
        <w:rPr>
          <w:sz w:val="24"/>
          <w:szCs w:val="24"/>
        </w:rPr>
        <w:t xml:space="preserve"> </w:t>
      </w:r>
      <w:r w:rsidR="00076DD1" w:rsidRPr="008D67CC">
        <w:rPr>
          <w:sz w:val="24"/>
          <w:szCs w:val="24"/>
        </w:rPr>
        <w:t>propiedad de CEC”</w:t>
      </w:r>
      <w:r w:rsidR="00076DD1">
        <w:rPr>
          <w:sz w:val="24"/>
          <w:szCs w:val="24"/>
        </w:rPr>
        <w:t>,</w:t>
      </w:r>
      <w:r w:rsidR="00076DD1" w:rsidRPr="00076DD1">
        <w:rPr>
          <w:sz w:val="24"/>
          <w:szCs w:val="24"/>
        </w:rPr>
        <w:t xml:space="preserve"> </w:t>
      </w:r>
      <w:r w:rsidR="00076DD1" w:rsidRPr="008D67CC">
        <w:rPr>
          <w:sz w:val="24"/>
          <w:szCs w:val="24"/>
        </w:rPr>
        <w:t xml:space="preserve">para establecer </w:t>
      </w:r>
      <w:r w:rsidR="00076DD1">
        <w:rPr>
          <w:sz w:val="24"/>
          <w:szCs w:val="24"/>
        </w:rPr>
        <w:t xml:space="preserve">las </w:t>
      </w:r>
      <w:r w:rsidR="00076DD1" w:rsidRPr="008D67CC">
        <w:rPr>
          <w:sz w:val="24"/>
          <w:szCs w:val="24"/>
        </w:rPr>
        <w:t>eventuales diferencias en saldos, así como los posibles</w:t>
      </w:r>
      <w:r w:rsidR="00076DD1">
        <w:rPr>
          <w:sz w:val="24"/>
          <w:szCs w:val="24"/>
        </w:rPr>
        <w:t xml:space="preserve"> perjuicios a que hubiese lugar; y </w:t>
      </w:r>
      <w:r w:rsidR="008D67CC">
        <w:rPr>
          <w:sz w:val="24"/>
          <w:szCs w:val="24"/>
        </w:rPr>
        <w:t>(i</w:t>
      </w:r>
      <w:r w:rsidR="00076DD1">
        <w:rPr>
          <w:sz w:val="24"/>
          <w:szCs w:val="24"/>
        </w:rPr>
        <w:t>i</w:t>
      </w:r>
      <w:r w:rsidR="008D67CC">
        <w:rPr>
          <w:sz w:val="24"/>
          <w:szCs w:val="24"/>
        </w:rPr>
        <w:t xml:space="preserve">i) fue contratado por CEDELCA para rendir un peritaje técnico que defina </w:t>
      </w:r>
      <w:r w:rsidR="008D67CC" w:rsidRPr="008D67CC">
        <w:rPr>
          <w:sz w:val="24"/>
          <w:szCs w:val="24"/>
        </w:rPr>
        <w:t>la gestión financiera</w:t>
      </w:r>
      <w:r w:rsidR="008D67CC">
        <w:rPr>
          <w:sz w:val="24"/>
          <w:szCs w:val="24"/>
        </w:rPr>
        <w:t xml:space="preserve"> </w:t>
      </w:r>
      <w:r w:rsidR="008D67CC" w:rsidRPr="008D67CC">
        <w:rPr>
          <w:sz w:val="24"/>
          <w:szCs w:val="24"/>
        </w:rPr>
        <w:t>realizada sobre la “Cartera Propiedad de CEDELCA” y la “Cartera presunta</w:t>
      </w:r>
      <w:r w:rsidR="008D67CC">
        <w:rPr>
          <w:sz w:val="24"/>
          <w:szCs w:val="24"/>
        </w:rPr>
        <w:t xml:space="preserve"> </w:t>
      </w:r>
      <w:r w:rsidR="008D67CC" w:rsidRPr="008D67CC">
        <w:rPr>
          <w:sz w:val="24"/>
          <w:szCs w:val="24"/>
        </w:rPr>
        <w:t>propiedad de CEC</w:t>
      </w:r>
      <w:r w:rsidR="00E82079">
        <w:rPr>
          <w:sz w:val="24"/>
          <w:szCs w:val="24"/>
        </w:rPr>
        <w:t>”</w:t>
      </w:r>
      <w:r w:rsidR="008D67CC" w:rsidRPr="008D67CC">
        <w:rPr>
          <w:sz w:val="24"/>
          <w:szCs w:val="24"/>
        </w:rPr>
        <w:t>.</w:t>
      </w:r>
    </w:p>
    <w:p w14:paraId="774D4E15" w14:textId="21556EC7" w:rsidR="004F4F55" w:rsidRPr="003537D3" w:rsidRDefault="004F4F55" w:rsidP="00AE19E9">
      <w:pPr>
        <w:overflowPunct w:val="0"/>
        <w:autoSpaceDE w:val="0"/>
        <w:autoSpaceDN w:val="0"/>
        <w:adjustRightInd w:val="0"/>
        <w:spacing w:line="276" w:lineRule="auto"/>
        <w:contextualSpacing/>
        <w:rPr>
          <w:sz w:val="24"/>
          <w:szCs w:val="24"/>
        </w:rPr>
      </w:pPr>
    </w:p>
    <w:p w14:paraId="2529610C" w14:textId="77777777" w:rsidR="00027850" w:rsidRPr="003537D3" w:rsidRDefault="00027850" w:rsidP="00AE19E9">
      <w:pPr>
        <w:keepNext/>
        <w:numPr>
          <w:ilvl w:val="0"/>
          <w:numId w:val="5"/>
        </w:numPr>
        <w:spacing w:line="276" w:lineRule="auto"/>
        <w:ind w:left="714" w:hanging="357"/>
        <w:jc w:val="center"/>
        <w:outlineLvl w:val="0"/>
        <w:rPr>
          <w:rFonts w:eastAsia="Times New Roman"/>
          <w:b/>
          <w:bCs/>
          <w:caps/>
          <w:kern w:val="32"/>
          <w:sz w:val="24"/>
          <w:szCs w:val="24"/>
          <w:lang w:val="es-ES_tradnl"/>
        </w:rPr>
      </w:pPr>
      <w:r w:rsidRPr="003537D3">
        <w:rPr>
          <w:rFonts w:eastAsia="Times New Roman"/>
          <w:b/>
          <w:bCs/>
          <w:caps/>
          <w:kern w:val="32"/>
          <w:sz w:val="24"/>
          <w:szCs w:val="24"/>
          <w:lang w:val="es-ES_tradnl"/>
        </w:rPr>
        <w:t>CONSIDERACIONES</w:t>
      </w:r>
    </w:p>
    <w:p w14:paraId="2899B315" w14:textId="6E7A1DC1" w:rsidR="0043766E" w:rsidRPr="003537D3" w:rsidRDefault="0043766E" w:rsidP="00AE19E9">
      <w:pPr>
        <w:spacing w:line="276" w:lineRule="auto"/>
        <w:rPr>
          <w:sz w:val="24"/>
          <w:szCs w:val="24"/>
          <w:lang w:val="es-ES_tradnl"/>
        </w:rPr>
      </w:pPr>
    </w:p>
    <w:p w14:paraId="2F891DCC" w14:textId="7BEF75CC" w:rsidR="00027850" w:rsidRPr="003537D3" w:rsidRDefault="00980965" w:rsidP="00980965">
      <w:pPr>
        <w:tabs>
          <w:tab w:val="left" w:pos="426"/>
        </w:tabs>
        <w:spacing w:line="276" w:lineRule="auto"/>
        <w:contextualSpacing/>
        <w:rPr>
          <w:b/>
          <w:sz w:val="24"/>
          <w:szCs w:val="24"/>
          <w:lang w:val="es-ES_tradnl"/>
        </w:rPr>
      </w:pPr>
      <w:r>
        <w:rPr>
          <w:b/>
          <w:sz w:val="24"/>
          <w:szCs w:val="24"/>
          <w:lang w:val="es-ES_tradnl"/>
        </w:rPr>
        <w:t xml:space="preserve">2.1. </w:t>
      </w:r>
      <w:r w:rsidR="00027850" w:rsidRPr="003537D3">
        <w:rPr>
          <w:b/>
          <w:sz w:val="24"/>
          <w:szCs w:val="24"/>
          <w:lang w:val="es-ES_tradnl"/>
        </w:rPr>
        <w:t>Competencia</w:t>
      </w:r>
    </w:p>
    <w:p w14:paraId="26657EF8" w14:textId="6F59B5E6" w:rsidR="00027850" w:rsidRDefault="00027850" w:rsidP="00AE19E9">
      <w:pPr>
        <w:overflowPunct w:val="0"/>
        <w:autoSpaceDE w:val="0"/>
        <w:autoSpaceDN w:val="0"/>
        <w:adjustRightInd w:val="0"/>
        <w:spacing w:line="276" w:lineRule="auto"/>
        <w:contextualSpacing/>
        <w:rPr>
          <w:rFonts w:eastAsia="Times New Roman"/>
          <w:sz w:val="24"/>
          <w:szCs w:val="24"/>
          <w:lang w:eastAsia="es-ES"/>
        </w:rPr>
      </w:pPr>
    </w:p>
    <w:p w14:paraId="245E8B9E" w14:textId="21B43E8D" w:rsidR="00433145" w:rsidRPr="00433145" w:rsidRDefault="00433145" w:rsidP="00AE19E9">
      <w:pPr>
        <w:overflowPunct w:val="0"/>
        <w:autoSpaceDE w:val="0"/>
        <w:autoSpaceDN w:val="0"/>
        <w:adjustRightInd w:val="0"/>
        <w:spacing w:line="276" w:lineRule="auto"/>
        <w:contextualSpacing/>
        <w:rPr>
          <w:rFonts w:eastAsia="Times New Roman"/>
          <w:sz w:val="24"/>
          <w:szCs w:val="24"/>
          <w:lang w:eastAsia="es-ES"/>
        </w:rPr>
      </w:pPr>
      <w:r w:rsidRPr="00433145">
        <w:rPr>
          <w:rFonts w:eastAsia="Times New Roman"/>
          <w:sz w:val="24"/>
          <w:szCs w:val="24"/>
          <w:lang w:eastAsia="es-ES"/>
        </w:rPr>
        <w:t>La Sala es competente para conocer del amparo constitucional deprecado por la parte actora, en virtud de lo dispuesto en el artículo 37 del Decreto 2591 de 19</w:t>
      </w:r>
      <w:r>
        <w:rPr>
          <w:rFonts w:eastAsia="Times New Roman"/>
          <w:sz w:val="24"/>
          <w:szCs w:val="24"/>
          <w:lang w:eastAsia="es-ES"/>
        </w:rPr>
        <w:t>91</w:t>
      </w:r>
      <w:r w:rsidR="00420EA8">
        <w:rPr>
          <w:rFonts w:eastAsia="Times New Roman"/>
          <w:sz w:val="24"/>
          <w:szCs w:val="24"/>
          <w:lang w:eastAsia="es-ES"/>
        </w:rPr>
        <w:t xml:space="preserve"> y</w:t>
      </w:r>
      <w:r>
        <w:rPr>
          <w:rFonts w:eastAsia="Times New Roman"/>
          <w:sz w:val="24"/>
          <w:szCs w:val="24"/>
          <w:lang w:eastAsia="es-ES"/>
        </w:rPr>
        <w:t xml:space="preserve"> en el artículo 1°, numeral 9°</w:t>
      </w:r>
      <w:r w:rsidRPr="00433145">
        <w:rPr>
          <w:rFonts w:eastAsia="Times New Roman"/>
          <w:sz w:val="24"/>
          <w:szCs w:val="24"/>
          <w:lang w:eastAsia="es-ES"/>
        </w:rPr>
        <w:t xml:space="preserve"> del Decreto 1983 de 2017 que modificó el Decreto 1069 de 2015.</w:t>
      </w:r>
    </w:p>
    <w:p w14:paraId="32B7C4A7" w14:textId="4ECBFC2C" w:rsidR="00433145" w:rsidRDefault="00433145" w:rsidP="00AE19E9">
      <w:pPr>
        <w:overflowPunct w:val="0"/>
        <w:autoSpaceDE w:val="0"/>
        <w:autoSpaceDN w:val="0"/>
        <w:adjustRightInd w:val="0"/>
        <w:spacing w:line="276" w:lineRule="auto"/>
        <w:contextualSpacing/>
        <w:rPr>
          <w:rFonts w:eastAsia="Times New Roman"/>
          <w:sz w:val="24"/>
          <w:szCs w:val="24"/>
          <w:lang w:eastAsia="es-ES"/>
        </w:rPr>
      </w:pPr>
    </w:p>
    <w:p w14:paraId="02960D0A" w14:textId="77777777" w:rsidR="00055E88" w:rsidRDefault="00055E88" w:rsidP="00AE19E9">
      <w:pPr>
        <w:overflowPunct w:val="0"/>
        <w:autoSpaceDE w:val="0"/>
        <w:autoSpaceDN w:val="0"/>
        <w:adjustRightInd w:val="0"/>
        <w:spacing w:line="276" w:lineRule="auto"/>
        <w:contextualSpacing/>
        <w:rPr>
          <w:rFonts w:eastAsia="Times New Roman"/>
          <w:sz w:val="24"/>
          <w:szCs w:val="24"/>
          <w:lang w:eastAsia="es-ES"/>
        </w:rPr>
      </w:pPr>
    </w:p>
    <w:p w14:paraId="1EC4A645" w14:textId="6BD166FB" w:rsidR="00027850" w:rsidRPr="003537D3" w:rsidRDefault="00980965" w:rsidP="00980965">
      <w:pPr>
        <w:spacing w:line="276" w:lineRule="auto"/>
        <w:contextualSpacing/>
        <w:rPr>
          <w:b/>
          <w:sz w:val="24"/>
          <w:szCs w:val="24"/>
          <w:lang w:val="es-ES_tradnl"/>
        </w:rPr>
      </w:pPr>
      <w:r>
        <w:rPr>
          <w:rFonts w:eastAsia="Times New Roman"/>
          <w:b/>
          <w:sz w:val="24"/>
          <w:szCs w:val="24"/>
          <w:lang w:eastAsia="es-ES"/>
        </w:rPr>
        <w:lastRenderedPageBreak/>
        <w:t xml:space="preserve">2.2. </w:t>
      </w:r>
      <w:r w:rsidR="00027850" w:rsidRPr="003537D3">
        <w:rPr>
          <w:b/>
          <w:sz w:val="24"/>
          <w:szCs w:val="24"/>
          <w:lang w:val="es-ES_tradnl"/>
        </w:rPr>
        <w:t>Procedibilidad de la acción</w:t>
      </w:r>
    </w:p>
    <w:p w14:paraId="792B650D" w14:textId="77777777" w:rsidR="00027850" w:rsidRPr="003537D3" w:rsidRDefault="00027850" w:rsidP="00AE19E9">
      <w:pPr>
        <w:spacing w:line="276" w:lineRule="auto"/>
        <w:contextualSpacing/>
        <w:rPr>
          <w:sz w:val="24"/>
          <w:szCs w:val="24"/>
          <w:lang w:val="es-ES_tradnl"/>
        </w:rPr>
      </w:pPr>
    </w:p>
    <w:p w14:paraId="10D0A893" w14:textId="0959F9F0" w:rsidR="00027850" w:rsidRPr="003537D3" w:rsidRDefault="00027850" w:rsidP="00AE19E9">
      <w:pPr>
        <w:tabs>
          <w:tab w:val="left" w:pos="0"/>
        </w:tabs>
        <w:spacing w:line="276" w:lineRule="auto"/>
        <w:contextualSpacing/>
        <w:rPr>
          <w:sz w:val="24"/>
          <w:szCs w:val="24"/>
        </w:rPr>
      </w:pPr>
      <w:r w:rsidRPr="003537D3">
        <w:rPr>
          <w:sz w:val="24"/>
          <w:szCs w:val="24"/>
          <w:lang w:val="es-MX"/>
        </w:rPr>
        <w:t xml:space="preserve">En los casos en que </w:t>
      </w:r>
      <w:r w:rsidRPr="003537D3">
        <w:rPr>
          <w:sz w:val="24"/>
          <w:szCs w:val="24"/>
        </w:rPr>
        <w:t>la solicitud de amparo ataca una providencia judicial, la doctrina constitucional</w:t>
      </w:r>
      <w:r w:rsidRPr="003537D3">
        <w:rPr>
          <w:sz w:val="24"/>
          <w:szCs w:val="24"/>
          <w:vertAlign w:val="superscript"/>
        </w:rPr>
        <w:footnoteReference w:id="29"/>
      </w:r>
      <w:r w:rsidRPr="003537D3">
        <w:rPr>
          <w:sz w:val="24"/>
          <w:szCs w:val="24"/>
          <w:lang w:val="es-MX"/>
        </w:rPr>
        <w:t xml:space="preserve"> ha indicado que el juez de tutela debe, en forma preliminar, realizar </w:t>
      </w:r>
      <w:r w:rsidRPr="003537D3">
        <w:rPr>
          <w:sz w:val="24"/>
          <w:szCs w:val="24"/>
        </w:rPr>
        <w:t>un examen de procedibilidad general</w:t>
      </w:r>
      <w:r w:rsidRPr="003537D3">
        <w:rPr>
          <w:sz w:val="24"/>
          <w:szCs w:val="24"/>
          <w:vertAlign w:val="superscript"/>
        </w:rPr>
        <w:footnoteReference w:id="30"/>
      </w:r>
      <w:r w:rsidRPr="003537D3">
        <w:rPr>
          <w:sz w:val="24"/>
          <w:szCs w:val="24"/>
        </w:rPr>
        <w:t xml:space="preserve"> de la acción; pues, </w:t>
      </w:r>
      <w:r w:rsidR="00245107" w:rsidRPr="003537D3">
        <w:rPr>
          <w:sz w:val="24"/>
          <w:szCs w:val="24"/>
        </w:rPr>
        <w:t>s</w:t>
      </w:r>
      <w:r w:rsidR="00245107">
        <w:rPr>
          <w:sz w:val="24"/>
          <w:szCs w:val="24"/>
        </w:rPr>
        <w:t>o</w:t>
      </w:r>
      <w:r w:rsidR="00245107" w:rsidRPr="003537D3">
        <w:rPr>
          <w:sz w:val="24"/>
          <w:szCs w:val="24"/>
        </w:rPr>
        <w:t xml:space="preserve">lo </w:t>
      </w:r>
      <w:r w:rsidRPr="003537D3">
        <w:rPr>
          <w:sz w:val="24"/>
          <w:szCs w:val="24"/>
        </w:rPr>
        <w:t>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3537D3">
        <w:rPr>
          <w:sz w:val="24"/>
          <w:szCs w:val="24"/>
          <w:vertAlign w:val="superscript"/>
        </w:rPr>
        <w:footnoteReference w:id="31"/>
      </w:r>
      <w:r w:rsidRPr="003537D3">
        <w:rPr>
          <w:sz w:val="24"/>
          <w:szCs w:val="24"/>
        </w:rPr>
        <w:t>.</w:t>
      </w:r>
    </w:p>
    <w:p w14:paraId="0B1D114D" w14:textId="24494A11" w:rsidR="00E21631" w:rsidRPr="003537D3" w:rsidRDefault="00E21631" w:rsidP="00AE19E9">
      <w:pPr>
        <w:tabs>
          <w:tab w:val="left" w:pos="0"/>
        </w:tabs>
        <w:spacing w:line="276" w:lineRule="auto"/>
        <w:contextualSpacing/>
        <w:rPr>
          <w:sz w:val="24"/>
          <w:szCs w:val="24"/>
        </w:rPr>
      </w:pPr>
    </w:p>
    <w:p w14:paraId="079E1D7A" w14:textId="4075A2DB" w:rsidR="004F4F55" w:rsidRDefault="00E21631" w:rsidP="00FA61FB">
      <w:pPr>
        <w:spacing w:line="276" w:lineRule="auto"/>
        <w:contextualSpacing/>
        <w:rPr>
          <w:sz w:val="24"/>
          <w:szCs w:val="24"/>
          <w:lang w:val="es-ES_tradnl" w:eastAsia="en-US"/>
        </w:rPr>
      </w:pPr>
      <w:r w:rsidRPr="003537D3">
        <w:rPr>
          <w:sz w:val="24"/>
          <w:szCs w:val="24"/>
          <w:lang w:val="es-ES_tradnl" w:eastAsia="en-US"/>
        </w:rPr>
        <w:t>Ahora bien, en atención a la naturaleza jurisdiccional de los laudos, la Corte Constitucional ha extendido la doctrina de los requisitos de procedencia y procedibilidad de las acciones de tutela interpuestas para cuestionar providencias judiciales, a aquellas solicitudes de amparo constitucional que se inicien en contra de decisiones proferidas por tribunales arbitrales, reparando, por supuesto, en la necesidad de verificar que se hayan respetado las características propias de</w:t>
      </w:r>
      <w:r w:rsidR="00245107">
        <w:rPr>
          <w:sz w:val="24"/>
          <w:szCs w:val="24"/>
          <w:lang w:val="es-ES_tradnl" w:eastAsia="en-US"/>
        </w:rPr>
        <w:t>l</w:t>
      </w:r>
      <w:r w:rsidRPr="003537D3">
        <w:rPr>
          <w:sz w:val="24"/>
          <w:szCs w:val="24"/>
          <w:lang w:val="es-ES_tradnl" w:eastAsia="en-US"/>
        </w:rPr>
        <w:t xml:space="preserve"> proceso arbitral</w:t>
      </w:r>
      <w:r w:rsidRPr="003537D3">
        <w:rPr>
          <w:rFonts w:eastAsia="Times New Roman"/>
          <w:sz w:val="24"/>
          <w:szCs w:val="24"/>
          <w:vertAlign w:val="superscript"/>
          <w:lang w:eastAsia="es-ES"/>
        </w:rPr>
        <w:footnoteReference w:id="32"/>
      </w:r>
      <w:r w:rsidRPr="003537D3">
        <w:rPr>
          <w:sz w:val="24"/>
          <w:szCs w:val="24"/>
          <w:lang w:val="es-ES_tradnl" w:eastAsia="en-US"/>
        </w:rPr>
        <w:t>.</w:t>
      </w:r>
    </w:p>
    <w:p w14:paraId="381E7683" w14:textId="77777777" w:rsidR="003A6CF8" w:rsidRPr="00FA61FB" w:rsidRDefault="003A6CF8" w:rsidP="00FA61FB">
      <w:pPr>
        <w:spacing w:line="276" w:lineRule="auto"/>
        <w:contextualSpacing/>
        <w:rPr>
          <w:sz w:val="24"/>
          <w:szCs w:val="24"/>
          <w:lang w:val="es-ES_tradnl" w:eastAsia="en-US"/>
        </w:rPr>
      </w:pPr>
    </w:p>
    <w:p w14:paraId="368EC00C" w14:textId="575D2EF4" w:rsidR="00027850" w:rsidRPr="003537D3" w:rsidRDefault="00980965" w:rsidP="00AE19E9">
      <w:pPr>
        <w:tabs>
          <w:tab w:val="left" w:pos="0"/>
        </w:tabs>
        <w:spacing w:line="276" w:lineRule="auto"/>
        <w:contextualSpacing/>
        <w:rPr>
          <w:b/>
          <w:bCs/>
          <w:sz w:val="24"/>
          <w:szCs w:val="24"/>
          <w:lang w:val="es-ES_tradnl"/>
        </w:rPr>
      </w:pPr>
      <w:r>
        <w:rPr>
          <w:b/>
          <w:bCs/>
          <w:sz w:val="24"/>
          <w:szCs w:val="24"/>
          <w:lang w:val="es-ES_tradnl"/>
        </w:rPr>
        <w:t>2.</w:t>
      </w:r>
      <w:r w:rsidR="00027850" w:rsidRPr="003537D3">
        <w:rPr>
          <w:b/>
          <w:bCs/>
          <w:sz w:val="24"/>
          <w:szCs w:val="24"/>
          <w:lang w:val="es-ES_tradnl"/>
        </w:rPr>
        <w:t>2.1. Legitimación</w:t>
      </w:r>
    </w:p>
    <w:p w14:paraId="1D6A6DB2" w14:textId="77777777" w:rsidR="00027850" w:rsidRPr="003537D3" w:rsidRDefault="00027850" w:rsidP="00AE19E9">
      <w:pPr>
        <w:tabs>
          <w:tab w:val="left" w:pos="0"/>
        </w:tabs>
        <w:spacing w:line="276" w:lineRule="auto"/>
        <w:contextualSpacing/>
        <w:rPr>
          <w:b/>
          <w:bCs/>
          <w:sz w:val="24"/>
          <w:szCs w:val="24"/>
          <w:lang w:val="es-ES_tradnl"/>
        </w:rPr>
      </w:pPr>
    </w:p>
    <w:p w14:paraId="16FEF745" w14:textId="77777777" w:rsidR="00027850" w:rsidRPr="003537D3" w:rsidRDefault="00027850" w:rsidP="00AE19E9">
      <w:pPr>
        <w:shd w:val="clear" w:color="auto" w:fill="FFFFFF"/>
        <w:spacing w:line="276" w:lineRule="auto"/>
        <w:textAlignment w:val="baseline"/>
        <w:rPr>
          <w:sz w:val="24"/>
          <w:szCs w:val="24"/>
          <w:bdr w:val="none" w:sz="0" w:space="0" w:color="auto" w:frame="1"/>
        </w:rPr>
      </w:pPr>
      <w:r w:rsidRPr="003537D3">
        <w:rPr>
          <w:sz w:val="24"/>
          <w:szCs w:val="24"/>
          <w:bdr w:val="none" w:sz="0" w:space="0" w:color="auto" w:frame="1"/>
        </w:rPr>
        <w:t>La Corte Constitucional ha expresado en varias oportunidades que las personas jurídicas son titulares de derechos fundamentales, y, en esa medida, se encuentran legitimadas para presentar acciones de tutela</w:t>
      </w:r>
      <w:r w:rsidRPr="003537D3">
        <w:rPr>
          <w:sz w:val="24"/>
          <w:szCs w:val="24"/>
          <w:bdr w:val="none" w:sz="0" w:space="0" w:color="auto" w:frame="1"/>
          <w:vertAlign w:val="superscript"/>
        </w:rPr>
        <w:footnoteReference w:id="33"/>
      </w:r>
      <w:r w:rsidRPr="003537D3">
        <w:rPr>
          <w:sz w:val="24"/>
          <w:szCs w:val="24"/>
          <w:bdr w:val="none" w:sz="0" w:space="0" w:color="auto" w:frame="1"/>
        </w:rPr>
        <w:t xml:space="preserve">. </w:t>
      </w:r>
      <w:r w:rsidRPr="003537D3">
        <w:rPr>
          <w:color w:val="000000"/>
          <w:sz w:val="24"/>
          <w:szCs w:val="24"/>
          <w:shd w:val="clear" w:color="auto" w:fill="FFFFFF"/>
        </w:rPr>
        <w:t>En la sentencia T-889 de 2013, esa Corporación precisó que “la legitimidad por activa para la defensa de los derechos fundamentales de las personas jurídicas depende de que exista una relación de representación legal o apoderamiento judicial entre la persona natural que alega la vulneración y la persona jurídica que ha sido afectada”.</w:t>
      </w:r>
    </w:p>
    <w:p w14:paraId="4E60CEFC" w14:textId="77777777" w:rsidR="00027850" w:rsidRPr="003537D3" w:rsidRDefault="00027850" w:rsidP="00AE19E9">
      <w:pPr>
        <w:shd w:val="clear" w:color="auto" w:fill="FFFFFF"/>
        <w:spacing w:line="276" w:lineRule="auto"/>
        <w:textAlignment w:val="baseline"/>
        <w:rPr>
          <w:sz w:val="24"/>
          <w:szCs w:val="24"/>
          <w:bdr w:val="none" w:sz="0" w:space="0" w:color="auto" w:frame="1"/>
        </w:rPr>
      </w:pPr>
    </w:p>
    <w:p w14:paraId="72F166DF" w14:textId="451271D0" w:rsidR="00027850" w:rsidRPr="003537D3" w:rsidRDefault="00027850" w:rsidP="00AE19E9">
      <w:pPr>
        <w:shd w:val="clear" w:color="auto" w:fill="FFFFFF"/>
        <w:spacing w:line="276" w:lineRule="auto"/>
        <w:textAlignment w:val="baseline"/>
        <w:rPr>
          <w:sz w:val="24"/>
          <w:szCs w:val="24"/>
          <w:bdr w:val="none" w:sz="0" w:space="0" w:color="auto" w:frame="1"/>
        </w:rPr>
      </w:pPr>
      <w:r w:rsidRPr="003537D3">
        <w:rPr>
          <w:sz w:val="24"/>
          <w:szCs w:val="24"/>
          <w:bdr w:val="none" w:sz="0" w:space="0" w:color="auto" w:frame="1"/>
        </w:rPr>
        <w:lastRenderedPageBreak/>
        <w:t xml:space="preserve">En este caso, </w:t>
      </w:r>
      <w:r w:rsidR="00433145">
        <w:rPr>
          <w:sz w:val="24"/>
          <w:szCs w:val="24"/>
          <w:bdr w:val="none" w:sz="0" w:space="0" w:color="auto" w:frame="1"/>
        </w:rPr>
        <w:t>CEO</w:t>
      </w:r>
      <w:r w:rsidRPr="003537D3">
        <w:rPr>
          <w:sz w:val="24"/>
          <w:szCs w:val="24"/>
          <w:bdr w:val="none" w:sz="0" w:space="0" w:color="auto" w:frame="1"/>
        </w:rPr>
        <w:t xml:space="preserve"> presentó la acción de tutela por conducto de su representante legal</w:t>
      </w:r>
      <w:r w:rsidR="004021AE">
        <w:rPr>
          <w:sz w:val="24"/>
          <w:szCs w:val="24"/>
          <w:bdr w:val="none" w:sz="0" w:space="0" w:color="auto" w:frame="1"/>
        </w:rPr>
        <w:t xml:space="preserve"> para efectos judiciales</w:t>
      </w:r>
      <w:r w:rsidRPr="003537D3">
        <w:rPr>
          <w:sz w:val="24"/>
          <w:szCs w:val="24"/>
          <w:bdr w:val="none" w:sz="0" w:space="0" w:color="auto" w:frame="1"/>
        </w:rPr>
        <w:t>,</w:t>
      </w:r>
      <w:r w:rsidRPr="003537D3">
        <w:rPr>
          <w:sz w:val="24"/>
          <w:szCs w:val="24"/>
          <w:lang w:eastAsia="en-US"/>
        </w:rPr>
        <w:t xml:space="preserve"> </w:t>
      </w:r>
      <w:r w:rsidR="00433145">
        <w:rPr>
          <w:sz w:val="24"/>
          <w:szCs w:val="24"/>
          <w:lang w:eastAsia="en-US"/>
        </w:rPr>
        <w:t>Paola Jiménez Ramos</w:t>
      </w:r>
      <w:r w:rsidRPr="003537D3">
        <w:rPr>
          <w:sz w:val="24"/>
          <w:szCs w:val="24"/>
          <w:lang w:eastAsia="en-US"/>
        </w:rPr>
        <w:t xml:space="preserve">. Lo anterior, conforme al certificado de existencia y representación legal expedido por la Cámara de Comercio </w:t>
      </w:r>
      <w:r w:rsidR="004021AE">
        <w:rPr>
          <w:sz w:val="24"/>
          <w:szCs w:val="24"/>
          <w:lang w:eastAsia="en-US"/>
        </w:rPr>
        <w:t>del Cauca</w:t>
      </w:r>
      <w:r w:rsidRPr="003537D3">
        <w:rPr>
          <w:sz w:val="24"/>
          <w:szCs w:val="24"/>
          <w:lang w:eastAsia="en-US"/>
        </w:rPr>
        <w:t xml:space="preserve"> el </w:t>
      </w:r>
      <w:r w:rsidR="004021AE">
        <w:rPr>
          <w:sz w:val="24"/>
          <w:szCs w:val="24"/>
          <w:lang w:eastAsia="en-US"/>
        </w:rPr>
        <w:t>4</w:t>
      </w:r>
      <w:r w:rsidRPr="003537D3">
        <w:rPr>
          <w:sz w:val="24"/>
          <w:szCs w:val="24"/>
          <w:lang w:eastAsia="en-US"/>
        </w:rPr>
        <w:t xml:space="preserve"> de </w:t>
      </w:r>
      <w:r w:rsidR="004021AE">
        <w:rPr>
          <w:sz w:val="24"/>
          <w:szCs w:val="24"/>
          <w:lang w:eastAsia="en-US"/>
        </w:rPr>
        <w:t>febrero</w:t>
      </w:r>
      <w:r w:rsidRPr="003537D3">
        <w:rPr>
          <w:sz w:val="24"/>
          <w:szCs w:val="24"/>
          <w:lang w:eastAsia="en-US"/>
        </w:rPr>
        <w:t xml:space="preserve"> de 202</w:t>
      </w:r>
      <w:r w:rsidR="004021AE">
        <w:rPr>
          <w:sz w:val="24"/>
          <w:szCs w:val="24"/>
          <w:lang w:eastAsia="en-US"/>
        </w:rPr>
        <w:t>1</w:t>
      </w:r>
      <w:r w:rsidRPr="003537D3">
        <w:rPr>
          <w:sz w:val="24"/>
          <w:szCs w:val="24"/>
          <w:vertAlign w:val="superscript"/>
          <w:lang w:eastAsia="en-US"/>
        </w:rPr>
        <w:footnoteReference w:id="34"/>
      </w:r>
      <w:r w:rsidRPr="003537D3">
        <w:rPr>
          <w:sz w:val="24"/>
          <w:szCs w:val="24"/>
          <w:lang w:eastAsia="en-US"/>
        </w:rPr>
        <w:t xml:space="preserve">. Asimismo, resulta relevante tener en cuenta que la referida sociedad </w:t>
      </w:r>
      <w:r w:rsidR="004021AE">
        <w:rPr>
          <w:sz w:val="24"/>
          <w:szCs w:val="24"/>
          <w:lang w:eastAsia="en-US"/>
        </w:rPr>
        <w:t>es</w:t>
      </w:r>
      <w:r w:rsidRPr="003537D3">
        <w:rPr>
          <w:sz w:val="24"/>
          <w:szCs w:val="24"/>
          <w:lang w:eastAsia="en-US"/>
        </w:rPr>
        <w:t xml:space="preserve"> la </w:t>
      </w:r>
      <w:r w:rsidR="00AB6312">
        <w:rPr>
          <w:sz w:val="24"/>
          <w:szCs w:val="24"/>
          <w:lang w:eastAsia="en-US"/>
        </w:rPr>
        <w:t>convocada</w:t>
      </w:r>
      <w:r w:rsidRPr="003537D3">
        <w:rPr>
          <w:sz w:val="24"/>
          <w:szCs w:val="24"/>
          <w:lang w:eastAsia="en-US"/>
        </w:rPr>
        <w:t xml:space="preserve"> en </w:t>
      </w:r>
      <w:r w:rsidR="00AB6312">
        <w:rPr>
          <w:sz w:val="24"/>
          <w:szCs w:val="24"/>
          <w:lang w:eastAsia="en-US"/>
        </w:rPr>
        <w:t>el</w:t>
      </w:r>
      <w:r w:rsidRPr="003537D3">
        <w:rPr>
          <w:sz w:val="24"/>
          <w:szCs w:val="24"/>
          <w:lang w:eastAsia="en-US"/>
        </w:rPr>
        <w:t xml:space="preserve"> proceso arbitral</w:t>
      </w:r>
      <w:r w:rsidR="00AB6312">
        <w:rPr>
          <w:sz w:val="24"/>
          <w:szCs w:val="24"/>
          <w:lang w:eastAsia="en-US"/>
        </w:rPr>
        <w:t xml:space="preserve"> en mención</w:t>
      </w:r>
      <w:r w:rsidR="003D2558" w:rsidRPr="003537D3">
        <w:rPr>
          <w:sz w:val="24"/>
          <w:szCs w:val="24"/>
          <w:lang w:eastAsia="en-US"/>
        </w:rPr>
        <w:t>. Por</w:t>
      </w:r>
      <w:r w:rsidR="00B816F2" w:rsidRPr="003537D3">
        <w:rPr>
          <w:sz w:val="24"/>
          <w:szCs w:val="24"/>
          <w:lang w:eastAsia="en-US"/>
        </w:rPr>
        <w:t xml:space="preserve"> tanto, </w:t>
      </w:r>
      <w:r w:rsidR="003D2558" w:rsidRPr="003537D3">
        <w:rPr>
          <w:rFonts w:eastAsia="Times New Roman"/>
          <w:bCs/>
          <w:color w:val="000000"/>
          <w:sz w:val="24"/>
          <w:szCs w:val="24"/>
          <w:lang w:val="es-ES"/>
        </w:rPr>
        <w:t xml:space="preserve">la </w:t>
      </w:r>
      <w:r w:rsidR="003D2558" w:rsidRPr="003537D3">
        <w:rPr>
          <w:bCs/>
          <w:sz w:val="24"/>
          <w:szCs w:val="24"/>
          <w:lang w:eastAsia="en-US"/>
        </w:rPr>
        <w:t xml:space="preserve">parte accionante </w:t>
      </w:r>
      <w:r w:rsidRPr="003537D3">
        <w:rPr>
          <w:sz w:val="24"/>
          <w:szCs w:val="24"/>
          <w:lang w:eastAsia="en-US"/>
        </w:rPr>
        <w:t>es titular de los derechos fundamentales invocados</w:t>
      </w:r>
      <w:r w:rsidR="00046770">
        <w:rPr>
          <w:sz w:val="24"/>
          <w:szCs w:val="24"/>
          <w:lang w:eastAsia="en-US"/>
        </w:rPr>
        <w:t xml:space="preserve">, que considera vulnerados con el </w:t>
      </w:r>
      <w:r w:rsidR="00046770">
        <w:rPr>
          <w:bCs/>
          <w:sz w:val="24"/>
          <w:szCs w:val="24"/>
          <w:lang w:val="es-ES" w:eastAsia="en-US"/>
        </w:rPr>
        <w:t>auto No. 9 del 7 de diciembre de 2020,</w:t>
      </w:r>
      <w:r w:rsidRPr="003537D3">
        <w:rPr>
          <w:sz w:val="24"/>
          <w:szCs w:val="24"/>
          <w:lang w:eastAsia="en-US"/>
        </w:rPr>
        <w:t xml:space="preserve"> </w:t>
      </w:r>
      <w:r w:rsidR="003D2558" w:rsidRPr="003537D3">
        <w:rPr>
          <w:rFonts w:eastAsia="Times New Roman"/>
          <w:bCs/>
          <w:color w:val="000000"/>
          <w:sz w:val="24"/>
          <w:szCs w:val="24"/>
          <w:lang w:val="es-ES"/>
        </w:rPr>
        <w:t>y, en consecuencia,</w:t>
      </w:r>
      <w:r w:rsidRPr="003537D3">
        <w:rPr>
          <w:rFonts w:eastAsia="Times New Roman"/>
          <w:bCs/>
          <w:color w:val="000000"/>
          <w:sz w:val="24"/>
          <w:szCs w:val="24"/>
          <w:lang w:val="es-ES"/>
        </w:rPr>
        <w:t xml:space="preserve"> </w:t>
      </w:r>
      <w:r w:rsidRPr="003537D3">
        <w:rPr>
          <w:bCs/>
          <w:sz w:val="24"/>
          <w:szCs w:val="24"/>
          <w:lang w:eastAsia="en-US"/>
        </w:rPr>
        <w:t xml:space="preserve">está </w:t>
      </w:r>
      <w:r w:rsidRPr="003537D3">
        <w:rPr>
          <w:b/>
          <w:sz w:val="24"/>
          <w:szCs w:val="24"/>
          <w:lang w:eastAsia="en-US"/>
        </w:rPr>
        <w:t>legitimada por activa</w:t>
      </w:r>
      <w:r w:rsidR="00B816F2" w:rsidRPr="003537D3">
        <w:rPr>
          <w:bCs/>
          <w:sz w:val="24"/>
          <w:szCs w:val="24"/>
          <w:lang w:eastAsia="en-US"/>
        </w:rPr>
        <w:t>.</w:t>
      </w:r>
    </w:p>
    <w:p w14:paraId="3204643C" w14:textId="77777777" w:rsidR="00027850" w:rsidRPr="003537D3" w:rsidRDefault="00027850" w:rsidP="00AE19E9">
      <w:pPr>
        <w:tabs>
          <w:tab w:val="left" w:pos="0"/>
        </w:tabs>
        <w:spacing w:line="276" w:lineRule="auto"/>
        <w:contextualSpacing/>
        <w:rPr>
          <w:b/>
          <w:bCs/>
          <w:sz w:val="24"/>
          <w:szCs w:val="24"/>
        </w:rPr>
      </w:pPr>
    </w:p>
    <w:p w14:paraId="6D8628F0" w14:textId="0E0D7ABB" w:rsidR="00027850" w:rsidRPr="003537D3" w:rsidRDefault="004021AE" w:rsidP="00AE19E9">
      <w:pPr>
        <w:tabs>
          <w:tab w:val="left" w:pos="0"/>
        </w:tabs>
        <w:spacing w:line="276" w:lineRule="auto"/>
        <w:contextualSpacing/>
        <w:rPr>
          <w:bCs/>
          <w:sz w:val="24"/>
          <w:szCs w:val="24"/>
          <w:lang w:val="es-ES_tradnl"/>
        </w:rPr>
      </w:pPr>
      <w:r>
        <w:rPr>
          <w:bCs/>
          <w:sz w:val="24"/>
          <w:szCs w:val="24"/>
          <w:lang w:val="es-ES"/>
        </w:rPr>
        <w:t xml:space="preserve">El </w:t>
      </w:r>
      <w:r w:rsidRPr="004021AE">
        <w:rPr>
          <w:bCs/>
          <w:sz w:val="24"/>
          <w:szCs w:val="24"/>
          <w:lang w:val="es-ES"/>
        </w:rPr>
        <w:t xml:space="preserve">Tribunal de Arbitramento </w:t>
      </w:r>
      <w:r w:rsidRPr="004021AE">
        <w:rPr>
          <w:bCs/>
          <w:sz w:val="24"/>
          <w:szCs w:val="24"/>
        </w:rPr>
        <w:t xml:space="preserve">integrado por </w:t>
      </w:r>
      <w:r w:rsidR="005C2EB6" w:rsidRPr="005C2EB6">
        <w:rPr>
          <w:bCs/>
          <w:sz w:val="24"/>
          <w:szCs w:val="24"/>
        </w:rPr>
        <w:t>Antonio Pabón Santander, Myriam Guerrero de Escobar y Sergio Muñoz Laverde</w:t>
      </w:r>
      <w:r>
        <w:rPr>
          <w:bCs/>
          <w:sz w:val="24"/>
          <w:szCs w:val="24"/>
          <w:lang w:val="es-ES" w:eastAsia="en-US"/>
        </w:rPr>
        <w:t>, por su parte, está</w:t>
      </w:r>
      <w:r w:rsidR="00027850" w:rsidRPr="003537D3">
        <w:rPr>
          <w:bCs/>
          <w:sz w:val="24"/>
          <w:szCs w:val="24"/>
          <w:lang w:val="es-ES" w:eastAsia="en-US"/>
        </w:rPr>
        <w:t xml:space="preserve"> </w:t>
      </w:r>
      <w:r w:rsidR="00027850" w:rsidRPr="003537D3">
        <w:rPr>
          <w:b/>
          <w:bCs/>
          <w:sz w:val="24"/>
          <w:szCs w:val="24"/>
          <w:lang w:val="es-ES" w:eastAsia="en-US"/>
        </w:rPr>
        <w:t>legitimado por pasiva</w:t>
      </w:r>
      <w:r>
        <w:rPr>
          <w:bCs/>
          <w:sz w:val="24"/>
          <w:szCs w:val="24"/>
          <w:lang w:val="es-ES" w:eastAsia="en-US"/>
        </w:rPr>
        <w:t>, toda vez que fue quien</w:t>
      </w:r>
      <w:r w:rsidR="00027850" w:rsidRPr="003537D3">
        <w:rPr>
          <w:bCs/>
          <w:sz w:val="24"/>
          <w:szCs w:val="24"/>
          <w:lang w:val="es-ES" w:eastAsia="en-US"/>
        </w:rPr>
        <w:t xml:space="preserve"> </w:t>
      </w:r>
      <w:r>
        <w:rPr>
          <w:bCs/>
          <w:sz w:val="24"/>
          <w:szCs w:val="24"/>
          <w:lang w:val="es-ES" w:eastAsia="en-US"/>
        </w:rPr>
        <w:t>profirió</w:t>
      </w:r>
      <w:r w:rsidR="00027850" w:rsidRPr="003537D3">
        <w:rPr>
          <w:bCs/>
          <w:sz w:val="24"/>
          <w:szCs w:val="24"/>
          <w:lang w:val="es-ES" w:eastAsia="en-US"/>
        </w:rPr>
        <w:t xml:space="preserve"> </w:t>
      </w:r>
      <w:r>
        <w:rPr>
          <w:bCs/>
          <w:sz w:val="24"/>
          <w:szCs w:val="24"/>
          <w:lang w:val="es-ES" w:eastAsia="en-US"/>
        </w:rPr>
        <w:t>el auto No.</w:t>
      </w:r>
      <w:r w:rsidR="00084A35">
        <w:rPr>
          <w:bCs/>
          <w:sz w:val="24"/>
          <w:szCs w:val="24"/>
          <w:lang w:val="es-ES" w:eastAsia="en-US"/>
        </w:rPr>
        <w:t xml:space="preserve"> </w:t>
      </w:r>
      <w:r>
        <w:rPr>
          <w:bCs/>
          <w:sz w:val="24"/>
          <w:szCs w:val="24"/>
          <w:lang w:val="es-ES" w:eastAsia="en-US"/>
        </w:rPr>
        <w:t>9</w:t>
      </w:r>
      <w:r w:rsidR="00AB6312">
        <w:rPr>
          <w:bCs/>
          <w:sz w:val="24"/>
          <w:szCs w:val="24"/>
          <w:lang w:val="es-ES" w:eastAsia="en-US"/>
        </w:rPr>
        <w:t xml:space="preserve"> del 7 de diciembre de 2020,</w:t>
      </w:r>
      <w:r w:rsidR="00027850" w:rsidRPr="003537D3">
        <w:rPr>
          <w:bCs/>
          <w:sz w:val="24"/>
          <w:szCs w:val="24"/>
          <w:lang w:val="es-ES" w:eastAsia="en-US"/>
        </w:rPr>
        <w:t xml:space="preserve"> objeto de la </w:t>
      </w:r>
      <w:r w:rsidR="00B816F2" w:rsidRPr="003537D3">
        <w:rPr>
          <w:bCs/>
          <w:sz w:val="24"/>
          <w:szCs w:val="24"/>
          <w:lang w:val="es-ES" w:eastAsia="en-US"/>
        </w:rPr>
        <w:t>solicitud de amparo</w:t>
      </w:r>
      <w:r w:rsidR="00027850" w:rsidRPr="003537D3">
        <w:rPr>
          <w:bCs/>
          <w:sz w:val="24"/>
          <w:szCs w:val="24"/>
          <w:lang w:val="es-ES" w:eastAsia="en-US"/>
        </w:rPr>
        <w:t>.</w:t>
      </w:r>
    </w:p>
    <w:p w14:paraId="3F23AC57" w14:textId="2D6104A5" w:rsidR="00B812C3" w:rsidRPr="003537D3" w:rsidRDefault="00B812C3" w:rsidP="00AE19E9">
      <w:pPr>
        <w:spacing w:line="276" w:lineRule="auto"/>
        <w:rPr>
          <w:iCs/>
          <w:sz w:val="24"/>
          <w:szCs w:val="24"/>
          <w:lang w:val="es-419"/>
        </w:rPr>
      </w:pPr>
    </w:p>
    <w:p w14:paraId="3BBE787D" w14:textId="638C731A" w:rsidR="004021AE" w:rsidRDefault="00980965" w:rsidP="00AE19E9">
      <w:pPr>
        <w:spacing w:line="276" w:lineRule="auto"/>
        <w:rPr>
          <w:iCs/>
          <w:sz w:val="24"/>
          <w:szCs w:val="24"/>
          <w:lang w:val="es-419"/>
        </w:rPr>
      </w:pPr>
      <w:r>
        <w:rPr>
          <w:b/>
          <w:bCs/>
          <w:iCs/>
          <w:sz w:val="24"/>
          <w:szCs w:val="24"/>
          <w:lang w:val="es-419"/>
        </w:rPr>
        <w:t>2.</w:t>
      </w:r>
      <w:r w:rsidR="00027850" w:rsidRPr="003537D3">
        <w:rPr>
          <w:b/>
          <w:bCs/>
          <w:iCs/>
          <w:sz w:val="24"/>
          <w:szCs w:val="24"/>
          <w:lang w:val="es-419"/>
        </w:rPr>
        <w:t>2.2.</w:t>
      </w:r>
      <w:r w:rsidR="00027850" w:rsidRPr="003537D3">
        <w:rPr>
          <w:iCs/>
          <w:sz w:val="24"/>
          <w:szCs w:val="24"/>
          <w:lang w:val="es-419"/>
        </w:rPr>
        <w:t xml:space="preserve"> </w:t>
      </w:r>
      <w:r w:rsidR="004021AE" w:rsidRPr="004021AE">
        <w:rPr>
          <w:b/>
          <w:iCs/>
          <w:sz w:val="24"/>
          <w:szCs w:val="24"/>
          <w:lang w:val="es-419"/>
        </w:rPr>
        <w:t>Subsidiariedad</w:t>
      </w:r>
    </w:p>
    <w:p w14:paraId="2AC92D80" w14:textId="77777777" w:rsidR="004021AE" w:rsidRDefault="004021AE" w:rsidP="00AE19E9">
      <w:pPr>
        <w:spacing w:line="276" w:lineRule="auto"/>
        <w:rPr>
          <w:iCs/>
          <w:sz w:val="24"/>
          <w:szCs w:val="24"/>
          <w:lang w:val="es-419"/>
        </w:rPr>
      </w:pPr>
    </w:p>
    <w:p w14:paraId="66A2B5A3" w14:textId="30440E4E" w:rsidR="004021AE" w:rsidRPr="00F42720" w:rsidRDefault="00980965" w:rsidP="00AE19E9">
      <w:pPr>
        <w:spacing w:line="276" w:lineRule="auto"/>
        <w:rPr>
          <w:rFonts w:eastAsia="Times New Roman"/>
          <w:sz w:val="24"/>
          <w:szCs w:val="24"/>
          <w:lang w:val="es-ES" w:eastAsia="es-ES"/>
        </w:rPr>
      </w:pPr>
      <w:r>
        <w:rPr>
          <w:rFonts w:eastAsia="Times New Roman"/>
          <w:b/>
          <w:sz w:val="24"/>
          <w:szCs w:val="24"/>
          <w:lang w:val="es-MX" w:eastAsia="es-ES"/>
        </w:rPr>
        <w:t>2.</w:t>
      </w:r>
      <w:r w:rsidR="00676349">
        <w:rPr>
          <w:rFonts w:eastAsia="Times New Roman"/>
          <w:b/>
          <w:sz w:val="24"/>
          <w:szCs w:val="24"/>
          <w:lang w:val="es-MX" w:eastAsia="es-ES"/>
        </w:rPr>
        <w:t xml:space="preserve">2.2.1. </w:t>
      </w:r>
      <w:r w:rsidR="004021AE" w:rsidRPr="00F42720">
        <w:rPr>
          <w:rFonts w:eastAsia="Times New Roman"/>
          <w:sz w:val="24"/>
          <w:szCs w:val="24"/>
          <w:lang w:val="es-MX" w:eastAsia="es-ES"/>
        </w:rPr>
        <w:t xml:space="preserve">La </w:t>
      </w:r>
      <w:r w:rsidR="004021AE" w:rsidRPr="003D3FEE">
        <w:rPr>
          <w:rFonts w:eastAsia="Times New Roman"/>
          <w:b/>
          <w:bCs/>
          <w:iCs/>
          <w:sz w:val="24"/>
          <w:szCs w:val="24"/>
          <w:lang w:val="es-MX" w:eastAsia="es-ES"/>
        </w:rPr>
        <w:t>subsidiariedad</w:t>
      </w:r>
      <w:r w:rsidR="004021AE" w:rsidRPr="003D3FEE">
        <w:rPr>
          <w:rFonts w:eastAsia="Times New Roman"/>
          <w:sz w:val="24"/>
          <w:szCs w:val="24"/>
          <w:lang w:val="es-MX" w:eastAsia="es-ES"/>
        </w:rPr>
        <w:t xml:space="preserve"> </w:t>
      </w:r>
      <w:r w:rsidR="004021AE" w:rsidRPr="00F42720">
        <w:rPr>
          <w:rFonts w:eastAsia="Times New Roman"/>
          <w:sz w:val="24"/>
          <w:szCs w:val="24"/>
          <w:lang w:val="es-MX" w:eastAsia="es-ES"/>
        </w:rPr>
        <w:t>impide</w:t>
      </w:r>
      <w:r w:rsidR="004021AE" w:rsidRPr="00F42720">
        <w:rPr>
          <w:rFonts w:eastAsia="Times New Roman"/>
          <w:sz w:val="24"/>
          <w:szCs w:val="24"/>
          <w:lang w:val="es-ES" w:eastAsia="es-ES"/>
        </w:rPr>
        <w:t xml:space="preserve"> que la acción tutela se use como un mecanismo principal, alternativo o supletorio de los mecanismos ordinarios que el legislador tiene previsto para controvertir las decisiones judiciales, con el fin de: (i) prevenir la intromisión indebida de una autoridad distinta a la que adelanta el proceso ordinario; (ii) que no se alteren o sustituyan de manera fraudulenta los mecanismos de defensa diseñados por el Legislador; y (iii) que los ciudadanos observen un mínimo de diligencia en la gestión de sus asuntos, pues no es esta la forma de enmendar deficiencias, errores o de</w:t>
      </w:r>
      <w:r w:rsidR="00AF5DF2">
        <w:rPr>
          <w:rFonts w:eastAsia="Times New Roman"/>
          <w:sz w:val="24"/>
          <w:szCs w:val="24"/>
          <w:lang w:val="es-ES" w:eastAsia="es-ES"/>
        </w:rPr>
        <w:t>scui</w:t>
      </w:r>
      <w:r w:rsidR="004021AE" w:rsidRPr="00F42720">
        <w:rPr>
          <w:rFonts w:eastAsia="Times New Roman"/>
          <w:sz w:val="24"/>
          <w:szCs w:val="24"/>
          <w:lang w:val="es-ES" w:eastAsia="es-ES"/>
        </w:rPr>
        <w:t>dos, ni de recuperar oportunidades vencidas al interior de un proceso judicial</w:t>
      </w:r>
      <w:r w:rsidR="004021AE" w:rsidRPr="00F42720">
        <w:rPr>
          <w:rFonts w:eastAsia="Times New Roman"/>
          <w:sz w:val="24"/>
          <w:szCs w:val="24"/>
          <w:vertAlign w:val="superscript"/>
          <w:lang w:val="es-ES" w:eastAsia="es-ES"/>
        </w:rPr>
        <w:footnoteReference w:id="35"/>
      </w:r>
      <w:r w:rsidR="004021AE" w:rsidRPr="00F42720">
        <w:rPr>
          <w:rFonts w:eastAsia="Times New Roman"/>
          <w:sz w:val="24"/>
          <w:szCs w:val="24"/>
          <w:lang w:val="es-ES" w:eastAsia="es-ES"/>
        </w:rPr>
        <w:t xml:space="preserve">.  </w:t>
      </w:r>
    </w:p>
    <w:p w14:paraId="0B1F1326" w14:textId="77777777" w:rsidR="004021AE" w:rsidRPr="00F42720" w:rsidRDefault="004021AE" w:rsidP="00AE19E9">
      <w:pPr>
        <w:spacing w:line="276" w:lineRule="auto"/>
        <w:rPr>
          <w:rFonts w:eastAsia="Times New Roman"/>
          <w:sz w:val="24"/>
          <w:szCs w:val="24"/>
          <w:lang w:eastAsia="es-ES"/>
        </w:rPr>
      </w:pPr>
    </w:p>
    <w:p w14:paraId="5E042552" w14:textId="44E7EBEC" w:rsidR="004021AE" w:rsidRDefault="004021AE" w:rsidP="00AE19E9">
      <w:pPr>
        <w:spacing w:line="276" w:lineRule="auto"/>
        <w:rPr>
          <w:iCs/>
          <w:sz w:val="24"/>
          <w:szCs w:val="24"/>
          <w:lang w:val="es-419"/>
        </w:rPr>
      </w:pPr>
      <w:r w:rsidRPr="00F42720">
        <w:rPr>
          <w:rFonts w:eastAsia="Times New Roman"/>
          <w:sz w:val="24"/>
          <w:szCs w:val="24"/>
          <w:lang w:eastAsia="es-ES"/>
        </w:rPr>
        <w:t>Así las cosas, la subsidiariedad no se restringe a un mero ejercicio formal de verificar si se superaron los diferentes mecanismos de defensa en abstracto, pues también pasa por una valoración en concreto de la actuación de quien solicita el amparo, a efectos de determinar si este realizó una conducta diligente y si al trámite de tutela trae una cuestión que no ha sido amparada en el proceso ordinario</w:t>
      </w:r>
      <w:r>
        <w:rPr>
          <w:rStyle w:val="Refdenotaalpie"/>
          <w:rFonts w:eastAsia="Times New Roman"/>
          <w:sz w:val="24"/>
          <w:szCs w:val="24"/>
          <w:lang w:eastAsia="es-ES"/>
        </w:rPr>
        <w:footnoteReference w:id="36"/>
      </w:r>
      <w:r w:rsidRPr="00F42720">
        <w:rPr>
          <w:rFonts w:eastAsia="Times New Roman"/>
          <w:sz w:val="24"/>
          <w:szCs w:val="24"/>
          <w:lang w:eastAsia="es-ES"/>
        </w:rPr>
        <w:t>.</w:t>
      </w:r>
    </w:p>
    <w:p w14:paraId="12A3172E" w14:textId="77777777" w:rsidR="004021AE" w:rsidRDefault="004021AE" w:rsidP="00AE19E9">
      <w:pPr>
        <w:spacing w:line="276" w:lineRule="auto"/>
        <w:rPr>
          <w:iCs/>
          <w:sz w:val="24"/>
          <w:szCs w:val="24"/>
          <w:lang w:val="es-419"/>
        </w:rPr>
      </w:pPr>
    </w:p>
    <w:p w14:paraId="184873AD" w14:textId="77777777" w:rsidR="003D3FEE" w:rsidRPr="003D3FEE" w:rsidRDefault="003D3FEE" w:rsidP="00AE19E9">
      <w:pPr>
        <w:spacing w:line="276" w:lineRule="auto"/>
        <w:rPr>
          <w:rFonts w:eastAsia="Times New Roman"/>
          <w:sz w:val="24"/>
          <w:szCs w:val="24"/>
          <w:lang w:eastAsia="es-ES"/>
        </w:rPr>
      </w:pPr>
      <w:r w:rsidRPr="003D3FEE">
        <w:rPr>
          <w:rFonts w:eastAsia="Times New Roman"/>
          <w:sz w:val="24"/>
          <w:szCs w:val="24"/>
          <w:lang w:eastAsia="es-ES"/>
        </w:rPr>
        <w:t xml:space="preserve">Ahora bien, en la sentencia T-396 del 2014, la Corte Constitucional delimitó los siguientes tres eventos que hacen improcedente la tutela contra providencia judicial por no superar el requisito de subsidiariedad: </w:t>
      </w:r>
    </w:p>
    <w:p w14:paraId="2E8A7BEE" w14:textId="77777777" w:rsidR="003D3FEE" w:rsidRPr="003D3FEE" w:rsidRDefault="003D3FEE" w:rsidP="00AE19E9">
      <w:pPr>
        <w:spacing w:line="276" w:lineRule="auto"/>
        <w:rPr>
          <w:rFonts w:eastAsia="Times New Roman"/>
          <w:sz w:val="24"/>
          <w:szCs w:val="24"/>
          <w:lang w:eastAsia="es-ES"/>
        </w:rPr>
      </w:pPr>
    </w:p>
    <w:p w14:paraId="11C12943" w14:textId="77777777" w:rsidR="003D3FEE" w:rsidRPr="003D3FEE" w:rsidRDefault="003D3FEE" w:rsidP="00AE19E9">
      <w:pPr>
        <w:spacing w:line="276" w:lineRule="auto"/>
        <w:ind w:left="708"/>
        <w:rPr>
          <w:rFonts w:eastAsia="Times New Roman"/>
          <w:sz w:val="24"/>
          <w:szCs w:val="24"/>
          <w:lang w:val="es-ES" w:eastAsia="es-ES"/>
        </w:rPr>
      </w:pPr>
      <w:r w:rsidRPr="003D3FEE">
        <w:rPr>
          <w:rFonts w:eastAsia="Times New Roman"/>
          <w:sz w:val="22"/>
          <w:szCs w:val="22"/>
          <w:lang w:val="es-ES" w:eastAsia="es-ES"/>
        </w:rPr>
        <w:lastRenderedPageBreak/>
        <w:t>“(i) cuando el asunto está en trámite; (ii) en el evento en que no se han agotado los medios de defensa judicial ordinarios y extraordinarios; y (iii) si se usa para revivir etapas procesales en donde se dejaron de emplear los recursos previstos en el ordenamiento jurídico”.</w:t>
      </w:r>
    </w:p>
    <w:p w14:paraId="3A58B3FA" w14:textId="77777777" w:rsidR="003D3FEE" w:rsidRPr="003D3FEE" w:rsidRDefault="003D3FEE" w:rsidP="00AE19E9">
      <w:pPr>
        <w:spacing w:line="276" w:lineRule="auto"/>
        <w:rPr>
          <w:rFonts w:eastAsia="Times New Roman"/>
          <w:sz w:val="24"/>
          <w:szCs w:val="24"/>
          <w:lang w:val="es-ES" w:eastAsia="es-ES"/>
        </w:rPr>
      </w:pPr>
    </w:p>
    <w:p w14:paraId="77FD3FFB" w14:textId="551EEE12" w:rsidR="003D3FEE" w:rsidRPr="003D3FEE" w:rsidRDefault="003D3FEE" w:rsidP="00AE19E9">
      <w:pPr>
        <w:spacing w:line="276" w:lineRule="auto"/>
        <w:rPr>
          <w:rFonts w:eastAsia="Times New Roman"/>
          <w:sz w:val="24"/>
          <w:szCs w:val="24"/>
          <w:lang w:val="es-ES" w:eastAsia="es-ES"/>
        </w:rPr>
      </w:pPr>
      <w:r w:rsidRPr="003D3FEE">
        <w:rPr>
          <w:rFonts w:eastAsia="Times New Roman"/>
          <w:sz w:val="24"/>
          <w:szCs w:val="24"/>
          <w:lang w:val="es-ES" w:eastAsia="es-ES"/>
        </w:rPr>
        <w:t xml:space="preserve">Así, un riguroso estudio de este requisito evita que la tutela sea utilizada para que el juez constitucional se pronuncie sobre un simple desacuerdo de las partes con la providencia </w:t>
      </w:r>
      <w:r w:rsidR="00023711">
        <w:rPr>
          <w:rFonts w:eastAsia="Times New Roman"/>
          <w:sz w:val="24"/>
          <w:szCs w:val="24"/>
          <w:lang w:val="es-ES" w:eastAsia="es-ES"/>
        </w:rPr>
        <w:t>que puede resultar lesiva de los derechos fundamentales</w:t>
      </w:r>
      <w:r w:rsidRPr="003D3FEE">
        <w:rPr>
          <w:rFonts w:eastAsia="Times New Roman"/>
          <w:sz w:val="24"/>
          <w:szCs w:val="24"/>
          <w:lang w:val="es-ES" w:eastAsia="es-ES"/>
        </w:rPr>
        <w:t xml:space="preserve">, con afectación de la figura de </w:t>
      </w:r>
      <w:r w:rsidR="00245107">
        <w:rPr>
          <w:rFonts w:eastAsia="Times New Roman"/>
          <w:sz w:val="24"/>
          <w:szCs w:val="24"/>
          <w:lang w:val="es-ES" w:eastAsia="es-ES"/>
        </w:rPr>
        <w:t xml:space="preserve">la </w:t>
      </w:r>
      <w:r w:rsidRPr="003D3FEE">
        <w:rPr>
          <w:rFonts w:eastAsia="Times New Roman"/>
          <w:sz w:val="24"/>
          <w:szCs w:val="24"/>
          <w:lang w:val="es-ES" w:eastAsia="es-ES"/>
        </w:rPr>
        <w:t>cosa juzgada; o para controvertir situaciones jurídicas consolidadas que tuvieron su oportunidad de ser discutidas ante el juez natural</w:t>
      </w:r>
      <w:r w:rsidR="00023711">
        <w:rPr>
          <w:rFonts w:eastAsia="Times New Roman"/>
          <w:sz w:val="24"/>
          <w:szCs w:val="24"/>
          <w:lang w:val="es-ES" w:eastAsia="es-ES"/>
        </w:rPr>
        <w:t>, en este caso la autoridad arbitral</w:t>
      </w:r>
      <w:r w:rsidRPr="003D3FEE">
        <w:rPr>
          <w:rFonts w:eastAsia="Times New Roman"/>
          <w:sz w:val="24"/>
          <w:szCs w:val="24"/>
          <w:lang w:val="es-ES" w:eastAsia="es-ES"/>
        </w:rPr>
        <w:t>. Y es por ello</w:t>
      </w:r>
      <w:r w:rsidR="00420EA8">
        <w:rPr>
          <w:rFonts w:eastAsia="Times New Roman"/>
          <w:sz w:val="24"/>
          <w:szCs w:val="24"/>
          <w:lang w:val="es-ES" w:eastAsia="es-ES"/>
        </w:rPr>
        <w:t>,</w:t>
      </w:r>
      <w:r w:rsidRPr="003D3FEE">
        <w:rPr>
          <w:rFonts w:eastAsia="Times New Roman"/>
          <w:sz w:val="24"/>
          <w:szCs w:val="24"/>
          <w:lang w:val="es-ES" w:eastAsia="es-ES"/>
        </w:rPr>
        <w:t xml:space="preserve"> por lo que la excepcional procedibilidad de la acción de amparo contra providencias judiciales no se satisface, en términos de subsidiariedad, con un simple chequeo en abstracto del agotamiento de los mecanismos de defensa judicial; debe realizarse, además, un examen en concreto, en relación con el tipo de reproche y su relevancia constitucional, para garantizar que la solicitud al juez de amparo se hace como una alternativa judicial de carácter subsidiario —no principal—.</w:t>
      </w:r>
    </w:p>
    <w:p w14:paraId="64A8D17E" w14:textId="77777777" w:rsidR="004021AE" w:rsidRPr="003D3FEE" w:rsidRDefault="004021AE" w:rsidP="00AE19E9">
      <w:pPr>
        <w:spacing w:line="276" w:lineRule="auto"/>
        <w:rPr>
          <w:iCs/>
          <w:sz w:val="24"/>
          <w:szCs w:val="24"/>
          <w:lang w:val="es-ES"/>
        </w:rPr>
      </w:pPr>
    </w:p>
    <w:p w14:paraId="2E201457" w14:textId="0F516A51" w:rsidR="00F1585B" w:rsidRDefault="00980965" w:rsidP="00F1585B">
      <w:pPr>
        <w:spacing w:line="276" w:lineRule="auto"/>
        <w:rPr>
          <w:iCs/>
          <w:sz w:val="24"/>
          <w:szCs w:val="24"/>
          <w:lang w:val="es-419"/>
        </w:rPr>
      </w:pPr>
      <w:r>
        <w:rPr>
          <w:b/>
          <w:iCs/>
          <w:sz w:val="24"/>
          <w:szCs w:val="24"/>
          <w:lang w:val="es-419"/>
        </w:rPr>
        <w:t>2.</w:t>
      </w:r>
      <w:r w:rsidR="00F1585B">
        <w:rPr>
          <w:b/>
          <w:iCs/>
          <w:sz w:val="24"/>
          <w:szCs w:val="24"/>
          <w:lang w:val="es-419"/>
        </w:rPr>
        <w:t xml:space="preserve">2.2.2. </w:t>
      </w:r>
      <w:r w:rsidR="00F1585B">
        <w:rPr>
          <w:iCs/>
          <w:sz w:val="24"/>
          <w:szCs w:val="24"/>
          <w:lang w:val="es-419"/>
        </w:rPr>
        <w:t xml:space="preserve">En el caso concreto, en primer lugar, la sociedad tutelante presenta unos reproches en el escrito de tutela, </w:t>
      </w:r>
      <w:r w:rsidR="00274FC2">
        <w:rPr>
          <w:iCs/>
          <w:sz w:val="24"/>
          <w:szCs w:val="24"/>
          <w:lang w:val="es-419"/>
        </w:rPr>
        <w:t>con el objeto</w:t>
      </w:r>
      <w:r w:rsidR="00F1585B">
        <w:rPr>
          <w:iCs/>
          <w:sz w:val="24"/>
          <w:szCs w:val="24"/>
          <w:lang w:val="es-419"/>
        </w:rPr>
        <w:t xml:space="preserve">, por un lado, </w:t>
      </w:r>
      <w:r w:rsidR="00A866E0">
        <w:rPr>
          <w:iCs/>
          <w:sz w:val="24"/>
          <w:szCs w:val="24"/>
          <w:lang w:val="es-419"/>
        </w:rPr>
        <w:t xml:space="preserve">de protestar </w:t>
      </w:r>
      <w:r w:rsidR="00F1585B">
        <w:rPr>
          <w:iCs/>
          <w:sz w:val="24"/>
          <w:szCs w:val="24"/>
          <w:lang w:val="es-419"/>
        </w:rPr>
        <w:t xml:space="preserve">la vulneración de sus derechos fundamentales a la libre empresa y a la libre competencia económica, y, por el otro, </w:t>
      </w:r>
      <w:r w:rsidR="00A866E0">
        <w:rPr>
          <w:iCs/>
          <w:sz w:val="24"/>
          <w:szCs w:val="24"/>
          <w:lang w:val="es-419"/>
        </w:rPr>
        <w:t>de</w:t>
      </w:r>
      <w:r w:rsidR="00F1585B">
        <w:rPr>
          <w:iCs/>
          <w:sz w:val="24"/>
          <w:szCs w:val="24"/>
          <w:lang w:val="es-419"/>
        </w:rPr>
        <w:t xml:space="preserve"> plantear un juici</w:t>
      </w:r>
      <w:r w:rsidR="00274041">
        <w:rPr>
          <w:iCs/>
          <w:sz w:val="24"/>
          <w:szCs w:val="24"/>
          <w:lang w:val="es-419"/>
        </w:rPr>
        <w:t xml:space="preserve">o estricto de proporcionalidad sobre </w:t>
      </w:r>
      <w:r w:rsidR="00F1585B">
        <w:rPr>
          <w:iCs/>
          <w:sz w:val="24"/>
          <w:szCs w:val="24"/>
          <w:lang w:val="es-419"/>
        </w:rPr>
        <w:t xml:space="preserve">las </w:t>
      </w:r>
      <w:r w:rsidR="00274041">
        <w:rPr>
          <w:iCs/>
          <w:sz w:val="24"/>
          <w:szCs w:val="24"/>
          <w:lang w:val="es-419"/>
        </w:rPr>
        <w:t>órdenes contenidas</w:t>
      </w:r>
      <w:r w:rsidR="00F1585B">
        <w:rPr>
          <w:iCs/>
          <w:sz w:val="24"/>
          <w:szCs w:val="24"/>
          <w:lang w:val="es-419"/>
        </w:rPr>
        <w:t xml:space="preserve"> en el </w:t>
      </w:r>
      <w:r w:rsidR="00F1585B" w:rsidRPr="005B65D7">
        <w:rPr>
          <w:iCs/>
          <w:sz w:val="24"/>
          <w:szCs w:val="24"/>
          <w:lang w:val="es-419"/>
        </w:rPr>
        <w:t>auto No.</w:t>
      </w:r>
      <w:r w:rsidR="00084A35">
        <w:rPr>
          <w:iCs/>
          <w:sz w:val="24"/>
          <w:szCs w:val="24"/>
          <w:lang w:val="es-419"/>
        </w:rPr>
        <w:t xml:space="preserve"> </w:t>
      </w:r>
      <w:r w:rsidR="00F1585B" w:rsidRPr="005B65D7">
        <w:rPr>
          <w:iCs/>
          <w:sz w:val="24"/>
          <w:szCs w:val="24"/>
          <w:lang w:val="es-419"/>
        </w:rPr>
        <w:t>9 del 7 de diciembre de 2020</w:t>
      </w:r>
      <w:r w:rsidR="00F1585B">
        <w:rPr>
          <w:iCs/>
          <w:sz w:val="24"/>
          <w:szCs w:val="24"/>
          <w:lang w:val="es-419"/>
        </w:rPr>
        <w:t xml:space="preserve">. </w:t>
      </w:r>
    </w:p>
    <w:p w14:paraId="1FB90D39" w14:textId="77777777" w:rsidR="00F1585B" w:rsidRDefault="00F1585B" w:rsidP="00F1585B">
      <w:pPr>
        <w:spacing w:line="276" w:lineRule="auto"/>
        <w:rPr>
          <w:iCs/>
          <w:sz w:val="24"/>
          <w:szCs w:val="24"/>
          <w:lang w:val="es-419"/>
        </w:rPr>
      </w:pPr>
    </w:p>
    <w:p w14:paraId="193CFF5A" w14:textId="37024AF1" w:rsidR="00F1585B" w:rsidRPr="002B0B8D" w:rsidRDefault="00F1585B" w:rsidP="00F1585B">
      <w:pPr>
        <w:spacing w:line="276" w:lineRule="auto"/>
        <w:rPr>
          <w:iCs/>
          <w:sz w:val="24"/>
          <w:szCs w:val="24"/>
          <w:lang w:val="es-419"/>
        </w:rPr>
      </w:pPr>
      <w:r>
        <w:rPr>
          <w:iCs/>
          <w:sz w:val="24"/>
          <w:szCs w:val="24"/>
          <w:lang w:val="es-419"/>
        </w:rPr>
        <w:t xml:space="preserve">Frente a esto, la Subsección nota que, de la lectura de los hechos descritos en la solicitud de amparo, la sociedad accionante pasa por alto algunas circunstancias, acreditadas con la documentación allegada al expediente, que resultan relevantes para el examen de procedibilidad del presente mecanismo constitucional, y en este punto, </w:t>
      </w:r>
      <w:r w:rsidR="00D445F9">
        <w:rPr>
          <w:iCs/>
          <w:sz w:val="24"/>
          <w:szCs w:val="24"/>
          <w:lang w:val="es-419"/>
        </w:rPr>
        <w:t xml:space="preserve">el estudio del </w:t>
      </w:r>
      <w:r>
        <w:rPr>
          <w:iCs/>
          <w:sz w:val="24"/>
          <w:szCs w:val="24"/>
          <w:lang w:val="es-419"/>
        </w:rPr>
        <w:t>requisito de la subsidiariedad. Estas son:</w:t>
      </w:r>
    </w:p>
    <w:p w14:paraId="541CE9A6" w14:textId="77777777" w:rsidR="00F1585B" w:rsidRDefault="00F1585B" w:rsidP="00F1585B">
      <w:pPr>
        <w:spacing w:line="276" w:lineRule="auto"/>
        <w:rPr>
          <w:iCs/>
          <w:sz w:val="24"/>
          <w:szCs w:val="24"/>
        </w:rPr>
      </w:pPr>
    </w:p>
    <w:p w14:paraId="743C69DB" w14:textId="6414269D" w:rsidR="00F1585B" w:rsidRDefault="00980965" w:rsidP="00F1585B">
      <w:pPr>
        <w:spacing w:line="276" w:lineRule="auto"/>
        <w:rPr>
          <w:sz w:val="24"/>
          <w:szCs w:val="24"/>
          <w:lang w:eastAsia="en-US"/>
        </w:rPr>
      </w:pPr>
      <w:r>
        <w:rPr>
          <w:b/>
          <w:iCs/>
          <w:sz w:val="24"/>
          <w:szCs w:val="24"/>
        </w:rPr>
        <w:t>2.</w:t>
      </w:r>
      <w:r w:rsidR="00F1585B">
        <w:rPr>
          <w:b/>
          <w:iCs/>
          <w:sz w:val="24"/>
          <w:szCs w:val="24"/>
        </w:rPr>
        <w:t xml:space="preserve">2.2.2.1. </w:t>
      </w:r>
      <w:r w:rsidR="00F1585B">
        <w:rPr>
          <w:iCs/>
          <w:sz w:val="24"/>
          <w:szCs w:val="24"/>
        </w:rPr>
        <w:t xml:space="preserve">CEO interpuso recurso de reposición contra el auto No. 9 del 7 de diciembre de 2020, en escrito enviado el 14 de diciembre del mismo año, </w:t>
      </w:r>
      <w:r w:rsidR="00F1585B">
        <w:rPr>
          <w:sz w:val="24"/>
          <w:szCs w:val="24"/>
          <w:lang w:eastAsia="en-US"/>
        </w:rPr>
        <w:t xml:space="preserve">con la pretensión de que se revocara, </w:t>
      </w:r>
      <w:r w:rsidR="00D445F9">
        <w:rPr>
          <w:sz w:val="24"/>
          <w:szCs w:val="24"/>
          <w:lang w:eastAsia="en-US"/>
        </w:rPr>
        <w:t>y</w:t>
      </w:r>
      <w:r w:rsidR="00E251C3">
        <w:rPr>
          <w:sz w:val="24"/>
          <w:szCs w:val="24"/>
          <w:lang w:eastAsia="en-US"/>
        </w:rPr>
        <w:t xml:space="preserve"> que</w:t>
      </w:r>
      <w:r w:rsidR="00D445F9">
        <w:rPr>
          <w:sz w:val="24"/>
          <w:szCs w:val="24"/>
          <w:lang w:eastAsia="en-US"/>
        </w:rPr>
        <w:t xml:space="preserve">, en su lugar, se </w:t>
      </w:r>
      <w:r w:rsidR="00E251C3">
        <w:rPr>
          <w:sz w:val="24"/>
          <w:szCs w:val="24"/>
          <w:lang w:eastAsia="en-US"/>
        </w:rPr>
        <w:t>dictara</w:t>
      </w:r>
      <w:r w:rsidR="00D445F9">
        <w:rPr>
          <w:sz w:val="24"/>
          <w:szCs w:val="24"/>
          <w:lang w:eastAsia="en-US"/>
        </w:rPr>
        <w:t xml:space="preserve"> una providencia en la que reconociera el cumplimiento integral de la medida cautelar decretada. De manera subsidiaria, pidió que </w:t>
      </w:r>
      <w:r w:rsidR="00F1585B">
        <w:rPr>
          <w:sz w:val="24"/>
          <w:szCs w:val="24"/>
          <w:lang w:eastAsia="en-US"/>
        </w:rPr>
        <w:t>se modificara la decisión</w:t>
      </w:r>
      <w:r w:rsidR="00D445F9">
        <w:rPr>
          <w:sz w:val="24"/>
          <w:szCs w:val="24"/>
          <w:lang w:eastAsia="en-US"/>
        </w:rPr>
        <w:t>,</w:t>
      </w:r>
      <w:r w:rsidR="00F1585B">
        <w:rPr>
          <w:sz w:val="24"/>
          <w:szCs w:val="24"/>
          <w:lang w:eastAsia="en-US"/>
        </w:rPr>
        <w:t xml:space="preserve"> en los siguientes términos:</w:t>
      </w:r>
    </w:p>
    <w:p w14:paraId="4CB5ED9F" w14:textId="77777777" w:rsidR="00F1585B" w:rsidRPr="003920B5" w:rsidRDefault="00F1585B" w:rsidP="00F1585B">
      <w:pPr>
        <w:spacing w:line="276" w:lineRule="auto"/>
        <w:rPr>
          <w:sz w:val="24"/>
          <w:szCs w:val="24"/>
          <w:lang w:eastAsia="en-US"/>
        </w:rPr>
      </w:pPr>
    </w:p>
    <w:p w14:paraId="7A69B85C" w14:textId="77777777" w:rsidR="00F1585B" w:rsidRPr="003537D3" w:rsidRDefault="00F1585B" w:rsidP="00F1585B">
      <w:pPr>
        <w:spacing w:line="276" w:lineRule="auto"/>
        <w:ind w:left="720"/>
        <w:rPr>
          <w:sz w:val="20"/>
          <w:szCs w:val="24"/>
          <w:lang w:eastAsia="en-US"/>
        </w:rPr>
      </w:pPr>
      <w:r w:rsidRPr="003920B5">
        <w:rPr>
          <w:sz w:val="20"/>
          <w:szCs w:val="24"/>
          <w:lang w:eastAsia="en-US"/>
        </w:rPr>
        <w:t xml:space="preserve">“1. Modificar el numeral PRIMERO para que la extracción del saldo de la información de propiedad de CEO que deberá ejecutar CEDELCA, se cumpla exclusivamente respecto de la siguiente información, que deberá practicarse ante el Tribunal: </w:t>
      </w:r>
    </w:p>
    <w:p w14:paraId="44D2AC30" w14:textId="77777777" w:rsidR="00F1585B" w:rsidRPr="003537D3" w:rsidRDefault="00F1585B" w:rsidP="00F1585B">
      <w:pPr>
        <w:spacing w:line="276" w:lineRule="auto"/>
        <w:ind w:left="720"/>
        <w:rPr>
          <w:sz w:val="20"/>
          <w:szCs w:val="24"/>
          <w:lang w:eastAsia="en-US"/>
        </w:rPr>
      </w:pPr>
    </w:p>
    <w:p w14:paraId="6124968F" w14:textId="76B52AE3" w:rsidR="00F1585B" w:rsidRPr="003920B5" w:rsidRDefault="00F1585B" w:rsidP="00F1585B">
      <w:pPr>
        <w:spacing w:line="276" w:lineRule="auto"/>
        <w:ind w:left="720"/>
        <w:rPr>
          <w:sz w:val="20"/>
          <w:szCs w:val="24"/>
          <w:lang w:eastAsia="en-US"/>
        </w:rPr>
      </w:pPr>
      <w:r w:rsidRPr="003920B5">
        <w:rPr>
          <w:sz w:val="20"/>
          <w:szCs w:val="24"/>
          <w:lang w:eastAsia="en-US"/>
        </w:rPr>
        <w:t>(i) Código informático en lenguaje PL/SQL representado en tres Funciones denominada “f_dueno_cartera”, “f_dueno_cartera_i”, “f_dueno_</w:t>
      </w:r>
      <w:r w:rsidRPr="00AF5DF2">
        <w:rPr>
          <w:sz w:val="20"/>
          <w:szCs w:val="24"/>
          <w:lang w:eastAsia="en-US"/>
        </w:rPr>
        <w:t>interes</w:t>
      </w:r>
      <w:r w:rsidR="00AF5DF2">
        <w:rPr>
          <w:sz w:val="20"/>
          <w:szCs w:val="24"/>
          <w:lang w:eastAsia="en-US"/>
        </w:rPr>
        <w:t xml:space="preserve"> (bis)</w:t>
      </w:r>
      <w:r w:rsidRPr="003920B5">
        <w:rPr>
          <w:sz w:val="20"/>
          <w:szCs w:val="24"/>
          <w:lang w:eastAsia="en-US"/>
        </w:rPr>
        <w:t xml:space="preserve">” que mediante los parámetros año, mes, código del concepto, cuenta, dígitos de chequeo, valor y tipo valores, establece el dueño del concepto por ese valor y por ende el dueño de la cartera”; y </w:t>
      </w:r>
    </w:p>
    <w:p w14:paraId="53B0E615" w14:textId="77777777" w:rsidR="00F1585B" w:rsidRPr="003920B5" w:rsidRDefault="00F1585B" w:rsidP="00F1585B">
      <w:pPr>
        <w:spacing w:line="276" w:lineRule="auto"/>
        <w:ind w:left="720"/>
        <w:rPr>
          <w:sz w:val="20"/>
          <w:szCs w:val="24"/>
          <w:lang w:eastAsia="en-US"/>
        </w:rPr>
      </w:pPr>
    </w:p>
    <w:p w14:paraId="44779051" w14:textId="77777777" w:rsidR="00F1585B" w:rsidRPr="003920B5" w:rsidRDefault="00F1585B" w:rsidP="00F1585B">
      <w:pPr>
        <w:spacing w:line="276" w:lineRule="auto"/>
        <w:ind w:left="720"/>
        <w:rPr>
          <w:sz w:val="20"/>
          <w:szCs w:val="24"/>
          <w:lang w:eastAsia="en-US"/>
        </w:rPr>
      </w:pPr>
      <w:r w:rsidRPr="003920B5">
        <w:rPr>
          <w:sz w:val="20"/>
          <w:szCs w:val="24"/>
          <w:lang w:eastAsia="en-US"/>
        </w:rPr>
        <w:lastRenderedPageBreak/>
        <w:t xml:space="preserve">(ii) Procedimiento almacenado en lenguaje PL/SQL denominado “PK_FACTURA”, que establece la priorización de recaudo aplicado a las facturas tanto a nivel de dueño de la cartera (CEC, CEDELCA y CEO) y a nivel de conceptos de facturación.” </w:t>
      </w:r>
    </w:p>
    <w:p w14:paraId="39E8415A" w14:textId="77777777" w:rsidR="00F1585B" w:rsidRPr="003920B5" w:rsidRDefault="00F1585B" w:rsidP="00F1585B">
      <w:pPr>
        <w:spacing w:line="276" w:lineRule="auto"/>
        <w:ind w:left="720"/>
        <w:rPr>
          <w:sz w:val="20"/>
          <w:szCs w:val="24"/>
          <w:lang w:eastAsia="en-US"/>
        </w:rPr>
      </w:pPr>
    </w:p>
    <w:p w14:paraId="1E1FEFF1" w14:textId="77777777" w:rsidR="00F1585B" w:rsidRPr="003920B5" w:rsidRDefault="00F1585B" w:rsidP="00F1585B">
      <w:pPr>
        <w:spacing w:line="276" w:lineRule="auto"/>
        <w:ind w:left="720"/>
        <w:rPr>
          <w:sz w:val="20"/>
          <w:szCs w:val="24"/>
          <w:lang w:eastAsia="en-US"/>
        </w:rPr>
      </w:pPr>
      <w:r w:rsidRPr="003920B5">
        <w:rPr>
          <w:sz w:val="20"/>
          <w:szCs w:val="24"/>
          <w:lang w:eastAsia="en-US"/>
        </w:rPr>
        <w:t>2. Modificar el numeral SEGUNDO, para prohibir a CEDELCA extraer cualquier información que no tenga relación con el trámite arbitral, es decir con información que no pertenezca a las carteras CEC y CEDELCA, y responder por los perjuicios que pudiere ocasionar a CEO o a sus usuarios con su contrario proceder</w:t>
      </w:r>
      <w:r w:rsidRPr="003537D3">
        <w:rPr>
          <w:sz w:val="20"/>
          <w:szCs w:val="24"/>
          <w:lang w:eastAsia="en-US"/>
        </w:rPr>
        <w:t>”</w:t>
      </w:r>
      <w:r>
        <w:rPr>
          <w:rStyle w:val="Refdenotaalpie"/>
          <w:sz w:val="20"/>
          <w:szCs w:val="24"/>
          <w:lang w:eastAsia="en-US"/>
        </w:rPr>
        <w:footnoteReference w:id="37"/>
      </w:r>
      <w:r w:rsidRPr="003920B5">
        <w:rPr>
          <w:sz w:val="20"/>
          <w:szCs w:val="24"/>
          <w:lang w:eastAsia="en-US"/>
        </w:rPr>
        <w:t xml:space="preserve">. </w:t>
      </w:r>
    </w:p>
    <w:p w14:paraId="4A44A6A6" w14:textId="77777777" w:rsidR="00F1585B" w:rsidRPr="002B0B8D" w:rsidRDefault="00F1585B" w:rsidP="00F1585B">
      <w:pPr>
        <w:spacing w:line="276" w:lineRule="auto"/>
        <w:rPr>
          <w:iCs/>
          <w:sz w:val="24"/>
          <w:szCs w:val="24"/>
        </w:rPr>
      </w:pPr>
    </w:p>
    <w:p w14:paraId="46BA0DB0" w14:textId="0CA259D5" w:rsidR="00F1585B" w:rsidRDefault="00F1585B" w:rsidP="00F1585B">
      <w:pPr>
        <w:spacing w:line="276" w:lineRule="auto"/>
        <w:rPr>
          <w:sz w:val="24"/>
          <w:szCs w:val="24"/>
          <w:lang w:eastAsia="en-US"/>
        </w:rPr>
      </w:pPr>
      <w:r>
        <w:rPr>
          <w:iCs/>
          <w:sz w:val="24"/>
          <w:szCs w:val="24"/>
          <w:lang w:val="es-419"/>
        </w:rPr>
        <w:t xml:space="preserve">Como sustento de esas peticiones, CEO </w:t>
      </w:r>
      <w:r w:rsidR="00ED5549">
        <w:rPr>
          <w:iCs/>
          <w:sz w:val="24"/>
          <w:szCs w:val="24"/>
          <w:lang w:val="es-419"/>
        </w:rPr>
        <w:t xml:space="preserve">indicó </w:t>
      </w:r>
      <w:r>
        <w:rPr>
          <w:iCs/>
          <w:sz w:val="24"/>
          <w:szCs w:val="24"/>
          <w:lang w:val="es-419"/>
        </w:rPr>
        <w:t xml:space="preserve">que, respecto del informe presentado por el perito Julio Villarreal el 10 de noviembre de 2020, ya </w:t>
      </w:r>
      <w:r w:rsidR="00E251C3">
        <w:rPr>
          <w:iCs/>
          <w:sz w:val="24"/>
          <w:szCs w:val="24"/>
          <w:lang w:val="es-419"/>
        </w:rPr>
        <w:t>había entregado</w:t>
      </w:r>
      <w:r>
        <w:rPr>
          <w:iCs/>
          <w:sz w:val="24"/>
          <w:szCs w:val="24"/>
          <w:lang w:val="es-419"/>
        </w:rPr>
        <w:t xml:space="preserve"> a </w:t>
      </w:r>
      <w:r>
        <w:rPr>
          <w:sz w:val="24"/>
          <w:szCs w:val="24"/>
          <w:lang w:eastAsia="en-US"/>
        </w:rPr>
        <w:t>CEDELC</w:t>
      </w:r>
      <w:r w:rsidR="00E251C3">
        <w:rPr>
          <w:sz w:val="24"/>
          <w:szCs w:val="24"/>
          <w:lang w:eastAsia="en-US"/>
        </w:rPr>
        <w:t>A la información que correspondía</w:t>
      </w:r>
      <w:r>
        <w:rPr>
          <w:sz w:val="24"/>
          <w:szCs w:val="24"/>
          <w:lang w:eastAsia="en-US"/>
        </w:rPr>
        <w:t xml:space="preserve"> </w:t>
      </w:r>
      <w:r>
        <w:rPr>
          <w:iCs/>
          <w:sz w:val="24"/>
          <w:szCs w:val="24"/>
          <w:lang w:val="es-419"/>
        </w:rPr>
        <w:t>a</w:t>
      </w:r>
      <w:r>
        <w:rPr>
          <w:sz w:val="24"/>
          <w:szCs w:val="24"/>
          <w:lang w:eastAsia="en-US"/>
        </w:rPr>
        <w:t xml:space="preserve"> los literales</w:t>
      </w:r>
      <w:r w:rsidRPr="00FD7078">
        <w:rPr>
          <w:sz w:val="24"/>
          <w:szCs w:val="24"/>
          <w:lang w:eastAsia="en-US"/>
        </w:rPr>
        <w:t xml:space="preserve"> </w:t>
      </w:r>
      <w:r>
        <w:rPr>
          <w:sz w:val="24"/>
          <w:szCs w:val="24"/>
          <w:lang w:eastAsia="en-US"/>
        </w:rPr>
        <w:t xml:space="preserve">a), b), y d); no suministró la contenida en los literales c) y f), porque fue </w:t>
      </w:r>
      <w:r w:rsidRPr="00FD7078">
        <w:rPr>
          <w:sz w:val="24"/>
          <w:szCs w:val="24"/>
          <w:lang w:eastAsia="en-US"/>
        </w:rPr>
        <w:t>solicitada de manera tardía</w:t>
      </w:r>
      <w:r>
        <w:rPr>
          <w:sz w:val="24"/>
          <w:szCs w:val="24"/>
          <w:lang w:eastAsia="en-US"/>
        </w:rPr>
        <w:t>; y no hubo acceso a las bases de datos del literal e)</w:t>
      </w:r>
      <w:r w:rsidR="00E251C3">
        <w:rPr>
          <w:sz w:val="24"/>
          <w:szCs w:val="24"/>
          <w:lang w:eastAsia="en-US"/>
        </w:rPr>
        <w:t>,</w:t>
      </w:r>
      <w:r>
        <w:rPr>
          <w:sz w:val="24"/>
          <w:szCs w:val="24"/>
          <w:lang w:eastAsia="en-US"/>
        </w:rPr>
        <w:t xml:space="preserve"> puesto que no </w:t>
      </w:r>
      <w:r w:rsidR="00E251C3">
        <w:rPr>
          <w:sz w:val="24"/>
          <w:szCs w:val="24"/>
          <w:lang w:eastAsia="en-US"/>
        </w:rPr>
        <w:t>tenía</w:t>
      </w:r>
      <w:r>
        <w:rPr>
          <w:sz w:val="24"/>
          <w:szCs w:val="24"/>
          <w:lang w:eastAsia="en-US"/>
        </w:rPr>
        <w:t xml:space="preserve"> desagregadas las carteras CEC y</w:t>
      </w:r>
      <w:r w:rsidRPr="003920B5">
        <w:rPr>
          <w:sz w:val="24"/>
          <w:szCs w:val="24"/>
          <w:lang w:eastAsia="en-US"/>
        </w:rPr>
        <w:t xml:space="preserve"> CEDELCA</w:t>
      </w:r>
      <w:r>
        <w:rPr>
          <w:sz w:val="24"/>
          <w:szCs w:val="24"/>
          <w:lang w:eastAsia="en-US"/>
        </w:rPr>
        <w:t xml:space="preserve">, </w:t>
      </w:r>
      <w:r w:rsidR="00E251C3">
        <w:rPr>
          <w:sz w:val="24"/>
          <w:szCs w:val="24"/>
          <w:lang w:eastAsia="en-US"/>
        </w:rPr>
        <w:t xml:space="preserve">lo que, en su decir, </w:t>
      </w:r>
      <w:r>
        <w:rPr>
          <w:sz w:val="24"/>
          <w:szCs w:val="24"/>
          <w:lang w:eastAsia="en-US"/>
        </w:rPr>
        <w:t xml:space="preserve">podía generar la extracción de información </w:t>
      </w:r>
      <w:r w:rsidR="00E251C3">
        <w:rPr>
          <w:sz w:val="24"/>
          <w:szCs w:val="24"/>
          <w:lang w:eastAsia="en-US"/>
        </w:rPr>
        <w:t>ajena</w:t>
      </w:r>
      <w:r>
        <w:rPr>
          <w:sz w:val="24"/>
          <w:szCs w:val="24"/>
          <w:lang w:eastAsia="en-US"/>
        </w:rPr>
        <w:t xml:space="preserve"> al proceso arbitral, como los datos personales de los usuarios de CEO.</w:t>
      </w:r>
    </w:p>
    <w:p w14:paraId="6AABFB8A" w14:textId="77777777" w:rsidR="00F1585B" w:rsidRPr="00477B73" w:rsidRDefault="00F1585B" w:rsidP="00F1585B">
      <w:pPr>
        <w:spacing w:line="276" w:lineRule="auto"/>
        <w:rPr>
          <w:iCs/>
          <w:sz w:val="24"/>
          <w:szCs w:val="24"/>
        </w:rPr>
      </w:pPr>
    </w:p>
    <w:p w14:paraId="311A1936" w14:textId="587B080F" w:rsidR="00F1585B" w:rsidRDefault="00F1585B" w:rsidP="00F1585B">
      <w:pPr>
        <w:spacing w:line="276" w:lineRule="auto"/>
        <w:rPr>
          <w:iCs/>
          <w:sz w:val="24"/>
          <w:szCs w:val="24"/>
          <w:lang w:val="es-419"/>
        </w:rPr>
      </w:pPr>
      <w:r>
        <w:rPr>
          <w:iCs/>
          <w:sz w:val="24"/>
          <w:szCs w:val="24"/>
          <w:lang w:val="es-419"/>
        </w:rPr>
        <w:t xml:space="preserve">La parte impugnante también cuestionó que el Tribunal de Arbitramento ordenara la entrega de la información identificada, como faltante, por el experto de CEDELCA, puesto que, en su parecer, no se ajustaba a la realidad de las bases de datos que fueron </w:t>
      </w:r>
      <w:r w:rsidRPr="00AF5DF2">
        <w:rPr>
          <w:iCs/>
          <w:sz w:val="24"/>
          <w:szCs w:val="24"/>
          <w:lang w:val="es-419"/>
        </w:rPr>
        <w:t>extraídas</w:t>
      </w:r>
      <w:r>
        <w:rPr>
          <w:iCs/>
          <w:sz w:val="24"/>
          <w:szCs w:val="24"/>
          <w:lang w:val="es-419"/>
        </w:rPr>
        <w:t xml:space="preserve"> en octubre y noviembre de 2020. Además, aseveró que la </w:t>
      </w:r>
      <w:r w:rsidR="00AF5DF2">
        <w:rPr>
          <w:iCs/>
          <w:sz w:val="24"/>
          <w:szCs w:val="24"/>
          <w:lang w:val="es-419"/>
        </w:rPr>
        <w:t>recaudación</w:t>
      </w:r>
      <w:r>
        <w:rPr>
          <w:iCs/>
          <w:sz w:val="24"/>
          <w:szCs w:val="24"/>
          <w:lang w:val="es-419"/>
        </w:rPr>
        <w:t xml:space="preserve"> de</w:t>
      </w:r>
      <w:r w:rsidR="00AF5DF2">
        <w:rPr>
          <w:iCs/>
          <w:sz w:val="24"/>
          <w:szCs w:val="24"/>
          <w:lang w:val="es-419"/>
        </w:rPr>
        <w:t xml:space="preserve"> la</w:t>
      </w:r>
      <w:r>
        <w:rPr>
          <w:iCs/>
          <w:sz w:val="24"/>
          <w:szCs w:val="24"/>
          <w:lang w:val="es-419"/>
        </w:rPr>
        <w:t xml:space="preserve"> información</w:t>
      </w:r>
      <w:r w:rsidR="00063E23">
        <w:rPr>
          <w:iCs/>
          <w:sz w:val="24"/>
          <w:szCs w:val="24"/>
          <w:lang w:val="es-419"/>
        </w:rPr>
        <w:t>,</w:t>
      </w:r>
      <w:r>
        <w:rPr>
          <w:iCs/>
          <w:sz w:val="24"/>
          <w:szCs w:val="24"/>
          <w:lang w:val="es-419"/>
        </w:rPr>
        <w:t xml:space="preserve"> que no tuvier</w:t>
      </w:r>
      <w:r w:rsidR="00063E23">
        <w:rPr>
          <w:iCs/>
          <w:sz w:val="24"/>
          <w:szCs w:val="24"/>
          <w:lang w:val="es-419"/>
        </w:rPr>
        <w:t>a como causa el debate arbitral</w:t>
      </w:r>
      <w:r>
        <w:rPr>
          <w:iCs/>
          <w:sz w:val="24"/>
          <w:szCs w:val="24"/>
          <w:lang w:val="es-419"/>
        </w:rPr>
        <w:t xml:space="preserve"> y que fuera objeto de reserva legal, </w:t>
      </w:r>
      <w:r w:rsidRPr="00325B1A">
        <w:rPr>
          <w:iCs/>
          <w:sz w:val="24"/>
          <w:szCs w:val="24"/>
        </w:rPr>
        <w:t>excede</w:t>
      </w:r>
      <w:r>
        <w:rPr>
          <w:iCs/>
          <w:sz w:val="24"/>
          <w:szCs w:val="24"/>
        </w:rPr>
        <w:t>ría</w:t>
      </w:r>
      <w:r w:rsidRPr="00325B1A">
        <w:rPr>
          <w:iCs/>
          <w:sz w:val="24"/>
          <w:szCs w:val="24"/>
        </w:rPr>
        <w:t xml:space="preserve"> la finalidad legal de la prueba</w:t>
      </w:r>
      <w:r>
        <w:rPr>
          <w:iCs/>
          <w:sz w:val="24"/>
          <w:szCs w:val="24"/>
        </w:rPr>
        <w:t xml:space="preserve"> y </w:t>
      </w:r>
      <w:r w:rsidR="00E251C3">
        <w:rPr>
          <w:iCs/>
          <w:sz w:val="24"/>
          <w:szCs w:val="24"/>
          <w:lang w:val="es-419"/>
        </w:rPr>
        <w:t>pondría</w:t>
      </w:r>
      <w:r w:rsidRPr="00325B1A">
        <w:rPr>
          <w:iCs/>
          <w:sz w:val="24"/>
          <w:szCs w:val="24"/>
          <w:lang w:val="es-419"/>
        </w:rPr>
        <w:t xml:space="preserve"> en grave riesgo uno de los activos que tiene </w:t>
      </w:r>
      <w:r>
        <w:rPr>
          <w:iCs/>
          <w:sz w:val="24"/>
          <w:szCs w:val="24"/>
          <w:lang w:val="es-419"/>
        </w:rPr>
        <w:t>CEO,</w:t>
      </w:r>
      <w:r w:rsidRPr="00325B1A">
        <w:rPr>
          <w:iCs/>
          <w:sz w:val="24"/>
          <w:szCs w:val="24"/>
          <w:lang w:val="es-419"/>
        </w:rPr>
        <w:t xml:space="preserve"> </w:t>
      </w:r>
      <w:r>
        <w:rPr>
          <w:iCs/>
          <w:sz w:val="24"/>
          <w:szCs w:val="24"/>
          <w:lang w:val="es-419"/>
        </w:rPr>
        <w:t>su</w:t>
      </w:r>
      <w:r w:rsidRPr="00325B1A">
        <w:rPr>
          <w:iCs/>
          <w:sz w:val="24"/>
          <w:szCs w:val="24"/>
          <w:lang w:val="es-419"/>
        </w:rPr>
        <w:t xml:space="preserve"> información comerc</w:t>
      </w:r>
      <w:r>
        <w:rPr>
          <w:iCs/>
          <w:sz w:val="24"/>
          <w:szCs w:val="24"/>
          <w:lang w:val="es-419"/>
        </w:rPr>
        <w:t>ial.</w:t>
      </w:r>
      <w:r w:rsidR="00E251C3">
        <w:rPr>
          <w:iCs/>
          <w:sz w:val="24"/>
          <w:szCs w:val="24"/>
          <w:lang w:val="es-419"/>
        </w:rPr>
        <w:t xml:space="preserve"> </w:t>
      </w:r>
      <w:r>
        <w:rPr>
          <w:iCs/>
          <w:sz w:val="24"/>
          <w:szCs w:val="24"/>
        </w:rPr>
        <w:t xml:space="preserve">Finalmente, expresó que </w:t>
      </w:r>
      <w:r>
        <w:rPr>
          <w:iCs/>
          <w:sz w:val="24"/>
          <w:szCs w:val="24"/>
          <w:lang w:val="es-419"/>
        </w:rPr>
        <w:t xml:space="preserve">la exhibición de los documentos debía regirse bajo los parámetros de los </w:t>
      </w:r>
      <w:r w:rsidRPr="00325B1A">
        <w:rPr>
          <w:iCs/>
          <w:sz w:val="24"/>
          <w:szCs w:val="24"/>
          <w:lang w:val="es-419"/>
        </w:rPr>
        <w:t>artículo</w:t>
      </w:r>
      <w:r>
        <w:rPr>
          <w:iCs/>
          <w:sz w:val="24"/>
          <w:szCs w:val="24"/>
          <w:lang w:val="es-419"/>
        </w:rPr>
        <w:t>s 63, 64 y 65</w:t>
      </w:r>
      <w:r w:rsidRPr="00325B1A">
        <w:rPr>
          <w:iCs/>
          <w:sz w:val="24"/>
          <w:szCs w:val="24"/>
          <w:lang w:val="es-419"/>
        </w:rPr>
        <w:t xml:space="preserve"> del Código de Comercio y </w:t>
      </w:r>
      <w:r>
        <w:rPr>
          <w:iCs/>
          <w:sz w:val="24"/>
          <w:szCs w:val="24"/>
          <w:lang w:val="es-419"/>
        </w:rPr>
        <w:t xml:space="preserve">268 </w:t>
      </w:r>
      <w:r w:rsidR="007F63EB">
        <w:rPr>
          <w:iCs/>
          <w:sz w:val="24"/>
          <w:szCs w:val="24"/>
          <w:lang w:val="es-419"/>
        </w:rPr>
        <w:t xml:space="preserve">del </w:t>
      </w:r>
      <w:r>
        <w:rPr>
          <w:iCs/>
          <w:sz w:val="24"/>
          <w:szCs w:val="24"/>
          <w:lang w:val="es-419"/>
        </w:rPr>
        <w:t>Código General del Pr</w:t>
      </w:r>
      <w:r w:rsidR="00E251C3">
        <w:rPr>
          <w:iCs/>
          <w:sz w:val="24"/>
          <w:szCs w:val="24"/>
          <w:lang w:val="es-419"/>
        </w:rPr>
        <w:t>oceso</w:t>
      </w:r>
      <w:r>
        <w:rPr>
          <w:iCs/>
          <w:sz w:val="24"/>
          <w:szCs w:val="24"/>
          <w:lang w:val="es-419"/>
        </w:rPr>
        <w:t>.</w:t>
      </w:r>
    </w:p>
    <w:p w14:paraId="51460269" w14:textId="77777777" w:rsidR="00F1585B" w:rsidRDefault="00F1585B" w:rsidP="00F1585B">
      <w:pPr>
        <w:spacing w:line="276" w:lineRule="auto"/>
        <w:rPr>
          <w:iCs/>
          <w:sz w:val="24"/>
          <w:szCs w:val="24"/>
          <w:lang w:val="es-419"/>
        </w:rPr>
      </w:pPr>
    </w:p>
    <w:p w14:paraId="05D74F2A" w14:textId="2000E168" w:rsidR="00F1585B" w:rsidRDefault="00F1585B" w:rsidP="00F1585B">
      <w:pPr>
        <w:spacing w:line="276" w:lineRule="auto"/>
        <w:rPr>
          <w:iCs/>
          <w:sz w:val="24"/>
          <w:szCs w:val="24"/>
        </w:rPr>
      </w:pPr>
      <w:r>
        <w:rPr>
          <w:b/>
          <w:iCs/>
          <w:sz w:val="24"/>
          <w:szCs w:val="24"/>
          <w:lang w:val="es-419"/>
        </w:rPr>
        <w:t>2.2.2.</w:t>
      </w:r>
      <w:r w:rsidR="00980965">
        <w:rPr>
          <w:b/>
          <w:iCs/>
          <w:sz w:val="24"/>
          <w:szCs w:val="24"/>
          <w:lang w:val="es-419"/>
        </w:rPr>
        <w:t>2.</w:t>
      </w:r>
      <w:r>
        <w:rPr>
          <w:b/>
          <w:iCs/>
          <w:sz w:val="24"/>
          <w:szCs w:val="24"/>
          <w:lang w:val="es-419"/>
        </w:rPr>
        <w:t xml:space="preserve">2. </w:t>
      </w:r>
      <w:r>
        <w:rPr>
          <w:iCs/>
          <w:sz w:val="24"/>
          <w:szCs w:val="24"/>
          <w:lang w:val="es-419"/>
        </w:rPr>
        <w:t xml:space="preserve">Tras ello, CEO </w:t>
      </w:r>
      <w:r w:rsidRPr="00325B1A">
        <w:rPr>
          <w:iCs/>
          <w:sz w:val="24"/>
          <w:szCs w:val="24"/>
        </w:rPr>
        <w:t>presentó un escrito</w:t>
      </w:r>
      <w:r w:rsidR="00E251C3">
        <w:rPr>
          <w:iCs/>
          <w:sz w:val="24"/>
          <w:szCs w:val="24"/>
        </w:rPr>
        <w:t xml:space="preserve"> al Tribunal de Arbitramento</w:t>
      </w:r>
      <w:r w:rsidRPr="00325B1A">
        <w:rPr>
          <w:iCs/>
          <w:sz w:val="24"/>
          <w:szCs w:val="24"/>
        </w:rPr>
        <w:t>, el 21 de diciembre de 2020</w:t>
      </w:r>
      <w:r w:rsidR="005C547A">
        <w:rPr>
          <w:rStyle w:val="Refdenotaalpie"/>
          <w:iCs/>
          <w:sz w:val="24"/>
          <w:szCs w:val="24"/>
        </w:rPr>
        <w:footnoteReference w:id="38"/>
      </w:r>
      <w:r w:rsidRPr="00325B1A">
        <w:rPr>
          <w:iCs/>
          <w:sz w:val="24"/>
          <w:szCs w:val="24"/>
        </w:rPr>
        <w:t>,</w:t>
      </w:r>
      <w:r>
        <w:rPr>
          <w:iCs/>
          <w:sz w:val="24"/>
          <w:szCs w:val="24"/>
        </w:rPr>
        <w:t xml:space="preserve"> en el que solicitó que se </w:t>
      </w:r>
      <w:r w:rsidRPr="00325B1A">
        <w:rPr>
          <w:iCs/>
          <w:sz w:val="24"/>
          <w:szCs w:val="24"/>
        </w:rPr>
        <w:t xml:space="preserve">decretara la práctica de </w:t>
      </w:r>
      <w:r>
        <w:rPr>
          <w:iCs/>
          <w:sz w:val="24"/>
          <w:szCs w:val="24"/>
        </w:rPr>
        <w:t>unos medios de prueba, y</w:t>
      </w:r>
      <w:r w:rsidR="00E251C3">
        <w:rPr>
          <w:iCs/>
          <w:sz w:val="24"/>
          <w:szCs w:val="24"/>
        </w:rPr>
        <w:t>, tras ello,</w:t>
      </w:r>
      <w:r>
        <w:rPr>
          <w:iCs/>
          <w:sz w:val="24"/>
          <w:szCs w:val="24"/>
        </w:rPr>
        <w:t xml:space="preserve"> expuso unas cuestiones que, en su criterio, daban cuenta del cumplimiento de</w:t>
      </w:r>
      <w:r w:rsidRPr="00325B1A">
        <w:rPr>
          <w:iCs/>
          <w:sz w:val="24"/>
          <w:szCs w:val="24"/>
        </w:rPr>
        <w:t xml:space="preserve"> la medida cautelar decretada </w:t>
      </w:r>
      <w:r w:rsidR="00E251C3">
        <w:rPr>
          <w:iCs/>
          <w:sz w:val="24"/>
          <w:szCs w:val="24"/>
        </w:rPr>
        <w:t>en</w:t>
      </w:r>
      <w:r w:rsidRPr="00325B1A">
        <w:rPr>
          <w:iCs/>
          <w:sz w:val="24"/>
          <w:szCs w:val="24"/>
        </w:rPr>
        <w:t xml:space="preserve"> el auto</w:t>
      </w:r>
      <w:r>
        <w:rPr>
          <w:iCs/>
          <w:sz w:val="24"/>
          <w:szCs w:val="24"/>
        </w:rPr>
        <w:t xml:space="preserve"> No. 8 del 9 de octubre de 2020. Estas </w:t>
      </w:r>
      <w:r w:rsidR="00E251C3">
        <w:rPr>
          <w:iCs/>
          <w:sz w:val="24"/>
          <w:szCs w:val="24"/>
        </w:rPr>
        <w:t>eran</w:t>
      </w:r>
      <w:r>
        <w:rPr>
          <w:iCs/>
          <w:sz w:val="24"/>
          <w:szCs w:val="24"/>
        </w:rPr>
        <w:t>: (i) la información extraída por CEDELCA a finales de octubre y principio</w:t>
      </w:r>
      <w:r w:rsidR="007F63EB">
        <w:rPr>
          <w:iCs/>
          <w:sz w:val="24"/>
          <w:szCs w:val="24"/>
        </w:rPr>
        <w:t>s</w:t>
      </w:r>
      <w:r>
        <w:rPr>
          <w:iCs/>
          <w:sz w:val="24"/>
          <w:szCs w:val="24"/>
        </w:rPr>
        <w:t xml:space="preserve"> de noviembre del año 2020, es completa </w:t>
      </w:r>
      <w:r w:rsidRPr="00325B1A">
        <w:rPr>
          <w:iCs/>
          <w:sz w:val="24"/>
          <w:szCs w:val="24"/>
        </w:rPr>
        <w:t xml:space="preserve">y cumple con los requerimientos </w:t>
      </w:r>
      <w:r>
        <w:rPr>
          <w:iCs/>
          <w:sz w:val="24"/>
          <w:szCs w:val="24"/>
        </w:rPr>
        <w:t>del auto No.</w:t>
      </w:r>
      <w:r w:rsidR="00084A35">
        <w:rPr>
          <w:iCs/>
          <w:sz w:val="24"/>
          <w:szCs w:val="24"/>
        </w:rPr>
        <w:t xml:space="preserve"> </w:t>
      </w:r>
      <w:r>
        <w:rPr>
          <w:iCs/>
          <w:sz w:val="24"/>
          <w:szCs w:val="24"/>
        </w:rPr>
        <w:t>8 del 9 de octubre del mismo año</w:t>
      </w:r>
      <w:r w:rsidRPr="00325B1A">
        <w:rPr>
          <w:iCs/>
          <w:sz w:val="24"/>
          <w:szCs w:val="24"/>
        </w:rPr>
        <w:t>, con excepción de dos</w:t>
      </w:r>
      <w:r>
        <w:rPr>
          <w:iCs/>
          <w:sz w:val="24"/>
          <w:szCs w:val="24"/>
        </w:rPr>
        <w:t xml:space="preserve"> ítems identificados, que no fue posible entregarla, por haberse </w:t>
      </w:r>
      <w:r w:rsidR="006A2F4F">
        <w:rPr>
          <w:iCs/>
          <w:sz w:val="24"/>
          <w:szCs w:val="24"/>
        </w:rPr>
        <w:t>exigido</w:t>
      </w:r>
      <w:r>
        <w:rPr>
          <w:iCs/>
          <w:sz w:val="24"/>
          <w:szCs w:val="24"/>
        </w:rPr>
        <w:t xml:space="preserve"> de manera </w:t>
      </w:r>
      <w:r w:rsidR="00063E23">
        <w:rPr>
          <w:iCs/>
          <w:sz w:val="24"/>
          <w:szCs w:val="24"/>
        </w:rPr>
        <w:t>inoportuna</w:t>
      </w:r>
      <w:r>
        <w:rPr>
          <w:iCs/>
          <w:sz w:val="24"/>
          <w:szCs w:val="24"/>
        </w:rPr>
        <w:t>; (ii) la información requerida por CEDELCA, el</w:t>
      </w:r>
      <w:r w:rsidR="00E251C3">
        <w:rPr>
          <w:iCs/>
          <w:sz w:val="24"/>
          <w:szCs w:val="24"/>
        </w:rPr>
        <w:t xml:space="preserve"> 14 de diciembre de 2020, excedía</w:t>
      </w:r>
      <w:r>
        <w:rPr>
          <w:iCs/>
          <w:sz w:val="24"/>
          <w:szCs w:val="24"/>
        </w:rPr>
        <w:t xml:space="preserve"> el objeto de la medida cautelar decretada</w:t>
      </w:r>
      <w:r w:rsidR="00E251C3">
        <w:rPr>
          <w:iCs/>
          <w:sz w:val="24"/>
          <w:szCs w:val="24"/>
        </w:rPr>
        <w:t>, por</w:t>
      </w:r>
      <w:r>
        <w:rPr>
          <w:iCs/>
          <w:sz w:val="24"/>
          <w:szCs w:val="24"/>
        </w:rPr>
        <w:t xml:space="preserve"> pretender el acceso a toda la información </w:t>
      </w:r>
      <w:r w:rsidRPr="00325B1A">
        <w:rPr>
          <w:iCs/>
          <w:sz w:val="24"/>
          <w:szCs w:val="24"/>
        </w:rPr>
        <w:t xml:space="preserve">comercial de </w:t>
      </w:r>
      <w:r>
        <w:rPr>
          <w:iCs/>
          <w:sz w:val="24"/>
          <w:szCs w:val="24"/>
        </w:rPr>
        <w:t xml:space="preserve">CEO, sin restricción alguna e ignorando que no existe controversia sobre aquello en el proceso arbitral; </w:t>
      </w:r>
      <w:r w:rsidR="00154A85">
        <w:rPr>
          <w:iCs/>
          <w:sz w:val="24"/>
          <w:szCs w:val="24"/>
        </w:rPr>
        <w:t xml:space="preserve">y </w:t>
      </w:r>
      <w:r>
        <w:rPr>
          <w:iCs/>
          <w:sz w:val="24"/>
          <w:szCs w:val="24"/>
        </w:rPr>
        <w:t xml:space="preserve">(iii) </w:t>
      </w:r>
      <w:r w:rsidRPr="00325B1A">
        <w:rPr>
          <w:iCs/>
          <w:sz w:val="24"/>
          <w:szCs w:val="24"/>
        </w:rPr>
        <w:t xml:space="preserve">el artículo 65 del Código de Comercio, en concordancia con el artículo 64, prohíbe la exhibición y examen de la información </w:t>
      </w:r>
      <w:r w:rsidRPr="00325B1A">
        <w:rPr>
          <w:iCs/>
          <w:sz w:val="24"/>
          <w:szCs w:val="24"/>
        </w:rPr>
        <w:lastRenderedPageBreak/>
        <w:t>contenida en los libros de comercio</w:t>
      </w:r>
      <w:r w:rsidR="00E251C3">
        <w:rPr>
          <w:iCs/>
          <w:sz w:val="24"/>
          <w:szCs w:val="24"/>
        </w:rPr>
        <w:t>,</w:t>
      </w:r>
      <w:r w:rsidRPr="00325B1A">
        <w:rPr>
          <w:iCs/>
          <w:sz w:val="24"/>
          <w:szCs w:val="24"/>
        </w:rPr>
        <w:t xml:space="preserve"> que no </w:t>
      </w:r>
      <w:r w:rsidR="00E251C3">
        <w:rPr>
          <w:iCs/>
          <w:sz w:val="24"/>
          <w:szCs w:val="24"/>
        </w:rPr>
        <w:t>sea discutida</w:t>
      </w:r>
      <w:r w:rsidRPr="00325B1A">
        <w:rPr>
          <w:iCs/>
          <w:sz w:val="24"/>
          <w:szCs w:val="24"/>
        </w:rPr>
        <w:t xml:space="preserve"> en el respectivo </w:t>
      </w:r>
      <w:r>
        <w:rPr>
          <w:iCs/>
          <w:sz w:val="24"/>
          <w:szCs w:val="24"/>
        </w:rPr>
        <w:t>trámite</w:t>
      </w:r>
      <w:r w:rsidRPr="00325B1A">
        <w:rPr>
          <w:iCs/>
          <w:sz w:val="24"/>
          <w:szCs w:val="24"/>
        </w:rPr>
        <w:t xml:space="preserve"> judicial.</w:t>
      </w:r>
    </w:p>
    <w:p w14:paraId="3004A9A5" w14:textId="77777777" w:rsidR="00F1585B" w:rsidRDefault="00F1585B" w:rsidP="00F1585B">
      <w:pPr>
        <w:spacing w:line="276" w:lineRule="auto"/>
        <w:rPr>
          <w:iCs/>
          <w:sz w:val="24"/>
          <w:szCs w:val="24"/>
        </w:rPr>
      </w:pPr>
    </w:p>
    <w:p w14:paraId="3DECD8F0" w14:textId="1AD3559C" w:rsidR="00F1585B" w:rsidRDefault="00980965" w:rsidP="00F1585B">
      <w:pPr>
        <w:spacing w:line="276" w:lineRule="auto"/>
        <w:rPr>
          <w:iCs/>
          <w:sz w:val="24"/>
          <w:szCs w:val="24"/>
        </w:rPr>
      </w:pPr>
      <w:r>
        <w:rPr>
          <w:b/>
          <w:iCs/>
          <w:sz w:val="24"/>
          <w:szCs w:val="24"/>
        </w:rPr>
        <w:t>2.</w:t>
      </w:r>
      <w:r w:rsidR="00F1585B">
        <w:rPr>
          <w:b/>
          <w:iCs/>
          <w:sz w:val="24"/>
          <w:szCs w:val="24"/>
        </w:rPr>
        <w:t xml:space="preserve">2.2.2.3. </w:t>
      </w:r>
      <w:r w:rsidR="00F1585B">
        <w:rPr>
          <w:iCs/>
          <w:sz w:val="24"/>
          <w:szCs w:val="24"/>
        </w:rPr>
        <w:t>En respuesta a las anteriores actuaciones en el proceso arbitral, el Tribunal de Arbitramento dictó el auto No.</w:t>
      </w:r>
      <w:r w:rsidR="00084A35">
        <w:rPr>
          <w:iCs/>
          <w:sz w:val="24"/>
          <w:szCs w:val="24"/>
        </w:rPr>
        <w:t xml:space="preserve"> </w:t>
      </w:r>
      <w:r w:rsidR="00F1585B">
        <w:rPr>
          <w:iCs/>
          <w:sz w:val="24"/>
          <w:szCs w:val="24"/>
        </w:rPr>
        <w:t>10 del 27 de enero de 2021</w:t>
      </w:r>
      <w:r w:rsidR="005C547A">
        <w:rPr>
          <w:rStyle w:val="Refdenotaalpie"/>
          <w:iCs/>
          <w:sz w:val="24"/>
          <w:szCs w:val="24"/>
        </w:rPr>
        <w:footnoteReference w:id="39"/>
      </w:r>
      <w:r w:rsidR="00F1585B">
        <w:rPr>
          <w:iCs/>
          <w:sz w:val="24"/>
          <w:szCs w:val="24"/>
        </w:rPr>
        <w:t>, con el que resolvió no reponer la providencia impugnada, y negar las peticiones planteadas el 21 de diciembre de 2020.</w:t>
      </w:r>
    </w:p>
    <w:p w14:paraId="424B394B" w14:textId="77777777" w:rsidR="00F1585B" w:rsidRDefault="00F1585B" w:rsidP="00F1585B">
      <w:pPr>
        <w:spacing w:line="276" w:lineRule="auto"/>
        <w:rPr>
          <w:iCs/>
          <w:sz w:val="24"/>
          <w:szCs w:val="24"/>
        </w:rPr>
      </w:pPr>
    </w:p>
    <w:p w14:paraId="5AE1BE5F" w14:textId="6E38BB1B" w:rsidR="00F1585B" w:rsidRDefault="00F1585B" w:rsidP="00F1585B">
      <w:pPr>
        <w:spacing w:line="276" w:lineRule="auto"/>
        <w:rPr>
          <w:iCs/>
          <w:sz w:val="24"/>
          <w:szCs w:val="24"/>
        </w:rPr>
      </w:pPr>
      <w:r>
        <w:rPr>
          <w:iCs/>
          <w:sz w:val="24"/>
          <w:szCs w:val="24"/>
        </w:rPr>
        <w:t>La autoridad arbitral fundamentó su decisión de no reponer el auto No.</w:t>
      </w:r>
      <w:r w:rsidR="00084A35">
        <w:rPr>
          <w:iCs/>
          <w:sz w:val="24"/>
          <w:szCs w:val="24"/>
        </w:rPr>
        <w:t xml:space="preserve"> </w:t>
      </w:r>
      <w:r>
        <w:rPr>
          <w:iCs/>
          <w:sz w:val="24"/>
          <w:szCs w:val="24"/>
        </w:rPr>
        <w:t xml:space="preserve">9 del 7 de diciembre de 2020, </w:t>
      </w:r>
      <w:r w:rsidR="005F2A13">
        <w:rPr>
          <w:iCs/>
          <w:sz w:val="24"/>
          <w:szCs w:val="24"/>
        </w:rPr>
        <w:t>con base en estas</w:t>
      </w:r>
      <w:r>
        <w:rPr>
          <w:iCs/>
          <w:sz w:val="24"/>
          <w:szCs w:val="24"/>
        </w:rPr>
        <w:t xml:space="preserve"> razones: </w:t>
      </w:r>
    </w:p>
    <w:p w14:paraId="21513155" w14:textId="77777777" w:rsidR="00F1585B" w:rsidRDefault="00F1585B" w:rsidP="00F1585B">
      <w:pPr>
        <w:spacing w:line="276" w:lineRule="auto"/>
        <w:rPr>
          <w:iCs/>
          <w:sz w:val="24"/>
          <w:szCs w:val="24"/>
        </w:rPr>
      </w:pPr>
    </w:p>
    <w:p w14:paraId="42DE5628" w14:textId="63E89ECF" w:rsidR="00F1585B" w:rsidRPr="001833E7" w:rsidRDefault="00F1585B" w:rsidP="00F1585B">
      <w:pPr>
        <w:pStyle w:val="Prrafodelista"/>
        <w:numPr>
          <w:ilvl w:val="0"/>
          <w:numId w:val="41"/>
        </w:numPr>
        <w:spacing w:line="276" w:lineRule="auto"/>
        <w:jc w:val="both"/>
        <w:rPr>
          <w:rFonts w:ascii="Arial" w:hAnsi="Arial" w:cs="Arial"/>
          <w:iCs/>
        </w:rPr>
      </w:pPr>
      <w:r>
        <w:rPr>
          <w:rFonts w:ascii="Arial" w:hAnsi="Arial" w:cs="Arial"/>
          <w:iCs/>
          <w:lang w:val="es-CO"/>
        </w:rPr>
        <w:t>N</w:t>
      </w:r>
      <w:r w:rsidRPr="001833E7">
        <w:rPr>
          <w:rFonts w:ascii="Arial" w:hAnsi="Arial" w:cs="Arial"/>
          <w:iCs/>
        </w:rPr>
        <w:t xml:space="preserve">o es un </w:t>
      </w:r>
      <w:r w:rsidRPr="00AF5DF2">
        <w:rPr>
          <w:rFonts w:ascii="Arial" w:hAnsi="Arial" w:cs="Arial"/>
          <w:iCs/>
        </w:rPr>
        <w:t>motivo</w:t>
      </w:r>
      <w:r w:rsidRPr="001833E7">
        <w:rPr>
          <w:rFonts w:ascii="Arial" w:hAnsi="Arial" w:cs="Arial"/>
          <w:iCs/>
        </w:rPr>
        <w:t xml:space="preserve"> v</w:t>
      </w:r>
      <w:r w:rsidR="007F63EB">
        <w:rPr>
          <w:rFonts w:ascii="Arial" w:hAnsi="Arial" w:cs="Arial"/>
          <w:iCs/>
        </w:rPr>
        <w:t>á</w:t>
      </w:r>
      <w:r w:rsidRPr="001833E7">
        <w:rPr>
          <w:rFonts w:ascii="Arial" w:hAnsi="Arial" w:cs="Arial"/>
          <w:iCs/>
        </w:rPr>
        <w:t>lido que CEO pretenda eximirse de entregar una información, por el hecho</w:t>
      </w:r>
      <w:r w:rsidR="005F2A13">
        <w:rPr>
          <w:rFonts w:ascii="Arial" w:hAnsi="Arial" w:cs="Arial"/>
          <w:iCs/>
        </w:rPr>
        <w:t xml:space="preserve"> de que CEDELCA no la haya solicitado</w:t>
      </w:r>
      <w:r w:rsidRPr="001833E7">
        <w:rPr>
          <w:rFonts w:ascii="Arial" w:hAnsi="Arial" w:cs="Arial"/>
          <w:iCs/>
        </w:rPr>
        <w:t xml:space="preserve"> de manera oportuna</w:t>
      </w:r>
      <w:r>
        <w:rPr>
          <w:rFonts w:ascii="Arial" w:hAnsi="Arial" w:cs="Arial"/>
          <w:iCs/>
        </w:rPr>
        <w:t>.</w:t>
      </w:r>
      <w:r w:rsidRPr="001833E7">
        <w:rPr>
          <w:rFonts w:ascii="Arial" w:hAnsi="Arial" w:cs="Arial"/>
          <w:iCs/>
        </w:rPr>
        <w:t xml:space="preserve"> </w:t>
      </w:r>
    </w:p>
    <w:p w14:paraId="669C12EC" w14:textId="062580DB" w:rsidR="00F1585B" w:rsidRPr="001833E7" w:rsidRDefault="00AF5DF2" w:rsidP="00F1585B">
      <w:pPr>
        <w:pStyle w:val="Prrafodelista"/>
        <w:numPr>
          <w:ilvl w:val="0"/>
          <w:numId w:val="41"/>
        </w:numPr>
        <w:spacing w:line="276" w:lineRule="auto"/>
        <w:jc w:val="both"/>
        <w:rPr>
          <w:rFonts w:ascii="Arial" w:hAnsi="Arial" w:cs="Arial"/>
          <w:lang w:eastAsia="es-ES"/>
        </w:rPr>
      </w:pPr>
      <w:r>
        <w:rPr>
          <w:rFonts w:ascii="Arial" w:hAnsi="Arial" w:cs="Arial"/>
          <w:iCs/>
        </w:rPr>
        <w:t>Las razones relacionada</w:t>
      </w:r>
      <w:r w:rsidR="005F2A13">
        <w:rPr>
          <w:rFonts w:ascii="Arial" w:hAnsi="Arial" w:cs="Arial"/>
          <w:iCs/>
        </w:rPr>
        <w:t>s</w:t>
      </w:r>
      <w:r w:rsidR="00F1585B" w:rsidRPr="001833E7">
        <w:rPr>
          <w:rFonts w:ascii="Arial" w:hAnsi="Arial" w:cs="Arial"/>
          <w:iCs/>
        </w:rPr>
        <w:t xml:space="preserve"> </w:t>
      </w:r>
      <w:r w:rsidR="00274FC2">
        <w:rPr>
          <w:rFonts w:ascii="Arial" w:hAnsi="Arial" w:cs="Arial"/>
          <w:iCs/>
        </w:rPr>
        <w:t xml:space="preserve">con </w:t>
      </w:r>
      <w:r w:rsidR="005F2A13">
        <w:rPr>
          <w:rFonts w:ascii="Arial" w:hAnsi="Arial" w:cs="Arial"/>
          <w:iCs/>
        </w:rPr>
        <w:t>la reserva</w:t>
      </w:r>
      <w:r w:rsidR="00F1585B" w:rsidRPr="001833E7">
        <w:rPr>
          <w:rFonts w:ascii="Arial" w:hAnsi="Arial" w:cs="Arial"/>
          <w:iCs/>
        </w:rPr>
        <w:t xml:space="preserve"> de la información</w:t>
      </w:r>
      <w:r w:rsidR="005F2A13">
        <w:rPr>
          <w:rFonts w:ascii="Arial" w:hAnsi="Arial" w:cs="Arial"/>
          <w:iCs/>
        </w:rPr>
        <w:t>,</w:t>
      </w:r>
      <w:r w:rsidR="00F1585B" w:rsidRPr="001833E7">
        <w:rPr>
          <w:rFonts w:ascii="Arial" w:hAnsi="Arial" w:cs="Arial"/>
          <w:iCs/>
        </w:rPr>
        <w:t xml:space="preserve"> </w:t>
      </w:r>
      <w:r w:rsidR="005F2A13">
        <w:rPr>
          <w:rFonts w:ascii="Arial" w:hAnsi="Arial" w:cs="Arial"/>
          <w:iCs/>
        </w:rPr>
        <w:t>son los mismos argumentos</w:t>
      </w:r>
      <w:r w:rsidR="00F1585B" w:rsidRPr="001833E7">
        <w:rPr>
          <w:rFonts w:ascii="Arial" w:hAnsi="Arial" w:cs="Arial"/>
          <w:iCs/>
        </w:rPr>
        <w:t xml:space="preserve"> que ya se ha</w:t>
      </w:r>
      <w:r w:rsidR="005F2A13">
        <w:rPr>
          <w:rFonts w:ascii="Arial" w:hAnsi="Arial" w:cs="Arial"/>
          <w:iCs/>
        </w:rPr>
        <w:t>n</w:t>
      </w:r>
      <w:r w:rsidR="00F1585B" w:rsidRPr="001833E7">
        <w:rPr>
          <w:rFonts w:ascii="Arial" w:hAnsi="Arial" w:cs="Arial"/>
          <w:iCs/>
        </w:rPr>
        <w:t xml:space="preserve"> puesto de presente en alguna oportunidad anterior, por lo que no existe un elemento nuevo que abriera la posibilidad de</w:t>
      </w:r>
      <w:r w:rsidR="00F1585B">
        <w:rPr>
          <w:rFonts w:ascii="Arial" w:hAnsi="Arial" w:cs="Arial"/>
          <w:iCs/>
        </w:rPr>
        <w:t xml:space="preserve"> revocar lo que ya fue resuelto.</w:t>
      </w:r>
      <w:r w:rsidR="00F1585B" w:rsidRPr="001833E7">
        <w:rPr>
          <w:rFonts w:ascii="Arial" w:hAnsi="Arial" w:cs="Arial"/>
          <w:iCs/>
        </w:rPr>
        <w:t xml:space="preserve"> </w:t>
      </w:r>
    </w:p>
    <w:p w14:paraId="0C8ED223" w14:textId="77777777" w:rsidR="00F1585B" w:rsidRPr="001833E7" w:rsidRDefault="00F1585B" w:rsidP="00F1585B">
      <w:pPr>
        <w:pStyle w:val="Prrafodelista"/>
        <w:numPr>
          <w:ilvl w:val="0"/>
          <w:numId w:val="41"/>
        </w:numPr>
        <w:spacing w:line="276" w:lineRule="auto"/>
        <w:jc w:val="both"/>
        <w:rPr>
          <w:rFonts w:ascii="Arial" w:hAnsi="Arial" w:cs="Arial"/>
          <w:lang w:eastAsia="es-ES"/>
        </w:rPr>
      </w:pPr>
      <w:r>
        <w:rPr>
          <w:rFonts w:ascii="Arial" w:hAnsi="Arial" w:cs="Arial"/>
          <w:iCs/>
        </w:rPr>
        <w:t>E</w:t>
      </w:r>
      <w:r w:rsidRPr="001833E7">
        <w:rPr>
          <w:rFonts w:ascii="Arial" w:hAnsi="Arial" w:cs="Arial"/>
          <w:iCs/>
        </w:rPr>
        <w:t xml:space="preserve">l perito deberá analizar e incorporar a su dictamen pericial, la información que solamente corresponda a la controversia. Y, además, tendrá que </w:t>
      </w:r>
      <w:r w:rsidRPr="001833E7">
        <w:rPr>
          <w:rFonts w:ascii="Arial" w:hAnsi="Arial" w:cs="Arial"/>
          <w:lang w:eastAsia="es-ES"/>
        </w:rPr>
        <w:t>guardar reserva respecto de lo que sea ajeno a ella. En caso de no hacerlo, será legalmente responsable</w:t>
      </w:r>
      <w:r>
        <w:rPr>
          <w:rFonts w:ascii="Arial" w:hAnsi="Arial" w:cs="Arial"/>
          <w:lang w:eastAsia="es-ES"/>
        </w:rPr>
        <w:t>.</w:t>
      </w:r>
      <w:r w:rsidRPr="001833E7">
        <w:rPr>
          <w:rFonts w:ascii="Arial" w:hAnsi="Arial" w:cs="Arial"/>
          <w:lang w:eastAsia="es-ES"/>
        </w:rPr>
        <w:t xml:space="preserve"> </w:t>
      </w:r>
    </w:p>
    <w:p w14:paraId="5E20397E" w14:textId="2F33A291" w:rsidR="00F1585B" w:rsidRPr="001833E7" w:rsidRDefault="00F1585B" w:rsidP="00F1585B">
      <w:pPr>
        <w:pStyle w:val="Prrafodelista"/>
        <w:numPr>
          <w:ilvl w:val="0"/>
          <w:numId w:val="41"/>
        </w:numPr>
        <w:spacing w:line="276" w:lineRule="auto"/>
        <w:jc w:val="both"/>
        <w:rPr>
          <w:rFonts w:ascii="Arial" w:hAnsi="Arial" w:cs="Arial"/>
          <w:lang w:eastAsia="es-ES"/>
        </w:rPr>
      </w:pPr>
      <w:r>
        <w:rPr>
          <w:rFonts w:ascii="Arial" w:hAnsi="Arial" w:cs="Arial"/>
          <w:lang w:eastAsia="es-ES"/>
        </w:rPr>
        <w:t>N</w:t>
      </w:r>
      <w:r w:rsidRPr="001833E7">
        <w:rPr>
          <w:rFonts w:ascii="Arial" w:hAnsi="Arial" w:cs="Arial"/>
          <w:lang w:eastAsia="es-ES"/>
        </w:rPr>
        <w:t xml:space="preserve">o resulta oponible a la reserva, que las bases de datos utilizadas para la prueba pericial estén limitadas </w:t>
      </w:r>
      <w:r w:rsidR="005F2A13">
        <w:rPr>
          <w:rFonts w:ascii="Arial" w:hAnsi="Arial" w:cs="Arial"/>
          <w:lang w:eastAsia="es-ES"/>
        </w:rPr>
        <w:t>al</w:t>
      </w:r>
      <w:r w:rsidRPr="001833E7">
        <w:rPr>
          <w:rFonts w:ascii="Arial" w:hAnsi="Arial" w:cs="Arial"/>
          <w:lang w:eastAsia="es-ES"/>
        </w:rPr>
        <w:t xml:space="preserve"> objeto de debate en el trámite arbitral; </w:t>
      </w:r>
      <w:r w:rsidRPr="00B70AC2">
        <w:rPr>
          <w:rFonts w:ascii="Arial" w:hAnsi="Arial" w:cs="Arial"/>
          <w:lang w:eastAsia="es-ES"/>
        </w:rPr>
        <w:t>información</w:t>
      </w:r>
      <w:r w:rsidRPr="001833E7">
        <w:rPr>
          <w:rFonts w:ascii="Arial" w:hAnsi="Arial" w:cs="Arial"/>
          <w:lang w:eastAsia="es-ES"/>
        </w:rPr>
        <w:t xml:space="preserve"> que, por cierto, ya había sido ordenada en</w:t>
      </w:r>
      <w:r w:rsidR="005F2A13">
        <w:rPr>
          <w:rFonts w:ascii="Arial" w:hAnsi="Arial" w:cs="Arial"/>
          <w:lang w:eastAsia="es-ES"/>
        </w:rPr>
        <w:t xml:space="preserve"> virtud de una medida cautelar.</w:t>
      </w:r>
    </w:p>
    <w:p w14:paraId="154A7A22" w14:textId="385E3CAD" w:rsidR="00F1585B" w:rsidRPr="001833E7" w:rsidRDefault="00F1585B" w:rsidP="00F1585B">
      <w:pPr>
        <w:pStyle w:val="Prrafodelista"/>
        <w:numPr>
          <w:ilvl w:val="0"/>
          <w:numId w:val="41"/>
        </w:numPr>
        <w:spacing w:line="276" w:lineRule="auto"/>
        <w:jc w:val="both"/>
        <w:rPr>
          <w:rFonts w:ascii="Arial" w:hAnsi="Arial" w:cs="Arial"/>
          <w:lang w:eastAsia="es-ES"/>
        </w:rPr>
      </w:pPr>
      <w:r>
        <w:rPr>
          <w:rFonts w:ascii="Arial" w:hAnsi="Arial" w:cs="Arial"/>
          <w:lang w:eastAsia="es-ES"/>
        </w:rPr>
        <w:t>E</w:t>
      </w:r>
      <w:r w:rsidRPr="001833E7">
        <w:rPr>
          <w:rFonts w:ascii="Arial" w:hAnsi="Arial" w:cs="Arial"/>
          <w:lang w:eastAsia="es-ES"/>
        </w:rPr>
        <w:t xml:space="preserve">l hecho de que la </w:t>
      </w:r>
      <w:r w:rsidRPr="00B70AC2">
        <w:rPr>
          <w:rFonts w:ascii="Arial" w:hAnsi="Arial" w:cs="Arial"/>
          <w:lang w:eastAsia="es-ES"/>
        </w:rPr>
        <w:t>información</w:t>
      </w:r>
      <w:r w:rsidRPr="001833E7">
        <w:rPr>
          <w:rFonts w:ascii="Arial" w:hAnsi="Arial" w:cs="Arial"/>
          <w:lang w:eastAsia="es-ES"/>
        </w:rPr>
        <w:t xml:space="preserve"> no esté segmentada o </w:t>
      </w:r>
      <w:r w:rsidR="00274FC2" w:rsidRPr="001833E7">
        <w:rPr>
          <w:rFonts w:ascii="Arial" w:hAnsi="Arial" w:cs="Arial"/>
          <w:lang w:eastAsia="es-ES"/>
        </w:rPr>
        <w:t>desagregada</w:t>
      </w:r>
      <w:r w:rsidRPr="001833E7">
        <w:rPr>
          <w:rFonts w:ascii="Arial" w:hAnsi="Arial" w:cs="Arial"/>
          <w:lang w:eastAsia="es-ES"/>
        </w:rPr>
        <w:t xml:space="preserve"> no impide al perito la extracción de ella, pues lo que no resulte </w:t>
      </w:r>
      <w:r>
        <w:rPr>
          <w:rFonts w:ascii="Arial" w:hAnsi="Arial" w:cs="Arial"/>
          <w:lang w:eastAsia="es-ES"/>
        </w:rPr>
        <w:t>necesario para la finalidad probatoria perseguida,</w:t>
      </w:r>
      <w:r w:rsidRPr="001833E7">
        <w:rPr>
          <w:rFonts w:ascii="Arial" w:hAnsi="Arial" w:cs="Arial"/>
          <w:lang w:eastAsia="es-ES"/>
        </w:rPr>
        <w:t xml:space="preserve"> no podrá utilizarla y deberá devolverla</w:t>
      </w:r>
      <w:r>
        <w:rPr>
          <w:rFonts w:ascii="Arial" w:hAnsi="Arial" w:cs="Arial"/>
          <w:lang w:eastAsia="es-ES"/>
        </w:rPr>
        <w:t xml:space="preserve"> inmediata</w:t>
      </w:r>
      <w:r w:rsidR="00063E23">
        <w:rPr>
          <w:rFonts w:ascii="Arial" w:hAnsi="Arial" w:cs="Arial"/>
          <w:lang w:eastAsia="es-ES"/>
        </w:rPr>
        <w:t>mente</w:t>
      </w:r>
      <w:r w:rsidRPr="001833E7">
        <w:rPr>
          <w:rFonts w:ascii="Arial" w:hAnsi="Arial" w:cs="Arial"/>
          <w:lang w:eastAsia="es-ES"/>
        </w:rPr>
        <w:t xml:space="preserve"> a CEO</w:t>
      </w:r>
      <w:r>
        <w:rPr>
          <w:rFonts w:ascii="Arial" w:hAnsi="Arial" w:cs="Arial"/>
          <w:lang w:eastAsia="es-ES"/>
        </w:rPr>
        <w:t>.</w:t>
      </w:r>
      <w:r w:rsidRPr="001833E7">
        <w:rPr>
          <w:rFonts w:ascii="Arial" w:hAnsi="Arial" w:cs="Arial"/>
          <w:lang w:eastAsia="es-ES"/>
        </w:rPr>
        <w:t xml:space="preserve"> </w:t>
      </w:r>
    </w:p>
    <w:p w14:paraId="653C1848" w14:textId="3C8370E9" w:rsidR="00F1585B" w:rsidRPr="001833E7" w:rsidRDefault="00F1585B" w:rsidP="00F1585B">
      <w:pPr>
        <w:pStyle w:val="Prrafodelista"/>
        <w:numPr>
          <w:ilvl w:val="0"/>
          <w:numId w:val="41"/>
        </w:numPr>
        <w:spacing w:line="276" w:lineRule="auto"/>
        <w:jc w:val="both"/>
        <w:rPr>
          <w:rFonts w:ascii="Arial" w:hAnsi="Arial" w:cs="Arial"/>
          <w:lang w:eastAsia="es-ES"/>
        </w:rPr>
      </w:pPr>
      <w:r>
        <w:rPr>
          <w:rFonts w:ascii="Arial" w:hAnsi="Arial" w:cs="Arial"/>
          <w:lang w:eastAsia="es-ES"/>
        </w:rPr>
        <w:t>R</w:t>
      </w:r>
      <w:r w:rsidRPr="001833E7">
        <w:rPr>
          <w:rFonts w:ascii="Arial" w:hAnsi="Arial" w:cs="Arial"/>
          <w:lang w:eastAsia="es-ES"/>
        </w:rPr>
        <w:t xml:space="preserve">especto de la </w:t>
      </w:r>
      <w:r w:rsidRPr="00AF5DF2">
        <w:rPr>
          <w:rFonts w:ascii="Arial" w:hAnsi="Arial" w:cs="Arial"/>
          <w:lang w:eastAsia="es-ES"/>
        </w:rPr>
        <w:t>información</w:t>
      </w:r>
      <w:r w:rsidRPr="001833E7">
        <w:rPr>
          <w:rFonts w:ascii="Arial" w:hAnsi="Arial" w:cs="Arial"/>
          <w:lang w:eastAsia="es-ES"/>
        </w:rPr>
        <w:t xml:space="preserve"> que CEDELCA afirmó que ya entregó, habrá lugar a dar credibilidad a lo manifestado por el perito, quien es el llamado a establecer la suficiencia </w:t>
      </w:r>
      <w:r w:rsidR="00AF5DF2">
        <w:rPr>
          <w:rFonts w:ascii="Arial" w:hAnsi="Arial" w:cs="Arial"/>
          <w:lang w:eastAsia="es-ES"/>
        </w:rPr>
        <w:t xml:space="preserve">de las bases de datos </w:t>
      </w:r>
      <w:r w:rsidRPr="001833E7">
        <w:rPr>
          <w:rFonts w:ascii="Arial" w:hAnsi="Arial" w:cs="Arial"/>
          <w:lang w:eastAsia="es-ES"/>
        </w:rPr>
        <w:t>requerida</w:t>
      </w:r>
      <w:r w:rsidR="00AF5DF2">
        <w:rPr>
          <w:rFonts w:ascii="Arial" w:hAnsi="Arial" w:cs="Arial"/>
          <w:lang w:eastAsia="es-ES"/>
        </w:rPr>
        <w:t>s</w:t>
      </w:r>
      <w:r w:rsidRPr="001833E7">
        <w:rPr>
          <w:rFonts w:ascii="Arial" w:hAnsi="Arial" w:cs="Arial"/>
          <w:lang w:eastAsia="es-ES"/>
        </w:rPr>
        <w:t xml:space="preserve"> para </w:t>
      </w:r>
      <w:r w:rsidR="005F2A13">
        <w:rPr>
          <w:rFonts w:ascii="Arial" w:hAnsi="Arial" w:cs="Arial"/>
          <w:lang w:eastAsia="es-ES"/>
        </w:rPr>
        <w:t>la elaboración del</w:t>
      </w:r>
      <w:r w:rsidRPr="001833E7">
        <w:rPr>
          <w:rFonts w:ascii="Arial" w:hAnsi="Arial" w:cs="Arial"/>
          <w:lang w:eastAsia="es-ES"/>
        </w:rPr>
        <w:t xml:space="preserve"> dictamen.</w:t>
      </w:r>
    </w:p>
    <w:p w14:paraId="4D7C6942" w14:textId="77777777" w:rsidR="00F1585B" w:rsidRDefault="00F1585B" w:rsidP="00F1585B">
      <w:pPr>
        <w:spacing w:line="276" w:lineRule="auto"/>
        <w:rPr>
          <w:sz w:val="24"/>
          <w:szCs w:val="24"/>
          <w:lang w:eastAsia="es-ES"/>
        </w:rPr>
      </w:pPr>
    </w:p>
    <w:p w14:paraId="38DEE06B" w14:textId="392F2D02" w:rsidR="00F1585B" w:rsidRDefault="00F1585B" w:rsidP="00F1585B">
      <w:pPr>
        <w:spacing w:line="276" w:lineRule="auto"/>
        <w:rPr>
          <w:sz w:val="24"/>
          <w:szCs w:val="24"/>
          <w:lang w:eastAsia="es-ES"/>
        </w:rPr>
      </w:pPr>
      <w:r w:rsidRPr="003537D3">
        <w:rPr>
          <w:sz w:val="24"/>
          <w:szCs w:val="24"/>
          <w:lang w:eastAsia="es-ES"/>
        </w:rPr>
        <w:t xml:space="preserve">En cuanto al memorial del 21 de diciembre de 2020, </w:t>
      </w:r>
      <w:r>
        <w:rPr>
          <w:sz w:val="24"/>
          <w:szCs w:val="24"/>
          <w:lang w:eastAsia="es-ES"/>
        </w:rPr>
        <w:t>la autoridad arbitral sustentó, por un lado, que el trámite de una medida cautelar no era la oportunidad para solicitar el decreto de unas pruebas, y que, por el otro, corresponde estarse a lo resuelto en el auto No. 9 del</w:t>
      </w:r>
      <w:r>
        <w:rPr>
          <w:iCs/>
          <w:sz w:val="24"/>
          <w:szCs w:val="24"/>
        </w:rPr>
        <w:t xml:space="preserve"> 7 de diciembre </w:t>
      </w:r>
      <w:r w:rsidR="005F2A13">
        <w:rPr>
          <w:iCs/>
          <w:sz w:val="24"/>
          <w:szCs w:val="24"/>
        </w:rPr>
        <w:t>del mismo año</w:t>
      </w:r>
      <w:r>
        <w:rPr>
          <w:iCs/>
          <w:sz w:val="24"/>
          <w:szCs w:val="24"/>
        </w:rPr>
        <w:t xml:space="preserve">, pues el requerimiento del perito era un desarrollo de la petición formulada el 29 de julio </w:t>
      </w:r>
      <w:r w:rsidR="005F2A13">
        <w:rPr>
          <w:iCs/>
          <w:sz w:val="24"/>
          <w:szCs w:val="24"/>
        </w:rPr>
        <w:t>de 2020</w:t>
      </w:r>
      <w:r>
        <w:rPr>
          <w:iCs/>
          <w:sz w:val="24"/>
          <w:szCs w:val="24"/>
        </w:rPr>
        <w:t xml:space="preserve">. </w:t>
      </w:r>
    </w:p>
    <w:p w14:paraId="595441BC" w14:textId="77777777" w:rsidR="00F1585B" w:rsidRDefault="00F1585B" w:rsidP="00F1585B">
      <w:pPr>
        <w:spacing w:line="276" w:lineRule="auto"/>
        <w:rPr>
          <w:sz w:val="24"/>
          <w:szCs w:val="24"/>
          <w:lang w:eastAsia="es-ES"/>
        </w:rPr>
      </w:pPr>
    </w:p>
    <w:p w14:paraId="106AB379" w14:textId="100E8A6C" w:rsidR="00F1585B" w:rsidRPr="00676349" w:rsidRDefault="00980965" w:rsidP="00F1585B">
      <w:pPr>
        <w:spacing w:line="276" w:lineRule="auto"/>
        <w:rPr>
          <w:sz w:val="24"/>
          <w:szCs w:val="24"/>
          <w:lang w:eastAsia="es-ES"/>
        </w:rPr>
      </w:pPr>
      <w:r>
        <w:rPr>
          <w:b/>
          <w:sz w:val="24"/>
          <w:szCs w:val="24"/>
          <w:lang w:eastAsia="es-ES"/>
        </w:rPr>
        <w:t>2.</w:t>
      </w:r>
      <w:r w:rsidR="00F1585B">
        <w:rPr>
          <w:b/>
          <w:sz w:val="24"/>
          <w:szCs w:val="24"/>
          <w:lang w:eastAsia="es-ES"/>
        </w:rPr>
        <w:t xml:space="preserve">2.2.2.4. </w:t>
      </w:r>
      <w:r w:rsidR="00F1585B">
        <w:rPr>
          <w:sz w:val="24"/>
          <w:szCs w:val="24"/>
          <w:lang w:eastAsia="es-ES"/>
        </w:rPr>
        <w:t xml:space="preserve">Visto lo anterior, la Sala nota que en el recurso de reposición en contra del auto </w:t>
      </w:r>
      <w:r w:rsidR="00F1585B">
        <w:rPr>
          <w:iCs/>
          <w:sz w:val="24"/>
          <w:szCs w:val="24"/>
        </w:rPr>
        <w:t xml:space="preserve">No. 9 del 7 de diciembre de 2020, proferido por el Tribunal de Arbitramento, la parte convocada (el accionante en este trámite) no presentó cuestionamiento alguno sobre la posible afectación de sus derechos a la libre competencia económica y a la </w:t>
      </w:r>
      <w:r w:rsidR="00F1585B">
        <w:rPr>
          <w:iCs/>
          <w:sz w:val="24"/>
          <w:szCs w:val="24"/>
        </w:rPr>
        <w:lastRenderedPageBreak/>
        <w:t>libre empresa, por el intercambio de información entre sujetos del mercado de distribución y comercialización de energía eléctrica, y tampoco respecto de la necesidad de aplicar un juicio estricto de proporcionalidad a la providencia objeto del escrito de tutela.</w:t>
      </w:r>
    </w:p>
    <w:p w14:paraId="6873EB31" w14:textId="77777777" w:rsidR="00F1585B" w:rsidRPr="002615B6" w:rsidRDefault="00F1585B" w:rsidP="00F1585B">
      <w:pPr>
        <w:spacing w:line="276" w:lineRule="auto"/>
        <w:rPr>
          <w:rFonts w:eastAsia="Times New Roman"/>
          <w:sz w:val="24"/>
          <w:szCs w:val="24"/>
          <w:lang w:eastAsia="es-ES"/>
        </w:rPr>
      </w:pPr>
    </w:p>
    <w:p w14:paraId="4212A685" w14:textId="5C2B04FA" w:rsidR="00F1585B" w:rsidRPr="002615B6" w:rsidRDefault="00F1585B" w:rsidP="00F1585B">
      <w:pPr>
        <w:spacing w:line="276" w:lineRule="auto"/>
        <w:rPr>
          <w:rFonts w:eastAsia="Times New Roman"/>
          <w:sz w:val="24"/>
          <w:szCs w:val="24"/>
          <w:lang w:eastAsia="es-ES"/>
        </w:rPr>
      </w:pPr>
      <w:r w:rsidRPr="002615B6">
        <w:rPr>
          <w:rFonts w:eastAsia="Times New Roman"/>
          <w:sz w:val="24"/>
          <w:szCs w:val="24"/>
          <w:lang w:eastAsia="es-ES"/>
        </w:rPr>
        <w:t xml:space="preserve">En ese orden, el accionante no hizo uso del medio judicial que tenía a su disposición para </w:t>
      </w:r>
      <w:r>
        <w:rPr>
          <w:rFonts w:eastAsia="Times New Roman"/>
          <w:sz w:val="24"/>
          <w:szCs w:val="24"/>
          <w:lang w:eastAsia="es-ES"/>
        </w:rPr>
        <w:t>reclamar</w:t>
      </w:r>
      <w:r w:rsidRPr="002615B6">
        <w:rPr>
          <w:rFonts w:eastAsia="Times New Roman"/>
          <w:sz w:val="24"/>
          <w:szCs w:val="24"/>
          <w:lang w:eastAsia="es-ES"/>
        </w:rPr>
        <w:t xml:space="preserve"> la </w:t>
      </w:r>
      <w:r>
        <w:rPr>
          <w:rFonts w:eastAsia="Times New Roman"/>
          <w:sz w:val="24"/>
          <w:szCs w:val="24"/>
          <w:lang w:eastAsia="es-ES"/>
        </w:rPr>
        <w:t xml:space="preserve">vulneración de las referidas garantías constitucionales o evaluar la </w:t>
      </w:r>
      <w:r w:rsidR="005F2A13">
        <w:rPr>
          <w:rFonts w:eastAsia="Times New Roman"/>
          <w:sz w:val="24"/>
          <w:szCs w:val="24"/>
          <w:lang w:eastAsia="es-ES"/>
        </w:rPr>
        <w:t>proporcionalidad</w:t>
      </w:r>
      <w:r>
        <w:rPr>
          <w:rFonts w:eastAsia="Times New Roman"/>
          <w:sz w:val="24"/>
          <w:szCs w:val="24"/>
          <w:lang w:eastAsia="es-ES"/>
        </w:rPr>
        <w:t xml:space="preserve"> de las órdenes impartidas en el auto No.</w:t>
      </w:r>
      <w:r w:rsidR="00084A35">
        <w:rPr>
          <w:rFonts w:eastAsia="Times New Roman"/>
          <w:sz w:val="24"/>
          <w:szCs w:val="24"/>
          <w:lang w:eastAsia="es-ES"/>
        </w:rPr>
        <w:t xml:space="preserve"> </w:t>
      </w:r>
      <w:r>
        <w:rPr>
          <w:rFonts w:eastAsia="Times New Roman"/>
          <w:sz w:val="24"/>
          <w:szCs w:val="24"/>
          <w:lang w:eastAsia="es-ES"/>
        </w:rPr>
        <w:t xml:space="preserve">9 del 7 de diciembre de 2020, y su fin perseguido. </w:t>
      </w:r>
      <w:r w:rsidRPr="002615B6">
        <w:rPr>
          <w:rFonts w:eastAsia="Times New Roman"/>
          <w:sz w:val="24"/>
          <w:szCs w:val="24"/>
          <w:lang w:eastAsia="es-ES"/>
        </w:rPr>
        <w:t xml:space="preserve">De modo que los argumentos planteados en la solicitud de tutela, relacionados </w:t>
      </w:r>
      <w:r>
        <w:rPr>
          <w:rFonts w:eastAsia="Times New Roman"/>
          <w:sz w:val="24"/>
          <w:szCs w:val="24"/>
          <w:lang w:eastAsia="es-ES"/>
        </w:rPr>
        <w:t>con estas cuestiones</w:t>
      </w:r>
      <w:r w:rsidRPr="002615B6">
        <w:rPr>
          <w:rFonts w:eastAsia="Times New Roman"/>
          <w:sz w:val="24"/>
          <w:szCs w:val="24"/>
          <w:lang w:eastAsia="es-ES"/>
        </w:rPr>
        <w:t xml:space="preserve">, buscan suplir el recurso judicial que no fue promovido de manera oportuna por el </w:t>
      </w:r>
      <w:r>
        <w:rPr>
          <w:rFonts w:eastAsia="Times New Roman"/>
          <w:sz w:val="24"/>
          <w:szCs w:val="24"/>
          <w:lang w:eastAsia="es-ES"/>
        </w:rPr>
        <w:t>convocado</w:t>
      </w:r>
      <w:r w:rsidRPr="002615B6">
        <w:rPr>
          <w:rFonts w:eastAsia="Times New Roman"/>
          <w:sz w:val="24"/>
          <w:szCs w:val="24"/>
          <w:lang w:eastAsia="es-ES"/>
        </w:rPr>
        <w:t xml:space="preserve"> en el proceso </w:t>
      </w:r>
      <w:r>
        <w:rPr>
          <w:rFonts w:eastAsia="Times New Roman"/>
          <w:sz w:val="24"/>
          <w:szCs w:val="24"/>
          <w:lang w:eastAsia="es-ES"/>
        </w:rPr>
        <w:t>arbitral</w:t>
      </w:r>
      <w:r w:rsidR="00274FC2">
        <w:rPr>
          <w:rFonts w:eastAsia="Times New Roman"/>
          <w:sz w:val="24"/>
          <w:szCs w:val="24"/>
          <w:lang w:eastAsia="es-ES"/>
        </w:rPr>
        <w:t>;  s</w:t>
      </w:r>
      <w:r w:rsidRPr="002615B6">
        <w:rPr>
          <w:rFonts w:eastAsia="Times New Roman"/>
          <w:sz w:val="24"/>
          <w:szCs w:val="24"/>
          <w:lang w:eastAsia="es-ES"/>
        </w:rPr>
        <w:t>ituación</w:t>
      </w:r>
      <w:r w:rsidR="00274FC2">
        <w:rPr>
          <w:rFonts w:eastAsia="Times New Roman"/>
          <w:sz w:val="24"/>
          <w:szCs w:val="24"/>
          <w:lang w:eastAsia="es-ES"/>
        </w:rPr>
        <w:t xml:space="preserve"> </w:t>
      </w:r>
      <w:r w:rsidR="008C764B">
        <w:rPr>
          <w:rFonts w:eastAsia="Times New Roman"/>
          <w:sz w:val="24"/>
          <w:szCs w:val="24"/>
          <w:lang w:eastAsia="es-ES"/>
        </w:rPr>
        <w:t>e</w:t>
      </w:r>
      <w:r w:rsidR="00274FC2">
        <w:rPr>
          <w:rFonts w:eastAsia="Times New Roman"/>
          <w:sz w:val="24"/>
          <w:szCs w:val="24"/>
          <w:lang w:eastAsia="es-ES"/>
        </w:rPr>
        <w:t>sta</w:t>
      </w:r>
      <w:r w:rsidRPr="002615B6">
        <w:rPr>
          <w:rFonts w:eastAsia="Times New Roman"/>
          <w:sz w:val="24"/>
          <w:szCs w:val="24"/>
          <w:lang w:eastAsia="es-ES"/>
        </w:rPr>
        <w:t xml:space="preserve"> que impide al juzgador constitucional resolver de fondo el asunto, en la medida </w:t>
      </w:r>
      <w:r w:rsidR="00F71B51">
        <w:rPr>
          <w:rFonts w:eastAsia="Times New Roman"/>
          <w:sz w:val="24"/>
          <w:szCs w:val="24"/>
          <w:lang w:eastAsia="es-ES"/>
        </w:rPr>
        <w:t xml:space="preserve">en </w:t>
      </w:r>
      <w:r w:rsidRPr="002615B6">
        <w:rPr>
          <w:rFonts w:eastAsia="Times New Roman"/>
          <w:sz w:val="24"/>
          <w:szCs w:val="24"/>
          <w:lang w:eastAsia="es-ES"/>
        </w:rPr>
        <w:t xml:space="preserve">que estaría invadiendo el ámbito de competencia del juez de la causa, y desconociendo el escenario jurídico en el que se podían, en principio, discutir aquellas reclamaciones </w:t>
      </w:r>
      <w:r w:rsidRPr="002615B6">
        <w:rPr>
          <w:rFonts w:eastAsia="Times New Roman"/>
          <w:i/>
          <w:iCs/>
          <w:sz w:val="24"/>
          <w:szCs w:val="24"/>
          <w:lang w:eastAsia="es-ES"/>
        </w:rPr>
        <w:t>iusfundamentales</w:t>
      </w:r>
      <w:r w:rsidRPr="002615B6">
        <w:rPr>
          <w:rFonts w:eastAsia="Times New Roman"/>
          <w:sz w:val="24"/>
          <w:szCs w:val="24"/>
          <w:lang w:eastAsia="es-ES"/>
        </w:rPr>
        <w:t xml:space="preserve">. </w:t>
      </w:r>
    </w:p>
    <w:p w14:paraId="608B0F7C" w14:textId="77777777" w:rsidR="00F1585B" w:rsidRPr="002615B6" w:rsidRDefault="00F1585B" w:rsidP="00F1585B">
      <w:pPr>
        <w:spacing w:line="276" w:lineRule="auto"/>
        <w:rPr>
          <w:rFonts w:eastAsia="Times New Roman"/>
          <w:sz w:val="24"/>
          <w:szCs w:val="24"/>
          <w:lang w:eastAsia="es-ES"/>
        </w:rPr>
      </w:pPr>
    </w:p>
    <w:p w14:paraId="51DDF9B6" w14:textId="11B68B9B" w:rsidR="00F1585B" w:rsidRDefault="00F1585B" w:rsidP="00F1585B">
      <w:pPr>
        <w:spacing w:line="276" w:lineRule="auto"/>
        <w:rPr>
          <w:rFonts w:eastAsia="Times New Roman"/>
          <w:sz w:val="24"/>
          <w:szCs w:val="24"/>
          <w:lang w:eastAsia="es-ES"/>
        </w:rPr>
      </w:pPr>
      <w:r w:rsidRPr="002615B6">
        <w:rPr>
          <w:rFonts w:eastAsia="Times New Roman"/>
          <w:sz w:val="24"/>
          <w:szCs w:val="24"/>
          <w:lang w:eastAsia="es-ES"/>
        </w:rPr>
        <w:t xml:space="preserve">Por las razones expuestas, la Sala declarará </w:t>
      </w:r>
      <w:r w:rsidR="005F2A13">
        <w:rPr>
          <w:rFonts w:eastAsia="Times New Roman"/>
          <w:sz w:val="24"/>
          <w:szCs w:val="24"/>
          <w:lang w:eastAsia="es-ES"/>
        </w:rPr>
        <w:t>improcedente</w:t>
      </w:r>
      <w:r w:rsidRPr="002615B6">
        <w:rPr>
          <w:rFonts w:eastAsia="Times New Roman"/>
          <w:sz w:val="24"/>
          <w:szCs w:val="24"/>
          <w:lang w:eastAsia="es-ES"/>
        </w:rPr>
        <w:t xml:space="preserve"> la solicitud de amparo presentada por el tutelante, en relación con los reproches que sustentan </w:t>
      </w:r>
      <w:r>
        <w:rPr>
          <w:rFonts w:eastAsia="Times New Roman"/>
          <w:sz w:val="24"/>
          <w:szCs w:val="24"/>
          <w:lang w:eastAsia="es-ES"/>
        </w:rPr>
        <w:t>la vulneración de los derechos fundamentales a la libre empresa o a la libre competencia, y el juicio estricto de proporcionalidad a las órdenes del Tribunal de Arbitramento,</w:t>
      </w:r>
      <w:r w:rsidRPr="002615B6">
        <w:rPr>
          <w:rFonts w:eastAsia="Times New Roman"/>
          <w:sz w:val="24"/>
          <w:szCs w:val="24"/>
          <w:lang w:eastAsia="es-ES"/>
        </w:rPr>
        <w:t xml:space="preserve"> </w:t>
      </w:r>
      <w:r w:rsidR="005F2A13">
        <w:rPr>
          <w:rFonts w:eastAsia="Times New Roman"/>
          <w:sz w:val="24"/>
          <w:szCs w:val="24"/>
          <w:lang w:eastAsia="es-ES"/>
        </w:rPr>
        <w:t>por</w:t>
      </w:r>
      <w:r w:rsidRPr="002615B6">
        <w:rPr>
          <w:rFonts w:eastAsia="Times New Roman"/>
          <w:sz w:val="24"/>
          <w:szCs w:val="24"/>
          <w:lang w:eastAsia="es-ES"/>
        </w:rPr>
        <w:t xml:space="preserve"> incumplir el requisito de subsidiariedad</w:t>
      </w:r>
      <w:r>
        <w:rPr>
          <w:rFonts w:eastAsia="Times New Roman"/>
          <w:sz w:val="24"/>
          <w:szCs w:val="24"/>
          <w:lang w:eastAsia="es-ES"/>
        </w:rPr>
        <w:t>.</w:t>
      </w:r>
    </w:p>
    <w:p w14:paraId="1CB34263" w14:textId="77777777" w:rsidR="00F1585B" w:rsidRDefault="00F1585B" w:rsidP="00F1585B">
      <w:pPr>
        <w:spacing w:line="276" w:lineRule="auto"/>
        <w:rPr>
          <w:rFonts w:eastAsia="Times New Roman"/>
          <w:sz w:val="24"/>
          <w:szCs w:val="24"/>
          <w:lang w:eastAsia="es-ES"/>
        </w:rPr>
      </w:pPr>
    </w:p>
    <w:p w14:paraId="290D46AC" w14:textId="36BBA1DB" w:rsidR="00023711" w:rsidRPr="00023711" w:rsidRDefault="00980965" w:rsidP="00023711">
      <w:pPr>
        <w:spacing w:line="276" w:lineRule="auto"/>
        <w:rPr>
          <w:iCs/>
          <w:sz w:val="24"/>
          <w:szCs w:val="24"/>
          <w:lang w:val="es-419"/>
        </w:rPr>
      </w:pPr>
      <w:r>
        <w:rPr>
          <w:b/>
          <w:iCs/>
          <w:sz w:val="24"/>
          <w:szCs w:val="24"/>
          <w:lang w:val="es-419"/>
        </w:rPr>
        <w:t>2.</w:t>
      </w:r>
      <w:r w:rsidR="00F1585B">
        <w:rPr>
          <w:b/>
          <w:iCs/>
          <w:sz w:val="24"/>
          <w:szCs w:val="24"/>
          <w:lang w:val="es-419"/>
        </w:rPr>
        <w:t>2.2.3</w:t>
      </w:r>
      <w:r w:rsidR="00676349">
        <w:rPr>
          <w:b/>
          <w:iCs/>
          <w:sz w:val="24"/>
          <w:szCs w:val="24"/>
          <w:lang w:val="es-419"/>
        </w:rPr>
        <w:t xml:space="preserve">. </w:t>
      </w:r>
      <w:r w:rsidR="00AD0768">
        <w:rPr>
          <w:iCs/>
          <w:sz w:val="24"/>
          <w:szCs w:val="24"/>
          <w:lang w:val="es-419"/>
        </w:rPr>
        <w:t xml:space="preserve">En </w:t>
      </w:r>
      <w:r w:rsidR="00F1585B">
        <w:rPr>
          <w:iCs/>
          <w:sz w:val="24"/>
          <w:szCs w:val="24"/>
          <w:lang w:val="es-419"/>
        </w:rPr>
        <w:t>segundo</w:t>
      </w:r>
      <w:r w:rsidR="005B65D7">
        <w:rPr>
          <w:iCs/>
          <w:sz w:val="24"/>
          <w:szCs w:val="24"/>
          <w:lang w:val="es-419"/>
        </w:rPr>
        <w:t xml:space="preserve"> lugar, </w:t>
      </w:r>
      <w:r w:rsidR="00AD0768">
        <w:rPr>
          <w:iCs/>
          <w:sz w:val="24"/>
          <w:szCs w:val="24"/>
          <w:lang w:val="es-419"/>
        </w:rPr>
        <w:t xml:space="preserve">CEO </w:t>
      </w:r>
      <w:r w:rsidR="00023711">
        <w:rPr>
          <w:iCs/>
          <w:sz w:val="24"/>
          <w:szCs w:val="24"/>
          <w:lang w:val="es-419"/>
        </w:rPr>
        <w:t>considera</w:t>
      </w:r>
      <w:r w:rsidR="00970C83">
        <w:rPr>
          <w:iCs/>
          <w:sz w:val="24"/>
          <w:szCs w:val="24"/>
          <w:lang w:val="es-419"/>
        </w:rPr>
        <w:t xml:space="preserve"> que el Tribunal de Arbitramento </w:t>
      </w:r>
      <w:r w:rsidR="00023711">
        <w:rPr>
          <w:iCs/>
          <w:sz w:val="24"/>
          <w:szCs w:val="24"/>
          <w:lang w:val="es-419"/>
        </w:rPr>
        <w:t xml:space="preserve">incurre en un defecto sustantivo por inaplicación del artículo </w:t>
      </w:r>
      <w:r w:rsidR="00970C83">
        <w:rPr>
          <w:iCs/>
          <w:sz w:val="24"/>
          <w:szCs w:val="24"/>
          <w:lang w:val="es-419"/>
        </w:rPr>
        <w:t>268 del Código General</w:t>
      </w:r>
      <w:r w:rsidR="00023711">
        <w:rPr>
          <w:iCs/>
          <w:sz w:val="24"/>
          <w:szCs w:val="24"/>
          <w:lang w:val="es-419"/>
        </w:rPr>
        <w:t xml:space="preserve"> del Proceso</w:t>
      </w:r>
      <w:r w:rsidR="00970C83">
        <w:rPr>
          <w:iCs/>
          <w:sz w:val="24"/>
          <w:szCs w:val="24"/>
          <w:lang w:val="es-419"/>
        </w:rPr>
        <w:t xml:space="preserve">, </w:t>
      </w:r>
      <w:r w:rsidR="004A422F">
        <w:rPr>
          <w:iCs/>
          <w:sz w:val="24"/>
          <w:szCs w:val="24"/>
          <w:lang w:val="es-419"/>
        </w:rPr>
        <w:t>al permitir que</w:t>
      </w:r>
      <w:r w:rsidR="00970C83">
        <w:rPr>
          <w:iCs/>
          <w:sz w:val="24"/>
          <w:szCs w:val="24"/>
          <w:lang w:val="es-419"/>
        </w:rPr>
        <w:t xml:space="preserve"> </w:t>
      </w:r>
      <w:r w:rsidR="005F2A13">
        <w:rPr>
          <w:iCs/>
          <w:sz w:val="24"/>
          <w:szCs w:val="24"/>
          <w:lang w:val="es-419"/>
        </w:rPr>
        <w:t>las partes adelantara</w:t>
      </w:r>
      <w:r w:rsidR="00023711">
        <w:rPr>
          <w:iCs/>
          <w:sz w:val="24"/>
          <w:szCs w:val="24"/>
          <w:lang w:val="es-419"/>
        </w:rPr>
        <w:t xml:space="preserve">n una diligencia de exhibición de documentos, </w:t>
      </w:r>
      <w:r w:rsidR="004A422F">
        <w:rPr>
          <w:iCs/>
          <w:sz w:val="24"/>
          <w:szCs w:val="24"/>
          <w:lang w:val="es-419"/>
        </w:rPr>
        <w:t>sin la presencia de un juez y sobre información que no está relacionada con el objeto del proceso</w:t>
      </w:r>
      <w:r w:rsidR="000D70CE">
        <w:rPr>
          <w:iCs/>
          <w:sz w:val="24"/>
          <w:szCs w:val="24"/>
          <w:lang w:val="es-419"/>
        </w:rPr>
        <w:t xml:space="preserve">. Como respaldo del anterior cargo, la sociedad actora invoca el artículo 66 del Código de Comercio, que, en línea con la práctica del mencionado medio de prueba, dispone que </w:t>
      </w:r>
      <w:r w:rsidR="00023711">
        <w:rPr>
          <w:iCs/>
          <w:sz w:val="24"/>
          <w:szCs w:val="24"/>
          <w:lang w:val="es-419"/>
        </w:rPr>
        <w:t>“e</w:t>
      </w:r>
      <w:r w:rsidR="00023711" w:rsidRPr="00023711">
        <w:rPr>
          <w:iCs/>
          <w:sz w:val="24"/>
          <w:szCs w:val="24"/>
          <w:lang w:val="es-419"/>
        </w:rPr>
        <w:t>l juez o funcionario hará constar los hechos y asientos verificados</w:t>
      </w:r>
      <w:r w:rsidR="00023711">
        <w:rPr>
          <w:iCs/>
          <w:sz w:val="24"/>
          <w:szCs w:val="24"/>
          <w:lang w:val="es-419"/>
        </w:rPr>
        <w:t xml:space="preserve"> (…)”</w:t>
      </w:r>
      <w:r w:rsidR="00023711">
        <w:rPr>
          <w:rStyle w:val="Refdenotaalpie"/>
          <w:iCs/>
          <w:sz w:val="24"/>
          <w:szCs w:val="24"/>
          <w:lang w:val="es-419"/>
        </w:rPr>
        <w:footnoteReference w:id="40"/>
      </w:r>
      <w:r w:rsidR="00023711">
        <w:rPr>
          <w:iCs/>
          <w:sz w:val="24"/>
          <w:szCs w:val="24"/>
          <w:lang w:val="es-419"/>
        </w:rPr>
        <w:t>.</w:t>
      </w:r>
      <w:r w:rsidR="00023711" w:rsidRPr="00023711">
        <w:rPr>
          <w:iCs/>
          <w:sz w:val="24"/>
          <w:szCs w:val="24"/>
          <w:lang w:val="es-419"/>
        </w:rPr>
        <w:t xml:space="preserve"> </w:t>
      </w:r>
    </w:p>
    <w:p w14:paraId="539776AF" w14:textId="77777777" w:rsidR="00AD0768" w:rsidRDefault="00AD0768" w:rsidP="00AE19E9">
      <w:pPr>
        <w:spacing w:line="276" w:lineRule="auto"/>
        <w:rPr>
          <w:b/>
          <w:iCs/>
          <w:sz w:val="24"/>
          <w:szCs w:val="24"/>
          <w:lang w:val="es-419"/>
        </w:rPr>
      </w:pPr>
    </w:p>
    <w:p w14:paraId="6A59697B" w14:textId="50864139" w:rsidR="004F0481" w:rsidRDefault="0080126C" w:rsidP="00AE19E9">
      <w:pPr>
        <w:spacing w:line="276" w:lineRule="auto"/>
        <w:rPr>
          <w:iCs/>
          <w:sz w:val="24"/>
          <w:szCs w:val="24"/>
          <w:lang w:val="es-419"/>
        </w:rPr>
      </w:pPr>
      <w:r>
        <w:rPr>
          <w:iCs/>
          <w:sz w:val="24"/>
          <w:szCs w:val="24"/>
          <w:lang w:val="es-419"/>
        </w:rPr>
        <w:t>Lo que puede observarse de</w:t>
      </w:r>
      <w:r w:rsidR="00023711">
        <w:rPr>
          <w:iCs/>
          <w:sz w:val="24"/>
          <w:szCs w:val="24"/>
          <w:lang w:val="es-419"/>
        </w:rPr>
        <w:t xml:space="preserve">l reproche de la parte accionante es un cuestionamiento encaminado a exigir que </w:t>
      </w:r>
      <w:r>
        <w:rPr>
          <w:iCs/>
          <w:sz w:val="24"/>
          <w:szCs w:val="24"/>
          <w:lang w:val="es-419"/>
        </w:rPr>
        <w:t>la diligencia de extracción de información</w:t>
      </w:r>
      <w:r w:rsidR="00F71B51">
        <w:rPr>
          <w:iCs/>
          <w:sz w:val="24"/>
          <w:szCs w:val="24"/>
          <w:lang w:val="es-419"/>
        </w:rPr>
        <w:t>,</w:t>
      </w:r>
      <w:r>
        <w:rPr>
          <w:iCs/>
          <w:sz w:val="24"/>
          <w:szCs w:val="24"/>
          <w:lang w:val="es-419"/>
        </w:rPr>
        <w:t xml:space="preserve"> </w:t>
      </w:r>
      <w:r w:rsidR="006A2F4F">
        <w:rPr>
          <w:iCs/>
          <w:sz w:val="24"/>
          <w:szCs w:val="24"/>
          <w:lang w:val="es-419"/>
        </w:rPr>
        <w:t>pedida</w:t>
      </w:r>
      <w:r w:rsidR="00A00894">
        <w:rPr>
          <w:iCs/>
          <w:sz w:val="24"/>
          <w:szCs w:val="24"/>
          <w:lang w:val="es-419"/>
        </w:rPr>
        <w:t xml:space="preserve"> por CEDELCA</w:t>
      </w:r>
      <w:r w:rsidR="00F71B51">
        <w:rPr>
          <w:iCs/>
          <w:sz w:val="24"/>
          <w:szCs w:val="24"/>
          <w:lang w:val="es-419"/>
        </w:rPr>
        <w:t>,</w:t>
      </w:r>
      <w:r w:rsidR="00274FC2">
        <w:rPr>
          <w:iCs/>
          <w:sz w:val="24"/>
          <w:szCs w:val="24"/>
          <w:lang w:val="es-419"/>
        </w:rPr>
        <w:t xml:space="preserve"> se practicara</w:t>
      </w:r>
      <w:r>
        <w:rPr>
          <w:iCs/>
          <w:sz w:val="24"/>
          <w:szCs w:val="24"/>
          <w:lang w:val="es-419"/>
        </w:rPr>
        <w:t xml:space="preserve"> con la asisten</w:t>
      </w:r>
      <w:r w:rsidR="004F0481">
        <w:rPr>
          <w:iCs/>
          <w:sz w:val="24"/>
          <w:szCs w:val="24"/>
          <w:lang w:val="es-419"/>
        </w:rPr>
        <w:t xml:space="preserve">cia de una autoridad judicial. Es decir, el escrito de tutela, respecto de este asunto, se centra en la manera de hacer efectiva la medida cautelar que había sido decretada por los árbitros, y no en la evidencia de que CEO </w:t>
      </w:r>
      <w:r w:rsidR="00274FC2">
        <w:rPr>
          <w:iCs/>
          <w:sz w:val="24"/>
          <w:szCs w:val="24"/>
          <w:lang w:val="es-419"/>
        </w:rPr>
        <w:t>hubiere</w:t>
      </w:r>
      <w:r w:rsidR="004F0481">
        <w:rPr>
          <w:iCs/>
          <w:sz w:val="24"/>
          <w:szCs w:val="24"/>
          <w:lang w:val="es-419"/>
        </w:rPr>
        <w:t xml:space="preserve"> dado cumplimiento o no al suministro de las bases de datos requeridas, que </w:t>
      </w:r>
      <w:r w:rsidR="005F2A13">
        <w:rPr>
          <w:iCs/>
          <w:sz w:val="24"/>
          <w:szCs w:val="24"/>
          <w:lang w:val="es-419"/>
        </w:rPr>
        <w:t>era</w:t>
      </w:r>
      <w:r w:rsidR="004F0481">
        <w:rPr>
          <w:iCs/>
          <w:sz w:val="24"/>
          <w:szCs w:val="24"/>
          <w:lang w:val="es-419"/>
        </w:rPr>
        <w:t xml:space="preserve"> el punto central de</w:t>
      </w:r>
      <w:r w:rsidR="005F2A13">
        <w:rPr>
          <w:iCs/>
          <w:sz w:val="24"/>
          <w:szCs w:val="24"/>
          <w:lang w:val="es-419"/>
        </w:rPr>
        <w:t xml:space="preserve"> </w:t>
      </w:r>
      <w:r w:rsidR="004F0481">
        <w:rPr>
          <w:iCs/>
          <w:sz w:val="24"/>
          <w:szCs w:val="24"/>
          <w:lang w:val="es-419"/>
        </w:rPr>
        <w:t>l</w:t>
      </w:r>
      <w:r w:rsidR="005F2A13">
        <w:rPr>
          <w:iCs/>
          <w:sz w:val="24"/>
          <w:szCs w:val="24"/>
          <w:lang w:val="es-419"/>
        </w:rPr>
        <w:t>a discusión que dio lugar al</w:t>
      </w:r>
      <w:r w:rsidR="004F0481">
        <w:rPr>
          <w:iCs/>
          <w:sz w:val="24"/>
          <w:szCs w:val="24"/>
          <w:lang w:val="es-419"/>
        </w:rPr>
        <w:t xml:space="preserve"> auto No.</w:t>
      </w:r>
      <w:r w:rsidR="00084A35">
        <w:rPr>
          <w:iCs/>
          <w:sz w:val="24"/>
          <w:szCs w:val="24"/>
          <w:lang w:val="es-419"/>
        </w:rPr>
        <w:t xml:space="preserve"> </w:t>
      </w:r>
      <w:r w:rsidR="004F0481">
        <w:rPr>
          <w:iCs/>
          <w:sz w:val="24"/>
          <w:szCs w:val="24"/>
          <w:lang w:val="es-419"/>
        </w:rPr>
        <w:t xml:space="preserve">9 del 7 de diciembre de 2020. </w:t>
      </w:r>
    </w:p>
    <w:p w14:paraId="1BB1D73E" w14:textId="77777777" w:rsidR="004F0481" w:rsidRDefault="004F0481" w:rsidP="00AE19E9">
      <w:pPr>
        <w:spacing w:line="276" w:lineRule="auto"/>
        <w:rPr>
          <w:iCs/>
          <w:sz w:val="24"/>
          <w:szCs w:val="24"/>
          <w:lang w:val="es-419"/>
        </w:rPr>
      </w:pPr>
    </w:p>
    <w:p w14:paraId="2C9A378B" w14:textId="69773458" w:rsidR="004F0481" w:rsidRDefault="004F0481" w:rsidP="00AE19E9">
      <w:pPr>
        <w:spacing w:line="276" w:lineRule="auto"/>
        <w:rPr>
          <w:iCs/>
          <w:sz w:val="24"/>
          <w:szCs w:val="24"/>
          <w:lang w:val="es-419"/>
        </w:rPr>
      </w:pPr>
      <w:r>
        <w:rPr>
          <w:iCs/>
          <w:sz w:val="24"/>
          <w:szCs w:val="24"/>
          <w:lang w:val="es-419"/>
        </w:rPr>
        <w:lastRenderedPageBreak/>
        <w:t>Por lo expuesto en el párrafo anterior, la Sala encuentra que</w:t>
      </w:r>
      <w:r w:rsidR="00274FC2">
        <w:rPr>
          <w:iCs/>
          <w:sz w:val="24"/>
          <w:szCs w:val="24"/>
          <w:lang w:val="es-419"/>
        </w:rPr>
        <w:t>,</w:t>
      </w:r>
      <w:r>
        <w:rPr>
          <w:iCs/>
          <w:sz w:val="24"/>
          <w:szCs w:val="24"/>
          <w:lang w:val="es-419"/>
        </w:rPr>
        <w:t xml:space="preserve"> si la sociedad accionante tenía interés en que la diligencia de extracción de la información se efectuara bajo los parámetros de las normas invocadas, entonces tenía la oportunidad de ponerle de presente aquella cuestión al Tribunal de Arbitramento, </w:t>
      </w:r>
      <w:r w:rsidR="008A48F5">
        <w:rPr>
          <w:iCs/>
          <w:sz w:val="24"/>
          <w:szCs w:val="24"/>
          <w:lang w:val="es-419"/>
        </w:rPr>
        <w:t>luego de que</w:t>
      </w:r>
      <w:r>
        <w:rPr>
          <w:iCs/>
          <w:sz w:val="24"/>
          <w:szCs w:val="24"/>
          <w:lang w:val="es-419"/>
        </w:rPr>
        <w:t xml:space="preserve"> decret</w:t>
      </w:r>
      <w:r w:rsidR="008A48F5">
        <w:rPr>
          <w:iCs/>
          <w:sz w:val="24"/>
          <w:szCs w:val="24"/>
          <w:lang w:val="es-419"/>
        </w:rPr>
        <w:t>ara</w:t>
      </w:r>
      <w:r>
        <w:rPr>
          <w:iCs/>
          <w:sz w:val="24"/>
          <w:szCs w:val="24"/>
          <w:lang w:val="es-419"/>
        </w:rPr>
        <w:t xml:space="preserve"> la medida cautelar en el auto No. 8 del 9 de octubre de 2020, </w:t>
      </w:r>
      <w:r w:rsidR="008A48F5">
        <w:rPr>
          <w:iCs/>
          <w:sz w:val="24"/>
          <w:szCs w:val="24"/>
          <w:lang w:val="es-419"/>
        </w:rPr>
        <w:t>pues</w:t>
      </w:r>
      <w:r w:rsidR="00274FC2">
        <w:rPr>
          <w:iCs/>
          <w:sz w:val="24"/>
          <w:szCs w:val="24"/>
          <w:lang w:val="es-419"/>
        </w:rPr>
        <w:t xml:space="preserve"> fue</w:t>
      </w:r>
      <w:r w:rsidR="008A48F5">
        <w:rPr>
          <w:iCs/>
          <w:sz w:val="24"/>
          <w:szCs w:val="24"/>
          <w:lang w:val="es-419"/>
        </w:rPr>
        <w:t xml:space="preserve"> </w:t>
      </w:r>
      <w:r>
        <w:rPr>
          <w:iCs/>
          <w:sz w:val="24"/>
          <w:szCs w:val="24"/>
          <w:lang w:val="es-419"/>
        </w:rPr>
        <w:t xml:space="preserve">precisamente en </w:t>
      </w:r>
      <w:r w:rsidR="008A48F5">
        <w:rPr>
          <w:iCs/>
          <w:sz w:val="24"/>
          <w:szCs w:val="24"/>
          <w:lang w:val="es-419"/>
        </w:rPr>
        <w:t>esa providencia</w:t>
      </w:r>
      <w:r w:rsidR="005F2A13">
        <w:rPr>
          <w:iCs/>
          <w:sz w:val="24"/>
          <w:szCs w:val="24"/>
          <w:lang w:val="es-419"/>
        </w:rPr>
        <w:t xml:space="preserve"> </w:t>
      </w:r>
      <w:r w:rsidR="008A48F5">
        <w:rPr>
          <w:iCs/>
          <w:sz w:val="24"/>
          <w:szCs w:val="24"/>
          <w:lang w:val="es-419"/>
        </w:rPr>
        <w:t>que</w:t>
      </w:r>
      <w:r w:rsidR="005F2A13">
        <w:rPr>
          <w:iCs/>
          <w:sz w:val="24"/>
          <w:szCs w:val="24"/>
          <w:lang w:val="es-419"/>
        </w:rPr>
        <w:t xml:space="preserve"> se fijaron</w:t>
      </w:r>
      <w:r>
        <w:rPr>
          <w:iCs/>
          <w:sz w:val="24"/>
          <w:szCs w:val="24"/>
          <w:lang w:val="es-419"/>
        </w:rPr>
        <w:t xml:space="preserve"> los lineamientos </w:t>
      </w:r>
      <w:r w:rsidR="008A48F5">
        <w:rPr>
          <w:iCs/>
          <w:sz w:val="24"/>
          <w:szCs w:val="24"/>
          <w:lang w:val="es-419"/>
        </w:rPr>
        <w:t>para hacerla efectiva.</w:t>
      </w:r>
    </w:p>
    <w:p w14:paraId="57B33A9E" w14:textId="77777777" w:rsidR="004F0481" w:rsidRDefault="004F0481" w:rsidP="00AE19E9">
      <w:pPr>
        <w:spacing w:line="276" w:lineRule="auto"/>
        <w:rPr>
          <w:iCs/>
          <w:sz w:val="24"/>
          <w:szCs w:val="24"/>
          <w:lang w:val="es-419"/>
        </w:rPr>
      </w:pPr>
    </w:p>
    <w:p w14:paraId="4B92586C" w14:textId="203E97F4" w:rsidR="00CC58F4" w:rsidRDefault="008A48F5" w:rsidP="00AE19E9">
      <w:pPr>
        <w:spacing w:line="276" w:lineRule="auto"/>
        <w:rPr>
          <w:iCs/>
          <w:sz w:val="24"/>
          <w:szCs w:val="24"/>
          <w:lang w:val="es-419"/>
        </w:rPr>
      </w:pPr>
      <w:r>
        <w:rPr>
          <w:iCs/>
          <w:sz w:val="24"/>
          <w:szCs w:val="24"/>
          <w:lang w:val="es-419"/>
        </w:rPr>
        <w:t xml:space="preserve">Sin embargo, ello no ocurrió, y, por el contrario, CEO permitió que se iniciara la extracción de la información a finales de octubre y principio de noviembre del 2020, y, tras ello, </w:t>
      </w:r>
      <w:r w:rsidR="005F2A13">
        <w:rPr>
          <w:iCs/>
          <w:sz w:val="24"/>
          <w:szCs w:val="24"/>
          <w:lang w:val="es-419"/>
        </w:rPr>
        <w:t>se concentró</w:t>
      </w:r>
      <w:r w:rsidR="00022E28">
        <w:rPr>
          <w:iCs/>
          <w:sz w:val="24"/>
          <w:szCs w:val="24"/>
          <w:lang w:val="es-419"/>
        </w:rPr>
        <w:t xml:space="preserve"> en demostrar que ya había dado cumplimiento a los términos de la medida cautelar decretada en el auto No.</w:t>
      </w:r>
      <w:r w:rsidR="00084A35">
        <w:rPr>
          <w:iCs/>
          <w:sz w:val="24"/>
          <w:szCs w:val="24"/>
          <w:lang w:val="es-419"/>
        </w:rPr>
        <w:t xml:space="preserve"> 8</w:t>
      </w:r>
      <w:r w:rsidR="00022E28">
        <w:rPr>
          <w:iCs/>
          <w:sz w:val="24"/>
          <w:szCs w:val="24"/>
          <w:lang w:val="es-419"/>
        </w:rPr>
        <w:t xml:space="preserve"> del 9 de octubre de 2020, como así se encuentra acreditado con los memoriales presentados por esta el 2 y 4</w:t>
      </w:r>
      <w:r w:rsidR="00022E28">
        <w:rPr>
          <w:rStyle w:val="Refdenotaalpie"/>
          <w:iCs/>
          <w:sz w:val="24"/>
          <w:szCs w:val="24"/>
          <w:lang w:val="es-419"/>
        </w:rPr>
        <w:footnoteReference w:id="41"/>
      </w:r>
      <w:r w:rsidR="00022E28">
        <w:rPr>
          <w:iCs/>
          <w:sz w:val="24"/>
          <w:szCs w:val="24"/>
          <w:lang w:val="es-419"/>
        </w:rPr>
        <w:t xml:space="preserve"> de noviembre</w:t>
      </w:r>
      <w:r w:rsidR="005A055E">
        <w:rPr>
          <w:iCs/>
          <w:sz w:val="24"/>
          <w:szCs w:val="24"/>
          <w:lang w:val="es-419"/>
        </w:rPr>
        <w:t xml:space="preserve"> y el 21 de diciembre</w:t>
      </w:r>
      <w:r w:rsidR="00022E28">
        <w:rPr>
          <w:iCs/>
          <w:sz w:val="24"/>
          <w:szCs w:val="24"/>
          <w:lang w:val="es-419"/>
        </w:rPr>
        <w:t xml:space="preserve"> de 2020</w:t>
      </w:r>
      <w:r w:rsidR="00022E28">
        <w:rPr>
          <w:rStyle w:val="Refdenotaalpie"/>
          <w:iCs/>
          <w:sz w:val="24"/>
          <w:szCs w:val="24"/>
          <w:lang w:val="es-419"/>
        </w:rPr>
        <w:footnoteReference w:id="42"/>
      </w:r>
      <w:r w:rsidR="00022E28">
        <w:rPr>
          <w:iCs/>
          <w:sz w:val="24"/>
          <w:szCs w:val="24"/>
          <w:lang w:val="es-419"/>
        </w:rPr>
        <w:t xml:space="preserve">. </w:t>
      </w:r>
      <w:r w:rsidR="00CC58F4">
        <w:rPr>
          <w:iCs/>
          <w:sz w:val="24"/>
          <w:szCs w:val="24"/>
          <w:lang w:val="es-419"/>
        </w:rPr>
        <w:t xml:space="preserve">Lo que lleva a </w:t>
      </w:r>
      <w:r w:rsidR="00F71B51">
        <w:rPr>
          <w:iCs/>
          <w:sz w:val="24"/>
          <w:szCs w:val="24"/>
          <w:lang w:val="es-419"/>
        </w:rPr>
        <w:t>inferir</w:t>
      </w:r>
      <w:r w:rsidR="00CC58F4">
        <w:rPr>
          <w:iCs/>
          <w:sz w:val="24"/>
          <w:szCs w:val="24"/>
          <w:lang w:val="es-419"/>
        </w:rPr>
        <w:t xml:space="preserve"> que el accionante consintió la manera en la que las partes efectuaron el intercambio de información inicial, </w:t>
      </w:r>
      <w:r w:rsidR="00022E28">
        <w:rPr>
          <w:iCs/>
          <w:sz w:val="24"/>
          <w:szCs w:val="24"/>
          <w:lang w:val="es-419"/>
        </w:rPr>
        <w:t>y</w:t>
      </w:r>
      <w:r w:rsidR="005F2A13">
        <w:rPr>
          <w:iCs/>
          <w:sz w:val="24"/>
          <w:szCs w:val="24"/>
          <w:lang w:val="es-419"/>
        </w:rPr>
        <w:t xml:space="preserve"> que</w:t>
      </w:r>
      <w:r w:rsidR="00022E28">
        <w:rPr>
          <w:iCs/>
          <w:sz w:val="24"/>
          <w:szCs w:val="24"/>
          <w:lang w:val="es-419"/>
        </w:rPr>
        <w:t xml:space="preserve"> no era objeto de </w:t>
      </w:r>
      <w:r w:rsidR="005F2A13">
        <w:rPr>
          <w:iCs/>
          <w:sz w:val="24"/>
          <w:szCs w:val="24"/>
          <w:lang w:val="es-419"/>
        </w:rPr>
        <w:t>disputa</w:t>
      </w:r>
      <w:r w:rsidR="00022E28">
        <w:rPr>
          <w:iCs/>
          <w:sz w:val="24"/>
          <w:szCs w:val="24"/>
          <w:lang w:val="es-419"/>
        </w:rPr>
        <w:t xml:space="preserve"> la necesidad de tener en cuenta los requerimientos legales que manifiesta.</w:t>
      </w:r>
    </w:p>
    <w:p w14:paraId="4C6FA9FC" w14:textId="77777777" w:rsidR="00CC58F4" w:rsidRDefault="00CC58F4" w:rsidP="00AE19E9">
      <w:pPr>
        <w:spacing w:line="276" w:lineRule="auto"/>
        <w:rPr>
          <w:iCs/>
          <w:sz w:val="24"/>
          <w:szCs w:val="24"/>
          <w:lang w:val="es-419"/>
        </w:rPr>
      </w:pPr>
    </w:p>
    <w:p w14:paraId="51BA5E52" w14:textId="3840F9B1" w:rsidR="00022E28" w:rsidRDefault="00022E28" w:rsidP="00AE19E9">
      <w:pPr>
        <w:spacing w:line="276" w:lineRule="auto"/>
        <w:rPr>
          <w:iCs/>
          <w:sz w:val="24"/>
          <w:szCs w:val="24"/>
          <w:lang w:val="es-419"/>
        </w:rPr>
      </w:pPr>
      <w:r>
        <w:rPr>
          <w:iCs/>
          <w:sz w:val="24"/>
          <w:szCs w:val="24"/>
          <w:lang w:val="es-419"/>
        </w:rPr>
        <w:t>Así las cosas</w:t>
      </w:r>
      <w:r w:rsidR="00CC58F4">
        <w:rPr>
          <w:iCs/>
          <w:sz w:val="24"/>
          <w:szCs w:val="24"/>
          <w:lang w:val="es-419"/>
        </w:rPr>
        <w:t xml:space="preserve">, la Sala encuentra que </w:t>
      </w:r>
      <w:r w:rsidR="00AF5226">
        <w:rPr>
          <w:iCs/>
          <w:sz w:val="24"/>
          <w:szCs w:val="24"/>
          <w:lang w:val="es-419"/>
        </w:rPr>
        <w:t>el cargo</w:t>
      </w:r>
      <w:r w:rsidR="00CC58F4">
        <w:rPr>
          <w:iCs/>
          <w:sz w:val="24"/>
          <w:szCs w:val="24"/>
          <w:lang w:val="es-419"/>
        </w:rPr>
        <w:t xml:space="preserve"> que pretende invocar un presunto defecto sustantivo, no supera el requisito de subsidiariedad</w:t>
      </w:r>
      <w:r w:rsidR="00AF5226">
        <w:rPr>
          <w:iCs/>
          <w:sz w:val="24"/>
          <w:szCs w:val="24"/>
          <w:lang w:val="es-419"/>
        </w:rPr>
        <w:t>, puesto que el accionante no hizo uso de los mecanismos judiciales con los que</w:t>
      </w:r>
      <w:r w:rsidR="005F2A13">
        <w:rPr>
          <w:iCs/>
          <w:sz w:val="24"/>
          <w:szCs w:val="24"/>
          <w:lang w:val="es-419"/>
        </w:rPr>
        <w:t>, en su momento,</w:t>
      </w:r>
      <w:r w:rsidR="00AF5226">
        <w:rPr>
          <w:iCs/>
          <w:sz w:val="24"/>
          <w:szCs w:val="24"/>
          <w:lang w:val="es-419"/>
        </w:rPr>
        <w:t xml:space="preserve"> podía buscar la protección de sus derechos fundamentales, que pudieran </w:t>
      </w:r>
      <w:r w:rsidR="00984A69">
        <w:rPr>
          <w:iCs/>
          <w:sz w:val="24"/>
          <w:szCs w:val="24"/>
          <w:lang w:val="es-419"/>
        </w:rPr>
        <w:t xml:space="preserve">verse </w:t>
      </w:r>
      <w:r w:rsidR="00AF5226">
        <w:rPr>
          <w:iCs/>
          <w:sz w:val="24"/>
          <w:szCs w:val="24"/>
          <w:lang w:val="es-419"/>
        </w:rPr>
        <w:t xml:space="preserve">vulnerados con la </w:t>
      </w:r>
      <w:r>
        <w:rPr>
          <w:iCs/>
          <w:sz w:val="24"/>
          <w:szCs w:val="24"/>
          <w:lang w:val="es-419"/>
        </w:rPr>
        <w:t xml:space="preserve">manera en la que las partes </w:t>
      </w:r>
      <w:r w:rsidR="00F71B51">
        <w:rPr>
          <w:iCs/>
          <w:sz w:val="24"/>
          <w:szCs w:val="24"/>
          <w:lang w:val="es-419"/>
        </w:rPr>
        <w:t>debían realizar</w:t>
      </w:r>
      <w:r w:rsidR="005F2A13">
        <w:rPr>
          <w:iCs/>
          <w:sz w:val="24"/>
          <w:szCs w:val="24"/>
          <w:lang w:val="es-419"/>
        </w:rPr>
        <w:t xml:space="preserve"> la diligencia de suministro</w:t>
      </w:r>
      <w:r>
        <w:rPr>
          <w:iCs/>
          <w:sz w:val="24"/>
          <w:szCs w:val="24"/>
          <w:lang w:val="es-419"/>
        </w:rPr>
        <w:t xml:space="preserve"> de información, </w:t>
      </w:r>
      <w:r w:rsidR="00F71B51">
        <w:rPr>
          <w:iCs/>
          <w:sz w:val="24"/>
          <w:szCs w:val="24"/>
          <w:lang w:val="es-419"/>
        </w:rPr>
        <w:t>bajo</w:t>
      </w:r>
      <w:r>
        <w:rPr>
          <w:iCs/>
          <w:sz w:val="24"/>
          <w:szCs w:val="24"/>
          <w:lang w:val="es-419"/>
        </w:rPr>
        <w:t xml:space="preserve"> los términos del derecho de petición del 29 de julio de 2020.</w:t>
      </w:r>
    </w:p>
    <w:p w14:paraId="79233E22" w14:textId="7319F458" w:rsidR="00F1585B" w:rsidRPr="005E7BA2" w:rsidRDefault="00F1585B" w:rsidP="00AE19E9">
      <w:pPr>
        <w:spacing w:line="276" w:lineRule="auto"/>
        <w:rPr>
          <w:rFonts w:eastAsia="Times New Roman"/>
          <w:sz w:val="24"/>
          <w:szCs w:val="24"/>
          <w:lang w:val="es-419" w:eastAsia="es-ES"/>
        </w:rPr>
      </w:pPr>
    </w:p>
    <w:p w14:paraId="733E77D5" w14:textId="68F3A6D5" w:rsidR="00F1585B" w:rsidRDefault="00980965" w:rsidP="005A055E">
      <w:pPr>
        <w:spacing w:line="276" w:lineRule="auto"/>
        <w:rPr>
          <w:rFonts w:eastAsia="Times New Roman"/>
          <w:sz w:val="24"/>
          <w:szCs w:val="24"/>
          <w:lang w:eastAsia="es-ES"/>
        </w:rPr>
      </w:pPr>
      <w:r>
        <w:rPr>
          <w:rFonts w:eastAsia="Times New Roman"/>
          <w:b/>
          <w:sz w:val="24"/>
          <w:szCs w:val="24"/>
          <w:lang w:eastAsia="es-ES"/>
        </w:rPr>
        <w:t>2.</w:t>
      </w:r>
      <w:r w:rsidR="00F1585B">
        <w:rPr>
          <w:rFonts w:eastAsia="Times New Roman"/>
          <w:b/>
          <w:sz w:val="24"/>
          <w:szCs w:val="24"/>
          <w:lang w:eastAsia="es-ES"/>
        </w:rPr>
        <w:t>2.2.4</w:t>
      </w:r>
      <w:r w:rsidR="000C5B73">
        <w:rPr>
          <w:rFonts w:eastAsia="Times New Roman"/>
          <w:b/>
          <w:sz w:val="24"/>
          <w:szCs w:val="24"/>
          <w:lang w:eastAsia="es-ES"/>
        </w:rPr>
        <w:t xml:space="preserve">. </w:t>
      </w:r>
      <w:r w:rsidR="000C5B73">
        <w:rPr>
          <w:rFonts w:eastAsia="Times New Roman"/>
          <w:sz w:val="24"/>
          <w:szCs w:val="24"/>
          <w:lang w:eastAsia="es-ES"/>
        </w:rPr>
        <w:t xml:space="preserve">Ahora bien, </w:t>
      </w:r>
      <w:r w:rsidR="00984A69">
        <w:rPr>
          <w:rFonts w:eastAsia="Times New Roman"/>
          <w:sz w:val="24"/>
          <w:szCs w:val="24"/>
          <w:lang w:eastAsia="es-ES"/>
        </w:rPr>
        <w:t xml:space="preserve">en cuanto a los demás argumentos contenidos en el escrito de tutela, </w:t>
      </w:r>
      <w:r w:rsidR="00F1585B">
        <w:rPr>
          <w:rFonts w:eastAsia="Times New Roman"/>
          <w:sz w:val="24"/>
          <w:szCs w:val="24"/>
          <w:lang w:eastAsia="es-ES"/>
        </w:rPr>
        <w:t>que se centran en la vulneración de</w:t>
      </w:r>
      <w:r w:rsidR="005A055E">
        <w:rPr>
          <w:rFonts w:eastAsia="Times New Roman"/>
          <w:sz w:val="24"/>
          <w:szCs w:val="24"/>
          <w:lang w:eastAsia="es-ES"/>
        </w:rPr>
        <w:t xml:space="preserve">l derecho al </w:t>
      </w:r>
      <w:r w:rsidR="005A055E" w:rsidRPr="005A055E">
        <w:rPr>
          <w:rFonts w:eastAsia="Times New Roman"/>
          <w:i/>
          <w:sz w:val="24"/>
          <w:szCs w:val="24"/>
          <w:lang w:eastAsia="es-ES"/>
        </w:rPr>
        <w:t>habeas data</w:t>
      </w:r>
      <w:r w:rsidR="00F1585B">
        <w:rPr>
          <w:rFonts w:eastAsia="Times New Roman"/>
          <w:sz w:val="24"/>
          <w:szCs w:val="24"/>
          <w:lang w:eastAsia="es-ES"/>
        </w:rPr>
        <w:t>, la</w:t>
      </w:r>
      <w:r w:rsidR="005A055E">
        <w:rPr>
          <w:rFonts w:eastAsia="Times New Roman"/>
          <w:sz w:val="24"/>
          <w:szCs w:val="24"/>
          <w:lang w:eastAsia="es-ES"/>
        </w:rPr>
        <w:t xml:space="preserve"> presunta</w:t>
      </w:r>
      <w:r w:rsidR="00F1585B">
        <w:rPr>
          <w:rFonts w:eastAsia="Times New Roman"/>
          <w:sz w:val="24"/>
          <w:szCs w:val="24"/>
          <w:lang w:eastAsia="es-ES"/>
        </w:rPr>
        <w:t xml:space="preserve"> modificación del objeto </w:t>
      </w:r>
      <w:r w:rsidR="005A055E">
        <w:rPr>
          <w:rFonts w:eastAsia="Times New Roman"/>
          <w:sz w:val="24"/>
          <w:szCs w:val="24"/>
          <w:lang w:eastAsia="es-ES"/>
        </w:rPr>
        <w:t>de la medida cautelar decretada,</w:t>
      </w:r>
      <w:r w:rsidR="00F1585B">
        <w:rPr>
          <w:rFonts w:eastAsia="Times New Roman"/>
          <w:sz w:val="24"/>
          <w:szCs w:val="24"/>
          <w:lang w:eastAsia="es-ES"/>
        </w:rPr>
        <w:t xml:space="preserve"> o l</w:t>
      </w:r>
      <w:r w:rsidR="005A055E">
        <w:rPr>
          <w:rFonts w:eastAsia="Times New Roman"/>
          <w:sz w:val="24"/>
          <w:szCs w:val="24"/>
          <w:lang w:eastAsia="es-ES"/>
        </w:rPr>
        <w:t>a</w:t>
      </w:r>
      <w:r w:rsidR="00F1585B">
        <w:rPr>
          <w:rFonts w:eastAsia="Times New Roman"/>
          <w:sz w:val="24"/>
          <w:szCs w:val="24"/>
          <w:lang w:eastAsia="es-ES"/>
        </w:rPr>
        <w:t xml:space="preserve"> extralimitación </w:t>
      </w:r>
      <w:r w:rsidR="005A055E">
        <w:rPr>
          <w:rFonts w:eastAsia="Times New Roman"/>
          <w:sz w:val="24"/>
          <w:szCs w:val="24"/>
          <w:lang w:eastAsia="es-ES"/>
        </w:rPr>
        <w:t>del Tribunal de Arbitramento frente a la habilitación otorgada por las partes e</w:t>
      </w:r>
      <w:r w:rsidR="005E7BA2">
        <w:rPr>
          <w:rFonts w:eastAsia="Times New Roman"/>
          <w:sz w:val="24"/>
          <w:szCs w:val="24"/>
          <w:lang w:eastAsia="es-ES"/>
        </w:rPr>
        <w:t>n el proceso arbitral</w:t>
      </w:r>
      <w:r w:rsidR="005A055E">
        <w:rPr>
          <w:rFonts w:eastAsia="Times New Roman"/>
          <w:sz w:val="24"/>
          <w:szCs w:val="24"/>
          <w:lang w:eastAsia="es-ES"/>
        </w:rPr>
        <w:t xml:space="preserve">, </w:t>
      </w:r>
      <w:r w:rsidR="0011234E">
        <w:rPr>
          <w:rFonts w:eastAsia="Times New Roman"/>
          <w:sz w:val="24"/>
          <w:szCs w:val="24"/>
          <w:lang w:eastAsia="es-ES"/>
        </w:rPr>
        <w:t xml:space="preserve">la Sala encuentra que ellos </w:t>
      </w:r>
      <w:r w:rsidR="005E7BA2">
        <w:rPr>
          <w:rFonts w:eastAsia="Times New Roman"/>
          <w:sz w:val="24"/>
          <w:szCs w:val="24"/>
          <w:lang w:eastAsia="es-ES"/>
        </w:rPr>
        <w:t>sí</w:t>
      </w:r>
      <w:r w:rsidR="005A055E">
        <w:rPr>
          <w:rFonts w:eastAsia="Times New Roman"/>
          <w:sz w:val="24"/>
          <w:szCs w:val="24"/>
          <w:lang w:eastAsia="es-ES"/>
        </w:rPr>
        <w:t xml:space="preserve"> fueron </w:t>
      </w:r>
      <w:r w:rsidR="0011234E">
        <w:rPr>
          <w:rFonts w:eastAsia="Times New Roman"/>
          <w:sz w:val="24"/>
          <w:szCs w:val="24"/>
          <w:lang w:eastAsia="es-ES"/>
        </w:rPr>
        <w:t xml:space="preserve">planteados como </w:t>
      </w:r>
      <w:r w:rsidR="005A055E">
        <w:rPr>
          <w:rFonts w:eastAsia="Times New Roman"/>
          <w:sz w:val="24"/>
          <w:szCs w:val="24"/>
          <w:lang w:eastAsia="es-ES"/>
        </w:rPr>
        <w:t xml:space="preserve">motivos </w:t>
      </w:r>
      <w:r w:rsidR="005E7BA2">
        <w:rPr>
          <w:rFonts w:eastAsia="Times New Roman"/>
          <w:sz w:val="24"/>
          <w:szCs w:val="24"/>
          <w:lang w:eastAsia="es-ES"/>
        </w:rPr>
        <w:t>de reproche</w:t>
      </w:r>
      <w:r w:rsidR="005A055E">
        <w:rPr>
          <w:rFonts w:eastAsia="Times New Roman"/>
          <w:sz w:val="24"/>
          <w:szCs w:val="24"/>
          <w:lang w:eastAsia="es-ES"/>
        </w:rPr>
        <w:t xml:space="preserve"> en el recurso de reposición interpuesto por el convocado contra el auto No.</w:t>
      </w:r>
      <w:r w:rsidR="00084A35">
        <w:rPr>
          <w:rFonts w:eastAsia="Times New Roman"/>
          <w:sz w:val="24"/>
          <w:szCs w:val="24"/>
          <w:lang w:eastAsia="es-ES"/>
        </w:rPr>
        <w:t xml:space="preserve"> </w:t>
      </w:r>
      <w:r w:rsidR="005A055E">
        <w:rPr>
          <w:rFonts w:eastAsia="Times New Roman"/>
          <w:sz w:val="24"/>
          <w:szCs w:val="24"/>
          <w:lang w:eastAsia="es-ES"/>
        </w:rPr>
        <w:t>9 del 7 de diciembre de 2020. Así que CEO agotó</w:t>
      </w:r>
      <w:r w:rsidR="00D43E3D">
        <w:rPr>
          <w:rFonts w:eastAsia="Times New Roman"/>
          <w:sz w:val="24"/>
          <w:szCs w:val="24"/>
          <w:lang w:eastAsia="es-ES"/>
        </w:rPr>
        <w:t xml:space="preserve"> </w:t>
      </w:r>
      <w:r w:rsidR="005A055E">
        <w:rPr>
          <w:rFonts w:eastAsia="Times New Roman"/>
          <w:sz w:val="24"/>
          <w:szCs w:val="24"/>
          <w:lang w:eastAsia="es-ES"/>
        </w:rPr>
        <w:t xml:space="preserve">los mecanismos judiciales que tenía a su disposición para invocar el amparo de sus derechos fundamentales, que </w:t>
      </w:r>
      <w:r w:rsidR="005E7BA2">
        <w:rPr>
          <w:rFonts w:eastAsia="Times New Roman"/>
          <w:sz w:val="24"/>
          <w:szCs w:val="24"/>
          <w:lang w:eastAsia="es-ES"/>
        </w:rPr>
        <w:t>pudiera</w:t>
      </w:r>
      <w:r w:rsidR="005A055E">
        <w:rPr>
          <w:rFonts w:eastAsia="Times New Roman"/>
          <w:sz w:val="24"/>
          <w:szCs w:val="24"/>
          <w:lang w:eastAsia="es-ES"/>
        </w:rPr>
        <w:t xml:space="preserve"> verse afectado por aquellos asuntos. </w:t>
      </w:r>
      <w:r w:rsidR="005E7BA2">
        <w:rPr>
          <w:rFonts w:eastAsia="Times New Roman"/>
          <w:sz w:val="24"/>
          <w:szCs w:val="24"/>
          <w:lang w:eastAsia="es-ES"/>
        </w:rPr>
        <w:t>Y, e</w:t>
      </w:r>
      <w:r w:rsidR="005A055E">
        <w:rPr>
          <w:rFonts w:eastAsia="Times New Roman"/>
          <w:sz w:val="24"/>
          <w:szCs w:val="24"/>
          <w:lang w:eastAsia="es-ES"/>
        </w:rPr>
        <w:t xml:space="preserve">n consecuencia, estos cargos satisfacen la exigencia de la subsidiariedad, </w:t>
      </w:r>
      <w:r w:rsidR="005E7BA2">
        <w:rPr>
          <w:rFonts w:eastAsia="Times New Roman"/>
          <w:sz w:val="24"/>
          <w:szCs w:val="24"/>
          <w:lang w:eastAsia="es-ES"/>
        </w:rPr>
        <w:t>por</w:t>
      </w:r>
      <w:r w:rsidR="005A055E">
        <w:rPr>
          <w:rFonts w:eastAsia="Times New Roman"/>
          <w:sz w:val="24"/>
          <w:szCs w:val="24"/>
          <w:lang w:eastAsia="es-ES"/>
        </w:rPr>
        <w:t xml:space="preserve"> lo que corresponde continuar el examen de los demás requisitos de procedibilidad, únicamente </w:t>
      </w:r>
      <w:r w:rsidR="005E7BA2">
        <w:rPr>
          <w:rFonts w:eastAsia="Times New Roman"/>
          <w:sz w:val="24"/>
          <w:szCs w:val="24"/>
          <w:lang w:eastAsia="es-ES"/>
        </w:rPr>
        <w:t>respecto de estas cuestiones</w:t>
      </w:r>
      <w:r w:rsidR="005A055E">
        <w:rPr>
          <w:rFonts w:eastAsia="Times New Roman"/>
          <w:sz w:val="24"/>
          <w:szCs w:val="24"/>
          <w:lang w:eastAsia="es-ES"/>
        </w:rPr>
        <w:t>.</w:t>
      </w:r>
    </w:p>
    <w:p w14:paraId="1A8363B4" w14:textId="3C5FDE6C" w:rsidR="004106F1" w:rsidRDefault="004106F1" w:rsidP="00AE19E9">
      <w:pPr>
        <w:spacing w:line="276" w:lineRule="auto"/>
        <w:rPr>
          <w:rFonts w:eastAsia="Times New Roman"/>
          <w:sz w:val="24"/>
          <w:szCs w:val="24"/>
          <w:lang w:eastAsia="es-ES"/>
        </w:rPr>
      </w:pPr>
    </w:p>
    <w:p w14:paraId="6827745A" w14:textId="7239936F" w:rsidR="004106F1" w:rsidRDefault="00980965" w:rsidP="00AE19E9">
      <w:pPr>
        <w:spacing w:line="276" w:lineRule="auto"/>
        <w:rPr>
          <w:rFonts w:eastAsia="Times New Roman"/>
          <w:b/>
          <w:sz w:val="24"/>
          <w:szCs w:val="24"/>
          <w:lang w:eastAsia="es-ES"/>
        </w:rPr>
      </w:pPr>
      <w:r>
        <w:rPr>
          <w:rFonts w:eastAsia="Times New Roman"/>
          <w:b/>
          <w:sz w:val="24"/>
          <w:szCs w:val="24"/>
          <w:lang w:eastAsia="es-ES"/>
        </w:rPr>
        <w:t>2.</w:t>
      </w:r>
      <w:r w:rsidR="004106F1">
        <w:rPr>
          <w:rFonts w:eastAsia="Times New Roman"/>
          <w:b/>
          <w:sz w:val="24"/>
          <w:szCs w:val="24"/>
          <w:lang w:eastAsia="es-ES"/>
        </w:rPr>
        <w:t>2.3. Relevancia constitucional</w:t>
      </w:r>
    </w:p>
    <w:p w14:paraId="72D4A358" w14:textId="6B5F7287" w:rsidR="004106F1" w:rsidRDefault="004106F1" w:rsidP="00AE19E9">
      <w:pPr>
        <w:spacing w:line="276" w:lineRule="auto"/>
        <w:rPr>
          <w:rFonts w:eastAsia="Times New Roman"/>
          <w:b/>
          <w:sz w:val="24"/>
          <w:szCs w:val="24"/>
          <w:lang w:eastAsia="es-ES"/>
        </w:rPr>
      </w:pPr>
    </w:p>
    <w:p w14:paraId="47B9A65E" w14:textId="3A07B10A" w:rsidR="004106F1" w:rsidRPr="004106F1" w:rsidRDefault="004106F1" w:rsidP="00AE19E9">
      <w:pPr>
        <w:spacing w:line="276" w:lineRule="auto"/>
        <w:rPr>
          <w:rFonts w:eastAsia="Times New Roman"/>
          <w:b/>
          <w:sz w:val="24"/>
          <w:szCs w:val="24"/>
          <w:lang w:eastAsia="es-ES"/>
        </w:rPr>
      </w:pPr>
      <w:r w:rsidRPr="003537D3">
        <w:rPr>
          <w:bCs/>
          <w:iCs/>
          <w:sz w:val="24"/>
          <w:szCs w:val="24"/>
        </w:rPr>
        <w:t>La jurisprudencia constitucional</w:t>
      </w:r>
      <w:r w:rsidRPr="003537D3">
        <w:rPr>
          <w:bCs/>
          <w:iCs/>
          <w:sz w:val="24"/>
          <w:szCs w:val="24"/>
          <w:vertAlign w:val="superscript"/>
        </w:rPr>
        <w:footnoteReference w:id="43"/>
      </w:r>
      <w:r w:rsidRPr="003537D3">
        <w:rPr>
          <w:bCs/>
          <w:iCs/>
          <w:sz w:val="24"/>
          <w:szCs w:val="24"/>
        </w:rPr>
        <w:t xml:space="preserve"> ha reiterado que el examen de procedibilidad de las acciones de tutela, contra laudos arbitrales o providencias </w:t>
      </w:r>
      <w:r w:rsidR="005A055E">
        <w:rPr>
          <w:bCs/>
          <w:iCs/>
          <w:sz w:val="24"/>
          <w:szCs w:val="24"/>
        </w:rPr>
        <w:t>dictadas en el trámite arbitral</w:t>
      </w:r>
      <w:r w:rsidRPr="003537D3">
        <w:rPr>
          <w:bCs/>
          <w:iCs/>
          <w:sz w:val="24"/>
          <w:szCs w:val="24"/>
        </w:rPr>
        <w:t xml:space="preserve">, debe ser más riguroso que el efectuado sobre las sentencias y autos proferidos </w:t>
      </w:r>
      <w:r w:rsidRPr="003537D3">
        <w:rPr>
          <w:bCs/>
          <w:iCs/>
          <w:sz w:val="24"/>
          <w:szCs w:val="24"/>
        </w:rPr>
        <w:lastRenderedPageBreak/>
        <w:t xml:space="preserve">por los jueces ordinarios. La razón de </w:t>
      </w:r>
      <w:r w:rsidRPr="00AF5DF2">
        <w:rPr>
          <w:bCs/>
          <w:iCs/>
          <w:sz w:val="24"/>
          <w:szCs w:val="24"/>
        </w:rPr>
        <w:t>ello</w:t>
      </w:r>
      <w:r w:rsidRPr="003537D3">
        <w:rPr>
          <w:bCs/>
          <w:iCs/>
          <w:sz w:val="24"/>
          <w:szCs w:val="24"/>
        </w:rPr>
        <w:t xml:space="preserve"> obedece a que estamos ante un escenario en el que las partes expresan su voluntad de apartarse de la jurisdicción ordinaria y, en consecuencia,</w:t>
      </w:r>
      <w:r w:rsidR="005A055E">
        <w:rPr>
          <w:bCs/>
          <w:iCs/>
          <w:sz w:val="24"/>
          <w:szCs w:val="24"/>
        </w:rPr>
        <w:t xml:space="preserve"> someten</w:t>
      </w:r>
      <w:r w:rsidRPr="003537D3">
        <w:rPr>
          <w:bCs/>
          <w:iCs/>
          <w:sz w:val="24"/>
          <w:szCs w:val="24"/>
        </w:rPr>
        <w:t xml:space="preserve"> sus controversias a la decisión de un particular habilitado legal y constitucionalmente para </w:t>
      </w:r>
      <w:r w:rsidR="00AF5DF2">
        <w:rPr>
          <w:bCs/>
          <w:iCs/>
          <w:sz w:val="24"/>
          <w:szCs w:val="24"/>
        </w:rPr>
        <w:t>tal efecto</w:t>
      </w:r>
      <w:r w:rsidRPr="003537D3">
        <w:rPr>
          <w:bCs/>
          <w:iCs/>
          <w:sz w:val="24"/>
          <w:szCs w:val="24"/>
        </w:rPr>
        <w:t xml:space="preserve">. Lo que, en consecuencia, implica restringir el examen de procedibilidad al aspecto meramente procesal, para así garantizar la estabilidad jurídica del laudo, la expresión de la voluntad de los intervinientes y la condición excepcional del mecanismo del arbitraje. Órbita que </w:t>
      </w:r>
      <w:r w:rsidRPr="00AF5DF2">
        <w:rPr>
          <w:bCs/>
          <w:iCs/>
          <w:sz w:val="24"/>
          <w:szCs w:val="24"/>
        </w:rPr>
        <w:t>está</w:t>
      </w:r>
      <w:r w:rsidRPr="003537D3">
        <w:rPr>
          <w:bCs/>
          <w:iCs/>
          <w:sz w:val="24"/>
          <w:szCs w:val="24"/>
        </w:rPr>
        <w:t xml:space="preserve"> por fuera de la competencia del juez de tutela, impedido de pronunciarse directamente sobre </w:t>
      </w:r>
      <w:r w:rsidR="00331B20">
        <w:rPr>
          <w:bCs/>
          <w:iCs/>
          <w:sz w:val="24"/>
          <w:szCs w:val="24"/>
        </w:rPr>
        <w:t>asuntos de fondo</w:t>
      </w:r>
      <w:r w:rsidRPr="003537D3">
        <w:rPr>
          <w:bCs/>
          <w:iCs/>
          <w:sz w:val="24"/>
          <w:szCs w:val="24"/>
        </w:rPr>
        <w:t xml:space="preserve"> sometido</w:t>
      </w:r>
      <w:r w:rsidR="00331B20">
        <w:rPr>
          <w:bCs/>
          <w:iCs/>
          <w:sz w:val="24"/>
          <w:szCs w:val="24"/>
        </w:rPr>
        <w:t>s</w:t>
      </w:r>
      <w:r w:rsidRPr="003537D3">
        <w:rPr>
          <w:bCs/>
          <w:iCs/>
          <w:sz w:val="24"/>
          <w:szCs w:val="24"/>
        </w:rPr>
        <w:t xml:space="preserve"> a arbitramento.</w:t>
      </w:r>
    </w:p>
    <w:p w14:paraId="4956491A" w14:textId="77777777" w:rsidR="004106F1" w:rsidRDefault="004106F1" w:rsidP="00AE19E9">
      <w:pPr>
        <w:spacing w:line="276" w:lineRule="auto"/>
        <w:rPr>
          <w:rFonts w:eastAsia="Times New Roman"/>
          <w:sz w:val="24"/>
          <w:szCs w:val="24"/>
          <w:lang w:eastAsia="es-ES"/>
        </w:rPr>
      </w:pPr>
    </w:p>
    <w:p w14:paraId="1153D896" w14:textId="4F0E9EC3" w:rsidR="00F36B38" w:rsidRPr="00F36B38" w:rsidRDefault="00980965" w:rsidP="00AE19E9">
      <w:pPr>
        <w:spacing w:line="276" w:lineRule="auto"/>
        <w:rPr>
          <w:rFonts w:eastAsia="Times New Roman"/>
          <w:sz w:val="24"/>
          <w:szCs w:val="24"/>
          <w:lang w:eastAsia="es-ES"/>
        </w:rPr>
      </w:pPr>
      <w:r>
        <w:rPr>
          <w:rFonts w:eastAsia="Times New Roman"/>
          <w:b/>
          <w:sz w:val="24"/>
          <w:szCs w:val="24"/>
          <w:lang w:eastAsia="es-ES"/>
        </w:rPr>
        <w:t>2.</w:t>
      </w:r>
      <w:r w:rsidR="00474EDA">
        <w:rPr>
          <w:rFonts w:eastAsia="Times New Roman"/>
          <w:b/>
          <w:sz w:val="24"/>
          <w:szCs w:val="24"/>
          <w:lang w:eastAsia="es-ES"/>
        </w:rPr>
        <w:t>2.3.1.</w:t>
      </w:r>
      <w:r w:rsidR="00F36B38">
        <w:rPr>
          <w:rFonts w:eastAsia="Times New Roman"/>
          <w:b/>
          <w:sz w:val="24"/>
          <w:szCs w:val="24"/>
          <w:lang w:eastAsia="es-ES"/>
        </w:rPr>
        <w:t xml:space="preserve"> </w:t>
      </w:r>
      <w:r w:rsidR="00F36B38">
        <w:rPr>
          <w:rFonts w:eastAsia="Times New Roman"/>
          <w:sz w:val="24"/>
          <w:szCs w:val="24"/>
          <w:lang w:eastAsia="es-ES"/>
        </w:rPr>
        <w:t>La</w:t>
      </w:r>
      <w:r w:rsidR="00F71B51">
        <w:rPr>
          <w:rFonts w:eastAsia="Times New Roman"/>
          <w:sz w:val="24"/>
          <w:szCs w:val="24"/>
          <w:lang w:eastAsia="es-ES"/>
        </w:rPr>
        <w:t xml:space="preserve"> sociedad</w:t>
      </w:r>
      <w:r w:rsidR="00F36B38">
        <w:rPr>
          <w:rFonts w:eastAsia="Times New Roman"/>
          <w:sz w:val="24"/>
          <w:szCs w:val="24"/>
          <w:lang w:eastAsia="es-ES"/>
        </w:rPr>
        <w:t xml:space="preserve"> actora reclama</w:t>
      </w:r>
      <w:r w:rsidR="00526558">
        <w:rPr>
          <w:rFonts w:eastAsia="Times New Roman"/>
          <w:sz w:val="24"/>
          <w:szCs w:val="24"/>
          <w:lang w:eastAsia="es-ES"/>
        </w:rPr>
        <w:t xml:space="preserve"> </w:t>
      </w:r>
      <w:r w:rsidR="00F36B38">
        <w:rPr>
          <w:rFonts w:eastAsia="Times New Roman"/>
          <w:sz w:val="24"/>
          <w:szCs w:val="24"/>
          <w:lang w:eastAsia="es-ES"/>
        </w:rPr>
        <w:t>que el T</w:t>
      </w:r>
      <w:r w:rsidR="00170118">
        <w:rPr>
          <w:rFonts w:eastAsia="Times New Roman"/>
          <w:sz w:val="24"/>
          <w:szCs w:val="24"/>
          <w:lang w:eastAsia="es-ES"/>
        </w:rPr>
        <w:t>ribunal de Arbitramento modificó</w:t>
      </w:r>
      <w:r w:rsidR="00F36B38">
        <w:rPr>
          <w:rFonts w:eastAsia="Times New Roman"/>
          <w:sz w:val="24"/>
          <w:szCs w:val="24"/>
          <w:lang w:eastAsia="es-ES"/>
        </w:rPr>
        <w:t xml:space="preserve"> el objeto de la medida cautelar </w:t>
      </w:r>
      <w:r w:rsidR="00170118">
        <w:rPr>
          <w:rFonts w:eastAsia="Times New Roman"/>
          <w:sz w:val="24"/>
          <w:szCs w:val="24"/>
          <w:lang w:eastAsia="es-ES"/>
        </w:rPr>
        <w:t>ya decretada</w:t>
      </w:r>
      <w:r w:rsidR="009C4370">
        <w:rPr>
          <w:rFonts w:eastAsia="Times New Roman"/>
          <w:sz w:val="24"/>
          <w:szCs w:val="24"/>
          <w:lang w:eastAsia="es-ES"/>
        </w:rPr>
        <w:t>, al precisar en el auto No. 9 del 7 de diciembre de 2020, que la convoca</w:t>
      </w:r>
      <w:r w:rsidR="00170118">
        <w:rPr>
          <w:rFonts w:eastAsia="Times New Roman"/>
          <w:sz w:val="24"/>
          <w:szCs w:val="24"/>
          <w:lang w:eastAsia="es-ES"/>
        </w:rPr>
        <w:t>da debía</w:t>
      </w:r>
      <w:r w:rsidR="00331B20">
        <w:rPr>
          <w:rFonts w:eastAsia="Times New Roman"/>
          <w:sz w:val="24"/>
          <w:szCs w:val="24"/>
          <w:lang w:eastAsia="es-ES"/>
        </w:rPr>
        <w:t xml:space="preserve"> permitir a CED</w:t>
      </w:r>
      <w:r w:rsidR="009C4370">
        <w:rPr>
          <w:rFonts w:eastAsia="Times New Roman"/>
          <w:sz w:val="24"/>
          <w:szCs w:val="24"/>
          <w:lang w:eastAsia="es-ES"/>
        </w:rPr>
        <w:t>ELCA, el acceso a la información requerida en el derecho de petición del 29 de julio de 2020, especialmente la indicada por el perito</w:t>
      </w:r>
      <w:r w:rsidR="00F36B38">
        <w:rPr>
          <w:rFonts w:eastAsia="Times New Roman"/>
          <w:sz w:val="24"/>
          <w:szCs w:val="24"/>
          <w:lang w:eastAsia="es-ES"/>
        </w:rPr>
        <w:t xml:space="preserve"> Julio Villarreal. </w:t>
      </w:r>
      <w:r w:rsidR="009C4370">
        <w:rPr>
          <w:rFonts w:eastAsia="Times New Roman"/>
          <w:sz w:val="24"/>
          <w:szCs w:val="24"/>
          <w:lang w:eastAsia="es-ES"/>
        </w:rPr>
        <w:t xml:space="preserve">Lo anterior porque, en criterio de CEO, el informe rendido por el experto abarca información contenida en </w:t>
      </w:r>
      <w:r w:rsidR="00170118">
        <w:rPr>
          <w:rFonts w:eastAsia="Times New Roman"/>
          <w:sz w:val="24"/>
          <w:szCs w:val="24"/>
          <w:lang w:eastAsia="es-ES"/>
        </w:rPr>
        <w:t>las</w:t>
      </w:r>
      <w:r w:rsidR="009C4370">
        <w:rPr>
          <w:rFonts w:eastAsia="Times New Roman"/>
          <w:sz w:val="24"/>
          <w:szCs w:val="24"/>
          <w:lang w:eastAsia="es-ES"/>
        </w:rPr>
        <w:t xml:space="preserve"> bases de datos</w:t>
      </w:r>
      <w:r w:rsidR="00170118">
        <w:rPr>
          <w:rFonts w:eastAsia="Times New Roman"/>
          <w:sz w:val="24"/>
          <w:szCs w:val="24"/>
          <w:lang w:eastAsia="es-ES"/>
        </w:rPr>
        <w:t xml:space="preserve"> de la empresa,</w:t>
      </w:r>
      <w:r w:rsidR="009C4370">
        <w:rPr>
          <w:rFonts w:eastAsia="Times New Roman"/>
          <w:sz w:val="24"/>
          <w:szCs w:val="24"/>
          <w:lang w:eastAsia="es-ES"/>
        </w:rPr>
        <w:t xml:space="preserve"> que no tienen relación con la necesidad probatoria manifestada por la parte </w:t>
      </w:r>
      <w:r w:rsidR="00170118">
        <w:rPr>
          <w:rFonts w:eastAsia="Times New Roman"/>
          <w:sz w:val="24"/>
          <w:szCs w:val="24"/>
          <w:lang w:eastAsia="es-ES"/>
        </w:rPr>
        <w:t>convocante</w:t>
      </w:r>
      <w:r w:rsidR="009C4370">
        <w:rPr>
          <w:rFonts w:eastAsia="Times New Roman"/>
          <w:sz w:val="24"/>
          <w:szCs w:val="24"/>
          <w:lang w:eastAsia="es-ES"/>
        </w:rPr>
        <w:t xml:space="preserve">, al momento de solicitar la </w:t>
      </w:r>
      <w:r w:rsidR="00170118">
        <w:rPr>
          <w:rFonts w:eastAsia="Times New Roman"/>
          <w:sz w:val="24"/>
          <w:szCs w:val="24"/>
          <w:lang w:eastAsia="es-ES"/>
        </w:rPr>
        <w:t>medida</w:t>
      </w:r>
      <w:r w:rsidR="009C4370">
        <w:rPr>
          <w:rFonts w:eastAsia="Times New Roman"/>
          <w:sz w:val="24"/>
          <w:szCs w:val="24"/>
          <w:lang w:eastAsia="es-ES"/>
        </w:rPr>
        <w:t xml:space="preserve">. </w:t>
      </w:r>
    </w:p>
    <w:p w14:paraId="23D17CB1" w14:textId="77777777" w:rsidR="00F36B38" w:rsidRDefault="00F36B38" w:rsidP="00AE19E9">
      <w:pPr>
        <w:spacing w:line="276" w:lineRule="auto"/>
        <w:rPr>
          <w:rFonts w:eastAsia="Times New Roman"/>
          <w:b/>
          <w:sz w:val="24"/>
          <w:szCs w:val="24"/>
          <w:lang w:eastAsia="es-ES"/>
        </w:rPr>
      </w:pPr>
    </w:p>
    <w:p w14:paraId="0E00E951" w14:textId="1448B55F" w:rsidR="00526558" w:rsidRDefault="00526558" w:rsidP="00AE19E9">
      <w:pPr>
        <w:spacing w:line="276" w:lineRule="auto"/>
        <w:rPr>
          <w:rFonts w:eastAsia="Times New Roman"/>
          <w:sz w:val="24"/>
          <w:szCs w:val="24"/>
          <w:lang w:eastAsia="es-ES"/>
        </w:rPr>
      </w:pPr>
      <w:r>
        <w:rPr>
          <w:rFonts w:eastAsia="Times New Roman"/>
          <w:sz w:val="24"/>
          <w:szCs w:val="24"/>
          <w:lang w:eastAsia="es-ES"/>
        </w:rPr>
        <w:t>Adicionalmente</w:t>
      </w:r>
      <w:r w:rsidR="009C4370">
        <w:rPr>
          <w:rFonts w:eastAsia="Times New Roman"/>
          <w:sz w:val="24"/>
          <w:szCs w:val="24"/>
          <w:lang w:eastAsia="es-ES"/>
        </w:rPr>
        <w:t>, CEO plantea que los árbitros excedieron la habilitación que las partes le</w:t>
      </w:r>
      <w:r w:rsidR="00170118">
        <w:rPr>
          <w:rFonts w:eastAsia="Times New Roman"/>
          <w:sz w:val="24"/>
          <w:szCs w:val="24"/>
          <w:lang w:eastAsia="es-ES"/>
        </w:rPr>
        <w:t>s</w:t>
      </w:r>
      <w:r w:rsidR="009C4370">
        <w:rPr>
          <w:rFonts w:eastAsia="Times New Roman"/>
          <w:sz w:val="24"/>
          <w:szCs w:val="24"/>
          <w:lang w:eastAsia="es-ES"/>
        </w:rPr>
        <w:t xml:space="preserve"> concedieron para resolver la controversia objeto de la demanda arbitral</w:t>
      </w:r>
      <w:r>
        <w:rPr>
          <w:rFonts w:eastAsia="Times New Roman"/>
          <w:sz w:val="24"/>
          <w:szCs w:val="24"/>
          <w:lang w:eastAsia="es-ES"/>
        </w:rPr>
        <w:t xml:space="preserve">, </w:t>
      </w:r>
      <w:r w:rsidR="00170118">
        <w:rPr>
          <w:rFonts w:eastAsia="Times New Roman"/>
          <w:sz w:val="24"/>
          <w:szCs w:val="24"/>
          <w:lang w:eastAsia="es-ES"/>
        </w:rPr>
        <w:t>al ordenarle que</w:t>
      </w:r>
      <w:r w:rsidR="00DD60DD">
        <w:rPr>
          <w:rFonts w:eastAsia="Times New Roman"/>
          <w:sz w:val="24"/>
          <w:szCs w:val="24"/>
          <w:lang w:eastAsia="es-ES"/>
        </w:rPr>
        <w:t xml:space="preserve"> suministrara información de las bases de datos de la empresa, sin tener en cuenta que esto no guarda algún vínculo con el contrato de gestión suscrito entre la convocante y la convocada</w:t>
      </w:r>
      <w:r w:rsidR="00F71B51">
        <w:rPr>
          <w:rFonts w:eastAsia="Times New Roman"/>
          <w:sz w:val="24"/>
          <w:szCs w:val="24"/>
          <w:lang w:eastAsia="es-ES"/>
        </w:rPr>
        <w:t>.</w:t>
      </w:r>
    </w:p>
    <w:p w14:paraId="76523572" w14:textId="77777777" w:rsidR="00526558" w:rsidRDefault="00526558" w:rsidP="00AE19E9">
      <w:pPr>
        <w:spacing w:line="276" w:lineRule="auto"/>
        <w:rPr>
          <w:rFonts w:eastAsia="Times New Roman"/>
          <w:sz w:val="24"/>
          <w:szCs w:val="24"/>
          <w:lang w:eastAsia="es-ES"/>
        </w:rPr>
      </w:pPr>
    </w:p>
    <w:p w14:paraId="4451C2B2" w14:textId="20DAE579" w:rsidR="00F36B38" w:rsidRDefault="00992FD5" w:rsidP="00AE19E9">
      <w:pPr>
        <w:spacing w:line="276" w:lineRule="auto"/>
        <w:rPr>
          <w:rFonts w:eastAsia="Times New Roman"/>
          <w:sz w:val="24"/>
          <w:szCs w:val="24"/>
          <w:lang w:eastAsia="es-ES"/>
        </w:rPr>
      </w:pPr>
      <w:r>
        <w:rPr>
          <w:rFonts w:eastAsia="Times New Roman"/>
          <w:sz w:val="24"/>
          <w:szCs w:val="24"/>
          <w:lang w:eastAsia="es-ES"/>
        </w:rPr>
        <w:t>Vist</w:t>
      </w:r>
      <w:r w:rsidR="0011234E">
        <w:rPr>
          <w:rFonts w:eastAsia="Times New Roman"/>
          <w:sz w:val="24"/>
          <w:szCs w:val="24"/>
          <w:lang w:eastAsia="es-ES"/>
        </w:rPr>
        <w:t xml:space="preserve">as así, </w:t>
      </w:r>
      <w:r>
        <w:rPr>
          <w:rFonts w:eastAsia="Times New Roman"/>
          <w:sz w:val="24"/>
          <w:szCs w:val="24"/>
          <w:lang w:eastAsia="es-ES"/>
        </w:rPr>
        <w:t>las glosas</w:t>
      </w:r>
      <w:r w:rsidR="00DD60DD">
        <w:rPr>
          <w:rFonts w:eastAsia="Times New Roman"/>
          <w:sz w:val="24"/>
          <w:szCs w:val="24"/>
          <w:lang w:eastAsia="es-ES"/>
        </w:rPr>
        <w:t xml:space="preserve"> se centran en </w:t>
      </w:r>
      <w:r w:rsidR="00845BE1">
        <w:rPr>
          <w:rFonts w:eastAsia="Times New Roman"/>
          <w:sz w:val="24"/>
          <w:szCs w:val="24"/>
          <w:lang w:eastAsia="es-ES"/>
        </w:rPr>
        <w:t>controvertir la</w:t>
      </w:r>
      <w:r>
        <w:rPr>
          <w:rFonts w:eastAsia="Times New Roman"/>
          <w:sz w:val="24"/>
          <w:szCs w:val="24"/>
          <w:lang w:eastAsia="es-ES"/>
        </w:rPr>
        <w:t xml:space="preserve"> </w:t>
      </w:r>
      <w:r w:rsidR="0011234E">
        <w:rPr>
          <w:rFonts w:eastAsia="Times New Roman"/>
          <w:sz w:val="24"/>
          <w:szCs w:val="24"/>
          <w:lang w:eastAsia="es-ES"/>
        </w:rPr>
        <w:t xml:space="preserve">necesidad y la </w:t>
      </w:r>
      <w:r>
        <w:rPr>
          <w:rFonts w:eastAsia="Times New Roman"/>
          <w:sz w:val="24"/>
          <w:szCs w:val="24"/>
          <w:lang w:eastAsia="es-ES"/>
        </w:rPr>
        <w:t>efectividad de la</w:t>
      </w:r>
      <w:r w:rsidR="00845BE1">
        <w:rPr>
          <w:rFonts w:eastAsia="Times New Roman"/>
          <w:sz w:val="24"/>
          <w:szCs w:val="24"/>
          <w:lang w:eastAsia="es-ES"/>
        </w:rPr>
        <w:t xml:space="preserve"> información que el perito Julio Villarreal indicó como faltante, el 10 de noviembre</w:t>
      </w:r>
      <w:r>
        <w:rPr>
          <w:rFonts w:eastAsia="Times New Roman"/>
          <w:sz w:val="24"/>
          <w:szCs w:val="24"/>
          <w:lang w:eastAsia="es-ES"/>
        </w:rPr>
        <w:t xml:space="preserve"> y el 14 de diciembre</w:t>
      </w:r>
      <w:r w:rsidR="00845BE1">
        <w:rPr>
          <w:rFonts w:eastAsia="Times New Roman"/>
          <w:sz w:val="24"/>
          <w:szCs w:val="24"/>
          <w:lang w:eastAsia="es-ES"/>
        </w:rPr>
        <w:t xml:space="preserve"> de 2020, pues, </w:t>
      </w:r>
      <w:r w:rsidR="00845BE1" w:rsidRPr="00AF5DF2">
        <w:rPr>
          <w:rFonts w:eastAsia="Times New Roman"/>
          <w:sz w:val="24"/>
          <w:szCs w:val="24"/>
          <w:lang w:eastAsia="es-ES"/>
        </w:rPr>
        <w:t>en su opinión</w:t>
      </w:r>
      <w:r w:rsidR="00845BE1">
        <w:rPr>
          <w:rFonts w:eastAsia="Times New Roman"/>
          <w:sz w:val="24"/>
          <w:szCs w:val="24"/>
          <w:lang w:eastAsia="es-ES"/>
        </w:rPr>
        <w:t xml:space="preserve">, </w:t>
      </w:r>
      <w:r w:rsidR="0011234E">
        <w:rPr>
          <w:rFonts w:eastAsia="Times New Roman"/>
          <w:sz w:val="24"/>
          <w:szCs w:val="24"/>
          <w:lang w:eastAsia="es-ES"/>
        </w:rPr>
        <w:t xml:space="preserve">ella </w:t>
      </w:r>
      <w:r w:rsidR="00845BE1">
        <w:rPr>
          <w:rFonts w:eastAsia="Times New Roman"/>
          <w:sz w:val="24"/>
          <w:szCs w:val="24"/>
          <w:lang w:eastAsia="es-ES"/>
        </w:rPr>
        <w:t>exced</w:t>
      </w:r>
      <w:r w:rsidR="0011234E">
        <w:rPr>
          <w:rFonts w:eastAsia="Times New Roman"/>
          <w:sz w:val="24"/>
          <w:szCs w:val="24"/>
          <w:lang w:eastAsia="es-ES"/>
        </w:rPr>
        <w:t>ía</w:t>
      </w:r>
      <w:r w:rsidR="00845BE1">
        <w:rPr>
          <w:rFonts w:eastAsia="Times New Roman"/>
          <w:sz w:val="24"/>
          <w:szCs w:val="24"/>
          <w:lang w:eastAsia="es-ES"/>
        </w:rPr>
        <w:t xml:space="preserve"> el contenido del</w:t>
      </w:r>
      <w:r w:rsidR="0011234E">
        <w:rPr>
          <w:rFonts w:eastAsia="Times New Roman"/>
          <w:sz w:val="24"/>
          <w:szCs w:val="24"/>
          <w:lang w:eastAsia="es-ES"/>
        </w:rPr>
        <w:t xml:space="preserve"> escrito que en</w:t>
      </w:r>
      <w:r w:rsidR="00845BE1">
        <w:rPr>
          <w:rFonts w:eastAsia="Times New Roman"/>
          <w:sz w:val="24"/>
          <w:szCs w:val="24"/>
          <w:lang w:eastAsia="es-ES"/>
        </w:rPr>
        <w:t xml:space="preserve"> derecho de petición </w:t>
      </w:r>
      <w:r w:rsidR="0011234E">
        <w:rPr>
          <w:rFonts w:eastAsia="Times New Roman"/>
          <w:sz w:val="24"/>
          <w:szCs w:val="24"/>
          <w:lang w:eastAsia="es-ES"/>
        </w:rPr>
        <w:t xml:space="preserve">le fue presentado </w:t>
      </w:r>
      <w:r w:rsidR="00845BE1">
        <w:rPr>
          <w:rFonts w:eastAsia="Times New Roman"/>
          <w:sz w:val="24"/>
          <w:szCs w:val="24"/>
          <w:lang w:eastAsia="es-ES"/>
        </w:rPr>
        <w:t xml:space="preserve">el </w:t>
      </w:r>
      <w:r w:rsidR="005A055E">
        <w:rPr>
          <w:rFonts w:eastAsia="Times New Roman"/>
          <w:sz w:val="24"/>
          <w:szCs w:val="24"/>
          <w:lang w:eastAsia="es-ES"/>
        </w:rPr>
        <w:t>29</w:t>
      </w:r>
      <w:r w:rsidR="00845BE1">
        <w:rPr>
          <w:rFonts w:eastAsia="Times New Roman"/>
          <w:sz w:val="24"/>
          <w:szCs w:val="24"/>
          <w:lang w:eastAsia="es-ES"/>
        </w:rPr>
        <w:t xml:space="preserve"> de julio de 2020 y aborda</w:t>
      </w:r>
      <w:r w:rsidR="0011234E">
        <w:rPr>
          <w:rFonts w:eastAsia="Times New Roman"/>
          <w:sz w:val="24"/>
          <w:szCs w:val="24"/>
          <w:lang w:eastAsia="es-ES"/>
        </w:rPr>
        <w:t>ba</w:t>
      </w:r>
      <w:r w:rsidR="00845BE1">
        <w:rPr>
          <w:rFonts w:eastAsia="Times New Roman"/>
          <w:sz w:val="24"/>
          <w:szCs w:val="24"/>
          <w:lang w:eastAsia="es-ES"/>
        </w:rPr>
        <w:t xml:space="preserve"> cuestiones ajenas al conflicto objeto de la demanda arbitral.</w:t>
      </w:r>
      <w:r>
        <w:rPr>
          <w:rFonts w:eastAsia="Times New Roman"/>
          <w:sz w:val="24"/>
          <w:szCs w:val="24"/>
          <w:lang w:eastAsia="es-ES"/>
        </w:rPr>
        <w:t xml:space="preserve"> Así que, </w:t>
      </w:r>
      <w:r w:rsidRPr="00AF5DF2">
        <w:rPr>
          <w:rFonts w:eastAsia="Times New Roman"/>
          <w:sz w:val="24"/>
          <w:szCs w:val="24"/>
          <w:lang w:eastAsia="es-ES"/>
        </w:rPr>
        <w:t xml:space="preserve">en su </w:t>
      </w:r>
      <w:r w:rsidR="00AF5DF2">
        <w:rPr>
          <w:rFonts w:eastAsia="Times New Roman"/>
          <w:sz w:val="24"/>
          <w:szCs w:val="24"/>
          <w:lang w:eastAsia="es-ES"/>
        </w:rPr>
        <w:t>criterio</w:t>
      </w:r>
      <w:r>
        <w:rPr>
          <w:rFonts w:eastAsia="Times New Roman"/>
          <w:sz w:val="24"/>
          <w:szCs w:val="24"/>
          <w:lang w:eastAsia="es-ES"/>
        </w:rPr>
        <w:t>, la autoridad contra la que se dirige la tutela no podía extender el objeto de la medida cautelar al criterio expuesto por el experto.</w:t>
      </w:r>
    </w:p>
    <w:p w14:paraId="04924A29" w14:textId="77777777" w:rsidR="005A055E" w:rsidRDefault="005A055E" w:rsidP="00AE19E9">
      <w:pPr>
        <w:spacing w:line="276" w:lineRule="auto"/>
        <w:rPr>
          <w:rFonts w:eastAsia="Times New Roman"/>
          <w:sz w:val="24"/>
          <w:szCs w:val="24"/>
          <w:lang w:eastAsia="es-ES"/>
        </w:rPr>
      </w:pPr>
    </w:p>
    <w:p w14:paraId="6F285E61" w14:textId="22D54F17" w:rsidR="00845BE1" w:rsidRDefault="00845BE1" w:rsidP="00AE19E9">
      <w:pPr>
        <w:spacing w:line="276" w:lineRule="auto"/>
        <w:rPr>
          <w:rFonts w:eastAsia="Times New Roman"/>
          <w:b/>
          <w:sz w:val="24"/>
          <w:szCs w:val="24"/>
          <w:lang w:eastAsia="es-ES"/>
        </w:rPr>
      </w:pPr>
      <w:r>
        <w:rPr>
          <w:rFonts w:eastAsia="Times New Roman"/>
          <w:sz w:val="24"/>
          <w:szCs w:val="24"/>
          <w:lang w:eastAsia="es-ES"/>
        </w:rPr>
        <w:t>Frente a esto, el Tribunal de Arbitramento, en el auto No.</w:t>
      </w:r>
      <w:r w:rsidR="00084A35">
        <w:rPr>
          <w:rFonts w:eastAsia="Times New Roman"/>
          <w:sz w:val="24"/>
          <w:szCs w:val="24"/>
          <w:lang w:eastAsia="es-ES"/>
        </w:rPr>
        <w:t xml:space="preserve"> </w:t>
      </w:r>
      <w:r>
        <w:rPr>
          <w:rFonts w:eastAsia="Times New Roman"/>
          <w:sz w:val="24"/>
          <w:szCs w:val="24"/>
          <w:lang w:eastAsia="es-ES"/>
        </w:rPr>
        <w:t>9 del</w:t>
      </w:r>
      <w:r w:rsidR="00DD1B50">
        <w:rPr>
          <w:rFonts w:eastAsia="Times New Roman"/>
          <w:sz w:val="24"/>
          <w:szCs w:val="24"/>
          <w:lang w:eastAsia="es-ES"/>
        </w:rPr>
        <w:t xml:space="preserve"> 7 de diciembre de 2020, </w:t>
      </w:r>
      <w:r w:rsidR="0011234E">
        <w:rPr>
          <w:rFonts w:eastAsia="Times New Roman"/>
          <w:sz w:val="24"/>
          <w:szCs w:val="24"/>
          <w:lang w:eastAsia="es-ES"/>
        </w:rPr>
        <w:t>replicó</w:t>
      </w:r>
      <w:r w:rsidR="00DD1B50">
        <w:rPr>
          <w:rFonts w:eastAsia="Times New Roman"/>
          <w:sz w:val="24"/>
          <w:szCs w:val="24"/>
          <w:lang w:eastAsia="es-ES"/>
        </w:rPr>
        <w:t xml:space="preserve"> que, al no tener la experticia técnica ni conocimiento de los sistemas sobre los que </w:t>
      </w:r>
      <w:r w:rsidR="00992FD5">
        <w:rPr>
          <w:rFonts w:eastAsia="Times New Roman"/>
          <w:sz w:val="24"/>
          <w:szCs w:val="24"/>
          <w:lang w:eastAsia="es-ES"/>
        </w:rPr>
        <w:t>CEDELCA</w:t>
      </w:r>
      <w:r w:rsidR="00DD1B50">
        <w:rPr>
          <w:rFonts w:eastAsia="Times New Roman"/>
          <w:sz w:val="24"/>
          <w:szCs w:val="24"/>
          <w:lang w:eastAsia="es-ES"/>
        </w:rPr>
        <w:t xml:space="preserve"> ha</w:t>
      </w:r>
      <w:r w:rsidR="0011234E">
        <w:rPr>
          <w:rFonts w:eastAsia="Times New Roman"/>
          <w:sz w:val="24"/>
          <w:szCs w:val="24"/>
          <w:lang w:eastAsia="es-ES"/>
        </w:rPr>
        <w:t>bía</w:t>
      </w:r>
      <w:r w:rsidR="00DD1B50">
        <w:rPr>
          <w:rFonts w:eastAsia="Times New Roman"/>
          <w:sz w:val="24"/>
          <w:szCs w:val="24"/>
          <w:lang w:eastAsia="es-ES"/>
        </w:rPr>
        <w:t xml:space="preserve"> extraído la información, resultaba razonable tener como guía los parámetros indicados </w:t>
      </w:r>
      <w:r w:rsidR="00845F51">
        <w:rPr>
          <w:rFonts w:eastAsia="Times New Roman"/>
          <w:sz w:val="24"/>
          <w:szCs w:val="24"/>
          <w:lang w:eastAsia="es-ES"/>
        </w:rPr>
        <w:t>por el</w:t>
      </w:r>
      <w:r w:rsidR="00DD1B50">
        <w:rPr>
          <w:rFonts w:eastAsia="Times New Roman"/>
          <w:sz w:val="24"/>
          <w:szCs w:val="24"/>
          <w:lang w:eastAsia="es-ES"/>
        </w:rPr>
        <w:t xml:space="preserve"> perito Julio Villareal, pues precisamente e</w:t>
      </w:r>
      <w:r w:rsidR="0011234E">
        <w:rPr>
          <w:rFonts w:eastAsia="Times New Roman"/>
          <w:sz w:val="24"/>
          <w:szCs w:val="24"/>
          <w:lang w:eastAsia="es-ES"/>
        </w:rPr>
        <w:t>ra</w:t>
      </w:r>
      <w:r w:rsidR="00DD1B50">
        <w:rPr>
          <w:rFonts w:eastAsia="Times New Roman"/>
          <w:sz w:val="24"/>
          <w:szCs w:val="24"/>
          <w:lang w:eastAsia="es-ES"/>
        </w:rPr>
        <w:t xml:space="preserve"> </w:t>
      </w:r>
      <w:r w:rsidR="00992FD5">
        <w:rPr>
          <w:rFonts w:eastAsia="Times New Roman"/>
          <w:sz w:val="24"/>
          <w:szCs w:val="24"/>
          <w:lang w:eastAsia="es-ES"/>
        </w:rPr>
        <w:t>él quien</w:t>
      </w:r>
      <w:r w:rsidR="00DD1B50">
        <w:rPr>
          <w:rFonts w:eastAsia="Times New Roman"/>
          <w:sz w:val="24"/>
          <w:szCs w:val="24"/>
          <w:lang w:eastAsia="es-ES"/>
        </w:rPr>
        <w:t xml:space="preserve"> ha</w:t>
      </w:r>
      <w:r w:rsidR="0011234E">
        <w:rPr>
          <w:rFonts w:eastAsia="Times New Roman"/>
          <w:sz w:val="24"/>
          <w:szCs w:val="24"/>
          <w:lang w:eastAsia="es-ES"/>
        </w:rPr>
        <w:t>bía</w:t>
      </w:r>
      <w:r w:rsidR="00DD1B50">
        <w:rPr>
          <w:rFonts w:eastAsia="Times New Roman"/>
          <w:sz w:val="24"/>
          <w:szCs w:val="24"/>
          <w:lang w:eastAsia="es-ES"/>
        </w:rPr>
        <w:t xml:space="preserve"> identificado la información con la que no c</w:t>
      </w:r>
      <w:r w:rsidR="0011234E">
        <w:rPr>
          <w:rFonts w:eastAsia="Times New Roman"/>
          <w:sz w:val="24"/>
          <w:szCs w:val="24"/>
          <w:lang w:eastAsia="es-ES"/>
        </w:rPr>
        <w:t>ontaba</w:t>
      </w:r>
      <w:r w:rsidR="00992FD5">
        <w:rPr>
          <w:rFonts w:eastAsia="Times New Roman"/>
          <w:sz w:val="24"/>
          <w:szCs w:val="24"/>
          <w:lang w:eastAsia="es-ES"/>
        </w:rPr>
        <w:t xml:space="preserve">, y que </w:t>
      </w:r>
      <w:r w:rsidR="00845F51">
        <w:rPr>
          <w:rFonts w:eastAsia="Times New Roman"/>
          <w:sz w:val="24"/>
          <w:szCs w:val="24"/>
          <w:lang w:eastAsia="es-ES"/>
        </w:rPr>
        <w:t>resulta</w:t>
      </w:r>
      <w:r w:rsidR="0011234E">
        <w:rPr>
          <w:rFonts w:eastAsia="Times New Roman"/>
          <w:sz w:val="24"/>
          <w:szCs w:val="24"/>
          <w:lang w:eastAsia="es-ES"/>
        </w:rPr>
        <w:t>ba</w:t>
      </w:r>
      <w:r w:rsidR="00992FD5">
        <w:rPr>
          <w:rFonts w:eastAsia="Times New Roman"/>
          <w:sz w:val="24"/>
          <w:szCs w:val="24"/>
          <w:lang w:eastAsia="es-ES"/>
        </w:rPr>
        <w:t xml:space="preserve"> relevante</w:t>
      </w:r>
      <w:r w:rsidR="00DD1B50">
        <w:rPr>
          <w:rFonts w:eastAsia="Times New Roman"/>
          <w:sz w:val="24"/>
          <w:szCs w:val="24"/>
          <w:lang w:eastAsia="es-ES"/>
        </w:rPr>
        <w:t xml:space="preserve"> para poder rendir el dictamen pericial de parte</w:t>
      </w:r>
      <w:r w:rsidR="00992FD5">
        <w:rPr>
          <w:rFonts w:eastAsia="Times New Roman"/>
          <w:sz w:val="24"/>
          <w:szCs w:val="24"/>
          <w:lang w:eastAsia="es-ES"/>
        </w:rPr>
        <w:t xml:space="preserve"> que la convocante </w:t>
      </w:r>
      <w:r w:rsidR="00331B20">
        <w:rPr>
          <w:rFonts w:eastAsia="Times New Roman"/>
          <w:sz w:val="24"/>
          <w:szCs w:val="24"/>
          <w:lang w:eastAsia="es-ES"/>
        </w:rPr>
        <w:t>pretend</w:t>
      </w:r>
      <w:r w:rsidR="0011234E">
        <w:rPr>
          <w:rFonts w:eastAsia="Times New Roman"/>
          <w:sz w:val="24"/>
          <w:szCs w:val="24"/>
          <w:lang w:eastAsia="es-ES"/>
        </w:rPr>
        <w:t>ía</w:t>
      </w:r>
      <w:r w:rsidR="00331B20">
        <w:rPr>
          <w:rFonts w:eastAsia="Times New Roman"/>
          <w:sz w:val="24"/>
          <w:szCs w:val="24"/>
          <w:lang w:eastAsia="es-ES"/>
        </w:rPr>
        <w:t xml:space="preserve"> </w:t>
      </w:r>
      <w:r w:rsidR="00992FD5">
        <w:rPr>
          <w:rFonts w:eastAsia="Times New Roman"/>
          <w:sz w:val="24"/>
          <w:szCs w:val="24"/>
          <w:lang w:eastAsia="es-ES"/>
        </w:rPr>
        <w:t>presentar</w:t>
      </w:r>
      <w:r w:rsidR="00331B20">
        <w:rPr>
          <w:rFonts w:eastAsia="Times New Roman"/>
          <w:sz w:val="24"/>
          <w:szCs w:val="24"/>
          <w:lang w:eastAsia="es-ES"/>
        </w:rPr>
        <w:t xml:space="preserve"> co</w:t>
      </w:r>
      <w:r w:rsidR="0011234E">
        <w:rPr>
          <w:rFonts w:eastAsia="Times New Roman"/>
          <w:sz w:val="24"/>
          <w:szCs w:val="24"/>
          <w:lang w:eastAsia="es-ES"/>
        </w:rPr>
        <w:t>mo</w:t>
      </w:r>
      <w:r w:rsidR="00331B20">
        <w:rPr>
          <w:rFonts w:eastAsia="Times New Roman"/>
          <w:sz w:val="24"/>
          <w:szCs w:val="24"/>
          <w:lang w:eastAsia="es-ES"/>
        </w:rPr>
        <w:t xml:space="preserve"> sustento en</w:t>
      </w:r>
      <w:r w:rsidR="00992FD5">
        <w:rPr>
          <w:rFonts w:eastAsia="Times New Roman"/>
          <w:sz w:val="24"/>
          <w:szCs w:val="24"/>
          <w:lang w:eastAsia="es-ES"/>
        </w:rPr>
        <w:t xml:space="preserve"> una reforma a la demanda</w:t>
      </w:r>
      <w:r w:rsidR="00DD1B50">
        <w:rPr>
          <w:rFonts w:eastAsia="Times New Roman"/>
          <w:sz w:val="24"/>
          <w:szCs w:val="24"/>
          <w:lang w:eastAsia="es-ES"/>
        </w:rPr>
        <w:t>.</w:t>
      </w:r>
    </w:p>
    <w:p w14:paraId="0643AF45" w14:textId="77777777" w:rsidR="00F36B38" w:rsidRDefault="00F36B38" w:rsidP="00AE19E9">
      <w:pPr>
        <w:spacing w:line="276" w:lineRule="auto"/>
        <w:rPr>
          <w:rFonts w:eastAsia="Times New Roman"/>
          <w:b/>
          <w:sz w:val="24"/>
          <w:szCs w:val="24"/>
          <w:lang w:eastAsia="es-ES"/>
        </w:rPr>
      </w:pPr>
    </w:p>
    <w:p w14:paraId="53A7FC95" w14:textId="7C5D2688" w:rsidR="00992FD5" w:rsidRPr="00A65B0D" w:rsidRDefault="00DD1B50" w:rsidP="00AE19E9">
      <w:pPr>
        <w:spacing w:line="276" w:lineRule="auto"/>
        <w:rPr>
          <w:rFonts w:eastAsia="Times New Roman"/>
          <w:sz w:val="24"/>
          <w:szCs w:val="24"/>
          <w:lang w:eastAsia="es-ES"/>
        </w:rPr>
      </w:pPr>
      <w:r>
        <w:rPr>
          <w:rFonts w:eastAsia="Times New Roman"/>
          <w:sz w:val="24"/>
          <w:szCs w:val="24"/>
          <w:lang w:eastAsia="es-ES"/>
        </w:rPr>
        <w:t xml:space="preserve">De igual manera, con ocasión del proveído No.10 del 27 de enero de 2021, la autoridad contra la que se dirige la solicitud de amparo insistió que </w:t>
      </w:r>
      <w:r w:rsidR="00992FD5">
        <w:rPr>
          <w:rFonts w:eastAsia="Times New Roman"/>
          <w:sz w:val="24"/>
          <w:szCs w:val="24"/>
          <w:lang w:eastAsia="es-ES"/>
        </w:rPr>
        <w:t>era</w:t>
      </w:r>
      <w:r>
        <w:rPr>
          <w:rFonts w:eastAsia="Times New Roman"/>
          <w:sz w:val="24"/>
          <w:szCs w:val="24"/>
          <w:lang w:eastAsia="es-ES"/>
        </w:rPr>
        <w:t xml:space="preserve"> procedente </w:t>
      </w:r>
      <w:r w:rsidR="0011234E">
        <w:rPr>
          <w:rFonts w:eastAsia="Times New Roman"/>
          <w:sz w:val="24"/>
          <w:szCs w:val="24"/>
          <w:lang w:eastAsia="es-ES"/>
        </w:rPr>
        <w:t>d</w:t>
      </w:r>
      <w:r>
        <w:rPr>
          <w:rFonts w:eastAsia="Times New Roman"/>
          <w:sz w:val="24"/>
          <w:szCs w:val="24"/>
          <w:lang w:eastAsia="es-ES"/>
        </w:rPr>
        <w:t xml:space="preserve">ar credibilidad a lo manifestado por el perito, cuando </w:t>
      </w:r>
      <w:r w:rsidR="009E4DBC">
        <w:rPr>
          <w:rFonts w:eastAsia="Times New Roman"/>
          <w:sz w:val="24"/>
          <w:szCs w:val="24"/>
          <w:lang w:eastAsia="es-ES"/>
        </w:rPr>
        <w:t>discrimin</w:t>
      </w:r>
      <w:r w:rsidR="0011234E">
        <w:rPr>
          <w:rFonts w:eastAsia="Times New Roman"/>
          <w:sz w:val="24"/>
          <w:szCs w:val="24"/>
          <w:lang w:eastAsia="es-ES"/>
        </w:rPr>
        <w:t>ó</w:t>
      </w:r>
      <w:r w:rsidR="009E4DBC">
        <w:rPr>
          <w:rFonts w:eastAsia="Times New Roman"/>
          <w:sz w:val="24"/>
          <w:szCs w:val="24"/>
          <w:lang w:eastAsia="es-ES"/>
        </w:rPr>
        <w:t xml:space="preserve"> la información faltante, </w:t>
      </w:r>
      <w:r w:rsidR="00992FD5">
        <w:rPr>
          <w:rFonts w:eastAsia="Times New Roman"/>
          <w:sz w:val="24"/>
          <w:szCs w:val="24"/>
          <w:lang w:eastAsia="es-ES"/>
        </w:rPr>
        <w:lastRenderedPageBreak/>
        <w:t>pues</w:t>
      </w:r>
      <w:r w:rsidR="009E4DBC">
        <w:rPr>
          <w:rFonts w:eastAsia="Times New Roman"/>
          <w:sz w:val="24"/>
          <w:szCs w:val="24"/>
          <w:lang w:eastAsia="es-ES"/>
        </w:rPr>
        <w:t xml:space="preserve"> en ese punto deb</w:t>
      </w:r>
      <w:r w:rsidR="0011234E">
        <w:rPr>
          <w:rFonts w:eastAsia="Times New Roman"/>
          <w:sz w:val="24"/>
          <w:szCs w:val="24"/>
          <w:lang w:eastAsia="es-ES"/>
        </w:rPr>
        <w:t>ía</w:t>
      </w:r>
      <w:r w:rsidR="009E4DBC">
        <w:rPr>
          <w:rFonts w:eastAsia="Times New Roman"/>
          <w:sz w:val="24"/>
          <w:szCs w:val="24"/>
          <w:lang w:eastAsia="es-ES"/>
        </w:rPr>
        <w:t xml:space="preserve"> primar el criterio del experto, quien e</w:t>
      </w:r>
      <w:r w:rsidR="0011234E">
        <w:rPr>
          <w:rFonts w:eastAsia="Times New Roman"/>
          <w:sz w:val="24"/>
          <w:szCs w:val="24"/>
          <w:lang w:eastAsia="es-ES"/>
        </w:rPr>
        <w:t>ra</w:t>
      </w:r>
      <w:r w:rsidR="009E4DBC">
        <w:rPr>
          <w:rFonts w:eastAsia="Times New Roman"/>
          <w:sz w:val="24"/>
          <w:szCs w:val="24"/>
          <w:lang w:eastAsia="es-ES"/>
        </w:rPr>
        <w:t xml:space="preserve"> el llamado a establecer la suficiencia de la información requerida para elaborar el peritaje.</w:t>
      </w:r>
    </w:p>
    <w:p w14:paraId="49E56B2B" w14:textId="77777777" w:rsidR="00992FD5" w:rsidRDefault="00992FD5" w:rsidP="00AE19E9">
      <w:pPr>
        <w:spacing w:line="276" w:lineRule="auto"/>
        <w:rPr>
          <w:rFonts w:eastAsia="Times New Roman"/>
          <w:b/>
          <w:sz w:val="24"/>
          <w:szCs w:val="24"/>
          <w:lang w:eastAsia="es-ES"/>
        </w:rPr>
      </w:pPr>
    </w:p>
    <w:p w14:paraId="6CAE084D" w14:textId="3F369C65" w:rsidR="00992FD5" w:rsidRDefault="009E4DBC" w:rsidP="00992FD5">
      <w:pPr>
        <w:spacing w:line="276" w:lineRule="auto"/>
        <w:rPr>
          <w:rFonts w:eastAsia="Times New Roman"/>
          <w:sz w:val="24"/>
          <w:szCs w:val="24"/>
          <w:lang w:eastAsia="es-ES"/>
        </w:rPr>
      </w:pPr>
      <w:r>
        <w:rPr>
          <w:rFonts w:eastAsia="Times New Roman"/>
          <w:sz w:val="24"/>
          <w:szCs w:val="24"/>
          <w:lang w:eastAsia="es-ES"/>
        </w:rPr>
        <w:t>Visto lo anterior, la Sala e</w:t>
      </w:r>
      <w:r w:rsidR="0011234E">
        <w:rPr>
          <w:rFonts w:eastAsia="Times New Roman"/>
          <w:sz w:val="24"/>
          <w:szCs w:val="24"/>
          <w:lang w:eastAsia="es-ES"/>
        </w:rPr>
        <w:t xml:space="preserve">xtraña en la solicitud de amparo una verdadera exposición de </w:t>
      </w:r>
      <w:r>
        <w:rPr>
          <w:rFonts w:eastAsia="Times New Roman"/>
          <w:sz w:val="24"/>
          <w:szCs w:val="24"/>
          <w:lang w:eastAsia="es-ES"/>
        </w:rPr>
        <w:t>motivos</w:t>
      </w:r>
      <w:r w:rsidR="00455301">
        <w:rPr>
          <w:rFonts w:eastAsia="Times New Roman"/>
          <w:sz w:val="24"/>
          <w:szCs w:val="24"/>
          <w:lang w:eastAsia="es-ES"/>
        </w:rPr>
        <w:t>,</w:t>
      </w:r>
      <w:r>
        <w:rPr>
          <w:rFonts w:eastAsia="Times New Roman"/>
          <w:sz w:val="24"/>
          <w:szCs w:val="24"/>
          <w:lang w:eastAsia="es-ES"/>
        </w:rPr>
        <w:t xml:space="preserve"> en términos de lo que la jurisprudencia ha definido como defecto, </w:t>
      </w:r>
      <w:r w:rsidR="0011234E">
        <w:rPr>
          <w:rFonts w:eastAsia="Times New Roman"/>
          <w:sz w:val="24"/>
          <w:szCs w:val="24"/>
          <w:lang w:eastAsia="es-ES"/>
        </w:rPr>
        <w:t>de forma que revele una protesta por la falta de</w:t>
      </w:r>
      <w:r>
        <w:rPr>
          <w:rFonts w:eastAsia="Times New Roman"/>
          <w:sz w:val="24"/>
          <w:szCs w:val="24"/>
          <w:lang w:eastAsia="es-ES"/>
        </w:rPr>
        <w:t xml:space="preserve"> razonabilidad del criterio </w:t>
      </w:r>
      <w:r w:rsidR="0011234E">
        <w:rPr>
          <w:rFonts w:eastAsia="Times New Roman"/>
          <w:sz w:val="24"/>
          <w:szCs w:val="24"/>
          <w:lang w:eastAsia="es-ES"/>
        </w:rPr>
        <w:t>aplicado por</w:t>
      </w:r>
      <w:r w:rsidR="00A65B0D">
        <w:rPr>
          <w:rFonts w:eastAsia="Times New Roman"/>
          <w:sz w:val="24"/>
          <w:szCs w:val="24"/>
          <w:lang w:eastAsia="es-ES"/>
        </w:rPr>
        <w:t xml:space="preserve"> </w:t>
      </w:r>
      <w:r>
        <w:rPr>
          <w:rFonts w:eastAsia="Times New Roman"/>
          <w:sz w:val="24"/>
          <w:szCs w:val="24"/>
          <w:lang w:eastAsia="es-ES"/>
        </w:rPr>
        <w:t>el Tribunal de Arbitramento para darle validez</w:t>
      </w:r>
      <w:r w:rsidR="00104A4E">
        <w:rPr>
          <w:rFonts w:eastAsia="Times New Roman"/>
          <w:sz w:val="24"/>
          <w:szCs w:val="24"/>
          <w:lang w:eastAsia="es-ES"/>
        </w:rPr>
        <w:t xml:space="preserve"> y </w:t>
      </w:r>
      <w:r w:rsidR="00A65B0D">
        <w:rPr>
          <w:rFonts w:eastAsia="Times New Roman"/>
          <w:sz w:val="24"/>
          <w:szCs w:val="24"/>
          <w:lang w:eastAsia="es-ES"/>
        </w:rPr>
        <w:t>primacía</w:t>
      </w:r>
      <w:r>
        <w:rPr>
          <w:rFonts w:eastAsia="Times New Roman"/>
          <w:sz w:val="24"/>
          <w:szCs w:val="24"/>
          <w:lang w:eastAsia="es-ES"/>
        </w:rPr>
        <w:t xml:space="preserve"> a la información indicada por el perito</w:t>
      </w:r>
      <w:r w:rsidR="00992FD5">
        <w:rPr>
          <w:rFonts w:eastAsia="Times New Roman"/>
          <w:sz w:val="24"/>
          <w:szCs w:val="24"/>
          <w:lang w:eastAsia="es-ES"/>
        </w:rPr>
        <w:t xml:space="preserve"> Julio Villarreal,</w:t>
      </w:r>
      <w:r w:rsidR="00EB79D3">
        <w:rPr>
          <w:rFonts w:eastAsia="Times New Roman"/>
          <w:sz w:val="24"/>
          <w:szCs w:val="24"/>
          <w:lang w:eastAsia="es-ES"/>
        </w:rPr>
        <w:t xml:space="preserve"> limitándose a reiterar los reproches que expuso para sustento d</w:t>
      </w:r>
      <w:r w:rsidR="00992FD5">
        <w:rPr>
          <w:rFonts w:eastAsia="Times New Roman"/>
          <w:sz w:val="24"/>
          <w:szCs w:val="24"/>
          <w:lang w:eastAsia="es-ES"/>
        </w:rPr>
        <w:t>el recurso de reposición interpuesto contra el auto No.</w:t>
      </w:r>
      <w:r w:rsidR="00084A35">
        <w:rPr>
          <w:rFonts w:eastAsia="Times New Roman"/>
          <w:sz w:val="24"/>
          <w:szCs w:val="24"/>
          <w:lang w:eastAsia="es-ES"/>
        </w:rPr>
        <w:t xml:space="preserve"> </w:t>
      </w:r>
      <w:r w:rsidR="00992FD5">
        <w:rPr>
          <w:rFonts w:eastAsia="Times New Roman"/>
          <w:sz w:val="24"/>
          <w:szCs w:val="24"/>
          <w:lang w:eastAsia="es-ES"/>
        </w:rPr>
        <w:t>9</w:t>
      </w:r>
      <w:r w:rsidR="00EB79D3">
        <w:rPr>
          <w:rFonts w:eastAsia="Times New Roman"/>
          <w:sz w:val="24"/>
          <w:szCs w:val="24"/>
          <w:lang w:eastAsia="es-ES"/>
        </w:rPr>
        <w:t xml:space="preserve"> </w:t>
      </w:r>
      <w:r w:rsidR="00A65B0D">
        <w:rPr>
          <w:rFonts w:eastAsia="Times New Roman"/>
          <w:sz w:val="24"/>
          <w:szCs w:val="24"/>
          <w:lang w:eastAsia="es-ES"/>
        </w:rPr>
        <w:t xml:space="preserve">en </w:t>
      </w:r>
      <w:r w:rsidR="00EB79D3">
        <w:rPr>
          <w:rFonts w:eastAsia="Times New Roman"/>
          <w:sz w:val="24"/>
          <w:szCs w:val="24"/>
          <w:lang w:eastAsia="es-ES"/>
        </w:rPr>
        <w:t xml:space="preserve">función de </w:t>
      </w:r>
      <w:r w:rsidR="00A65B0D">
        <w:rPr>
          <w:rFonts w:eastAsia="Times New Roman"/>
          <w:sz w:val="24"/>
          <w:szCs w:val="24"/>
          <w:lang w:eastAsia="es-ES"/>
        </w:rPr>
        <w:t xml:space="preserve">la diferencia </w:t>
      </w:r>
      <w:r w:rsidR="00EB79D3">
        <w:rPr>
          <w:rFonts w:eastAsia="Times New Roman"/>
          <w:sz w:val="24"/>
          <w:szCs w:val="24"/>
          <w:lang w:eastAsia="es-ES"/>
        </w:rPr>
        <w:t>que encontraba entre el</w:t>
      </w:r>
      <w:r w:rsidR="00A65B0D">
        <w:rPr>
          <w:rFonts w:eastAsia="Times New Roman"/>
          <w:sz w:val="24"/>
          <w:szCs w:val="24"/>
          <w:lang w:eastAsia="es-ES"/>
        </w:rPr>
        <w:t xml:space="preserve"> contenido </w:t>
      </w:r>
      <w:r w:rsidR="00EB79D3">
        <w:rPr>
          <w:rFonts w:eastAsia="Times New Roman"/>
          <w:sz w:val="24"/>
          <w:szCs w:val="24"/>
          <w:lang w:eastAsia="es-ES"/>
        </w:rPr>
        <w:t xml:space="preserve">de </w:t>
      </w:r>
      <w:r w:rsidR="00A65B0D">
        <w:rPr>
          <w:rFonts w:eastAsia="Times New Roman"/>
          <w:sz w:val="24"/>
          <w:szCs w:val="24"/>
          <w:lang w:eastAsia="es-ES"/>
        </w:rPr>
        <w:t xml:space="preserve">la información discriminada en el </w:t>
      </w:r>
      <w:r w:rsidR="00EB79D3">
        <w:rPr>
          <w:rFonts w:eastAsia="Times New Roman"/>
          <w:sz w:val="24"/>
          <w:szCs w:val="24"/>
          <w:lang w:eastAsia="es-ES"/>
        </w:rPr>
        <w:t>escrito</w:t>
      </w:r>
      <w:r w:rsidR="00A65B0D">
        <w:rPr>
          <w:rFonts w:eastAsia="Times New Roman"/>
          <w:sz w:val="24"/>
          <w:szCs w:val="24"/>
          <w:lang w:eastAsia="es-ES"/>
        </w:rPr>
        <w:t xml:space="preserve"> de petición y la </w:t>
      </w:r>
      <w:r w:rsidR="00331B20">
        <w:rPr>
          <w:rFonts w:eastAsia="Times New Roman"/>
          <w:sz w:val="24"/>
          <w:szCs w:val="24"/>
          <w:lang w:eastAsia="es-ES"/>
        </w:rPr>
        <w:t>indicada por el experto</w:t>
      </w:r>
      <w:r w:rsidR="00A65B0D">
        <w:rPr>
          <w:rFonts w:eastAsia="Times New Roman"/>
          <w:sz w:val="24"/>
          <w:szCs w:val="24"/>
          <w:lang w:eastAsia="es-ES"/>
        </w:rPr>
        <w:t>. Así las cosas, la Sala</w:t>
      </w:r>
      <w:r w:rsidR="00992FD5">
        <w:rPr>
          <w:rFonts w:eastAsia="Times New Roman"/>
          <w:sz w:val="24"/>
          <w:szCs w:val="24"/>
          <w:lang w:eastAsia="es-ES"/>
        </w:rPr>
        <w:t xml:space="preserve"> </w:t>
      </w:r>
      <w:r w:rsidR="00A65B0D">
        <w:rPr>
          <w:rFonts w:eastAsia="Times New Roman"/>
          <w:sz w:val="24"/>
          <w:szCs w:val="24"/>
          <w:lang w:eastAsia="es-ES"/>
        </w:rPr>
        <w:t xml:space="preserve">declarará improcedente la acción de tutela, respecto de estos cargos, por no superar la relevancia constitucional, pues </w:t>
      </w:r>
      <w:r w:rsidR="00331B20">
        <w:rPr>
          <w:rFonts w:eastAsia="Times New Roman"/>
          <w:sz w:val="24"/>
          <w:szCs w:val="24"/>
          <w:lang w:eastAsia="es-ES"/>
        </w:rPr>
        <w:t>l</w:t>
      </w:r>
      <w:r w:rsidR="00EB79D3">
        <w:rPr>
          <w:rFonts w:eastAsia="Times New Roman"/>
          <w:sz w:val="24"/>
          <w:szCs w:val="24"/>
          <w:lang w:eastAsia="es-ES"/>
        </w:rPr>
        <w:t xml:space="preserve">os encuentra encaminados a procurar la reapertura de </w:t>
      </w:r>
      <w:r w:rsidR="00A65B0D">
        <w:rPr>
          <w:rFonts w:eastAsia="Times New Roman"/>
          <w:sz w:val="24"/>
          <w:szCs w:val="24"/>
          <w:lang w:eastAsia="es-ES"/>
        </w:rPr>
        <w:t>la discusión sobre un asunto que el juez arbitral ya definió bajo una carga argumentativa espec</w:t>
      </w:r>
      <w:r w:rsidR="006C031C">
        <w:rPr>
          <w:rFonts w:eastAsia="Times New Roman"/>
          <w:sz w:val="24"/>
          <w:szCs w:val="24"/>
          <w:lang w:eastAsia="es-ES"/>
        </w:rPr>
        <w:t>í</w:t>
      </w:r>
      <w:r w:rsidR="00A65B0D">
        <w:rPr>
          <w:rFonts w:eastAsia="Times New Roman"/>
          <w:sz w:val="24"/>
          <w:szCs w:val="24"/>
          <w:lang w:eastAsia="es-ES"/>
        </w:rPr>
        <w:t>fica.</w:t>
      </w:r>
    </w:p>
    <w:p w14:paraId="692D1BB8" w14:textId="08AF2C73" w:rsidR="00104A4E" w:rsidRDefault="00104A4E" w:rsidP="00AE19E9">
      <w:pPr>
        <w:spacing w:line="276" w:lineRule="auto"/>
        <w:rPr>
          <w:rFonts w:eastAsia="Times New Roman"/>
          <w:sz w:val="24"/>
          <w:szCs w:val="24"/>
          <w:lang w:eastAsia="es-ES"/>
        </w:rPr>
      </w:pPr>
    </w:p>
    <w:p w14:paraId="4021F513" w14:textId="5F1E3921" w:rsidR="00705AE5" w:rsidRDefault="00980965" w:rsidP="00AE19E9">
      <w:pPr>
        <w:spacing w:line="276" w:lineRule="auto"/>
        <w:rPr>
          <w:rFonts w:eastAsia="Times New Roman"/>
          <w:sz w:val="24"/>
          <w:szCs w:val="24"/>
          <w:lang w:eastAsia="es-ES"/>
        </w:rPr>
      </w:pPr>
      <w:r>
        <w:rPr>
          <w:rFonts w:eastAsia="Times New Roman"/>
          <w:b/>
          <w:sz w:val="24"/>
          <w:szCs w:val="24"/>
          <w:lang w:eastAsia="es-ES"/>
        </w:rPr>
        <w:t>2.</w:t>
      </w:r>
      <w:r w:rsidR="00705AE5">
        <w:rPr>
          <w:rFonts w:eastAsia="Times New Roman"/>
          <w:b/>
          <w:sz w:val="24"/>
          <w:szCs w:val="24"/>
          <w:lang w:eastAsia="es-ES"/>
        </w:rPr>
        <w:t xml:space="preserve">2.3.2. </w:t>
      </w:r>
      <w:r w:rsidR="00104A4E">
        <w:rPr>
          <w:rFonts w:eastAsia="Times New Roman"/>
          <w:sz w:val="24"/>
          <w:szCs w:val="24"/>
          <w:lang w:eastAsia="es-ES"/>
        </w:rPr>
        <w:t xml:space="preserve">Por otro lado, </w:t>
      </w:r>
      <w:r w:rsidR="00104A4E" w:rsidRPr="00705AE5">
        <w:rPr>
          <w:rFonts w:eastAsia="Times New Roman"/>
          <w:sz w:val="24"/>
          <w:szCs w:val="24"/>
          <w:lang w:eastAsia="es-ES"/>
        </w:rPr>
        <w:t>l</w:t>
      </w:r>
      <w:r w:rsidR="00FA61FB">
        <w:rPr>
          <w:rFonts w:eastAsia="Times New Roman"/>
          <w:sz w:val="24"/>
          <w:szCs w:val="24"/>
          <w:lang w:eastAsia="es-ES"/>
        </w:rPr>
        <w:t xml:space="preserve">a accionante </w:t>
      </w:r>
      <w:r w:rsidR="005A5FE4">
        <w:rPr>
          <w:rFonts w:eastAsia="Times New Roman"/>
          <w:sz w:val="24"/>
          <w:szCs w:val="24"/>
          <w:lang w:eastAsia="es-ES"/>
        </w:rPr>
        <w:t>manifiesta</w:t>
      </w:r>
      <w:r w:rsidR="00FA61FB">
        <w:rPr>
          <w:rFonts w:eastAsia="Times New Roman"/>
          <w:sz w:val="24"/>
          <w:szCs w:val="24"/>
          <w:lang w:eastAsia="es-ES"/>
        </w:rPr>
        <w:t xml:space="preserve"> que el Tri</w:t>
      </w:r>
      <w:r w:rsidR="00104A4E">
        <w:rPr>
          <w:rFonts w:eastAsia="Times New Roman"/>
          <w:sz w:val="24"/>
          <w:szCs w:val="24"/>
          <w:lang w:eastAsia="es-ES"/>
        </w:rPr>
        <w:t>bunal de Arbitramento vulnera su</w:t>
      </w:r>
      <w:r w:rsidR="00FA61FB">
        <w:rPr>
          <w:rFonts w:eastAsia="Times New Roman"/>
          <w:sz w:val="24"/>
          <w:szCs w:val="24"/>
          <w:lang w:eastAsia="es-ES"/>
        </w:rPr>
        <w:t xml:space="preserve"> derecho al </w:t>
      </w:r>
      <w:r w:rsidR="00FA61FB" w:rsidRPr="00355250">
        <w:rPr>
          <w:rFonts w:eastAsia="Times New Roman"/>
          <w:i/>
          <w:sz w:val="24"/>
          <w:szCs w:val="24"/>
          <w:lang w:eastAsia="es-ES"/>
        </w:rPr>
        <w:t>habeas data</w:t>
      </w:r>
      <w:r w:rsidR="00FA61FB">
        <w:rPr>
          <w:rFonts w:eastAsia="Times New Roman"/>
          <w:sz w:val="24"/>
          <w:szCs w:val="24"/>
          <w:lang w:eastAsia="es-ES"/>
        </w:rPr>
        <w:t xml:space="preserve">, al permitir </w:t>
      </w:r>
      <w:r w:rsidR="00E06DCA">
        <w:rPr>
          <w:rFonts w:eastAsia="Times New Roman"/>
          <w:sz w:val="24"/>
          <w:szCs w:val="24"/>
          <w:lang w:eastAsia="es-ES"/>
        </w:rPr>
        <w:t xml:space="preserve">que CEDELCA </w:t>
      </w:r>
      <w:r w:rsidR="00705AE5">
        <w:rPr>
          <w:rFonts w:eastAsia="Times New Roman"/>
          <w:sz w:val="24"/>
          <w:szCs w:val="24"/>
          <w:lang w:eastAsia="es-ES"/>
        </w:rPr>
        <w:t>acceda</w:t>
      </w:r>
      <w:r w:rsidR="00A65B0D">
        <w:rPr>
          <w:rFonts w:eastAsia="Times New Roman"/>
          <w:sz w:val="24"/>
          <w:szCs w:val="24"/>
          <w:lang w:eastAsia="es-ES"/>
        </w:rPr>
        <w:t xml:space="preserve"> a</w:t>
      </w:r>
      <w:r w:rsidR="00705AE5">
        <w:rPr>
          <w:rFonts w:eastAsia="Times New Roman"/>
          <w:sz w:val="24"/>
          <w:szCs w:val="24"/>
          <w:lang w:eastAsia="es-ES"/>
        </w:rPr>
        <w:t xml:space="preserve"> información</w:t>
      </w:r>
      <w:r w:rsidR="00E06DCA">
        <w:rPr>
          <w:rFonts w:eastAsia="Times New Roman"/>
          <w:sz w:val="24"/>
          <w:szCs w:val="24"/>
          <w:lang w:eastAsia="es-ES"/>
        </w:rPr>
        <w:t xml:space="preserve"> que contiene datos personales de</w:t>
      </w:r>
      <w:r w:rsidR="00A65B0D">
        <w:rPr>
          <w:rFonts w:eastAsia="Times New Roman"/>
          <w:sz w:val="24"/>
          <w:szCs w:val="24"/>
          <w:lang w:eastAsia="es-ES"/>
        </w:rPr>
        <w:t xml:space="preserve"> </w:t>
      </w:r>
      <w:r w:rsidR="005A5FE4">
        <w:rPr>
          <w:rFonts w:eastAsia="Times New Roman"/>
          <w:sz w:val="24"/>
          <w:szCs w:val="24"/>
          <w:lang w:eastAsia="es-ES"/>
        </w:rPr>
        <w:t>sus usuarios</w:t>
      </w:r>
      <w:r w:rsidR="00E06DCA">
        <w:rPr>
          <w:rFonts w:eastAsia="Times New Roman"/>
          <w:sz w:val="24"/>
          <w:szCs w:val="24"/>
          <w:lang w:eastAsia="es-ES"/>
        </w:rPr>
        <w:t>, quienes no han autorizado la circulación</w:t>
      </w:r>
      <w:r w:rsidR="00A65B0D">
        <w:rPr>
          <w:rFonts w:eastAsia="Times New Roman"/>
          <w:sz w:val="24"/>
          <w:szCs w:val="24"/>
          <w:lang w:eastAsia="es-ES"/>
        </w:rPr>
        <w:t xml:space="preserve"> de aquello</w:t>
      </w:r>
      <w:r w:rsidR="00521CAD">
        <w:rPr>
          <w:rFonts w:eastAsia="Times New Roman"/>
          <w:sz w:val="24"/>
          <w:szCs w:val="24"/>
          <w:lang w:eastAsia="es-ES"/>
        </w:rPr>
        <w:t>s</w:t>
      </w:r>
      <w:r w:rsidR="00E06DCA">
        <w:rPr>
          <w:rFonts w:eastAsia="Times New Roman"/>
          <w:sz w:val="24"/>
          <w:szCs w:val="24"/>
          <w:lang w:eastAsia="es-ES"/>
        </w:rPr>
        <w:t xml:space="preserve"> a terceros. Como puede destacarse, esta es una de las glosas con las que la </w:t>
      </w:r>
      <w:r w:rsidR="00AC79C3">
        <w:rPr>
          <w:rFonts w:eastAsia="Times New Roman"/>
          <w:sz w:val="24"/>
          <w:szCs w:val="24"/>
          <w:lang w:eastAsia="es-ES"/>
        </w:rPr>
        <w:t>sociedad</w:t>
      </w:r>
      <w:r w:rsidR="00E06DCA">
        <w:rPr>
          <w:rFonts w:eastAsia="Times New Roman"/>
          <w:sz w:val="24"/>
          <w:szCs w:val="24"/>
          <w:lang w:eastAsia="es-ES"/>
        </w:rPr>
        <w:t xml:space="preserve"> actora </w:t>
      </w:r>
      <w:r w:rsidR="00845F51">
        <w:rPr>
          <w:rFonts w:eastAsia="Times New Roman"/>
          <w:sz w:val="24"/>
          <w:szCs w:val="24"/>
          <w:lang w:eastAsia="es-ES"/>
        </w:rPr>
        <w:t>ha pretendido, durante todo el trámite arbitral,</w:t>
      </w:r>
      <w:r w:rsidR="00E06DCA">
        <w:rPr>
          <w:rFonts w:eastAsia="Times New Roman"/>
          <w:sz w:val="24"/>
          <w:szCs w:val="24"/>
          <w:lang w:eastAsia="es-ES"/>
        </w:rPr>
        <w:t xml:space="preserve"> </w:t>
      </w:r>
      <w:r w:rsidR="00845F51">
        <w:rPr>
          <w:rFonts w:eastAsia="Times New Roman"/>
          <w:sz w:val="24"/>
          <w:szCs w:val="24"/>
          <w:lang w:eastAsia="es-ES"/>
        </w:rPr>
        <w:t>justificar</w:t>
      </w:r>
      <w:r w:rsidR="005A5FE4">
        <w:rPr>
          <w:rFonts w:eastAsia="Times New Roman"/>
          <w:sz w:val="24"/>
          <w:szCs w:val="24"/>
          <w:lang w:eastAsia="es-ES"/>
        </w:rPr>
        <w:t xml:space="preserve"> la imposibilidad de entregar una parte de</w:t>
      </w:r>
      <w:r w:rsidR="00E06DCA">
        <w:rPr>
          <w:rFonts w:eastAsia="Times New Roman"/>
          <w:sz w:val="24"/>
          <w:szCs w:val="24"/>
          <w:lang w:eastAsia="es-ES"/>
        </w:rPr>
        <w:t xml:space="preserve"> </w:t>
      </w:r>
      <w:r w:rsidR="005A5FE4">
        <w:rPr>
          <w:rFonts w:eastAsia="Times New Roman"/>
          <w:sz w:val="24"/>
          <w:szCs w:val="24"/>
          <w:lang w:eastAsia="es-ES"/>
        </w:rPr>
        <w:t xml:space="preserve">las bases de datos requeridas por CEDELCA en el trámite arbitral, </w:t>
      </w:r>
      <w:r w:rsidR="00331B20">
        <w:rPr>
          <w:rFonts w:eastAsia="Times New Roman"/>
          <w:sz w:val="24"/>
          <w:szCs w:val="24"/>
          <w:lang w:eastAsia="es-ES"/>
        </w:rPr>
        <w:t>por tener el carácter de</w:t>
      </w:r>
      <w:r w:rsidR="005A5FE4">
        <w:rPr>
          <w:rFonts w:eastAsia="Times New Roman"/>
          <w:sz w:val="24"/>
          <w:szCs w:val="24"/>
          <w:lang w:eastAsia="es-ES"/>
        </w:rPr>
        <w:t xml:space="preserve"> reserva.</w:t>
      </w:r>
    </w:p>
    <w:p w14:paraId="4C05D295" w14:textId="77777777" w:rsidR="00705AE5" w:rsidRDefault="00705AE5" w:rsidP="00AE19E9">
      <w:pPr>
        <w:spacing w:line="276" w:lineRule="auto"/>
        <w:rPr>
          <w:rFonts w:eastAsia="Times New Roman"/>
          <w:sz w:val="24"/>
          <w:szCs w:val="24"/>
          <w:lang w:eastAsia="es-ES"/>
        </w:rPr>
      </w:pPr>
    </w:p>
    <w:p w14:paraId="63C0194C" w14:textId="3E7146A4" w:rsidR="00EA6751" w:rsidRDefault="00AC79C3" w:rsidP="00AE19E9">
      <w:pPr>
        <w:spacing w:line="276" w:lineRule="auto"/>
        <w:rPr>
          <w:rFonts w:eastAsia="Times New Roman"/>
          <w:sz w:val="24"/>
          <w:szCs w:val="24"/>
          <w:lang w:eastAsia="es-ES"/>
        </w:rPr>
      </w:pPr>
      <w:r>
        <w:rPr>
          <w:rFonts w:eastAsia="Times New Roman"/>
          <w:sz w:val="24"/>
          <w:szCs w:val="24"/>
          <w:lang w:eastAsia="es-ES"/>
        </w:rPr>
        <w:t xml:space="preserve">Como respuesta a este asunto, en la providencia objeto de </w:t>
      </w:r>
      <w:r w:rsidR="00EA6751">
        <w:rPr>
          <w:rFonts w:eastAsia="Times New Roman"/>
          <w:sz w:val="24"/>
          <w:szCs w:val="24"/>
          <w:lang w:eastAsia="es-ES"/>
        </w:rPr>
        <w:t>r</w:t>
      </w:r>
      <w:r>
        <w:rPr>
          <w:rFonts w:eastAsia="Times New Roman"/>
          <w:sz w:val="24"/>
          <w:szCs w:val="24"/>
          <w:lang w:eastAsia="es-ES"/>
        </w:rPr>
        <w:t>eproche constitucional</w:t>
      </w:r>
      <w:r w:rsidR="00EA6751">
        <w:rPr>
          <w:rFonts w:eastAsia="Times New Roman"/>
          <w:sz w:val="24"/>
          <w:szCs w:val="24"/>
          <w:lang w:eastAsia="es-ES"/>
        </w:rPr>
        <w:t xml:space="preserve"> en este trámite, </w:t>
      </w:r>
      <w:r>
        <w:rPr>
          <w:rFonts w:eastAsia="Times New Roman"/>
          <w:sz w:val="24"/>
          <w:szCs w:val="24"/>
          <w:lang w:eastAsia="es-ES"/>
        </w:rPr>
        <w:t>el Tribunal de Arbitramento</w:t>
      </w:r>
      <w:r w:rsidR="00EA6751">
        <w:rPr>
          <w:rFonts w:eastAsia="Times New Roman"/>
          <w:sz w:val="24"/>
          <w:szCs w:val="24"/>
          <w:lang w:eastAsia="es-ES"/>
        </w:rPr>
        <w:t xml:space="preserve"> le advirtió al perito de CEDELCA que solo podía extraer</w:t>
      </w:r>
      <w:r w:rsidR="00EB79D3">
        <w:rPr>
          <w:rFonts w:eastAsia="Times New Roman"/>
          <w:sz w:val="24"/>
          <w:szCs w:val="24"/>
          <w:lang w:eastAsia="es-ES"/>
        </w:rPr>
        <w:t xml:space="preserve"> la</w:t>
      </w:r>
      <w:r w:rsidR="00EA6751">
        <w:rPr>
          <w:rFonts w:eastAsia="Times New Roman"/>
          <w:sz w:val="24"/>
          <w:szCs w:val="24"/>
          <w:lang w:eastAsia="es-ES"/>
        </w:rPr>
        <w:t xml:space="preserve"> información </w:t>
      </w:r>
      <w:r w:rsidR="00EB79D3">
        <w:rPr>
          <w:rFonts w:eastAsia="Times New Roman"/>
          <w:sz w:val="24"/>
          <w:szCs w:val="24"/>
          <w:lang w:eastAsia="es-ES"/>
        </w:rPr>
        <w:t>estrict</w:t>
      </w:r>
      <w:r w:rsidR="00EA6751">
        <w:rPr>
          <w:rFonts w:eastAsia="Times New Roman"/>
          <w:sz w:val="24"/>
          <w:szCs w:val="24"/>
          <w:lang w:eastAsia="es-ES"/>
        </w:rPr>
        <w:t xml:space="preserve">amente necesaria para la elaboración del peritaje y para el </w:t>
      </w:r>
      <w:r w:rsidR="00331B20">
        <w:rPr>
          <w:rFonts w:eastAsia="Times New Roman"/>
          <w:sz w:val="24"/>
          <w:szCs w:val="24"/>
          <w:lang w:eastAsia="es-ES"/>
        </w:rPr>
        <w:t>proceso</w:t>
      </w:r>
      <w:r w:rsidR="00EA6751">
        <w:rPr>
          <w:rFonts w:eastAsia="Times New Roman"/>
          <w:sz w:val="24"/>
          <w:szCs w:val="24"/>
          <w:lang w:eastAsia="es-ES"/>
        </w:rPr>
        <w:t xml:space="preserve"> arbitral. La que no correspondiera a ello, en el decir de los árbitros, no podía ser analizada y debía ser de</w:t>
      </w:r>
      <w:r w:rsidR="006A2F4F">
        <w:rPr>
          <w:rFonts w:eastAsia="Times New Roman"/>
          <w:sz w:val="24"/>
          <w:szCs w:val="24"/>
          <w:lang w:eastAsia="es-ES"/>
        </w:rPr>
        <w:t>vuelta de manera inmediata a la</w:t>
      </w:r>
      <w:r w:rsidR="00331B20">
        <w:rPr>
          <w:rFonts w:eastAsia="Times New Roman"/>
          <w:sz w:val="24"/>
          <w:szCs w:val="24"/>
          <w:lang w:eastAsia="es-ES"/>
        </w:rPr>
        <w:t xml:space="preserve"> parte </w:t>
      </w:r>
      <w:r w:rsidR="00EA6751">
        <w:rPr>
          <w:rFonts w:eastAsia="Times New Roman"/>
          <w:sz w:val="24"/>
          <w:szCs w:val="24"/>
          <w:lang w:eastAsia="es-ES"/>
        </w:rPr>
        <w:t>convocada. Todo lo anterior, indicó, con</w:t>
      </w:r>
      <w:r w:rsidR="00EA6751" w:rsidRPr="00EA6751">
        <w:rPr>
          <w:rFonts w:eastAsia="Times New Roman"/>
          <w:sz w:val="24"/>
          <w:szCs w:val="24"/>
          <w:lang w:eastAsia="es-ES"/>
        </w:rPr>
        <w:t xml:space="preserve"> </w:t>
      </w:r>
      <w:r w:rsidR="00EA6751">
        <w:rPr>
          <w:rFonts w:eastAsia="Times New Roman"/>
          <w:sz w:val="24"/>
          <w:szCs w:val="24"/>
          <w:lang w:eastAsia="es-ES"/>
        </w:rPr>
        <w:t>el propósito de garantizar la protección de la información específica de CEO.</w:t>
      </w:r>
    </w:p>
    <w:p w14:paraId="187C5B34" w14:textId="47819B70" w:rsidR="00EA6751" w:rsidRDefault="00EA6751" w:rsidP="00AE19E9">
      <w:pPr>
        <w:spacing w:line="276" w:lineRule="auto"/>
        <w:rPr>
          <w:rFonts w:eastAsia="Times New Roman"/>
          <w:sz w:val="24"/>
          <w:szCs w:val="24"/>
          <w:lang w:eastAsia="es-ES"/>
        </w:rPr>
      </w:pPr>
    </w:p>
    <w:p w14:paraId="33B850A4" w14:textId="1AAFD2BA" w:rsidR="00EA6751" w:rsidRDefault="00EA6751" w:rsidP="000E55AF">
      <w:pPr>
        <w:spacing w:line="276" w:lineRule="auto"/>
        <w:rPr>
          <w:rFonts w:eastAsia="Times New Roman"/>
          <w:sz w:val="24"/>
          <w:szCs w:val="24"/>
          <w:lang w:eastAsia="es-ES"/>
        </w:rPr>
      </w:pPr>
      <w:r>
        <w:rPr>
          <w:rFonts w:eastAsia="Times New Roman"/>
          <w:sz w:val="24"/>
          <w:szCs w:val="24"/>
          <w:lang w:eastAsia="es-ES"/>
        </w:rPr>
        <w:t>Tampoco puede pasarse por alto que,</w:t>
      </w:r>
      <w:r w:rsidRPr="00EA6751">
        <w:rPr>
          <w:bCs/>
          <w:sz w:val="24"/>
          <w:szCs w:val="24"/>
        </w:rPr>
        <w:t xml:space="preserve"> </w:t>
      </w:r>
      <w:r>
        <w:rPr>
          <w:bCs/>
          <w:sz w:val="24"/>
          <w:szCs w:val="24"/>
        </w:rPr>
        <w:t>en el auto No.</w:t>
      </w:r>
      <w:r w:rsidR="00084A35">
        <w:rPr>
          <w:bCs/>
          <w:sz w:val="24"/>
          <w:szCs w:val="24"/>
        </w:rPr>
        <w:t xml:space="preserve"> 10 del 27</w:t>
      </w:r>
      <w:r>
        <w:rPr>
          <w:bCs/>
          <w:sz w:val="24"/>
          <w:szCs w:val="24"/>
        </w:rPr>
        <w:t xml:space="preserve"> de enero de 2021, la autoridad arbitral indicó</w:t>
      </w:r>
      <w:r w:rsidR="005A5FE4" w:rsidRPr="005A5FE4">
        <w:rPr>
          <w:bCs/>
          <w:sz w:val="24"/>
          <w:szCs w:val="24"/>
        </w:rPr>
        <w:t xml:space="preserve"> </w:t>
      </w:r>
      <w:r w:rsidR="005A5FE4">
        <w:rPr>
          <w:bCs/>
          <w:sz w:val="24"/>
          <w:szCs w:val="24"/>
        </w:rPr>
        <w:t>que</w:t>
      </w:r>
      <w:r>
        <w:rPr>
          <w:bCs/>
          <w:sz w:val="24"/>
          <w:szCs w:val="24"/>
        </w:rPr>
        <w:t>, respecto de los argumentos relativos a la reserva, la labor del experto estaría restringida</w:t>
      </w:r>
      <w:r w:rsidR="005A5FE4">
        <w:rPr>
          <w:bCs/>
          <w:sz w:val="24"/>
          <w:szCs w:val="24"/>
        </w:rPr>
        <w:t xml:space="preserve"> solo</w:t>
      </w:r>
      <w:r>
        <w:rPr>
          <w:bCs/>
          <w:sz w:val="24"/>
          <w:szCs w:val="24"/>
        </w:rPr>
        <w:t xml:space="preserve"> a lo que corresponde </w:t>
      </w:r>
      <w:r w:rsidR="000E55AF">
        <w:rPr>
          <w:bCs/>
          <w:sz w:val="24"/>
          <w:szCs w:val="24"/>
        </w:rPr>
        <w:t>en la controversia, y</w:t>
      </w:r>
      <w:r w:rsidR="005A5FE4">
        <w:rPr>
          <w:bCs/>
          <w:sz w:val="24"/>
          <w:szCs w:val="24"/>
        </w:rPr>
        <w:t xml:space="preserve"> frente a</w:t>
      </w:r>
      <w:r w:rsidR="000E55AF">
        <w:rPr>
          <w:bCs/>
          <w:sz w:val="24"/>
          <w:szCs w:val="24"/>
        </w:rPr>
        <w:t xml:space="preserve"> todo aquello que fuera ajeno a ella, </w:t>
      </w:r>
      <w:r w:rsidR="00331B20">
        <w:rPr>
          <w:bCs/>
          <w:sz w:val="24"/>
          <w:szCs w:val="24"/>
        </w:rPr>
        <w:t>debía</w:t>
      </w:r>
      <w:r w:rsidR="000E55AF">
        <w:rPr>
          <w:bCs/>
          <w:sz w:val="24"/>
          <w:szCs w:val="24"/>
        </w:rPr>
        <w:t xml:space="preserve"> guardar</w:t>
      </w:r>
      <w:r w:rsidR="006A2F4F">
        <w:rPr>
          <w:bCs/>
          <w:sz w:val="24"/>
          <w:szCs w:val="24"/>
        </w:rPr>
        <w:t>se</w:t>
      </w:r>
      <w:r w:rsidR="000E55AF">
        <w:rPr>
          <w:bCs/>
          <w:sz w:val="24"/>
          <w:szCs w:val="24"/>
        </w:rPr>
        <w:t xml:space="preserve"> reserva al respecto, so pena de ser legamente responsable. Como elemento final, agregó que la limitación impuesta al perito</w:t>
      </w:r>
      <w:r w:rsidR="000E55AF">
        <w:rPr>
          <w:rFonts w:eastAsia="Times New Roman"/>
          <w:sz w:val="24"/>
          <w:szCs w:val="24"/>
          <w:lang w:eastAsia="es-ES"/>
        </w:rPr>
        <w:t xml:space="preserve"> no resulta oponible al carácter reservado de la información requerida, en </w:t>
      </w:r>
      <w:r w:rsidR="006A2F4F">
        <w:rPr>
          <w:rFonts w:eastAsia="Times New Roman"/>
          <w:sz w:val="24"/>
          <w:szCs w:val="24"/>
          <w:lang w:eastAsia="es-ES"/>
        </w:rPr>
        <w:t>el sentido de</w:t>
      </w:r>
      <w:r w:rsidR="000E55AF">
        <w:rPr>
          <w:rFonts w:eastAsia="Times New Roman"/>
          <w:sz w:val="24"/>
          <w:szCs w:val="24"/>
          <w:lang w:eastAsia="es-ES"/>
        </w:rPr>
        <w:t xml:space="preserve"> que ha sido ordenada en virtud de una medida cautelar.</w:t>
      </w:r>
      <w:r w:rsidR="005A5FE4">
        <w:rPr>
          <w:rFonts w:eastAsia="Times New Roman"/>
          <w:sz w:val="24"/>
          <w:szCs w:val="24"/>
          <w:lang w:eastAsia="es-ES"/>
        </w:rPr>
        <w:t xml:space="preserve"> </w:t>
      </w:r>
    </w:p>
    <w:p w14:paraId="455F0CBE" w14:textId="78D7377C" w:rsidR="00DE2610" w:rsidRDefault="00DE2610" w:rsidP="00C70458">
      <w:pPr>
        <w:spacing w:line="276" w:lineRule="auto"/>
        <w:rPr>
          <w:bCs/>
          <w:sz w:val="24"/>
          <w:szCs w:val="24"/>
        </w:rPr>
      </w:pPr>
    </w:p>
    <w:p w14:paraId="48563871" w14:textId="258290CA" w:rsidR="003806D8" w:rsidRDefault="000E55AF" w:rsidP="003806D8">
      <w:pPr>
        <w:spacing w:line="276" w:lineRule="auto"/>
        <w:rPr>
          <w:rFonts w:eastAsia="Times New Roman"/>
          <w:sz w:val="24"/>
          <w:szCs w:val="24"/>
          <w:lang w:eastAsia="es-ES"/>
        </w:rPr>
      </w:pPr>
      <w:r>
        <w:rPr>
          <w:rFonts w:eastAsia="Times New Roman"/>
          <w:sz w:val="24"/>
          <w:szCs w:val="24"/>
          <w:lang w:eastAsia="es-ES"/>
        </w:rPr>
        <w:t xml:space="preserve">A juicio de esta Subsección, lo que puede concluirse del examen </w:t>
      </w:r>
      <w:r w:rsidR="00CF1B2C">
        <w:rPr>
          <w:rFonts w:eastAsia="Times New Roman"/>
          <w:sz w:val="24"/>
          <w:szCs w:val="24"/>
          <w:lang w:eastAsia="es-ES"/>
        </w:rPr>
        <w:t xml:space="preserve">del reproche </w:t>
      </w:r>
      <w:r w:rsidR="005A5FE4">
        <w:rPr>
          <w:rFonts w:eastAsia="Times New Roman"/>
          <w:sz w:val="24"/>
          <w:szCs w:val="24"/>
          <w:lang w:eastAsia="es-ES"/>
        </w:rPr>
        <w:t xml:space="preserve">relacionado con la afectación a la garantía al </w:t>
      </w:r>
      <w:r w:rsidR="005A5FE4">
        <w:rPr>
          <w:rFonts w:eastAsia="Times New Roman"/>
          <w:i/>
          <w:sz w:val="24"/>
          <w:szCs w:val="24"/>
          <w:lang w:eastAsia="es-ES"/>
        </w:rPr>
        <w:t>habeas data</w:t>
      </w:r>
      <w:r w:rsidR="005A5FE4">
        <w:rPr>
          <w:rFonts w:eastAsia="Times New Roman"/>
          <w:sz w:val="24"/>
          <w:szCs w:val="24"/>
          <w:lang w:eastAsia="es-ES"/>
        </w:rPr>
        <w:t>, es la insistencia de CEO</w:t>
      </w:r>
      <w:r w:rsidR="006A2F4F">
        <w:rPr>
          <w:rFonts w:eastAsia="Times New Roman"/>
          <w:sz w:val="24"/>
          <w:szCs w:val="24"/>
          <w:lang w:eastAsia="es-ES"/>
        </w:rPr>
        <w:t xml:space="preserve"> en buscar est</w:t>
      </w:r>
      <w:r w:rsidR="003806D8">
        <w:rPr>
          <w:rFonts w:eastAsia="Times New Roman"/>
          <w:sz w:val="24"/>
          <w:szCs w:val="24"/>
          <w:lang w:eastAsia="es-ES"/>
        </w:rPr>
        <w:t>ablecer</w:t>
      </w:r>
      <w:r w:rsidR="005A5FE4">
        <w:rPr>
          <w:rFonts w:eastAsia="Times New Roman"/>
          <w:sz w:val="24"/>
          <w:szCs w:val="24"/>
          <w:lang w:eastAsia="es-ES"/>
        </w:rPr>
        <w:t xml:space="preserve"> la reserva de cierta información requerida en el derecho de petición del 29 de julio de 2020. Cuestión que, en ningún momento y </w:t>
      </w:r>
      <w:r w:rsidR="00CF1B2C">
        <w:rPr>
          <w:rFonts w:eastAsia="Times New Roman"/>
          <w:sz w:val="24"/>
          <w:szCs w:val="24"/>
          <w:lang w:eastAsia="es-ES"/>
        </w:rPr>
        <w:t xml:space="preserve">en términos de lo que la jurisprudencia </w:t>
      </w:r>
      <w:r w:rsidR="00EB79D3">
        <w:rPr>
          <w:rFonts w:eastAsia="Times New Roman"/>
          <w:sz w:val="24"/>
          <w:szCs w:val="24"/>
          <w:lang w:eastAsia="es-ES"/>
        </w:rPr>
        <w:t>h</w:t>
      </w:r>
      <w:r w:rsidR="00CF1B2C">
        <w:rPr>
          <w:rFonts w:eastAsia="Times New Roman"/>
          <w:sz w:val="24"/>
          <w:szCs w:val="24"/>
          <w:lang w:eastAsia="es-ES"/>
        </w:rPr>
        <w:t xml:space="preserve">a definido como defecto, </w:t>
      </w:r>
      <w:r w:rsidR="003806D8">
        <w:rPr>
          <w:rFonts w:eastAsia="Times New Roman"/>
          <w:sz w:val="24"/>
          <w:szCs w:val="24"/>
          <w:lang w:eastAsia="es-ES"/>
        </w:rPr>
        <w:t>está dirigida a controvertir o desvirtuar</w:t>
      </w:r>
      <w:r w:rsidR="005A5FE4">
        <w:rPr>
          <w:rFonts w:eastAsia="Times New Roman"/>
          <w:sz w:val="24"/>
          <w:szCs w:val="24"/>
          <w:lang w:eastAsia="es-ES"/>
        </w:rPr>
        <w:t xml:space="preserve"> la</w:t>
      </w:r>
      <w:r w:rsidR="00160258">
        <w:rPr>
          <w:rFonts w:eastAsia="Times New Roman"/>
          <w:sz w:val="24"/>
          <w:szCs w:val="24"/>
          <w:lang w:eastAsia="es-ES"/>
        </w:rPr>
        <w:t xml:space="preserve">s </w:t>
      </w:r>
      <w:r w:rsidR="00160258">
        <w:rPr>
          <w:rFonts w:eastAsia="Times New Roman"/>
          <w:sz w:val="24"/>
          <w:szCs w:val="24"/>
          <w:lang w:eastAsia="es-ES"/>
        </w:rPr>
        <w:lastRenderedPageBreak/>
        <w:t xml:space="preserve">razones </w:t>
      </w:r>
      <w:r w:rsidR="005A5FE4">
        <w:rPr>
          <w:rFonts w:eastAsia="Times New Roman"/>
          <w:sz w:val="24"/>
          <w:szCs w:val="24"/>
          <w:lang w:eastAsia="es-ES"/>
        </w:rPr>
        <w:t>que el Tribunal de Arbitramento expresó en los autos No</w:t>
      </w:r>
      <w:r w:rsidR="003806D8">
        <w:rPr>
          <w:rFonts w:eastAsia="Times New Roman"/>
          <w:sz w:val="24"/>
          <w:szCs w:val="24"/>
          <w:lang w:eastAsia="es-ES"/>
        </w:rPr>
        <w:t>s</w:t>
      </w:r>
      <w:r w:rsidR="005A5FE4">
        <w:rPr>
          <w:rFonts w:eastAsia="Times New Roman"/>
          <w:sz w:val="24"/>
          <w:szCs w:val="24"/>
          <w:lang w:eastAsia="es-ES"/>
        </w:rPr>
        <w:t>.</w:t>
      </w:r>
      <w:r w:rsidR="00521CAD">
        <w:rPr>
          <w:rFonts w:eastAsia="Times New Roman"/>
          <w:sz w:val="24"/>
          <w:szCs w:val="24"/>
          <w:lang w:eastAsia="es-ES"/>
        </w:rPr>
        <w:t xml:space="preserve"> </w:t>
      </w:r>
      <w:r w:rsidR="005A5FE4">
        <w:rPr>
          <w:rFonts w:eastAsia="Times New Roman"/>
          <w:sz w:val="24"/>
          <w:szCs w:val="24"/>
          <w:lang w:eastAsia="es-ES"/>
        </w:rPr>
        <w:t>9 y 10</w:t>
      </w:r>
      <w:r w:rsidR="00160258">
        <w:rPr>
          <w:rFonts w:eastAsia="Times New Roman"/>
          <w:sz w:val="24"/>
          <w:szCs w:val="24"/>
          <w:lang w:eastAsia="es-ES"/>
        </w:rPr>
        <w:t>,</w:t>
      </w:r>
      <w:r w:rsidR="006A2F4F">
        <w:rPr>
          <w:rFonts w:eastAsia="Times New Roman"/>
          <w:sz w:val="24"/>
          <w:szCs w:val="24"/>
          <w:lang w:eastAsia="es-ES"/>
        </w:rPr>
        <w:t xml:space="preserve"> para </w:t>
      </w:r>
      <w:r w:rsidR="003806D8">
        <w:rPr>
          <w:rFonts w:eastAsia="Times New Roman"/>
          <w:sz w:val="24"/>
          <w:szCs w:val="24"/>
          <w:lang w:eastAsia="es-ES"/>
        </w:rPr>
        <w:t>colegir</w:t>
      </w:r>
      <w:r w:rsidR="006A2F4F">
        <w:rPr>
          <w:rFonts w:eastAsia="Times New Roman"/>
          <w:sz w:val="24"/>
          <w:szCs w:val="24"/>
          <w:lang w:eastAsia="es-ES"/>
        </w:rPr>
        <w:t xml:space="preserve"> la necesidad de proteger la posible reserva que pudiera haber sobre cierta información, a través de la limitación impuesta a la persona encargada de extraer los datos solicitados</w:t>
      </w:r>
      <w:r w:rsidR="004042D6">
        <w:rPr>
          <w:rFonts w:eastAsia="Times New Roman"/>
          <w:sz w:val="24"/>
          <w:szCs w:val="24"/>
          <w:lang w:eastAsia="es-ES"/>
        </w:rPr>
        <w:t>, objeto de la medida cautelar</w:t>
      </w:r>
      <w:r w:rsidR="006A2F4F">
        <w:rPr>
          <w:rFonts w:eastAsia="Times New Roman"/>
          <w:sz w:val="24"/>
          <w:szCs w:val="24"/>
          <w:lang w:eastAsia="es-ES"/>
        </w:rPr>
        <w:t>.</w:t>
      </w:r>
      <w:r w:rsidR="003806D8">
        <w:rPr>
          <w:rFonts w:eastAsia="Times New Roman"/>
          <w:sz w:val="24"/>
          <w:szCs w:val="24"/>
          <w:lang w:eastAsia="es-ES"/>
        </w:rPr>
        <w:t xml:space="preserve"> </w:t>
      </w:r>
    </w:p>
    <w:p w14:paraId="7413910C" w14:textId="77777777" w:rsidR="00980965" w:rsidRDefault="00980965" w:rsidP="003806D8">
      <w:pPr>
        <w:spacing w:line="276" w:lineRule="auto"/>
        <w:rPr>
          <w:rFonts w:eastAsia="Times New Roman"/>
          <w:sz w:val="24"/>
          <w:szCs w:val="24"/>
          <w:lang w:eastAsia="es-ES"/>
        </w:rPr>
      </w:pPr>
    </w:p>
    <w:p w14:paraId="56309691" w14:textId="1CF95B25" w:rsidR="00A35677" w:rsidRDefault="003806D8" w:rsidP="00DE2610">
      <w:pPr>
        <w:spacing w:line="276" w:lineRule="auto"/>
        <w:rPr>
          <w:rFonts w:eastAsia="Times New Roman"/>
          <w:sz w:val="24"/>
          <w:szCs w:val="24"/>
          <w:lang w:eastAsia="es-ES"/>
        </w:rPr>
      </w:pPr>
      <w:r>
        <w:rPr>
          <w:rFonts w:eastAsia="Times New Roman"/>
          <w:sz w:val="24"/>
          <w:szCs w:val="24"/>
          <w:lang w:eastAsia="es-ES"/>
        </w:rPr>
        <w:t xml:space="preserve">Por lo expuesto, la Sala declarará improcedente el amparo constitucional deprecado, respecto del argumento relacionado con el derecho al </w:t>
      </w:r>
      <w:r w:rsidRPr="00160258">
        <w:rPr>
          <w:rFonts w:eastAsia="Times New Roman"/>
          <w:i/>
          <w:sz w:val="24"/>
          <w:szCs w:val="24"/>
          <w:lang w:eastAsia="es-ES"/>
        </w:rPr>
        <w:t>habeas data</w:t>
      </w:r>
      <w:r>
        <w:rPr>
          <w:rFonts w:eastAsia="Times New Roman"/>
          <w:sz w:val="24"/>
          <w:szCs w:val="24"/>
          <w:lang w:eastAsia="es-ES"/>
        </w:rPr>
        <w:t xml:space="preserve">, por </w:t>
      </w:r>
      <w:r w:rsidR="00845F51">
        <w:rPr>
          <w:rFonts w:eastAsia="Times New Roman"/>
          <w:sz w:val="24"/>
          <w:szCs w:val="24"/>
          <w:lang w:eastAsia="es-ES"/>
        </w:rPr>
        <w:t>carecer de</w:t>
      </w:r>
      <w:r>
        <w:rPr>
          <w:rFonts w:eastAsia="Times New Roman"/>
          <w:sz w:val="24"/>
          <w:szCs w:val="24"/>
          <w:lang w:eastAsia="es-ES"/>
        </w:rPr>
        <w:t xml:space="preserve"> relevancia constitucional, </w:t>
      </w:r>
      <w:r w:rsidR="00161A85">
        <w:rPr>
          <w:rFonts w:eastAsia="Times New Roman"/>
          <w:sz w:val="24"/>
          <w:szCs w:val="24"/>
          <w:lang w:eastAsia="es-ES"/>
        </w:rPr>
        <w:t xml:space="preserve">pues ignora las razones de la decisión contenida en </w:t>
      </w:r>
      <w:r w:rsidR="00160258">
        <w:rPr>
          <w:rFonts w:eastAsia="Times New Roman"/>
          <w:sz w:val="24"/>
          <w:szCs w:val="24"/>
          <w:lang w:eastAsia="es-ES"/>
        </w:rPr>
        <w:t>los</w:t>
      </w:r>
      <w:r w:rsidR="00161A85">
        <w:rPr>
          <w:rFonts w:eastAsia="Times New Roman"/>
          <w:sz w:val="24"/>
          <w:szCs w:val="24"/>
          <w:lang w:eastAsia="es-ES"/>
        </w:rPr>
        <w:t xml:space="preserve"> auto</w:t>
      </w:r>
      <w:r w:rsidR="00160258">
        <w:rPr>
          <w:rFonts w:eastAsia="Times New Roman"/>
          <w:sz w:val="24"/>
          <w:szCs w:val="24"/>
          <w:lang w:eastAsia="es-ES"/>
        </w:rPr>
        <w:t>s</w:t>
      </w:r>
      <w:r w:rsidR="00161A85">
        <w:rPr>
          <w:rFonts w:eastAsia="Times New Roman"/>
          <w:sz w:val="24"/>
          <w:szCs w:val="24"/>
          <w:lang w:eastAsia="es-ES"/>
        </w:rPr>
        <w:t xml:space="preserve"> No</w:t>
      </w:r>
      <w:r>
        <w:rPr>
          <w:rFonts w:eastAsia="Times New Roman"/>
          <w:sz w:val="24"/>
          <w:szCs w:val="24"/>
          <w:lang w:eastAsia="es-ES"/>
        </w:rPr>
        <w:t>s</w:t>
      </w:r>
      <w:r w:rsidR="00161A85">
        <w:rPr>
          <w:rFonts w:eastAsia="Times New Roman"/>
          <w:sz w:val="24"/>
          <w:szCs w:val="24"/>
          <w:lang w:eastAsia="es-ES"/>
        </w:rPr>
        <w:t>.</w:t>
      </w:r>
      <w:r w:rsidR="00521CAD">
        <w:rPr>
          <w:rFonts w:eastAsia="Times New Roman"/>
          <w:sz w:val="24"/>
          <w:szCs w:val="24"/>
          <w:lang w:eastAsia="es-ES"/>
        </w:rPr>
        <w:t xml:space="preserve"> </w:t>
      </w:r>
      <w:r w:rsidR="00161A85">
        <w:rPr>
          <w:rFonts w:eastAsia="Times New Roman"/>
          <w:sz w:val="24"/>
          <w:szCs w:val="24"/>
          <w:lang w:eastAsia="es-ES"/>
        </w:rPr>
        <w:t>9</w:t>
      </w:r>
      <w:r w:rsidR="00160258">
        <w:rPr>
          <w:rFonts w:eastAsia="Times New Roman"/>
          <w:sz w:val="24"/>
          <w:szCs w:val="24"/>
          <w:lang w:eastAsia="es-ES"/>
        </w:rPr>
        <w:t xml:space="preserve"> y 10</w:t>
      </w:r>
      <w:r w:rsidR="00161A85">
        <w:rPr>
          <w:rFonts w:eastAsia="Times New Roman"/>
          <w:sz w:val="24"/>
          <w:szCs w:val="24"/>
          <w:lang w:eastAsia="es-ES"/>
        </w:rPr>
        <w:t xml:space="preserve">, </w:t>
      </w:r>
      <w:r w:rsidR="00845F51">
        <w:rPr>
          <w:rFonts w:eastAsia="Times New Roman"/>
          <w:sz w:val="24"/>
          <w:szCs w:val="24"/>
          <w:lang w:eastAsia="es-ES"/>
        </w:rPr>
        <w:t>que definiero</w:t>
      </w:r>
      <w:r w:rsidR="004042D6">
        <w:rPr>
          <w:rFonts w:eastAsia="Times New Roman"/>
          <w:sz w:val="24"/>
          <w:szCs w:val="24"/>
          <w:lang w:eastAsia="es-ES"/>
        </w:rPr>
        <w:t>n aquel asunto;</w:t>
      </w:r>
      <w:r w:rsidR="00160258">
        <w:rPr>
          <w:rFonts w:eastAsia="Times New Roman"/>
          <w:sz w:val="24"/>
          <w:szCs w:val="24"/>
          <w:lang w:eastAsia="es-ES"/>
        </w:rPr>
        <w:t xml:space="preserve"> </w:t>
      </w:r>
      <w:r w:rsidR="00161A85">
        <w:rPr>
          <w:rFonts w:eastAsia="Times New Roman"/>
          <w:sz w:val="24"/>
          <w:szCs w:val="24"/>
          <w:lang w:eastAsia="es-ES"/>
        </w:rPr>
        <w:t xml:space="preserve">y, por el contrario, </w:t>
      </w:r>
      <w:r w:rsidR="00160258">
        <w:rPr>
          <w:rFonts w:eastAsia="Times New Roman"/>
          <w:sz w:val="24"/>
          <w:szCs w:val="24"/>
          <w:lang w:eastAsia="es-ES"/>
        </w:rPr>
        <w:t>reitera su pretensión de establecer la reserva de cierta información.</w:t>
      </w:r>
    </w:p>
    <w:p w14:paraId="212FDCFB" w14:textId="7B610F9D" w:rsidR="00027850" w:rsidRPr="003537D3" w:rsidRDefault="00027850" w:rsidP="00AE19E9">
      <w:pPr>
        <w:spacing w:line="276" w:lineRule="auto"/>
        <w:rPr>
          <w:rFonts w:eastAsia="Times New Roman"/>
          <w:sz w:val="24"/>
          <w:szCs w:val="24"/>
          <w:lang w:eastAsia="es-CO"/>
        </w:rPr>
      </w:pPr>
    </w:p>
    <w:p w14:paraId="443D4EB8" w14:textId="77777777" w:rsidR="00027850" w:rsidRPr="003537D3" w:rsidRDefault="00027850" w:rsidP="00AE19E9">
      <w:pPr>
        <w:spacing w:line="276" w:lineRule="auto"/>
        <w:rPr>
          <w:rFonts w:eastAsia="Times New Roman"/>
          <w:sz w:val="24"/>
          <w:szCs w:val="24"/>
          <w:lang w:eastAsia="es-CO"/>
        </w:rPr>
      </w:pPr>
      <w:r w:rsidRPr="003537D3">
        <w:rPr>
          <w:rFonts w:eastAsia="Times New Roman"/>
          <w:sz w:val="24"/>
          <w:szCs w:val="24"/>
          <w:lang w:eastAsia="es-CO"/>
        </w:rPr>
        <w:t>En mérito de lo expuesto, el Consejo de Estado en Sala de lo Contencioso Administrativo, Sección Tercera, Subsección C, administrando justicia en nombre de la República y por autoridad de la ley,</w:t>
      </w:r>
    </w:p>
    <w:p w14:paraId="7F01B1E5" w14:textId="77777777" w:rsidR="00027850" w:rsidRPr="003537D3" w:rsidRDefault="00027850" w:rsidP="00AE19E9">
      <w:pPr>
        <w:spacing w:line="276" w:lineRule="auto"/>
        <w:rPr>
          <w:rFonts w:eastAsia="Times New Roman"/>
          <w:sz w:val="24"/>
          <w:szCs w:val="24"/>
          <w:lang w:eastAsia="es-CO"/>
        </w:rPr>
      </w:pPr>
    </w:p>
    <w:p w14:paraId="7F12A236" w14:textId="77777777" w:rsidR="00027850" w:rsidRPr="003537D3" w:rsidRDefault="00027850" w:rsidP="00AE19E9">
      <w:pPr>
        <w:keepNext/>
        <w:spacing w:line="276" w:lineRule="auto"/>
        <w:jc w:val="center"/>
        <w:outlineLvl w:val="2"/>
        <w:rPr>
          <w:rFonts w:eastAsia="Verdana"/>
          <w:b/>
          <w:caps/>
          <w:kern w:val="32"/>
          <w:sz w:val="24"/>
          <w:szCs w:val="24"/>
          <w:lang w:val="es-ES_tradnl"/>
        </w:rPr>
      </w:pPr>
      <w:r w:rsidRPr="003537D3">
        <w:rPr>
          <w:rFonts w:eastAsia="Verdana"/>
          <w:b/>
          <w:caps/>
          <w:kern w:val="32"/>
          <w:sz w:val="24"/>
          <w:szCs w:val="24"/>
          <w:lang w:val="es-ES_tradnl"/>
        </w:rPr>
        <w:t>FALLA</w:t>
      </w:r>
    </w:p>
    <w:p w14:paraId="08E5F3EC" w14:textId="77777777" w:rsidR="00027850" w:rsidRPr="003537D3" w:rsidRDefault="00027850" w:rsidP="00AE19E9">
      <w:pPr>
        <w:keepNext/>
        <w:spacing w:line="276" w:lineRule="auto"/>
        <w:outlineLvl w:val="2"/>
        <w:rPr>
          <w:rFonts w:eastAsia="Verdana"/>
          <w:b/>
          <w:caps/>
          <w:kern w:val="32"/>
          <w:sz w:val="24"/>
          <w:szCs w:val="24"/>
          <w:lang w:val="es-ES_tradnl"/>
        </w:rPr>
      </w:pPr>
    </w:p>
    <w:p w14:paraId="78CB5369" w14:textId="59FFD5D0" w:rsidR="00027850" w:rsidRPr="004106F1" w:rsidRDefault="00027850" w:rsidP="00AE19E9">
      <w:pPr>
        <w:spacing w:line="276" w:lineRule="auto"/>
        <w:rPr>
          <w:rFonts w:eastAsia="Times New Roman"/>
          <w:sz w:val="24"/>
          <w:szCs w:val="24"/>
          <w:lang w:val="es-ES_tradnl"/>
        </w:rPr>
      </w:pPr>
      <w:r w:rsidRPr="003537D3">
        <w:rPr>
          <w:rFonts w:eastAsia="Times New Roman"/>
          <w:b/>
          <w:sz w:val="24"/>
          <w:szCs w:val="24"/>
          <w:lang w:val="es-ES_tradnl"/>
        </w:rPr>
        <w:t xml:space="preserve">PRIMERO: </w:t>
      </w:r>
      <w:r w:rsidR="00E82079" w:rsidRPr="00E82079">
        <w:rPr>
          <w:rFonts w:eastAsia="Times New Roman"/>
          <w:b/>
          <w:sz w:val="24"/>
          <w:szCs w:val="24"/>
          <w:lang w:val="es-ES_tradnl"/>
        </w:rPr>
        <w:t>DECLARAR</w:t>
      </w:r>
      <w:r w:rsidR="004106F1">
        <w:rPr>
          <w:rFonts w:eastAsia="Times New Roman"/>
          <w:b/>
          <w:sz w:val="24"/>
          <w:szCs w:val="24"/>
          <w:lang w:val="es-ES_tradnl"/>
        </w:rPr>
        <w:t xml:space="preserve"> </w:t>
      </w:r>
      <w:r w:rsidR="004106F1">
        <w:rPr>
          <w:rFonts w:eastAsia="Times New Roman"/>
          <w:sz w:val="24"/>
          <w:szCs w:val="24"/>
          <w:lang w:val="es-ES_tradnl"/>
        </w:rPr>
        <w:t xml:space="preserve">improcedente la acción de tutela presentada por </w:t>
      </w:r>
      <w:r w:rsidR="004106F1" w:rsidRPr="004106F1">
        <w:rPr>
          <w:rFonts w:eastAsia="Times New Roman"/>
          <w:bCs/>
          <w:sz w:val="24"/>
          <w:szCs w:val="24"/>
        </w:rPr>
        <w:t>Compañía Energética de Occidente S.A.S. E.S.P.</w:t>
      </w:r>
      <w:r w:rsidR="004106F1">
        <w:rPr>
          <w:rFonts w:eastAsia="Times New Roman"/>
          <w:bCs/>
          <w:sz w:val="24"/>
          <w:szCs w:val="24"/>
        </w:rPr>
        <w:t>, por las razones expuestas.</w:t>
      </w:r>
    </w:p>
    <w:p w14:paraId="2B4BE991" w14:textId="77777777" w:rsidR="00027850" w:rsidRPr="003537D3" w:rsidRDefault="00027850" w:rsidP="00AE19E9">
      <w:pPr>
        <w:spacing w:line="276" w:lineRule="auto"/>
        <w:rPr>
          <w:rFonts w:eastAsia="Times New Roman"/>
          <w:b/>
          <w:sz w:val="24"/>
          <w:szCs w:val="24"/>
          <w:lang w:val="es-ES_tradnl"/>
        </w:rPr>
      </w:pPr>
    </w:p>
    <w:p w14:paraId="1A4C346C" w14:textId="05C5EC68" w:rsidR="00027850" w:rsidRPr="003537D3" w:rsidRDefault="00027850" w:rsidP="00AE19E9">
      <w:pPr>
        <w:spacing w:line="276" w:lineRule="auto"/>
        <w:rPr>
          <w:bCs/>
          <w:sz w:val="24"/>
          <w:szCs w:val="24"/>
          <w:lang w:val="es-ES" w:eastAsia="en-US"/>
        </w:rPr>
      </w:pPr>
      <w:r w:rsidRPr="003537D3">
        <w:rPr>
          <w:rFonts w:eastAsia="Times New Roman"/>
          <w:b/>
          <w:sz w:val="24"/>
          <w:szCs w:val="24"/>
          <w:lang w:val="es-ES_tradnl"/>
        </w:rPr>
        <w:t>SEGUNDO:</w:t>
      </w:r>
      <w:r w:rsidR="00003B92" w:rsidRPr="003537D3">
        <w:rPr>
          <w:rFonts w:eastAsia="Verdana"/>
          <w:b/>
          <w:sz w:val="24"/>
          <w:szCs w:val="24"/>
          <w:lang w:eastAsia="en-US"/>
        </w:rPr>
        <w:t xml:space="preserve"> NOTIFICAR </w:t>
      </w:r>
      <w:r w:rsidR="00003B92" w:rsidRPr="003537D3">
        <w:rPr>
          <w:rFonts w:eastAsia="Verdana"/>
          <w:sz w:val="24"/>
          <w:szCs w:val="24"/>
          <w:lang w:eastAsia="en-US"/>
        </w:rPr>
        <w:t>la presente decisión a las partes y a los interesados, por el medio más expedito.</w:t>
      </w:r>
    </w:p>
    <w:p w14:paraId="1E202D78" w14:textId="77777777" w:rsidR="00027850" w:rsidRPr="003537D3" w:rsidRDefault="00027850" w:rsidP="00AE19E9">
      <w:pPr>
        <w:tabs>
          <w:tab w:val="left" w:pos="851"/>
        </w:tabs>
        <w:spacing w:line="276" w:lineRule="auto"/>
        <w:contextualSpacing/>
        <w:rPr>
          <w:rFonts w:eastAsia="Verdana"/>
          <w:sz w:val="24"/>
          <w:szCs w:val="24"/>
          <w:lang w:val="es-ES_tradnl"/>
        </w:rPr>
      </w:pPr>
    </w:p>
    <w:p w14:paraId="537D0A51" w14:textId="77777777" w:rsidR="00027850" w:rsidRPr="003537D3" w:rsidRDefault="00027850" w:rsidP="00AE19E9">
      <w:pPr>
        <w:spacing w:line="276" w:lineRule="auto"/>
        <w:contextualSpacing/>
        <w:rPr>
          <w:rFonts w:eastAsia="Verdana"/>
          <w:sz w:val="24"/>
          <w:szCs w:val="24"/>
          <w:lang w:eastAsia="en-US"/>
        </w:rPr>
      </w:pPr>
      <w:r w:rsidRPr="003537D3">
        <w:rPr>
          <w:b/>
          <w:sz w:val="24"/>
          <w:szCs w:val="24"/>
          <w:lang w:eastAsia="en-US"/>
        </w:rPr>
        <w:t xml:space="preserve">TERCERO: </w:t>
      </w:r>
      <w:r w:rsidRPr="003537D3">
        <w:rPr>
          <w:rFonts w:eastAsia="Verdana"/>
          <w:b/>
          <w:sz w:val="24"/>
          <w:szCs w:val="24"/>
          <w:lang w:eastAsia="en-US"/>
        </w:rPr>
        <w:t xml:space="preserve">ENVIAR </w:t>
      </w:r>
      <w:r w:rsidRPr="003537D3">
        <w:rPr>
          <w:rFonts w:eastAsia="Verdana"/>
          <w:sz w:val="24"/>
          <w:szCs w:val="24"/>
          <w:lang w:eastAsia="en-US"/>
        </w:rPr>
        <w:t>la presente providencia a la Corte Constitucional para su eventual revisión, en caso de que no fuere impugnada.</w:t>
      </w:r>
    </w:p>
    <w:p w14:paraId="7F01A854" w14:textId="77777777" w:rsidR="00027850" w:rsidRPr="003537D3" w:rsidRDefault="00027850" w:rsidP="00AE19E9">
      <w:pPr>
        <w:spacing w:line="276" w:lineRule="auto"/>
        <w:contextualSpacing/>
        <w:rPr>
          <w:rFonts w:eastAsia="Verdana"/>
          <w:b/>
          <w:sz w:val="24"/>
          <w:szCs w:val="24"/>
          <w:highlight w:val="yellow"/>
        </w:rPr>
      </w:pPr>
    </w:p>
    <w:p w14:paraId="7DA395B9" w14:textId="77777777" w:rsidR="00027850" w:rsidRPr="003537D3" w:rsidRDefault="00027850" w:rsidP="00AE19E9">
      <w:pPr>
        <w:spacing w:line="276" w:lineRule="auto"/>
        <w:contextualSpacing/>
        <w:rPr>
          <w:rFonts w:eastAsia="Verdana"/>
          <w:b/>
          <w:sz w:val="24"/>
          <w:szCs w:val="24"/>
          <w:lang w:val="es-ES_tradnl"/>
        </w:rPr>
      </w:pPr>
      <w:r w:rsidRPr="003537D3">
        <w:rPr>
          <w:rFonts w:eastAsia="Verdana"/>
          <w:b/>
          <w:sz w:val="24"/>
          <w:szCs w:val="24"/>
          <w:lang w:val="es-ES_tradnl"/>
        </w:rPr>
        <w:t>NOTIFÍQUESE Y CÚMPLASE</w:t>
      </w:r>
    </w:p>
    <w:p w14:paraId="07B3DA1D" w14:textId="6E4D9DF4" w:rsidR="00027850" w:rsidRPr="003537D3" w:rsidRDefault="00027850" w:rsidP="00AE19E9">
      <w:pPr>
        <w:spacing w:line="276" w:lineRule="auto"/>
        <w:contextualSpacing/>
        <w:jc w:val="center"/>
        <w:rPr>
          <w:rFonts w:eastAsia="Verdana"/>
          <w:b/>
          <w:sz w:val="24"/>
          <w:szCs w:val="24"/>
          <w:lang w:val="es-ES_tradnl"/>
        </w:rPr>
      </w:pPr>
    </w:p>
    <w:p w14:paraId="32B1811E" w14:textId="77777777" w:rsidR="00003B92" w:rsidRPr="003537D3" w:rsidRDefault="00003B92" w:rsidP="00AE19E9">
      <w:pPr>
        <w:spacing w:line="276" w:lineRule="auto"/>
        <w:contextualSpacing/>
        <w:jc w:val="center"/>
        <w:rPr>
          <w:rFonts w:eastAsia="Verdana"/>
          <w:b/>
          <w:sz w:val="24"/>
          <w:szCs w:val="24"/>
          <w:lang w:val="es-ES_tradnl"/>
        </w:rPr>
      </w:pPr>
    </w:p>
    <w:p w14:paraId="728AC69F" w14:textId="1B5A0DE6" w:rsidR="00027850" w:rsidRPr="003537D3" w:rsidRDefault="00003B92" w:rsidP="00AE19E9">
      <w:pPr>
        <w:spacing w:line="276" w:lineRule="auto"/>
        <w:contextualSpacing/>
        <w:jc w:val="center"/>
        <w:rPr>
          <w:rFonts w:eastAsia="Verdana"/>
          <w:b/>
          <w:sz w:val="24"/>
          <w:szCs w:val="24"/>
          <w:lang w:val="es-ES_tradnl"/>
        </w:rPr>
      </w:pPr>
      <w:r w:rsidRPr="003537D3">
        <w:rPr>
          <w:rFonts w:eastAsia="Verdana"/>
          <w:b/>
          <w:sz w:val="24"/>
          <w:szCs w:val="24"/>
          <w:lang w:val="es-ES_tradnl"/>
        </w:rPr>
        <w:t>JAIME ENRIQUE RODRÍGUEZ NAVAS</w:t>
      </w:r>
    </w:p>
    <w:p w14:paraId="0972D03A" w14:textId="77777777" w:rsidR="00027850" w:rsidRPr="003537D3" w:rsidRDefault="00027850" w:rsidP="00AE19E9">
      <w:pPr>
        <w:spacing w:line="276" w:lineRule="auto"/>
        <w:contextualSpacing/>
        <w:jc w:val="center"/>
        <w:rPr>
          <w:rFonts w:eastAsia="Verdana"/>
          <w:b/>
          <w:sz w:val="24"/>
          <w:szCs w:val="24"/>
          <w:lang w:val="es-ES_tradnl"/>
        </w:rPr>
      </w:pPr>
      <w:r w:rsidRPr="003537D3">
        <w:rPr>
          <w:rFonts w:eastAsia="Verdana"/>
          <w:b/>
          <w:sz w:val="24"/>
          <w:szCs w:val="24"/>
          <w:lang w:val="es-ES_tradnl"/>
        </w:rPr>
        <w:t>Presidente de Sala</w:t>
      </w:r>
    </w:p>
    <w:p w14:paraId="14AAEFD4" w14:textId="536C0EBF" w:rsidR="00027850" w:rsidRPr="003537D3" w:rsidRDefault="00027850" w:rsidP="00AE19E9">
      <w:pPr>
        <w:spacing w:line="276" w:lineRule="auto"/>
        <w:contextualSpacing/>
        <w:jc w:val="center"/>
        <w:rPr>
          <w:rFonts w:eastAsia="Verdana"/>
          <w:b/>
          <w:sz w:val="24"/>
          <w:szCs w:val="24"/>
          <w:lang w:val="es-ES_tradnl"/>
        </w:rPr>
      </w:pPr>
    </w:p>
    <w:p w14:paraId="737E99DD" w14:textId="77777777" w:rsidR="00003B92" w:rsidRPr="003537D3" w:rsidRDefault="00003B92" w:rsidP="00AE19E9">
      <w:pPr>
        <w:spacing w:line="276" w:lineRule="auto"/>
        <w:contextualSpacing/>
        <w:jc w:val="center"/>
        <w:rPr>
          <w:rFonts w:eastAsia="Verdana"/>
          <w:b/>
          <w:sz w:val="24"/>
          <w:szCs w:val="24"/>
          <w:lang w:val="es-ES_tradnl"/>
        </w:rPr>
      </w:pPr>
    </w:p>
    <w:p w14:paraId="53B9DBAF" w14:textId="21BAD93E" w:rsidR="00027850" w:rsidRPr="003537D3" w:rsidRDefault="00003B92" w:rsidP="00AE19E9">
      <w:pPr>
        <w:spacing w:line="276" w:lineRule="auto"/>
        <w:contextualSpacing/>
        <w:jc w:val="center"/>
        <w:rPr>
          <w:rFonts w:eastAsia="Verdana"/>
          <w:b/>
          <w:sz w:val="24"/>
          <w:szCs w:val="24"/>
          <w:lang w:val="es-ES_tradnl"/>
        </w:rPr>
      </w:pPr>
      <w:r w:rsidRPr="003537D3">
        <w:rPr>
          <w:rFonts w:eastAsia="Verdana"/>
          <w:b/>
          <w:sz w:val="24"/>
          <w:szCs w:val="24"/>
          <w:lang w:val="es-ES_tradnl"/>
        </w:rPr>
        <w:t>GUILLERMO SÁNCHEZ LUQUE</w:t>
      </w:r>
    </w:p>
    <w:p w14:paraId="1E3B087E" w14:textId="77777777" w:rsidR="00027850" w:rsidRPr="003537D3" w:rsidRDefault="00027850" w:rsidP="00AE19E9">
      <w:pPr>
        <w:spacing w:line="276" w:lineRule="auto"/>
        <w:contextualSpacing/>
        <w:jc w:val="center"/>
        <w:rPr>
          <w:rFonts w:eastAsia="Verdana"/>
          <w:b/>
          <w:sz w:val="24"/>
          <w:szCs w:val="24"/>
          <w:lang w:val="es-ES_tradnl"/>
        </w:rPr>
      </w:pPr>
      <w:r w:rsidRPr="003537D3">
        <w:rPr>
          <w:rFonts w:eastAsia="Verdana"/>
          <w:b/>
          <w:sz w:val="24"/>
          <w:szCs w:val="24"/>
          <w:lang w:val="es-ES_tradnl"/>
        </w:rPr>
        <w:t>Magistrado</w:t>
      </w:r>
    </w:p>
    <w:p w14:paraId="59C1874A" w14:textId="49940B9E" w:rsidR="00027850" w:rsidRDefault="00115192" w:rsidP="00AE19E9">
      <w:pPr>
        <w:spacing w:line="276" w:lineRule="auto"/>
        <w:contextualSpacing/>
        <w:jc w:val="center"/>
        <w:rPr>
          <w:rFonts w:eastAsia="Verdana"/>
          <w:b/>
          <w:sz w:val="24"/>
          <w:szCs w:val="24"/>
        </w:rPr>
      </w:pPr>
      <w:r>
        <w:rPr>
          <w:rFonts w:eastAsia="Verdana"/>
          <w:b/>
          <w:sz w:val="24"/>
          <w:szCs w:val="24"/>
        </w:rPr>
        <w:t>Ausente con excusa</w:t>
      </w:r>
    </w:p>
    <w:p w14:paraId="2E4E17DC" w14:textId="3E75FC99" w:rsidR="00024E3E" w:rsidRDefault="00024E3E" w:rsidP="00AE19E9">
      <w:pPr>
        <w:spacing w:line="276" w:lineRule="auto"/>
        <w:contextualSpacing/>
        <w:jc w:val="center"/>
        <w:rPr>
          <w:rFonts w:eastAsia="Verdana"/>
          <w:b/>
          <w:sz w:val="24"/>
          <w:szCs w:val="24"/>
        </w:rPr>
      </w:pPr>
    </w:p>
    <w:p w14:paraId="13D3917A" w14:textId="55305E97" w:rsidR="00027850" w:rsidRPr="003537D3" w:rsidRDefault="00027850" w:rsidP="00024E3E">
      <w:pPr>
        <w:spacing w:line="276" w:lineRule="auto"/>
        <w:contextualSpacing/>
        <w:rPr>
          <w:rFonts w:eastAsia="Verdana"/>
          <w:b/>
          <w:sz w:val="24"/>
          <w:szCs w:val="24"/>
          <w:lang w:val="es-ES_tradnl"/>
        </w:rPr>
      </w:pPr>
    </w:p>
    <w:p w14:paraId="3680A919" w14:textId="77777777" w:rsidR="00027850" w:rsidRPr="003537D3" w:rsidRDefault="00027850" w:rsidP="00AE19E9">
      <w:pPr>
        <w:spacing w:line="276" w:lineRule="auto"/>
        <w:contextualSpacing/>
        <w:jc w:val="center"/>
        <w:rPr>
          <w:rFonts w:eastAsia="Verdana"/>
          <w:b/>
          <w:sz w:val="24"/>
          <w:szCs w:val="24"/>
          <w:lang w:val="es-ES_tradnl"/>
        </w:rPr>
      </w:pPr>
      <w:r w:rsidRPr="003537D3">
        <w:rPr>
          <w:rFonts w:eastAsia="Verdana"/>
          <w:b/>
          <w:sz w:val="24"/>
          <w:szCs w:val="24"/>
          <w:lang w:val="es-ES_tradnl"/>
        </w:rPr>
        <w:t>NICOLÁS YEPES CORRALES</w:t>
      </w:r>
    </w:p>
    <w:p w14:paraId="463F29E8" w14:textId="77354EAF" w:rsidR="004849BB" w:rsidRPr="00161A85" w:rsidRDefault="00027850" w:rsidP="00161A85">
      <w:pPr>
        <w:spacing w:line="276" w:lineRule="auto"/>
        <w:contextualSpacing/>
        <w:jc w:val="center"/>
        <w:rPr>
          <w:rFonts w:eastAsia="Verdana"/>
          <w:b/>
          <w:sz w:val="24"/>
          <w:szCs w:val="24"/>
          <w:lang w:val="es-ES_tradnl"/>
        </w:rPr>
      </w:pPr>
      <w:r w:rsidRPr="003537D3">
        <w:rPr>
          <w:rFonts w:eastAsia="Verdana"/>
          <w:b/>
          <w:sz w:val="24"/>
          <w:szCs w:val="24"/>
          <w:lang w:val="es-ES_tradnl"/>
        </w:rPr>
        <w:t>Magistrado</w:t>
      </w:r>
    </w:p>
    <w:sectPr w:rsidR="004849BB" w:rsidRPr="00161A85"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22B9E" w14:textId="77777777" w:rsidR="00BD1FC2" w:rsidRDefault="00BD1FC2" w:rsidP="00117091">
      <w:r>
        <w:separator/>
      </w:r>
    </w:p>
  </w:endnote>
  <w:endnote w:type="continuationSeparator" w:id="0">
    <w:p w14:paraId="234BF37C" w14:textId="77777777" w:rsidR="00BD1FC2" w:rsidRDefault="00BD1FC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A055E" w14:paraId="4830A873" w14:textId="77777777" w:rsidTr="00B6429B">
      <w:trPr>
        <w:jc w:val="right"/>
      </w:trPr>
      <w:tc>
        <w:tcPr>
          <w:tcW w:w="4795" w:type="dxa"/>
          <w:vAlign w:val="center"/>
        </w:tcPr>
        <w:p w14:paraId="0C43E376" w14:textId="77777777" w:rsidR="005A055E" w:rsidRDefault="005A055E"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5A055E" w:rsidRPr="00A21194" w:rsidRDefault="005A055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4621851B" w:rsidR="005A055E" w:rsidRPr="00B6429B" w:rsidRDefault="005A055E" w:rsidP="00B6429B">
          <w:pPr>
            <w:pStyle w:val="Piedepgina"/>
            <w:jc w:val="center"/>
          </w:pPr>
          <w:r w:rsidRPr="00B6429B">
            <w:fldChar w:fldCharType="begin"/>
          </w:r>
          <w:r w:rsidRPr="00B6429B">
            <w:instrText>PAGE   \* MERGEFORMAT</w:instrText>
          </w:r>
          <w:r w:rsidRPr="00B6429B">
            <w:fldChar w:fldCharType="separate"/>
          </w:r>
          <w:r w:rsidR="006241B6" w:rsidRPr="006241B6">
            <w:rPr>
              <w:noProof/>
              <w:lang w:val="es-ES"/>
            </w:rPr>
            <w:t>2</w:t>
          </w:r>
          <w:r w:rsidRPr="00B6429B">
            <w:fldChar w:fldCharType="end"/>
          </w:r>
        </w:p>
      </w:tc>
    </w:tr>
  </w:tbl>
  <w:p w14:paraId="17AD93B2" w14:textId="77777777" w:rsidR="005A055E" w:rsidRPr="008C0DBE" w:rsidRDefault="005A055E"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5A055E" w14:paraId="7BC39794" w14:textId="77777777" w:rsidTr="00B6429B">
      <w:trPr>
        <w:jc w:val="right"/>
      </w:trPr>
      <w:tc>
        <w:tcPr>
          <w:tcW w:w="4795" w:type="dxa"/>
          <w:vAlign w:val="center"/>
        </w:tcPr>
        <w:p w14:paraId="60E1FF49" w14:textId="77777777" w:rsidR="005A055E" w:rsidRDefault="005A055E"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5A055E" w:rsidRPr="00A21194" w:rsidRDefault="005A055E"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6A93122E" w:rsidR="005A055E" w:rsidRPr="00B6429B" w:rsidRDefault="005A055E">
          <w:pPr>
            <w:pStyle w:val="Piedepgina"/>
            <w:jc w:val="center"/>
          </w:pPr>
          <w:r w:rsidRPr="00B6429B">
            <w:fldChar w:fldCharType="begin"/>
          </w:r>
          <w:r w:rsidRPr="00B6429B">
            <w:instrText>PAGE   \* MERGEFORMAT</w:instrText>
          </w:r>
          <w:r w:rsidRPr="00B6429B">
            <w:fldChar w:fldCharType="separate"/>
          </w:r>
          <w:r w:rsidR="006241B6" w:rsidRPr="006241B6">
            <w:rPr>
              <w:noProof/>
              <w:lang w:val="es-ES"/>
            </w:rPr>
            <w:t>1</w:t>
          </w:r>
          <w:r w:rsidRPr="00B6429B">
            <w:fldChar w:fldCharType="end"/>
          </w:r>
        </w:p>
      </w:tc>
    </w:tr>
  </w:tbl>
  <w:p w14:paraId="5630AD66" w14:textId="77777777" w:rsidR="005A055E" w:rsidRDefault="005A05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1905F" w14:textId="77777777" w:rsidR="00BD1FC2" w:rsidRDefault="00BD1FC2" w:rsidP="00117091">
      <w:r>
        <w:separator/>
      </w:r>
    </w:p>
  </w:footnote>
  <w:footnote w:type="continuationSeparator" w:id="0">
    <w:p w14:paraId="00BC6DD9" w14:textId="77777777" w:rsidR="00BD1FC2" w:rsidRDefault="00BD1FC2" w:rsidP="00117091">
      <w:r>
        <w:continuationSeparator/>
      </w:r>
    </w:p>
  </w:footnote>
  <w:footnote w:id="1">
    <w:p w14:paraId="3A60F046" w14:textId="6D1079E9" w:rsidR="005A055E" w:rsidRDefault="005A055E" w:rsidP="006C031C">
      <w:pPr>
        <w:pStyle w:val="Textonotapie"/>
      </w:pPr>
      <w:r>
        <w:rPr>
          <w:rStyle w:val="Refdenotaalpie"/>
        </w:rPr>
        <w:footnoteRef/>
      </w:r>
      <w:r>
        <w:t xml:space="preserve"> </w:t>
      </w:r>
      <w:r w:rsidRPr="00366EC1">
        <w:t xml:space="preserve">Archivo electrónico que contiene </w:t>
      </w:r>
      <w:r>
        <w:t xml:space="preserve">la acción de tutela, con ubicación: </w:t>
      </w:r>
      <w:r w:rsidRPr="00A73EFB">
        <w:t>C229320BF98B4F8E D65A0939F0D327E7 1D3A3F81B9857072 4D1D5256DB04C24B</w:t>
      </w:r>
      <w:r>
        <w:t>.</w:t>
      </w:r>
    </w:p>
  </w:footnote>
  <w:footnote w:id="2">
    <w:p w14:paraId="46703602" w14:textId="0FC462D3" w:rsidR="005A055E" w:rsidRDefault="005A055E" w:rsidP="006C031C">
      <w:pPr>
        <w:pStyle w:val="Textonotapie"/>
      </w:pPr>
      <w:r>
        <w:rPr>
          <w:rStyle w:val="Refdenotaalpie"/>
        </w:rPr>
        <w:footnoteRef/>
      </w:r>
      <w:r>
        <w:t xml:space="preserve"> </w:t>
      </w:r>
      <w:r w:rsidRPr="00366EC1">
        <w:t xml:space="preserve">Archivo electrónico que contiene </w:t>
      </w:r>
      <w:r>
        <w:t xml:space="preserve">la demanda arbitral, con ubicación: </w:t>
      </w:r>
      <w:r w:rsidRPr="00BF2AE3">
        <w:t>648A5E25237798DD BBEBDFC0223DBB92 5718E71C67299C16 CA3F4C999A891BDD</w:t>
      </w:r>
      <w:r>
        <w:t>.</w:t>
      </w:r>
    </w:p>
  </w:footnote>
  <w:footnote w:id="3">
    <w:p w14:paraId="308F3519" w14:textId="77C8A885" w:rsidR="005A055E" w:rsidRDefault="005A055E" w:rsidP="006C031C">
      <w:pPr>
        <w:pStyle w:val="Textonotapie"/>
      </w:pPr>
      <w:r>
        <w:rPr>
          <w:rStyle w:val="Refdenotaalpie"/>
        </w:rPr>
        <w:footnoteRef/>
      </w:r>
      <w:r>
        <w:t xml:space="preserve"> </w:t>
      </w:r>
      <w:r w:rsidRPr="00366EC1">
        <w:t xml:space="preserve">Archivo electrónico que contiene </w:t>
      </w:r>
      <w:r>
        <w:t xml:space="preserve">el contrato de gestión, con ubicación: </w:t>
      </w:r>
      <w:r w:rsidRPr="00BF2AE3">
        <w:t>D4D51C3D61677824 C45726BCF2E2295F E3E04402F18734F4 9E53CBCD3601730D</w:t>
      </w:r>
      <w:r w:rsidR="005C547A">
        <w:t>.</w:t>
      </w:r>
    </w:p>
  </w:footnote>
  <w:footnote w:id="4">
    <w:p w14:paraId="6DA04840" w14:textId="49484676" w:rsidR="005A055E" w:rsidRDefault="005A055E" w:rsidP="006C031C">
      <w:pPr>
        <w:pStyle w:val="Textonotapie"/>
      </w:pPr>
      <w:r>
        <w:rPr>
          <w:rStyle w:val="Refdenotaalpie"/>
        </w:rPr>
        <w:footnoteRef/>
      </w:r>
      <w:r w:rsidR="005C547A">
        <w:t xml:space="preserve"> Página 12. Ibi</w:t>
      </w:r>
      <w:r>
        <w:t>d.</w:t>
      </w:r>
    </w:p>
  </w:footnote>
  <w:footnote w:id="5">
    <w:p w14:paraId="1A45E7A7" w14:textId="01844B65" w:rsidR="005A055E" w:rsidRDefault="005A055E" w:rsidP="006C031C">
      <w:pPr>
        <w:pStyle w:val="Textonotapie"/>
      </w:pPr>
      <w:r>
        <w:rPr>
          <w:rStyle w:val="Refdenotaalpie"/>
        </w:rPr>
        <w:footnoteRef/>
      </w:r>
      <w:r w:rsidR="005C547A">
        <w:t xml:space="preserve"> Página 70. Ibi</w:t>
      </w:r>
      <w:r>
        <w:t>d.</w:t>
      </w:r>
    </w:p>
  </w:footnote>
  <w:footnote w:id="6">
    <w:p w14:paraId="2000F397" w14:textId="27D036AA" w:rsidR="005A055E" w:rsidRDefault="005A055E" w:rsidP="006C031C">
      <w:pPr>
        <w:pStyle w:val="Textonotapie"/>
      </w:pPr>
      <w:r>
        <w:rPr>
          <w:rStyle w:val="Refdenotaalpie"/>
        </w:rPr>
        <w:footnoteRef/>
      </w:r>
      <w:r>
        <w:t xml:space="preserve"> </w:t>
      </w:r>
      <w:r w:rsidRPr="00366EC1">
        <w:t xml:space="preserve">Archivo electrónico que contiene </w:t>
      </w:r>
      <w:r>
        <w:t xml:space="preserve">el oficio presentado por el </w:t>
      </w:r>
      <w:r w:rsidR="005C547A">
        <w:t>Tribunal de A</w:t>
      </w:r>
      <w:r>
        <w:t xml:space="preserve">rbitramento, con ubicación: </w:t>
      </w:r>
      <w:r w:rsidRPr="00BF2AE3">
        <w:t>9329B56BE8C9805B 1BFEC8EF44029C3D 42261AA4CE731771 B5673555E8618D02</w:t>
      </w:r>
      <w:r>
        <w:t>.</w:t>
      </w:r>
    </w:p>
  </w:footnote>
  <w:footnote w:id="7">
    <w:p w14:paraId="24F6F3EB" w14:textId="706F9AFD" w:rsidR="006E2518" w:rsidRDefault="006E2518" w:rsidP="006C031C">
      <w:pPr>
        <w:pStyle w:val="Textonotapie"/>
      </w:pPr>
      <w:r>
        <w:rPr>
          <w:rStyle w:val="Refdenotaalpie"/>
        </w:rPr>
        <w:footnoteRef/>
      </w:r>
      <w:r>
        <w:t xml:space="preserve"> Ibid.</w:t>
      </w:r>
    </w:p>
  </w:footnote>
  <w:footnote w:id="8">
    <w:p w14:paraId="17CAB249" w14:textId="6B5844DA" w:rsidR="005A055E" w:rsidRDefault="005A055E" w:rsidP="006C031C">
      <w:pPr>
        <w:pStyle w:val="Textonotapie"/>
      </w:pPr>
      <w:r>
        <w:rPr>
          <w:rStyle w:val="Refdenotaalpie"/>
        </w:rPr>
        <w:footnoteRef/>
      </w:r>
      <w:r>
        <w:t xml:space="preserve"> Archivo electrónico </w:t>
      </w:r>
      <w:r w:rsidRPr="00366EC1">
        <w:t xml:space="preserve">que contiene </w:t>
      </w:r>
      <w:r>
        <w:t xml:space="preserve">el derecho de petición, con ubicación: </w:t>
      </w:r>
      <w:r w:rsidRPr="00CD0235">
        <w:t>AE735C9BC9C9687F 0ED9AFB581C0D748 AAE204F02F1D44E7 DED7AE7D831E47E6</w:t>
      </w:r>
      <w:r>
        <w:t>.</w:t>
      </w:r>
    </w:p>
  </w:footnote>
  <w:footnote w:id="9">
    <w:p w14:paraId="5BE82C03" w14:textId="408ED724" w:rsidR="005A055E" w:rsidRPr="00BF2AE3" w:rsidRDefault="005A055E" w:rsidP="006C031C">
      <w:pPr>
        <w:pStyle w:val="Textonotapie"/>
      </w:pPr>
      <w:r>
        <w:rPr>
          <w:rStyle w:val="Refdenotaalpie"/>
        </w:rPr>
        <w:footnoteRef/>
      </w:r>
      <w:r>
        <w:t xml:space="preserve"> Archivo electrónico </w:t>
      </w:r>
      <w:r w:rsidRPr="00366EC1">
        <w:t xml:space="preserve">que contiene </w:t>
      </w:r>
      <w:r>
        <w:t xml:space="preserve">la solicitud de medidas cautelares, con ubicación: </w:t>
      </w:r>
      <w:r w:rsidRPr="00BF2AE3">
        <w:t>3762B109C735CF5A 1B283B1F22D0A449 D1EA77C3F9141A90 30C2072792400ACD</w:t>
      </w:r>
      <w:r>
        <w:t>.</w:t>
      </w:r>
    </w:p>
  </w:footnote>
  <w:footnote w:id="10">
    <w:p w14:paraId="0DA7E347" w14:textId="7CE1861F" w:rsidR="005A055E" w:rsidRDefault="005A055E" w:rsidP="006C031C">
      <w:pPr>
        <w:pStyle w:val="Textonotapie"/>
      </w:pPr>
      <w:r>
        <w:rPr>
          <w:rStyle w:val="Refdenotaalpie"/>
        </w:rPr>
        <w:footnoteRef/>
      </w:r>
      <w:r>
        <w:t xml:space="preserve"> Archivo electrónico </w:t>
      </w:r>
      <w:r w:rsidRPr="00366EC1">
        <w:t xml:space="preserve">que contiene </w:t>
      </w:r>
      <w:r>
        <w:t>el auto No.</w:t>
      </w:r>
      <w:r w:rsidR="002D3690">
        <w:t xml:space="preserve"> </w:t>
      </w:r>
      <w:r>
        <w:t>8</w:t>
      </w:r>
      <w:r w:rsidR="005C547A">
        <w:t xml:space="preserve"> del 9 de octubre de 2020</w:t>
      </w:r>
      <w:r>
        <w:t xml:space="preserve">, con ubicación: </w:t>
      </w:r>
      <w:r w:rsidRPr="00BF2AE3">
        <w:t>EFF47CD3AC93BF0E D628B151A65AA428 AEBED63D117429E9 FD04497417B5EFBE</w:t>
      </w:r>
      <w:r>
        <w:t>.</w:t>
      </w:r>
    </w:p>
  </w:footnote>
  <w:footnote w:id="11">
    <w:p w14:paraId="0E2F415A" w14:textId="774DE295" w:rsidR="005A055E" w:rsidRDefault="005A055E" w:rsidP="006C031C">
      <w:pPr>
        <w:pStyle w:val="Textonotapie"/>
      </w:pPr>
      <w:r>
        <w:rPr>
          <w:rStyle w:val="Refdenotaalpie"/>
        </w:rPr>
        <w:footnoteRef/>
      </w:r>
      <w:r>
        <w:t xml:space="preserve"> Negrilla en el texto.</w:t>
      </w:r>
    </w:p>
  </w:footnote>
  <w:footnote w:id="12">
    <w:p w14:paraId="05C9F843" w14:textId="77777777" w:rsidR="006E2518" w:rsidRDefault="006E2518" w:rsidP="006C031C">
      <w:pPr>
        <w:pStyle w:val="Textonotapie"/>
      </w:pPr>
      <w:r>
        <w:rPr>
          <w:rStyle w:val="Refdenotaalpie"/>
        </w:rPr>
        <w:footnoteRef/>
      </w:r>
      <w:r>
        <w:t xml:space="preserve"> Página 1 del archivo electrónico que contiene el auto No. 9 del 7 de diciembre de 2020, con ubicación: </w:t>
      </w:r>
      <w:r w:rsidRPr="00594E2C">
        <w:t>B147D0E4C342F7B6 FDA2FB8FD6B011F5 4F9C2351D81DB290 C6FA41946FF46D08</w:t>
      </w:r>
      <w:r>
        <w:t>.</w:t>
      </w:r>
    </w:p>
  </w:footnote>
  <w:footnote w:id="13">
    <w:p w14:paraId="5BE83FF3" w14:textId="77777777" w:rsidR="006E2518" w:rsidRDefault="006E2518" w:rsidP="006C031C">
      <w:pPr>
        <w:pStyle w:val="Textonotapie"/>
      </w:pPr>
      <w:r>
        <w:rPr>
          <w:rStyle w:val="Refdenotaalpie"/>
        </w:rPr>
        <w:footnoteRef/>
      </w:r>
      <w:r>
        <w:t xml:space="preserve"> </w:t>
      </w:r>
      <w:r w:rsidRPr="00366EC1">
        <w:t xml:space="preserve">Archivo electrónico que contiene </w:t>
      </w:r>
      <w:r>
        <w:t xml:space="preserve">el oficio presentado por el Tribunal de Arbitramento, con ubicación: </w:t>
      </w:r>
      <w:r w:rsidRPr="00BF2AE3">
        <w:t>9329B56BE8C9805B 1BFEC8EF44029C3D 42261AA4CE731771 B5673555E8618D02</w:t>
      </w:r>
      <w:r>
        <w:t>.</w:t>
      </w:r>
    </w:p>
  </w:footnote>
  <w:footnote w:id="14">
    <w:p w14:paraId="3AA931E3" w14:textId="1A26AF8A" w:rsidR="005A055E" w:rsidRDefault="005A055E" w:rsidP="006C031C">
      <w:pPr>
        <w:pStyle w:val="Textonotapie"/>
      </w:pPr>
      <w:r>
        <w:rPr>
          <w:rStyle w:val="Refdenotaalpie"/>
        </w:rPr>
        <w:footnoteRef/>
      </w:r>
      <w:r>
        <w:t xml:space="preserve"> </w:t>
      </w:r>
      <w:r w:rsidRPr="00366EC1">
        <w:t xml:space="preserve">Archivo electrónico que contiene </w:t>
      </w:r>
      <w:r>
        <w:t>el memorial de CEDELCA, con ubicación:</w:t>
      </w:r>
      <w:r w:rsidRPr="0028592C">
        <w:t xml:space="preserve"> </w:t>
      </w:r>
      <w:r w:rsidRPr="00BF2AE3">
        <w:t>B98C84C5BC272A15 F9E9CE8E0B7D29F0 1AA2B54E62BA2073 CB246848109AEB74</w:t>
      </w:r>
      <w:r>
        <w:t>.</w:t>
      </w:r>
    </w:p>
  </w:footnote>
  <w:footnote w:id="15">
    <w:p w14:paraId="3086B237" w14:textId="4B0D022D" w:rsidR="00154A85" w:rsidRDefault="00154A85" w:rsidP="006C031C">
      <w:pPr>
        <w:pStyle w:val="Textonotapie"/>
      </w:pPr>
      <w:r>
        <w:rPr>
          <w:rStyle w:val="Refdenotaalpie"/>
        </w:rPr>
        <w:footnoteRef/>
      </w:r>
      <w:r>
        <w:t xml:space="preserve"> </w:t>
      </w:r>
      <w:r w:rsidRPr="00366EC1">
        <w:t xml:space="preserve">Archivo electrónico que contiene </w:t>
      </w:r>
      <w:r>
        <w:t>el informe del perito, con ubicación:</w:t>
      </w:r>
      <w:r w:rsidRPr="0028592C">
        <w:t xml:space="preserve"> 2FD66CEE22041049 54BB601BD7C9DD29 12F8AD47061BF972 CB5E2365289E7D22</w:t>
      </w:r>
      <w:r>
        <w:t>.</w:t>
      </w:r>
    </w:p>
  </w:footnote>
  <w:footnote w:id="16">
    <w:p w14:paraId="253579F3" w14:textId="00E69287" w:rsidR="005A055E" w:rsidRDefault="005A055E" w:rsidP="006C031C">
      <w:pPr>
        <w:pStyle w:val="Textonotapie"/>
      </w:pPr>
      <w:r>
        <w:rPr>
          <w:rStyle w:val="Refdenotaalpie"/>
        </w:rPr>
        <w:footnoteRef/>
      </w:r>
      <w:r>
        <w:t xml:space="preserve"> </w:t>
      </w:r>
      <w:r w:rsidR="00154A85">
        <w:t>Ibid.</w:t>
      </w:r>
    </w:p>
  </w:footnote>
  <w:footnote w:id="17">
    <w:p w14:paraId="30ECD7BA" w14:textId="25D76F23" w:rsidR="00160258" w:rsidRDefault="00160258" w:rsidP="006C031C">
      <w:pPr>
        <w:pStyle w:val="Textonotapie"/>
      </w:pPr>
      <w:r>
        <w:rPr>
          <w:rStyle w:val="Refdenotaalpie"/>
        </w:rPr>
        <w:footnoteRef/>
      </w:r>
      <w:r>
        <w:t xml:space="preserve"> </w:t>
      </w:r>
      <w:r w:rsidRPr="00366EC1">
        <w:t xml:space="preserve">Archivo electrónico que contiene </w:t>
      </w:r>
      <w:r w:rsidR="005C547A">
        <w:t>el oficio presentado por el Tribunal de A</w:t>
      </w:r>
      <w:r>
        <w:t xml:space="preserve">rbitramento, con ubicación: </w:t>
      </w:r>
      <w:r w:rsidRPr="00BF2AE3">
        <w:t>9329B56BE8C9805B 1BFEC8EF44029C3D 42261AA4CE731771 B5673555E8618D02</w:t>
      </w:r>
      <w:r>
        <w:t>.</w:t>
      </w:r>
    </w:p>
  </w:footnote>
  <w:footnote w:id="18">
    <w:p w14:paraId="2196F81D" w14:textId="718DF1F5" w:rsidR="005A055E" w:rsidRDefault="005A055E" w:rsidP="006C031C">
      <w:pPr>
        <w:pStyle w:val="Textonotapie"/>
      </w:pPr>
      <w:r>
        <w:rPr>
          <w:rStyle w:val="Refdenotaalpie"/>
        </w:rPr>
        <w:footnoteRef/>
      </w:r>
      <w:r>
        <w:t xml:space="preserve"> Archivo electrónico que contiene el auto No.</w:t>
      </w:r>
      <w:r w:rsidR="00084A35">
        <w:t xml:space="preserve"> </w:t>
      </w:r>
      <w:r>
        <w:t>9</w:t>
      </w:r>
      <w:r w:rsidR="005C547A">
        <w:t xml:space="preserve"> del 7 de diciembre de 2020</w:t>
      </w:r>
      <w:r>
        <w:t xml:space="preserve">, con ubicación: </w:t>
      </w:r>
      <w:r w:rsidRPr="00594E2C">
        <w:t>B147D0E4C342F7B6 FDA2FB8FD6B011F5 4F9C2351D81DB290 C6FA41946FF46D08</w:t>
      </w:r>
      <w:r>
        <w:t>.</w:t>
      </w:r>
    </w:p>
  </w:footnote>
  <w:footnote w:id="19">
    <w:p w14:paraId="445E00E0" w14:textId="427DE45B" w:rsidR="005A055E" w:rsidRDefault="005A055E" w:rsidP="006C031C">
      <w:pPr>
        <w:pStyle w:val="Textonotapie"/>
      </w:pPr>
      <w:r>
        <w:rPr>
          <w:rStyle w:val="Refdenotaalpie"/>
        </w:rPr>
        <w:footnoteRef/>
      </w:r>
      <w:r>
        <w:t xml:space="preserve"> Página 3. Ibíd.</w:t>
      </w:r>
    </w:p>
  </w:footnote>
  <w:footnote w:id="20">
    <w:p w14:paraId="3DCAF1BD" w14:textId="1FFD89FF" w:rsidR="005A055E" w:rsidRDefault="005A055E" w:rsidP="006C031C">
      <w:pPr>
        <w:pStyle w:val="Textonotapie"/>
      </w:pPr>
      <w:r>
        <w:rPr>
          <w:rStyle w:val="Refdenotaalpie"/>
        </w:rPr>
        <w:footnoteRef/>
      </w:r>
      <w:r w:rsidR="005C547A">
        <w:t xml:space="preserve"> Ibi</w:t>
      </w:r>
      <w:r>
        <w:t>d.</w:t>
      </w:r>
    </w:p>
  </w:footnote>
  <w:footnote w:id="21">
    <w:p w14:paraId="0B17CC36" w14:textId="393CF7F1" w:rsidR="003C0725" w:rsidRDefault="003C0725" w:rsidP="006C031C">
      <w:pPr>
        <w:pStyle w:val="Textonotapie"/>
      </w:pPr>
      <w:r>
        <w:rPr>
          <w:rStyle w:val="Refdenotaalpie"/>
        </w:rPr>
        <w:footnoteRef/>
      </w:r>
      <w:r>
        <w:t xml:space="preserve"> </w:t>
      </w:r>
      <w:r w:rsidRPr="00366EC1">
        <w:t xml:space="preserve">Archivo electrónico que contiene </w:t>
      </w:r>
      <w:r>
        <w:t>el correo</w:t>
      </w:r>
      <w:r w:rsidRPr="00366EC1">
        <w:t xml:space="preserve">, con ubicación: </w:t>
      </w:r>
      <w:r w:rsidRPr="003C0725">
        <w:t>2D9005AB03196783 4A7423A41E4105BB A8F010573386222E C64FAA27C6D36D95</w:t>
      </w:r>
      <w:r>
        <w:t>.</w:t>
      </w:r>
    </w:p>
  </w:footnote>
  <w:footnote w:id="22">
    <w:p w14:paraId="64D6BF27" w14:textId="3D954021" w:rsidR="003C0725" w:rsidRDefault="003C0725" w:rsidP="006C031C">
      <w:pPr>
        <w:pStyle w:val="Textonotapie"/>
      </w:pPr>
      <w:r>
        <w:rPr>
          <w:rStyle w:val="Refdenotaalpie"/>
        </w:rPr>
        <w:footnoteRef/>
      </w:r>
      <w:r>
        <w:t xml:space="preserve"> Página 7 del a</w:t>
      </w:r>
      <w:r w:rsidRPr="00366EC1">
        <w:t xml:space="preserve">rchivo electrónico que contiene </w:t>
      </w:r>
      <w:r>
        <w:t>la acción de tutela</w:t>
      </w:r>
      <w:r w:rsidRPr="00366EC1">
        <w:t xml:space="preserve">, con ubicación: </w:t>
      </w:r>
      <w:r w:rsidRPr="00A73EFB">
        <w:t>C229320BF98B4F8E D65A0939F0D327E7 1D3A3F81B9857072 4D1D5256DB04C24B</w:t>
      </w:r>
      <w:r>
        <w:t>.</w:t>
      </w:r>
    </w:p>
  </w:footnote>
  <w:footnote w:id="23">
    <w:p w14:paraId="3DD70DF7" w14:textId="21CA1353" w:rsidR="005A055E" w:rsidRDefault="005A055E" w:rsidP="006C031C">
      <w:pPr>
        <w:pStyle w:val="Textonotapie"/>
      </w:pPr>
      <w:r>
        <w:rPr>
          <w:rStyle w:val="Refdenotaalpie"/>
        </w:rPr>
        <w:footnoteRef/>
      </w:r>
      <w:r>
        <w:t xml:space="preserve"> </w:t>
      </w:r>
      <w:r w:rsidR="003C0725">
        <w:t>Ibid.</w:t>
      </w:r>
    </w:p>
  </w:footnote>
  <w:footnote w:id="24">
    <w:p w14:paraId="5F19EB20" w14:textId="5C79DA1A" w:rsidR="005A055E" w:rsidRDefault="005A055E" w:rsidP="006C031C">
      <w:pPr>
        <w:pStyle w:val="Textonotapie"/>
      </w:pPr>
      <w:r>
        <w:rPr>
          <w:rStyle w:val="Refdenotaalpie"/>
        </w:rPr>
        <w:footnoteRef/>
      </w:r>
      <w:r>
        <w:t xml:space="preserve"> Páginas 6 y 7. Ibid.</w:t>
      </w:r>
    </w:p>
  </w:footnote>
  <w:footnote w:id="25">
    <w:p w14:paraId="37C2A306" w14:textId="3BE1DBBC" w:rsidR="005A055E" w:rsidRPr="00366EC1" w:rsidRDefault="005A055E" w:rsidP="006C031C">
      <w:pPr>
        <w:pStyle w:val="Textonotapie"/>
      </w:pPr>
      <w:r w:rsidRPr="00366EC1">
        <w:rPr>
          <w:rStyle w:val="Refdenotaalpie"/>
        </w:rPr>
        <w:footnoteRef/>
      </w:r>
      <w:r w:rsidRPr="00366EC1">
        <w:t xml:space="preserve"> </w:t>
      </w:r>
      <w:r>
        <w:t>Página 7 del a</w:t>
      </w:r>
      <w:r w:rsidRPr="00366EC1">
        <w:t xml:space="preserve">rchivo electrónico que contiene el auto admisorio, con ubicación: </w:t>
      </w:r>
      <w:r w:rsidRPr="0028592C">
        <w:t>CFDE0F31288294E5 A06B8C68CF8F878C 22FB3F8647FF12F0 ABD592AB70B1670D</w:t>
      </w:r>
      <w:r>
        <w:t>.</w:t>
      </w:r>
    </w:p>
  </w:footnote>
  <w:footnote w:id="26">
    <w:p w14:paraId="4BEA4274" w14:textId="7CF1D020" w:rsidR="005A055E" w:rsidRDefault="005A055E" w:rsidP="006C031C">
      <w:pPr>
        <w:pStyle w:val="Textonotapie"/>
      </w:pPr>
      <w:r>
        <w:rPr>
          <w:rStyle w:val="Refdenotaalpie"/>
        </w:rPr>
        <w:footnoteRef/>
      </w:r>
      <w:r>
        <w:t xml:space="preserve"> A</w:t>
      </w:r>
      <w:r w:rsidRPr="00366EC1">
        <w:t xml:space="preserve">rchivo electrónico que contiene </w:t>
      </w:r>
      <w:r>
        <w:t>la respuesta del Tribunal</w:t>
      </w:r>
      <w:r w:rsidR="005C547A">
        <w:t xml:space="preserve"> de Arbitramento</w:t>
      </w:r>
      <w:r w:rsidRPr="00366EC1">
        <w:t xml:space="preserve">, con ubicación: </w:t>
      </w:r>
      <w:r w:rsidRPr="0028592C">
        <w:t>46602F5D0C075361 701CE9A937F73191 8099255360E42540 6DBE5EBBF6D73D66</w:t>
      </w:r>
      <w:r w:rsidR="005C547A">
        <w:t>.</w:t>
      </w:r>
    </w:p>
  </w:footnote>
  <w:footnote w:id="27">
    <w:p w14:paraId="0A112CD1" w14:textId="4C3AB715" w:rsidR="005A055E" w:rsidRDefault="005A055E" w:rsidP="006C031C">
      <w:pPr>
        <w:pStyle w:val="Textonotapie"/>
      </w:pPr>
      <w:r>
        <w:rPr>
          <w:rStyle w:val="Refdenotaalpie"/>
        </w:rPr>
        <w:footnoteRef/>
      </w:r>
      <w:r>
        <w:t xml:space="preserve"> A</w:t>
      </w:r>
      <w:r w:rsidRPr="00366EC1">
        <w:t xml:space="preserve">rchivo electrónico que contiene </w:t>
      </w:r>
      <w:r>
        <w:t>la respuesta de CEDELCA</w:t>
      </w:r>
      <w:r w:rsidRPr="00366EC1">
        <w:t xml:space="preserve">, con ubicación: </w:t>
      </w:r>
      <w:r w:rsidRPr="0028592C">
        <w:t>51CABF760D778258 C69A52D283306701 B2DCB335CA67EF0B 058D54F16F2B1196</w:t>
      </w:r>
      <w:r w:rsidR="0043766E">
        <w:t>.</w:t>
      </w:r>
    </w:p>
  </w:footnote>
  <w:footnote w:id="28">
    <w:p w14:paraId="2D2B9FCD" w14:textId="137EE7A8" w:rsidR="005A055E" w:rsidRDefault="005A055E" w:rsidP="006C031C">
      <w:pPr>
        <w:pStyle w:val="Textonotapie"/>
      </w:pPr>
      <w:r>
        <w:rPr>
          <w:rStyle w:val="Refdenotaalpie"/>
        </w:rPr>
        <w:footnoteRef/>
      </w:r>
      <w:r>
        <w:t xml:space="preserve"> A</w:t>
      </w:r>
      <w:r w:rsidRPr="00366EC1">
        <w:t xml:space="preserve">rchivo electrónico que contiene </w:t>
      </w:r>
      <w:r>
        <w:t xml:space="preserve">la respuesta </w:t>
      </w:r>
      <w:r w:rsidR="0043766E">
        <w:t>del perito Julio Villarreal</w:t>
      </w:r>
      <w:r w:rsidRPr="00366EC1">
        <w:t xml:space="preserve">, con ubicación: </w:t>
      </w:r>
      <w:r w:rsidRPr="003A6CF8">
        <w:t>A79435D019CD194A B6340AB0C9187492 6A0F1A126ED5E319 2CED8E1FC3014B3E</w:t>
      </w:r>
      <w:r>
        <w:t>.</w:t>
      </w:r>
    </w:p>
  </w:footnote>
  <w:footnote w:id="29">
    <w:p w14:paraId="6876AD43" w14:textId="77777777" w:rsidR="005A055E" w:rsidRPr="00366EC1" w:rsidRDefault="005A055E" w:rsidP="006C031C">
      <w:pPr>
        <w:pStyle w:val="Textonotapie"/>
      </w:pPr>
      <w:r w:rsidRPr="00366EC1">
        <w:rPr>
          <w:rStyle w:val="Refdenotaalpie"/>
        </w:rPr>
        <w:footnoteRef/>
      </w:r>
      <w:r w:rsidRPr="00366EC1">
        <w:t xml:space="preserve"> Cfr. Corte Constitucional C-590 de 2005.</w:t>
      </w:r>
    </w:p>
  </w:footnote>
  <w:footnote w:id="30">
    <w:p w14:paraId="2BE1DA1A" w14:textId="77777777" w:rsidR="005A055E" w:rsidRPr="00366EC1" w:rsidRDefault="005A055E" w:rsidP="006C031C">
      <w:pPr>
        <w:pStyle w:val="Textonotapie"/>
      </w:pPr>
      <w:r w:rsidRPr="00366EC1">
        <w:rPr>
          <w:rStyle w:val="Refdenotaalpie"/>
        </w:rPr>
        <w:footnoteRef/>
      </w:r>
      <w:r w:rsidRPr="00366EC1">
        <w:t xml:space="preserve"> Antes que todo es necesario (i) verificar la legitimación en la causa como una exigencia preliminar en cualquier acción de amparo, para, posteriormente, pasar a constatar los demás requisitos generales de procedibilidad, en los siguientes términos: (ii) que en la solicitud de tutela se expresen de manera clara los hechos y los fundamentos de la afectación de derechos que se imputa a la decisión judicial; (iii) que la cuestión que se discute tenga relevancia constitucional; (iv) que previo a la solicitud de tutela se hayan agotado todos los medios de defensa judicial con los que cuenta la persona afectada; (v) que se cumpla con el principio de inmediatez; (vi) que en caso de que se alegue una irregularidad procesal, la misma tenga la entidad de afectar la decisión; y de manera general, (vii) no procede elevar una solicitud de amparo contra decisiones proferidas dentro de procesos de tutela.</w:t>
      </w:r>
    </w:p>
  </w:footnote>
  <w:footnote w:id="31">
    <w:p w14:paraId="1278ED77" w14:textId="45EB1003" w:rsidR="005A055E" w:rsidRPr="00366EC1" w:rsidRDefault="005A055E" w:rsidP="006C031C">
      <w:pPr>
        <w:pStyle w:val="Textonotapie"/>
      </w:pPr>
      <w:r w:rsidRPr="00366EC1">
        <w:rPr>
          <w:rStyle w:val="Refdenotaalpie"/>
        </w:rPr>
        <w:footnoteRef/>
      </w:r>
      <w:r w:rsidRPr="00366EC1">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w:t>
      </w:r>
      <w:r w:rsidR="00245107">
        <w:t>d</w:t>
      </w:r>
      <w:r w:rsidR="00245107" w:rsidRPr="00366EC1">
        <w:t xml:space="preserve">efecto </w:t>
      </w:r>
      <w:r w:rsidRPr="00366EC1">
        <w:t>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w:t>
      </w:r>
      <w:r w:rsidR="00245107">
        <w:t>;</w:t>
      </w:r>
      <w:r w:rsidRPr="00366EC1">
        <w:t xml:space="preserv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32">
    <w:p w14:paraId="4E44539D" w14:textId="2ECC83D5" w:rsidR="005A055E" w:rsidRPr="00366EC1" w:rsidRDefault="005A055E" w:rsidP="006C031C">
      <w:pPr>
        <w:pStyle w:val="Textonotapie"/>
      </w:pPr>
      <w:r w:rsidRPr="00366EC1">
        <w:rPr>
          <w:rStyle w:val="Refdenotaalpie"/>
        </w:rPr>
        <w:footnoteRef/>
      </w:r>
      <w:r w:rsidRPr="00366EC1">
        <w:t xml:space="preserve"> Corte Constitucional. Sentencia</w:t>
      </w:r>
      <w:r>
        <w:t xml:space="preserve"> T-244 de 2007.</w:t>
      </w:r>
    </w:p>
  </w:footnote>
  <w:footnote w:id="33">
    <w:p w14:paraId="443AB5C9" w14:textId="77777777" w:rsidR="005A055E" w:rsidRPr="00366EC1" w:rsidRDefault="005A055E" w:rsidP="006C031C">
      <w:pPr>
        <w:pStyle w:val="Textonotapie"/>
      </w:pPr>
      <w:r w:rsidRPr="00366EC1">
        <w:rPr>
          <w:rStyle w:val="Refdenotaalpie"/>
        </w:rPr>
        <w:footnoteRef/>
      </w:r>
      <w:r w:rsidRPr="00366EC1">
        <w:t xml:space="preserve"> Corte Constitucional. Sentencia T-627 de 2017.</w:t>
      </w:r>
    </w:p>
  </w:footnote>
  <w:footnote w:id="34">
    <w:p w14:paraId="1B5CCBC5" w14:textId="364CE911" w:rsidR="005A055E" w:rsidRPr="00366EC1" w:rsidRDefault="005A055E" w:rsidP="006C031C">
      <w:pPr>
        <w:pStyle w:val="Textonotapie"/>
      </w:pPr>
      <w:r w:rsidRPr="00366EC1">
        <w:rPr>
          <w:rStyle w:val="Refdenotaalpie"/>
        </w:rPr>
        <w:footnoteRef/>
      </w:r>
      <w:r>
        <w:t xml:space="preserve"> Página 6 </w:t>
      </w:r>
      <w:r w:rsidRPr="00366EC1">
        <w:t xml:space="preserve">del archivo electrónico que contiene </w:t>
      </w:r>
      <w:r>
        <w:t xml:space="preserve">el </w:t>
      </w:r>
      <w:r w:rsidRPr="004021AE">
        <w:t>certificado de ex</w:t>
      </w:r>
      <w:r>
        <w:t>istencia y representación legal</w:t>
      </w:r>
      <w:r w:rsidRPr="00366EC1">
        <w:t xml:space="preserve">, con ubicación: </w:t>
      </w:r>
      <w:r w:rsidRPr="004021AE">
        <w:t>B5A7666947BCE1A7 E9FC1996830898BF 3E6BD8E8E1966439 38D95ACA88</w:t>
      </w:r>
      <w:r w:rsidRPr="00366EC1">
        <w:t xml:space="preserve">. </w:t>
      </w:r>
    </w:p>
  </w:footnote>
  <w:footnote w:id="35">
    <w:p w14:paraId="034B6DB0" w14:textId="77777777" w:rsidR="005A055E" w:rsidRPr="00AE3CF6" w:rsidRDefault="005A055E" w:rsidP="006C031C">
      <w:pPr>
        <w:pStyle w:val="Textonotapie"/>
      </w:pPr>
      <w:r w:rsidRPr="00AE3CF6">
        <w:rPr>
          <w:rStyle w:val="Refdenotaalpie"/>
        </w:rPr>
        <w:footnoteRef/>
      </w:r>
      <w:r w:rsidRPr="00AE3CF6">
        <w:t xml:space="preserve"> Corte Constitucional. Sentencia T-017 de 2012.</w:t>
      </w:r>
    </w:p>
  </w:footnote>
  <w:footnote w:id="36">
    <w:p w14:paraId="1052923B" w14:textId="43B12485" w:rsidR="005A055E" w:rsidRDefault="005A055E" w:rsidP="006C031C">
      <w:pPr>
        <w:pStyle w:val="Textonotapie"/>
      </w:pPr>
      <w:r>
        <w:rPr>
          <w:rStyle w:val="Refdenotaalpie"/>
        </w:rPr>
        <w:footnoteRef/>
      </w:r>
      <w:r>
        <w:t xml:space="preserve"> </w:t>
      </w:r>
      <w:r w:rsidRPr="004021AE">
        <w:t xml:space="preserve">Sobre esta doble verificación la Corte Constitucional </w:t>
      </w:r>
      <w:r>
        <w:t xml:space="preserve">estableció en la </w:t>
      </w:r>
      <w:r w:rsidRPr="00AE3CF6">
        <w:t>Sentencia T-430 de 2016</w:t>
      </w:r>
      <w:r w:rsidRPr="004021AE">
        <w:t>:</w:t>
      </w:r>
      <w:r w:rsidRPr="004021AE">
        <w:rPr>
          <w:rFonts w:eastAsia="Times New Roman"/>
          <w:sz w:val="22"/>
          <w:szCs w:val="22"/>
          <w:lang w:eastAsia="es-ES"/>
        </w:rPr>
        <w:t xml:space="preserve"> </w:t>
      </w:r>
      <w:r w:rsidRPr="004021AE">
        <w:t xml:space="preserve">“En consecuencia con lo anterior, al juez de amparo le corresponde hacer un estudio de subsidiariedad en los términos del artículo 86 de la Constitución, en el que, primero, determine si </w:t>
      </w:r>
      <w:r w:rsidRPr="004021AE">
        <w:rPr>
          <w:u w:val="single"/>
        </w:rPr>
        <w:t>en abstracto</w:t>
      </w:r>
      <w:r w:rsidRPr="004021AE">
        <w:t xml:space="preserve"> el proceso cuenta con mecanismos de defensa eficaces e idóneos que garanticen la protección del derecho fundamental. De manera que, de no existir, la tutela resulta procedente en términos de subsidiariedad. Sin embargo, en el escenario de las providencias judiciales, la jurisprudencia ha desarrollado también la necesidad de realizar un </w:t>
      </w:r>
      <w:r w:rsidRPr="004021AE">
        <w:rPr>
          <w:u w:val="single"/>
        </w:rPr>
        <w:t>examen en concreto</w:t>
      </w:r>
      <w:r w:rsidRPr="004021AE">
        <w:t>, orientado a valorar la actividad procesal del tutelante, al punto de definir si ya ha agotado los medios ordinarios y extraordinarios de defensa que tenía a su alcance de manera diligente, y, no obstante, por una deficiencia de la actividad judicial, la amenaza al derecho permanece, lo que obliga a la intervención del trámite de amparo”</w:t>
      </w:r>
      <w:r w:rsidR="0043766E">
        <w:t>.</w:t>
      </w:r>
    </w:p>
  </w:footnote>
  <w:footnote w:id="37">
    <w:p w14:paraId="13EC1094" w14:textId="11CB8407" w:rsidR="00057B62" w:rsidRDefault="005A055E" w:rsidP="00057B62">
      <w:pPr>
        <w:pStyle w:val="Textonotapie"/>
      </w:pPr>
      <w:r>
        <w:rPr>
          <w:rStyle w:val="Refdenotaalpie"/>
        </w:rPr>
        <w:footnoteRef/>
      </w:r>
      <w:r>
        <w:t xml:space="preserve"> La Secretaria del Tribunal de Arbitramento allegó al despacho sustanciador, el escrito que contiene el referido recurso de reposición, con correo electrónico enviado el 11 de marzo de 2020.</w:t>
      </w:r>
      <w:r w:rsidR="00057B62">
        <w:t xml:space="preserve"> Páginas 6 y 7 del a</w:t>
      </w:r>
      <w:r w:rsidR="00057B62" w:rsidRPr="00366EC1">
        <w:t xml:space="preserve">rchivo electrónico que contiene </w:t>
      </w:r>
      <w:r w:rsidR="00057B62">
        <w:t>el recurso de reposición</w:t>
      </w:r>
      <w:r w:rsidR="00057B62" w:rsidRPr="00366EC1">
        <w:t xml:space="preserve">, con ubicación: </w:t>
      </w:r>
      <w:r w:rsidR="00057B62" w:rsidRPr="005C547A">
        <w:t>04746F92EDFE2403 ECE55277863E8967 1A8185083C89EC84 EB85B11C67B7CFF5</w:t>
      </w:r>
      <w:r w:rsidR="00057B62">
        <w:t>.</w:t>
      </w:r>
    </w:p>
    <w:p w14:paraId="4BC1AA03" w14:textId="52C2E38D" w:rsidR="005A055E" w:rsidRDefault="00057B62" w:rsidP="006C031C">
      <w:pPr>
        <w:pStyle w:val="Textonotapie"/>
      </w:pPr>
      <w:r w:rsidRPr="00057B62">
        <w:t>4748EB1D9250AD01 E5EE5C7D0F76BD16 0047C34158EC1ED2 67A116C239D13C78</w:t>
      </w:r>
      <w:r>
        <w:t>.</w:t>
      </w:r>
    </w:p>
  </w:footnote>
  <w:footnote w:id="38">
    <w:p w14:paraId="6A445412" w14:textId="27DCC28E" w:rsidR="005C547A" w:rsidRDefault="005C547A" w:rsidP="006C031C">
      <w:pPr>
        <w:pStyle w:val="Textonotapie"/>
      </w:pPr>
      <w:r>
        <w:rPr>
          <w:rStyle w:val="Refdenotaalpie"/>
        </w:rPr>
        <w:footnoteRef/>
      </w:r>
      <w:r>
        <w:t xml:space="preserve"> A</w:t>
      </w:r>
      <w:r w:rsidRPr="00366EC1">
        <w:t xml:space="preserve">rchivo electrónico que contiene </w:t>
      </w:r>
      <w:r>
        <w:t>la solicitud del 21 de diciembre de 2020</w:t>
      </w:r>
      <w:r w:rsidRPr="00366EC1">
        <w:t>, con ubicación:</w:t>
      </w:r>
      <w:r>
        <w:t xml:space="preserve"> </w:t>
      </w:r>
      <w:r w:rsidRPr="005C547A">
        <w:t>B2EA41289CE61D53 7F1F8A07EC35BA9A A46804A7BA79DF19 052B7661BDE3F195</w:t>
      </w:r>
      <w:r>
        <w:t>.</w:t>
      </w:r>
    </w:p>
  </w:footnote>
  <w:footnote w:id="39">
    <w:p w14:paraId="36956938" w14:textId="7077D650" w:rsidR="005C547A" w:rsidRDefault="005C547A" w:rsidP="006C031C">
      <w:pPr>
        <w:pStyle w:val="Textonotapie"/>
      </w:pPr>
      <w:r>
        <w:rPr>
          <w:rStyle w:val="Refdenotaalpie"/>
        </w:rPr>
        <w:footnoteRef/>
      </w:r>
      <w:r>
        <w:t xml:space="preserve"> A</w:t>
      </w:r>
      <w:r w:rsidRPr="00366EC1">
        <w:t xml:space="preserve">rchivo electrónico que contiene </w:t>
      </w:r>
      <w:r>
        <w:t>el auto No. 10 del 27 de enero de 2021</w:t>
      </w:r>
      <w:r w:rsidRPr="00366EC1">
        <w:t xml:space="preserve">, con ubicación: </w:t>
      </w:r>
      <w:r w:rsidRPr="005C547A">
        <w:t>04746F92EDFE2403 ECE55277863E8967 1A8185083C89EC84 EB85B11C67B7CFF5</w:t>
      </w:r>
      <w:r>
        <w:t>.</w:t>
      </w:r>
    </w:p>
  </w:footnote>
  <w:footnote w:id="40">
    <w:p w14:paraId="6406322D" w14:textId="4A15CC0F" w:rsidR="005A055E" w:rsidRDefault="005A055E" w:rsidP="006C031C">
      <w:pPr>
        <w:pStyle w:val="Textonotapie"/>
      </w:pPr>
      <w:r>
        <w:rPr>
          <w:rStyle w:val="Refdenotaalpie"/>
        </w:rPr>
        <w:footnoteRef/>
      </w:r>
      <w:r>
        <w:t xml:space="preserve"> “El examen de los libros se practicará en las oficinas o establecimientos del comerciante y en presencia de </w:t>
      </w:r>
      <w:r w:rsidRPr="006C031C">
        <w:t>éste</w:t>
      </w:r>
      <w:r w:rsidR="006C031C">
        <w:t xml:space="preserve"> (bis)</w:t>
      </w:r>
      <w:r>
        <w:t xml:space="preserve"> o de la persona que lo represente. El juez o funcionario hará constar los hechos y asientos verificados y, además, del estado general de la contabilidad o de los libros, con el fin de apreciar si se llevan conforme a la ley, y en consecuencia, reconocerles o no el valor probatorio correspondiente”.</w:t>
      </w:r>
    </w:p>
  </w:footnote>
  <w:footnote w:id="41">
    <w:p w14:paraId="2933BEF7" w14:textId="53E36411" w:rsidR="005A055E" w:rsidRDefault="005A055E" w:rsidP="006C031C">
      <w:pPr>
        <w:pStyle w:val="Textonotapie"/>
      </w:pPr>
      <w:r>
        <w:rPr>
          <w:rStyle w:val="Refdenotaalpie"/>
        </w:rPr>
        <w:footnoteRef/>
      </w:r>
      <w:r>
        <w:t xml:space="preserve"> Página 1 del archivo electrónico que contiene el auto No. 9 del 7 de diciembre de 2020, con ubicación: </w:t>
      </w:r>
      <w:r w:rsidRPr="00022E28">
        <w:t>147D0E4C342F7B6 FDA2FB8FD6B011F5 4F9C2351D81DB290 C6FA41946FF46D08</w:t>
      </w:r>
      <w:r>
        <w:t>.</w:t>
      </w:r>
    </w:p>
  </w:footnote>
  <w:footnote w:id="42">
    <w:p w14:paraId="0D142C33" w14:textId="69227EB0" w:rsidR="005A055E" w:rsidRPr="0043766E" w:rsidRDefault="005A055E" w:rsidP="006C031C">
      <w:pPr>
        <w:pStyle w:val="Textonotapie"/>
      </w:pPr>
      <w:r>
        <w:rPr>
          <w:rStyle w:val="Refdenotaalpie"/>
        </w:rPr>
        <w:footnoteRef/>
      </w:r>
      <w:r>
        <w:t xml:space="preserve"> </w:t>
      </w:r>
      <w:r w:rsidR="0043766E">
        <w:t>A</w:t>
      </w:r>
      <w:r w:rsidR="0043766E" w:rsidRPr="0043766E">
        <w:t xml:space="preserve">rchivo electrónico que contiene </w:t>
      </w:r>
      <w:r w:rsidR="0043766E">
        <w:t>la solicitud del 21 de diciembre de 2020</w:t>
      </w:r>
      <w:r w:rsidR="0043766E" w:rsidRPr="0043766E">
        <w:t>, con ubicación: B2EA41289CE61D53 7F1F8A07EC35BA9A A46804A7BA79DF19 052B7661BDE3F195</w:t>
      </w:r>
      <w:r w:rsidR="0043766E">
        <w:t>.</w:t>
      </w:r>
    </w:p>
  </w:footnote>
  <w:footnote w:id="43">
    <w:p w14:paraId="1DA60CAE" w14:textId="77777777" w:rsidR="005A055E" w:rsidRPr="00366EC1" w:rsidRDefault="005A055E" w:rsidP="006C031C">
      <w:pPr>
        <w:pStyle w:val="Textonotapie"/>
      </w:pPr>
      <w:r w:rsidRPr="00366EC1">
        <w:rPr>
          <w:rStyle w:val="Refdenotaalpie"/>
        </w:rPr>
        <w:footnoteRef/>
      </w:r>
      <w:r w:rsidRPr="00366EC1">
        <w:t xml:space="preserve"> Corte Constitucional. Sentencia</w:t>
      </w:r>
      <w:r>
        <w:t>s</w:t>
      </w:r>
      <w:r w:rsidRPr="00366EC1">
        <w:t xml:space="preserve"> SU-033 de 2018</w:t>
      </w:r>
      <w:r>
        <w:t xml:space="preserve"> y </w:t>
      </w:r>
      <w:r w:rsidRPr="00366EC1">
        <w:t>SU-500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5A055E" w:rsidRPr="00A15ACE" w:rsidRDefault="005A055E">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5A055E" w:rsidRPr="00A15ACE" w:rsidRDefault="005A055E">
    <w:pPr>
      <w:pStyle w:val="Encabezado"/>
    </w:pPr>
  </w:p>
  <w:p w14:paraId="4B90DC7A" w14:textId="77777777" w:rsidR="005A055E" w:rsidRPr="00A15ACE" w:rsidRDefault="005A055E">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2159EDBE"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623AC166" w:rsidR="005A055E" w:rsidRPr="007109A7" w:rsidRDefault="005A055E" w:rsidP="007109A7">
    <w:pPr>
      <w:tabs>
        <w:tab w:val="center" w:pos="4252"/>
        <w:tab w:val="right" w:pos="8504"/>
      </w:tabs>
      <w:jc w:val="right"/>
      <w:rPr>
        <w:color w:val="767171"/>
        <w:sz w:val="20"/>
        <w:szCs w:val="20"/>
        <w:lang w:val="es-ES"/>
      </w:rPr>
    </w:pPr>
    <w:r w:rsidRPr="00D86793">
      <w:rPr>
        <w:color w:val="767171"/>
        <w:sz w:val="20"/>
        <w:szCs w:val="20"/>
      </w:rPr>
      <w:t xml:space="preserve">Radicado: </w:t>
    </w:r>
    <w:r w:rsidRPr="007109A7">
      <w:rPr>
        <w:bCs/>
        <w:color w:val="767171"/>
        <w:sz w:val="20"/>
        <w:szCs w:val="20"/>
      </w:rPr>
      <w:t>11001-03-15-000-2021-00512-00</w:t>
    </w:r>
  </w:p>
  <w:p w14:paraId="0991BC67" w14:textId="7F4B1EB8" w:rsidR="005A055E" w:rsidRPr="00D86793" w:rsidRDefault="005A055E" w:rsidP="00D86793">
    <w:pPr>
      <w:tabs>
        <w:tab w:val="center" w:pos="4252"/>
        <w:tab w:val="right" w:pos="8504"/>
      </w:tabs>
      <w:jc w:val="right"/>
      <w:rPr>
        <w:bCs/>
        <w:color w:val="767171"/>
        <w:sz w:val="20"/>
        <w:szCs w:val="20"/>
      </w:rPr>
    </w:pPr>
    <w:r>
      <w:rPr>
        <w:color w:val="767171"/>
        <w:sz w:val="20"/>
        <w:szCs w:val="20"/>
      </w:rPr>
      <w:tab/>
    </w:r>
    <w:r w:rsidRPr="00D86793">
      <w:rPr>
        <w:color w:val="767171"/>
        <w:sz w:val="20"/>
        <w:szCs w:val="20"/>
      </w:rPr>
      <w:t xml:space="preserve">Accionante: </w:t>
    </w:r>
    <w:r w:rsidRPr="007109A7">
      <w:rPr>
        <w:bCs/>
        <w:color w:val="767171"/>
        <w:sz w:val="20"/>
        <w:szCs w:val="20"/>
      </w:rPr>
      <w:t>Compañía Energética de Occidente S.A.S. E.S.P.</w:t>
    </w:r>
  </w:p>
  <w:p w14:paraId="07B33FD0" w14:textId="25561C82" w:rsidR="005A055E" w:rsidRPr="00F532EA" w:rsidRDefault="005A055E"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5A055E" w:rsidRPr="00A15ACE" w:rsidRDefault="005A055E"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5A055E" w:rsidRPr="00A15ACE" w:rsidRDefault="005A055E" w:rsidP="00F1441F">
    <w:pPr>
      <w:pStyle w:val="Encabezado"/>
      <w:rPr>
        <w:color w:val="767171"/>
      </w:rPr>
    </w:pPr>
  </w:p>
  <w:p w14:paraId="3F3B7A5B" w14:textId="77777777" w:rsidR="005A055E" w:rsidRPr="007F276C" w:rsidRDefault="005A055E" w:rsidP="00A866E0">
    <w:pPr>
      <w:pStyle w:val="Sinespaciado"/>
    </w:pPr>
    <w:r w:rsidRPr="007F276C">
      <w:t>CONSEJO DE ESTADO</w:t>
    </w:r>
  </w:p>
  <w:p w14:paraId="6EF027A0" w14:textId="77777777" w:rsidR="005A055E" w:rsidRPr="007F276C" w:rsidRDefault="005A055E" w:rsidP="00A866E0">
    <w:pPr>
      <w:pStyle w:val="Sinespaciado"/>
    </w:pPr>
    <w:r w:rsidRPr="007F276C">
      <w:t>SALA DE LO CONTENCIOSO ADMINISTRATIVO</w:t>
    </w:r>
  </w:p>
  <w:p w14:paraId="2FC4305D" w14:textId="77777777" w:rsidR="005A055E" w:rsidRPr="007F276C" w:rsidRDefault="005A055E" w:rsidP="00A866E0">
    <w:pPr>
      <w:pStyle w:val="Sinespaciado"/>
    </w:pPr>
    <w:r w:rsidRPr="007F276C">
      <w:t>SECCIÓN TERCERA – SUBSECCIÓN C</w:t>
    </w:r>
  </w:p>
  <w:p w14:paraId="2BA226A1" w14:textId="77777777" w:rsidR="005A055E" w:rsidRDefault="005A05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37C323"/>
    <w:multiLevelType w:val="hybridMultilevel"/>
    <w:tmpl w:val="A3BB23D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4"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C3531F"/>
    <w:multiLevelType w:val="hybridMultilevel"/>
    <w:tmpl w:val="0948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0493998"/>
    <w:multiLevelType w:val="hybridMultilevel"/>
    <w:tmpl w:val="64D81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1FA2B32"/>
    <w:multiLevelType w:val="hybridMultilevel"/>
    <w:tmpl w:val="E1CE588C"/>
    <w:lvl w:ilvl="0" w:tplc="C92077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316B3"/>
    <w:multiLevelType w:val="hybridMultilevel"/>
    <w:tmpl w:val="981B224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A495A60"/>
    <w:multiLevelType w:val="hybridMultilevel"/>
    <w:tmpl w:val="4D182638"/>
    <w:lvl w:ilvl="0" w:tplc="BF98A0B8">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9"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D0C1A26"/>
    <w:multiLevelType w:val="hybridMultilevel"/>
    <w:tmpl w:val="ADCE3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C40068"/>
    <w:multiLevelType w:val="hybridMultilevel"/>
    <w:tmpl w:val="5FA8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C891937"/>
    <w:multiLevelType w:val="multilevel"/>
    <w:tmpl w:val="D46491E8"/>
    <w:lvl w:ilvl="0">
      <w:start w:val="1"/>
      <w:numFmt w:val="decimal"/>
      <w:pStyle w:val="Ttulo2"/>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6"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FF42DDA"/>
    <w:multiLevelType w:val="hybridMultilevel"/>
    <w:tmpl w:val="463E3C9C"/>
    <w:lvl w:ilvl="0" w:tplc="A98A81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5"/>
  </w:num>
  <w:num w:numId="5">
    <w:abstractNumId w:val="18"/>
  </w:num>
  <w:num w:numId="6">
    <w:abstractNumId w:val="35"/>
  </w:num>
  <w:num w:numId="7">
    <w:abstractNumId w:val="29"/>
  </w:num>
  <w:num w:numId="8">
    <w:abstractNumId w:val="39"/>
  </w:num>
  <w:num w:numId="9">
    <w:abstractNumId w:val="19"/>
  </w:num>
  <w:num w:numId="10">
    <w:abstractNumId w:val="17"/>
  </w:num>
  <w:num w:numId="11">
    <w:abstractNumId w:val="36"/>
  </w:num>
  <w:num w:numId="12">
    <w:abstractNumId w:val="10"/>
  </w:num>
  <w:num w:numId="13">
    <w:abstractNumId w:val="25"/>
  </w:num>
  <w:num w:numId="14">
    <w:abstractNumId w:val="30"/>
  </w:num>
  <w:num w:numId="15">
    <w:abstractNumId w:val="32"/>
  </w:num>
  <w:num w:numId="16">
    <w:abstractNumId w:val="33"/>
  </w:num>
  <w:num w:numId="17">
    <w:abstractNumId w:val="23"/>
  </w:num>
  <w:num w:numId="18">
    <w:abstractNumId w:val="40"/>
  </w:num>
  <w:num w:numId="19">
    <w:abstractNumId w:val="22"/>
  </w:num>
  <w:num w:numId="20">
    <w:abstractNumId w:val="6"/>
  </w:num>
  <w:num w:numId="21">
    <w:abstractNumId w:val="12"/>
  </w:num>
  <w:num w:numId="22">
    <w:abstractNumId w:val="37"/>
  </w:num>
  <w:num w:numId="23">
    <w:abstractNumId w:val="34"/>
  </w:num>
  <w:num w:numId="24">
    <w:abstractNumId w:val="26"/>
  </w:num>
  <w:num w:numId="25">
    <w:abstractNumId w:val="2"/>
  </w:num>
  <w:num w:numId="26">
    <w:abstractNumId w:val="3"/>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 w:numId="30">
    <w:abstractNumId w:val="9"/>
  </w:num>
  <w:num w:numId="31">
    <w:abstractNumId w:val="20"/>
  </w:num>
  <w:num w:numId="32">
    <w:abstractNumId w:val="5"/>
  </w:num>
  <w:num w:numId="33">
    <w:abstractNumId w:val="24"/>
  </w:num>
  <w:num w:numId="34">
    <w:abstractNumId w:val="16"/>
  </w:num>
  <w:num w:numId="35">
    <w:abstractNumId w:val="7"/>
  </w:num>
  <w:num w:numId="36">
    <w:abstractNumId w:val="28"/>
  </w:num>
  <w:num w:numId="37">
    <w:abstractNumId w:val="1"/>
  </w:num>
  <w:num w:numId="38">
    <w:abstractNumId w:val="14"/>
  </w:num>
  <w:num w:numId="39">
    <w:abstractNumId w:val="27"/>
  </w:num>
  <w:num w:numId="40">
    <w:abstractNumId w:val="38"/>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EF0"/>
    <w:rsid w:val="000030FE"/>
    <w:rsid w:val="0000395F"/>
    <w:rsid w:val="00003B92"/>
    <w:rsid w:val="00006D3C"/>
    <w:rsid w:val="0001756D"/>
    <w:rsid w:val="00017CB3"/>
    <w:rsid w:val="00022E28"/>
    <w:rsid w:val="00023711"/>
    <w:rsid w:val="00024E3E"/>
    <w:rsid w:val="00027850"/>
    <w:rsid w:val="00046770"/>
    <w:rsid w:val="00046DF7"/>
    <w:rsid w:val="00047317"/>
    <w:rsid w:val="00055E88"/>
    <w:rsid w:val="000572F7"/>
    <w:rsid w:val="000577E4"/>
    <w:rsid w:val="00057B62"/>
    <w:rsid w:val="00061B93"/>
    <w:rsid w:val="00063E23"/>
    <w:rsid w:val="00070EF6"/>
    <w:rsid w:val="000728E0"/>
    <w:rsid w:val="00073869"/>
    <w:rsid w:val="00076DD1"/>
    <w:rsid w:val="000778B0"/>
    <w:rsid w:val="00081152"/>
    <w:rsid w:val="00083B8F"/>
    <w:rsid w:val="00084A35"/>
    <w:rsid w:val="00094E7B"/>
    <w:rsid w:val="000969E2"/>
    <w:rsid w:val="000B4FC6"/>
    <w:rsid w:val="000C2B43"/>
    <w:rsid w:val="000C5B73"/>
    <w:rsid w:val="000C5DB7"/>
    <w:rsid w:val="000C7B4F"/>
    <w:rsid w:val="000D0E41"/>
    <w:rsid w:val="000D5563"/>
    <w:rsid w:val="000D70CE"/>
    <w:rsid w:val="000E2D62"/>
    <w:rsid w:val="000E55AF"/>
    <w:rsid w:val="000F38C6"/>
    <w:rsid w:val="00104A4E"/>
    <w:rsid w:val="00111C5F"/>
    <w:rsid w:val="0011234E"/>
    <w:rsid w:val="00115192"/>
    <w:rsid w:val="001163F9"/>
    <w:rsid w:val="00117091"/>
    <w:rsid w:val="001314F6"/>
    <w:rsid w:val="00133F91"/>
    <w:rsid w:val="0015394B"/>
    <w:rsid w:val="0015444A"/>
    <w:rsid w:val="00154A85"/>
    <w:rsid w:val="00155E78"/>
    <w:rsid w:val="00156A7A"/>
    <w:rsid w:val="00160258"/>
    <w:rsid w:val="00161A85"/>
    <w:rsid w:val="00166AF6"/>
    <w:rsid w:val="00170118"/>
    <w:rsid w:val="00173BAF"/>
    <w:rsid w:val="001833E7"/>
    <w:rsid w:val="0018527C"/>
    <w:rsid w:val="00187231"/>
    <w:rsid w:val="00194CD0"/>
    <w:rsid w:val="00195638"/>
    <w:rsid w:val="00196403"/>
    <w:rsid w:val="001A51D1"/>
    <w:rsid w:val="001A71B1"/>
    <w:rsid w:val="001A7B2D"/>
    <w:rsid w:val="001C3C1F"/>
    <w:rsid w:val="001D3B56"/>
    <w:rsid w:val="001D4E62"/>
    <w:rsid w:val="001E115B"/>
    <w:rsid w:val="001E1321"/>
    <w:rsid w:val="001E4F56"/>
    <w:rsid w:val="001E75D8"/>
    <w:rsid w:val="00201EC3"/>
    <w:rsid w:val="002104CB"/>
    <w:rsid w:val="00211BB3"/>
    <w:rsid w:val="002145FF"/>
    <w:rsid w:val="00214D23"/>
    <w:rsid w:val="002230E3"/>
    <w:rsid w:val="00223F42"/>
    <w:rsid w:val="00236DB4"/>
    <w:rsid w:val="00242539"/>
    <w:rsid w:val="00245107"/>
    <w:rsid w:val="00246239"/>
    <w:rsid w:val="00254098"/>
    <w:rsid w:val="002615B6"/>
    <w:rsid w:val="00262CA1"/>
    <w:rsid w:val="00267434"/>
    <w:rsid w:val="00274041"/>
    <w:rsid w:val="00274FC2"/>
    <w:rsid w:val="00281874"/>
    <w:rsid w:val="00283A66"/>
    <w:rsid w:val="002855AC"/>
    <w:rsid w:val="0028592C"/>
    <w:rsid w:val="0028665C"/>
    <w:rsid w:val="00295734"/>
    <w:rsid w:val="002B0B8D"/>
    <w:rsid w:val="002B2E88"/>
    <w:rsid w:val="002C12BC"/>
    <w:rsid w:val="002C6615"/>
    <w:rsid w:val="002D3690"/>
    <w:rsid w:val="002D480B"/>
    <w:rsid w:val="002E1978"/>
    <w:rsid w:val="002E6B63"/>
    <w:rsid w:val="002F03BA"/>
    <w:rsid w:val="002F0ACC"/>
    <w:rsid w:val="002F0F3B"/>
    <w:rsid w:val="00302902"/>
    <w:rsid w:val="00305607"/>
    <w:rsid w:val="00306BD4"/>
    <w:rsid w:val="0031514A"/>
    <w:rsid w:val="00325B1A"/>
    <w:rsid w:val="00331B20"/>
    <w:rsid w:val="00341D8D"/>
    <w:rsid w:val="00342C39"/>
    <w:rsid w:val="00351A63"/>
    <w:rsid w:val="003537D3"/>
    <w:rsid w:val="00354654"/>
    <w:rsid w:val="00355250"/>
    <w:rsid w:val="00360658"/>
    <w:rsid w:val="00361478"/>
    <w:rsid w:val="00366EC1"/>
    <w:rsid w:val="00367756"/>
    <w:rsid w:val="00374674"/>
    <w:rsid w:val="003806D8"/>
    <w:rsid w:val="00383156"/>
    <w:rsid w:val="00383425"/>
    <w:rsid w:val="00383560"/>
    <w:rsid w:val="00384507"/>
    <w:rsid w:val="00387BBC"/>
    <w:rsid w:val="003920B5"/>
    <w:rsid w:val="00394A69"/>
    <w:rsid w:val="0039594F"/>
    <w:rsid w:val="00396358"/>
    <w:rsid w:val="003A12C4"/>
    <w:rsid w:val="003A2FE2"/>
    <w:rsid w:val="003A6CF8"/>
    <w:rsid w:val="003B03D2"/>
    <w:rsid w:val="003B4515"/>
    <w:rsid w:val="003B77F9"/>
    <w:rsid w:val="003C0725"/>
    <w:rsid w:val="003C09EB"/>
    <w:rsid w:val="003C2382"/>
    <w:rsid w:val="003C2DB0"/>
    <w:rsid w:val="003C785A"/>
    <w:rsid w:val="003D1B94"/>
    <w:rsid w:val="003D2558"/>
    <w:rsid w:val="003D3FEE"/>
    <w:rsid w:val="003E3CA0"/>
    <w:rsid w:val="003F2BA3"/>
    <w:rsid w:val="003F47EC"/>
    <w:rsid w:val="003F4EE1"/>
    <w:rsid w:val="003F76BB"/>
    <w:rsid w:val="003F7FF5"/>
    <w:rsid w:val="0040083B"/>
    <w:rsid w:val="0040213E"/>
    <w:rsid w:val="004021AE"/>
    <w:rsid w:val="00402998"/>
    <w:rsid w:val="004042D6"/>
    <w:rsid w:val="0040696B"/>
    <w:rsid w:val="004106F1"/>
    <w:rsid w:val="004168CB"/>
    <w:rsid w:val="00420EA8"/>
    <w:rsid w:val="004211FA"/>
    <w:rsid w:val="00424723"/>
    <w:rsid w:val="00424C8B"/>
    <w:rsid w:val="00430389"/>
    <w:rsid w:val="004303C5"/>
    <w:rsid w:val="00430D89"/>
    <w:rsid w:val="00433145"/>
    <w:rsid w:val="0043766E"/>
    <w:rsid w:val="00447956"/>
    <w:rsid w:val="004517B4"/>
    <w:rsid w:val="00452C13"/>
    <w:rsid w:val="004546BF"/>
    <w:rsid w:val="00455301"/>
    <w:rsid w:val="0045564E"/>
    <w:rsid w:val="00461706"/>
    <w:rsid w:val="0047242F"/>
    <w:rsid w:val="0047256F"/>
    <w:rsid w:val="00474EDA"/>
    <w:rsid w:val="00477B73"/>
    <w:rsid w:val="004849BB"/>
    <w:rsid w:val="004857F6"/>
    <w:rsid w:val="00491910"/>
    <w:rsid w:val="00491D4D"/>
    <w:rsid w:val="00497735"/>
    <w:rsid w:val="004A1D38"/>
    <w:rsid w:val="004A4030"/>
    <w:rsid w:val="004A422F"/>
    <w:rsid w:val="004A59E5"/>
    <w:rsid w:val="004B0D45"/>
    <w:rsid w:val="004D5983"/>
    <w:rsid w:val="004D63F2"/>
    <w:rsid w:val="004E3D73"/>
    <w:rsid w:val="004E4716"/>
    <w:rsid w:val="004F0481"/>
    <w:rsid w:val="004F4F55"/>
    <w:rsid w:val="00505263"/>
    <w:rsid w:val="005127CB"/>
    <w:rsid w:val="005156C9"/>
    <w:rsid w:val="00521CAD"/>
    <w:rsid w:val="00522073"/>
    <w:rsid w:val="00526558"/>
    <w:rsid w:val="00530CAD"/>
    <w:rsid w:val="0053162F"/>
    <w:rsid w:val="0054069D"/>
    <w:rsid w:val="005450A0"/>
    <w:rsid w:val="00564CB3"/>
    <w:rsid w:val="00566726"/>
    <w:rsid w:val="005763BF"/>
    <w:rsid w:val="00585CA2"/>
    <w:rsid w:val="005922FB"/>
    <w:rsid w:val="005A055E"/>
    <w:rsid w:val="005A1ED5"/>
    <w:rsid w:val="005A358C"/>
    <w:rsid w:val="005A5FE4"/>
    <w:rsid w:val="005B65D7"/>
    <w:rsid w:val="005C2EB6"/>
    <w:rsid w:val="005C3B6D"/>
    <w:rsid w:val="005C547A"/>
    <w:rsid w:val="005D1791"/>
    <w:rsid w:val="005E39F5"/>
    <w:rsid w:val="005E7BA2"/>
    <w:rsid w:val="005F0AEA"/>
    <w:rsid w:val="005F2A13"/>
    <w:rsid w:val="0060644C"/>
    <w:rsid w:val="00612109"/>
    <w:rsid w:val="006146CC"/>
    <w:rsid w:val="00621F3E"/>
    <w:rsid w:val="006241B6"/>
    <w:rsid w:val="006371BF"/>
    <w:rsid w:val="006440C7"/>
    <w:rsid w:val="00651F05"/>
    <w:rsid w:val="006615F2"/>
    <w:rsid w:val="00663267"/>
    <w:rsid w:val="00664A8F"/>
    <w:rsid w:val="00670737"/>
    <w:rsid w:val="00676349"/>
    <w:rsid w:val="00685672"/>
    <w:rsid w:val="00687E32"/>
    <w:rsid w:val="006A1388"/>
    <w:rsid w:val="006A2F4F"/>
    <w:rsid w:val="006A3F80"/>
    <w:rsid w:val="006A43D4"/>
    <w:rsid w:val="006B52B8"/>
    <w:rsid w:val="006C031C"/>
    <w:rsid w:val="006C2743"/>
    <w:rsid w:val="006C7626"/>
    <w:rsid w:val="006D4799"/>
    <w:rsid w:val="006E2518"/>
    <w:rsid w:val="006F5132"/>
    <w:rsid w:val="006F6047"/>
    <w:rsid w:val="0070023E"/>
    <w:rsid w:val="00701255"/>
    <w:rsid w:val="00702D2F"/>
    <w:rsid w:val="00705AE5"/>
    <w:rsid w:val="007109A7"/>
    <w:rsid w:val="0072475A"/>
    <w:rsid w:val="0074235D"/>
    <w:rsid w:val="00745D63"/>
    <w:rsid w:val="00746E9B"/>
    <w:rsid w:val="00751493"/>
    <w:rsid w:val="00753A8E"/>
    <w:rsid w:val="00760059"/>
    <w:rsid w:val="00760DAF"/>
    <w:rsid w:val="00762478"/>
    <w:rsid w:val="00766E7B"/>
    <w:rsid w:val="007706B2"/>
    <w:rsid w:val="00770ADE"/>
    <w:rsid w:val="00773A85"/>
    <w:rsid w:val="0078672D"/>
    <w:rsid w:val="00796DDA"/>
    <w:rsid w:val="007A0C44"/>
    <w:rsid w:val="007A352C"/>
    <w:rsid w:val="007B639C"/>
    <w:rsid w:val="007C0DAA"/>
    <w:rsid w:val="007C7F6D"/>
    <w:rsid w:val="007D4A96"/>
    <w:rsid w:val="007F00FD"/>
    <w:rsid w:val="007F1B32"/>
    <w:rsid w:val="007F276C"/>
    <w:rsid w:val="007F3540"/>
    <w:rsid w:val="007F63EB"/>
    <w:rsid w:val="0080126C"/>
    <w:rsid w:val="00817A38"/>
    <w:rsid w:val="008203B5"/>
    <w:rsid w:val="00822EDC"/>
    <w:rsid w:val="00823E1F"/>
    <w:rsid w:val="00835345"/>
    <w:rsid w:val="008362FC"/>
    <w:rsid w:val="008405A3"/>
    <w:rsid w:val="00845BE1"/>
    <w:rsid w:val="00845F51"/>
    <w:rsid w:val="008653BB"/>
    <w:rsid w:val="00871943"/>
    <w:rsid w:val="008744E2"/>
    <w:rsid w:val="008747B3"/>
    <w:rsid w:val="00880936"/>
    <w:rsid w:val="008879C5"/>
    <w:rsid w:val="00893200"/>
    <w:rsid w:val="008A48F5"/>
    <w:rsid w:val="008B53BF"/>
    <w:rsid w:val="008C0626"/>
    <w:rsid w:val="008C0DBE"/>
    <w:rsid w:val="008C4606"/>
    <w:rsid w:val="008C64B2"/>
    <w:rsid w:val="008C764B"/>
    <w:rsid w:val="008D13D5"/>
    <w:rsid w:val="008D54E2"/>
    <w:rsid w:val="008D67CC"/>
    <w:rsid w:val="008D7532"/>
    <w:rsid w:val="008E7738"/>
    <w:rsid w:val="00900BD2"/>
    <w:rsid w:val="009061E9"/>
    <w:rsid w:val="00911C03"/>
    <w:rsid w:val="00911C2B"/>
    <w:rsid w:val="009210E8"/>
    <w:rsid w:val="009214E2"/>
    <w:rsid w:val="00923840"/>
    <w:rsid w:val="00940813"/>
    <w:rsid w:val="00953EB6"/>
    <w:rsid w:val="00957378"/>
    <w:rsid w:val="00960F14"/>
    <w:rsid w:val="009705EE"/>
    <w:rsid w:val="00970C83"/>
    <w:rsid w:val="00971F8E"/>
    <w:rsid w:val="0097486A"/>
    <w:rsid w:val="00975C61"/>
    <w:rsid w:val="00980965"/>
    <w:rsid w:val="00984A69"/>
    <w:rsid w:val="00986FEF"/>
    <w:rsid w:val="00992FD5"/>
    <w:rsid w:val="00996286"/>
    <w:rsid w:val="009A4799"/>
    <w:rsid w:val="009A5798"/>
    <w:rsid w:val="009C4370"/>
    <w:rsid w:val="009C606E"/>
    <w:rsid w:val="009D3549"/>
    <w:rsid w:val="009D3D38"/>
    <w:rsid w:val="009D43D2"/>
    <w:rsid w:val="009E1031"/>
    <w:rsid w:val="009E4DBC"/>
    <w:rsid w:val="009F4692"/>
    <w:rsid w:val="009F5813"/>
    <w:rsid w:val="009F5D97"/>
    <w:rsid w:val="00A00894"/>
    <w:rsid w:val="00A0511A"/>
    <w:rsid w:val="00A15ACE"/>
    <w:rsid w:val="00A21194"/>
    <w:rsid w:val="00A24EEB"/>
    <w:rsid w:val="00A25938"/>
    <w:rsid w:val="00A25C52"/>
    <w:rsid w:val="00A26DEE"/>
    <w:rsid w:val="00A35677"/>
    <w:rsid w:val="00A37038"/>
    <w:rsid w:val="00A4379F"/>
    <w:rsid w:val="00A467BD"/>
    <w:rsid w:val="00A47394"/>
    <w:rsid w:val="00A564FF"/>
    <w:rsid w:val="00A65B0D"/>
    <w:rsid w:val="00A73868"/>
    <w:rsid w:val="00A73EFB"/>
    <w:rsid w:val="00A820AD"/>
    <w:rsid w:val="00A866E0"/>
    <w:rsid w:val="00A8702B"/>
    <w:rsid w:val="00AA2FDB"/>
    <w:rsid w:val="00AA42B1"/>
    <w:rsid w:val="00AB33F4"/>
    <w:rsid w:val="00AB3C7B"/>
    <w:rsid w:val="00AB4172"/>
    <w:rsid w:val="00AB4DBA"/>
    <w:rsid w:val="00AB6312"/>
    <w:rsid w:val="00AC5837"/>
    <w:rsid w:val="00AC7886"/>
    <w:rsid w:val="00AC79C3"/>
    <w:rsid w:val="00AD0768"/>
    <w:rsid w:val="00AD3B2F"/>
    <w:rsid w:val="00AD599E"/>
    <w:rsid w:val="00AE19E9"/>
    <w:rsid w:val="00AE5822"/>
    <w:rsid w:val="00AE7836"/>
    <w:rsid w:val="00AF2827"/>
    <w:rsid w:val="00AF5226"/>
    <w:rsid w:val="00AF5DF2"/>
    <w:rsid w:val="00AF634C"/>
    <w:rsid w:val="00B00068"/>
    <w:rsid w:val="00B02662"/>
    <w:rsid w:val="00B04EDB"/>
    <w:rsid w:val="00B14389"/>
    <w:rsid w:val="00B251D5"/>
    <w:rsid w:val="00B37F45"/>
    <w:rsid w:val="00B542D5"/>
    <w:rsid w:val="00B6429B"/>
    <w:rsid w:val="00B65C69"/>
    <w:rsid w:val="00B70AC2"/>
    <w:rsid w:val="00B812C3"/>
    <w:rsid w:val="00B816F2"/>
    <w:rsid w:val="00B866C5"/>
    <w:rsid w:val="00B86C8A"/>
    <w:rsid w:val="00B913CC"/>
    <w:rsid w:val="00B9314A"/>
    <w:rsid w:val="00B97E8B"/>
    <w:rsid w:val="00BB0DD6"/>
    <w:rsid w:val="00BB423A"/>
    <w:rsid w:val="00BB79AE"/>
    <w:rsid w:val="00BC10C0"/>
    <w:rsid w:val="00BC199B"/>
    <w:rsid w:val="00BC416A"/>
    <w:rsid w:val="00BD1FC2"/>
    <w:rsid w:val="00BD2E8B"/>
    <w:rsid w:val="00BD67B1"/>
    <w:rsid w:val="00BE7BE5"/>
    <w:rsid w:val="00BF2ACB"/>
    <w:rsid w:val="00BF2AE3"/>
    <w:rsid w:val="00BF6472"/>
    <w:rsid w:val="00C018AC"/>
    <w:rsid w:val="00C022C9"/>
    <w:rsid w:val="00C24709"/>
    <w:rsid w:val="00C43CA0"/>
    <w:rsid w:val="00C46F9D"/>
    <w:rsid w:val="00C47FCD"/>
    <w:rsid w:val="00C54A33"/>
    <w:rsid w:val="00C54C36"/>
    <w:rsid w:val="00C5768B"/>
    <w:rsid w:val="00C70458"/>
    <w:rsid w:val="00C72F13"/>
    <w:rsid w:val="00C745EA"/>
    <w:rsid w:val="00C7549A"/>
    <w:rsid w:val="00C83DEA"/>
    <w:rsid w:val="00C87516"/>
    <w:rsid w:val="00C878D4"/>
    <w:rsid w:val="00C920A3"/>
    <w:rsid w:val="00CB3811"/>
    <w:rsid w:val="00CC3520"/>
    <w:rsid w:val="00CC58F4"/>
    <w:rsid w:val="00CD62AF"/>
    <w:rsid w:val="00CE2681"/>
    <w:rsid w:val="00CE2C4C"/>
    <w:rsid w:val="00CF122B"/>
    <w:rsid w:val="00CF1B2C"/>
    <w:rsid w:val="00D02709"/>
    <w:rsid w:val="00D06A86"/>
    <w:rsid w:val="00D1212B"/>
    <w:rsid w:val="00D12D4E"/>
    <w:rsid w:val="00D163C7"/>
    <w:rsid w:val="00D23E36"/>
    <w:rsid w:val="00D25AE1"/>
    <w:rsid w:val="00D273E2"/>
    <w:rsid w:val="00D2756B"/>
    <w:rsid w:val="00D2782F"/>
    <w:rsid w:val="00D31837"/>
    <w:rsid w:val="00D43E3D"/>
    <w:rsid w:val="00D445F9"/>
    <w:rsid w:val="00D53A8F"/>
    <w:rsid w:val="00D66815"/>
    <w:rsid w:val="00D67E46"/>
    <w:rsid w:val="00D729A8"/>
    <w:rsid w:val="00D86793"/>
    <w:rsid w:val="00DA1179"/>
    <w:rsid w:val="00DB4688"/>
    <w:rsid w:val="00DB7A08"/>
    <w:rsid w:val="00DD1B50"/>
    <w:rsid w:val="00DD48B8"/>
    <w:rsid w:val="00DD60DD"/>
    <w:rsid w:val="00DE2610"/>
    <w:rsid w:val="00DE7123"/>
    <w:rsid w:val="00E05366"/>
    <w:rsid w:val="00E06DCA"/>
    <w:rsid w:val="00E21631"/>
    <w:rsid w:val="00E251C3"/>
    <w:rsid w:val="00E341B8"/>
    <w:rsid w:val="00E4328A"/>
    <w:rsid w:val="00E43FC5"/>
    <w:rsid w:val="00E448B8"/>
    <w:rsid w:val="00E45687"/>
    <w:rsid w:val="00E46430"/>
    <w:rsid w:val="00E542CE"/>
    <w:rsid w:val="00E560B5"/>
    <w:rsid w:val="00E653CA"/>
    <w:rsid w:val="00E67FC5"/>
    <w:rsid w:val="00E70863"/>
    <w:rsid w:val="00E72499"/>
    <w:rsid w:val="00E800E8"/>
    <w:rsid w:val="00E81E62"/>
    <w:rsid w:val="00E82079"/>
    <w:rsid w:val="00E87355"/>
    <w:rsid w:val="00E92AE1"/>
    <w:rsid w:val="00EA5161"/>
    <w:rsid w:val="00EA58FA"/>
    <w:rsid w:val="00EA6751"/>
    <w:rsid w:val="00EB0959"/>
    <w:rsid w:val="00EB57EA"/>
    <w:rsid w:val="00EB79D3"/>
    <w:rsid w:val="00EC38ED"/>
    <w:rsid w:val="00ED5549"/>
    <w:rsid w:val="00ED72BB"/>
    <w:rsid w:val="00EE50B9"/>
    <w:rsid w:val="00EF7782"/>
    <w:rsid w:val="00F01167"/>
    <w:rsid w:val="00F0772F"/>
    <w:rsid w:val="00F101AA"/>
    <w:rsid w:val="00F1215B"/>
    <w:rsid w:val="00F1441F"/>
    <w:rsid w:val="00F1585B"/>
    <w:rsid w:val="00F16065"/>
    <w:rsid w:val="00F16FD3"/>
    <w:rsid w:val="00F36B38"/>
    <w:rsid w:val="00F41540"/>
    <w:rsid w:val="00F476AA"/>
    <w:rsid w:val="00F532EA"/>
    <w:rsid w:val="00F606FB"/>
    <w:rsid w:val="00F6085F"/>
    <w:rsid w:val="00F713AF"/>
    <w:rsid w:val="00F71B51"/>
    <w:rsid w:val="00F7659C"/>
    <w:rsid w:val="00F91B32"/>
    <w:rsid w:val="00F94873"/>
    <w:rsid w:val="00FA5BD0"/>
    <w:rsid w:val="00FA61FB"/>
    <w:rsid w:val="00FD07EA"/>
    <w:rsid w:val="00FD3474"/>
    <w:rsid w:val="00FD7078"/>
    <w:rsid w:val="00FE09DF"/>
    <w:rsid w:val="00FE2726"/>
    <w:rsid w:val="00FE3D08"/>
    <w:rsid w:val="00FF0BD7"/>
    <w:rsid w:val="00FF190B"/>
    <w:rsid w:val="00FF305D"/>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F7DD29F9-5BAD-4EB4-8B3E-6CA59D2F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6C031C"/>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6C031C"/>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A866E0"/>
    <w:pPr>
      <w:spacing w:line="276" w:lineRule="auto"/>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A866E0"/>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 w:type="paragraph" w:styleId="Revisin">
    <w:name w:val="Revision"/>
    <w:hidden/>
    <w:uiPriority w:val="99"/>
    <w:semiHidden/>
    <w:rsid w:val="006C031C"/>
    <w:rPr>
      <w:sz w:val="16"/>
      <w:szCs w:val="16"/>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78931">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716DB-96D3-4742-8626-3318B467CD88}">
  <ds:schemaRefs>
    <ds:schemaRef ds:uri="http://schemas.openxmlformats.org/officeDocument/2006/bibliography"/>
  </ds:schemaRefs>
</ds:datastoreItem>
</file>

<file path=customXml/itemProps2.xml><?xml version="1.0" encoding="utf-8"?>
<ds:datastoreItem xmlns:ds="http://schemas.openxmlformats.org/officeDocument/2006/customXml" ds:itemID="{8E6C4700-D2BC-45CC-94E4-FE90AB95E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18</Pages>
  <Words>7326</Words>
  <Characters>38321</Characters>
  <Application>Microsoft Office Word</Application>
  <DocSecurity>0</DocSecurity>
  <Lines>851</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María Del Mar Otero González</cp:lastModifiedBy>
  <cp:revision>21</cp:revision>
  <dcterms:created xsi:type="dcterms:W3CDTF">2021-03-30T21:48:00Z</dcterms:created>
  <dcterms:modified xsi:type="dcterms:W3CDTF">2021-05-06T17:15:00Z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