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FD561" w14:textId="77777777" w:rsidR="003D5797" w:rsidRPr="00422C10" w:rsidRDefault="003D5797" w:rsidP="003D5797">
      <w:pPr>
        <w:pStyle w:val="Sinespaciado"/>
        <w:rPr>
          <w:color w:val="000000" w:themeColor="text1"/>
        </w:rPr>
      </w:pPr>
      <w:r w:rsidRPr="00422C10">
        <w:rPr>
          <w:color w:val="000000" w:themeColor="text1"/>
        </w:rPr>
        <w:t>CONSEJERO PONENTE: JAIME ENRIQUE RODRÍGUEZ NAVAS</w:t>
      </w:r>
    </w:p>
    <w:p w14:paraId="4389C534" w14:textId="36CAA10C" w:rsidR="003D5797" w:rsidRPr="00422C10" w:rsidRDefault="003D5797" w:rsidP="003D5797">
      <w:pPr>
        <w:tabs>
          <w:tab w:val="left" w:pos="6173"/>
        </w:tabs>
        <w:spacing w:line="276" w:lineRule="auto"/>
        <w:contextualSpacing/>
        <w:jc w:val="both"/>
        <w:rPr>
          <w:rFonts w:ascii="Arial" w:hAnsi="Arial" w:cs="Arial"/>
          <w:b/>
          <w:bCs/>
          <w:color w:val="000000" w:themeColor="text1"/>
        </w:rPr>
      </w:pPr>
      <w:r w:rsidRPr="00422C10">
        <w:rPr>
          <w:rFonts w:ascii="Arial" w:hAnsi="Arial" w:cs="Arial"/>
          <w:b/>
          <w:bCs/>
          <w:color w:val="000000" w:themeColor="text1"/>
        </w:rPr>
        <w:tab/>
      </w:r>
    </w:p>
    <w:p w14:paraId="175F2300" w14:textId="72F29B02" w:rsidR="003D5797" w:rsidRPr="00422C10" w:rsidRDefault="003D5797" w:rsidP="003D5797">
      <w:pPr>
        <w:spacing w:line="276" w:lineRule="auto"/>
        <w:contextualSpacing/>
        <w:jc w:val="both"/>
        <w:rPr>
          <w:rFonts w:ascii="Arial" w:hAnsi="Arial" w:cs="Arial"/>
          <w:bCs/>
          <w:color w:val="000000" w:themeColor="text1"/>
        </w:rPr>
      </w:pPr>
      <w:r w:rsidRPr="00A262E4">
        <w:rPr>
          <w:rFonts w:ascii="Arial" w:hAnsi="Arial" w:cs="Arial"/>
          <w:bCs/>
          <w:color w:val="000000" w:themeColor="text1"/>
        </w:rPr>
        <w:t xml:space="preserve">Bogotá D.C., </w:t>
      </w:r>
      <w:r w:rsidR="00A262E4" w:rsidRPr="00A262E4">
        <w:rPr>
          <w:rFonts w:ascii="Arial" w:hAnsi="Arial" w:cs="Arial"/>
          <w:bCs/>
          <w:color w:val="000000" w:themeColor="text1"/>
        </w:rPr>
        <w:t>veinti</w:t>
      </w:r>
      <w:r w:rsidR="005011A1">
        <w:rPr>
          <w:rFonts w:ascii="Arial" w:hAnsi="Arial" w:cs="Arial"/>
          <w:bCs/>
          <w:color w:val="000000" w:themeColor="text1"/>
        </w:rPr>
        <w:t>ocho</w:t>
      </w:r>
      <w:r w:rsidRPr="00A262E4">
        <w:rPr>
          <w:rFonts w:ascii="Arial" w:hAnsi="Arial" w:cs="Arial"/>
          <w:bCs/>
          <w:color w:val="000000" w:themeColor="text1"/>
        </w:rPr>
        <w:t xml:space="preserve"> (</w:t>
      </w:r>
      <w:r w:rsidR="00A262E4" w:rsidRPr="00A262E4">
        <w:rPr>
          <w:rFonts w:ascii="Arial" w:hAnsi="Arial" w:cs="Arial"/>
          <w:bCs/>
          <w:color w:val="000000" w:themeColor="text1"/>
        </w:rPr>
        <w:t>2</w:t>
      </w:r>
      <w:r w:rsidR="005011A1">
        <w:rPr>
          <w:rFonts w:ascii="Arial" w:hAnsi="Arial" w:cs="Arial"/>
          <w:bCs/>
          <w:color w:val="000000" w:themeColor="text1"/>
        </w:rPr>
        <w:t>8</w:t>
      </w:r>
      <w:r w:rsidRPr="00A262E4">
        <w:rPr>
          <w:rFonts w:ascii="Arial" w:hAnsi="Arial" w:cs="Arial"/>
          <w:bCs/>
          <w:color w:val="000000" w:themeColor="text1"/>
        </w:rPr>
        <w:t xml:space="preserve">) de </w:t>
      </w:r>
      <w:r w:rsidR="00A262E4" w:rsidRPr="00A262E4">
        <w:rPr>
          <w:rFonts w:ascii="Arial" w:hAnsi="Arial" w:cs="Arial"/>
          <w:bCs/>
          <w:color w:val="000000" w:themeColor="text1"/>
        </w:rPr>
        <w:t>mayo</w:t>
      </w:r>
      <w:r w:rsidRPr="00A262E4">
        <w:rPr>
          <w:rFonts w:ascii="Arial" w:hAnsi="Arial" w:cs="Arial"/>
          <w:bCs/>
          <w:color w:val="000000" w:themeColor="text1"/>
        </w:rPr>
        <w:t xml:space="preserve"> de dos mil veintiuno (2021)</w:t>
      </w:r>
    </w:p>
    <w:p w14:paraId="37CE78F0" w14:textId="77777777" w:rsidR="003D5797" w:rsidRPr="00422C10" w:rsidRDefault="003D5797" w:rsidP="003D5797">
      <w:pPr>
        <w:spacing w:line="276" w:lineRule="auto"/>
        <w:contextualSpacing/>
        <w:jc w:val="both"/>
        <w:rPr>
          <w:rFonts w:ascii="Arial" w:hAnsi="Arial" w:cs="Arial"/>
          <w:bCs/>
          <w:color w:val="000000" w:themeColor="text1"/>
        </w:rPr>
      </w:pPr>
    </w:p>
    <w:p w14:paraId="645DD945" w14:textId="77777777" w:rsidR="003D5797" w:rsidRPr="00422C10" w:rsidRDefault="003D5797" w:rsidP="003D5797">
      <w:pPr>
        <w:spacing w:line="276" w:lineRule="auto"/>
        <w:ind w:left="1985" w:hanging="1985"/>
        <w:contextualSpacing/>
        <w:jc w:val="both"/>
        <w:rPr>
          <w:rFonts w:ascii="Arial" w:hAnsi="Arial" w:cs="Arial"/>
          <w:b/>
          <w:color w:val="000000" w:themeColor="text1"/>
        </w:rPr>
      </w:pPr>
      <w:r w:rsidRPr="00422C10">
        <w:rPr>
          <w:rFonts w:ascii="Arial" w:hAnsi="Arial" w:cs="Arial"/>
          <w:b/>
          <w:color w:val="000000" w:themeColor="text1"/>
        </w:rPr>
        <w:t xml:space="preserve">Referencia: </w:t>
      </w:r>
      <w:r w:rsidRPr="00422C10">
        <w:rPr>
          <w:rFonts w:ascii="Arial" w:hAnsi="Arial" w:cs="Arial"/>
          <w:b/>
          <w:color w:val="000000" w:themeColor="text1"/>
        </w:rPr>
        <w:tab/>
      </w:r>
      <w:r w:rsidRPr="00422C10">
        <w:rPr>
          <w:rFonts w:ascii="Arial" w:hAnsi="Arial" w:cs="Arial"/>
          <w:color w:val="000000" w:themeColor="text1"/>
        </w:rPr>
        <w:t>Acción de Tutela</w:t>
      </w:r>
    </w:p>
    <w:p w14:paraId="7F651CE8" w14:textId="77777777" w:rsidR="003D5797" w:rsidRPr="00422C10" w:rsidRDefault="003D5797" w:rsidP="003D5797">
      <w:pPr>
        <w:tabs>
          <w:tab w:val="left" w:pos="1985"/>
        </w:tabs>
        <w:spacing w:line="276" w:lineRule="auto"/>
        <w:contextualSpacing/>
        <w:jc w:val="both"/>
        <w:rPr>
          <w:rFonts w:ascii="Arial" w:hAnsi="Arial" w:cs="Arial"/>
          <w:color w:val="000000" w:themeColor="text1"/>
        </w:rPr>
      </w:pPr>
      <w:r w:rsidRPr="00422C10">
        <w:rPr>
          <w:rFonts w:ascii="Arial" w:hAnsi="Arial" w:cs="Arial"/>
          <w:b/>
          <w:color w:val="000000" w:themeColor="text1"/>
        </w:rPr>
        <w:t>Radicación:</w:t>
      </w:r>
      <w:r w:rsidRPr="00422C10">
        <w:rPr>
          <w:rFonts w:ascii="Arial" w:hAnsi="Arial" w:cs="Arial"/>
          <w:b/>
          <w:color w:val="000000" w:themeColor="text1"/>
        </w:rPr>
        <w:tab/>
      </w:r>
      <w:r w:rsidRPr="00422C10">
        <w:rPr>
          <w:rFonts w:ascii="Arial" w:hAnsi="Arial" w:cs="Arial"/>
          <w:color w:val="000000" w:themeColor="text1"/>
        </w:rPr>
        <w:t>11001-03-15-000-2021-00406-00</w:t>
      </w:r>
    </w:p>
    <w:p w14:paraId="6512DF40" w14:textId="77777777" w:rsidR="003D5797" w:rsidRPr="00422C10" w:rsidRDefault="003D5797" w:rsidP="003D5797">
      <w:pPr>
        <w:spacing w:line="276" w:lineRule="auto"/>
        <w:ind w:left="1985" w:hanging="1985"/>
        <w:contextualSpacing/>
        <w:jc w:val="both"/>
        <w:rPr>
          <w:rFonts w:ascii="Arial" w:hAnsi="Arial" w:cs="Arial"/>
          <w:b/>
          <w:color w:val="000000" w:themeColor="text1"/>
        </w:rPr>
      </w:pPr>
      <w:r w:rsidRPr="00422C10">
        <w:rPr>
          <w:rFonts w:ascii="Arial" w:hAnsi="Arial" w:cs="Arial"/>
          <w:b/>
          <w:color w:val="000000" w:themeColor="text1"/>
        </w:rPr>
        <w:t>Accionante:</w:t>
      </w:r>
      <w:r w:rsidRPr="00422C10">
        <w:rPr>
          <w:rFonts w:ascii="Arial" w:hAnsi="Arial" w:cs="Arial"/>
          <w:b/>
          <w:color w:val="000000" w:themeColor="text1"/>
        </w:rPr>
        <w:tab/>
      </w:r>
      <w:r w:rsidRPr="00422C10">
        <w:rPr>
          <w:rFonts w:ascii="Arial" w:hAnsi="Arial" w:cs="Arial"/>
          <w:color w:val="000000" w:themeColor="text1"/>
        </w:rPr>
        <w:t>Manuel de Jesús Santiago Polo</w:t>
      </w:r>
    </w:p>
    <w:p w14:paraId="200B748A" w14:textId="77777777" w:rsidR="003D5797" w:rsidRPr="00422C10" w:rsidRDefault="003D5797" w:rsidP="003D5797">
      <w:pPr>
        <w:tabs>
          <w:tab w:val="left" w:pos="1985"/>
        </w:tabs>
        <w:spacing w:line="276" w:lineRule="auto"/>
        <w:ind w:left="1985" w:right="51" w:hanging="1985"/>
        <w:contextualSpacing/>
        <w:jc w:val="both"/>
        <w:rPr>
          <w:rFonts w:ascii="Arial" w:hAnsi="Arial" w:cs="Arial"/>
          <w:color w:val="000000" w:themeColor="text1"/>
        </w:rPr>
      </w:pPr>
      <w:r w:rsidRPr="00422C10">
        <w:rPr>
          <w:rFonts w:ascii="Arial" w:hAnsi="Arial" w:cs="Arial"/>
          <w:b/>
          <w:color w:val="000000" w:themeColor="text1"/>
        </w:rPr>
        <w:t>Accionado:</w:t>
      </w:r>
      <w:r w:rsidRPr="00422C10">
        <w:rPr>
          <w:rFonts w:ascii="Arial" w:hAnsi="Arial" w:cs="Arial"/>
          <w:b/>
          <w:color w:val="000000" w:themeColor="text1"/>
        </w:rPr>
        <w:tab/>
      </w:r>
      <w:r w:rsidRPr="00422C10">
        <w:rPr>
          <w:rFonts w:ascii="Arial" w:hAnsi="Arial" w:cs="Arial"/>
          <w:color w:val="000000" w:themeColor="text1"/>
        </w:rPr>
        <w:t>Consejo Superior de la Judicatura – Sala Administrativa – Unidad Administrativa de Carrera Judicial</w:t>
      </w:r>
    </w:p>
    <w:p w14:paraId="0BAA9C66" w14:textId="77777777" w:rsidR="003D5797" w:rsidRPr="00422C10" w:rsidRDefault="003D5797" w:rsidP="003D5797">
      <w:pPr>
        <w:tabs>
          <w:tab w:val="left" w:pos="8222"/>
        </w:tabs>
        <w:spacing w:line="276" w:lineRule="auto"/>
        <w:ind w:right="51"/>
        <w:contextualSpacing/>
        <w:jc w:val="both"/>
        <w:rPr>
          <w:rFonts w:ascii="Arial" w:hAnsi="Arial" w:cs="Arial"/>
          <w:b/>
          <w:color w:val="000000" w:themeColor="text1"/>
        </w:rPr>
      </w:pPr>
    </w:p>
    <w:p w14:paraId="2B3EA828" w14:textId="77777777" w:rsidR="003D5797" w:rsidRPr="00422C10" w:rsidRDefault="003D5797" w:rsidP="003D5797">
      <w:pPr>
        <w:pBdr>
          <w:bottom w:val="single" w:sz="12" w:space="0" w:color="auto"/>
        </w:pBdr>
        <w:spacing w:line="276" w:lineRule="auto"/>
        <w:ind w:left="2832" w:hanging="2832"/>
        <w:contextualSpacing/>
        <w:jc w:val="both"/>
        <w:rPr>
          <w:rFonts w:ascii="Arial" w:hAnsi="Arial" w:cs="Arial"/>
          <w:b/>
          <w:color w:val="000000" w:themeColor="text1"/>
        </w:rPr>
      </w:pPr>
      <w:r w:rsidRPr="00422C10">
        <w:rPr>
          <w:rFonts w:ascii="Arial" w:hAnsi="Arial" w:cs="Arial"/>
          <w:b/>
          <w:color w:val="000000" w:themeColor="text1"/>
        </w:rPr>
        <w:t>SENTENCIA DE PRIMERA INSTANCIA</w:t>
      </w:r>
    </w:p>
    <w:p w14:paraId="1DC5DBBA" w14:textId="77777777" w:rsidR="003D5797" w:rsidRPr="00422C10" w:rsidRDefault="003D5797" w:rsidP="003D5797">
      <w:pPr>
        <w:spacing w:line="276" w:lineRule="auto"/>
        <w:contextualSpacing/>
        <w:jc w:val="both"/>
        <w:rPr>
          <w:rFonts w:ascii="Arial" w:hAnsi="Arial" w:cs="Arial"/>
          <w:b/>
          <w:color w:val="000000" w:themeColor="text1"/>
        </w:rPr>
      </w:pPr>
    </w:p>
    <w:p w14:paraId="4A8B3634" w14:textId="508698E5" w:rsidR="003D5797" w:rsidRPr="00422C10" w:rsidRDefault="003D5797" w:rsidP="003D5797">
      <w:pPr>
        <w:tabs>
          <w:tab w:val="left" w:pos="0"/>
        </w:tabs>
        <w:spacing w:line="276" w:lineRule="auto"/>
        <w:contextualSpacing/>
        <w:jc w:val="both"/>
        <w:rPr>
          <w:rFonts w:ascii="Arial" w:hAnsi="Arial" w:cs="Arial"/>
          <w:color w:val="000000" w:themeColor="text1"/>
        </w:rPr>
      </w:pPr>
      <w:r w:rsidRPr="00422C10">
        <w:rPr>
          <w:rFonts w:ascii="Arial" w:hAnsi="Arial" w:cs="Arial"/>
          <w:color w:val="000000" w:themeColor="text1"/>
        </w:rPr>
        <w:t xml:space="preserve">La Sala decide la solicitud de amparo que presentó Manuel de Jesús Santiago Polo en contra del Consejo Superior de la Judicatura – Sala Administrativa – </w:t>
      </w:r>
      <w:r w:rsidR="006470A4" w:rsidRPr="00422C10">
        <w:rPr>
          <w:rFonts w:ascii="Arial" w:eastAsia="Times New Roman" w:hAnsi="Arial" w:cs="Arial"/>
          <w:color w:val="000000" w:themeColor="text1"/>
          <w:lang w:eastAsia="es-ES"/>
        </w:rPr>
        <w:t>Unidad de Administración de la Carrera Judicial</w:t>
      </w:r>
      <w:r w:rsidRPr="00422C10">
        <w:rPr>
          <w:rFonts w:ascii="Arial" w:hAnsi="Arial" w:cs="Arial"/>
          <w:bCs/>
          <w:color w:val="000000" w:themeColor="text1"/>
        </w:rPr>
        <w:t>.</w:t>
      </w:r>
      <w:r w:rsidRPr="00422C10">
        <w:rPr>
          <w:rFonts w:ascii="Arial" w:hAnsi="Arial" w:cs="Arial"/>
          <w:color w:val="000000" w:themeColor="text1"/>
        </w:rPr>
        <w:t xml:space="preserve"> </w:t>
      </w:r>
    </w:p>
    <w:p w14:paraId="59AB353E" w14:textId="77777777" w:rsidR="003D5797" w:rsidRPr="00422C10" w:rsidRDefault="003D5797" w:rsidP="003D5797">
      <w:pPr>
        <w:tabs>
          <w:tab w:val="left" w:pos="0"/>
        </w:tabs>
        <w:spacing w:line="276" w:lineRule="auto"/>
        <w:contextualSpacing/>
        <w:jc w:val="both"/>
        <w:rPr>
          <w:rFonts w:ascii="Arial" w:hAnsi="Arial" w:cs="Arial"/>
          <w:color w:val="000000" w:themeColor="text1"/>
        </w:rPr>
      </w:pPr>
    </w:p>
    <w:p w14:paraId="182668E3" w14:textId="77777777" w:rsidR="003D5797" w:rsidRPr="00422C10" w:rsidRDefault="003D5797" w:rsidP="003D5797">
      <w:pPr>
        <w:tabs>
          <w:tab w:val="left" w:pos="0"/>
        </w:tabs>
        <w:spacing w:line="276" w:lineRule="auto"/>
        <w:contextualSpacing/>
        <w:jc w:val="center"/>
        <w:rPr>
          <w:rFonts w:ascii="Arial" w:hAnsi="Arial" w:cs="Arial"/>
          <w:b/>
          <w:color w:val="000000" w:themeColor="text1"/>
        </w:rPr>
      </w:pPr>
      <w:r w:rsidRPr="00422C10">
        <w:rPr>
          <w:rFonts w:ascii="Arial" w:hAnsi="Arial" w:cs="Arial"/>
          <w:b/>
          <w:color w:val="000000" w:themeColor="text1"/>
        </w:rPr>
        <w:t>I. ANTECEDENTES</w:t>
      </w:r>
    </w:p>
    <w:p w14:paraId="14928C62" w14:textId="77777777" w:rsidR="003D5797" w:rsidRPr="00422C10" w:rsidRDefault="003D5797" w:rsidP="003D5797">
      <w:pPr>
        <w:pStyle w:val="Ttulo2"/>
        <w:numPr>
          <w:ilvl w:val="0"/>
          <w:numId w:val="0"/>
        </w:numPr>
        <w:spacing w:line="276" w:lineRule="auto"/>
        <w:ind w:left="360" w:hanging="360"/>
        <w:jc w:val="both"/>
        <w:rPr>
          <w:rFonts w:cs="Arial"/>
          <w:color w:val="000000" w:themeColor="text1"/>
          <w:szCs w:val="24"/>
          <w:lang w:eastAsia="es-ES"/>
        </w:rPr>
      </w:pPr>
      <w:r w:rsidRPr="00422C10">
        <w:rPr>
          <w:rFonts w:cs="Arial"/>
          <w:color w:val="000000" w:themeColor="text1"/>
          <w:szCs w:val="24"/>
          <w:lang w:eastAsia="es-ES"/>
        </w:rPr>
        <w:t>1.1. Solicitud de tutela</w:t>
      </w:r>
    </w:p>
    <w:p w14:paraId="183B724B" w14:textId="791DAF84" w:rsidR="004602B2" w:rsidRPr="00422C10" w:rsidRDefault="004602B2" w:rsidP="004602B2">
      <w:pPr>
        <w:overflowPunct w:val="0"/>
        <w:autoSpaceDE w:val="0"/>
        <w:autoSpaceDN w:val="0"/>
        <w:adjustRightInd w:val="0"/>
        <w:spacing w:line="276" w:lineRule="auto"/>
        <w:contextualSpacing/>
        <w:jc w:val="both"/>
        <w:textAlignment w:val="baseline"/>
        <w:rPr>
          <w:rFonts w:ascii="Arial" w:hAnsi="Arial" w:cs="Arial"/>
          <w:color w:val="000000" w:themeColor="text1"/>
        </w:rPr>
      </w:pPr>
      <w:r w:rsidRPr="00422C10">
        <w:rPr>
          <w:rFonts w:ascii="Arial" w:hAnsi="Arial" w:cs="Arial"/>
          <w:color w:val="000000" w:themeColor="text1"/>
        </w:rPr>
        <w:t>Manuel de Jesús Santiago Polo solicitó</w:t>
      </w:r>
      <w:r w:rsidR="00287D6F" w:rsidRPr="00422C10">
        <w:rPr>
          <w:rStyle w:val="Refdenotaalpie"/>
          <w:rFonts w:ascii="Arial" w:hAnsi="Arial" w:cs="Arial"/>
          <w:color w:val="000000" w:themeColor="text1"/>
        </w:rPr>
        <w:footnoteReference w:id="1"/>
      </w:r>
      <w:r w:rsidRPr="00422C10">
        <w:rPr>
          <w:rFonts w:ascii="Arial" w:hAnsi="Arial" w:cs="Arial"/>
          <w:color w:val="000000" w:themeColor="text1"/>
        </w:rPr>
        <w:t xml:space="preserve"> la protección de sus derechos al debido proceso, a la igualdad y al acceso a cargos públicos que consideró vulnerados por la Unidad de Administración de la Carrera Judicial</w:t>
      </w:r>
      <w:r w:rsidR="008D18C8" w:rsidRPr="00422C10">
        <w:rPr>
          <w:rFonts w:ascii="Arial" w:hAnsi="Arial" w:cs="Arial"/>
          <w:color w:val="000000" w:themeColor="text1"/>
        </w:rPr>
        <w:t xml:space="preserve"> con ocasión de </w:t>
      </w:r>
      <w:r w:rsidRPr="00422C10">
        <w:rPr>
          <w:rFonts w:ascii="Arial" w:hAnsi="Arial" w:cs="Arial"/>
          <w:color w:val="000000" w:themeColor="text1"/>
        </w:rPr>
        <w:t>la Resolución CJR20-0202 de</w:t>
      </w:r>
      <w:r w:rsidR="00D025F6" w:rsidRPr="00422C10">
        <w:rPr>
          <w:rFonts w:ascii="Arial" w:hAnsi="Arial" w:cs="Arial"/>
          <w:color w:val="000000" w:themeColor="text1"/>
        </w:rPr>
        <w:t>l</w:t>
      </w:r>
      <w:r w:rsidRPr="00422C10">
        <w:rPr>
          <w:rFonts w:ascii="Arial" w:hAnsi="Arial" w:cs="Arial"/>
          <w:color w:val="000000" w:themeColor="text1"/>
        </w:rPr>
        <w:t xml:space="preserve"> 27 de octubre de 2020</w:t>
      </w:r>
      <w:r w:rsidR="00251B56" w:rsidRPr="00422C10">
        <w:rPr>
          <w:rFonts w:ascii="Arial" w:hAnsi="Arial" w:cs="Arial"/>
          <w:color w:val="000000" w:themeColor="text1"/>
        </w:rPr>
        <w:t xml:space="preserve">. </w:t>
      </w:r>
      <w:r w:rsidR="00B310A3" w:rsidRPr="00422C10">
        <w:rPr>
          <w:rFonts w:ascii="Arial" w:hAnsi="Arial" w:cs="Arial"/>
          <w:color w:val="000000" w:themeColor="text1"/>
        </w:rPr>
        <w:t xml:space="preserve">Como fundamento de lo anterior, sostuvo que este acto </w:t>
      </w:r>
      <w:r w:rsidRPr="00422C10">
        <w:rPr>
          <w:rFonts w:ascii="Arial" w:hAnsi="Arial" w:cs="Arial"/>
          <w:color w:val="000000" w:themeColor="text1"/>
        </w:rPr>
        <w:t>retrotrajo el trámite administrativo del concurso de méritos de la Convocatoria 27 sin tener en cuenta que la excesiva duración de este</w:t>
      </w:r>
      <w:r w:rsidR="00430304" w:rsidRPr="00422C10">
        <w:rPr>
          <w:rFonts w:ascii="Arial" w:hAnsi="Arial" w:cs="Arial"/>
          <w:color w:val="000000" w:themeColor="text1"/>
        </w:rPr>
        <w:t xml:space="preserve"> proceso de selección impide</w:t>
      </w:r>
      <w:r w:rsidRPr="00422C10">
        <w:rPr>
          <w:rFonts w:ascii="Arial" w:hAnsi="Arial" w:cs="Arial"/>
          <w:color w:val="000000" w:themeColor="text1"/>
        </w:rPr>
        <w:t xml:space="preserve"> el acceso a los cargos públicos conforme a la periodicidad prevista en los artículos 163 y 164 de la Ley 270 de 1996</w:t>
      </w:r>
      <w:r w:rsidR="00AC2A48" w:rsidRPr="00422C10">
        <w:rPr>
          <w:rFonts w:ascii="Arial" w:hAnsi="Arial" w:cs="Arial"/>
          <w:color w:val="000000" w:themeColor="text1"/>
        </w:rPr>
        <w:t>.</w:t>
      </w:r>
    </w:p>
    <w:p w14:paraId="3B9C5495" w14:textId="77777777" w:rsidR="004602B2" w:rsidRPr="00422C10" w:rsidRDefault="004602B2" w:rsidP="004602B2">
      <w:pPr>
        <w:overflowPunct w:val="0"/>
        <w:autoSpaceDE w:val="0"/>
        <w:autoSpaceDN w:val="0"/>
        <w:adjustRightInd w:val="0"/>
        <w:spacing w:line="276" w:lineRule="auto"/>
        <w:contextualSpacing/>
        <w:jc w:val="both"/>
        <w:textAlignment w:val="baseline"/>
        <w:rPr>
          <w:rFonts w:ascii="Arial" w:hAnsi="Arial" w:cs="Arial"/>
          <w:color w:val="000000" w:themeColor="text1"/>
        </w:rPr>
      </w:pPr>
    </w:p>
    <w:p w14:paraId="77659E7C" w14:textId="120B3ECD" w:rsidR="004602B2" w:rsidRPr="00422C10" w:rsidRDefault="00B310A3" w:rsidP="004602B2">
      <w:pPr>
        <w:overflowPunct w:val="0"/>
        <w:autoSpaceDE w:val="0"/>
        <w:autoSpaceDN w:val="0"/>
        <w:adjustRightInd w:val="0"/>
        <w:spacing w:line="276" w:lineRule="auto"/>
        <w:contextualSpacing/>
        <w:jc w:val="both"/>
        <w:textAlignment w:val="baseline"/>
        <w:rPr>
          <w:rFonts w:ascii="Arial" w:hAnsi="Arial" w:cs="Arial"/>
          <w:color w:val="000000" w:themeColor="text1"/>
        </w:rPr>
      </w:pPr>
      <w:r w:rsidRPr="00422C10">
        <w:rPr>
          <w:rFonts w:ascii="Arial" w:hAnsi="Arial" w:cs="Arial"/>
          <w:color w:val="000000" w:themeColor="text1"/>
        </w:rPr>
        <w:t>Para sustentar esta posición, el accionante</w:t>
      </w:r>
      <w:r w:rsidR="004602B2" w:rsidRPr="00422C10">
        <w:rPr>
          <w:rFonts w:ascii="Arial" w:hAnsi="Arial" w:cs="Arial"/>
          <w:color w:val="000000" w:themeColor="text1"/>
        </w:rPr>
        <w:t xml:space="preserve"> acotó que la Corte Constitucional en la sentencia T-682 de 2016 </w:t>
      </w:r>
      <w:r w:rsidR="00756CA3" w:rsidRPr="00422C10">
        <w:rPr>
          <w:rFonts w:ascii="Arial" w:hAnsi="Arial" w:cs="Arial"/>
          <w:color w:val="000000" w:themeColor="text1"/>
        </w:rPr>
        <w:t>estableció</w:t>
      </w:r>
      <w:r w:rsidR="004602B2" w:rsidRPr="00422C10">
        <w:rPr>
          <w:rFonts w:ascii="Arial" w:hAnsi="Arial" w:cs="Arial"/>
          <w:color w:val="000000" w:themeColor="text1"/>
        </w:rPr>
        <w:t xml:space="preserve"> que el término de dos años </w:t>
      </w:r>
      <w:r w:rsidR="00756CA3" w:rsidRPr="00422C10">
        <w:rPr>
          <w:rFonts w:ascii="Arial" w:hAnsi="Arial" w:cs="Arial"/>
          <w:color w:val="000000" w:themeColor="text1"/>
        </w:rPr>
        <w:t>fijado en el inciso 2 del artículo</w:t>
      </w:r>
      <w:r w:rsidR="004602B2" w:rsidRPr="00422C10">
        <w:rPr>
          <w:rFonts w:ascii="Arial" w:hAnsi="Arial" w:cs="Arial"/>
          <w:color w:val="000000" w:themeColor="text1"/>
        </w:rPr>
        <w:t xml:space="preserve"> 164 de la Ley 270 de 1996 constituye un plazo obligatorio para la celebración de los concursos de méritos y ordenó al Consejo Superior de la Judicatura que a más tardar en marzo de 2020, o antes, de ser necesario, iniciara una nueva convocatoria de funcionarios que garantizara una nueva lista de elegible</w:t>
      </w:r>
      <w:r w:rsidR="00B06E63">
        <w:rPr>
          <w:rFonts w:ascii="Arial" w:hAnsi="Arial" w:cs="Arial"/>
          <w:color w:val="000000" w:themeColor="text1"/>
        </w:rPr>
        <w:t>s</w:t>
      </w:r>
      <w:r w:rsidR="004602B2" w:rsidRPr="00422C10">
        <w:rPr>
          <w:rFonts w:ascii="Arial" w:hAnsi="Arial" w:cs="Arial"/>
          <w:color w:val="000000" w:themeColor="text1"/>
        </w:rPr>
        <w:t xml:space="preserve"> a la hora</w:t>
      </w:r>
      <w:r w:rsidR="001E76B2">
        <w:rPr>
          <w:rFonts w:ascii="Arial" w:hAnsi="Arial" w:cs="Arial"/>
          <w:color w:val="000000" w:themeColor="text1"/>
        </w:rPr>
        <w:t xml:space="preserve"> de vencer la originada con la C</w:t>
      </w:r>
      <w:r w:rsidR="004602B2" w:rsidRPr="00422C10">
        <w:rPr>
          <w:rFonts w:ascii="Arial" w:hAnsi="Arial" w:cs="Arial"/>
          <w:color w:val="000000" w:themeColor="text1"/>
        </w:rPr>
        <w:t>onvocatoria 22. Indicó que con b</w:t>
      </w:r>
      <w:r w:rsidR="000F07E1" w:rsidRPr="00422C10">
        <w:rPr>
          <w:rFonts w:ascii="Arial" w:hAnsi="Arial" w:cs="Arial"/>
          <w:color w:val="000000" w:themeColor="text1"/>
        </w:rPr>
        <w:t>ase en esa orden se realizó la C</w:t>
      </w:r>
      <w:r w:rsidR="004602B2" w:rsidRPr="00422C10">
        <w:rPr>
          <w:rFonts w:ascii="Arial" w:hAnsi="Arial" w:cs="Arial"/>
          <w:color w:val="000000" w:themeColor="text1"/>
        </w:rPr>
        <w:t>onvocatoria 27 en el año 2018 y que</w:t>
      </w:r>
      <w:r w:rsidR="000F07E1" w:rsidRPr="00422C10">
        <w:rPr>
          <w:rFonts w:ascii="Arial" w:hAnsi="Arial" w:cs="Arial"/>
          <w:color w:val="000000" w:themeColor="text1"/>
        </w:rPr>
        <w:t>, por lo tanto,</w:t>
      </w:r>
      <w:r w:rsidR="004602B2" w:rsidRPr="00422C10">
        <w:rPr>
          <w:rFonts w:ascii="Arial" w:hAnsi="Arial" w:cs="Arial"/>
          <w:color w:val="000000" w:themeColor="text1"/>
        </w:rPr>
        <w:t xml:space="preserve"> en el año 2020 ya debía </w:t>
      </w:r>
      <w:r w:rsidR="000F07E1" w:rsidRPr="00422C10">
        <w:rPr>
          <w:rFonts w:ascii="Arial" w:hAnsi="Arial" w:cs="Arial"/>
          <w:color w:val="000000" w:themeColor="text1"/>
        </w:rPr>
        <w:t>haberse iniciado</w:t>
      </w:r>
      <w:r w:rsidR="004602B2" w:rsidRPr="00422C10">
        <w:rPr>
          <w:rFonts w:ascii="Arial" w:hAnsi="Arial" w:cs="Arial"/>
          <w:color w:val="000000" w:themeColor="text1"/>
        </w:rPr>
        <w:t xml:space="preserve"> una nueva. </w:t>
      </w:r>
    </w:p>
    <w:p w14:paraId="107DEA65" w14:textId="77777777" w:rsidR="004602B2" w:rsidRPr="00422C10" w:rsidRDefault="004602B2" w:rsidP="004602B2">
      <w:pPr>
        <w:overflowPunct w:val="0"/>
        <w:autoSpaceDE w:val="0"/>
        <w:autoSpaceDN w:val="0"/>
        <w:adjustRightInd w:val="0"/>
        <w:spacing w:line="276" w:lineRule="auto"/>
        <w:contextualSpacing/>
        <w:jc w:val="both"/>
        <w:textAlignment w:val="baseline"/>
        <w:rPr>
          <w:rFonts w:ascii="Arial" w:hAnsi="Arial" w:cs="Arial"/>
          <w:color w:val="000000" w:themeColor="text1"/>
        </w:rPr>
      </w:pPr>
    </w:p>
    <w:p w14:paraId="4995D52B" w14:textId="439E9AFE" w:rsidR="004602B2" w:rsidRPr="00422C10" w:rsidRDefault="004602B2" w:rsidP="004602B2">
      <w:pPr>
        <w:overflowPunct w:val="0"/>
        <w:autoSpaceDE w:val="0"/>
        <w:autoSpaceDN w:val="0"/>
        <w:adjustRightInd w:val="0"/>
        <w:spacing w:line="276" w:lineRule="auto"/>
        <w:contextualSpacing/>
        <w:jc w:val="both"/>
        <w:textAlignment w:val="baseline"/>
        <w:rPr>
          <w:rFonts w:ascii="Arial" w:hAnsi="Arial" w:cs="Arial"/>
          <w:color w:val="000000" w:themeColor="text1"/>
        </w:rPr>
      </w:pPr>
      <w:r w:rsidRPr="00422C10">
        <w:rPr>
          <w:rFonts w:ascii="Arial" w:hAnsi="Arial" w:cs="Arial"/>
          <w:color w:val="000000" w:themeColor="text1"/>
        </w:rPr>
        <w:t xml:space="preserve">Finalmente, Manuel de Jesús Santiago Polo concluyó que </w:t>
      </w:r>
      <w:r w:rsidR="00C52717" w:rsidRPr="00422C10">
        <w:rPr>
          <w:rFonts w:ascii="Arial" w:hAnsi="Arial" w:cs="Arial"/>
          <w:color w:val="000000" w:themeColor="text1"/>
        </w:rPr>
        <w:t xml:space="preserve">si bien </w:t>
      </w:r>
      <w:r w:rsidR="00C2156D" w:rsidRPr="00422C10">
        <w:rPr>
          <w:rFonts w:ascii="Arial" w:hAnsi="Arial" w:cs="Arial"/>
          <w:color w:val="000000" w:themeColor="text1"/>
        </w:rPr>
        <w:t>es</w:t>
      </w:r>
      <w:r w:rsidR="00C52717" w:rsidRPr="00422C10">
        <w:rPr>
          <w:rFonts w:ascii="Arial" w:hAnsi="Arial" w:cs="Arial"/>
          <w:color w:val="000000" w:themeColor="text1"/>
        </w:rPr>
        <w:t xml:space="preserve"> cierto que ya se </w:t>
      </w:r>
      <w:r w:rsidR="00C2156D" w:rsidRPr="00422C10">
        <w:rPr>
          <w:rFonts w:ascii="Arial" w:hAnsi="Arial" w:cs="Arial"/>
          <w:color w:val="000000" w:themeColor="text1"/>
        </w:rPr>
        <w:t>vencieron</w:t>
      </w:r>
      <w:r w:rsidR="00C52717" w:rsidRPr="00422C10">
        <w:rPr>
          <w:rFonts w:ascii="Arial" w:hAnsi="Arial" w:cs="Arial"/>
          <w:color w:val="000000" w:themeColor="text1"/>
        </w:rPr>
        <w:t xml:space="preserve"> las fechas de inscripción establecidas en el Acuerdo PCSJA18-11077 del 16 de agosto de 2018,</w:t>
      </w:r>
      <w:r w:rsidR="00043395" w:rsidRPr="00422C10">
        <w:rPr>
          <w:rFonts w:ascii="Arial" w:hAnsi="Arial" w:cs="Arial"/>
          <w:color w:val="000000" w:themeColor="text1"/>
        </w:rPr>
        <w:t xml:space="preserve"> </w:t>
      </w:r>
      <w:r w:rsidRPr="00422C10">
        <w:rPr>
          <w:rFonts w:ascii="Arial" w:hAnsi="Arial" w:cs="Arial"/>
          <w:color w:val="000000" w:themeColor="text1"/>
        </w:rPr>
        <w:t xml:space="preserve">en esta ocasión </w:t>
      </w:r>
      <w:r w:rsidR="00C2156D" w:rsidRPr="00422C10">
        <w:rPr>
          <w:rFonts w:ascii="Arial" w:hAnsi="Arial" w:cs="Arial"/>
          <w:color w:val="000000" w:themeColor="text1"/>
        </w:rPr>
        <w:t>debió</w:t>
      </w:r>
      <w:r w:rsidRPr="00422C10">
        <w:rPr>
          <w:rFonts w:ascii="Arial" w:hAnsi="Arial" w:cs="Arial"/>
          <w:color w:val="000000" w:themeColor="text1"/>
        </w:rPr>
        <w:t xml:space="preserve"> aplicarse la </w:t>
      </w:r>
      <w:r w:rsidR="00C2156D" w:rsidRPr="00422C10">
        <w:rPr>
          <w:rFonts w:ascii="Arial" w:hAnsi="Arial" w:cs="Arial"/>
          <w:color w:val="000000" w:themeColor="text1"/>
        </w:rPr>
        <w:t>directriz</w:t>
      </w:r>
      <w:r w:rsidRPr="00422C10">
        <w:rPr>
          <w:rFonts w:ascii="Arial" w:hAnsi="Arial" w:cs="Arial"/>
          <w:color w:val="000000" w:themeColor="text1"/>
        </w:rPr>
        <w:t xml:space="preserve"> de la sentencia SU-</w:t>
      </w:r>
      <w:r w:rsidRPr="00422C10">
        <w:rPr>
          <w:rFonts w:ascii="Arial" w:hAnsi="Arial" w:cs="Arial"/>
          <w:color w:val="000000" w:themeColor="text1"/>
        </w:rPr>
        <w:lastRenderedPageBreak/>
        <w:t>913 de 2009, que, según su dicho, prevé que “las reglas señaladas para las convocatorias son las leyes del concurso y son inmodificables, salvo que ellas sean contrarias a la Constitución, la ley o resulten violatorias de derechos fundamentales”</w:t>
      </w:r>
      <w:r w:rsidR="00C81B26" w:rsidRPr="00422C10">
        <w:rPr>
          <w:rStyle w:val="Refdenotaalpie"/>
          <w:rFonts w:ascii="Arial" w:hAnsi="Arial" w:cs="Arial"/>
          <w:color w:val="000000" w:themeColor="text1"/>
        </w:rPr>
        <w:footnoteReference w:id="2"/>
      </w:r>
      <w:r w:rsidRPr="00422C10">
        <w:rPr>
          <w:rFonts w:ascii="Arial" w:hAnsi="Arial" w:cs="Arial"/>
          <w:color w:val="000000" w:themeColor="text1"/>
        </w:rPr>
        <w:t>, como a su juicio ocurre en este caso.</w:t>
      </w:r>
    </w:p>
    <w:p w14:paraId="3E0470EA" w14:textId="77777777" w:rsidR="00AC2A48" w:rsidRPr="00422C10" w:rsidRDefault="00AC2A48" w:rsidP="004602B2">
      <w:pPr>
        <w:overflowPunct w:val="0"/>
        <w:autoSpaceDE w:val="0"/>
        <w:autoSpaceDN w:val="0"/>
        <w:adjustRightInd w:val="0"/>
        <w:spacing w:line="276" w:lineRule="auto"/>
        <w:contextualSpacing/>
        <w:jc w:val="both"/>
        <w:textAlignment w:val="baseline"/>
        <w:rPr>
          <w:rFonts w:ascii="Arial" w:hAnsi="Arial" w:cs="Arial"/>
          <w:color w:val="000000" w:themeColor="text1"/>
        </w:rPr>
      </w:pPr>
    </w:p>
    <w:p w14:paraId="133F7C59" w14:textId="77777777"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b/>
          <w:color w:val="000000" w:themeColor="text1"/>
          <w:lang w:eastAsia="es-ES"/>
        </w:rPr>
      </w:pPr>
      <w:r w:rsidRPr="00422C10">
        <w:rPr>
          <w:rFonts w:ascii="Arial" w:eastAsia="Times New Roman" w:hAnsi="Arial" w:cs="Arial"/>
          <w:b/>
          <w:color w:val="000000" w:themeColor="text1"/>
          <w:lang w:eastAsia="es-ES"/>
        </w:rPr>
        <w:t>1.2. Pretensiones de tutela</w:t>
      </w:r>
    </w:p>
    <w:p w14:paraId="05921EA7" w14:textId="77777777"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6B0C9BCF" w14:textId="77777777" w:rsidR="00680082" w:rsidRPr="00422C10" w:rsidRDefault="003D5797" w:rsidP="00680082">
      <w:pPr>
        <w:overflowPunct w:val="0"/>
        <w:autoSpaceDE w:val="0"/>
        <w:autoSpaceDN w:val="0"/>
        <w:adjustRightInd w:val="0"/>
        <w:spacing w:line="276" w:lineRule="auto"/>
        <w:contextualSpacing/>
        <w:jc w:val="both"/>
        <w:textAlignment w:val="baseline"/>
        <w:rPr>
          <w:rFonts w:ascii="Arial" w:hAnsi="Arial" w:cs="Arial"/>
          <w:color w:val="000000" w:themeColor="text1"/>
        </w:rPr>
      </w:pPr>
      <w:r w:rsidRPr="00422C10">
        <w:rPr>
          <w:rFonts w:ascii="Arial" w:eastAsia="Times New Roman" w:hAnsi="Arial" w:cs="Arial"/>
          <w:color w:val="000000" w:themeColor="text1"/>
          <w:lang w:eastAsia="es-ES"/>
        </w:rPr>
        <w:t xml:space="preserve">Con fundamento en los argumentos recién expuestos </w:t>
      </w:r>
      <w:r w:rsidR="00680082" w:rsidRPr="00422C10">
        <w:rPr>
          <w:rFonts w:ascii="Arial" w:hAnsi="Arial" w:cs="Arial"/>
          <w:color w:val="000000" w:themeColor="text1"/>
        </w:rPr>
        <w:t>el señor Santiago Polo formuló la siguiente pretensión:</w:t>
      </w:r>
    </w:p>
    <w:p w14:paraId="5DC2323C" w14:textId="77777777" w:rsidR="00680082" w:rsidRPr="00422C10" w:rsidRDefault="00680082" w:rsidP="00680082">
      <w:pPr>
        <w:overflowPunct w:val="0"/>
        <w:autoSpaceDE w:val="0"/>
        <w:autoSpaceDN w:val="0"/>
        <w:adjustRightInd w:val="0"/>
        <w:spacing w:line="276" w:lineRule="auto"/>
        <w:contextualSpacing/>
        <w:jc w:val="both"/>
        <w:textAlignment w:val="baseline"/>
        <w:rPr>
          <w:rFonts w:ascii="Arial" w:hAnsi="Arial" w:cs="Arial"/>
          <w:b/>
          <w:color w:val="000000" w:themeColor="text1"/>
        </w:rPr>
      </w:pPr>
    </w:p>
    <w:p w14:paraId="7E0E0022" w14:textId="7025E730" w:rsidR="00680082" w:rsidRPr="00422C10" w:rsidRDefault="00680082" w:rsidP="00680082">
      <w:pPr>
        <w:spacing w:line="276" w:lineRule="auto"/>
        <w:ind w:left="708"/>
        <w:jc w:val="both"/>
        <w:rPr>
          <w:rFonts w:ascii="Arial" w:hAnsi="Arial" w:cs="Arial"/>
          <w:color w:val="000000" w:themeColor="text1"/>
          <w:sz w:val="22"/>
          <w:szCs w:val="22"/>
        </w:rPr>
      </w:pPr>
      <w:r w:rsidRPr="00422C10">
        <w:rPr>
          <w:rFonts w:ascii="Arial" w:hAnsi="Arial" w:cs="Arial"/>
          <w:color w:val="000000" w:themeColor="text1"/>
          <w:sz w:val="22"/>
          <w:szCs w:val="22"/>
        </w:rPr>
        <w:t>“MODIFIQUE las fechas de inscripciones dispuestas en el Artículo 3 núm. 2.3 del Acuerdo PCSJA18-11077 del 16 de agosto de 2018 que convocó el concurso de funcionarios de la rama judicial, de tal manera que se garantice conforme al incumplido término del art. 163 y 164 núm. 2 de la Ley 270 de 1996, la igualdad en las posibilidades de acceso a la función para todos los ciudadanos (art. 156 ejusdem) que teníamos la confianza de tener la posibilidad de acceder a dichos cargos en la periodicidad establecida en la ley”</w:t>
      </w:r>
      <w:r w:rsidRPr="00422C10">
        <w:rPr>
          <w:rStyle w:val="Refdenotaalpie"/>
          <w:rFonts w:ascii="Arial" w:hAnsi="Arial" w:cs="Arial"/>
          <w:color w:val="000000" w:themeColor="text1"/>
          <w:sz w:val="22"/>
          <w:szCs w:val="22"/>
        </w:rPr>
        <w:footnoteReference w:id="3"/>
      </w:r>
      <w:r w:rsidRPr="00422C10">
        <w:rPr>
          <w:rFonts w:ascii="Arial" w:hAnsi="Arial" w:cs="Arial"/>
          <w:color w:val="000000" w:themeColor="text1"/>
          <w:sz w:val="22"/>
          <w:szCs w:val="22"/>
        </w:rPr>
        <w:t>.</w:t>
      </w:r>
    </w:p>
    <w:p w14:paraId="7A281E78" w14:textId="77777777" w:rsidR="00680082" w:rsidRPr="00422C10" w:rsidRDefault="00680082" w:rsidP="00680082">
      <w:pPr>
        <w:spacing w:line="276" w:lineRule="auto"/>
        <w:ind w:left="708"/>
        <w:jc w:val="both"/>
        <w:rPr>
          <w:rFonts w:ascii="Arial" w:eastAsia="Times New Roman" w:hAnsi="Arial" w:cs="Arial"/>
          <w:color w:val="000000" w:themeColor="text1"/>
        </w:rPr>
      </w:pPr>
    </w:p>
    <w:p w14:paraId="0B608D51" w14:textId="6738045F" w:rsidR="003D5797" w:rsidRPr="00422C10" w:rsidRDefault="003D5797" w:rsidP="00680082">
      <w:pPr>
        <w:overflowPunct w:val="0"/>
        <w:autoSpaceDE w:val="0"/>
        <w:autoSpaceDN w:val="0"/>
        <w:adjustRightInd w:val="0"/>
        <w:spacing w:line="276" w:lineRule="auto"/>
        <w:contextualSpacing/>
        <w:jc w:val="both"/>
        <w:rPr>
          <w:rFonts w:ascii="Arial" w:hAnsi="Arial" w:cs="Arial"/>
          <w:color w:val="000000" w:themeColor="text1"/>
        </w:rPr>
      </w:pPr>
      <w:r w:rsidRPr="00422C10">
        <w:rPr>
          <w:rFonts w:ascii="Arial" w:hAnsi="Arial" w:cs="Arial"/>
          <w:b/>
          <w:color w:val="000000" w:themeColor="text1"/>
        </w:rPr>
        <w:t xml:space="preserve">1.3. Trámite de tutela e intervenciones  </w:t>
      </w:r>
    </w:p>
    <w:p w14:paraId="121A0FE8" w14:textId="77777777" w:rsidR="003D5797" w:rsidRPr="00422C10" w:rsidRDefault="003D5797" w:rsidP="003D5797">
      <w:pPr>
        <w:overflowPunct w:val="0"/>
        <w:autoSpaceDE w:val="0"/>
        <w:autoSpaceDN w:val="0"/>
        <w:adjustRightInd w:val="0"/>
        <w:spacing w:line="276" w:lineRule="auto"/>
        <w:contextualSpacing/>
        <w:jc w:val="both"/>
        <w:rPr>
          <w:rFonts w:ascii="Arial" w:hAnsi="Arial" w:cs="Arial"/>
          <w:b/>
          <w:color w:val="000000" w:themeColor="text1"/>
        </w:rPr>
      </w:pPr>
    </w:p>
    <w:p w14:paraId="07DE9D6A" w14:textId="67577EDE" w:rsidR="00414268" w:rsidRPr="00422C10" w:rsidRDefault="003D5797" w:rsidP="00406B42">
      <w:pPr>
        <w:spacing w:line="276" w:lineRule="auto"/>
        <w:contextualSpacing/>
        <w:jc w:val="both"/>
        <w:rPr>
          <w:rFonts w:ascii="Arial" w:hAnsi="Arial" w:cs="Arial"/>
          <w:color w:val="000000" w:themeColor="text1"/>
        </w:rPr>
      </w:pPr>
      <w:r w:rsidRPr="00422C10">
        <w:rPr>
          <w:rFonts w:ascii="Arial" w:hAnsi="Arial" w:cs="Arial"/>
          <w:b/>
          <w:color w:val="000000" w:themeColor="text1"/>
        </w:rPr>
        <w:t>1.3.1.</w:t>
      </w:r>
      <w:r w:rsidRPr="00422C10">
        <w:rPr>
          <w:rFonts w:ascii="Arial" w:hAnsi="Arial" w:cs="Arial"/>
          <w:color w:val="000000" w:themeColor="text1"/>
        </w:rPr>
        <w:t xml:space="preserve"> </w:t>
      </w:r>
      <w:r w:rsidR="00B43B63" w:rsidRPr="00422C10">
        <w:rPr>
          <w:rFonts w:ascii="Arial" w:hAnsi="Arial" w:cs="Arial"/>
          <w:color w:val="000000" w:themeColor="text1"/>
        </w:rPr>
        <w:t>El</w:t>
      </w:r>
      <w:r w:rsidR="004C6061" w:rsidRPr="00422C10">
        <w:rPr>
          <w:rFonts w:ascii="Arial" w:hAnsi="Arial" w:cs="Arial"/>
          <w:color w:val="000000" w:themeColor="text1"/>
        </w:rPr>
        <w:t xml:space="preserve"> c</w:t>
      </w:r>
      <w:r w:rsidR="00B43B63" w:rsidRPr="00422C10">
        <w:rPr>
          <w:rFonts w:ascii="Arial" w:hAnsi="Arial" w:cs="Arial"/>
          <w:color w:val="000000" w:themeColor="text1"/>
        </w:rPr>
        <w:t>onsejero de Estado Julio Roberto Piza Rodríguez</w:t>
      </w:r>
      <w:r w:rsidRPr="00422C10">
        <w:rPr>
          <w:rFonts w:ascii="Arial" w:hAnsi="Arial" w:cs="Arial"/>
          <w:color w:val="000000" w:themeColor="text1"/>
        </w:rPr>
        <w:t xml:space="preserve">, en auto del </w:t>
      </w:r>
      <w:r w:rsidR="00B43B63" w:rsidRPr="00422C10">
        <w:rPr>
          <w:rFonts w:ascii="Arial" w:hAnsi="Arial" w:cs="Arial"/>
          <w:color w:val="000000" w:themeColor="text1"/>
        </w:rPr>
        <w:t>8</w:t>
      </w:r>
      <w:r w:rsidRPr="00422C10">
        <w:rPr>
          <w:rFonts w:ascii="Arial" w:hAnsi="Arial" w:cs="Arial"/>
          <w:color w:val="000000" w:themeColor="text1"/>
        </w:rPr>
        <w:t xml:space="preserve"> de </w:t>
      </w:r>
      <w:r w:rsidR="00B43B63" w:rsidRPr="00422C10">
        <w:rPr>
          <w:rFonts w:ascii="Arial" w:hAnsi="Arial" w:cs="Arial"/>
          <w:color w:val="000000" w:themeColor="text1"/>
        </w:rPr>
        <w:t>febre</w:t>
      </w:r>
      <w:r w:rsidRPr="00422C10">
        <w:rPr>
          <w:rFonts w:ascii="Arial" w:hAnsi="Arial" w:cs="Arial"/>
          <w:color w:val="000000" w:themeColor="text1"/>
        </w:rPr>
        <w:t>ro de 2021</w:t>
      </w:r>
      <w:r w:rsidRPr="00422C10">
        <w:rPr>
          <w:rStyle w:val="Refdenotaalpie"/>
          <w:rFonts w:ascii="Arial" w:hAnsi="Arial" w:cs="Arial"/>
          <w:color w:val="000000" w:themeColor="text1"/>
        </w:rPr>
        <w:footnoteReference w:id="4"/>
      </w:r>
      <w:r w:rsidRPr="00422C10">
        <w:rPr>
          <w:rFonts w:ascii="Arial" w:hAnsi="Arial" w:cs="Arial"/>
          <w:color w:val="000000" w:themeColor="text1"/>
        </w:rPr>
        <w:t xml:space="preserve"> admitió la acción de tutela y </w:t>
      </w:r>
      <w:r w:rsidR="00B43B63" w:rsidRPr="00422C10">
        <w:rPr>
          <w:rFonts w:ascii="Arial" w:hAnsi="Arial" w:cs="Arial"/>
          <w:color w:val="000000" w:themeColor="text1"/>
        </w:rPr>
        <w:t>ordenó al secretario general de la Corporación que certificara si se habían presentado otras tutelas por los mismos hechos y pretensiones.</w:t>
      </w:r>
      <w:r w:rsidR="00B43B63" w:rsidRPr="00422C10">
        <w:rPr>
          <w:rFonts w:ascii="Arial" w:eastAsia="Times New Roman" w:hAnsi="Arial" w:cs="Arial"/>
          <w:color w:val="000000" w:themeColor="text1"/>
          <w:lang w:eastAsia="es-ES"/>
        </w:rPr>
        <w:t xml:space="preserve"> </w:t>
      </w:r>
    </w:p>
    <w:p w14:paraId="0249AF06" w14:textId="77777777" w:rsidR="00414268" w:rsidRPr="00422C10" w:rsidRDefault="00414268" w:rsidP="00406B42">
      <w:pPr>
        <w:spacing w:line="276" w:lineRule="auto"/>
        <w:contextualSpacing/>
        <w:jc w:val="both"/>
        <w:rPr>
          <w:rFonts w:ascii="Arial" w:hAnsi="Arial" w:cs="Arial"/>
          <w:color w:val="000000" w:themeColor="text1"/>
        </w:rPr>
      </w:pPr>
    </w:p>
    <w:p w14:paraId="71CC00FD" w14:textId="203B5031" w:rsidR="00377E9C" w:rsidRPr="00422C10" w:rsidRDefault="00414268" w:rsidP="00406B42">
      <w:pPr>
        <w:spacing w:line="276" w:lineRule="auto"/>
        <w:contextualSpacing/>
        <w:jc w:val="both"/>
        <w:rPr>
          <w:rFonts w:ascii="Arial" w:hAnsi="Arial" w:cs="Arial"/>
          <w:color w:val="000000" w:themeColor="text1"/>
        </w:rPr>
      </w:pPr>
      <w:r w:rsidRPr="00422C10">
        <w:rPr>
          <w:rFonts w:ascii="Arial" w:hAnsi="Arial" w:cs="Arial"/>
          <w:b/>
          <w:color w:val="000000" w:themeColor="text1"/>
        </w:rPr>
        <w:t xml:space="preserve">1.3.2. </w:t>
      </w:r>
      <w:r w:rsidR="000838E2" w:rsidRPr="00422C10">
        <w:rPr>
          <w:rFonts w:ascii="Arial" w:hAnsi="Arial" w:cs="Arial"/>
          <w:color w:val="000000" w:themeColor="text1"/>
        </w:rPr>
        <w:t xml:space="preserve">El 16 de febrero de 2021 Manuel de Jesús Santiago Polo </w:t>
      </w:r>
      <w:r w:rsidR="00A7393F" w:rsidRPr="00422C10">
        <w:rPr>
          <w:rFonts w:ascii="Arial" w:hAnsi="Arial" w:cs="Arial"/>
          <w:color w:val="000000" w:themeColor="text1"/>
        </w:rPr>
        <w:t>presentó un memorial</w:t>
      </w:r>
      <w:r w:rsidR="00F73E5F" w:rsidRPr="00422C10">
        <w:rPr>
          <w:rStyle w:val="Refdenotaalpie"/>
          <w:rFonts w:ascii="Arial" w:hAnsi="Arial" w:cs="Arial"/>
          <w:color w:val="000000" w:themeColor="text1"/>
        </w:rPr>
        <w:footnoteReference w:id="5"/>
      </w:r>
      <w:r w:rsidR="00A7393F" w:rsidRPr="00422C10">
        <w:rPr>
          <w:rFonts w:ascii="Arial" w:hAnsi="Arial" w:cs="Arial"/>
          <w:color w:val="000000" w:themeColor="text1"/>
        </w:rPr>
        <w:t xml:space="preserve"> en el que</w:t>
      </w:r>
      <w:r w:rsidR="00622B69" w:rsidRPr="00422C10">
        <w:rPr>
          <w:rFonts w:ascii="Arial" w:hAnsi="Arial" w:cs="Arial"/>
          <w:color w:val="000000" w:themeColor="text1"/>
        </w:rPr>
        <w:t>: (i)</w:t>
      </w:r>
      <w:r w:rsidR="00A7393F" w:rsidRPr="00422C10">
        <w:rPr>
          <w:rFonts w:ascii="Arial" w:hAnsi="Arial" w:cs="Arial"/>
          <w:color w:val="000000" w:themeColor="text1"/>
        </w:rPr>
        <w:t xml:space="preserve"> allegó la respuesta </w:t>
      </w:r>
      <w:r w:rsidR="00BE2B06" w:rsidRPr="00422C10">
        <w:rPr>
          <w:rFonts w:ascii="Arial" w:hAnsi="Arial" w:cs="Arial"/>
          <w:color w:val="000000" w:themeColor="text1"/>
        </w:rPr>
        <w:t xml:space="preserve">negativa </w:t>
      </w:r>
      <w:r w:rsidR="00A7393F" w:rsidRPr="00422C10">
        <w:rPr>
          <w:rFonts w:ascii="Arial" w:hAnsi="Arial" w:cs="Arial"/>
          <w:color w:val="000000" w:themeColor="text1"/>
        </w:rPr>
        <w:t xml:space="preserve">que le dio la Unidad de Administración de la Carrera Judicial a una </w:t>
      </w:r>
      <w:r w:rsidR="0079305B" w:rsidRPr="00422C10">
        <w:rPr>
          <w:rFonts w:ascii="Arial" w:hAnsi="Arial" w:cs="Arial"/>
          <w:color w:val="000000" w:themeColor="text1"/>
        </w:rPr>
        <w:t xml:space="preserve">petición en la que le solicitaba que </w:t>
      </w:r>
      <w:r w:rsidR="003679C4" w:rsidRPr="00422C10">
        <w:rPr>
          <w:rFonts w:ascii="Arial" w:hAnsi="Arial" w:cs="Arial"/>
          <w:color w:val="000000" w:themeColor="text1"/>
        </w:rPr>
        <w:t xml:space="preserve">abriera nuevamente la etapa de inscripción </w:t>
      </w:r>
      <w:r w:rsidR="00622B69" w:rsidRPr="00422C10">
        <w:rPr>
          <w:rFonts w:ascii="Arial" w:hAnsi="Arial" w:cs="Arial"/>
          <w:color w:val="000000" w:themeColor="text1"/>
        </w:rPr>
        <w:t xml:space="preserve">para la Convocatoria 27; (ii) solicitó que se aplicara la excepción constitucional establecida en sentencia SU-913 de 2009 para poder modificar las fechas de inscripción fijadas en el Acuerdo PCSJA18-11077 del 16 de agosto de 2018; y (iii) peticionó que se vinculara a todos los inscritos en la Convocatoria 27 y se les comunicara </w:t>
      </w:r>
      <w:r w:rsidR="002301A9" w:rsidRPr="00422C10">
        <w:rPr>
          <w:rFonts w:ascii="Arial" w:hAnsi="Arial" w:cs="Arial"/>
          <w:color w:val="000000" w:themeColor="text1"/>
        </w:rPr>
        <w:t>la admisión de la acción de la referencia.</w:t>
      </w:r>
      <w:r w:rsidR="00A11EA3" w:rsidRPr="00422C10">
        <w:rPr>
          <w:rFonts w:ascii="Arial" w:hAnsi="Arial" w:cs="Arial"/>
          <w:color w:val="000000" w:themeColor="text1"/>
        </w:rPr>
        <w:t xml:space="preserve"> En este mismo sentido volvió a presentar un memorial</w:t>
      </w:r>
      <w:r w:rsidR="00F73E5F" w:rsidRPr="00422C10">
        <w:rPr>
          <w:rStyle w:val="Refdenotaalpie"/>
          <w:rFonts w:ascii="Arial" w:hAnsi="Arial" w:cs="Arial"/>
          <w:color w:val="000000" w:themeColor="text1"/>
        </w:rPr>
        <w:footnoteReference w:id="6"/>
      </w:r>
      <w:r w:rsidR="00A11EA3" w:rsidRPr="00422C10">
        <w:rPr>
          <w:rFonts w:ascii="Arial" w:hAnsi="Arial" w:cs="Arial"/>
          <w:color w:val="000000" w:themeColor="text1"/>
        </w:rPr>
        <w:t xml:space="preserve"> el 4 de marzo de 2021 en el que además explicó las razones por las que a su juicio la acción de tutela era el mecanismo idóneo y eficaz para solicitar la protección de sus derechos. </w:t>
      </w:r>
    </w:p>
    <w:p w14:paraId="00332F64" w14:textId="77777777" w:rsidR="00377E9C" w:rsidRPr="00422C10" w:rsidRDefault="00377E9C" w:rsidP="00406B42">
      <w:pPr>
        <w:spacing w:line="276" w:lineRule="auto"/>
        <w:contextualSpacing/>
        <w:jc w:val="both"/>
        <w:rPr>
          <w:rFonts w:ascii="Arial" w:hAnsi="Arial" w:cs="Arial"/>
          <w:color w:val="000000" w:themeColor="text1"/>
        </w:rPr>
      </w:pPr>
    </w:p>
    <w:p w14:paraId="5543853E" w14:textId="72293616" w:rsidR="002301A9" w:rsidRPr="00422C10" w:rsidRDefault="002301A9" w:rsidP="00406B42">
      <w:pPr>
        <w:spacing w:line="276" w:lineRule="auto"/>
        <w:jc w:val="both"/>
        <w:rPr>
          <w:rFonts w:ascii="Arial" w:eastAsia="Times New Roman" w:hAnsi="Arial" w:cs="Arial"/>
          <w:color w:val="000000" w:themeColor="text1"/>
          <w:lang w:eastAsia="es-ES"/>
        </w:rPr>
      </w:pPr>
      <w:r w:rsidRPr="00422C10">
        <w:rPr>
          <w:rFonts w:ascii="Arial" w:hAnsi="Arial" w:cs="Arial"/>
          <w:b/>
          <w:color w:val="000000" w:themeColor="text1"/>
        </w:rPr>
        <w:lastRenderedPageBreak/>
        <w:t>1</w:t>
      </w:r>
      <w:r w:rsidR="00C36B60" w:rsidRPr="00422C10">
        <w:rPr>
          <w:rFonts w:ascii="Arial" w:hAnsi="Arial" w:cs="Arial"/>
          <w:b/>
          <w:color w:val="000000" w:themeColor="text1"/>
        </w:rPr>
        <w:t>.</w:t>
      </w:r>
      <w:r w:rsidRPr="00422C10">
        <w:rPr>
          <w:rFonts w:ascii="Arial" w:hAnsi="Arial" w:cs="Arial"/>
          <w:b/>
          <w:color w:val="000000" w:themeColor="text1"/>
        </w:rPr>
        <w:t>3.3.</w:t>
      </w:r>
      <w:r w:rsidRPr="00422C10">
        <w:rPr>
          <w:rFonts w:ascii="Arial" w:hAnsi="Arial" w:cs="Arial"/>
          <w:color w:val="000000" w:themeColor="text1"/>
        </w:rPr>
        <w:t xml:space="preserve"> El </w:t>
      </w:r>
      <w:r w:rsidRPr="00422C10">
        <w:rPr>
          <w:rFonts w:ascii="Arial" w:eastAsia="Times New Roman" w:hAnsi="Arial" w:cs="Arial"/>
          <w:b/>
          <w:color w:val="000000" w:themeColor="text1"/>
          <w:lang w:eastAsia="es-ES"/>
        </w:rPr>
        <w:t>Consejo Superior de la Judicatura - Unidad de Admini</w:t>
      </w:r>
      <w:r w:rsidR="00C36B60" w:rsidRPr="00422C10">
        <w:rPr>
          <w:rFonts w:ascii="Arial" w:eastAsia="Times New Roman" w:hAnsi="Arial" w:cs="Arial"/>
          <w:b/>
          <w:color w:val="000000" w:themeColor="text1"/>
          <w:lang w:eastAsia="es-ES"/>
        </w:rPr>
        <w:t>stración de la Carrera Judicial</w:t>
      </w:r>
      <w:r w:rsidR="008A135C" w:rsidRPr="00422C10">
        <w:rPr>
          <w:rFonts w:ascii="Arial" w:eastAsia="Times New Roman" w:hAnsi="Arial" w:cs="Arial"/>
          <w:color w:val="000000" w:themeColor="text1"/>
          <w:lang w:eastAsia="es-ES"/>
        </w:rPr>
        <w:t>, el 17 de febrero de 2021,</w:t>
      </w:r>
      <w:r w:rsidR="00D0581F" w:rsidRPr="00422C10">
        <w:rPr>
          <w:rFonts w:ascii="Arial" w:eastAsia="Times New Roman" w:hAnsi="Arial" w:cs="Arial"/>
          <w:color w:val="000000" w:themeColor="text1"/>
          <w:lang w:eastAsia="es-ES"/>
        </w:rPr>
        <w:t xml:space="preserve"> arrimó un escrito</w:t>
      </w:r>
      <w:r w:rsidR="00601BDB" w:rsidRPr="00422C10">
        <w:rPr>
          <w:rStyle w:val="Refdenotaalpie"/>
          <w:rFonts w:ascii="Arial" w:eastAsia="Times New Roman" w:hAnsi="Arial" w:cs="Arial"/>
          <w:color w:val="000000" w:themeColor="text1"/>
          <w:lang w:eastAsia="es-ES"/>
        </w:rPr>
        <w:footnoteReference w:id="7"/>
      </w:r>
      <w:r w:rsidR="00D0581F" w:rsidRPr="00422C10">
        <w:rPr>
          <w:rFonts w:ascii="Arial" w:eastAsia="Times New Roman" w:hAnsi="Arial" w:cs="Arial"/>
          <w:color w:val="000000" w:themeColor="text1"/>
          <w:lang w:eastAsia="es-ES"/>
        </w:rPr>
        <w:t xml:space="preserve"> en el que </w:t>
      </w:r>
      <w:r w:rsidRPr="00422C10">
        <w:rPr>
          <w:rFonts w:ascii="Arial" w:eastAsia="Times New Roman" w:hAnsi="Arial" w:cs="Arial"/>
          <w:color w:val="000000" w:themeColor="text1"/>
          <w:lang w:eastAsia="es-ES"/>
        </w:rPr>
        <w:t xml:space="preserve">sostuvo que el señor Martínez Montes no agotó las vías ordinarias que tenía a su disposición y tampoco expuso que se encontrara ante un posible perjuicio irremediable que hiciera procedente la acción de tutela. </w:t>
      </w:r>
    </w:p>
    <w:p w14:paraId="1A5B9090" w14:textId="77777777" w:rsidR="002301A9" w:rsidRPr="00422C10" w:rsidRDefault="002301A9" w:rsidP="00406B42">
      <w:pPr>
        <w:spacing w:line="276" w:lineRule="auto"/>
        <w:ind w:left="708"/>
        <w:jc w:val="both"/>
        <w:rPr>
          <w:rFonts w:ascii="Arial" w:eastAsia="Times New Roman" w:hAnsi="Arial" w:cs="Arial"/>
          <w:color w:val="000000" w:themeColor="text1"/>
          <w:lang w:eastAsia="es-ES"/>
        </w:rPr>
      </w:pPr>
    </w:p>
    <w:p w14:paraId="45C5B383" w14:textId="075CB1B8" w:rsidR="002301A9" w:rsidRPr="00422C10" w:rsidRDefault="002301A9" w:rsidP="00406B42">
      <w:pPr>
        <w:spacing w:line="276" w:lineRule="auto"/>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Aunado a lo anterior, en aras de defender sus actuaciones, el Consejo Superior de la Judicatura indicó que el Acuerdo PCSJA18-11077 del 16 de agosto de 2018 es la norma reguladora del concurso de méritos aquí discutido, y que en este, se previeron unas condiciones para la inscripción de los participantes que no se encuentran viciadas y que ya precluyeron. Señaló que ha actuado de conformidad con su deber legal ante las irregularidades encontradas en la prueba de conocimiento y las múltiples acciones legales que han elevado los participantes de la convocatoria</w:t>
      </w:r>
      <w:r w:rsidR="00406B42" w:rsidRPr="00422C10">
        <w:rPr>
          <w:rFonts w:ascii="Arial" w:eastAsia="Times New Roman" w:hAnsi="Arial" w:cs="Arial"/>
          <w:color w:val="000000" w:themeColor="text1"/>
          <w:lang w:eastAsia="es-ES"/>
        </w:rPr>
        <w:t>.</w:t>
      </w:r>
    </w:p>
    <w:p w14:paraId="4C848234" w14:textId="77777777" w:rsidR="002301A9" w:rsidRPr="00422C10" w:rsidRDefault="002301A9" w:rsidP="00406B42">
      <w:pPr>
        <w:spacing w:line="276" w:lineRule="auto"/>
        <w:jc w:val="both"/>
        <w:rPr>
          <w:rFonts w:ascii="Arial" w:eastAsia="Times New Roman" w:hAnsi="Arial" w:cs="Arial"/>
          <w:color w:val="000000" w:themeColor="text1"/>
          <w:lang w:eastAsia="es-ES"/>
        </w:rPr>
      </w:pPr>
    </w:p>
    <w:p w14:paraId="0A4227BD" w14:textId="7F0626E6" w:rsidR="002F3CCB" w:rsidRPr="00422C10" w:rsidRDefault="00406B42" w:rsidP="00406B42">
      <w:pPr>
        <w:spacing w:line="276" w:lineRule="auto"/>
        <w:jc w:val="both"/>
        <w:rPr>
          <w:rFonts w:ascii="Arial" w:hAnsi="Arial" w:cs="Arial"/>
          <w:color w:val="000000" w:themeColor="text1"/>
        </w:rPr>
      </w:pPr>
      <w:r w:rsidRPr="00422C10">
        <w:rPr>
          <w:rFonts w:ascii="Arial" w:hAnsi="Arial" w:cs="Arial"/>
          <w:color w:val="000000" w:themeColor="text1"/>
        </w:rPr>
        <w:t xml:space="preserve">Por último, la </w:t>
      </w:r>
      <w:r w:rsidRPr="00422C10">
        <w:rPr>
          <w:rFonts w:ascii="Arial" w:eastAsia="Times New Roman" w:hAnsi="Arial" w:cs="Arial"/>
          <w:color w:val="000000" w:themeColor="text1"/>
          <w:lang w:eastAsia="es-ES"/>
        </w:rPr>
        <w:t>Unidad de Administración de la Carrera Judicial</w:t>
      </w:r>
      <w:r w:rsidRPr="00422C10">
        <w:rPr>
          <w:rFonts w:ascii="Arial" w:hAnsi="Arial" w:cs="Arial"/>
          <w:color w:val="000000" w:themeColor="text1"/>
        </w:rPr>
        <w:t xml:space="preserve"> indicó que no podía</w:t>
      </w:r>
      <w:r w:rsidR="002F3CCB" w:rsidRPr="00422C10">
        <w:rPr>
          <w:rFonts w:ascii="Arial" w:hAnsi="Arial" w:cs="Arial"/>
          <w:color w:val="000000" w:themeColor="text1"/>
        </w:rPr>
        <w:t xml:space="preserve"> permitir la inscripción de nuevos participantes ya que vulneraría el derecho al debido proceso y el derecho a la igualdad de los concursantes que se encuentran inscritos, ocasionando un retraso en la convocatoria y generando costos adicionales que no están contemplados</w:t>
      </w:r>
      <w:r w:rsidRPr="00422C10">
        <w:rPr>
          <w:rFonts w:ascii="Arial" w:hAnsi="Arial" w:cs="Arial"/>
          <w:color w:val="000000" w:themeColor="text1"/>
        </w:rPr>
        <w:t>.</w:t>
      </w:r>
    </w:p>
    <w:p w14:paraId="59651060" w14:textId="77777777" w:rsidR="007202C2" w:rsidRPr="00422C10" w:rsidRDefault="007202C2" w:rsidP="00406B42">
      <w:pPr>
        <w:spacing w:line="276" w:lineRule="auto"/>
        <w:jc w:val="both"/>
        <w:rPr>
          <w:rFonts w:ascii="Arial" w:hAnsi="Arial" w:cs="Arial"/>
          <w:color w:val="000000" w:themeColor="text1"/>
        </w:rPr>
      </w:pPr>
    </w:p>
    <w:p w14:paraId="421B1327" w14:textId="3122060B" w:rsidR="00C8511D" w:rsidRPr="00422C10" w:rsidRDefault="00C8511D" w:rsidP="00406B42">
      <w:pPr>
        <w:spacing w:line="276" w:lineRule="auto"/>
        <w:jc w:val="both"/>
        <w:rPr>
          <w:rFonts w:ascii="Arial" w:hAnsi="Arial" w:cs="Arial"/>
          <w:color w:val="000000" w:themeColor="text1"/>
        </w:rPr>
      </w:pPr>
      <w:r w:rsidRPr="00422C10">
        <w:rPr>
          <w:rFonts w:ascii="Arial" w:hAnsi="Arial" w:cs="Arial"/>
          <w:b/>
          <w:color w:val="000000" w:themeColor="text1"/>
        </w:rPr>
        <w:t xml:space="preserve">1.3.4. </w:t>
      </w:r>
      <w:r w:rsidRPr="00422C10">
        <w:rPr>
          <w:rFonts w:ascii="Arial" w:hAnsi="Arial" w:cs="Arial"/>
          <w:color w:val="000000" w:themeColor="text1"/>
        </w:rPr>
        <w:t>El 18 de febrero de 2021, la Secretaría General del Consejo de Estado solicitó</w:t>
      </w:r>
      <w:r w:rsidRPr="00422C10">
        <w:rPr>
          <w:rStyle w:val="Refdenotaalpie"/>
          <w:rFonts w:ascii="Arial" w:hAnsi="Arial" w:cs="Arial"/>
          <w:color w:val="000000" w:themeColor="text1"/>
        </w:rPr>
        <w:footnoteReference w:id="8"/>
      </w:r>
      <w:r w:rsidRPr="00422C10">
        <w:rPr>
          <w:rFonts w:ascii="Arial" w:hAnsi="Arial" w:cs="Arial"/>
          <w:color w:val="000000" w:themeColor="text1"/>
        </w:rPr>
        <w:t xml:space="preserve"> a todos los consejeros de Estado que informaran si en sus Despachos se estaban tramitando acciones de tutela con supuestos fácticos similares a los de la solicitud de amparo incoada por el señor Santiago Polo, con el fin de que se procediera a decidir sobre su acumulación. </w:t>
      </w:r>
    </w:p>
    <w:p w14:paraId="23BAA419" w14:textId="77777777" w:rsidR="00C8511D" w:rsidRPr="00422C10" w:rsidRDefault="00C8511D" w:rsidP="00406B42">
      <w:pPr>
        <w:spacing w:line="276" w:lineRule="auto"/>
        <w:jc w:val="both"/>
        <w:rPr>
          <w:rFonts w:ascii="Arial" w:hAnsi="Arial" w:cs="Arial"/>
          <w:color w:val="000000" w:themeColor="text1"/>
        </w:rPr>
      </w:pPr>
    </w:p>
    <w:p w14:paraId="4F8BF5AD" w14:textId="3EC0B127" w:rsidR="00D0581F" w:rsidRPr="00422C10" w:rsidRDefault="00C8511D" w:rsidP="00D0581F">
      <w:pPr>
        <w:spacing w:line="276" w:lineRule="auto"/>
        <w:jc w:val="both"/>
        <w:rPr>
          <w:rFonts w:ascii="Arial" w:hAnsi="Arial" w:cs="Arial"/>
          <w:color w:val="000000" w:themeColor="text1"/>
        </w:rPr>
      </w:pPr>
      <w:r w:rsidRPr="00422C10">
        <w:rPr>
          <w:rFonts w:ascii="Arial" w:hAnsi="Arial" w:cs="Arial"/>
          <w:b/>
          <w:color w:val="000000" w:themeColor="text1"/>
        </w:rPr>
        <w:t>1.3.5</w:t>
      </w:r>
      <w:r w:rsidR="00406B42" w:rsidRPr="00422C10">
        <w:rPr>
          <w:rFonts w:ascii="Arial" w:hAnsi="Arial" w:cs="Arial"/>
          <w:b/>
          <w:color w:val="000000" w:themeColor="text1"/>
        </w:rPr>
        <w:t>.</w:t>
      </w:r>
      <w:r w:rsidR="00406B42" w:rsidRPr="00422C10">
        <w:rPr>
          <w:rFonts w:ascii="Arial" w:hAnsi="Arial" w:cs="Arial"/>
          <w:color w:val="000000" w:themeColor="text1"/>
        </w:rPr>
        <w:t xml:space="preserve"> El consejero ponente de este </w:t>
      </w:r>
      <w:r w:rsidR="00D0581F" w:rsidRPr="00422C10">
        <w:rPr>
          <w:rFonts w:ascii="Arial" w:hAnsi="Arial" w:cs="Arial"/>
          <w:color w:val="000000" w:themeColor="text1"/>
        </w:rPr>
        <w:t>proveído</w:t>
      </w:r>
      <w:r w:rsidR="00406B42" w:rsidRPr="00422C10">
        <w:rPr>
          <w:rFonts w:ascii="Arial" w:hAnsi="Arial" w:cs="Arial"/>
          <w:color w:val="000000" w:themeColor="text1"/>
        </w:rPr>
        <w:t xml:space="preserve"> rindi</w:t>
      </w:r>
      <w:r w:rsidR="00D0581F" w:rsidRPr="00422C10">
        <w:rPr>
          <w:rFonts w:ascii="Arial" w:hAnsi="Arial" w:cs="Arial"/>
          <w:color w:val="000000" w:themeColor="text1"/>
        </w:rPr>
        <w:t>ó informe</w:t>
      </w:r>
      <w:r w:rsidR="00363811" w:rsidRPr="00422C10">
        <w:rPr>
          <w:rStyle w:val="Refdenotaalpie"/>
          <w:rFonts w:ascii="Arial" w:hAnsi="Arial" w:cs="Arial"/>
          <w:color w:val="000000" w:themeColor="text1"/>
        </w:rPr>
        <w:footnoteReference w:id="9"/>
      </w:r>
      <w:r w:rsidR="00D0581F" w:rsidRPr="00422C10">
        <w:rPr>
          <w:rFonts w:ascii="Arial" w:hAnsi="Arial" w:cs="Arial"/>
          <w:color w:val="000000" w:themeColor="text1"/>
        </w:rPr>
        <w:t xml:space="preserve"> en el que</w:t>
      </w:r>
      <w:r w:rsidR="007202C2" w:rsidRPr="00422C10">
        <w:rPr>
          <w:rFonts w:ascii="Arial" w:hAnsi="Arial" w:cs="Arial"/>
          <w:color w:val="000000" w:themeColor="text1"/>
        </w:rPr>
        <w:t xml:space="preserve"> </w:t>
      </w:r>
      <w:r w:rsidR="00EC29A3" w:rsidRPr="00422C10">
        <w:rPr>
          <w:rFonts w:ascii="Arial" w:hAnsi="Arial" w:cs="Arial"/>
          <w:color w:val="000000" w:themeColor="text1"/>
        </w:rPr>
        <w:t>manifestó</w:t>
      </w:r>
      <w:r w:rsidR="007202C2" w:rsidRPr="00422C10">
        <w:rPr>
          <w:rFonts w:ascii="Arial" w:hAnsi="Arial" w:cs="Arial"/>
          <w:color w:val="000000" w:themeColor="text1"/>
        </w:rPr>
        <w:t xml:space="preserve"> </w:t>
      </w:r>
      <w:r w:rsidR="00D0581F" w:rsidRPr="00422C10">
        <w:rPr>
          <w:rFonts w:ascii="Arial" w:hAnsi="Arial" w:cs="Arial"/>
          <w:color w:val="000000" w:themeColor="text1"/>
        </w:rPr>
        <w:t xml:space="preserve">que estaba conociendo del proceso 11001-03-15-000-2021-00231-00 que </w:t>
      </w:r>
      <w:r w:rsidR="00D0581F" w:rsidRPr="00422C10">
        <w:rPr>
          <w:rFonts w:ascii="Arial" w:eastAsia="Times New Roman" w:hAnsi="Arial" w:cs="Arial"/>
          <w:color w:val="000000" w:themeColor="text1"/>
          <w:lang w:eastAsia="es-ES"/>
        </w:rPr>
        <w:t xml:space="preserve">perseguía la protección de los mismos derechos fundamentales, presuntamente vulnerados en la </w:t>
      </w:r>
      <w:r w:rsidR="00746BF9" w:rsidRPr="00422C10">
        <w:rPr>
          <w:rFonts w:ascii="Arial" w:eastAsia="Times New Roman" w:hAnsi="Arial" w:cs="Arial"/>
          <w:color w:val="000000" w:themeColor="text1"/>
          <w:lang w:eastAsia="es-ES"/>
        </w:rPr>
        <w:t xml:space="preserve">acción de </w:t>
      </w:r>
      <w:r w:rsidR="00D0581F" w:rsidRPr="00422C10">
        <w:rPr>
          <w:rFonts w:ascii="Arial" w:eastAsia="Times New Roman" w:hAnsi="Arial" w:cs="Arial"/>
          <w:color w:val="000000" w:themeColor="text1"/>
          <w:lang w:eastAsia="es-ES"/>
        </w:rPr>
        <w:t xml:space="preserve">tutela de la referencia </w:t>
      </w:r>
      <w:r w:rsidR="00D0581F" w:rsidRPr="00422C10">
        <w:rPr>
          <w:rFonts w:ascii="Arial" w:hAnsi="Arial" w:cs="Arial"/>
          <w:color w:val="000000" w:themeColor="text1"/>
        </w:rPr>
        <w:t>con ocasión de la misma actuación de la Unidad de Administración de la Carrera Judicial.</w:t>
      </w:r>
    </w:p>
    <w:p w14:paraId="39E4EFFA" w14:textId="77777777" w:rsidR="004C6061" w:rsidRPr="00422C10" w:rsidRDefault="004C6061" w:rsidP="00D0581F">
      <w:pPr>
        <w:spacing w:line="276" w:lineRule="auto"/>
        <w:jc w:val="both"/>
        <w:rPr>
          <w:rFonts w:ascii="Arial" w:hAnsi="Arial" w:cs="Arial"/>
          <w:color w:val="000000" w:themeColor="text1"/>
        </w:rPr>
      </w:pPr>
    </w:p>
    <w:p w14:paraId="1ED72323" w14:textId="0159036F" w:rsidR="004C6061" w:rsidRPr="00422C10" w:rsidRDefault="004C6061" w:rsidP="00D0581F">
      <w:pPr>
        <w:spacing w:line="276" w:lineRule="auto"/>
        <w:jc w:val="both"/>
        <w:rPr>
          <w:rFonts w:ascii="Arial" w:hAnsi="Arial" w:cs="Arial"/>
          <w:color w:val="000000" w:themeColor="text1"/>
        </w:rPr>
      </w:pPr>
      <w:r w:rsidRPr="00422C10">
        <w:rPr>
          <w:rFonts w:ascii="Arial" w:hAnsi="Arial" w:cs="Arial"/>
          <w:b/>
          <w:color w:val="000000" w:themeColor="text1"/>
        </w:rPr>
        <w:t>1.3.5.</w:t>
      </w:r>
      <w:r w:rsidRPr="00422C10">
        <w:rPr>
          <w:rFonts w:ascii="Arial" w:hAnsi="Arial" w:cs="Arial"/>
          <w:color w:val="000000" w:themeColor="text1"/>
        </w:rPr>
        <w:t xml:space="preserve"> En atención a ese informe el consejero de Estado Julio Roberto Piza Rodríguez, a través de auto del 23 de febrero de 2021</w:t>
      </w:r>
      <w:r w:rsidR="002040FE" w:rsidRPr="00422C10">
        <w:rPr>
          <w:rStyle w:val="Refdenotaalpie"/>
          <w:rFonts w:ascii="Arial" w:hAnsi="Arial" w:cs="Arial"/>
          <w:color w:val="000000" w:themeColor="text1"/>
        </w:rPr>
        <w:footnoteReference w:id="10"/>
      </w:r>
      <w:r w:rsidRPr="00422C10">
        <w:rPr>
          <w:rFonts w:ascii="Arial" w:hAnsi="Arial" w:cs="Arial"/>
          <w:color w:val="000000" w:themeColor="text1"/>
        </w:rPr>
        <w:t xml:space="preserve">, remitió el expediente de la referencia </w:t>
      </w:r>
      <w:r w:rsidR="002040FE" w:rsidRPr="00422C10">
        <w:rPr>
          <w:rFonts w:ascii="Arial" w:hAnsi="Arial" w:cs="Arial"/>
          <w:color w:val="000000" w:themeColor="text1"/>
        </w:rPr>
        <w:t xml:space="preserve">al Despacho del ponente de esta sentencia para que estudiara su posible acumulación al </w:t>
      </w:r>
      <w:r w:rsidR="00A11EA3" w:rsidRPr="00422C10">
        <w:rPr>
          <w:rFonts w:ascii="Arial" w:hAnsi="Arial" w:cs="Arial"/>
          <w:color w:val="000000" w:themeColor="text1"/>
        </w:rPr>
        <w:t>trámite</w:t>
      </w:r>
      <w:r w:rsidR="002040FE" w:rsidRPr="00422C10">
        <w:rPr>
          <w:rFonts w:ascii="Arial" w:hAnsi="Arial" w:cs="Arial"/>
          <w:color w:val="000000" w:themeColor="text1"/>
        </w:rPr>
        <w:t xml:space="preserve"> 11001-03-15-000-2021-00231-00.</w:t>
      </w:r>
    </w:p>
    <w:p w14:paraId="6DE5D802" w14:textId="77777777" w:rsidR="002040FE" w:rsidRPr="00422C10" w:rsidRDefault="002040FE" w:rsidP="00D0581F">
      <w:pPr>
        <w:spacing w:line="276" w:lineRule="auto"/>
        <w:jc w:val="both"/>
        <w:rPr>
          <w:rFonts w:ascii="Arial" w:hAnsi="Arial" w:cs="Arial"/>
          <w:color w:val="000000" w:themeColor="text1"/>
        </w:rPr>
      </w:pPr>
    </w:p>
    <w:p w14:paraId="259CA802" w14:textId="4EE559C5" w:rsidR="002040FE" w:rsidRPr="00422C10" w:rsidRDefault="002040FE" w:rsidP="00D0581F">
      <w:pPr>
        <w:spacing w:line="276" w:lineRule="auto"/>
        <w:jc w:val="both"/>
        <w:rPr>
          <w:rFonts w:ascii="Arial" w:hAnsi="Arial" w:cs="Arial"/>
          <w:color w:val="000000" w:themeColor="text1"/>
        </w:rPr>
      </w:pPr>
      <w:r w:rsidRPr="00422C10">
        <w:rPr>
          <w:rFonts w:ascii="Arial" w:hAnsi="Arial" w:cs="Arial"/>
          <w:b/>
          <w:color w:val="000000" w:themeColor="text1"/>
        </w:rPr>
        <w:t>1.3.6.</w:t>
      </w:r>
      <w:r w:rsidRPr="00422C10">
        <w:rPr>
          <w:rFonts w:ascii="Arial" w:hAnsi="Arial" w:cs="Arial"/>
          <w:color w:val="000000" w:themeColor="text1"/>
        </w:rPr>
        <w:t xml:space="preserve"> </w:t>
      </w:r>
      <w:r w:rsidRPr="00422C10">
        <w:rPr>
          <w:rFonts w:ascii="Arial" w:hAnsi="Arial" w:cs="Arial"/>
          <w:bCs/>
          <w:color w:val="000000" w:themeColor="text1"/>
          <w:shd w:val="clear" w:color="auto" w:fill="FFFFFF"/>
        </w:rPr>
        <w:t>Ahora bien, cuando el Despacho del ponente recibió el expediente de la referencia ya había registrado</w:t>
      </w:r>
      <w:r w:rsidR="00EC29A3" w:rsidRPr="00422C10">
        <w:rPr>
          <w:rFonts w:ascii="Arial" w:hAnsi="Arial" w:cs="Arial"/>
          <w:bCs/>
          <w:color w:val="000000" w:themeColor="text1"/>
          <w:shd w:val="clear" w:color="auto" w:fill="FFFFFF"/>
        </w:rPr>
        <w:t xml:space="preserve"> para sala</w:t>
      </w:r>
      <w:r w:rsidRPr="00422C10">
        <w:rPr>
          <w:rFonts w:ascii="Arial" w:hAnsi="Arial" w:cs="Arial"/>
          <w:bCs/>
          <w:color w:val="000000" w:themeColor="text1"/>
          <w:shd w:val="clear" w:color="auto" w:fill="FFFFFF"/>
        </w:rPr>
        <w:t xml:space="preserve"> el proyecto de fallo del trámite </w:t>
      </w:r>
      <w:r w:rsidRPr="00422C10">
        <w:rPr>
          <w:rFonts w:ascii="Arial" w:hAnsi="Arial" w:cs="Arial"/>
          <w:color w:val="000000" w:themeColor="text1"/>
        </w:rPr>
        <w:t>11001-03-15-000-2021-00231-00 y</w:t>
      </w:r>
      <w:r w:rsidR="00A11EA3" w:rsidRPr="00422C10">
        <w:rPr>
          <w:rFonts w:ascii="Arial" w:hAnsi="Arial" w:cs="Arial"/>
          <w:color w:val="000000" w:themeColor="text1"/>
        </w:rPr>
        <w:t>,</w:t>
      </w:r>
      <w:r w:rsidRPr="00422C10">
        <w:rPr>
          <w:rFonts w:ascii="Arial" w:hAnsi="Arial" w:cs="Arial"/>
          <w:color w:val="000000" w:themeColor="text1"/>
        </w:rPr>
        <w:t xml:space="preserve"> por lo tanto, no fue posible entrar a resolver ambos asuntos en una misma providencia</w:t>
      </w:r>
      <w:r w:rsidRPr="00422C10">
        <w:rPr>
          <w:rFonts w:ascii="Arial" w:hAnsi="Arial" w:cs="Arial"/>
          <w:bCs/>
          <w:color w:val="000000" w:themeColor="text1"/>
          <w:shd w:val="clear" w:color="auto" w:fill="FFFFFF"/>
        </w:rPr>
        <w:t>. Sin embargo, en aras de salvaguardar la coherencia, igualdad y homogeneidad en la solución judicial de tutelas ocasionadas por una misma situación fáctica y jurídica el suscrito magistrado avocó conocimiento de este trámite en auto del 15 de marzo de 2021</w:t>
      </w:r>
      <w:r w:rsidR="00F73E5F" w:rsidRPr="00422C10">
        <w:rPr>
          <w:rStyle w:val="Refdenotaalpie"/>
          <w:rFonts w:ascii="Arial" w:hAnsi="Arial" w:cs="Arial"/>
          <w:bCs/>
          <w:color w:val="000000" w:themeColor="text1"/>
          <w:shd w:val="clear" w:color="auto" w:fill="FFFFFF"/>
        </w:rPr>
        <w:footnoteReference w:id="11"/>
      </w:r>
      <w:r w:rsidRPr="00422C10">
        <w:rPr>
          <w:rFonts w:ascii="Arial" w:hAnsi="Arial" w:cs="Arial"/>
          <w:bCs/>
          <w:color w:val="000000" w:themeColor="text1"/>
          <w:shd w:val="clear" w:color="auto" w:fill="FFFFFF"/>
        </w:rPr>
        <w:t xml:space="preserve">. </w:t>
      </w:r>
    </w:p>
    <w:p w14:paraId="3F1090F9" w14:textId="77777777" w:rsidR="003D5797" w:rsidRPr="00422C10" w:rsidRDefault="003D5797" w:rsidP="00F73E5F">
      <w:pPr>
        <w:pStyle w:val="Ttulo1"/>
        <w:numPr>
          <w:ilvl w:val="0"/>
          <w:numId w:val="0"/>
        </w:numPr>
        <w:ind w:left="1434"/>
        <w:rPr>
          <w:rFonts w:cs="Arial"/>
          <w:color w:val="000000" w:themeColor="text1"/>
          <w:szCs w:val="24"/>
          <w:lang w:val="es-ES_tradnl"/>
        </w:rPr>
      </w:pPr>
      <w:r w:rsidRPr="00422C10">
        <w:rPr>
          <w:rFonts w:cs="Arial"/>
          <w:color w:val="000000" w:themeColor="text1"/>
          <w:szCs w:val="24"/>
          <w:lang w:val="es-ES_tradnl"/>
        </w:rPr>
        <w:t>II. CONSIDERACIONES</w:t>
      </w:r>
    </w:p>
    <w:p w14:paraId="79966E9B" w14:textId="10827EA1" w:rsidR="003D5797" w:rsidRPr="00422C10" w:rsidRDefault="007405BE" w:rsidP="003D5797">
      <w:pPr>
        <w:tabs>
          <w:tab w:val="left" w:pos="426"/>
        </w:tabs>
        <w:spacing w:line="276" w:lineRule="auto"/>
        <w:contextualSpacing/>
        <w:jc w:val="both"/>
        <w:rPr>
          <w:rFonts w:ascii="Arial" w:hAnsi="Arial" w:cs="Arial"/>
          <w:b/>
          <w:color w:val="000000" w:themeColor="text1"/>
        </w:rPr>
      </w:pPr>
      <w:r w:rsidRPr="00422C10">
        <w:rPr>
          <w:rFonts w:ascii="Arial" w:hAnsi="Arial" w:cs="Arial"/>
          <w:b/>
          <w:color w:val="000000" w:themeColor="text1"/>
        </w:rPr>
        <w:t>2.1</w:t>
      </w:r>
      <w:r w:rsidR="003D5797" w:rsidRPr="00422C10">
        <w:rPr>
          <w:rFonts w:ascii="Arial" w:hAnsi="Arial" w:cs="Arial"/>
          <w:b/>
          <w:color w:val="000000" w:themeColor="text1"/>
        </w:rPr>
        <w:t>. Competencia</w:t>
      </w:r>
    </w:p>
    <w:p w14:paraId="1B1E1B75" w14:textId="77777777" w:rsidR="003D5797" w:rsidRPr="00422C10" w:rsidRDefault="003D5797" w:rsidP="003D5797">
      <w:pPr>
        <w:spacing w:line="276" w:lineRule="auto"/>
        <w:contextualSpacing/>
        <w:jc w:val="both"/>
        <w:rPr>
          <w:rFonts w:ascii="Arial" w:hAnsi="Arial" w:cs="Arial"/>
          <w:b/>
          <w:color w:val="000000" w:themeColor="text1"/>
        </w:rPr>
      </w:pPr>
    </w:p>
    <w:p w14:paraId="6D1027C0" w14:textId="1D5B3DF1"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 xml:space="preserve">La Sala es competente para conocer de </w:t>
      </w:r>
      <w:r w:rsidR="00E573FA" w:rsidRPr="00422C10">
        <w:rPr>
          <w:rFonts w:ascii="Arial" w:eastAsia="Times New Roman" w:hAnsi="Arial" w:cs="Arial"/>
          <w:color w:val="000000" w:themeColor="text1"/>
          <w:lang w:eastAsia="es-ES"/>
        </w:rPr>
        <w:t>la presente acción de tutela</w:t>
      </w:r>
      <w:r w:rsidRPr="00422C10">
        <w:rPr>
          <w:rFonts w:ascii="Arial" w:eastAsia="Times New Roman" w:hAnsi="Arial" w:cs="Arial"/>
          <w:color w:val="000000" w:themeColor="text1"/>
          <w:lang w:eastAsia="es-ES"/>
        </w:rPr>
        <w:t xml:space="preserve"> en virtud de lo dispuesto en el artículo 86 de la Constitución y en el artículo 37 del Decreto 2591 de 1991.</w:t>
      </w:r>
    </w:p>
    <w:p w14:paraId="1FD1DF32" w14:textId="77777777" w:rsidR="003D5797" w:rsidRPr="00422C10" w:rsidRDefault="003D5797" w:rsidP="003D5797">
      <w:pPr>
        <w:widowControl w:val="0"/>
        <w:spacing w:line="276" w:lineRule="auto"/>
        <w:contextualSpacing/>
        <w:jc w:val="both"/>
        <w:rPr>
          <w:rFonts w:ascii="Arial" w:eastAsia="Arial" w:hAnsi="Arial" w:cs="Arial"/>
          <w:color w:val="000000" w:themeColor="text1"/>
        </w:rPr>
      </w:pPr>
    </w:p>
    <w:p w14:paraId="516C511D" w14:textId="3F902832" w:rsidR="003D5797" w:rsidRPr="00422C10" w:rsidRDefault="007405BE" w:rsidP="003D5797">
      <w:pPr>
        <w:widowControl w:val="0"/>
        <w:spacing w:line="276" w:lineRule="auto"/>
        <w:contextualSpacing/>
        <w:jc w:val="both"/>
        <w:rPr>
          <w:rFonts w:ascii="Arial" w:eastAsia="Verdana" w:hAnsi="Arial" w:cs="Arial"/>
          <w:b/>
          <w:color w:val="000000" w:themeColor="text1"/>
        </w:rPr>
      </w:pPr>
      <w:r w:rsidRPr="00422C10">
        <w:rPr>
          <w:rFonts w:ascii="Arial" w:eastAsia="Verdana" w:hAnsi="Arial" w:cs="Arial"/>
          <w:b/>
          <w:color w:val="000000" w:themeColor="text1"/>
        </w:rPr>
        <w:t>2.2</w:t>
      </w:r>
      <w:r w:rsidR="003D5797" w:rsidRPr="00422C10">
        <w:rPr>
          <w:rFonts w:ascii="Arial" w:eastAsia="Verdana" w:hAnsi="Arial" w:cs="Arial"/>
          <w:b/>
          <w:color w:val="000000" w:themeColor="text1"/>
        </w:rPr>
        <w:t>. Legitimación en la causa</w:t>
      </w:r>
    </w:p>
    <w:p w14:paraId="4370981B" w14:textId="77777777" w:rsidR="003D5797" w:rsidRPr="00422C10" w:rsidRDefault="003D5797" w:rsidP="003D5797">
      <w:pPr>
        <w:widowControl w:val="0"/>
        <w:spacing w:line="276" w:lineRule="auto"/>
        <w:contextualSpacing/>
        <w:jc w:val="both"/>
        <w:rPr>
          <w:rFonts w:ascii="Arial" w:eastAsia="Verdana" w:hAnsi="Arial" w:cs="Arial"/>
          <w:b/>
          <w:color w:val="000000" w:themeColor="text1"/>
        </w:rPr>
      </w:pPr>
    </w:p>
    <w:p w14:paraId="51882417" w14:textId="2EB0A3D2" w:rsidR="003D5797" w:rsidRPr="00422C10" w:rsidRDefault="003D5797" w:rsidP="003D5797">
      <w:pPr>
        <w:widowControl w:val="0"/>
        <w:spacing w:line="276" w:lineRule="auto"/>
        <w:contextualSpacing/>
        <w:jc w:val="both"/>
        <w:rPr>
          <w:rFonts w:ascii="Arial" w:eastAsia="Verdana" w:hAnsi="Arial" w:cs="Arial"/>
          <w:color w:val="000000" w:themeColor="text1"/>
        </w:rPr>
      </w:pPr>
      <w:r w:rsidRPr="00422C10">
        <w:rPr>
          <w:rFonts w:ascii="Arial" w:hAnsi="Arial" w:cs="Arial"/>
          <w:color w:val="000000" w:themeColor="text1"/>
        </w:rPr>
        <w:t xml:space="preserve">Manuel de Jesús Santiago Polo </w:t>
      </w:r>
      <w:r w:rsidR="001412E9" w:rsidRPr="00422C10">
        <w:rPr>
          <w:rFonts w:ascii="Arial" w:eastAsia="Verdana" w:hAnsi="Arial" w:cs="Arial"/>
          <w:color w:val="000000" w:themeColor="text1"/>
        </w:rPr>
        <w:t>está legitimado</w:t>
      </w:r>
      <w:r w:rsidRPr="00422C10">
        <w:rPr>
          <w:rFonts w:ascii="Arial" w:eastAsia="Verdana" w:hAnsi="Arial" w:cs="Arial"/>
          <w:color w:val="000000" w:themeColor="text1"/>
        </w:rPr>
        <w:t xml:space="preserve"> en la causa</w:t>
      </w:r>
      <w:r w:rsidRPr="00422C10">
        <w:rPr>
          <w:rFonts w:ascii="Arial" w:eastAsia="Verdana" w:hAnsi="Arial" w:cs="Arial"/>
          <w:b/>
          <w:color w:val="000000" w:themeColor="text1"/>
        </w:rPr>
        <w:t xml:space="preserve"> </w:t>
      </w:r>
      <w:r w:rsidRPr="00422C10">
        <w:rPr>
          <w:rFonts w:ascii="Arial" w:eastAsia="Verdana" w:hAnsi="Arial" w:cs="Arial"/>
          <w:i/>
          <w:color w:val="000000" w:themeColor="text1"/>
        </w:rPr>
        <w:t xml:space="preserve">por activa, </w:t>
      </w:r>
      <w:r w:rsidRPr="00422C10">
        <w:rPr>
          <w:rFonts w:ascii="Arial" w:eastAsia="Verdana" w:hAnsi="Arial" w:cs="Arial"/>
          <w:color w:val="000000" w:themeColor="text1"/>
        </w:rPr>
        <w:t xml:space="preserve">por cuanto </w:t>
      </w:r>
      <w:r w:rsidR="001412E9" w:rsidRPr="00422C10">
        <w:rPr>
          <w:rFonts w:ascii="Arial" w:eastAsia="Verdana" w:hAnsi="Arial" w:cs="Arial"/>
          <w:color w:val="000000" w:themeColor="text1"/>
        </w:rPr>
        <w:t>está</w:t>
      </w:r>
      <w:r w:rsidRPr="00422C10">
        <w:rPr>
          <w:rFonts w:ascii="Arial" w:eastAsia="Verdana" w:hAnsi="Arial" w:cs="Arial"/>
          <w:color w:val="000000" w:themeColor="text1"/>
        </w:rPr>
        <w:t xml:space="preserve"> </w:t>
      </w:r>
      <w:r w:rsidR="00077A9E" w:rsidRPr="00422C10">
        <w:rPr>
          <w:rFonts w:ascii="Arial" w:eastAsia="Verdana" w:hAnsi="Arial" w:cs="Arial"/>
          <w:color w:val="000000" w:themeColor="text1"/>
        </w:rPr>
        <w:t xml:space="preserve">reclamando </w:t>
      </w:r>
      <w:r w:rsidR="00FF105C" w:rsidRPr="00422C10">
        <w:rPr>
          <w:rFonts w:ascii="Arial" w:eastAsia="Verdana" w:hAnsi="Arial" w:cs="Arial"/>
          <w:color w:val="000000" w:themeColor="text1"/>
        </w:rPr>
        <w:t xml:space="preserve">la protección de </w:t>
      </w:r>
      <w:r w:rsidR="00077A9E" w:rsidRPr="00422C10">
        <w:rPr>
          <w:rFonts w:ascii="Arial" w:eastAsia="Verdana" w:hAnsi="Arial" w:cs="Arial"/>
          <w:color w:val="000000" w:themeColor="text1"/>
        </w:rPr>
        <w:t xml:space="preserve">sus propios derechos </w:t>
      </w:r>
      <w:r w:rsidR="00FF105C" w:rsidRPr="00422C10">
        <w:rPr>
          <w:rFonts w:ascii="Arial" w:eastAsia="Verdana" w:hAnsi="Arial" w:cs="Arial"/>
          <w:color w:val="000000" w:themeColor="text1"/>
        </w:rPr>
        <w:t>fundamentales.</w:t>
      </w:r>
    </w:p>
    <w:p w14:paraId="6EDD6FDA" w14:textId="77777777" w:rsidR="003D5797" w:rsidRPr="00422C10" w:rsidRDefault="003D5797" w:rsidP="003D5797">
      <w:pPr>
        <w:widowControl w:val="0"/>
        <w:spacing w:line="276" w:lineRule="auto"/>
        <w:contextualSpacing/>
        <w:jc w:val="both"/>
        <w:rPr>
          <w:rFonts w:ascii="Arial" w:eastAsia="Verdana" w:hAnsi="Arial" w:cs="Arial"/>
          <w:color w:val="000000" w:themeColor="text1"/>
        </w:rPr>
      </w:pPr>
      <w:r w:rsidRPr="00422C10">
        <w:rPr>
          <w:rFonts w:ascii="Arial" w:eastAsia="Verdana" w:hAnsi="Arial" w:cs="Arial"/>
          <w:color w:val="000000" w:themeColor="text1"/>
        </w:rPr>
        <w:t xml:space="preserve"> </w:t>
      </w:r>
    </w:p>
    <w:p w14:paraId="462D86D3" w14:textId="5EF7F86B" w:rsidR="003D5797" w:rsidRPr="00422C10" w:rsidRDefault="003D5797" w:rsidP="003D5797">
      <w:pPr>
        <w:widowControl w:val="0"/>
        <w:spacing w:line="276" w:lineRule="auto"/>
        <w:contextualSpacing/>
        <w:jc w:val="both"/>
        <w:rPr>
          <w:rFonts w:ascii="Arial" w:eastAsia="Verdana" w:hAnsi="Arial" w:cs="Arial"/>
          <w:color w:val="000000" w:themeColor="text1"/>
        </w:rPr>
      </w:pPr>
      <w:r w:rsidRPr="00422C10">
        <w:rPr>
          <w:rFonts w:ascii="Arial" w:eastAsia="Verdana" w:hAnsi="Arial" w:cs="Arial"/>
          <w:color w:val="000000" w:themeColor="text1"/>
        </w:rPr>
        <w:t xml:space="preserve">Asimismo, la </w:t>
      </w:r>
      <w:r w:rsidR="006470A4" w:rsidRPr="00422C10">
        <w:rPr>
          <w:rFonts w:ascii="Arial" w:eastAsia="Times New Roman" w:hAnsi="Arial" w:cs="Arial"/>
          <w:color w:val="000000" w:themeColor="text1"/>
          <w:lang w:eastAsia="es-ES"/>
        </w:rPr>
        <w:t>Unidad de Administración de la Carrera Judicial</w:t>
      </w:r>
      <w:r w:rsidR="002D73F4" w:rsidRPr="00422C10">
        <w:rPr>
          <w:rFonts w:ascii="Arial" w:eastAsia="Times New Roman" w:hAnsi="Arial" w:cs="Arial"/>
          <w:color w:val="000000" w:themeColor="text1"/>
          <w:lang w:eastAsia="es-ES"/>
        </w:rPr>
        <w:t xml:space="preserve"> </w:t>
      </w:r>
      <w:r w:rsidRPr="00422C10">
        <w:rPr>
          <w:rFonts w:ascii="Arial" w:eastAsia="Times New Roman" w:hAnsi="Arial" w:cs="Arial"/>
          <w:color w:val="000000" w:themeColor="text1"/>
          <w:lang w:eastAsia="es-ES"/>
        </w:rPr>
        <w:t>d</w:t>
      </w:r>
      <w:r w:rsidRPr="00422C10">
        <w:rPr>
          <w:rFonts w:ascii="Arial" w:eastAsia="Verdana" w:hAnsi="Arial" w:cs="Arial"/>
          <w:color w:val="000000" w:themeColor="text1"/>
        </w:rPr>
        <w:t xml:space="preserve">el </w:t>
      </w:r>
      <w:r w:rsidRPr="00422C10">
        <w:rPr>
          <w:rFonts w:ascii="Arial" w:hAnsi="Arial" w:cs="Arial"/>
          <w:color w:val="000000" w:themeColor="text1"/>
        </w:rPr>
        <w:t xml:space="preserve">Consejo Superior de la Judicatura lo está </w:t>
      </w:r>
      <w:r w:rsidRPr="00422C10">
        <w:rPr>
          <w:rFonts w:ascii="Arial" w:hAnsi="Arial" w:cs="Arial"/>
          <w:i/>
          <w:color w:val="000000" w:themeColor="text1"/>
        </w:rPr>
        <w:t>por pasiva</w:t>
      </w:r>
      <w:r w:rsidRPr="00422C10">
        <w:rPr>
          <w:rFonts w:ascii="Arial" w:hAnsi="Arial" w:cs="Arial"/>
          <w:color w:val="000000" w:themeColor="text1"/>
        </w:rPr>
        <w:t xml:space="preserve">, pues </w:t>
      </w:r>
      <w:r w:rsidRPr="00422C10">
        <w:rPr>
          <w:rFonts w:ascii="Arial" w:eastAsia="Verdana" w:hAnsi="Arial" w:cs="Arial"/>
          <w:color w:val="000000" w:themeColor="text1"/>
        </w:rPr>
        <w:t>fue la autoridad que profiri</w:t>
      </w:r>
      <w:r w:rsidR="00BD74DF" w:rsidRPr="00422C10">
        <w:rPr>
          <w:rFonts w:ascii="Arial" w:eastAsia="Verdana" w:hAnsi="Arial" w:cs="Arial"/>
          <w:color w:val="000000" w:themeColor="text1"/>
        </w:rPr>
        <w:t>ó</w:t>
      </w:r>
      <w:r w:rsidRPr="00422C10">
        <w:rPr>
          <w:rFonts w:ascii="Arial" w:eastAsia="Verdana" w:hAnsi="Arial" w:cs="Arial"/>
          <w:color w:val="000000" w:themeColor="text1"/>
        </w:rPr>
        <w:t xml:space="preserve"> </w:t>
      </w:r>
      <w:r w:rsidRPr="00422C10">
        <w:rPr>
          <w:rFonts w:ascii="Arial" w:eastAsia="Times New Roman" w:hAnsi="Arial" w:cs="Arial"/>
          <w:color w:val="000000" w:themeColor="text1"/>
        </w:rPr>
        <w:t>la Resolución CJR20 – 0202 del 27 de octubre de 2020 que se censura en este trámite de tutela</w:t>
      </w:r>
      <w:r w:rsidR="002D73F4" w:rsidRPr="00422C10">
        <w:rPr>
          <w:rFonts w:ascii="Arial" w:eastAsia="Verdana" w:hAnsi="Arial" w:cs="Arial"/>
          <w:color w:val="000000" w:themeColor="text1"/>
        </w:rPr>
        <w:t>.</w:t>
      </w:r>
    </w:p>
    <w:p w14:paraId="5B9A3387" w14:textId="77777777" w:rsidR="003D5797" w:rsidRPr="00422C10" w:rsidRDefault="003D5797" w:rsidP="003D5797">
      <w:pPr>
        <w:spacing w:line="276" w:lineRule="auto"/>
        <w:contextualSpacing/>
        <w:jc w:val="both"/>
        <w:rPr>
          <w:rFonts w:ascii="Arial" w:hAnsi="Arial" w:cs="Arial"/>
          <w:color w:val="000000" w:themeColor="text1"/>
        </w:rPr>
      </w:pPr>
    </w:p>
    <w:p w14:paraId="45B7AAF1" w14:textId="24215912" w:rsidR="003D5797" w:rsidRPr="00422C10" w:rsidRDefault="007405BE" w:rsidP="003D5797">
      <w:pPr>
        <w:overflowPunct w:val="0"/>
        <w:autoSpaceDE w:val="0"/>
        <w:autoSpaceDN w:val="0"/>
        <w:adjustRightInd w:val="0"/>
        <w:spacing w:line="276" w:lineRule="auto"/>
        <w:contextualSpacing/>
        <w:jc w:val="both"/>
        <w:rPr>
          <w:rFonts w:ascii="Arial" w:eastAsia="Times New Roman" w:hAnsi="Arial" w:cs="Arial"/>
          <w:b/>
          <w:color w:val="000000" w:themeColor="text1"/>
          <w:lang w:eastAsia="es-ES"/>
        </w:rPr>
      </w:pPr>
      <w:r w:rsidRPr="00422C10">
        <w:rPr>
          <w:rFonts w:ascii="Arial" w:eastAsia="Times New Roman" w:hAnsi="Arial" w:cs="Arial"/>
          <w:b/>
          <w:color w:val="000000" w:themeColor="text1"/>
          <w:lang w:eastAsia="es-ES"/>
        </w:rPr>
        <w:t>2.3</w:t>
      </w:r>
      <w:r w:rsidR="003D5797" w:rsidRPr="00422C10">
        <w:rPr>
          <w:rFonts w:ascii="Arial" w:eastAsia="Times New Roman" w:hAnsi="Arial" w:cs="Arial"/>
          <w:b/>
          <w:color w:val="000000" w:themeColor="text1"/>
          <w:lang w:eastAsia="es-ES"/>
        </w:rPr>
        <w:t xml:space="preserve">.  Análisis de procedibilidad </w:t>
      </w:r>
    </w:p>
    <w:p w14:paraId="2B89542E" w14:textId="77777777" w:rsidR="000C2BE0" w:rsidRPr="00422C10" w:rsidRDefault="000C2BE0" w:rsidP="000C2BE0">
      <w:pPr>
        <w:overflowPunct w:val="0"/>
        <w:autoSpaceDE w:val="0"/>
        <w:autoSpaceDN w:val="0"/>
        <w:adjustRightInd w:val="0"/>
        <w:spacing w:line="276" w:lineRule="auto"/>
        <w:contextualSpacing/>
        <w:jc w:val="both"/>
        <w:rPr>
          <w:rFonts w:ascii="Arial" w:eastAsia="Times New Roman" w:hAnsi="Arial" w:cs="Arial"/>
          <w:b/>
          <w:color w:val="000000" w:themeColor="text1"/>
          <w:lang w:eastAsia="es-ES"/>
        </w:rPr>
      </w:pPr>
    </w:p>
    <w:p w14:paraId="2EA3A7DA" w14:textId="558C0A6B" w:rsidR="00573F3E" w:rsidRPr="00422C10" w:rsidRDefault="00FA2437" w:rsidP="000C2BE0">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hAnsi="Arial" w:cs="Arial"/>
          <w:color w:val="000000" w:themeColor="text1"/>
        </w:rPr>
        <w:t>Manuel de Jesús Santiago Polo</w:t>
      </w:r>
      <w:r w:rsidR="000C2BE0" w:rsidRPr="00422C10">
        <w:rPr>
          <w:rFonts w:ascii="Arial" w:eastAsia="Times New Roman" w:hAnsi="Arial" w:cs="Arial"/>
          <w:color w:val="000000" w:themeColor="text1"/>
          <w:lang w:eastAsia="es-ES"/>
        </w:rPr>
        <w:t xml:space="preserve"> en</w:t>
      </w:r>
      <w:r w:rsidR="00873965" w:rsidRPr="00422C10">
        <w:rPr>
          <w:rFonts w:ascii="Arial" w:eastAsia="Times New Roman" w:hAnsi="Arial" w:cs="Arial"/>
          <w:color w:val="000000" w:themeColor="text1"/>
          <w:lang w:eastAsia="es-ES"/>
        </w:rPr>
        <w:t xml:space="preserve"> su solicitud de amparo atacó</w:t>
      </w:r>
      <w:r w:rsidR="000C2BE0" w:rsidRPr="00422C10">
        <w:rPr>
          <w:rFonts w:ascii="Arial" w:eastAsia="Times New Roman" w:hAnsi="Arial" w:cs="Arial"/>
          <w:color w:val="000000" w:themeColor="text1"/>
          <w:lang w:eastAsia="es-ES"/>
        </w:rPr>
        <w:t xml:space="preserve"> la Resolución CJR20 – 0202 del 27 </w:t>
      </w:r>
      <w:r w:rsidR="00873965" w:rsidRPr="00422C10">
        <w:rPr>
          <w:rFonts w:ascii="Arial" w:eastAsia="Times New Roman" w:hAnsi="Arial" w:cs="Arial"/>
          <w:color w:val="000000" w:themeColor="text1"/>
          <w:lang w:eastAsia="es-ES"/>
        </w:rPr>
        <w:t>de octubre de 2020 porque estimó</w:t>
      </w:r>
      <w:r w:rsidR="000C2BE0" w:rsidRPr="00422C10">
        <w:rPr>
          <w:rFonts w:ascii="Arial" w:eastAsia="Times New Roman" w:hAnsi="Arial" w:cs="Arial"/>
          <w:color w:val="000000" w:themeColor="text1"/>
          <w:lang w:eastAsia="es-ES"/>
        </w:rPr>
        <w:t xml:space="preserve"> que la Unidad de Administración de la Carrera Judicial del Consejo Superior de la Judicatura, al decidir retrotraer las etapas de la Convocatoria 27 únicamente hasta la citación de </w:t>
      </w:r>
      <w:r w:rsidR="00573F3E" w:rsidRPr="00422C10">
        <w:rPr>
          <w:rFonts w:ascii="Arial" w:eastAsia="Times New Roman" w:hAnsi="Arial" w:cs="Arial"/>
          <w:color w:val="000000" w:themeColor="text1"/>
          <w:lang w:eastAsia="es-ES"/>
        </w:rPr>
        <w:t>las pruebas de conocimiento,</w:t>
      </w:r>
      <w:r w:rsidR="000C2BE0" w:rsidRPr="00422C10">
        <w:rPr>
          <w:rFonts w:ascii="Arial" w:eastAsia="Times New Roman" w:hAnsi="Arial" w:cs="Arial"/>
          <w:color w:val="000000" w:themeColor="text1"/>
          <w:lang w:eastAsia="es-ES"/>
        </w:rPr>
        <w:t xml:space="preserve"> negó la oportunidad de que las personas </w:t>
      </w:r>
      <w:r w:rsidR="00573F3E" w:rsidRPr="00422C10">
        <w:rPr>
          <w:rFonts w:ascii="Arial" w:eastAsia="Times New Roman" w:hAnsi="Arial" w:cs="Arial"/>
          <w:color w:val="000000" w:themeColor="text1"/>
          <w:lang w:eastAsia="es-ES"/>
        </w:rPr>
        <w:t xml:space="preserve">que quisieran participar en el concurso de méritos de la Rama Judicial pudieran hacerlo con la periodicidad prevista en la </w:t>
      </w:r>
      <w:r w:rsidR="00C33709" w:rsidRPr="00422C10">
        <w:rPr>
          <w:rFonts w:ascii="Arial" w:eastAsia="Times New Roman" w:hAnsi="Arial" w:cs="Arial"/>
          <w:color w:val="000000" w:themeColor="text1"/>
          <w:lang w:eastAsia="es-ES"/>
        </w:rPr>
        <w:t>Ley 270 de 1996</w:t>
      </w:r>
      <w:r w:rsidR="00573F3E" w:rsidRPr="00422C10">
        <w:rPr>
          <w:rFonts w:ascii="Arial" w:eastAsia="Times New Roman" w:hAnsi="Arial" w:cs="Arial"/>
          <w:color w:val="000000" w:themeColor="text1"/>
          <w:lang w:eastAsia="es-ES"/>
        </w:rPr>
        <w:t xml:space="preserve">. </w:t>
      </w:r>
      <w:r w:rsidR="00B23894" w:rsidRPr="00422C10">
        <w:rPr>
          <w:rFonts w:ascii="Arial" w:eastAsia="Times New Roman" w:hAnsi="Arial" w:cs="Arial"/>
          <w:color w:val="000000" w:themeColor="text1"/>
          <w:lang w:eastAsia="es-ES"/>
        </w:rPr>
        <w:t>Aunado a esto, e</w:t>
      </w:r>
      <w:r w:rsidR="00AE40BD" w:rsidRPr="00422C10">
        <w:rPr>
          <w:rFonts w:ascii="Arial" w:eastAsia="Times New Roman" w:hAnsi="Arial" w:cs="Arial"/>
          <w:color w:val="000000" w:themeColor="text1"/>
          <w:lang w:eastAsia="es-ES"/>
        </w:rPr>
        <w:t>stimó que no podía</w:t>
      </w:r>
      <w:r w:rsidR="00065C66" w:rsidRPr="00422C10">
        <w:rPr>
          <w:rFonts w:ascii="Arial" w:eastAsia="Times New Roman" w:hAnsi="Arial" w:cs="Arial"/>
          <w:color w:val="000000" w:themeColor="text1"/>
          <w:lang w:eastAsia="es-ES"/>
        </w:rPr>
        <w:t>n</w:t>
      </w:r>
      <w:r w:rsidR="00AE40BD" w:rsidRPr="00422C10">
        <w:rPr>
          <w:rFonts w:ascii="Arial" w:eastAsia="Times New Roman" w:hAnsi="Arial" w:cs="Arial"/>
          <w:color w:val="000000" w:themeColor="text1"/>
          <w:lang w:eastAsia="es-ES"/>
        </w:rPr>
        <w:t xml:space="preserve"> tenerse como exc</w:t>
      </w:r>
      <w:r w:rsidR="00B23894" w:rsidRPr="00422C10">
        <w:rPr>
          <w:rFonts w:ascii="Arial" w:eastAsia="Times New Roman" w:hAnsi="Arial" w:cs="Arial"/>
          <w:color w:val="000000" w:themeColor="text1"/>
          <w:lang w:eastAsia="es-ES"/>
        </w:rPr>
        <w:t>usa</w:t>
      </w:r>
      <w:r w:rsidR="00AE40BD" w:rsidRPr="00422C10">
        <w:rPr>
          <w:rFonts w:ascii="Arial" w:eastAsia="Times New Roman" w:hAnsi="Arial" w:cs="Arial"/>
          <w:color w:val="000000" w:themeColor="text1"/>
          <w:lang w:eastAsia="es-ES"/>
        </w:rPr>
        <w:t xml:space="preserve"> </w:t>
      </w:r>
      <w:r w:rsidR="00065C66" w:rsidRPr="00422C10">
        <w:rPr>
          <w:rFonts w:ascii="Arial" w:eastAsia="Times New Roman" w:hAnsi="Arial" w:cs="Arial"/>
          <w:color w:val="000000" w:themeColor="text1"/>
          <w:lang w:eastAsia="es-ES"/>
        </w:rPr>
        <w:t xml:space="preserve">para haber tomado esa decisión </w:t>
      </w:r>
      <w:r w:rsidR="00AE40BD" w:rsidRPr="00422C10">
        <w:rPr>
          <w:rFonts w:ascii="Arial" w:eastAsia="Times New Roman" w:hAnsi="Arial" w:cs="Arial"/>
          <w:color w:val="000000" w:themeColor="text1"/>
          <w:lang w:eastAsia="es-ES"/>
        </w:rPr>
        <w:t xml:space="preserve">las fechas de inscripción fijadas en el </w:t>
      </w:r>
      <w:r w:rsidR="00C56CC3" w:rsidRPr="00422C10">
        <w:rPr>
          <w:rFonts w:ascii="Arial" w:eastAsia="Verdana" w:hAnsi="Arial" w:cs="Arial"/>
          <w:color w:val="000000" w:themeColor="text1"/>
        </w:rPr>
        <w:t>Acuerdo PCSJA18-11077 del 16 de agosto de 2018</w:t>
      </w:r>
      <w:r w:rsidR="00AE40BD" w:rsidRPr="00422C10">
        <w:rPr>
          <w:rFonts w:ascii="Arial" w:eastAsia="Verdana" w:hAnsi="Arial" w:cs="Arial"/>
          <w:color w:val="000000" w:themeColor="text1"/>
        </w:rPr>
        <w:t>, pues a su juicio</w:t>
      </w:r>
      <w:r w:rsidR="00065C66" w:rsidRPr="00422C10">
        <w:rPr>
          <w:rFonts w:ascii="Arial" w:eastAsia="Verdana" w:hAnsi="Arial" w:cs="Arial"/>
          <w:color w:val="000000" w:themeColor="text1"/>
        </w:rPr>
        <w:t>,</w:t>
      </w:r>
      <w:r w:rsidR="00AE40BD" w:rsidRPr="00422C10">
        <w:rPr>
          <w:rFonts w:ascii="Arial" w:eastAsia="Verdana" w:hAnsi="Arial" w:cs="Arial"/>
          <w:color w:val="000000" w:themeColor="text1"/>
        </w:rPr>
        <w:t xml:space="preserve"> esas</w:t>
      </w:r>
      <w:r w:rsidR="00AD3491" w:rsidRPr="00422C10">
        <w:rPr>
          <w:rFonts w:ascii="Arial" w:eastAsia="Verdana" w:hAnsi="Arial" w:cs="Arial"/>
          <w:color w:val="000000" w:themeColor="text1"/>
        </w:rPr>
        <w:t xml:space="preserve"> no</w:t>
      </w:r>
      <w:r w:rsidR="00AE40BD" w:rsidRPr="00422C10">
        <w:rPr>
          <w:rFonts w:ascii="Arial" w:eastAsia="Verdana" w:hAnsi="Arial" w:cs="Arial"/>
          <w:color w:val="000000" w:themeColor="text1"/>
        </w:rPr>
        <w:t xml:space="preserve"> </w:t>
      </w:r>
      <w:r w:rsidR="00065C66" w:rsidRPr="00422C10">
        <w:rPr>
          <w:rFonts w:ascii="Arial" w:eastAsia="Verdana" w:hAnsi="Arial" w:cs="Arial"/>
          <w:color w:val="000000" w:themeColor="text1"/>
        </w:rPr>
        <w:t>deb</w:t>
      </w:r>
      <w:r w:rsidR="00B23894" w:rsidRPr="00422C10">
        <w:rPr>
          <w:rFonts w:ascii="Arial" w:eastAsia="Verdana" w:hAnsi="Arial" w:cs="Arial"/>
          <w:color w:val="000000" w:themeColor="text1"/>
        </w:rPr>
        <w:t xml:space="preserve">ían haberse </w:t>
      </w:r>
      <w:r w:rsidR="00AD3491" w:rsidRPr="00422C10">
        <w:rPr>
          <w:rFonts w:ascii="Arial" w:eastAsia="Verdana" w:hAnsi="Arial" w:cs="Arial"/>
          <w:color w:val="000000" w:themeColor="text1"/>
        </w:rPr>
        <w:t xml:space="preserve">tenido en </w:t>
      </w:r>
      <w:r w:rsidR="0062190D" w:rsidRPr="00422C10">
        <w:rPr>
          <w:rFonts w:ascii="Arial" w:eastAsia="Verdana" w:hAnsi="Arial" w:cs="Arial"/>
          <w:color w:val="000000" w:themeColor="text1"/>
        </w:rPr>
        <w:t>consideración</w:t>
      </w:r>
      <w:r w:rsidR="00B23894" w:rsidRPr="00422C10">
        <w:rPr>
          <w:rFonts w:ascii="Arial" w:eastAsia="Verdana" w:hAnsi="Arial" w:cs="Arial"/>
          <w:color w:val="000000" w:themeColor="text1"/>
        </w:rPr>
        <w:t xml:space="preserve"> por </w:t>
      </w:r>
      <w:r w:rsidR="009920B4" w:rsidRPr="00422C10">
        <w:rPr>
          <w:rFonts w:ascii="Arial" w:eastAsia="Verdana" w:hAnsi="Arial" w:cs="Arial"/>
          <w:color w:val="000000" w:themeColor="text1"/>
        </w:rPr>
        <w:t>resultar</w:t>
      </w:r>
      <w:r w:rsidR="00B23894" w:rsidRPr="00422C10">
        <w:rPr>
          <w:rFonts w:ascii="Arial" w:eastAsia="Verdana" w:hAnsi="Arial" w:cs="Arial"/>
          <w:color w:val="000000" w:themeColor="text1"/>
        </w:rPr>
        <w:t xml:space="preserve"> contrarias a la ley.</w:t>
      </w:r>
    </w:p>
    <w:p w14:paraId="19EC3457" w14:textId="499707CF" w:rsidR="000C2BE0" w:rsidRPr="00422C10" w:rsidRDefault="000C2BE0" w:rsidP="000C2BE0">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15A0BDEE" w14:textId="309E36E8" w:rsidR="000C2BE0" w:rsidRPr="00422C10" w:rsidRDefault="000C2BE0" w:rsidP="000C2BE0">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La Corte Constitucional sostiene que, por regla general</w:t>
      </w:r>
      <w:r w:rsidR="00752B3A">
        <w:rPr>
          <w:rFonts w:ascii="Arial" w:eastAsia="Times New Roman" w:hAnsi="Arial" w:cs="Arial"/>
          <w:color w:val="000000" w:themeColor="text1"/>
          <w:lang w:eastAsia="es-ES"/>
        </w:rPr>
        <w:t>,</w:t>
      </w:r>
      <w:r w:rsidRPr="00422C10">
        <w:rPr>
          <w:rFonts w:ascii="Arial" w:eastAsia="Times New Roman" w:hAnsi="Arial" w:cs="Arial"/>
          <w:color w:val="000000" w:themeColor="text1"/>
          <w:lang w:eastAsia="es-ES"/>
        </w:rPr>
        <w:t xml:space="preserve"> la acción de tutela no procede en contra de los actos administrativos que reglamentan o ejecutan un proceso de concurso de méritos</w:t>
      </w:r>
      <w:r w:rsidR="00422C10" w:rsidRPr="00422C10">
        <w:rPr>
          <w:rStyle w:val="Refdenotaalpie"/>
          <w:rFonts w:ascii="Arial" w:hAnsi="Arial" w:cs="Arial"/>
          <w:color w:val="000000" w:themeColor="text1"/>
          <w:sz w:val="22"/>
          <w:szCs w:val="22"/>
        </w:rPr>
        <w:footnoteReference w:id="12"/>
      </w:r>
      <w:r w:rsidRPr="00422C10">
        <w:rPr>
          <w:rFonts w:ascii="Arial" w:eastAsia="Times New Roman" w:hAnsi="Arial" w:cs="Arial"/>
          <w:color w:val="000000" w:themeColor="text1"/>
          <w:lang w:eastAsia="es-ES"/>
        </w:rPr>
        <w:t xml:space="preserve">. Sin embargo, frente a esta regla estableció las siguientes excepciones: </w:t>
      </w:r>
    </w:p>
    <w:p w14:paraId="52A32282" w14:textId="77777777" w:rsidR="000C2BE0" w:rsidRPr="00422C10" w:rsidRDefault="000C2BE0" w:rsidP="000C2BE0">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 xml:space="preserve"> </w:t>
      </w:r>
    </w:p>
    <w:p w14:paraId="576FC744" w14:textId="26F097A2" w:rsidR="000C2BE0" w:rsidRPr="00422C10" w:rsidRDefault="000C2BE0" w:rsidP="007405BE">
      <w:pPr>
        <w:overflowPunct w:val="0"/>
        <w:autoSpaceDE w:val="0"/>
        <w:autoSpaceDN w:val="0"/>
        <w:adjustRightInd w:val="0"/>
        <w:spacing w:line="276" w:lineRule="auto"/>
        <w:ind w:left="708"/>
        <w:contextualSpacing/>
        <w:jc w:val="both"/>
        <w:rPr>
          <w:rFonts w:ascii="Arial" w:eastAsia="Times New Roman" w:hAnsi="Arial" w:cs="Arial"/>
          <w:color w:val="000000" w:themeColor="text1"/>
          <w:sz w:val="22"/>
          <w:szCs w:val="22"/>
          <w:lang w:eastAsia="es-ES"/>
        </w:rPr>
      </w:pPr>
      <w:r w:rsidRPr="00422C10">
        <w:rPr>
          <w:rFonts w:ascii="Arial" w:eastAsia="Times New Roman" w:hAnsi="Arial" w:cs="Arial"/>
          <w:color w:val="000000" w:themeColor="text1"/>
          <w:sz w:val="22"/>
          <w:szCs w:val="22"/>
          <w:lang w:eastAsia="es-ES"/>
        </w:rPr>
        <w:t>“- Cuando la persona afectada no tenga mecanismo distinto de la acción de tutela, para defender eficazmente sus derechos porque no está legitimada para impugnar los actos administrativos que los vulneran o porque la cuestión debatida es eminentemente constitucional.</w:t>
      </w:r>
    </w:p>
    <w:p w14:paraId="763C6713" w14:textId="77777777" w:rsidR="000C2BE0" w:rsidRPr="00422C10" w:rsidRDefault="000C2BE0" w:rsidP="007405BE">
      <w:pPr>
        <w:overflowPunct w:val="0"/>
        <w:autoSpaceDE w:val="0"/>
        <w:autoSpaceDN w:val="0"/>
        <w:adjustRightInd w:val="0"/>
        <w:spacing w:line="276" w:lineRule="auto"/>
        <w:ind w:left="708"/>
        <w:contextualSpacing/>
        <w:jc w:val="both"/>
        <w:rPr>
          <w:rFonts w:ascii="Arial" w:eastAsia="Times New Roman" w:hAnsi="Arial" w:cs="Arial"/>
          <w:color w:val="000000" w:themeColor="text1"/>
          <w:sz w:val="22"/>
          <w:szCs w:val="22"/>
          <w:lang w:eastAsia="es-ES"/>
        </w:rPr>
      </w:pPr>
      <w:r w:rsidRPr="00422C10">
        <w:rPr>
          <w:rFonts w:ascii="Arial" w:eastAsia="Times New Roman" w:hAnsi="Arial" w:cs="Arial"/>
          <w:color w:val="000000" w:themeColor="text1"/>
          <w:sz w:val="22"/>
          <w:szCs w:val="22"/>
          <w:lang w:eastAsia="es-ES"/>
        </w:rPr>
        <w:t xml:space="preserve"> </w:t>
      </w:r>
    </w:p>
    <w:p w14:paraId="064B28E9" w14:textId="7DD8174E" w:rsidR="000C2BE0" w:rsidRPr="00422C10" w:rsidRDefault="000C2BE0" w:rsidP="007405BE">
      <w:pPr>
        <w:overflowPunct w:val="0"/>
        <w:autoSpaceDE w:val="0"/>
        <w:autoSpaceDN w:val="0"/>
        <w:adjustRightInd w:val="0"/>
        <w:spacing w:line="276" w:lineRule="auto"/>
        <w:ind w:left="708"/>
        <w:contextualSpacing/>
        <w:jc w:val="both"/>
        <w:rPr>
          <w:rFonts w:ascii="Arial" w:eastAsia="Times New Roman" w:hAnsi="Arial" w:cs="Arial"/>
          <w:color w:val="000000" w:themeColor="text1"/>
          <w:sz w:val="22"/>
          <w:szCs w:val="22"/>
          <w:lang w:eastAsia="es-ES"/>
        </w:rPr>
      </w:pPr>
      <w:r w:rsidRPr="00422C10">
        <w:rPr>
          <w:rFonts w:ascii="Arial" w:eastAsia="Times New Roman" w:hAnsi="Arial" w:cs="Arial"/>
          <w:color w:val="000000" w:themeColor="text1"/>
          <w:sz w:val="22"/>
          <w:szCs w:val="22"/>
          <w:lang w:eastAsia="es-ES"/>
        </w:rPr>
        <w:t>-  Cuando, por las circunstancias excepcionales del caso concreto, es posible afirmar que, de no producirse la orden de amparo, podrían resultar irremediablemente afectados los derechos fundamentales de la persona que interpone la acción”</w:t>
      </w:r>
      <w:r w:rsidR="00422C10" w:rsidRPr="00422C10">
        <w:rPr>
          <w:rStyle w:val="Refdenotaalpie"/>
          <w:rFonts w:ascii="Arial" w:hAnsi="Arial" w:cs="Arial"/>
          <w:color w:val="000000" w:themeColor="text1"/>
          <w:sz w:val="22"/>
          <w:szCs w:val="22"/>
        </w:rPr>
        <w:t xml:space="preserve"> </w:t>
      </w:r>
      <w:r w:rsidR="00422C10" w:rsidRPr="00422C10">
        <w:rPr>
          <w:rStyle w:val="Refdenotaalpie"/>
          <w:rFonts w:ascii="Arial" w:hAnsi="Arial" w:cs="Arial"/>
          <w:color w:val="000000" w:themeColor="text1"/>
          <w:sz w:val="22"/>
          <w:szCs w:val="22"/>
        </w:rPr>
        <w:footnoteReference w:id="13"/>
      </w:r>
      <w:r w:rsidRPr="00422C10">
        <w:rPr>
          <w:rFonts w:ascii="Arial" w:eastAsia="Times New Roman" w:hAnsi="Arial" w:cs="Arial"/>
          <w:color w:val="000000" w:themeColor="text1"/>
          <w:sz w:val="22"/>
          <w:szCs w:val="22"/>
          <w:lang w:eastAsia="es-ES"/>
        </w:rPr>
        <w:t>.</w:t>
      </w:r>
    </w:p>
    <w:p w14:paraId="0C6D206E" w14:textId="77777777" w:rsidR="000C2BE0" w:rsidRPr="00422C10" w:rsidRDefault="000C2BE0" w:rsidP="000C2BE0">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5181CEC3" w14:textId="34F33184" w:rsidR="000C2BE0" w:rsidRPr="00422C10" w:rsidRDefault="000C2BE0" w:rsidP="000C2BE0">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 xml:space="preserve">En el </w:t>
      </w:r>
      <w:r w:rsidRPr="00422C10">
        <w:rPr>
          <w:rFonts w:ascii="Arial" w:eastAsia="Times New Roman" w:hAnsi="Arial" w:cs="Arial"/>
          <w:i/>
          <w:color w:val="000000" w:themeColor="text1"/>
          <w:lang w:eastAsia="es-ES"/>
        </w:rPr>
        <w:t>sub lite</w:t>
      </w:r>
      <w:r w:rsidRPr="00422C10">
        <w:rPr>
          <w:rFonts w:ascii="Arial" w:eastAsia="Times New Roman" w:hAnsi="Arial" w:cs="Arial"/>
          <w:color w:val="000000" w:themeColor="text1"/>
          <w:lang w:eastAsia="es-ES"/>
        </w:rPr>
        <w:t>, el accionante no participa en el concurso en el que se expidió el acto administrativo que ataca y por lo tanto no estaría legitimado para impugnarlo, razón por la que</w:t>
      </w:r>
      <w:r w:rsidR="007405BE" w:rsidRPr="00422C10">
        <w:rPr>
          <w:rFonts w:ascii="Arial" w:eastAsia="Times New Roman" w:hAnsi="Arial" w:cs="Arial"/>
          <w:color w:val="000000" w:themeColor="text1"/>
          <w:lang w:eastAsia="es-ES"/>
        </w:rPr>
        <w:t>,</w:t>
      </w:r>
      <w:r w:rsidRPr="00422C10">
        <w:rPr>
          <w:rFonts w:ascii="Arial" w:eastAsia="Times New Roman" w:hAnsi="Arial" w:cs="Arial"/>
          <w:color w:val="000000" w:themeColor="text1"/>
          <w:lang w:eastAsia="es-ES"/>
        </w:rPr>
        <w:t xml:space="preserve"> en principio, esta solicitud resultaría procedente. </w:t>
      </w:r>
    </w:p>
    <w:p w14:paraId="7BE5EE85" w14:textId="77777777" w:rsidR="000C2BE0" w:rsidRPr="00422C10" w:rsidRDefault="000C2BE0" w:rsidP="000C2BE0">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3EFC62CC" w14:textId="4080FF59" w:rsidR="000C2BE0" w:rsidRPr="00422C10" w:rsidRDefault="000C2BE0" w:rsidP="000C2BE0">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Ahora bien, antes de llegar a esa conclusión es menester definir que la Resolución CJR20 – 0202 del 27 de octubre de 2020 es un acto de trámite o preparatorio, en la medida en que no decide ni directa ni indirectamente el fondo del asunto, ni imposibilita la continuación del concurso de méritos para la provisión de los cargos de funcionarios de la Rama Judicial</w:t>
      </w:r>
      <w:r w:rsidR="00422C10" w:rsidRPr="00422C10">
        <w:rPr>
          <w:rStyle w:val="Refdenotaalpie"/>
          <w:rFonts w:ascii="Arial" w:hAnsi="Arial" w:cs="Arial"/>
          <w:iCs/>
          <w:color w:val="000000" w:themeColor="text1"/>
        </w:rPr>
        <w:footnoteReference w:id="14"/>
      </w:r>
      <w:r w:rsidRPr="00422C10">
        <w:rPr>
          <w:rFonts w:ascii="Arial" w:eastAsia="Times New Roman" w:hAnsi="Arial" w:cs="Arial"/>
          <w:color w:val="000000" w:themeColor="text1"/>
          <w:lang w:eastAsia="es-ES"/>
        </w:rPr>
        <w:t>. De hecho, la referida resolución fue expedida en aplicación del artículo 41 del CPACA que permite a las autoridades corregir las irregularidades que se hayan presentado en la actuación administrativa en cualquier momento anterior a la expedición del acto definitivo</w:t>
      </w:r>
      <w:r w:rsidR="00422C10" w:rsidRPr="00422C10">
        <w:rPr>
          <w:rStyle w:val="Refdenotaalpie"/>
          <w:rFonts w:ascii="Arial" w:hAnsi="Arial" w:cs="Arial"/>
          <w:iCs/>
          <w:color w:val="000000" w:themeColor="text1"/>
        </w:rPr>
        <w:footnoteReference w:id="15"/>
      </w:r>
      <w:r w:rsidRPr="00422C10">
        <w:rPr>
          <w:rFonts w:ascii="Arial" w:eastAsia="Times New Roman" w:hAnsi="Arial" w:cs="Arial"/>
          <w:color w:val="000000" w:themeColor="text1"/>
          <w:lang w:eastAsia="es-ES"/>
        </w:rPr>
        <w:t xml:space="preserve">. De manera que, este acto simplemente da impulso al proceso y dispone y organiza los elementos de juicio que requiere la administración para decidir de fondo el asunto. </w:t>
      </w:r>
    </w:p>
    <w:p w14:paraId="7366F6F6" w14:textId="77777777" w:rsidR="000C2BE0" w:rsidRPr="00422C10" w:rsidRDefault="000C2BE0" w:rsidP="000C2BE0">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04B1D83F" w14:textId="43E77382" w:rsidR="00653268" w:rsidRPr="00422C10" w:rsidRDefault="000C2BE0" w:rsidP="00653268">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 xml:space="preserve">En cuanto a actos de trámite o preparatorios la Corte Constitucional ha limitado aún más la procedencia de la solicitud de amparo </w:t>
      </w:r>
      <w:r w:rsidR="00653268" w:rsidRPr="00422C10">
        <w:rPr>
          <w:rFonts w:ascii="Arial" w:eastAsia="Times New Roman" w:hAnsi="Arial" w:cs="Arial"/>
          <w:color w:val="000000" w:themeColor="text1"/>
          <w:lang w:eastAsia="es-ES"/>
        </w:rPr>
        <w:t>restringiéndola</w:t>
      </w:r>
      <w:r w:rsidRPr="00422C10">
        <w:rPr>
          <w:rFonts w:ascii="Arial" w:eastAsia="Times New Roman" w:hAnsi="Arial" w:cs="Arial"/>
          <w:color w:val="000000" w:themeColor="text1"/>
          <w:lang w:eastAsia="es-ES"/>
        </w:rPr>
        <w:t xml:space="preserve"> únicamente a los casos en que (i) vulneren o amenacen derechos fundamentales; (ii) tengan la potencialidad de definir una situación especial y sustancial; y (iii) sea evidente el carácter irrazonable o desproporcionado de la actuación</w:t>
      </w:r>
      <w:r w:rsidR="00422C10" w:rsidRPr="00422C10">
        <w:rPr>
          <w:rStyle w:val="Refdenotaalpie"/>
          <w:rFonts w:ascii="Arial" w:hAnsi="Arial" w:cs="Arial"/>
          <w:iCs/>
          <w:color w:val="000000" w:themeColor="text1"/>
        </w:rPr>
        <w:footnoteReference w:id="16"/>
      </w:r>
      <w:r w:rsidRPr="00422C10">
        <w:rPr>
          <w:rFonts w:ascii="Arial" w:eastAsia="Times New Roman" w:hAnsi="Arial" w:cs="Arial"/>
          <w:color w:val="000000" w:themeColor="text1"/>
          <w:lang w:eastAsia="es-ES"/>
        </w:rPr>
        <w:t>. Por lo tanto</w:t>
      </w:r>
      <w:r w:rsidR="00C539AF" w:rsidRPr="00422C10">
        <w:rPr>
          <w:rFonts w:ascii="Arial" w:eastAsia="Times New Roman" w:hAnsi="Arial" w:cs="Arial"/>
          <w:color w:val="000000" w:themeColor="text1"/>
          <w:lang w:eastAsia="es-ES"/>
        </w:rPr>
        <w:t>,</w:t>
      </w:r>
      <w:r w:rsidRPr="00422C10">
        <w:rPr>
          <w:rFonts w:ascii="Arial" w:eastAsia="Times New Roman" w:hAnsi="Arial" w:cs="Arial"/>
          <w:color w:val="000000" w:themeColor="text1"/>
          <w:lang w:eastAsia="es-ES"/>
        </w:rPr>
        <w:t xml:space="preserve"> también corresponde a la Sala efectuar este análisis para determinar la procedibilidad de esta solicitud de amparo.</w:t>
      </w:r>
    </w:p>
    <w:p w14:paraId="35C1ABF3" w14:textId="77777777" w:rsidR="00653268" w:rsidRPr="00422C10" w:rsidRDefault="00653268" w:rsidP="00653268">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61EE528E" w14:textId="43FB95C9" w:rsidR="00653268" w:rsidRPr="00422C10" w:rsidRDefault="00653268" w:rsidP="00653268">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 xml:space="preserve">En el caso bajo examen, </w:t>
      </w:r>
      <w:r w:rsidRPr="00422C10">
        <w:rPr>
          <w:rFonts w:ascii="Arial" w:hAnsi="Arial" w:cs="Arial"/>
          <w:color w:val="000000" w:themeColor="text1"/>
        </w:rPr>
        <w:t>Manuel de Jesús Santiago Polo</w:t>
      </w:r>
      <w:r w:rsidRPr="00422C10">
        <w:rPr>
          <w:rFonts w:ascii="Arial" w:eastAsia="Times New Roman" w:hAnsi="Arial" w:cs="Arial"/>
          <w:color w:val="000000" w:themeColor="text1"/>
          <w:lang w:eastAsia="es-ES"/>
        </w:rPr>
        <w:t xml:space="preserve"> cumplió con los primeros dos requisitos en la medida en que expuso la posible vulneración de sus derechos a la igualdad, al debido proceso y al acceso a cargos públicos, y explicó que la Resolución CJR20 – 0202 del 27 de octubre de 2020 tiene la potencialidad de decidir hasta qué punto se retrotrae el concurso, y con ello, de determinar si él puede inscribirse ahora y participar de este.</w:t>
      </w:r>
    </w:p>
    <w:p w14:paraId="0EE20428" w14:textId="77777777" w:rsidR="00653268" w:rsidRPr="00422C10" w:rsidRDefault="00653268" w:rsidP="00653268">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0FC61B98" w14:textId="29BA8A4F" w:rsidR="00653268" w:rsidRPr="00422C10" w:rsidRDefault="00653268" w:rsidP="00653268">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Resueltos esos puntos, resta a la Sala hacer un análisis del caso concreto para verificar el tercer requisito referente a que la actuación administrativa reprochada tenga un carácter irra</w:t>
      </w:r>
      <w:r w:rsidR="00F417EF">
        <w:rPr>
          <w:rFonts w:ascii="Arial" w:eastAsia="Times New Roman" w:hAnsi="Arial" w:cs="Arial"/>
          <w:color w:val="000000" w:themeColor="text1"/>
          <w:lang w:eastAsia="es-ES"/>
        </w:rPr>
        <w:t>zonable</w:t>
      </w:r>
      <w:r w:rsidRPr="00422C10">
        <w:rPr>
          <w:rFonts w:ascii="Arial" w:eastAsia="Times New Roman" w:hAnsi="Arial" w:cs="Arial"/>
          <w:color w:val="000000" w:themeColor="text1"/>
          <w:lang w:eastAsia="es-ES"/>
        </w:rPr>
        <w:t xml:space="preserve"> o desproporcionado y conforme a esto, decidir sobre la procedencia de esta solicitud. </w:t>
      </w:r>
    </w:p>
    <w:p w14:paraId="7A54F6CA" w14:textId="77777777" w:rsidR="00653268" w:rsidRPr="00422C10" w:rsidRDefault="00653268" w:rsidP="00653268">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4034BE43" w14:textId="63840038" w:rsidR="00653268" w:rsidRPr="00422C10" w:rsidRDefault="00D00E3F" w:rsidP="00653268">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b/>
          <w:color w:val="000000" w:themeColor="text1"/>
          <w:lang w:eastAsia="es-ES"/>
        </w:rPr>
        <w:t>2.3.1.</w:t>
      </w:r>
      <w:r w:rsidRPr="00422C10">
        <w:rPr>
          <w:rFonts w:ascii="Arial" w:eastAsia="Times New Roman" w:hAnsi="Arial" w:cs="Arial"/>
          <w:color w:val="000000" w:themeColor="text1"/>
          <w:lang w:eastAsia="es-ES"/>
        </w:rPr>
        <w:t xml:space="preserve"> </w:t>
      </w:r>
      <w:r w:rsidR="00653268" w:rsidRPr="00422C10">
        <w:rPr>
          <w:rFonts w:ascii="Arial" w:eastAsia="Times New Roman" w:hAnsi="Arial" w:cs="Arial"/>
          <w:color w:val="000000" w:themeColor="text1"/>
          <w:lang w:eastAsia="es-ES"/>
        </w:rPr>
        <w:t>La Unidad de Administración de la Carrera Judicial del Consejo Superior de la Judicatura, en la parte considerativa de la Resolución CJR20 – 0202 del 27 de octubre de 2020 explicó que los errores que se dieron en el concurso de méritos tuvieron origen en la diagramación y ensamblaje final de los cuadernillos de la prueba de conocimiento. Manifestó que este yerro alteró la estructuración de las preguntas y que después de adelantar varias revisiones y correcciones parciales observó que la afectación era tal que debía solicitar a la Universidad Nacional de Colombia que realizara nuevas pruebas. Por es</w:t>
      </w:r>
      <w:r w:rsidR="00A03994">
        <w:rPr>
          <w:rFonts w:ascii="Arial" w:eastAsia="Times New Roman" w:hAnsi="Arial" w:cs="Arial"/>
          <w:color w:val="000000" w:themeColor="text1"/>
          <w:lang w:eastAsia="es-ES"/>
        </w:rPr>
        <w:t>e motivo decidió retrotraer la c</w:t>
      </w:r>
      <w:r w:rsidR="00653268" w:rsidRPr="00422C10">
        <w:rPr>
          <w:rFonts w:ascii="Arial" w:eastAsia="Times New Roman" w:hAnsi="Arial" w:cs="Arial"/>
          <w:color w:val="000000" w:themeColor="text1"/>
          <w:lang w:eastAsia="es-ES"/>
        </w:rPr>
        <w:t xml:space="preserve">onvocatoria hasta la citación de la prueba de conocimiento, es decir el momento justo anterior a aquel en el que existieron las irregularidades.  </w:t>
      </w:r>
    </w:p>
    <w:p w14:paraId="4273EDAA" w14:textId="77777777" w:rsidR="00653268" w:rsidRPr="00422C10" w:rsidRDefault="00653268" w:rsidP="00653268">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74716254" w14:textId="4E7174CD" w:rsidR="00653268" w:rsidRPr="00422C10" w:rsidRDefault="00653268" w:rsidP="00653268">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En la medida en que el objetivo de este acto a</w:t>
      </w:r>
      <w:r w:rsidR="001E76B2">
        <w:rPr>
          <w:rFonts w:ascii="Arial" w:eastAsia="Times New Roman" w:hAnsi="Arial" w:cs="Arial"/>
          <w:color w:val="000000" w:themeColor="text1"/>
          <w:lang w:eastAsia="es-ES"/>
        </w:rPr>
        <w:t>dministrativo era corregir (artí</w:t>
      </w:r>
      <w:r w:rsidRPr="00422C10">
        <w:rPr>
          <w:rFonts w:ascii="Arial" w:eastAsia="Times New Roman" w:hAnsi="Arial" w:cs="Arial"/>
          <w:color w:val="000000" w:themeColor="text1"/>
          <w:lang w:eastAsia="es-ES"/>
        </w:rPr>
        <w:t>culo 41 del CPACA) los errores que se presentaron, resulta razonable el hecho de que la Unidad de Administración de la Carrera Judicial del Consejo Superior de la Judicatura haya retrotraído el proceso hasta el momento justo anterior al examen de conocimiento y aptitudes, pues, fue en este en el que se encontraron irregularidades y por lo tanto era el que debía enmendarse. Así las cosas, esa decisión, en principio, no parece irracional o desproporcionada. Máxime cuando la Unidad de Administración de la Carrera Judicial explicó que por la importancia del servicio público esencial de administración de justicia era menester elegir a los servidores más idóneos para que ocupen los cargos de jueces y magistrados.</w:t>
      </w:r>
    </w:p>
    <w:p w14:paraId="35617683" w14:textId="77777777"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770C5621" w14:textId="3CC94290" w:rsidR="003D5797" w:rsidRPr="00422C10" w:rsidRDefault="00D00E3F" w:rsidP="003D5797">
      <w:pPr>
        <w:overflowPunct w:val="0"/>
        <w:autoSpaceDE w:val="0"/>
        <w:autoSpaceDN w:val="0"/>
        <w:adjustRightInd w:val="0"/>
        <w:spacing w:line="276" w:lineRule="auto"/>
        <w:contextualSpacing/>
        <w:jc w:val="both"/>
        <w:rPr>
          <w:rFonts w:ascii="Arial" w:eastAsia="Times New Roman" w:hAnsi="Arial" w:cs="Arial"/>
          <w:color w:val="000000" w:themeColor="text1"/>
        </w:rPr>
      </w:pPr>
      <w:r w:rsidRPr="00422C10">
        <w:rPr>
          <w:rFonts w:ascii="Arial" w:eastAsia="Times New Roman" w:hAnsi="Arial" w:cs="Arial"/>
          <w:b/>
          <w:color w:val="000000" w:themeColor="text1"/>
          <w:lang w:eastAsia="es-ES"/>
        </w:rPr>
        <w:t>2.3.2</w:t>
      </w:r>
      <w:r w:rsidR="003D5797" w:rsidRPr="00422C10">
        <w:rPr>
          <w:rFonts w:ascii="Arial" w:eastAsia="Times New Roman" w:hAnsi="Arial" w:cs="Arial"/>
          <w:b/>
          <w:color w:val="000000" w:themeColor="text1"/>
          <w:lang w:eastAsia="es-ES"/>
        </w:rPr>
        <w:t>.</w:t>
      </w:r>
      <w:r w:rsidR="003D5797" w:rsidRPr="00422C10">
        <w:rPr>
          <w:rFonts w:ascii="Arial" w:eastAsia="Times New Roman" w:hAnsi="Arial" w:cs="Arial"/>
          <w:color w:val="000000" w:themeColor="text1"/>
          <w:lang w:eastAsia="es-ES"/>
        </w:rPr>
        <w:t xml:space="preserve"> </w:t>
      </w:r>
      <w:r w:rsidRPr="00422C10">
        <w:rPr>
          <w:rFonts w:ascii="Arial" w:eastAsia="Times New Roman" w:hAnsi="Arial" w:cs="Arial"/>
          <w:color w:val="000000" w:themeColor="text1"/>
          <w:lang w:eastAsia="es-ES"/>
        </w:rPr>
        <w:t xml:space="preserve">Ahora corresponde estudiar la irrazonabilidad de la Resolución </w:t>
      </w:r>
      <w:r w:rsidRPr="00422C10">
        <w:rPr>
          <w:rFonts w:ascii="Arial" w:eastAsia="Times New Roman" w:hAnsi="Arial" w:cs="Arial"/>
          <w:color w:val="000000" w:themeColor="text1"/>
        </w:rPr>
        <w:t xml:space="preserve">CJR20 – 0202 del 27 de octubre de 2020 de cara a la </w:t>
      </w:r>
      <w:r w:rsidRPr="00422C10">
        <w:rPr>
          <w:rFonts w:ascii="Arial" w:eastAsia="Times New Roman" w:hAnsi="Arial" w:cs="Arial"/>
          <w:color w:val="000000" w:themeColor="text1"/>
          <w:lang w:eastAsia="es-ES"/>
        </w:rPr>
        <w:t>incompatibilidad que aduce</w:t>
      </w:r>
      <w:r w:rsidR="003D5797" w:rsidRPr="00422C10">
        <w:rPr>
          <w:rFonts w:ascii="Arial" w:eastAsia="Times New Roman" w:hAnsi="Arial" w:cs="Arial"/>
          <w:color w:val="000000" w:themeColor="text1"/>
          <w:lang w:eastAsia="es-ES"/>
        </w:rPr>
        <w:t xml:space="preserve"> </w:t>
      </w:r>
      <w:r w:rsidRPr="00422C10">
        <w:rPr>
          <w:rFonts w:ascii="Arial" w:eastAsia="Times New Roman" w:hAnsi="Arial" w:cs="Arial"/>
          <w:color w:val="000000" w:themeColor="text1"/>
          <w:lang w:eastAsia="es-ES"/>
        </w:rPr>
        <w:t>Manuel de Jesús Santiago Polo con</w:t>
      </w:r>
      <w:r w:rsidR="003D5797" w:rsidRPr="00422C10">
        <w:rPr>
          <w:rFonts w:ascii="Arial" w:eastAsia="Times New Roman" w:hAnsi="Arial" w:cs="Arial"/>
          <w:color w:val="000000" w:themeColor="text1"/>
        </w:rPr>
        <w:t xml:space="preserve"> el artículo 164 de la Ley 270 de 1996, que dispone:</w:t>
      </w:r>
    </w:p>
    <w:p w14:paraId="2F512853" w14:textId="77777777"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5784C733" w14:textId="77777777" w:rsidR="003D5797" w:rsidRPr="00422C10" w:rsidRDefault="003D5797" w:rsidP="003D5797">
      <w:pPr>
        <w:overflowPunct w:val="0"/>
        <w:autoSpaceDE w:val="0"/>
        <w:autoSpaceDN w:val="0"/>
        <w:adjustRightInd w:val="0"/>
        <w:spacing w:line="276" w:lineRule="auto"/>
        <w:ind w:left="708"/>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“Los concursos de mérito en la carrera judicial se regirán por las siguientes normas básicas:</w:t>
      </w:r>
    </w:p>
    <w:p w14:paraId="1BDAE192" w14:textId="77777777" w:rsidR="003D5797" w:rsidRPr="00422C10" w:rsidRDefault="003D5797" w:rsidP="003D5797">
      <w:pPr>
        <w:overflowPunct w:val="0"/>
        <w:autoSpaceDE w:val="0"/>
        <w:autoSpaceDN w:val="0"/>
        <w:adjustRightInd w:val="0"/>
        <w:spacing w:line="276" w:lineRule="auto"/>
        <w:ind w:left="708"/>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w:t>
      </w:r>
    </w:p>
    <w:p w14:paraId="370C630D" w14:textId="77777777" w:rsidR="003D5797" w:rsidRPr="00422C10" w:rsidRDefault="003D5797" w:rsidP="003D5797">
      <w:pPr>
        <w:overflowPunct w:val="0"/>
        <w:autoSpaceDE w:val="0"/>
        <w:autoSpaceDN w:val="0"/>
        <w:adjustRightInd w:val="0"/>
        <w:spacing w:line="276" w:lineRule="auto"/>
        <w:ind w:left="708"/>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2. La convocatoria es norma obligatoria que regula todo proceso de selección mediante concurso de méritos. Cada dos años se efectuará de manera ordinaria por la Sala Administrativa de los Consejos Superior y Seccionales de la Judicatura, y extraordinariamente cada vez que, según las circunstancias, el Registro de Elegibles resulte insuficiente”.</w:t>
      </w:r>
    </w:p>
    <w:p w14:paraId="7140A85C" w14:textId="77777777"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5887CBEE" w14:textId="1B5BFDD6" w:rsidR="003D5797" w:rsidRPr="00422C10" w:rsidRDefault="003D5797" w:rsidP="003D5797">
      <w:pPr>
        <w:overflowPunct w:val="0"/>
        <w:autoSpaceDE w:val="0"/>
        <w:autoSpaceDN w:val="0"/>
        <w:adjustRightInd w:val="0"/>
        <w:spacing w:line="276" w:lineRule="auto"/>
        <w:contextualSpacing/>
        <w:jc w:val="both"/>
        <w:rPr>
          <w:rFonts w:ascii="Arial" w:hAnsi="Arial" w:cs="Arial"/>
          <w:color w:val="000000" w:themeColor="text1"/>
        </w:rPr>
      </w:pPr>
      <w:r w:rsidRPr="00422C10">
        <w:rPr>
          <w:rFonts w:ascii="Arial" w:eastAsia="Times New Roman" w:hAnsi="Arial" w:cs="Arial"/>
          <w:color w:val="000000" w:themeColor="text1"/>
          <w:lang w:eastAsia="es-ES"/>
        </w:rPr>
        <w:t>Con base en esto</w:t>
      </w:r>
      <w:r w:rsidR="002A08C0" w:rsidRPr="00422C10">
        <w:rPr>
          <w:rFonts w:ascii="Arial" w:eastAsia="Times New Roman" w:hAnsi="Arial" w:cs="Arial"/>
          <w:color w:val="000000" w:themeColor="text1"/>
          <w:lang w:eastAsia="es-ES"/>
        </w:rPr>
        <w:t>,</w:t>
      </w:r>
      <w:r w:rsidRPr="00422C10">
        <w:rPr>
          <w:rFonts w:ascii="Arial" w:eastAsia="Times New Roman" w:hAnsi="Arial" w:cs="Arial"/>
          <w:color w:val="000000" w:themeColor="text1"/>
          <w:lang w:eastAsia="es-ES"/>
        </w:rPr>
        <w:t xml:space="preserve"> </w:t>
      </w:r>
      <w:r w:rsidR="002A08C0" w:rsidRPr="00422C10">
        <w:rPr>
          <w:rFonts w:ascii="Arial" w:hAnsi="Arial" w:cs="Arial"/>
          <w:color w:val="000000" w:themeColor="text1"/>
        </w:rPr>
        <w:t>el señor</w:t>
      </w:r>
      <w:r w:rsidRPr="00422C10">
        <w:rPr>
          <w:rFonts w:ascii="Arial" w:hAnsi="Arial" w:cs="Arial"/>
          <w:color w:val="000000" w:themeColor="text1"/>
        </w:rPr>
        <w:t xml:space="preserve"> Santiago Polo sostuv</w:t>
      </w:r>
      <w:r w:rsidR="002A08C0" w:rsidRPr="00422C10">
        <w:rPr>
          <w:rFonts w:ascii="Arial" w:hAnsi="Arial" w:cs="Arial"/>
          <w:color w:val="000000" w:themeColor="text1"/>
        </w:rPr>
        <w:t>o</w:t>
      </w:r>
      <w:r w:rsidRPr="00422C10">
        <w:rPr>
          <w:rFonts w:ascii="Arial" w:hAnsi="Arial" w:cs="Arial"/>
          <w:color w:val="000000" w:themeColor="text1"/>
        </w:rPr>
        <w:t xml:space="preserve"> que </w:t>
      </w:r>
      <w:r w:rsidR="002A08C0" w:rsidRPr="00422C10">
        <w:rPr>
          <w:rFonts w:ascii="Arial" w:hAnsi="Arial" w:cs="Arial"/>
          <w:color w:val="000000" w:themeColor="text1"/>
        </w:rPr>
        <w:t xml:space="preserve">la </w:t>
      </w:r>
      <w:r w:rsidR="002A08C0" w:rsidRPr="00422C10">
        <w:rPr>
          <w:rFonts w:ascii="Arial" w:eastAsia="Times New Roman" w:hAnsi="Arial" w:cs="Arial"/>
          <w:color w:val="000000" w:themeColor="text1"/>
          <w:lang w:eastAsia="es-ES"/>
        </w:rPr>
        <w:t>Unidad de Administración de la Carrera Judicial</w:t>
      </w:r>
      <w:r w:rsidRPr="00422C10">
        <w:rPr>
          <w:rFonts w:ascii="Arial" w:hAnsi="Arial" w:cs="Arial"/>
          <w:color w:val="000000" w:themeColor="text1"/>
        </w:rPr>
        <w:t xml:space="preserve"> desconoció su derecho a participar en el concurso con la periodicidad establecida por la ley.</w:t>
      </w:r>
    </w:p>
    <w:p w14:paraId="6CA742B3" w14:textId="77777777"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67B6B3AD" w14:textId="77777777"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Al revisar el alcance que la jurisprudencia le ha dado a esta disposición, la Sala encontró que la Sección Quinta del Consejo de Estado</w:t>
      </w:r>
      <w:r w:rsidRPr="00422C10">
        <w:rPr>
          <w:rStyle w:val="Refdenotaalpie"/>
          <w:rFonts w:ascii="Arial" w:eastAsia="Times New Roman" w:hAnsi="Arial" w:cs="Arial"/>
          <w:color w:val="000000" w:themeColor="text1"/>
          <w:lang w:eastAsia="es-ES"/>
        </w:rPr>
        <w:footnoteReference w:id="17"/>
      </w:r>
      <w:r w:rsidRPr="00422C10">
        <w:rPr>
          <w:rFonts w:ascii="Arial" w:eastAsia="Times New Roman" w:hAnsi="Arial" w:cs="Arial"/>
          <w:color w:val="000000" w:themeColor="text1"/>
          <w:lang w:eastAsia="es-ES"/>
        </w:rPr>
        <w:t xml:space="preserve"> al decidir sobre una acción de cumplimiento en relación con el numeral 2 del artículo 164 de la Ley 270 de 1996 sostuvo lo siguiente:</w:t>
      </w:r>
    </w:p>
    <w:p w14:paraId="6717EE5A" w14:textId="77777777"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1C1FF23A" w14:textId="77777777" w:rsidR="003D5797" w:rsidRPr="00422C10" w:rsidRDefault="003D5797" w:rsidP="003D5797">
      <w:pPr>
        <w:widowControl w:val="0"/>
        <w:autoSpaceDE w:val="0"/>
        <w:autoSpaceDN w:val="0"/>
        <w:adjustRightInd w:val="0"/>
        <w:spacing w:line="276" w:lineRule="auto"/>
        <w:ind w:left="708"/>
        <w:jc w:val="both"/>
        <w:rPr>
          <w:rFonts w:ascii="Arial" w:hAnsi="Arial" w:cs="Arial"/>
          <w:color w:val="000000" w:themeColor="text1"/>
        </w:rPr>
      </w:pPr>
      <w:r w:rsidRPr="00422C10">
        <w:rPr>
          <w:rFonts w:ascii="Arial" w:hAnsi="Arial" w:cs="Arial"/>
          <w:color w:val="000000" w:themeColor="text1"/>
        </w:rPr>
        <w:t>“[L]a norma presuntamente desatendida busca prioritariamente la existencia de registro de elegibles que permita al Consejo Superior de la Judicatura la posibilidad de proveer los cargos que se hallen vacantes, con el fin de no lesionar la continuidad y las exigencias del servicio público en materia de administración de justicia.</w:t>
      </w:r>
    </w:p>
    <w:p w14:paraId="109C5465" w14:textId="77777777" w:rsidR="003D5797" w:rsidRPr="00422C10" w:rsidRDefault="003D5797" w:rsidP="003D5797">
      <w:pPr>
        <w:widowControl w:val="0"/>
        <w:autoSpaceDE w:val="0"/>
        <w:autoSpaceDN w:val="0"/>
        <w:adjustRightInd w:val="0"/>
        <w:spacing w:line="276" w:lineRule="auto"/>
        <w:ind w:left="708"/>
        <w:jc w:val="both"/>
        <w:rPr>
          <w:rFonts w:ascii="Arial" w:hAnsi="Arial" w:cs="Arial"/>
          <w:color w:val="000000" w:themeColor="text1"/>
        </w:rPr>
      </w:pPr>
    </w:p>
    <w:p w14:paraId="585E5871" w14:textId="12D83A77" w:rsidR="003D5797" w:rsidRPr="00422C10" w:rsidRDefault="003D5797" w:rsidP="003D5797">
      <w:pPr>
        <w:overflowPunct w:val="0"/>
        <w:autoSpaceDE w:val="0"/>
        <w:autoSpaceDN w:val="0"/>
        <w:adjustRightInd w:val="0"/>
        <w:spacing w:line="276" w:lineRule="auto"/>
        <w:ind w:left="708"/>
        <w:contextualSpacing/>
        <w:jc w:val="both"/>
        <w:rPr>
          <w:rFonts w:ascii="Arial" w:hAnsi="Arial" w:cs="Arial"/>
          <w:color w:val="000000" w:themeColor="text1"/>
        </w:rPr>
      </w:pPr>
      <w:r w:rsidRPr="00422C10">
        <w:rPr>
          <w:rFonts w:ascii="Arial" w:hAnsi="Arial" w:cs="Arial"/>
          <w:color w:val="000000" w:themeColor="text1"/>
        </w:rPr>
        <w:t xml:space="preserve">En ese orden, bien hizo el Tribunal al momento de analizar el espíritu de la norma, pues acudió a otra referida específicamente al objetivo de la periodicidad en la programación del proceso de selección, para </w:t>
      </w:r>
      <w:r w:rsidRPr="00422C10">
        <w:rPr>
          <w:rFonts w:ascii="Arial" w:hAnsi="Arial" w:cs="Arial"/>
          <w:b/>
          <w:color w:val="000000" w:themeColor="text1"/>
        </w:rPr>
        <w:t>concluir en que el mismo no corresponde a la obligatoriedad en realizarlo cada dos años, sino más bien, en que se cuente siempre con disponibilidad de personal para la provisión de los cargos vacantes</w:t>
      </w:r>
      <w:r w:rsidRPr="00422C10">
        <w:rPr>
          <w:rFonts w:ascii="Arial" w:hAnsi="Arial" w:cs="Arial"/>
          <w:color w:val="000000" w:themeColor="text1"/>
        </w:rPr>
        <w:t>”</w:t>
      </w:r>
      <w:r w:rsidRPr="00422C10">
        <w:rPr>
          <w:rStyle w:val="Refdenotaalpie"/>
          <w:rFonts w:ascii="Arial" w:hAnsi="Arial" w:cs="Arial"/>
          <w:color w:val="000000" w:themeColor="text1"/>
        </w:rPr>
        <w:footnoteReference w:id="18"/>
      </w:r>
      <w:r w:rsidR="00283BBA">
        <w:rPr>
          <w:rFonts w:ascii="Arial" w:hAnsi="Arial" w:cs="Arial"/>
          <w:color w:val="000000" w:themeColor="text1"/>
        </w:rPr>
        <w:t>.</w:t>
      </w:r>
      <w:r w:rsidRPr="00422C10">
        <w:rPr>
          <w:rFonts w:ascii="Arial" w:hAnsi="Arial" w:cs="Arial"/>
          <w:color w:val="000000" w:themeColor="text1"/>
        </w:rPr>
        <w:t>(Resaltado por la Sala).</w:t>
      </w:r>
    </w:p>
    <w:p w14:paraId="3673D845" w14:textId="77777777" w:rsidR="003D5797" w:rsidRPr="00422C10" w:rsidRDefault="003D5797" w:rsidP="003D5797">
      <w:pPr>
        <w:overflowPunct w:val="0"/>
        <w:autoSpaceDE w:val="0"/>
        <w:autoSpaceDN w:val="0"/>
        <w:adjustRightInd w:val="0"/>
        <w:spacing w:line="276" w:lineRule="auto"/>
        <w:contextualSpacing/>
        <w:jc w:val="both"/>
        <w:rPr>
          <w:rFonts w:ascii="Arial" w:hAnsi="Arial" w:cs="Arial"/>
          <w:color w:val="000000" w:themeColor="text1"/>
        </w:rPr>
      </w:pPr>
    </w:p>
    <w:p w14:paraId="153C9427" w14:textId="2A4368B1" w:rsidR="003D5797" w:rsidRPr="00422C10" w:rsidRDefault="003D5797" w:rsidP="003D5797">
      <w:pPr>
        <w:overflowPunct w:val="0"/>
        <w:autoSpaceDE w:val="0"/>
        <w:autoSpaceDN w:val="0"/>
        <w:adjustRightInd w:val="0"/>
        <w:spacing w:line="276" w:lineRule="auto"/>
        <w:contextualSpacing/>
        <w:jc w:val="both"/>
        <w:rPr>
          <w:rFonts w:ascii="Arial" w:hAnsi="Arial" w:cs="Arial"/>
          <w:color w:val="000000" w:themeColor="text1"/>
        </w:rPr>
      </w:pPr>
      <w:r w:rsidRPr="00422C10">
        <w:rPr>
          <w:rFonts w:ascii="Arial" w:hAnsi="Arial" w:cs="Arial"/>
          <w:color w:val="000000" w:themeColor="text1"/>
        </w:rPr>
        <w:t>Así las cosas, la finali</w:t>
      </w:r>
      <w:r w:rsidR="006D1139">
        <w:rPr>
          <w:rFonts w:ascii="Arial" w:hAnsi="Arial" w:cs="Arial"/>
          <w:color w:val="000000" w:themeColor="text1"/>
        </w:rPr>
        <w:t>dad de la norma invocada por el accionante</w:t>
      </w:r>
      <w:r w:rsidRPr="00422C10">
        <w:rPr>
          <w:rFonts w:ascii="Arial" w:hAnsi="Arial" w:cs="Arial"/>
          <w:color w:val="000000" w:themeColor="text1"/>
        </w:rPr>
        <w:t xml:space="preserve"> en este trámite no es proteger derechos individuales para participar en los concursos de la Rama Judicial sino garantizar la existencia de una lista de elegibles para proveer esos cargos, y de esa manera, asegurar que sean los servidores idóneos los que ocupen dichas plazas. </w:t>
      </w:r>
    </w:p>
    <w:p w14:paraId="500C61C7" w14:textId="77777777" w:rsidR="003D5797" w:rsidRPr="00422C10" w:rsidRDefault="003D5797" w:rsidP="003D5797">
      <w:pPr>
        <w:overflowPunct w:val="0"/>
        <w:autoSpaceDE w:val="0"/>
        <w:autoSpaceDN w:val="0"/>
        <w:adjustRightInd w:val="0"/>
        <w:spacing w:line="276" w:lineRule="auto"/>
        <w:contextualSpacing/>
        <w:jc w:val="both"/>
        <w:rPr>
          <w:rFonts w:ascii="Arial" w:hAnsi="Arial" w:cs="Arial"/>
          <w:color w:val="000000" w:themeColor="text1"/>
        </w:rPr>
      </w:pPr>
    </w:p>
    <w:p w14:paraId="060FDF52" w14:textId="77777777"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hAnsi="Arial" w:cs="Arial"/>
          <w:color w:val="000000" w:themeColor="text1"/>
        </w:rPr>
        <w:t xml:space="preserve">Esta circunstancia también se deriva de la sentencia T-682 de 2016 en la que la Corte Constitucional, si bien resaltó la importancia y la obligatoriedad de la periodicidad establecida en el numeral 2 del </w:t>
      </w:r>
      <w:r w:rsidRPr="00422C10">
        <w:rPr>
          <w:rFonts w:ascii="Arial" w:eastAsia="Times New Roman" w:hAnsi="Arial" w:cs="Arial"/>
          <w:color w:val="000000" w:themeColor="text1"/>
          <w:lang w:eastAsia="es-ES"/>
        </w:rPr>
        <w:t>artículo 164 de la Ley 270 de 1996, lo hizo para criticar el hecho de que se estaba produciendo una situación en la que las listas de elegibles perdían vigencia y, por la tardanza de los concursos de mérito, aún no existía otra de la cual se pudieran extraer los candidatos para llenar las vacantes. De manera que, su preocupación también recaía en la debida prestación del servicio de administración de justicia. Incluso, a partir de la orden que el Máximo Tribunal Constitucional dictó en ese proveído es evidente que privilegia la finalidad de la norma sobre una aplicación estricta del término de los dos años, pues profirió la sentencia el 2 de diciembre de 2016 y le dio plazo hasta marzo de 2020 al Consejo Superior de la Judicatura para iniciar una nueva convocatoria.</w:t>
      </w:r>
    </w:p>
    <w:p w14:paraId="29F6FFF7" w14:textId="77777777"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03C682E5" w14:textId="77777777" w:rsidR="003D5797" w:rsidRPr="00422C10" w:rsidRDefault="003D5797"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color w:val="000000" w:themeColor="text1"/>
          <w:lang w:eastAsia="es-ES"/>
        </w:rPr>
        <w:t xml:space="preserve">En vista de lo anterior, se impone concluir que la forma de garantizar el cumplimiento del </w:t>
      </w:r>
      <w:r w:rsidRPr="00422C10">
        <w:rPr>
          <w:rFonts w:ascii="Arial" w:hAnsi="Arial" w:cs="Arial"/>
          <w:color w:val="000000" w:themeColor="text1"/>
        </w:rPr>
        <w:t xml:space="preserve">numeral 2 del </w:t>
      </w:r>
      <w:r w:rsidRPr="00422C10">
        <w:rPr>
          <w:rFonts w:ascii="Arial" w:eastAsia="Times New Roman" w:hAnsi="Arial" w:cs="Arial"/>
          <w:color w:val="000000" w:themeColor="text1"/>
          <w:lang w:eastAsia="es-ES"/>
        </w:rPr>
        <w:t>artículo 164 de la Ley 270 de 1996 es realizar las gestiones para que se profiera en tiempo la lista de elegibles, y por lo tanto resulta razonable que para su cumplimiento se dé la mayor celeridad posible a los concursos. En ese orden, la decisión de retrotraer el proceso únicamente hasta el punto en que se encontraba el yerro, en lugar de adelantar nuevamente las inscripciones, no riñe con esta disposición, sino que por el contrario se ajusta a ella.</w:t>
      </w:r>
    </w:p>
    <w:p w14:paraId="2D4DB4F7" w14:textId="77777777" w:rsidR="00CB59C2" w:rsidRPr="00422C10" w:rsidRDefault="00CB59C2" w:rsidP="003D5797">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38AA0C6A" w14:textId="1C9658DC"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iCs/>
          <w:color w:val="000000" w:themeColor="text1"/>
          <w:lang w:val="es-CO" w:eastAsia="es-ES"/>
        </w:rPr>
      </w:pPr>
      <w:r w:rsidRPr="00422C10">
        <w:rPr>
          <w:rFonts w:ascii="Arial" w:eastAsia="Times New Roman" w:hAnsi="Arial" w:cs="Arial"/>
          <w:color w:val="000000" w:themeColor="text1"/>
          <w:lang w:eastAsia="es-ES"/>
        </w:rPr>
        <w:t xml:space="preserve">Así las cosas, no es procedente la acción de tutela en contra de la </w:t>
      </w:r>
      <w:r w:rsidRPr="00422C10">
        <w:rPr>
          <w:rFonts w:ascii="Arial" w:eastAsia="Times New Roman" w:hAnsi="Arial" w:cs="Arial"/>
          <w:color w:val="000000" w:themeColor="text1"/>
          <w:lang w:val="es-CO" w:eastAsia="es-ES"/>
        </w:rPr>
        <w:t xml:space="preserve">Resolución CJR20 – 0202 del 27 de octubre de 2020 por no cumplir el requisito que la Corte Constitucional ha impuesto en relación a que </w:t>
      </w:r>
      <w:r w:rsidRPr="00422C10">
        <w:rPr>
          <w:rFonts w:ascii="Arial" w:eastAsia="Times New Roman" w:hAnsi="Arial" w:cs="Arial"/>
          <w:iCs/>
          <w:color w:val="000000" w:themeColor="text1"/>
          <w:lang w:val="es-CO" w:eastAsia="es-ES"/>
        </w:rPr>
        <w:t>sea evidente el carácter irra</w:t>
      </w:r>
      <w:r w:rsidR="00553CA8">
        <w:rPr>
          <w:rFonts w:ascii="Arial" w:eastAsia="Times New Roman" w:hAnsi="Arial" w:cs="Arial"/>
          <w:iCs/>
          <w:color w:val="000000" w:themeColor="text1"/>
          <w:lang w:val="es-CO" w:eastAsia="es-ES"/>
        </w:rPr>
        <w:t>zonable</w:t>
      </w:r>
      <w:r w:rsidRPr="00422C10">
        <w:rPr>
          <w:rFonts w:ascii="Arial" w:eastAsia="Times New Roman" w:hAnsi="Arial" w:cs="Arial"/>
          <w:iCs/>
          <w:color w:val="000000" w:themeColor="text1"/>
          <w:lang w:val="es-CO" w:eastAsia="es-ES"/>
        </w:rPr>
        <w:t xml:space="preserve"> o desproporcionado de la actuación. </w:t>
      </w:r>
    </w:p>
    <w:p w14:paraId="6EAB06A9" w14:textId="77777777"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iCs/>
          <w:color w:val="000000" w:themeColor="text1"/>
          <w:lang w:val="es-CO" w:eastAsia="es-ES"/>
        </w:rPr>
      </w:pPr>
    </w:p>
    <w:p w14:paraId="19242BFE" w14:textId="22A6D46C"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i/>
          <w:color w:val="000000" w:themeColor="text1"/>
          <w:lang w:val="es-CO" w:eastAsia="es-ES"/>
        </w:rPr>
      </w:pPr>
      <w:r w:rsidRPr="00422C10">
        <w:rPr>
          <w:rFonts w:ascii="Arial" w:eastAsia="Times New Roman" w:hAnsi="Arial" w:cs="Arial"/>
          <w:iCs/>
          <w:color w:val="000000" w:themeColor="text1"/>
          <w:lang w:val="es-CO" w:eastAsia="es-ES"/>
        </w:rPr>
        <w:t xml:space="preserve">Esta decisión no implica que se desconozca el hecho de que los concursos para proveer los cargos de la Rama Judicial sean procesos complejos que tienden a tener una demora que impide que las convocatorias se realicen cada dos años como lo prevé </w:t>
      </w:r>
      <w:r w:rsidRPr="00422C10">
        <w:rPr>
          <w:rFonts w:ascii="Arial" w:eastAsia="Times New Roman" w:hAnsi="Arial" w:cs="Arial"/>
          <w:color w:val="000000" w:themeColor="text1"/>
          <w:lang w:val="es-CO" w:eastAsia="es-ES"/>
        </w:rPr>
        <w:t xml:space="preserve">en el numeral 2º del artículo 164 de la Ley 270 de 1996. Sin embargo, sobre este punto el accionante revela lo que podría ser un problema de naturaleza estructural de la labor de la Unidad de Administración de la Carrera Judicial para cuya conjura viene impertinente el ejercicio de la acción de tutela con efectos </w:t>
      </w:r>
      <w:r w:rsidRPr="00422C10">
        <w:rPr>
          <w:rFonts w:ascii="Arial" w:eastAsia="Times New Roman" w:hAnsi="Arial" w:cs="Arial"/>
          <w:i/>
          <w:color w:val="000000" w:themeColor="text1"/>
          <w:lang w:val="es-CO" w:eastAsia="es-ES"/>
        </w:rPr>
        <w:t>inter partes.</w:t>
      </w:r>
    </w:p>
    <w:p w14:paraId="0BDD24E3" w14:textId="77777777"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i/>
          <w:color w:val="000000" w:themeColor="text1"/>
          <w:lang w:val="es-CO" w:eastAsia="es-ES"/>
        </w:rPr>
      </w:pPr>
    </w:p>
    <w:p w14:paraId="0FD9A7C2" w14:textId="77777777"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color w:val="000000" w:themeColor="text1"/>
          <w:lang w:val="es-CO" w:eastAsia="es-ES"/>
        </w:rPr>
      </w:pPr>
      <w:r w:rsidRPr="00422C10">
        <w:rPr>
          <w:rFonts w:ascii="Arial" w:eastAsia="Times New Roman" w:hAnsi="Arial" w:cs="Arial"/>
          <w:color w:val="000000" w:themeColor="text1"/>
          <w:lang w:val="es-CO" w:eastAsia="es-ES"/>
        </w:rPr>
        <w:t xml:space="preserve">En mérito de lo expuesto, la Sección Tercera Subsección “C” de la Sala de lo Contencioso Administrativo del Consejo de Estado, administrando justicia en nombre de la República y por autoridad de la ley, </w:t>
      </w:r>
    </w:p>
    <w:p w14:paraId="2C056D95" w14:textId="77777777"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color w:val="000000" w:themeColor="text1"/>
          <w:lang w:val="es-CO" w:eastAsia="es-ES"/>
        </w:rPr>
      </w:pPr>
    </w:p>
    <w:p w14:paraId="6749B821" w14:textId="77777777" w:rsidR="00CB59C2" w:rsidRPr="00422C10" w:rsidRDefault="00CB59C2" w:rsidP="00CB59C2">
      <w:pPr>
        <w:overflowPunct w:val="0"/>
        <w:autoSpaceDE w:val="0"/>
        <w:autoSpaceDN w:val="0"/>
        <w:adjustRightInd w:val="0"/>
        <w:spacing w:line="276" w:lineRule="auto"/>
        <w:contextualSpacing/>
        <w:jc w:val="center"/>
        <w:rPr>
          <w:rFonts w:ascii="Arial" w:eastAsia="Times New Roman" w:hAnsi="Arial" w:cs="Arial"/>
          <w:b/>
          <w:color w:val="000000" w:themeColor="text1"/>
          <w:lang w:eastAsia="es-ES"/>
        </w:rPr>
      </w:pPr>
      <w:r w:rsidRPr="00422C10">
        <w:rPr>
          <w:rFonts w:ascii="Arial" w:eastAsia="Times New Roman" w:hAnsi="Arial" w:cs="Arial"/>
          <w:b/>
          <w:color w:val="000000" w:themeColor="text1"/>
          <w:lang w:eastAsia="es-ES"/>
        </w:rPr>
        <w:t>RESUELVE</w:t>
      </w:r>
    </w:p>
    <w:p w14:paraId="5A656747" w14:textId="77777777"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b/>
          <w:color w:val="000000" w:themeColor="text1"/>
          <w:lang w:eastAsia="es-ES"/>
        </w:rPr>
      </w:pPr>
    </w:p>
    <w:p w14:paraId="1229C360" w14:textId="123D0E0D"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color w:val="000000" w:themeColor="text1"/>
          <w:lang w:val="es-CO" w:eastAsia="es-ES"/>
        </w:rPr>
      </w:pPr>
      <w:r w:rsidRPr="00422C10">
        <w:rPr>
          <w:rFonts w:ascii="Arial" w:eastAsia="Times New Roman" w:hAnsi="Arial" w:cs="Arial"/>
          <w:b/>
          <w:color w:val="000000" w:themeColor="text1"/>
          <w:lang w:eastAsia="es-ES"/>
        </w:rPr>
        <w:t xml:space="preserve">PRIMERO. DECLARAR IMPROCEDENTE </w:t>
      </w:r>
      <w:r w:rsidRPr="00422C10">
        <w:rPr>
          <w:rFonts w:ascii="Arial" w:eastAsia="Times New Roman" w:hAnsi="Arial" w:cs="Arial"/>
          <w:color w:val="000000" w:themeColor="text1"/>
          <w:lang w:eastAsia="es-ES"/>
        </w:rPr>
        <w:t xml:space="preserve">la solicitud de amparo instaurada por </w:t>
      </w:r>
      <w:r w:rsidRPr="00422C10">
        <w:rPr>
          <w:rFonts w:ascii="Arial" w:hAnsi="Arial" w:cs="Arial"/>
          <w:color w:val="000000" w:themeColor="text1"/>
        </w:rPr>
        <w:t>Manuel de Jesús Santiago Polo</w:t>
      </w:r>
      <w:r w:rsidRPr="00422C10">
        <w:rPr>
          <w:rFonts w:ascii="Arial" w:eastAsia="Times New Roman" w:hAnsi="Arial" w:cs="Arial"/>
          <w:color w:val="000000" w:themeColor="text1"/>
          <w:lang w:eastAsia="es-ES"/>
        </w:rPr>
        <w:t xml:space="preserve">, </w:t>
      </w:r>
      <w:r w:rsidRPr="00422C10">
        <w:rPr>
          <w:rFonts w:ascii="Arial" w:eastAsia="Times New Roman" w:hAnsi="Arial" w:cs="Arial"/>
          <w:color w:val="000000" w:themeColor="text1"/>
          <w:lang w:val="es-CO" w:eastAsia="es-ES"/>
        </w:rPr>
        <w:t>por las razones expuestas en la parte motiva de esta providencia.</w:t>
      </w:r>
    </w:p>
    <w:p w14:paraId="6738F73D" w14:textId="77777777"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b/>
          <w:color w:val="000000" w:themeColor="text1"/>
          <w:lang w:val="es-CO" w:eastAsia="es-ES"/>
        </w:rPr>
      </w:pPr>
    </w:p>
    <w:p w14:paraId="0F71D64D" w14:textId="77777777"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b/>
          <w:color w:val="000000" w:themeColor="text1"/>
          <w:lang w:eastAsia="es-ES"/>
        </w:rPr>
        <w:t xml:space="preserve">SEGUNDO. NOTIFICAR </w:t>
      </w:r>
      <w:r w:rsidRPr="00422C10">
        <w:rPr>
          <w:rFonts w:ascii="Arial" w:eastAsia="Times New Roman" w:hAnsi="Arial" w:cs="Arial"/>
          <w:color w:val="000000" w:themeColor="text1"/>
          <w:lang w:eastAsia="es-ES"/>
        </w:rPr>
        <w:t>la presente decisión a las partes y a los interesados por el medio más expedito.</w:t>
      </w:r>
    </w:p>
    <w:p w14:paraId="1D36F41C" w14:textId="77777777"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p w14:paraId="603F891F" w14:textId="0C37F958"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r w:rsidRPr="00422C10">
        <w:rPr>
          <w:rFonts w:ascii="Arial" w:eastAsia="Times New Roman" w:hAnsi="Arial" w:cs="Arial"/>
          <w:b/>
          <w:color w:val="000000" w:themeColor="text1"/>
          <w:lang w:eastAsia="es-ES"/>
        </w:rPr>
        <w:t xml:space="preserve">TERCERO. </w:t>
      </w:r>
      <w:r w:rsidRPr="00422C10">
        <w:rPr>
          <w:rFonts w:ascii="Arial" w:eastAsia="Times New Roman" w:hAnsi="Arial" w:cs="Arial"/>
          <w:color w:val="000000" w:themeColor="text1"/>
          <w:lang w:eastAsia="es-ES"/>
        </w:rPr>
        <w:t>En el caso de no ser impugnada,</w:t>
      </w:r>
      <w:r w:rsidRPr="00422C10">
        <w:rPr>
          <w:rFonts w:ascii="Arial" w:eastAsia="Times New Roman" w:hAnsi="Arial" w:cs="Arial"/>
          <w:b/>
          <w:color w:val="000000" w:themeColor="text1"/>
          <w:lang w:eastAsia="es-ES"/>
        </w:rPr>
        <w:t xml:space="preserve"> ENVIAR </w:t>
      </w:r>
      <w:r w:rsidRPr="00422C10">
        <w:rPr>
          <w:rFonts w:ascii="Arial" w:eastAsia="Times New Roman" w:hAnsi="Arial" w:cs="Arial"/>
          <w:color w:val="000000" w:themeColor="text1"/>
          <w:lang w:eastAsia="es-ES"/>
        </w:rPr>
        <w:t>la presente providencia a la Corte Constitucional para su eventual revisión.</w:t>
      </w:r>
    </w:p>
    <w:p w14:paraId="3D4448FA" w14:textId="77777777"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b/>
          <w:color w:val="000000" w:themeColor="text1"/>
          <w:lang w:eastAsia="es-ES"/>
        </w:rPr>
      </w:pPr>
    </w:p>
    <w:p w14:paraId="2DEFA11B" w14:textId="4EDBB53B"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b/>
          <w:color w:val="000000" w:themeColor="text1"/>
          <w:lang w:eastAsia="es-ES"/>
        </w:rPr>
      </w:pPr>
      <w:r w:rsidRPr="00422C10">
        <w:rPr>
          <w:rFonts w:ascii="Arial" w:eastAsia="Times New Roman" w:hAnsi="Arial" w:cs="Arial"/>
          <w:b/>
          <w:color w:val="000000" w:themeColor="text1"/>
          <w:lang w:eastAsia="es-ES"/>
        </w:rPr>
        <w:t>NOTIFÍQUESE Y CÚMPLASE</w:t>
      </w:r>
    </w:p>
    <w:p w14:paraId="6337F405" w14:textId="77777777"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b/>
          <w:color w:val="000000" w:themeColor="text1"/>
          <w:lang w:eastAsia="es-ES"/>
        </w:rPr>
      </w:pPr>
    </w:p>
    <w:p w14:paraId="5D0443A0" w14:textId="725FE097" w:rsidR="00CB59C2" w:rsidRPr="00422C10" w:rsidRDefault="00CB59C2" w:rsidP="00CB59C2">
      <w:pPr>
        <w:overflowPunct w:val="0"/>
        <w:autoSpaceDE w:val="0"/>
        <w:autoSpaceDN w:val="0"/>
        <w:adjustRightInd w:val="0"/>
        <w:spacing w:line="276" w:lineRule="auto"/>
        <w:contextualSpacing/>
        <w:jc w:val="center"/>
        <w:rPr>
          <w:rFonts w:ascii="Arial" w:eastAsia="Times New Roman" w:hAnsi="Arial" w:cs="Arial"/>
          <w:b/>
          <w:bCs/>
          <w:color w:val="000000" w:themeColor="text1"/>
          <w:lang w:val="es-ES" w:eastAsia="es-ES"/>
        </w:rPr>
      </w:pPr>
      <w:r w:rsidRPr="00422C10">
        <w:rPr>
          <w:rFonts w:ascii="Arial" w:eastAsia="Times New Roman" w:hAnsi="Arial" w:cs="Arial"/>
          <w:b/>
          <w:bCs/>
          <w:color w:val="000000" w:themeColor="text1"/>
          <w:lang w:val="es-ES" w:eastAsia="es-ES"/>
        </w:rPr>
        <w:t>JAIME ENRIQUE RODRÍGUEZ NAVAS</w:t>
      </w:r>
    </w:p>
    <w:p w14:paraId="1D15507A" w14:textId="77777777" w:rsidR="00CB59C2" w:rsidRDefault="00CB59C2" w:rsidP="00CB59C2">
      <w:pPr>
        <w:overflowPunct w:val="0"/>
        <w:autoSpaceDE w:val="0"/>
        <w:autoSpaceDN w:val="0"/>
        <w:adjustRightInd w:val="0"/>
        <w:spacing w:line="276" w:lineRule="auto"/>
        <w:contextualSpacing/>
        <w:jc w:val="center"/>
        <w:rPr>
          <w:rFonts w:ascii="Arial" w:eastAsia="Times New Roman" w:hAnsi="Arial" w:cs="Arial"/>
          <w:b/>
          <w:color w:val="000000" w:themeColor="text1"/>
          <w:lang w:eastAsia="es-ES"/>
        </w:rPr>
      </w:pPr>
      <w:r w:rsidRPr="00422C10">
        <w:rPr>
          <w:rFonts w:ascii="Arial" w:eastAsia="Times New Roman" w:hAnsi="Arial" w:cs="Arial"/>
          <w:b/>
          <w:color w:val="000000" w:themeColor="text1"/>
          <w:lang w:eastAsia="es-ES"/>
        </w:rPr>
        <w:t>Presidente de Sala</w:t>
      </w:r>
    </w:p>
    <w:p w14:paraId="36257CA4" w14:textId="77777777" w:rsidR="00821CA2" w:rsidRPr="00422C10" w:rsidRDefault="00821CA2" w:rsidP="00CB59C2">
      <w:pPr>
        <w:overflowPunct w:val="0"/>
        <w:autoSpaceDE w:val="0"/>
        <w:autoSpaceDN w:val="0"/>
        <w:adjustRightInd w:val="0"/>
        <w:spacing w:line="276" w:lineRule="auto"/>
        <w:contextualSpacing/>
        <w:jc w:val="center"/>
        <w:rPr>
          <w:rFonts w:ascii="Arial" w:eastAsia="Times New Roman" w:hAnsi="Arial" w:cs="Arial"/>
          <w:b/>
          <w:color w:val="000000" w:themeColor="text1"/>
          <w:lang w:eastAsia="es-ES"/>
        </w:rPr>
      </w:pPr>
    </w:p>
    <w:p w14:paraId="1F2FB842" w14:textId="77777777" w:rsidR="00821CA2" w:rsidRPr="00422C10" w:rsidRDefault="00821CA2" w:rsidP="00821CA2">
      <w:pPr>
        <w:overflowPunct w:val="0"/>
        <w:autoSpaceDE w:val="0"/>
        <w:autoSpaceDN w:val="0"/>
        <w:adjustRightInd w:val="0"/>
        <w:spacing w:line="276" w:lineRule="auto"/>
        <w:contextualSpacing/>
        <w:jc w:val="center"/>
        <w:rPr>
          <w:rFonts w:ascii="Arial" w:eastAsia="Times New Roman" w:hAnsi="Arial" w:cs="Arial"/>
          <w:b/>
          <w:color w:val="000000" w:themeColor="text1"/>
          <w:lang w:eastAsia="es-ES"/>
        </w:rPr>
      </w:pPr>
      <w:r w:rsidRPr="00422C10">
        <w:rPr>
          <w:rFonts w:ascii="Arial" w:eastAsia="Times New Roman" w:hAnsi="Arial" w:cs="Arial"/>
          <w:b/>
          <w:color w:val="000000" w:themeColor="text1"/>
          <w:lang w:eastAsia="es-ES"/>
        </w:rPr>
        <w:t>NICOLÁS YEPES CORRALES</w:t>
      </w:r>
    </w:p>
    <w:p w14:paraId="04BC8A6E" w14:textId="77777777" w:rsidR="00821CA2" w:rsidRDefault="00821CA2" w:rsidP="00821CA2">
      <w:pPr>
        <w:overflowPunct w:val="0"/>
        <w:autoSpaceDE w:val="0"/>
        <w:autoSpaceDN w:val="0"/>
        <w:adjustRightInd w:val="0"/>
        <w:spacing w:line="276" w:lineRule="auto"/>
        <w:contextualSpacing/>
        <w:jc w:val="center"/>
        <w:rPr>
          <w:rFonts w:ascii="Arial" w:eastAsia="Times New Roman" w:hAnsi="Arial" w:cs="Arial"/>
          <w:b/>
          <w:color w:val="000000" w:themeColor="text1"/>
          <w:lang w:eastAsia="es-ES"/>
        </w:rPr>
      </w:pPr>
      <w:r w:rsidRPr="00422C10">
        <w:rPr>
          <w:rFonts w:ascii="Arial" w:eastAsia="Times New Roman" w:hAnsi="Arial" w:cs="Arial"/>
          <w:b/>
          <w:color w:val="000000" w:themeColor="text1"/>
          <w:lang w:eastAsia="es-ES"/>
        </w:rPr>
        <w:t>Magistrado</w:t>
      </w:r>
    </w:p>
    <w:p w14:paraId="0029B2A4" w14:textId="77777777" w:rsidR="00821CA2" w:rsidRDefault="00821CA2" w:rsidP="00821CA2">
      <w:pPr>
        <w:overflowPunct w:val="0"/>
        <w:autoSpaceDE w:val="0"/>
        <w:autoSpaceDN w:val="0"/>
        <w:adjustRightInd w:val="0"/>
        <w:spacing w:line="276" w:lineRule="auto"/>
        <w:contextualSpacing/>
        <w:jc w:val="center"/>
        <w:rPr>
          <w:rFonts w:ascii="Arial" w:eastAsia="Times New Roman" w:hAnsi="Arial" w:cs="Arial"/>
          <w:b/>
          <w:color w:val="000000" w:themeColor="text1"/>
          <w:lang w:eastAsia="es-ES"/>
        </w:rPr>
      </w:pPr>
    </w:p>
    <w:p w14:paraId="19379447" w14:textId="77777777" w:rsidR="00821CA2" w:rsidRPr="00422C10" w:rsidRDefault="00821CA2" w:rsidP="00821CA2">
      <w:pPr>
        <w:overflowPunct w:val="0"/>
        <w:autoSpaceDE w:val="0"/>
        <w:autoSpaceDN w:val="0"/>
        <w:adjustRightInd w:val="0"/>
        <w:spacing w:line="276" w:lineRule="auto"/>
        <w:contextualSpacing/>
        <w:jc w:val="center"/>
        <w:rPr>
          <w:rFonts w:ascii="Arial" w:eastAsia="Times New Roman" w:hAnsi="Arial" w:cs="Arial"/>
          <w:b/>
          <w:bCs/>
          <w:color w:val="000000" w:themeColor="text1"/>
          <w:lang w:val="es-ES" w:eastAsia="es-ES"/>
        </w:rPr>
      </w:pPr>
      <w:r w:rsidRPr="00422C10">
        <w:rPr>
          <w:rFonts w:ascii="Arial" w:eastAsia="Times New Roman" w:hAnsi="Arial" w:cs="Arial"/>
          <w:b/>
          <w:bCs/>
          <w:color w:val="000000" w:themeColor="text1"/>
          <w:lang w:val="es-ES" w:eastAsia="es-ES"/>
        </w:rPr>
        <w:t>GUILLERMO SÁNCHEZ LUQUE</w:t>
      </w:r>
    </w:p>
    <w:p w14:paraId="04402AA2" w14:textId="77777777" w:rsidR="00821CA2" w:rsidRPr="00821CA2" w:rsidRDefault="00821CA2" w:rsidP="00821CA2">
      <w:pPr>
        <w:overflowPunct w:val="0"/>
        <w:autoSpaceDE w:val="0"/>
        <w:autoSpaceDN w:val="0"/>
        <w:adjustRightInd w:val="0"/>
        <w:spacing w:line="276" w:lineRule="auto"/>
        <w:contextualSpacing/>
        <w:jc w:val="center"/>
        <w:rPr>
          <w:rFonts w:ascii="Arial" w:eastAsia="Times New Roman" w:hAnsi="Arial" w:cs="Arial"/>
          <w:b/>
          <w:bCs/>
          <w:color w:val="000000" w:themeColor="text1"/>
          <w:lang w:val="es-ES" w:eastAsia="es-ES"/>
        </w:rPr>
      </w:pPr>
      <w:r w:rsidRPr="00821CA2">
        <w:rPr>
          <w:rFonts w:ascii="Arial" w:eastAsia="Times New Roman" w:hAnsi="Arial" w:cs="Arial"/>
          <w:b/>
          <w:bCs/>
          <w:color w:val="000000" w:themeColor="text1"/>
          <w:lang w:val="es-ES" w:eastAsia="es-ES"/>
        </w:rPr>
        <w:t>Magistrado</w:t>
      </w:r>
    </w:p>
    <w:p w14:paraId="2CB03D3A" w14:textId="77777777" w:rsidR="00821CA2" w:rsidRPr="00821CA2" w:rsidRDefault="00821CA2" w:rsidP="00821CA2">
      <w:pPr>
        <w:overflowPunct w:val="0"/>
        <w:autoSpaceDE w:val="0"/>
        <w:autoSpaceDN w:val="0"/>
        <w:adjustRightInd w:val="0"/>
        <w:spacing w:line="276" w:lineRule="auto"/>
        <w:contextualSpacing/>
        <w:jc w:val="center"/>
        <w:rPr>
          <w:rFonts w:ascii="Arial" w:eastAsia="Times New Roman" w:hAnsi="Arial" w:cs="Arial"/>
          <w:b/>
          <w:bCs/>
          <w:color w:val="000000" w:themeColor="text1"/>
          <w:lang w:val="es-ES" w:eastAsia="es-ES"/>
        </w:rPr>
      </w:pPr>
      <w:r w:rsidRPr="00821CA2">
        <w:rPr>
          <w:rFonts w:ascii="Arial" w:eastAsia="Times New Roman" w:hAnsi="Arial" w:cs="Arial"/>
          <w:b/>
          <w:bCs/>
          <w:color w:val="000000" w:themeColor="text1"/>
          <w:lang w:val="es-ES" w:eastAsia="es-ES"/>
        </w:rPr>
        <w:t>Salvamento de voto Cfr. Rad. 11001-03-15-000-2020-00231-00</w:t>
      </w:r>
    </w:p>
    <w:p w14:paraId="3DDCDF59" w14:textId="77777777" w:rsidR="00CB59C2" w:rsidRPr="00422C10" w:rsidRDefault="00CB59C2" w:rsidP="00CB59C2">
      <w:pPr>
        <w:overflowPunct w:val="0"/>
        <w:autoSpaceDE w:val="0"/>
        <w:autoSpaceDN w:val="0"/>
        <w:adjustRightInd w:val="0"/>
        <w:spacing w:line="276" w:lineRule="auto"/>
        <w:contextualSpacing/>
        <w:jc w:val="both"/>
        <w:rPr>
          <w:rFonts w:ascii="Arial" w:eastAsia="Times New Roman" w:hAnsi="Arial" w:cs="Arial"/>
          <w:color w:val="000000" w:themeColor="text1"/>
          <w:lang w:eastAsia="es-ES"/>
        </w:rPr>
      </w:pPr>
    </w:p>
    <w:sectPr w:rsidR="00CB59C2" w:rsidRPr="00422C10"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F2031" w14:textId="77777777" w:rsidR="00237ECA" w:rsidRDefault="00237ECA" w:rsidP="00117091">
      <w:r>
        <w:separator/>
      </w:r>
    </w:p>
  </w:endnote>
  <w:endnote w:type="continuationSeparator" w:id="0">
    <w:p w14:paraId="6CAA7023" w14:textId="77777777" w:rsidR="00237ECA" w:rsidRDefault="00237ECA"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414268" w14:paraId="4830A873" w14:textId="77777777" w:rsidTr="00B6429B">
      <w:trPr>
        <w:jc w:val="right"/>
      </w:trPr>
      <w:tc>
        <w:tcPr>
          <w:tcW w:w="4795" w:type="dxa"/>
          <w:vAlign w:val="center"/>
        </w:tcPr>
        <w:p w14:paraId="0C43E376" w14:textId="77777777" w:rsidR="00414268" w:rsidRDefault="00414268"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414268" w:rsidRPr="00A21194" w:rsidRDefault="0041426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414268" w:rsidRPr="00B6429B" w:rsidRDefault="00414268" w:rsidP="00B6429B">
          <w:pPr>
            <w:pStyle w:val="Piedepgina"/>
            <w:jc w:val="center"/>
          </w:pPr>
          <w:r w:rsidRPr="00B6429B">
            <w:fldChar w:fldCharType="begin"/>
          </w:r>
          <w:r w:rsidRPr="00B6429B">
            <w:instrText>PAGE   \* MERGEFORMAT</w:instrText>
          </w:r>
          <w:r w:rsidRPr="00B6429B">
            <w:fldChar w:fldCharType="separate"/>
          </w:r>
          <w:r w:rsidR="00CE2966" w:rsidRPr="00CE2966">
            <w:rPr>
              <w:noProof/>
              <w:lang w:val="es-ES"/>
            </w:rPr>
            <w:t>8</w:t>
          </w:r>
          <w:r w:rsidRPr="00B6429B">
            <w:fldChar w:fldCharType="end"/>
          </w:r>
        </w:p>
      </w:tc>
    </w:tr>
  </w:tbl>
  <w:p w14:paraId="17AD93B2" w14:textId="77777777" w:rsidR="00414268" w:rsidRPr="008C0DBE" w:rsidRDefault="00414268"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414268" w14:paraId="7BC39794" w14:textId="77777777" w:rsidTr="00B6429B">
      <w:trPr>
        <w:jc w:val="right"/>
      </w:trPr>
      <w:tc>
        <w:tcPr>
          <w:tcW w:w="4795" w:type="dxa"/>
          <w:vAlign w:val="center"/>
        </w:tcPr>
        <w:p w14:paraId="60E1FF49" w14:textId="77777777" w:rsidR="00414268" w:rsidRDefault="00414268"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414268" w:rsidRPr="00A21194" w:rsidRDefault="00414268"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414268" w:rsidRPr="00B6429B" w:rsidRDefault="00414268">
          <w:pPr>
            <w:pStyle w:val="Piedepgina"/>
            <w:jc w:val="center"/>
          </w:pPr>
          <w:r w:rsidRPr="00B6429B">
            <w:fldChar w:fldCharType="begin"/>
          </w:r>
          <w:r w:rsidRPr="00B6429B">
            <w:instrText>PAGE   \* MERGEFORMAT</w:instrText>
          </w:r>
          <w:r w:rsidRPr="00B6429B">
            <w:fldChar w:fldCharType="separate"/>
          </w:r>
          <w:r w:rsidR="00CE2966" w:rsidRPr="00CE2966">
            <w:rPr>
              <w:noProof/>
              <w:lang w:val="es-ES"/>
            </w:rPr>
            <w:t>1</w:t>
          </w:r>
          <w:r w:rsidRPr="00B6429B">
            <w:fldChar w:fldCharType="end"/>
          </w:r>
        </w:p>
      </w:tc>
    </w:tr>
  </w:tbl>
  <w:p w14:paraId="5630AD66" w14:textId="77777777" w:rsidR="00414268" w:rsidRDefault="004142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2F5D3" w14:textId="77777777" w:rsidR="00237ECA" w:rsidRDefault="00237ECA" w:rsidP="00117091">
      <w:r>
        <w:separator/>
      </w:r>
    </w:p>
  </w:footnote>
  <w:footnote w:type="continuationSeparator" w:id="0">
    <w:p w14:paraId="053BC691" w14:textId="77777777" w:rsidR="00237ECA" w:rsidRDefault="00237ECA" w:rsidP="00117091">
      <w:r>
        <w:continuationSeparator/>
      </w:r>
    </w:p>
  </w:footnote>
  <w:footnote w:id="1">
    <w:p w14:paraId="237EA118" w14:textId="03296F01" w:rsidR="00287D6F" w:rsidRPr="00B56051" w:rsidRDefault="00287D6F" w:rsidP="00B56051">
      <w:pPr>
        <w:pStyle w:val="Textonotapie"/>
        <w:rPr>
          <w:szCs w:val="16"/>
        </w:rPr>
      </w:pPr>
      <w:r w:rsidRPr="00B56051">
        <w:rPr>
          <w:rStyle w:val="Refdenotaalpie"/>
          <w:szCs w:val="16"/>
        </w:rPr>
        <w:footnoteRef/>
      </w:r>
      <w:r w:rsidRPr="00B56051">
        <w:rPr>
          <w:szCs w:val="16"/>
        </w:rPr>
        <w:t xml:space="preserve"> </w:t>
      </w:r>
      <w:r w:rsidR="0014695F" w:rsidRPr="00B56051">
        <w:rPr>
          <w:szCs w:val="16"/>
        </w:rPr>
        <w:t>Archivo electrónico identificado con  el certificado C6D808D41044C05B 72CF2FE48333268C A2C3B7EF2C2FCDA4 B5C2559AFBAEE5CC en el expediente digital.</w:t>
      </w:r>
    </w:p>
  </w:footnote>
  <w:footnote w:id="2">
    <w:p w14:paraId="472D2FBC" w14:textId="6FEEE933" w:rsidR="00414268" w:rsidRPr="00B56051" w:rsidRDefault="00414268" w:rsidP="00B56051">
      <w:pPr>
        <w:pStyle w:val="Textonotapie"/>
        <w:rPr>
          <w:szCs w:val="16"/>
        </w:rPr>
      </w:pPr>
      <w:r w:rsidRPr="00B56051">
        <w:rPr>
          <w:rStyle w:val="Refdenotaalpie"/>
          <w:szCs w:val="16"/>
        </w:rPr>
        <w:footnoteRef/>
      </w:r>
      <w:r w:rsidRPr="00B56051">
        <w:rPr>
          <w:szCs w:val="16"/>
        </w:rPr>
        <w:t xml:space="preserve"> Página 3 </w:t>
      </w:r>
      <w:r w:rsidR="0014695F" w:rsidRPr="00B56051">
        <w:rPr>
          <w:szCs w:val="16"/>
        </w:rPr>
        <w:t>Ibídem</w:t>
      </w:r>
      <w:r w:rsidRPr="00B56051">
        <w:rPr>
          <w:szCs w:val="16"/>
        </w:rPr>
        <w:t>.</w:t>
      </w:r>
    </w:p>
  </w:footnote>
  <w:footnote w:id="3">
    <w:p w14:paraId="7923178B" w14:textId="4AFBCAAA" w:rsidR="00414268" w:rsidRPr="00B56051" w:rsidRDefault="00414268" w:rsidP="00B56051">
      <w:pPr>
        <w:pStyle w:val="Textonotapie"/>
        <w:rPr>
          <w:szCs w:val="16"/>
        </w:rPr>
      </w:pPr>
      <w:r w:rsidRPr="00B56051">
        <w:rPr>
          <w:rStyle w:val="Refdenotaalpie"/>
          <w:szCs w:val="16"/>
        </w:rPr>
        <w:footnoteRef/>
      </w:r>
      <w:r w:rsidRPr="00B56051">
        <w:rPr>
          <w:szCs w:val="16"/>
        </w:rPr>
        <w:t xml:space="preserve"> Página 4 ibídem.</w:t>
      </w:r>
    </w:p>
  </w:footnote>
  <w:footnote w:id="4">
    <w:p w14:paraId="12135060" w14:textId="77777777" w:rsidR="00414268" w:rsidRPr="00B56051" w:rsidRDefault="00414268" w:rsidP="00B56051">
      <w:pPr>
        <w:pStyle w:val="Textonotapie"/>
        <w:rPr>
          <w:szCs w:val="16"/>
        </w:rPr>
      </w:pPr>
      <w:r w:rsidRPr="00B56051">
        <w:rPr>
          <w:rStyle w:val="Refdenotaalpie"/>
          <w:szCs w:val="16"/>
        </w:rPr>
        <w:footnoteRef/>
      </w:r>
      <w:r w:rsidRPr="00B56051">
        <w:rPr>
          <w:szCs w:val="16"/>
        </w:rPr>
        <w:t xml:space="preserve"> Archivo electrónico identificado con el certificado 041A0869BA8A7D7C 4C9C173164BC6602 861FE6295CF5012A 8ACFDDA71B07DC7F en el expediente digital.</w:t>
      </w:r>
    </w:p>
  </w:footnote>
  <w:footnote w:id="5">
    <w:p w14:paraId="4DA4BCFB" w14:textId="5CE03417" w:rsidR="00F73E5F" w:rsidRPr="00B56051" w:rsidRDefault="00F73E5F" w:rsidP="00B56051">
      <w:pPr>
        <w:pStyle w:val="Textonotapie"/>
        <w:rPr>
          <w:szCs w:val="16"/>
        </w:rPr>
      </w:pPr>
      <w:r w:rsidRPr="00B56051">
        <w:rPr>
          <w:rStyle w:val="Refdenotaalpie"/>
          <w:szCs w:val="16"/>
        </w:rPr>
        <w:footnoteRef/>
      </w:r>
      <w:r w:rsidRPr="00B56051">
        <w:rPr>
          <w:szCs w:val="16"/>
        </w:rPr>
        <w:t xml:space="preserve">  Archivo electrónico identificado con el certificado 4FC93DD7135849F3 34EB0B64EE1D69DA 6C59CA345D82BC3A 7E3B7BFDB08A939F en el expediente digital.</w:t>
      </w:r>
    </w:p>
  </w:footnote>
  <w:footnote w:id="6">
    <w:p w14:paraId="1E80289E" w14:textId="01E6566F" w:rsidR="00F73E5F" w:rsidRPr="00B56051" w:rsidRDefault="00F73E5F" w:rsidP="00B56051">
      <w:pPr>
        <w:pStyle w:val="Textonotapie"/>
        <w:rPr>
          <w:szCs w:val="16"/>
        </w:rPr>
      </w:pPr>
      <w:r w:rsidRPr="00B56051">
        <w:rPr>
          <w:rStyle w:val="Refdenotaalpie"/>
          <w:szCs w:val="16"/>
        </w:rPr>
        <w:footnoteRef/>
      </w:r>
      <w:r w:rsidRPr="00B56051">
        <w:rPr>
          <w:szCs w:val="16"/>
        </w:rPr>
        <w:t xml:space="preserve"> Archivo electrónico identificado con el certificado </w:t>
      </w:r>
      <w:r w:rsidR="00601BDB" w:rsidRPr="00B56051">
        <w:rPr>
          <w:szCs w:val="16"/>
        </w:rPr>
        <w:t xml:space="preserve">0C6B79E345FFB5E1 DC6D57D4E0E29D3E 19A1DC8513509191 9DD01F5751DD296D </w:t>
      </w:r>
      <w:r w:rsidRPr="00B56051">
        <w:rPr>
          <w:szCs w:val="16"/>
        </w:rPr>
        <w:t>en el expediente digital.</w:t>
      </w:r>
    </w:p>
  </w:footnote>
  <w:footnote w:id="7">
    <w:p w14:paraId="507FCB1E" w14:textId="05134673" w:rsidR="00601BDB" w:rsidRPr="00B56051" w:rsidRDefault="00601BDB" w:rsidP="00B56051">
      <w:pPr>
        <w:pStyle w:val="Textonotapie"/>
        <w:rPr>
          <w:szCs w:val="16"/>
        </w:rPr>
      </w:pPr>
      <w:r w:rsidRPr="00B56051">
        <w:rPr>
          <w:rStyle w:val="Refdenotaalpie"/>
          <w:szCs w:val="16"/>
        </w:rPr>
        <w:footnoteRef/>
      </w:r>
      <w:r w:rsidRPr="00B56051">
        <w:rPr>
          <w:szCs w:val="16"/>
        </w:rPr>
        <w:t xml:space="preserve"> Archivo electrónico identificado con el certificado </w:t>
      </w:r>
      <w:r w:rsidR="000B6EFA" w:rsidRPr="00B56051">
        <w:rPr>
          <w:szCs w:val="16"/>
        </w:rPr>
        <w:t>05D6B08CF9962B63 3B6275536B1C6FFE 1D0A568BE4259DF9 4EA3B4052358B8F5</w:t>
      </w:r>
      <w:r w:rsidRPr="00B56051">
        <w:rPr>
          <w:szCs w:val="16"/>
        </w:rPr>
        <w:t xml:space="preserve"> en el expediente digital.</w:t>
      </w:r>
    </w:p>
  </w:footnote>
  <w:footnote w:id="8">
    <w:p w14:paraId="014E9710" w14:textId="5365C228" w:rsidR="00C8511D" w:rsidRPr="00B56051" w:rsidRDefault="00C8511D" w:rsidP="00B56051">
      <w:pPr>
        <w:pStyle w:val="Textonotapie"/>
        <w:rPr>
          <w:szCs w:val="16"/>
        </w:rPr>
      </w:pPr>
      <w:r w:rsidRPr="00B56051">
        <w:rPr>
          <w:rStyle w:val="Refdenotaalpie"/>
          <w:szCs w:val="16"/>
        </w:rPr>
        <w:footnoteRef/>
      </w:r>
      <w:r w:rsidRPr="00B56051">
        <w:rPr>
          <w:szCs w:val="16"/>
        </w:rPr>
        <w:t xml:space="preserve"> Archivo electrónico identificado con el certificado 9426992C494D9481 8CC442387C404370 D6ADABEFA0E469D2 0134BD30F1AF8D3B en el expediente digital.</w:t>
      </w:r>
    </w:p>
  </w:footnote>
  <w:footnote w:id="9">
    <w:p w14:paraId="762D761C" w14:textId="3197CCCA" w:rsidR="00363811" w:rsidRPr="00B56051" w:rsidRDefault="00363811" w:rsidP="00B56051">
      <w:pPr>
        <w:pStyle w:val="Textonotapie"/>
        <w:rPr>
          <w:szCs w:val="16"/>
        </w:rPr>
      </w:pPr>
      <w:r w:rsidRPr="00B56051">
        <w:rPr>
          <w:rStyle w:val="Refdenotaalpie"/>
          <w:szCs w:val="16"/>
        </w:rPr>
        <w:footnoteRef/>
      </w:r>
      <w:r w:rsidRPr="00B56051">
        <w:rPr>
          <w:szCs w:val="16"/>
        </w:rPr>
        <w:t xml:space="preserve"> Archivo electrónico identificado con el certificado E339DD0F20CE68FE 49A768719002A1F2 86BE8E526D83CC0C DAEE75DB68A3AC96 en el expediente digital.</w:t>
      </w:r>
    </w:p>
  </w:footnote>
  <w:footnote w:id="10">
    <w:p w14:paraId="1321ABD4" w14:textId="4BF9AF10" w:rsidR="002040FE" w:rsidRPr="00B56051" w:rsidRDefault="002040FE" w:rsidP="00B56051">
      <w:pPr>
        <w:pStyle w:val="Textonotapie"/>
        <w:rPr>
          <w:szCs w:val="16"/>
        </w:rPr>
      </w:pPr>
      <w:r w:rsidRPr="00B56051">
        <w:rPr>
          <w:rStyle w:val="Refdenotaalpie"/>
          <w:szCs w:val="16"/>
        </w:rPr>
        <w:footnoteRef/>
      </w:r>
      <w:r w:rsidRPr="00B56051">
        <w:rPr>
          <w:szCs w:val="16"/>
        </w:rPr>
        <w:t xml:space="preserve"> Archivo electrónico identificado con el certificado 8C9C0888B849C502 289DB9E5344E9ACE 481064C7B9FA4ABD 133A65BCCA6E90AA en el expediente digital.</w:t>
      </w:r>
    </w:p>
  </w:footnote>
  <w:footnote w:id="11">
    <w:p w14:paraId="2CE96F3F" w14:textId="2355038D" w:rsidR="00F73E5F" w:rsidRPr="00B56051" w:rsidRDefault="00F73E5F" w:rsidP="00B56051">
      <w:pPr>
        <w:pStyle w:val="Textonotapie"/>
        <w:rPr>
          <w:szCs w:val="16"/>
        </w:rPr>
      </w:pPr>
      <w:r w:rsidRPr="00B56051">
        <w:rPr>
          <w:rStyle w:val="Refdenotaalpie"/>
          <w:szCs w:val="16"/>
        </w:rPr>
        <w:footnoteRef/>
      </w:r>
      <w:r w:rsidRPr="00B56051">
        <w:rPr>
          <w:szCs w:val="16"/>
        </w:rPr>
        <w:t xml:space="preserve"> Archivo electrónico identificado con el certificado </w:t>
      </w:r>
      <w:r w:rsidR="00E573FA" w:rsidRPr="00B56051">
        <w:rPr>
          <w:szCs w:val="16"/>
        </w:rPr>
        <w:t>BEBDD72FB39FF125 C745ED16F540A9C4 EE82B8A15FF953BC 213311E13A3DF740</w:t>
      </w:r>
      <w:r w:rsidRPr="00B56051">
        <w:rPr>
          <w:szCs w:val="16"/>
        </w:rPr>
        <w:t xml:space="preserve"> en el expediente digital.</w:t>
      </w:r>
    </w:p>
  </w:footnote>
  <w:footnote w:id="12">
    <w:p w14:paraId="7678A179" w14:textId="77777777" w:rsidR="00422C10" w:rsidRPr="00B56051" w:rsidRDefault="00422C10" w:rsidP="00B56051">
      <w:pPr>
        <w:pStyle w:val="Textonotapie"/>
        <w:rPr>
          <w:szCs w:val="16"/>
          <w:lang w:val="es-ES_tradnl"/>
        </w:rPr>
      </w:pPr>
      <w:r w:rsidRPr="00B56051">
        <w:rPr>
          <w:rStyle w:val="Refdenotaalpie"/>
          <w:szCs w:val="16"/>
        </w:rPr>
        <w:footnoteRef/>
      </w:r>
      <w:r w:rsidRPr="00B56051">
        <w:rPr>
          <w:szCs w:val="16"/>
        </w:rPr>
        <w:t xml:space="preserve"> Cfr. Corte Constitucional T-049 de 2019, T-315 de 1998, T-1198 de 2001, T-599 de 2002,T-602 de 2011 y T-682 de 2016.</w:t>
      </w:r>
    </w:p>
  </w:footnote>
  <w:footnote w:id="13">
    <w:p w14:paraId="7E96E4E5" w14:textId="77777777" w:rsidR="00422C10" w:rsidRPr="00B56051" w:rsidRDefault="00422C10" w:rsidP="00B56051">
      <w:pPr>
        <w:pStyle w:val="Textonotapie"/>
        <w:rPr>
          <w:szCs w:val="16"/>
          <w:lang w:val="es-ES_tradnl"/>
        </w:rPr>
      </w:pPr>
      <w:r w:rsidRPr="00B56051">
        <w:rPr>
          <w:rStyle w:val="Refdenotaalpie"/>
          <w:szCs w:val="16"/>
        </w:rPr>
        <w:footnoteRef/>
      </w:r>
      <w:r w:rsidRPr="00B56051">
        <w:rPr>
          <w:szCs w:val="16"/>
        </w:rPr>
        <w:t xml:space="preserve"> Cfr. Corte Constitucional T-049 de 2019, T-315 de 1998, T-1198 de 2001, T-599 de 2002,T-602 de 2011 y T-682 de 2016.</w:t>
      </w:r>
    </w:p>
  </w:footnote>
  <w:footnote w:id="14">
    <w:p w14:paraId="3F1FC2CD" w14:textId="77777777" w:rsidR="00422C10" w:rsidRPr="00B56051" w:rsidRDefault="00422C10" w:rsidP="00B56051">
      <w:pPr>
        <w:overflowPunct w:val="0"/>
        <w:autoSpaceDE w:val="0"/>
        <w:autoSpaceDN w:val="0"/>
        <w:adjustRightInd w:val="0"/>
        <w:spacing w:line="276" w:lineRule="auto"/>
        <w:contextualSpacing/>
        <w:jc w:val="both"/>
        <w:rPr>
          <w:rFonts w:ascii="Arial" w:eastAsia="Times New Roman" w:hAnsi="Arial" w:cs="Arial"/>
          <w:color w:val="000000" w:themeColor="text1"/>
          <w:sz w:val="16"/>
          <w:szCs w:val="16"/>
        </w:rPr>
      </w:pPr>
      <w:r w:rsidRPr="00B56051">
        <w:rPr>
          <w:rStyle w:val="Refdenotaalpie"/>
          <w:rFonts w:ascii="Arial" w:hAnsi="Arial" w:cs="Arial"/>
          <w:sz w:val="16"/>
          <w:szCs w:val="16"/>
        </w:rPr>
        <w:footnoteRef/>
      </w:r>
      <w:r w:rsidRPr="00B56051">
        <w:rPr>
          <w:rFonts w:ascii="Arial" w:hAnsi="Arial" w:cs="Arial"/>
          <w:sz w:val="16"/>
          <w:szCs w:val="16"/>
        </w:rPr>
        <w:t xml:space="preserve"> De acuerdo con el artículo 43 del CPACA son actos definitivos y no de trámite “</w:t>
      </w:r>
      <w:r w:rsidRPr="00B56051">
        <w:rPr>
          <w:rFonts w:ascii="Arial" w:eastAsia="Times New Roman" w:hAnsi="Arial" w:cs="Arial"/>
          <w:color w:val="000000" w:themeColor="text1"/>
          <w:sz w:val="16"/>
          <w:szCs w:val="16"/>
        </w:rPr>
        <w:t>los que decidan directa o indirectamente el fondo del asunto o hagan imposible continuar la actuación”.</w:t>
      </w:r>
    </w:p>
  </w:footnote>
  <w:footnote w:id="15">
    <w:p w14:paraId="2C12B687" w14:textId="77777777" w:rsidR="00422C10" w:rsidRPr="00B56051" w:rsidRDefault="00422C10" w:rsidP="00B56051">
      <w:pPr>
        <w:pStyle w:val="Textonotapie"/>
        <w:rPr>
          <w:szCs w:val="16"/>
        </w:rPr>
      </w:pPr>
      <w:r w:rsidRPr="00B56051">
        <w:rPr>
          <w:rStyle w:val="Refdenotaalpie"/>
          <w:szCs w:val="16"/>
        </w:rPr>
        <w:footnoteRef/>
      </w:r>
      <w:r w:rsidRPr="00B56051">
        <w:rPr>
          <w:szCs w:val="16"/>
        </w:rPr>
        <w:t xml:space="preserve"> </w:t>
      </w:r>
      <w:r w:rsidRPr="00B56051">
        <w:rPr>
          <w:iCs/>
          <w:color w:val="000000" w:themeColor="text1"/>
          <w:szCs w:val="16"/>
        </w:rPr>
        <w:t xml:space="preserve">En el caso de los concursos de mérito, el acto definitivo es, por regla general, la lista de elegibles, pues a partir de este se entiende definida la situación jurídica de los participantes y adquirido el derecho particular y concreto de quien queda en primer lugar </w:t>
      </w:r>
      <w:r w:rsidRPr="00B56051">
        <w:rPr>
          <w:szCs w:val="16"/>
        </w:rPr>
        <w:t xml:space="preserve">Cfr. Corte Constitucional T-945 de 2009, T-402 de 2012 y sentencia del Consejo de Estado del </w:t>
      </w:r>
      <w:r w:rsidRPr="00B56051">
        <w:rPr>
          <w:bCs/>
          <w:szCs w:val="16"/>
          <w:lang w:val="es-ES_tradnl"/>
        </w:rPr>
        <w:t>18 de noviembre de 2020 con número</w:t>
      </w:r>
      <w:r w:rsidRPr="00B56051">
        <w:rPr>
          <w:b/>
          <w:szCs w:val="16"/>
        </w:rPr>
        <w:t xml:space="preserve"> </w:t>
      </w:r>
      <w:r w:rsidRPr="00B56051">
        <w:rPr>
          <w:szCs w:val="16"/>
        </w:rPr>
        <w:t xml:space="preserve">de radicación: </w:t>
      </w:r>
      <w:r w:rsidRPr="00B56051">
        <w:rPr>
          <w:szCs w:val="16"/>
          <w:lang w:val="es-ES_tradnl"/>
        </w:rPr>
        <w:t>25000-23-41-000-2017-00933-01(1578-19).</w:t>
      </w:r>
    </w:p>
  </w:footnote>
  <w:footnote w:id="16">
    <w:p w14:paraId="21472BCD" w14:textId="76BF49FC" w:rsidR="00422C10" w:rsidRPr="00B56051" w:rsidRDefault="00422C10" w:rsidP="00B56051">
      <w:pPr>
        <w:jc w:val="both"/>
        <w:rPr>
          <w:rFonts w:ascii="Arial" w:hAnsi="Arial" w:cs="Arial"/>
          <w:sz w:val="16"/>
          <w:szCs w:val="16"/>
        </w:rPr>
      </w:pPr>
      <w:r w:rsidRPr="00B56051">
        <w:rPr>
          <w:rStyle w:val="Refdenotaalpie"/>
          <w:rFonts w:ascii="Arial" w:hAnsi="Arial" w:cs="Arial"/>
          <w:color w:val="000000" w:themeColor="text1"/>
          <w:sz w:val="16"/>
          <w:szCs w:val="16"/>
        </w:rPr>
        <w:footnoteRef/>
      </w:r>
      <w:r w:rsidR="00D11F02">
        <w:rPr>
          <w:rFonts w:ascii="Arial" w:hAnsi="Arial" w:cs="Arial"/>
          <w:color w:val="000000" w:themeColor="text1"/>
          <w:sz w:val="16"/>
          <w:szCs w:val="16"/>
        </w:rPr>
        <w:t xml:space="preserve"> Cfr. Corte Constitucional </w:t>
      </w:r>
      <w:r w:rsidRPr="00B56051">
        <w:rPr>
          <w:rFonts w:ascii="Arial" w:hAnsi="Arial" w:cs="Arial"/>
          <w:color w:val="000000" w:themeColor="text1"/>
          <w:sz w:val="16"/>
          <w:szCs w:val="16"/>
        </w:rPr>
        <w:t xml:space="preserve">T-049 de 2019, SU-617 de 2013, T-945 de 2009, T-682 de 2015, </w:t>
      </w:r>
      <w:r w:rsidRPr="00B56051">
        <w:rPr>
          <w:rFonts w:ascii="Arial" w:eastAsia="Times New Roman" w:hAnsi="Arial" w:cs="Arial"/>
          <w:color w:val="000000" w:themeColor="text1"/>
          <w:sz w:val="16"/>
          <w:szCs w:val="16"/>
          <w:shd w:val="clear" w:color="auto" w:fill="FFFFFF"/>
        </w:rPr>
        <w:t xml:space="preserve">T-574 de 2008 y T-123 de 2007, </w:t>
      </w:r>
      <w:r w:rsidRPr="00B56051">
        <w:rPr>
          <w:rFonts w:ascii="Arial" w:hAnsi="Arial" w:cs="Arial"/>
          <w:color w:val="000000" w:themeColor="text1"/>
          <w:sz w:val="16"/>
          <w:szCs w:val="16"/>
        </w:rPr>
        <w:t>entre otras.</w:t>
      </w:r>
    </w:p>
  </w:footnote>
  <w:footnote w:id="17">
    <w:p w14:paraId="267EEDD4" w14:textId="77777777" w:rsidR="00414268" w:rsidRPr="00B56051" w:rsidRDefault="00414268" w:rsidP="00B56051">
      <w:pPr>
        <w:pStyle w:val="Textonotapie"/>
        <w:rPr>
          <w:szCs w:val="16"/>
        </w:rPr>
      </w:pPr>
      <w:r w:rsidRPr="00B56051">
        <w:rPr>
          <w:rStyle w:val="Refdenotaalpie"/>
          <w:szCs w:val="16"/>
        </w:rPr>
        <w:footnoteRef/>
      </w:r>
      <w:r w:rsidRPr="00B56051">
        <w:rPr>
          <w:szCs w:val="16"/>
        </w:rPr>
        <w:t xml:space="preserve"> </w:t>
      </w:r>
      <w:r w:rsidRPr="00B56051">
        <w:rPr>
          <w:szCs w:val="16"/>
          <w:lang w:val="es-ES_tradnl" w:eastAsia="es-ES"/>
        </w:rPr>
        <w:t xml:space="preserve">Sentencia del 19 de julio de 2012 con número de radicación </w:t>
      </w:r>
      <w:r w:rsidRPr="00B56051">
        <w:rPr>
          <w:szCs w:val="16"/>
        </w:rPr>
        <w:t>47001-23-31-000-2012-00085-01.</w:t>
      </w:r>
    </w:p>
  </w:footnote>
  <w:footnote w:id="18">
    <w:p w14:paraId="6E76B3CE" w14:textId="77777777" w:rsidR="00414268" w:rsidRPr="00B56051" w:rsidRDefault="00414268" w:rsidP="00B56051">
      <w:pPr>
        <w:pStyle w:val="Textonotapie"/>
        <w:rPr>
          <w:szCs w:val="16"/>
        </w:rPr>
      </w:pPr>
      <w:r w:rsidRPr="00B56051">
        <w:rPr>
          <w:rStyle w:val="Refdenotaalpie"/>
          <w:szCs w:val="16"/>
        </w:rPr>
        <w:footnoteRef/>
      </w:r>
      <w:r w:rsidRPr="00B56051">
        <w:rPr>
          <w:szCs w:val="16"/>
        </w:rPr>
        <w:t xml:space="preserve"> Ibídem.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ABD7" w14:textId="77777777" w:rsidR="00414268" w:rsidRPr="00A15ACE" w:rsidRDefault="00414268">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414268" w:rsidRPr="00A15ACE" w:rsidRDefault="00414268">
    <w:pPr>
      <w:pStyle w:val="Encabezado"/>
    </w:pPr>
  </w:p>
  <w:p w14:paraId="4B90DC7A" w14:textId="77777777" w:rsidR="00414268" w:rsidRPr="00A15ACE" w:rsidRDefault="00414268">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p14="http://schemas.microsoft.com/office/word/2010/wordml" xmlns:a14="http://schemas.microsoft.com/office/drawing/2010/main" xmlns:pic="http://schemas.openxmlformats.org/drawingml/2006/picture" xmlns:a="http://schemas.openxmlformats.org/drawingml/2006/main">
          <w:pict w14:anchorId="3A71A6FC">
            <v:shapetype id="_x0000_t32" coordsize="21600,21600" o:oned="t" filled="f" o:spt="32" path="m,l21600,21600e" w14:anchorId="78ABC559">
              <v:path fillok="f" arrowok="t" o:connecttype="none"/>
              <o:lock v:ext="edit" shapetype="t"/>
            </v:shapetype>
            <v:shape id="AutoShape 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v:shadow color="#1f3763" opacity=".5" offset="1pt"/>
            </v:shape>
          </w:pict>
        </mc:Fallback>
      </mc:AlternateContent>
    </w:r>
  </w:p>
  <w:p w14:paraId="07B33FD0" w14:textId="59B17ED6" w:rsidR="00414268" w:rsidRPr="00A4246A" w:rsidRDefault="00414268" w:rsidP="003D5797">
    <w:pPr>
      <w:pStyle w:val="Encabezado"/>
      <w:ind w:left="708"/>
      <w:jc w:val="right"/>
      <w:rPr>
        <w:color w:val="808080" w:themeColor="background1" w:themeShade="80"/>
        <w:sz w:val="20"/>
        <w:szCs w:val="20"/>
      </w:rPr>
    </w:pPr>
    <w:r>
      <w:rPr>
        <w:color w:val="808080" w:themeColor="background1" w:themeShade="80"/>
        <w:sz w:val="20"/>
        <w:szCs w:val="20"/>
      </w:rPr>
      <w:tab/>
    </w:r>
    <w:r>
      <w:rPr>
        <w:color w:val="808080" w:themeColor="background1" w:themeShade="80"/>
        <w:sz w:val="20"/>
        <w:szCs w:val="20"/>
      </w:rPr>
      <w:tab/>
    </w:r>
    <w:r w:rsidRPr="00A4246A">
      <w:rPr>
        <w:color w:val="808080" w:themeColor="background1" w:themeShade="80"/>
        <w:sz w:val="20"/>
        <w:szCs w:val="20"/>
      </w:rPr>
      <w:t xml:space="preserve">Radicado: </w:t>
    </w:r>
    <w:r w:rsidRPr="003D5797">
      <w:rPr>
        <w:color w:val="808080" w:themeColor="background1" w:themeShade="80"/>
        <w:sz w:val="20"/>
        <w:szCs w:val="20"/>
      </w:rPr>
      <w:t>11001-03-15-000-2021-00406-00</w:t>
    </w:r>
    <w:r w:rsidRPr="00A4246A">
      <w:rPr>
        <w:color w:val="808080" w:themeColor="background1" w:themeShade="80"/>
        <w:sz w:val="20"/>
        <w:szCs w:val="20"/>
      </w:rPr>
      <w:tab/>
    </w:r>
    <w:r w:rsidRPr="00A4246A">
      <w:rPr>
        <w:color w:val="808080" w:themeColor="background1" w:themeShade="80"/>
        <w:sz w:val="20"/>
        <w:szCs w:val="20"/>
      </w:rPr>
      <w:tab/>
      <w:t xml:space="preserve">Demandante: </w:t>
    </w:r>
    <w:r w:rsidRPr="003D5797">
      <w:rPr>
        <w:color w:val="808080" w:themeColor="background1" w:themeShade="80"/>
        <w:sz w:val="20"/>
        <w:szCs w:val="20"/>
      </w:rPr>
      <w:t>Manuel de Jesús Santiago Polo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D0D6" w14:textId="77777777" w:rsidR="00414268" w:rsidRPr="00A15ACE" w:rsidRDefault="00414268"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414268" w:rsidRPr="00A15ACE" w:rsidRDefault="00414268" w:rsidP="00F1441F">
    <w:pPr>
      <w:pStyle w:val="Encabezado"/>
      <w:rPr>
        <w:color w:val="767171"/>
      </w:rPr>
    </w:pPr>
  </w:p>
  <w:p w14:paraId="3F3B7A5B" w14:textId="77777777" w:rsidR="00414268" w:rsidRPr="007F276C" w:rsidRDefault="00414268" w:rsidP="003D5797">
    <w:pPr>
      <w:pStyle w:val="Sinespaciado"/>
    </w:pPr>
    <w:r w:rsidRPr="007F276C">
      <w:t>CONSEJO DE ESTADO</w:t>
    </w:r>
  </w:p>
  <w:p w14:paraId="6EF027A0" w14:textId="77777777" w:rsidR="00414268" w:rsidRPr="007F276C" w:rsidRDefault="00414268" w:rsidP="003D5797">
    <w:pPr>
      <w:pStyle w:val="Sinespaciado"/>
    </w:pPr>
    <w:r w:rsidRPr="007F276C">
      <w:t>SALA DE LO CONTENCIOSO ADMINISTRATIVO</w:t>
    </w:r>
  </w:p>
  <w:p w14:paraId="2FC4305D" w14:textId="77777777" w:rsidR="00414268" w:rsidRPr="007F276C" w:rsidRDefault="00414268" w:rsidP="003D5797">
    <w:pPr>
      <w:pStyle w:val="Sinespaciado"/>
    </w:pPr>
    <w:r w:rsidRPr="007F276C">
      <w:t>SECCIÓN TERCERA – SUBSECCIÓN C</w:t>
    </w:r>
  </w:p>
  <w:p w14:paraId="2BA226A1" w14:textId="77777777" w:rsidR="00414268" w:rsidRDefault="004142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2F3E"/>
    <w:rsid w:val="00006D3C"/>
    <w:rsid w:val="00006FD3"/>
    <w:rsid w:val="000167C4"/>
    <w:rsid w:val="00017CB3"/>
    <w:rsid w:val="00020D9E"/>
    <w:rsid w:val="00023449"/>
    <w:rsid w:val="0003664C"/>
    <w:rsid w:val="00043395"/>
    <w:rsid w:val="000572E3"/>
    <w:rsid w:val="00061B93"/>
    <w:rsid w:val="00065C66"/>
    <w:rsid w:val="00071482"/>
    <w:rsid w:val="00072878"/>
    <w:rsid w:val="000728E0"/>
    <w:rsid w:val="00073869"/>
    <w:rsid w:val="00077A9E"/>
    <w:rsid w:val="000838E2"/>
    <w:rsid w:val="00083B8F"/>
    <w:rsid w:val="00084F46"/>
    <w:rsid w:val="0009201A"/>
    <w:rsid w:val="000944C2"/>
    <w:rsid w:val="00094E7B"/>
    <w:rsid w:val="000A2056"/>
    <w:rsid w:val="000A5B39"/>
    <w:rsid w:val="000B6EFA"/>
    <w:rsid w:val="000C2B43"/>
    <w:rsid w:val="000C2BE0"/>
    <w:rsid w:val="000C31CB"/>
    <w:rsid w:val="000C37B6"/>
    <w:rsid w:val="000C5DB7"/>
    <w:rsid w:val="000C6D32"/>
    <w:rsid w:val="000C7B4F"/>
    <w:rsid w:val="000D0E41"/>
    <w:rsid w:val="000D5563"/>
    <w:rsid w:val="000D559D"/>
    <w:rsid w:val="000D55F3"/>
    <w:rsid w:val="000D5757"/>
    <w:rsid w:val="000D5B06"/>
    <w:rsid w:val="000D628C"/>
    <w:rsid w:val="000D67B5"/>
    <w:rsid w:val="000E211C"/>
    <w:rsid w:val="000E2D62"/>
    <w:rsid w:val="000E5165"/>
    <w:rsid w:val="000E57D3"/>
    <w:rsid w:val="000E602D"/>
    <w:rsid w:val="000F07E1"/>
    <w:rsid w:val="000F5B6B"/>
    <w:rsid w:val="00106D66"/>
    <w:rsid w:val="00117091"/>
    <w:rsid w:val="001215BA"/>
    <w:rsid w:val="001314F6"/>
    <w:rsid w:val="00133F91"/>
    <w:rsid w:val="00134557"/>
    <w:rsid w:val="001412E9"/>
    <w:rsid w:val="0014695F"/>
    <w:rsid w:val="00147EE7"/>
    <w:rsid w:val="00151A05"/>
    <w:rsid w:val="00155E78"/>
    <w:rsid w:val="00155FAC"/>
    <w:rsid w:val="001610AC"/>
    <w:rsid w:val="00166AF6"/>
    <w:rsid w:val="001821C7"/>
    <w:rsid w:val="00183470"/>
    <w:rsid w:val="0019447F"/>
    <w:rsid w:val="00194CD0"/>
    <w:rsid w:val="001A6D95"/>
    <w:rsid w:val="001A6DB2"/>
    <w:rsid w:val="001B4294"/>
    <w:rsid w:val="001B46F7"/>
    <w:rsid w:val="001B606E"/>
    <w:rsid w:val="001C3C1F"/>
    <w:rsid w:val="001C545C"/>
    <w:rsid w:val="001D4E62"/>
    <w:rsid w:val="001E272C"/>
    <w:rsid w:val="001E4E77"/>
    <w:rsid w:val="001E5200"/>
    <w:rsid w:val="001E76B2"/>
    <w:rsid w:val="001F1076"/>
    <w:rsid w:val="001F2DB5"/>
    <w:rsid w:val="001F62C0"/>
    <w:rsid w:val="00201EC3"/>
    <w:rsid w:val="00202ABC"/>
    <w:rsid w:val="0020340B"/>
    <w:rsid w:val="002040FE"/>
    <w:rsid w:val="002079AA"/>
    <w:rsid w:val="00207FEC"/>
    <w:rsid w:val="00214D23"/>
    <w:rsid w:val="002230E3"/>
    <w:rsid w:val="00224E07"/>
    <w:rsid w:val="002301A9"/>
    <w:rsid w:val="0023149A"/>
    <w:rsid w:val="00237ECA"/>
    <w:rsid w:val="00246239"/>
    <w:rsid w:val="00251B56"/>
    <w:rsid w:val="00254098"/>
    <w:rsid w:val="00257312"/>
    <w:rsid w:val="002777BF"/>
    <w:rsid w:val="00281874"/>
    <w:rsid w:val="00283B6F"/>
    <w:rsid w:val="00283BBA"/>
    <w:rsid w:val="0028665C"/>
    <w:rsid w:val="00287D6F"/>
    <w:rsid w:val="00297599"/>
    <w:rsid w:val="002A08C0"/>
    <w:rsid w:val="002C12BC"/>
    <w:rsid w:val="002C3FDB"/>
    <w:rsid w:val="002D1BCF"/>
    <w:rsid w:val="002D480B"/>
    <w:rsid w:val="002D73F4"/>
    <w:rsid w:val="002E1978"/>
    <w:rsid w:val="002E6D9E"/>
    <w:rsid w:val="002F3CCB"/>
    <w:rsid w:val="002F6213"/>
    <w:rsid w:val="0030359C"/>
    <w:rsid w:val="0031514A"/>
    <w:rsid w:val="00315F4D"/>
    <w:rsid w:val="00337E1D"/>
    <w:rsid w:val="00355D7E"/>
    <w:rsid w:val="00360658"/>
    <w:rsid w:val="00361478"/>
    <w:rsid w:val="00363811"/>
    <w:rsid w:val="003679C4"/>
    <w:rsid w:val="00374674"/>
    <w:rsid w:val="00377E9C"/>
    <w:rsid w:val="003807AB"/>
    <w:rsid w:val="00383156"/>
    <w:rsid w:val="00383425"/>
    <w:rsid w:val="00383ACA"/>
    <w:rsid w:val="00383CA3"/>
    <w:rsid w:val="00384507"/>
    <w:rsid w:val="00387BBC"/>
    <w:rsid w:val="00393978"/>
    <w:rsid w:val="00394A69"/>
    <w:rsid w:val="003A12C4"/>
    <w:rsid w:val="003A72AF"/>
    <w:rsid w:val="003B4515"/>
    <w:rsid w:val="003B5B5B"/>
    <w:rsid w:val="003C063D"/>
    <w:rsid w:val="003D0821"/>
    <w:rsid w:val="003D1B94"/>
    <w:rsid w:val="003D5797"/>
    <w:rsid w:val="003E2C4F"/>
    <w:rsid w:val="003E4228"/>
    <w:rsid w:val="003F2BA3"/>
    <w:rsid w:val="003F4EE1"/>
    <w:rsid w:val="003F7FF5"/>
    <w:rsid w:val="0040213E"/>
    <w:rsid w:val="00402998"/>
    <w:rsid w:val="00406B42"/>
    <w:rsid w:val="0040758A"/>
    <w:rsid w:val="00414268"/>
    <w:rsid w:val="004168CB"/>
    <w:rsid w:val="004211FA"/>
    <w:rsid w:val="00422C10"/>
    <w:rsid w:val="00424723"/>
    <w:rsid w:val="00430304"/>
    <w:rsid w:val="00430389"/>
    <w:rsid w:val="00430D89"/>
    <w:rsid w:val="00446B01"/>
    <w:rsid w:val="00447956"/>
    <w:rsid w:val="004602B2"/>
    <w:rsid w:val="0047256F"/>
    <w:rsid w:val="00476147"/>
    <w:rsid w:val="004849BB"/>
    <w:rsid w:val="004857F6"/>
    <w:rsid w:val="00491910"/>
    <w:rsid w:val="00491D4D"/>
    <w:rsid w:val="00497735"/>
    <w:rsid w:val="004A1D38"/>
    <w:rsid w:val="004A59E5"/>
    <w:rsid w:val="004C6061"/>
    <w:rsid w:val="004C6E18"/>
    <w:rsid w:val="004C7815"/>
    <w:rsid w:val="004D5983"/>
    <w:rsid w:val="004D63F2"/>
    <w:rsid w:val="004E3D73"/>
    <w:rsid w:val="004F4795"/>
    <w:rsid w:val="005011A1"/>
    <w:rsid w:val="00501D64"/>
    <w:rsid w:val="00505263"/>
    <w:rsid w:val="005127CB"/>
    <w:rsid w:val="005134CD"/>
    <w:rsid w:val="005173A7"/>
    <w:rsid w:val="00522073"/>
    <w:rsid w:val="00527583"/>
    <w:rsid w:val="00530CAD"/>
    <w:rsid w:val="00532FC5"/>
    <w:rsid w:val="00536A4C"/>
    <w:rsid w:val="0054069D"/>
    <w:rsid w:val="005459BB"/>
    <w:rsid w:val="00546223"/>
    <w:rsid w:val="00546886"/>
    <w:rsid w:val="00553CA8"/>
    <w:rsid w:val="00563450"/>
    <w:rsid w:val="00566726"/>
    <w:rsid w:val="00573F3E"/>
    <w:rsid w:val="00585CA2"/>
    <w:rsid w:val="005A358C"/>
    <w:rsid w:val="005A3CAA"/>
    <w:rsid w:val="005A451A"/>
    <w:rsid w:val="005A5964"/>
    <w:rsid w:val="005C408F"/>
    <w:rsid w:val="005C74E1"/>
    <w:rsid w:val="005D01D6"/>
    <w:rsid w:val="005D1791"/>
    <w:rsid w:val="005D4FA6"/>
    <w:rsid w:val="005D6684"/>
    <w:rsid w:val="005E527F"/>
    <w:rsid w:val="005E670D"/>
    <w:rsid w:val="005F0AEA"/>
    <w:rsid w:val="005F0DFC"/>
    <w:rsid w:val="005F12C6"/>
    <w:rsid w:val="00601BDB"/>
    <w:rsid w:val="006146CC"/>
    <w:rsid w:val="006173FD"/>
    <w:rsid w:val="0062190D"/>
    <w:rsid w:val="00621F3E"/>
    <w:rsid w:val="00622B69"/>
    <w:rsid w:val="00623EA4"/>
    <w:rsid w:val="0063066E"/>
    <w:rsid w:val="006371BF"/>
    <w:rsid w:val="00646493"/>
    <w:rsid w:val="00646E70"/>
    <w:rsid w:val="006470A4"/>
    <w:rsid w:val="006512D2"/>
    <w:rsid w:val="006512FA"/>
    <w:rsid w:val="00651F05"/>
    <w:rsid w:val="00653268"/>
    <w:rsid w:val="006554F7"/>
    <w:rsid w:val="00655CF5"/>
    <w:rsid w:val="006615F2"/>
    <w:rsid w:val="00663168"/>
    <w:rsid w:val="00663267"/>
    <w:rsid w:val="00664A8F"/>
    <w:rsid w:val="00670737"/>
    <w:rsid w:val="00680082"/>
    <w:rsid w:val="00685672"/>
    <w:rsid w:val="00687E32"/>
    <w:rsid w:val="006A006F"/>
    <w:rsid w:val="006B0F05"/>
    <w:rsid w:val="006B22B8"/>
    <w:rsid w:val="006B43C8"/>
    <w:rsid w:val="006D1139"/>
    <w:rsid w:val="006D2337"/>
    <w:rsid w:val="006D2D60"/>
    <w:rsid w:val="006D39CB"/>
    <w:rsid w:val="006D4799"/>
    <w:rsid w:val="006E3D82"/>
    <w:rsid w:val="006E664A"/>
    <w:rsid w:val="006F6047"/>
    <w:rsid w:val="0070023E"/>
    <w:rsid w:val="00701255"/>
    <w:rsid w:val="00707524"/>
    <w:rsid w:val="00714537"/>
    <w:rsid w:val="007202C2"/>
    <w:rsid w:val="0072475A"/>
    <w:rsid w:val="0073303A"/>
    <w:rsid w:val="007405BE"/>
    <w:rsid w:val="0074235D"/>
    <w:rsid w:val="00745D63"/>
    <w:rsid w:val="00746BF9"/>
    <w:rsid w:val="00746E9B"/>
    <w:rsid w:val="00750398"/>
    <w:rsid w:val="00751493"/>
    <w:rsid w:val="00752B3A"/>
    <w:rsid w:val="00756CA3"/>
    <w:rsid w:val="00760961"/>
    <w:rsid w:val="00760DAF"/>
    <w:rsid w:val="00767E23"/>
    <w:rsid w:val="007706B2"/>
    <w:rsid w:val="00770915"/>
    <w:rsid w:val="0077219F"/>
    <w:rsid w:val="00773A85"/>
    <w:rsid w:val="0077465C"/>
    <w:rsid w:val="00784094"/>
    <w:rsid w:val="0079305B"/>
    <w:rsid w:val="007B7F88"/>
    <w:rsid w:val="007D4A96"/>
    <w:rsid w:val="007E74C6"/>
    <w:rsid w:val="007F276C"/>
    <w:rsid w:val="007F3540"/>
    <w:rsid w:val="00817A38"/>
    <w:rsid w:val="00821B38"/>
    <w:rsid w:val="00821CA2"/>
    <w:rsid w:val="00822EDC"/>
    <w:rsid w:val="00823E1F"/>
    <w:rsid w:val="00824C44"/>
    <w:rsid w:val="00835345"/>
    <w:rsid w:val="00850F79"/>
    <w:rsid w:val="0086617A"/>
    <w:rsid w:val="00871943"/>
    <w:rsid w:val="00873965"/>
    <w:rsid w:val="00880936"/>
    <w:rsid w:val="00880E25"/>
    <w:rsid w:val="00884248"/>
    <w:rsid w:val="008879C5"/>
    <w:rsid w:val="00892A15"/>
    <w:rsid w:val="00894997"/>
    <w:rsid w:val="00896C14"/>
    <w:rsid w:val="00897F05"/>
    <w:rsid w:val="008A135C"/>
    <w:rsid w:val="008A2785"/>
    <w:rsid w:val="008C0DBE"/>
    <w:rsid w:val="008C4606"/>
    <w:rsid w:val="008C64B2"/>
    <w:rsid w:val="008D18C8"/>
    <w:rsid w:val="008D7532"/>
    <w:rsid w:val="008E37D9"/>
    <w:rsid w:val="008E507F"/>
    <w:rsid w:val="008F238D"/>
    <w:rsid w:val="00900BD2"/>
    <w:rsid w:val="00911C03"/>
    <w:rsid w:val="00911C2B"/>
    <w:rsid w:val="00911FF2"/>
    <w:rsid w:val="00915A71"/>
    <w:rsid w:val="009210E8"/>
    <w:rsid w:val="009214E2"/>
    <w:rsid w:val="00935E34"/>
    <w:rsid w:val="00940813"/>
    <w:rsid w:val="00940A26"/>
    <w:rsid w:val="00942560"/>
    <w:rsid w:val="00944A90"/>
    <w:rsid w:val="00944CEC"/>
    <w:rsid w:val="0094522C"/>
    <w:rsid w:val="00946DF1"/>
    <w:rsid w:val="009705EE"/>
    <w:rsid w:val="009722F9"/>
    <w:rsid w:val="0097486A"/>
    <w:rsid w:val="0097590C"/>
    <w:rsid w:val="00982EA4"/>
    <w:rsid w:val="00986FEF"/>
    <w:rsid w:val="00987640"/>
    <w:rsid w:val="009920B4"/>
    <w:rsid w:val="00993287"/>
    <w:rsid w:val="00993987"/>
    <w:rsid w:val="00996286"/>
    <w:rsid w:val="009A02B4"/>
    <w:rsid w:val="009A4799"/>
    <w:rsid w:val="009A5798"/>
    <w:rsid w:val="009A7816"/>
    <w:rsid w:val="009D3549"/>
    <w:rsid w:val="009E1EE8"/>
    <w:rsid w:val="009F5813"/>
    <w:rsid w:val="00A03994"/>
    <w:rsid w:val="00A03D6E"/>
    <w:rsid w:val="00A04F12"/>
    <w:rsid w:val="00A0511A"/>
    <w:rsid w:val="00A05349"/>
    <w:rsid w:val="00A11EA3"/>
    <w:rsid w:val="00A15ACE"/>
    <w:rsid w:val="00A21194"/>
    <w:rsid w:val="00A21DF3"/>
    <w:rsid w:val="00A239AC"/>
    <w:rsid w:val="00A24071"/>
    <w:rsid w:val="00A25C52"/>
    <w:rsid w:val="00A262E4"/>
    <w:rsid w:val="00A26DEE"/>
    <w:rsid w:val="00A26F31"/>
    <w:rsid w:val="00A3201D"/>
    <w:rsid w:val="00A37038"/>
    <w:rsid w:val="00A37866"/>
    <w:rsid w:val="00A4246A"/>
    <w:rsid w:val="00A42936"/>
    <w:rsid w:val="00A4379F"/>
    <w:rsid w:val="00A467BD"/>
    <w:rsid w:val="00A54716"/>
    <w:rsid w:val="00A73868"/>
    <w:rsid w:val="00A7393F"/>
    <w:rsid w:val="00A770C5"/>
    <w:rsid w:val="00A80D16"/>
    <w:rsid w:val="00A862E4"/>
    <w:rsid w:val="00A8702B"/>
    <w:rsid w:val="00AA1595"/>
    <w:rsid w:val="00AA3972"/>
    <w:rsid w:val="00AB33F4"/>
    <w:rsid w:val="00AC2A48"/>
    <w:rsid w:val="00AC5837"/>
    <w:rsid w:val="00AC64A1"/>
    <w:rsid w:val="00AD30ED"/>
    <w:rsid w:val="00AD3491"/>
    <w:rsid w:val="00AD3B2F"/>
    <w:rsid w:val="00AD74B4"/>
    <w:rsid w:val="00AE40BD"/>
    <w:rsid w:val="00AE5822"/>
    <w:rsid w:val="00AE6B26"/>
    <w:rsid w:val="00AF0C53"/>
    <w:rsid w:val="00AF634C"/>
    <w:rsid w:val="00AF6DE1"/>
    <w:rsid w:val="00B00068"/>
    <w:rsid w:val="00B01D2B"/>
    <w:rsid w:val="00B022A7"/>
    <w:rsid w:val="00B04EDB"/>
    <w:rsid w:val="00B059B4"/>
    <w:rsid w:val="00B06E63"/>
    <w:rsid w:val="00B07EA8"/>
    <w:rsid w:val="00B14389"/>
    <w:rsid w:val="00B2293D"/>
    <w:rsid w:val="00B23894"/>
    <w:rsid w:val="00B251D5"/>
    <w:rsid w:val="00B310A3"/>
    <w:rsid w:val="00B43B63"/>
    <w:rsid w:val="00B5241B"/>
    <w:rsid w:val="00B56051"/>
    <w:rsid w:val="00B6429B"/>
    <w:rsid w:val="00B64ACE"/>
    <w:rsid w:val="00B64D4E"/>
    <w:rsid w:val="00B66CB9"/>
    <w:rsid w:val="00B7242C"/>
    <w:rsid w:val="00B73F42"/>
    <w:rsid w:val="00B866C5"/>
    <w:rsid w:val="00B9314A"/>
    <w:rsid w:val="00B94390"/>
    <w:rsid w:val="00B97E8B"/>
    <w:rsid w:val="00BA3FDA"/>
    <w:rsid w:val="00BA7FD1"/>
    <w:rsid w:val="00BB0DD6"/>
    <w:rsid w:val="00BB79AE"/>
    <w:rsid w:val="00BC7292"/>
    <w:rsid w:val="00BD26CD"/>
    <w:rsid w:val="00BD67B1"/>
    <w:rsid w:val="00BD74DF"/>
    <w:rsid w:val="00BE26A0"/>
    <w:rsid w:val="00BE2B06"/>
    <w:rsid w:val="00BE5672"/>
    <w:rsid w:val="00BF2ACB"/>
    <w:rsid w:val="00BF7051"/>
    <w:rsid w:val="00C018AC"/>
    <w:rsid w:val="00C13A3B"/>
    <w:rsid w:val="00C17A04"/>
    <w:rsid w:val="00C17EAB"/>
    <w:rsid w:val="00C2156D"/>
    <w:rsid w:val="00C26635"/>
    <w:rsid w:val="00C33709"/>
    <w:rsid w:val="00C36B60"/>
    <w:rsid w:val="00C40781"/>
    <w:rsid w:val="00C431E5"/>
    <w:rsid w:val="00C43CA0"/>
    <w:rsid w:val="00C46251"/>
    <w:rsid w:val="00C52717"/>
    <w:rsid w:val="00C52DF7"/>
    <w:rsid w:val="00C539AF"/>
    <w:rsid w:val="00C54A33"/>
    <w:rsid w:val="00C56CC3"/>
    <w:rsid w:val="00C63020"/>
    <w:rsid w:val="00C674A4"/>
    <w:rsid w:val="00C7549A"/>
    <w:rsid w:val="00C81B26"/>
    <w:rsid w:val="00C82043"/>
    <w:rsid w:val="00C8511D"/>
    <w:rsid w:val="00C85B64"/>
    <w:rsid w:val="00C87516"/>
    <w:rsid w:val="00C918B3"/>
    <w:rsid w:val="00C97B63"/>
    <w:rsid w:val="00CA7147"/>
    <w:rsid w:val="00CB1059"/>
    <w:rsid w:val="00CB3811"/>
    <w:rsid w:val="00CB59C2"/>
    <w:rsid w:val="00CB5AA3"/>
    <w:rsid w:val="00CB6495"/>
    <w:rsid w:val="00CC5DC2"/>
    <w:rsid w:val="00CE1838"/>
    <w:rsid w:val="00CE2966"/>
    <w:rsid w:val="00CE2C4C"/>
    <w:rsid w:val="00CE3BF0"/>
    <w:rsid w:val="00D00E3F"/>
    <w:rsid w:val="00D025F6"/>
    <w:rsid w:val="00D04CB7"/>
    <w:rsid w:val="00D0581F"/>
    <w:rsid w:val="00D07682"/>
    <w:rsid w:val="00D11F02"/>
    <w:rsid w:val="00D163C7"/>
    <w:rsid w:val="00D16D7A"/>
    <w:rsid w:val="00D20008"/>
    <w:rsid w:val="00D2756B"/>
    <w:rsid w:val="00D31837"/>
    <w:rsid w:val="00D336CC"/>
    <w:rsid w:val="00D35C74"/>
    <w:rsid w:val="00D41868"/>
    <w:rsid w:val="00D53A8F"/>
    <w:rsid w:val="00D60100"/>
    <w:rsid w:val="00D66155"/>
    <w:rsid w:val="00D67E46"/>
    <w:rsid w:val="00D729A8"/>
    <w:rsid w:val="00D7405E"/>
    <w:rsid w:val="00D75042"/>
    <w:rsid w:val="00D815E4"/>
    <w:rsid w:val="00D96FDC"/>
    <w:rsid w:val="00DA3D07"/>
    <w:rsid w:val="00DB4688"/>
    <w:rsid w:val="00DB6D24"/>
    <w:rsid w:val="00DB7A08"/>
    <w:rsid w:val="00DC7152"/>
    <w:rsid w:val="00DE7123"/>
    <w:rsid w:val="00DF1CBC"/>
    <w:rsid w:val="00E00770"/>
    <w:rsid w:val="00E02DD2"/>
    <w:rsid w:val="00E030AC"/>
    <w:rsid w:val="00E0506D"/>
    <w:rsid w:val="00E24AE8"/>
    <w:rsid w:val="00E3165B"/>
    <w:rsid w:val="00E4328A"/>
    <w:rsid w:val="00E45687"/>
    <w:rsid w:val="00E516C2"/>
    <w:rsid w:val="00E560B5"/>
    <w:rsid w:val="00E56544"/>
    <w:rsid w:val="00E573FA"/>
    <w:rsid w:val="00E6032B"/>
    <w:rsid w:val="00E663C1"/>
    <w:rsid w:val="00E70863"/>
    <w:rsid w:val="00E70CEC"/>
    <w:rsid w:val="00E800E8"/>
    <w:rsid w:val="00E84284"/>
    <w:rsid w:val="00E87355"/>
    <w:rsid w:val="00E977B2"/>
    <w:rsid w:val="00EA58FA"/>
    <w:rsid w:val="00EA79B2"/>
    <w:rsid w:val="00EB57EA"/>
    <w:rsid w:val="00EC2805"/>
    <w:rsid w:val="00EC29A3"/>
    <w:rsid w:val="00EC38ED"/>
    <w:rsid w:val="00EC40FB"/>
    <w:rsid w:val="00ED72BB"/>
    <w:rsid w:val="00EE50B9"/>
    <w:rsid w:val="00EF54F5"/>
    <w:rsid w:val="00F01167"/>
    <w:rsid w:val="00F07074"/>
    <w:rsid w:val="00F0772F"/>
    <w:rsid w:val="00F11612"/>
    <w:rsid w:val="00F1441F"/>
    <w:rsid w:val="00F16FD3"/>
    <w:rsid w:val="00F20A46"/>
    <w:rsid w:val="00F2601F"/>
    <w:rsid w:val="00F35AC8"/>
    <w:rsid w:val="00F41540"/>
    <w:rsid w:val="00F417EF"/>
    <w:rsid w:val="00F476AA"/>
    <w:rsid w:val="00F532EA"/>
    <w:rsid w:val="00F6085F"/>
    <w:rsid w:val="00F66F1B"/>
    <w:rsid w:val="00F713AF"/>
    <w:rsid w:val="00F73E5F"/>
    <w:rsid w:val="00F84FFC"/>
    <w:rsid w:val="00F85D46"/>
    <w:rsid w:val="00F91B32"/>
    <w:rsid w:val="00F93577"/>
    <w:rsid w:val="00F93EA4"/>
    <w:rsid w:val="00FA2437"/>
    <w:rsid w:val="00FA5BD0"/>
    <w:rsid w:val="00FB5DCA"/>
    <w:rsid w:val="00FB6AB7"/>
    <w:rsid w:val="00FD2D7A"/>
    <w:rsid w:val="00FD3474"/>
    <w:rsid w:val="00FE03B9"/>
    <w:rsid w:val="00FE09DF"/>
    <w:rsid w:val="00FE2726"/>
    <w:rsid w:val="00FE3D08"/>
    <w:rsid w:val="00FF0BD7"/>
    <w:rsid w:val="00FF105C"/>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chartTrackingRefBased/>
  <w15:docId w15:val="{A0345F9C-DE9C-45EE-802A-EE792135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B38"/>
    <w:rPr>
      <w:rFonts w:ascii="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ascii="Arial" w:eastAsia="Times New Roman" w:hAnsi="Arial"/>
      <w:b/>
      <w:bCs/>
      <w:caps/>
      <w:kern w:val="32"/>
      <w:szCs w:val="32"/>
      <w:lang w:val="es-CO"/>
    </w:rPr>
  </w:style>
  <w:style w:type="paragraph" w:styleId="Ttulo2">
    <w:name w:val="heading 2"/>
    <w:basedOn w:val="Normal"/>
    <w:next w:val="Normal"/>
    <w:link w:val="Ttulo2Car"/>
    <w:uiPriority w:val="9"/>
    <w:unhideWhenUsed/>
    <w:qFormat/>
    <w:rsid w:val="007D4A96"/>
    <w:pPr>
      <w:keepNext/>
      <w:numPr>
        <w:numId w:val="6"/>
      </w:numPr>
      <w:spacing w:before="360" w:after="180"/>
      <w:ind w:left="360"/>
      <w:outlineLvl w:val="1"/>
    </w:pPr>
    <w:rPr>
      <w:rFonts w:ascii="Arial" w:eastAsia="Times New Roman" w:hAnsi="Arial"/>
      <w:b/>
      <w:bCs/>
      <w:iCs/>
      <w:szCs w:val="28"/>
      <w:lang w:val="es-CO"/>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jc w:val="both"/>
    </w:pPr>
    <w:rPr>
      <w:rFonts w:ascii="Arial" w:hAnsi="Arial" w:cs="Arial"/>
      <w:sz w:val="16"/>
      <w:szCs w:val="16"/>
      <w:lang w:val="es-CO"/>
    </w:r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jc w:val="both"/>
    </w:pPr>
    <w:rPr>
      <w:rFonts w:ascii="Arial" w:hAnsi="Arial" w:cs="Arial"/>
      <w:sz w:val="16"/>
      <w:szCs w:val="16"/>
      <w:lang w:val="es-CO"/>
    </w:r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F91B32"/>
    <w:pPr>
      <w:jc w:val="both"/>
    </w:pPr>
    <w:rPr>
      <w:rFonts w:ascii="Arial" w:hAnsi="Arial" w:cs="Arial"/>
      <w:sz w:val="16"/>
      <w:szCs w:val="20"/>
      <w:lang w:val="es-CO"/>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F91B32"/>
    <w:rPr>
      <w:sz w:val="16"/>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pPr>
    <w:rPr>
      <w:rFonts w:ascii="Arial" w:eastAsia="Times New Roman" w:hAnsi="Arial"/>
      <w:sz w:val="16"/>
      <w:szCs w:val="20"/>
      <w:lang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pPr>
      <w:jc w:val="both"/>
    </w:pPr>
    <w:rPr>
      <w:rFonts w:ascii="Palatino Linotype" w:hAnsi="Palatino Linotype" w:cs="Arial"/>
      <w:sz w:val="20"/>
      <w:szCs w:val="20"/>
      <w:vertAlign w:val="superscript"/>
      <w:lang w:val="es-CO"/>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3D5797"/>
    <w:pPr>
      <w:spacing w:line="276" w:lineRule="auto"/>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3D5797"/>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pPr>
    <w:rPr>
      <w:rFonts w:ascii="Arial" w:hAnsi="Arial" w:cs="Arial"/>
      <w:i/>
      <w:iCs/>
      <w:color w:val="404040"/>
      <w:sz w:val="16"/>
      <w:szCs w:val="16"/>
      <w:lang w:val="es-CO"/>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pPr>
    <w:rPr>
      <w:rFonts w:ascii="Calibri" w:hAnsi="Calibri"/>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pPr>
    <w:rPr>
      <w:rFonts w:eastAsiaTheme="minorHAnsi"/>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customStyle="1" w:styleId="p1">
    <w:name w:val="p1"/>
    <w:basedOn w:val="Normal"/>
    <w:rsid w:val="008F238D"/>
    <w:rPr>
      <w:rFonts w:ascii="Helvetica" w:hAnsi="Helvetica"/>
      <w:sz w:val="18"/>
      <w:szCs w:val="18"/>
    </w:rPr>
  </w:style>
  <w:style w:type="character" w:customStyle="1" w:styleId="apple-converted-space">
    <w:name w:val="apple-converted-space"/>
    <w:basedOn w:val="Fuentedeprrafopredeter"/>
    <w:rsid w:val="002F3CCB"/>
  </w:style>
  <w:style w:type="paragraph" w:styleId="NormalWeb">
    <w:name w:val="Normal (Web)"/>
    <w:basedOn w:val="Normal"/>
    <w:uiPriority w:val="99"/>
    <w:semiHidden/>
    <w:unhideWhenUsed/>
    <w:rsid w:val="002040FE"/>
    <w:pPr>
      <w:spacing w:before="100" w:beforeAutospacing="1" w:after="100" w:afterAutospacing="1"/>
    </w:pPr>
  </w:style>
  <w:style w:type="paragraph" w:styleId="Textosinformato">
    <w:name w:val="Plain Text"/>
    <w:basedOn w:val="Normal"/>
    <w:link w:val="TextosinformatoCar"/>
    <w:uiPriority w:val="99"/>
    <w:unhideWhenUsed/>
    <w:rsid w:val="00C8511D"/>
    <w:rPr>
      <w:rFonts w:ascii="Consolas" w:hAnsi="Consolas"/>
      <w:sz w:val="21"/>
      <w:szCs w:val="21"/>
      <w:lang w:val="es-CO" w:eastAsia="en-US"/>
    </w:rPr>
  </w:style>
  <w:style w:type="character" w:customStyle="1" w:styleId="TextosinformatoCar">
    <w:name w:val="Texto sin formato Car"/>
    <w:basedOn w:val="Fuentedeprrafopredeter"/>
    <w:link w:val="Textosinformato"/>
    <w:uiPriority w:val="99"/>
    <w:rsid w:val="00C8511D"/>
    <w:rPr>
      <w:rFonts w:ascii="Consolas" w:hAnsi="Consolas" w:cs="Times New Roman"/>
      <w:sz w:val="21"/>
      <w:szCs w:val="21"/>
      <w:lang w:val="es-CO" w:eastAsia="en-US"/>
    </w:rPr>
  </w:style>
  <w:style w:type="table" w:styleId="Tablaconcuadrcula">
    <w:name w:val="Table Grid"/>
    <w:basedOn w:val="Tablanormal"/>
    <w:uiPriority w:val="39"/>
    <w:rsid w:val="00553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61854">
      <w:bodyDiv w:val="1"/>
      <w:marLeft w:val="0"/>
      <w:marRight w:val="0"/>
      <w:marTop w:val="0"/>
      <w:marBottom w:val="0"/>
      <w:divBdr>
        <w:top w:val="none" w:sz="0" w:space="0" w:color="auto"/>
        <w:left w:val="none" w:sz="0" w:space="0" w:color="auto"/>
        <w:bottom w:val="none" w:sz="0" w:space="0" w:color="auto"/>
        <w:right w:val="none" w:sz="0" w:space="0" w:color="auto"/>
      </w:divBdr>
    </w:div>
    <w:div w:id="152306937">
      <w:bodyDiv w:val="1"/>
      <w:marLeft w:val="0"/>
      <w:marRight w:val="0"/>
      <w:marTop w:val="0"/>
      <w:marBottom w:val="0"/>
      <w:divBdr>
        <w:top w:val="none" w:sz="0" w:space="0" w:color="auto"/>
        <w:left w:val="none" w:sz="0" w:space="0" w:color="auto"/>
        <w:bottom w:val="none" w:sz="0" w:space="0" w:color="auto"/>
        <w:right w:val="none" w:sz="0" w:space="0" w:color="auto"/>
      </w:divBdr>
    </w:div>
    <w:div w:id="273369989">
      <w:bodyDiv w:val="1"/>
      <w:marLeft w:val="0"/>
      <w:marRight w:val="0"/>
      <w:marTop w:val="0"/>
      <w:marBottom w:val="0"/>
      <w:divBdr>
        <w:top w:val="none" w:sz="0" w:space="0" w:color="auto"/>
        <w:left w:val="none" w:sz="0" w:space="0" w:color="auto"/>
        <w:bottom w:val="none" w:sz="0" w:space="0" w:color="auto"/>
        <w:right w:val="none" w:sz="0" w:space="0" w:color="auto"/>
      </w:divBdr>
    </w:div>
    <w:div w:id="279723182">
      <w:bodyDiv w:val="1"/>
      <w:marLeft w:val="0"/>
      <w:marRight w:val="0"/>
      <w:marTop w:val="0"/>
      <w:marBottom w:val="0"/>
      <w:divBdr>
        <w:top w:val="none" w:sz="0" w:space="0" w:color="auto"/>
        <w:left w:val="none" w:sz="0" w:space="0" w:color="auto"/>
        <w:bottom w:val="none" w:sz="0" w:space="0" w:color="auto"/>
        <w:right w:val="none" w:sz="0" w:space="0" w:color="auto"/>
      </w:divBdr>
    </w:div>
    <w:div w:id="315304418">
      <w:bodyDiv w:val="1"/>
      <w:marLeft w:val="0"/>
      <w:marRight w:val="0"/>
      <w:marTop w:val="0"/>
      <w:marBottom w:val="0"/>
      <w:divBdr>
        <w:top w:val="none" w:sz="0" w:space="0" w:color="auto"/>
        <w:left w:val="none" w:sz="0" w:space="0" w:color="auto"/>
        <w:bottom w:val="none" w:sz="0" w:space="0" w:color="auto"/>
        <w:right w:val="none" w:sz="0" w:space="0" w:color="auto"/>
      </w:divBdr>
    </w:div>
    <w:div w:id="428046261">
      <w:bodyDiv w:val="1"/>
      <w:marLeft w:val="0"/>
      <w:marRight w:val="0"/>
      <w:marTop w:val="0"/>
      <w:marBottom w:val="0"/>
      <w:divBdr>
        <w:top w:val="none" w:sz="0" w:space="0" w:color="auto"/>
        <w:left w:val="none" w:sz="0" w:space="0" w:color="auto"/>
        <w:bottom w:val="none" w:sz="0" w:space="0" w:color="auto"/>
        <w:right w:val="none" w:sz="0" w:space="0" w:color="auto"/>
      </w:divBdr>
    </w:div>
    <w:div w:id="781193107">
      <w:bodyDiv w:val="1"/>
      <w:marLeft w:val="0"/>
      <w:marRight w:val="0"/>
      <w:marTop w:val="0"/>
      <w:marBottom w:val="0"/>
      <w:divBdr>
        <w:top w:val="none" w:sz="0" w:space="0" w:color="auto"/>
        <w:left w:val="none" w:sz="0" w:space="0" w:color="auto"/>
        <w:bottom w:val="none" w:sz="0" w:space="0" w:color="auto"/>
        <w:right w:val="none" w:sz="0" w:space="0" w:color="auto"/>
      </w:divBdr>
    </w:div>
    <w:div w:id="794762885">
      <w:bodyDiv w:val="1"/>
      <w:marLeft w:val="0"/>
      <w:marRight w:val="0"/>
      <w:marTop w:val="0"/>
      <w:marBottom w:val="0"/>
      <w:divBdr>
        <w:top w:val="none" w:sz="0" w:space="0" w:color="auto"/>
        <w:left w:val="none" w:sz="0" w:space="0" w:color="auto"/>
        <w:bottom w:val="none" w:sz="0" w:space="0" w:color="auto"/>
        <w:right w:val="none" w:sz="0" w:space="0" w:color="auto"/>
      </w:divBdr>
    </w:div>
    <w:div w:id="796991558">
      <w:bodyDiv w:val="1"/>
      <w:marLeft w:val="0"/>
      <w:marRight w:val="0"/>
      <w:marTop w:val="0"/>
      <w:marBottom w:val="0"/>
      <w:divBdr>
        <w:top w:val="none" w:sz="0" w:space="0" w:color="auto"/>
        <w:left w:val="none" w:sz="0" w:space="0" w:color="auto"/>
        <w:bottom w:val="none" w:sz="0" w:space="0" w:color="auto"/>
        <w:right w:val="none" w:sz="0" w:space="0" w:color="auto"/>
      </w:divBdr>
    </w:div>
    <w:div w:id="877089835">
      <w:bodyDiv w:val="1"/>
      <w:marLeft w:val="0"/>
      <w:marRight w:val="0"/>
      <w:marTop w:val="0"/>
      <w:marBottom w:val="0"/>
      <w:divBdr>
        <w:top w:val="none" w:sz="0" w:space="0" w:color="auto"/>
        <w:left w:val="none" w:sz="0" w:space="0" w:color="auto"/>
        <w:bottom w:val="none" w:sz="0" w:space="0" w:color="auto"/>
        <w:right w:val="none" w:sz="0" w:space="0" w:color="auto"/>
      </w:divBdr>
    </w:div>
    <w:div w:id="1340043172">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588075950">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66459457">
      <w:bodyDiv w:val="1"/>
      <w:marLeft w:val="0"/>
      <w:marRight w:val="0"/>
      <w:marTop w:val="0"/>
      <w:marBottom w:val="0"/>
      <w:divBdr>
        <w:top w:val="none" w:sz="0" w:space="0" w:color="auto"/>
        <w:left w:val="none" w:sz="0" w:space="0" w:color="auto"/>
        <w:bottom w:val="none" w:sz="0" w:space="0" w:color="auto"/>
        <w:right w:val="none" w:sz="0" w:space="0" w:color="auto"/>
      </w:divBdr>
    </w:div>
    <w:div w:id="1912931901">
      <w:bodyDiv w:val="1"/>
      <w:marLeft w:val="0"/>
      <w:marRight w:val="0"/>
      <w:marTop w:val="0"/>
      <w:marBottom w:val="0"/>
      <w:divBdr>
        <w:top w:val="none" w:sz="0" w:space="0" w:color="auto"/>
        <w:left w:val="none" w:sz="0" w:space="0" w:color="auto"/>
        <w:bottom w:val="none" w:sz="0" w:space="0" w:color="auto"/>
        <w:right w:val="none" w:sz="0" w:space="0" w:color="auto"/>
      </w:divBdr>
    </w:div>
    <w:div w:id="194596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A44E2-B382-4F6E-A9BE-4D7BF5F45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5F7DA-9E31-449F-BF82-9E0438A6B6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754420-B0FA-4993-A380-C2F3A568A609}">
  <ds:schemaRefs>
    <ds:schemaRef ds:uri="http://schemas.openxmlformats.org/officeDocument/2006/bibliography"/>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2888</Words>
  <Characters>15889</Characters>
  <Application>Microsoft Office Word</Application>
  <DocSecurity>0</DocSecurity>
  <Lines>132</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 12 No. 7-65 – Tel: (57-1) 350-6700 – Bogotá D.C. – Colombiawww.consejodeestado.gov.co</dc:creator>
  <cp:keywords/>
  <dc:description/>
  <cp:lastModifiedBy>Sonia Jaimes Valencia</cp:lastModifiedBy>
  <cp:revision>2</cp:revision>
  <dcterms:created xsi:type="dcterms:W3CDTF">2021-06-10T12:46:00Z</dcterms:created>
  <dcterms:modified xsi:type="dcterms:W3CDTF">2021-06-10T12:46:00Z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