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FB6D" w14:textId="11F21C22" w:rsidR="00AD797B" w:rsidRPr="00D93A24" w:rsidRDefault="00AD797B" w:rsidP="00D93A24">
      <w:pPr>
        <w:pStyle w:val="NoSpacing"/>
        <w:spacing w:line="276" w:lineRule="auto"/>
        <w:rPr>
          <w:szCs w:val="24"/>
        </w:rPr>
      </w:pPr>
      <w:r w:rsidRPr="00D93A24">
        <w:rPr>
          <w:szCs w:val="24"/>
        </w:rPr>
        <w:t>CONSEJERO PONENTE: JAIME ENRIQUE RODRÍGUEZ NAVAS</w:t>
      </w:r>
    </w:p>
    <w:p w14:paraId="08B540C5" w14:textId="77777777" w:rsidR="00AD797B" w:rsidRPr="00D93A24" w:rsidRDefault="00AD797B" w:rsidP="00D93A24">
      <w:pPr>
        <w:spacing w:line="276" w:lineRule="auto"/>
        <w:contextualSpacing/>
        <w:rPr>
          <w:b/>
          <w:bCs/>
          <w:sz w:val="24"/>
          <w:szCs w:val="24"/>
        </w:rPr>
      </w:pPr>
    </w:p>
    <w:p w14:paraId="2C828A94" w14:textId="4A19F68B" w:rsidR="00AD797B" w:rsidRPr="00D93A24" w:rsidRDefault="00AD797B" w:rsidP="00D93A24">
      <w:pPr>
        <w:spacing w:line="276" w:lineRule="auto"/>
        <w:contextualSpacing/>
        <w:rPr>
          <w:bCs/>
          <w:sz w:val="24"/>
          <w:szCs w:val="24"/>
        </w:rPr>
      </w:pPr>
      <w:r w:rsidRPr="00D93A24">
        <w:rPr>
          <w:bCs/>
          <w:sz w:val="24"/>
          <w:szCs w:val="24"/>
        </w:rPr>
        <w:t xml:space="preserve">Bogotá D.C., </w:t>
      </w:r>
      <w:r w:rsidR="006D299A">
        <w:rPr>
          <w:bCs/>
          <w:sz w:val="24"/>
          <w:szCs w:val="24"/>
        </w:rPr>
        <w:t>dos</w:t>
      </w:r>
      <w:r w:rsidRPr="00D93A24">
        <w:rPr>
          <w:bCs/>
          <w:sz w:val="24"/>
          <w:szCs w:val="24"/>
        </w:rPr>
        <w:t xml:space="preserve"> (</w:t>
      </w:r>
      <w:r w:rsidR="006D299A">
        <w:rPr>
          <w:bCs/>
          <w:sz w:val="24"/>
          <w:szCs w:val="24"/>
        </w:rPr>
        <w:t>2</w:t>
      </w:r>
      <w:r w:rsidRPr="00D93A24">
        <w:rPr>
          <w:bCs/>
          <w:sz w:val="24"/>
          <w:szCs w:val="24"/>
        </w:rPr>
        <w:t xml:space="preserve">) de </w:t>
      </w:r>
      <w:r w:rsidR="00EC3B08" w:rsidRPr="00D93A24">
        <w:rPr>
          <w:bCs/>
          <w:sz w:val="24"/>
          <w:szCs w:val="24"/>
        </w:rPr>
        <w:t>julio</w:t>
      </w:r>
      <w:r w:rsidRPr="00D93A24">
        <w:rPr>
          <w:bCs/>
          <w:sz w:val="24"/>
          <w:szCs w:val="24"/>
        </w:rPr>
        <w:t xml:space="preserve"> de dos mil veintiuno (2021)</w:t>
      </w:r>
    </w:p>
    <w:p w14:paraId="0F045DC4" w14:textId="77777777" w:rsidR="004A247B" w:rsidRPr="00857BD3" w:rsidRDefault="004A247B" w:rsidP="004A247B">
      <w:pPr>
        <w:spacing w:line="276" w:lineRule="auto"/>
        <w:contextualSpacing/>
        <w:rPr>
          <w:b/>
          <w:sz w:val="24"/>
          <w:szCs w:val="24"/>
        </w:rPr>
      </w:pPr>
    </w:p>
    <w:p w14:paraId="358DE9EB" w14:textId="77777777" w:rsidR="004A247B" w:rsidRPr="00857BD3" w:rsidRDefault="004A247B" w:rsidP="004A247B">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Acción de Tutela</w:t>
      </w:r>
    </w:p>
    <w:p w14:paraId="20539B50" w14:textId="77777777" w:rsidR="004A247B" w:rsidRPr="00857BD3" w:rsidRDefault="004A247B" w:rsidP="004A247B">
      <w:pPr>
        <w:spacing w:line="276" w:lineRule="auto"/>
        <w:ind w:left="1620" w:hanging="1620"/>
        <w:contextualSpacing/>
        <w:rPr>
          <w:sz w:val="24"/>
          <w:szCs w:val="24"/>
        </w:rPr>
      </w:pPr>
      <w:r w:rsidRPr="00857BD3">
        <w:rPr>
          <w:b/>
          <w:sz w:val="24"/>
          <w:szCs w:val="24"/>
        </w:rPr>
        <w:t>Radicación:</w:t>
      </w:r>
      <w:r w:rsidRPr="00857BD3">
        <w:rPr>
          <w:b/>
          <w:sz w:val="24"/>
          <w:szCs w:val="24"/>
        </w:rPr>
        <w:tab/>
      </w:r>
      <w:r w:rsidRPr="00827DF5">
        <w:rPr>
          <w:sz w:val="24"/>
          <w:szCs w:val="24"/>
        </w:rPr>
        <w:t>11001-03-15-000-2021-02575-00</w:t>
      </w:r>
    </w:p>
    <w:p w14:paraId="427A15B8" w14:textId="77777777" w:rsidR="004A247B" w:rsidRPr="00827DF5" w:rsidRDefault="004A247B" w:rsidP="004A247B">
      <w:pPr>
        <w:spacing w:line="276" w:lineRule="auto"/>
        <w:ind w:left="1620" w:hanging="1620"/>
        <w:contextualSpacing/>
        <w:rPr>
          <w:bCs/>
          <w:sz w:val="24"/>
          <w:szCs w:val="24"/>
        </w:rPr>
      </w:pPr>
      <w:r w:rsidRPr="00857BD3">
        <w:rPr>
          <w:b/>
          <w:sz w:val="24"/>
          <w:szCs w:val="24"/>
        </w:rPr>
        <w:t>Accionante:</w:t>
      </w:r>
      <w:r w:rsidRPr="00857BD3">
        <w:rPr>
          <w:b/>
          <w:sz w:val="24"/>
          <w:szCs w:val="24"/>
        </w:rPr>
        <w:tab/>
      </w:r>
      <w:r>
        <w:rPr>
          <w:bCs/>
          <w:sz w:val="24"/>
          <w:szCs w:val="24"/>
        </w:rPr>
        <w:t>Mónica Viviana Montenegro Portilla</w:t>
      </w:r>
    </w:p>
    <w:p w14:paraId="609FFC86" w14:textId="778547B6" w:rsidR="004A247B" w:rsidRPr="00857BD3" w:rsidRDefault="004A247B" w:rsidP="004A247B">
      <w:pPr>
        <w:spacing w:line="276" w:lineRule="auto"/>
        <w:ind w:left="1620" w:right="51" w:hanging="1620"/>
        <w:contextualSpacing/>
        <w:rPr>
          <w:bCs/>
          <w:sz w:val="24"/>
          <w:szCs w:val="24"/>
        </w:rPr>
      </w:pPr>
      <w:r w:rsidRPr="00857BD3">
        <w:rPr>
          <w:b/>
          <w:sz w:val="24"/>
          <w:szCs w:val="24"/>
        </w:rPr>
        <w:t>Accionado</w:t>
      </w:r>
      <w:r>
        <w:rPr>
          <w:b/>
          <w:sz w:val="24"/>
          <w:szCs w:val="24"/>
        </w:rPr>
        <w:t>:</w:t>
      </w:r>
      <w:r w:rsidRPr="00857BD3">
        <w:rPr>
          <w:b/>
          <w:sz w:val="24"/>
          <w:szCs w:val="24"/>
        </w:rPr>
        <w:tab/>
      </w:r>
      <w:r>
        <w:rPr>
          <w:bCs/>
          <w:sz w:val="24"/>
          <w:szCs w:val="24"/>
        </w:rPr>
        <w:t>Consejo Superior de la Judicatura</w:t>
      </w:r>
    </w:p>
    <w:p w14:paraId="74A781DC" w14:textId="77777777" w:rsidR="004A247B" w:rsidRPr="00857BD3" w:rsidRDefault="004A247B" w:rsidP="004A247B">
      <w:pPr>
        <w:spacing w:line="276" w:lineRule="auto"/>
        <w:ind w:right="51"/>
        <w:contextualSpacing/>
        <w:rPr>
          <w:b/>
          <w:sz w:val="24"/>
          <w:szCs w:val="24"/>
        </w:rPr>
      </w:pPr>
    </w:p>
    <w:p w14:paraId="1DB19A9D" w14:textId="65D38C65" w:rsidR="00AD797B" w:rsidRPr="00D93A24" w:rsidRDefault="00EC3B08" w:rsidP="00D93A24">
      <w:pPr>
        <w:pBdr>
          <w:bottom w:val="single" w:sz="12" w:space="0" w:color="auto"/>
        </w:pBdr>
        <w:spacing w:line="276" w:lineRule="auto"/>
        <w:contextualSpacing/>
        <w:rPr>
          <w:b/>
          <w:sz w:val="24"/>
          <w:szCs w:val="24"/>
        </w:rPr>
      </w:pPr>
      <w:r w:rsidRPr="00D93A24">
        <w:rPr>
          <w:b/>
          <w:sz w:val="24"/>
          <w:szCs w:val="24"/>
        </w:rPr>
        <w:t>SENTENCIA DE PRIMERA INSTANCIA</w:t>
      </w:r>
    </w:p>
    <w:p w14:paraId="418537FA" w14:textId="77777777" w:rsidR="00AD797B" w:rsidRPr="00D93A24" w:rsidRDefault="00AD797B" w:rsidP="00D93A24">
      <w:pPr>
        <w:spacing w:line="276" w:lineRule="auto"/>
        <w:contextualSpacing/>
        <w:rPr>
          <w:b/>
          <w:sz w:val="24"/>
          <w:szCs w:val="24"/>
        </w:rPr>
      </w:pPr>
    </w:p>
    <w:p w14:paraId="46138000" w14:textId="2979052D" w:rsidR="00AD797B" w:rsidRPr="00D93A24" w:rsidRDefault="00EC3B08" w:rsidP="00D93A24">
      <w:pPr>
        <w:spacing w:line="276" w:lineRule="auto"/>
        <w:contextualSpacing/>
        <w:rPr>
          <w:sz w:val="24"/>
          <w:szCs w:val="24"/>
        </w:rPr>
      </w:pPr>
      <w:r w:rsidRPr="00D93A24">
        <w:rPr>
          <w:sz w:val="24"/>
          <w:szCs w:val="24"/>
        </w:rPr>
        <w:t xml:space="preserve">La Sala decide la solicitud de amparo que presentó </w:t>
      </w:r>
      <w:r w:rsidR="004A247B" w:rsidRPr="004A247B">
        <w:rPr>
          <w:bCs/>
          <w:sz w:val="24"/>
          <w:szCs w:val="24"/>
        </w:rPr>
        <w:t xml:space="preserve">Mónica Viviana Montenegro Portilla </w:t>
      </w:r>
      <w:r w:rsidRPr="00D93A24">
        <w:rPr>
          <w:bCs/>
          <w:sz w:val="24"/>
          <w:szCs w:val="24"/>
        </w:rPr>
        <w:t xml:space="preserve">en </w:t>
      </w:r>
      <w:r w:rsidRPr="00D93A24">
        <w:rPr>
          <w:sz w:val="24"/>
          <w:szCs w:val="24"/>
        </w:rPr>
        <w:t xml:space="preserve">contra del </w:t>
      </w:r>
      <w:r w:rsidR="004A247B" w:rsidRPr="004A247B">
        <w:rPr>
          <w:sz w:val="24"/>
          <w:szCs w:val="24"/>
        </w:rPr>
        <w:t>Consejo Superior de la Judicatura</w:t>
      </w:r>
      <w:r w:rsidR="00E43AF4">
        <w:rPr>
          <w:sz w:val="24"/>
          <w:szCs w:val="24"/>
        </w:rPr>
        <w:t>.</w:t>
      </w:r>
    </w:p>
    <w:p w14:paraId="22F3F104" w14:textId="77777777" w:rsidR="00EC3B08" w:rsidRPr="00D93A24" w:rsidRDefault="00EC3B08" w:rsidP="00D93A24">
      <w:pPr>
        <w:spacing w:line="276" w:lineRule="auto"/>
        <w:contextualSpacing/>
        <w:rPr>
          <w:sz w:val="24"/>
          <w:szCs w:val="24"/>
        </w:rPr>
      </w:pPr>
    </w:p>
    <w:p w14:paraId="7522612E" w14:textId="77777777" w:rsidR="00AD797B" w:rsidRPr="00D93A24" w:rsidRDefault="00AD797B" w:rsidP="00D93A24">
      <w:pPr>
        <w:pStyle w:val="Heading1"/>
        <w:spacing w:before="0" w:after="0"/>
        <w:ind w:left="540" w:hanging="540"/>
        <w:rPr>
          <w:rFonts w:cs="Arial"/>
          <w:szCs w:val="24"/>
        </w:rPr>
      </w:pPr>
      <w:r w:rsidRPr="00D93A24">
        <w:rPr>
          <w:rFonts w:cs="Arial"/>
          <w:szCs w:val="24"/>
        </w:rPr>
        <w:t>ANTECEDENTES</w:t>
      </w:r>
    </w:p>
    <w:p w14:paraId="42F7121B" w14:textId="77777777" w:rsidR="00AD797B" w:rsidRPr="00D93A24" w:rsidRDefault="00AD797B" w:rsidP="00D93A24">
      <w:pPr>
        <w:spacing w:line="276" w:lineRule="auto"/>
        <w:rPr>
          <w:sz w:val="24"/>
          <w:szCs w:val="24"/>
        </w:rPr>
      </w:pPr>
    </w:p>
    <w:p w14:paraId="1B7E5AF8" w14:textId="77777777" w:rsidR="00AD797B" w:rsidRPr="00D93A24" w:rsidRDefault="00AD797B" w:rsidP="00D93A24">
      <w:pPr>
        <w:pStyle w:val="Heading2"/>
        <w:spacing w:before="0" w:after="0" w:line="276" w:lineRule="auto"/>
        <w:ind w:left="0" w:firstLine="0"/>
        <w:rPr>
          <w:rFonts w:cs="Arial"/>
          <w:szCs w:val="24"/>
          <w:lang w:eastAsia="es-ES"/>
        </w:rPr>
      </w:pPr>
      <w:r w:rsidRPr="00D93A24">
        <w:rPr>
          <w:rFonts w:cs="Arial"/>
          <w:szCs w:val="24"/>
          <w:lang w:eastAsia="es-ES"/>
        </w:rPr>
        <w:t>Solicitud de tutela y pretensiones</w:t>
      </w:r>
    </w:p>
    <w:p w14:paraId="5974A8AB" w14:textId="77777777" w:rsidR="00AD797B" w:rsidRPr="00D93A24" w:rsidRDefault="00AD797B" w:rsidP="00D93A24">
      <w:pPr>
        <w:overflowPunct w:val="0"/>
        <w:autoSpaceDE w:val="0"/>
        <w:autoSpaceDN w:val="0"/>
        <w:adjustRightInd w:val="0"/>
        <w:spacing w:line="276" w:lineRule="auto"/>
        <w:contextualSpacing/>
        <w:textAlignment w:val="baseline"/>
        <w:rPr>
          <w:sz w:val="24"/>
          <w:szCs w:val="24"/>
        </w:rPr>
      </w:pPr>
    </w:p>
    <w:p w14:paraId="666AA1E0" w14:textId="036AF8C9" w:rsidR="00AD797B" w:rsidRDefault="004A247B" w:rsidP="00D93A24">
      <w:pPr>
        <w:spacing w:line="276" w:lineRule="auto"/>
        <w:rPr>
          <w:sz w:val="24"/>
          <w:szCs w:val="24"/>
        </w:rPr>
      </w:pPr>
      <w:r w:rsidRPr="004A247B">
        <w:rPr>
          <w:sz w:val="24"/>
          <w:szCs w:val="24"/>
        </w:rPr>
        <w:t>Mónica Viviana Montenegro Portilla, en nombre propio, solicitó el amparo</w:t>
      </w:r>
      <w:r w:rsidRPr="004A247B">
        <w:rPr>
          <w:sz w:val="24"/>
          <w:szCs w:val="24"/>
          <w:vertAlign w:val="superscript"/>
        </w:rPr>
        <w:footnoteReference w:id="1"/>
      </w:r>
      <w:r w:rsidRPr="004A247B">
        <w:rPr>
          <w:sz w:val="24"/>
          <w:szCs w:val="24"/>
        </w:rPr>
        <w:t xml:space="preserve"> de sus derechos fundamentales a la vida, a la salud, a la igualdad y al trabajo. Tales garantías las consideró vulneradas por el Consejo Superior de la Judicatura</w:t>
      </w:r>
      <w:r w:rsidR="006C79C6">
        <w:rPr>
          <w:sz w:val="24"/>
          <w:szCs w:val="24"/>
        </w:rPr>
        <w:t>,</w:t>
      </w:r>
      <w:r w:rsidRPr="004A247B">
        <w:rPr>
          <w:sz w:val="24"/>
          <w:szCs w:val="24"/>
        </w:rPr>
        <w:t xml:space="preserve"> con ocasión de los oficios por los cuales esa autoridad le negó su solicitud de traslado del Distrito Judicial de Pasto al de Cali.</w:t>
      </w:r>
      <w:r w:rsidR="00E43AF4">
        <w:rPr>
          <w:sz w:val="24"/>
          <w:szCs w:val="24"/>
        </w:rPr>
        <w:t xml:space="preserve"> En ese sentido, pretendió que se ordene a dicha entidad que emita concepto favorable en lo que atañe a su petición y que coordine con la corporación receptora lo necesario para que ese traslado se materialice.</w:t>
      </w:r>
    </w:p>
    <w:p w14:paraId="1DFE354D" w14:textId="77777777" w:rsidR="00E43AF4" w:rsidRPr="00E43AF4" w:rsidRDefault="00E43AF4" w:rsidP="00D93A24">
      <w:pPr>
        <w:spacing w:line="276" w:lineRule="auto"/>
        <w:rPr>
          <w:sz w:val="24"/>
          <w:szCs w:val="24"/>
        </w:rPr>
      </w:pPr>
    </w:p>
    <w:p w14:paraId="23D10D61" w14:textId="77777777" w:rsidR="00AD797B" w:rsidRPr="00D93A24" w:rsidRDefault="00AD797B" w:rsidP="00D93A24">
      <w:pPr>
        <w:numPr>
          <w:ilvl w:val="0"/>
          <w:numId w:val="2"/>
        </w:numPr>
        <w:spacing w:line="276" w:lineRule="auto"/>
        <w:ind w:left="0" w:firstLine="0"/>
        <w:contextualSpacing/>
        <w:rPr>
          <w:rFonts w:eastAsia="Verdana"/>
          <w:b/>
          <w:sz w:val="24"/>
          <w:szCs w:val="24"/>
        </w:rPr>
      </w:pPr>
      <w:r w:rsidRPr="00D93A24">
        <w:rPr>
          <w:rFonts w:eastAsia="Verdana"/>
          <w:b/>
          <w:sz w:val="24"/>
          <w:szCs w:val="24"/>
        </w:rPr>
        <w:t>Hechos</w:t>
      </w:r>
    </w:p>
    <w:p w14:paraId="25FB1782" w14:textId="77777777" w:rsidR="00AD797B" w:rsidRPr="00D93A24" w:rsidRDefault="00AD797B" w:rsidP="00D93A24">
      <w:pPr>
        <w:spacing w:line="276" w:lineRule="auto"/>
        <w:contextualSpacing/>
        <w:rPr>
          <w:rFonts w:eastAsia="Verdana"/>
          <w:b/>
          <w:sz w:val="24"/>
          <w:szCs w:val="24"/>
        </w:rPr>
      </w:pPr>
    </w:p>
    <w:p w14:paraId="28212CF6" w14:textId="764B098D" w:rsidR="00B619EE" w:rsidRDefault="00447687" w:rsidP="00D93A24">
      <w:pPr>
        <w:pStyle w:val="ListParagraph"/>
        <w:spacing w:line="276" w:lineRule="auto"/>
        <w:ind w:left="0"/>
        <w:jc w:val="both"/>
        <w:rPr>
          <w:rFonts w:ascii="Arial" w:eastAsia="Verdana" w:hAnsi="Arial" w:cs="Arial"/>
          <w:bCs/>
          <w:lang w:val="es-CO"/>
        </w:rPr>
      </w:pPr>
      <w:r>
        <w:rPr>
          <w:rFonts w:ascii="Arial" w:eastAsia="Verdana" w:hAnsi="Arial" w:cs="Arial"/>
          <w:bCs/>
          <w:lang w:val="es-CO"/>
        </w:rPr>
        <w:t>L</w:t>
      </w:r>
      <w:r w:rsidRPr="00447687">
        <w:rPr>
          <w:rFonts w:ascii="Arial" w:eastAsia="Verdana" w:hAnsi="Arial" w:cs="Arial"/>
          <w:bCs/>
          <w:lang w:val="es-CO"/>
        </w:rPr>
        <w:t xml:space="preserve">a actora </w:t>
      </w:r>
      <w:r>
        <w:rPr>
          <w:rFonts w:ascii="Arial" w:eastAsia="Verdana" w:hAnsi="Arial" w:cs="Arial"/>
          <w:bCs/>
          <w:lang w:val="es-CO"/>
        </w:rPr>
        <w:t xml:space="preserve">afirmó que, actualmente, se desempeña en la Sala Laboral del Tribunal Superior del Distrito Judicial de Pasto. Sin embargo, requiere </w:t>
      </w:r>
      <w:r w:rsidR="00546655">
        <w:rPr>
          <w:rFonts w:ascii="Arial" w:eastAsia="Verdana" w:hAnsi="Arial" w:cs="Arial"/>
          <w:bCs/>
          <w:lang w:val="es-CO"/>
        </w:rPr>
        <w:t>traslado</w:t>
      </w:r>
      <w:r w:rsidRPr="00447687">
        <w:rPr>
          <w:rFonts w:ascii="Arial" w:eastAsia="Verdana" w:hAnsi="Arial" w:cs="Arial"/>
          <w:bCs/>
          <w:lang w:val="es-CO"/>
        </w:rPr>
        <w:t xml:space="preserve"> </w:t>
      </w:r>
      <w:r>
        <w:rPr>
          <w:rFonts w:ascii="Arial" w:eastAsia="Verdana" w:hAnsi="Arial" w:cs="Arial"/>
          <w:bCs/>
          <w:lang w:val="es-CO"/>
        </w:rPr>
        <w:t>debido a</w:t>
      </w:r>
      <w:r w:rsidRPr="00447687">
        <w:rPr>
          <w:rFonts w:ascii="Arial" w:eastAsia="Verdana" w:hAnsi="Arial" w:cs="Arial"/>
          <w:bCs/>
          <w:lang w:val="es-CO"/>
        </w:rPr>
        <w:t xml:space="preserve"> su estado de salud, el de su esposo y el de sus hijos. En </w:t>
      </w:r>
      <w:r>
        <w:rPr>
          <w:rFonts w:ascii="Arial" w:eastAsia="Verdana" w:hAnsi="Arial" w:cs="Arial"/>
          <w:bCs/>
          <w:lang w:val="es-CO"/>
        </w:rPr>
        <w:t>concreto</w:t>
      </w:r>
      <w:r w:rsidRPr="00447687">
        <w:rPr>
          <w:rFonts w:ascii="Arial" w:eastAsia="Verdana" w:hAnsi="Arial" w:cs="Arial"/>
          <w:bCs/>
          <w:lang w:val="es-CO"/>
        </w:rPr>
        <w:t xml:space="preserve">, su esposo y el mayor de sus hijos padecen quebrantos respiratorios que les impiden vivir en Pasto. Igualmente, </w:t>
      </w:r>
      <w:r>
        <w:rPr>
          <w:rFonts w:ascii="Arial" w:eastAsia="Verdana" w:hAnsi="Arial" w:cs="Arial"/>
          <w:bCs/>
          <w:lang w:val="es-CO"/>
        </w:rPr>
        <w:t>su hijo menor</w:t>
      </w:r>
      <w:r w:rsidRPr="00447687">
        <w:rPr>
          <w:rFonts w:ascii="Arial" w:eastAsia="Verdana" w:hAnsi="Arial" w:cs="Arial"/>
          <w:bCs/>
          <w:lang w:val="es-CO"/>
        </w:rPr>
        <w:t xml:space="preserve"> sufre de autismo, situación que no puede ser tratada en ese municipio, donde tampoco hay instituciones educativas donde él pueda estudiar. Así mismo, ella experimenta, desde su niñez, enfermedades autoinmunes. A </w:t>
      </w:r>
      <w:r w:rsidR="00546655">
        <w:rPr>
          <w:rFonts w:ascii="Arial" w:eastAsia="Verdana" w:hAnsi="Arial" w:cs="Arial"/>
          <w:bCs/>
          <w:lang w:val="es-CO"/>
        </w:rPr>
        <w:t>esto</w:t>
      </w:r>
      <w:r w:rsidRPr="00447687">
        <w:rPr>
          <w:rFonts w:ascii="Arial" w:eastAsia="Verdana" w:hAnsi="Arial" w:cs="Arial"/>
          <w:bCs/>
          <w:lang w:val="es-CO"/>
        </w:rPr>
        <w:t xml:space="preserve"> </w:t>
      </w:r>
      <w:r>
        <w:rPr>
          <w:rFonts w:ascii="Arial" w:eastAsia="Verdana" w:hAnsi="Arial" w:cs="Arial"/>
          <w:bCs/>
          <w:lang w:val="es-CO"/>
        </w:rPr>
        <w:t>se une</w:t>
      </w:r>
      <w:r w:rsidRPr="00447687">
        <w:rPr>
          <w:rFonts w:ascii="Arial" w:eastAsia="Verdana" w:hAnsi="Arial" w:cs="Arial"/>
          <w:bCs/>
          <w:lang w:val="es-CO"/>
        </w:rPr>
        <w:t xml:space="preserve"> su actual cuadro de depresión, ansiedad y estrés.</w:t>
      </w:r>
    </w:p>
    <w:p w14:paraId="2B862719" w14:textId="77777777" w:rsidR="00B619EE" w:rsidRDefault="00B619EE" w:rsidP="00D93A24">
      <w:pPr>
        <w:pStyle w:val="ListParagraph"/>
        <w:spacing w:line="276" w:lineRule="auto"/>
        <w:ind w:left="0"/>
        <w:jc w:val="both"/>
        <w:rPr>
          <w:rFonts w:ascii="Arial" w:eastAsia="Verdana" w:hAnsi="Arial" w:cs="Arial"/>
          <w:bCs/>
          <w:lang w:val="es-CO"/>
        </w:rPr>
      </w:pPr>
    </w:p>
    <w:p w14:paraId="14EC03A3" w14:textId="5496BC34" w:rsidR="00AD797B" w:rsidRPr="00447687" w:rsidRDefault="00B619EE" w:rsidP="00D93A24">
      <w:pPr>
        <w:pStyle w:val="ListParagraph"/>
        <w:spacing w:line="276" w:lineRule="auto"/>
        <w:ind w:left="0"/>
        <w:jc w:val="both"/>
        <w:rPr>
          <w:rFonts w:ascii="Arial" w:eastAsia="Verdana" w:hAnsi="Arial" w:cs="Arial"/>
          <w:bCs/>
          <w:lang w:val="es-CO"/>
        </w:rPr>
      </w:pPr>
      <w:r>
        <w:rPr>
          <w:rFonts w:ascii="Arial" w:eastAsia="Verdana" w:hAnsi="Arial" w:cs="Arial"/>
          <w:bCs/>
          <w:lang w:val="es-CO"/>
        </w:rPr>
        <w:t>Dado lo anterior solicitó ser trasladada al Consejo Seccional de Disciplina Judicial de Cali, entidad territorial que sí cuenta con el clima y la infraestructura social que le permitiría mejorar su calidad de vida. A pesar de sus motivos, el ente accionado emitió concepto desfavorable, pues estimó que su cargo en la jurisdicción ordinaria laboral no es afín con aquel al que aspira en la jurisdicción disciplinaria.</w:t>
      </w:r>
    </w:p>
    <w:p w14:paraId="0F76E042" w14:textId="77777777" w:rsidR="00447687" w:rsidRPr="00D93A24" w:rsidRDefault="00447687" w:rsidP="00D93A24">
      <w:pPr>
        <w:pStyle w:val="ListParagraph"/>
        <w:spacing w:line="276" w:lineRule="auto"/>
        <w:ind w:left="0"/>
        <w:jc w:val="both"/>
        <w:rPr>
          <w:rFonts w:ascii="Arial" w:eastAsia="Verdana" w:hAnsi="Arial" w:cs="Arial"/>
          <w:b/>
          <w:lang w:val="es-CO"/>
        </w:rPr>
      </w:pPr>
    </w:p>
    <w:p w14:paraId="3D542DE0" w14:textId="77777777" w:rsidR="00AD797B" w:rsidRPr="00D93A24" w:rsidRDefault="00AD797B" w:rsidP="00D93A24">
      <w:pPr>
        <w:numPr>
          <w:ilvl w:val="0"/>
          <w:numId w:val="2"/>
        </w:numPr>
        <w:spacing w:line="276" w:lineRule="auto"/>
        <w:ind w:left="0" w:firstLine="0"/>
        <w:contextualSpacing/>
        <w:rPr>
          <w:rFonts w:eastAsia="Verdana"/>
          <w:b/>
          <w:sz w:val="24"/>
          <w:szCs w:val="24"/>
        </w:rPr>
      </w:pPr>
      <w:r w:rsidRPr="00D93A24">
        <w:rPr>
          <w:rFonts w:eastAsia="Verdana"/>
          <w:b/>
          <w:sz w:val="24"/>
          <w:szCs w:val="24"/>
        </w:rPr>
        <w:lastRenderedPageBreak/>
        <w:t>Argumentos de la solicitud de tutela</w:t>
      </w:r>
    </w:p>
    <w:p w14:paraId="6170C3EA" w14:textId="77777777" w:rsidR="00AD797B" w:rsidRPr="00D93A24" w:rsidRDefault="00AD797B" w:rsidP="00D93A24">
      <w:pPr>
        <w:pStyle w:val="ListParagraph"/>
        <w:spacing w:line="276" w:lineRule="auto"/>
        <w:ind w:left="0"/>
        <w:jc w:val="both"/>
        <w:rPr>
          <w:rFonts w:ascii="Arial" w:eastAsia="Verdana" w:hAnsi="Arial" w:cs="Arial"/>
          <w:lang w:val="es-CO"/>
        </w:rPr>
      </w:pPr>
    </w:p>
    <w:p w14:paraId="15A2F44D" w14:textId="3F52F302" w:rsidR="00AD797B" w:rsidRDefault="00D46268" w:rsidP="00D93A24">
      <w:pPr>
        <w:pStyle w:val="ListParagraph"/>
        <w:spacing w:line="276" w:lineRule="auto"/>
        <w:ind w:left="0"/>
        <w:jc w:val="both"/>
        <w:rPr>
          <w:rFonts w:ascii="Arial" w:eastAsia="Verdana" w:hAnsi="Arial" w:cs="Arial"/>
          <w:lang w:val="es-CO"/>
        </w:rPr>
      </w:pPr>
      <w:r>
        <w:rPr>
          <w:rFonts w:ascii="Arial" w:eastAsia="Verdana" w:hAnsi="Arial" w:cs="Arial"/>
          <w:lang w:val="es-CO"/>
        </w:rPr>
        <w:t xml:space="preserve">La accionante advirtió que el concepto desfavorable descrito arriba vulnera sus garantías. En particular, consideró que, con su solicitud de traslado, aspira a mejorar sus condiciones de salud y los de su núcleo familiar. Así mismo, estimó que no está afectando derechos de terceros, pues el cargo al que aspira ser trasladada fue creado recientemente y, por tanto, no fue abierto a concurso ni está para proveer por medio de </w:t>
      </w:r>
      <w:r w:rsidRPr="00D46268">
        <w:rPr>
          <w:rFonts w:ascii="Arial" w:eastAsia="Verdana" w:hAnsi="Arial" w:cs="Arial"/>
          <w:lang w:val="es-CO"/>
        </w:rPr>
        <w:t xml:space="preserve">alguna </w:t>
      </w:r>
      <w:r>
        <w:rPr>
          <w:rFonts w:ascii="Arial" w:eastAsia="Verdana" w:hAnsi="Arial" w:cs="Arial"/>
          <w:lang w:val="es-CO"/>
        </w:rPr>
        <w:t xml:space="preserve">lista de elegibles. Por esta razón resaltó que sus motivos de salud son más que suficientes para </w:t>
      </w:r>
      <w:r w:rsidR="00546655">
        <w:rPr>
          <w:rFonts w:ascii="Arial" w:eastAsia="Verdana" w:hAnsi="Arial" w:cs="Arial"/>
          <w:lang w:val="es-CO"/>
        </w:rPr>
        <w:t>ser trasladada</w:t>
      </w:r>
      <w:r>
        <w:rPr>
          <w:rFonts w:ascii="Arial" w:eastAsia="Verdana" w:hAnsi="Arial" w:cs="Arial"/>
          <w:lang w:val="es-CO"/>
        </w:rPr>
        <w:t xml:space="preserve">. A ello se une que su cargo actual en la jurisdicción ordinaria laboral lo dedica a la sustanciación de procesos constitucionales. De ahí que </w:t>
      </w:r>
      <w:r w:rsidR="00696813">
        <w:rPr>
          <w:rFonts w:ascii="Arial" w:eastAsia="Verdana" w:hAnsi="Arial" w:cs="Arial"/>
          <w:lang w:val="es-CO"/>
        </w:rPr>
        <w:t xml:space="preserve">no comparta </w:t>
      </w:r>
      <w:r>
        <w:rPr>
          <w:rFonts w:ascii="Arial" w:eastAsia="Verdana" w:hAnsi="Arial" w:cs="Arial"/>
          <w:lang w:val="es-CO"/>
        </w:rPr>
        <w:t>el argumento relacionado con la falta de afinidad entre esas tareas y las que desempeñaría en el Consejo Seccional de Disciplina Judicial de Cali.</w:t>
      </w:r>
    </w:p>
    <w:p w14:paraId="05868E9D" w14:textId="77777777" w:rsidR="00D46268" w:rsidRPr="00D93A24" w:rsidRDefault="00D46268" w:rsidP="00D93A24">
      <w:pPr>
        <w:pStyle w:val="ListParagraph"/>
        <w:spacing w:line="276" w:lineRule="auto"/>
        <w:ind w:left="0"/>
        <w:jc w:val="both"/>
        <w:rPr>
          <w:rFonts w:ascii="Arial" w:eastAsia="Verdana" w:hAnsi="Arial" w:cs="Arial"/>
          <w:lang w:val="es-CO"/>
        </w:rPr>
      </w:pPr>
    </w:p>
    <w:p w14:paraId="62FE8B39" w14:textId="77777777" w:rsidR="00AD797B" w:rsidRPr="00D93A24" w:rsidRDefault="00AD797B" w:rsidP="00D93A24">
      <w:pPr>
        <w:numPr>
          <w:ilvl w:val="0"/>
          <w:numId w:val="2"/>
        </w:numPr>
        <w:overflowPunct w:val="0"/>
        <w:autoSpaceDE w:val="0"/>
        <w:autoSpaceDN w:val="0"/>
        <w:adjustRightInd w:val="0"/>
        <w:spacing w:line="276" w:lineRule="auto"/>
        <w:ind w:left="0" w:firstLine="0"/>
        <w:contextualSpacing/>
        <w:rPr>
          <w:rFonts w:eastAsia="Times New Roman"/>
          <w:b/>
          <w:sz w:val="24"/>
          <w:szCs w:val="24"/>
          <w:lang w:eastAsia="es-ES"/>
        </w:rPr>
      </w:pPr>
      <w:r w:rsidRPr="00D93A24">
        <w:rPr>
          <w:b/>
          <w:sz w:val="24"/>
          <w:szCs w:val="24"/>
        </w:rPr>
        <w:t>Trámite de tutela e intervenciones</w:t>
      </w:r>
    </w:p>
    <w:p w14:paraId="5A2FFBD2" w14:textId="77777777" w:rsidR="00AD797B" w:rsidRPr="00D93A24" w:rsidRDefault="00AD797B" w:rsidP="00D93A24">
      <w:pPr>
        <w:overflowPunct w:val="0"/>
        <w:autoSpaceDE w:val="0"/>
        <w:autoSpaceDN w:val="0"/>
        <w:adjustRightInd w:val="0"/>
        <w:spacing w:line="276" w:lineRule="auto"/>
        <w:contextualSpacing/>
        <w:rPr>
          <w:rFonts w:eastAsia="Times New Roman"/>
          <w:b/>
          <w:sz w:val="24"/>
          <w:szCs w:val="24"/>
          <w:lang w:eastAsia="es-ES"/>
        </w:rPr>
      </w:pPr>
    </w:p>
    <w:p w14:paraId="0A6B7C94" w14:textId="5896FF99" w:rsidR="009C5006" w:rsidRDefault="00AD797B" w:rsidP="009C5006">
      <w:pPr>
        <w:numPr>
          <w:ilvl w:val="1"/>
          <w:numId w:val="2"/>
        </w:numPr>
        <w:overflowPunct w:val="0"/>
        <w:autoSpaceDE w:val="0"/>
        <w:autoSpaceDN w:val="0"/>
        <w:adjustRightInd w:val="0"/>
        <w:spacing w:line="276" w:lineRule="auto"/>
        <w:ind w:left="0" w:firstLine="0"/>
        <w:contextualSpacing/>
        <w:rPr>
          <w:rFonts w:eastAsia="Verdana"/>
          <w:sz w:val="24"/>
          <w:szCs w:val="24"/>
        </w:rPr>
      </w:pPr>
      <w:r w:rsidRPr="0027364B">
        <w:rPr>
          <w:rFonts w:eastAsia="Verdana"/>
          <w:sz w:val="24"/>
          <w:szCs w:val="24"/>
        </w:rPr>
        <w:t>El despacho sustanciador admitió la solicitud de amparo por medio del auto</w:t>
      </w:r>
      <w:r w:rsidRPr="00D93A24">
        <w:rPr>
          <w:rStyle w:val="FootnoteReference"/>
          <w:rFonts w:eastAsia="Verdana"/>
          <w:sz w:val="24"/>
          <w:szCs w:val="24"/>
        </w:rPr>
        <w:footnoteReference w:id="2"/>
      </w:r>
      <w:r w:rsidRPr="0027364B">
        <w:rPr>
          <w:rFonts w:eastAsia="Verdana"/>
          <w:sz w:val="24"/>
          <w:szCs w:val="24"/>
        </w:rPr>
        <w:t xml:space="preserve"> proferido el </w:t>
      </w:r>
      <w:r w:rsidR="0027364B" w:rsidRPr="0027364B">
        <w:rPr>
          <w:rFonts w:eastAsia="Verdana"/>
          <w:sz w:val="24"/>
          <w:szCs w:val="24"/>
        </w:rPr>
        <w:t>19</w:t>
      </w:r>
      <w:r w:rsidR="00F265F1" w:rsidRPr="0027364B">
        <w:rPr>
          <w:rFonts w:eastAsia="Verdana"/>
          <w:sz w:val="24"/>
          <w:szCs w:val="24"/>
        </w:rPr>
        <w:t xml:space="preserve"> </w:t>
      </w:r>
      <w:r w:rsidRPr="0027364B">
        <w:rPr>
          <w:rFonts w:eastAsia="Verdana"/>
          <w:sz w:val="24"/>
          <w:szCs w:val="24"/>
        </w:rPr>
        <w:t xml:space="preserve">de </w:t>
      </w:r>
      <w:r w:rsidR="0027364B" w:rsidRPr="0027364B">
        <w:rPr>
          <w:rFonts w:eastAsia="Verdana"/>
          <w:sz w:val="24"/>
          <w:szCs w:val="24"/>
        </w:rPr>
        <w:t>mayo</w:t>
      </w:r>
      <w:r w:rsidRPr="0027364B">
        <w:rPr>
          <w:rFonts w:eastAsia="Verdana"/>
          <w:sz w:val="24"/>
          <w:szCs w:val="24"/>
        </w:rPr>
        <w:t xml:space="preserve"> de 2021.</w:t>
      </w:r>
    </w:p>
    <w:p w14:paraId="33D87583" w14:textId="77777777" w:rsidR="009C5006" w:rsidRDefault="009C5006" w:rsidP="009C5006">
      <w:pPr>
        <w:overflowPunct w:val="0"/>
        <w:autoSpaceDE w:val="0"/>
        <w:autoSpaceDN w:val="0"/>
        <w:adjustRightInd w:val="0"/>
        <w:spacing w:line="276" w:lineRule="auto"/>
        <w:contextualSpacing/>
        <w:rPr>
          <w:rFonts w:eastAsia="Verdana"/>
          <w:sz w:val="24"/>
          <w:szCs w:val="24"/>
        </w:rPr>
      </w:pPr>
    </w:p>
    <w:p w14:paraId="5B535EA1" w14:textId="0F2A5A25" w:rsidR="0027364B" w:rsidRPr="009C5006" w:rsidRDefault="00F941FC" w:rsidP="009C5006">
      <w:pPr>
        <w:numPr>
          <w:ilvl w:val="1"/>
          <w:numId w:val="2"/>
        </w:numPr>
        <w:overflowPunct w:val="0"/>
        <w:autoSpaceDE w:val="0"/>
        <w:autoSpaceDN w:val="0"/>
        <w:adjustRightInd w:val="0"/>
        <w:spacing w:line="276" w:lineRule="auto"/>
        <w:ind w:left="0" w:firstLine="0"/>
        <w:contextualSpacing/>
        <w:rPr>
          <w:rFonts w:eastAsia="Verdana"/>
          <w:sz w:val="24"/>
          <w:szCs w:val="24"/>
        </w:rPr>
      </w:pPr>
      <w:r w:rsidRPr="009C5006">
        <w:rPr>
          <w:rFonts w:eastAsia="Verdana"/>
          <w:sz w:val="24"/>
          <w:szCs w:val="24"/>
        </w:rPr>
        <w:t xml:space="preserve">El </w:t>
      </w:r>
      <w:r w:rsidRPr="009C5006">
        <w:rPr>
          <w:rFonts w:eastAsia="Verdana"/>
          <w:b/>
          <w:bCs/>
          <w:sz w:val="24"/>
          <w:szCs w:val="24"/>
        </w:rPr>
        <w:t>Consejo Superior de la Judicatura – Unidad de Administración de la Carrera Judicial</w:t>
      </w:r>
      <w:r w:rsidRPr="009C5006">
        <w:rPr>
          <w:rFonts w:eastAsia="Verdana"/>
          <w:sz w:val="24"/>
          <w:szCs w:val="24"/>
        </w:rPr>
        <w:t xml:space="preserve"> manifestó</w:t>
      </w:r>
      <w:r>
        <w:rPr>
          <w:rStyle w:val="FootnoteReference"/>
          <w:rFonts w:eastAsia="Verdana"/>
          <w:sz w:val="24"/>
          <w:szCs w:val="24"/>
        </w:rPr>
        <w:footnoteReference w:id="3"/>
      </w:r>
      <w:r w:rsidRPr="009C5006">
        <w:rPr>
          <w:rFonts w:eastAsia="Verdana"/>
          <w:sz w:val="24"/>
          <w:szCs w:val="24"/>
        </w:rPr>
        <w:t xml:space="preserve"> que </w:t>
      </w:r>
      <w:r w:rsidR="009C5006" w:rsidRPr="009C5006">
        <w:rPr>
          <w:rFonts w:eastAsia="Verdana"/>
          <w:sz w:val="24"/>
          <w:szCs w:val="24"/>
        </w:rPr>
        <w:t>la tutela de la referencia es improcedente por no cumplir el requisito de subsidiariedad. Al respecto, indicó que contra los actos motivo de inconformidad procede el medio de control pertinente, dentro del cual</w:t>
      </w:r>
      <w:r w:rsidR="00BA16DB">
        <w:rPr>
          <w:rFonts w:eastAsia="Verdana"/>
          <w:sz w:val="24"/>
          <w:szCs w:val="24"/>
        </w:rPr>
        <w:t xml:space="preserve"> la actora</w:t>
      </w:r>
      <w:r w:rsidR="009C5006" w:rsidRPr="009C5006">
        <w:rPr>
          <w:rFonts w:eastAsia="Verdana"/>
          <w:sz w:val="24"/>
          <w:szCs w:val="24"/>
        </w:rPr>
        <w:t xml:space="preserve"> puede solicitar </w:t>
      </w:r>
      <w:r w:rsidR="00B75731">
        <w:rPr>
          <w:rFonts w:eastAsia="Verdana"/>
          <w:sz w:val="24"/>
          <w:szCs w:val="24"/>
        </w:rPr>
        <w:t xml:space="preserve">las </w:t>
      </w:r>
      <w:r w:rsidR="009C5006" w:rsidRPr="009C5006">
        <w:rPr>
          <w:rFonts w:eastAsia="Verdana"/>
          <w:sz w:val="24"/>
          <w:szCs w:val="24"/>
        </w:rPr>
        <w:t>medidas cautelares</w:t>
      </w:r>
      <w:r w:rsidR="00B75731">
        <w:rPr>
          <w:rFonts w:eastAsia="Verdana"/>
          <w:sz w:val="24"/>
          <w:szCs w:val="24"/>
        </w:rPr>
        <w:t xml:space="preserve"> de rigor</w:t>
      </w:r>
      <w:r w:rsidR="009C5006" w:rsidRPr="009C5006">
        <w:rPr>
          <w:rFonts w:eastAsia="Verdana"/>
          <w:sz w:val="24"/>
          <w:szCs w:val="24"/>
        </w:rPr>
        <w:t xml:space="preserve">. A esto agregó que la </w:t>
      </w:r>
      <w:r w:rsidR="00BA16DB">
        <w:rPr>
          <w:rFonts w:eastAsia="Verdana"/>
          <w:sz w:val="24"/>
          <w:szCs w:val="24"/>
        </w:rPr>
        <w:t xml:space="preserve">accionante </w:t>
      </w:r>
      <w:r w:rsidR="009C5006" w:rsidRPr="009C5006">
        <w:rPr>
          <w:rFonts w:eastAsia="Verdana"/>
          <w:sz w:val="24"/>
          <w:szCs w:val="24"/>
        </w:rPr>
        <w:t>se encuentra gozando de una licencia no remunerada,</w:t>
      </w:r>
      <w:r w:rsidR="008A4C77">
        <w:rPr>
          <w:rFonts w:eastAsia="Verdana"/>
          <w:sz w:val="24"/>
          <w:szCs w:val="24"/>
        </w:rPr>
        <w:t xml:space="preserve"> por</w:t>
      </w:r>
      <w:r w:rsidR="009C5006" w:rsidRPr="009C5006">
        <w:rPr>
          <w:rFonts w:eastAsia="Verdana"/>
          <w:sz w:val="24"/>
          <w:szCs w:val="24"/>
        </w:rPr>
        <w:t xml:space="preserve"> la cual ocupa </w:t>
      </w:r>
      <w:r w:rsidR="00BA16DB">
        <w:rPr>
          <w:rFonts w:eastAsia="Verdana"/>
          <w:sz w:val="24"/>
          <w:szCs w:val="24"/>
        </w:rPr>
        <w:t>un</w:t>
      </w:r>
      <w:r w:rsidR="009C5006" w:rsidRPr="009C5006">
        <w:rPr>
          <w:rFonts w:eastAsia="Verdana"/>
          <w:sz w:val="24"/>
          <w:szCs w:val="24"/>
        </w:rPr>
        <w:t xml:space="preserve"> cargo </w:t>
      </w:r>
      <w:r w:rsidR="00BA16DB">
        <w:rPr>
          <w:rFonts w:eastAsia="Verdana"/>
          <w:sz w:val="24"/>
          <w:szCs w:val="24"/>
        </w:rPr>
        <w:t>en</w:t>
      </w:r>
      <w:r w:rsidR="009C5006" w:rsidRPr="009C5006">
        <w:rPr>
          <w:rFonts w:eastAsia="Verdana"/>
          <w:sz w:val="24"/>
          <w:szCs w:val="24"/>
        </w:rPr>
        <w:t xml:space="preserve"> la Sala Laboral del Tribunal Superior </w:t>
      </w:r>
      <w:r w:rsidR="00B75731">
        <w:rPr>
          <w:rFonts w:eastAsia="Verdana"/>
          <w:sz w:val="24"/>
          <w:szCs w:val="24"/>
        </w:rPr>
        <w:t xml:space="preserve">del Distrito Judicial </w:t>
      </w:r>
      <w:r w:rsidR="009C5006" w:rsidRPr="009C5006">
        <w:rPr>
          <w:rFonts w:eastAsia="Verdana"/>
          <w:sz w:val="24"/>
          <w:szCs w:val="24"/>
        </w:rPr>
        <w:t>de Cali</w:t>
      </w:r>
      <w:r w:rsidR="009C5006">
        <w:rPr>
          <w:rFonts w:eastAsia="Verdana"/>
          <w:sz w:val="24"/>
          <w:szCs w:val="24"/>
        </w:rPr>
        <w:t xml:space="preserve">. De ahí concluyó que la </w:t>
      </w:r>
      <w:r w:rsidR="00BA16DB">
        <w:rPr>
          <w:rFonts w:eastAsia="Verdana"/>
          <w:sz w:val="24"/>
          <w:szCs w:val="24"/>
        </w:rPr>
        <w:t>solicitante</w:t>
      </w:r>
      <w:r w:rsidR="009C5006">
        <w:rPr>
          <w:rFonts w:eastAsia="Verdana"/>
          <w:sz w:val="24"/>
          <w:szCs w:val="24"/>
        </w:rPr>
        <w:t xml:space="preserve"> no está siendo vulnerada en sus derechos, sino, todo lo contrario, </w:t>
      </w:r>
      <w:r w:rsidR="008A4C77">
        <w:rPr>
          <w:rFonts w:eastAsia="Verdana"/>
          <w:sz w:val="24"/>
          <w:szCs w:val="24"/>
        </w:rPr>
        <w:t xml:space="preserve">ha sido </w:t>
      </w:r>
      <w:r w:rsidR="009C5006">
        <w:rPr>
          <w:rFonts w:eastAsia="Verdana"/>
          <w:sz w:val="24"/>
          <w:szCs w:val="24"/>
        </w:rPr>
        <w:t>atendida ante su situación de salud y la de su familia.</w:t>
      </w:r>
      <w:r w:rsidR="009C5006" w:rsidRPr="009C5006">
        <w:rPr>
          <w:rFonts w:eastAsia="Verdana"/>
          <w:sz w:val="24"/>
          <w:szCs w:val="24"/>
        </w:rPr>
        <w:t xml:space="preserve"> </w:t>
      </w:r>
      <w:r w:rsidR="00BA16DB">
        <w:rPr>
          <w:rFonts w:eastAsia="Verdana"/>
          <w:sz w:val="24"/>
          <w:szCs w:val="24"/>
        </w:rPr>
        <w:t>Finalmente, reiteró los argumentos por los cuales fue emitido el concepto desfavorable objeto de reproche.</w:t>
      </w:r>
    </w:p>
    <w:p w14:paraId="7C8365F1" w14:textId="77777777" w:rsidR="002F1E3B" w:rsidRPr="00D93A24" w:rsidRDefault="002F1E3B" w:rsidP="00D93A24">
      <w:pPr>
        <w:overflowPunct w:val="0"/>
        <w:autoSpaceDE w:val="0"/>
        <w:autoSpaceDN w:val="0"/>
        <w:adjustRightInd w:val="0"/>
        <w:spacing w:line="276" w:lineRule="auto"/>
        <w:contextualSpacing/>
        <w:rPr>
          <w:rFonts w:eastAsia="Verdana"/>
          <w:sz w:val="24"/>
          <w:szCs w:val="24"/>
        </w:rPr>
      </w:pPr>
    </w:p>
    <w:p w14:paraId="3F8DBE58" w14:textId="77777777" w:rsidR="00AD797B" w:rsidRPr="00D93A24" w:rsidRDefault="00AD797B" w:rsidP="00D93A24">
      <w:pPr>
        <w:pStyle w:val="Heading1"/>
        <w:spacing w:before="0" w:after="0"/>
        <w:ind w:left="540" w:hanging="540"/>
        <w:rPr>
          <w:rFonts w:cs="Arial"/>
          <w:kern w:val="0"/>
          <w:szCs w:val="24"/>
        </w:rPr>
      </w:pPr>
      <w:r w:rsidRPr="00D93A24">
        <w:rPr>
          <w:rFonts w:cs="Arial"/>
          <w:kern w:val="0"/>
          <w:szCs w:val="24"/>
        </w:rPr>
        <w:t>CONSIDERACIONES</w:t>
      </w:r>
    </w:p>
    <w:p w14:paraId="37F8050A" w14:textId="77777777" w:rsidR="00995F0A" w:rsidRPr="00D93A24" w:rsidRDefault="00995F0A" w:rsidP="00D93A24">
      <w:pPr>
        <w:spacing w:line="276" w:lineRule="auto"/>
        <w:rPr>
          <w:sz w:val="24"/>
          <w:szCs w:val="24"/>
        </w:rPr>
      </w:pPr>
    </w:p>
    <w:p w14:paraId="40E620BB" w14:textId="77777777" w:rsidR="00995F0A" w:rsidRPr="00D93A24" w:rsidRDefault="00995F0A" w:rsidP="00D93A24">
      <w:pPr>
        <w:numPr>
          <w:ilvl w:val="0"/>
          <w:numId w:val="1"/>
        </w:numPr>
        <w:spacing w:line="276" w:lineRule="auto"/>
        <w:ind w:left="0" w:firstLine="0"/>
        <w:contextualSpacing/>
        <w:rPr>
          <w:b/>
          <w:sz w:val="24"/>
          <w:szCs w:val="24"/>
        </w:rPr>
      </w:pPr>
      <w:r w:rsidRPr="00D93A24">
        <w:rPr>
          <w:b/>
          <w:sz w:val="24"/>
          <w:szCs w:val="24"/>
        </w:rPr>
        <w:t>Competencia</w:t>
      </w:r>
    </w:p>
    <w:p w14:paraId="57828671" w14:textId="77777777" w:rsidR="00995F0A" w:rsidRPr="00D93A24" w:rsidRDefault="00995F0A" w:rsidP="00D93A24">
      <w:pPr>
        <w:overflowPunct w:val="0"/>
        <w:autoSpaceDE w:val="0"/>
        <w:autoSpaceDN w:val="0"/>
        <w:adjustRightInd w:val="0"/>
        <w:spacing w:line="276" w:lineRule="auto"/>
        <w:contextualSpacing/>
        <w:rPr>
          <w:rFonts w:eastAsia="Times New Roman"/>
          <w:sz w:val="24"/>
          <w:szCs w:val="24"/>
          <w:lang w:eastAsia="es-ES"/>
        </w:rPr>
      </w:pPr>
    </w:p>
    <w:p w14:paraId="456C7517" w14:textId="77777777" w:rsidR="00995F0A" w:rsidRPr="00D93A24" w:rsidRDefault="00995F0A" w:rsidP="00D93A24">
      <w:pPr>
        <w:overflowPunct w:val="0"/>
        <w:autoSpaceDE w:val="0"/>
        <w:autoSpaceDN w:val="0"/>
        <w:adjustRightInd w:val="0"/>
        <w:spacing w:line="276" w:lineRule="auto"/>
        <w:contextualSpacing/>
        <w:rPr>
          <w:rFonts w:eastAsia="Times New Roman"/>
          <w:sz w:val="24"/>
          <w:szCs w:val="24"/>
          <w:lang w:eastAsia="es-ES"/>
        </w:rPr>
      </w:pPr>
      <w:r w:rsidRPr="00D93A24">
        <w:rPr>
          <w:rFonts w:eastAsia="Times New Roman"/>
          <w:sz w:val="24"/>
          <w:szCs w:val="24"/>
          <w:lang w:eastAsia="es-ES"/>
        </w:rPr>
        <w:t>Esta Sala es competente para decidir la presente acción de tutela en virtud de lo establecido en el artículo 86 Superior, el artículo 37 del Decreto 2591 de 1991, el Decreto 1069 de 2015, modificado por el Decreto 333 de 2021, y el Acuerdo 080 del 12 de marzo de 2019, expedido por la Sala Plena de esta Corporación</w:t>
      </w:r>
      <w:r w:rsidRPr="00D93A24">
        <w:rPr>
          <w:rFonts w:eastAsia="Times New Roman"/>
          <w:sz w:val="24"/>
          <w:szCs w:val="24"/>
          <w:vertAlign w:val="superscript"/>
          <w:lang w:eastAsia="es-ES"/>
        </w:rPr>
        <w:footnoteReference w:id="4"/>
      </w:r>
      <w:r w:rsidRPr="00D93A24">
        <w:rPr>
          <w:rFonts w:eastAsia="Times New Roman"/>
          <w:sz w:val="24"/>
          <w:szCs w:val="24"/>
          <w:lang w:eastAsia="es-ES"/>
        </w:rPr>
        <w:t>.</w:t>
      </w:r>
    </w:p>
    <w:p w14:paraId="5583CA5E" w14:textId="77777777" w:rsidR="00F335AD" w:rsidRPr="00F335AD" w:rsidRDefault="00F335AD" w:rsidP="00F335AD">
      <w:pPr>
        <w:overflowPunct w:val="0"/>
        <w:autoSpaceDE w:val="0"/>
        <w:autoSpaceDN w:val="0"/>
        <w:adjustRightInd w:val="0"/>
        <w:spacing w:line="276" w:lineRule="auto"/>
        <w:contextualSpacing/>
        <w:rPr>
          <w:rFonts w:eastAsia="Times New Roman"/>
          <w:sz w:val="24"/>
          <w:szCs w:val="24"/>
          <w:lang w:eastAsia="es-ES"/>
        </w:rPr>
      </w:pPr>
    </w:p>
    <w:p w14:paraId="3BF7671F" w14:textId="77777777" w:rsidR="00F335AD" w:rsidRPr="00F335AD" w:rsidRDefault="00F335AD" w:rsidP="00F335AD">
      <w:pPr>
        <w:numPr>
          <w:ilvl w:val="0"/>
          <w:numId w:val="1"/>
        </w:numPr>
        <w:spacing w:line="276" w:lineRule="auto"/>
        <w:ind w:hanging="720"/>
        <w:contextualSpacing/>
        <w:rPr>
          <w:b/>
          <w:sz w:val="24"/>
          <w:szCs w:val="24"/>
        </w:rPr>
      </w:pPr>
      <w:r w:rsidRPr="00F335AD">
        <w:rPr>
          <w:b/>
          <w:sz w:val="24"/>
          <w:szCs w:val="24"/>
        </w:rPr>
        <w:t>Procedibilidad de la acción</w:t>
      </w:r>
    </w:p>
    <w:p w14:paraId="1D3BDB1E" w14:textId="77777777" w:rsidR="00F335AD" w:rsidRPr="00F335AD" w:rsidRDefault="00F335AD" w:rsidP="00F335AD">
      <w:pPr>
        <w:spacing w:line="276" w:lineRule="auto"/>
        <w:contextualSpacing/>
        <w:rPr>
          <w:sz w:val="24"/>
          <w:szCs w:val="24"/>
        </w:rPr>
      </w:pPr>
    </w:p>
    <w:p w14:paraId="22DD5C1D" w14:textId="08A6903B" w:rsidR="00D93A24" w:rsidRDefault="00F335AD" w:rsidP="00F335AD">
      <w:pPr>
        <w:pStyle w:val="ListParagraph"/>
        <w:spacing w:line="276" w:lineRule="auto"/>
        <w:ind w:left="0"/>
        <w:jc w:val="both"/>
        <w:rPr>
          <w:rFonts w:ascii="Arial" w:eastAsia="Times New Roman" w:hAnsi="Arial" w:cs="Arial"/>
          <w:bCs/>
          <w:lang w:val="es-CO" w:eastAsia="es-ES"/>
        </w:rPr>
      </w:pPr>
      <w:r w:rsidRPr="00F335AD">
        <w:rPr>
          <w:rFonts w:ascii="Arial" w:eastAsia="Times New Roman" w:hAnsi="Arial" w:cs="Arial"/>
          <w:bCs/>
          <w:lang w:val="es-CO" w:eastAsia="es-ES"/>
        </w:rPr>
        <w:t xml:space="preserve">En lo que atañe al requisito de </w:t>
      </w:r>
      <w:r w:rsidRPr="00F335AD">
        <w:rPr>
          <w:rFonts w:ascii="Arial" w:eastAsia="Times New Roman" w:hAnsi="Arial" w:cs="Arial"/>
          <w:b/>
          <w:lang w:val="es-CO" w:eastAsia="es-ES"/>
        </w:rPr>
        <w:t>subsidiariedad</w:t>
      </w:r>
      <w:r w:rsidRPr="00F335AD">
        <w:rPr>
          <w:rFonts w:ascii="Arial" w:eastAsia="Times New Roman" w:hAnsi="Arial" w:cs="Arial"/>
          <w:bCs/>
          <w:lang w:val="es-CO" w:eastAsia="es-ES"/>
        </w:rPr>
        <w:t xml:space="preserve"> es</w:t>
      </w:r>
      <w:r>
        <w:rPr>
          <w:rFonts w:ascii="Arial" w:eastAsia="Times New Roman" w:hAnsi="Arial" w:cs="Arial"/>
          <w:bCs/>
          <w:lang w:val="es-CO" w:eastAsia="es-ES"/>
        </w:rPr>
        <w:t xml:space="preserve"> necesario advertir que la Sala lo encuentra incumplido. Como lo precisó la entidad accionada en su informe, los actos </w:t>
      </w:r>
      <w:r>
        <w:rPr>
          <w:rFonts w:ascii="Arial" w:eastAsia="Times New Roman" w:hAnsi="Arial" w:cs="Arial"/>
          <w:bCs/>
          <w:lang w:val="es-CO" w:eastAsia="es-ES"/>
        </w:rPr>
        <w:lastRenderedPageBreak/>
        <w:t>administrativos que, primero, emitieron</w:t>
      </w:r>
      <w:r>
        <w:rPr>
          <w:rStyle w:val="FootnoteReference"/>
          <w:rFonts w:ascii="Arial" w:eastAsia="Times New Roman" w:hAnsi="Arial" w:cs="Arial"/>
          <w:bCs/>
          <w:lang w:val="es-CO" w:eastAsia="es-ES"/>
        </w:rPr>
        <w:footnoteReference w:id="5"/>
      </w:r>
      <w:r>
        <w:rPr>
          <w:rFonts w:ascii="Arial" w:eastAsia="Times New Roman" w:hAnsi="Arial" w:cs="Arial"/>
          <w:bCs/>
          <w:lang w:val="es-CO" w:eastAsia="es-ES"/>
        </w:rPr>
        <w:t xml:space="preserve"> concepto desfavorable respecto de la solicitud de traslado presentada por la actora y, segundo, confirmaron</w:t>
      </w:r>
      <w:r>
        <w:rPr>
          <w:rStyle w:val="FootnoteReference"/>
          <w:rFonts w:ascii="Arial" w:eastAsia="Times New Roman" w:hAnsi="Arial" w:cs="Arial"/>
          <w:bCs/>
          <w:lang w:val="es-CO" w:eastAsia="es-ES"/>
        </w:rPr>
        <w:footnoteReference w:id="6"/>
      </w:r>
      <w:r>
        <w:rPr>
          <w:rFonts w:ascii="Arial" w:eastAsia="Times New Roman" w:hAnsi="Arial" w:cs="Arial"/>
          <w:bCs/>
          <w:lang w:val="es-CO" w:eastAsia="es-ES"/>
        </w:rPr>
        <w:t xml:space="preserve"> esa decisión son pasibles del medio de control de nulidad y restablecimiento del derecho.</w:t>
      </w:r>
      <w:r w:rsidR="006135FC">
        <w:rPr>
          <w:rFonts w:ascii="Arial" w:eastAsia="Times New Roman" w:hAnsi="Arial" w:cs="Arial"/>
          <w:bCs/>
          <w:lang w:val="es-CO" w:eastAsia="es-ES"/>
        </w:rPr>
        <w:t xml:space="preserve"> Allí la actora puede solicitar las medidas cautelares que considere pertinentes, incluso las de urgencia</w:t>
      </w:r>
      <w:r w:rsidR="003771F3">
        <w:rPr>
          <w:rFonts w:ascii="Arial" w:eastAsia="Times New Roman" w:hAnsi="Arial" w:cs="Arial"/>
          <w:bCs/>
          <w:lang w:val="es-CO" w:eastAsia="es-ES"/>
        </w:rPr>
        <w:t>, por las cuales puede solicitar la protección de los derechos que estima desconocidos</w:t>
      </w:r>
      <w:r w:rsidR="006135FC">
        <w:rPr>
          <w:rFonts w:ascii="Arial" w:eastAsia="Times New Roman" w:hAnsi="Arial" w:cs="Arial"/>
          <w:bCs/>
          <w:lang w:val="es-CO" w:eastAsia="es-ES"/>
        </w:rPr>
        <w:t>.</w:t>
      </w:r>
      <w:r w:rsidR="003771F3">
        <w:rPr>
          <w:rFonts w:ascii="Arial" w:eastAsia="Times New Roman" w:hAnsi="Arial" w:cs="Arial"/>
          <w:bCs/>
          <w:lang w:val="es-CO" w:eastAsia="es-ES"/>
        </w:rPr>
        <w:t xml:space="preserve"> En efecto, la accionante ya agotó los mecanismos administrativos de discusión de las decisiones que considera vulneradoras de sus garantías. Así mismo, </w:t>
      </w:r>
      <w:r w:rsidR="005A5A83">
        <w:rPr>
          <w:rFonts w:ascii="Arial" w:eastAsia="Times New Roman" w:hAnsi="Arial" w:cs="Arial"/>
          <w:bCs/>
          <w:lang w:val="es-CO" w:eastAsia="es-ES"/>
        </w:rPr>
        <w:t>dirige sus inconformidades contra la parte motiva de esas determinaciones. Por tanto, puede discutir esos reproches ante el juez de lo contencioso administrativo</w:t>
      </w:r>
      <w:r w:rsidR="005A5A83">
        <w:rPr>
          <w:rStyle w:val="FootnoteReference"/>
          <w:rFonts w:ascii="Arial" w:eastAsia="Times New Roman" w:hAnsi="Arial" w:cs="Arial"/>
          <w:bCs/>
          <w:lang w:val="es-CO" w:eastAsia="es-ES"/>
        </w:rPr>
        <w:footnoteReference w:id="7"/>
      </w:r>
      <w:r w:rsidR="005A5A83">
        <w:rPr>
          <w:rFonts w:ascii="Arial" w:eastAsia="Times New Roman" w:hAnsi="Arial" w:cs="Arial"/>
          <w:bCs/>
          <w:lang w:val="es-CO" w:eastAsia="es-ES"/>
        </w:rPr>
        <w:t>.</w:t>
      </w:r>
    </w:p>
    <w:p w14:paraId="78F7C9F9" w14:textId="1FF5E091" w:rsidR="00E16A66" w:rsidRDefault="00E16A66" w:rsidP="00F335AD">
      <w:pPr>
        <w:pStyle w:val="ListParagraph"/>
        <w:spacing w:line="276" w:lineRule="auto"/>
        <w:ind w:left="0"/>
        <w:jc w:val="both"/>
        <w:rPr>
          <w:rFonts w:ascii="Arial" w:eastAsia="Times New Roman" w:hAnsi="Arial" w:cs="Arial"/>
          <w:bCs/>
          <w:lang w:val="es-CO" w:eastAsia="es-ES"/>
        </w:rPr>
      </w:pPr>
    </w:p>
    <w:p w14:paraId="36B4D1F9" w14:textId="0BFB0078" w:rsidR="00E16A66" w:rsidRDefault="00693773" w:rsidP="00F335AD">
      <w:pPr>
        <w:pStyle w:val="ListParagraph"/>
        <w:spacing w:line="276" w:lineRule="auto"/>
        <w:ind w:left="0"/>
        <w:jc w:val="both"/>
        <w:rPr>
          <w:rFonts w:ascii="Arial" w:eastAsia="Times New Roman" w:hAnsi="Arial" w:cs="Arial"/>
          <w:bCs/>
          <w:lang w:val="es-CO" w:eastAsia="es-ES"/>
        </w:rPr>
      </w:pPr>
      <w:r>
        <w:rPr>
          <w:rFonts w:ascii="Arial" w:eastAsia="Times New Roman" w:hAnsi="Arial" w:cs="Arial"/>
          <w:bCs/>
          <w:lang w:val="es-CO" w:eastAsia="es-ES"/>
        </w:rPr>
        <w:t>L</w:t>
      </w:r>
      <w:r w:rsidR="00FC67C2">
        <w:rPr>
          <w:rFonts w:ascii="Arial" w:eastAsia="Times New Roman" w:hAnsi="Arial" w:cs="Arial"/>
          <w:bCs/>
          <w:lang w:val="es-CO" w:eastAsia="es-ES"/>
        </w:rPr>
        <w:t xml:space="preserve">a Subsección </w:t>
      </w:r>
      <w:r>
        <w:rPr>
          <w:rFonts w:ascii="Arial" w:eastAsia="Times New Roman" w:hAnsi="Arial" w:cs="Arial"/>
          <w:bCs/>
          <w:lang w:val="es-CO" w:eastAsia="es-ES"/>
        </w:rPr>
        <w:t xml:space="preserve">tampoco </w:t>
      </w:r>
      <w:r w:rsidR="00FC67C2">
        <w:rPr>
          <w:rFonts w:ascii="Arial" w:eastAsia="Times New Roman" w:hAnsi="Arial" w:cs="Arial"/>
          <w:bCs/>
          <w:lang w:val="es-CO" w:eastAsia="es-ES"/>
        </w:rPr>
        <w:t>advierte</w:t>
      </w:r>
      <w:r w:rsidR="00E16A66">
        <w:rPr>
          <w:rFonts w:ascii="Arial" w:eastAsia="Times New Roman" w:hAnsi="Arial" w:cs="Arial"/>
          <w:bCs/>
          <w:lang w:val="es-CO" w:eastAsia="es-ES"/>
        </w:rPr>
        <w:t xml:space="preserve"> que la solicitante </w:t>
      </w:r>
      <w:r w:rsidR="00FC67C2">
        <w:rPr>
          <w:rFonts w:ascii="Arial" w:eastAsia="Times New Roman" w:hAnsi="Arial" w:cs="Arial"/>
          <w:bCs/>
          <w:lang w:val="es-CO" w:eastAsia="es-ES"/>
        </w:rPr>
        <w:t>probara</w:t>
      </w:r>
      <w:r w:rsidR="00E16A66">
        <w:rPr>
          <w:rFonts w:ascii="Arial" w:eastAsia="Times New Roman" w:hAnsi="Arial" w:cs="Arial"/>
          <w:bCs/>
          <w:lang w:val="es-CO" w:eastAsia="es-ES"/>
        </w:rPr>
        <w:t xml:space="preserve"> hallarse </w:t>
      </w:r>
      <w:r w:rsidR="00FC67C2">
        <w:rPr>
          <w:rFonts w:ascii="Arial" w:eastAsia="Times New Roman" w:hAnsi="Arial" w:cs="Arial"/>
          <w:bCs/>
          <w:lang w:val="es-CO" w:eastAsia="es-ES"/>
        </w:rPr>
        <w:t>en</w:t>
      </w:r>
      <w:r w:rsidR="00E16A66">
        <w:rPr>
          <w:rFonts w:ascii="Arial" w:eastAsia="Times New Roman" w:hAnsi="Arial" w:cs="Arial"/>
          <w:bCs/>
          <w:lang w:val="es-CO" w:eastAsia="es-ES"/>
        </w:rPr>
        <w:t xml:space="preserve"> una situación de perjuicio irremediable que habilite la intervención inmediata de este juez constitucional. Es cierto que la peticionaria aportó a este proceso diferentes piezas documentales con las que busca acreditar su estado de salud y las dolencias que padecen su esposo y sus hijos</w:t>
      </w:r>
      <w:r w:rsidR="00FC67C2">
        <w:rPr>
          <w:rStyle w:val="FootnoteReference"/>
          <w:rFonts w:ascii="Arial" w:eastAsia="Times New Roman" w:hAnsi="Arial" w:cs="Arial"/>
          <w:bCs/>
          <w:lang w:val="es-CO" w:eastAsia="es-ES"/>
        </w:rPr>
        <w:footnoteReference w:id="8"/>
      </w:r>
      <w:r w:rsidR="00E16A66">
        <w:rPr>
          <w:rFonts w:ascii="Arial" w:eastAsia="Times New Roman" w:hAnsi="Arial" w:cs="Arial"/>
          <w:bCs/>
          <w:lang w:val="es-CO" w:eastAsia="es-ES"/>
        </w:rPr>
        <w:t>. No obstante, de estas no se desprenden situaciones de i</w:t>
      </w:r>
      <w:r w:rsidR="00E16A66" w:rsidRPr="00E16A66">
        <w:rPr>
          <w:rFonts w:ascii="Arial" w:eastAsia="Times New Roman" w:hAnsi="Arial" w:cs="Arial"/>
          <w:bCs/>
          <w:lang w:val="es-CO" w:eastAsia="es-ES"/>
        </w:rPr>
        <w:t>nminencia, urgencia, gravedad e impostergabilidad</w:t>
      </w:r>
      <w:r w:rsidR="00FC67C2">
        <w:rPr>
          <w:rFonts w:ascii="Arial" w:eastAsia="Times New Roman" w:hAnsi="Arial" w:cs="Arial"/>
          <w:bCs/>
          <w:lang w:val="es-CO" w:eastAsia="es-ES"/>
        </w:rPr>
        <w:t xml:space="preserve"> que permitan obviar el medio de control dilucidado en el párrafo anterior</w:t>
      </w:r>
      <w:r w:rsidR="00E16A66">
        <w:rPr>
          <w:rStyle w:val="FootnoteReference"/>
          <w:rFonts w:ascii="Arial" w:eastAsia="Times New Roman" w:hAnsi="Arial" w:cs="Arial"/>
          <w:bCs/>
          <w:lang w:val="es-CO" w:eastAsia="es-ES"/>
        </w:rPr>
        <w:footnoteReference w:id="9"/>
      </w:r>
      <w:r w:rsidR="00E16A66">
        <w:rPr>
          <w:rFonts w:ascii="Arial" w:eastAsia="Times New Roman" w:hAnsi="Arial" w:cs="Arial"/>
          <w:bCs/>
          <w:lang w:val="es-CO" w:eastAsia="es-ES"/>
        </w:rPr>
        <w:t xml:space="preserve">. </w:t>
      </w:r>
      <w:r w:rsidR="00FC67C2">
        <w:rPr>
          <w:rFonts w:ascii="Arial" w:eastAsia="Times New Roman" w:hAnsi="Arial" w:cs="Arial"/>
          <w:bCs/>
          <w:lang w:val="es-CO" w:eastAsia="es-ES"/>
        </w:rPr>
        <w:t>En efecto, ninguna de esas pruebas da cuenta de que la peticionaria o cualquiera de los integrantes de su núcleo familiar esté sufriendo desatención médica, psiquiátrica o psicológica.</w:t>
      </w:r>
    </w:p>
    <w:p w14:paraId="79038E4E" w14:textId="187750BB" w:rsidR="00FC67C2" w:rsidRDefault="00FC67C2" w:rsidP="00F335AD">
      <w:pPr>
        <w:pStyle w:val="ListParagraph"/>
        <w:spacing w:line="276" w:lineRule="auto"/>
        <w:ind w:left="0"/>
        <w:jc w:val="both"/>
        <w:rPr>
          <w:rFonts w:ascii="Arial" w:eastAsia="Times New Roman" w:hAnsi="Arial" w:cs="Arial"/>
          <w:bCs/>
          <w:lang w:val="es-CO" w:eastAsia="es-ES"/>
        </w:rPr>
      </w:pPr>
    </w:p>
    <w:p w14:paraId="3460DC4B" w14:textId="43A4E01C" w:rsidR="00FC67C2" w:rsidRDefault="00FC67C2" w:rsidP="00F335AD">
      <w:pPr>
        <w:pStyle w:val="ListParagraph"/>
        <w:spacing w:line="276" w:lineRule="auto"/>
        <w:ind w:left="0"/>
        <w:jc w:val="both"/>
        <w:rPr>
          <w:rFonts w:ascii="Arial" w:eastAsia="Times New Roman" w:hAnsi="Arial" w:cs="Arial"/>
          <w:bCs/>
          <w:lang w:val="es-CO" w:eastAsia="es-ES"/>
        </w:rPr>
      </w:pPr>
      <w:r>
        <w:rPr>
          <w:rFonts w:ascii="Arial" w:eastAsia="Times New Roman" w:hAnsi="Arial" w:cs="Arial"/>
          <w:bCs/>
          <w:lang w:val="es-CO" w:eastAsia="es-ES"/>
        </w:rPr>
        <w:t>A lo expuesto se une que la autoridad accionada está en razón al advertir que la señora Montenegro goza de licencia</w:t>
      </w:r>
      <w:r w:rsidR="006D299A">
        <w:rPr>
          <w:rFonts w:ascii="Arial" w:eastAsia="Times New Roman" w:hAnsi="Arial" w:cs="Arial"/>
          <w:bCs/>
          <w:lang w:val="es-CO" w:eastAsia="es-ES"/>
        </w:rPr>
        <w:t xml:space="preserve"> no</w:t>
      </w:r>
      <w:r>
        <w:rPr>
          <w:rFonts w:ascii="Arial" w:eastAsia="Times New Roman" w:hAnsi="Arial" w:cs="Arial"/>
          <w:bCs/>
          <w:lang w:val="es-CO" w:eastAsia="es-ES"/>
        </w:rPr>
        <w:t xml:space="preserve"> remunerada y que esa situación administrativa le está permitiendo desempeñarse en el Tribunal Superior del Distrito Judicial de Cali. Es más, la actora fue quien proporcionó a esta Corporación los elementos de juicio para corroborar </w:t>
      </w:r>
      <w:r w:rsidR="000A3FF4">
        <w:rPr>
          <w:rFonts w:ascii="Arial" w:eastAsia="Times New Roman" w:hAnsi="Arial" w:cs="Arial"/>
          <w:bCs/>
          <w:lang w:val="es-CO" w:eastAsia="es-ES"/>
        </w:rPr>
        <w:t>ese aserto</w:t>
      </w:r>
      <w:r>
        <w:rPr>
          <w:rFonts w:ascii="Arial" w:eastAsia="Times New Roman" w:hAnsi="Arial" w:cs="Arial"/>
          <w:bCs/>
          <w:lang w:val="es-CO" w:eastAsia="es-ES"/>
        </w:rPr>
        <w:t xml:space="preserve">. </w:t>
      </w:r>
      <w:r w:rsidR="000A3FF4">
        <w:rPr>
          <w:rFonts w:ascii="Arial" w:eastAsia="Times New Roman" w:hAnsi="Arial" w:cs="Arial"/>
          <w:bCs/>
          <w:lang w:val="es-CO" w:eastAsia="es-ES"/>
        </w:rPr>
        <w:t>En concreto, e</w:t>
      </w:r>
      <w:r>
        <w:rPr>
          <w:rFonts w:ascii="Arial" w:eastAsia="Times New Roman" w:hAnsi="Arial" w:cs="Arial"/>
          <w:bCs/>
          <w:lang w:val="es-CO" w:eastAsia="es-ES"/>
        </w:rPr>
        <w:t xml:space="preserve">n el expediente contentivo del presente proceso obra </w:t>
      </w:r>
      <w:r w:rsidR="000A3FF4">
        <w:rPr>
          <w:rFonts w:ascii="Arial" w:eastAsia="Times New Roman" w:hAnsi="Arial" w:cs="Arial"/>
          <w:bCs/>
          <w:lang w:val="es-CO" w:eastAsia="es-ES"/>
        </w:rPr>
        <w:t>el acta</w:t>
      </w:r>
      <w:r w:rsidR="000A3FF4">
        <w:rPr>
          <w:rStyle w:val="FootnoteReference"/>
          <w:rFonts w:ascii="Arial" w:eastAsia="Times New Roman" w:hAnsi="Arial" w:cs="Arial"/>
          <w:bCs/>
          <w:lang w:val="es-CO" w:eastAsia="es-ES"/>
        </w:rPr>
        <w:footnoteReference w:id="10"/>
      </w:r>
      <w:r w:rsidR="000A3FF4">
        <w:rPr>
          <w:rFonts w:ascii="Arial" w:eastAsia="Times New Roman" w:hAnsi="Arial" w:cs="Arial"/>
          <w:bCs/>
          <w:lang w:val="es-CO" w:eastAsia="es-ES"/>
        </w:rPr>
        <w:t xml:space="preserve"> n.° 12 del 30 de octubre de 2020. Allí, los magistrados integrantes de la Sala Laboral del Tribunal Superior del Distrito Judicial de Pasto concedieron a la accionante </w:t>
      </w:r>
      <w:r w:rsidR="00277629">
        <w:rPr>
          <w:rFonts w:ascii="Arial" w:eastAsia="Times New Roman" w:hAnsi="Arial" w:cs="Arial"/>
          <w:bCs/>
          <w:lang w:val="es-CO" w:eastAsia="es-ES"/>
        </w:rPr>
        <w:t xml:space="preserve">una </w:t>
      </w:r>
      <w:r w:rsidR="000A3FF4">
        <w:rPr>
          <w:rFonts w:ascii="Arial" w:eastAsia="Times New Roman" w:hAnsi="Arial" w:cs="Arial"/>
          <w:bCs/>
          <w:lang w:val="es-CO" w:eastAsia="es-ES"/>
        </w:rPr>
        <w:t xml:space="preserve">licencia </w:t>
      </w:r>
      <w:r w:rsidR="006D299A">
        <w:rPr>
          <w:rFonts w:ascii="Arial" w:eastAsia="Times New Roman" w:hAnsi="Arial" w:cs="Arial"/>
          <w:bCs/>
          <w:lang w:val="es-CO" w:eastAsia="es-ES"/>
        </w:rPr>
        <w:t xml:space="preserve">no </w:t>
      </w:r>
      <w:r w:rsidR="000A3FF4">
        <w:rPr>
          <w:rFonts w:ascii="Arial" w:eastAsia="Times New Roman" w:hAnsi="Arial" w:cs="Arial"/>
          <w:bCs/>
          <w:lang w:val="es-CO" w:eastAsia="es-ES"/>
        </w:rPr>
        <w:t xml:space="preserve">remunerada para que pudiera posesionarse en el cargo de sustanciadora nominada en el </w:t>
      </w:r>
      <w:r w:rsidR="00277629">
        <w:rPr>
          <w:rFonts w:ascii="Arial" w:eastAsia="Times New Roman" w:hAnsi="Arial" w:cs="Arial"/>
          <w:bCs/>
          <w:lang w:val="es-CO" w:eastAsia="es-ES"/>
        </w:rPr>
        <w:t>referido</w:t>
      </w:r>
      <w:r w:rsidR="000A3FF4">
        <w:rPr>
          <w:rFonts w:ascii="Arial" w:eastAsia="Times New Roman" w:hAnsi="Arial" w:cs="Arial"/>
          <w:bCs/>
          <w:lang w:val="es-CO" w:eastAsia="es-ES"/>
        </w:rPr>
        <w:t xml:space="preserve"> cuerpo colegiado ubicado en Cali. Al citado documento se une el respectivo acto de nombramiento</w:t>
      </w:r>
      <w:r w:rsidR="000A3FF4">
        <w:rPr>
          <w:rStyle w:val="FootnoteReference"/>
          <w:rFonts w:ascii="Arial" w:eastAsia="Times New Roman" w:hAnsi="Arial" w:cs="Arial"/>
          <w:bCs/>
          <w:lang w:val="es-CO" w:eastAsia="es-ES"/>
        </w:rPr>
        <w:footnoteReference w:id="11"/>
      </w:r>
      <w:r w:rsidR="000A3FF4">
        <w:rPr>
          <w:rFonts w:ascii="Arial" w:eastAsia="Times New Roman" w:hAnsi="Arial" w:cs="Arial"/>
          <w:bCs/>
          <w:lang w:val="es-CO" w:eastAsia="es-ES"/>
        </w:rPr>
        <w:t>, suscrito en ese tribunal.</w:t>
      </w:r>
    </w:p>
    <w:p w14:paraId="393847A5" w14:textId="333841DD" w:rsidR="00A52CE5" w:rsidRDefault="000A3FF4" w:rsidP="00F335AD">
      <w:pPr>
        <w:pStyle w:val="ListParagraph"/>
        <w:spacing w:line="276" w:lineRule="auto"/>
        <w:ind w:left="0"/>
        <w:jc w:val="both"/>
        <w:rPr>
          <w:rFonts w:ascii="Arial" w:eastAsia="Times New Roman" w:hAnsi="Arial" w:cs="Arial"/>
          <w:bCs/>
          <w:lang w:val="es-CO" w:eastAsia="es-ES"/>
        </w:rPr>
      </w:pPr>
      <w:r>
        <w:rPr>
          <w:rFonts w:ascii="Arial" w:eastAsia="Times New Roman" w:hAnsi="Arial" w:cs="Arial"/>
          <w:bCs/>
          <w:lang w:val="es-CO" w:eastAsia="es-ES"/>
        </w:rPr>
        <w:lastRenderedPageBreak/>
        <w:t xml:space="preserve">Ambas </w:t>
      </w:r>
      <w:r w:rsidR="00693773">
        <w:rPr>
          <w:rFonts w:ascii="Arial" w:eastAsia="Times New Roman" w:hAnsi="Arial" w:cs="Arial"/>
          <w:bCs/>
          <w:lang w:val="es-CO" w:eastAsia="es-ES"/>
        </w:rPr>
        <w:t>realidades</w:t>
      </w:r>
      <w:r>
        <w:rPr>
          <w:rFonts w:ascii="Arial" w:eastAsia="Times New Roman" w:hAnsi="Arial" w:cs="Arial"/>
          <w:bCs/>
          <w:lang w:val="es-CO" w:eastAsia="es-ES"/>
        </w:rPr>
        <w:t xml:space="preserve"> descartan la presencia de un perjuicio irremediable que deba ser conjurado por medio del presente trámite procesal. En sentido contrario, la </w:t>
      </w:r>
      <w:r w:rsidR="00693773">
        <w:rPr>
          <w:rFonts w:ascii="Arial" w:eastAsia="Times New Roman" w:hAnsi="Arial" w:cs="Arial"/>
          <w:bCs/>
          <w:lang w:val="es-CO" w:eastAsia="es-ES"/>
        </w:rPr>
        <w:t xml:space="preserve">última </w:t>
      </w:r>
      <w:r>
        <w:rPr>
          <w:rFonts w:ascii="Arial" w:eastAsia="Times New Roman" w:hAnsi="Arial" w:cs="Arial"/>
          <w:bCs/>
          <w:lang w:val="es-CO" w:eastAsia="es-ES"/>
        </w:rPr>
        <w:t xml:space="preserve">situación presentada permite concluir que la actora goza de una posición adecuada constitucionalmente, la cual le permitirá </w:t>
      </w:r>
      <w:r w:rsidR="005760EF">
        <w:rPr>
          <w:rFonts w:ascii="Arial" w:eastAsia="Times New Roman" w:hAnsi="Arial" w:cs="Arial"/>
          <w:bCs/>
          <w:lang w:val="es-CO" w:eastAsia="es-ES"/>
        </w:rPr>
        <w:t>requerir</w:t>
      </w:r>
      <w:r>
        <w:rPr>
          <w:rFonts w:ascii="Arial" w:eastAsia="Times New Roman" w:hAnsi="Arial" w:cs="Arial"/>
          <w:bCs/>
          <w:lang w:val="es-CO" w:eastAsia="es-ES"/>
        </w:rPr>
        <w:t xml:space="preserve"> un nuevo traslado con menor premura</w:t>
      </w:r>
      <w:r w:rsidR="00693773">
        <w:rPr>
          <w:rFonts w:ascii="Arial" w:eastAsia="Times New Roman" w:hAnsi="Arial" w:cs="Arial"/>
          <w:bCs/>
          <w:lang w:val="es-CO" w:eastAsia="es-ES"/>
        </w:rPr>
        <w:t>. De hecho,</w:t>
      </w:r>
      <w:r>
        <w:rPr>
          <w:rFonts w:ascii="Arial" w:eastAsia="Times New Roman" w:hAnsi="Arial" w:cs="Arial"/>
          <w:bCs/>
          <w:lang w:val="es-CO" w:eastAsia="es-ES"/>
        </w:rPr>
        <w:t xml:space="preserve"> el trámite adelantado no obsta para que la citada señora radique una nueva petición ante la autoridad accionada. </w:t>
      </w:r>
      <w:r w:rsidR="00117F59">
        <w:rPr>
          <w:rFonts w:ascii="Arial" w:eastAsia="Times New Roman" w:hAnsi="Arial" w:cs="Arial"/>
          <w:bCs/>
          <w:lang w:val="es-CO" w:eastAsia="es-ES"/>
        </w:rPr>
        <w:t xml:space="preserve">Allí podrá </w:t>
      </w:r>
      <w:r w:rsidR="00AC5C69">
        <w:rPr>
          <w:rFonts w:ascii="Arial" w:eastAsia="Times New Roman" w:hAnsi="Arial" w:cs="Arial"/>
          <w:bCs/>
          <w:lang w:val="es-CO" w:eastAsia="es-ES"/>
        </w:rPr>
        <w:t>argüir lo relacionado con su salud y la de su núcleo familiar, según como esta vaya evolucionando médicamente.</w:t>
      </w:r>
    </w:p>
    <w:p w14:paraId="7D46BB72" w14:textId="77777777" w:rsidR="00A52CE5" w:rsidRDefault="00A52CE5" w:rsidP="00F335AD">
      <w:pPr>
        <w:pStyle w:val="ListParagraph"/>
        <w:spacing w:line="276" w:lineRule="auto"/>
        <w:ind w:left="0"/>
        <w:jc w:val="both"/>
        <w:rPr>
          <w:rFonts w:ascii="Arial" w:eastAsia="Times New Roman" w:hAnsi="Arial" w:cs="Arial"/>
          <w:bCs/>
          <w:lang w:val="es-CO" w:eastAsia="es-ES"/>
        </w:rPr>
      </w:pPr>
    </w:p>
    <w:p w14:paraId="43A8334C" w14:textId="6BE50779" w:rsidR="000A3FF4" w:rsidRDefault="00A52CE5" w:rsidP="00F335AD">
      <w:pPr>
        <w:pStyle w:val="ListParagraph"/>
        <w:spacing w:line="276" w:lineRule="auto"/>
        <w:ind w:left="0"/>
        <w:jc w:val="both"/>
        <w:rPr>
          <w:rFonts w:ascii="Arial" w:eastAsia="Times New Roman" w:hAnsi="Arial" w:cs="Arial"/>
          <w:bCs/>
          <w:lang w:val="es-CO" w:eastAsia="es-ES"/>
        </w:rPr>
      </w:pPr>
      <w:r>
        <w:rPr>
          <w:rFonts w:ascii="Arial" w:eastAsia="Times New Roman" w:hAnsi="Arial" w:cs="Arial"/>
          <w:bCs/>
          <w:lang w:val="es-CO" w:eastAsia="es-ES"/>
        </w:rPr>
        <w:t>Como resultado del anterior estudio será declarada la improcedencia de la acción.</w:t>
      </w:r>
    </w:p>
    <w:p w14:paraId="12995224" w14:textId="77777777" w:rsidR="000A3FF4" w:rsidRPr="00E16A66" w:rsidRDefault="000A3FF4" w:rsidP="00F335AD">
      <w:pPr>
        <w:pStyle w:val="ListParagraph"/>
        <w:spacing w:line="276" w:lineRule="auto"/>
        <w:ind w:left="0"/>
        <w:jc w:val="both"/>
        <w:rPr>
          <w:rFonts w:ascii="Arial" w:eastAsia="Times New Roman" w:hAnsi="Arial" w:cs="Arial"/>
          <w:bCs/>
          <w:lang w:val="es-CO" w:eastAsia="es-ES"/>
        </w:rPr>
      </w:pPr>
    </w:p>
    <w:p w14:paraId="21238247" w14:textId="77777777" w:rsidR="00D93A24" w:rsidRPr="00D93A24" w:rsidRDefault="00D93A24" w:rsidP="00D93A24">
      <w:pPr>
        <w:pStyle w:val="Heading1"/>
        <w:spacing w:before="0" w:after="0"/>
        <w:ind w:hanging="147"/>
        <w:rPr>
          <w:rFonts w:cs="Arial"/>
          <w:kern w:val="0"/>
          <w:szCs w:val="24"/>
        </w:rPr>
      </w:pPr>
      <w:r w:rsidRPr="00D93A24">
        <w:rPr>
          <w:rFonts w:cs="Arial"/>
          <w:kern w:val="0"/>
          <w:szCs w:val="24"/>
        </w:rPr>
        <w:t>DECISIÓN</w:t>
      </w:r>
    </w:p>
    <w:p w14:paraId="6A49AB0B" w14:textId="77777777" w:rsidR="00D93A24" w:rsidRPr="00D93A24" w:rsidRDefault="00D93A24" w:rsidP="00D93A24">
      <w:pPr>
        <w:spacing w:line="276" w:lineRule="auto"/>
        <w:contextualSpacing/>
        <w:rPr>
          <w:rFonts w:eastAsia="Times New Roman"/>
          <w:sz w:val="24"/>
          <w:szCs w:val="24"/>
        </w:rPr>
      </w:pPr>
    </w:p>
    <w:p w14:paraId="667081E5" w14:textId="38A926A1" w:rsidR="00640B43" w:rsidRDefault="00D93A24" w:rsidP="00640B43">
      <w:pPr>
        <w:spacing w:line="276" w:lineRule="auto"/>
        <w:contextualSpacing/>
        <w:rPr>
          <w:rFonts w:eastAsia="Times New Roman"/>
          <w:sz w:val="24"/>
          <w:szCs w:val="24"/>
        </w:rPr>
      </w:pPr>
      <w:r w:rsidRPr="00D93A24">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4C3BCA20" w14:textId="77777777" w:rsidR="00640B43" w:rsidRPr="00640B43" w:rsidRDefault="00640B43" w:rsidP="00640B43">
      <w:pPr>
        <w:spacing w:line="276" w:lineRule="auto"/>
        <w:contextualSpacing/>
        <w:rPr>
          <w:rFonts w:eastAsia="Times New Roman"/>
          <w:sz w:val="24"/>
          <w:szCs w:val="24"/>
        </w:rPr>
      </w:pPr>
    </w:p>
    <w:p w14:paraId="4985BFB3" w14:textId="3726CC18" w:rsidR="00D93A24" w:rsidRPr="00D93A24" w:rsidRDefault="00D93A24" w:rsidP="00D93A24">
      <w:pPr>
        <w:pStyle w:val="RESUELVE"/>
        <w:spacing w:before="0" w:after="0"/>
        <w:rPr>
          <w:rFonts w:cs="Arial"/>
          <w:kern w:val="0"/>
          <w:szCs w:val="24"/>
          <w:lang w:val="es-CO"/>
        </w:rPr>
      </w:pPr>
      <w:r w:rsidRPr="00D93A24">
        <w:rPr>
          <w:rFonts w:cs="Arial"/>
          <w:kern w:val="0"/>
          <w:szCs w:val="24"/>
          <w:lang w:val="es-CO"/>
        </w:rPr>
        <w:t>FALLA</w:t>
      </w:r>
    </w:p>
    <w:p w14:paraId="2B1811F7" w14:textId="77777777" w:rsidR="00D93A24" w:rsidRPr="00D93A24" w:rsidRDefault="00D93A24" w:rsidP="00D93A24">
      <w:pPr>
        <w:spacing w:line="276" w:lineRule="auto"/>
        <w:jc w:val="center"/>
        <w:rPr>
          <w:rFonts w:eastAsia="Verdana"/>
          <w:b/>
          <w:sz w:val="24"/>
          <w:szCs w:val="24"/>
        </w:rPr>
      </w:pPr>
    </w:p>
    <w:p w14:paraId="557605B3" w14:textId="08B24EFD" w:rsidR="00D93A24" w:rsidRPr="00D93A24" w:rsidRDefault="000A3FF4" w:rsidP="00D93A24">
      <w:pPr>
        <w:pStyle w:val="ListParagraph"/>
        <w:numPr>
          <w:ilvl w:val="0"/>
          <w:numId w:val="7"/>
        </w:numPr>
        <w:spacing w:line="276" w:lineRule="auto"/>
        <w:ind w:left="0" w:firstLine="0"/>
        <w:jc w:val="both"/>
        <w:rPr>
          <w:rFonts w:ascii="Arial" w:eastAsia="Verdana" w:hAnsi="Arial" w:cs="Arial"/>
          <w:b/>
        </w:rPr>
      </w:pPr>
      <w:bookmarkStart w:id="0" w:name="_Hlk40368302"/>
      <w:r>
        <w:rPr>
          <w:rFonts w:ascii="Arial" w:eastAsia="Times New Roman" w:hAnsi="Arial" w:cs="Arial"/>
          <w:b/>
        </w:rPr>
        <w:t>DECLARAR</w:t>
      </w:r>
      <w:r w:rsidR="00D93A24" w:rsidRPr="00D93A24">
        <w:rPr>
          <w:rFonts w:ascii="Arial" w:eastAsia="Times New Roman" w:hAnsi="Arial" w:cs="Arial"/>
          <w:bCs/>
        </w:rPr>
        <w:t xml:space="preserve"> </w:t>
      </w:r>
      <w:r>
        <w:rPr>
          <w:rFonts w:ascii="Arial" w:eastAsia="Times New Roman" w:hAnsi="Arial" w:cs="Arial"/>
          <w:bCs/>
        </w:rPr>
        <w:t>la improcedencia de la acción de tutela promovida por Mónica Viviana Montenegro Portilla en contra del Consejo Superior de la Judicatura, de conformidad con los motivos expuestos en la parte considerativa de este fallo.</w:t>
      </w:r>
    </w:p>
    <w:p w14:paraId="2BC57D1E" w14:textId="77777777" w:rsidR="00D93A24" w:rsidRPr="00D93A24" w:rsidRDefault="00D93A24" w:rsidP="00D93A24">
      <w:pPr>
        <w:pStyle w:val="ListParagraph"/>
        <w:spacing w:line="276" w:lineRule="auto"/>
        <w:ind w:left="0"/>
        <w:rPr>
          <w:rFonts w:ascii="Arial" w:eastAsia="Verdana" w:hAnsi="Arial" w:cs="Arial"/>
        </w:rPr>
      </w:pPr>
    </w:p>
    <w:p w14:paraId="525DC09D" w14:textId="77777777" w:rsidR="00D93A24" w:rsidRPr="00D93A24" w:rsidRDefault="00D93A24" w:rsidP="00D93A24">
      <w:pPr>
        <w:pStyle w:val="ListParagraph"/>
        <w:numPr>
          <w:ilvl w:val="0"/>
          <w:numId w:val="7"/>
        </w:numPr>
        <w:spacing w:line="276" w:lineRule="auto"/>
        <w:ind w:left="0" w:firstLine="0"/>
        <w:jc w:val="both"/>
        <w:rPr>
          <w:rFonts w:ascii="Arial" w:eastAsia="Verdana" w:hAnsi="Arial" w:cs="Arial"/>
        </w:rPr>
      </w:pPr>
      <w:r w:rsidRPr="00D93A24">
        <w:rPr>
          <w:rFonts w:ascii="Arial" w:eastAsia="Verdana" w:hAnsi="Arial" w:cs="Arial"/>
          <w:b/>
        </w:rPr>
        <w:t xml:space="preserve">NOTIFICAR </w:t>
      </w:r>
      <w:r w:rsidRPr="00D93A24">
        <w:rPr>
          <w:rFonts w:ascii="Arial" w:eastAsia="Verdana" w:hAnsi="Arial" w:cs="Arial"/>
        </w:rPr>
        <w:t>la presente decisión a las partes y a los interesados por el medio más expedito.</w:t>
      </w:r>
    </w:p>
    <w:p w14:paraId="71B32345" w14:textId="77777777" w:rsidR="00D93A24" w:rsidRPr="00D93A24" w:rsidRDefault="00D93A24" w:rsidP="00D93A24">
      <w:pPr>
        <w:spacing w:line="276" w:lineRule="auto"/>
        <w:rPr>
          <w:rFonts w:eastAsia="Verdana"/>
          <w:sz w:val="24"/>
          <w:szCs w:val="24"/>
          <w:lang w:val="es-ES_tradnl"/>
        </w:rPr>
      </w:pPr>
    </w:p>
    <w:p w14:paraId="005CFEEA" w14:textId="77777777" w:rsidR="00D93A24" w:rsidRPr="00D93A24" w:rsidRDefault="00D93A24" w:rsidP="00D93A24">
      <w:pPr>
        <w:pStyle w:val="ListParagraph"/>
        <w:numPr>
          <w:ilvl w:val="0"/>
          <w:numId w:val="7"/>
        </w:numPr>
        <w:spacing w:line="276" w:lineRule="auto"/>
        <w:ind w:left="0" w:firstLine="0"/>
        <w:jc w:val="both"/>
        <w:rPr>
          <w:rFonts w:ascii="Arial" w:eastAsia="Verdana" w:hAnsi="Arial" w:cs="Arial"/>
        </w:rPr>
      </w:pPr>
      <w:r w:rsidRPr="00D93A24">
        <w:rPr>
          <w:rFonts w:ascii="Arial" w:eastAsia="Verdana" w:hAnsi="Arial" w:cs="Arial"/>
          <w:b/>
        </w:rPr>
        <w:t xml:space="preserve">ENVIAR </w:t>
      </w:r>
      <w:r w:rsidRPr="00D93A24">
        <w:rPr>
          <w:rFonts w:ascii="Arial" w:eastAsia="Verdana" w:hAnsi="Arial" w:cs="Arial"/>
        </w:rPr>
        <w:t xml:space="preserve">la presente providencia a la Corte Constitucional para su eventual revisión, en caso de no ser impugnada.  </w:t>
      </w:r>
    </w:p>
    <w:bookmarkEnd w:id="0"/>
    <w:p w14:paraId="0AABF967" w14:textId="77777777" w:rsidR="00D93A24" w:rsidRPr="00D93A24" w:rsidRDefault="00D93A24" w:rsidP="00D93A24">
      <w:pPr>
        <w:spacing w:line="276" w:lineRule="auto"/>
        <w:contextualSpacing/>
        <w:rPr>
          <w:rFonts w:eastAsia="Verdana"/>
          <w:b/>
          <w:sz w:val="24"/>
          <w:szCs w:val="24"/>
          <w:lang w:val="es-ES_tradnl"/>
        </w:rPr>
      </w:pPr>
    </w:p>
    <w:p w14:paraId="028BA636" w14:textId="77777777" w:rsidR="00D93A24" w:rsidRPr="00D93A24" w:rsidRDefault="00D93A24" w:rsidP="00D93A24">
      <w:pPr>
        <w:spacing w:line="276" w:lineRule="auto"/>
        <w:contextualSpacing/>
        <w:rPr>
          <w:rFonts w:eastAsia="Verdana"/>
          <w:b/>
          <w:sz w:val="24"/>
          <w:szCs w:val="24"/>
        </w:rPr>
      </w:pPr>
      <w:r w:rsidRPr="00D93A24">
        <w:rPr>
          <w:rFonts w:eastAsia="Verdana"/>
          <w:b/>
          <w:sz w:val="24"/>
          <w:szCs w:val="24"/>
        </w:rPr>
        <w:t>NOTIFÍQUESE Y CÚMPLASE</w:t>
      </w:r>
    </w:p>
    <w:p w14:paraId="4274138A" w14:textId="77777777" w:rsidR="00D93A24" w:rsidRPr="00D93A24" w:rsidRDefault="00D93A24" w:rsidP="00D93A24">
      <w:pPr>
        <w:spacing w:line="276" w:lineRule="auto"/>
        <w:contextualSpacing/>
        <w:jc w:val="center"/>
        <w:rPr>
          <w:rFonts w:eastAsia="Verdana"/>
          <w:b/>
          <w:sz w:val="24"/>
          <w:szCs w:val="24"/>
        </w:rPr>
      </w:pPr>
    </w:p>
    <w:p w14:paraId="7A1E6CFA" w14:textId="77777777" w:rsidR="00D93A24" w:rsidRPr="00D93A24" w:rsidRDefault="00D93A24" w:rsidP="00D93A24">
      <w:pPr>
        <w:spacing w:line="276" w:lineRule="auto"/>
        <w:contextualSpacing/>
        <w:jc w:val="center"/>
        <w:rPr>
          <w:rFonts w:eastAsia="Verdana"/>
          <w:b/>
          <w:sz w:val="24"/>
          <w:szCs w:val="24"/>
        </w:rPr>
      </w:pPr>
    </w:p>
    <w:p w14:paraId="7C47A695" w14:textId="77777777" w:rsidR="00D93A24" w:rsidRPr="00D93A24" w:rsidRDefault="00D93A24" w:rsidP="00D93A24">
      <w:pPr>
        <w:spacing w:line="276" w:lineRule="auto"/>
        <w:contextualSpacing/>
        <w:jc w:val="center"/>
        <w:rPr>
          <w:rFonts w:eastAsia="Verdana"/>
          <w:b/>
          <w:sz w:val="24"/>
          <w:szCs w:val="24"/>
        </w:rPr>
      </w:pPr>
    </w:p>
    <w:p w14:paraId="63CE9465" w14:textId="77777777" w:rsidR="00D93A24" w:rsidRPr="00D93A24" w:rsidRDefault="00D93A24" w:rsidP="00D93A24">
      <w:pPr>
        <w:spacing w:line="276" w:lineRule="auto"/>
        <w:contextualSpacing/>
        <w:jc w:val="center"/>
        <w:rPr>
          <w:rFonts w:eastAsia="Verdana"/>
          <w:b/>
          <w:sz w:val="24"/>
          <w:szCs w:val="24"/>
        </w:rPr>
      </w:pPr>
      <w:r w:rsidRPr="00D93A24">
        <w:rPr>
          <w:rFonts w:eastAsia="Verdana"/>
          <w:b/>
          <w:sz w:val="24"/>
          <w:szCs w:val="24"/>
        </w:rPr>
        <w:t>JAIME ENRIQUE RODRÍGUEZ NAVAS</w:t>
      </w:r>
    </w:p>
    <w:p w14:paraId="071FC0AF" w14:textId="77777777" w:rsidR="00D93A24" w:rsidRPr="00D93A24" w:rsidRDefault="00D93A24" w:rsidP="00D93A24">
      <w:pPr>
        <w:spacing w:line="276" w:lineRule="auto"/>
        <w:contextualSpacing/>
        <w:jc w:val="center"/>
        <w:rPr>
          <w:rFonts w:eastAsia="Verdana"/>
          <w:b/>
          <w:sz w:val="24"/>
          <w:szCs w:val="24"/>
        </w:rPr>
      </w:pPr>
      <w:r w:rsidRPr="00D93A24">
        <w:rPr>
          <w:rFonts w:eastAsia="Verdana"/>
          <w:b/>
          <w:sz w:val="24"/>
          <w:szCs w:val="24"/>
        </w:rPr>
        <w:t>Presidente de Sala</w:t>
      </w:r>
    </w:p>
    <w:p w14:paraId="682FB2D1" w14:textId="77777777" w:rsidR="00D93A24" w:rsidRPr="00D93A24" w:rsidRDefault="00D93A24" w:rsidP="00D93A24">
      <w:pPr>
        <w:spacing w:line="276" w:lineRule="auto"/>
        <w:contextualSpacing/>
        <w:jc w:val="center"/>
        <w:rPr>
          <w:rFonts w:eastAsia="Verdana"/>
          <w:b/>
          <w:sz w:val="24"/>
          <w:szCs w:val="24"/>
        </w:rPr>
      </w:pPr>
    </w:p>
    <w:p w14:paraId="08EBF371" w14:textId="77777777" w:rsidR="00D93A24" w:rsidRPr="00D93A24" w:rsidRDefault="00D93A24" w:rsidP="00D93A24">
      <w:pPr>
        <w:spacing w:line="276" w:lineRule="auto"/>
        <w:contextualSpacing/>
        <w:jc w:val="center"/>
        <w:rPr>
          <w:rFonts w:eastAsia="Verdana"/>
          <w:b/>
          <w:sz w:val="24"/>
          <w:szCs w:val="24"/>
        </w:rPr>
      </w:pPr>
    </w:p>
    <w:p w14:paraId="5EE6DEA9" w14:textId="77777777" w:rsidR="00D93A24" w:rsidRPr="00D93A24" w:rsidRDefault="00D93A24" w:rsidP="00D93A24">
      <w:pPr>
        <w:spacing w:line="276" w:lineRule="auto"/>
        <w:contextualSpacing/>
        <w:jc w:val="center"/>
        <w:rPr>
          <w:rFonts w:eastAsia="Verdana"/>
          <w:b/>
          <w:sz w:val="24"/>
          <w:szCs w:val="24"/>
        </w:rPr>
      </w:pPr>
    </w:p>
    <w:p w14:paraId="59F8E477" w14:textId="77777777" w:rsidR="00D93A24" w:rsidRPr="00D93A24" w:rsidRDefault="00D93A24" w:rsidP="00D93A24">
      <w:pPr>
        <w:spacing w:line="276" w:lineRule="auto"/>
        <w:contextualSpacing/>
        <w:jc w:val="center"/>
        <w:rPr>
          <w:rFonts w:eastAsia="Verdana"/>
          <w:b/>
          <w:sz w:val="24"/>
          <w:szCs w:val="24"/>
        </w:rPr>
      </w:pPr>
      <w:r w:rsidRPr="00D93A24">
        <w:rPr>
          <w:rFonts w:eastAsia="Verdana"/>
          <w:b/>
          <w:sz w:val="24"/>
          <w:szCs w:val="24"/>
        </w:rPr>
        <w:t>GUILLERMO SÁNCHEZ LUQUE</w:t>
      </w:r>
    </w:p>
    <w:p w14:paraId="3C6198B9" w14:textId="77777777" w:rsidR="00D93A24" w:rsidRPr="00D93A24" w:rsidRDefault="00D93A24" w:rsidP="00D93A24">
      <w:pPr>
        <w:spacing w:line="276" w:lineRule="auto"/>
        <w:contextualSpacing/>
        <w:jc w:val="center"/>
        <w:rPr>
          <w:rFonts w:eastAsia="Verdana"/>
          <w:b/>
          <w:sz w:val="24"/>
          <w:szCs w:val="24"/>
        </w:rPr>
      </w:pPr>
      <w:r w:rsidRPr="00D93A24">
        <w:rPr>
          <w:rFonts w:eastAsia="Verdana"/>
          <w:b/>
          <w:sz w:val="24"/>
          <w:szCs w:val="24"/>
        </w:rPr>
        <w:t>Magistrado</w:t>
      </w:r>
    </w:p>
    <w:p w14:paraId="072CD5D7" w14:textId="77777777" w:rsidR="00D93A24" w:rsidRPr="00D93A24" w:rsidRDefault="00D93A24" w:rsidP="00D93A24">
      <w:pPr>
        <w:spacing w:line="276" w:lineRule="auto"/>
        <w:contextualSpacing/>
        <w:jc w:val="center"/>
        <w:rPr>
          <w:rFonts w:eastAsia="Verdana"/>
          <w:b/>
          <w:sz w:val="24"/>
          <w:szCs w:val="24"/>
        </w:rPr>
      </w:pPr>
    </w:p>
    <w:p w14:paraId="5E144A68" w14:textId="77777777" w:rsidR="00D93A24" w:rsidRPr="00D93A24" w:rsidRDefault="00D93A24" w:rsidP="00D93A24">
      <w:pPr>
        <w:spacing w:line="276" w:lineRule="auto"/>
        <w:contextualSpacing/>
        <w:jc w:val="center"/>
        <w:rPr>
          <w:rFonts w:eastAsia="Verdana"/>
          <w:b/>
          <w:sz w:val="24"/>
          <w:szCs w:val="24"/>
        </w:rPr>
      </w:pPr>
    </w:p>
    <w:p w14:paraId="4B77658D" w14:textId="77777777" w:rsidR="00D93A24" w:rsidRPr="00D93A24" w:rsidRDefault="00D93A24" w:rsidP="00D93A24">
      <w:pPr>
        <w:spacing w:line="276" w:lineRule="auto"/>
        <w:contextualSpacing/>
        <w:jc w:val="center"/>
        <w:rPr>
          <w:rFonts w:eastAsia="Verdana"/>
          <w:b/>
          <w:sz w:val="24"/>
          <w:szCs w:val="24"/>
        </w:rPr>
      </w:pPr>
    </w:p>
    <w:p w14:paraId="3E7FB009" w14:textId="77777777" w:rsidR="00D93A24" w:rsidRPr="00D93A24" w:rsidRDefault="00D93A24" w:rsidP="00D93A24">
      <w:pPr>
        <w:spacing w:line="276" w:lineRule="auto"/>
        <w:contextualSpacing/>
        <w:jc w:val="center"/>
        <w:rPr>
          <w:rFonts w:eastAsia="Verdana"/>
          <w:b/>
          <w:sz w:val="24"/>
          <w:szCs w:val="24"/>
        </w:rPr>
      </w:pPr>
      <w:r w:rsidRPr="00D93A24">
        <w:rPr>
          <w:rFonts w:eastAsia="Verdana"/>
          <w:b/>
          <w:sz w:val="24"/>
          <w:szCs w:val="24"/>
        </w:rPr>
        <w:t>NICOLÁS YEPES CORRALES</w:t>
      </w:r>
    </w:p>
    <w:p w14:paraId="36D88EAA" w14:textId="2CE5D811" w:rsidR="00AC5C69" w:rsidRPr="00D93A24" w:rsidRDefault="00D93A24" w:rsidP="00AC5C69">
      <w:pPr>
        <w:spacing w:line="276" w:lineRule="auto"/>
        <w:contextualSpacing/>
        <w:jc w:val="center"/>
        <w:rPr>
          <w:rFonts w:eastAsia="Verdana"/>
          <w:b/>
          <w:sz w:val="24"/>
          <w:szCs w:val="24"/>
        </w:rPr>
      </w:pPr>
      <w:r w:rsidRPr="00D93A24">
        <w:rPr>
          <w:rFonts w:eastAsia="Verdana"/>
          <w:b/>
          <w:sz w:val="24"/>
          <w:szCs w:val="24"/>
        </w:rPr>
        <w:t>Magistrado</w:t>
      </w:r>
    </w:p>
    <w:sectPr w:rsidR="00AC5C69" w:rsidRPr="00D93A24" w:rsidSect="00B6429B">
      <w:headerReference w:type="default" r:id="rId8"/>
      <w:footerReference w:type="default" r:id="rId9"/>
      <w:headerReference w:type="first" r:id="rId10"/>
      <w:footerReference w:type="first" r:id="rId11"/>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2766" w14:textId="77777777" w:rsidR="00661469" w:rsidRDefault="00661469" w:rsidP="00AD797B">
      <w:r>
        <w:separator/>
      </w:r>
    </w:p>
  </w:endnote>
  <w:endnote w:type="continuationSeparator" w:id="0">
    <w:p w14:paraId="758FE3EF" w14:textId="77777777" w:rsidR="00661469" w:rsidRDefault="00661469" w:rsidP="00AD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230314" w14:paraId="43DCAF8E" w14:textId="77777777" w:rsidTr="00B6429B">
      <w:trPr>
        <w:jc w:val="right"/>
      </w:trPr>
      <w:tc>
        <w:tcPr>
          <w:tcW w:w="4795" w:type="dxa"/>
          <w:vAlign w:val="center"/>
        </w:tcPr>
        <w:p w14:paraId="4BA85BA9" w14:textId="77777777" w:rsidR="00230314" w:rsidRDefault="00D6034F" w:rsidP="00B6429B">
          <w:pPr>
            <w:pStyle w:val="Header"/>
            <w:jc w:val="center"/>
            <w:rPr>
              <w:color w:val="767171"/>
              <w:sz w:val="20"/>
              <w:szCs w:val="20"/>
            </w:rPr>
          </w:pPr>
          <w:r w:rsidRPr="00A21194">
            <w:rPr>
              <w:color w:val="767171"/>
              <w:sz w:val="20"/>
              <w:szCs w:val="20"/>
            </w:rPr>
            <w:t>Calle 12 No. 7-65 – Tel: (57-1) 350-6700 – Bogotá D.C. – Colombia</w:t>
          </w:r>
        </w:p>
        <w:p w14:paraId="14D14FB8" w14:textId="77777777" w:rsidR="00230314" w:rsidRPr="00A21194" w:rsidRDefault="00D6034F"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3CEBF9D8" w14:textId="77777777" w:rsidR="00230314" w:rsidRPr="00B6429B" w:rsidRDefault="00D6034F" w:rsidP="00B6429B">
          <w:pPr>
            <w:pStyle w:val="Footer"/>
            <w:jc w:val="center"/>
          </w:pPr>
          <w:r w:rsidRPr="00B6429B">
            <w:fldChar w:fldCharType="begin"/>
          </w:r>
          <w:r w:rsidRPr="00B6429B">
            <w:instrText>PAGE   \* MERGEFORMAT</w:instrText>
          </w:r>
          <w:r w:rsidRPr="00B6429B">
            <w:fldChar w:fldCharType="separate"/>
          </w:r>
          <w:r w:rsidRPr="003601AE">
            <w:rPr>
              <w:noProof/>
              <w:lang w:val="es-ES"/>
            </w:rPr>
            <w:t>12</w:t>
          </w:r>
          <w:r w:rsidRPr="00B6429B">
            <w:fldChar w:fldCharType="end"/>
          </w:r>
        </w:p>
      </w:tc>
    </w:tr>
  </w:tbl>
  <w:p w14:paraId="0447BD7F" w14:textId="77777777" w:rsidR="00230314" w:rsidRPr="008C0DBE" w:rsidRDefault="00661469" w:rsidP="00394A69">
    <w:pPr>
      <w:pStyle w:val="Footer"/>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230314" w14:paraId="427F4CF8" w14:textId="77777777" w:rsidTr="00B6429B">
      <w:trPr>
        <w:jc w:val="right"/>
      </w:trPr>
      <w:tc>
        <w:tcPr>
          <w:tcW w:w="4795" w:type="dxa"/>
          <w:vAlign w:val="center"/>
        </w:tcPr>
        <w:p w14:paraId="6AFB0E67" w14:textId="77777777" w:rsidR="00230314" w:rsidRDefault="00D6034F" w:rsidP="00B6429B">
          <w:pPr>
            <w:pStyle w:val="Header"/>
            <w:jc w:val="center"/>
            <w:rPr>
              <w:color w:val="767171"/>
              <w:sz w:val="20"/>
              <w:szCs w:val="20"/>
            </w:rPr>
          </w:pPr>
          <w:r w:rsidRPr="00A21194">
            <w:rPr>
              <w:color w:val="767171"/>
              <w:sz w:val="20"/>
              <w:szCs w:val="20"/>
            </w:rPr>
            <w:t>Calle 12 No. 7-65 – Tel: (57-1) 350-6700 – Bogotá D.C. – Colombia</w:t>
          </w:r>
        </w:p>
        <w:p w14:paraId="3C647450" w14:textId="77777777" w:rsidR="00230314" w:rsidRPr="00A21194" w:rsidRDefault="00D6034F"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74CEF44E" w14:textId="77777777" w:rsidR="00230314" w:rsidRPr="00B6429B" w:rsidRDefault="00D6034F">
          <w:pPr>
            <w:pStyle w:val="Footer"/>
            <w:jc w:val="center"/>
          </w:pPr>
          <w:r w:rsidRPr="00B6429B">
            <w:fldChar w:fldCharType="begin"/>
          </w:r>
          <w:r w:rsidRPr="00B6429B">
            <w:instrText>PAGE   \* MERGEFORMAT</w:instrText>
          </w:r>
          <w:r w:rsidRPr="00B6429B">
            <w:fldChar w:fldCharType="separate"/>
          </w:r>
          <w:r w:rsidRPr="00320B64">
            <w:rPr>
              <w:noProof/>
              <w:lang w:val="es-ES"/>
            </w:rPr>
            <w:t>1</w:t>
          </w:r>
          <w:r w:rsidRPr="00B6429B">
            <w:fldChar w:fldCharType="end"/>
          </w:r>
        </w:p>
      </w:tc>
    </w:tr>
  </w:tbl>
  <w:p w14:paraId="28B8B105" w14:textId="77777777" w:rsidR="00230314" w:rsidRDefault="0066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620D" w14:textId="77777777" w:rsidR="00661469" w:rsidRDefault="00661469" w:rsidP="00AD797B">
      <w:r>
        <w:separator/>
      </w:r>
    </w:p>
  </w:footnote>
  <w:footnote w:type="continuationSeparator" w:id="0">
    <w:p w14:paraId="6EA8816F" w14:textId="77777777" w:rsidR="00661469" w:rsidRDefault="00661469" w:rsidP="00AD797B">
      <w:r>
        <w:continuationSeparator/>
      </w:r>
    </w:p>
  </w:footnote>
  <w:footnote w:id="1">
    <w:p w14:paraId="541B2498" w14:textId="77777777" w:rsidR="004A247B" w:rsidRPr="006A0115" w:rsidRDefault="004A247B" w:rsidP="00F335AD">
      <w:pPr>
        <w:pStyle w:val="FootnoteText"/>
      </w:pPr>
      <w:r w:rsidRPr="006A0115">
        <w:rPr>
          <w:rStyle w:val="FootnoteReference"/>
          <w:szCs w:val="16"/>
        </w:rPr>
        <w:footnoteRef/>
      </w:r>
      <w:r w:rsidRPr="006A0115">
        <w:t xml:space="preserve"> Ver, archivo con certificado </w:t>
      </w:r>
      <w:r w:rsidRPr="00827DF5">
        <w:t>915E102FF0147BD5 21B207715609DE54 D405605548C3133E 320DFD5E8302C4F9</w:t>
      </w:r>
      <w:r w:rsidRPr="006A0115">
        <w:t>.</w:t>
      </w:r>
    </w:p>
  </w:footnote>
  <w:footnote w:id="2">
    <w:p w14:paraId="08185FA0" w14:textId="2DDA3CFB" w:rsidR="00AD797B" w:rsidRPr="004053F0" w:rsidRDefault="00AD797B" w:rsidP="00F335AD">
      <w:pPr>
        <w:pStyle w:val="FootnoteText"/>
      </w:pPr>
      <w:r w:rsidRPr="004053F0">
        <w:rPr>
          <w:rStyle w:val="FootnoteReference"/>
          <w:szCs w:val="16"/>
        </w:rPr>
        <w:footnoteRef/>
      </w:r>
      <w:r w:rsidRPr="004053F0">
        <w:t xml:space="preserve"> Ver, archivo con certificado </w:t>
      </w:r>
      <w:r w:rsidR="0027364B" w:rsidRPr="0027364B">
        <w:t>1BA2BBE3B5155861 1BD6F46A3A634A32 EC5D4C0FF5C151A0 E35157A7AD87BF0B</w:t>
      </w:r>
      <w:r w:rsidRPr="004053F0">
        <w:t>.</w:t>
      </w:r>
    </w:p>
  </w:footnote>
  <w:footnote w:id="3">
    <w:p w14:paraId="0BA05A07" w14:textId="35716DC4" w:rsidR="00F941FC" w:rsidRPr="00F941FC" w:rsidRDefault="00F941FC" w:rsidP="00F335AD">
      <w:pPr>
        <w:pStyle w:val="FootnoteText"/>
      </w:pPr>
      <w:r>
        <w:rPr>
          <w:rStyle w:val="FootnoteReference"/>
        </w:rPr>
        <w:footnoteRef/>
      </w:r>
      <w:r>
        <w:t xml:space="preserve"> Ver, archivo con certificado </w:t>
      </w:r>
      <w:r w:rsidRPr="00F941FC">
        <w:t>82EF434661D5AF4B EE304E574911FF23 7042A3BB5C99AC9E DDD0643B903622DF</w:t>
      </w:r>
      <w:r>
        <w:t>.</w:t>
      </w:r>
    </w:p>
  </w:footnote>
  <w:footnote w:id="4">
    <w:p w14:paraId="3D464C84" w14:textId="77777777" w:rsidR="00995F0A" w:rsidRPr="00F77BC5" w:rsidRDefault="00995F0A" w:rsidP="00F335AD">
      <w:pPr>
        <w:pStyle w:val="FootnoteText"/>
      </w:pPr>
      <w:r w:rsidRPr="00F77BC5">
        <w:rPr>
          <w:rStyle w:val="FootnoteReference"/>
          <w:szCs w:val="16"/>
        </w:rPr>
        <w:footnoteRef/>
      </w:r>
      <w:r w:rsidRPr="00F77BC5">
        <w:t xml:space="preserve"> “Por medio del cual se modificó el reglamento interno del Consejo de Estado”.</w:t>
      </w:r>
    </w:p>
  </w:footnote>
  <w:footnote w:id="5">
    <w:p w14:paraId="07C3B276" w14:textId="15CE1F4F" w:rsidR="00F335AD" w:rsidRPr="00F335AD" w:rsidRDefault="00F335AD" w:rsidP="00F335AD">
      <w:pPr>
        <w:pStyle w:val="FootnoteText"/>
      </w:pPr>
      <w:r>
        <w:rPr>
          <w:rStyle w:val="FootnoteReference"/>
        </w:rPr>
        <w:footnoteRef/>
      </w:r>
      <w:r>
        <w:t xml:space="preserve"> Se trata del oficio CJO21-678 del 3 de marzo de 2021 suscrito por la directora de la Unidad de Carrera Judicial del Consejo Superior de la Judicatura. Ver, archivo con certificado </w:t>
      </w:r>
      <w:r w:rsidRPr="00F335AD">
        <w:t>81CA579D1C217228 C935143417A391E0 1DAFC0F34E28F4D4 E9BAA9616F304BE3</w:t>
      </w:r>
      <w:r>
        <w:t xml:space="preserve">. El documento en cita se repite en el archivo con certificado </w:t>
      </w:r>
      <w:r w:rsidRPr="00F335AD">
        <w:t>2659B4AFD5B481A3 F607E0D33568AF7A F0AF14DEB012A4AB 78A4EE0C2AED31E4</w:t>
      </w:r>
      <w:r>
        <w:t>.</w:t>
      </w:r>
    </w:p>
  </w:footnote>
  <w:footnote w:id="6">
    <w:p w14:paraId="7790BB35" w14:textId="589ADE77" w:rsidR="00F335AD" w:rsidRPr="00F335AD" w:rsidRDefault="00F335AD" w:rsidP="00F335AD">
      <w:pPr>
        <w:pStyle w:val="FootnoteText"/>
      </w:pPr>
      <w:r>
        <w:rPr>
          <w:rStyle w:val="FootnoteReference"/>
        </w:rPr>
        <w:footnoteRef/>
      </w:r>
      <w:r>
        <w:t xml:space="preserve"> Se trata da la Resolución CJR21-0126 del 6 de abril de 2021, “</w:t>
      </w:r>
      <w:r w:rsidRPr="00F335AD">
        <w:t>Por medio de la cual se resuelve un recurso de reposición y en subsidio de apelación”</w:t>
      </w:r>
      <w:r>
        <w:t xml:space="preserve">. Ver, archivo con certificado </w:t>
      </w:r>
      <w:r w:rsidRPr="00F335AD">
        <w:t>68EE51FFBBC29A31 020757987A412219 232EB0990FF42138 933CA88ED3C50DDD</w:t>
      </w:r>
      <w:r>
        <w:t>.</w:t>
      </w:r>
    </w:p>
  </w:footnote>
  <w:footnote w:id="7">
    <w:p w14:paraId="01797D8C" w14:textId="67429ED7" w:rsidR="005A5A83" w:rsidRPr="005A5A83" w:rsidRDefault="005A5A83">
      <w:pPr>
        <w:pStyle w:val="FootnoteText"/>
      </w:pPr>
      <w:r>
        <w:rPr>
          <w:rStyle w:val="FootnoteReference"/>
        </w:rPr>
        <w:footnoteRef/>
      </w:r>
      <w:r>
        <w:t xml:space="preserve"> </w:t>
      </w:r>
      <w:r w:rsidRPr="005A5A83">
        <w:t>Ver, Consejo de Estado, Sala d</w:t>
      </w:r>
      <w:r>
        <w:t>e lo Contencioso Administrativo, Sección Tercera, Subsección B. Sentencia del 16 de diciembre de 2019, expediente n.° 2019-02714-01.</w:t>
      </w:r>
      <w:r w:rsidR="00A52CE5">
        <w:t xml:space="preserve"> Ver, también, Consejo de Estado, Sala de lo Contencioso Administrativo, Sección Segunda, Subsección B. Sentencia del 3 de marzo de 2020, expediente n.° 2020-00386-00. Esta última fue confirmada mediante el siguiente fallo: Consejo de Estado, Sala de lo Contencioso Administrativo, Sección Primera. Sentencia del 11 de junio de 2020, expediente n.° 2020-00386-01.</w:t>
      </w:r>
    </w:p>
  </w:footnote>
  <w:footnote w:id="8">
    <w:p w14:paraId="6F39C676" w14:textId="07741EA7" w:rsidR="00FC67C2" w:rsidRPr="00FC67C2" w:rsidRDefault="00FC67C2">
      <w:pPr>
        <w:pStyle w:val="FootnoteText"/>
      </w:pPr>
      <w:r>
        <w:rPr>
          <w:rStyle w:val="FootnoteReference"/>
        </w:rPr>
        <w:footnoteRef/>
      </w:r>
      <w:r>
        <w:t xml:space="preserve"> </w:t>
      </w:r>
      <w:r w:rsidRPr="00FC67C2">
        <w:t>En e</w:t>
      </w:r>
      <w:r>
        <w:t xml:space="preserve">l plenario obran diferentes piezas documentales que dan cuenta de la situación clínica que experimenta la actora y de los quebrantos de salud que padecen su esposo e hijos. Ver, archivos con certificados </w:t>
      </w:r>
      <w:r w:rsidRPr="00FC67C2">
        <w:t>5C600D026F069DD8 6057FAD10354EDBD 8E2A9510843816B4 223A671CBEB0E6E9</w:t>
      </w:r>
      <w:r>
        <w:t xml:space="preserve">; </w:t>
      </w:r>
      <w:r w:rsidRPr="00FC67C2">
        <w:t>DDBDC71876ECD7BB 60782CDA667E7F9C A3C88D00C29519A2 D0D0DE7D17201200</w:t>
      </w:r>
      <w:r>
        <w:t xml:space="preserve">; </w:t>
      </w:r>
      <w:r w:rsidRPr="00FC67C2">
        <w:t>1A0D6992D7975CA1 6F7975DA37C7938E BB5A4C7B39C26B4B 8C8F11E65B28D2A5</w:t>
      </w:r>
      <w:r>
        <w:t xml:space="preserve">, </w:t>
      </w:r>
      <w:r w:rsidRPr="00FC67C2">
        <w:t>247A3CF45AD59545 3452981E1D5D93AE B84CC67152CD5F1F F2F96B18F274D8DC</w:t>
      </w:r>
      <w:r>
        <w:t xml:space="preserve">; </w:t>
      </w:r>
      <w:r w:rsidRPr="00FC67C2">
        <w:t>E2B6F214E7E5B8A9 014B7F476CF1B9EC DA5058151CAE4288 C152A37DCEA010BB</w:t>
      </w:r>
      <w:r>
        <w:t xml:space="preserve">; </w:t>
      </w:r>
      <w:r w:rsidRPr="00FC67C2">
        <w:t>7A29366BAAC7B14A 00CB5BC78CA38479 5ADB0A450BAC980C 2550DA1538BDABD3</w:t>
      </w:r>
      <w:r>
        <w:t xml:space="preserve">; </w:t>
      </w:r>
      <w:r w:rsidRPr="00FC67C2">
        <w:t>A6B40EC9467E1D42 082B60B129FE31BF B9A4BFA129A7E9E2 3367EBFFE8038FD5</w:t>
      </w:r>
      <w:r>
        <w:t xml:space="preserve">; </w:t>
      </w:r>
      <w:r w:rsidRPr="00FC67C2">
        <w:t>782981FC7412CAD5 41C30A698B240068 D0735748CE97D1EC 04B657F02951A855</w:t>
      </w:r>
      <w:r>
        <w:t>.</w:t>
      </w:r>
    </w:p>
  </w:footnote>
  <w:footnote w:id="9">
    <w:p w14:paraId="3441CEF9" w14:textId="43549C45" w:rsidR="00E16A66" w:rsidRPr="006C79C6" w:rsidRDefault="00E16A66">
      <w:pPr>
        <w:pStyle w:val="FootnoteText"/>
      </w:pPr>
      <w:r>
        <w:rPr>
          <w:rStyle w:val="FootnoteReference"/>
        </w:rPr>
        <w:footnoteRef/>
      </w:r>
      <w:r>
        <w:t xml:space="preserve"> </w:t>
      </w:r>
      <w:r w:rsidRPr="00E16A66">
        <w:t xml:space="preserve">Ver, Corte Constitucional. </w:t>
      </w:r>
      <w:r w:rsidRPr="006C79C6">
        <w:t>Sentencias T-809 de 2013, T-956 de 2013, T-318 de 2017.</w:t>
      </w:r>
    </w:p>
  </w:footnote>
  <w:footnote w:id="10">
    <w:p w14:paraId="65C84207" w14:textId="66C4FCCC" w:rsidR="000A3FF4" w:rsidRPr="000A3FF4" w:rsidRDefault="000A3FF4">
      <w:pPr>
        <w:pStyle w:val="FootnoteText"/>
      </w:pPr>
      <w:r>
        <w:rPr>
          <w:rStyle w:val="FootnoteReference"/>
        </w:rPr>
        <w:footnoteRef/>
      </w:r>
      <w:r>
        <w:t xml:space="preserve"> </w:t>
      </w:r>
      <w:r w:rsidRPr="000A3FF4">
        <w:t>Ver, archivo con certificado 062DBCD0E46081A1 1B5E7DE9BD993EFA C8F3AD4F56BEBB96 B33F24F088707516</w:t>
      </w:r>
      <w:r>
        <w:t>.</w:t>
      </w:r>
    </w:p>
  </w:footnote>
  <w:footnote w:id="11">
    <w:p w14:paraId="05092392" w14:textId="29893630" w:rsidR="000A3FF4" w:rsidRPr="000A3FF4" w:rsidRDefault="000A3FF4">
      <w:pPr>
        <w:pStyle w:val="FootnoteText"/>
      </w:pPr>
      <w:r>
        <w:rPr>
          <w:rStyle w:val="FootnoteReference"/>
        </w:rPr>
        <w:footnoteRef/>
      </w:r>
      <w:r>
        <w:t xml:space="preserve"> </w:t>
      </w:r>
      <w:r w:rsidRPr="000A3FF4">
        <w:t xml:space="preserve">Se trata de la </w:t>
      </w:r>
      <w:r w:rsidR="006D299A">
        <w:t>R</w:t>
      </w:r>
      <w:r w:rsidRPr="000A3FF4">
        <w:t>esolución n</w:t>
      </w:r>
      <w:r>
        <w:t xml:space="preserve">.° 006 del 29 de octubre de 2020, suscrita por la magistrada Mary Elena Solarte Melo. Ver, archivo con certificado </w:t>
      </w:r>
      <w:r w:rsidRPr="000A3FF4">
        <w:t>0BC30ABA85BB1FBC 71E0C9D0BDED52EC A636ECD2C0C08D65 49B867539682D640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2250" w14:textId="77777777" w:rsidR="00230314" w:rsidRPr="00A15ACE" w:rsidRDefault="00D6034F" w:rsidP="00F103BB">
    <w:pPr>
      <w:pStyle w:val="Header"/>
      <w:tabs>
        <w:tab w:val="clear" w:pos="4252"/>
        <w:tab w:val="clear" w:pos="8504"/>
      </w:tabs>
    </w:pPr>
    <w:r>
      <w:rPr>
        <w:noProof/>
        <w:lang w:eastAsia="es-CO"/>
      </w:rPr>
      <w:drawing>
        <wp:anchor distT="0" distB="0" distL="114300" distR="114300" simplePos="0" relativeHeight="251660288" behindDoc="0" locked="0" layoutInCell="1" allowOverlap="1" wp14:anchorId="51E4E199" wp14:editId="54AF817F">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D3912" w14:textId="77777777" w:rsidR="00230314" w:rsidRPr="00A15ACE" w:rsidRDefault="00661469" w:rsidP="00F103BB">
    <w:pPr>
      <w:pStyle w:val="Header"/>
      <w:tabs>
        <w:tab w:val="clear" w:pos="4252"/>
        <w:tab w:val="clear" w:pos="8504"/>
      </w:tabs>
    </w:pPr>
  </w:p>
  <w:p w14:paraId="2EF3317F" w14:textId="77777777" w:rsidR="00230314" w:rsidRPr="00A15ACE" w:rsidRDefault="00D6034F" w:rsidP="00F103BB">
    <w:pPr>
      <w:pStyle w:val="Header"/>
      <w:tabs>
        <w:tab w:val="clear" w:pos="4252"/>
        <w:tab w:val="clear" w:pos="8504"/>
      </w:tabs>
    </w:pPr>
    <w:r w:rsidRPr="0070023E">
      <w:rPr>
        <w:noProof/>
        <w:sz w:val="20"/>
        <w:szCs w:val="20"/>
        <w:lang w:eastAsia="es-CO"/>
      </w:rPr>
      <mc:AlternateContent>
        <mc:Choice Requires="wps">
          <w:drawing>
            <wp:anchor distT="0" distB="0" distL="114300" distR="114300" simplePos="0" relativeHeight="251659264" behindDoc="0" locked="0" layoutInCell="1" allowOverlap="1" wp14:anchorId="6C07D9F3" wp14:editId="04411FF0">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B05D89"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2BE9354" w14:textId="0399B669" w:rsidR="00230314" w:rsidRPr="00F532EA" w:rsidRDefault="00D6034F" w:rsidP="00F103BB">
    <w:pPr>
      <w:pStyle w:val="Header"/>
      <w:tabs>
        <w:tab w:val="clear" w:pos="4252"/>
        <w:tab w:val="clear" w:pos="8504"/>
      </w:tabs>
      <w:jc w:val="right"/>
      <w:rPr>
        <w:color w:val="767171"/>
        <w:sz w:val="20"/>
        <w:szCs w:val="20"/>
      </w:rPr>
    </w:pPr>
    <w:r w:rsidRPr="00F532EA">
      <w:rPr>
        <w:color w:val="767171"/>
        <w:sz w:val="20"/>
        <w:szCs w:val="20"/>
      </w:rPr>
      <w:t xml:space="preserve">Radicado: </w:t>
    </w:r>
    <w:r w:rsidRPr="00D51BDE">
      <w:rPr>
        <w:color w:val="767171"/>
        <w:sz w:val="20"/>
        <w:szCs w:val="20"/>
      </w:rPr>
      <w:t>11001-03-15-000-2021-0</w:t>
    </w:r>
    <w:r w:rsidR="00D46268">
      <w:rPr>
        <w:color w:val="767171"/>
        <w:sz w:val="20"/>
        <w:szCs w:val="20"/>
      </w:rPr>
      <w:t>2575</w:t>
    </w:r>
    <w:r w:rsidRPr="00D51BDE">
      <w:rPr>
        <w:color w:val="767171"/>
        <w:sz w:val="20"/>
        <w:szCs w:val="20"/>
      </w:rPr>
      <w:t>-00</w:t>
    </w:r>
  </w:p>
  <w:p w14:paraId="2426CE37" w14:textId="01463073" w:rsidR="00230314" w:rsidRPr="00F532EA" w:rsidRDefault="00D6034F" w:rsidP="00F103BB">
    <w:pPr>
      <w:pStyle w:val="Header"/>
      <w:tabs>
        <w:tab w:val="clear" w:pos="4252"/>
        <w:tab w:val="clear" w:pos="8504"/>
      </w:tabs>
      <w:jc w:val="right"/>
      <w:rPr>
        <w:color w:val="767171"/>
        <w:sz w:val="20"/>
        <w:szCs w:val="20"/>
      </w:rPr>
    </w:pPr>
    <w:r>
      <w:rPr>
        <w:color w:val="767171"/>
        <w:sz w:val="20"/>
        <w:szCs w:val="20"/>
      </w:rPr>
      <w:t>Accion</w:t>
    </w:r>
    <w:r w:rsidRPr="00F532EA">
      <w:rPr>
        <w:color w:val="767171"/>
        <w:sz w:val="20"/>
        <w:szCs w:val="20"/>
      </w:rPr>
      <w:t>ante</w:t>
    </w:r>
    <w:r>
      <w:rPr>
        <w:color w:val="767171"/>
        <w:sz w:val="20"/>
        <w:szCs w:val="20"/>
      </w:rPr>
      <w:t xml:space="preserve">: </w:t>
    </w:r>
    <w:r w:rsidR="00D46268">
      <w:rPr>
        <w:color w:val="767171"/>
        <w:sz w:val="20"/>
        <w:szCs w:val="20"/>
      </w:rPr>
      <w:t>Mónica Viviana Montenegro Portilla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BC39" w14:textId="77777777" w:rsidR="00230314" w:rsidRPr="00A15ACE" w:rsidRDefault="00D6034F" w:rsidP="0005341C">
    <w:pPr>
      <w:pStyle w:val="Header"/>
      <w:tabs>
        <w:tab w:val="clear" w:pos="4252"/>
        <w:tab w:val="clear" w:pos="8504"/>
      </w:tabs>
    </w:pPr>
    <w:r>
      <w:rPr>
        <w:noProof/>
        <w:lang w:eastAsia="es-CO"/>
      </w:rPr>
      <w:drawing>
        <wp:anchor distT="0" distB="0" distL="114300" distR="114300" simplePos="0" relativeHeight="251661312" behindDoc="0" locked="0" layoutInCell="1" allowOverlap="1" wp14:anchorId="5172F9F3" wp14:editId="42EBCF38">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D243" w14:textId="77777777" w:rsidR="00230314" w:rsidRPr="00A15ACE" w:rsidRDefault="00661469" w:rsidP="0005341C">
    <w:pPr>
      <w:pStyle w:val="Header"/>
      <w:tabs>
        <w:tab w:val="clear" w:pos="4252"/>
        <w:tab w:val="clear" w:pos="8504"/>
      </w:tabs>
      <w:rPr>
        <w:color w:val="767171"/>
      </w:rPr>
    </w:pPr>
  </w:p>
  <w:p w14:paraId="169C426A" w14:textId="77777777" w:rsidR="00230314" w:rsidRPr="007F276C" w:rsidRDefault="00D6034F" w:rsidP="0005341C">
    <w:pPr>
      <w:pStyle w:val="NoSpacing"/>
    </w:pPr>
    <w:r w:rsidRPr="007F276C">
      <w:t>CONSEJO DE ESTADO</w:t>
    </w:r>
  </w:p>
  <w:p w14:paraId="03AC8978" w14:textId="77777777" w:rsidR="00230314" w:rsidRPr="007F276C" w:rsidRDefault="00D6034F" w:rsidP="0005341C">
    <w:pPr>
      <w:pStyle w:val="NoSpacing"/>
    </w:pPr>
    <w:r w:rsidRPr="007F276C">
      <w:t>SALA DE LO CONTENCIOSO ADMINISTRATIVO</w:t>
    </w:r>
  </w:p>
  <w:p w14:paraId="0D227379" w14:textId="77777777" w:rsidR="00230314" w:rsidRPr="007F276C" w:rsidRDefault="00D6034F" w:rsidP="0005341C">
    <w:pPr>
      <w:pStyle w:val="NoSpacing"/>
    </w:pPr>
    <w:r w:rsidRPr="007F276C">
      <w:t>SECCIÓN TERCERA – SUBSECCIÓN C</w:t>
    </w:r>
  </w:p>
  <w:p w14:paraId="7DB4A93E" w14:textId="77777777" w:rsidR="00230314" w:rsidRDefault="00661469" w:rsidP="0005341C">
    <w:pPr>
      <w:pStyle w:val="Header"/>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0F963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D72EBA8C"/>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374F73"/>
    <w:multiLevelType w:val="hybridMultilevel"/>
    <w:tmpl w:val="2724DEBC"/>
    <w:lvl w:ilvl="0" w:tplc="B6BC004A">
      <w:start w:val="1"/>
      <w:numFmt w:val="upperRoman"/>
      <w:pStyle w:val="Heading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8531FF"/>
    <w:multiLevelType w:val="hybridMultilevel"/>
    <w:tmpl w:val="9E4C613A"/>
    <w:lvl w:ilvl="0" w:tplc="4D680300">
      <w:start w:val="1"/>
      <w:numFmt w:val="ordinalText"/>
      <w:lvlText w:val="%1."/>
      <w:lvlJc w:val="left"/>
      <w:pPr>
        <w:ind w:left="720" w:hanging="360"/>
      </w:pPr>
      <w:rPr>
        <w:rFonts w:ascii="Arial" w:hAnsi="Arial" w:hint="default"/>
        <w:b/>
        <w:i w:val="0"/>
        <w:cap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F57DC"/>
    <w:multiLevelType w:val="hybridMultilevel"/>
    <w:tmpl w:val="B0509AC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B"/>
    <w:rsid w:val="00003F61"/>
    <w:rsid w:val="0002601D"/>
    <w:rsid w:val="000311E2"/>
    <w:rsid w:val="00045130"/>
    <w:rsid w:val="00077BF8"/>
    <w:rsid w:val="00095748"/>
    <w:rsid w:val="000A016E"/>
    <w:rsid w:val="000A3FF4"/>
    <w:rsid w:val="00100344"/>
    <w:rsid w:val="00110977"/>
    <w:rsid w:val="00117E57"/>
    <w:rsid w:val="00117F59"/>
    <w:rsid w:val="00161CBE"/>
    <w:rsid w:val="001928F5"/>
    <w:rsid w:val="001C7DB0"/>
    <w:rsid w:val="001D2A82"/>
    <w:rsid w:val="001D73D7"/>
    <w:rsid w:val="001F0560"/>
    <w:rsid w:val="0021192D"/>
    <w:rsid w:val="002358E0"/>
    <w:rsid w:val="00265961"/>
    <w:rsid w:val="0027364B"/>
    <w:rsid w:val="00275DD6"/>
    <w:rsid w:val="00277629"/>
    <w:rsid w:val="002A077F"/>
    <w:rsid w:val="002A3276"/>
    <w:rsid w:val="002A7CFD"/>
    <w:rsid w:val="002B7DEC"/>
    <w:rsid w:val="002F1E3B"/>
    <w:rsid w:val="002F39F7"/>
    <w:rsid w:val="0033677A"/>
    <w:rsid w:val="00372012"/>
    <w:rsid w:val="003771F3"/>
    <w:rsid w:val="00386743"/>
    <w:rsid w:val="0039769A"/>
    <w:rsid w:val="00397813"/>
    <w:rsid w:val="003D1057"/>
    <w:rsid w:val="003E24D5"/>
    <w:rsid w:val="003E64A2"/>
    <w:rsid w:val="004025A8"/>
    <w:rsid w:val="00410BF2"/>
    <w:rsid w:val="00447687"/>
    <w:rsid w:val="00452398"/>
    <w:rsid w:val="00455D23"/>
    <w:rsid w:val="00476C51"/>
    <w:rsid w:val="004811BD"/>
    <w:rsid w:val="004A247B"/>
    <w:rsid w:val="004A289A"/>
    <w:rsid w:val="004A6D93"/>
    <w:rsid w:val="004D0965"/>
    <w:rsid w:val="004D2E41"/>
    <w:rsid w:val="004F07A7"/>
    <w:rsid w:val="004F10A3"/>
    <w:rsid w:val="0051022A"/>
    <w:rsid w:val="00546655"/>
    <w:rsid w:val="005760EF"/>
    <w:rsid w:val="005A5A83"/>
    <w:rsid w:val="005A6DCA"/>
    <w:rsid w:val="005F6224"/>
    <w:rsid w:val="006135FC"/>
    <w:rsid w:val="00614648"/>
    <w:rsid w:val="0061704F"/>
    <w:rsid w:val="00640B43"/>
    <w:rsid w:val="00642839"/>
    <w:rsid w:val="00661469"/>
    <w:rsid w:val="00687FA5"/>
    <w:rsid w:val="00693773"/>
    <w:rsid w:val="00696653"/>
    <w:rsid w:val="00696813"/>
    <w:rsid w:val="006A342D"/>
    <w:rsid w:val="006A41F8"/>
    <w:rsid w:val="006C006A"/>
    <w:rsid w:val="006C79C6"/>
    <w:rsid w:val="006D299A"/>
    <w:rsid w:val="007028F9"/>
    <w:rsid w:val="00725523"/>
    <w:rsid w:val="00737F2C"/>
    <w:rsid w:val="007510DE"/>
    <w:rsid w:val="007C4A94"/>
    <w:rsid w:val="007C7DA1"/>
    <w:rsid w:val="007E599B"/>
    <w:rsid w:val="00803E03"/>
    <w:rsid w:val="00813842"/>
    <w:rsid w:val="00862633"/>
    <w:rsid w:val="00876C84"/>
    <w:rsid w:val="008A4C77"/>
    <w:rsid w:val="008B661A"/>
    <w:rsid w:val="008E2125"/>
    <w:rsid w:val="008F506E"/>
    <w:rsid w:val="008F651A"/>
    <w:rsid w:val="00903029"/>
    <w:rsid w:val="0091044C"/>
    <w:rsid w:val="00923779"/>
    <w:rsid w:val="00936AA2"/>
    <w:rsid w:val="009705A1"/>
    <w:rsid w:val="00995F0A"/>
    <w:rsid w:val="009B4D0C"/>
    <w:rsid w:val="009C5006"/>
    <w:rsid w:val="00A3676A"/>
    <w:rsid w:val="00A41933"/>
    <w:rsid w:val="00A52CE5"/>
    <w:rsid w:val="00A5456C"/>
    <w:rsid w:val="00A72813"/>
    <w:rsid w:val="00A9605F"/>
    <w:rsid w:val="00AC5C69"/>
    <w:rsid w:val="00AD797B"/>
    <w:rsid w:val="00AE0E6E"/>
    <w:rsid w:val="00AE29AD"/>
    <w:rsid w:val="00B00D6B"/>
    <w:rsid w:val="00B32683"/>
    <w:rsid w:val="00B40C4D"/>
    <w:rsid w:val="00B42B97"/>
    <w:rsid w:val="00B47E9D"/>
    <w:rsid w:val="00B5241B"/>
    <w:rsid w:val="00B619EE"/>
    <w:rsid w:val="00B72128"/>
    <w:rsid w:val="00B75731"/>
    <w:rsid w:val="00B9120B"/>
    <w:rsid w:val="00BA16DB"/>
    <w:rsid w:val="00BB00CB"/>
    <w:rsid w:val="00BF1B83"/>
    <w:rsid w:val="00C0104C"/>
    <w:rsid w:val="00C074B4"/>
    <w:rsid w:val="00C07609"/>
    <w:rsid w:val="00C13575"/>
    <w:rsid w:val="00C57C29"/>
    <w:rsid w:val="00C63216"/>
    <w:rsid w:val="00C77AA8"/>
    <w:rsid w:val="00C843F0"/>
    <w:rsid w:val="00CC55D3"/>
    <w:rsid w:val="00CD5025"/>
    <w:rsid w:val="00D03285"/>
    <w:rsid w:val="00D26FE9"/>
    <w:rsid w:val="00D46268"/>
    <w:rsid w:val="00D5311F"/>
    <w:rsid w:val="00D6034F"/>
    <w:rsid w:val="00D761A5"/>
    <w:rsid w:val="00D77B62"/>
    <w:rsid w:val="00D93A24"/>
    <w:rsid w:val="00DB76CC"/>
    <w:rsid w:val="00DD7BAD"/>
    <w:rsid w:val="00DF7299"/>
    <w:rsid w:val="00E01094"/>
    <w:rsid w:val="00E16203"/>
    <w:rsid w:val="00E16A66"/>
    <w:rsid w:val="00E270FF"/>
    <w:rsid w:val="00E32E56"/>
    <w:rsid w:val="00E43AF4"/>
    <w:rsid w:val="00E45A67"/>
    <w:rsid w:val="00E74363"/>
    <w:rsid w:val="00E812A1"/>
    <w:rsid w:val="00E83C95"/>
    <w:rsid w:val="00EB15B4"/>
    <w:rsid w:val="00EC3B08"/>
    <w:rsid w:val="00EC78B1"/>
    <w:rsid w:val="00EF07FF"/>
    <w:rsid w:val="00F265F1"/>
    <w:rsid w:val="00F335AD"/>
    <w:rsid w:val="00F47F12"/>
    <w:rsid w:val="00F50278"/>
    <w:rsid w:val="00F622E8"/>
    <w:rsid w:val="00F64AC2"/>
    <w:rsid w:val="00F66B69"/>
    <w:rsid w:val="00F941FC"/>
    <w:rsid w:val="00F97CD0"/>
    <w:rsid w:val="00FC67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972D"/>
  <w15:chartTrackingRefBased/>
  <w15:docId w15:val="{5D2AF896-AD3D-4AF1-AF23-E00B9F13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7B"/>
    <w:pPr>
      <w:spacing w:after="0" w:line="240" w:lineRule="auto"/>
      <w:jc w:val="both"/>
    </w:pPr>
    <w:rPr>
      <w:rFonts w:ascii="Arial" w:eastAsia="Calibri" w:hAnsi="Arial" w:cs="Arial"/>
      <w:sz w:val="16"/>
      <w:szCs w:val="16"/>
      <w:lang w:eastAsia="es-ES_tradnl"/>
    </w:rPr>
  </w:style>
  <w:style w:type="paragraph" w:styleId="Heading1">
    <w:name w:val="heading 1"/>
    <w:basedOn w:val="Normal"/>
    <w:next w:val="Normal"/>
    <w:link w:val="Heading1Char"/>
    <w:uiPriority w:val="9"/>
    <w:qFormat/>
    <w:rsid w:val="00AD797B"/>
    <w:pPr>
      <w:keepNext/>
      <w:numPr>
        <w:numId w:val="3"/>
      </w:numPr>
      <w:spacing w:before="480" w:after="480" w:line="276" w:lineRule="auto"/>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AD797B"/>
    <w:pPr>
      <w:keepNext/>
      <w:numPr>
        <w:numId w:val="4"/>
      </w:numPr>
      <w:spacing w:before="360" w:after="180"/>
      <w:ind w:left="360"/>
      <w:jc w:val="left"/>
      <w:outlineLvl w:val="1"/>
    </w:pPr>
    <w:rPr>
      <w:rFonts w:eastAsia="Times New Roman" w:cs="Times New Roman"/>
      <w:b/>
      <w:bCs/>
      <w:iCs/>
      <w:sz w:val="24"/>
      <w:szCs w:val="28"/>
    </w:rPr>
  </w:style>
  <w:style w:type="paragraph" w:styleId="Heading3">
    <w:name w:val="heading 3"/>
    <w:basedOn w:val="Normal"/>
    <w:next w:val="Normal"/>
    <w:link w:val="Heading3Char"/>
    <w:uiPriority w:val="9"/>
    <w:semiHidden/>
    <w:unhideWhenUsed/>
    <w:qFormat/>
    <w:rsid w:val="00D93A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7B"/>
    <w:rPr>
      <w:rFonts w:ascii="Arial" w:eastAsia="Times New Roman" w:hAnsi="Arial" w:cs="Times New Roman"/>
      <w:b/>
      <w:bCs/>
      <w:caps/>
      <w:kern w:val="32"/>
      <w:sz w:val="24"/>
      <w:szCs w:val="32"/>
      <w:lang w:eastAsia="es-ES_tradnl"/>
    </w:rPr>
  </w:style>
  <w:style w:type="character" w:customStyle="1" w:styleId="Heading2Char">
    <w:name w:val="Heading 2 Char"/>
    <w:basedOn w:val="DefaultParagraphFont"/>
    <w:link w:val="Heading2"/>
    <w:uiPriority w:val="9"/>
    <w:rsid w:val="00AD797B"/>
    <w:rPr>
      <w:rFonts w:ascii="Arial" w:eastAsia="Times New Roman" w:hAnsi="Arial" w:cs="Times New Roman"/>
      <w:b/>
      <w:bCs/>
      <w:iCs/>
      <w:sz w:val="24"/>
      <w:szCs w:val="28"/>
      <w:lang w:eastAsia="es-ES_tradnl"/>
    </w:rPr>
  </w:style>
  <w:style w:type="paragraph" w:styleId="Header">
    <w:name w:val="header"/>
    <w:basedOn w:val="Normal"/>
    <w:link w:val="HeaderChar"/>
    <w:uiPriority w:val="99"/>
    <w:unhideWhenUsed/>
    <w:rsid w:val="00AD797B"/>
    <w:pPr>
      <w:tabs>
        <w:tab w:val="center" w:pos="4252"/>
        <w:tab w:val="right" w:pos="8504"/>
      </w:tabs>
    </w:pPr>
  </w:style>
  <w:style w:type="character" w:customStyle="1" w:styleId="HeaderChar">
    <w:name w:val="Header Char"/>
    <w:basedOn w:val="DefaultParagraphFont"/>
    <w:link w:val="Header"/>
    <w:uiPriority w:val="99"/>
    <w:rsid w:val="00AD797B"/>
    <w:rPr>
      <w:rFonts w:ascii="Arial" w:eastAsia="Calibri" w:hAnsi="Arial" w:cs="Arial"/>
      <w:sz w:val="16"/>
      <w:szCs w:val="16"/>
      <w:lang w:eastAsia="es-ES_tradnl"/>
    </w:rPr>
  </w:style>
  <w:style w:type="paragraph" w:styleId="Footer">
    <w:name w:val="footer"/>
    <w:basedOn w:val="Normal"/>
    <w:link w:val="FooterChar"/>
    <w:uiPriority w:val="99"/>
    <w:unhideWhenUsed/>
    <w:rsid w:val="00AD797B"/>
    <w:pPr>
      <w:tabs>
        <w:tab w:val="center" w:pos="4252"/>
        <w:tab w:val="right" w:pos="8504"/>
      </w:tabs>
    </w:pPr>
  </w:style>
  <w:style w:type="character" w:customStyle="1" w:styleId="FooterChar">
    <w:name w:val="Footer Char"/>
    <w:basedOn w:val="DefaultParagraphFont"/>
    <w:link w:val="Footer"/>
    <w:uiPriority w:val="99"/>
    <w:rsid w:val="00AD797B"/>
    <w:rPr>
      <w:rFonts w:ascii="Arial" w:eastAsia="Calibri" w:hAnsi="Arial" w:cs="Arial"/>
      <w:sz w:val="16"/>
      <w:szCs w:val="16"/>
      <w:lang w:eastAsia="es-ES_tradnl"/>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nhideWhenUsed/>
    <w:qFormat/>
    <w:rsid w:val="00F335AD"/>
    <w:rPr>
      <w:szCs w:val="20"/>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basedOn w:val="DefaultParagraphFont"/>
    <w:link w:val="FootnoteText"/>
    <w:qFormat/>
    <w:rsid w:val="00F335AD"/>
    <w:rPr>
      <w:rFonts w:ascii="Arial" w:eastAsia="Calibri" w:hAnsi="Arial" w:cs="Arial"/>
      <w:sz w:val="16"/>
      <w:szCs w:val="20"/>
      <w:lang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AD797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AD797B"/>
    <w:rPr>
      <w:rFonts w:asciiTheme="minorHAnsi" w:eastAsiaTheme="minorHAnsi" w:hAnsiTheme="minorHAnsi" w:cstheme="minorBidi"/>
      <w:sz w:val="22"/>
      <w:szCs w:val="22"/>
      <w:vertAlign w:val="superscript"/>
      <w:lang w:eastAsia="en-US"/>
    </w:rPr>
  </w:style>
  <w:style w:type="paragraph" w:styleId="NoSpacing">
    <w:name w:val="No Spacing"/>
    <w:aliases w:val="Encabezado1"/>
    <w:link w:val="NoSpacingChar"/>
    <w:autoRedefine/>
    <w:uiPriority w:val="1"/>
    <w:qFormat/>
    <w:rsid w:val="00AD797B"/>
    <w:pPr>
      <w:spacing w:after="0" w:line="240" w:lineRule="auto"/>
      <w:jc w:val="center"/>
    </w:pPr>
    <w:rPr>
      <w:rFonts w:ascii="Arial" w:eastAsia="Calibri" w:hAnsi="Arial" w:cs="Arial"/>
      <w:b/>
      <w:caps/>
      <w:color w:val="000000"/>
      <w:sz w:val="24"/>
      <w:szCs w:val="16"/>
      <w:lang w:eastAsia="es-ES_tradnl"/>
    </w:rPr>
  </w:style>
  <w:style w:type="character" w:customStyle="1" w:styleId="NoSpacingChar">
    <w:name w:val="No Spacing Char"/>
    <w:aliases w:val="Encabezado1 Char"/>
    <w:link w:val="NoSpacing"/>
    <w:uiPriority w:val="1"/>
    <w:rsid w:val="00AD797B"/>
    <w:rPr>
      <w:rFonts w:ascii="Arial" w:eastAsia="Calibri" w:hAnsi="Arial" w:cs="Arial"/>
      <w:b/>
      <w:caps/>
      <w:color w:val="000000"/>
      <w:sz w:val="24"/>
      <w:szCs w:val="16"/>
      <w:lang w:eastAsia="es-ES_tradnl"/>
    </w:rPr>
  </w:style>
  <w:style w:type="character" w:styleId="CommentReference">
    <w:name w:val="annotation reference"/>
    <w:uiPriority w:val="99"/>
    <w:semiHidden/>
    <w:unhideWhenUsed/>
    <w:rsid w:val="00AD797B"/>
    <w:rPr>
      <w:sz w:val="16"/>
      <w:szCs w:val="16"/>
    </w:rPr>
  </w:style>
  <w:style w:type="paragraph" w:styleId="CommentText">
    <w:name w:val="annotation text"/>
    <w:basedOn w:val="Normal"/>
    <w:link w:val="CommentTextChar"/>
    <w:uiPriority w:val="99"/>
    <w:semiHidden/>
    <w:unhideWhenUsed/>
    <w:rsid w:val="00AD797B"/>
    <w:pPr>
      <w:spacing w:after="160" w:line="259" w:lineRule="auto"/>
      <w:jc w:val="left"/>
    </w:pPr>
    <w:rPr>
      <w:rFonts w:ascii="Calibri" w:hAnsi="Calibri" w:cs="Times New Roman"/>
      <w:sz w:val="20"/>
      <w:szCs w:val="20"/>
      <w:lang w:val="es-ES" w:eastAsia="en-US"/>
    </w:rPr>
  </w:style>
  <w:style w:type="character" w:customStyle="1" w:styleId="CommentTextChar">
    <w:name w:val="Comment Text Char"/>
    <w:basedOn w:val="DefaultParagraphFont"/>
    <w:link w:val="CommentText"/>
    <w:uiPriority w:val="99"/>
    <w:semiHidden/>
    <w:rsid w:val="00AD797B"/>
    <w:rPr>
      <w:rFonts w:ascii="Calibri" w:eastAsia="Calibri" w:hAnsi="Calibri" w:cs="Times New Roman"/>
      <w:sz w:val="20"/>
      <w:szCs w:val="20"/>
      <w:lang w:val="es-ES"/>
    </w:rPr>
  </w:style>
  <w:style w:type="paragraph" w:styleId="ListParagraph">
    <w:name w:val="List Paragraph"/>
    <w:basedOn w:val="Normal"/>
    <w:link w:val="ListParagraphChar"/>
    <w:uiPriority w:val="34"/>
    <w:qFormat/>
    <w:rsid w:val="00AD797B"/>
    <w:pPr>
      <w:ind w:left="720"/>
      <w:contextualSpacing/>
      <w:jc w:val="left"/>
    </w:pPr>
    <w:rPr>
      <w:rFonts w:ascii="Times New Roman" w:eastAsiaTheme="minorHAnsi" w:hAnsi="Times New Roman" w:cs="Times New Roman"/>
      <w:sz w:val="24"/>
      <w:szCs w:val="24"/>
      <w:lang w:val="es-ES_tradnl"/>
    </w:rPr>
  </w:style>
  <w:style w:type="character" w:customStyle="1" w:styleId="ListParagraphChar">
    <w:name w:val="List Paragraph Char"/>
    <w:link w:val="ListParagraph"/>
    <w:uiPriority w:val="34"/>
    <w:qFormat/>
    <w:locked/>
    <w:rsid w:val="00AD797B"/>
    <w:rPr>
      <w:rFonts w:ascii="Times New Roman" w:hAnsi="Times New Roman" w:cs="Times New Roman"/>
      <w:sz w:val="24"/>
      <w:szCs w:val="24"/>
      <w:lang w:val="es-ES_tradnl" w:eastAsia="es-ES_tradnl"/>
    </w:rPr>
  </w:style>
  <w:style w:type="paragraph" w:styleId="BodyText2">
    <w:name w:val="Body Text 2"/>
    <w:basedOn w:val="Normal"/>
    <w:link w:val="BodyText2Char"/>
    <w:uiPriority w:val="99"/>
    <w:unhideWhenUsed/>
    <w:rsid w:val="00C074B4"/>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BodyText2Char">
    <w:name w:val="Body Text 2 Char"/>
    <w:basedOn w:val="DefaultParagraphFont"/>
    <w:link w:val="BodyText2"/>
    <w:uiPriority w:val="99"/>
    <w:rsid w:val="00C074B4"/>
    <w:rPr>
      <w:rFonts w:ascii="Times New Roman" w:eastAsia="Times New Roman" w:hAnsi="Times New Roman" w:cs="Times New Roman"/>
      <w:sz w:val="24"/>
      <w:szCs w:val="24"/>
      <w:lang w:eastAsia="es-CO"/>
    </w:rPr>
  </w:style>
  <w:style w:type="paragraph" w:customStyle="1" w:styleId="normaljustificado">
    <w:name w:val="normaljustificado"/>
    <w:basedOn w:val="Normal"/>
    <w:rsid w:val="004A289A"/>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Hyperlink">
    <w:name w:val="Hyperlink"/>
    <w:basedOn w:val="DefaultParagraphFont"/>
    <w:uiPriority w:val="99"/>
    <w:semiHidden/>
    <w:unhideWhenUsed/>
    <w:rsid w:val="004A289A"/>
    <w:rPr>
      <w:color w:val="0000FF"/>
      <w:u w:val="single"/>
    </w:rPr>
  </w:style>
  <w:style w:type="character" w:customStyle="1" w:styleId="eop">
    <w:name w:val="eop"/>
    <w:rsid w:val="00DB76CC"/>
  </w:style>
  <w:style w:type="table" w:styleId="TableGrid">
    <w:name w:val="Table Grid"/>
    <w:basedOn w:val="TableNormal"/>
    <w:uiPriority w:val="39"/>
    <w:rsid w:val="00D7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ELVE">
    <w:name w:val="RESUELVE"/>
    <w:basedOn w:val="Heading3"/>
    <w:autoRedefine/>
    <w:qFormat/>
    <w:rsid w:val="00D93A24"/>
    <w:pPr>
      <w:keepLines w:val="0"/>
      <w:spacing w:before="360" w:after="360" w:line="276" w:lineRule="auto"/>
      <w:jc w:val="center"/>
    </w:pPr>
    <w:rPr>
      <w:rFonts w:ascii="Arial" w:eastAsia="Verdana" w:hAnsi="Arial" w:cs="Times New Roman"/>
      <w:b/>
      <w:caps/>
      <w:color w:val="auto"/>
      <w:kern w:val="32"/>
      <w:szCs w:val="26"/>
      <w:lang w:val="es-ES_tradnl"/>
    </w:rPr>
  </w:style>
  <w:style w:type="character" w:customStyle="1" w:styleId="Heading3Char">
    <w:name w:val="Heading 3 Char"/>
    <w:basedOn w:val="DefaultParagraphFont"/>
    <w:link w:val="Heading3"/>
    <w:uiPriority w:val="9"/>
    <w:semiHidden/>
    <w:rsid w:val="00D93A24"/>
    <w:rPr>
      <w:rFonts w:asciiTheme="majorHAnsi" w:eastAsiaTheme="majorEastAsia" w:hAnsiTheme="majorHAnsi" w:cstheme="majorBidi"/>
      <w:color w:val="1F3763" w:themeColor="accent1" w:themeShade="7F"/>
      <w:sz w:val="24"/>
      <w:szCs w:val="24"/>
      <w:lang w:eastAsia="es-ES_tradnl"/>
    </w:rPr>
  </w:style>
  <w:style w:type="paragraph" w:styleId="Quote">
    <w:name w:val="Quote"/>
    <w:basedOn w:val="Normal"/>
    <w:next w:val="Normal"/>
    <w:link w:val="QuoteChar"/>
    <w:uiPriority w:val="29"/>
    <w:qFormat/>
    <w:rsid w:val="00F335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35AD"/>
    <w:rPr>
      <w:rFonts w:ascii="Arial" w:eastAsia="Calibri" w:hAnsi="Arial" w:cs="Arial"/>
      <w:i/>
      <w:iCs/>
      <w:color w:val="404040" w:themeColor="text1" w:themeTint="BF"/>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3278">
      <w:bodyDiv w:val="1"/>
      <w:marLeft w:val="0"/>
      <w:marRight w:val="0"/>
      <w:marTop w:val="0"/>
      <w:marBottom w:val="0"/>
      <w:divBdr>
        <w:top w:val="none" w:sz="0" w:space="0" w:color="auto"/>
        <w:left w:val="none" w:sz="0" w:space="0" w:color="auto"/>
        <w:bottom w:val="none" w:sz="0" w:space="0" w:color="auto"/>
        <w:right w:val="none" w:sz="0" w:space="0" w:color="auto"/>
      </w:divBdr>
    </w:div>
    <w:div w:id="666977451">
      <w:bodyDiv w:val="1"/>
      <w:marLeft w:val="0"/>
      <w:marRight w:val="0"/>
      <w:marTop w:val="0"/>
      <w:marBottom w:val="0"/>
      <w:divBdr>
        <w:top w:val="none" w:sz="0" w:space="0" w:color="auto"/>
        <w:left w:val="none" w:sz="0" w:space="0" w:color="auto"/>
        <w:bottom w:val="none" w:sz="0" w:space="0" w:color="auto"/>
        <w:right w:val="none" w:sz="0" w:space="0" w:color="auto"/>
      </w:divBdr>
    </w:div>
    <w:div w:id="912354461">
      <w:bodyDiv w:val="1"/>
      <w:marLeft w:val="0"/>
      <w:marRight w:val="0"/>
      <w:marTop w:val="0"/>
      <w:marBottom w:val="0"/>
      <w:divBdr>
        <w:top w:val="none" w:sz="0" w:space="0" w:color="auto"/>
        <w:left w:val="none" w:sz="0" w:space="0" w:color="auto"/>
        <w:bottom w:val="none" w:sz="0" w:space="0" w:color="auto"/>
        <w:right w:val="none" w:sz="0" w:space="0" w:color="auto"/>
      </w:divBdr>
    </w:div>
    <w:div w:id="923029165">
      <w:bodyDiv w:val="1"/>
      <w:marLeft w:val="0"/>
      <w:marRight w:val="0"/>
      <w:marTop w:val="0"/>
      <w:marBottom w:val="0"/>
      <w:divBdr>
        <w:top w:val="none" w:sz="0" w:space="0" w:color="auto"/>
        <w:left w:val="none" w:sz="0" w:space="0" w:color="auto"/>
        <w:bottom w:val="none" w:sz="0" w:space="0" w:color="auto"/>
        <w:right w:val="none" w:sz="0" w:space="0" w:color="auto"/>
      </w:divBdr>
    </w:div>
    <w:div w:id="12516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91723-68AB-421A-A8BC-869FE8FF165B}">
  <ds:schemaRefs>
    <ds:schemaRef ds:uri="http://schemas.openxmlformats.org/officeDocument/2006/bibliography"/>
  </ds:schemaRefs>
</ds:datastoreItem>
</file>

<file path=customXml/itemProps2.xml><?xml version="1.0" encoding="utf-8"?>
<ds:datastoreItem xmlns:ds="http://schemas.openxmlformats.org/officeDocument/2006/customXml" ds:itemID="{CB8CA3B3-90A6-472B-A16B-B9B0338C29D1}"/>
</file>

<file path=customXml/itemProps3.xml><?xml version="1.0" encoding="utf-8"?>
<ds:datastoreItem xmlns:ds="http://schemas.openxmlformats.org/officeDocument/2006/customXml" ds:itemID="{F52B3FFB-25AA-4CCA-B124-3F72DFBE6C2A}"/>
</file>

<file path=customXml/itemProps4.xml><?xml version="1.0" encoding="utf-8"?>
<ds:datastoreItem xmlns:ds="http://schemas.openxmlformats.org/officeDocument/2006/customXml" ds:itemID="{9FA8F800-EF8A-4F9F-8DC4-BBDBDA60A0DC}"/>
</file>

<file path=docProps/app.xml><?xml version="1.0" encoding="utf-8"?>
<Properties xmlns="http://schemas.openxmlformats.org/officeDocument/2006/extended-properties" xmlns:vt="http://schemas.openxmlformats.org/officeDocument/2006/docPropsVTypes">
  <Template>Normal</Template>
  <TotalTime>163</TotalTime>
  <Pages>1</Pages>
  <Words>1241</Words>
  <Characters>7076</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Jaimes Valencia</dc:creator>
  <cp:keywords/>
  <dc:description/>
  <cp:lastModifiedBy>Diego Nicolás Pardo Motta</cp:lastModifiedBy>
  <cp:revision>29</cp:revision>
  <dcterms:created xsi:type="dcterms:W3CDTF">2021-06-08T19:31:00Z</dcterms:created>
  <dcterms:modified xsi:type="dcterms:W3CDTF">2021-06-28T23:54:00Z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