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A924" w14:textId="77777777" w:rsidR="000C5DB7" w:rsidRPr="00A92E8C" w:rsidRDefault="000C5DB7" w:rsidP="00877DE7">
      <w:pPr>
        <w:pStyle w:val="NoSpacing"/>
      </w:pPr>
      <w:r w:rsidRPr="00A92E8C">
        <w:t>CONSEJERO PONENTE: JAIME ENRIQUE RODRÍGUEZ NAVAS</w:t>
      </w:r>
    </w:p>
    <w:p w14:paraId="50299F1F" w14:textId="77777777" w:rsidR="00F91B32" w:rsidRPr="00A92E8C" w:rsidRDefault="00F91B32" w:rsidP="00A92E8C">
      <w:pPr>
        <w:spacing w:line="276" w:lineRule="auto"/>
        <w:contextualSpacing/>
        <w:rPr>
          <w:b/>
          <w:bCs/>
          <w:sz w:val="24"/>
          <w:szCs w:val="24"/>
        </w:rPr>
      </w:pPr>
    </w:p>
    <w:p w14:paraId="67CA4851" w14:textId="6F881A20" w:rsidR="000C5DB7" w:rsidRPr="00A92E8C" w:rsidRDefault="000C5DB7" w:rsidP="00A92E8C">
      <w:pPr>
        <w:spacing w:line="276" w:lineRule="auto"/>
        <w:contextualSpacing/>
        <w:rPr>
          <w:bCs/>
          <w:sz w:val="24"/>
          <w:szCs w:val="24"/>
        </w:rPr>
      </w:pPr>
      <w:r w:rsidRPr="00A92E8C">
        <w:rPr>
          <w:bCs/>
          <w:sz w:val="24"/>
          <w:szCs w:val="24"/>
        </w:rPr>
        <w:t xml:space="preserve">Bogotá D.C., </w:t>
      </w:r>
      <w:r w:rsidR="00091BDC">
        <w:rPr>
          <w:bCs/>
          <w:sz w:val="24"/>
          <w:szCs w:val="24"/>
        </w:rPr>
        <w:t>dos</w:t>
      </w:r>
      <w:r w:rsidR="003F6339" w:rsidRPr="00A92E8C">
        <w:rPr>
          <w:bCs/>
          <w:sz w:val="24"/>
          <w:szCs w:val="24"/>
        </w:rPr>
        <w:t xml:space="preserve"> (</w:t>
      </w:r>
      <w:r w:rsidR="009566CE" w:rsidRPr="00A92E8C">
        <w:rPr>
          <w:bCs/>
          <w:sz w:val="24"/>
          <w:szCs w:val="24"/>
        </w:rPr>
        <w:t>2</w:t>
      </w:r>
      <w:r w:rsidR="003F6339" w:rsidRPr="00A92E8C">
        <w:rPr>
          <w:bCs/>
          <w:sz w:val="24"/>
          <w:szCs w:val="24"/>
        </w:rPr>
        <w:t xml:space="preserve">) de </w:t>
      </w:r>
      <w:r w:rsidR="009566CE" w:rsidRPr="00A92E8C">
        <w:rPr>
          <w:bCs/>
          <w:sz w:val="24"/>
          <w:szCs w:val="24"/>
        </w:rPr>
        <w:t>ju</w:t>
      </w:r>
      <w:r w:rsidR="00091BDC">
        <w:rPr>
          <w:bCs/>
          <w:sz w:val="24"/>
          <w:szCs w:val="24"/>
        </w:rPr>
        <w:t>l</w:t>
      </w:r>
      <w:r w:rsidR="009566CE" w:rsidRPr="00A92E8C">
        <w:rPr>
          <w:bCs/>
          <w:sz w:val="24"/>
          <w:szCs w:val="24"/>
        </w:rPr>
        <w:t>io</w:t>
      </w:r>
      <w:r w:rsidR="003F6339" w:rsidRPr="00A92E8C">
        <w:rPr>
          <w:bCs/>
          <w:sz w:val="24"/>
          <w:szCs w:val="24"/>
        </w:rPr>
        <w:t xml:space="preserve"> </w:t>
      </w:r>
      <w:r w:rsidR="007414B9" w:rsidRPr="00A92E8C">
        <w:rPr>
          <w:bCs/>
          <w:sz w:val="24"/>
          <w:szCs w:val="24"/>
        </w:rPr>
        <w:t>de</w:t>
      </w:r>
      <w:r w:rsidRPr="00A92E8C">
        <w:rPr>
          <w:bCs/>
          <w:sz w:val="24"/>
          <w:szCs w:val="24"/>
        </w:rPr>
        <w:t xml:space="preserve"> dos mil </w:t>
      </w:r>
      <w:r w:rsidR="00726B1F" w:rsidRPr="00A92E8C">
        <w:rPr>
          <w:bCs/>
          <w:sz w:val="24"/>
          <w:szCs w:val="24"/>
        </w:rPr>
        <w:t>veintiuno</w:t>
      </w:r>
      <w:r w:rsidRPr="00A92E8C">
        <w:rPr>
          <w:bCs/>
          <w:sz w:val="24"/>
          <w:szCs w:val="24"/>
        </w:rPr>
        <w:t xml:space="preserve"> (</w:t>
      </w:r>
      <w:r w:rsidR="00726B1F" w:rsidRPr="00A92E8C">
        <w:rPr>
          <w:bCs/>
          <w:sz w:val="24"/>
          <w:szCs w:val="24"/>
        </w:rPr>
        <w:t>2021</w:t>
      </w:r>
      <w:r w:rsidRPr="00A92E8C">
        <w:rPr>
          <w:bCs/>
          <w:sz w:val="24"/>
          <w:szCs w:val="24"/>
        </w:rPr>
        <w:t>)</w:t>
      </w:r>
    </w:p>
    <w:p w14:paraId="08FDD8A8" w14:textId="77777777" w:rsidR="001A5D58" w:rsidRPr="00A92E8C" w:rsidRDefault="001A5D58" w:rsidP="00A92E8C">
      <w:pPr>
        <w:spacing w:line="276" w:lineRule="auto"/>
        <w:contextualSpacing/>
        <w:rPr>
          <w:b/>
          <w:sz w:val="24"/>
          <w:szCs w:val="24"/>
        </w:rPr>
      </w:pPr>
    </w:p>
    <w:p w14:paraId="3F4DFDB1" w14:textId="77777777" w:rsidR="003A3257" w:rsidRPr="00A4311C" w:rsidRDefault="003A3257" w:rsidP="003A3257">
      <w:pPr>
        <w:spacing w:line="276" w:lineRule="auto"/>
        <w:ind w:left="1620" w:hanging="1620"/>
        <w:contextualSpacing/>
        <w:rPr>
          <w:b/>
          <w:sz w:val="24"/>
          <w:szCs w:val="24"/>
        </w:rPr>
      </w:pPr>
      <w:r w:rsidRPr="00A4311C">
        <w:rPr>
          <w:b/>
          <w:sz w:val="24"/>
          <w:szCs w:val="24"/>
        </w:rPr>
        <w:t xml:space="preserve">Referencia: </w:t>
      </w:r>
      <w:r w:rsidRPr="00A4311C">
        <w:rPr>
          <w:b/>
          <w:sz w:val="24"/>
          <w:szCs w:val="24"/>
        </w:rPr>
        <w:tab/>
      </w:r>
      <w:r w:rsidRPr="00A4311C">
        <w:rPr>
          <w:sz w:val="24"/>
          <w:szCs w:val="24"/>
        </w:rPr>
        <w:t>Acción de Tutela</w:t>
      </w:r>
    </w:p>
    <w:p w14:paraId="2E0A49F7" w14:textId="77777777" w:rsidR="003A3257" w:rsidRPr="00A4311C" w:rsidRDefault="003A3257" w:rsidP="003A3257">
      <w:pPr>
        <w:spacing w:line="276" w:lineRule="auto"/>
        <w:ind w:left="1620" w:hanging="1620"/>
        <w:contextualSpacing/>
        <w:rPr>
          <w:sz w:val="24"/>
          <w:szCs w:val="24"/>
        </w:rPr>
      </w:pPr>
      <w:r w:rsidRPr="00A4311C">
        <w:rPr>
          <w:b/>
          <w:sz w:val="24"/>
          <w:szCs w:val="24"/>
        </w:rPr>
        <w:t>Radicación:</w:t>
      </w:r>
      <w:r w:rsidRPr="00A4311C">
        <w:rPr>
          <w:b/>
          <w:sz w:val="24"/>
          <w:szCs w:val="24"/>
        </w:rPr>
        <w:tab/>
      </w:r>
      <w:r w:rsidRPr="00A4311C">
        <w:rPr>
          <w:sz w:val="24"/>
          <w:szCs w:val="24"/>
        </w:rPr>
        <w:t>11001-03-15-000-2021-02339-00</w:t>
      </w:r>
    </w:p>
    <w:p w14:paraId="5BC45A53" w14:textId="77777777" w:rsidR="003A3257" w:rsidRPr="00A4311C" w:rsidRDefault="003A3257" w:rsidP="003A3257">
      <w:pPr>
        <w:spacing w:line="276" w:lineRule="auto"/>
        <w:ind w:left="1620" w:hanging="1620"/>
        <w:contextualSpacing/>
        <w:rPr>
          <w:sz w:val="24"/>
          <w:szCs w:val="24"/>
        </w:rPr>
      </w:pPr>
      <w:r w:rsidRPr="00A4311C">
        <w:rPr>
          <w:b/>
          <w:sz w:val="24"/>
          <w:szCs w:val="24"/>
        </w:rPr>
        <w:t>Accionante:</w:t>
      </w:r>
      <w:r w:rsidRPr="00A4311C">
        <w:rPr>
          <w:b/>
          <w:sz w:val="24"/>
          <w:szCs w:val="24"/>
        </w:rPr>
        <w:tab/>
      </w:r>
      <w:r w:rsidRPr="00A4311C">
        <w:rPr>
          <w:bCs/>
          <w:sz w:val="24"/>
          <w:szCs w:val="24"/>
        </w:rPr>
        <w:t>Luis Eduardo Azcárate Alarcón</w:t>
      </w:r>
    </w:p>
    <w:p w14:paraId="16CA1AF1" w14:textId="27361A90" w:rsidR="003A3257" w:rsidRPr="00A4311C" w:rsidRDefault="003A3257" w:rsidP="003A3257">
      <w:pPr>
        <w:spacing w:line="276" w:lineRule="auto"/>
        <w:ind w:left="1620" w:hanging="1620"/>
        <w:contextualSpacing/>
        <w:rPr>
          <w:bCs/>
          <w:sz w:val="24"/>
          <w:szCs w:val="24"/>
        </w:rPr>
      </w:pPr>
      <w:r w:rsidRPr="00A4311C">
        <w:rPr>
          <w:b/>
          <w:sz w:val="24"/>
          <w:szCs w:val="24"/>
        </w:rPr>
        <w:t>Accionados:</w:t>
      </w:r>
      <w:r w:rsidRPr="00A4311C">
        <w:rPr>
          <w:b/>
          <w:sz w:val="24"/>
          <w:szCs w:val="24"/>
        </w:rPr>
        <w:tab/>
      </w:r>
      <w:r w:rsidRPr="00A4311C">
        <w:rPr>
          <w:bCs/>
          <w:sz w:val="24"/>
          <w:szCs w:val="24"/>
        </w:rPr>
        <w:t xml:space="preserve">Tribunal Administrativo del Valle del Cauca y </w:t>
      </w:r>
      <w:r w:rsidR="00805B8B">
        <w:rPr>
          <w:bCs/>
          <w:sz w:val="24"/>
          <w:szCs w:val="24"/>
        </w:rPr>
        <w:t>m</w:t>
      </w:r>
      <w:r w:rsidRPr="00A4311C">
        <w:rPr>
          <w:bCs/>
          <w:sz w:val="24"/>
          <w:szCs w:val="24"/>
        </w:rPr>
        <w:t>unicipio de Cali</w:t>
      </w:r>
    </w:p>
    <w:p w14:paraId="56FB1AEA" w14:textId="77777777" w:rsidR="001A5D58" w:rsidRPr="00A92E8C" w:rsidRDefault="001A5D58" w:rsidP="00A92E8C">
      <w:pPr>
        <w:spacing w:line="276" w:lineRule="auto"/>
        <w:ind w:right="51"/>
        <w:contextualSpacing/>
        <w:rPr>
          <w:b/>
          <w:sz w:val="24"/>
          <w:szCs w:val="24"/>
        </w:rPr>
      </w:pPr>
    </w:p>
    <w:p w14:paraId="5502B028" w14:textId="2DBBA438" w:rsidR="000C5DB7" w:rsidRPr="00A92E8C" w:rsidRDefault="000C5DB7" w:rsidP="00A92E8C">
      <w:pPr>
        <w:pBdr>
          <w:bottom w:val="single" w:sz="12" w:space="0" w:color="auto"/>
        </w:pBdr>
        <w:spacing w:line="276" w:lineRule="auto"/>
        <w:ind w:left="2832" w:hanging="2832"/>
        <w:contextualSpacing/>
        <w:rPr>
          <w:b/>
          <w:sz w:val="24"/>
          <w:szCs w:val="24"/>
        </w:rPr>
      </w:pPr>
      <w:r w:rsidRPr="00A92E8C">
        <w:rPr>
          <w:b/>
          <w:sz w:val="24"/>
          <w:szCs w:val="24"/>
        </w:rPr>
        <w:t xml:space="preserve">SENTENCIA DE </w:t>
      </w:r>
      <w:r w:rsidR="001A5D58" w:rsidRPr="00A92E8C">
        <w:rPr>
          <w:b/>
          <w:sz w:val="24"/>
          <w:szCs w:val="24"/>
        </w:rPr>
        <w:t>PRIMERA</w:t>
      </w:r>
      <w:r w:rsidRPr="00A92E8C">
        <w:rPr>
          <w:b/>
          <w:sz w:val="24"/>
          <w:szCs w:val="24"/>
        </w:rPr>
        <w:t xml:space="preserve"> INSTANCIA</w:t>
      </w:r>
    </w:p>
    <w:p w14:paraId="632CC7FE" w14:textId="77777777" w:rsidR="000C5DB7" w:rsidRPr="00A92E8C" w:rsidRDefault="000C5DB7" w:rsidP="00A92E8C">
      <w:pPr>
        <w:spacing w:line="276" w:lineRule="auto"/>
        <w:contextualSpacing/>
        <w:rPr>
          <w:b/>
          <w:sz w:val="24"/>
          <w:szCs w:val="24"/>
        </w:rPr>
      </w:pPr>
    </w:p>
    <w:p w14:paraId="480156D4" w14:textId="41A7C21B" w:rsidR="0097486A" w:rsidRPr="00A92E8C" w:rsidRDefault="000C5DB7" w:rsidP="00A92E8C">
      <w:pPr>
        <w:spacing w:line="276" w:lineRule="auto"/>
        <w:contextualSpacing/>
        <w:rPr>
          <w:sz w:val="24"/>
          <w:szCs w:val="24"/>
        </w:rPr>
      </w:pPr>
      <w:r w:rsidRPr="00A92E8C">
        <w:rPr>
          <w:sz w:val="24"/>
          <w:szCs w:val="24"/>
        </w:rPr>
        <w:t>La Sala decide</w:t>
      </w:r>
      <w:r w:rsidR="0097486A" w:rsidRPr="00A92E8C">
        <w:rPr>
          <w:sz w:val="24"/>
          <w:szCs w:val="24"/>
        </w:rPr>
        <w:t xml:space="preserve"> </w:t>
      </w:r>
      <w:r w:rsidR="005717A7" w:rsidRPr="00A92E8C">
        <w:rPr>
          <w:sz w:val="24"/>
          <w:szCs w:val="24"/>
        </w:rPr>
        <w:t xml:space="preserve">la </w:t>
      </w:r>
      <w:r w:rsidR="009E4D16" w:rsidRPr="00A92E8C">
        <w:rPr>
          <w:sz w:val="24"/>
          <w:szCs w:val="24"/>
        </w:rPr>
        <w:t>solicitud de amparo</w:t>
      </w:r>
      <w:r w:rsidR="005717A7" w:rsidRPr="00A92E8C">
        <w:rPr>
          <w:sz w:val="24"/>
          <w:szCs w:val="24"/>
        </w:rPr>
        <w:t xml:space="preserve"> que</w:t>
      </w:r>
      <w:r w:rsidR="00A545B5" w:rsidRPr="00A92E8C">
        <w:rPr>
          <w:sz w:val="24"/>
          <w:szCs w:val="24"/>
        </w:rPr>
        <w:t xml:space="preserve"> </w:t>
      </w:r>
      <w:r w:rsidR="005717A7" w:rsidRPr="00A92E8C">
        <w:rPr>
          <w:sz w:val="24"/>
          <w:szCs w:val="24"/>
        </w:rPr>
        <w:t>present</w:t>
      </w:r>
      <w:r w:rsidR="009D0BD4" w:rsidRPr="00A92E8C">
        <w:rPr>
          <w:sz w:val="24"/>
          <w:szCs w:val="24"/>
        </w:rPr>
        <w:t>ó</w:t>
      </w:r>
      <w:r w:rsidR="005717A7" w:rsidRPr="00A92E8C">
        <w:rPr>
          <w:sz w:val="24"/>
          <w:szCs w:val="24"/>
        </w:rPr>
        <w:t xml:space="preserve"> </w:t>
      </w:r>
      <w:r w:rsidR="003A3257" w:rsidRPr="003A3257">
        <w:rPr>
          <w:bCs/>
          <w:sz w:val="24"/>
          <w:szCs w:val="24"/>
        </w:rPr>
        <w:t>Luis Eduardo Azcárate Alarcón</w:t>
      </w:r>
      <w:r w:rsidR="009566CE" w:rsidRPr="00A92E8C">
        <w:rPr>
          <w:bCs/>
          <w:sz w:val="24"/>
          <w:szCs w:val="24"/>
        </w:rPr>
        <w:t xml:space="preserve"> </w:t>
      </w:r>
      <w:r w:rsidR="00163274">
        <w:rPr>
          <w:bCs/>
          <w:sz w:val="24"/>
          <w:szCs w:val="24"/>
        </w:rPr>
        <w:t xml:space="preserve">en </w:t>
      </w:r>
      <w:r w:rsidR="005717A7" w:rsidRPr="00A92E8C">
        <w:rPr>
          <w:sz w:val="24"/>
          <w:szCs w:val="24"/>
        </w:rPr>
        <w:t xml:space="preserve">contra </w:t>
      </w:r>
      <w:r w:rsidR="003A3257">
        <w:rPr>
          <w:sz w:val="24"/>
          <w:szCs w:val="24"/>
        </w:rPr>
        <w:t>del</w:t>
      </w:r>
      <w:r w:rsidR="00091BDC">
        <w:rPr>
          <w:sz w:val="24"/>
          <w:szCs w:val="24"/>
        </w:rPr>
        <w:t xml:space="preserve"> </w:t>
      </w:r>
      <w:r w:rsidR="003A3257" w:rsidRPr="003A3257">
        <w:rPr>
          <w:sz w:val="24"/>
          <w:szCs w:val="24"/>
        </w:rPr>
        <w:t xml:space="preserve">Tribunal Administrativo del Valle del Cauca y </w:t>
      </w:r>
      <w:r w:rsidR="003A3257">
        <w:rPr>
          <w:sz w:val="24"/>
          <w:szCs w:val="24"/>
        </w:rPr>
        <w:t>el m</w:t>
      </w:r>
      <w:r w:rsidR="003A3257" w:rsidRPr="003A3257">
        <w:rPr>
          <w:sz w:val="24"/>
          <w:szCs w:val="24"/>
        </w:rPr>
        <w:t>unicipio de Cali</w:t>
      </w:r>
      <w:r w:rsidR="004D6E58" w:rsidRPr="00A92E8C">
        <w:rPr>
          <w:bCs/>
          <w:sz w:val="24"/>
          <w:szCs w:val="24"/>
        </w:rPr>
        <w:t>.</w:t>
      </w:r>
    </w:p>
    <w:p w14:paraId="766CF102" w14:textId="77777777" w:rsidR="00E57BB4" w:rsidRPr="00A92E8C" w:rsidRDefault="00E57BB4" w:rsidP="00A92E8C">
      <w:pPr>
        <w:spacing w:line="276" w:lineRule="auto"/>
        <w:contextualSpacing/>
        <w:rPr>
          <w:sz w:val="24"/>
          <w:szCs w:val="24"/>
        </w:rPr>
      </w:pPr>
    </w:p>
    <w:p w14:paraId="4C66CC71" w14:textId="77777777" w:rsidR="000C5DB7" w:rsidRPr="00A92E8C" w:rsidRDefault="000C5DB7" w:rsidP="00A92E8C">
      <w:pPr>
        <w:pStyle w:val="Heading1"/>
        <w:spacing w:before="0" w:after="0"/>
        <w:rPr>
          <w:rFonts w:cs="Arial"/>
          <w:kern w:val="0"/>
          <w:szCs w:val="24"/>
        </w:rPr>
      </w:pPr>
      <w:r w:rsidRPr="00A92E8C">
        <w:rPr>
          <w:rFonts w:cs="Arial"/>
          <w:kern w:val="0"/>
          <w:szCs w:val="24"/>
        </w:rPr>
        <w:t>ANTECEDENTES</w:t>
      </w:r>
    </w:p>
    <w:p w14:paraId="1EBDE87D" w14:textId="77777777" w:rsidR="00E57BB4" w:rsidRPr="00A92E8C" w:rsidRDefault="00E57BB4" w:rsidP="00A92E8C">
      <w:pPr>
        <w:pStyle w:val="Heading2"/>
        <w:numPr>
          <w:ilvl w:val="0"/>
          <w:numId w:val="0"/>
        </w:numPr>
        <w:spacing w:before="0" w:after="0" w:line="276" w:lineRule="auto"/>
        <w:rPr>
          <w:rFonts w:cs="Arial"/>
          <w:szCs w:val="24"/>
          <w:lang w:eastAsia="es-ES"/>
        </w:rPr>
      </w:pPr>
    </w:p>
    <w:p w14:paraId="768CCA4A" w14:textId="405CC458" w:rsidR="00FF190B" w:rsidRPr="00A92E8C" w:rsidRDefault="000C5DB7" w:rsidP="00A92E8C">
      <w:pPr>
        <w:pStyle w:val="Heading2"/>
        <w:spacing w:before="0" w:after="0" w:line="276" w:lineRule="auto"/>
        <w:ind w:left="0" w:firstLine="0"/>
        <w:rPr>
          <w:rFonts w:cs="Arial"/>
          <w:szCs w:val="24"/>
          <w:lang w:eastAsia="es-ES"/>
        </w:rPr>
      </w:pPr>
      <w:r w:rsidRPr="00A92E8C">
        <w:rPr>
          <w:rFonts w:cs="Arial"/>
          <w:szCs w:val="24"/>
          <w:lang w:eastAsia="es-ES"/>
        </w:rPr>
        <w:t>Solicitud de tutela</w:t>
      </w:r>
      <w:r w:rsidR="00F340F8" w:rsidRPr="00A92E8C">
        <w:rPr>
          <w:rFonts w:cs="Arial"/>
          <w:szCs w:val="24"/>
          <w:lang w:eastAsia="es-ES"/>
        </w:rPr>
        <w:t xml:space="preserve"> y pretensiones</w:t>
      </w:r>
    </w:p>
    <w:p w14:paraId="20E70C7F" w14:textId="77777777" w:rsidR="003A3257" w:rsidRPr="00A4311C" w:rsidRDefault="003A3257" w:rsidP="003A3257">
      <w:pPr>
        <w:overflowPunct w:val="0"/>
        <w:autoSpaceDE w:val="0"/>
        <w:autoSpaceDN w:val="0"/>
        <w:adjustRightInd w:val="0"/>
        <w:spacing w:line="276" w:lineRule="auto"/>
        <w:contextualSpacing/>
        <w:textAlignment w:val="baseline"/>
        <w:rPr>
          <w:sz w:val="24"/>
          <w:szCs w:val="24"/>
        </w:rPr>
      </w:pPr>
    </w:p>
    <w:p w14:paraId="5AD73582" w14:textId="77777777" w:rsidR="003A3257" w:rsidRPr="00A4311C" w:rsidRDefault="003A3257" w:rsidP="003A3257">
      <w:pPr>
        <w:spacing w:line="276" w:lineRule="auto"/>
        <w:rPr>
          <w:spacing w:val="-2"/>
          <w:sz w:val="24"/>
          <w:szCs w:val="24"/>
        </w:rPr>
      </w:pPr>
      <w:r w:rsidRPr="00A4311C">
        <w:rPr>
          <w:sz w:val="24"/>
          <w:szCs w:val="24"/>
        </w:rPr>
        <w:t>Luis Eduardo Azcárate Alarcón, en nombre propio, solicitó</w:t>
      </w:r>
      <w:bookmarkStart w:id="0" w:name="_Ref73457092"/>
      <w:r w:rsidRPr="00A4311C">
        <w:rPr>
          <w:sz w:val="24"/>
          <w:szCs w:val="24"/>
          <w:vertAlign w:val="superscript"/>
        </w:rPr>
        <w:footnoteReference w:id="2"/>
      </w:r>
      <w:bookmarkEnd w:id="0"/>
      <w:r w:rsidRPr="00A4311C">
        <w:rPr>
          <w:sz w:val="24"/>
          <w:szCs w:val="24"/>
        </w:rPr>
        <w:t xml:space="preserve"> el amparo de sus derechos a la vida digna, a la salud y al mínimo vital. Tales garantías las consideró vulneradas por el municipio de Cali. En su memorial, el señor Azcárate narró que en el Tribunal Administrativo del Valle del Cauca cursa, en segunda instancia, el proceso</w:t>
      </w:r>
      <w:r w:rsidRPr="00805B8B">
        <w:rPr>
          <w:rStyle w:val="FootnoteReference"/>
          <w:sz w:val="24"/>
          <w:szCs w:val="24"/>
        </w:rPr>
        <w:footnoteReference w:id="3"/>
      </w:r>
      <w:r w:rsidRPr="00805B8B">
        <w:rPr>
          <w:sz w:val="40"/>
          <w:szCs w:val="40"/>
        </w:rPr>
        <w:t xml:space="preserve"> </w:t>
      </w:r>
      <w:r w:rsidRPr="00A4311C">
        <w:rPr>
          <w:sz w:val="24"/>
          <w:szCs w:val="24"/>
        </w:rPr>
        <w:t>de nulidad y restablecimiento del derecho a través del cual busca ser reconocido como sucesor pensional de su padre, Alfonso Azcárate Castrillón. Luego, expresó que, mientras se surte el trámite procesal en cita, el pago de la pensión objeto de litigio está suspendida. Por tal motivo, arguyó que no percibe ingresos y no consigue trabajo dada su edad e invalidez. Debido a ello, adujo que no cuenta con recursos para subsistir.</w:t>
      </w:r>
    </w:p>
    <w:p w14:paraId="0D2CA01C" w14:textId="77777777" w:rsidR="003A3257" w:rsidRPr="00A4311C" w:rsidRDefault="003A3257" w:rsidP="003A3257">
      <w:pPr>
        <w:spacing w:line="276" w:lineRule="auto"/>
        <w:rPr>
          <w:sz w:val="24"/>
          <w:szCs w:val="24"/>
        </w:rPr>
      </w:pPr>
    </w:p>
    <w:p w14:paraId="179E999A" w14:textId="38A5B56B" w:rsidR="003A3257" w:rsidRDefault="003A3257" w:rsidP="003A3257">
      <w:pPr>
        <w:spacing w:line="276" w:lineRule="auto"/>
        <w:rPr>
          <w:sz w:val="24"/>
          <w:szCs w:val="24"/>
        </w:rPr>
      </w:pPr>
      <w:r w:rsidRPr="00A4311C">
        <w:rPr>
          <w:sz w:val="24"/>
          <w:szCs w:val="24"/>
        </w:rPr>
        <w:t>El actor pretendió que e</w:t>
      </w:r>
      <w:r w:rsidR="00A24059">
        <w:rPr>
          <w:sz w:val="24"/>
          <w:szCs w:val="24"/>
        </w:rPr>
        <w:t>ste</w:t>
      </w:r>
      <w:r w:rsidRPr="00A4311C">
        <w:rPr>
          <w:sz w:val="24"/>
          <w:szCs w:val="24"/>
        </w:rPr>
        <w:t xml:space="preserve"> juez de tutela ordene que la entidad territorial accionada le pague el cincuenta por ciento (50%) de la correspondiente mesada pensional mientras el referido tribunal resuelve en segunda instancia el </w:t>
      </w:r>
      <w:r w:rsidR="00A527BB">
        <w:rPr>
          <w:sz w:val="24"/>
          <w:szCs w:val="24"/>
        </w:rPr>
        <w:t>mencionado</w:t>
      </w:r>
      <w:r w:rsidRPr="00A4311C">
        <w:rPr>
          <w:sz w:val="24"/>
          <w:szCs w:val="24"/>
        </w:rPr>
        <w:t xml:space="preserve"> proceso.</w:t>
      </w:r>
    </w:p>
    <w:p w14:paraId="0F60D593" w14:textId="77777777" w:rsidR="003A3257" w:rsidRPr="00A92E8C" w:rsidRDefault="003A3257" w:rsidP="00A92E8C">
      <w:pPr>
        <w:overflowPunct w:val="0"/>
        <w:autoSpaceDE w:val="0"/>
        <w:autoSpaceDN w:val="0"/>
        <w:adjustRightInd w:val="0"/>
        <w:spacing w:line="276" w:lineRule="auto"/>
        <w:contextualSpacing/>
        <w:textAlignment w:val="baseline"/>
        <w:rPr>
          <w:sz w:val="24"/>
          <w:szCs w:val="24"/>
        </w:rPr>
      </w:pPr>
    </w:p>
    <w:p w14:paraId="3FAB417C" w14:textId="77777777" w:rsidR="000C5DB7" w:rsidRPr="00A92E8C" w:rsidRDefault="000C5DB7" w:rsidP="00A92E8C">
      <w:pPr>
        <w:numPr>
          <w:ilvl w:val="0"/>
          <w:numId w:val="3"/>
        </w:numPr>
        <w:spacing w:line="276" w:lineRule="auto"/>
        <w:ind w:left="0" w:firstLine="0"/>
        <w:contextualSpacing/>
        <w:rPr>
          <w:rFonts w:eastAsia="Verdana"/>
          <w:b/>
          <w:sz w:val="24"/>
          <w:szCs w:val="24"/>
        </w:rPr>
      </w:pPr>
      <w:r w:rsidRPr="00A92E8C">
        <w:rPr>
          <w:rFonts w:eastAsia="Verdana"/>
          <w:b/>
          <w:sz w:val="24"/>
          <w:szCs w:val="24"/>
        </w:rPr>
        <w:t>Hechos</w:t>
      </w:r>
    </w:p>
    <w:p w14:paraId="27FBFA21" w14:textId="4DBFBA75" w:rsidR="00166AF6" w:rsidRPr="00A92E8C" w:rsidRDefault="00166AF6" w:rsidP="00A92E8C">
      <w:pPr>
        <w:spacing w:line="276" w:lineRule="auto"/>
        <w:contextualSpacing/>
        <w:rPr>
          <w:rFonts w:eastAsia="Verdana"/>
          <w:sz w:val="24"/>
          <w:szCs w:val="24"/>
        </w:rPr>
      </w:pPr>
    </w:p>
    <w:p w14:paraId="033A532D" w14:textId="0713F157" w:rsidR="00D047E9" w:rsidRDefault="00D047E9" w:rsidP="00D047E9">
      <w:pPr>
        <w:spacing w:line="276" w:lineRule="auto"/>
        <w:rPr>
          <w:sz w:val="24"/>
          <w:szCs w:val="24"/>
        </w:rPr>
      </w:pPr>
      <w:r>
        <w:rPr>
          <w:sz w:val="24"/>
          <w:szCs w:val="24"/>
        </w:rPr>
        <w:t>El actor explicó que, desde 1963, perdió su brazo derecho. Debido a esa discapacidad siempre dependió económicamente de su padre</w:t>
      </w:r>
      <w:r w:rsidR="00A24059">
        <w:rPr>
          <w:sz w:val="24"/>
          <w:szCs w:val="24"/>
        </w:rPr>
        <w:t>,</w:t>
      </w:r>
      <w:r>
        <w:rPr>
          <w:sz w:val="24"/>
          <w:szCs w:val="24"/>
        </w:rPr>
        <w:t xml:space="preserve"> Alfonso Azcárate Castrillón, quien murió el 28 de septiembre de 2002.  En consecuencia del mencionado fallecimiento, se presentó una disputa por la </w:t>
      </w:r>
      <w:r w:rsidR="004B3D92" w:rsidRPr="004B3D92">
        <w:rPr>
          <w:sz w:val="24"/>
          <w:szCs w:val="24"/>
        </w:rPr>
        <w:t xml:space="preserve">correspondiente </w:t>
      </w:r>
      <w:r>
        <w:rPr>
          <w:sz w:val="24"/>
          <w:szCs w:val="24"/>
        </w:rPr>
        <w:t xml:space="preserve">sucesión pensional entre él y Rubiela Orrego López, quien actuó como compañera permanente del causante. Como resultado, </w:t>
      </w:r>
      <w:bookmarkStart w:id="1" w:name="_Hlk73610489"/>
      <w:r>
        <w:rPr>
          <w:sz w:val="24"/>
          <w:szCs w:val="24"/>
        </w:rPr>
        <w:t xml:space="preserve">el municipio de Cali expidió la resolución </w:t>
      </w:r>
      <w:r w:rsidRPr="00D047E9">
        <w:rPr>
          <w:sz w:val="24"/>
          <w:szCs w:val="24"/>
        </w:rPr>
        <w:t>SARH</w:t>
      </w:r>
      <w:r w:rsidR="000D4F5D">
        <w:rPr>
          <w:sz w:val="24"/>
          <w:szCs w:val="24"/>
        </w:rPr>
        <w:t>-</w:t>
      </w:r>
      <w:r w:rsidRPr="00D047E9">
        <w:rPr>
          <w:sz w:val="24"/>
          <w:szCs w:val="24"/>
        </w:rPr>
        <w:t>GPE-0358 del 6 de mayo</w:t>
      </w:r>
      <w:r w:rsidR="000D4F5D">
        <w:rPr>
          <w:sz w:val="24"/>
          <w:szCs w:val="24"/>
        </w:rPr>
        <w:t xml:space="preserve"> </w:t>
      </w:r>
      <w:r w:rsidRPr="00D047E9">
        <w:rPr>
          <w:sz w:val="24"/>
          <w:szCs w:val="24"/>
        </w:rPr>
        <w:t>de 2003</w:t>
      </w:r>
      <w:r>
        <w:rPr>
          <w:sz w:val="24"/>
          <w:szCs w:val="24"/>
        </w:rPr>
        <w:t xml:space="preserve">, por la cual reconoció a la señora Orrego como única </w:t>
      </w:r>
      <w:bookmarkEnd w:id="1"/>
      <w:r w:rsidR="00A24059">
        <w:rPr>
          <w:sz w:val="24"/>
          <w:szCs w:val="24"/>
        </w:rPr>
        <w:t>sustituta</w:t>
      </w:r>
      <w:r>
        <w:rPr>
          <w:sz w:val="24"/>
          <w:szCs w:val="24"/>
        </w:rPr>
        <w:t xml:space="preserve">. En ese acto, la referida entidad territorial le negó al actor el cincuenta por ciento (50%) de la </w:t>
      </w:r>
      <w:r>
        <w:rPr>
          <w:sz w:val="24"/>
          <w:szCs w:val="24"/>
        </w:rPr>
        <w:lastRenderedPageBreak/>
        <w:t xml:space="preserve">respectiva prestación económica, pues, en criterio de esta, no demostró su incapacidad ni su dependencia </w:t>
      </w:r>
      <w:r w:rsidR="004B3D92">
        <w:rPr>
          <w:sz w:val="24"/>
          <w:szCs w:val="24"/>
        </w:rPr>
        <w:t>respecto del difunto señor Azcárate Castrillón</w:t>
      </w:r>
      <w:r>
        <w:rPr>
          <w:sz w:val="24"/>
          <w:szCs w:val="24"/>
        </w:rPr>
        <w:t>.</w:t>
      </w:r>
    </w:p>
    <w:p w14:paraId="593FC663" w14:textId="77777777" w:rsidR="00D047E9" w:rsidRDefault="00D047E9" w:rsidP="00D047E9">
      <w:pPr>
        <w:spacing w:line="276" w:lineRule="auto"/>
        <w:rPr>
          <w:sz w:val="24"/>
          <w:szCs w:val="24"/>
        </w:rPr>
      </w:pPr>
    </w:p>
    <w:p w14:paraId="445987EF" w14:textId="6990EC91" w:rsidR="00F873D3" w:rsidRDefault="00D047E9" w:rsidP="00D047E9">
      <w:pPr>
        <w:spacing w:line="276" w:lineRule="auto"/>
        <w:rPr>
          <w:sz w:val="24"/>
          <w:szCs w:val="24"/>
        </w:rPr>
      </w:pPr>
      <w:r>
        <w:rPr>
          <w:sz w:val="24"/>
          <w:szCs w:val="24"/>
        </w:rPr>
        <w:t>Tras el deceso de la señora Orrego, ocurrido el 12 de octubre de 2010, el accionante instauró demanda de nulidad y restablecimiento del derecho contra el mencionado municipio. A su libelo</w:t>
      </w:r>
      <w:r w:rsidR="004B3D92" w:rsidRPr="004B3D92">
        <w:rPr>
          <w:sz w:val="24"/>
          <w:szCs w:val="24"/>
        </w:rPr>
        <w:t>, prosiguió con su narración,</w:t>
      </w:r>
      <w:r>
        <w:rPr>
          <w:sz w:val="24"/>
          <w:szCs w:val="24"/>
        </w:rPr>
        <w:t xml:space="preserve"> anexó el dictamen de pérdida de capacidad laboral, en el que consta que el porcentaje de rigor asciende a</w:t>
      </w:r>
      <w:r w:rsidR="004B3D92">
        <w:rPr>
          <w:sz w:val="24"/>
          <w:szCs w:val="24"/>
        </w:rPr>
        <w:t>l</w:t>
      </w:r>
      <w:r>
        <w:rPr>
          <w:sz w:val="24"/>
          <w:szCs w:val="24"/>
        </w:rPr>
        <w:t xml:space="preserve"> sesenta y tres coma setenta y cuatro puntos (63,74%)</w:t>
      </w:r>
      <w:r w:rsidR="002F2CEE">
        <w:rPr>
          <w:sz w:val="24"/>
          <w:szCs w:val="24"/>
        </w:rPr>
        <w:t>.</w:t>
      </w:r>
      <w:r w:rsidR="004B3D92">
        <w:rPr>
          <w:sz w:val="24"/>
          <w:szCs w:val="24"/>
        </w:rPr>
        <w:t xml:space="preserve"> En primera instancia, continuó, el Juzgado Segundo Administrativo del Circuito Judicial de Cali, mediante sentencia del 20 de junio de 2019, accedió a las pretensiones de la demanda. De ese modo, ordenó que la prestación económica en discusión se concediera, en un cincuenta por ciento (50%), a favor del solicitante, y el otro cincuenta (50%), a favor de la señora Orrego.</w:t>
      </w:r>
    </w:p>
    <w:p w14:paraId="22B1603E" w14:textId="09C5DFCD" w:rsidR="004B3D92" w:rsidRDefault="004B3D92" w:rsidP="00D047E9">
      <w:pPr>
        <w:spacing w:line="276" w:lineRule="auto"/>
        <w:rPr>
          <w:sz w:val="24"/>
          <w:szCs w:val="24"/>
        </w:rPr>
      </w:pPr>
    </w:p>
    <w:p w14:paraId="07277492" w14:textId="4C1B6792" w:rsidR="004B3D92" w:rsidRDefault="004B3D92" w:rsidP="00D047E9">
      <w:pPr>
        <w:spacing w:line="276" w:lineRule="auto"/>
        <w:rPr>
          <w:sz w:val="24"/>
          <w:szCs w:val="24"/>
        </w:rPr>
      </w:pPr>
      <w:r>
        <w:rPr>
          <w:sz w:val="24"/>
          <w:szCs w:val="24"/>
        </w:rPr>
        <w:t xml:space="preserve">El peticionario apeló la decisión en comento en el sentido de argüir que él tenía derecho al ciento por ciento (100%) de la pensión objeto de reclamo, toda vez que la señora Orrego murió en 2010. El recurso en cita se encuentra en trámite en el Tribunal Administrativo del Valle del Cauca. Sin embargo, adujo, el pago de la pensión en disputa se encuentra suspendido desde el fallecimiento de la señora Orrego. Esto, concluyó </w:t>
      </w:r>
      <w:r w:rsidRPr="004B3D92">
        <w:rPr>
          <w:sz w:val="24"/>
          <w:szCs w:val="24"/>
        </w:rPr>
        <w:t>el peticionario</w:t>
      </w:r>
      <w:r>
        <w:rPr>
          <w:sz w:val="24"/>
          <w:szCs w:val="24"/>
        </w:rPr>
        <w:t>, lo está afectando gravemente, pues no tiene trabajo, capacidad laboral ni recursos para sostenerse mientras termina el referido proceso. A esto se une su edad y una nueva negativa del municipio de Cali de ampararlo hasta tanto culmine el mencionado trámite procesal.</w:t>
      </w:r>
      <w:r w:rsidR="004C4C34">
        <w:rPr>
          <w:sz w:val="24"/>
          <w:szCs w:val="24"/>
        </w:rPr>
        <w:t xml:space="preserve"> Al respecto, la entidad territorial demandada alegó que el recurso en mención se concedió en el efecto suspensivo.</w:t>
      </w:r>
    </w:p>
    <w:p w14:paraId="57EF63FA" w14:textId="77777777" w:rsidR="00D047E9" w:rsidRPr="00A92E8C" w:rsidRDefault="00D047E9" w:rsidP="00D047E9">
      <w:pPr>
        <w:spacing w:line="276" w:lineRule="auto"/>
        <w:rPr>
          <w:sz w:val="24"/>
          <w:szCs w:val="24"/>
        </w:rPr>
      </w:pPr>
    </w:p>
    <w:p w14:paraId="1A1C16A6" w14:textId="77777777" w:rsidR="000C5DB7" w:rsidRPr="00A92E8C" w:rsidRDefault="000C5DB7" w:rsidP="00A92E8C">
      <w:pPr>
        <w:numPr>
          <w:ilvl w:val="0"/>
          <w:numId w:val="3"/>
        </w:numPr>
        <w:overflowPunct w:val="0"/>
        <w:autoSpaceDE w:val="0"/>
        <w:autoSpaceDN w:val="0"/>
        <w:adjustRightInd w:val="0"/>
        <w:spacing w:line="276" w:lineRule="auto"/>
        <w:ind w:left="0" w:firstLine="0"/>
        <w:contextualSpacing/>
        <w:rPr>
          <w:sz w:val="24"/>
          <w:szCs w:val="24"/>
        </w:rPr>
      </w:pPr>
      <w:r w:rsidRPr="00A92E8C">
        <w:rPr>
          <w:rFonts w:eastAsia="Arial Unicode MS"/>
          <w:b/>
          <w:sz w:val="24"/>
          <w:szCs w:val="24"/>
        </w:rPr>
        <w:t>Argumentos de la solicitud de tutela</w:t>
      </w:r>
    </w:p>
    <w:p w14:paraId="429DA94F" w14:textId="39692AA2" w:rsidR="00166AF6" w:rsidRPr="00A92E8C" w:rsidRDefault="00166AF6" w:rsidP="00A92E8C">
      <w:pPr>
        <w:overflowPunct w:val="0"/>
        <w:autoSpaceDE w:val="0"/>
        <w:autoSpaceDN w:val="0"/>
        <w:adjustRightInd w:val="0"/>
        <w:spacing w:line="276" w:lineRule="auto"/>
        <w:contextualSpacing/>
        <w:rPr>
          <w:sz w:val="24"/>
          <w:szCs w:val="24"/>
        </w:rPr>
      </w:pPr>
    </w:p>
    <w:p w14:paraId="4BD0D9A4" w14:textId="231E4750" w:rsidR="00EF03D5" w:rsidRDefault="00792E81" w:rsidP="00A92E8C">
      <w:pPr>
        <w:pStyle w:val="ListParagraph"/>
        <w:overflowPunct w:val="0"/>
        <w:autoSpaceDE w:val="0"/>
        <w:autoSpaceDN w:val="0"/>
        <w:adjustRightInd w:val="0"/>
        <w:spacing w:line="276" w:lineRule="auto"/>
        <w:ind w:left="0"/>
        <w:rPr>
          <w:sz w:val="24"/>
          <w:szCs w:val="24"/>
        </w:rPr>
      </w:pPr>
      <w:r>
        <w:rPr>
          <w:sz w:val="24"/>
          <w:szCs w:val="24"/>
        </w:rPr>
        <w:t xml:space="preserve">El accionante transcribió </w:t>
      </w:r>
      <w:proofErr w:type="gramStart"/>
      <w:r>
        <w:rPr>
          <w:i/>
          <w:iCs/>
          <w:sz w:val="24"/>
          <w:szCs w:val="24"/>
        </w:rPr>
        <w:t>in extenso</w:t>
      </w:r>
      <w:proofErr w:type="gramEnd"/>
      <w:r>
        <w:rPr>
          <w:sz w:val="24"/>
          <w:szCs w:val="24"/>
        </w:rPr>
        <w:t xml:space="preserve"> varios pasajes tomados de diferentes sentencias proferidas por la Corte Constitucional. Los apartados seleccionados tienen que ver con la procedibilidad de la acción de tutela para el pago de prestaciones económicas. Igualmente, versan sobre el reconocimiento de la sucesión pensional a favor de hijos afectados con discapacidad. De esos extractos resaltó lo referente a las dificultades de enfermedad grave y urgencia manifiesta que, unidos a una situación económica precaria, habilitan al juez de tutela a intervenir en protección de la parte actora. A esas reflexiones adjuntó, entre otros documentos, su registro civil de nacimiento y el citado “dictamen de determinación de origen y pérdida de capacidad laboral y ocupacional”</w:t>
      </w:r>
      <w:r>
        <w:rPr>
          <w:rStyle w:val="FootnoteReference"/>
          <w:sz w:val="24"/>
          <w:szCs w:val="24"/>
        </w:rPr>
        <w:footnoteReference w:id="4"/>
      </w:r>
      <w:r>
        <w:rPr>
          <w:sz w:val="24"/>
          <w:szCs w:val="24"/>
        </w:rPr>
        <w:t>.</w:t>
      </w:r>
    </w:p>
    <w:p w14:paraId="722AAC4F" w14:textId="77777777" w:rsidR="00792E81" w:rsidRPr="00792E81" w:rsidRDefault="00792E81" w:rsidP="00A92E8C">
      <w:pPr>
        <w:pStyle w:val="ListParagraph"/>
        <w:overflowPunct w:val="0"/>
        <w:autoSpaceDE w:val="0"/>
        <w:autoSpaceDN w:val="0"/>
        <w:adjustRightInd w:val="0"/>
        <w:spacing w:line="276" w:lineRule="auto"/>
        <w:ind w:left="0"/>
        <w:rPr>
          <w:sz w:val="24"/>
          <w:szCs w:val="24"/>
        </w:rPr>
      </w:pPr>
    </w:p>
    <w:p w14:paraId="6E13F4BD" w14:textId="77777777" w:rsidR="000C5DB7" w:rsidRPr="00A92E8C" w:rsidRDefault="00E800E8" w:rsidP="00A92E8C">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A92E8C">
        <w:rPr>
          <w:b/>
          <w:sz w:val="24"/>
          <w:szCs w:val="24"/>
        </w:rPr>
        <w:t>Trámite</w:t>
      </w:r>
      <w:r w:rsidR="00166AF6" w:rsidRPr="00A92E8C">
        <w:rPr>
          <w:b/>
          <w:sz w:val="24"/>
          <w:szCs w:val="24"/>
        </w:rPr>
        <w:t xml:space="preserve"> de tutela e intervenciones  </w:t>
      </w:r>
    </w:p>
    <w:p w14:paraId="4606E5F4" w14:textId="77777777" w:rsidR="00456E6B" w:rsidRPr="00456E6B" w:rsidRDefault="00456E6B" w:rsidP="00456E6B">
      <w:pPr>
        <w:overflowPunct w:val="0"/>
        <w:autoSpaceDE w:val="0"/>
        <w:autoSpaceDN w:val="0"/>
        <w:adjustRightInd w:val="0"/>
        <w:spacing w:line="276" w:lineRule="auto"/>
        <w:contextualSpacing/>
        <w:rPr>
          <w:rFonts w:eastAsia="Times New Roman"/>
          <w:b/>
          <w:sz w:val="24"/>
          <w:szCs w:val="24"/>
          <w:lang w:eastAsia="es-ES"/>
        </w:rPr>
      </w:pPr>
    </w:p>
    <w:p w14:paraId="11B09497" w14:textId="77777777" w:rsidR="00456E6B" w:rsidRPr="00456E6B" w:rsidRDefault="00456E6B" w:rsidP="00456E6B">
      <w:pPr>
        <w:numPr>
          <w:ilvl w:val="1"/>
          <w:numId w:val="3"/>
        </w:numPr>
        <w:overflowPunct w:val="0"/>
        <w:autoSpaceDE w:val="0"/>
        <w:autoSpaceDN w:val="0"/>
        <w:adjustRightInd w:val="0"/>
        <w:spacing w:line="276" w:lineRule="auto"/>
        <w:ind w:left="0" w:firstLine="0"/>
        <w:contextualSpacing/>
        <w:rPr>
          <w:rFonts w:eastAsia="Verdana"/>
          <w:sz w:val="24"/>
          <w:szCs w:val="24"/>
        </w:rPr>
      </w:pPr>
      <w:r w:rsidRPr="00456E6B">
        <w:rPr>
          <w:rFonts w:eastAsia="Verdana"/>
          <w:sz w:val="24"/>
          <w:szCs w:val="24"/>
        </w:rPr>
        <w:t>En un primer momento, el presente proceso constitucional fue repartido al Juzgado Séptimo de Pequeñas Causas y Competencia Múltiple de Cali. Ese despacho admitió la solicitud de amparo por medio del auto</w:t>
      </w:r>
      <w:r w:rsidRPr="00456E6B">
        <w:rPr>
          <w:rFonts w:eastAsia="Verdana"/>
          <w:sz w:val="24"/>
          <w:szCs w:val="24"/>
          <w:vertAlign w:val="superscript"/>
        </w:rPr>
        <w:footnoteReference w:id="5"/>
      </w:r>
      <w:r w:rsidRPr="00456E6B">
        <w:rPr>
          <w:rFonts w:eastAsia="Verdana"/>
          <w:sz w:val="24"/>
          <w:szCs w:val="24"/>
        </w:rPr>
        <w:t xml:space="preserve"> proferido el 16 de abril de 2021. Allí, vinculó a esta acción al Tribunal Administrativo del Valle del Cauca.</w:t>
      </w:r>
    </w:p>
    <w:p w14:paraId="62BF6181" w14:textId="75E21AE9" w:rsidR="00456E6B" w:rsidRPr="00456E6B" w:rsidRDefault="00456E6B" w:rsidP="00456E6B">
      <w:pPr>
        <w:numPr>
          <w:ilvl w:val="1"/>
          <w:numId w:val="3"/>
        </w:numPr>
        <w:overflowPunct w:val="0"/>
        <w:autoSpaceDE w:val="0"/>
        <w:autoSpaceDN w:val="0"/>
        <w:adjustRightInd w:val="0"/>
        <w:spacing w:line="276" w:lineRule="auto"/>
        <w:ind w:left="0" w:firstLine="0"/>
        <w:contextualSpacing/>
        <w:rPr>
          <w:rFonts w:eastAsia="Verdana"/>
          <w:sz w:val="24"/>
          <w:szCs w:val="24"/>
        </w:rPr>
      </w:pPr>
      <w:r w:rsidRPr="00456E6B">
        <w:rPr>
          <w:rFonts w:eastAsia="Verdana"/>
          <w:sz w:val="24"/>
          <w:szCs w:val="24"/>
        </w:rPr>
        <w:lastRenderedPageBreak/>
        <w:t>Recaudado el informe rendido por el municipio de Cali</w:t>
      </w:r>
      <w:bookmarkStart w:id="2" w:name="_Ref73457640"/>
      <w:r w:rsidRPr="00456E6B">
        <w:rPr>
          <w:rFonts w:eastAsia="Verdana"/>
          <w:sz w:val="24"/>
          <w:szCs w:val="24"/>
          <w:vertAlign w:val="superscript"/>
        </w:rPr>
        <w:footnoteReference w:id="6"/>
      </w:r>
      <w:bookmarkEnd w:id="2"/>
      <w:r w:rsidRPr="00456E6B">
        <w:rPr>
          <w:rFonts w:eastAsia="Verdana"/>
          <w:sz w:val="24"/>
          <w:szCs w:val="24"/>
        </w:rPr>
        <w:t xml:space="preserve"> y verificado que el Tribunal Administrativo del Valle del Cauca guardó silencio a pesar de haber sido notificado en debida forma</w:t>
      </w:r>
      <w:r w:rsidRPr="00456E6B">
        <w:rPr>
          <w:rFonts w:eastAsia="Verdana"/>
          <w:sz w:val="24"/>
          <w:szCs w:val="24"/>
          <w:vertAlign w:val="superscript"/>
        </w:rPr>
        <w:footnoteReference w:id="7"/>
      </w:r>
      <w:r w:rsidRPr="00456E6B">
        <w:rPr>
          <w:rFonts w:eastAsia="Verdana"/>
          <w:sz w:val="24"/>
          <w:szCs w:val="24"/>
        </w:rPr>
        <w:t xml:space="preserve">, el juzgado identificado arriba profirió fallo de tutela de primera instancia el 28 de abril de 2021. Por medio de este, la referida autoridad judicial concedió el amparo solicitado. En consecuencia, ordenó al municipio de Cali que pague, a órdenes del señor </w:t>
      </w:r>
      <w:r w:rsidR="00A4164A">
        <w:rPr>
          <w:rFonts w:eastAsia="Verdana"/>
          <w:sz w:val="24"/>
          <w:szCs w:val="24"/>
        </w:rPr>
        <w:t>Azcárate</w:t>
      </w:r>
      <w:r w:rsidRPr="00456E6B">
        <w:rPr>
          <w:rFonts w:eastAsia="Verdana"/>
          <w:sz w:val="24"/>
          <w:szCs w:val="24"/>
        </w:rPr>
        <w:t xml:space="preserve">, el monto correspondiente al cincuenta por ciento (50%) de la mesada pensional que se encuentra en </w:t>
      </w:r>
      <w:r w:rsidR="00A4164A">
        <w:rPr>
          <w:rFonts w:eastAsia="Verdana"/>
          <w:sz w:val="24"/>
          <w:szCs w:val="24"/>
        </w:rPr>
        <w:t>discusión</w:t>
      </w:r>
      <w:r w:rsidRPr="00456E6B">
        <w:rPr>
          <w:rFonts w:eastAsia="Verdana"/>
          <w:sz w:val="24"/>
          <w:szCs w:val="24"/>
        </w:rPr>
        <w:t xml:space="preserve"> en el citado tribunal.</w:t>
      </w:r>
    </w:p>
    <w:p w14:paraId="630C8A59" w14:textId="77777777" w:rsidR="00456E6B" w:rsidRPr="00456E6B" w:rsidRDefault="00456E6B" w:rsidP="00456E6B">
      <w:pPr>
        <w:spacing w:line="276" w:lineRule="auto"/>
        <w:rPr>
          <w:rFonts w:eastAsia="Verdana"/>
          <w:sz w:val="24"/>
          <w:szCs w:val="24"/>
        </w:rPr>
      </w:pPr>
    </w:p>
    <w:p w14:paraId="7324552A" w14:textId="77777777" w:rsidR="00456E6B" w:rsidRPr="00456E6B" w:rsidRDefault="00456E6B" w:rsidP="00456E6B">
      <w:pPr>
        <w:numPr>
          <w:ilvl w:val="1"/>
          <w:numId w:val="3"/>
        </w:numPr>
        <w:overflowPunct w:val="0"/>
        <w:autoSpaceDE w:val="0"/>
        <w:autoSpaceDN w:val="0"/>
        <w:adjustRightInd w:val="0"/>
        <w:spacing w:line="276" w:lineRule="auto"/>
        <w:ind w:left="0" w:firstLine="0"/>
        <w:contextualSpacing/>
        <w:rPr>
          <w:rFonts w:eastAsia="Verdana"/>
          <w:sz w:val="24"/>
          <w:szCs w:val="24"/>
        </w:rPr>
      </w:pPr>
      <w:r w:rsidRPr="00456E6B">
        <w:rPr>
          <w:rFonts w:eastAsia="Verdana"/>
          <w:sz w:val="24"/>
          <w:szCs w:val="24"/>
        </w:rPr>
        <w:t>El referido juzgado, mediante auto</w:t>
      </w:r>
      <w:r w:rsidRPr="00456E6B">
        <w:rPr>
          <w:rFonts w:eastAsia="Verdana"/>
          <w:sz w:val="24"/>
          <w:szCs w:val="24"/>
          <w:vertAlign w:val="superscript"/>
        </w:rPr>
        <w:footnoteReference w:id="8"/>
      </w:r>
      <w:r w:rsidRPr="00456E6B">
        <w:rPr>
          <w:rFonts w:eastAsia="Verdana"/>
          <w:sz w:val="24"/>
          <w:szCs w:val="24"/>
        </w:rPr>
        <w:t xml:space="preserve"> dictado el 3 de mayo de 2021, concedió la impugnación</w:t>
      </w:r>
      <w:r w:rsidRPr="00456E6B">
        <w:rPr>
          <w:rFonts w:eastAsia="Verdana"/>
          <w:sz w:val="24"/>
          <w:szCs w:val="24"/>
          <w:vertAlign w:val="superscript"/>
        </w:rPr>
        <w:footnoteReference w:id="9"/>
      </w:r>
      <w:r w:rsidRPr="00456E6B">
        <w:rPr>
          <w:rFonts w:eastAsia="Verdana"/>
          <w:sz w:val="24"/>
          <w:szCs w:val="24"/>
        </w:rPr>
        <w:t xml:space="preserve"> interpuesta por la entidad territorial accionada.</w:t>
      </w:r>
    </w:p>
    <w:p w14:paraId="53E42E7B" w14:textId="77777777" w:rsidR="00456E6B" w:rsidRPr="00456E6B" w:rsidRDefault="00456E6B" w:rsidP="00456E6B">
      <w:pPr>
        <w:spacing w:line="276" w:lineRule="auto"/>
        <w:rPr>
          <w:rFonts w:eastAsia="Verdana"/>
          <w:sz w:val="24"/>
          <w:szCs w:val="24"/>
        </w:rPr>
      </w:pPr>
    </w:p>
    <w:p w14:paraId="73D81932" w14:textId="77777777" w:rsidR="00456E6B" w:rsidRPr="00456E6B" w:rsidRDefault="00456E6B" w:rsidP="00456E6B">
      <w:pPr>
        <w:numPr>
          <w:ilvl w:val="1"/>
          <w:numId w:val="3"/>
        </w:numPr>
        <w:overflowPunct w:val="0"/>
        <w:autoSpaceDE w:val="0"/>
        <w:autoSpaceDN w:val="0"/>
        <w:adjustRightInd w:val="0"/>
        <w:spacing w:line="276" w:lineRule="auto"/>
        <w:ind w:left="0" w:firstLine="0"/>
        <w:contextualSpacing/>
        <w:rPr>
          <w:rFonts w:eastAsia="Verdana"/>
          <w:sz w:val="24"/>
          <w:szCs w:val="24"/>
        </w:rPr>
      </w:pPr>
      <w:r w:rsidRPr="00456E6B">
        <w:rPr>
          <w:rFonts w:eastAsia="Verdana"/>
          <w:sz w:val="24"/>
          <w:szCs w:val="24"/>
        </w:rPr>
        <w:t>Por reparto, el trámite de la segunda instancia del presente proceso le correspondió al Juzgado Noveno Civil del Circuito Judicial de Cali. No obstante, ese despacho, por medio del auto</w:t>
      </w:r>
      <w:r w:rsidRPr="00456E6B">
        <w:rPr>
          <w:rFonts w:eastAsia="Verdana"/>
          <w:sz w:val="24"/>
          <w:szCs w:val="24"/>
          <w:vertAlign w:val="superscript"/>
        </w:rPr>
        <w:footnoteReference w:id="10"/>
      </w:r>
      <w:r w:rsidRPr="00456E6B">
        <w:rPr>
          <w:rFonts w:eastAsia="Verdana"/>
          <w:sz w:val="24"/>
          <w:szCs w:val="24"/>
        </w:rPr>
        <w:t xml:space="preserve"> del 6 de mayo de 2021, declaró la nulidad de todo lo actuado a partir del proveído admisorio reseñado arriba, inclusive. Así mismo, ordenó remitir el expediente respectivo a esta Corporación. En su providencia, el citado juzgado consideró que, por estar relacionado el presente trámite con circunstancias en las que está involucrado el Tribunal Administrativo del Valle del Cauca, debe ser el superior funcional de este el que conozca de la acción de tutela bajo estudio.</w:t>
      </w:r>
    </w:p>
    <w:p w14:paraId="2C4D0EA2" w14:textId="77777777" w:rsidR="00456E6B" w:rsidRPr="00A92E8C" w:rsidRDefault="00456E6B" w:rsidP="00A92E8C">
      <w:pPr>
        <w:overflowPunct w:val="0"/>
        <w:autoSpaceDE w:val="0"/>
        <w:autoSpaceDN w:val="0"/>
        <w:adjustRightInd w:val="0"/>
        <w:spacing w:line="276" w:lineRule="auto"/>
        <w:contextualSpacing/>
        <w:rPr>
          <w:b/>
          <w:sz w:val="24"/>
          <w:szCs w:val="24"/>
        </w:rPr>
      </w:pPr>
    </w:p>
    <w:p w14:paraId="18F86F2F" w14:textId="1BCB1623" w:rsidR="0019311A" w:rsidRPr="00A92E8C" w:rsidRDefault="00261359" w:rsidP="00A92E8C">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A92E8C">
        <w:rPr>
          <w:rFonts w:eastAsia="Verdana"/>
          <w:sz w:val="24"/>
          <w:szCs w:val="24"/>
        </w:rPr>
        <w:t xml:space="preserve">El despacho sustanciador, mediante auto proferido el </w:t>
      </w:r>
      <w:r w:rsidR="00456E6B">
        <w:rPr>
          <w:color w:val="000000"/>
          <w:sz w:val="24"/>
          <w:szCs w:val="24"/>
          <w:lang w:eastAsia="en-US"/>
        </w:rPr>
        <w:t>12</w:t>
      </w:r>
      <w:r w:rsidR="0017431B" w:rsidRPr="00A92E8C">
        <w:rPr>
          <w:color w:val="000000"/>
          <w:sz w:val="24"/>
          <w:szCs w:val="24"/>
          <w:lang w:eastAsia="en-US"/>
        </w:rPr>
        <w:t xml:space="preserve"> </w:t>
      </w:r>
      <w:r w:rsidR="00563912" w:rsidRPr="00A92E8C">
        <w:rPr>
          <w:color w:val="000000"/>
          <w:sz w:val="24"/>
          <w:szCs w:val="24"/>
          <w:lang w:eastAsia="en-US"/>
        </w:rPr>
        <w:t xml:space="preserve">de </w:t>
      </w:r>
      <w:r w:rsidR="004E598D" w:rsidRPr="00A92E8C">
        <w:rPr>
          <w:color w:val="000000"/>
          <w:sz w:val="24"/>
          <w:szCs w:val="24"/>
          <w:lang w:eastAsia="en-US"/>
        </w:rPr>
        <w:t>mayo</w:t>
      </w:r>
      <w:r w:rsidR="00563912" w:rsidRPr="00A92E8C">
        <w:rPr>
          <w:color w:val="000000"/>
          <w:sz w:val="24"/>
          <w:szCs w:val="24"/>
          <w:lang w:eastAsia="en-US"/>
        </w:rPr>
        <w:t xml:space="preserve"> de </w:t>
      </w:r>
      <w:r w:rsidR="000813DB" w:rsidRPr="00A92E8C">
        <w:rPr>
          <w:color w:val="000000"/>
          <w:sz w:val="24"/>
          <w:szCs w:val="24"/>
          <w:lang w:eastAsia="en-US"/>
        </w:rPr>
        <w:t>202</w:t>
      </w:r>
      <w:r w:rsidR="008B721A" w:rsidRPr="00A92E8C">
        <w:rPr>
          <w:color w:val="000000"/>
          <w:sz w:val="24"/>
          <w:szCs w:val="24"/>
          <w:lang w:eastAsia="en-US"/>
        </w:rPr>
        <w:t>1</w:t>
      </w:r>
      <w:r w:rsidR="008B721A" w:rsidRPr="00A92E8C">
        <w:rPr>
          <w:color w:val="000000"/>
          <w:sz w:val="24"/>
          <w:szCs w:val="24"/>
          <w:vertAlign w:val="superscript"/>
          <w:lang w:eastAsia="en-US"/>
        </w:rPr>
        <w:t>[</w:t>
      </w:r>
      <w:r w:rsidR="007046B1" w:rsidRPr="00A92E8C">
        <w:rPr>
          <w:rStyle w:val="FootnoteReference"/>
          <w:color w:val="000000"/>
          <w:sz w:val="24"/>
          <w:szCs w:val="24"/>
          <w:lang w:eastAsia="en-US"/>
        </w:rPr>
        <w:footnoteReference w:id="11"/>
      </w:r>
      <w:r w:rsidR="008B721A" w:rsidRPr="00A92E8C">
        <w:rPr>
          <w:color w:val="000000"/>
          <w:sz w:val="24"/>
          <w:szCs w:val="24"/>
          <w:vertAlign w:val="superscript"/>
          <w:lang w:eastAsia="en-US"/>
        </w:rPr>
        <w:t>]</w:t>
      </w:r>
      <w:r w:rsidRPr="00A92E8C">
        <w:rPr>
          <w:rFonts w:eastAsia="Verdana"/>
          <w:sz w:val="24"/>
          <w:szCs w:val="24"/>
        </w:rPr>
        <w:t xml:space="preserve">, </w:t>
      </w:r>
      <w:r w:rsidR="00456E6B">
        <w:rPr>
          <w:rFonts w:eastAsia="Verdana"/>
          <w:sz w:val="24"/>
          <w:szCs w:val="24"/>
        </w:rPr>
        <w:t xml:space="preserve">avocó conocimiento y </w:t>
      </w:r>
      <w:r w:rsidRPr="00A92E8C">
        <w:rPr>
          <w:rFonts w:eastAsia="Verdana"/>
          <w:sz w:val="24"/>
          <w:szCs w:val="24"/>
        </w:rPr>
        <w:t xml:space="preserve">admitió la </w:t>
      </w:r>
      <w:r w:rsidR="00563912" w:rsidRPr="00A92E8C">
        <w:rPr>
          <w:rFonts w:eastAsia="Verdana"/>
          <w:sz w:val="24"/>
          <w:szCs w:val="24"/>
        </w:rPr>
        <w:t>solicitud de tutela</w:t>
      </w:r>
      <w:r w:rsidR="00456E6B">
        <w:rPr>
          <w:rFonts w:eastAsia="Verdana"/>
          <w:sz w:val="24"/>
          <w:szCs w:val="24"/>
        </w:rPr>
        <w:t xml:space="preserve">. Así mismo, vinculó al </w:t>
      </w:r>
      <w:r w:rsidR="00456E6B" w:rsidRPr="00456E6B">
        <w:rPr>
          <w:rFonts w:eastAsia="Verdana"/>
          <w:sz w:val="24"/>
          <w:szCs w:val="24"/>
        </w:rPr>
        <w:t>Juzgado Segundo Administrativo del Circuito Judicial de Cali</w:t>
      </w:r>
      <w:r w:rsidR="00456E6B">
        <w:rPr>
          <w:rFonts w:eastAsia="Verdana"/>
          <w:sz w:val="24"/>
          <w:szCs w:val="24"/>
        </w:rPr>
        <w:t xml:space="preserve">. Luego, </w:t>
      </w:r>
      <w:r w:rsidR="00456E6B" w:rsidRPr="00456E6B">
        <w:rPr>
          <w:rFonts w:eastAsia="Verdana"/>
          <w:sz w:val="24"/>
          <w:szCs w:val="24"/>
        </w:rPr>
        <w:t>conserv</w:t>
      </w:r>
      <w:r w:rsidR="00456E6B">
        <w:rPr>
          <w:rFonts w:eastAsia="Verdana"/>
          <w:sz w:val="24"/>
          <w:szCs w:val="24"/>
        </w:rPr>
        <w:t xml:space="preserve">ó </w:t>
      </w:r>
      <w:r w:rsidR="00456E6B" w:rsidRPr="00456E6B">
        <w:rPr>
          <w:rFonts w:eastAsia="Verdana"/>
          <w:sz w:val="24"/>
          <w:szCs w:val="24"/>
        </w:rPr>
        <w:t xml:space="preserve">el valor probatorio de las piezas procesales que componen el plenario, lo que incluye el informe </w:t>
      </w:r>
      <w:r w:rsidR="00456E6B">
        <w:rPr>
          <w:rFonts w:eastAsia="Verdana"/>
          <w:sz w:val="24"/>
          <w:szCs w:val="24"/>
        </w:rPr>
        <w:t>rendido por</w:t>
      </w:r>
      <w:r w:rsidR="00456E6B" w:rsidRPr="00456E6B">
        <w:rPr>
          <w:rFonts w:eastAsia="Verdana"/>
          <w:sz w:val="24"/>
          <w:szCs w:val="24"/>
        </w:rPr>
        <w:t xml:space="preserve"> el municipio de Cali y los documentos aportados con el escrito de tutela</w:t>
      </w:r>
      <w:r w:rsidR="00456E6B">
        <w:rPr>
          <w:rFonts w:eastAsia="Verdana"/>
          <w:sz w:val="24"/>
          <w:szCs w:val="24"/>
        </w:rPr>
        <w:t>.</w:t>
      </w:r>
    </w:p>
    <w:p w14:paraId="37C02629" w14:textId="77777777" w:rsidR="0019311A" w:rsidRPr="00A92E8C" w:rsidRDefault="0019311A" w:rsidP="00A92E8C">
      <w:pPr>
        <w:pStyle w:val="ListParagraph"/>
        <w:overflowPunct w:val="0"/>
        <w:autoSpaceDE w:val="0"/>
        <w:autoSpaceDN w:val="0"/>
        <w:adjustRightInd w:val="0"/>
        <w:spacing w:line="276" w:lineRule="auto"/>
        <w:ind w:left="0"/>
        <w:rPr>
          <w:rFonts w:eastAsia="Verdana"/>
          <w:sz w:val="24"/>
          <w:szCs w:val="24"/>
        </w:rPr>
      </w:pPr>
    </w:p>
    <w:p w14:paraId="2F590964" w14:textId="5467D35E" w:rsidR="00447686" w:rsidRDefault="004E598D" w:rsidP="00447686">
      <w:pPr>
        <w:pStyle w:val="ListParagraph"/>
        <w:numPr>
          <w:ilvl w:val="1"/>
          <w:numId w:val="3"/>
        </w:numPr>
        <w:overflowPunct w:val="0"/>
        <w:autoSpaceDE w:val="0"/>
        <w:autoSpaceDN w:val="0"/>
        <w:adjustRightInd w:val="0"/>
        <w:spacing w:line="276" w:lineRule="auto"/>
        <w:ind w:left="0" w:firstLine="0"/>
        <w:rPr>
          <w:rFonts w:eastAsia="Verdana"/>
          <w:sz w:val="24"/>
          <w:szCs w:val="24"/>
        </w:rPr>
      </w:pPr>
      <w:r w:rsidRPr="00A92E8C">
        <w:rPr>
          <w:rFonts w:eastAsia="Verdana"/>
          <w:sz w:val="24"/>
          <w:szCs w:val="24"/>
        </w:rPr>
        <w:t xml:space="preserve">El </w:t>
      </w:r>
      <w:r w:rsidR="00EA6004">
        <w:rPr>
          <w:rFonts w:eastAsia="Verdana"/>
          <w:b/>
          <w:bCs/>
          <w:sz w:val="24"/>
          <w:szCs w:val="24"/>
        </w:rPr>
        <w:t>municipio de Cali</w:t>
      </w:r>
      <w:r w:rsidRPr="00A92E8C">
        <w:rPr>
          <w:rFonts w:eastAsia="Verdana"/>
          <w:sz w:val="24"/>
          <w:szCs w:val="24"/>
        </w:rPr>
        <w:t xml:space="preserve"> consideró</w:t>
      </w:r>
      <w:r w:rsidR="00B6069E" w:rsidRPr="00A92E8C">
        <w:rPr>
          <w:rStyle w:val="FootnoteReference"/>
          <w:rFonts w:eastAsia="Verdana"/>
          <w:sz w:val="24"/>
          <w:szCs w:val="24"/>
        </w:rPr>
        <w:footnoteReference w:id="12"/>
      </w:r>
      <w:r w:rsidR="002B61BF">
        <w:rPr>
          <w:rFonts w:eastAsia="Verdana"/>
          <w:sz w:val="24"/>
          <w:szCs w:val="24"/>
        </w:rPr>
        <w:t xml:space="preserve"> que, actualmente, el Tribunal Administrativo del Valle del Cauca está tramitando la apelación interpuesta contra el fallo </w:t>
      </w:r>
      <w:r w:rsidR="002B61BF" w:rsidRPr="002B61BF">
        <w:rPr>
          <w:rFonts w:eastAsia="Verdana"/>
          <w:sz w:val="24"/>
          <w:szCs w:val="24"/>
        </w:rPr>
        <w:t>del 20 de junio de 2019</w:t>
      </w:r>
      <w:r w:rsidR="002B61BF">
        <w:rPr>
          <w:rFonts w:eastAsia="Verdana"/>
          <w:sz w:val="24"/>
          <w:szCs w:val="24"/>
        </w:rPr>
        <w:t>. Comoquiera que ese recurso se concedió en el efecto suspensivo, no hay lugar a que se concedan las pretensiones formuladas en el escrito de tutela.</w:t>
      </w:r>
      <w:r w:rsidR="00FF2F44">
        <w:rPr>
          <w:rFonts w:eastAsia="Verdana"/>
          <w:sz w:val="24"/>
          <w:szCs w:val="24"/>
        </w:rPr>
        <w:t xml:space="preserve"> Así las cosas, añadió, si el actor considera que su situación es grave y urgente, puede solicitar un impulso procesal ante esa autoridad.</w:t>
      </w:r>
    </w:p>
    <w:p w14:paraId="05CA0FA2" w14:textId="77777777" w:rsidR="00447686" w:rsidRPr="00163274" w:rsidRDefault="00447686" w:rsidP="00163274">
      <w:pPr>
        <w:rPr>
          <w:rFonts w:eastAsia="Verdana"/>
          <w:sz w:val="24"/>
          <w:szCs w:val="24"/>
        </w:rPr>
      </w:pPr>
    </w:p>
    <w:p w14:paraId="5A7EC965" w14:textId="33BAF873" w:rsidR="00B6069E" w:rsidRDefault="00FF2F44" w:rsidP="00447686">
      <w:pPr>
        <w:pStyle w:val="ListParagraph"/>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El</w:t>
      </w:r>
      <w:r w:rsidR="00B6069E" w:rsidRPr="00447686">
        <w:rPr>
          <w:rFonts w:eastAsia="Verdana"/>
          <w:sz w:val="24"/>
          <w:szCs w:val="24"/>
        </w:rPr>
        <w:t xml:space="preserve"> </w:t>
      </w:r>
      <w:r>
        <w:rPr>
          <w:rFonts w:eastAsia="Verdana"/>
          <w:b/>
          <w:bCs/>
          <w:sz w:val="24"/>
          <w:szCs w:val="24"/>
        </w:rPr>
        <w:t>Tribunal Administrativo del Valle del Cauca</w:t>
      </w:r>
      <w:r w:rsidR="00B6069E" w:rsidRPr="00447686">
        <w:rPr>
          <w:rFonts w:eastAsia="Verdana"/>
          <w:sz w:val="24"/>
          <w:szCs w:val="24"/>
        </w:rPr>
        <w:t xml:space="preserve"> </w:t>
      </w:r>
      <w:r w:rsidR="00447686">
        <w:rPr>
          <w:rFonts w:eastAsia="Verdana"/>
          <w:sz w:val="24"/>
          <w:szCs w:val="24"/>
        </w:rPr>
        <w:t>manifestó</w:t>
      </w:r>
      <w:r w:rsidR="00B6069E" w:rsidRPr="00A92E8C">
        <w:rPr>
          <w:rStyle w:val="FootnoteReference"/>
          <w:rFonts w:eastAsia="Verdana"/>
          <w:sz w:val="24"/>
          <w:szCs w:val="24"/>
        </w:rPr>
        <w:footnoteReference w:id="13"/>
      </w:r>
      <w:r w:rsidR="00B6069E" w:rsidRPr="00447686">
        <w:rPr>
          <w:rFonts w:eastAsia="Verdana"/>
          <w:sz w:val="24"/>
          <w:szCs w:val="24"/>
        </w:rPr>
        <w:t xml:space="preserve"> que</w:t>
      </w:r>
      <w:r>
        <w:rPr>
          <w:rFonts w:eastAsia="Verdana"/>
          <w:sz w:val="24"/>
          <w:szCs w:val="24"/>
        </w:rPr>
        <w:t xml:space="preserve"> el proceso contencioso de interés de la parte actora se encuentra en etapa de alegatos de conclusión de segunda instancia. A ello agregó que, por la pandemia causada por el coronavirus, las labores de esa Corporación se han venido desarrollando de forma anormal, lo cual ha afectado la celeridad de los trámites procesales a su cargo.</w:t>
      </w:r>
    </w:p>
    <w:p w14:paraId="3FD1AA8B" w14:textId="77777777" w:rsidR="004536C6" w:rsidRPr="00447686" w:rsidRDefault="004536C6" w:rsidP="004536C6">
      <w:pPr>
        <w:pStyle w:val="ListParagraph"/>
        <w:overflowPunct w:val="0"/>
        <w:autoSpaceDE w:val="0"/>
        <w:autoSpaceDN w:val="0"/>
        <w:adjustRightInd w:val="0"/>
        <w:spacing w:line="276" w:lineRule="auto"/>
        <w:ind w:left="0"/>
        <w:rPr>
          <w:rFonts w:eastAsia="Verdana"/>
          <w:sz w:val="24"/>
          <w:szCs w:val="24"/>
        </w:rPr>
      </w:pPr>
    </w:p>
    <w:p w14:paraId="3DA09BAF" w14:textId="77777777" w:rsidR="00155E78" w:rsidRPr="00A92E8C" w:rsidRDefault="000C5DB7" w:rsidP="00A92E8C">
      <w:pPr>
        <w:pStyle w:val="Heading1"/>
        <w:spacing w:before="0" w:after="0"/>
        <w:rPr>
          <w:rFonts w:cs="Arial"/>
          <w:kern w:val="0"/>
          <w:szCs w:val="24"/>
        </w:rPr>
      </w:pPr>
      <w:r w:rsidRPr="00A92E8C">
        <w:rPr>
          <w:rFonts w:cs="Arial"/>
          <w:kern w:val="0"/>
          <w:szCs w:val="24"/>
        </w:rPr>
        <w:lastRenderedPageBreak/>
        <w:t>CONSIDERACIONES</w:t>
      </w:r>
    </w:p>
    <w:p w14:paraId="558155F9" w14:textId="77777777" w:rsidR="00E57BB4" w:rsidRPr="00A92E8C" w:rsidRDefault="00E57BB4" w:rsidP="00A92E8C">
      <w:pPr>
        <w:spacing w:line="276" w:lineRule="auto"/>
        <w:rPr>
          <w:sz w:val="24"/>
          <w:szCs w:val="24"/>
        </w:rPr>
      </w:pPr>
    </w:p>
    <w:p w14:paraId="5DCC23A5" w14:textId="77777777" w:rsidR="000C5DB7" w:rsidRPr="00A92E8C" w:rsidRDefault="000C5DB7" w:rsidP="00A92E8C">
      <w:pPr>
        <w:numPr>
          <w:ilvl w:val="0"/>
          <w:numId w:val="1"/>
        </w:numPr>
        <w:spacing w:line="276" w:lineRule="auto"/>
        <w:ind w:left="0" w:firstLine="0"/>
        <w:contextualSpacing/>
        <w:rPr>
          <w:b/>
          <w:sz w:val="24"/>
          <w:szCs w:val="24"/>
        </w:rPr>
      </w:pPr>
      <w:r w:rsidRPr="00A92E8C">
        <w:rPr>
          <w:b/>
          <w:sz w:val="24"/>
          <w:szCs w:val="24"/>
        </w:rPr>
        <w:t>Competencia</w:t>
      </w:r>
    </w:p>
    <w:p w14:paraId="2EE9CA5D" w14:textId="77777777" w:rsidR="00613943" w:rsidRPr="00613943" w:rsidRDefault="00613943" w:rsidP="00A92E8C">
      <w:pPr>
        <w:overflowPunct w:val="0"/>
        <w:autoSpaceDE w:val="0"/>
        <w:autoSpaceDN w:val="0"/>
        <w:adjustRightInd w:val="0"/>
        <w:spacing w:line="276" w:lineRule="auto"/>
        <w:contextualSpacing/>
        <w:rPr>
          <w:rFonts w:eastAsia="Times New Roman"/>
          <w:sz w:val="24"/>
          <w:szCs w:val="24"/>
          <w:lang w:eastAsia="es-ES"/>
        </w:rPr>
      </w:pPr>
    </w:p>
    <w:p w14:paraId="5A050F9A" w14:textId="6881D5AF" w:rsidR="00613943" w:rsidRDefault="00613943" w:rsidP="00A92E8C">
      <w:pPr>
        <w:overflowPunct w:val="0"/>
        <w:autoSpaceDE w:val="0"/>
        <w:autoSpaceDN w:val="0"/>
        <w:adjustRightInd w:val="0"/>
        <w:spacing w:line="276" w:lineRule="auto"/>
        <w:contextualSpacing/>
        <w:rPr>
          <w:rFonts w:eastAsia="Times New Roman"/>
          <w:sz w:val="24"/>
          <w:szCs w:val="24"/>
          <w:lang w:eastAsia="es-ES"/>
        </w:rPr>
      </w:pPr>
      <w:r w:rsidRPr="00613943">
        <w:rPr>
          <w:rFonts w:eastAsia="Times New Roman"/>
          <w:sz w:val="24"/>
          <w:szCs w:val="24"/>
          <w:lang w:eastAsia="es-ES"/>
        </w:rPr>
        <w:t>Esta Sala es competente para decidir la presente acción de tutela en virtud de lo establecido en el artículo 86 Superior, el artículo 37 del Decreto 2591 de 1991, el Decreto 1069 de 2015, modificado por el Decreto 333 de 2021, y el Acuerdo 080 del 12 de marzo de 2019, expedido por la Sala Plena de esta Corporación</w:t>
      </w:r>
      <w:r w:rsidRPr="00613943">
        <w:rPr>
          <w:rFonts w:eastAsia="Times New Roman"/>
          <w:sz w:val="24"/>
          <w:szCs w:val="24"/>
          <w:vertAlign w:val="superscript"/>
          <w:lang w:eastAsia="es-ES"/>
        </w:rPr>
        <w:footnoteReference w:id="14"/>
      </w:r>
      <w:r w:rsidRPr="00613943">
        <w:rPr>
          <w:rFonts w:eastAsia="Times New Roman"/>
          <w:sz w:val="24"/>
          <w:szCs w:val="24"/>
          <w:lang w:eastAsia="es-ES"/>
        </w:rPr>
        <w:t>.</w:t>
      </w:r>
    </w:p>
    <w:p w14:paraId="57EF874B" w14:textId="77777777" w:rsidR="00EE7230" w:rsidRPr="00613943" w:rsidRDefault="00EE7230" w:rsidP="00A92E8C">
      <w:pPr>
        <w:overflowPunct w:val="0"/>
        <w:autoSpaceDE w:val="0"/>
        <w:autoSpaceDN w:val="0"/>
        <w:adjustRightInd w:val="0"/>
        <w:spacing w:line="276" w:lineRule="auto"/>
        <w:contextualSpacing/>
        <w:rPr>
          <w:rFonts w:eastAsia="Times New Roman"/>
          <w:sz w:val="24"/>
          <w:szCs w:val="24"/>
          <w:lang w:eastAsia="es-ES"/>
        </w:rPr>
      </w:pPr>
    </w:p>
    <w:p w14:paraId="7BF07F57" w14:textId="5C0DFFCF" w:rsidR="00BC1933" w:rsidRPr="00A92E8C" w:rsidRDefault="00BC1933" w:rsidP="00A92E8C">
      <w:pPr>
        <w:pStyle w:val="ListParagraph"/>
        <w:numPr>
          <w:ilvl w:val="0"/>
          <w:numId w:val="1"/>
        </w:numPr>
        <w:spacing w:line="276" w:lineRule="auto"/>
        <w:ind w:hanging="720"/>
        <w:rPr>
          <w:b/>
          <w:sz w:val="24"/>
          <w:szCs w:val="24"/>
        </w:rPr>
      </w:pPr>
      <w:r w:rsidRPr="00A92E8C">
        <w:rPr>
          <w:b/>
          <w:sz w:val="24"/>
          <w:szCs w:val="24"/>
        </w:rPr>
        <w:t>Procedibilidad de la acción</w:t>
      </w:r>
    </w:p>
    <w:p w14:paraId="21D2AFF4" w14:textId="77777777" w:rsidR="00A0365D" w:rsidRPr="00A92E8C" w:rsidRDefault="00A0365D" w:rsidP="00A0365D">
      <w:pPr>
        <w:spacing w:line="276" w:lineRule="auto"/>
        <w:contextualSpacing/>
        <w:rPr>
          <w:sz w:val="24"/>
          <w:szCs w:val="24"/>
        </w:rPr>
      </w:pPr>
    </w:p>
    <w:p w14:paraId="2AB4DF6F" w14:textId="2A2D920D" w:rsidR="00A0365D" w:rsidRPr="00A0365D" w:rsidRDefault="00A0365D" w:rsidP="00A0365D">
      <w:pPr>
        <w:pStyle w:val="ListParagraph"/>
        <w:numPr>
          <w:ilvl w:val="1"/>
          <w:numId w:val="1"/>
        </w:numPr>
        <w:spacing w:line="276" w:lineRule="auto"/>
        <w:ind w:left="0" w:firstLine="0"/>
        <w:rPr>
          <w:rFonts w:eastAsia="Times New Roman"/>
          <w:b/>
          <w:sz w:val="24"/>
          <w:szCs w:val="24"/>
          <w:lang w:eastAsia="es-ES"/>
        </w:rPr>
      </w:pPr>
      <w:r>
        <w:rPr>
          <w:rFonts w:eastAsia="Times New Roman"/>
          <w:bCs/>
          <w:sz w:val="24"/>
          <w:szCs w:val="24"/>
          <w:lang w:eastAsia="es-ES"/>
        </w:rPr>
        <w:t xml:space="preserve">En lo que atañe al requisito de </w:t>
      </w:r>
      <w:r>
        <w:rPr>
          <w:rFonts w:eastAsia="Times New Roman"/>
          <w:b/>
          <w:sz w:val="24"/>
          <w:szCs w:val="24"/>
          <w:lang w:eastAsia="es-ES"/>
        </w:rPr>
        <w:t>subsidiariedad</w:t>
      </w:r>
      <w:r w:rsidR="002B1B19" w:rsidRPr="002B1B19">
        <w:rPr>
          <w:rFonts w:eastAsia="Times New Roman"/>
          <w:bCs/>
          <w:sz w:val="24"/>
          <w:szCs w:val="24"/>
          <w:lang w:eastAsia="es-ES"/>
        </w:rPr>
        <w:t>, primero,</w:t>
      </w:r>
      <w:r>
        <w:rPr>
          <w:rFonts w:eastAsia="Times New Roman"/>
          <w:bCs/>
          <w:sz w:val="24"/>
          <w:szCs w:val="24"/>
          <w:lang w:eastAsia="es-ES"/>
        </w:rPr>
        <w:t xml:space="preserve"> es necesario consultar cuál es el estado del proceso de interés de la parte actora. En efecto, el señor Azcárate instauró demanda de nulidad y restablecimiento del derecho contra el municipio de Cali. Allí cuestionó la legalidad de los actos administrativos contenidos en la resolución n.° 358 del 6 de mayo de 2003 y el oficio del 23 de junio de 2017. Por medio de estos, la referida entidad territorial negó la solicitud de sustitución pensional que el citado señor presentó respecto de la prestación que percibía su fallecido padre.</w:t>
      </w:r>
    </w:p>
    <w:p w14:paraId="0265AC89" w14:textId="253C4EB1" w:rsidR="00A0365D" w:rsidRDefault="00A0365D" w:rsidP="00A0365D">
      <w:pPr>
        <w:spacing w:line="276" w:lineRule="auto"/>
        <w:rPr>
          <w:rFonts w:eastAsia="Times New Roman"/>
          <w:b/>
          <w:sz w:val="24"/>
          <w:szCs w:val="24"/>
          <w:lang w:eastAsia="es-ES"/>
        </w:rPr>
      </w:pPr>
    </w:p>
    <w:p w14:paraId="15A3B04C" w14:textId="532CDDAA" w:rsidR="00A0365D" w:rsidRDefault="00A0365D" w:rsidP="00A0365D">
      <w:pPr>
        <w:spacing w:line="276" w:lineRule="auto"/>
        <w:rPr>
          <w:rFonts w:eastAsia="Times New Roman"/>
          <w:bCs/>
          <w:sz w:val="24"/>
          <w:szCs w:val="24"/>
          <w:lang w:eastAsia="es-ES"/>
        </w:rPr>
      </w:pPr>
      <w:r>
        <w:rPr>
          <w:rFonts w:eastAsia="Times New Roman"/>
          <w:bCs/>
          <w:sz w:val="24"/>
          <w:szCs w:val="24"/>
          <w:lang w:eastAsia="es-ES"/>
        </w:rPr>
        <w:t xml:space="preserve">El proceso le correspondió por reparto al Juzgado Segundo Administrativo del Circuito Judicial de Cali y se rotuló bajo el n.° único de radicación </w:t>
      </w:r>
      <w:r w:rsidRPr="00A0365D">
        <w:rPr>
          <w:rFonts w:eastAsia="Times New Roman"/>
          <w:bCs/>
          <w:sz w:val="24"/>
          <w:szCs w:val="24"/>
          <w:lang w:eastAsia="es-ES"/>
        </w:rPr>
        <w:t>76001-33-33-002-2017-00332-00</w:t>
      </w:r>
      <w:r>
        <w:rPr>
          <w:rFonts w:eastAsia="Times New Roman"/>
          <w:bCs/>
          <w:sz w:val="24"/>
          <w:szCs w:val="24"/>
          <w:lang w:eastAsia="es-ES"/>
        </w:rPr>
        <w:t xml:space="preserve">. En primera instancia, la mencionada autoridad judicial, mediante sentencia del 20 de junio de 2019, accedió parcialmente a las pretensiones de la demanda. En concreto, anuló los actos administrativos </w:t>
      </w:r>
      <w:r w:rsidR="00BF7196">
        <w:rPr>
          <w:rFonts w:eastAsia="Times New Roman"/>
          <w:bCs/>
          <w:sz w:val="24"/>
          <w:szCs w:val="24"/>
          <w:lang w:eastAsia="es-ES"/>
        </w:rPr>
        <w:t>censurados</w:t>
      </w:r>
      <w:r>
        <w:rPr>
          <w:rFonts w:eastAsia="Times New Roman"/>
          <w:bCs/>
          <w:sz w:val="24"/>
          <w:szCs w:val="24"/>
          <w:lang w:eastAsia="es-ES"/>
        </w:rPr>
        <w:t xml:space="preserve"> y ordenó a la entidad demandada que expidiera una nueva resolución en la que reconociera como sustitutos pensionales, en igualdad de proporciones, al aquí actor y a Rubiela Orrego López.</w:t>
      </w:r>
      <w:r w:rsidR="00BF7196">
        <w:rPr>
          <w:rFonts w:eastAsia="Times New Roman"/>
          <w:bCs/>
          <w:sz w:val="24"/>
          <w:szCs w:val="24"/>
          <w:lang w:eastAsia="es-ES"/>
        </w:rPr>
        <w:t xml:space="preserve"> La última, en calidad de compañera permanente del causante.</w:t>
      </w:r>
    </w:p>
    <w:p w14:paraId="1928AA35" w14:textId="48167AE3" w:rsidR="00A0365D" w:rsidRDefault="00A0365D" w:rsidP="00A0365D">
      <w:pPr>
        <w:spacing w:line="276" w:lineRule="auto"/>
        <w:rPr>
          <w:rFonts w:eastAsia="Times New Roman"/>
          <w:bCs/>
          <w:sz w:val="24"/>
          <w:szCs w:val="24"/>
          <w:lang w:eastAsia="es-ES"/>
        </w:rPr>
      </w:pPr>
    </w:p>
    <w:p w14:paraId="217522D2" w14:textId="745A9B37" w:rsidR="00A0365D" w:rsidRDefault="00A0365D" w:rsidP="00A0365D">
      <w:pPr>
        <w:spacing w:line="276" w:lineRule="auto"/>
        <w:rPr>
          <w:rFonts w:eastAsia="Times New Roman"/>
          <w:bCs/>
          <w:sz w:val="24"/>
          <w:szCs w:val="24"/>
          <w:lang w:eastAsia="es-ES"/>
        </w:rPr>
      </w:pPr>
      <w:r>
        <w:rPr>
          <w:rFonts w:eastAsia="Times New Roman"/>
          <w:bCs/>
          <w:sz w:val="24"/>
          <w:szCs w:val="24"/>
          <w:lang w:eastAsia="es-ES"/>
        </w:rPr>
        <w:t xml:space="preserve">Esa decisión fue apelada por la parte </w:t>
      </w:r>
      <w:r w:rsidR="00BF7196">
        <w:rPr>
          <w:rFonts w:eastAsia="Times New Roman"/>
          <w:bCs/>
          <w:sz w:val="24"/>
          <w:szCs w:val="24"/>
          <w:lang w:eastAsia="es-ES"/>
        </w:rPr>
        <w:t>actora</w:t>
      </w:r>
      <w:r>
        <w:rPr>
          <w:rFonts w:eastAsia="Times New Roman"/>
          <w:bCs/>
          <w:sz w:val="24"/>
          <w:szCs w:val="24"/>
          <w:lang w:eastAsia="es-ES"/>
        </w:rPr>
        <w:t xml:space="preserve">. En su escrito, el accionante reprochó que no podía reconocerse porcentaje alguno a favor de la señora Orrego, puesto que ella </w:t>
      </w:r>
      <w:r w:rsidR="002B1B19">
        <w:rPr>
          <w:rFonts w:eastAsia="Times New Roman"/>
          <w:bCs/>
          <w:sz w:val="24"/>
          <w:szCs w:val="24"/>
          <w:lang w:eastAsia="es-ES"/>
        </w:rPr>
        <w:t>murió</w:t>
      </w:r>
      <w:r>
        <w:rPr>
          <w:rFonts w:eastAsia="Times New Roman"/>
          <w:bCs/>
          <w:sz w:val="24"/>
          <w:szCs w:val="24"/>
          <w:lang w:eastAsia="es-ES"/>
        </w:rPr>
        <w:t xml:space="preserve"> en 2010. De ese modo, propuso que la totalidad del derecho reclamado debía reconocérsele solamente a él.</w:t>
      </w:r>
    </w:p>
    <w:p w14:paraId="5BFE373C" w14:textId="4299D8A1" w:rsidR="00A0365D" w:rsidRDefault="00A0365D" w:rsidP="00A0365D">
      <w:pPr>
        <w:spacing w:line="276" w:lineRule="auto"/>
        <w:rPr>
          <w:rFonts w:eastAsia="Times New Roman"/>
          <w:bCs/>
          <w:sz w:val="24"/>
          <w:szCs w:val="24"/>
          <w:lang w:eastAsia="es-ES"/>
        </w:rPr>
      </w:pPr>
    </w:p>
    <w:p w14:paraId="23187E8B" w14:textId="4CA09AEB" w:rsidR="00A0365D" w:rsidRDefault="00A0365D" w:rsidP="00A0365D">
      <w:pPr>
        <w:spacing w:line="276" w:lineRule="auto"/>
        <w:rPr>
          <w:rFonts w:eastAsia="Times New Roman"/>
          <w:bCs/>
          <w:sz w:val="24"/>
          <w:szCs w:val="24"/>
          <w:lang w:eastAsia="es-ES"/>
        </w:rPr>
      </w:pPr>
      <w:r>
        <w:rPr>
          <w:rFonts w:eastAsia="Times New Roman"/>
          <w:bCs/>
          <w:sz w:val="24"/>
          <w:szCs w:val="24"/>
          <w:lang w:eastAsia="es-ES"/>
        </w:rPr>
        <w:t>La alzada está siendo objeto de trámite en el Tribunal Administrativo del Valle del Cauca.</w:t>
      </w:r>
      <w:r w:rsidR="004D3A83">
        <w:rPr>
          <w:rFonts w:eastAsia="Times New Roman"/>
          <w:bCs/>
          <w:sz w:val="24"/>
          <w:szCs w:val="24"/>
          <w:lang w:eastAsia="es-ES"/>
        </w:rPr>
        <w:t xml:space="preserve"> Esa corporación, por medio de auto del 21 de mayo de 2021, admitió el recurso interpuesto y corrió traslado para alegar de conclusión. Según lo deja ver el Sistema de Información Judicial Colombiano, </w:t>
      </w:r>
      <w:r w:rsidR="00BF7196">
        <w:rPr>
          <w:rFonts w:eastAsia="Times New Roman"/>
          <w:bCs/>
          <w:sz w:val="24"/>
          <w:szCs w:val="24"/>
          <w:lang w:eastAsia="es-ES"/>
        </w:rPr>
        <w:t>el</w:t>
      </w:r>
      <w:r w:rsidR="004D3A83">
        <w:rPr>
          <w:rFonts w:eastAsia="Times New Roman"/>
          <w:bCs/>
          <w:sz w:val="24"/>
          <w:szCs w:val="24"/>
          <w:lang w:eastAsia="es-ES"/>
        </w:rPr>
        <w:t xml:space="preserve"> demandante presentó sus alegatos mediante memorial del 28 del mes y año en referencia.</w:t>
      </w:r>
    </w:p>
    <w:p w14:paraId="467BCB42" w14:textId="1631891B" w:rsidR="00F323C8" w:rsidRDefault="00F323C8" w:rsidP="00A0365D">
      <w:pPr>
        <w:spacing w:line="276" w:lineRule="auto"/>
        <w:rPr>
          <w:rFonts w:eastAsia="Times New Roman"/>
          <w:bCs/>
          <w:sz w:val="24"/>
          <w:szCs w:val="24"/>
          <w:lang w:eastAsia="es-ES"/>
        </w:rPr>
      </w:pPr>
    </w:p>
    <w:p w14:paraId="05659A64" w14:textId="52C218F8" w:rsidR="00F323C8" w:rsidRPr="00F323C8" w:rsidRDefault="00F323C8" w:rsidP="00A0365D">
      <w:pPr>
        <w:spacing w:line="276" w:lineRule="auto"/>
        <w:rPr>
          <w:rFonts w:eastAsia="Times New Roman"/>
          <w:bCs/>
          <w:sz w:val="24"/>
          <w:szCs w:val="24"/>
          <w:lang w:eastAsia="es-ES"/>
        </w:rPr>
      </w:pPr>
      <w:r>
        <w:rPr>
          <w:rFonts w:eastAsia="Times New Roman"/>
          <w:bCs/>
          <w:sz w:val="24"/>
          <w:szCs w:val="24"/>
          <w:lang w:eastAsia="es-ES"/>
        </w:rPr>
        <w:t xml:space="preserve">Estudiado lo anterior, es necesario evidenciar a partir de cuándo quedó suspendido el pago de la pensión objeto de </w:t>
      </w:r>
      <w:r w:rsidR="00A91BC5">
        <w:rPr>
          <w:rFonts w:eastAsia="Times New Roman"/>
          <w:bCs/>
          <w:sz w:val="24"/>
          <w:szCs w:val="24"/>
          <w:lang w:eastAsia="es-ES"/>
        </w:rPr>
        <w:t>litigio</w:t>
      </w:r>
      <w:r>
        <w:rPr>
          <w:rFonts w:eastAsia="Times New Roman"/>
          <w:bCs/>
          <w:sz w:val="24"/>
          <w:szCs w:val="24"/>
          <w:lang w:eastAsia="es-ES"/>
        </w:rPr>
        <w:t xml:space="preserve"> en el proceso descrito en precedencia. Al respecto, el </w:t>
      </w:r>
      <w:r w:rsidR="00BF7196">
        <w:rPr>
          <w:rFonts w:eastAsia="Times New Roman"/>
          <w:bCs/>
          <w:sz w:val="24"/>
          <w:szCs w:val="24"/>
          <w:lang w:eastAsia="es-ES"/>
        </w:rPr>
        <w:t>peticionario</w:t>
      </w:r>
      <w:r>
        <w:rPr>
          <w:rFonts w:eastAsia="Times New Roman"/>
          <w:bCs/>
          <w:sz w:val="24"/>
          <w:szCs w:val="24"/>
          <w:lang w:eastAsia="es-ES"/>
        </w:rPr>
        <w:t xml:space="preserve"> de amparo, en su escrito de tutela, señaló que, mediante requerimiento del 10 de septiembre de 2019, preguntó al municipio de Cali sobre la fecha exacta del </w:t>
      </w:r>
      <w:r>
        <w:rPr>
          <w:rFonts w:eastAsia="Times New Roman"/>
          <w:bCs/>
          <w:sz w:val="24"/>
          <w:szCs w:val="24"/>
          <w:lang w:eastAsia="es-ES"/>
        </w:rPr>
        <w:lastRenderedPageBreak/>
        <w:t xml:space="preserve">último pago. Esa entidad territorial, continuó el </w:t>
      </w:r>
      <w:r w:rsidR="00BF7196">
        <w:rPr>
          <w:rFonts w:eastAsia="Times New Roman"/>
          <w:bCs/>
          <w:sz w:val="24"/>
          <w:szCs w:val="24"/>
          <w:lang w:eastAsia="es-ES"/>
        </w:rPr>
        <w:t>solicitante</w:t>
      </w:r>
      <w:r>
        <w:rPr>
          <w:rFonts w:eastAsia="Times New Roman"/>
          <w:bCs/>
          <w:sz w:val="24"/>
          <w:szCs w:val="24"/>
          <w:lang w:eastAsia="es-ES"/>
        </w:rPr>
        <w:t xml:space="preserve">, le informó, por medio de la respuesta n.° </w:t>
      </w:r>
      <w:r w:rsidRPr="00F323C8">
        <w:rPr>
          <w:rFonts w:eastAsia="Times New Roman"/>
          <w:bCs/>
          <w:sz w:val="24"/>
          <w:szCs w:val="24"/>
          <w:lang w:eastAsia="es-ES"/>
        </w:rPr>
        <w:t>201941370400073281</w:t>
      </w:r>
      <w:r w:rsidR="00BF7196">
        <w:rPr>
          <w:rFonts w:eastAsia="Times New Roman"/>
          <w:bCs/>
          <w:sz w:val="24"/>
          <w:szCs w:val="24"/>
          <w:lang w:eastAsia="es-ES"/>
        </w:rPr>
        <w:t>,</w:t>
      </w:r>
      <w:r>
        <w:rPr>
          <w:rFonts w:eastAsia="Times New Roman"/>
          <w:bCs/>
          <w:sz w:val="24"/>
          <w:szCs w:val="24"/>
          <w:lang w:eastAsia="es-ES"/>
        </w:rPr>
        <w:t xml:space="preserve"> que el último pago registrado se efectuó para la mensualidad correspondiente a noviembre de 2010</w:t>
      </w:r>
      <w:r w:rsidR="000E16BA">
        <w:rPr>
          <w:rFonts w:eastAsia="Times New Roman"/>
          <w:bCs/>
          <w:sz w:val="24"/>
          <w:szCs w:val="24"/>
          <w:vertAlign w:val="superscript"/>
          <w:lang w:eastAsia="es-ES"/>
        </w:rPr>
        <w:t>[</w:t>
      </w:r>
      <w:r w:rsidR="00ED35BB">
        <w:rPr>
          <w:rStyle w:val="FootnoteReference"/>
          <w:rFonts w:eastAsia="Times New Roman"/>
          <w:bCs/>
          <w:sz w:val="24"/>
          <w:szCs w:val="24"/>
          <w:lang w:eastAsia="es-ES"/>
        </w:rPr>
        <w:footnoteReference w:id="15"/>
      </w:r>
      <w:r w:rsidR="000E16BA">
        <w:rPr>
          <w:rFonts w:eastAsia="Times New Roman"/>
          <w:bCs/>
          <w:sz w:val="24"/>
          <w:szCs w:val="24"/>
          <w:vertAlign w:val="superscript"/>
          <w:lang w:eastAsia="es-ES"/>
        </w:rPr>
        <w:t>]</w:t>
      </w:r>
      <w:r>
        <w:rPr>
          <w:rFonts w:eastAsia="Times New Roman"/>
          <w:bCs/>
          <w:sz w:val="24"/>
          <w:szCs w:val="24"/>
          <w:lang w:eastAsia="es-ES"/>
        </w:rPr>
        <w:t>.</w:t>
      </w:r>
    </w:p>
    <w:p w14:paraId="77EC7D36" w14:textId="23AD10F0" w:rsidR="00A0365D" w:rsidRDefault="00A0365D" w:rsidP="00A0365D">
      <w:pPr>
        <w:pStyle w:val="ListParagraph"/>
        <w:spacing w:line="276" w:lineRule="auto"/>
        <w:ind w:left="0"/>
        <w:rPr>
          <w:rFonts w:eastAsia="Times New Roman"/>
          <w:b/>
          <w:sz w:val="24"/>
          <w:szCs w:val="24"/>
          <w:lang w:eastAsia="es-ES"/>
        </w:rPr>
      </w:pPr>
    </w:p>
    <w:p w14:paraId="36B0AF01" w14:textId="509A1365" w:rsidR="00ED35BB" w:rsidRPr="00BB2EF5" w:rsidRDefault="00BB2EF5" w:rsidP="00ED35BB">
      <w:pPr>
        <w:spacing w:line="276" w:lineRule="auto"/>
        <w:rPr>
          <w:rFonts w:eastAsia="Times New Roman"/>
          <w:bCs/>
          <w:sz w:val="24"/>
          <w:szCs w:val="24"/>
          <w:lang w:eastAsia="es-ES"/>
        </w:rPr>
      </w:pPr>
      <w:r w:rsidRPr="00BB2EF5">
        <w:rPr>
          <w:rFonts w:eastAsia="Times New Roman"/>
          <w:bCs/>
          <w:sz w:val="24"/>
          <w:szCs w:val="24"/>
          <w:lang w:eastAsia="es-ES"/>
        </w:rPr>
        <w:t>Debe traerse ahora a colación que el actor afirm</w:t>
      </w:r>
      <w:r w:rsidR="00A91BC5">
        <w:rPr>
          <w:rFonts w:eastAsia="Times New Roman"/>
          <w:bCs/>
          <w:sz w:val="24"/>
          <w:szCs w:val="24"/>
          <w:lang w:eastAsia="es-ES"/>
        </w:rPr>
        <w:t>ó</w:t>
      </w:r>
      <w:r w:rsidRPr="00BB2EF5">
        <w:rPr>
          <w:rFonts w:eastAsia="Times New Roman"/>
          <w:bCs/>
          <w:sz w:val="24"/>
          <w:szCs w:val="24"/>
          <w:lang w:eastAsia="es-ES"/>
        </w:rPr>
        <w:t xml:space="preserve"> contar con sesenta y seis años y padecer una pérdida de capacidad laboral del sesenta y tres coma setenta y cuatro porciento (63,74%). A ello agreg</w:t>
      </w:r>
      <w:r w:rsidR="00A91BC5">
        <w:rPr>
          <w:rFonts w:eastAsia="Times New Roman"/>
          <w:bCs/>
          <w:sz w:val="24"/>
          <w:szCs w:val="24"/>
          <w:lang w:eastAsia="es-ES"/>
        </w:rPr>
        <w:t>ó</w:t>
      </w:r>
      <w:r w:rsidRPr="00BB2EF5">
        <w:rPr>
          <w:rFonts w:eastAsia="Times New Roman"/>
          <w:bCs/>
          <w:sz w:val="24"/>
          <w:szCs w:val="24"/>
          <w:lang w:eastAsia="es-ES"/>
        </w:rPr>
        <w:t xml:space="preserve"> que, por su situación, no puede acceder a un trabajo que le permita solventarse y que está pasando por serias dificultades económicas. Es por eso </w:t>
      </w:r>
      <w:r>
        <w:rPr>
          <w:rFonts w:eastAsia="Times New Roman"/>
          <w:bCs/>
          <w:sz w:val="24"/>
          <w:szCs w:val="24"/>
          <w:lang w:eastAsia="es-ES"/>
        </w:rPr>
        <w:t xml:space="preserve">por lo </w:t>
      </w:r>
      <w:r w:rsidRPr="00BB2EF5">
        <w:rPr>
          <w:rFonts w:eastAsia="Times New Roman"/>
          <w:bCs/>
          <w:sz w:val="24"/>
          <w:szCs w:val="24"/>
          <w:lang w:eastAsia="es-ES"/>
        </w:rPr>
        <w:t>que pide que este fallador ordene que, mientras se resuelve la apelación descrita arriba, se le pague “el 50% de la pensión que</w:t>
      </w:r>
      <w:r>
        <w:rPr>
          <w:rFonts w:eastAsia="Times New Roman"/>
          <w:bCs/>
          <w:sz w:val="24"/>
          <w:szCs w:val="24"/>
          <w:lang w:eastAsia="es-ES"/>
        </w:rPr>
        <w:t xml:space="preserve"> </w:t>
      </w:r>
      <w:r w:rsidRPr="00BB2EF5">
        <w:rPr>
          <w:rFonts w:eastAsia="Times New Roman"/>
          <w:bCs/>
          <w:sz w:val="24"/>
          <w:szCs w:val="24"/>
          <w:lang w:eastAsia="es-ES"/>
        </w:rPr>
        <w:t>fue reconocida en la Sentencia</w:t>
      </w:r>
      <w:r w:rsidR="00ED35BB">
        <w:rPr>
          <w:rFonts w:eastAsia="Times New Roman"/>
          <w:bCs/>
          <w:sz w:val="24"/>
          <w:szCs w:val="24"/>
          <w:lang w:eastAsia="es-ES"/>
        </w:rPr>
        <w:t xml:space="preserve"> [sic]</w:t>
      </w:r>
      <w:r w:rsidRPr="00BB2EF5">
        <w:rPr>
          <w:rFonts w:eastAsia="Times New Roman"/>
          <w:bCs/>
          <w:sz w:val="24"/>
          <w:szCs w:val="24"/>
          <w:lang w:eastAsia="es-ES"/>
        </w:rPr>
        <w:t xml:space="preserve"> de primera Instancia</w:t>
      </w:r>
      <w:r w:rsidR="00ED35BB">
        <w:rPr>
          <w:rFonts w:eastAsia="Times New Roman"/>
          <w:bCs/>
          <w:sz w:val="24"/>
          <w:szCs w:val="24"/>
          <w:lang w:eastAsia="es-ES"/>
        </w:rPr>
        <w:t xml:space="preserve"> [sic]</w:t>
      </w:r>
      <w:r w:rsidRPr="00BB2EF5">
        <w:rPr>
          <w:rFonts w:eastAsia="Times New Roman"/>
          <w:bCs/>
          <w:sz w:val="24"/>
          <w:szCs w:val="24"/>
          <w:lang w:eastAsia="es-ES"/>
        </w:rPr>
        <w:t xml:space="preserve"> No.</w:t>
      </w:r>
      <w:r w:rsidR="00ED35BB">
        <w:rPr>
          <w:rFonts w:eastAsia="Times New Roman"/>
          <w:bCs/>
          <w:sz w:val="24"/>
          <w:szCs w:val="24"/>
          <w:lang w:eastAsia="es-ES"/>
        </w:rPr>
        <w:t xml:space="preserve"> [sic]</w:t>
      </w:r>
      <w:r w:rsidRPr="00BB2EF5">
        <w:rPr>
          <w:rFonts w:eastAsia="Times New Roman"/>
          <w:bCs/>
          <w:sz w:val="24"/>
          <w:szCs w:val="24"/>
          <w:lang w:eastAsia="es-ES"/>
        </w:rPr>
        <w:t xml:space="preserve"> 182 del 20 de junio de</w:t>
      </w:r>
      <w:r w:rsidR="00ED35BB">
        <w:rPr>
          <w:rFonts w:eastAsia="Times New Roman"/>
          <w:bCs/>
          <w:sz w:val="24"/>
          <w:szCs w:val="24"/>
          <w:lang w:eastAsia="es-ES"/>
        </w:rPr>
        <w:t xml:space="preserve"> </w:t>
      </w:r>
      <w:r w:rsidRPr="00ED35BB">
        <w:rPr>
          <w:rFonts w:eastAsia="Times New Roman"/>
          <w:bCs/>
          <w:sz w:val="24"/>
          <w:szCs w:val="24"/>
          <w:lang w:eastAsia="es-ES"/>
        </w:rPr>
        <w:t>2019</w:t>
      </w:r>
      <w:r w:rsidR="00ED35BB">
        <w:rPr>
          <w:rFonts w:eastAsia="Times New Roman"/>
          <w:bCs/>
          <w:sz w:val="24"/>
          <w:szCs w:val="24"/>
          <w:lang w:eastAsia="es-ES"/>
        </w:rPr>
        <w:t>”</w:t>
      </w:r>
      <w:r w:rsidR="00ED35BB">
        <w:rPr>
          <w:rStyle w:val="FootnoteReference"/>
          <w:rFonts w:eastAsia="Times New Roman"/>
          <w:bCs/>
          <w:sz w:val="24"/>
          <w:szCs w:val="24"/>
          <w:lang w:eastAsia="es-ES"/>
        </w:rPr>
        <w:footnoteReference w:id="16"/>
      </w:r>
      <w:r w:rsidR="000E16BA">
        <w:rPr>
          <w:rFonts w:eastAsia="Times New Roman"/>
          <w:bCs/>
          <w:sz w:val="24"/>
          <w:szCs w:val="24"/>
          <w:lang w:eastAsia="es-ES"/>
        </w:rPr>
        <w:t>.</w:t>
      </w:r>
    </w:p>
    <w:p w14:paraId="416F8740" w14:textId="7B77257D" w:rsidR="00F323C8" w:rsidRDefault="00F323C8" w:rsidP="00BB2EF5">
      <w:pPr>
        <w:pStyle w:val="ListParagraph"/>
        <w:spacing w:line="276" w:lineRule="auto"/>
        <w:ind w:left="0"/>
        <w:rPr>
          <w:rFonts w:eastAsia="Times New Roman"/>
          <w:bCs/>
          <w:sz w:val="24"/>
          <w:szCs w:val="24"/>
          <w:lang w:eastAsia="es-ES"/>
        </w:rPr>
      </w:pPr>
    </w:p>
    <w:p w14:paraId="24E62379" w14:textId="77BFA2D1" w:rsidR="000E16BA" w:rsidRDefault="00E15C92" w:rsidP="00BB2EF5">
      <w:pPr>
        <w:pStyle w:val="ListParagraph"/>
        <w:spacing w:line="276" w:lineRule="auto"/>
        <w:ind w:left="0"/>
        <w:rPr>
          <w:rFonts w:eastAsia="Times New Roman"/>
          <w:bCs/>
          <w:sz w:val="24"/>
          <w:szCs w:val="24"/>
          <w:lang w:eastAsia="es-ES"/>
        </w:rPr>
      </w:pPr>
      <w:r>
        <w:rPr>
          <w:rFonts w:eastAsia="Times New Roman"/>
          <w:bCs/>
          <w:sz w:val="24"/>
          <w:szCs w:val="24"/>
          <w:lang w:eastAsia="es-ES"/>
        </w:rPr>
        <w:t xml:space="preserve">Al analizar los elementos de juicio expuestos hasta el momento la Sala encuentra insatisfecha la exigencia bajo estudio. </w:t>
      </w:r>
      <w:r w:rsidR="00CA376A">
        <w:rPr>
          <w:rFonts w:eastAsia="Times New Roman"/>
          <w:bCs/>
          <w:sz w:val="24"/>
          <w:szCs w:val="24"/>
          <w:lang w:eastAsia="es-ES"/>
        </w:rPr>
        <w:t xml:space="preserve">En efecto, el accionante pide que este juez constitucional intervenga en un proceso judicial en curso y que, con respecto de este, tome decisiones transitorias mientras culmina el respectivo trámite. No obstante, no se advierte un desconocimiento del debido proceso que habilite a este fallador a ordenar la medida protectora que el accionante solicitó en su libelo de amparo. </w:t>
      </w:r>
      <w:r w:rsidR="000D4F5D">
        <w:rPr>
          <w:rFonts w:eastAsia="Times New Roman"/>
          <w:bCs/>
          <w:sz w:val="24"/>
          <w:szCs w:val="24"/>
          <w:lang w:eastAsia="es-ES"/>
        </w:rPr>
        <w:t>De hecho, e</w:t>
      </w:r>
      <w:r w:rsidR="00CA376A">
        <w:rPr>
          <w:rFonts w:eastAsia="Times New Roman"/>
          <w:bCs/>
          <w:sz w:val="24"/>
          <w:szCs w:val="24"/>
          <w:lang w:eastAsia="es-ES"/>
        </w:rPr>
        <w:t xml:space="preserve">l medio de control referenciado arriba presenta un decurso regular dentro del cual no se observa anomalía alguna que requiera atención inmediata </w:t>
      </w:r>
      <w:r w:rsidR="000D4F5D">
        <w:rPr>
          <w:rFonts w:eastAsia="Times New Roman"/>
          <w:bCs/>
          <w:sz w:val="24"/>
          <w:szCs w:val="24"/>
          <w:lang w:eastAsia="es-ES"/>
        </w:rPr>
        <w:t xml:space="preserve">y </w:t>
      </w:r>
      <w:r w:rsidR="00CA376A">
        <w:rPr>
          <w:rFonts w:eastAsia="Times New Roman"/>
          <w:bCs/>
          <w:sz w:val="24"/>
          <w:szCs w:val="24"/>
          <w:lang w:eastAsia="es-ES"/>
        </w:rPr>
        <w:t>que no pueda ventilarse a</w:t>
      </w:r>
      <w:r w:rsidR="000D4F5D">
        <w:rPr>
          <w:rFonts w:eastAsia="Times New Roman"/>
          <w:bCs/>
          <w:sz w:val="24"/>
          <w:szCs w:val="24"/>
          <w:lang w:eastAsia="es-ES"/>
        </w:rPr>
        <w:t xml:space="preserve"> través de las etapas procesales que son propias del asunto ordinario en comento</w:t>
      </w:r>
      <w:r w:rsidR="000D4F5D">
        <w:rPr>
          <w:rStyle w:val="FootnoteReference"/>
          <w:rFonts w:eastAsia="Times New Roman"/>
          <w:bCs/>
          <w:sz w:val="24"/>
          <w:szCs w:val="24"/>
          <w:lang w:eastAsia="es-ES"/>
        </w:rPr>
        <w:footnoteReference w:id="17"/>
      </w:r>
      <w:r w:rsidR="000D4F5D">
        <w:rPr>
          <w:rFonts w:eastAsia="Times New Roman"/>
          <w:bCs/>
          <w:sz w:val="24"/>
          <w:szCs w:val="24"/>
          <w:lang w:eastAsia="es-ES"/>
        </w:rPr>
        <w:t>.</w:t>
      </w:r>
    </w:p>
    <w:p w14:paraId="0DD62FA8" w14:textId="52620ACB" w:rsidR="000D4F5D" w:rsidRDefault="000D4F5D" w:rsidP="00BB2EF5">
      <w:pPr>
        <w:pStyle w:val="ListParagraph"/>
        <w:spacing w:line="276" w:lineRule="auto"/>
        <w:ind w:left="0"/>
        <w:rPr>
          <w:rFonts w:eastAsia="Times New Roman"/>
          <w:bCs/>
          <w:sz w:val="24"/>
          <w:szCs w:val="24"/>
          <w:lang w:eastAsia="es-ES"/>
        </w:rPr>
      </w:pPr>
    </w:p>
    <w:p w14:paraId="19B2A68C" w14:textId="486996E2" w:rsidR="000D4F5D" w:rsidRDefault="000D4F5D" w:rsidP="000D4F5D">
      <w:pPr>
        <w:spacing w:line="276" w:lineRule="auto"/>
        <w:rPr>
          <w:sz w:val="24"/>
          <w:szCs w:val="24"/>
        </w:rPr>
      </w:pPr>
      <w:r>
        <w:rPr>
          <w:rFonts w:eastAsia="Times New Roman"/>
          <w:bCs/>
          <w:sz w:val="24"/>
          <w:szCs w:val="24"/>
          <w:lang w:eastAsia="es-ES"/>
        </w:rPr>
        <w:t>El amparo</w:t>
      </w:r>
      <w:r w:rsidRPr="000D4F5D">
        <w:rPr>
          <w:rFonts w:eastAsia="Times New Roman"/>
          <w:bCs/>
          <w:sz w:val="24"/>
          <w:szCs w:val="24"/>
          <w:lang w:eastAsia="es-ES"/>
        </w:rPr>
        <w:t xml:space="preserve"> de </w:t>
      </w:r>
      <w:r>
        <w:rPr>
          <w:rFonts w:eastAsia="Times New Roman"/>
          <w:bCs/>
          <w:sz w:val="24"/>
          <w:szCs w:val="24"/>
          <w:lang w:eastAsia="es-ES"/>
        </w:rPr>
        <w:t>garantías superiores</w:t>
      </w:r>
      <w:r w:rsidRPr="000D4F5D">
        <w:rPr>
          <w:rFonts w:eastAsia="Times New Roman"/>
          <w:bCs/>
          <w:sz w:val="24"/>
          <w:szCs w:val="24"/>
          <w:lang w:eastAsia="es-ES"/>
        </w:rPr>
        <w:t xml:space="preserve"> </w:t>
      </w:r>
      <w:r>
        <w:rPr>
          <w:rFonts w:eastAsia="Times New Roman"/>
          <w:bCs/>
          <w:sz w:val="24"/>
          <w:szCs w:val="24"/>
          <w:lang w:eastAsia="es-ES"/>
        </w:rPr>
        <w:t>por conducto</w:t>
      </w:r>
      <w:r w:rsidRPr="000D4F5D">
        <w:rPr>
          <w:rFonts w:eastAsia="Times New Roman"/>
          <w:bCs/>
          <w:sz w:val="24"/>
          <w:szCs w:val="24"/>
          <w:lang w:eastAsia="es-ES"/>
        </w:rPr>
        <w:t xml:space="preserve"> de la tutela permite la intervención del </w:t>
      </w:r>
      <w:r>
        <w:rPr>
          <w:rFonts w:eastAsia="Times New Roman"/>
          <w:bCs/>
          <w:sz w:val="24"/>
          <w:szCs w:val="24"/>
          <w:lang w:eastAsia="es-ES"/>
        </w:rPr>
        <w:t>fallador</w:t>
      </w:r>
      <w:r w:rsidRPr="000D4F5D">
        <w:rPr>
          <w:rFonts w:eastAsia="Times New Roman"/>
          <w:bCs/>
          <w:sz w:val="24"/>
          <w:szCs w:val="24"/>
          <w:lang w:eastAsia="es-ES"/>
        </w:rPr>
        <w:t xml:space="preserve"> constitucional </w:t>
      </w:r>
      <w:r>
        <w:rPr>
          <w:rFonts w:eastAsia="Times New Roman"/>
          <w:bCs/>
          <w:sz w:val="24"/>
          <w:szCs w:val="24"/>
          <w:lang w:eastAsia="es-ES"/>
        </w:rPr>
        <w:t>solo si se</w:t>
      </w:r>
      <w:r w:rsidRPr="000D4F5D">
        <w:rPr>
          <w:rFonts w:eastAsia="Times New Roman"/>
          <w:bCs/>
          <w:sz w:val="24"/>
          <w:szCs w:val="24"/>
          <w:lang w:eastAsia="es-ES"/>
        </w:rPr>
        <w:t xml:space="preserve"> demuestr</w:t>
      </w:r>
      <w:r>
        <w:rPr>
          <w:rFonts w:eastAsia="Times New Roman"/>
          <w:bCs/>
          <w:sz w:val="24"/>
          <w:szCs w:val="24"/>
          <w:lang w:eastAsia="es-ES"/>
        </w:rPr>
        <w:t>a</w:t>
      </w:r>
      <w:r w:rsidRPr="000D4F5D">
        <w:rPr>
          <w:rFonts w:eastAsia="Times New Roman"/>
          <w:bCs/>
          <w:sz w:val="24"/>
          <w:szCs w:val="24"/>
          <w:lang w:eastAsia="es-ES"/>
        </w:rPr>
        <w:t xml:space="preserve"> </w:t>
      </w:r>
      <w:r>
        <w:rPr>
          <w:rFonts w:eastAsia="Times New Roman"/>
          <w:bCs/>
          <w:sz w:val="24"/>
          <w:szCs w:val="24"/>
          <w:lang w:eastAsia="es-ES"/>
        </w:rPr>
        <w:t>la inexistencia de</w:t>
      </w:r>
      <w:r w:rsidRPr="000D4F5D">
        <w:rPr>
          <w:rFonts w:eastAsia="Times New Roman"/>
          <w:bCs/>
          <w:sz w:val="24"/>
          <w:szCs w:val="24"/>
          <w:lang w:eastAsia="es-ES"/>
        </w:rPr>
        <w:t xml:space="preserve"> otro </w:t>
      </w:r>
      <w:r>
        <w:rPr>
          <w:rFonts w:eastAsia="Times New Roman"/>
          <w:bCs/>
          <w:sz w:val="24"/>
          <w:szCs w:val="24"/>
          <w:lang w:eastAsia="es-ES"/>
        </w:rPr>
        <w:t>mecanismo</w:t>
      </w:r>
      <w:r w:rsidRPr="000D4F5D">
        <w:rPr>
          <w:rFonts w:eastAsia="Times New Roman"/>
          <w:bCs/>
          <w:sz w:val="24"/>
          <w:szCs w:val="24"/>
          <w:lang w:eastAsia="es-ES"/>
        </w:rPr>
        <w:t xml:space="preserve"> </w:t>
      </w:r>
      <w:r>
        <w:rPr>
          <w:rFonts w:eastAsia="Times New Roman"/>
          <w:bCs/>
          <w:sz w:val="24"/>
          <w:szCs w:val="24"/>
          <w:lang w:eastAsia="es-ES"/>
        </w:rPr>
        <w:t xml:space="preserve">jurisdiccional </w:t>
      </w:r>
      <w:r w:rsidRPr="000D4F5D">
        <w:rPr>
          <w:rFonts w:eastAsia="Times New Roman"/>
          <w:bCs/>
          <w:sz w:val="24"/>
          <w:szCs w:val="24"/>
          <w:lang w:eastAsia="es-ES"/>
        </w:rPr>
        <w:t xml:space="preserve">de defensa o </w:t>
      </w:r>
      <w:r>
        <w:rPr>
          <w:rFonts w:eastAsia="Times New Roman"/>
          <w:bCs/>
          <w:sz w:val="24"/>
          <w:szCs w:val="24"/>
          <w:lang w:eastAsia="es-ES"/>
        </w:rPr>
        <w:t>la configuración de</w:t>
      </w:r>
      <w:r w:rsidRPr="000D4F5D">
        <w:rPr>
          <w:rFonts w:eastAsia="Times New Roman"/>
          <w:bCs/>
          <w:sz w:val="24"/>
          <w:szCs w:val="24"/>
          <w:lang w:eastAsia="es-ES"/>
        </w:rPr>
        <w:t xml:space="preserve"> un perjuicio irremediable</w:t>
      </w:r>
      <w:r w:rsidR="00BF7196">
        <w:rPr>
          <w:rStyle w:val="FootnoteReference"/>
          <w:rFonts w:eastAsia="Times New Roman"/>
          <w:bCs/>
          <w:sz w:val="24"/>
          <w:szCs w:val="24"/>
          <w:lang w:eastAsia="es-ES"/>
        </w:rPr>
        <w:footnoteReference w:id="18"/>
      </w:r>
      <w:r w:rsidRPr="000D4F5D">
        <w:rPr>
          <w:rFonts w:eastAsia="Times New Roman"/>
          <w:bCs/>
          <w:sz w:val="24"/>
          <w:szCs w:val="24"/>
          <w:lang w:eastAsia="es-ES"/>
        </w:rPr>
        <w:t>.</w:t>
      </w:r>
      <w:r>
        <w:rPr>
          <w:rFonts w:eastAsia="Times New Roman"/>
          <w:bCs/>
          <w:sz w:val="24"/>
          <w:szCs w:val="24"/>
          <w:lang w:eastAsia="es-ES"/>
        </w:rPr>
        <w:t xml:space="preserve"> Sobre este segundo punto, llama la atención que el m</w:t>
      </w:r>
      <w:r>
        <w:rPr>
          <w:sz w:val="24"/>
          <w:szCs w:val="24"/>
        </w:rPr>
        <w:t xml:space="preserve">unicipio de Cali expidió la resolución </w:t>
      </w:r>
      <w:r w:rsidRPr="00D047E9">
        <w:rPr>
          <w:sz w:val="24"/>
          <w:szCs w:val="24"/>
        </w:rPr>
        <w:t>SARH</w:t>
      </w:r>
      <w:r>
        <w:rPr>
          <w:sz w:val="24"/>
          <w:szCs w:val="24"/>
        </w:rPr>
        <w:t>-</w:t>
      </w:r>
      <w:r w:rsidRPr="00D047E9">
        <w:rPr>
          <w:sz w:val="24"/>
          <w:szCs w:val="24"/>
        </w:rPr>
        <w:t>GPE-0358 del 6 de mayo</w:t>
      </w:r>
      <w:r>
        <w:rPr>
          <w:sz w:val="24"/>
          <w:szCs w:val="24"/>
        </w:rPr>
        <w:t xml:space="preserve"> </w:t>
      </w:r>
      <w:r w:rsidRPr="00D047E9">
        <w:rPr>
          <w:sz w:val="24"/>
          <w:szCs w:val="24"/>
        </w:rPr>
        <w:t>de 2003</w:t>
      </w:r>
      <w:r>
        <w:rPr>
          <w:sz w:val="24"/>
          <w:szCs w:val="24"/>
        </w:rPr>
        <w:t xml:space="preserve">, por la cual reconoció a la señora Orrego como única sucesora de </w:t>
      </w:r>
      <w:r w:rsidRPr="000D4F5D">
        <w:rPr>
          <w:sz w:val="24"/>
          <w:szCs w:val="24"/>
        </w:rPr>
        <w:t>Alfonso Azcárate Castrillón</w:t>
      </w:r>
      <w:r>
        <w:rPr>
          <w:sz w:val="24"/>
          <w:szCs w:val="24"/>
        </w:rPr>
        <w:t xml:space="preserve">, quien, además, murió en 2002. </w:t>
      </w:r>
    </w:p>
    <w:p w14:paraId="63946E8C" w14:textId="77777777" w:rsidR="000D4F5D" w:rsidRDefault="000D4F5D" w:rsidP="000D4F5D">
      <w:pPr>
        <w:spacing w:line="276" w:lineRule="auto"/>
        <w:rPr>
          <w:sz w:val="24"/>
          <w:szCs w:val="24"/>
        </w:rPr>
      </w:pPr>
    </w:p>
    <w:p w14:paraId="6D038AD6" w14:textId="48212832" w:rsidR="00D5419C" w:rsidRDefault="000D4F5D" w:rsidP="00BF7196">
      <w:pPr>
        <w:spacing w:line="276" w:lineRule="auto"/>
        <w:rPr>
          <w:sz w:val="24"/>
          <w:szCs w:val="24"/>
        </w:rPr>
      </w:pPr>
      <w:r>
        <w:rPr>
          <w:sz w:val="24"/>
          <w:szCs w:val="24"/>
        </w:rPr>
        <w:t xml:space="preserve">Si el accionante afirma que su único sustento era el que le prodigaba su padre, es posible inferir que su situación calamitosa viene desde 2002. Ahora, puede señalarse también que el actor intentó solucionar su </w:t>
      </w:r>
      <w:r w:rsidR="00301CDA">
        <w:rPr>
          <w:sz w:val="24"/>
          <w:szCs w:val="24"/>
        </w:rPr>
        <w:t>dificultad</w:t>
      </w:r>
      <w:r>
        <w:rPr>
          <w:sz w:val="24"/>
          <w:szCs w:val="24"/>
        </w:rPr>
        <w:t xml:space="preserve"> en 2010 cuando murió Rubiela Orrego, compañera permanente de su padre. Sin embargo, instauró la respectiva demanda de nulidad y restablecimiento del derecho so</w:t>
      </w:r>
      <w:r w:rsidR="00301CDA">
        <w:rPr>
          <w:sz w:val="24"/>
          <w:szCs w:val="24"/>
        </w:rPr>
        <w:t>lo hasta 2017, esto es, cerca de siete años después de ocurrido e</w:t>
      </w:r>
      <w:r w:rsidR="005C00C7">
        <w:rPr>
          <w:sz w:val="24"/>
          <w:szCs w:val="24"/>
        </w:rPr>
        <w:t>se</w:t>
      </w:r>
      <w:r w:rsidR="00301CDA">
        <w:rPr>
          <w:sz w:val="24"/>
          <w:szCs w:val="24"/>
        </w:rPr>
        <w:t xml:space="preserve"> deceso.</w:t>
      </w:r>
      <w:r w:rsidR="00BF7196">
        <w:rPr>
          <w:sz w:val="24"/>
          <w:szCs w:val="24"/>
        </w:rPr>
        <w:t xml:space="preserve"> Además, el actor acude al presente proceso constitucional hasta 2021, es decir, once años después de ello</w:t>
      </w:r>
      <w:r w:rsidR="005C00C7">
        <w:rPr>
          <w:sz w:val="24"/>
          <w:szCs w:val="24"/>
        </w:rPr>
        <w:t xml:space="preserve"> y casi al final del trámite ordinario en referencia, dentro del cual no dijo haber pedido medida alguna.</w:t>
      </w:r>
    </w:p>
    <w:p w14:paraId="05128736" w14:textId="22AC2A96" w:rsidR="00BF7196" w:rsidRDefault="00BF7196" w:rsidP="00BF7196">
      <w:pPr>
        <w:spacing w:line="276" w:lineRule="auto"/>
        <w:rPr>
          <w:sz w:val="24"/>
          <w:szCs w:val="24"/>
        </w:rPr>
      </w:pPr>
      <w:r>
        <w:rPr>
          <w:sz w:val="24"/>
          <w:szCs w:val="24"/>
        </w:rPr>
        <w:lastRenderedPageBreak/>
        <w:t xml:space="preserve">A lo anterior se une que Luis Eduardo Azcárate nunca ha recibido </w:t>
      </w:r>
      <w:r w:rsidR="005C00C7">
        <w:rPr>
          <w:sz w:val="24"/>
          <w:szCs w:val="24"/>
        </w:rPr>
        <w:t xml:space="preserve">la </w:t>
      </w:r>
      <w:r>
        <w:rPr>
          <w:sz w:val="24"/>
          <w:szCs w:val="24"/>
        </w:rPr>
        <w:t>mesada pensional</w:t>
      </w:r>
      <w:r w:rsidR="005C00C7">
        <w:rPr>
          <w:sz w:val="24"/>
          <w:szCs w:val="24"/>
        </w:rPr>
        <w:t xml:space="preserve"> de su interés. Es</w:t>
      </w:r>
      <w:r w:rsidR="00C80401">
        <w:rPr>
          <w:sz w:val="24"/>
          <w:szCs w:val="24"/>
        </w:rPr>
        <w:t>t</w:t>
      </w:r>
      <w:r w:rsidR="005C00C7">
        <w:rPr>
          <w:sz w:val="24"/>
          <w:szCs w:val="24"/>
        </w:rPr>
        <w:t>a</w:t>
      </w:r>
      <w:r>
        <w:rPr>
          <w:sz w:val="24"/>
          <w:szCs w:val="24"/>
        </w:rPr>
        <w:t xml:space="preserve">, primero, la percibía su padre y, después, la cobraba la señora Orrego en calidad de sucesora. Así las cosas, para la Subsección no está acreditada la urgencia y premura por la que dice estar pasando el peticionario. Todo lo contrario, se observa que </w:t>
      </w:r>
      <w:r w:rsidR="005C00C7">
        <w:rPr>
          <w:sz w:val="24"/>
          <w:szCs w:val="24"/>
        </w:rPr>
        <w:t xml:space="preserve">este </w:t>
      </w:r>
      <w:r>
        <w:rPr>
          <w:sz w:val="24"/>
          <w:szCs w:val="24"/>
        </w:rPr>
        <w:t>ha dejado pasar el tiempo prolongadamente.</w:t>
      </w:r>
      <w:r w:rsidR="00660F1C">
        <w:rPr>
          <w:sz w:val="24"/>
          <w:szCs w:val="24"/>
        </w:rPr>
        <w:t xml:space="preserve"> </w:t>
      </w:r>
      <w:r w:rsidR="00C80401">
        <w:rPr>
          <w:sz w:val="24"/>
          <w:szCs w:val="24"/>
        </w:rPr>
        <w:t xml:space="preserve">De ese modo, queda acreditada la discapacidad que padece el actor y su edad; pero no que de ello, </w:t>
      </w:r>
      <w:r w:rsidR="00C80401">
        <w:rPr>
          <w:i/>
          <w:iCs/>
          <w:sz w:val="24"/>
          <w:szCs w:val="24"/>
        </w:rPr>
        <w:t>per se</w:t>
      </w:r>
      <w:r w:rsidR="00C80401">
        <w:rPr>
          <w:sz w:val="24"/>
          <w:szCs w:val="24"/>
        </w:rPr>
        <w:t xml:space="preserve">, se desprenda un perjuicio irremediable que deba ser atendido por esta Corporación. </w:t>
      </w:r>
      <w:r w:rsidR="00660F1C">
        <w:rPr>
          <w:sz w:val="24"/>
          <w:szCs w:val="24"/>
        </w:rPr>
        <w:t xml:space="preserve">Lo anterior impone concluir que no se probó </w:t>
      </w:r>
      <w:r w:rsidR="00C80401">
        <w:rPr>
          <w:sz w:val="24"/>
          <w:szCs w:val="24"/>
        </w:rPr>
        <w:t>la dificultad</w:t>
      </w:r>
      <w:r w:rsidR="00660F1C">
        <w:rPr>
          <w:sz w:val="24"/>
          <w:szCs w:val="24"/>
        </w:rPr>
        <w:t xml:space="preserve"> alegad</w:t>
      </w:r>
      <w:r w:rsidR="00C80401">
        <w:rPr>
          <w:sz w:val="24"/>
          <w:szCs w:val="24"/>
        </w:rPr>
        <w:t>a</w:t>
      </w:r>
      <w:r w:rsidR="00660F1C">
        <w:rPr>
          <w:sz w:val="24"/>
          <w:szCs w:val="24"/>
        </w:rPr>
        <w:t>, lo que torna improcedente la acción de tutela bajo análisis.</w:t>
      </w:r>
    </w:p>
    <w:p w14:paraId="6CD04A6B" w14:textId="77777777" w:rsidR="00BF7196" w:rsidRPr="00BF7196" w:rsidRDefault="00BF7196" w:rsidP="00BF7196">
      <w:pPr>
        <w:spacing w:line="276" w:lineRule="auto"/>
        <w:rPr>
          <w:sz w:val="24"/>
          <w:szCs w:val="24"/>
        </w:rPr>
      </w:pPr>
    </w:p>
    <w:p w14:paraId="6F3B84C6" w14:textId="77777777" w:rsidR="002A1D6D" w:rsidRPr="00A92E8C" w:rsidRDefault="002A1D6D" w:rsidP="00A92E8C">
      <w:pPr>
        <w:pStyle w:val="Heading1"/>
        <w:spacing w:before="0" w:after="0"/>
        <w:ind w:hanging="147"/>
        <w:rPr>
          <w:rFonts w:cs="Arial"/>
          <w:kern w:val="0"/>
          <w:szCs w:val="24"/>
        </w:rPr>
      </w:pPr>
      <w:r w:rsidRPr="00A92E8C">
        <w:rPr>
          <w:rFonts w:cs="Arial"/>
          <w:kern w:val="0"/>
          <w:szCs w:val="24"/>
        </w:rPr>
        <w:t>DECISIÓN</w:t>
      </w:r>
    </w:p>
    <w:p w14:paraId="59619CFC" w14:textId="77777777" w:rsidR="002A1D6D" w:rsidRPr="00A92E8C" w:rsidRDefault="002A1D6D" w:rsidP="00A92E8C">
      <w:pPr>
        <w:spacing w:line="276" w:lineRule="auto"/>
        <w:contextualSpacing/>
        <w:rPr>
          <w:rFonts w:eastAsia="Times New Roman"/>
          <w:sz w:val="24"/>
          <w:szCs w:val="24"/>
        </w:rPr>
      </w:pPr>
    </w:p>
    <w:p w14:paraId="10D04F89" w14:textId="1B263798" w:rsidR="002A1D6D" w:rsidRDefault="002A1D6D" w:rsidP="00A92E8C">
      <w:pPr>
        <w:spacing w:line="276" w:lineRule="auto"/>
        <w:contextualSpacing/>
        <w:rPr>
          <w:rFonts w:eastAsia="Times New Roman"/>
          <w:sz w:val="24"/>
          <w:szCs w:val="24"/>
        </w:rPr>
      </w:pPr>
      <w:r w:rsidRPr="00A92E8C">
        <w:rPr>
          <w:rFonts w:eastAsia="Times New Roman"/>
          <w:sz w:val="24"/>
          <w:szCs w:val="24"/>
        </w:rPr>
        <w:t>En mérito de lo expuesto, el Consejo de Estado, Sala de lo Contencioso Administrativo, Sección Tercera, Subsección C, administrando justicia en nombre de la República y por autoridad de la ley,</w:t>
      </w:r>
    </w:p>
    <w:p w14:paraId="242F728D" w14:textId="77777777" w:rsidR="00EE7230" w:rsidRPr="00A92E8C" w:rsidRDefault="00EE7230" w:rsidP="00A92E8C">
      <w:pPr>
        <w:spacing w:line="276" w:lineRule="auto"/>
        <w:contextualSpacing/>
        <w:rPr>
          <w:rFonts w:eastAsia="Times New Roman"/>
          <w:sz w:val="24"/>
          <w:szCs w:val="24"/>
        </w:rPr>
      </w:pPr>
    </w:p>
    <w:p w14:paraId="2287E209" w14:textId="757CBAD1" w:rsidR="000C5DB7" w:rsidRPr="00A92E8C" w:rsidRDefault="002A1D6D" w:rsidP="00A92E8C">
      <w:pPr>
        <w:pStyle w:val="RESUELVE"/>
        <w:spacing w:before="0" w:after="0"/>
        <w:rPr>
          <w:rFonts w:cs="Arial"/>
          <w:kern w:val="0"/>
          <w:szCs w:val="24"/>
          <w:lang w:val="es-CO"/>
        </w:rPr>
      </w:pPr>
      <w:r w:rsidRPr="00A92E8C">
        <w:rPr>
          <w:rFonts w:cs="Arial"/>
          <w:kern w:val="0"/>
          <w:szCs w:val="24"/>
          <w:lang w:val="es-CO"/>
        </w:rPr>
        <w:t>FALLA</w:t>
      </w:r>
    </w:p>
    <w:p w14:paraId="3E987887" w14:textId="05AD1986" w:rsidR="00383B43" w:rsidRPr="00A92E8C" w:rsidRDefault="00383B43" w:rsidP="00A92E8C">
      <w:pPr>
        <w:spacing w:line="276" w:lineRule="auto"/>
        <w:jc w:val="center"/>
        <w:rPr>
          <w:rFonts w:eastAsia="Verdana"/>
          <w:b/>
          <w:sz w:val="24"/>
          <w:szCs w:val="24"/>
        </w:rPr>
      </w:pPr>
    </w:p>
    <w:p w14:paraId="3BC110ED" w14:textId="1073C73F" w:rsidR="004C0AE1" w:rsidRPr="00A92E8C" w:rsidRDefault="00D5419C" w:rsidP="00A92E8C">
      <w:pPr>
        <w:pStyle w:val="ListParagraph"/>
        <w:numPr>
          <w:ilvl w:val="0"/>
          <w:numId w:val="27"/>
        </w:numPr>
        <w:spacing w:line="276" w:lineRule="auto"/>
        <w:ind w:left="0" w:firstLine="0"/>
        <w:rPr>
          <w:rFonts w:eastAsia="Verdana"/>
          <w:b/>
          <w:sz w:val="24"/>
          <w:szCs w:val="24"/>
          <w:lang w:val="es-ES_tradnl"/>
        </w:rPr>
      </w:pPr>
      <w:bookmarkStart w:id="3" w:name="_Hlk40368302"/>
      <w:r w:rsidRPr="00A92E8C">
        <w:rPr>
          <w:rFonts w:eastAsia="Times New Roman"/>
          <w:b/>
          <w:sz w:val="24"/>
          <w:szCs w:val="24"/>
          <w:lang w:val="es-ES_tradnl"/>
        </w:rPr>
        <w:t>DECLARAR</w:t>
      </w:r>
      <w:r w:rsidR="00660F1C">
        <w:rPr>
          <w:sz w:val="24"/>
          <w:szCs w:val="24"/>
        </w:rPr>
        <w:t xml:space="preserve"> la improcedencia de la acción de tutela presentada por Luis Eduardo Azcárate Alarcón contra el municipio de Cali y el Tribunal Administrativo del Valle del Cauca.</w:t>
      </w:r>
    </w:p>
    <w:p w14:paraId="16910F99" w14:textId="77777777" w:rsidR="00B700DC" w:rsidRPr="00A92E8C" w:rsidRDefault="00B700DC" w:rsidP="00A92E8C">
      <w:pPr>
        <w:pStyle w:val="ListParagraph"/>
        <w:spacing w:line="276" w:lineRule="auto"/>
        <w:ind w:left="0"/>
        <w:rPr>
          <w:rFonts w:eastAsia="Verdana"/>
          <w:sz w:val="24"/>
          <w:szCs w:val="24"/>
          <w:lang w:val="es-ES_tradnl"/>
        </w:rPr>
      </w:pPr>
    </w:p>
    <w:p w14:paraId="755D2FA1" w14:textId="4B4A44C4" w:rsidR="004C0AE1" w:rsidRDefault="004C0AE1" w:rsidP="00A92E8C">
      <w:pPr>
        <w:pStyle w:val="ListParagraph"/>
        <w:numPr>
          <w:ilvl w:val="0"/>
          <w:numId w:val="27"/>
        </w:numPr>
        <w:spacing w:line="276" w:lineRule="auto"/>
        <w:ind w:left="0" w:firstLine="0"/>
        <w:rPr>
          <w:rFonts w:eastAsia="Verdana"/>
          <w:sz w:val="24"/>
          <w:szCs w:val="24"/>
          <w:lang w:val="es-ES_tradnl"/>
        </w:rPr>
      </w:pPr>
      <w:r w:rsidRPr="00A92E8C">
        <w:rPr>
          <w:rFonts w:eastAsia="Verdana"/>
          <w:b/>
          <w:sz w:val="24"/>
          <w:szCs w:val="24"/>
          <w:lang w:val="es-ES_tradnl"/>
        </w:rPr>
        <w:t xml:space="preserve">NOTIFICAR </w:t>
      </w:r>
      <w:r w:rsidRPr="00A92E8C">
        <w:rPr>
          <w:rFonts w:eastAsia="Verdana"/>
          <w:sz w:val="24"/>
          <w:szCs w:val="24"/>
          <w:lang w:val="es-ES_tradnl"/>
        </w:rPr>
        <w:t>la presente decisión a las partes y a los interesados por el medio más expedito.</w:t>
      </w:r>
    </w:p>
    <w:p w14:paraId="7B3D0038" w14:textId="77777777" w:rsidR="00EE7230" w:rsidRPr="00EE7230" w:rsidRDefault="00EE7230" w:rsidP="00EE7230">
      <w:pPr>
        <w:spacing w:line="276" w:lineRule="auto"/>
        <w:rPr>
          <w:rFonts w:eastAsia="Verdana"/>
          <w:sz w:val="24"/>
          <w:szCs w:val="24"/>
          <w:lang w:val="es-ES_tradnl"/>
        </w:rPr>
      </w:pPr>
    </w:p>
    <w:p w14:paraId="7DFE9682" w14:textId="42A9A202" w:rsidR="004C0AE1" w:rsidRPr="00A92E8C" w:rsidRDefault="004C0AE1" w:rsidP="00A92E8C">
      <w:pPr>
        <w:pStyle w:val="ListParagraph"/>
        <w:numPr>
          <w:ilvl w:val="0"/>
          <w:numId w:val="27"/>
        </w:numPr>
        <w:spacing w:line="276" w:lineRule="auto"/>
        <w:ind w:left="0" w:firstLine="0"/>
        <w:rPr>
          <w:rFonts w:eastAsia="Verdana"/>
          <w:sz w:val="24"/>
          <w:szCs w:val="24"/>
          <w:lang w:val="es-ES_tradnl"/>
        </w:rPr>
      </w:pPr>
      <w:r w:rsidRPr="00A92E8C">
        <w:rPr>
          <w:rFonts w:eastAsia="Verdana"/>
          <w:b/>
          <w:sz w:val="24"/>
          <w:szCs w:val="24"/>
          <w:lang w:val="es-ES_tradnl"/>
        </w:rPr>
        <w:t xml:space="preserve">ENVIAR </w:t>
      </w:r>
      <w:r w:rsidRPr="00A92E8C">
        <w:rPr>
          <w:rFonts w:eastAsia="Verdana"/>
          <w:sz w:val="24"/>
          <w:szCs w:val="24"/>
          <w:lang w:val="es-ES_tradnl"/>
        </w:rPr>
        <w:t xml:space="preserve">la presente providencia a la Corte Constitucional para su eventual revisión, en caso de no ser impugnada.  </w:t>
      </w:r>
    </w:p>
    <w:bookmarkEnd w:id="3"/>
    <w:p w14:paraId="654CE2A3" w14:textId="5832E9A3" w:rsidR="003538E2" w:rsidRPr="00A92E8C" w:rsidRDefault="003538E2" w:rsidP="00A92E8C">
      <w:pPr>
        <w:spacing w:line="276" w:lineRule="auto"/>
        <w:contextualSpacing/>
        <w:rPr>
          <w:rFonts w:eastAsia="Verdana"/>
          <w:b/>
          <w:sz w:val="24"/>
          <w:szCs w:val="24"/>
          <w:lang w:val="es-ES_tradnl"/>
        </w:rPr>
      </w:pPr>
    </w:p>
    <w:p w14:paraId="17B7F027" w14:textId="672A8568" w:rsidR="00A64EF5" w:rsidRPr="00A92E8C" w:rsidRDefault="000C5DB7" w:rsidP="00A92E8C">
      <w:pPr>
        <w:spacing w:line="276" w:lineRule="auto"/>
        <w:contextualSpacing/>
        <w:rPr>
          <w:rFonts w:eastAsia="Verdana"/>
          <w:b/>
          <w:sz w:val="24"/>
          <w:szCs w:val="24"/>
        </w:rPr>
      </w:pPr>
      <w:r w:rsidRPr="00A92E8C">
        <w:rPr>
          <w:rFonts w:eastAsia="Verdana"/>
          <w:b/>
          <w:sz w:val="24"/>
          <w:szCs w:val="24"/>
        </w:rPr>
        <w:t>NOTIFÍQUESE Y CÚMPLASE</w:t>
      </w:r>
    </w:p>
    <w:p w14:paraId="197FF932" w14:textId="4AF933D0" w:rsidR="00EC36A9" w:rsidRPr="00A92E8C" w:rsidRDefault="00EC36A9" w:rsidP="00A92E8C">
      <w:pPr>
        <w:spacing w:line="276" w:lineRule="auto"/>
        <w:contextualSpacing/>
        <w:jc w:val="center"/>
        <w:rPr>
          <w:rFonts w:eastAsia="Verdana"/>
          <w:b/>
          <w:sz w:val="24"/>
          <w:szCs w:val="24"/>
        </w:rPr>
      </w:pPr>
    </w:p>
    <w:p w14:paraId="5545832F" w14:textId="77777777" w:rsidR="00861F3B" w:rsidRPr="00A92E8C" w:rsidRDefault="00861F3B" w:rsidP="00A92E8C">
      <w:pPr>
        <w:spacing w:line="276" w:lineRule="auto"/>
        <w:contextualSpacing/>
        <w:jc w:val="center"/>
        <w:rPr>
          <w:rFonts w:eastAsia="Verdana"/>
          <w:b/>
          <w:sz w:val="24"/>
          <w:szCs w:val="24"/>
        </w:rPr>
      </w:pPr>
    </w:p>
    <w:p w14:paraId="4722EACC" w14:textId="66C68CFF" w:rsidR="0085093E" w:rsidRPr="00A92E8C" w:rsidRDefault="0085093E" w:rsidP="00A92E8C">
      <w:pPr>
        <w:spacing w:line="276" w:lineRule="auto"/>
        <w:contextualSpacing/>
        <w:jc w:val="center"/>
        <w:rPr>
          <w:rFonts w:eastAsia="Verdana"/>
          <w:b/>
          <w:sz w:val="24"/>
          <w:szCs w:val="24"/>
        </w:rPr>
      </w:pPr>
    </w:p>
    <w:p w14:paraId="2FF7383A" w14:textId="59C62874" w:rsidR="005C2D2C" w:rsidRPr="00A92E8C" w:rsidRDefault="005C2D2C" w:rsidP="00A92E8C">
      <w:pPr>
        <w:spacing w:line="276" w:lineRule="auto"/>
        <w:contextualSpacing/>
        <w:jc w:val="center"/>
        <w:rPr>
          <w:rFonts w:eastAsia="Verdana"/>
          <w:b/>
          <w:sz w:val="24"/>
          <w:szCs w:val="24"/>
        </w:rPr>
      </w:pPr>
      <w:r w:rsidRPr="00A92E8C">
        <w:rPr>
          <w:rFonts w:eastAsia="Verdana"/>
          <w:b/>
          <w:sz w:val="24"/>
          <w:szCs w:val="24"/>
        </w:rPr>
        <w:t>JAIME ENRIQUE RODRÍGUEZ NAVAS</w:t>
      </w:r>
    </w:p>
    <w:p w14:paraId="411CDC80" w14:textId="53599D5F" w:rsidR="000C5DB7" w:rsidRPr="00A92E8C" w:rsidRDefault="000C5DB7" w:rsidP="00A92E8C">
      <w:pPr>
        <w:spacing w:line="276" w:lineRule="auto"/>
        <w:contextualSpacing/>
        <w:jc w:val="center"/>
        <w:rPr>
          <w:rFonts w:eastAsia="Verdana"/>
          <w:b/>
          <w:sz w:val="24"/>
          <w:szCs w:val="24"/>
        </w:rPr>
      </w:pPr>
      <w:r w:rsidRPr="00A92E8C">
        <w:rPr>
          <w:rFonts w:eastAsia="Verdana"/>
          <w:b/>
          <w:sz w:val="24"/>
          <w:szCs w:val="24"/>
        </w:rPr>
        <w:t>Presidente de Sala</w:t>
      </w:r>
    </w:p>
    <w:p w14:paraId="3B72AA69" w14:textId="563D08DC" w:rsidR="00B94513" w:rsidRPr="00A92E8C" w:rsidRDefault="00B94513" w:rsidP="00A92E8C">
      <w:pPr>
        <w:spacing w:line="276" w:lineRule="auto"/>
        <w:contextualSpacing/>
        <w:jc w:val="center"/>
        <w:rPr>
          <w:rFonts w:eastAsia="Verdana"/>
          <w:b/>
          <w:sz w:val="24"/>
          <w:szCs w:val="24"/>
        </w:rPr>
      </w:pPr>
    </w:p>
    <w:p w14:paraId="7E89CB11" w14:textId="4D73E8AC" w:rsidR="0085093E" w:rsidRPr="00A92E8C" w:rsidRDefault="0085093E" w:rsidP="00A92E8C">
      <w:pPr>
        <w:spacing w:line="276" w:lineRule="auto"/>
        <w:contextualSpacing/>
        <w:jc w:val="center"/>
        <w:rPr>
          <w:rFonts w:eastAsia="Verdana"/>
          <w:b/>
          <w:sz w:val="24"/>
          <w:szCs w:val="24"/>
        </w:rPr>
      </w:pPr>
    </w:p>
    <w:p w14:paraId="72B1E566" w14:textId="77777777" w:rsidR="00861F3B" w:rsidRPr="00A92E8C" w:rsidRDefault="00861F3B" w:rsidP="00A92E8C">
      <w:pPr>
        <w:spacing w:line="276" w:lineRule="auto"/>
        <w:contextualSpacing/>
        <w:jc w:val="center"/>
        <w:rPr>
          <w:rFonts w:eastAsia="Verdana"/>
          <w:b/>
          <w:sz w:val="24"/>
          <w:szCs w:val="24"/>
        </w:rPr>
      </w:pPr>
    </w:p>
    <w:p w14:paraId="6F16FACA" w14:textId="6A4DDBA2" w:rsidR="005C2D2C" w:rsidRPr="00A92E8C" w:rsidRDefault="005C2D2C" w:rsidP="00A92E8C">
      <w:pPr>
        <w:spacing w:line="276" w:lineRule="auto"/>
        <w:contextualSpacing/>
        <w:jc w:val="center"/>
        <w:rPr>
          <w:rFonts w:eastAsia="Verdana"/>
          <w:b/>
          <w:sz w:val="24"/>
          <w:szCs w:val="24"/>
        </w:rPr>
      </w:pPr>
      <w:r w:rsidRPr="00A92E8C">
        <w:rPr>
          <w:rFonts w:eastAsia="Verdana"/>
          <w:b/>
          <w:sz w:val="24"/>
          <w:szCs w:val="24"/>
        </w:rPr>
        <w:t>GUILLERMO SÁNCHEZ LUQUE</w:t>
      </w:r>
    </w:p>
    <w:p w14:paraId="3E59EA34" w14:textId="77777777" w:rsidR="000C5DB7" w:rsidRPr="00A92E8C" w:rsidRDefault="000C5DB7" w:rsidP="00A92E8C">
      <w:pPr>
        <w:spacing w:line="276" w:lineRule="auto"/>
        <w:contextualSpacing/>
        <w:jc w:val="center"/>
        <w:rPr>
          <w:rFonts w:eastAsia="Verdana"/>
          <w:b/>
          <w:sz w:val="24"/>
          <w:szCs w:val="24"/>
        </w:rPr>
      </w:pPr>
      <w:r w:rsidRPr="00A92E8C">
        <w:rPr>
          <w:rFonts w:eastAsia="Verdana"/>
          <w:b/>
          <w:sz w:val="24"/>
          <w:szCs w:val="24"/>
        </w:rPr>
        <w:t>Magistrado</w:t>
      </w:r>
    </w:p>
    <w:p w14:paraId="211EC104" w14:textId="7F0E5484" w:rsidR="00EC36A9" w:rsidRPr="00A92E8C" w:rsidRDefault="00EC36A9" w:rsidP="00A92E8C">
      <w:pPr>
        <w:spacing w:line="276" w:lineRule="auto"/>
        <w:contextualSpacing/>
        <w:jc w:val="center"/>
        <w:rPr>
          <w:rFonts w:eastAsia="Verdana"/>
          <w:b/>
          <w:sz w:val="24"/>
          <w:szCs w:val="24"/>
        </w:rPr>
      </w:pPr>
    </w:p>
    <w:p w14:paraId="63CD4E2D" w14:textId="2DBA6EDF" w:rsidR="0085093E" w:rsidRPr="00A92E8C" w:rsidRDefault="0085093E" w:rsidP="00A92E8C">
      <w:pPr>
        <w:spacing w:line="276" w:lineRule="auto"/>
        <w:contextualSpacing/>
        <w:jc w:val="center"/>
        <w:rPr>
          <w:rFonts w:eastAsia="Verdana"/>
          <w:b/>
          <w:sz w:val="24"/>
          <w:szCs w:val="24"/>
        </w:rPr>
      </w:pPr>
    </w:p>
    <w:p w14:paraId="643C1B61" w14:textId="77777777" w:rsidR="00861F3B" w:rsidRPr="00A92E8C" w:rsidRDefault="00861F3B" w:rsidP="00A92E8C">
      <w:pPr>
        <w:spacing w:line="276" w:lineRule="auto"/>
        <w:contextualSpacing/>
        <w:jc w:val="center"/>
        <w:rPr>
          <w:rFonts w:eastAsia="Verdana"/>
          <w:b/>
          <w:sz w:val="24"/>
          <w:szCs w:val="24"/>
        </w:rPr>
      </w:pPr>
    </w:p>
    <w:p w14:paraId="5E00FC79" w14:textId="77777777" w:rsidR="000C5DB7" w:rsidRPr="00A92E8C" w:rsidRDefault="000C5DB7" w:rsidP="00A92E8C">
      <w:pPr>
        <w:spacing w:line="276" w:lineRule="auto"/>
        <w:contextualSpacing/>
        <w:jc w:val="center"/>
        <w:rPr>
          <w:rFonts w:eastAsia="Verdana"/>
          <w:b/>
          <w:sz w:val="24"/>
          <w:szCs w:val="24"/>
        </w:rPr>
      </w:pPr>
      <w:r w:rsidRPr="00A92E8C">
        <w:rPr>
          <w:rFonts w:eastAsia="Verdana"/>
          <w:b/>
          <w:sz w:val="24"/>
          <w:szCs w:val="24"/>
        </w:rPr>
        <w:t>NICOLÁS YEPES CORRALES</w:t>
      </w:r>
    </w:p>
    <w:p w14:paraId="20683EF9" w14:textId="5A4493BF" w:rsidR="00467AA9" w:rsidRPr="00A92E8C" w:rsidRDefault="000C5DB7" w:rsidP="00A92E8C">
      <w:pPr>
        <w:spacing w:line="276" w:lineRule="auto"/>
        <w:contextualSpacing/>
        <w:jc w:val="center"/>
        <w:rPr>
          <w:rFonts w:eastAsia="Verdana"/>
          <w:b/>
          <w:sz w:val="24"/>
          <w:szCs w:val="24"/>
        </w:rPr>
      </w:pPr>
      <w:r w:rsidRPr="00A92E8C">
        <w:rPr>
          <w:rFonts w:eastAsia="Verdana"/>
          <w:b/>
          <w:sz w:val="24"/>
          <w:szCs w:val="24"/>
        </w:rPr>
        <w:t>Magistrado</w:t>
      </w:r>
    </w:p>
    <w:sectPr w:rsidR="00467AA9" w:rsidRPr="00A92E8C" w:rsidSect="00E57BB4">
      <w:headerReference w:type="default" r:id="rId11"/>
      <w:footerReference w:type="default" r:id="rId12"/>
      <w:headerReference w:type="first" r:id="rId13"/>
      <w:footerReference w:type="first" r:id="rId14"/>
      <w:pgSz w:w="12242" w:h="18722" w:code="14"/>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7FFA" w14:textId="77777777" w:rsidR="0037300F" w:rsidRDefault="0037300F" w:rsidP="00117091">
      <w:r>
        <w:separator/>
      </w:r>
    </w:p>
  </w:endnote>
  <w:endnote w:type="continuationSeparator" w:id="0">
    <w:p w14:paraId="50C79B54" w14:textId="77777777" w:rsidR="0037300F" w:rsidRDefault="0037300F" w:rsidP="00117091">
      <w:r>
        <w:continuationSeparator/>
      </w:r>
    </w:p>
  </w:endnote>
  <w:endnote w:type="continuationNotice" w:id="1">
    <w:p w14:paraId="2A4DAA27" w14:textId="77777777" w:rsidR="0037300F" w:rsidRDefault="00373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22CC7AFE" w14:textId="77777777" w:rsidTr="00B6429B">
      <w:trPr>
        <w:jc w:val="right"/>
      </w:trPr>
      <w:tc>
        <w:tcPr>
          <w:tcW w:w="4795" w:type="dxa"/>
          <w:vAlign w:val="center"/>
        </w:tcPr>
        <w:p w14:paraId="1A1DAD26" w14:textId="77777777" w:rsidR="0086189E" w:rsidRDefault="0086189E" w:rsidP="00B6429B">
          <w:pPr>
            <w:pStyle w:val="Header"/>
            <w:jc w:val="center"/>
            <w:rPr>
              <w:color w:val="767171"/>
              <w:sz w:val="20"/>
              <w:szCs w:val="20"/>
            </w:rPr>
          </w:pPr>
          <w:r w:rsidRPr="00A21194">
            <w:rPr>
              <w:color w:val="767171"/>
              <w:sz w:val="20"/>
              <w:szCs w:val="20"/>
            </w:rPr>
            <w:t>Calle 12 No. 7-65 – Tel: (57-1) 350-6700 – Bogotá D.C. – Colombia</w:t>
          </w:r>
        </w:p>
        <w:p w14:paraId="7F88392F" w14:textId="77777777" w:rsidR="0086189E" w:rsidRPr="00A21194" w:rsidRDefault="0086189E" w:rsidP="00B6429B">
          <w:pPr>
            <w:pStyle w:val="Header"/>
            <w:jc w:val="center"/>
            <w:rPr>
              <w:caps/>
              <w:color w:val="000000"/>
            </w:rPr>
          </w:pPr>
          <w:r w:rsidRPr="00A21194">
            <w:rPr>
              <w:color w:val="767171"/>
              <w:sz w:val="20"/>
              <w:szCs w:val="20"/>
            </w:rPr>
            <w:t>www.consejodeestado.gov.co</w:t>
          </w:r>
        </w:p>
      </w:tc>
      <w:tc>
        <w:tcPr>
          <w:tcW w:w="250" w:type="pct"/>
          <w:shd w:val="clear" w:color="auto" w:fill="auto"/>
          <w:vAlign w:val="center"/>
        </w:tcPr>
        <w:p w14:paraId="2806AAA0" w14:textId="77777777" w:rsidR="0086189E" w:rsidRPr="00B6429B" w:rsidRDefault="0086189E" w:rsidP="00B6429B">
          <w:pPr>
            <w:pStyle w:val="Footer"/>
            <w:jc w:val="center"/>
          </w:pPr>
          <w:r w:rsidRPr="00B6429B">
            <w:fldChar w:fldCharType="begin"/>
          </w:r>
          <w:r w:rsidRPr="00B6429B">
            <w:instrText>PAGE   \* MERGEFORMAT</w:instrText>
          </w:r>
          <w:r w:rsidRPr="00B6429B">
            <w:fldChar w:fldCharType="separate"/>
          </w:r>
          <w:r w:rsidR="006833D3" w:rsidRPr="006833D3">
            <w:rPr>
              <w:noProof/>
              <w:lang w:val="es-ES"/>
            </w:rPr>
            <w:t>2</w:t>
          </w:r>
          <w:r w:rsidRPr="00B6429B">
            <w:fldChar w:fldCharType="end"/>
          </w:r>
        </w:p>
      </w:tc>
    </w:tr>
  </w:tbl>
  <w:p w14:paraId="199724F6" w14:textId="77777777" w:rsidR="0086189E" w:rsidRPr="008C0DBE" w:rsidRDefault="0086189E" w:rsidP="00394A69">
    <w:pPr>
      <w:pStyle w:val="Footer"/>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86189E" w14:paraId="1D900BCF" w14:textId="77777777" w:rsidTr="00B6429B">
      <w:trPr>
        <w:jc w:val="right"/>
      </w:trPr>
      <w:tc>
        <w:tcPr>
          <w:tcW w:w="4795" w:type="dxa"/>
          <w:vAlign w:val="center"/>
        </w:tcPr>
        <w:p w14:paraId="505917EF" w14:textId="77777777" w:rsidR="0086189E" w:rsidRDefault="0086189E" w:rsidP="00850A42">
          <w:pPr>
            <w:pStyle w:val="Header"/>
            <w:tabs>
              <w:tab w:val="clear" w:pos="4252"/>
              <w:tab w:val="clear" w:pos="8504"/>
            </w:tabs>
            <w:jc w:val="center"/>
            <w:rPr>
              <w:color w:val="767171"/>
              <w:sz w:val="20"/>
              <w:szCs w:val="20"/>
            </w:rPr>
          </w:pPr>
          <w:r w:rsidRPr="00A21194">
            <w:rPr>
              <w:color w:val="767171"/>
              <w:sz w:val="20"/>
              <w:szCs w:val="20"/>
            </w:rPr>
            <w:t>Calle 12 No. 7-65 – Tel: (57-1) 350-6700 – Bogotá D.C. – Colombia</w:t>
          </w:r>
        </w:p>
        <w:p w14:paraId="04F80AD6" w14:textId="77777777" w:rsidR="0086189E" w:rsidRPr="00A21194" w:rsidRDefault="0086189E" w:rsidP="00850A42">
          <w:pPr>
            <w:pStyle w:val="Header"/>
            <w:tabs>
              <w:tab w:val="clear" w:pos="4252"/>
              <w:tab w:val="clear" w:pos="8504"/>
            </w:tabs>
            <w:jc w:val="center"/>
            <w:rPr>
              <w:caps/>
              <w:color w:val="000000"/>
            </w:rPr>
          </w:pPr>
          <w:r w:rsidRPr="00A21194">
            <w:rPr>
              <w:color w:val="767171"/>
              <w:sz w:val="20"/>
              <w:szCs w:val="20"/>
            </w:rPr>
            <w:t>www.consejodeestado.gov.co</w:t>
          </w:r>
        </w:p>
      </w:tc>
      <w:tc>
        <w:tcPr>
          <w:tcW w:w="250" w:type="pct"/>
          <w:shd w:val="clear" w:color="auto" w:fill="auto"/>
          <w:vAlign w:val="center"/>
        </w:tcPr>
        <w:p w14:paraId="3AC47382" w14:textId="77777777" w:rsidR="0086189E" w:rsidRPr="00B6429B" w:rsidRDefault="0086189E" w:rsidP="00850A42">
          <w:pPr>
            <w:pStyle w:val="Footer"/>
            <w:tabs>
              <w:tab w:val="clear" w:pos="4252"/>
              <w:tab w:val="clear" w:pos="8504"/>
            </w:tabs>
            <w:jc w:val="center"/>
          </w:pPr>
          <w:r w:rsidRPr="00B6429B">
            <w:fldChar w:fldCharType="begin"/>
          </w:r>
          <w:r w:rsidRPr="00B6429B">
            <w:instrText>PAGE   \* MERGEFORMAT</w:instrText>
          </w:r>
          <w:r w:rsidRPr="00B6429B">
            <w:fldChar w:fldCharType="separate"/>
          </w:r>
          <w:r w:rsidR="006833D3" w:rsidRPr="006833D3">
            <w:rPr>
              <w:noProof/>
              <w:lang w:val="es-ES"/>
            </w:rPr>
            <w:t>1</w:t>
          </w:r>
          <w:r w:rsidRPr="00B6429B">
            <w:fldChar w:fldCharType="end"/>
          </w:r>
        </w:p>
      </w:tc>
    </w:tr>
  </w:tbl>
  <w:p w14:paraId="3A21C5E9" w14:textId="77777777" w:rsidR="0086189E" w:rsidRDefault="0086189E" w:rsidP="00850A42">
    <w:pPr>
      <w:pStyle w:val="Footer"/>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C76D" w14:textId="77777777" w:rsidR="0037300F" w:rsidRDefault="0037300F" w:rsidP="00117091">
      <w:r>
        <w:separator/>
      </w:r>
    </w:p>
  </w:footnote>
  <w:footnote w:type="continuationSeparator" w:id="0">
    <w:p w14:paraId="6B81F1A5" w14:textId="77777777" w:rsidR="0037300F" w:rsidRDefault="0037300F" w:rsidP="00117091">
      <w:r>
        <w:continuationSeparator/>
      </w:r>
    </w:p>
  </w:footnote>
  <w:footnote w:type="continuationNotice" w:id="1">
    <w:p w14:paraId="33D85BEB" w14:textId="77777777" w:rsidR="0037300F" w:rsidRDefault="0037300F"/>
  </w:footnote>
  <w:footnote w:id="2">
    <w:p w14:paraId="233E6D1B" w14:textId="77777777" w:rsidR="003A3257" w:rsidRPr="004053F0" w:rsidRDefault="003A3257" w:rsidP="003A3257">
      <w:pPr>
        <w:pStyle w:val="FootnoteText"/>
        <w:rPr>
          <w:szCs w:val="16"/>
        </w:rPr>
      </w:pPr>
      <w:r w:rsidRPr="004053F0">
        <w:rPr>
          <w:rStyle w:val="FootnoteReference"/>
          <w:szCs w:val="16"/>
        </w:rPr>
        <w:footnoteRef/>
      </w:r>
      <w:r w:rsidRPr="004053F0">
        <w:rPr>
          <w:szCs w:val="16"/>
        </w:rPr>
        <w:t xml:space="preserve"> Ver, archivo con certificado </w:t>
      </w:r>
      <w:r w:rsidRPr="008D2E85">
        <w:rPr>
          <w:szCs w:val="16"/>
        </w:rPr>
        <w:t>49641A8AEDFFE281 7183DD0A62CB936E 883DDFC0A5295D29 787FDD11F8E2FD66</w:t>
      </w:r>
      <w:r w:rsidRPr="004053F0">
        <w:rPr>
          <w:szCs w:val="16"/>
        </w:rPr>
        <w:t>.</w:t>
      </w:r>
    </w:p>
  </w:footnote>
  <w:footnote w:id="3">
    <w:p w14:paraId="2CEC6506" w14:textId="77777777" w:rsidR="003A3257" w:rsidRPr="006363DB" w:rsidRDefault="003A3257" w:rsidP="003A3257">
      <w:pPr>
        <w:pStyle w:val="FootnoteText"/>
      </w:pPr>
      <w:r>
        <w:rPr>
          <w:rStyle w:val="FootnoteReference"/>
        </w:rPr>
        <w:footnoteRef/>
      </w:r>
      <w:r>
        <w:t xml:space="preserve"> Identificado con el n.° único de radicación 76001-33-33-002-2017-00332-01.</w:t>
      </w:r>
    </w:p>
  </w:footnote>
  <w:footnote w:id="4">
    <w:p w14:paraId="043589E0" w14:textId="321A7DA0" w:rsidR="00792E81" w:rsidRPr="00792E81" w:rsidRDefault="00792E81">
      <w:pPr>
        <w:pStyle w:val="FootnoteText"/>
      </w:pPr>
      <w:r>
        <w:rPr>
          <w:rStyle w:val="FootnoteReference"/>
        </w:rPr>
        <w:footnoteRef/>
      </w:r>
      <w:r>
        <w:t xml:space="preserve"> Ver, nota de pie de página </w:t>
      </w:r>
      <w:proofErr w:type="spellStart"/>
      <w:r>
        <w:t>n.°</w:t>
      </w:r>
      <w:proofErr w:type="spellEnd"/>
      <w:r>
        <w:t xml:space="preserve"> </w:t>
      </w:r>
      <w:r>
        <w:fldChar w:fldCharType="begin"/>
      </w:r>
      <w:r>
        <w:instrText xml:space="preserve"> NOTEREF _Ref73457092 \h </w:instrText>
      </w:r>
      <w:r>
        <w:fldChar w:fldCharType="separate"/>
      </w:r>
      <w:r>
        <w:t>1</w:t>
      </w:r>
      <w:r>
        <w:fldChar w:fldCharType="end"/>
      </w:r>
      <w:r>
        <w:t>. El documento en cita reposa en el mismo archivo que el libelo introductorio de esta acción.</w:t>
      </w:r>
    </w:p>
  </w:footnote>
  <w:footnote w:id="5">
    <w:p w14:paraId="1F399350" w14:textId="77777777" w:rsidR="00456E6B" w:rsidRPr="004053F0" w:rsidRDefault="00456E6B" w:rsidP="00456E6B">
      <w:pPr>
        <w:pStyle w:val="FootnoteText"/>
        <w:rPr>
          <w:szCs w:val="16"/>
        </w:rPr>
      </w:pPr>
      <w:r w:rsidRPr="004053F0">
        <w:rPr>
          <w:rStyle w:val="FootnoteReference"/>
          <w:szCs w:val="16"/>
        </w:rPr>
        <w:footnoteRef/>
      </w:r>
      <w:r w:rsidRPr="004053F0">
        <w:rPr>
          <w:szCs w:val="16"/>
        </w:rPr>
        <w:t xml:space="preserve"> Ver, archivo con certificado </w:t>
      </w:r>
      <w:r w:rsidRPr="005D1FCA">
        <w:rPr>
          <w:szCs w:val="16"/>
        </w:rPr>
        <w:t>F1C75B607B9892E5 37D5FB3DF43A0EC5 09E93CF320774375 B6415C448339FBAD</w:t>
      </w:r>
      <w:r w:rsidRPr="004053F0">
        <w:rPr>
          <w:szCs w:val="16"/>
        </w:rPr>
        <w:t>.</w:t>
      </w:r>
    </w:p>
  </w:footnote>
  <w:footnote w:id="6">
    <w:p w14:paraId="7ED52C24" w14:textId="77777777" w:rsidR="00456E6B" w:rsidRPr="00EA3CF1" w:rsidRDefault="00456E6B" w:rsidP="00456E6B">
      <w:pPr>
        <w:pStyle w:val="FootnoteText"/>
      </w:pPr>
      <w:r>
        <w:rPr>
          <w:rStyle w:val="FootnoteReference"/>
        </w:rPr>
        <w:footnoteRef/>
      </w:r>
      <w:r>
        <w:t xml:space="preserve"> </w:t>
      </w:r>
      <w:r w:rsidRPr="00EA3CF1">
        <w:t>Ver, archivo con certificado</w:t>
      </w:r>
      <w:r>
        <w:t xml:space="preserve"> </w:t>
      </w:r>
      <w:r w:rsidRPr="00EA3CF1">
        <w:t>348561E231141231 4739DBD582A7E6F1 AA59C9F4AFA86551 0A954708CAC6461F</w:t>
      </w:r>
      <w:r>
        <w:t>.</w:t>
      </w:r>
    </w:p>
  </w:footnote>
  <w:footnote w:id="7">
    <w:p w14:paraId="530B573D" w14:textId="77777777" w:rsidR="00456E6B" w:rsidRPr="00EA3CF1" w:rsidRDefault="00456E6B" w:rsidP="00456E6B">
      <w:pPr>
        <w:pStyle w:val="FootnoteText"/>
      </w:pPr>
      <w:r>
        <w:rPr>
          <w:rStyle w:val="FootnoteReference"/>
        </w:rPr>
        <w:footnoteRef/>
      </w:r>
      <w:r>
        <w:t xml:space="preserve"> </w:t>
      </w:r>
      <w:r w:rsidRPr="00EA3CF1">
        <w:t>Ver, a</w:t>
      </w:r>
      <w:r>
        <w:t xml:space="preserve">rchivo con certificado </w:t>
      </w:r>
      <w:r w:rsidRPr="00EA3CF1">
        <w:t>C42DF2869677E63A 9D0A759BFA76E709 9114E2358BFD271F 85FDE8A8F057680C</w:t>
      </w:r>
      <w:r>
        <w:t>.</w:t>
      </w:r>
    </w:p>
  </w:footnote>
  <w:footnote w:id="8">
    <w:p w14:paraId="751EAA3B" w14:textId="77777777" w:rsidR="00456E6B" w:rsidRPr="00B9611F" w:rsidRDefault="00456E6B" w:rsidP="00456E6B">
      <w:pPr>
        <w:pStyle w:val="FootnoteText"/>
      </w:pPr>
      <w:r>
        <w:rPr>
          <w:rStyle w:val="FootnoteReference"/>
        </w:rPr>
        <w:footnoteRef/>
      </w:r>
      <w:r>
        <w:t xml:space="preserve"> Ver, archivo con certificado </w:t>
      </w:r>
      <w:r w:rsidRPr="00B9611F">
        <w:t>C4D9F838F8F110FF D8B3EB2E4C50BB3C AF477D76F10875FF 36E4DD7AA4726F88</w:t>
      </w:r>
      <w:r>
        <w:t>.</w:t>
      </w:r>
    </w:p>
  </w:footnote>
  <w:footnote w:id="9">
    <w:p w14:paraId="347588EE" w14:textId="77777777" w:rsidR="00456E6B" w:rsidRPr="000647CF" w:rsidRDefault="00456E6B" w:rsidP="00456E6B">
      <w:pPr>
        <w:pStyle w:val="FootnoteText"/>
      </w:pPr>
      <w:r>
        <w:rPr>
          <w:rStyle w:val="FootnoteReference"/>
        </w:rPr>
        <w:footnoteRef/>
      </w:r>
      <w:r>
        <w:t xml:space="preserve"> </w:t>
      </w:r>
      <w:r w:rsidRPr="000647CF">
        <w:t>Ver, a</w:t>
      </w:r>
      <w:r>
        <w:t xml:space="preserve">rchivo con certificado </w:t>
      </w:r>
      <w:r w:rsidRPr="000647CF">
        <w:t>817605E0FBCDA00D 01FFCD721DE67D3E 491D6AB3B37976BF 337128A9494A2F50</w:t>
      </w:r>
      <w:r>
        <w:t>.</w:t>
      </w:r>
    </w:p>
  </w:footnote>
  <w:footnote w:id="10">
    <w:p w14:paraId="1C12D0BB" w14:textId="77777777" w:rsidR="00456E6B" w:rsidRPr="00291B9C" w:rsidRDefault="00456E6B" w:rsidP="00456E6B">
      <w:pPr>
        <w:pStyle w:val="FootnoteText"/>
      </w:pPr>
      <w:r>
        <w:rPr>
          <w:rStyle w:val="FootnoteReference"/>
        </w:rPr>
        <w:footnoteRef/>
      </w:r>
      <w:r>
        <w:t xml:space="preserve"> </w:t>
      </w:r>
      <w:r w:rsidRPr="00291B9C">
        <w:t>Ver, archivo con certificado 518CCCB6E2F7FFF7 5C3AE16C228993F2 FB2A3A5606C391A9 0B1067B120376CF2</w:t>
      </w:r>
      <w:r>
        <w:t>.</w:t>
      </w:r>
    </w:p>
  </w:footnote>
  <w:footnote w:id="11">
    <w:p w14:paraId="320833F8" w14:textId="018D0341" w:rsidR="0086189E" w:rsidRPr="00F77BC5" w:rsidRDefault="0086189E" w:rsidP="00F77BC5">
      <w:pPr>
        <w:pStyle w:val="FootnoteText"/>
        <w:rPr>
          <w:szCs w:val="16"/>
        </w:rPr>
      </w:pPr>
      <w:r w:rsidRPr="00F77BC5">
        <w:rPr>
          <w:rStyle w:val="FootnoteReference"/>
          <w:szCs w:val="16"/>
        </w:rPr>
        <w:footnoteRef/>
      </w:r>
      <w:r w:rsidRPr="00F77BC5">
        <w:rPr>
          <w:szCs w:val="16"/>
        </w:rPr>
        <w:t xml:space="preserve"> Ver, archivo con certificado </w:t>
      </w:r>
      <w:r w:rsidR="00456E6B" w:rsidRPr="00456E6B">
        <w:rPr>
          <w:szCs w:val="16"/>
        </w:rPr>
        <w:t>F818AA60D526FF73 B3F9EA8FB8C8A0CB C43CD64ECAFE6412 45E7FCFC1D042063</w:t>
      </w:r>
      <w:r w:rsidRPr="00F77BC5">
        <w:rPr>
          <w:szCs w:val="16"/>
        </w:rPr>
        <w:t>.</w:t>
      </w:r>
    </w:p>
  </w:footnote>
  <w:footnote w:id="12">
    <w:p w14:paraId="3C4CC92B" w14:textId="7367C340" w:rsidR="00B6069E" w:rsidRPr="00B6069E" w:rsidRDefault="00B6069E">
      <w:pPr>
        <w:pStyle w:val="FootnoteText"/>
      </w:pPr>
      <w:r>
        <w:rPr>
          <w:rStyle w:val="FootnoteReference"/>
        </w:rPr>
        <w:footnoteRef/>
      </w:r>
      <w:r>
        <w:t xml:space="preserve"> </w:t>
      </w:r>
      <w:r w:rsidRPr="00B6069E">
        <w:t>Ver,</w:t>
      </w:r>
      <w:r w:rsidR="00EA6004">
        <w:t xml:space="preserve"> nota de pie de página </w:t>
      </w:r>
      <w:proofErr w:type="spellStart"/>
      <w:r w:rsidR="00EA6004">
        <w:t>n.°</w:t>
      </w:r>
      <w:proofErr w:type="spellEnd"/>
      <w:r w:rsidR="00EA6004">
        <w:t xml:space="preserve"> </w:t>
      </w:r>
      <w:r w:rsidR="00EA6004">
        <w:fldChar w:fldCharType="begin"/>
      </w:r>
      <w:r w:rsidR="00EA6004">
        <w:instrText xml:space="preserve"> NOTEREF _Ref73457640 \h </w:instrText>
      </w:r>
      <w:r w:rsidR="00EA6004">
        <w:fldChar w:fldCharType="separate"/>
      </w:r>
      <w:r w:rsidR="00EA6004">
        <w:t>5</w:t>
      </w:r>
      <w:r w:rsidR="00EA6004">
        <w:fldChar w:fldCharType="end"/>
      </w:r>
      <w:r w:rsidR="00EA6004">
        <w:t>.</w:t>
      </w:r>
    </w:p>
  </w:footnote>
  <w:footnote w:id="13">
    <w:p w14:paraId="65791145" w14:textId="60B71AE6" w:rsidR="00B6069E" w:rsidRPr="00B6069E" w:rsidRDefault="00B6069E">
      <w:pPr>
        <w:pStyle w:val="FootnoteText"/>
      </w:pPr>
      <w:r>
        <w:rPr>
          <w:rStyle w:val="FootnoteReference"/>
        </w:rPr>
        <w:footnoteRef/>
      </w:r>
      <w:r>
        <w:t xml:space="preserve"> </w:t>
      </w:r>
      <w:r w:rsidRPr="00B6069E">
        <w:t xml:space="preserve">Ver, archivo con certificado </w:t>
      </w:r>
      <w:r w:rsidR="00FF2F44" w:rsidRPr="00FF2F44">
        <w:t>5C6DC7E5A3411219 06CD0C47C9552A28 701055C5B7AE9AE4 A5B17CA7E51D01A7</w:t>
      </w:r>
      <w:r>
        <w:t>.</w:t>
      </w:r>
    </w:p>
  </w:footnote>
  <w:footnote w:id="14">
    <w:p w14:paraId="669A3A64" w14:textId="77777777" w:rsidR="00613943" w:rsidRPr="00F77BC5" w:rsidRDefault="00613943" w:rsidP="00613943">
      <w:pPr>
        <w:pStyle w:val="FootnoteText"/>
        <w:rPr>
          <w:szCs w:val="16"/>
        </w:rPr>
      </w:pPr>
      <w:r w:rsidRPr="00F77BC5">
        <w:rPr>
          <w:rStyle w:val="FootnoteReference"/>
          <w:szCs w:val="16"/>
        </w:rPr>
        <w:footnoteRef/>
      </w:r>
      <w:r w:rsidRPr="00F77BC5">
        <w:rPr>
          <w:szCs w:val="16"/>
        </w:rPr>
        <w:t xml:space="preserve"> “Por medio del cual se modificó el reglamento interno del Consejo de Estado”.</w:t>
      </w:r>
    </w:p>
  </w:footnote>
  <w:footnote w:id="15">
    <w:p w14:paraId="5DD82F20" w14:textId="6BB204F2" w:rsidR="00ED35BB" w:rsidRPr="00ED35BB" w:rsidRDefault="00ED35BB">
      <w:pPr>
        <w:pStyle w:val="FootnoteText"/>
      </w:pPr>
      <w:r>
        <w:rPr>
          <w:rStyle w:val="FootnoteReference"/>
        </w:rPr>
        <w:footnoteRef/>
      </w:r>
      <w:r>
        <w:t xml:space="preserve"> </w:t>
      </w:r>
      <w:r w:rsidRPr="00ED35BB">
        <w:t>Ver, p. 3 del escrito de t</w:t>
      </w:r>
      <w:r>
        <w:t>utela bajo reseña.</w:t>
      </w:r>
    </w:p>
  </w:footnote>
  <w:footnote w:id="16">
    <w:p w14:paraId="43FF8C1C" w14:textId="15562E86" w:rsidR="00ED35BB" w:rsidRPr="00A527BB" w:rsidRDefault="00ED35BB">
      <w:pPr>
        <w:pStyle w:val="FootnoteText"/>
      </w:pPr>
      <w:r>
        <w:rPr>
          <w:rStyle w:val="FootnoteReference"/>
        </w:rPr>
        <w:footnoteRef/>
      </w:r>
      <w:r>
        <w:t xml:space="preserve"> </w:t>
      </w:r>
      <w:r w:rsidRPr="00A527BB">
        <w:t>Ibid. p. 4.</w:t>
      </w:r>
    </w:p>
  </w:footnote>
  <w:footnote w:id="17">
    <w:p w14:paraId="2A7A0578" w14:textId="0A9A876B" w:rsidR="000D4F5D" w:rsidRPr="000D4F5D" w:rsidRDefault="000D4F5D">
      <w:pPr>
        <w:pStyle w:val="FootnoteText"/>
      </w:pPr>
      <w:r>
        <w:rPr>
          <w:rStyle w:val="FootnoteReference"/>
        </w:rPr>
        <w:footnoteRef/>
      </w:r>
      <w:r>
        <w:t xml:space="preserve"> </w:t>
      </w:r>
      <w:r w:rsidRPr="000D4F5D">
        <w:t>Ver, Corte Constitucional. Sentencia</w:t>
      </w:r>
      <w:r w:rsidR="004226E9">
        <w:t xml:space="preserve"> </w:t>
      </w:r>
      <w:r w:rsidRPr="000D4F5D">
        <w:t>T-</w:t>
      </w:r>
      <w:r>
        <w:t xml:space="preserve">103 de 2014. Así dijo </w:t>
      </w:r>
      <w:r w:rsidR="004226E9">
        <w:t>el referido fallo</w:t>
      </w:r>
      <w:r>
        <w:t>: “</w:t>
      </w:r>
      <w:r w:rsidR="004226E9" w:rsidRPr="004226E9">
        <w:t>La Corte Constitucional ha señalado que el requisito de subsidiariedad cuando se atacan decisiones judiciales, se puede presentar en dos escenarios: (i) cuando el proceso ha concluido; o (</w:t>
      </w:r>
      <w:proofErr w:type="spellStart"/>
      <w:r w:rsidR="004226E9" w:rsidRPr="004226E9">
        <w:t>ii</w:t>
      </w:r>
      <w:proofErr w:type="spellEnd"/>
      <w:r w:rsidR="004226E9" w:rsidRPr="004226E9">
        <w:t>) se encuentra en curso. En el segundo de los escenarios, la intervención del juez constitucional está vedada en principio, toda vez que la acción de tutela no constituye un mecanismo alternativo o paralelo para resolver problemas jurídicos que deben ser resueltos al interior del trámite ordinario</w:t>
      </w:r>
      <w:r>
        <w:t>”.</w:t>
      </w:r>
    </w:p>
  </w:footnote>
  <w:footnote w:id="18">
    <w:p w14:paraId="15CE28C2" w14:textId="671D931B" w:rsidR="00BF7196" w:rsidRPr="004226E9" w:rsidRDefault="00BF7196">
      <w:pPr>
        <w:pStyle w:val="FootnoteText"/>
      </w:pPr>
      <w:r>
        <w:rPr>
          <w:rStyle w:val="FootnoteReference"/>
        </w:rPr>
        <w:footnoteRef/>
      </w:r>
      <w:r>
        <w:t xml:space="preserve"> </w:t>
      </w:r>
      <w:r w:rsidR="004226E9">
        <w:t>Ver, Corte Constitucional. Sentencia T-113 de 2013. Así señaló la referida Corporación: “</w:t>
      </w:r>
      <w:r w:rsidR="004226E9" w:rsidRPr="004226E9">
        <w:t>De otra parte, si el proceso se encuentra en curso la intervención del juez constitucional está en principio vedada, pues como se sabe la acción de tutela no es un mecanismo alternativo o paralelo pero puede resultar necesaria para evitar un perjuicio irremediable que comprometa la vulneración de derechos fundamentales</w:t>
      </w:r>
      <w:r w:rsidR="004226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2CBC" w14:textId="77777777" w:rsidR="0086189E" w:rsidRPr="00A15ACE" w:rsidRDefault="0086189E" w:rsidP="00203055">
    <w:pPr>
      <w:pStyle w:val="Header"/>
      <w:tabs>
        <w:tab w:val="clear" w:pos="4252"/>
        <w:tab w:val="clear" w:pos="8504"/>
      </w:tabs>
    </w:pPr>
    <w:r>
      <w:rPr>
        <w:noProof/>
        <w:lang w:val="es-ES_tradnl"/>
      </w:rPr>
      <w:drawing>
        <wp:anchor distT="0" distB="0" distL="114300" distR="114300" simplePos="0" relativeHeight="251689984" behindDoc="0" locked="0" layoutInCell="1" allowOverlap="1" wp14:anchorId="428F8081" wp14:editId="1641B60C">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AF10C" w14:textId="77777777" w:rsidR="0086189E" w:rsidRPr="00A15ACE" w:rsidRDefault="0086189E" w:rsidP="00203055">
    <w:pPr>
      <w:pStyle w:val="Header"/>
      <w:tabs>
        <w:tab w:val="clear" w:pos="4252"/>
        <w:tab w:val="clear" w:pos="8504"/>
      </w:tabs>
    </w:pPr>
  </w:p>
  <w:p w14:paraId="2A7E67E0" w14:textId="77777777" w:rsidR="0086189E" w:rsidRPr="00A15ACE" w:rsidRDefault="0086189E" w:rsidP="00203055">
    <w:pPr>
      <w:pStyle w:val="Header"/>
      <w:tabs>
        <w:tab w:val="clear" w:pos="4252"/>
        <w:tab w:val="clear" w:pos="8504"/>
      </w:tabs>
    </w:pPr>
    <w:r w:rsidRPr="0070023E">
      <w:rPr>
        <w:noProof/>
        <w:sz w:val="20"/>
        <w:szCs w:val="20"/>
        <w:lang w:val="es-ES_tradnl"/>
      </w:rPr>
      <mc:AlternateContent>
        <mc:Choice Requires="wps">
          <w:drawing>
            <wp:anchor distT="0" distB="0" distL="114300" distR="114300" simplePos="0" relativeHeight="251656192" behindDoc="0" locked="0" layoutInCell="1" allowOverlap="1" wp14:anchorId="71F1B463" wp14:editId="60A2257C">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C10D07"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E63C26F" w14:textId="74FA7669" w:rsidR="0086189E" w:rsidRPr="00F532EA" w:rsidRDefault="0086189E" w:rsidP="00203055">
    <w:pPr>
      <w:pStyle w:val="Header"/>
      <w:tabs>
        <w:tab w:val="clear" w:pos="4252"/>
        <w:tab w:val="clear" w:pos="8504"/>
      </w:tabs>
      <w:jc w:val="right"/>
      <w:rPr>
        <w:color w:val="767171"/>
        <w:sz w:val="20"/>
        <w:szCs w:val="20"/>
      </w:rPr>
    </w:pPr>
    <w:r w:rsidRPr="00F532EA">
      <w:rPr>
        <w:color w:val="767171"/>
        <w:sz w:val="20"/>
        <w:szCs w:val="20"/>
      </w:rPr>
      <w:t xml:space="preserve">Radicado: </w:t>
    </w:r>
    <w:r w:rsidRPr="007B3B39">
      <w:rPr>
        <w:color w:val="767171"/>
        <w:sz w:val="20"/>
        <w:szCs w:val="20"/>
      </w:rPr>
      <w:t>11001-03-15-000-202</w:t>
    </w:r>
    <w:r w:rsidR="00D558DF">
      <w:rPr>
        <w:color w:val="767171"/>
        <w:sz w:val="20"/>
        <w:szCs w:val="20"/>
      </w:rPr>
      <w:t>1</w:t>
    </w:r>
    <w:r w:rsidRPr="007B3B39">
      <w:rPr>
        <w:color w:val="767171"/>
        <w:sz w:val="20"/>
        <w:szCs w:val="20"/>
      </w:rPr>
      <w:t>-</w:t>
    </w:r>
    <w:r w:rsidR="00091BDC">
      <w:rPr>
        <w:color w:val="767171"/>
        <w:sz w:val="20"/>
        <w:szCs w:val="20"/>
      </w:rPr>
      <w:t>0</w:t>
    </w:r>
    <w:r w:rsidR="00FF2F44">
      <w:rPr>
        <w:color w:val="767171"/>
        <w:sz w:val="20"/>
        <w:szCs w:val="20"/>
      </w:rPr>
      <w:t>2339</w:t>
    </w:r>
    <w:r w:rsidRPr="007B3B39">
      <w:rPr>
        <w:color w:val="767171"/>
        <w:sz w:val="20"/>
        <w:szCs w:val="20"/>
      </w:rPr>
      <w:t>-00</w:t>
    </w:r>
  </w:p>
  <w:p w14:paraId="6426EFCB" w14:textId="0695F7A5" w:rsidR="0086189E" w:rsidRPr="00C4675E" w:rsidRDefault="0086189E" w:rsidP="00203055">
    <w:pPr>
      <w:pStyle w:val="Header"/>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 xml:space="preserve">Accionante: </w:t>
    </w:r>
    <w:r w:rsidR="00FF2F44">
      <w:rPr>
        <w:color w:val="767171"/>
        <w:sz w:val="20"/>
        <w:szCs w:val="20"/>
      </w:rPr>
      <w:t>Luis Eduardo Azcárate Alarcón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586D" w14:textId="77777777" w:rsidR="0086189E" w:rsidRPr="00A15ACE" w:rsidRDefault="0086189E" w:rsidP="00850A42">
    <w:pPr>
      <w:pStyle w:val="Header"/>
      <w:tabs>
        <w:tab w:val="clear" w:pos="4252"/>
        <w:tab w:val="clear" w:pos="8504"/>
      </w:tabs>
    </w:pPr>
    <w:r>
      <w:rPr>
        <w:noProof/>
        <w:lang w:val="es-ES_tradnl"/>
      </w:rPr>
      <w:drawing>
        <wp:anchor distT="0" distB="0" distL="114300" distR="114300" simplePos="0" relativeHeight="251658752" behindDoc="0" locked="0" layoutInCell="1" allowOverlap="1" wp14:anchorId="4784F910" wp14:editId="5353ADAF">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E24182" w14:textId="77777777" w:rsidR="0086189E" w:rsidRPr="00A15ACE" w:rsidRDefault="0086189E" w:rsidP="00850A42">
    <w:pPr>
      <w:pStyle w:val="Header"/>
      <w:tabs>
        <w:tab w:val="clear" w:pos="4252"/>
        <w:tab w:val="clear" w:pos="8504"/>
      </w:tabs>
      <w:rPr>
        <w:color w:val="767171"/>
      </w:rPr>
    </w:pPr>
  </w:p>
  <w:p w14:paraId="27F8185B" w14:textId="77777777" w:rsidR="0086189E" w:rsidRPr="007F276C" w:rsidRDefault="0086189E" w:rsidP="00877DE7">
    <w:pPr>
      <w:pStyle w:val="NoSpacing"/>
    </w:pPr>
    <w:r w:rsidRPr="007F276C">
      <w:t>CONSEJO DE ESTADO</w:t>
    </w:r>
  </w:p>
  <w:p w14:paraId="73CB25C2" w14:textId="77777777" w:rsidR="0086189E" w:rsidRPr="007F276C" w:rsidRDefault="0086189E" w:rsidP="00877DE7">
    <w:pPr>
      <w:pStyle w:val="NoSpacing"/>
    </w:pPr>
    <w:r w:rsidRPr="007F276C">
      <w:t>SALA DE LO CONTENCIOSO ADMINISTRATIVO</w:t>
    </w:r>
  </w:p>
  <w:p w14:paraId="53748759" w14:textId="77777777" w:rsidR="0086189E" w:rsidRPr="007F276C" w:rsidRDefault="0086189E" w:rsidP="00877DE7">
    <w:pPr>
      <w:pStyle w:val="NoSpacing"/>
    </w:pPr>
    <w:r w:rsidRPr="007F276C">
      <w:t>SECCIÓN TERCERA – SUBSECCIÓN C</w:t>
    </w:r>
  </w:p>
  <w:p w14:paraId="3879558C" w14:textId="77777777" w:rsidR="0086189E" w:rsidRDefault="0086189E" w:rsidP="00850A42">
    <w:pPr>
      <w:pStyle w:val="Header"/>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A68"/>
    <w:multiLevelType w:val="hybridMultilevel"/>
    <w:tmpl w:val="1D9AF256"/>
    <w:lvl w:ilvl="0" w:tplc="71C62E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E16"/>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07701001"/>
    <w:multiLevelType w:val="multilevel"/>
    <w:tmpl w:val="3AF081F4"/>
    <w:lvl w:ilvl="0">
      <w:start w:val="1"/>
      <w:numFmt w:val="decimal"/>
      <w:lvlText w:val="%1."/>
      <w:lvlJc w:val="left"/>
      <w:pPr>
        <w:ind w:left="360" w:hanging="360"/>
      </w:pPr>
      <w:rPr>
        <w:rFonts w:hint="default"/>
      </w:rPr>
    </w:lvl>
    <w:lvl w:ilvl="1">
      <w:start w:val="1"/>
      <w:numFmt w:val="none"/>
      <w:lvlText w:val="2.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521F5"/>
    <w:multiLevelType w:val="hybridMultilevel"/>
    <w:tmpl w:val="481CAEE8"/>
    <w:lvl w:ilvl="0" w:tplc="43FA3E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211DA"/>
    <w:multiLevelType w:val="hybridMultilevel"/>
    <w:tmpl w:val="BE2E816C"/>
    <w:lvl w:ilvl="0" w:tplc="DF207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D4C1349"/>
    <w:multiLevelType w:val="hybridMultilevel"/>
    <w:tmpl w:val="BB30B85A"/>
    <w:lvl w:ilvl="0" w:tplc="0C94F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7F2A4B"/>
    <w:multiLevelType w:val="hybridMultilevel"/>
    <w:tmpl w:val="8A123A5C"/>
    <w:lvl w:ilvl="0" w:tplc="7FF8CA56">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17264"/>
    <w:multiLevelType w:val="multilevel"/>
    <w:tmpl w:val="7774FE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D374F73"/>
    <w:multiLevelType w:val="multilevel"/>
    <w:tmpl w:val="ABAEDE02"/>
    <w:lvl w:ilvl="0">
      <w:start w:val="1"/>
      <w:numFmt w:val="upperRoman"/>
      <w:pStyle w:val="Heading1"/>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F523C2"/>
    <w:multiLevelType w:val="multilevel"/>
    <w:tmpl w:val="ABAEDE02"/>
    <w:numStyleLink w:val="Estilo1"/>
  </w:abstractNum>
  <w:abstractNum w:abstractNumId="12" w15:restartNumberingAfterBreak="0">
    <w:nsid w:val="37265EF3"/>
    <w:multiLevelType w:val="multilevel"/>
    <w:tmpl w:val="ABAEDE02"/>
    <w:numStyleLink w:val="Estilo1"/>
  </w:abstractNum>
  <w:abstractNum w:abstractNumId="13" w15:restartNumberingAfterBreak="0">
    <w:nsid w:val="3A407B3E"/>
    <w:multiLevelType w:val="hybridMultilevel"/>
    <w:tmpl w:val="8ED03882"/>
    <w:lvl w:ilvl="0" w:tplc="6C1E3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C57DD"/>
    <w:multiLevelType w:val="hybridMultilevel"/>
    <w:tmpl w:val="05C47AA8"/>
    <w:lvl w:ilvl="0" w:tplc="8D1A8BA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C1398C"/>
    <w:multiLevelType w:val="hybridMultilevel"/>
    <w:tmpl w:val="E0D4C2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8C7B9A"/>
    <w:multiLevelType w:val="multilevel"/>
    <w:tmpl w:val="ABAEDE02"/>
    <w:styleLink w:val="Estilo1"/>
    <w:lvl w:ilvl="0">
      <w:start w:val="3"/>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090510"/>
    <w:multiLevelType w:val="hybridMultilevel"/>
    <w:tmpl w:val="865A96CA"/>
    <w:lvl w:ilvl="0" w:tplc="A8CE6A8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5F2A282F"/>
    <w:multiLevelType w:val="hybridMultilevel"/>
    <w:tmpl w:val="B10A7E36"/>
    <w:lvl w:ilvl="0" w:tplc="9FCAA5CA">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41244"/>
    <w:multiLevelType w:val="multilevel"/>
    <w:tmpl w:val="771C0008"/>
    <w:lvl w:ilvl="0">
      <w:start w:val="1"/>
      <w:numFmt w:val="ordinalText"/>
      <w:lvlText w:val="%1."/>
      <w:lvlJc w:val="left"/>
      <w:pPr>
        <w:ind w:left="0" w:firstLine="0"/>
      </w:pPr>
      <w:rPr>
        <w:rFonts w:ascii="Arial" w:hAnsi="Arial" w:hint="default"/>
        <w:b/>
        <w:i w:val="0"/>
        <w:caps/>
        <w:strike w:val="0"/>
        <w:dstrike w:val="0"/>
        <w:vanish w:val="0"/>
        <w:sz w:val="24"/>
        <w:vertAlign w:val="baseli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4BD6038"/>
    <w:multiLevelType w:val="multilevel"/>
    <w:tmpl w:val="A8E846F4"/>
    <w:lvl w:ilvl="0">
      <w:start w:val="1"/>
      <w:numFmt w:val="decimal"/>
      <w:lvlText w:val="%1."/>
      <w:lvlJc w:val="left"/>
      <w:pPr>
        <w:ind w:left="360" w:hanging="360"/>
      </w:pPr>
      <w:rPr>
        <w:rFonts w:hint="default"/>
      </w:rPr>
    </w:lvl>
    <w:lvl w:ilvl="1">
      <w:start w:val="1"/>
      <w:numFmt w:val="none"/>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7C2289"/>
    <w:multiLevelType w:val="multilevel"/>
    <w:tmpl w:val="4DA05710"/>
    <w:lvl w:ilvl="0">
      <w:start w:val="1"/>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B16B14"/>
    <w:multiLevelType w:val="hybridMultilevel"/>
    <w:tmpl w:val="51549D50"/>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91937"/>
    <w:multiLevelType w:val="hybridMultilevel"/>
    <w:tmpl w:val="00B699BA"/>
    <w:lvl w:ilvl="0" w:tplc="82744052">
      <w:start w:val="1"/>
      <w:numFmt w:val="decimal"/>
      <w:pStyle w:val="Heading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1D7296"/>
    <w:multiLevelType w:val="hybridMultilevel"/>
    <w:tmpl w:val="7474F05E"/>
    <w:lvl w:ilvl="0" w:tplc="B42222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7252D"/>
    <w:multiLevelType w:val="hybridMultilevel"/>
    <w:tmpl w:val="3E9EAA42"/>
    <w:lvl w:ilvl="0" w:tplc="AA90D0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3753C"/>
    <w:multiLevelType w:val="multilevel"/>
    <w:tmpl w:val="AAA6266E"/>
    <w:lvl w:ilvl="0">
      <w:start w:val="1"/>
      <w:numFmt w:val="decimal"/>
      <w:lvlText w:val="%1."/>
      <w:lvlJc w:val="left"/>
      <w:pPr>
        <w:ind w:left="360" w:hanging="360"/>
      </w:pPr>
      <w:rPr>
        <w:rFonts w:hint="default"/>
      </w:rPr>
    </w:lvl>
    <w:lvl w:ilvl="1">
      <w:start w:val="1"/>
      <w:numFmt w:val="none"/>
      <w:lvlText w:val="2.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10"/>
  </w:num>
  <w:num w:numId="6">
    <w:abstractNumId w:val="25"/>
  </w:num>
  <w:num w:numId="7">
    <w:abstractNumId w:val="17"/>
  </w:num>
  <w:num w:numId="8">
    <w:abstractNumId w:val="15"/>
  </w:num>
  <w:num w:numId="9">
    <w:abstractNumId w:val="16"/>
  </w:num>
  <w:num w:numId="10">
    <w:abstractNumId w:val="12"/>
  </w:num>
  <w:num w:numId="11">
    <w:abstractNumId w:val="6"/>
  </w:num>
  <w:num w:numId="12">
    <w:abstractNumId w:val="13"/>
  </w:num>
  <w:num w:numId="13">
    <w:abstractNumId w:val="7"/>
  </w:num>
  <w:num w:numId="14">
    <w:abstractNumId w:val="23"/>
  </w:num>
  <w:num w:numId="15">
    <w:abstractNumId w:val="2"/>
  </w:num>
  <w:num w:numId="16">
    <w:abstractNumId w:val="22"/>
  </w:num>
  <w:num w:numId="17">
    <w:abstractNumId w:val="28"/>
  </w:num>
  <w:num w:numId="18">
    <w:abstractNumId w:val="26"/>
  </w:num>
  <w:num w:numId="19">
    <w:abstractNumId w:val="20"/>
  </w:num>
  <w:num w:numId="20">
    <w:abstractNumId w:val="3"/>
  </w:num>
  <w:num w:numId="21">
    <w:abstractNumId w:val="4"/>
  </w:num>
  <w:num w:numId="22">
    <w:abstractNumId w:val="21"/>
  </w:num>
  <w:num w:numId="23">
    <w:abstractNumId w:val="14"/>
  </w:num>
  <w:num w:numId="24">
    <w:abstractNumId w:val="0"/>
  </w:num>
  <w:num w:numId="25">
    <w:abstractNumId w:val="8"/>
  </w:num>
  <w:num w:numId="26">
    <w:abstractNumId w:val="18"/>
  </w:num>
  <w:num w:numId="27">
    <w:abstractNumId w:val="24"/>
  </w:num>
  <w:num w:numId="28">
    <w:abstractNumId w:val="2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2646"/>
    <w:rsid w:val="00002BCB"/>
    <w:rsid w:val="00003427"/>
    <w:rsid w:val="00003548"/>
    <w:rsid w:val="000042FA"/>
    <w:rsid w:val="00006A2F"/>
    <w:rsid w:val="00006D3C"/>
    <w:rsid w:val="000078E1"/>
    <w:rsid w:val="00007CCA"/>
    <w:rsid w:val="00011912"/>
    <w:rsid w:val="0001211B"/>
    <w:rsid w:val="0001294D"/>
    <w:rsid w:val="0001306A"/>
    <w:rsid w:val="000148D2"/>
    <w:rsid w:val="00014967"/>
    <w:rsid w:val="00014C90"/>
    <w:rsid w:val="00014D69"/>
    <w:rsid w:val="00016594"/>
    <w:rsid w:val="000165D0"/>
    <w:rsid w:val="00017CB3"/>
    <w:rsid w:val="000205FD"/>
    <w:rsid w:val="00020C81"/>
    <w:rsid w:val="00020F1D"/>
    <w:rsid w:val="00021439"/>
    <w:rsid w:val="00024CD3"/>
    <w:rsid w:val="00024ED7"/>
    <w:rsid w:val="00025115"/>
    <w:rsid w:val="00025159"/>
    <w:rsid w:val="00025657"/>
    <w:rsid w:val="00026643"/>
    <w:rsid w:val="0002715D"/>
    <w:rsid w:val="000274C1"/>
    <w:rsid w:val="00030424"/>
    <w:rsid w:val="0003044A"/>
    <w:rsid w:val="00030D50"/>
    <w:rsid w:val="0003163C"/>
    <w:rsid w:val="00032747"/>
    <w:rsid w:val="000352C9"/>
    <w:rsid w:val="000369DF"/>
    <w:rsid w:val="00036A46"/>
    <w:rsid w:val="0003723B"/>
    <w:rsid w:val="00037471"/>
    <w:rsid w:val="00040E52"/>
    <w:rsid w:val="000412C2"/>
    <w:rsid w:val="000415BD"/>
    <w:rsid w:val="0004241E"/>
    <w:rsid w:val="0004418D"/>
    <w:rsid w:val="000447FE"/>
    <w:rsid w:val="0004512E"/>
    <w:rsid w:val="000452C0"/>
    <w:rsid w:val="0004588A"/>
    <w:rsid w:val="000460CA"/>
    <w:rsid w:val="00051CA2"/>
    <w:rsid w:val="000526A4"/>
    <w:rsid w:val="000529AB"/>
    <w:rsid w:val="00052B30"/>
    <w:rsid w:val="00052C39"/>
    <w:rsid w:val="000531F3"/>
    <w:rsid w:val="0005325C"/>
    <w:rsid w:val="000544A4"/>
    <w:rsid w:val="000548C3"/>
    <w:rsid w:val="00055579"/>
    <w:rsid w:val="0005624F"/>
    <w:rsid w:val="000569D4"/>
    <w:rsid w:val="00056C68"/>
    <w:rsid w:val="00056DFC"/>
    <w:rsid w:val="00056EC2"/>
    <w:rsid w:val="00057AB2"/>
    <w:rsid w:val="00061B93"/>
    <w:rsid w:val="00061E0A"/>
    <w:rsid w:val="00062419"/>
    <w:rsid w:val="00062839"/>
    <w:rsid w:val="00062E7F"/>
    <w:rsid w:val="000632DC"/>
    <w:rsid w:val="000640AC"/>
    <w:rsid w:val="00064461"/>
    <w:rsid w:val="00065394"/>
    <w:rsid w:val="000655DF"/>
    <w:rsid w:val="00066855"/>
    <w:rsid w:val="00066F0B"/>
    <w:rsid w:val="00067858"/>
    <w:rsid w:val="00070576"/>
    <w:rsid w:val="00070C82"/>
    <w:rsid w:val="00071226"/>
    <w:rsid w:val="000714DF"/>
    <w:rsid w:val="000728E0"/>
    <w:rsid w:val="0007303A"/>
    <w:rsid w:val="00073869"/>
    <w:rsid w:val="0007389A"/>
    <w:rsid w:val="00074469"/>
    <w:rsid w:val="00077ABA"/>
    <w:rsid w:val="0008006A"/>
    <w:rsid w:val="000813DB"/>
    <w:rsid w:val="00082421"/>
    <w:rsid w:val="0008290D"/>
    <w:rsid w:val="000829E5"/>
    <w:rsid w:val="00082FCD"/>
    <w:rsid w:val="00083B8F"/>
    <w:rsid w:val="00083C27"/>
    <w:rsid w:val="000876A6"/>
    <w:rsid w:val="00090310"/>
    <w:rsid w:val="00091755"/>
    <w:rsid w:val="00091BDC"/>
    <w:rsid w:val="00091E4D"/>
    <w:rsid w:val="000920C2"/>
    <w:rsid w:val="000937EE"/>
    <w:rsid w:val="00094AEA"/>
    <w:rsid w:val="00094E7B"/>
    <w:rsid w:val="0009717D"/>
    <w:rsid w:val="000A1E41"/>
    <w:rsid w:val="000A2262"/>
    <w:rsid w:val="000A2B33"/>
    <w:rsid w:val="000A3101"/>
    <w:rsid w:val="000A34B6"/>
    <w:rsid w:val="000A39D7"/>
    <w:rsid w:val="000A42B2"/>
    <w:rsid w:val="000A4FB0"/>
    <w:rsid w:val="000A54A1"/>
    <w:rsid w:val="000A5554"/>
    <w:rsid w:val="000A7A33"/>
    <w:rsid w:val="000B0A38"/>
    <w:rsid w:val="000B0F12"/>
    <w:rsid w:val="000B15AE"/>
    <w:rsid w:val="000B1EED"/>
    <w:rsid w:val="000B42A8"/>
    <w:rsid w:val="000B51B3"/>
    <w:rsid w:val="000B5547"/>
    <w:rsid w:val="000B7608"/>
    <w:rsid w:val="000C09E1"/>
    <w:rsid w:val="000C264F"/>
    <w:rsid w:val="000C2723"/>
    <w:rsid w:val="000C2B43"/>
    <w:rsid w:val="000C3ED0"/>
    <w:rsid w:val="000C445C"/>
    <w:rsid w:val="000C456C"/>
    <w:rsid w:val="000C581D"/>
    <w:rsid w:val="000C5DB7"/>
    <w:rsid w:val="000C6238"/>
    <w:rsid w:val="000C66BA"/>
    <w:rsid w:val="000C6D2E"/>
    <w:rsid w:val="000C7B4F"/>
    <w:rsid w:val="000C7E44"/>
    <w:rsid w:val="000D0E41"/>
    <w:rsid w:val="000D0FE6"/>
    <w:rsid w:val="000D16F0"/>
    <w:rsid w:val="000D223A"/>
    <w:rsid w:val="000D3C86"/>
    <w:rsid w:val="000D4D6C"/>
    <w:rsid w:val="000D4F5D"/>
    <w:rsid w:val="000D546D"/>
    <w:rsid w:val="000D5563"/>
    <w:rsid w:val="000D5EB0"/>
    <w:rsid w:val="000D6BFF"/>
    <w:rsid w:val="000D6E0F"/>
    <w:rsid w:val="000D7EE8"/>
    <w:rsid w:val="000E16BA"/>
    <w:rsid w:val="000E22EA"/>
    <w:rsid w:val="000E2D62"/>
    <w:rsid w:val="000E2F23"/>
    <w:rsid w:val="000E6CF6"/>
    <w:rsid w:val="000E709F"/>
    <w:rsid w:val="000F04B3"/>
    <w:rsid w:val="000F053A"/>
    <w:rsid w:val="000F1B8D"/>
    <w:rsid w:val="000F1CE9"/>
    <w:rsid w:val="000F32A0"/>
    <w:rsid w:val="000F3570"/>
    <w:rsid w:val="000F4101"/>
    <w:rsid w:val="000F46CE"/>
    <w:rsid w:val="000F4980"/>
    <w:rsid w:val="000F4FF8"/>
    <w:rsid w:val="000F6D77"/>
    <w:rsid w:val="000F7BDA"/>
    <w:rsid w:val="000F7E83"/>
    <w:rsid w:val="00101C60"/>
    <w:rsid w:val="00101E8A"/>
    <w:rsid w:val="0010217B"/>
    <w:rsid w:val="001038EA"/>
    <w:rsid w:val="001041C2"/>
    <w:rsid w:val="0010435F"/>
    <w:rsid w:val="001045A0"/>
    <w:rsid w:val="0010582F"/>
    <w:rsid w:val="00106CCC"/>
    <w:rsid w:val="00106FB6"/>
    <w:rsid w:val="0011079E"/>
    <w:rsid w:val="00112F1A"/>
    <w:rsid w:val="00113BD7"/>
    <w:rsid w:val="00113CAE"/>
    <w:rsid w:val="00115EBE"/>
    <w:rsid w:val="00117091"/>
    <w:rsid w:val="00122DD3"/>
    <w:rsid w:val="001230E5"/>
    <w:rsid w:val="00123D71"/>
    <w:rsid w:val="00124ED7"/>
    <w:rsid w:val="00124F8D"/>
    <w:rsid w:val="00126A63"/>
    <w:rsid w:val="00130F7C"/>
    <w:rsid w:val="00131078"/>
    <w:rsid w:val="001314F6"/>
    <w:rsid w:val="0013277B"/>
    <w:rsid w:val="00132DD7"/>
    <w:rsid w:val="00133CD1"/>
    <w:rsid w:val="00133F91"/>
    <w:rsid w:val="0013529D"/>
    <w:rsid w:val="0013542E"/>
    <w:rsid w:val="00137438"/>
    <w:rsid w:val="00137807"/>
    <w:rsid w:val="00140BF3"/>
    <w:rsid w:val="00141670"/>
    <w:rsid w:val="001416A3"/>
    <w:rsid w:val="001462FA"/>
    <w:rsid w:val="0015060C"/>
    <w:rsid w:val="00150D25"/>
    <w:rsid w:val="001510A3"/>
    <w:rsid w:val="00151CE2"/>
    <w:rsid w:val="001520C5"/>
    <w:rsid w:val="001524ED"/>
    <w:rsid w:val="00152A55"/>
    <w:rsid w:val="00152C23"/>
    <w:rsid w:val="0015433E"/>
    <w:rsid w:val="00154621"/>
    <w:rsid w:val="0015533A"/>
    <w:rsid w:val="00155E78"/>
    <w:rsid w:val="00156E62"/>
    <w:rsid w:val="0016141D"/>
    <w:rsid w:val="00161478"/>
    <w:rsid w:val="00162A82"/>
    <w:rsid w:val="00162F52"/>
    <w:rsid w:val="00163274"/>
    <w:rsid w:val="00163C26"/>
    <w:rsid w:val="001648E2"/>
    <w:rsid w:val="001652C6"/>
    <w:rsid w:val="001653CA"/>
    <w:rsid w:val="00165674"/>
    <w:rsid w:val="001658F7"/>
    <w:rsid w:val="00165F5A"/>
    <w:rsid w:val="00166AF6"/>
    <w:rsid w:val="00167331"/>
    <w:rsid w:val="001707E0"/>
    <w:rsid w:val="00170DE1"/>
    <w:rsid w:val="00170DE6"/>
    <w:rsid w:val="00170FDD"/>
    <w:rsid w:val="00171055"/>
    <w:rsid w:val="001718C1"/>
    <w:rsid w:val="0017254C"/>
    <w:rsid w:val="001728B3"/>
    <w:rsid w:val="00172B9D"/>
    <w:rsid w:val="001733AF"/>
    <w:rsid w:val="001737B9"/>
    <w:rsid w:val="0017431B"/>
    <w:rsid w:val="00175800"/>
    <w:rsid w:val="00176539"/>
    <w:rsid w:val="00176B3D"/>
    <w:rsid w:val="00177946"/>
    <w:rsid w:val="00180162"/>
    <w:rsid w:val="00181571"/>
    <w:rsid w:val="001816BE"/>
    <w:rsid w:val="00181E01"/>
    <w:rsid w:val="00182116"/>
    <w:rsid w:val="001835F7"/>
    <w:rsid w:val="00183FC5"/>
    <w:rsid w:val="00184DCA"/>
    <w:rsid w:val="0018534B"/>
    <w:rsid w:val="001859CD"/>
    <w:rsid w:val="00187C23"/>
    <w:rsid w:val="00190A86"/>
    <w:rsid w:val="0019195B"/>
    <w:rsid w:val="00191F52"/>
    <w:rsid w:val="0019311A"/>
    <w:rsid w:val="0019313B"/>
    <w:rsid w:val="00193204"/>
    <w:rsid w:val="0019417E"/>
    <w:rsid w:val="0019459B"/>
    <w:rsid w:val="001945DD"/>
    <w:rsid w:val="0019499E"/>
    <w:rsid w:val="00194ACD"/>
    <w:rsid w:val="00194CD0"/>
    <w:rsid w:val="00195702"/>
    <w:rsid w:val="00195C51"/>
    <w:rsid w:val="00196A2F"/>
    <w:rsid w:val="00197E69"/>
    <w:rsid w:val="001A06C7"/>
    <w:rsid w:val="001A2083"/>
    <w:rsid w:val="001A2338"/>
    <w:rsid w:val="001A2E86"/>
    <w:rsid w:val="001A4A26"/>
    <w:rsid w:val="001A5AEB"/>
    <w:rsid w:val="001A5D58"/>
    <w:rsid w:val="001A6C86"/>
    <w:rsid w:val="001A78A0"/>
    <w:rsid w:val="001A7A33"/>
    <w:rsid w:val="001B2F00"/>
    <w:rsid w:val="001B368A"/>
    <w:rsid w:val="001B4B0D"/>
    <w:rsid w:val="001B586B"/>
    <w:rsid w:val="001B7AD5"/>
    <w:rsid w:val="001C16CB"/>
    <w:rsid w:val="001C3162"/>
    <w:rsid w:val="001C3556"/>
    <w:rsid w:val="001C3610"/>
    <w:rsid w:val="001C3A72"/>
    <w:rsid w:val="001C3C1F"/>
    <w:rsid w:val="001C7B8D"/>
    <w:rsid w:val="001D1445"/>
    <w:rsid w:val="001D1E28"/>
    <w:rsid w:val="001D2CB4"/>
    <w:rsid w:val="001D2DA5"/>
    <w:rsid w:val="001D3797"/>
    <w:rsid w:val="001D47B7"/>
    <w:rsid w:val="001D4E62"/>
    <w:rsid w:val="001D79F8"/>
    <w:rsid w:val="001E0688"/>
    <w:rsid w:val="001E2A25"/>
    <w:rsid w:val="001E52CA"/>
    <w:rsid w:val="001E5970"/>
    <w:rsid w:val="001E622B"/>
    <w:rsid w:val="001E6CC0"/>
    <w:rsid w:val="001F039B"/>
    <w:rsid w:val="001F2066"/>
    <w:rsid w:val="001F2150"/>
    <w:rsid w:val="001F21E4"/>
    <w:rsid w:val="001F2572"/>
    <w:rsid w:val="001F2F2C"/>
    <w:rsid w:val="001F335A"/>
    <w:rsid w:val="001F5570"/>
    <w:rsid w:val="001F6092"/>
    <w:rsid w:val="001F6E71"/>
    <w:rsid w:val="001F724D"/>
    <w:rsid w:val="001F7EE0"/>
    <w:rsid w:val="00200716"/>
    <w:rsid w:val="0020077C"/>
    <w:rsid w:val="00201EC3"/>
    <w:rsid w:val="00202697"/>
    <w:rsid w:val="00203055"/>
    <w:rsid w:val="002032B7"/>
    <w:rsid w:val="002061A3"/>
    <w:rsid w:val="00206260"/>
    <w:rsid w:val="0020663C"/>
    <w:rsid w:val="00207C74"/>
    <w:rsid w:val="0021149F"/>
    <w:rsid w:val="002137D0"/>
    <w:rsid w:val="00213BBF"/>
    <w:rsid w:val="00213FD0"/>
    <w:rsid w:val="00214673"/>
    <w:rsid w:val="00214D23"/>
    <w:rsid w:val="0021624A"/>
    <w:rsid w:val="00216E6F"/>
    <w:rsid w:val="00222307"/>
    <w:rsid w:val="00222D97"/>
    <w:rsid w:val="002230E3"/>
    <w:rsid w:val="00226D5E"/>
    <w:rsid w:val="0023111B"/>
    <w:rsid w:val="002317CA"/>
    <w:rsid w:val="00234105"/>
    <w:rsid w:val="00234985"/>
    <w:rsid w:val="002352A8"/>
    <w:rsid w:val="002361C0"/>
    <w:rsid w:val="00236539"/>
    <w:rsid w:val="0023676F"/>
    <w:rsid w:val="002375EC"/>
    <w:rsid w:val="00237ABD"/>
    <w:rsid w:val="002408E2"/>
    <w:rsid w:val="0024105D"/>
    <w:rsid w:val="002411B3"/>
    <w:rsid w:val="00241DF3"/>
    <w:rsid w:val="00242169"/>
    <w:rsid w:val="002430F4"/>
    <w:rsid w:val="00243BDE"/>
    <w:rsid w:val="002449F0"/>
    <w:rsid w:val="00244EAC"/>
    <w:rsid w:val="00246239"/>
    <w:rsid w:val="002469BB"/>
    <w:rsid w:val="00247439"/>
    <w:rsid w:val="00247530"/>
    <w:rsid w:val="00247EF9"/>
    <w:rsid w:val="002503D6"/>
    <w:rsid w:val="00250E9C"/>
    <w:rsid w:val="0025202A"/>
    <w:rsid w:val="00252C2F"/>
    <w:rsid w:val="00253054"/>
    <w:rsid w:val="00253667"/>
    <w:rsid w:val="00254098"/>
    <w:rsid w:val="00254304"/>
    <w:rsid w:val="00255C52"/>
    <w:rsid w:val="002560D0"/>
    <w:rsid w:val="00256101"/>
    <w:rsid w:val="00256333"/>
    <w:rsid w:val="00257613"/>
    <w:rsid w:val="002606C6"/>
    <w:rsid w:val="00261359"/>
    <w:rsid w:val="002615EF"/>
    <w:rsid w:val="002623F3"/>
    <w:rsid w:val="00263885"/>
    <w:rsid w:val="00263EFA"/>
    <w:rsid w:val="002667C3"/>
    <w:rsid w:val="00270632"/>
    <w:rsid w:val="0027276A"/>
    <w:rsid w:val="00272E9D"/>
    <w:rsid w:val="002730CD"/>
    <w:rsid w:val="0027673C"/>
    <w:rsid w:val="0027712D"/>
    <w:rsid w:val="002800D1"/>
    <w:rsid w:val="002811B6"/>
    <w:rsid w:val="00281874"/>
    <w:rsid w:val="00282115"/>
    <w:rsid w:val="00283BF3"/>
    <w:rsid w:val="00284F8E"/>
    <w:rsid w:val="00285949"/>
    <w:rsid w:val="0028665C"/>
    <w:rsid w:val="00290408"/>
    <w:rsid w:val="00290777"/>
    <w:rsid w:val="002907D1"/>
    <w:rsid w:val="0029131A"/>
    <w:rsid w:val="00291382"/>
    <w:rsid w:val="002918C0"/>
    <w:rsid w:val="0029193E"/>
    <w:rsid w:val="00291B41"/>
    <w:rsid w:val="002929F3"/>
    <w:rsid w:val="00292B1A"/>
    <w:rsid w:val="00292CBD"/>
    <w:rsid w:val="00293AE7"/>
    <w:rsid w:val="00294815"/>
    <w:rsid w:val="0029673C"/>
    <w:rsid w:val="00297F37"/>
    <w:rsid w:val="002A12C8"/>
    <w:rsid w:val="002A13AF"/>
    <w:rsid w:val="002A1D6D"/>
    <w:rsid w:val="002A2D10"/>
    <w:rsid w:val="002A3AAB"/>
    <w:rsid w:val="002A3BAC"/>
    <w:rsid w:val="002A4AF1"/>
    <w:rsid w:val="002A71A9"/>
    <w:rsid w:val="002A7398"/>
    <w:rsid w:val="002A77F8"/>
    <w:rsid w:val="002B1B19"/>
    <w:rsid w:val="002B2CD4"/>
    <w:rsid w:val="002B41EA"/>
    <w:rsid w:val="002B61BF"/>
    <w:rsid w:val="002C12BC"/>
    <w:rsid w:val="002C15EA"/>
    <w:rsid w:val="002C1DA1"/>
    <w:rsid w:val="002C2B41"/>
    <w:rsid w:val="002C30E6"/>
    <w:rsid w:val="002C647A"/>
    <w:rsid w:val="002C6CFA"/>
    <w:rsid w:val="002C6E52"/>
    <w:rsid w:val="002C73F8"/>
    <w:rsid w:val="002C7F61"/>
    <w:rsid w:val="002D0F0A"/>
    <w:rsid w:val="002D17BD"/>
    <w:rsid w:val="002D2D5D"/>
    <w:rsid w:val="002D480B"/>
    <w:rsid w:val="002D4C6C"/>
    <w:rsid w:val="002D54E6"/>
    <w:rsid w:val="002D65CB"/>
    <w:rsid w:val="002D6FD7"/>
    <w:rsid w:val="002E0403"/>
    <w:rsid w:val="002E076B"/>
    <w:rsid w:val="002E15E2"/>
    <w:rsid w:val="002E1978"/>
    <w:rsid w:val="002E1F51"/>
    <w:rsid w:val="002E21B1"/>
    <w:rsid w:val="002E5558"/>
    <w:rsid w:val="002E5BD3"/>
    <w:rsid w:val="002E6005"/>
    <w:rsid w:val="002E6B64"/>
    <w:rsid w:val="002F05D2"/>
    <w:rsid w:val="002F29AA"/>
    <w:rsid w:val="002F2CEE"/>
    <w:rsid w:val="002F559E"/>
    <w:rsid w:val="002F55F7"/>
    <w:rsid w:val="002F6402"/>
    <w:rsid w:val="002F70E0"/>
    <w:rsid w:val="003007FC"/>
    <w:rsid w:val="00300C92"/>
    <w:rsid w:val="00301A37"/>
    <w:rsid w:val="00301CDA"/>
    <w:rsid w:val="003020C9"/>
    <w:rsid w:val="0030436E"/>
    <w:rsid w:val="00306515"/>
    <w:rsid w:val="00310385"/>
    <w:rsid w:val="00311642"/>
    <w:rsid w:val="00313179"/>
    <w:rsid w:val="0031393C"/>
    <w:rsid w:val="0031411D"/>
    <w:rsid w:val="0031414C"/>
    <w:rsid w:val="00314BB1"/>
    <w:rsid w:val="00314CDC"/>
    <w:rsid w:val="0031514A"/>
    <w:rsid w:val="00316144"/>
    <w:rsid w:val="003172E7"/>
    <w:rsid w:val="00317E61"/>
    <w:rsid w:val="00320AD5"/>
    <w:rsid w:val="00321DAA"/>
    <w:rsid w:val="003229E1"/>
    <w:rsid w:val="00322FAE"/>
    <w:rsid w:val="00323689"/>
    <w:rsid w:val="00323712"/>
    <w:rsid w:val="003239D1"/>
    <w:rsid w:val="00325683"/>
    <w:rsid w:val="00326057"/>
    <w:rsid w:val="00327AFA"/>
    <w:rsid w:val="0033074E"/>
    <w:rsid w:val="003311A5"/>
    <w:rsid w:val="003320A8"/>
    <w:rsid w:val="0033263F"/>
    <w:rsid w:val="0033289A"/>
    <w:rsid w:val="00332F6B"/>
    <w:rsid w:val="00333248"/>
    <w:rsid w:val="00333B0A"/>
    <w:rsid w:val="00334307"/>
    <w:rsid w:val="0033439E"/>
    <w:rsid w:val="00335874"/>
    <w:rsid w:val="00336CB4"/>
    <w:rsid w:val="003373C2"/>
    <w:rsid w:val="00337D57"/>
    <w:rsid w:val="003420B1"/>
    <w:rsid w:val="00342548"/>
    <w:rsid w:val="00345B41"/>
    <w:rsid w:val="00346746"/>
    <w:rsid w:val="0035042A"/>
    <w:rsid w:val="003518AA"/>
    <w:rsid w:val="0035239F"/>
    <w:rsid w:val="00352A40"/>
    <w:rsid w:val="003538E2"/>
    <w:rsid w:val="00354D7F"/>
    <w:rsid w:val="00356836"/>
    <w:rsid w:val="00357D33"/>
    <w:rsid w:val="00360658"/>
    <w:rsid w:val="00360726"/>
    <w:rsid w:val="00361284"/>
    <w:rsid w:val="00361478"/>
    <w:rsid w:val="0036181F"/>
    <w:rsid w:val="003622BB"/>
    <w:rsid w:val="00362E53"/>
    <w:rsid w:val="0036453A"/>
    <w:rsid w:val="00367126"/>
    <w:rsid w:val="003674A8"/>
    <w:rsid w:val="003703E3"/>
    <w:rsid w:val="00370801"/>
    <w:rsid w:val="0037300F"/>
    <w:rsid w:val="003739B7"/>
    <w:rsid w:val="00374674"/>
    <w:rsid w:val="00375FCA"/>
    <w:rsid w:val="003777E9"/>
    <w:rsid w:val="003802CE"/>
    <w:rsid w:val="00380417"/>
    <w:rsid w:val="0038210C"/>
    <w:rsid w:val="00382460"/>
    <w:rsid w:val="00382E4F"/>
    <w:rsid w:val="00383425"/>
    <w:rsid w:val="00383B43"/>
    <w:rsid w:val="00384507"/>
    <w:rsid w:val="003854AF"/>
    <w:rsid w:val="00385625"/>
    <w:rsid w:val="003857FF"/>
    <w:rsid w:val="0038628B"/>
    <w:rsid w:val="00386328"/>
    <w:rsid w:val="00386575"/>
    <w:rsid w:val="00386A22"/>
    <w:rsid w:val="0038733B"/>
    <w:rsid w:val="00387BBC"/>
    <w:rsid w:val="00387BBE"/>
    <w:rsid w:val="00390E0D"/>
    <w:rsid w:val="0039113A"/>
    <w:rsid w:val="003922EE"/>
    <w:rsid w:val="00393B8E"/>
    <w:rsid w:val="00394A69"/>
    <w:rsid w:val="00395B08"/>
    <w:rsid w:val="00395B33"/>
    <w:rsid w:val="003961FD"/>
    <w:rsid w:val="00397AB0"/>
    <w:rsid w:val="003A04B7"/>
    <w:rsid w:val="003A12C4"/>
    <w:rsid w:val="003A14AF"/>
    <w:rsid w:val="003A15FB"/>
    <w:rsid w:val="003A2775"/>
    <w:rsid w:val="003A2A41"/>
    <w:rsid w:val="003A3257"/>
    <w:rsid w:val="003A370B"/>
    <w:rsid w:val="003A3B76"/>
    <w:rsid w:val="003A3E8F"/>
    <w:rsid w:val="003A6017"/>
    <w:rsid w:val="003A6275"/>
    <w:rsid w:val="003A6BD6"/>
    <w:rsid w:val="003A71A7"/>
    <w:rsid w:val="003A7246"/>
    <w:rsid w:val="003B2039"/>
    <w:rsid w:val="003B2F94"/>
    <w:rsid w:val="003B4515"/>
    <w:rsid w:val="003B455E"/>
    <w:rsid w:val="003B48E3"/>
    <w:rsid w:val="003B5090"/>
    <w:rsid w:val="003B557F"/>
    <w:rsid w:val="003B67D8"/>
    <w:rsid w:val="003B73AE"/>
    <w:rsid w:val="003C1990"/>
    <w:rsid w:val="003C2AAE"/>
    <w:rsid w:val="003C417B"/>
    <w:rsid w:val="003C6216"/>
    <w:rsid w:val="003C7743"/>
    <w:rsid w:val="003C7C5F"/>
    <w:rsid w:val="003D026C"/>
    <w:rsid w:val="003D124C"/>
    <w:rsid w:val="003D1B94"/>
    <w:rsid w:val="003D1EDF"/>
    <w:rsid w:val="003D2002"/>
    <w:rsid w:val="003D51B0"/>
    <w:rsid w:val="003D5881"/>
    <w:rsid w:val="003D6619"/>
    <w:rsid w:val="003D66EE"/>
    <w:rsid w:val="003D7A44"/>
    <w:rsid w:val="003E141B"/>
    <w:rsid w:val="003E1DAC"/>
    <w:rsid w:val="003E2A02"/>
    <w:rsid w:val="003E2CA5"/>
    <w:rsid w:val="003E5BA0"/>
    <w:rsid w:val="003E5CD6"/>
    <w:rsid w:val="003E7CC1"/>
    <w:rsid w:val="003F0096"/>
    <w:rsid w:val="003F009B"/>
    <w:rsid w:val="003F297F"/>
    <w:rsid w:val="003F2BA3"/>
    <w:rsid w:val="003F366C"/>
    <w:rsid w:val="003F36EE"/>
    <w:rsid w:val="003F37C4"/>
    <w:rsid w:val="003F4116"/>
    <w:rsid w:val="003F4D24"/>
    <w:rsid w:val="003F4EE1"/>
    <w:rsid w:val="003F5444"/>
    <w:rsid w:val="003F6339"/>
    <w:rsid w:val="003F72F7"/>
    <w:rsid w:val="003F7FF5"/>
    <w:rsid w:val="00400384"/>
    <w:rsid w:val="00400C3E"/>
    <w:rsid w:val="0040119D"/>
    <w:rsid w:val="0040289F"/>
    <w:rsid w:val="00402998"/>
    <w:rsid w:val="004035C8"/>
    <w:rsid w:val="004046E7"/>
    <w:rsid w:val="00404D24"/>
    <w:rsid w:val="00405D91"/>
    <w:rsid w:val="00406023"/>
    <w:rsid w:val="00406723"/>
    <w:rsid w:val="004069D4"/>
    <w:rsid w:val="00406E94"/>
    <w:rsid w:val="00407F60"/>
    <w:rsid w:val="00410EB4"/>
    <w:rsid w:val="00411B57"/>
    <w:rsid w:val="00411C29"/>
    <w:rsid w:val="00412792"/>
    <w:rsid w:val="00412A0F"/>
    <w:rsid w:val="00412E7C"/>
    <w:rsid w:val="004144E9"/>
    <w:rsid w:val="004159A5"/>
    <w:rsid w:val="00416156"/>
    <w:rsid w:val="004168CB"/>
    <w:rsid w:val="00416969"/>
    <w:rsid w:val="00417300"/>
    <w:rsid w:val="00417B95"/>
    <w:rsid w:val="004211FA"/>
    <w:rsid w:val="004217E1"/>
    <w:rsid w:val="004226E9"/>
    <w:rsid w:val="00423D44"/>
    <w:rsid w:val="00424723"/>
    <w:rsid w:val="00425E3D"/>
    <w:rsid w:val="00425E63"/>
    <w:rsid w:val="00425FFA"/>
    <w:rsid w:val="00426C95"/>
    <w:rsid w:val="00427FA5"/>
    <w:rsid w:val="00430389"/>
    <w:rsid w:val="00430BCE"/>
    <w:rsid w:val="00430D89"/>
    <w:rsid w:val="00433B85"/>
    <w:rsid w:val="004347F2"/>
    <w:rsid w:val="00435C25"/>
    <w:rsid w:val="00436284"/>
    <w:rsid w:val="00436468"/>
    <w:rsid w:val="004367A5"/>
    <w:rsid w:val="00436A97"/>
    <w:rsid w:val="004415E5"/>
    <w:rsid w:val="004416B2"/>
    <w:rsid w:val="004439FB"/>
    <w:rsid w:val="00444362"/>
    <w:rsid w:val="00444AC1"/>
    <w:rsid w:val="00447686"/>
    <w:rsid w:val="00447956"/>
    <w:rsid w:val="00450C02"/>
    <w:rsid w:val="00450C41"/>
    <w:rsid w:val="004511DF"/>
    <w:rsid w:val="00451546"/>
    <w:rsid w:val="00452C39"/>
    <w:rsid w:val="00452C9D"/>
    <w:rsid w:val="0045359E"/>
    <w:rsid w:val="004536C6"/>
    <w:rsid w:val="0045375E"/>
    <w:rsid w:val="00455F7E"/>
    <w:rsid w:val="00456E6B"/>
    <w:rsid w:val="00457921"/>
    <w:rsid w:val="004579EC"/>
    <w:rsid w:val="004612CF"/>
    <w:rsid w:val="0046258C"/>
    <w:rsid w:val="00463046"/>
    <w:rsid w:val="0046322E"/>
    <w:rsid w:val="00464CD0"/>
    <w:rsid w:val="00464E3F"/>
    <w:rsid w:val="0046540F"/>
    <w:rsid w:val="00466D55"/>
    <w:rsid w:val="00467AA9"/>
    <w:rsid w:val="004713A6"/>
    <w:rsid w:val="00471474"/>
    <w:rsid w:val="0047256F"/>
    <w:rsid w:val="00472CEB"/>
    <w:rsid w:val="00472E9E"/>
    <w:rsid w:val="00473FAD"/>
    <w:rsid w:val="00474222"/>
    <w:rsid w:val="00474A0E"/>
    <w:rsid w:val="004766A9"/>
    <w:rsid w:val="00477E08"/>
    <w:rsid w:val="00482318"/>
    <w:rsid w:val="00482535"/>
    <w:rsid w:val="00482C06"/>
    <w:rsid w:val="00483834"/>
    <w:rsid w:val="004849BB"/>
    <w:rsid w:val="004857F6"/>
    <w:rsid w:val="00486538"/>
    <w:rsid w:val="004872CD"/>
    <w:rsid w:val="00487CBE"/>
    <w:rsid w:val="00490435"/>
    <w:rsid w:val="004906F1"/>
    <w:rsid w:val="00491910"/>
    <w:rsid w:val="00491E34"/>
    <w:rsid w:val="00491E97"/>
    <w:rsid w:val="00491FF0"/>
    <w:rsid w:val="00492FF4"/>
    <w:rsid w:val="00494197"/>
    <w:rsid w:val="00495EFC"/>
    <w:rsid w:val="00496C0E"/>
    <w:rsid w:val="00496F57"/>
    <w:rsid w:val="0049700C"/>
    <w:rsid w:val="00497632"/>
    <w:rsid w:val="00497735"/>
    <w:rsid w:val="00497834"/>
    <w:rsid w:val="004A05F3"/>
    <w:rsid w:val="004A114E"/>
    <w:rsid w:val="004A1D38"/>
    <w:rsid w:val="004A23D7"/>
    <w:rsid w:val="004A312B"/>
    <w:rsid w:val="004A36AE"/>
    <w:rsid w:val="004A398C"/>
    <w:rsid w:val="004A4024"/>
    <w:rsid w:val="004A4EAB"/>
    <w:rsid w:val="004A52F5"/>
    <w:rsid w:val="004A59E5"/>
    <w:rsid w:val="004B1D90"/>
    <w:rsid w:val="004B299D"/>
    <w:rsid w:val="004B301A"/>
    <w:rsid w:val="004B30D5"/>
    <w:rsid w:val="004B36F0"/>
    <w:rsid w:val="004B3D92"/>
    <w:rsid w:val="004B3FEC"/>
    <w:rsid w:val="004B5095"/>
    <w:rsid w:val="004B5240"/>
    <w:rsid w:val="004B59AF"/>
    <w:rsid w:val="004B7140"/>
    <w:rsid w:val="004C0182"/>
    <w:rsid w:val="004C04FB"/>
    <w:rsid w:val="004C0AE1"/>
    <w:rsid w:val="004C2C11"/>
    <w:rsid w:val="004C4043"/>
    <w:rsid w:val="004C4137"/>
    <w:rsid w:val="004C4C34"/>
    <w:rsid w:val="004C5F0D"/>
    <w:rsid w:val="004C64BF"/>
    <w:rsid w:val="004C67C1"/>
    <w:rsid w:val="004C77AD"/>
    <w:rsid w:val="004D04F5"/>
    <w:rsid w:val="004D17BF"/>
    <w:rsid w:val="004D2720"/>
    <w:rsid w:val="004D27D6"/>
    <w:rsid w:val="004D2B8C"/>
    <w:rsid w:val="004D3A83"/>
    <w:rsid w:val="004D5983"/>
    <w:rsid w:val="004D63F2"/>
    <w:rsid w:val="004D6E58"/>
    <w:rsid w:val="004E10E6"/>
    <w:rsid w:val="004E3D73"/>
    <w:rsid w:val="004E4CC7"/>
    <w:rsid w:val="004E4FEB"/>
    <w:rsid w:val="004E598D"/>
    <w:rsid w:val="004E5C77"/>
    <w:rsid w:val="004E675F"/>
    <w:rsid w:val="004E6943"/>
    <w:rsid w:val="004E7B0B"/>
    <w:rsid w:val="004F0B4E"/>
    <w:rsid w:val="004F0FBC"/>
    <w:rsid w:val="004F1109"/>
    <w:rsid w:val="004F1513"/>
    <w:rsid w:val="004F230B"/>
    <w:rsid w:val="004F2F7D"/>
    <w:rsid w:val="004F479C"/>
    <w:rsid w:val="004F56D8"/>
    <w:rsid w:val="005017A3"/>
    <w:rsid w:val="00502587"/>
    <w:rsid w:val="00502664"/>
    <w:rsid w:val="005026F9"/>
    <w:rsid w:val="00506D4B"/>
    <w:rsid w:val="005113B8"/>
    <w:rsid w:val="00511A60"/>
    <w:rsid w:val="005131D7"/>
    <w:rsid w:val="0051392B"/>
    <w:rsid w:val="00514C59"/>
    <w:rsid w:val="005163E8"/>
    <w:rsid w:val="00516BAD"/>
    <w:rsid w:val="0051712A"/>
    <w:rsid w:val="0052130C"/>
    <w:rsid w:val="0052175B"/>
    <w:rsid w:val="005217A0"/>
    <w:rsid w:val="00521F8C"/>
    <w:rsid w:val="00522073"/>
    <w:rsid w:val="00522C55"/>
    <w:rsid w:val="00522ED1"/>
    <w:rsid w:val="00525602"/>
    <w:rsid w:val="0052754A"/>
    <w:rsid w:val="00527CD1"/>
    <w:rsid w:val="00530465"/>
    <w:rsid w:val="00530C33"/>
    <w:rsid w:val="00530CAD"/>
    <w:rsid w:val="00531FEC"/>
    <w:rsid w:val="00532D6F"/>
    <w:rsid w:val="005330DD"/>
    <w:rsid w:val="005342D0"/>
    <w:rsid w:val="005369A9"/>
    <w:rsid w:val="00537C67"/>
    <w:rsid w:val="00537FA4"/>
    <w:rsid w:val="0054069D"/>
    <w:rsid w:val="005416C8"/>
    <w:rsid w:val="005440CB"/>
    <w:rsid w:val="00551401"/>
    <w:rsid w:val="00551C15"/>
    <w:rsid w:val="00552192"/>
    <w:rsid w:val="00552685"/>
    <w:rsid w:val="00552ED9"/>
    <w:rsid w:val="005560F0"/>
    <w:rsid w:val="005571AA"/>
    <w:rsid w:val="0055733F"/>
    <w:rsid w:val="0055792A"/>
    <w:rsid w:val="00561FED"/>
    <w:rsid w:val="00563912"/>
    <w:rsid w:val="00564601"/>
    <w:rsid w:val="005655FD"/>
    <w:rsid w:val="00566726"/>
    <w:rsid w:val="00566E33"/>
    <w:rsid w:val="005717A7"/>
    <w:rsid w:val="005722E5"/>
    <w:rsid w:val="0057285C"/>
    <w:rsid w:val="005733C9"/>
    <w:rsid w:val="00573FAF"/>
    <w:rsid w:val="00574098"/>
    <w:rsid w:val="0057593D"/>
    <w:rsid w:val="00575E69"/>
    <w:rsid w:val="005800A5"/>
    <w:rsid w:val="00581C1E"/>
    <w:rsid w:val="00582DD6"/>
    <w:rsid w:val="00582F79"/>
    <w:rsid w:val="00583688"/>
    <w:rsid w:val="00583C8B"/>
    <w:rsid w:val="00584336"/>
    <w:rsid w:val="005843B7"/>
    <w:rsid w:val="005852C9"/>
    <w:rsid w:val="00585CA2"/>
    <w:rsid w:val="0058626C"/>
    <w:rsid w:val="00586711"/>
    <w:rsid w:val="00587F5D"/>
    <w:rsid w:val="005909E4"/>
    <w:rsid w:val="00590B41"/>
    <w:rsid w:val="0059216D"/>
    <w:rsid w:val="005931E6"/>
    <w:rsid w:val="00593A3C"/>
    <w:rsid w:val="005940E9"/>
    <w:rsid w:val="00594BBA"/>
    <w:rsid w:val="00595B90"/>
    <w:rsid w:val="00595D37"/>
    <w:rsid w:val="0059796F"/>
    <w:rsid w:val="005A1D72"/>
    <w:rsid w:val="005A2272"/>
    <w:rsid w:val="005A358C"/>
    <w:rsid w:val="005A7B72"/>
    <w:rsid w:val="005A7BF4"/>
    <w:rsid w:val="005B214B"/>
    <w:rsid w:val="005B2D01"/>
    <w:rsid w:val="005B2EB5"/>
    <w:rsid w:val="005B367D"/>
    <w:rsid w:val="005B37FB"/>
    <w:rsid w:val="005B5A0A"/>
    <w:rsid w:val="005B657E"/>
    <w:rsid w:val="005B6A92"/>
    <w:rsid w:val="005C00C7"/>
    <w:rsid w:val="005C1784"/>
    <w:rsid w:val="005C2884"/>
    <w:rsid w:val="005C2D2C"/>
    <w:rsid w:val="005C3C3B"/>
    <w:rsid w:val="005C3D39"/>
    <w:rsid w:val="005C7472"/>
    <w:rsid w:val="005C74EF"/>
    <w:rsid w:val="005C799D"/>
    <w:rsid w:val="005C7F5F"/>
    <w:rsid w:val="005D1791"/>
    <w:rsid w:val="005D4D8A"/>
    <w:rsid w:val="005D686E"/>
    <w:rsid w:val="005D6EA9"/>
    <w:rsid w:val="005D71D1"/>
    <w:rsid w:val="005E09F6"/>
    <w:rsid w:val="005E0E19"/>
    <w:rsid w:val="005E122B"/>
    <w:rsid w:val="005E2C62"/>
    <w:rsid w:val="005E2EC4"/>
    <w:rsid w:val="005E31C4"/>
    <w:rsid w:val="005E3863"/>
    <w:rsid w:val="005E432F"/>
    <w:rsid w:val="005E43BF"/>
    <w:rsid w:val="005E4D69"/>
    <w:rsid w:val="005E5603"/>
    <w:rsid w:val="005E584D"/>
    <w:rsid w:val="005E7827"/>
    <w:rsid w:val="005F0AEA"/>
    <w:rsid w:val="005F1494"/>
    <w:rsid w:val="005F16EB"/>
    <w:rsid w:val="005F2B89"/>
    <w:rsid w:val="005F2E9C"/>
    <w:rsid w:val="005F40F4"/>
    <w:rsid w:val="005F48F4"/>
    <w:rsid w:val="005F6CCA"/>
    <w:rsid w:val="005F6CDF"/>
    <w:rsid w:val="0060015E"/>
    <w:rsid w:val="00600DED"/>
    <w:rsid w:val="00602738"/>
    <w:rsid w:val="00602CBE"/>
    <w:rsid w:val="00603886"/>
    <w:rsid w:val="00604DAB"/>
    <w:rsid w:val="006060F1"/>
    <w:rsid w:val="006063BC"/>
    <w:rsid w:val="00606477"/>
    <w:rsid w:val="0060666C"/>
    <w:rsid w:val="006070CE"/>
    <w:rsid w:val="00607415"/>
    <w:rsid w:val="00607873"/>
    <w:rsid w:val="00607BDA"/>
    <w:rsid w:val="00607D4A"/>
    <w:rsid w:val="00610DD6"/>
    <w:rsid w:val="00611569"/>
    <w:rsid w:val="00612A30"/>
    <w:rsid w:val="00612B41"/>
    <w:rsid w:val="006130D4"/>
    <w:rsid w:val="0061372C"/>
    <w:rsid w:val="00613943"/>
    <w:rsid w:val="00614285"/>
    <w:rsid w:val="006146CC"/>
    <w:rsid w:val="00616F27"/>
    <w:rsid w:val="00621F3E"/>
    <w:rsid w:val="006221E3"/>
    <w:rsid w:val="00623075"/>
    <w:rsid w:val="006231DA"/>
    <w:rsid w:val="0062465F"/>
    <w:rsid w:val="00624FF5"/>
    <w:rsid w:val="00625C64"/>
    <w:rsid w:val="00625FAF"/>
    <w:rsid w:val="00626846"/>
    <w:rsid w:val="00630D1A"/>
    <w:rsid w:val="0063222C"/>
    <w:rsid w:val="00632DE8"/>
    <w:rsid w:val="00633176"/>
    <w:rsid w:val="00634708"/>
    <w:rsid w:val="006348A3"/>
    <w:rsid w:val="00636B95"/>
    <w:rsid w:val="00637192"/>
    <w:rsid w:val="006371BF"/>
    <w:rsid w:val="00640A9B"/>
    <w:rsid w:val="00642ED9"/>
    <w:rsid w:val="0064394C"/>
    <w:rsid w:val="0064401F"/>
    <w:rsid w:val="00645259"/>
    <w:rsid w:val="00645A43"/>
    <w:rsid w:val="006464FB"/>
    <w:rsid w:val="00646E82"/>
    <w:rsid w:val="006470BC"/>
    <w:rsid w:val="0064767D"/>
    <w:rsid w:val="00650DE8"/>
    <w:rsid w:val="00651202"/>
    <w:rsid w:val="00651F05"/>
    <w:rsid w:val="006526CE"/>
    <w:rsid w:val="00652923"/>
    <w:rsid w:val="00652F30"/>
    <w:rsid w:val="0065349D"/>
    <w:rsid w:val="00654042"/>
    <w:rsid w:val="00654081"/>
    <w:rsid w:val="00654E2D"/>
    <w:rsid w:val="00660F1C"/>
    <w:rsid w:val="00661116"/>
    <w:rsid w:val="006615F2"/>
    <w:rsid w:val="00661B18"/>
    <w:rsid w:val="00663267"/>
    <w:rsid w:val="006640EE"/>
    <w:rsid w:val="006647A7"/>
    <w:rsid w:val="00664A8F"/>
    <w:rsid w:val="00665D51"/>
    <w:rsid w:val="00666FF1"/>
    <w:rsid w:val="006671AE"/>
    <w:rsid w:val="006706D2"/>
    <w:rsid w:val="00670737"/>
    <w:rsid w:val="0067099E"/>
    <w:rsid w:val="00671114"/>
    <w:rsid w:val="006730D6"/>
    <w:rsid w:val="00673533"/>
    <w:rsid w:val="00674586"/>
    <w:rsid w:val="00675CE6"/>
    <w:rsid w:val="006765EB"/>
    <w:rsid w:val="00676A86"/>
    <w:rsid w:val="00677410"/>
    <w:rsid w:val="00680602"/>
    <w:rsid w:val="00680FF9"/>
    <w:rsid w:val="006814B0"/>
    <w:rsid w:val="006833D3"/>
    <w:rsid w:val="00684AA1"/>
    <w:rsid w:val="00685672"/>
    <w:rsid w:val="006857D9"/>
    <w:rsid w:val="0068583F"/>
    <w:rsid w:val="006873A3"/>
    <w:rsid w:val="00690428"/>
    <w:rsid w:val="006919BE"/>
    <w:rsid w:val="00691E7B"/>
    <w:rsid w:val="0069241F"/>
    <w:rsid w:val="00693A50"/>
    <w:rsid w:val="00693B3B"/>
    <w:rsid w:val="0069476E"/>
    <w:rsid w:val="00694F36"/>
    <w:rsid w:val="0069532D"/>
    <w:rsid w:val="0069605E"/>
    <w:rsid w:val="006A16DC"/>
    <w:rsid w:val="006A1F74"/>
    <w:rsid w:val="006A23D8"/>
    <w:rsid w:val="006A34A1"/>
    <w:rsid w:val="006A34E5"/>
    <w:rsid w:val="006A4D01"/>
    <w:rsid w:val="006A51CA"/>
    <w:rsid w:val="006A5267"/>
    <w:rsid w:val="006A5D31"/>
    <w:rsid w:val="006A6A96"/>
    <w:rsid w:val="006A6C73"/>
    <w:rsid w:val="006B03FA"/>
    <w:rsid w:val="006B04A5"/>
    <w:rsid w:val="006B2395"/>
    <w:rsid w:val="006B309E"/>
    <w:rsid w:val="006B334E"/>
    <w:rsid w:val="006B39DC"/>
    <w:rsid w:val="006B5DAF"/>
    <w:rsid w:val="006B64B3"/>
    <w:rsid w:val="006B72E4"/>
    <w:rsid w:val="006B767B"/>
    <w:rsid w:val="006B773C"/>
    <w:rsid w:val="006C1525"/>
    <w:rsid w:val="006C1C99"/>
    <w:rsid w:val="006C205C"/>
    <w:rsid w:val="006C3044"/>
    <w:rsid w:val="006C3AF1"/>
    <w:rsid w:val="006C4EED"/>
    <w:rsid w:val="006C62D1"/>
    <w:rsid w:val="006C69B3"/>
    <w:rsid w:val="006C7533"/>
    <w:rsid w:val="006C7D96"/>
    <w:rsid w:val="006C7DFC"/>
    <w:rsid w:val="006D0EE9"/>
    <w:rsid w:val="006D2D9B"/>
    <w:rsid w:val="006D4799"/>
    <w:rsid w:val="006D501C"/>
    <w:rsid w:val="006D5036"/>
    <w:rsid w:val="006D5C59"/>
    <w:rsid w:val="006D62F9"/>
    <w:rsid w:val="006D64DD"/>
    <w:rsid w:val="006D69AE"/>
    <w:rsid w:val="006D6EB4"/>
    <w:rsid w:val="006D72A8"/>
    <w:rsid w:val="006D7300"/>
    <w:rsid w:val="006E042A"/>
    <w:rsid w:val="006E08CD"/>
    <w:rsid w:val="006E0B6B"/>
    <w:rsid w:val="006E1C79"/>
    <w:rsid w:val="006E1E45"/>
    <w:rsid w:val="006E2651"/>
    <w:rsid w:val="006E3553"/>
    <w:rsid w:val="006E5197"/>
    <w:rsid w:val="006E796C"/>
    <w:rsid w:val="006F07CA"/>
    <w:rsid w:val="006F6047"/>
    <w:rsid w:val="006F6B3E"/>
    <w:rsid w:val="006F7FB5"/>
    <w:rsid w:val="0070023E"/>
    <w:rsid w:val="007006D3"/>
    <w:rsid w:val="00701C84"/>
    <w:rsid w:val="007024F3"/>
    <w:rsid w:val="0070302B"/>
    <w:rsid w:val="007046B1"/>
    <w:rsid w:val="007051A6"/>
    <w:rsid w:val="00705B03"/>
    <w:rsid w:val="007063B9"/>
    <w:rsid w:val="00706A91"/>
    <w:rsid w:val="00707EE2"/>
    <w:rsid w:val="00710385"/>
    <w:rsid w:val="0071161E"/>
    <w:rsid w:val="00711779"/>
    <w:rsid w:val="00712C40"/>
    <w:rsid w:val="00713313"/>
    <w:rsid w:val="007139E0"/>
    <w:rsid w:val="00714B9C"/>
    <w:rsid w:val="00715470"/>
    <w:rsid w:val="0071630C"/>
    <w:rsid w:val="00717C29"/>
    <w:rsid w:val="0072022F"/>
    <w:rsid w:val="007202FA"/>
    <w:rsid w:val="00721006"/>
    <w:rsid w:val="0072221A"/>
    <w:rsid w:val="00722611"/>
    <w:rsid w:val="00722E06"/>
    <w:rsid w:val="0072325A"/>
    <w:rsid w:val="007238D9"/>
    <w:rsid w:val="00723A33"/>
    <w:rsid w:val="00723A9C"/>
    <w:rsid w:val="007245F6"/>
    <w:rsid w:val="0072475A"/>
    <w:rsid w:val="007250AD"/>
    <w:rsid w:val="007251C1"/>
    <w:rsid w:val="00726B1F"/>
    <w:rsid w:val="007306F0"/>
    <w:rsid w:val="007314C6"/>
    <w:rsid w:val="00735D0A"/>
    <w:rsid w:val="00736EEB"/>
    <w:rsid w:val="00737D47"/>
    <w:rsid w:val="0074082F"/>
    <w:rsid w:val="00740C5A"/>
    <w:rsid w:val="007414B9"/>
    <w:rsid w:val="007418C4"/>
    <w:rsid w:val="00741F18"/>
    <w:rsid w:val="007420B7"/>
    <w:rsid w:val="0074235D"/>
    <w:rsid w:val="0074261B"/>
    <w:rsid w:val="00742FBF"/>
    <w:rsid w:val="007432B1"/>
    <w:rsid w:val="00743EA6"/>
    <w:rsid w:val="00745B75"/>
    <w:rsid w:val="00745D63"/>
    <w:rsid w:val="00746BE1"/>
    <w:rsid w:val="00746E9B"/>
    <w:rsid w:val="00746F77"/>
    <w:rsid w:val="00747577"/>
    <w:rsid w:val="00747F44"/>
    <w:rsid w:val="00747FF3"/>
    <w:rsid w:val="00750236"/>
    <w:rsid w:val="00750841"/>
    <w:rsid w:val="00750F23"/>
    <w:rsid w:val="00751493"/>
    <w:rsid w:val="007529DE"/>
    <w:rsid w:val="00752DEE"/>
    <w:rsid w:val="00753A51"/>
    <w:rsid w:val="00754B58"/>
    <w:rsid w:val="00754BBE"/>
    <w:rsid w:val="007556A5"/>
    <w:rsid w:val="007557A9"/>
    <w:rsid w:val="0075626B"/>
    <w:rsid w:val="00756826"/>
    <w:rsid w:val="007573EB"/>
    <w:rsid w:val="0075763D"/>
    <w:rsid w:val="00757ADD"/>
    <w:rsid w:val="00757BAA"/>
    <w:rsid w:val="00760DAF"/>
    <w:rsid w:val="007612D5"/>
    <w:rsid w:val="00761304"/>
    <w:rsid w:val="00761A26"/>
    <w:rsid w:val="00762155"/>
    <w:rsid w:val="0076263E"/>
    <w:rsid w:val="007626EB"/>
    <w:rsid w:val="007633AC"/>
    <w:rsid w:val="00763A81"/>
    <w:rsid w:val="007655DB"/>
    <w:rsid w:val="00765992"/>
    <w:rsid w:val="00765EFA"/>
    <w:rsid w:val="00765F19"/>
    <w:rsid w:val="00766BEE"/>
    <w:rsid w:val="0076781E"/>
    <w:rsid w:val="00767CC7"/>
    <w:rsid w:val="00770D57"/>
    <w:rsid w:val="00771B83"/>
    <w:rsid w:val="00772623"/>
    <w:rsid w:val="00772CD7"/>
    <w:rsid w:val="00773A85"/>
    <w:rsid w:val="00774021"/>
    <w:rsid w:val="00775562"/>
    <w:rsid w:val="007757A2"/>
    <w:rsid w:val="00777A36"/>
    <w:rsid w:val="007803E6"/>
    <w:rsid w:val="00780458"/>
    <w:rsid w:val="007809D4"/>
    <w:rsid w:val="0078297C"/>
    <w:rsid w:val="00782CF7"/>
    <w:rsid w:val="00782EAA"/>
    <w:rsid w:val="0078333B"/>
    <w:rsid w:val="00784658"/>
    <w:rsid w:val="00784AD1"/>
    <w:rsid w:val="00784F26"/>
    <w:rsid w:val="0078794F"/>
    <w:rsid w:val="00790CD6"/>
    <w:rsid w:val="00790CDA"/>
    <w:rsid w:val="007913EA"/>
    <w:rsid w:val="00792E81"/>
    <w:rsid w:val="00793626"/>
    <w:rsid w:val="00796276"/>
    <w:rsid w:val="00796E70"/>
    <w:rsid w:val="00796F9A"/>
    <w:rsid w:val="0079733F"/>
    <w:rsid w:val="007A2E2C"/>
    <w:rsid w:val="007A3FDC"/>
    <w:rsid w:val="007A5E9A"/>
    <w:rsid w:val="007A640B"/>
    <w:rsid w:val="007A6844"/>
    <w:rsid w:val="007B1DA9"/>
    <w:rsid w:val="007B2A1E"/>
    <w:rsid w:val="007B3061"/>
    <w:rsid w:val="007B3218"/>
    <w:rsid w:val="007B3B39"/>
    <w:rsid w:val="007B4218"/>
    <w:rsid w:val="007B60E1"/>
    <w:rsid w:val="007B730B"/>
    <w:rsid w:val="007B7E81"/>
    <w:rsid w:val="007B7EB5"/>
    <w:rsid w:val="007B7EFF"/>
    <w:rsid w:val="007C0A11"/>
    <w:rsid w:val="007C1352"/>
    <w:rsid w:val="007C2057"/>
    <w:rsid w:val="007C21C2"/>
    <w:rsid w:val="007C29DF"/>
    <w:rsid w:val="007C35EE"/>
    <w:rsid w:val="007C3972"/>
    <w:rsid w:val="007C3B44"/>
    <w:rsid w:val="007C4090"/>
    <w:rsid w:val="007C47D4"/>
    <w:rsid w:val="007C494C"/>
    <w:rsid w:val="007C50D7"/>
    <w:rsid w:val="007C603E"/>
    <w:rsid w:val="007C7184"/>
    <w:rsid w:val="007C7F35"/>
    <w:rsid w:val="007D0C0A"/>
    <w:rsid w:val="007D2A26"/>
    <w:rsid w:val="007D32B8"/>
    <w:rsid w:val="007D4A96"/>
    <w:rsid w:val="007D7813"/>
    <w:rsid w:val="007D7AC2"/>
    <w:rsid w:val="007D7C78"/>
    <w:rsid w:val="007E1DA5"/>
    <w:rsid w:val="007E1F5F"/>
    <w:rsid w:val="007E362E"/>
    <w:rsid w:val="007E61ED"/>
    <w:rsid w:val="007E70A7"/>
    <w:rsid w:val="007E7740"/>
    <w:rsid w:val="007F0315"/>
    <w:rsid w:val="007F09AE"/>
    <w:rsid w:val="007F150E"/>
    <w:rsid w:val="007F1E67"/>
    <w:rsid w:val="007F276C"/>
    <w:rsid w:val="007F3540"/>
    <w:rsid w:val="007F3C9F"/>
    <w:rsid w:val="007F4A34"/>
    <w:rsid w:val="007F5A9A"/>
    <w:rsid w:val="007F6E11"/>
    <w:rsid w:val="007F6EA4"/>
    <w:rsid w:val="00800315"/>
    <w:rsid w:val="0080284E"/>
    <w:rsid w:val="00802C8D"/>
    <w:rsid w:val="00802F6F"/>
    <w:rsid w:val="00805B8B"/>
    <w:rsid w:val="008061DD"/>
    <w:rsid w:val="00806CC5"/>
    <w:rsid w:val="00806D0B"/>
    <w:rsid w:val="00814EE7"/>
    <w:rsid w:val="0081503E"/>
    <w:rsid w:val="00815C0C"/>
    <w:rsid w:val="00816225"/>
    <w:rsid w:val="0081790E"/>
    <w:rsid w:val="00817A38"/>
    <w:rsid w:val="00820D1B"/>
    <w:rsid w:val="008210A7"/>
    <w:rsid w:val="00821E6F"/>
    <w:rsid w:val="008222DE"/>
    <w:rsid w:val="00822EDC"/>
    <w:rsid w:val="008236D1"/>
    <w:rsid w:val="00823E1F"/>
    <w:rsid w:val="00830486"/>
    <w:rsid w:val="0083257F"/>
    <w:rsid w:val="008348FC"/>
    <w:rsid w:val="00834E38"/>
    <w:rsid w:val="00834E50"/>
    <w:rsid w:val="00834EE5"/>
    <w:rsid w:val="008351BA"/>
    <w:rsid w:val="00835345"/>
    <w:rsid w:val="00836845"/>
    <w:rsid w:val="008373BC"/>
    <w:rsid w:val="008379FC"/>
    <w:rsid w:val="00841B82"/>
    <w:rsid w:val="008427B8"/>
    <w:rsid w:val="0084348B"/>
    <w:rsid w:val="0084349E"/>
    <w:rsid w:val="00843F89"/>
    <w:rsid w:val="00844FAB"/>
    <w:rsid w:val="00845A30"/>
    <w:rsid w:val="00846B52"/>
    <w:rsid w:val="00846CE5"/>
    <w:rsid w:val="008502CE"/>
    <w:rsid w:val="0085093E"/>
    <w:rsid w:val="00850A42"/>
    <w:rsid w:val="0085100A"/>
    <w:rsid w:val="00851427"/>
    <w:rsid w:val="00851FCA"/>
    <w:rsid w:val="00854068"/>
    <w:rsid w:val="0085637F"/>
    <w:rsid w:val="008614E6"/>
    <w:rsid w:val="0086189E"/>
    <w:rsid w:val="00861F3B"/>
    <w:rsid w:val="0086289E"/>
    <w:rsid w:val="00864025"/>
    <w:rsid w:val="0086442E"/>
    <w:rsid w:val="00865028"/>
    <w:rsid w:val="00865DF4"/>
    <w:rsid w:val="00866B54"/>
    <w:rsid w:val="0086790C"/>
    <w:rsid w:val="00867DC8"/>
    <w:rsid w:val="008706C2"/>
    <w:rsid w:val="00870E37"/>
    <w:rsid w:val="00871943"/>
    <w:rsid w:val="008734EB"/>
    <w:rsid w:val="00873BA0"/>
    <w:rsid w:val="0087575B"/>
    <w:rsid w:val="00876879"/>
    <w:rsid w:val="0087702A"/>
    <w:rsid w:val="00877C97"/>
    <w:rsid w:val="00877DE7"/>
    <w:rsid w:val="00880936"/>
    <w:rsid w:val="008809A8"/>
    <w:rsid w:val="00880FEA"/>
    <w:rsid w:val="008820EC"/>
    <w:rsid w:val="00884359"/>
    <w:rsid w:val="0088505D"/>
    <w:rsid w:val="0088588A"/>
    <w:rsid w:val="00886430"/>
    <w:rsid w:val="008879C5"/>
    <w:rsid w:val="00890F96"/>
    <w:rsid w:val="0089261D"/>
    <w:rsid w:val="00892863"/>
    <w:rsid w:val="00892D72"/>
    <w:rsid w:val="00893ED3"/>
    <w:rsid w:val="0089589F"/>
    <w:rsid w:val="0089753E"/>
    <w:rsid w:val="00897ED6"/>
    <w:rsid w:val="008A116A"/>
    <w:rsid w:val="008A12BD"/>
    <w:rsid w:val="008A14CF"/>
    <w:rsid w:val="008A23D0"/>
    <w:rsid w:val="008A2C93"/>
    <w:rsid w:val="008A3068"/>
    <w:rsid w:val="008A3076"/>
    <w:rsid w:val="008A34F4"/>
    <w:rsid w:val="008A4E20"/>
    <w:rsid w:val="008A5ED2"/>
    <w:rsid w:val="008A6CD7"/>
    <w:rsid w:val="008A732C"/>
    <w:rsid w:val="008A7EF3"/>
    <w:rsid w:val="008B05BF"/>
    <w:rsid w:val="008B2D16"/>
    <w:rsid w:val="008B3732"/>
    <w:rsid w:val="008B38DC"/>
    <w:rsid w:val="008B4ED7"/>
    <w:rsid w:val="008B721A"/>
    <w:rsid w:val="008C0DBE"/>
    <w:rsid w:val="008C21A1"/>
    <w:rsid w:val="008C251B"/>
    <w:rsid w:val="008C27D6"/>
    <w:rsid w:val="008C42C6"/>
    <w:rsid w:val="008C4606"/>
    <w:rsid w:val="008C563B"/>
    <w:rsid w:val="008C64B2"/>
    <w:rsid w:val="008C7454"/>
    <w:rsid w:val="008C7B9F"/>
    <w:rsid w:val="008D0B76"/>
    <w:rsid w:val="008D2627"/>
    <w:rsid w:val="008D423A"/>
    <w:rsid w:val="008D6886"/>
    <w:rsid w:val="008D7532"/>
    <w:rsid w:val="008D767D"/>
    <w:rsid w:val="008E08DC"/>
    <w:rsid w:val="008E0C73"/>
    <w:rsid w:val="008E13BF"/>
    <w:rsid w:val="008E224F"/>
    <w:rsid w:val="008E252B"/>
    <w:rsid w:val="008E298A"/>
    <w:rsid w:val="008E4D9F"/>
    <w:rsid w:val="008E52E9"/>
    <w:rsid w:val="008E5B8F"/>
    <w:rsid w:val="008E6441"/>
    <w:rsid w:val="008E715E"/>
    <w:rsid w:val="008E735C"/>
    <w:rsid w:val="008E7395"/>
    <w:rsid w:val="008E7F96"/>
    <w:rsid w:val="008F1A88"/>
    <w:rsid w:val="008F2CC6"/>
    <w:rsid w:val="008F2DE2"/>
    <w:rsid w:val="008F3EBB"/>
    <w:rsid w:val="008F4C37"/>
    <w:rsid w:val="009001E6"/>
    <w:rsid w:val="00900991"/>
    <w:rsid w:val="00900A91"/>
    <w:rsid w:val="00900BD2"/>
    <w:rsid w:val="00901468"/>
    <w:rsid w:val="00902089"/>
    <w:rsid w:val="00904417"/>
    <w:rsid w:val="00910739"/>
    <w:rsid w:val="00910958"/>
    <w:rsid w:val="00911C03"/>
    <w:rsid w:val="00911C2B"/>
    <w:rsid w:val="00911E9A"/>
    <w:rsid w:val="0091218A"/>
    <w:rsid w:val="00912CB6"/>
    <w:rsid w:val="00914565"/>
    <w:rsid w:val="009153D6"/>
    <w:rsid w:val="009161AD"/>
    <w:rsid w:val="0091664B"/>
    <w:rsid w:val="00920922"/>
    <w:rsid w:val="009210E8"/>
    <w:rsid w:val="009214E2"/>
    <w:rsid w:val="009219B6"/>
    <w:rsid w:val="009229E9"/>
    <w:rsid w:val="00922DFE"/>
    <w:rsid w:val="0092314D"/>
    <w:rsid w:val="009232BF"/>
    <w:rsid w:val="00924811"/>
    <w:rsid w:val="00924893"/>
    <w:rsid w:val="00924EA1"/>
    <w:rsid w:val="009269C2"/>
    <w:rsid w:val="00931630"/>
    <w:rsid w:val="00931A1C"/>
    <w:rsid w:val="00931DD1"/>
    <w:rsid w:val="0093378B"/>
    <w:rsid w:val="00935A12"/>
    <w:rsid w:val="00936427"/>
    <w:rsid w:val="00940012"/>
    <w:rsid w:val="00940813"/>
    <w:rsid w:val="0094276D"/>
    <w:rsid w:val="00944EE1"/>
    <w:rsid w:val="00945F64"/>
    <w:rsid w:val="009465E2"/>
    <w:rsid w:val="00947082"/>
    <w:rsid w:val="00950853"/>
    <w:rsid w:val="009509FF"/>
    <w:rsid w:val="00950A07"/>
    <w:rsid w:val="00950C1D"/>
    <w:rsid w:val="00950DF2"/>
    <w:rsid w:val="0095107B"/>
    <w:rsid w:val="009521CF"/>
    <w:rsid w:val="00953428"/>
    <w:rsid w:val="00954419"/>
    <w:rsid w:val="00955E2A"/>
    <w:rsid w:val="009566CE"/>
    <w:rsid w:val="00956CDA"/>
    <w:rsid w:val="00960A82"/>
    <w:rsid w:val="00960BFF"/>
    <w:rsid w:val="00962456"/>
    <w:rsid w:val="00963BC6"/>
    <w:rsid w:val="00963CEA"/>
    <w:rsid w:val="0096500D"/>
    <w:rsid w:val="00967B6F"/>
    <w:rsid w:val="0097486A"/>
    <w:rsid w:val="00974C6C"/>
    <w:rsid w:val="00975012"/>
    <w:rsid w:val="00975720"/>
    <w:rsid w:val="00975DB7"/>
    <w:rsid w:val="00975F3E"/>
    <w:rsid w:val="00976612"/>
    <w:rsid w:val="00977BB9"/>
    <w:rsid w:val="009813F3"/>
    <w:rsid w:val="00982E22"/>
    <w:rsid w:val="009837AB"/>
    <w:rsid w:val="00986FEF"/>
    <w:rsid w:val="00987453"/>
    <w:rsid w:val="00987787"/>
    <w:rsid w:val="00990501"/>
    <w:rsid w:val="00990B08"/>
    <w:rsid w:val="00990E52"/>
    <w:rsid w:val="00990EFB"/>
    <w:rsid w:val="00992C0B"/>
    <w:rsid w:val="00993BCB"/>
    <w:rsid w:val="00993D09"/>
    <w:rsid w:val="00993E13"/>
    <w:rsid w:val="00994DA5"/>
    <w:rsid w:val="00994EC4"/>
    <w:rsid w:val="00995812"/>
    <w:rsid w:val="00995AEB"/>
    <w:rsid w:val="00995BD9"/>
    <w:rsid w:val="00995DE3"/>
    <w:rsid w:val="00995E58"/>
    <w:rsid w:val="00996170"/>
    <w:rsid w:val="00996286"/>
    <w:rsid w:val="0099659C"/>
    <w:rsid w:val="009973E5"/>
    <w:rsid w:val="009A178C"/>
    <w:rsid w:val="009A42FB"/>
    <w:rsid w:val="009A4799"/>
    <w:rsid w:val="009A56EF"/>
    <w:rsid w:val="009A5798"/>
    <w:rsid w:val="009A5B4D"/>
    <w:rsid w:val="009A6289"/>
    <w:rsid w:val="009A651F"/>
    <w:rsid w:val="009A6CB4"/>
    <w:rsid w:val="009A76A1"/>
    <w:rsid w:val="009A79BF"/>
    <w:rsid w:val="009B042D"/>
    <w:rsid w:val="009B24B3"/>
    <w:rsid w:val="009B27C4"/>
    <w:rsid w:val="009B2D07"/>
    <w:rsid w:val="009B2E40"/>
    <w:rsid w:val="009B42A6"/>
    <w:rsid w:val="009B5070"/>
    <w:rsid w:val="009B5153"/>
    <w:rsid w:val="009B60D9"/>
    <w:rsid w:val="009B677C"/>
    <w:rsid w:val="009C0233"/>
    <w:rsid w:val="009C3540"/>
    <w:rsid w:val="009C416F"/>
    <w:rsid w:val="009C4B02"/>
    <w:rsid w:val="009C4B67"/>
    <w:rsid w:val="009C60E3"/>
    <w:rsid w:val="009C6FE1"/>
    <w:rsid w:val="009C71D4"/>
    <w:rsid w:val="009D01D4"/>
    <w:rsid w:val="009D0BD4"/>
    <w:rsid w:val="009D175A"/>
    <w:rsid w:val="009D297F"/>
    <w:rsid w:val="009D2FF1"/>
    <w:rsid w:val="009D53EF"/>
    <w:rsid w:val="009D5833"/>
    <w:rsid w:val="009E1B05"/>
    <w:rsid w:val="009E2925"/>
    <w:rsid w:val="009E3E72"/>
    <w:rsid w:val="009E4D16"/>
    <w:rsid w:val="009E5458"/>
    <w:rsid w:val="009E5547"/>
    <w:rsid w:val="009E57E2"/>
    <w:rsid w:val="009E69B3"/>
    <w:rsid w:val="009E7A86"/>
    <w:rsid w:val="009E7C02"/>
    <w:rsid w:val="009E7CEB"/>
    <w:rsid w:val="009F269B"/>
    <w:rsid w:val="009F3F52"/>
    <w:rsid w:val="009F48A3"/>
    <w:rsid w:val="009F5813"/>
    <w:rsid w:val="009F669B"/>
    <w:rsid w:val="009F7088"/>
    <w:rsid w:val="009F7ADC"/>
    <w:rsid w:val="009F7E49"/>
    <w:rsid w:val="00A00F78"/>
    <w:rsid w:val="00A02A1A"/>
    <w:rsid w:val="00A02F00"/>
    <w:rsid w:val="00A0319E"/>
    <w:rsid w:val="00A032D6"/>
    <w:rsid w:val="00A034A5"/>
    <w:rsid w:val="00A0365D"/>
    <w:rsid w:val="00A04760"/>
    <w:rsid w:val="00A0511A"/>
    <w:rsid w:val="00A06F09"/>
    <w:rsid w:val="00A07979"/>
    <w:rsid w:val="00A11EDC"/>
    <w:rsid w:val="00A122F5"/>
    <w:rsid w:val="00A1427E"/>
    <w:rsid w:val="00A143FA"/>
    <w:rsid w:val="00A15ACE"/>
    <w:rsid w:val="00A1790B"/>
    <w:rsid w:val="00A17FC9"/>
    <w:rsid w:val="00A20304"/>
    <w:rsid w:val="00A209EB"/>
    <w:rsid w:val="00A21194"/>
    <w:rsid w:val="00A21377"/>
    <w:rsid w:val="00A22551"/>
    <w:rsid w:val="00A232D8"/>
    <w:rsid w:val="00A237CA"/>
    <w:rsid w:val="00A238B4"/>
    <w:rsid w:val="00A23D1C"/>
    <w:rsid w:val="00A23E40"/>
    <w:rsid w:val="00A24059"/>
    <w:rsid w:val="00A2479A"/>
    <w:rsid w:val="00A24990"/>
    <w:rsid w:val="00A2598B"/>
    <w:rsid w:val="00A25C52"/>
    <w:rsid w:val="00A26DEE"/>
    <w:rsid w:val="00A271AB"/>
    <w:rsid w:val="00A272EF"/>
    <w:rsid w:val="00A27524"/>
    <w:rsid w:val="00A325F7"/>
    <w:rsid w:val="00A32EBF"/>
    <w:rsid w:val="00A32F07"/>
    <w:rsid w:val="00A33982"/>
    <w:rsid w:val="00A35039"/>
    <w:rsid w:val="00A35B69"/>
    <w:rsid w:val="00A37038"/>
    <w:rsid w:val="00A37DEA"/>
    <w:rsid w:val="00A4164A"/>
    <w:rsid w:val="00A42700"/>
    <w:rsid w:val="00A4379F"/>
    <w:rsid w:val="00A43D51"/>
    <w:rsid w:val="00A45E51"/>
    <w:rsid w:val="00A46112"/>
    <w:rsid w:val="00A46507"/>
    <w:rsid w:val="00A467BD"/>
    <w:rsid w:val="00A46A73"/>
    <w:rsid w:val="00A50116"/>
    <w:rsid w:val="00A519A4"/>
    <w:rsid w:val="00A527BB"/>
    <w:rsid w:val="00A545B5"/>
    <w:rsid w:val="00A54ABB"/>
    <w:rsid w:val="00A554C0"/>
    <w:rsid w:val="00A55CFE"/>
    <w:rsid w:val="00A5678A"/>
    <w:rsid w:val="00A56AAD"/>
    <w:rsid w:val="00A570A3"/>
    <w:rsid w:val="00A61990"/>
    <w:rsid w:val="00A6249D"/>
    <w:rsid w:val="00A62957"/>
    <w:rsid w:val="00A62D0A"/>
    <w:rsid w:val="00A64A5B"/>
    <w:rsid w:val="00A64EF5"/>
    <w:rsid w:val="00A652AA"/>
    <w:rsid w:val="00A67531"/>
    <w:rsid w:val="00A704A1"/>
    <w:rsid w:val="00A70DE6"/>
    <w:rsid w:val="00A70E86"/>
    <w:rsid w:val="00A71579"/>
    <w:rsid w:val="00A71A58"/>
    <w:rsid w:val="00A71A9A"/>
    <w:rsid w:val="00A7219B"/>
    <w:rsid w:val="00A73868"/>
    <w:rsid w:val="00A73CDA"/>
    <w:rsid w:val="00A74138"/>
    <w:rsid w:val="00A7517D"/>
    <w:rsid w:val="00A75419"/>
    <w:rsid w:val="00A76D7F"/>
    <w:rsid w:val="00A770BF"/>
    <w:rsid w:val="00A77310"/>
    <w:rsid w:val="00A77894"/>
    <w:rsid w:val="00A8060A"/>
    <w:rsid w:val="00A80A5B"/>
    <w:rsid w:val="00A82B13"/>
    <w:rsid w:val="00A82C56"/>
    <w:rsid w:val="00A82EAC"/>
    <w:rsid w:val="00A83A39"/>
    <w:rsid w:val="00A841DA"/>
    <w:rsid w:val="00A84E72"/>
    <w:rsid w:val="00A861E5"/>
    <w:rsid w:val="00A8702B"/>
    <w:rsid w:val="00A8704A"/>
    <w:rsid w:val="00A904D9"/>
    <w:rsid w:val="00A91BC5"/>
    <w:rsid w:val="00A92C21"/>
    <w:rsid w:val="00A92E8C"/>
    <w:rsid w:val="00A93826"/>
    <w:rsid w:val="00A93D5C"/>
    <w:rsid w:val="00A96707"/>
    <w:rsid w:val="00A96DE7"/>
    <w:rsid w:val="00A97723"/>
    <w:rsid w:val="00A978E8"/>
    <w:rsid w:val="00AA130D"/>
    <w:rsid w:val="00AA3D20"/>
    <w:rsid w:val="00AA4F05"/>
    <w:rsid w:val="00AA5F1E"/>
    <w:rsid w:val="00AA5FA4"/>
    <w:rsid w:val="00AA70EF"/>
    <w:rsid w:val="00AB07D3"/>
    <w:rsid w:val="00AB1EC9"/>
    <w:rsid w:val="00AB1EDA"/>
    <w:rsid w:val="00AB2828"/>
    <w:rsid w:val="00AB301A"/>
    <w:rsid w:val="00AB32B5"/>
    <w:rsid w:val="00AB33F4"/>
    <w:rsid w:val="00AB362D"/>
    <w:rsid w:val="00AB3CF6"/>
    <w:rsid w:val="00AB4B1D"/>
    <w:rsid w:val="00AB5F62"/>
    <w:rsid w:val="00AB7D21"/>
    <w:rsid w:val="00AC0C96"/>
    <w:rsid w:val="00AC11C2"/>
    <w:rsid w:val="00AC11C6"/>
    <w:rsid w:val="00AC1650"/>
    <w:rsid w:val="00AC38EB"/>
    <w:rsid w:val="00AC44AC"/>
    <w:rsid w:val="00AC6A07"/>
    <w:rsid w:val="00AC740F"/>
    <w:rsid w:val="00AC74D3"/>
    <w:rsid w:val="00AC7CA4"/>
    <w:rsid w:val="00AD0441"/>
    <w:rsid w:val="00AD11D6"/>
    <w:rsid w:val="00AD17A8"/>
    <w:rsid w:val="00AD2C95"/>
    <w:rsid w:val="00AD4FC0"/>
    <w:rsid w:val="00AD53C7"/>
    <w:rsid w:val="00AD5CA6"/>
    <w:rsid w:val="00AD6454"/>
    <w:rsid w:val="00AD66A4"/>
    <w:rsid w:val="00AD71B4"/>
    <w:rsid w:val="00AD7F5D"/>
    <w:rsid w:val="00AD7F66"/>
    <w:rsid w:val="00AE087D"/>
    <w:rsid w:val="00AE26F1"/>
    <w:rsid w:val="00AE2EA2"/>
    <w:rsid w:val="00AE33A5"/>
    <w:rsid w:val="00AE4C1D"/>
    <w:rsid w:val="00AE5822"/>
    <w:rsid w:val="00AE590F"/>
    <w:rsid w:val="00AE7AE4"/>
    <w:rsid w:val="00AF11F8"/>
    <w:rsid w:val="00AF3D86"/>
    <w:rsid w:val="00AF3DF8"/>
    <w:rsid w:val="00AF4A54"/>
    <w:rsid w:val="00AF634C"/>
    <w:rsid w:val="00AF647B"/>
    <w:rsid w:val="00AF6EA1"/>
    <w:rsid w:val="00AF77DD"/>
    <w:rsid w:val="00AF7E21"/>
    <w:rsid w:val="00B00068"/>
    <w:rsid w:val="00B00405"/>
    <w:rsid w:val="00B0128F"/>
    <w:rsid w:val="00B01435"/>
    <w:rsid w:val="00B02D12"/>
    <w:rsid w:val="00B02DB2"/>
    <w:rsid w:val="00B04A79"/>
    <w:rsid w:val="00B04C25"/>
    <w:rsid w:val="00B068EB"/>
    <w:rsid w:val="00B10CA1"/>
    <w:rsid w:val="00B12513"/>
    <w:rsid w:val="00B14389"/>
    <w:rsid w:val="00B156CB"/>
    <w:rsid w:val="00B15B83"/>
    <w:rsid w:val="00B16D3F"/>
    <w:rsid w:val="00B171E1"/>
    <w:rsid w:val="00B172F1"/>
    <w:rsid w:val="00B235D1"/>
    <w:rsid w:val="00B251D5"/>
    <w:rsid w:val="00B25280"/>
    <w:rsid w:val="00B262E1"/>
    <w:rsid w:val="00B26F23"/>
    <w:rsid w:val="00B275D6"/>
    <w:rsid w:val="00B2765D"/>
    <w:rsid w:val="00B318AB"/>
    <w:rsid w:val="00B33EE5"/>
    <w:rsid w:val="00B35525"/>
    <w:rsid w:val="00B35F45"/>
    <w:rsid w:val="00B363CB"/>
    <w:rsid w:val="00B41339"/>
    <w:rsid w:val="00B41A3A"/>
    <w:rsid w:val="00B4391C"/>
    <w:rsid w:val="00B450CD"/>
    <w:rsid w:val="00B4551B"/>
    <w:rsid w:val="00B45FF3"/>
    <w:rsid w:val="00B508E4"/>
    <w:rsid w:val="00B50C9F"/>
    <w:rsid w:val="00B51A62"/>
    <w:rsid w:val="00B51F0A"/>
    <w:rsid w:val="00B51F75"/>
    <w:rsid w:val="00B52F7E"/>
    <w:rsid w:val="00B5362F"/>
    <w:rsid w:val="00B54A77"/>
    <w:rsid w:val="00B54D2E"/>
    <w:rsid w:val="00B5545A"/>
    <w:rsid w:val="00B55B61"/>
    <w:rsid w:val="00B6069E"/>
    <w:rsid w:val="00B61E92"/>
    <w:rsid w:val="00B62C8C"/>
    <w:rsid w:val="00B64025"/>
    <w:rsid w:val="00B6429B"/>
    <w:rsid w:val="00B65539"/>
    <w:rsid w:val="00B67367"/>
    <w:rsid w:val="00B700DC"/>
    <w:rsid w:val="00B70328"/>
    <w:rsid w:val="00B72409"/>
    <w:rsid w:val="00B730B9"/>
    <w:rsid w:val="00B737AB"/>
    <w:rsid w:val="00B73C52"/>
    <w:rsid w:val="00B75612"/>
    <w:rsid w:val="00B76261"/>
    <w:rsid w:val="00B77EA5"/>
    <w:rsid w:val="00B82CC5"/>
    <w:rsid w:val="00B833A2"/>
    <w:rsid w:val="00B836B6"/>
    <w:rsid w:val="00B84435"/>
    <w:rsid w:val="00B86487"/>
    <w:rsid w:val="00B866C5"/>
    <w:rsid w:val="00B86A42"/>
    <w:rsid w:val="00B87A4A"/>
    <w:rsid w:val="00B90700"/>
    <w:rsid w:val="00B9314A"/>
    <w:rsid w:val="00B93639"/>
    <w:rsid w:val="00B94513"/>
    <w:rsid w:val="00B95F0C"/>
    <w:rsid w:val="00B966D7"/>
    <w:rsid w:val="00B96C65"/>
    <w:rsid w:val="00B97E8B"/>
    <w:rsid w:val="00BA0076"/>
    <w:rsid w:val="00BA0079"/>
    <w:rsid w:val="00BA04AC"/>
    <w:rsid w:val="00BA4D96"/>
    <w:rsid w:val="00BA6DF5"/>
    <w:rsid w:val="00BA736F"/>
    <w:rsid w:val="00BB078B"/>
    <w:rsid w:val="00BB08AD"/>
    <w:rsid w:val="00BB0A88"/>
    <w:rsid w:val="00BB0DD6"/>
    <w:rsid w:val="00BB0F97"/>
    <w:rsid w:val="00BB1249"/>
    <w:rsid w:val="00BB269D"/>
    <w:rsid w:val="00BB2EF5"/>
    <w:rsid w:val="00BB3126"/>
    <w:rsid w:val="00BB31E4"/>
    <w:rsid w:val="00BB4B62"/>
    <w:rsid w:val="00BB668E"/>
    <w:rsid w:val="00BB6B53"/>
    <w:rsid w:val="00BB79AE"/>
    <w:rsid w:val="00BC02EE"/>
    <w:rsid w:val="00BC1933"/>
    <w:rsid w:val="00BC198B"/>
    <w:rsid w:val="00BC2B58"/>
    <w:rsid w:val="00BC354A"/>
    <w:rsid w:val="00BC3BC3"/>
    <w:rsid w:val="00BC40E8"/>
    <w:rsid w:val="00BC410C"/>
    <w:rsid w:val="00BC44E0"/>
    <w:rsid w:val="00BC48AC"/>
    <w:rsid w:val="00BC5FD0"/>
    <w:rsid w:val="00BC60A1"/>
    <w:rsid w:val="00BC68F5"/>
    <w:rsid w:val="00BC6D20"/>
    <w:rsid w:val="00BD03DB"/>
    <w:rsid w:val="00BD0894"/>
    <w:rsid w:val="00BD21A2"/>
    <w:rsid w:val="00BD2EE0"/>
    <w:rsid w:val="00BD35D2"/>
    <w:rsid w:val="00BD3D4E"/>
    <w:rsid w:val="00BD4AAA"/>
    <w:rsid w:val="00BD5EFD"/>
    <w:rsid w:val="00BD67B1"/>
    <w:rsid w:val="00BD702F"/>
    <w:rsid w:val="00BD7BB3"/>
    <w:rsid w:val="00BE0A55"/>
    <w:rsid w:val="00BE381E"/>
    <w:rsid w:val="00BE3BA2"/>
    <w:rsid w:val="00BE79DE"/>
    <w:rsid w:val="00BF1357"/>
    <w:rsid w:val="00BF1F5D"/>
    <w:rsid w:val="00BF2ACB"/>
    <w:rsid w:val="00BF36A6"/>
    <w:rsid w:val="00BF3DD2"/>
    <w:rsid w:val="00BF44C7"/>
    <w:rsid w:val="00BF4B82"/>
    <w:rsid w:val="00BF59C3"/>
    <w:rsid w:val="00BF615E"/>
    <w:rsid w:val="00BF65F9"/>
    <w:rsid w:val="00BF6BE0"/>
    <w:rsid w:val="00BF6E3B"/>
    <w:rsid w:val="00BF7196"/>
    <w:rsid w:val="00C018AC"/>
    <w:rsid w:val="00C018AF"/>
    <w:rsid w:val="00C01B67"/>
    <w:rsid w:val="00C02383"/>
    <w:rsid w:val="00C0350E"/>
    <w:rsid w:val="00C0404E"/>
    <w:rsid w:val="00C0432E"/>
    <w:rsid w:val="00C046ED"/>
    <w:rsid w:val="00C051D4"/>
    <w:rsid w:val="00C1341B"/>
    <w:rsid w:val="00C157DB"/>
    <w:rsid w:val="00C17469"/>
    <w:rsid w:val="00C1751F"/>
    <w:rsid w:val="00C1783A"/>
    <w:rsid w:val="00C20342"/>
    <w:rsid w:val="00C20B8C"/>
    <w:rsid w:val="00C21972"/>
    <w:rsid w:val="00C24898"/>
    <w:rsid w:val="00C2504B"/>
    <w:rsid w:val="00C25A5A"/>
    <w:rsid w:val="00C25CD8"/>
    <w:rsid w:val="00C26F7E"/>
    <w:rsid w:val="00C2740C"/>
    <w:rsid w:val="00C27E63"/>
    <w:rsid w:val="00C30705"/>
    <w:rsid w:val="00C31031"/>
    <w:rsid w:val="00C3151A"/>
    <w:rsid w:val="00C335D8"/>
    <w:rsid w:val="00C37075"/>
    <w:rsid w:val="00C40C53"/>
    <w:rsid w:val="00C40F0A"/>
    <w:rsid w:val="00C41629"/>
    <w:rsid w:val="00C41E44"/>
    <w:rsid w:val="00C42F4F"/>
    <w:rsid w:val="00C431EE"/>
    <w:rsid w:val="00C439DA"/>
    <w:rsid w:val="00C43CA0"/>
    <w:rsid w:val="00C44273"/>
    <w:rsid w:val="00C44BD3"/>
    <w:rsid w:val="00C455ED"/>
    <w:rsid w:val="00C4675E"/>
    <w:rsid w:val="00C5019A"/>
    <w:rsid w:val="00C516FD"/>
    <w:rsid w:val="00C52A2E"/>
    <w:rsid w:val="00C54211"/>
    <w:rsid w:val="00C542EE"/>
    <w:rsid w:val="00C54550"/>
    <w:rsid w:val="00C546E4"/>
    <w:rsid w:val="00C54A33"/>
    <w:rsid w:val="00C54CE4"/>
    <w:rsid w:val="00C57F47"/>
    <w:rsid w:val="00C637B7"/>
    <w:rsid w:val="00C63BB4"/>
    <w:rsid w:val="00C6598D"/>
    <w:rsid w:val="00C669E0"/>
    <w:rsid w:val="00C671C8"/>
    <w:rsid w:val="00C705D3"/>
    <w:rsid w:val="00C71575"/>
    <w:rsid w:val="00C7499C"/>
    <w:rsid w:val="00C749E4"/>
    <w:rsid w:val="00C7549A"/>
    <w:rsid w:val="00C77043"/>
    <w:rsid w:val="00C80169"/>
    <w:rsid w:val="00C80401"/>
    <w:rsid w:val="00C809C1"/>
    <w:rsid w:val="00C831E4"/>
    <w:rsid w:val="00C836AA"/>
    <w:rsid w:val="00C84C2C"/>
    <w:rsid w:val="00C85A21"/>
    <w:rsid w:val="00C86634"/>
    <w:rsid w:val="00C86677"/>
    <w:rsid w:val="00C874D9"/>
    <w:rsid w:val="00C87516"/>
    <w:rsid w:val="00C87E49"/>
    <w:rsid w:val="00C9078D"/>
    <w:rsid w:val="00C937B5"/>
    <w:rsid w:val="00C93B03"/>
    <w:rsid w:val="00C93D77"/>
    <w:rsid w:val="00C93D97"/>
    <w:rsid w:val="00C95BF9"/>
    <w:rsid w:val="00C961EB"/>
    <w:rsid w:val="00C96760"/>
    <w:rsid w:val="00C9780D"/>
    <w:rsid w:val="00C97C8B"/>
    <w:rsid w:val="00CA11D8"/>
    <w:rsid w:val="00CA199D"/>
    <w:rsid w:val="00CA2711"/>
    <w:rsid w:val="00CA36D4"/>
    <w:rsid w:val="00CA376A"/>
    <w:rsid w:val="00CA3BBF"/>
    <w:rsid w:val="00CA3EE2"/>
    <w:rsid w:val="00CA41F7"/>
    <w:rsid w:val="00CB0163"/>
    <w:rsid w:val="00CB231B"/>
    <w:rsid w:val="00CB32A2"/>
    <w:rsid w:val="00CB32BF"/>
    <w:rsid w:val="00CB3478"/>
    <w:rsid w:val="00CB36D5"/>
    <w:rsid w:val="00CB3811"/>
    <w:rsid w:val="00CB682D"/>
    <w:rsid w:val="00CC0AEE"/>
    <w:rsid w:val="00CC114D"/>
    <w:rsid w:val="00CC1FBA"/>
    <w:rsid w:val="00CC300F"/>
    <w:rsid w:val="00CC32D2"/>
    <w:rsid w:val="00CC3B4E"/>
    <w:rsid w:val="00CC3C1F"/>
    <w:rsid w:val="00CC4392"/>
    <w:rsid w:val="00CC4CC5"/>
    <w:rsid w:val="00CC4D58"/>
    <w:rsid w:val="00CC53D6"/>
    <w:rsid w:val="00CC590E"/>
    <w:rsid w:val="00CC5D36"/>
    <w:rsid w:val="00CC5ED3"/>
    <w:rsid w:val="00CC6298"/>
    <w:rsid w:val="00CC7A3C"/>
    <w:rsid w:val="00CD0094"/>
    <w:rsid w:val="00CD01F9"/>
    <w:rsid w:val="00CD0EFA"/>
    <w:rsid w:val="00CD0F10"/>
    <w:rsid w:val="00CD173E"/>
    <w:rsid w:val="00CD276C"/>
    <w:rsid w:val="00CD2865"/>
    <w:rsid w:val="00CD5AE0"/>
    <w:rsid w:val="00CD7409"/>
    <w:rsid w:val="00CD7CCD"/>
    <w:rsid w:val="00CE0587"/>
    <w:rsid w:val="00CE15AD"/>
    <w:rsid w:val="00CE1B91"/>
    <w:rsid w:val="00CE2BCD"/>
    <w:rsid w:val="00CF0257"/>
    <w:rsid w:val="00CF02A4"/>
    <w:rsid w:val="00CF0D3E"/>
    <w:rsid w:val="00CF1574"/>
    <w:rsid w:val="00CF2587"/>
    <w:rsid w:val="00CF3DC0"/>
    <w:rsid w:val="00CF43FC"/>
    <w:rsid w:val="00CF5189"/>
    <w:rsid w:val="00CF550B"/>
    <w:rsid w:val="00CF6A32"/>
    <w:rsid w:val="00CF6C41"/>
    <w:rsid w:val="00CF73F2"/>
    <w:rsid w:val="00CF7C33"/>
    <w:rsid w:val="00D00ACB"/>
    <w:rsid w:val="00D02C27"/>
    <w:rsid w:val="00D036C9"/>
    <w:rsid w:val="00D047E9"/>
    <w:rsid w:val="00D04C3B"/>
    <w:rsid w:val="00D04DD5"/>
    <w:rsid w:val="00D064F8"/>
    <w:rsid w:val="00D06D32"/>
    <w:rsid w:val="00D10BF6"/>
    <w:rsid w:val="00D13F74"/>
    <w:rsid w:val="00D142B7"/>
    <w:rsid w:val="00D15715"/>
    <w:rsid w:val="00D163C7"/>
    <w:rsid w:val="00D1738F"/>
    <w:rsid w:val="00D17D24"/>
    <w:rsid w:val="00D20A4F"/>
    <w:rsid w:val="00D20A6A"/>
    <w:rsid w:val="00D214EE"/>
    <w:rsid w:val="00D223EF"/>
    <w:rsid w:val="00D2354A"/>
    <w:rsid w:val="00D240B8"/>
    <w:rsid w:val="00D26885"/>
    <w:rsid w:val="00D26F78"/>
    <w:rsid w:val="00D2756B"/>
    <w:rsid w:val="00D27CA1"/>
    <w:rsid w:val="00D309C9"/>
    <w:rsid w:val="00D31837"/>
    <w:rsid w:val="00D3268E"/>
    <w:rsid w:val="00D330D5"/>
    <w:rsid w:val="00D331E1"/>
    <w:rsid w:val="00D335C1"/>
    <w:rsid w:val="00D33A97"/>
    <w:rsid w:val="00D344B6"/>
    <w:rsid w:val="00D3472E"/>
    <w:rsid w:val="00D366B0"/>
    <w:rsid w:val="00D36F8A"/>
    <w:rsid w:val="00D37444"/>
    <w:rsid w:val="00D406B3"/>
    <w:rsid w:val="00D40E41"/>
    <w:rsid w:val="00D40E8C"/>
    <w:rsid w:val="00D40E99"/>
    <w:rsid w:val="00D416B4"/>
    <w:rsid w:val="00D41890"/>
    <w:rsid w:val="00D41D6B"/>
    <w:rsid w:val="00D4296B"/>
    <w:rsid w:val="00D42E2E"/>
    <w:rsid w:val="00D43E93"/>
    <w:rsid w:val="00D44DCD"/>
    <w:rsid w:val="00D4551A"/>
    <w:rsid w:val="00D475E4"/>
    <w:rsid w:val="00D4794F"/>
    <w:rsid w:val="00D501C6"/>
    <w:rsid w:val="00D505FB"/>
    <w:rsid w:val="00D50864"/>
    <w:rsid w:val="00D50FBF"/>
    <w:rsid w:val="00D51B08"/>
    <w:rsid w:val="00D529E0"/>
    <w:rsid w:val="00D531F9"/>
    <w:rsid w:val="00D53A8F"/>
    <w:rsid w:val="00D5419C"/>
    <w:rsid w:val="00D54205"/>
    <w:rsid w:val="00D558DF"/>
    <w:rsid w:val="00D55F7E"/>
    <w:rsid w:val="00D56653"/>
    <w:rsid w:val="00D600AB"/>
    <w:rsid w:val="00D605F4"/>
    <w:rsid w:val="00D616B2"/>
    <w:rsid w:val="00D624F3"/>
    <w:rsid w:val="00D62793"/>
    <w:rsid w:val="00D62983"/>
    <w:rsid w:val="00D62B02"/>
    <w:rsid w:val="00D63230"/>
    <w:rsid w:val="00D63242"/>
    <w:rsid w:val="00D64D83"/>
    <w:rsid w:val="00D64F8A"/>
    <w:rsid w:val="00D65FE3"/>
    <w:rsid w:val="00D66CE4"/>
    <w:rsid w:val="00D66E26"/>
    <w:rsid w:val="00D67E46"/>
    <w:rsid w:val="00D7019D"/>
    <w:rsid w:val="00D714E4"/>
    <w:rsid w:val="00D729A8"/>
    <w:rsid w:val="00D73AE0"/>
    <w:rsid w:val="00D7481B"/>
    <w:rsid w:val="00D7505F"/>
    <w:rsid w:val="00D755CD"/>
    <w:rsid w:val="00D75789"/>
    <w:rsid w:val="00D76252"/>
    <w:rsid w:val="00D76C32"/>
    <w:rsid w:val="00D80189"/>
    <w:rsid w:val="00D806D0"/>
    <w:rsid w:val="00D81790"/>
    <w:rsid w:val="00D8189C"/>
    <w:rsid w:val="00D82E53"/>
    <w:rsid w:val="00D844E3"/>
    <w:rsid w:val="00D8491C"/>
    <w:rsid w:val="00D87C7A"/>
    <w:rsid w:val="00D87EC8"/>
    <w:rsid w:val="00D91683"/>
    <w:rsid w:val="00D9472A"/>
    <w:rsid w:val="00D948A6"/>
    <w:rsid w:val="00D95612"/>
    <w:rsid w:val="00D97279"/>
    <w:rsid w:val="00D972EF"/>
    <w:rsid w:val="00D9777D"/>
    <w:rsid w:val="00D97F2C"/>
    <w:rsid w:val="00DA0621"/>
    <w:rsid w:val="00DA12CC"/>
    <w:rsid w:val="00DA1399"/>
    <w:rsid w:val="00DA14DC"/>
    <w:rsid w:val="00DA1CB2"/>
    <w:rsid w:val="00DA2A4A"/>
    <w:rsid w:val="00DA3194"/>
    <w:rsid w:val="00DA5033"/>
    <w:rsid w:val="00DA5F18"/>
    <w:rsid w:val="00DA7839"/>
    <w:rsid w:val="00DA7EF2"/>
    <w:rsid w:val="00DB1A31"/>
    <w:rsid w:val="00DB1C1B"/>
    <w:rsid w:val="00DB1CE0"/>
    <w:rsid w:val="00DB2506"/>
    <w:rsid w:val="00DB2C4E"/>
    <w:rsid w:val="00DB2E93"/>
    <w:rsid w:val="00DB3770"/>
    <w:rsid w:val="00DB4688"/>
    <w:rsid w:val="00DB51DA"/>
    <w:rsid w:val="00DB56D4"/>
    <w:rsid w:val="00DB5D56"/>
    <w:rsid w:val="00DB74E0"/>
    <w:rsid w:val="00DB7A08"/>
    <w:rsid w:val="00DC0131"/>
    <w:rsid w:val="00DC0290"/>
    <w:rsid w:val="00DC02D0"/>
    <w:rsid w:val="00DC15C0"/>
    <w:rsid w:val="00DC2B10"/>
    <w:rsid w:val="00DC2EC3"/>
    <w:rsid w:val="00DC493D"/>
    <w:rsid w:val="00DC5A81"/>
    <w:rsid w:val="00DC5F18"/>
    <w:rsid w:val="00DC7090"/>
    <w:rsid w:val="00DC794C"/>
    <w:rsid w:val="00DC7E1D"/>
    <w:rsid w:val="00DD0CE5"/>
    <w:rsid w:val="00DD232E"/>
    <w:rsid w:val="00DD5111"/>
    <w:rsid w:val="00DD61A9"/>
    <w:rsid w:val="00DD65E2"/>
    <w:rsid w:val="00DD76EE"/>
    <w:rsid w:val="00DD7FFB"/>
    <w:rsid w:val="00DE08E6"/>
    <w:rsid w:val="00DE0F85"/>
    <w:rsid w:val="00DE12CD"/>
    <w:rsid w:val="00DE406B"/>
    <w:rsid w:val="00DE4636"/>
    <w:rsid w:val="00DE571D"/>
    <w:rsid w:val="00DE580F"/>
    <w:rsid w:val="00DE5C5C"/>
    <w:rsid w:val="00DE7123"/>
    <w:rsid w:val="00DE7CB0"/>
    <w:rsid w:val="00DE7E13"/>
    <w:rsid w:val="00DF14DF"/>
    <w:rsid w:val="00DF20A4"/>
    <w:rsid w:val="00DF2115"/>
    <w:rsid w:val="00DF5524"/>
    <w:rsid w:val="00DF557A"/>
    <w:rsid w:val="00DF6C91"/>
    <w:rsid w:val="00DF6FA2"/>
    <w:rsid w:val="00DF71CF"/>
    <w:rsid w:val="00DF76B7"/>
    <w:rsid w:val="00DF7AFE"/>
    <w:rsid w:val="00E0070F"/>
    <w:rsid w:val="00E01212"/>
    <w:rsid w:val="00E01574"/>
    <w:rsid w:val="00E01652"/>
    <w:rsid w:val="00E0291D"/>
    <w:rsid w:val="00E0316F"/>
    <w:rsid w:val="00E03AEC"/>
    <w:rsid w:val="00E03B42"/>
    <w:rsid w:val="00E03C84"/>
    <w:rsid w:val="00E03DEF"/>
    <w:rsid w:val="00E0455F"/>
    <w:rsid w:val="00E04A71"/>
    <w:rsid w:val="00E04F97"/>
    <w:rsid w:val="00E055B6"/>
    <w:rsid w:val="00E064B2"/>
    <w:rsid w:val="00E06852"/>
    <w:rsid w:val="00E10038"/>
    <w:rsid w:val="00E104BC"/>
    <w:rsid w:val="00E13828"/>
    <w:rsid w:val="00E1568B"/>
    <w:rsid w:val="00E1568F"/>
    <w:rsid w:val="00E15C92"/>
    <w:rsid w:val="00E17EB5"/>
    <w:rsid w:val="00E17F01"/>
    <w:rsid w:val="00E20FE6"/>
    <w:rsid w:val="00E22010"/>
    <w:rsid w:val="00E2406E"/>
    <w:rsid w:val="00E2456A"/>
    <w:rsid w:val="00E273A0"/>
    <w:rsid w:val="00E300ED"/>
    <w:rsid w:val="00E3070B"/>
    <w:rsid w:val="00E3112A"/>
    <w:rsid w:val="00E319A5"/>
    <w:rsid w:val="00E32A94"/>
    <w:rsid w:val="00E32E4D"/>
    <w:rsid w:val="00E3321E"/>
    <w:rsid w:val="00E3390E"/>
    <w:rsid w:val="00E33F71"/>
    <w:rsid w:val="00E343B1"/>
    <w:rsid w:val="00E34EDD"/>
    <w:rsid w:val="00E35D64"/>
    <w:rsid w:val="00E3705E"/>
    <w:rsid w:val="00E37783"/>
    <w:rsid w:val="00E37829"/>
    <w:rsid w:val="00E37BED"/>
    <w:rsid w:val="00E37E7A"/>
    <w:rsid w:val="00E4328A"/>
    <w:rsid w:val="00E436F1"/>
    <w:rsid w:val="00E442CB"/>
    <w:rsid w:val="00E45235"/>
    <w:rsid w:val="00E45687"/>
    <w:rsid w:val="00E46771"/>
    <w:rsid w:val="00E51B2D"/>
    <w:rsid w:val="00E52F93"/>
    <w:rsid w:val="00E541EB"/>
    <w:rsid w:val="00E542B7"/>
    <w:rsid w:val="00E54AB0"/>
    <w:rsid w:val="00E5607E"/>
    <w:rsid w:val="00E560B5"/>
    <w:rsid w:val="00E57BB4"/>
    <w:rsid w:val="00E60F28"/>
    <w:rsid w:val="00E6227C"/>
    <w:rsid w:val="00E64789"/>
    <w:rsid w:val="00E6498D"/>
    <w:rsid w:val="00E650E3"/>
    <w:rsid w:val="00E67B42"/>
    <w:rsid w:val="00E7064A"/>
    <w:rsid w:val="00E70863"/>
    <w:rsid w:val="00E73B94"/>
    <w:rsid w:val="00E75382"/>
    <w:rsid w:val="00E75BD8"/>
    <w:rsid w:val="00E76464"/>
    <w:rsid w:val="00E800E8"/>
    <w:rsid w:val="00E80988"/>
    <w:rsid w:val="00E80F84"/>
    <w:rsid w:val="00E8260C"/>
    <w:rsid w:val="00E82C40"/>
    <w:rsid w:val="00E831E4"/>
    <w:rsid w:val="00E84589"/>
    <w:rsid w:val="00E855AB"/>
    <w:rsid w:val="00E87355"/>
    <w:rsid w:val="00E913E4"/>
    <w:rsid w:val="00E91F2D"/>
    <w:rsid w:val="00E92A9D"/>
    <w:rsid w:val="00E932D1"/>
    <w:rsid w:val="00E93EF7"/>
    <w:rsid w:val="00E94A92"/>
    <w:rsid w:val="00E94D2A"/>
    <w:rsid w:val="00E95C25"/>
    <w:rsid w:val="00E960AE"/>
    <w:rsid w:val="00E9646F"/>
    <w:rsid w:val="00E97628"/>
    <w:rsid w:val="00EA17A2"/>
    <w:rsid w:val="00EA188F"/>
    <w:rsid w:val="00EA21CE"/>
    <w:rsid w:val="00EA285A"/>
    <w:rsid w:val="00EA410A"/>
    <w:rsid w:val="00EA43E5"/>
    <w:rsid w:val="00EA4A4E"/>
    <w:rsid w:val="00EA58FA"/>
    <w:rsid w:val="00EA5ED3"/>
    <w:rsid w:val="00EA6004"/>
    <w:rsid w:val="00EA668C"/>
    <w:rsid w:val="00EB2E67"/>
    <w:rsid w:val="00EB3CE2"/>
    <w:rsid w:val="00EB3DA6"/>
    <w:rsid w:val="00EB461D"/>
    <w:rsid w:val="00EB46D9"/>
    <w:rsid w:val="00EB476D"/>
    <w:rsid w:val="00EB57EA"/>
    <w:rsid w:val="00EB7ADF"/>
    <w:rsid w:val="00EC0BE7"/>
    <w:rsid w:val="00EC1147"/>
    <w:rsid w:val="00EC1501"/>
    <w:rsid w:val="00EC1A07"/>
    <w:rsid w:val="00EC24B6"/>
    <w:rsid w:val="00EC2E4A"/>
    <w:rsid w:val="00EC3255"/>
    <w:rsid w:val="00EC36A9"/>
    <w:rsid w:val="00EC38ED"/>
    <w:rsid w:val="00EC4073"/>
    <w:rsid w:val="00EC503E"/>
    <w:rsid w:val="00EC5604"/>
    <w:rsid w:val="00EC57FE"/>
    <w:rsid w:val="00EC6634"/>
    <w:rsid w:val="00EC693B"/>
    <w:rsid w:val="00EC7A8E"/>
    <w:rsid w:val="00EC7B09"/>
    <w:rsid w:val="00ED0518"/>
    <w:rsid w:val="00ED062F"/>
    <w:rsid w:val="00ED08A7"/>
    <w:rsid w:val="00ED2018"/>
    <w:rsid w:val="00ED35BB"/>
    <w:rsid w:val="00ED39D0"/>
    <w:rsid w:val="00ED4809"/>
    <w:rsid w:val="00ED4DF6"/>
    <w:rsid w:val="00ED72BB"/>
    <w:rsid w:val="00ED7A86"/>
    <w:rsid w:val="00ED7DC4"/>
    <w:rsid w:val="00EE2091"/>
    <w:rsid w:val="00EE219F"/>
    <w:rsid w:val="00EE40BF"/>
    <w:rsid w:val="00EE51B5"/>
    <w:rsid w:val="00EE62BE"/>
    <w:rsid w:val="00EE63BD"/>
    <w:rsid w:val="00EE7230"/>
    <w:rsid w:val="00EE7AA7"/>
    <w:rsid w:val="00EF03D5"/>
    <w:rsid w:val="00EF0F48"/>
    <w:rsid w:val="00EF16AD"/>
    <w:rsid w:val="00EF2F0A"/>
    <w:rsid w:val="00EF3512"/>
    <w:rsid w:val="00EF376F"/>
    <w:rsid w:val="00EF523F"/>
    <w:rsid w:val="00EF5741"/>
    <w:rsid w:val="00F00A4C"/>
    <w:rsid w:val="00F01167"/>
    <w:rsid w:val="00F02A99"/>
    <w:rsid w:val="00F02D7E"/>
    <w:rsid w:val="00F036B1"/>
    <w:rsid w:val="00F0396F"/>
    <w:rsid w:val="00F0485C"/>
    <w:rsid w:val="00F04A7F"/>
    <w:rsid w:val="00F057F2"/>
    <w:rsid w:val="00F06C12"/>
    <w:rsid w:val="00F0772F"/>
    <w:rsid w:val="00F1022F"/>
    <w:rsid w:val="00F1059E"/>
    <w:rsid w:val="00F10774"/>
    <w:rsid w:val="00F13BC6"/>
    <w:rsid w:val="00F1441F"/>
    <w:rsid w:val="00F144B5"/>
    <w:rsid w:val="00F154B3"/>
    <w:rsid w:val="00F164B4"/>
    <w:rsid w:val="00F16566"/>
    <w:rsid w:val="00F16FD3"/>
    <w:rsid w:val="00F21284"/>
    <w:rsid w:val="00F224E5"/>
    <w:rsid w:val="00F225BD"/>
    <w:rsid w:val="00F22D18"/>
    <w:rsid w:val="00F23DD7"/>
    <w:rsid w:val="00F24187"/>
    <w:rsid w:val="00F243D3"/>
    <w:rsid w:val="00F24BDD"/>
    <w:rsid w:val="00F2582E"/>
    <w:rsid w:val="00F259FA"/>
    <w:rsid w:val="00F25F53"/>
    <w:rsid w:val="00F26418"/>
    <w:rsid w:val="00F27B8C"/>
    <w:rsid w:val="00F301DA"/>
    <w:rsid w:val="00F30B4C"/>
    <w:rsid w:val="00F313FD"/>
    <w:rsid w:val="00F323C8"/>
    <w:rsid w:val="00F3360D"/>
    <w:rsid w:val="00F340F8"/>
    <w:rsid w:val="00F35CDB"/>
    <w:rsid w:val="00F3643E"/>
    <w:rsid w:val="00F36A6D"/>
    <w:rsid w:val="00F37394"/>
    <w:rsid w:val="00F376D1"/>
    <w:rsid w:val="00F41540"/>
    <w:rsid w:val="00F421D1"/>
    <w:rsid w:val="00F42555"/>
    <w:rsid w:val="00F43478"/>
    <w:rsid w:val="00F43ACC"/>
    <w:rsid w:val="00F45824"/>
    <w:rsid w:val="00F45B4D"/>
    <w:rsid w:val="00F46229"/>
    <w:rsid w:val="00F5118C"/>
    <w:rsid w:val="00F528EC"/>
    <w:rsid w:val="00F53202"/>
    <w:rsid w:val="00F532EA"/>
    <w:rsid w:val="00F53629"/>
    <w:rsid w:val="00F5459F"/>
    <w:rsid w:val="00F55D4D"/>
    <w:rsid w:val="00F569E5"/>
    <w:rsid w:val="00F5707E"/>
    <w:rsid w:val="00F57966"/>
    <w:rsid w:val="00F6020E"/>
    <w:rsid w:val="00F6085F"/>
    <w:rsid w:val="00F61889"/>
    <w:rsid w:val="00F63236"/>
    <w:rsid w:val="00F63EBD"/>
    <w:rsid w:val="00F64D1A"/>
    <w:rsid w:val="00F64F9A"/>
    <w:rsid w:val="00F65781"/>
    <w:rsid w:val="00F664E9"/>
    <w:rsid w:val="00F67ABF"/>
    <w:rsid w:val="00F67F25"/>
    <w:rsid w:val="00F713AF"/>
    <w:rsid w:val="00F72AA5"/>
    <w:rsid w:val="00F731D7"/>
    <w:rsid w:val="00F73B6E"/>
    <w:rsid w:val="00F75B3F"/>
    <w:rsid w:val="00F77534"/>
    <w:rsid w:val="00F777B9"/>
    <w:rsid w:val="00F77BC5"/>
    <w:rsid w:val="00F86F95"/>
    <w:rsid w:val="00F873D3"/>
    <w:rsid w:val="00F90007"/>
    <w:rsid w:val="00F905FF"/>
    <w:rsid w:val="00F91B32"/>
    <w:rsid w:val="00F9278F"/>
    <w:rsid w:val="00F92856"/>
    <w:rsid w:val="00F92E67"/>
    <w:rsid w:val="00F93036"/>
    <w:rsid w:val="00F933FD"/>
    <w:rsid w:val="00F93950"/>
    <w:rsid w:val="00F93F33"/>
    <w:rsid w:val="00FA0AC0"/>
    <w:rsid w:val="00FA0D85"/>
    <w:rsid w:val="00FA10FC"/>
    <w:rsid w:val="00FA1B6B"/>
    <w:rsid w:val="00FA2D41"/>
    <w:rsid w:val="00FA5BD0"/>
    <w:rsid w:val="00FA60E7"/>
    <w:rsid w:val="00FA6C81"/>
    <w:rsid w:val="00FA6D2D"/>
    <w:rsid w:val="00FB111A"/>
    <w:rsid w:val="00FB146A"/>
    <w:rsid w:val="00FB16F9"/>
    <w:rsid w:val="00FB25D6"/>
    <w:rsid w:val="00FB41BE"/>
    <w:rsid w:val="00FB4369"/>
    <w:rsid w:val="00FB541A"/>
    <w:rsid w:val="00FB6A07"/>
    <w:rsid w:val="00FB6ABE"/>
    <w:rsid w:val="00FB79B2"/>
    <w:rsid w:val="00FC016E"/>
    <w:rsid w:val="00FC062D"/>
    <w:rsid w:val="00FC15D2"/>
    <w:rsid w:val="00FC2230"/>
    <w:rsid w:val="00FC2933"/>
    <w:rsid w:val="00FC34EA"/>
    <w:rsid w:val="00FC3614"/>
    <w:rsid w:val="00FC649A"/>
    <w:rsid w:val="00FC7122"/>
    <w:rsid w:val="00FC7578"/>
    <w:rsid w:val="00FD1C98"/>
    <w:rsid w:val="00FD20B1"/>
    <w:rsid w:val="00FD23AB"/>
    <w:rsid w:val="00FD32A6"/>
    <w:rsid w:val="00FD3474"/>
    <w:rsid w:val="00FD5159"/>
    <w:rsid w:val="00FD51BD"/>
    <w:rsid w:val="00FD642E"/>
    <w:rsid w:val="00FD6C15"/>
    <w:rsid w:val="00FD76DB"/>
    <w:rsid w:val="00FE09DF"/>
    <w:rsid w:val="00FE0CE3"/>
    <w:rsid w:val="00FE1167"/>
    <w:rsid w:val="00FE203F"/>
    <w:rsid w:val="00FE2EAD"/>
    <w:rsid w:val="00FE3AAB"/>
    <w:rsid w:val="00FE3D08"/>
    <w:rsid w:val="00FE446F"/>
    <w:rsid w:val="00FE5739"/>
    <w:rsid w:val="00FE683A"/>
    <w:rsid w:val="00FE6F63"/>
    <w:rsid w:val="00FE7358"/>
    <w:rsid w:val="00FF0BD7"/>
    <w:rsid w:val="00FF0C8F"/>
    <w:rsid w:val="00FF0E57"/>
    <w:rsid w:val="00FF16BD"/>
    <w:rsid w:val="00FF182D"/>
    <w:rsid w:val="00FF190B"/>
    <w:rsid w:val="00FF2F44"/>
    <w:rsid w:val="00FF3FEB"/>
    <w:rsid w:val="00FF4D50"/>
    <w:rsid w:val="00FF55A8"/>
    <w:rsid w:val="00FF5B79"/>
    <w:rsid w:val="00FF5B88"/>
    <w:rsid w:val="00FF6628"/>
    <w:rsid w:val="00FF6E97"/>
    <w:rsid w:val="00FF78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C4372"/>
  <w15:docId w15:val="{6A2F6986-7D96-994D-B0D7-F64662923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4F5D"/>
    <w:pPr>
      <w:jc w:val="both"/>
    </w:pPr>
    <w:rPr>
      <w:sz w:val="16"/>
      <w:szCs w:val="16"/>
      <w:lang w:eastAsia="es-ES_tradnl"/>
    </w:rPr>
  </w:style>
  <w:style w:type="paragraph" w:styleId="Heading1">
    <w:name w:val="heading 1"/>
    <w:basedOn w:val="Normal"/>
    <w:next w:val="Normal"/>
    <w:link w:val="Heading1Ch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Heading2">
    <w:name w:val="heading 2"/>
    <w:basedOn w:val="Normal"/>
    <w:next w:val="Normal"/>
    <w:link w:val="Heading2Ch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Heading3">
    <w:name w:val="heading 3"/>
    <w:basedOn w:val="Heading1"/>
    <w:next w:val="Normal"/>
    <w:link w:val="Heading3Char"/>
    <w:uiPriority w:val="9"/>
    <w:unhideWhenUsed/>
    <w:qFormat/>
    <w:rsid w:val="00E87355"/>
    <w:pPr>
      <w:numPr>
        <w:numId w:val="0"/>
      </w:numPr>
      <w:spacing w:before="240" w:after="240"/>
      <w:outlineLvl w:val="2"/>
    </w:pPr>
    <w:rPr>
      <w:b w:val="0"/>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91"/>
    <w:pPr>
      <w:tabs>
        <w:tab w:val="center" w:pos="4252"/>
        <w:tab w:val="right" w:pos="8504"/>
      </w:tabs>
    </w:pPr>
  </w:style>
  <w:style w:type="character" w:customStyle="1" w:styleId="HeaderChar">
    <w:name w:val="Header Char"/>
    <w:link w:val="Header"/>
    <w:uiPriority w:val="99"/>
    <w:rsid w:val="00117091"/>
    <w:rPr>
      <w:sz w:val="18"/>
      <w:szCs w:val="24"/>
      <w:lang w:eastAsia="en-US"/>
    </w:rPr>
  </w:style>
  <w:style w:type="paragraph" w:styleId="Footer">
    <w:name w:val="footer"/>
    <w:basedOn w:val="Normal"/>
    <w:link w:val="FooterChar"/>
    <w:uiPriority w:val="99"/>
    <w:unhideWhenUsed/>
    <w:rsid w:val="00117091"/>
    <w:pPr>
      <w:tabs>
        <w:tab w:val="center" w:pos="4252"/>
        <w:tab w:val="right" w:pos="8504"/>
      </w:tabs>
    </w:pPr>
  </w:style>
  <w:style w:type="character" w:customStyle="1" w:styleId="FooterChar">
    <w:name w:val="Footer Char"/>
    <w:link w:val="Footer"/>
    <w:uiPriority w:val="99"/>
    <w:rsid w:val="00117091"/>
    <w:rPr>
      <w:sz w:val="18"/>
      <w:szCs w:val="24"/>
      <w:lang w:eastAsia="en-US"/>
    </w:rPr>
  </w:style>
  <w:style w:type="character" w:styleId="Hyperlink">
    <w:name w:val="Hyperlink"/>
    <w:uiPriority w:val="99"/>
    <w:unhideWhenUsed/>
    <w:rsid w:val="00117091"/>
    <w:rPr>
      <w:color w:val="0563C1"/>
      <w:u w:val="single"/>
    </w:rPr>
  </w:style>
  <w:style w:type="paragraph" w:styleId="FootnoteText">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FootnoteTextChar1"/>
    <w:autoRedefine/>
    <w:uiPriority w:val="99"/>
    <w:unhideWhenUsed/>
    <w:qFormat/>
    <w:rsid w:val="00F224E5"/>
    <w:rPr>
      <w:szCs w:val="20"/>
    </w:rPr>
  </w:style>
  <w:style w:type="character" w:customStyle="1" w:styleId="FootnoteTextChar1">
    <w:name w:val="Footnote Text Char1"/>
    <w:aliases w:val="Footnote Text Char Char Char Char Char Char,Footnote Text Char Char Char Char Char1,Footnote reference Char,FA Fu Char,Footnote Text Char Char Char Char1,Footnote Text Char Char,Footnote referenc Char,texto de nota al pie Char"/>
    <w:link w:val="FootnoteText"/>
    <w:uiPriority w:val="99"/>
    <w:qFormat/>
    <w:rsid w:val="00F224E5"/>
    <w:rPr>
      <w:sz w:val="16"/>
      <w:lang w:eastAsia="es-ES_tradnl"/>
    </w:rPr>
  </w:style>
  <w:style w:type="character" w:styleId="FootnoteReferenc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0C5DB7"/>
    <w:rPr>
      <w:rFonts w:ascii="Palatino Linotype" w:hAnsi="Palatino Linotype"/>
      <w:sz w:val="20"/>
      <w:szCs w:val="20"/>
      <w:vertAlign w:val="superscript"/>
    </w:rPr>
  </w:style>
  <w:style w:type="character" w:customStyle="1" w:styleId="Heading1Char">
    <w:name w:val="Heading 1 Char"/>
    <w:link w:val="Heading1"/>
    <w:uiPriority w:val="9"/>
    <w:rsid w:val="00FF190B"/>
    <w:rPr>
      <w:rFonts w:eastAsia="Times New Roman" w:cs="Times New Roman"/>
      <w:b/>
      <w:bCs/>
      <w:caps/>
      <w:kern w:val="32"/>
      <w:sz w:val="24"/>
      <w:szCs w:val="32"/>
    </w:rPr>
  </w:style>
  <w:style w:type="character" w:customStyle="1" w:styleId="Heading2Char">
    <w:name w:val="Heading 2 Char"/>
    <w:link w:val="Heading2"/>
    <w:uiPriority w:val="9"/>
    <w:rsid w:val="007D4A96"/>
    <w:rPr>
      <w:rFonts w:eastAsia="Times New Roman" w:cs="Times New Roman"/>
      <w:b/>
      <w:bCs/>
      <w:iCs/>
      <w:sz w:val="24"/>
      <w:szCs w:val="28"/>
      <w:lang w:val="es-CO" w:eastAsia="es-ES_tradnl"/>
    </w:rPr>
  </w:style>
  <w:style w:type="paragraph" w:styleId="NoSpacing">
    <w:name w:val="No Spacing"/>
    <w:aliases w:val="Encabezado1"/>
    <w:link w:val="NoSpacingChar"/>
    <w:autoRedefine/>
    <w:uiPriority w:val="1"/>
    <w:qFormat/>
    <w:rsid w:val="00877DE7"/>
    <w:pPr>
      <w:spacing w:line="276" w:lineRule="auto"/>
      <w:jc w:val="center"/>
    </w:pPr>
    <w:rPr>
      <w:b/>
      <w:caps/>
      <w:color w:val="000000"/>
      <w:sz w:val="24"/>
      <w:szCs w:val="16"/>
      <w:lang w:eastAsia="es-ES_tradnl"/>
    </w:rPr>
  </w:style>
  <w:style w:type="character" w:customStyle="1" w:styleId="NoSpacingChar">
    <w:name w:val="No Spacing Char"/>
    <w:aliases w:val="Encabezado1 Char"/>
    <w:link w:val="NoSpacing"/>
    <w:uiPriority w:val="1"/>
    <w:rsid w:val="00877DE7"/>
    <w:rPr>
      <w:b/>
      <w:caps/>
      <w:color w:val="000000"/>
      <w:sz w:val="24"/>
      <w:szCs w:val="16"/>
      <w:lang w:eastAsia="es-ES_tradnl"/>
    </w:rPr>
  </w:style>
  <w:style w:type="paragraph" w:styleId="Quote">
    <w:name w:val="Quote"/>
    <w:basedOn w:val="Normal"/>
    <w:next w:val="Normal"/>
    <w:link w:val="QuoteChar"/>
    <w:autoRedefine/>
    <w:uiPriority w:val="29"/>
    <w:qFormat/>
    <w:rsid w:val="00083B8F"/>
    <w:pPr>
      <w:ind w:left="862" w:right="862"/>
      <w:jc w:val="left"/>
    </w:pPr>
    <w:rPr>
      <w:i/>
      <w:iCs/>
      <w:color w:val="404040"/>
    </w:rPr>
  </w:style>
  <w:style w:type="character" w:customStyle="1" w:styleId="QuoteChar">
    <w:name w:val="Quote Char"/>
    <w:link w:val="Quote"/>
    <w:uiPriority w:val="29"/>
    <w:rsid w:val="00083B8F"/>
    <w:rPr>
      <w:i/>
      <w:iCs/>
      <w:color w:val="404040"/>
      <w:sz w:val="16"/>
      <w:szCs w:val="16"/>
    </w:rPr>
  </w:style>
  <w:style w:type="character" w:customStyle="1" w:styleId="Heading3Char">
    <w:name w:val="Heading 3 Char"/>
    <w:link w:val="Heading3"/>
    <w:uiPriority w:val="9"/>
    <w:rsid w:val="00E87355"/>
    <w:rPr>
      <w:rFonts w:eastAsia="Times New Roman" w:cs="Times New Roman"/>
      <w:caps/>
      <w:kern w:val="32"/>
      <w:sz w:val="24"/>
      <w:szCs w:val="26"/>
    </w:rPr>
  </w:style>
  <w:style w:type="paragraph" w:customStyle="1" w:styleId="RESUELVE">
    <w:name w:val="RESUELVE"/>
    <w:basedOn w:val="Heading3"/>
    <w:autoRedefine/>
    <w:qFormat/>
    <w:rsid w:val="00E87355"/>
    <w:pPr>
      <w:spacing w:before="360" w:after="360"/>
    </w:pPr>
    <w:rPr>
      <w:rFonts w:eastAsia="Verdana"/>
      <w:b/>
      <w:lang w:val="es-ES_tradnl"/>
    </w:rPr>
  </w:style>
  <w:style w:type="character" w:styleId="CommentReference">
    <w:name w:val="annotation reference"/>
    <w:uiPriority w:val="99"/>
    <w:semiHidden/>
    <w:unhideWhenUsed/>
    <w:rsid w:val="006146CC"/>
    <w:rPr>
      <w:sz w:val="16"/>
      <w:szCs w:val="16"/>
    </w:rPr>
  </w:style>
  <w:style w:type="paragraph" w:styleId="CommentText">
    <w:name w:val="annotation text"/>
    <w:basedOn w:val="Normal"/>
    <w:link w:val="CommentTextCh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CommentTextChar">
    <w:name w:val="Comment Text Char"/>
    <w:link w:val="CommentText"/>
    <w:uiPriority w:val="99"/>
    <w:semiHidden/>
    <w:rsid w:val="006146CC"/>
    <w:rPr>
      <w:rFonts w:ascii="Calibri" w:hAnsi="Calibri" w:cs="Times New Roman"/>
      <w:lang w:val="es-ES" w:eastAsia="en-US"/>
    </w:rPr>
  </w:style>
  <w:style w:type="paragraph" w:styleId="BalloonText">
    <w:name w:val="Balloon Text"/>
    <w:basedOn w:val="Normal"/>
    <w:link w:val="BalloonTextChar"/>
    <w:uiPriority w:val="99"/>
    <w:semiHidden/>
    <w:unhideWhenUsed/>
    <w:rsid w:val="006146CC"/>
    <w:rPr>
      <w:rFonts w:ascii="Segoe UI" w:hAnsi="Segoe UI" w:cs="Segoe UI"/>
      <w:sz w:val="18"/>
      <w:szCs w:val="18"/>
    </w:rPr>
  </w:style>
  <w:style w:type="character" w:customStyle="1" w:styleId="BalloonTextChar">
    <w:name w:val="Balloon Text Char"/>
    <w:link w:val="BalloonText"/>
    <w:uiPriority w:val="99"/>
    <w:semiHidden/>
    <w:rsid w:val="006146CC"/>
    <w:rPr>
      <w:rFonts w:ascii="Segoe UI" w:hAnsi="Segoe UI" w:cs="Segoe UI"/>
      <w:sz w:val="18"/>
      <w:szCs w:val="18"/>
      <w:lang w:eastAsia="es-ES_tradnl"/>
    </w:rPr>
  </w:style>
  <w:style w:type="paragraph" w:styleId="ListParagraph">
    <w:name w:val="List Paragraph"/>
    <w:basedOn w:val="Normal"/>
    <w:uiPriority w:val="34"/>
    <w:qFormat/>
    <w:rsid w:val="00B82CC5"/>
    <w:pPr>
      <w:ind w:left="720"/>
      <w:contextualSpacing/>
    </w:pPr>
  </w:style>
  <w:style w:type="numbering" w:customStyle="1" w:styleId="Estilo1">
    <w:name w:val="Estilo1"/>
    <w:uiPriority w:val="99"/>
    <w:rsid w:val="00025115"/>
    <w:pPr>
      <w:numPr>
        <w:numId w:val="9"/>
      </w:numPr>
    </w:pPr>
  </w:style>
  <w:style w:type="paragraph" w:styleId="List">
    <w:name w:val="List"/>
    <w:basedOn w:val="Normal"/>
    <w:uiPriority w:val="99"/>
    <w:unhideWhenUsed/>
    <w:rsid w:val="005F1494"/>
    <w:pPr>
      <w:ind w:left="283" w:hanging="283"/>
      <w:contextualSpacing/>
    </w:pPr>
  </w:style>
  <w:style w:type="paragraph" w:styleId="ListContinue">
    <w:name w:val="List Continue"/>
    <w:basedOn w:val="Normal"/>
    <w:uiPriority w:val="99"/>
    <w:unhideWhenUsed/>
    <w:rsid w:val="005F1494"/>
    <w:pPr>
      <w:spacing w:after="120"/>
      <w:ind w:left="283"/>
      <w:contextualSpacing/>
    </w:pPr>
  </w:style>
  <w:style w:type="paragraph" w:styleId="ListContinue2">
    <w:name w:val="List Continue 2"/>
    <w:basedOn w:val="Normal"/>
    <w:uiPriority w:val="99"/>
    <w:unhideWhenUsed/>
    <w:rsid w:val="005F1494"/>
    <w:pPr>
      <w:spacing w:after="120"/>
      <w:ind w:left="566"/>
      <w:contextualSpacing/>
    </w:pPr>
  </w:style>
  <w:style w:type="paragraph" w:styleId="BodyText">
    <w:name w:val="Body Text"/>
    <w:basedOn w:val="Normal"/>
    <w:link w:val="BodyTextChar"/>
    <w:uiPriority w:val="99"/>
    <w:unhideWhenUsed/>
    <w:rsid w:val="005F1494"/>
    <w:pPr>
      <w:spacing w:after="120"/>
    </w:pPr>
  </w:style>
  <w:style w:type="character" w:customStyle="1" w:styleId="BodyTextChar">
    <w:name w:val="Body Text Char"/>
    <w:basedOn w:val="DefaultParagraphFont"/>
    <w:link w:val="BodyText"/>
    <w:uiPriority w:val="99"/>
    <w:rsid w:val="005F1494"/>
    <w:rPr>
      <w:sz w:val="16"/>
      <w:szCs w:val="16"/>
      <w:lang w:eastAsia="es-ES_tradnl"/>
    </w:rPr>
  </w:style>
  <w:style w:type="table" w:styleId="TableGrid">
    <w:name w:val="Table Grid"/>
    <w:basedOn w:val="TableNormal"/>
    <w:uiPriority w:val="39"/>
    <w:rsid w:val="007314C6"/>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73F8"/>
    <w:rPr>
      <w:color w:val="605E5C"/>
      <w:shd w:val="clear" w:color="auto" w:fill="E1DFDD"/>
    </w:rPr>
  </w:style>
  <w:style w:type="character" w:customStyle="1" w:styleId="Mencinsinresolver1">
    <w:name w:val="Mención sin resolver1"/>
    <w:basedOn w:val="DefaultParagraphFont"/>
    <w:uiPriority w:val="99"/>
    <w:semiHidden/>
    <w:unhideWhenUsed/>
    <w:rsid w:val="00EC5604"/>
    <w:rPr>
      <w:color w:val="605E5C"/>
      <w:shd w:val="clear" w:color="auto" w:fill="E1DFDD"/>
    </w:rPr>
  </w:style>
  <w:style w:type="paragraph" w:styleId="Revision">
    <w:name w:val="Revision"/>
    <w:hidden/>
    <w:uiPriority w:val="99"/>
    <w:semiHidden/>
    <w:rsid w:val="00EC5604"/>
    <w:rPr>
      <w:sz w:val="16"/>
      <w:szCs w:val="16"/>
      <w:lang w:eastAsia="es-ES_tradnl"/>
    </w:rPr>
  </w:style>
  <w:style w:type="character" w:customStyle="1" w:styleId="apple-converted-space">
    <w:name w:val="apple-converted-space"/>
    <w:rsid w:val="006A6A96"/>
  </w:style>
  <w:style w:type="paragraph" w:styleId="Bibliography">
    <w:name w:val="Bibliography"/>
    <w:basedOn w:val="Normal"/>
    <w:next w:val="Normal"/>
    <w:uiPriority w:val="37"/>
    <w:unhideWhenUsed/>
    <w:rsid w:val="00990B08"/>
  </w:style>
  <w:style w:type="paragraph" w:styleId="CommentSubject">
    <w:name w:val="annotation subject"/>
    <w:basedOn w:val="CommentText"/>
    <w:next w:val="CommentText"/>
    <w:link w:val="CommentSubjectChar"/>
    <w:uiPriority w:val="99"/>
    <w:semiHidden/>
    <w:unhideWhenUsed/>
    <w:rsid w:val="0019417E"/>
    <w:pPr>
      <w:spacing w:after="0" w:line="240" w:lineRule="auto"/>
      <w:jc w:val="both"/>
    </w:pPr>
    <w:rPr>
      <w:rFonts w:ascii="Arial" w:hAnsi="Arial" w:cs="Arial"/>
      <w:b/>
      <w:bCs/>
      <w:lang w:val="es-CO" w:eastAsia="es-ES_tradnl"/>
    </w:rPr>
  </w:style>
  <w:style w:type="character" w:customStyle="1" w:styleId="CommentSubjectChar">
    <w:name w:val="Comment Subject Char"/>
    <w:basedOn w:val="CommentTextChar"/>
    <w:link w:val="CommentSubject"/>
    <w:uiPriority w:val="99"/>
    <w:semiHidden/>
    <w:rsid w:val="0019417E"/>
    <w:rPr>
      <w:rFonts w:ascii="Calibri" w:hAnsi="Calibri" w:cs="Times New Roman"/>
      <w:b/>
      <w:bCs/>
      <w:lang w:val="es-ES" w:eastAsia="es-ES_tradnl"/>
    </w:rPr>
  </w:style>
  <w:style w:type="paragraph" w:customStyle="1" w:styleId="paragraph">
    <w:name w:val="paragraph"/>
    <w:basedOn w:val="Normal"/>
    <w:rsid w:val="00B54A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normaltextrun">
    <w:name w:val="normaltextrun"/>
    <w:basedOn w:val="DefaultParagraphFont"/>
    <w:rsid w:val="00B54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353">
      <w:bodyDiv w:val="1"/>
      <w:marLeft w:val="0"/>
      <w:marRight w:val="0"/>
      <w:marTop w:val="0"/>
      <w:marBottom w:val="0"/>
      <w:divBdr>
        <w:top w:val="none" w:sz="0" w:space="0" w:color="auto"/>
        <w:left w:val="none" w:sz="0" w:space="0" w:color="auto"/>
        <w:bottom w:val="none" w:sz="0" w:space="0" w:color="auto"/>
        <w:right w:val="none" w:sz="0" w:space="0" w:color="auto"/>
      </w:divBdr>
    </w:div>
    <w:div w:id="155150058">
      <w:bodyDiv w:val="1"/>
      <w:marLeft w:val="0"/>
      <w:marRight w:val="0"/>
      <w:marTop w:val="0"/>
      <w:marBottom w:val="0"/>
      <w:divBdr>
        <w:top w:val="none" w:sz="0" w:space="0" w:color="auto"/>
        <w:left w:val="none" w:sz="0" w:space="0" w:color="auto"/>
        <w:bottom w:val="none" w:sz="0" w:space="0" w:color="auto"/>
        <w:right w:val="none" w:sz="0" w:space="0" w:color="auto"/>
      </w:divBdr>
    </w:div>
    <w:div w:id="215749427">
      <w:bodyDiv w:val="1"/>
      <w:marLeft w:val="0"/>
      <w:marRight w:val="0"/>
      <w:marTop w:val="0"/>
      <w:marBottom w:val="0"/>
      <w:divBdr>
        <w:top w:val="none" w:sz="0" w:space="0" w:color="auto"/>
        <w:left w:val="none" w:sz="0" w:space="0" w:color="auto"/>
        <w:bottom w:val="none" w:sz="0" w:space="0" w:color="auto"/>
        <w:right w:val="none" w:sz="0" w:space="0" w:color="auto"/>
      </w:divBdr>
    </w:div>
    <w:div w:id="738938836">
      <w:bodyDiv w:val="1"/>
      <w:marLeft w:val="0"/>
      <w:marRight w:val="0"/>
      <w:marTop w:val="0"/>
      <w:marBottom w:val="0"/>
      <w:divBdr>
        <w:top w:val="none" w:sz="0" w:space="0" w:color="auto"/>
        <w:left w:val="none" w:sz="0" w:space="0" w:color="auto"/>
        <w:bottom w:val="none" w:sz="0" w:space="0" w:color="auto"/>
        <w:right w:val="none" w:sz="0" w:space="0" w:color="auto"/>
      </w:divBdr>
    </w:div>
    <w:div w:id="1188984411">
      <w:bodyDiv w:val="1"/>
      <w:marLeft w:val="0"/>
      <w:marRight w:val="0"/>
      <w:marTop w:val="0"/>
      <w:marBottom w:val="0"/>
      <w:divBdr>
        <w:top w:val="none" w:sz="0" w:space="0" w:color="auto"/>
        <w:left w:val="none" w:sz="0" w:space="0" w:color="auto"/>
        <w:bottom w:val="none" w:sz="0" w:space="0" w:color="auto"/>
        <w:right w:val="none" w:sz="0" w:space="0" w:color="auto"/>
      </w:divBdr>
    </w:div>
    <w:div w:id="1219897858">
      <w:bodyDiv w:val="1"/>
      <w:marLeft w:val="0"/>
      <w:marRight w:val="0"/>
      <w:marTop w:val="0"/>
      <w:marBottom w:val="0"/>
      <w:divBdr>
        <w:top w:val="none" w:sz="0" w:space="0" w:color="auto"/>
        <w:left w:val="none" w:sz="0" w:space="0" w:color="auto"/>
        <w:bottom w:val="none" w:sz="0" w:space="0" w:color="auto"/>
        <w:right w:val="none" w:sz="0" w:space="0" w:color="auto"/>
      </w:divBdr>
    </w:div>
    <w:div w:id="1451433561">
      <w:bodyDiv w:val="1"/>
      <w:marLeft w:val="0"/>
      <w:marRight w:val="0"/>
      <w:marTop w:val="0"/>
      <w:marBottom w:val="0"/>
      <w:divBdr>
        <w:top w:val="none" w:sz="0" w:space="0" w:color="auto"/>
        <w:left w:val="none" w:sz="0" w:space="0" w:color="auto"/>
        <w:bottom w:val="none" w:sz="0" w:space="0" w:color="auto"/>
        <w:right w:val="none" w:sz="0" w:space="0" w:color="auto"/>
      </w:divBdr>
    </w:div>
    <w:div w:id="152420098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23351386">
      <w:bodyDiv w:val="1"/>
      <w:marLeft w:val="0"/>
      <w:marRight w:val="0"/>
      <w:marTop w:val="0"/>
      <w:marBottom w:val="0"/>
      <w:divBdr>
        <w:top w:val="none" w:sz="0" w:space="0" w:color="auto"/>
        <w:left w:val="none" w:sz="0" w:space="0" w:color="auto"/>
        <w:bottom w:val="none" w:sz="0" w:space="0" w:color="auto"/>
        <w:right w:val="none" w:sz="0" w:space="0" w:color="auto"/>
      </w:divBdr>
    </w:div>
    <w:div w:id="18792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Cop02</b:Tag>
    <b:SourceType>Book</b:SourceType>
    <b:Guid>{3A655269-3C6F-4714-9694-5D90FDA49406}</b:Guid>
    <b:Title>Introducción a la Lógica</b:Title>
    <b:Year>2002</b:Year>
    <b:City>México D.F.</b:City>
    <b:Publisher>Editorial Limusa</b:Publisher>
    <b:Author>
      <b:Author>
        <b:NameList>
          <b:Person>
            <b:Last>Copi</b:Last>
            <b:Middle>M.</b:Middle>
            <b:First>Irving</b:First>
          </b:Person>
          <b:Person>
            <b:Last>Cohen</b:Last>
            <b:First>Carl</b:First>
          </b:Person>
        </b:NameList>
      </b:Author>
      <b:Translator>
        <b:NameList>
          <b:Person>
            <b:Last>González Ruiz</b:Last>
            <b:Middle>Antonio</b:Middle>
            <b:First>Edgar</b:First>
          </b:Person>
        </b:NameList>
      </b:Translator>
    </b:Author>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CB6BBBBA-5457-B449-9117-AD50E1A6DC69}">
  <ds:schemaRefs>
    <ds:schemaRef ds:uri="http://schemas.openxmlformats.org/officeDocument/2006/bibliography"/>
  </ds:schemaRefs>
</ds:datastoreItem>
</file>

<file path=customXml/itemProps3.xml><?xml version="1.0" encoding="utf-8"?>
<ds:datastoreItem xmlns:ds="http://schemas.openxmlformats.org/officeDocument/2006/customXml" ds:itemID="{0EA701F8-230E-4F4A-B900-C2B394D0F5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F8E69-E8CA-4417-84EF-BFFE8985B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2181</Words>
  <Characters>12432</Characters>
  <Application>Microsoft Office Word</Application>
  <DocSecurity>0</DocSecurity>
  <Lines>103</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Diego Nicolás Pardo Motta</cp:lastModifiedBy>
  <cp:revision>36</cp:revision>
  <cp:lastPrinted>2020-03-11T14:38:00Z</cp:lastPrinted>
  <dcterms:created xsi:type="dcterms:W3CDTF">2021-06-01T20:59:00Z</dcterms:created>
  <dcterms:modified xsi:type="dcterms:W3CDTF">2021-06-23T16:03:00Z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