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E074E" w14:textId="77777777" w:rsidR="00762A45" w:rsidRPr="00DE09A1" w:rsidRDefault="00762A45" w:rsidP="00DE09A1">
      <w:pPr>
        <w:spacing w:after="0" w:line="360" w:lineRule="auto"/>
        <w:jc w:val="center"/>
        <w:rPr>
          <w:b/>
        </w:rPr>
      </w:pPr>
      <w:r w:rsidRPr="00DE09A1">
        <w:rPr>
          <w:b/>
        </w:rPr>
        <w:t>Consejero Ponente: NICOLÁS YEPES CORRALES</w:t>
      </w:r>
    </w:p>
    <w:p w14:paraId="66BB12B3" w14:textId="77777777" w:rsidR="00762A45" w:rsidRPr="00DE09A1" w:rsidRDefault="00762A45" w:rsidP="00DE09A1">
      <w:pPr>
        <w:spacing w:after="0" w:line="360" w:lineRule="auto"/>
        <w:jc w:val="center"/>
        <w:rPr>
          <w:b/>
        </w:rPr>
      </w:pPr>
    </w:p>
    <w:p w14:paraId="31C9554A" w14:textId="2D4567CD" w:rsidR="00762A45" w:rsidRPr="00DE09A1" w:rsidRDefault="00762A45" w:rsidP="00DE09A1">
      <w:pPr>
        <w:spacing w:after="0" w:line="360" w:lineRule="auto"/>
        <w:jc w:val="both"/>
      </w:pPr>
      <w:r w:rsidRPr="00DE09A1">
        <w:t xml:space="preserve">Bogotá D.C., </w:t>
      </w:r>
      <w:r w:rsidR="007F5B55">
        <w:t>veinticinco</w:t>
      </w:r>
      <w:r w:rsidRPr="00DE09A1">
        <w:t xml:space="preserve"> (</w:t>
      </w:r>
      <w:r w:rsidR="007F5B55">
        <w:t>25</w:t>
      </w:r>
      <w:r w:rsidRPr="00DE09A1">
        <w:t xml:space="preserve">) de </w:t>
      </w:r>
      <w:r w:rsidR="007F5B55">
        <w:t>junio</w:t>
      </w:r>
      <w:r w:rsidRPr="00DE09A1">
        <w:t xml:space="preserve"> de dos mil veint</w:t>
      </w:r>
      <w:r w:rsidR="008D7B3A" w:rsidRPr="00DE09A1">
        <w:t>iuno</w:t>
      </w:r>
      <w:r w:rsidRPr="00DE09A1">
        <w:t xml:space="preserve"> (202</w:t>
      </w:r>
      <w:r w:rsidR="008D7B3A" w:rsidRPr="00DE09A1">
        <w:t>1</w:t>
      </w:r>
      <w:r w:rsidRPr="00DE09A1">
        <w:t>)</w:t>
      </w:r>
    </w:p>
    <w:p w14:paraId="13D9BFD1" w14:textId="77777777" w:rsidR="00762A45" w:rsidRPr="00DE09A1" w:rsidRDefault="00762A45" w:rsidP="00DE09A1">
      <w:pPr>
        <w:spacing w:after="0" w:line="360" w:lineRule="auto"/>
        <w:jc w:val="both"/>
      </w:pPr>
    </w:p>
    <w:p w14:paraId="00AE655A" w14:textId="77777777" w:rsidR="008D7B3A" w:rsidRPr="00DE09A1" w:rsidRDefault="008D7B3A" w:rsidP="00DE09A1">
      <w:pPr>
        <w:spacing w:after="0" w:line="240" w:lineRule="auto"/>
        <w:jc w:val="both"/>
        <w:rPr>
          <w:b/>
          <w:color w:val="000000"/>
        </w:rPr>
      </w:pPr>
      <w:r w:rsidRPr="00DE09A1">
        <w:rPr>
          <w:b/>
          <w:color w:val="000000"/>
        </w:rPr>
        <w:t xml:space="preserve">Radicación: </w:t>
      </w:r>
      <w:r w:rsidRPr="00DE09A1">
        <w:rPr>
          <w:color w:val="000000"/>
          <w:shd w:val="clear" w:color="auto" w:fill="FFFFFF"/>
        </w:rPr>
        <w:t>11001-03-15-000-2021-02177-00</w:t>
      </w:r>
    </w:p>
    <w:p w14:paraId="3D72E31F" w14:textId="46D48D74" w:rsidR="008D7B3A" w:rsidRPr="00DE09A1" w:rsidRDefault="008D7B3A" w:rsidP="00DE09A1">
      <w:pPr>
        <w:spacing w:after="0" w:line="240" w:lineRule="auto"/>
        <w:jc w:val="both"/>
        <w:rPr>
          <w:color w:val="000000"/>
        </w:rPr>
      </w:pPr>
      <w:r w:rsidRPr="00DE09A1">
        <w:rPr>
          <w:b/>
          <w:color w:val="000000"/>
        </w:rPr>
        <w:t xml:space="preserve">Accionante: </w:t>
      </w:r>
      <w:r w:rsidRPr="00DE09A1">
        <w:rPr>
          <w:color w:val="000000"/>
        </w:rPr>
        <w:t>C</w:t>
      </w:r>
      <w:r w:rsidR="00BA6C15">
        <w:rPr>
          <w:color w:val="000000"/>
        </w:rPr>
        <w:t>é</w:t>
      </w:r>
      <w:r w:rsidRPr="00DE09A1">
        <w:rPr>
          <w:color w:val="000000"/>
        </w:rPr>
        <w:t>sar Augusto Ramírez Rodríguez</w:t>
      </w:r>
    </w:p>
    <w:p w14:paraId="7B7FE34B" w14:textId="77777777" w:rsidR="008D7B3A" w:rsidRPr="00DE09A1" w:rsidRDefault="008D7B3A" w:rsidP="00DE09A1">
      <w:pPr>
        <w:pStyle w:val="Sangradetextonormal"/>
        <w:tabs>
          <w:tab w:val="left" w:pos="3810"/>
        </w:tabs>
        <w:spacing w:after="0"/>
        <w:ind w:left="0"/>
        <w:jc w:val="both"/>
        <w:rPr>
          <w:rFonts w:ascii="Arial" w:hAnsi="Arial" w:cs="Arial"/>
          <w:bCs/>
          <w:color w:val="000000"/>
          <w:lang w:val="es-CO"/>
        </w:rPr>
      </w:pPr>
      <w:r w:rsidRPr="00DE09A1">
        <w:rPr>
          <w:rFonts w:ascii="Arial" w:hAnsi="Arial" w:cs="Arial"/>
          <w:b/>
          <w:color w:val="000000"/>
        </w:rPr>
        <w:t>Accionado:</w:t>
      </w:r>
      <w:r w:rsidRPr="00DE09A1">
        <w:rPr>
          <w:rFonts w:ascii="Arial" w:hAnsi="Arial" w:cs="Arial"/>
          <w:b/>
          <w:color w:val="000000"/>
          <w:lang w:val="es-CO"/>
        </w:rPr>
        <w:t xml:space="preserve"> </w:t>
      </w:r>
      <w:r w:rsidRPr="00DE09A1">
        <w:rPr>
          <w:rFonts w:ascii="Arial" w:hAnsi="Arial" w:cs="Arial"/>
          <w:bCs/>
          <w:color w:val="000000"/>
          <w:lang w:val="es-CO"/>
        </w:rPr>
        <w:t>Sección Segunda del</w:t>
      </w:r>
      <w:r w:rsidRPr="00DE09A1">
        <w:rPr>
          <w:rFonts w:ascii="Arial" w:hAnsi="Arial" w:cs="Arial"/>
          <w:b/>
          <w:color w:val="000000"/>
          <w:lang w:val="es-CO"/>
        </w:rPr>
        <w:t xml:space="preserve"> </w:t>
      </w:r>
      <w:r w:rsidRPr="00DE09A1">
        <w:rPr>
          <w:rFonts w:ascii="Arial" w:hAnsi="Arial" w:cs="Arial"/>
          <w:bCs/>
          <w:color w:val="000000"/>
          <w:lang w:val="es-CO"/>
        </w:rPr>
        <w:t>Consejo de Estado</w:t>
      </w:r>
    </w:p>
    <w:p w14:paraId="6F46DE03" w14:textId="689B80FF" w:rsidR="008D7B3A" w:rsidRPr="00DE09A1" w:rsidRDefault="008D7B3A" w:rsidP="00DE09A1">
      <w:pPr>
        <w:pStyle w:val="Sinespaciado"/>
        <w:ind w:right="50"/>
        <w:jc w:val="both"/>
        <w:rPr>
          <w:rFonts w:ascii="Arial" w:hAnsi="Arial"/>
        </w:rPr>
      </w:pPr>
      <w:r w:rsidRPr="00DE09A1">
        <w:rPr>
          <w:rFonts w:ascii="Arial" w:hAnsi="Arial"/>
          <w:b/>
        </w:rPr>
        <w:t xml:space="preserve">Asunto: </w:t>
      </w:r>
      <w:r w:rsidRPr="00DE09A1">
        <w:rPr>
          <w:rFonts w:ascii="Arial" w:hAnsi="Arial"/>
        </w:rPr>
        <w:t>Acción de Tutela – Sentencia de primera instancia</w:t>
      </w:r>
    </w:p>
    <w:p w14:paraId="214C82A3" w14:textId="77777777" w:rsidR="00762A45" w:rsidRPr="00DE09A1" w:rsidRDefault="00762A45" w:rsidP="00DE09A1">
      <w:pPr>
        <w:spacing w:after="0" w:line="360" w:lineRule="auto"/>
      </w:pPr>
    </w:p>
    <w:p w14:paraId="0F3C6E66" w14:textId="40B951B5" w:rsidR="00762A45" w:rsidRPr="00DE09A1" w:rsidRDefault="00D43F7D" w:rsidP="00DE09A1">
      <w:pPr>
        <w:spacing w:after="0" w:line="240" w:lineRule="auto"/>
        <w:jc w:val="both"/>
      </w:pPr>
      <w:r w:rsidRPr="00DE09A1">
        <w:rPr>
          <w:b/>
          <w:bCs/>
          <w:color w:val="000000"/>
        </w:rPr>
        <w:t xml:space="preserve">Tema: </w:t>
      </w:r>
      <w:r w:rsidRPr="00DE09A1">
        <w:rPr>
          <w:bCs/>
          <w:color w:val="000000"/>
        </w:rPr>
        <w:t>Acción de tutela</w:t>
      </w:r>
      <w:r w:rsidR="00DE09A1">
        <w:rPr>
          <w:bCs/>
          <w:color w:val="000000"/>
        </w:rPr>
        <w:t>.</w:t>
      </w:r>
      <w:r w:rsidRPr="00DE09A1">
        <w:rPr>
          <w:bCs/>
          <w:color w:val="000000"/>
        </w:rPr>
        <w:t xml:space="preserve"> </w:t>
      </w:r>
      <w:r w:rsidRPr="00DE09A1">
        <w:rPr>
          <w:b/>
          <w:bCs/>
          <w:color w:val="000000"/>
        </w:rPr>
        <w:t xml:space="preserve">Subtema: </w:t>
      </w:r>
      <w:r w:rsidRPr="00DE09A1">
        <w:rPr>
          <w:bCs/>
          <w:color w:val="000000"/>
        </w:rPr>
        <w:t xml:space="preserve">Requisitos generales o de habilitación de la acción de tutela en contra de providencias judiciales </w:t>
      </w:r>
      <w:r w:rsidRPr="00DE09A1">
        <w:rPr>
          <w:rFonts w:eastAsia="Times New Roman"/>
          <w:lang w:eastAsia="es-ES"/>
        </w:rPr>
        <w:t xml:space="preserve">— legitimación en la causa por activa. </w:t>
      </w:r>
      <w:r w:rsidRPr="00DE09A1">
        <w:rPr>
          <w:b/>
          <w:bCs/>
          <w:color w:val="000000"/>
        </w:rPr>
        <w:t xml:space="preserve">Decisión: </w:t>
      </w:r>
      <w:r w:rsidRPr="00DE09A1">
        <w:rPr>
          <w:color w:val="000000"/>
        </w:rPr>
        <w:t>Se declara improcedente la</w:t>
      </w:r>
      <w:r w:rsidRPr="00DE09A1">
        <w:rPr>
          <w:b/>
          <w:bCs/>
          <w:color w:val="000000"/>
        </w:rPr>
        <w:t xml:space="preserve"> </w:t>
      </w:r>
      <w:r w:rsidRPr="00DE09A1">
        <w:t>solicitud de amparo por no haberse logrado acreditar la legitimación en la causa por activa</w:t>
      </w:r>
      <w:r w:rsidR="00762A45" w:rsidRPr="00DE09A1">
        <w:t xml:space="preserve">. </w:t>
      </w:r>
    </w:p>
    <w:p w14:paraId="79AA82F3" w14:textId="77777777" w:rsidR="008D7B3A" w:rsidRPr="00DE09A1" w:rsidRDefault="008D7B3A" w:rsidP="00DE09A1">
      <w:pPr>
        <w:tabs>
          <w:tab w:val="left" w:pos="1239"/>
        </w:tabs>
        <w:spacing w:after="0" w:line="360" w:lineRule="auto"/>
        <w:jc w:val="both"/>
      </w:pPr>
    </w:p>
    <w:p w14:paraId="38EDD154" w14:textId="77777777" w:rsidR="008D7B3A" w:rsidRPr="00DE09A1" w:rsidRDefault="008D7B3A" w:rsidP="00DE09A1">
      <w:pPr>
        <w:tabs>
          <w:tab w:val="left" w:pos="1239"/>
        </w:tabs>
        <w:spacing w:after="0" w:line="360" w:lineRule="auto"/>
        <w:jc w:val="both"/>
      </w:pPr>
    </w:p>
    <w:p w14:paraId="44923817" w14:textId="749B062F" w:rsidR="00762A45" w:rsidRPr="00DE09A1" w:rsidRDefault="008D7B3A" w:rsidP="00DE09A1">
      <w:pPr>
        <w:tabs>
          <w:tab w:val="left" w:pos="1239"/>
        </w:tabs>
        <w:spacing w:after="0" w:line="360" w:lineRule="auto"/>
        <w:jc w:val="both"/>
      </w:pPr>
      <w:r w:rsidRPr="00DE09A1">
        <w:t>L</w:t>
      </w:r>
      <w:r w:rsidR="00250EEA" w:rsidRPr="00DE09A1">
        <w:t>a</w:t>
      </w:r>
      <w:r w:rsidR="00762A45" w:rsidRPr="00DE09A1">
        <w:t xml:space="preserve"> Sala decide la acción de tutela</w:t>
      </w:r>
      <w:r w:rsidRPr="00DE09A1">
        <w:rPr>
          <w:rStyle w:val="Refdenotaalpie"/>
        </w:rPr>
        <w:footnoteReference w:id="1"/>
      </w:r>
      <w:r w:rsidR="00762A45" w:rsidRPr="00DE09A1">
        <w:t xml:space="preserve"> presentada en contra </w:t>
      </w:r>
      <w:r w:rsidR="00786DCB" w:rsidRPr="00DE09A1">
        <w:t xml:space="preserve">de la </w:t>
      </w:r>
      <w:r w:rsidRPr="00DE09A1">
        <w:rPr>
          <w:bCs/>
          <w:color w:val="000000"/>
        </w:rPr>
        <w:t>Sección Segunda del</w:t>
      </w:r>
      <w:r w:rsidRPr="00DE09A1">
        <w:rPr>
          <w:b/>
          <w:color w:val="000000"/>
        </w:rPr>
        <w:t xml:space="preserve"> </w:t>
      </w:r>
      <w:r w:rsidRPr="00DE09A1">
        <w:rPr>
          <w:bCs/>
          <w:color w:val="000000"/>
        </w:rPr>
        <w:t>Consejo de Estado</w:t>
      </w:r>
      <w:r w:rsidRPr="00DE09A1">
        <w:t xml:space="preserve">, </w:t>
      </w:r>
      <w:r w:rsidR="00DE09A1">
        <w:t>en razón a que</w:t>
      </w:r>
      <w:r w:rsidRPr="00DE09A1">
        <w:t xml:space="preserve"> no se ha dado trámite a un recurso extraordinario de revisión</w:t>
      </w:r>
      <w:r w:rsidR="000404D2" w:rsidRPr="00DE09A1">
        <w:t>.</w:t>
      </w:r>
    </w:p>
    <w:p w14:paraId="387EAE63" w14:textId="77777777" w:rsidR="00762A45" w:rsidRPr="00DE09A1" w:rsidRDefault="00762A45" w:rsidP="00DE09A1">
      <w:pPr>
        <w:spacing w:after="0" w:line="360" w:lineRule="auto"/>
      </w:pPr>
    </w:p>
    <w:p w14:paraId="6EF4D23F" w14:textId="296185F2" w:rsidR="00762A45" w:rsidRPr="00DE09A1" w:rsidRDefault="00762A45" w:rsidP="00DE09A1">
      <w:pPr>
        <w:pStyle w:val="Prrafodelista"/>
        <w:numPr>
          <w:ilvl w:val="0"/>
          <w:numId w:val="3"/>
        </w:numPr>
        <w:spacing w:after="0" w:line="360" w:lineRule="auto"/>
        <w:jc w:val="center"/>
        <w:rPr>
          <w:b/>
        </w:rPr>
      </w:pPr>
      <w:r w:rsidRPr="00DE09A1">
        <w:rPr>
          <w:b/>
        </w:rPr>
        <w:t>ANTECEDENTES</w:t>
      </w:r>
    </w:p>
    <w:p w14:paraId="4132A343" w14:textId="77777777" w:rsidR="00F97794" w:rsidRPr="00DE09A1" w:rsidRDefault="00F97794" w:rsidP="00DE09A1">
      <w:pPr>
        <w:spacing w:after="0" w:line="360" w:lineRule="auto"/>
        <w:rPr>
          <w:b/>
        </w:rPr>
      </w:pPr>
    </w:p>
    <w:p w14:paraId="4EAE1C3A" w14:textId="77777777" w:rsidR="00762A45" w:rsidRPr="00DE09A1" w:rsidRDefault="00F97794" w:rsidP="00DE09A1">
      <w:pPr>
        <w:spacing w:after="0" w:line="360" w:lineRule="auto"/>
        <w:rPr>
          <w:b/>
        </w:rPr>
      </w:pPr>
      <w:r w:rsidRPr="00DE09A1">
        <w:rPr>
          <w:b/>
        </w:rPr>
        <w:t xml:space="preserve">1.- La solicitud de amparo constitucional </w:t>
      </w:r>
    </w:p>
    <w:p w14:paraId="61C2969C" w14:textId="77777777" w:rsidR="000D4384" w:rsidRPr="00DE09A1" w:rsidRDefault="000D4384" w:rsidP="00DE09A1">
      <w:pPr>
        <w:spacing w:after="0" w:line="360" w:lineRule="auto"/>
        <w:jc w:val="both"/>
        <w:rPr>
          <w:b/>
        </w:rPr>
      </w:pPr>
    </w:p>
    <w:p w14:paraId="5BC4A475" w14:textId="0B316EAA" w:rsidR="00762A45" w:rsidRPr="00DE09A1" w:rsidRDefault="000D4384" w:rsidP="00DE09A1">
      <w:pPr>
        <w:spacing w:after="0" w:line="360" w:lineRule="auto"/>
        <w:jc w:val="both"/>
      </w:pPr>
      <w:r w:rsidRPr="00DE09A1">
        <w:t>El</w:t>
      </w:r>
      <w:r w:rsidR="0017437D" w:rsidRPr="00DE09A1">
        <w:t xml:space="preserve"> abogad</w:t>
      </w:r>
      <w:r w:rsidRPr="00DE09A1">
        <w:t>o</w:t>
      </w:r>
      <w:r w:rsidR="0017437D" w:rsidRPr="00DE09A1">
        <w:t xml:space="preserve"> </w:t>
      </w:r>
      <w:r w:rsidRPr="00DE09A1">
        <w:t>Bernardo Enrique Gutiérrez García</w:t>
      </w:r>
      <w:r w:rsidR="007A4037" w:rsidRPr="00DE09A1">
        <w:t>,</w:t>
      </w:r>
      <w:r w:rsidR="0017437D" w:rsidRPr="00DE09A1">
        <w:t xml:space="preserve"> </w:t>
      </w:r>
      <w:r w:rsidR="007A4037" w:rsidRPr="00DE09A1">
        <w:t xml:space="preserve">quien dijo actuar en </w:t>
      </w:r>
      <w:r w:rsidR="0017437D" w:rsidRPr="00DE09A1">
        <w:t xml:space="preserve">nombre y representación de </w:t>
      </w:r>
      <w:r w:rsidRPr="00DE09A1">
        <w:rPr>
          <w:color w:val="000000"/>
        </w:rPr>
        <w:t>C</w:t>
      </w:r>
      <w:r w:rsidR="009324F0">
        <w:rPr>
          <w:color w:val="000000"/>
        </w:rPr>
        <w:t>é</w:t>
      </w:r>
      <w:r w:rsidRPr="00DE09A1">
        <w:rPr>
          <w:color w:val="000000"/>
        </w:rPr>
        <w:t>sar Augusto Ramírez Rodríguez</w:t>
      </w:r>
      <w:r w:rsidR="007A1882" w:rsidRPr="00DE09A1">
        <w:t>,</w:t>
      </w:r>
      <w:r w:rsidR="0017437D" w:rsidRPr="00DE09A1">
        <w:t xml:space="preserve"> interpuso</w:t>
      </w:r>
      <w:r w:rsidR="00E90949" w:rsidRPr="00DE09A1">
        <w:t xml:space="preserve"> acción de tutela</w:t>
      </w:r>
      <w:r w:rsidR="00E90949" w:rsidRPr="00DE09A1">
        <w:rPr>
          <w:position w:val="8"/>
        </w:rPr>
        <w:t xml:space="preserve"> </w:t>
      </w:r>
      <w:r w:rsidR="00E90949" w:rsidRPr="00DE09A1">
        <w:t xml:space="preserve">en contra de </w:t>
      </w:r>
      <w:r w:rsidRPr="00DE09A1">
        <w:t xml:space="preserve">la </w:t>
      </w:r>
      <w:r w:rsidRPr="00DE09A1">
        <w:rPr>
          <w:bCs/>
          <w:color w:val="000000"/>
        </w:rPr>
        <w:t>Sección Segunda del</w:t>
      </w:r>
      <w:r w:rsidRPr="00DE09A1">
        <w:rPr>
          <w:b/>
          <w:color w:val="000000"/>
        </w:rPr>
        <w:t xml:space="preserve"> </w:t>
      </w:r>
      <w:r w:rsidRPr="00DE09A1">
        <w:rPr>
          <w:bCs/>
          <w:color w:val="000000"/>
        </w:rPr>
        <w:t>Consejo de Estado</w:t>
      </w:r>
      <w:r w:rsidR="007A4037" w:rsidRPr="00DE09A1">
        <w:t>,</w:t>
      </w:r>
      <w:r w:rsidR="00933CBD" w:rsidRPr="00DE09A1">
        <w:t xml:space="preserve"> en procura de la protección de </w:t>
      </w:r>
      <w:r w:rsidRPr="00DE09A1">
        <w:t>los der</w:t>
      </w:r>
      <w:r w:rsidR="00933CBD" w:rsidRPr="00DE09A1">
        <w:t>echo</w:t>
      </w:r>
      <w:r w:rsidRPr="00DE09A1">
        <w:t>s</w:t>
      </w:r>
      <w:r w:rsidR="00933CBD" w:rsidRPr="00DE09A1">
        <w:t xml:space="preserve"> fundamental</w:t>
      </w:r>
      <w:r w:rsidRPr="00DE09A1">
        <w:t>es</w:t>
      </w:r>
      <w:r w:rsidR="00933CBD" w:rsidRPr="00DE09A1">
        <w:t xml:space="preserve"> </w:t>
      </w:r>
      <w:r w:rsidRPr="00DE09A1">
        <w:rPr>
          <w:lang w:val="es-ES_tradnl"/>
        </w:rPr>
        <w:t>de petición, a la dignidad humana, al mínimo vital y a la igualdad de su representado,</w:t>
      </w:r>
      <w:r w:rsidR="00933CBD" w:rsidRPr="00DE09A1">
        <w:t xml:space="preserve"> que e</w:t>
      </w:r>
      <w:r w:rsidR="00126EB3" w:rsidRPr="00DE09A1">
        <w:t>stim</w:t>
      </w:r>
      <w:r w:rsidR="00F1594B" w:rsidRPr="00DE09A1">
        <w:t>ó</w:t>
      </w:r>
      <w:r w:rsidR="00933CBD" w:rsidRPr="00DE09A1">
        <w:t xml:space="preserve"> vulnerado</w:t>
      </w:r>
      <w:r w:rsidRPr="00DE09A1">
        <w:t>s</w:t>
      </w:r>
      <w:r w:rsidR="00933CBD" w:rsidRPr="00DE09A1">
        <w:t xml:space="preserve"> </w:t>
      </w:r>
      <w:r w:rsidR="00875F0A" w:rsidRPr="00DE09A1">
        <w:t xml:space="preserve">en tanto </w:t>
      </w:r>
      <w:r w:rsidR="009324F0">
        <w:t>el</w:t>
      </w:r>
      <w:r w:rsidR="00875F0A" w:rsidRPr="00DE09A1">
        <w:t xml:space="preserve"> </w:t>
      </w:r>
      <w:r w:rsidR="00153B30" w:rsidRPr="00DE09A1">
        <w:t>censurad</w:t>
      </w:r>
      <w:r w:rsidR="009324F0">
        <w:t>o</w:t>
      </w:r>
      <w:r w:rsidR="00875F0A" w:rsidRPr="00DE09A1">
        <w:t xml:space="preserve"> n</w:t>
      </w:r>
      <w:r w:rsidR="00933CBD" w:rsidRPr="00DE09A1">
        <w:t xml:space="preserve">o </w:t>
      </w:r>
      <w:r w:rsidR="0031668B" w:rsidRPr="00DE09A1">
        <w:t xml:space="preserve">ha decidido el recurso extraordinario de revisión en contra de la sentencia </w:t>
      </w:r>
      <w:r w:rsidRPr="00DE09A1">
        <w:t>proferida por el</w:t>
      </w:r>
      <w:r w:rsidR="0031668B" w:rsidRPr="00DE09A1">
        <w:t xml:space="preserve"> Tribunal Administrativo del Meta</w:t>
      </w:r>
      <w:r w:rsidR="009324F0" w:rsidRPr="00DE09A1">
        <w:t xml:space="preserve">, </w:t>
      </w:r>
      <w:r w:rsidR="0031668B" w:rsidRPr="00DE09A1">
        <w:t xml:space="preserve">dentro del proceso de nulidad y restablecimiento del derecho radicado bajo el </w:t>
      </w:r>
      <w:r w:rsidR="004F3C0C" w:rsidRPr="00DE09A1">
        <w:t>número</w:t>
      </w:r>
      <w:r w:rsidR="0031668B" w:rsidRPr="00DE09A1">
        <w:t xml:space="preserve"> 50001333300320170018201</w:t>
      </w:r>
      <w:r w:rsidR="009324F0">
        <w:t>.</w:t>
      </w:r>
    </w:p>
    <w:p w14:paraId="7D452911" w14:textId="77777777" w:rsidR="001D5F08" w:rsidRPr="00DE09A1" w:rsidRDefault="001D5F08" w:rsidP="00DE09A1">
      <w:pPr>
        <w:spacing w:after="0" w:line="360" w:lineRule="auto"/>
        <w:ind w:right="567"/>
        <w:jc w:val="both"/>
      </w:pPr>
    </w:p>
    <w:p w14:paraId="52F191E6" w14:textId="659EBB17" w:rsidR="00A60390" w:rsidRPr="00DE09A1" w:rsidRDefault="00551682" w:rsidP="00DE09A1">
      <w:pPr>
        <w:spacing w:after="0" w:line="360" w:lineRule="auto"/>
        <w:ind w:right="567"/>
        <w:jc w:val="both"/>
        <w:rPr>
          <w:b/>
        </w:rPr>
      </w:pPr>
      <w:r w:rsidRPr="00DE09A1">
        <w:rPr>
          <w:b/>
        </w:rPr>
        <w:t>2.</w:t>
      </w:r>
      <w:r w:rsidR="00A60390" w:rsidRPr="00DE09A1">
        <w:rPr>
          <w:b/>
        </w:rPr>
        <w:t>- Hechos</w:t>
      </w:r>
    </w:p>
    <w:p w14:paraId="1B8B46F6" w14:textId="77777777" w:rsidR="000C6515" w:rsidRPr="00DE09A1" w:rsidRDefault="000C6515" w:rsidP="00DE09A1">
      <w:pPr>
        <w:spacing w:after="0" w:line="360" w:lineRule="auto"/>
        <w:jc w:val="both"/>
      </w:pPr>
    </w:p>
    <w:p w14:paraId="6EE76BC0" w14:textId="4AEB9981" w:rsidR="00E90CE8" w:rsidRPr="00DE09A1" w:rsidRDefault="00551682" w:rsidP="00DE09A1">
      <w:pPr>
        <w:spacing w:after="0" w:line="360" w:lineRule="auto"/>
        <w:jc w:val="both"/>
      </w:pPr>
      <w:r w:rsidRPr="00DE09A1">
        <w:t>2.</w:t>
      </w:r>
      <w:r w:rsidR="0094589A" w:rsidRPr="00DE09A1">
        <w:t xml:space="preserve">1.- </w:t>
      </w:r>
      <w:r w:rsidR="0031668B" w:rsidRPr="00DE09A1">
        <w:rPr>
          <w:color w:val="000000"/>
        </w:rPr>
        <w:t>C</w:t>
      </w:r>
      <w:r w:rsidR="009324F0">
        <w:rPr>
          <w:color w:val="000000"/>
        </w:rPr>
        <w:t>é</w:t>
      </w:r>
      <w:r w:rsidR="0031668B" w:rsidRPr="00DE09A1">
        <w:rPr>
          <w:color w:val="000000"/>
        </w:rPr>
        <w:t>sar Augusto Ramírez Rodríguez</w:t>
      </w:r>
      <w:r w:rsidR="001929F3" w:rsidRPr="00DE09A1">
        <w:t xml:space="preserve">, </w:t>
      </w:r>
      <w:r w:rsidR="0031668B" w:rsidRPr="00DE09A1">
        <w:t>mediante apoderado judicial, inició demanda en uso del medio de control de nulidad y restablecimiento del derecho en contra de</w:t>
      </w:r>
      <w:r w:rsidR="003E3280" w:rsidRPr="00DE09A1">
        <w:t xml:space="preserve"> la </w:t>
      </w:r>
      <w:r w:rsidR="003E3280" w:rsidRPr="00DE09A1">
        <w:lastRenderedPageBreak/>
        <w:t xml:space="preserve">Administradora Colombiana de Pensiones </w:t>
      </w:r>
      <w:r w:rsidR="00417C1A">
        <w:t>–</w:t>
      </w:r>
      <w:proofErr w:type="spellStart"/>
      <w:r w:rsidR="003E3280" w:rsidRPr="00DE09A1">
        <w:t>Colpensiones</w:t>
      </w:r>
      <w:proofErr w:type="spellEnd"/>
      <w:r w:rsidR="00417C1A">
        <w:t>–</w:t>
      </w:r>
      <w:r w:rsidR="001929F3" w:rsidRPr="00DE09A1">
        <w:t xml:space="preserve">, </w:t>
      </w:r>
      <w:r w:rsidR="009324F0">
        <w:t xml:space="preserve">a la </w:t>
      </w:r>
      <w:r w:rsidR="00153B30" w:rsidRPr="00DE09A1">
        <w:t xml:space="preserve">que le correspondió el radicado No. </w:t>
      </w:r>
      <w:r w:rsidR="003E3280" w:rsidRPr="00DE09A1">
        <w:t>50001333300320170018201</w:t>
      </w:r>
      <w:r w:rsidR="00153B30" w:rsidRPr="00DE09A1">
        <w:t xml:space="preserve">, y fue </w:t>
      </w:r>
      <w:r w:rsidR="00C76207" w:rsidRPr="00DE09A1">
        <w:t>decidid</w:t>
      </w:r>
      <w:r w:rsidR="009324F0">
        <w:t>a</w:t>
      </w:r>
      <w:r w:rsidR="00C76207" w:rsidRPr="00DE09A1">
        <w:t xml:space="preserve"> </w:t>
      </w:r>
      <w:r w:rsidR="00126EB3" w:rsidRPr="00DE09A1">
        <w:t>en primera instancia</w:t>
      </w:r>
      <w:r w:rsidR="00DE09A1">
        <w:t xml:space="preserve"> por el</w:t>
      </w:r>
      <w:r w:rsidR="00126EB3" w:rsidRPr="00DE09A1">
        <w:t xml:space="preserve"> </w:t>
      </w:r>
      <w:r w:rsidR="00AF062C" w:rsidRPr="00DE09A1">
        <w:t>Juzgado 003 Administrativo de Villavicencio</w:t>
      </w:r>
      <w:r w:rsidR="00E90CE8" w:rsidRPr="00DE09A1">
        <w:t xml:space="preserve">, mediante sentencia del </w:t>
      </w:r>
      <w:r w:rsidR="00AF062C" w:rsidRPr="00DE09A1">
        <w:t>3</w:t>
      </w:r>
      <w:r w:rsidR="00E90CE8" w:rsidRPr="00DE09A1">
        <w:t xml:space="preserve"> de </w:t>
      </w:r>
      <w:r w:rsidR="00AF062C" w:rsidRPr="00DE09A1">
        <w:t>julio</w:t>
      </w:r>
      <w:r w:rsidR="00E90CE8" w:rsidRPr="00DE09A1">
        <w:t xml:space="preserve"> de 201</w:t>
      </w:r>
      <w:r w:rsidR="00AF062C" w:rsidRPr="00DE09A1">
        <w:t>8</w:t>
      </w:r>
      <w:r w:rsidR="00E90CE8" w:rsidRPr="00DE09A1">
        <w:t xml:space="preserve">, </w:t>
      </w:r>
      <w:r w:rsidR="00AF062C" w:rsidRPr="00DE09A1">
        <w:t>que accedió a las pretensiones</w:t>
      </w:r>
      <w:r w:rsidR="00153B30" w:rsidRPr="00DE09A1">
        <w:t xml:space="preserve">. La alzada </w:t>
      </w:r>
      <w:r w:rsidR="00DE09A1">
        <w:t>fue conocida por</w:t>
      </w:r>
      <w:r w:rsidR="00153B30" w:rsidRPr="00DE09A1">
        <w:t xml:space="preserve"> </w:t>
      </w:r>
      <w:r w:rsidR="00AF062C" w:rsidRPr="00DE09A1">
        <w:t>el Tribunal Administrativo del Meta</w:t>
      </w:r>
      <w:r w:rsidR="00E90CE8" w:rsidRPr="00DE09A1">
        <w:t xml:space="preserve"> </w:t>
      </w:r>
      <w:r w:rsidRPr="00DE09A1">
        <w:t>que,</w:t>
      </w:r>
      <w:r w:rsidR="00E90CE8" w:rsidRPr="00DE09A1">
        <w:t xml:space="preserve"> </w:t>
      </w:r>
      <w:r w:rsidR="0001710F" w:rsidRPr="00DE09A1">
        <w:t xml:space="preserve">con fallo del 29 de agosto de 2019, </w:t>
      </w:r>
      <w:r w:rsidR="00E90CE8" w:rsidRPr="00DE09A1">
        <w:t xml:space="preserve">revocó la sentencia del </w:t>
      </w:r>
      <w:r w:rsidR="00E90CE8" w:rsidRPr="00DE09A1">
        <w:rPr>
          <w:i/>
        </w:rPr>
        <w:t>a quo</w:t>
      </w:r>
      <w:r w:rsidR="00153B30" w:rsidRPr="00DE09A1">
        <w:rPr>
          <w:iCs/>
        </w:rPr>
        <w:t xml:space="preserve"> </w:t>
      </w:r>
      <w:r w:rsidR="00AF062C" w:rsidRPr="00DE09A1">
        <w:rPr>
          <w:iCs/>
        </w:rPr>
        <w:t>y</w:t>
      </w:r>
      <w:r w:rsidR="009324F0">
        <w:rPr>
          <w:iCs/>
        </w:rPr>
        <w:t>,</w:t>
      </w:r>
      <w:r w:rsidR="00AF062C" w:rsidRPr="00DE09A1">
        <w:rPr>
          <w:iCs/>
        </w:rPr>
        <w:t xml:space="preserve"> en consecuencia, negó</w:t>
      </w:r>
      <w:r w:rsidR="00E90CE8" w:rsidRPr="00DE09A1">
        <w:t xml:space="preserve"> los pedimentos</w:t>
      </w:r>
      <w:r w:rsidR="0020206D" w:rsidRPr="00DE09A1">
        <w:t>.</w:t>
      </w:r>
    </w:p>
    <w:p w14:paraId="18387DDE" w14:textId="77777777" w:rsidR="00E90CE8" w:rsidRPr="00DE09A1" w:rsidRDefault="00E90CE8" w:rsidP="00DE09A1">
      <w:pPr>
        <w:spacing w:after="0" w:line="360" w:lineRule="auto"/>
        <w:jc w:val="both"/>
      </w:pPr>
    </w:p>
    <w:p w14:paraId="01F935EF" w14:textId="0C3FFB91" w:rsidR="00551682" w:rsidRPr="00DE09A1" w:rsidRDefault="00551682" w:rsidP="00DE09A1">
      <w:pPr>
        <w:spacing w:after="0" w:line="360" w:lineRule="auto"/>
        <w:jc w:val="both"/>
      </w:pPr>
      <w:r w:rsidRPr="00DE09A1">
        <w:t>2</w:t>
      </w:r>
      <w:r w:rsidR="00E90CE8" w:rsidRPr="00DE09A1">
        <w:t>.</w:t>
      </w:r>
      <w:r w:rsidR="00825142" w:rsidRPr="00DE09A1">
        <w:t>2</w:t>
      </w:r>
      <w:r w:rsidR="00E90CE8" w:rsidRPr="00DE09A1">
        <w:t xml:space="preserve">.- </w:t>
      </w:r>
      <w:r w:rsidRPr="00DE09A1">
        <w:t>El 21 de julio de 2020, c</w:t>
      </w:r>
      <w:r w:rsidR="00825142" w:rsidRPr="00DE09A1">
        <w:t xml:space="preserve">on el fin de </w:t>
      </w:r>
      <w:r w:rsidR="0001710F" w:rsidRPr="00DE09A1">
        <w:t>acudir al último trámite</w:t>
      </w:r>
      <w:r w:rsidRPr="00DE09A1">
        <w:t xml:space="preserve"> dentro del proceso</w:t>
      </w:r>
      <w:r w:rsidR="0001710F" w:rsidRPr="00DE09A1">
        <w:t>, el</w:t>
      </w:r>
      <w:r w:rsidR="00E90CE8" w:rsidRPr="00DE09A1">
        <w:t xml:space="preserve"> apoderad</w:t>
      </w:r>
      <w:r w:rsidR="0001710F" w:rsidRPr="00DE09A1">
        <w:t>o</w:t>
      </w:r>
      <w:r w:rsidR="00E90CE8" w:rsidRPr="00DE09A1">
        <w:t xml:space="preserve"> de</w:t>
      </w:r>
      <w:r w:rsidR="0001710F" w:rsidRPr="00DE09A1">
        <w:t>l</w:t>
      </w:r>
      <w:r w:rsidR="00E90CE8" w:rsidRPr="00DE09A1">
        <w:t xml:space="preserve"> demandante</w:t>
      </w:r>
      <w:r w:rsidR="0017437D" w:rsidRPr="00DE09A1">
        <w:t xml:space="preserve"> </w:t>
      </w:r>
      <w:r w:rsidR="0001710F" w:rsidRPr="00DE09A1">
        <w:t>interpuso recurso extraordinario de revisión</w:t>
      </w:r>
      <w:r w:rsidR="005A5900">
        <w:t>,</w:t>
      </w:r>
      <w:r w:rsidR="0001710F" w:rsidRPr="00DE09A1">
        <w:t xml:space="preserve"> </w:t>
      </w:r>
      <w:r w:rsidR="00E90CE8" w:rsidRPr="00DE09A1">
        <w:t>ante la autoridad aquí accionada</w:t>
      </w:r>
      <w:r w:rsidRPr="00DE09A1">
        <w:t>.</w:t>
      </w:r>
    </w:p>
    <w:p w14:paraId="727F5146" w14:textId="195DE0BF" w:rsidR="00551682" w:rsidRPr="00DE09A1" w:rsidRDefault="00551682" w:rsidP="00DE09A1">
      <w:pPr>
        <w:spacing w:after="0" w:line="360" w:lineRule="auto"/>
        <w:jc w:val="both"/>
      </w:pPr>
    </w:p>
    <w:p w14:paraId="4A41719C" w14:textId="51A683C3" w:rsidR="00E90CE8" w:rsidRPr="00DE09A1" w:rsidRDefault="00551682" w:rsidP="00DE09A1">
      <w:pPr>
        <w:spacing w:after="0" w:line="360" w:lineRule="auto"/>
        <w:jc w:val="both"/>
      </w:pPr>
      <w:r w:rsidRPr="00DE09A1">
        <w:t>2.3.- El asunto fue repartido a la Sección Segunda de esta Corporación el 25 de agosto de 2020</w:t>
      </w:r>
      <w:r w:rsidR="009324F0">
        <w:t>,</w:t>
      </w:r>
      <w:r w:rsidRPr="00DE09A1">
        <w:t xml:space="preserve"> y el 22 de enero del corriente se radicó memorial de impulso</w:t>
      </w:r>
      <w:r w:rsidR="009324F0">
        <w:t>,</w:t>
      </w:r>
      <w:r w:rsidRPr="00DE09A1">
        <w:t xml:space="preserve"> que se encuentra al despacho para respuesta.</w:t>
      </w:r>
      <w:r w:rsidR="0001710F" w:rsidRPr="00DE09A1">
        <w:t xml:space="preserve"> </w:t>
      </w:r>
    </w:p>
    <w:p w14:paraId="3AC418CB" w14:textId="77777777" w:rsidR="009964A7" w:rsidRPr="00DE09A1" w:rsidRDefault="009964A7" w:rsidP="00DE09A1">
      <w:pPr>
        <w:spacing w:after="0" w:line="360" w:lineRule="auto"/>
        <w:ind w:right="567"/>
        <w:jc w:val="both"/>
      </w:pPr>
    </w:p>
    <w:p w14:paraId="0FF7F8CB" w14:textId="0EE8CBBC" w:rsidR="00933CBD" w:rsidRPr="00DE09A1" w:rsidRDefault="00D87224" w:rsidP="00DE09A1">
      <w:pPr>
        <w:spacing w:after="0" w:line="360" w:lineRule="auto"/>
        <w:jc w:val="both"/>
        <w:rPr>
          <w:b/>
        </w:rPr>
      </w:pPr>
      <w:r>
        <w:rPr>
          <w:b/>
        </w:rPr>
        <w:t>3</w:t>
      </w:r>
      <w:r w:rsidR="00A60390" w:rsidRPr="00DE09A1">
        <w:rPr>
          <w:b/>
        </w:rPr>
        <w:t xml:space="preserve">.- Fundamentos de la solicitud de amparo </w:t>
      </w:r>
    </w:p>
    <w:p w14:paraId="37103D71" w14:textId="77777777" w:rsidR="00A60390" w:rsidRPr="00DE09A1" w:rsidRDefault="00A60390" w:rsidP="00DE09A1">
      <w:pPr>
        <w:spacing w:after="0" w:line="360" w:lineRule="auto"/>
        <w:jc w:val="both"/>
        <w:rPr>
          <w:b/>
        </w:rPr>
      </w:pPr>
    </w:p>
    <w:p w14:paraId="0511ECA6" w14:textId="18DA4B04" w:rsidR="00A60390" w:rsidRPr="00DE09A1" w:rsidRDefault="00551682" w:rsidP="00DE09A1">
      <w:pPr>
        <w:spacing w:after="0" w:line="360" w:lineRule="auto"/>
        <w:jc w:val="both"/>
        <w:rPr>
          <w:b/>
        </w:rPr>
      </w:pPr>
      <w:r w:rsidRPr="00DE09A1">
        <w:t>El</w:t>
      </w:r>
      <w:r w:rsidR="00A60390" w:rsidRPr="00DE09A1">
        <w:t xml:space="preserve"> solicitante</w:t>
      </w:r>
      <w:r w:rsidR="00943AFD" w:rsidRPr="00DE09A1">
        <w:t xml:space="preserve"> aseguró</w:t>
      </w:r>
      <w:r w:rsidR="00A60390" w:rsidRPr="00DE09A1">
        <w:t xml:space="preserve"> que</w:t>
      </w:r>
      <w:r w:rsidR="0017437D" w:rsidRPr="00DE09A1">
        <w:t xml:space="preserve"> a su representado</w:t>
      </w:r>
      <w:r w:rsidR="00A60390" w:rsidRPr="00DE09A1">
        <w:t xml:space="preserve"> </w:t>
      </w:r>
      <w:r w:rsidR="00943AFD" w:rsidRPr="00DE09A1">
        <w:t>le</w:t>
      </w:r>
      <w:r w:rsidR="00786DCB" w:rsidRPr="00DE09A1">
        <w:t xml:space="preserve"> </w:t>
      </w:r>
      <w:r w:rsidR="0017437D" w:rsidRPr="00DE09A1">
        <w:t>fue</w:t>
      </w:r>
      <w:r w:rsidRPr="00DE09A1">
        <w:t>ron</w:t>
      </w:r>
      <w:r w:rsidR="0017437D" w:rsidRPr="00DE09A1">
        <w:t xml:space="preserve"> vulnerado</w:t>
      </w:r>
      <w:r w:rsidRPr="00DE09A1">
        <w:t>s</w:t>
      </w:r>
      <w:r w:rsidR="0017437D" w:rsidRPr="00DE09A1">
        <w:t xml:space="preserve"> </w:t>
      </w:r>
      <w:r w:rsidRPr="00DE09A1">
        <w:t>sus</w:t>
      </w:r>
      <w:r w:rsidR="00A60390" w:rsidRPr="00DE09A1">
        <w:t xml:space="preserve"> derecho</w:t>
      </w:r>
      <w:r w:rsidRPr="00DE09A1">
        <w:t>s</w:t>
      </w:r>
      <w:r w:rsidR="00A60390" w:rsidRPr="00DE09A1">
        <w:t xml:space="preserve"> </w:t>
      </w:r>
      <w:r w:rsidR="001607F9" w:rsidRPr="00DE09A1">
        <w:t>fundamental</w:t>
      </w:r>
      <w:r w:rsidRPr="00DE09A1">
        <w:t>es</w:t>
      </w:r>
      <w:r w:rsidR="001607F9" w:rsidRPr="00DE09A1">
        <w:t xml:space="preserve"> </w:t>
      </w:r>
      <w:r w:rsidRPr="00DE09A1">
        <w:rPr>
          <w:lang w:val="es-ES_tradnl"/>
        </w:rPr>
        <w:t>de petición, a la dignidad humana, al mínimo vital y a la igualdad</w:t>
      </w:r>
      <w:r w:rsidR="0074097D" w:rsidRPr="00DE09A1">
        <w:t xml:space="preserve">, </w:t>
      </w:r>
      <w:r w:rsidR="00A60390" w:rsidRPr="00DE09A1">
        <w:t>ya que a la fecha de interposición del presente amparo</w:t>
      </w:r>
      <w:r w:rsidR="009324F0">
        <w:t>,</w:t>
      </w:r>
      <w:r w:rsidR="00A60390" w:rsidRPr="00DE09A1">
        <w:t xml:space="preserve"> no se ha</w:t>
      </w:r>
      <w:r w:rsidR="000B7533" w:rsidRPr="00DE09A1">
        <w:t>bía</w:t>
      </w:r>
      <w:r w:rsidR="00A60390" w:rsidRPr="00DE09A1">
        <w:t xml:space="preserve"> dado </w:t>
      </w:r>
      <w:r w:rsidR="009324F0">
        <w:t>curso</w:t>
      </w:r>
      <w:r w:rsidRPr="00DE09A1">
        <w:t xml:space="preserve"> </w:t>
      </w:r>
      <w:r w:rsidR="009324F0">
        <w:t xml:space="preserve">a su medio defensivo. </w:t>
      </w:r>
    </w:p>
    <w:p w14:paraId="1BB0528E" w14:textId="77777777" w:rsidR="00933CBD" w:rsidRPr="00DE09A1" w:rsidRDefault="00933CBD" w:rsidP="00DE09A1">
      <w:pPr>
        <w:spacing w:after="0" w:line="360" w:lineRule="auto"/>
        <w:jc w:val="both"/>
      </w:pPr>
    </w:p>
    <w:p w14:paraId="565BD88B" w14:textId="134DB1E3" w:rsidR="00DF736C" w:rsidRPr="00DE09A1" w:rsidRDefault="00D87224" w:rsidP="00DE09A1">
      <w:pPr>
        <w:tabs>
          <w:tab w:val="left" w:pos="1815"/>
        </w:tabs>
        <w:spacing w:after="0" w:line="360" w:lineRule="auto"/>
        <w:jc w:val="both"/>
        <w:rPr>
          <w:b/>
        </w:rPr>
      </w:pPr>
      <w:r>
        <w:rPr>
          <w:b/>
        </w:rPr>
        <w:t>4</w:t>
      </w:r>
      <w:r w:rsidR="00DF736C" w:rsidRPr="00DE09A1">
        <w:rPr>
          <w:b/>
        </w:rPr>
        <w:t>.- Trámite de la acción de t</w:t>
      </w:r>
      <w:r w:rsidR="00C13303" w:rsidRPr="00DE09A1">
        <w:rPr>
          <w:b/>
        </w:rPr>
        <w:t>utela y contestaciones</w:t>
      </w:r>
    </w:p>
    <w:p w14:paraId="1C8F26DD" w14:textId="77777777" w:rsidR="00DF736C" w:rsidRPr="00DE09A1" w:rsidRDefault="00DF736C" w:rsidP="00DE09A1">
      <w:pPr>
        <w:spacing w:after="0" w:line="360" w:lineRule="auto"/>
        <w:jc w:val="both"/>
      </w:pPr>
    </w:p>
    <w:p w14:paraId="6FF8D4DC" w14:textId="7E8FF13E" w:rsidR="00482143" w:rsidRPr="00DE09A1" w:rsidRDefault="00D87224" w:rsidP="00DE09A1">
      <w:pPr>
        <w:spacing w:after="0" w:line="360" w:lineRule="auto"/>
        <w:jc w:val="both"/>
      </w:pPr>
      <w:r>
        <w:t>4</w:t>
      </w:r>
      <w:r w:rsidR="009E4A2D" w:rsidRPr="00DE09A1">
        <w:t xml:space="preserve">.1.- </w:t>
      </w:r>
      <w:r w:rsidR="00482143" w:rsidRPr="00DE09A1">
        <w:t xml:space="preserve">Mediante auto del 6 de </w:t>
      </w:r>
      <w:r w:rsidR="00331190" w:rsidRPr="00DE09A1">
        <w:t>mayo</w:t>
      </w:r>
      <w:r w:rsidR="00482143" w:rsidRPr="00DE09A1">
        <w:t xml:space="preserve"> de 202</w:t>
      </w:r>
      <w:r w:rsidR="00331190" w:rsidRPr="00DE09A1">
        <w:t>1</w:t>
      </w:r>
      <w:r w:rsidR="00482143" w:rsidRPr="00DE09A1">
        <w:rPr>
          <w:rStyle w:val="Refdenotaalpie"/>
        </w:rPr>
        <w:footnoteReference w:id="2"/>
      </w:r>
      <w:r w:rsidR="00482143" w:rsidRPr="00DE09A1">
        <w:t xml:space="preserve"> </w:t>
      </w:r>
      <w:r w:rsidR="00F1594B" w:rsidRPr="00DE09A1">
        <w:t xml:space="preserve">el Ponente </w:t>
      </w:r>
      <w:r w:rsidR="00482143" w:rsidRPr="00DE09A1">
        <w:t xml:space="preserve">admitió la acción </w:t>
      </w:r>
      <w:r w:rsidR="00825142" w:rsidRPr="00DE09A1">
        <w:t>tuitiva</w:t>
      </w:r>
      <w:r w:rsidR="00482143" w:rsidRPr="00DE09A1">
        <w:t>, decisión que fue debidamente notificada</w:t>
      </w:r>
      <w:r w:rsidR="00482143" w:rsidRPr="00DE09A1">
        <w:rPr>
          <w:rStyle w:val="Refdenotaalpie"/>
        </w:rPr>
        <w:footnoteReference w:id="3"/>
      </w:r>
      <w:r w:rsidR="009324F0">
        <w:t>.</w:t>
      </w:r>
      <w:r w:rsidR="00482143" w:rsidRPr="00DE09A1">
        <w:t xml:space="preserve"> </w:t>
      </w:r>
    </w:p>
    <w:p w14:paraId="5351AAA3" w14:textId="77777777" w:rsidR="00825142" w:rsidRPr="00DE09A1" w:rsidRDefault="00825142" w:rsidP="00DE09A1">
      <w:pPr>
        <w:spacing w:after="0" w:line="360" w:lineRule="auto"/>
        <w:jc w:val="both"/>
      </w:pPr>
    </w:p>
    <w:p w14:paraId="09DD5167" w14:textId="3482287E" w:rsidR="00C13303" w:rsidRPr="00DE09A1" w:rsidRDefault="00D87224" w:rsidP="00DE09A1">
      <w:pPr>
        <w:spacing w:after="0" w:line="360" w:lineRule="auto"/>
        <w:jc w:val="both"/>
      </w:pPr>
      <w:r>
        <w:t>4</w:t>
      </w:r>
      <w:r w:rsidR="00482143" w:rsidRPr="00DE09A1">
        <w:t xml:space="preserve">.2.- La </w:t>
      </w:r>
      <w:r w:rsidR="00331190" w:rsidRPr="00DE09A1">
        <w:rPr>
          <w:bCs/>
          <w:color w:val="000000"/>
        </w:rPr>
        <w:t>Sección Segunda del</w:t>
      </w:r>
      <w:r w:rsidR="00331190" w:rsidRPr="00DE09A1">
        <w:rPr>
          <w:b/>
          <w:color w:val="000000"/>
        </w:rPr>
        <w:t xml:space="preserve"> </w:t>
      </w:r>
      <w:r w:rsidR="00331190" w:rsidRPr="00DE09A1">
        <w:rPr>
          <w:bCs/>
          <w:color w:val="000000"/>
        </w:rPr>
        <w:t>Consejo de Estado</w:t>
      </w:r>
      <w:r w:rsidR="00331190" w:rsidRPr="00DE09A1">
        <w:t xml:space="preserve"> guardó silencio. </w:t>
      </w:r>
    </w:p>
    <w:p w14:paraId="6078F318" w14:textId="7C19AAA6" w:rsidR="00491C5A" w:rsidRDefault="00491C5A" w:rsidP="00DE09A1">
      <w:pPr>
        <w:spacing w:after="0" w:line="360" w:lineRule="auto"/>
      </w:pPr>
    </w:p>
    <w:p w14:paraId="7FB4A833" w14:textId="50A59D25" w:rsidR="009324F0" w:rsidRDefault="009324F0" w:rsidP="00DE09A1">
      <w:pPr>
        <w:spacing w:after="0" w:line="360" w:lineRule="auto"/>
      </w:pPr>
    </w:p>
    <w:p w14:paraId="7C8A6E94" w14:textId="65C1114F" w:rsidR="009324F0" w:rsidRDefault="009324F0" w:rsidP="00DE09A1">
      <w:pPr>
        <w:spacing w:after="0" w:line="360" w:lineRule="auto"/>
      </w:pPr>
    </w:p>
    <w:p w14:paraId="3AC1F31E" w14:textId="3D98A38F" w:rsidR="009324F0" w:rsidRDefault="009324F0" w:rsidP="00DE09A1">
      <w:pPr>
        <w:spacing w:after="0" w:line="360" w:lineRule="auto"/>
      </w:pPr>
    </w:p>
    <w:p w14:paraId="23C780BD" w14:textId="77777777" w:rsidR="009324F0" w:rsidRPr="00DE09A1" w:rsidRDefault="009324F0" w:rsidP="00DE09A1">
      <w:pPr>
        <w:spacing w:after="0" w:line="360" w:lineRule="auto"/>
      </w:pPr>
    </w:p>
    <w:p w14:paraId="39A2D950" w14:textId="743F675B" w:rsidR="00A321B1" w:rsidRPr="00DE09A1" w:rsidRDefault="00A321B1" w:rsidP="00DE09A1">
      <w:pPr>
        <w:pStyle w:val="Prrafodelista"/>
        <w:numPr>
          <w:ilvl w:val="0"/>
          <w:numId w:val="3"/>
        </w:numPr>
        <w:tabs>
          <w:tab w:val="left" w:pos="1815"/>
        </w:tabs>
        <w:spacing w:after="0" w:line="360" w:lineRule="auto"/>
        <w:jc w:val="center"/>
        <w:rPr>
          <w:b/>
        </w:rPr>
      </w:pPr>
      <w:r w:rsidRPr="00DE09A1">
        <w:rPr>
          <w:b/>
        </w:rPr>
        <w:lastRenderedPageBreak/>
        <w:t>CONSIDERACIONES</w:t>
      </w:r>
    </w:p>
    <w:p w14:paraId="377794E6" w14:textId="77777777" w:rsidR="00A321B1" w:rsidRPr="00DE09A1" w:rsidRDefault="00A321B1" w:rsidP="00DE09A1">
      <w:pPr>
        <w:tabs>
          <w:tab w:val="left" w:pos="1815"/>
        </w:tabs>
        <w:spacing w:after="0" w:line="360" w:lineRule="auto"/>
        <w:jc w:val="both"/>
        <w:rPr>
          <w:b/>
        </w:rPr>
      </w:pPr>
    </w:p>
    <w:p w14:paraId="0198164C" w14:textId="77777777" w:rsidR="00A321B1" w:rsidRPr="00DE09A1" w:rsidRDefault="00A321B1" w:rsidP="00DE09A1">
      <w:pPr>
        <w:tabs>
          <w:tab w:val="left" w:pos="1815"/>
        </w:tabs>
        <w:spacing w:after="0" w:line="360" w:lineRule="auto"/>
        <w:jc w:val="both"/>
        <w:rPr>
          <w:b/>
        </w:rPr>
      </w:pPr>
      <w:r w:rsidRPr="00DE09A1">
        <w:rPr>
          <w:b/>
        </w:rPr>
        <w:t xml:space="preserve">1.- Competencia </w:t>
      </w:r>
    </w:p>
    <w:p w14:paraId="429C13D0" w14:textId="77777777" w:rsidR="00A321B1" w:rsidRPr="00DE09A1" w:rsidRDefault="00A321B1" w:rsidP="00DE09A1">
      <w:pPr>
        <w:spacing w:after="0" w:line="360" w:lineRule="auto"/>
        <w:jc w:val="both"/>
      </w:pPr>
    </w:p>
    <w:p w14:paraId="4CC3214A" w14:textId="15D7E2CC" w:rsidR="00E13C11" w:rsidRPr="00DE09A1" w:rsidRDefault="00A321B1" w:rsidP="00DE09A1">
      <w:pPr>
        <w:spacing w:after="0" w:line="360" w:lineRule="auto"/>
        <w:jc w:val="both"/>
      </w:pPr>
      <w:r w:rsidRPr="00DE09A1">
        <w:t>Esta Sala es competente para conocer la acción de tutela</w:t>
      </w:r>
      <w:r w:rsidR="009324F0">
        <w:t xml:space="preserve">, </w:t>
      </w:r>
      <w:r w:rsidRPr="00DE09A1">
        <w:t xml:space="preserve">de conformidad con lo establecido en los </w:t>
      </w:r>
      <w:r w:rsidRPr="00DE09A1">
        <w:rPr>
          <w:rFonts w:eastAsia="Arial"/>
        </w:rPr>
        <w:t>artículos 86 de la Constitución, 37 del Decreto 2591 de 1991 y 13 del Acuerdo 080 de 2019 de la Sala Plena del Consejo de Estado.</w:t>
      </w:r>
    </w:p>
    <w:p w14:paraId="1AAF93D6" w14:textId="5CC72805" w:rsidR="001D5F08" w:rsidRPr="00DE09A1" w:rsidRDefault="001D5F08" w:rsidP="00DE09A1">
      <w:pPr>
        <w:spacing w:after="0" w:line="360" w:lineRule="auto"/>
        <w:jc w:val="both"/>
      </w:pPr>
    </w:p>
    <w:p w14:paraId="606512C4" w14:textId="0557D091" w:rsidR="00D43F7D" w:rsidRPr="00DE09A1" w:rsidRDefault="00D43F7D" w:rsidP="00DE09A1">
      <w:pPr>
        <w:widowControl w:val="0"/>
        <w:spacing w:after="0" w:line="360" w:lineRule="auto"/>
        <w:ind w:right="49"/>
        <w:jc w:val="both"/>
        <w:rPr>
          <w:b/>
        </w:rPr>
      </w:pPr>
      <w:r w:rsidRPr="00DE09A1">
        <w:rPr>
          <w:rFonts w:eastAsia="Dotum"/>
          <w:b/>
        </w:rPr>
        <w:t xml:space="preserve">2.- De la legitimación en la causa </w:t>
      </w:r>
    </w:p>
    <w:p w14:paraId="74E101A6" w14:textId="77777777" w:rsidR="00E13C11" w:rsidRPr="00DE09A1" w:rsidRDefault="00E13C11" w:rsidP="00DE09A1">
      <w:pPr>
        <w:spacing w:after="0" w:line="360" w:lineRule="auto"/>
        <w:ind w:right="49"/>
        <w:jc w:val="both"/>
        <w:rPr>
          <w:rFonts w:eastAsia="Times New Roman"/>
          <w:bCs/>
          <w:lang w:eastAsia="es-ES"/>
        </w:rPr>
      </w:pPr>
    </w:p>
    <w:p w14:paraId="7D012651" w14:textId="78E835A2" w:rsidR="00D43F7D" w:rsidRPr="00DE09A1" w:rsidRDefault="00D43F7D" w:rsidP="00DE09A1">
      <w:pPr>
        <w:spacing w:after="0" w:line="360" w:lineRule="auto"/>
        <w:ind w:right="49"/>
        <w:jc w:val="both"/>
        <w:rPr>
          <w:rFonts w:eastAsia="Times New Roman"/>
          <w:bCs/>
          <w:lang w:val="es-ES" w:eastAsia="es-ES"/>
        </w:rPr>
      </w:pPr>
      <w:r w:rsidRPr="00DE09A1">
        <w:rPr>
          <w:rFonts w:eastAsia="Times New Roman"/>
          <w:bCs/>
          <w:lang w:val="es-ES" w:eastAsia="es-ES"/>
        </w:rPr>
        <w:t xml:space="preserve">La legitimación en la causa consiste, de una parte, en ser el titular del derecho o del interés que se invoca como fundamento de las pretensiones que se aducen, y, de otra, en ser el sujeto frente a quien deben reclamarse y controvertirse estas. Así estarían definidas la legitimación en la causa por activa y por pasiva, respectivamente. </w:t>
      </w:r>
    </w:p>
    <w:p w14:paraId="7F5E7CF6" w14:textId="77777777" w:rsidR="00E6137A" w:rsidRPr="00DE09A1" w:rsidRDefault="00E6137A" w:rsidP="00DE09A1">
      <w:pPr>
        <w:spacing w:after="0" w:line="360" w:lineRule="auto"/>
        <w:ind w:right="49"/>
        <w:jc w:val="both"/>
        <w:rPr>
          <w:rFonts w:eastAsia="Times New Roman"/>
          <w:bCs/>
          <w:lang w:val="es-ES" w:eastAsia="es-ES"/>
        </w:rPr>
      </w:pPr>
    </w:p>
    <w:p w14:paraId="3027DD66" w14:textId="77777777" w:rsidR="00D43F7D" w:rsidRPr="00DE09A1" w:rsidRDefault="00D43F7D" w:rsidP="00DE09A1">
      <w:pPr>
        <w:spacing w:after="0" w:line="360" w:lineRule="auto"/>
        <w:ind w:right="49"/>
        <w:jc w:val="both"/>
        <w:rPr>
          <w:rFonts w:eastAsia="Times New Roman"/>
          <w:bCs/>
          <w:lang w:val="es-ES" w:eastAsia="es-ES"/>
        </w:rPr>
      </w:pPr>
      <w:r w:rsidRPr="00DE09A1">
        <w:rPr>
          <w:rFonts w:eastAsia="Times New Roman"/>
          <w:bCs/>
          <w:lang w:val="es-ES" w:eastAsia="es-ES"/>
        </w:rPr>
        <w:t>De esta manera, si los demandantes carecen de legitimación en la causa, no será posible que se les satisfaga las pretensiones que aducen, toda vez que no ostentan la titularidad de la relación jurídica, del derecho o del interés sustancial que les sirve de soporte a sus pedimentos. Ahora, si son los demandados los que no están legitimados, no podrán ser constreñidos a realizar en favor de alguien alguna prestación, puesto que lo pretendido ha debido suplicársele a otros sujetos</w:t>
      </w:r>
      <w:r w:rsidRPr="00DE09A1">
        <w:rPr>
          <w:rFonts w:eastAsia="Times New Roman"/>
          <w:bCs/>
          <w:vertAlign w:val="superscript"/>
          <w:lang w:val="es-ES" w:eastAsia="es-ES"/>
        </w:rPr>
        <w:footnoteReference w:id="4"/>
      </w:r>
      <w:r w:rsidRPr="00DE09A1">
        <w:rPr>
          <w:rFonts w:eastAsia="Times New Roman"/>
          <w:bCs/>
          <w:lang w:val="es-ES" w:eastAsia="es-ES"/>
        </w:rPr>
        <w:t xml:space="preserve">. </w:t>
      </w:r>
    </w:p>
    <w:p w14:paraId="04656228" w14:textId="77777777" w:rsidR="00D43F7D" w:rsidRPr="00DE09A1" w:rsidRDefault="00D43F7D" w:rsidP="00DE09A1">
      <w:pPr>
        <w:spacing w:after="0" w:line="360" w:lineRule="auto"/>
        <w:ind w:right="49"/>
        <w:jc w:val="both"/>
        <w:rPr>
          <w:rFonts w:eastAsia="Dotum"/>
        </w:rPr>
      </w:pPr>
    </w:p>
    <w:p w14:paraId="407352AD" w14:textId="0DA2AEC3" w:rsidR="00D43F7D" w:rsidRPr="00DE09A1" w:rsidRDefault="00D43F7D" w:rsidP="00DE09A1">
      <w:pPr>
        <w:spacing w:after="0" w:line="360" w:lineRule="auto"/>
        <w:ind w:right="49"/>
        <w:jc w:val="both"/>
        <w:rPr>
          <w:rFonts w:eastAsia="Calibri"/>
          <w:color w:val="000000"/>
        </w:rPr>
      </w:pPr>
      <w:r w:rsidRPr="00DE09A1">
        <w:rPr>
          <w:rFonts w:eastAsia="Dotum"/>
        </w:rPr>
        <w:t xml:space="preserve">En tratándose de acciones de tutela, el inciso 1º del artículo 86 de la Constitución Política dispone que toda persona podrá reclamar ante los jueces, por sí misma o por quién actúe en su nombre, la protección </w:t>
      </w:r>
      <w:r w:rsidRPr="00DE09A1">
        <w:rPr>
          <w:color w:val="000000"/>
        </w:rPr>
        <w:t>efectiva, inmediata, concreta y subsidiaria de sus derechos fundamentales</w:t>
      </w:r>
      <w:r w:rsidR="005A5900">
        <w:rPr>
          <w:color w:val="000000"/>
        </w:rPr>
        <w:t>,</w:t>
      </w:r>
      <w:r w:rsidRPr="00DE09A1">
        <w:rPr>
          <w:color w:val="000000"/>
        </w:rPr>
        <w:t xml:space="preserve"> cuando vea que estos resulten amenazados o vulnerados por la acción u omisión de cualquier autoridad pública o de los particulares en los casos expresamente señalados en la ley.</w:t>
      </w:r>
    </w:p>
    <w:p w14:paraId="0EFD29B0" w14:textId="14E90D24" w:rsidR="00D43F7D" w:rsidRPr="00DE09A1" w:rsidRDefault="00D43F7D" w:rsidP="00DE09A1">
      <w:pPr>
        <w:shd w:val="clear" w:color="auto" w:fill="FFFFFF"/>
        <w:spacing w:after="0" w:line="360" w:lineRule="auto"/>
        <w:ind w:right="49"/>
        <w:jc w:val="both"/>
        <w:textAlignment w:val="baseline"/>
        <w:rPr>
          <w:color w:val="000000"/>
          <w:shd w:val="clear" w:color="auto" w:fill="FFFFFF"/>
        </w:rPr>
      </w:pPr>
    </w:p>
    <w:p w14:paraId="21350A2C" w14:textId="77777777" w:rsidR="00D43F7D" w:rsidRPr="00DE09A1" w:rsidRDefault="00D43F7D" w:rsidP="00DE09A1">
      <w:pPr>
        <w:shd w:val="clear" w:color="auto" w:fill="FFFFFF"/>
        <w:spacing w:after="0" w:line="360" w:lineRule="auto"/>
        <w:ind w:right="49"/>
        <w:jc w:val="both"/>
        <w:textAlignment w:val="baseline"/>
        <w:rPr>
          <w:color w:val="000000"/>
          <w:shd w:val="clear" w:color="auto" w:fill="FFFFFF"/>
        </w:rPr>
      </w:pPr>
      <w:r w:rsidRPr="00DE09A1">
        <w:rPr>
          <w:rFonts w:eastAsia="Verdana"/>
        </w:rPr>
        <w:t xml:space="preserve">En este orden de ideas, quien se encuentra legitimado en la causa por activa para promover la acción de tutela es el titular de los derechos fundamentales presuntamente vulnerados por la acción u omisión de cualquier autoridad pública, salvo ciertas circunstancias especiales en las que </w:t>
      </w:r>
      <w:r w:rsidRPr="00DE09A1">
        <w:rPr>
          <w:color w:val="000000"/>
          <w:shd w:val="clear" w:color="auto" w:fill="FFFFFF"/>
        </w:rPr>
        <w:t xml:space="preserve">demuestre no poder hacerlo personalmente y así lo </w:t>
      </w:r>
      <w:r w:rsidRPr="00DE09A1">
        <w:rPr>
          <w:color w:val="000000"/>
          <w:shd w:val="clear" w:color="auto" w:fill="FFFFFF"/>
        </w:rPr>
        <w:lastRenderedPageBreak/>
        <w:t xml:space="preserve">manifieste en debida forma, caso en el que se admiten las figuras de representación y agencia </w:t>
      </w:r>
      <w:r w:rsidRPr="00DE09A1">
        <w:rPr>
          <w:i/>
          <w:color w:val="000000"/>
          <w:shd w:val="clear" w:color="auto" w:fill="FFFFFF"/>
        </w:rPr>
        <w:t>“para la gestión de derechos ajenos”</w:t>
      </w:r>
      <w:r w:rsidRPr="00DE09A1">
        <w:rPr>
          <w:rStyle w:val="Refdenotaalpie"/>
          <w:iCs/>
          <w:color w:val="000000"/>
          <w:shd w:val="clear" w:color="auto" w:fill="FFFFFF"/>
        </w:rPr>
        <w:footnoteReference w:id="5"/>
      </w:r>
      <w:r w:rsidRPr="00DE09A1">
        <w:rPr>
          <w:iCs/>
          <w:color w:val="000000"/>
          <w:shd w:val="clear" w:color="auto" w:fill="FFFFFF"/>
        </w:rPr>
        <w:t>.</w:t>
      </w:r>
    </w:p>
    <w:p w14:paraId="0AD40D88" w14:textId="77777777" w:rsidR="00D43F7D" w:rsidRPr="00DE09A1" w:rsidRDefault="00D43F7D" w:rsidP="00DE09A1">
      <w:pPr>
        <w:shd w:val="clear" w:color="auto" w:fill="FFFFFF"/>
        <w:spacing w:after="0" w:line="360" w:lineRule="auto"/>
        <w:ind w:right="49"/>
        <w:jc w:val="both"/>
        <w:textAlignment w:val="baseline"/>
        <w:rPr>
          <w:color w:val="000000"/>
          <w:shd w:val="clear" w:color="auto" w:fill="FFFFFF"/>
        </w:rPr>
      </w:pPr>
    </w:p>
    <w:p w14:paraId="0417E231" w14:textId="31F8C9E6" w:rsidR="00D43F7D" w:rsidRPr="00DE09A1" w:rsidRDefault="00331190" w:rsidP="00DE09A1">
      <w:pPr>
        <w:spacing w:after="0" w:line="360" w:lineRule="auto"/>
        <w:ind w:right="49"/>
        <w:contextualSpacing/>
        <w:jc w:val="both"/>
        <w:rPr>
          <w:rFonts w:eastAsia="Verdana"/>
        </w:rPr>
      </w:pPr>
      <w:r w:rsidRPr="00DE09A1">
        <w:rPr>
          <w:rFonts w:eastAsia="Verdana"/>
        </w:rPr>
        <w:t>Entonces, en la acción de tutela que se promueve en razón de un proceso judicial como el que nos ocupa, s</w:t>
      </w:r>
      <w:r w:rsidR="00D43F7D" w:rsidRPr="00DE09A1">
        <w:rPr>
          <w:rFonts w:eastAsia="Verdana"/>
        </w:rPr>
        <w:t>on titulares del derecho y, por ende, se encuentran legitimados en la causa por activa para promoverla</w:t>
      </w:r>
      <w:r w:rsidR="00966F9F" w:rsidRPr="00DE09A1">
        <w:rPr>
          <w:rFonts w:eastAsia="Verdana"/>
        </w:rPr>
        <w:t>,</w:t>
      </w:r>
      <w:r w:rsidR="00D43F7D" w:rsidRPr="00DE09A1">
        <w:rPr>
          <w:rFonts w:eastAsia="Verdana"/>
        </w:rPr>
        <w:t xml:space="preserve"> quienes fueron parte</w:t>
      </w:r>
      <w:r w:rsidR="00D43F7D" w:rsidRPr="00DE09A1">
        <w:rPr>
          <w:rStyle w:val="Refdenotaalpie"/>
          <w:rFonts w:eastAsia="Verdana"/>
        </w:rPr>
        <w:footnoteReference w:id="6"/>
      </w:r>
      <w:r w:rsidR="00D43F7D" w:rsidRPr="00DE09A1">
        <w:rPr>
          <w:rFonts w:eastAsia="Verdana"/>
        </w:rPr>
        <w:t xml:space="preserve"> en </w:t>
      </w:r>
      <w:r w:rsidRPr="00DE09A1">
        <w:rPr>
          <w:rFonts w:eastAsia="Verdana"/>
        </w:rPr>
        <w:t xml:space="preserve">el </w:t>
      </w:r>
      <w:r w:rsidR="00042209">
        <w:rPr>
          <w:rFonts w:eastAsia="Verdana"/>
        </w:rPr>
        <w:t>negocio jurídico</w:t>
      </w:r>
      <w:r w:rsidR="00966F9F" w:rsidRPr="00DE09A1">
        <w:rPr>
          <w:rFonts w:eastAsia="Verdana"/>
        </w:rPr>
        <w:t xml:space="preserve">. Sin embargo, </w:t>
      </w:r>
      <w:r w:rsidR="00D43F7D" w:rsidRPr="00DE09A1">
        <w:rPr>
          <w:rFonts w:eastAsia="Verdana"/>
        </w:rPr>
        <w:t xml:space="preserve">para que </w:t>
      </w:r>
      <w:r w:rsidR="00966F9F" w:rsidRPr="00DE09A1">
        <w:rPr>
          <w:rFonts w:eastAsia="Verdana"/>
        </w:rPr>
        <w:t xml:space="preserve">los profesionales del derecho que actuaron en tales </w:t>
      </w:r>
      <w:r w:rsidR="00042209">
        <w:rPr>
          <w:rFonts w:eastAsia="Verdana"/>
        </w:rPr>
        <w:t>asuntos</w:t>
      </w:r>
      <w:r w:rsidR="00966F9F" w:rsidRPr="00DE09A1">
        <w:rPr>
          <w:rFonts w:eastAsia="Verdana"/>
        </w:rPr>
        <w:t xml:space="preserve"> puedan invocar la causa tuitiva, </w:t>
      </w:r>
      <w:r w:rsidR="00D43F7D" w:rsidRPr="00DE09A1">
        <w:rPr>
          <w:rFonts w:eastAsia="Verdana"/>
        </w:rPr>
        <w:t>requieren de un poder especial</w:t>
      </w:r>
      <w:r w:rsidR="00D43F7D" w:rsidRPr="00DE09A1">
        <w:rPr>
          <w:rStyle w:val="Refdenotaalpie"/>
          <w:rFonts w:eastAsia="Verdana"/>
        </w:rPr>
        <w:footnoteReference w:id="7"/>
      </w:r>
      <w:r w:rsidR="00D43F7D" w:rsidRPr="00DE09A1">
        <w:rPr>
          <w:rFonts w:eastAsia="Verdana"/>
        </w:rPr>
        <w:t>.</w:t>
      </w:r>
    </w:p>
    <w:p w14:paraId="40E99CA9" w14:textId="77777777" w:rsidR="00D43F7D" w:rsidRPr="00DE09A1" w:rsidRDefault="00D43F7D" w:rsidP="00DE09A1">
      <w:pPr>
        <w:spacing w:after="0" w:line="360" w:lineRule="auto"/>
        <w:jc w:val="both"/>
        <w:rPr>
          <w:b/>
        </w:rPr>
      </w:pPr>
    </w:p>
    <w:p w14:paraId="6013A651" w14:textId="3FFB0AAF" w:rsidR="00BD3208" w:rsidRPr="00DE09A1" w:rsidRDefault="00C90ACD" w:rsidP="00DE09A1">
      <w:pPr>
        <w:spacing w:after="0" w:line="360" w:lineRule="auto"/>
        <w:jc w:val="both"/>
        <w:rPr>
          <w:b/>
        </w:rPr>
      </w:pPr>
      <w:r w:rsidRPr="00DE09A1">
        <w:rPr>
          <w:b/>
        </w:rPr>
        <w:t>3</w:t>
      </w:r>
      <w:r w:rsidR="00BD3208" w:rsidRPr="00DE09A1">
        <w:rPr>
          <w:b/>
        </w:rPr>
        <w:t xml:space="preserve">.- Caso concreto </w:t>
      </w:r>
    </w:p>
    <w:p w14:paraId="6E467363" w14:textId="77777777" w:rsidR="000D65E4" w:rsidRPr="00DE09A1" w:rsidRDefault="000D65E4" w:rsidP="00DE09A1">
      <w:pPr>
        <w:spacing w:after="0" w:line="360" w:lineRule="auto"/>
        <w:jc w:val="both"/>
      </w:pPr>
    </w:p>
    <w:p w14:paraId="58A2101A" w14:textId="5A21C71E" w:rsidR="00526BC0" w:rsidRPr="00DE09A1" w:rsidRDefault="0093311C" w:rsidP="00DE09A1">
      <w:pPr>
        <w:spacing w:after="0" w:line="360" w:lineRule="auto"/>
        <w:ind w:right="49"/>
        <w:jc w:val="both"/>
      </w:pPr>
      <w:r w:rsidRPr="00DE09A1">
        <w:rPr>
          <w:bCs/>
        </w:rPr>
        <w:t>R</w:t>
      </w:r>
      <w:r w:rsidR="00D43F7D" w:rsidRPr="00DE09A1">
        <w:rPr>
          <w:bCs/>
        </w:rPr>
        <w:t>evisado el expediente</w:t>
      </w:r>
      <w:r w:rsidR="00437622">
        <w:rPr>
          <w:bCs/>
        </w:rPr>
        <w:t>,</w:t>
      </w:r>
      <w:r w:rsidR="00D43F7D" w:rsidRPr="00DE09A1">
        <w:rPr>
          <w:bCs/>
        </w:rPr>
        <w:t xml:space="preserve"> se observa que el señor </w:t>
      </w:r>
      <w:r w:rsidR="00331190" w:rsidRPr="00DE09A1">
        <w:rPr>
          <w:color w:val="000000"/>
        </w:rPr>
        <w:t>C</w:t>
      </w:r>
      <w:r w:rsidR="009324F0">
        <w:rPr>
          <w:color w:val="000000"/>
        </w:rPr>
        <w:t>é</w:t>
      </w:r>
      <w:r w:rsidR="00331190" w:rsidRPr="00DE09A1">
        <w:rPr>
          <w:color w:val="000000"/>
        </w:rPr>
        <w:t>sar Augusto Ramírez Rodríguez</w:t>
      </w:r>
      <w:r w:rsidR="009324F0">
        <w:rPr>
          <w:color w:val="000000"/>
        </w:rPr>
        <w:t>,</w:t>
      </w:r>
      <w:r w:rsidR="00331190" w:rsidRPr="00DE09A1">
        <w:t xml:space="preserve"> quien funge como </w:t>
      </w:r>
      <w:r w:rsidR="00D43F7D" w:rsidRPr="00DE09A1">
        <w:t xml:space="preserve">demandante dentro del proceso de </w:t>
      </w:r>
      <w:r w:rsidR="00331190" w:rsidRPr="00DE09A1">
        <w:t>nulidad y restablecimiento del derecho</w:t>
      </w:r>
      <w:r w:rsidR="00A2745F">
        <w:t>,</w:t>
      </w:r>
      <w:r w:rsidR="00D43F7D" w:rsidRPr="00DE09A1">
        <w:rPr>
          <w:bCs/>
        </w:rPr>
        <w:t xml:space="preserve"> otorg</w:t>
      </w:r>
      <w:r w:rsidR="00331190" w:rsidRPr="00DE09A1">
        <w:rPr>
          <w:bCs/>
        </w:rPr>
        <w:t>ó</w:t>
      </w:r>
      <w:r w:rsidR="00D43F7D" w:rsidRPr="00DE09A1">
        <w:rPr>
          <w:bCs/>
        </w:rPr>
        <w:t xml:space="preserve"> poder a</w:t>
      </w:r>
      <w:r w:rsidR="00331190" w:rsidRPr="00DE09A1">
        <w:rPr>
          <w:bCs/>
        </w:rPr>
        <w:t>l</w:t>
      </w:r>
      <w:r w:rsidR="00D43F7D" w:rsidRPr="00DE09A1">
        <w:rPr>
          <w:bCs/>
        </w:rPr>
        <w:t xml:space="preserve"> abogad</w:t>
      </w:r>
      <w:r w:rsidR="00331190" w:rsidRPr="00DE09A1">
        <w:rPr>
          <w:bCs/>
        </w:rPr>
        <w:t>o</w:t>
      </w:r>
      <w:r w:rsidR="00D43F7D" w:rsidRPr="00DE09A1">
        <w:rPr>
          <w:bCs/>
        </w:rPr>
        <w:t xml:space="preserve"> </w:t>
      </w:r>
      <w:r w:rsidR="00331190" w:rsidRPr="00DE09A1">
        <w:t xml:space="preserve">Bernardo Enrique Gutiérrez García </w:t>
      </w:r>
      <w:r w:rsidR="00D43F7D" w:rsidRPr="00DE09A1">
        <w:t xml:space="preserve">para iniciar y llevar hasta su terminación </w:t>
      </w:r>
      <w:r w:rsidRPr="00DE09A1">
        <w:t>tal asunto</w:t>
      </w:r>
      <w:r w:rsidR="00D43F7D" w:rsidRPr="00DE09A1">
        <w:t xml:space="preserve">. </w:t>
      </w:r>
      <w:r w:rsidR="004A03DC" w:rsidRPr="00DE09A1">
        <w:t xml:space="preserve">No obstante, </w:t>
      </w:r>
      <w:r w:rsidR="00D43F7D" w:rsidRPr="00DE09A1">
        <w:t>no obra mandato para la promoción de la acción tuitiva. De esta manera, se impone la improcedencia del amparo por falta de legitimación en la causa por activa.</w:t>
      </w:r>
    </w:p>
    <w:p w14:paraId="478769ED" w14:textId="77777777" w:rsidR="00E6137A" w:rsidRPr="00DE09A1" w:rsidRDefault="00E6137A" w:rsidP="00DE09A1">
      <w:pPr>
        <w:spacing w:after="0" w:line="360" w:lineRule="auto"/>
        <w:ind w:right="49"/>
        <w:jc w:val="both"/>
      </w:pPr>
    </w:p>
    <w:p w14:paraId="5C50AD41" w14:textId="58D490B7" w:rsidR="00526BC0" w:rsidRPr="00DE09A1" w:rsidRDefault="00526BC0" w:rsidP="00DE09A1">
      <w:pPr>
        <w:tabs>
          <w:tab w:val="left" w:pos="709"/>
          <w:tab w:val="left" w:pos="1701"/>
        </w:tabs>
        <w:spacing w:after="0" w:line="360" w:lineRule="auto"/>
        <w:jc w:val="both"/>
      </w:pPr>
      <w:r w:rsidRPr="00DE09A1">
        <w:t xml:space="preserve">En mérito de lo expuesto, </w:t>
      </w:r>
      <w:r w:rsidR="00B938EF" w:rsidRPr="00DE09A1">
        <w:t xml:space="preserve">la </w:t>
      </w:r>
      <w:r w:rsidRPr="00DE09A1">
        <w:t>Subsección C</w:t>
      </w:r>
      <w:r w:rsidR="00B938EF" w:rsidRPr="00DE09A1">
        <w:t xml:space="preserve"> de la Sección Tercera de la Sala de lo Contencioso Administrativo del Consejo de Estado,</w:t>
      </w:r>
      <w:r w:rsidRPr="00DE09A1">
        <w:t xml:space="preserve"> administrando justicia en nombre de la República y por autoridad de la ley,</w:t>
      </w:r>
    </w:p>
    <w:p w14:paraId="3C663DFE" w14:textId="77777777" w:rsidR="0094589A" w:rsidRPr="00DE09A1" w:rsidRDefault="0094589A" w:rsidP="00DE09A1">
      <w:pPr>
        <w:tabs>
          <w:tab w:val="left" w:pos="709"/>
          <w:tab w:val="left" w:pos="1701"/>
        </w:tabs>
        <w:spacing w:after="0" w:line="360" w:lineRule="auto"/>
        <w:jc w:val="both"/>
      </w:pPr>
    </w:p>
    <w:p w14:paraId="6D5A6674" w14:textId="090229D8" w:rsidR="00526BC0" w:rsidRPr="00DE09A1" w:rsidRDefault="00526BC0" w:rsidP="00DE09A1">
      <w:pPr>
        <w:pStyle w:val="Prrafodelista"/>
        <w:numPr>
          <w:ilvl w:val="0"/>
          <w:numId w:val="3"/>
        </w:numPr>
        <w:spacing w:after="0" w:line="360" w:lineRule="auto"/>
        <w:jc w:val="center"/>
        <w:rPr>
          <w:rFonts w:eastAsia="Times New Roman"/>
          <w:b/>
          <w:lang w:eastAsia="es-CO"/>
        </w:rPr>
      </w:pPr>
      <w:r w:rsidRPr="00DE09A1">
        <w:rPr>
          <w:rFonts w:eastAsia="Times New Roman"/>
          <w:b/>
          <w:lang w:eastAsia="es-CO"/>
        </w:rPr>
        <w:t>RESUELVE</w:t>
      </w:r>
    </w:p>
    <w:p w14:paraId="40196122" w14:textId="77777777" w:rsidR="00526BC0" w:rsidRPr="00DE09A1" w:rsidRDefault="00526BC0" w:rsidP="00DE09A1">
      <w:pPr>
        <w:spacing w:after="0" w:line="360" w:lineRule="auto"/>
        <w:jc w:val="center"/>
        <w:rPr>
          <w:rFonts w:eastAsia="Times New Roman"/>
          <w:b/>
          <w:lang w:eastAsia="es-CO"/>
        </w:rPr>
      </w:pPr>
    </w:p>
    <w:p w14:paraId="28B02BE5" w14:textId="02B4B2D0" w:rsidR="00526BC0" w:rsidRPr="00DE09A1" w:rsidRDefault="00526BC0" w:rsidP="00DE09A1">
      <w:pPr>
        <w:spacing w:after="0" w:line="360" w:lineRule="auto"/>
        <w:jc w:val="both"/>
      </w:pPr>
      <w:r w:rsidRPr="00DE09A1">
        <w:rPr>
          <w:rFonts w:eastAsia="Times New Roman"/>
          <w:b/>
          <w:lang w:eastAsia="es-CO"/>
        </w:rPr>
        <w:t xml:space="preserve">PRIMERO: </w:t>
      </w:r>
      <w:r w:rsidR="00B411E2" w:rsidRPr="00DE09A1">
        <w:rPr>
          <w:b/>
          <w:bCs/>
        </w:rPr>
        <w:t>DECLARAR</w:t>
      </w:r>
      <w:r w:rsidRPr="00DE09A1">
        <w:t xml:space="preserve"> </w:t>
      </w:r>
      <w:r w:rsidR="00B411E2" w:rsidRPr="00DE09A1">
        <w:rPr>
          <w:b/>
          <w:iCs/>
        </w:rPr>
        <w:t xml:space="preserve">IMPROCEDENTE </w:t>
      </w:r>
      <w:r w:rsidR="00B411E2" w:rsidRPr="00DE09A1">
        <w:rPr>
          <w:iCs/>
        </w:rPr>
        <w:t xml:space="preserve">la acción de tutela presentada </w:t>
      </w:r>
      <w:r w:rsidR="00B411E2" w:rsidRPr="00DE09A1">
        <w:t xml:space="preserve">en contra de </w:t>
      </w:r>
      <w:r w:rsidR="00DE09A1" w:rsidRPr="00DE09A1">
        <w:rPr>
          <w:bCs/>
          <w:color w:val="000000"/>
        </w:rPr>
        <w:t>Sección Segunda del</w:t>
      </w:r>
      <w:r w:rsidR="00DE09A1" w:rsidRPr="00DE09A1">
        <w:rPr>
          <w:b/>
          <w:color w:val="000000"/>
        </w:rPr>
        <w:t xml:space="preserve"> </w:t>
      </w:r>
      <w:r w:rsidR="00DE09A1" w:rsidRPr="00DE09A1">
        <w:rPr>
          <w:bCs/>
          <w:color w:val="000000"/>
        </w:rPr>
        <w:t>Consejo de Estado</w:t>
      </w:r>
      <w:r w:rsidR="00B938EF" w:rsidRPr="00DE09A1">
        <w:t>.</w:t>
      </w:r>
    </w:p>
    <w:p w14:paraId="11759429" w14:textId="77777777" w:rsidR="00526BC0" w:rsidRPr="00DE09A1" w:rsidRDefault="00526BC0" w:rsidP="00DE09A1">
      <w:pPr>
        <w:tabs>
          <w:tab w:val="left" w:pos="709"/>
          <w:tab w:val="left" w:pos="1701"/>
        </w:tabs>
        <w:spacing w:after="0" w:line="360" w:lineRule="auto"/>
        <w:jc w:val="both"/>
      </w:pPr>
      <w:r w:rsidRPr="00DE09A1">
        <w:rPr>
          <w:b/>
        </w:rPr>
        <w:lastRenderedPageBreak/>
        <w:t xml:space="preserve">SEGUNDO: NOTIFICAR </w:t>
      </w:r>
      <w:r w:rsidRPr="00DE09A1">
        <w:t>la presente decisión a los interesados por el medio más expedito.</w:t>
      </w:r>
    </w:p>
    <w:p w14:paraId="7DDA217B" w14:textId="77777777" w:rsidR="00526BC0" w:rsidRPr="00DE09A1" w:rsidRDefault="00526BC0" w:rsidP="00DE09A1">
      <w:pPr>
        <w:tabs>
          <w:tab w:val="left" w:pos="709"/>
          <w:tab w:val="left" w:pos="1701"/>
        </w:tabs>
        <w:spacing w:after="0" w:line="360" w:lineRule="auto"/>
        <w:jc w:val="both"/>
        <w:rPr>
          <w:b/>
        </w:rPr>
      </w:pPr>
    </w:p>
    <w:p w14:paraId="34436D3C" w14:textId="050C3DEC" w:rsidR="00526BC0" w:rsidRPr="00DE09A1" w:rsidRDefault="00BF56E9" w:rsidP="00DE09A1">
      <w:pPr>
        <w:tabs>
          <w:tab w:val="left" w:pos="709"/>
          <w:tab w:val="left" w:pos="1701"/>
        </w:tabs>
        <w:spacing w:after="0" w:line="360" w:lineRule="auto"/>
        <w:jc w:val="both"/>
      </w:pPr>
      <w:r>
        <w:rPr>
          <w:b/>
        </w:rPr>
        <w:t>TERCERO</w:t>
      </w:r>
      <w:r w:rsidR="00526BC0" w:rsidRPr="00DE09A1">
        <w:rPr>
          <w:b/>
        </w:rPr>
        <w:t xml:space="preserve">: ENVIAR </w:t>
      </w:r>
      <w:r w:rsidR="00526BC0" w:rsidRPr="00DE09A1">
        <w:t xml:space="preserve">a la Corte Constitucional para su eventual revisión en caso de no presentarse impugnación en contra de </w:t>
      </w:r>
      <w:r w:rsidR="00A215F9" w:rsidRPr="00DE09A1">
        <w:t xml:space="preserve">esta </w:t>
      </w:r>
      <w:r w:rsidR="00526BC0" w:rsidRPr="00DE09A1">
        <w:t xml:space="preserve">decisión. </w:t>
      </w:r>
    </w:p>
    <w:p w14:paraId="2B0B49FD" w14:textId="70C4FDFA" w:rsidR="00EC6B06" w:rsidRPr="00DE09A1" w:rsidRDefault="00EC6B06" w:rsidP="00DE09A1">
      <w:pPr>
        <w:spacing w:after="0" w:line="360" w:lineRule="auto"/>
        <w:jc w:val="center"/>
        <w:rPr>
          <w:b/>
          <w:color w:val="000000" w:themeColor="text1"/>
        </w:rPr>
      </w:pPr>
    </w:p>
    <w:p w14:paraId="50506558" w14:textId="374CAED2" w:rsidR="00DE09A1" w:rsidRPr="00DE09A1" w:rsidRDefault="00DE09A1" w:rsidP="00DE09A1">
      <w:pPr>
        <w:spacing w:after="0" w:line="360" w:lineRule="auto"/>
        <w:jc w:val="center"/>
        <w:rPr>
          <w:b/>
          <w:color w:val="000000" w:themeColor="text1"/>
        </w:rPr>
      </w:pPr>
    </w:p>
    <w:p w14:paraId="27FFC521" w14:textId="77777777" w:rsidR="00DE09A1" w:rsidRPr="00DE09A1" w:rsidRDefault="00DE09A1" w:rsidP="00DE09A1">
      <w:pPr>
        <w:pStyle w:val="Sinespaciado"/>
        <w:spacing w:line="360" w:lineRule="auto"/>
        <w:jc w:val="center"/>
        <w:rPr>
          <w:rFonts w:ascii="Arial" w:hAnsi="Arial"/>
          <w:b/>
        </w:rPr>
      </w:pPr>
      <w:r w:rsidRPr="00DE09A1">
        <w:rPr>
          <w:rFonts w:ascii="Arial" w:hAnsi="Arial"/>
          <w:b/>
        </w:rPr>
        <w:t>CÓPIESE, NOTIFÍQUESE Y CÚMPLASE</w:t>
      </w:r>
    </w:p>
    <w:p w14:paraId="72B23239" w14:textId="00583ED2" w:rsidR="00DE09A1" w:rsidRDefault="00DE09A1" w:rsidP="00BF56E9">
      <w:pPr>
        <w:spacing w:line="240" w:lineRule="auto"/>
        <w:jc w:val="center"/>
        <w:rPr>
          <w:rFonts w:eastAsia="Arial"/>
          <w:b/>
          <w:lang w:eastAsia="es-ES_tradnl"/>
        </w:rPr>
      </w:pPr>
    </w:p>
    <w:p w14:paraId="546EB7FC" w14:textId="77777777" w:rsidR="00D87224" w:rsidRPr="00DE09A1" w:rsidRDefault="00D87224" w:rsidP="00BF56E9">
      <w:pPr>
        <w:spacing w:line="240" w:lineRule="auto"/>
        <w:jc w:val="center"/>
        <w:rPr>
          <w:rFonts w:eastAsia="Arial"/>
          <w:b/>
          <w:lang w:eastAsia="es-ES_tradnl"/>
        </w:rPr>
      </w:pPr>
    </w:p>
    <w:p w14:paraId="393D99DC" w14:textId="77777777" w:rsidR="00DE09A1" w:rsidRPr="00DE09A1" w:rsidRDefault="00DE09A1" w:rsidP="00BF56E9">
      <w:pPr>
        <w:tabs>
          <w:tab w:val="left" w:pos="709"/>
          <w:tab w:val="left" w:pos="1701"/>
        </w:tabs>
        <w:spacing w:line="240" w:lineRule="auto"/>
        <w:jc w:val="center"/>
        <w:rPr>
          <w:rFonts w:eastAsia="Arial"/>
          <w:b/>
          <w:lang w:eastAsia="es-ES_tradnl"/>
        </w:rPr>
      </w:pPr>
      <w:r w:rsidRPr="00DE09A1">
        <w:rPr>
          <w:rFonts w:eastAsia="Arial"/>
          <w:b/>
          <w:lang w:eastAsia="es-ES_tradnl"/>
        </w:rPr>
        <w:t>JAIME ENRIQUE RODRÍGUEZ NAVAS</w:t>
      </w:r>
    </w:p>
    <w:p w14:paraId="0B446F28" w14:textId="77777777" w:rsidR="00DE09A1" w:rsidRPr="00DE09A1" w:rsidRDefault="00DE09A1" w:rsidP="00BF56E9">
      <w:pPr>
        <w:spacing w:line="240" w:lineRule="auto"/>
        <w:jc w:val="center"/>
        <w:rPr>
          <w:rFonts w:eastAsia="Arial"/>
          <w:b/>
          <w:lang w:eastAsia="es-ES_tradnl"/>
        </w:rPr>
      </w:pPr>
      <w:r w:rsidRPr="00DE09A1">
        <w:rPr>
          <w:rFonts w:eastAsia="Arial"/>
          <w:b/>
          <w:lang w:eastAsia="es-ES_tradnl"/>
        </w:rPr>
        <w:t>Presidente de la Sala</w:t>
      </w:r>
    </w:p>
    <w:p w14:paraId="40C2E23A" w14:textId="36951325" w:rsidR="00DE09A1" w:rsidRDefault="00DE09A1" w:rsidP="00BF56E9">
      <w:pPr>
        <w:spacing w:line="240" w:lineRule="auto"/>
        <w:jc w:val="center"/>
        <w:rPr>
          <w:rFonts w:eastAsia="Arial"/>
          <w:b/>
          <w:lang w:eastAsia="es-ES_tradnl"/>
        </w:rPr>
      </w:pPr>
    </w:p>
    <w:p w14:paraId="100C3714" w14:textId="77777777" w:rsidR="00D87224" w:rsidRPr="00DE09A1" w:rsidRDefault="00D87224" w:rsidP="00BF56E9">
      <w:pPr>
        <w:spacing w:line="240" w:lineRule="auto"/>
        <w:jc w:val="center"/>
        <w:rPr>
          <w:rFonts w:eastAsia="Arial"/>
          <w:b/>
          <w:lang w:eastAsia="es-ES_tradnl"/>
        </w:rPr>
      </w:pPr>
    </w:p>
    <w:p w14:paraId="0F6D910E" w14:textId="77777777" w:rsidR="00DE09A1" w:rsidRPr="00DE09A1" w:rsidRDefault="00DE09A1" w:rsidP="00BF56E9">
      <w:pPr>
        <w:tabs>
          <w:tab w:val="left" w:pos="709"/>
          <w:tab w:val="left" w:pos="1701"/>
        </w:tabs>
        <w:spacing w:line="240" w:lineRule="auto"/>
        <w:jc w:val="center"/>
        <w:rPr>
          <w:rFonts w:eastAsia="Arial"/>
          <w:b/>
          <w:lang w:eastAsia="es-ES_tradnl"/>
        </w:rPr>
      </w:pPr>
      <w:r w:rsidRPr="00DE09A1">
        <w:rPr>
          <w:rFonts w:eastAsia="Arial"/>
          <w:b/>
          <w:lang w:eastAsia="es-ES_tradnl"/>
        </w:rPr>
        <w:t>GUILLERMO SÁNCHEZ LUQUE</w:t>
      </w:r>
    </w:p>
    <w:p w14:paraId="79629296" w14:textId="77777777" w:rsidR="00DE09A1" w:rsidRPr="00DE09A1" w:rsidRDefault="00DE09A1" w:rsidP="00BF56E9">
      <w:pPr>
        <w:spacing w:line="240" w:lineRule="auto"/>
        <w:jc w:val="center"/>
        <w:rPr>
          <w:rFonts w:eastAsia="Arial"/>
          <w:b/>
          <w:lang w:eastAsia="es-ES_tradnl"/>
        </w:rPr>
      </w:pPr>
      <w:r w:rsidRPr="00DE09A1">
        <w:rPr>
          <w:rFonts w:eastAsia="Arial"/>
          <w:b/>
          <w:lang w:eastAsia="es-ES_tradnl"/>
        </w:rPr>
        <w:t>Consejero de Estado</w:t>
      </w:r>
    </w:p>
    <w:p w14:paraId="06189AE7" w14:textId="3FA9BC6D" w:rsidR="00DE09A1" w:rsidRDefault="00DE09A1" w:rsidP="00BF56E9">
      <w:pPr>
        <w:spacing w:line="240" w:lineRule="auto"/>
        <w:rPr>
          <w:rFonts w:eastAsia="Arial"/>
          <w:b/>
          <w:lang w:eastAsia="es-ES_tradnl"/>
        </w:rPr>
      </w:pPr>
    </w:p>
    <w:p w14:paraId="6DAE8A58" w14:textId="77777777" w:rsidR="00D87224" w:rsidRPr="00DE09A1" w:rsidRDefault="00D87224" w:rsidP="00BF56E9">
      <w:pPr>
        <w:spacing w:line="240" w:lineRule="auto"/>
        <w:rPr>
          <w:rFonts w:eastAsia="Arial"/>
          <w:b/>
          <w:lang w:eastAsia="es-ES_tradnl"/>
        </w:rPr>
      </w:pPr>
    </w:p>
    <w:p w14:paraId="78FB3288" w14:textId="77777777" w:rsidR="00DE09A1" w:rsidRPr="00DE09A1" w:rsidRDefault="00DE09A1" w:rsidP="00BF56E9">
      <w:pPr>
        <w:tabs>
          <w:tab w:val="left" w:pos="709"/>
          <w:tab w:val="left" w:pos="1701"/>
        </w:tabs>
        <w:spacing w:line="240" w:lineRule="auto"/>
        <w:jc w:val="center"/>
        <w:rPr>
          <w:rFonts w:eastAsia="Arial"/>
          <w:b/>
          <w:lang w:eastAsia="es-ES_tradnl"/>
        </w:rPr>
      </w:pPr>
      <w:r w:rsidRPr="00DE09A1">
        <w:rPr>
          <w:rFonts w:eastAsia="Arial"/>
          <w:b/>
          <w:lang w:eastAsia="es-ES_tradnl"/>
        </w:rPr>
        <w:t>NICOLÁS YEPES CORRALES</w:t>
      </w:r>
    </w:p>
    <w:p w14:paraId="57CE8876" w14:textId="77777777" w:rsidR="00DE09A1" w:rsidRPr="00DE09A1" w:rsidRDefault="00DE09A1" w:rsidP="00BF56E9">
      <w:pPr>
        <w:spacing w:line="240" w:lineRule="auto"/>
        <w:rPr>
          <w:rFonts w:eastAsia="Calibri"/>
          <w:lang w:eastAsia="es-CO"/>
        </w:rPr>
      </w:pPr>
      <w:r w:rsidRPr="00DE09A1">
        <w:rPr>
          <w:rFonts w:eastAsia="Arial"/>
          <w:b/>
          <w:lang w:eastAsia="es-ES_tradnl"/>
        </w:rPr>
        <w:t xml:space="preserve">                                                      Consejero</w:t>
      </w:r>
      <w:r w:rsidRPr="00DE09A1">
        <w:rPr>
          <w:b/>
        </w:rPr>
        <w:t xml:space="preserve"> Ponente</w:t>
      </w:r>
    </w:p>
    <w:p w14:paraId="13DB7D91" w14:textId="77777777" w:rsidR="00DE09A1" w:rsidRPr="00DE09A1" w:rsidRDefault="00DE09A1" w:rsidP="00BF56E9">
      <w:pPr>
        <w:spacing w:after="0" w:line="240" w:lineRule="auto"/>
        <w:jc w:val="center"/>
        <w:rPr>
          <w:b/>
          <w:color w:val="000000" w:themeColor="text1"/>
        </w:rPr>
      </w:pPr>
    </w:p>
    <w:sectPr w:rsidR="00DE09A1" w:rsidRPr="00DE09A1" w:rsidSect="00810B28">
      <w:headerReference w:type="default" r:id="rId11"/>
      <w:headerReference w:type="first" r:id="rId12"/>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94486" w14:textId="77777777" w:rsidR="002F4EE7" w:rsidRDefault="002F4EE7" w:rsidP="00762A45">
      <w:pPr>
        <w:spacing w:after="0" w:line="240" w:lineRule="auto"/>
      </w:pPr>
      <w:r>
        <w:separator/>
      </w:r>
    </w:p>
  </w:endnote>
  <w:endnote w:type="continuationSeparator" w:id="0">
    <w:p w14:paraId="7FE87E42" w14:textId="77777777" w:rsidR="002F4EE7" w:rsidRDefault="002F4EE7" w:rsidP="0076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C0325" w14:textId="77777777" w:rsidR="002F4EE7" w:rsidRDefault="002F4EE7" w:rsidP="00762A45">
      <w:pPr>
        <w:spacing w:after="0" w:line="240" w:lineRule="auto"/>
      </w:pPr>
      <w:r>
        <w:separator/>
      </w:r>
    </w:p>
  </w:footnote>
  <w:footnote w:type="continuationSeparator" w:id="0">
    <w:p w14:paraId="3B3754E4" w14:textId="77777777" w:rsidR="002F4EE7" w:rsidRDefault="002F4EE7" w:rsidP="00762A45">
      <w:pPr>
        <w:spacing w:after="0" w:line="240" w:lineRule="auto"/>
      </w:pPr>
      <w:r>
        <w:continuationSeparator/>
      </w:r>
    </w:p>
  </w:footnote>
  <w:footnote w:id="1">
    <w:p w14:paraId="3465AC00" w14:textId="50EEAF3D" w:rsidR="008D7B3A" w:rsidRPr="009324F0" w:rsidRDefault="008D7B3A" w:rsidP="00DE09A1">
      <w:pPr>
        <w:pStyle w:val="Textonotapie"/>
        <w:jc w:val="both"/>
        <w:rPr>
          <w:rFonts w:ascii="Arial" w:hAnsi="Arial" w:cs="Arial"/>
          <w:lang w:val="es-CO"/>
        </w:rPr>
      </w:pPr>
      <w:r w:rsidRPr="009324F0">
        <w:rPr>
          <w:rStyle w:val="Refdenotaalpie"/>
          <w:rFonts w:ascii="Arial" w:hAnsi="Arial" w:cs="Arial"/>
        </w:rPr>
        <w:footnoteRef/>
      </w:r>
      <w:r w:rsidRPr="009324F0">
        <w:rPr>
          <w:rFonts w:ascii="Arial" w:hAnsi="Arial" w:cs="Arial"/>
        </w:rPr>
        <w:t xml:space="preserve"> </w:t>
      </w:r>
      <w:r w:rsidR="00DE09A1" w:rsidRPr="009324F0">
        <w:rPr>
          <w:rFonts w:ascii="Arial" w:hAnsi="Arial" w:cs="Arial"/>
          <w:lang w:val="es-CO"/>
        </w:rPr>
        <w:t xml:space="preserve">La tutela obra en el documento de certificado </w:t>
      </w:r>
      <w:r w:rsidRPr="009324F0">
        <w:rPr>
          <w:rFonts w:ascii="Arial" w:hAnsi="Arial" w:cs="Arial"/>
        </w:rPr>
        <w:t>066B4E0F3D1DEFA9 1E1E4212EFA3FE14 8B4A1EB5E634570C 30F8CAEBD8B8EA2A</w:t>
      </w:r>
      <w:r w:rsidR="00DE09A1" w:rsidRPr="009324F0">
        <w:rPr>
          <w:rFonts w:ascii="Arial" w:hAnsi="Arial" w:cs="Arial"/>
        </w:rPr>
        <w:t>.</w:t>
      </w:r>
    </w:p>
  </w:footnote>
  <w:footnote w:id="2">
    <w:p w14:paraId="380AF408" w14:textId="6F401E2F" w:rsidR="00482143" w:rsidRPr="009324F0" w:rsidRDefault="00482143" w:rsidP="00A2745F">
      <w:pPr>
        <w:pStyle w:val="Textonotapie"/>
        <w:jc w:val="both"/>
        <w:rPr>
          <w:rFonts w:ascii="Arial" w:hAnsi="Arial" w:cs="Arial"/>
          <w:lang w:val="es-CO"/>
        </w:rPr>
      </w:pPr>
      <w:r w:rsidRPr="009324F0">
        <w:rPr>
          <w:rStyle w:val="Refdenotaalpie"/>
          <w:rFonts w:ascii="Arial" w:hAnsi="Arial" w:cs="Arial"/>
        </w:rPr>
        <w:footnoteRef/>
      </w:r>
      <w:r w:rsidRPr="009324F0">
        <w:rPr>
          <w:rFonts w:ascii="Arial" w:hAnsi="Arial" w:cs="Arial"/>
        </w:rPr>
        <w:t xml:space="preserve"> </w:t>
      </w:r>
      <w:r w:rsidRPr="009324F0">
        <w:rPr>
          <w:rFonts w:ascii="Arial" w:hAnsi="Arial" w:cs="Arial"/>
          <w:lang w:val="es-CO"/>
        </w:rPr>
        <w:t xml:space="preserve">La providencia obra en el documento de certificado </w:t>
      </w:r>
      <w:r w:rsidR="00331190" w:rsidRPr="009324F0">
        <w:rPr>
          <w:rFonts w:ascii="Arial" w:hAnsi="Arial" w:cs="Arial"/>
        </w:rPr>
        <w:t>1D5AE65C3900852E ED6F88670A451A9B FCC9F91C1CABF87F 0EE64FD8EC702D80</w:t>
      </w:r>
      <w:r w:rsidR="00A2745F" w:rsidRPr="009324F0">
        <w:rPr>
          <w:rFonts w:ascii="Arial" w:hAnsi="Arial" w:cs="Arial"/>
          <w:lang w:val="es-CO"/>
        </w:rPr>
        <w:t>.</w:t>
      </w:r>
    </w:p>
  </w:footnote>
  <w:footnote w:id="3">
    <w:p w14:paraId="1740B757" w14:textId="7BDA094A" w:rsidR="00482143" w:rsidRPr="009324F0" w:rsidRDefault="00482143" w:rsidP="00A2745F">
      <w:pPr>
        <w:pStyle w:val="Textonotapie"/>
        <w:jc w:val="both"/>
        <w:rPr>
          <w:rFonts w:ascii="Arial" w:hAnsi="Arial" w:cs="Arial"/>
          <w:lang w:val="es-CO"/>
        </w:rPr>
      </w:pPr>
      <w:r w:rsidRPr="009324F0">
        <w:rPr>
          <w:rStyle w:val="Refdenotaalpie"/>
          <w:rFonts w:ascii="Arial" w:hAnsi="Arial" w:cs="Arial"/>
        </w:rPr>
        <w:footnoteRef/>
      </w:r>
      <w:r w:rsidRPr="009324F0">
        <w:rPr>
          <w:rFonts w:ascii="Arial" w:hAnsi="Arial" w:cs="Arial"/>
        </w:rPr>
        <w:t xml:space="preserve"> </w:t>
      </w:r>
      <w:r w:rsidRPr="009324F0">
        <w:rPr>
          <w:rFonts w:ascii="Arial" w:hAnsi="Arial" w:cs="Arial"/>
          <w:lang w:val="es-CO"/>
        </w:rPr>
        <w:t xml:space="preserve">La notificación obra en el documento de certificado </w:t>
      </w:r>
      <w:r w:rsidR="00331190" w:rsidRPr="009324F0">
        <w:rPr>
          <w:rFonts w:ascii="Arial" w:hAnsi="Arial" w:cs="Arial"/>
        </w:rPr>
        <w:t>1510E85362428C02 17DC031903970F01 E5307DB90B75724F 674FB2D6C653C485</w:t>
      </w:r>
      <w:r w:rsidRPr="009324F0">
        <w:rPr>
          <w:rFonts w:ascii="Arial" w:hAnsi="Arial" w:cs="Arial"/>
          <w:lang w:val="es-CO"/>
        </w:rPr>
        <w:t xml:space="preserve">. </w:t>
      </w:r>
    </w:p>
  </w:footnote>
  <w:footnote w:id="4">
    <w:p w14:paraId="234D25BA" w14:textId="4F2E21C7" w:rsidR="00D43F7D" w:rsidRPr="009324F0" w:rsidRDefault="00D43F7D" w:rsidP="00D43F7D">
      <w:pPr>
        <w:pStyle w:val="Textonotapie"/>
        <w:ind w:right="49"/>
        <w:jc w:val="both"/>
        <w:rPr>
          <w:rFonts w:ascii="Arial" w:eastAsia="Calibri" w:hAnsi="Arial" w:cs="Arial"/>
        </w:rPr>
      </w:pPr>
      <w:r w:rsidRPr="009324F0">
        <w:rPr>
          <w:rStyle w:val="Refdenotaalpie"/>
          <w:rFonts w:ascii="Arial" w:hAnsi="Arial" w:cs="Arial"/>
        </w:rPr>
        <w:footnoteRef/>
      </w:r>
      <w:r w:rsidRPr="009324F0">
        <w:rPr>
          <w:rFonts w:ascii="Arial" w:hAnsi="Arial" w:cs="Arial"/>
        </w:rPr>
        <w:t xml:space="preserve"> Consejo de Estado, Sala Plena de lo Contencioso Administrativo, Sección Tercera, Subsección C, sentencia del 8 de mayo de 2013, </w:t>
      </w:r>
      <w:r w:rsidR="001A6049" w:rsidRPr="009324F0">
        <w:rPr>
          <w:rFonts w:ascii="Arial" w:hAnsi="Arial" w:cs="Arial"/>
        </w:rPr>
        <w:t>e</w:t>
      </w:r>
      <w:r w:rsidRPr="009324F0">
        <w:rPr>
          <w:rFonts w:ascii="Arial" w:hAnsi="Arial" w:cs="Arial"/>
        </w:rPr>
        <w:t xml:space="preserve">xpediente: 24510, C.P. Jaime Orlando Santofimio Gamboa. </w:t>
      </w:r>
    </w:p>
  </w:footnote>
  <w:footnote w:id="5">
    <w:p w14:paraId="4A8BB7F7" w14:textId="2927DE15" w:rsidR="00D43F7D" w:rsidRPr="009324F0" w:rsidRDefault="00D43F7D" w:rsidP="00D43F7D">
      <w:pPr>
        <w:pStyle w:val="Textonotapie"/>
        <w:ind w:right="49"/>
        <w:jc w:val="both"/>
        <w:rPr>
          <w:rFonts w:ascii="Arial" w:hAnsi="Arial" w:cs="Arial"/>
        </w:rPr>
      </w:pPr>
      <w:r w:rsidRPr="009324F0">
        <w:rPr>
          <w:rStyle w:val="Refdenotaalpie"/>
          <w:rFonts w:ascii="Arial" w:hAnsi="Arial" w:cs="Arial"/>
        </w:rPr>
        <w:footnoteRef/>
      </w:r>
      <w:r w:rsidRPr="009324F0">
        <w:rPr>
          <w:rFonts w:ascii="Arial" w:hAnsi="Arial" w:cs="Arial"/>
        </w:rPr>
        <w:t xml:space="preserve"> Consejo de Estado, Subsección C de la Sección Tercera de la Sala de lo Contencioso Administrativo, Auto del 2 de agosto de 2019, </w:t>
      </w:r>
      <w:r w:rsidR="001A6049" w:rsidRPr="009324F0">
        <w:rPr>
          <w:rFonts w:ascii="Arial" w:hAnsi="Arial" w:cs="Arial"/>
        </w:rPr>
        <w:t>e</w:t>
      </w:r>
      <w:r w:rsidRPr="009324F0">
        <w:rPr>
          <w:rFonts w:ascii="Arial" w:hAnsi="Arial" w:cs="Arial"/>
        </w:rPr>
        <w:t xml:space="preserve">xpediente: 11001-03-15-000-2019-00810-01, C.P. Jaime Enrique Rodríguez Navas. </w:t>
      </w:r>
    </w:p>
  </w:footnote>
  <w:footnote w:id="6">
    <w:p w14:paraId="6D1D4F33" w14:textId="77777777" w:rsidR="00D43F7D" w:rsidRPr="009324F0" w:rsidRDefault="00D43F7D" w:rsidP="00D43F7D">
      <w:pPr>
        <w:pStyle w:val="Textonotapie"/>
        <w:ind w:right="49"/>
        <w:jc w:val="both"/>
        <w:rPr>
          <w:rFonts w:ascii="Arial" w:hAnsi="Arial" w:cs="Arial"/>
        </w:rPr>
      </w:pPr>
      <w:r w:rsidRPr="009324F0">
        <w:rPr>
          <w:rStyle w:val="Refdenotaalpie"/>
          <w:rFonts w:ascii="Arial" w:hAnsi="Arial" w:cs="Arial"/>
        </w:rPr>
        <w:footnoteRef/>
      </w:r>
      <w:r w:rsidRPr="009324F0">
        <w:rPr>
          <w:rFonts w:ascii="Arial" w:hAnsi="Arial" w:cs="Arial"/>
        </w:rPr>
        <w:t xml:space="preserve"> Corte Constitucional, Auto 027 del 21 de agosto de 1997, M.P. Antonio Barrera Carbonell.</w:t>
      </w:r>
    </w:p>
    <w:p w14:paraId="18745AE1" w14:textId="77777777" w:rsidR="00D43F7D" w:rsidRPr="009324F0" w:rsidRDefault="00D43F7D" w:rsidP="00D43F7D">
      <w:pPr>
        <w:pStyle w:val="Textonotapie"/>
        <w:ind w:right="49"/>
        <w:jc w:val="both"/>
        <w:rPr>
          <w:rFonts w:ascii="Arial" w:hAnsi="Arial" w:cs="Arial"/>
        </w:rPr>
      </w:pPr>
      <w:r w:rsidRPr="009324F0">
        <w:rPr>
          <w:rFonts w:ascii="Arial" w:hAnsi="Arial" w:cs="Arial"/>
        </w:rPr>
        <w:t>“</w:t>
      </w:r>
      <w:r w:rsidRPr="009324F0">
        <w:rPr>
          <w:rFonts w:ascii="Arial" w:hAnsi="Arial" w:cs="Arial"/>
          <w:shd w:val="clear" w:color="auto" w:fill="FFFFFF"/>
        </w:rPr>
        <w:t>Se ha dicho que el </w:t>
      </w:r>
      <w:r w:rsidRPr="009324F0">
        <w:rPr>
          <w:rFonts w:ascii="Arial" w:hAnsi="Arial" w:cs="Arial"/>
          <w:bdr w:val="none" w:sz="0" w:space="0" w:color="auto" w:frame="1"/>
          <w:shd w:val="clear" w:color="auto" w:fill="FFFFFF"/>
        </w:rPr>
        <w:t xml:space="preserve">‘concepto de parte tiene una doble acepción según se la examine desde el punto de vista puramente procesal o teniendo en cuenta el derecho material en discusión. En el primer caso, son partes quienes intervienen en el proceso como demandantes o demandados, en procura de que se les satisfaga una pretensión procesal, independientemente de que les asista razón o no; de manera que desde este punto de vista la noción de parte es puramente formal. En sentido material tienen la condición de partes los sujetos de la relación jurídica sustancial objeto de la controversia o motivo del reconocimiento, así no intervengan en el proceso”. </w:t>
      </w:r>
    </w:p>
  </w:footnote>
  <w:footnote w:id="7">
    <w:p w14:paraId="42CF2D40" w14:textId="77777777" w:rsidR="00D43F7D" w:rsidRPr="009324F0" w:rsidRDefault="00D43F7D" w:rsidP="00D43F7D">
      <w:pPr>
        <w:ind w:right="49"/>
        <w:contextualSpacing/>
        <w:jc w:val="both"/>
        <w:rPr>
          <w:sz w:val="20"/>
          <w:szCs w:val="20"/>
        </w:rPr>
      </w:pPr>
      <w:r w:rsidRPr="009324F0">
        <w:rPr>
          <w:rStyle w:val="Refdenotaalpie"/>
          <w:sz w:val="20"/>
          <w:szCs w:val="20"/>
        </w:rPr>
        <w:footnoteRef/>
      </w:r>
      <w:r w:rsidRPr="009324F0">
        <w:rPr>
          <w:sz w:val="20"/>
          <w:szCs w:val="20"/>
        </w:rPr>
        <w:t xml:space="preserve"> </w:t>
      </w:r>
      <w:r w:rsidRPr="009324F0">
        <w:rPr>
          <w:sz w:val="20"/>
          <w:szCs w:val="20"/>
          <w:bdr w:val="none" w:sz="0" w:space="0" w:color="auto" w:frame="1"/>
        </w:rPr>
        <w:t>“[L</w:t>
      </w:r>
      <w:r w:rsidRPr="009324F0">
        <w:rPr>
          <w:sz w:val="20"/>
          <w:szCs w:val="20"/>
          <w:u w:val="single"/>
          <w:bdr w:val="none" w:sz="0" w:space="0" w:color="auto" w:frame="1"/>
        </w:rPr>
        <w:t>]a falta de poder especial para adelantar el proceso de tutela por parte de un apoderado judicial, aun cuando tenga poder específico o general en otros asuntos, no lo habilita para ejercer la acción de amparo constitucional a nombre de su mandante</w:t>
      </w:r>
      <w:r w:rsidRPr="009324F0">
        <w:rPr>
          <w:sz w:val="20"/>
          <w:szCs w:val="20"/>
          <w:bdr w:val="none" w:sz="0" w:space="0" w:color="auto" w:frame="1"/>
        </w:rPr>
        <w:t xml:space="preserve"> y, por lo tanto, en estos casos, la tutela debe ser declarada improcedente ante la falta de legitimación por activa”</w:t>
      </w:r>
      <w:r w:rsidRPr="009324F0">
        <w:rPr>
          <w:rStyle w:val="Refdenotaalpie"/>
          <w:sz w:val="20"/>
          <w:szCs w:val="20"/>
          <w:bdr w:val="none" w:sz="0" w:space="0" w:color="auto" w:frame="1"/>
        </w:rPr>
        <w:footnoteRef/>
      </w:r>
      <w:r w:rsidRPr="009324F0">
        <w:rPr>
          <w:sz w:val="20"/>
          <w:szCs w:val="20"/>
          <w:bdr w:val="none" w:sz="0" w:space="0" w:color="auto" w:frame="1"/>
        </w:rPr>
        <w:t>.</w:t>
      </w:r>
      <w:r w:rsidRPr="009324F0">
        <w:rPr>
          <w:sz w:val="20"/>
          <w:szCs w:val="20"/>
        </w:rPr>
        <w:t xml:space="preserve"> Corte Constitucional, sentencia T- 658 del 15 de agosto de 2002, M.P. Rodrigo Escobar Gil.</w:t>
      </w:r>
    </w:p>
    <w:p w14:paraId="2107BCFB" w14:textId="77777777" w:rsidR="00D43F7D" w:rsidRPr="009324F0" w:rsidRDefault="00D43F7D" w:rsidP="00D43F7D">
      <w:pPr>
        <w:pStyle w:val="Textonotapie"/>
        <w:ind w:right="49"/>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702740154"/>
      <w:docPartObj>
        <w:docPartGallery w:val="Page Numbers (Top of Page)"/>
        <w:docPartUnique/>
      </w:docPartObj>
    </w:sdtPr>
    <w:sdtEndPr/>
    <w:sdtContent>
      <w:p w14:paraId="4CFD476B" w14:textId="23BF63BF" w:rsidR="009964A7" w:rsidRPr="001D5F08" w:rsidRDefault="009964A7" w:rsidP="009324F0">
        <w:pPr>
          <w:pStyle w:val="Encabezado"/>
          <w:jc w:val="center"/>
          <w:rPr>
            <w:sz w:val="16"/>
            <w:szCs w:val="16"/>
          </w:rPr>
        </w:pPr>
        <w:r w:rsidRPr="001D5F08">
          <w:rPr>
            <w:sz w:val="16"/>
            <w:szCs w:val="16"/>
          </w:rPr>
          <w:fldChar w:fldCharType="begin"/>
        </w:r>
        <w:r w:rsidRPr="001D5F08">
          <w:rPr>
            <w:sz w:val="16"/>
            <w:szCs w:val="16"/>
          </w:rPr>
          <w:instrText>PAGE   \* MERGEFORMAT</w:instrText>
        </w:r>
        <w:r w:rsidRPr="001D5F08">
          <w:rPr>
            <w:sz w:val="16"/>
            <w:szCs w:val="16"/>
          </w:rPr>
          <w:fldChar w:fldCharType="separate"/>
        </w:r>
        <w:r w:rsidR="00F1594B" w:rsidRPr="001D5F08">
          <w:rPr>
            <w:noProof/>
            <w:sz w:val="16"/>
            <w:szCs w:val="16"/>
            <w:lang w:val="es-ES"/>
          </w:rPr>
          <w:t>6</w:t>
        </w:r>
        <w:r w:rsidRPr="001D5F08">
          <w:rPr>
            <w:sz w:val="16"/>
            <w:szCs w:val="16"/>
          </w:rPr>
          <w:fldChar w:fldCharType="end"/>
        </w:r>
      </w:p>
    </w:sdtContent>
  </w:sdt>
  <w:p w14:paraId="410CDF2E" w14:textId="77777777" w:rsidR="004F3C0C" w:rsidRPr="004F3C0C" w:rsidRDefault="004F3C0C" w:rsidP="009324F0">
    <w:pPr>
      <w:spacing w:after="0" w:line="240" w:lineRule="auto"/>
      <w:jc w:val="right"/>
      <w:rPr>
        <w:b/>
        <w:i/>
        <w:iCs/>
        <w:color w:val="000000"/>
        <w:sz w:val="16"/>
        <w:szCs w:val="16"/>
      </w:rPr>
    </w:pPr>
    <w:r w:rsidRPr="004F3C0C">
      <w:rPr>
        <w:b/>
        <w:i/>
        <w:iCs/>
        <w:color w:val="000000"/>
        <w:sz w:val="16"/>
        <w:szCs w:val="16"/>
      </w:rPr>
      <w:t xml:space="preserve">Radicación: </w:t>
    </w:r>
    <w:r w:rsidRPr="004F3C0C">
      <w:rPr>
        <w:i/>
        <w:iCs/>
        <w:color w:val="000000"/>
        <w:sz w:val="16"/>
        <w:szCs w:val="16"/>
        <w:shd w:val="clear" w:color="auto" w:fill="FFFFFF"/>
      </w:rPr>
      <w:t>11001-03-15-000-2021-02177-00</w:t>
    </w:r>
  </w:p>
  <w:p w14:paraId="25DAC3A6" w14:textId="4301E786" w:rsidR="004F3C0C" w:rsidRPr="004F3C0C" w:rsidRDefault="004F3C0C" w:rsidP="009324F0">
    <w:pPr>
      <w:spacing w:after="0" w:line="240" w:lineRule="auto"/>
      <w:jc w:val="right"/>
      <w:rPr>
        <w:i/>
        <w:iCs/>
        <w:color w:val="000000"/>
        <w:sz w:val="16"/>
        <w:szCs w:val="16"/>
      </w:rPr>
    </w:pPr>
    <w:r w:rsidRPr="004F3C0C">
      <w:rPr>
        <w:b/>
        <w:i/>
        <w:iCs/>
        <w:color w:val="000000"/>
        <w:sz w:val="16"/>
        <w:szCs w:val="16"/>
      </w:rPr>
      <w:t xml:space="preserve">Accionante: </w:t>
    </w:r>
    <w:r w:rsidRPr="004F3C0C">
      <w:rPr>
        <w:i/>
        <w:iCs/>
        <w:color w:val="000000"/>
        <w:sz w:val="16"/>
        <w:szCs w:val="16"/>
      </w:rPr>
      <w:t>C</w:t>
    </w:r>
    <w:r w:rsidR="00BA6C15">
      <w:rPr>
        <w:i/>
        <w:iCs/>
        <w:color w:val="000000"/>
        <w:sz w:val="16"/>
        <w:szCs w:val="16"/>
      </w:rPr>
      <w:t>é</w:t>
    </w:r>
    <w:r w:rsidRPr="004F3C0C">
      <w:rPr>
        <w:i/>
        <w:iCs/>
        <w:color w:val="000000"/>
        <w:sz w:val="16"/>
        <w:szCs w:val="16"/>
      </w:rPr>
      <w:t>sar Augusto Ramírez Rodríguez</w:t>
    </w:r>
  </w:p>
  <w:p w14:paraId="54908C46" w14:textId="77777777" w:rsidR="004F3C0C" w:rsidRPr="004F3C0C" w:rsidRDefault="004F3C0C" w:rsidP="009324F0">
    <w:pPr>
      <w:pStyle w:val="Sangradetextonormal"/>
      <w:tabs>
        <w:tab w:val="left" w:pos="3810"/>
      </w:tabs>
      <w:spacing w:after="0"/>
      <w:ind w:left="0"/>
      <w:jc w:val="right"/>
      <w:rPr>
        <w:rFonts w:ascii="Arial" w:hAnsi="Arial" w:cs="Arial"/>
        <w:bCs/>
        <w:i/>
        <w:iCs/>
        <w:color w:val="000000"/>
        <w:sz w:val="16"/>
        <w:szCs w:val="16"/>
        <w:lang w:val="es-CO"/>
      </w:rPr>
    </w:pPr>
    <w:r w:rsidRPr="004F3C0C">
      <w:rPr>
        <w:rFonts w:ascii="Arial" w:hAnsi="Arial" w:cs="Arial"/>
        <w:b/>
        <w:i/>
        <w:iCs/>
        <w:color w:val="000000"/>
        <w:sz w:val="16"/>
        <w:szCs w:val="16"/>
      </w:rPr>
      <w:t>Accionado:</w:t>
    </w:r>
    <w:r w:rsidRPr="004F3C0C">
      <w:rPr>
        <w:rFonts w:ascii="Arial" w:hAnsi="Arial" w:cs="Arial"/>
        <w:b/>
        <w:i/>
        <w:iCs/>
        <w:color w:val="000000"/>
        <w:sz w:val="16"/>
        <w:szCs w:val="16"/>
        <w:lang w:val="es-CO"/>
      </w:rPr>
      <w:t xml:space="preserve"> </w:t>
    </w:r>
    <w:r w:rsidRPr="004F3C0C">
      <w:rPr>
        <w:rFonts w:ascii="Arial" w:hAnsi="Arial" w:cs="Arial"/>
        <w:bCs/>
        <w:i/>
        <w:iCs/>
        <w:color w:val="000000"/>
        <w:sz w:val="16"/>
        <w:szCs w:val="16"/>
        <w:lang w:val="es-CO"/>
      </w:rPr>
      <w:t>Sección Segunda del</w:t>
    </w:r>
    <w:r w:rsidRPr="004F3C0C">
      <w:rPr>
        <w:rFonts w:ascii="Arial" w:hAnsi="Arial" w:cs="Arial"/>
        <w:b/>
        <w:i/>
        <w:iCs/>
        <w:color w:val="000000"/>
        <w:sz w:val="16"/>
        <w:szCs w:val="16"/>
        <w:lang w:val="es-CO"/>
      </w:rPr>
      <w:t xml:space="preserve"> </w:t>
    </w:r>
    <w:r w:rsidRPr="004F3C0C">
      <w:rPr>
        <w:rFonts w:ascii="Arial" w:hAnsi="Arial" w:cs="Arial"/>
        <w:bCs/>
        <w:i/>
        <w:iCs/>
        <w:color w:val="000000"/>
        <w:sz w:val="16"/>
        <w:szCs w:val="16"/>
        <w:lang w:val="es-CO"/>
      </w:rPr>
      <w:t>Consejo de Estado</w:t>
    </w:r>
  </w:p>
  <w:p w14:paraId="48623285" w14:textId="77777777" w:rsidR="004F3C0C" w:rsidRPr="004F3C0C" w:rsidRDefault="004F3C0C" w:rsidP="009324F0">
    <w:pPr>
      <w:pStyle w:val="Sinespaciado"/>
      <w:ind w:right="50"/>
      <w:jc w:val="right"/>
      <w:rPr>
        <w:rFonts w:ascii="Arial" w:hAnsi="Arial"/>
        <w:i/>
        <w:iCs/>
        <w:sz w:val="16"/>
        <w:szCs w:val="16"/>
      </w:rPr>
    </w:pPr>
    <w:r w:rsidRPr="004F3C0C">
      <w:rPr>
        <w:rFonts w:ascii="Arial" w:hAnsi="Arial"/>
        <w:b/>
        <w:i/>
        <w:iCs/>
        <w:sz w:val="16"/>
        <w:szCs w:val="16"/>
      </w:rPr>
      <w:t xml:space="preserve">Asunto: </w:t>
    </w:r>
    <w:r w:rsidRPr="004F3C0C">
      <w:rPr>
        <w:rFonts w:ascii="Arial" w:hAnsi="Arial"/>
        <w:i/>
        <w:iCs/>
        <w:sz w:val="16"/>
        <w:szCs w:val="16"/>
      </w:rPr>
      <w:t>Acción de Tutela – Sentencia de primera instancia</w:t>
    </w:r>
  </w:p>
  <w:p w14:paraId="2DACB0BC" w14:textId="2CE24C87" w:rsidR="00363F9C" w:rsidRPr="001D5F08" w:rsidRDefault="00363F9C" w:rsidP="009324F0">
    <w:pPr>
      <w:pStyle w:val="Encabezado"/>
      <w:jc w:val="right"/>
      <w:rPr>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0D0CE" w14:textId="77777777" w:rsidR="00762A45" w:rsidRPr="0070023E" w:rsidRDefault="00762A45" w:rsidP="00762A45">
    <w:pPr>
      <w:pStyle w:val="Encabezado"/>
      <w:rPr>
        <w:sz w:val="20"/>
        <w:szCs w:val="20"/>
      </w:rPr>
    </w:pPr>
    <w:r>
      <w:rPr>
        <w:noProof/>
        <w:lang w:eastAsia="es-CO"/>
      </w:rPr>
      <w:drawing>
        <wp:anchor distT="0" distB="0" distL="114300" distR="114300" simplePos="0" relativeHeight="251659264" behindDoc="1" locked="0" layoutInCell="1" allowOverlap="1" wp14:anchorId="4FB0DA4C" wp14:editId="4EB36BDA">
          <wp:simplePos x="0" y="0"/>
          <wp:positionH relativeFrom="column">
            <wp:posOffset>-184785</wp:posOffset>
          </wp:positionH>
          <wp:positionV relativeFrom="paragraph">
            <wp:posOffset>-107315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75C75" w14:textId="77777777" w:rsidR="00762A45" w:rsidRPr="00DB0F5D" w:rsidRDefault="00762A45" w:rsidP="00762A45">
    <w:pPr>
      <w:spacing w:after="0"/>
      <w:jc w:val="center"/>
      <w:rPr>
        <w:b/>
        <w:bCs/>
        <w:lang w:eastAsia="es-ES"/>
      </w:rPr>
    </w:pPr>
    <w:r w:rsidRPr="00DB0F5D">
      <w:rPr>
        <w:b/>
        <w:bCs/>
        <w:lang w:eastAsia="es-ES"/>
      </w:rPr>
      <w:t>CONSEJO DE ESTADO</w:t>
    </w:r>
  </w:p>
  <w:p w14:paraId="0A02C462" w14:textId="77777777" w:rsidR="00762A45" w:rsidRPr="00DB0F5D" w:rsidRDefault="00762A45" w:rsidP="00762A45">
    <w:pPr>
      <w:spacing w:after="0"/>
      <w:jc w:val="center"/>
      <w:rPr>
        <w:b/>
        <w:bCs/>
        <w:color w:val="000000"/>
        <w:lang w:eastAsia="es-ES"/>
      </w:rPr>
    </w:pPr>
    <w:r w:rsidRPr="00DB0F5D">
      <w:rPr>
        <w:b/>
        <w:bCs/>
        <w:color w:val="000000"/>
        <w:lang w:eastAsia="es-ES"/>
      </w:rPr>
      <w:t>SALA DE LO CONTENCIOSO ADMINISTRATIVO</w:t>
    </w:r>
  </w:p>
  <w:p w14:paraId="273488D8" w14:textId="77777777" w:rsidR="00762A45" w:rsidRPr="00DB0F5D" w:rsidRDefault="00762A45" w:rsidP="00762A45">
    <w:pPr>
      <w:spacing w:after="0"/>
      <w:jc w:val="center"/>
      <w:rPr>
        <w:b/>
        <w:bCs/>
        <w:color w:val="000000"/>
        <w:lang w:eastAsia="es-ES"/>
      </w:rPr>
    </w:pPr>
    <w:r w:rsidRPr="00DB0F5D">
      <w:rPr>
        <w:b/>
        <w:bCs/>
        <w:color w:val="000000"/>
        <w:lang w:eastAsia="es-ES"/>
      </w:rPr>
      <w:t>SECCIÓN TERCERA</w:t>
    </w:r>
  </w:p>
  <w:p w14:paraId="25728483" w14:textId="77777777" w:rsidR="00762A45" w:rsidRDefault="00762A45" w:rsidP="00762A45">
    <w:pPr>
      <w:spacing w:after="0"/>
      <w:jc w:val="center"/>
      <w:rPr>
        <w:b/>
        <w:bCs/>
        <w:color w:val="000000"/>
        <w:lang w:eastAsia="es-ES"/>
      </w:rPr>
    </w:pPr>
    <w:r w:rsidRPr="00DB0F5D">
      <w:rPr>
        <w:b/>
        <w:bCs/>
        <w:color w:val="000000"/>
        <w:lang w:eastAsia="es-ES"/>
      </w:rPr>
      <w:t xml:space="preserve">SUBSECCIÓN </w:t>
    </w:r>
    <w:r>
      <w:rPr>
        <w:b/>
        <w:bCs/>
        <w:color w:val="000000"/>
        <w:lang w:eastAsia="es-ES"/>
      </w:rPr>
      <w:t>C</w:t>
    </w:r>
  </w:p>
  <w:p w14:paraId="3552585A" w14:textId="77777777" w:rsidR="00762A45" w:rsidRDefault="00762A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B15F7"/>
    <w:multiLevelType w:val="multilevel"/>
    <w:tmpl w:val="C7D486C0"/>
    <w:lvl w:ilvl="0">
      <w:start w:val="1"/>
      <w:numFmt w:val="decimal"/>
      <w:lvlText w:val="%1."/>
      <w:lvlJc w:val="left"/>
      <w:pPr>
        <w:ind w:left="585" w:hanging="58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15:restartNumberingAfterBreak="0">
    <w:nsid w:val="1D5C798D"/>
    <w:multiLevelType w:val="hybridMultilevel"/>
    <w:tmpl w:val="82B01CCC"/>
    <w:lvl w:ilvl="0" w:tplc="62D4E64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5D06512"/>
    <w:multiLevelType w:val="hybridMultilevel"/>
    <w:tmpl w:val="6A082A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45"/>
    <w:rsid w:val="00003A88"/>
    <w:rsid w:val="0001710F"/>
    <w:rsid w:val="00032B38"/>
    <w:rsid w:val="000404D2"/>
    <w:rsid w:val="00042209"/>
    <w:rsid w:val="00075769"/>
    <w:rsid w:val="00094AE2"/>
    <w:rsid w:val="000A7063"/>
    <w:rsid w:val="000A7FD4"/>
    <w:rsid w:val="000B1C2A"/>
    <w:rsid w:val="000B3547"/>
    <w:rsid w:val="000B7533"/>
    <w:rsid w:val="000C6515"/>
    <w:rsid w:val="000D4384"/>
    <w:rsid w:val="000D65E4"/>
    <w:rsid w:val="00126EB3"/>
    <w:rsid w:val="00153B30"/>
    <w:rsid w:val="001607F9"/>
    <w:rsid w:val="0017437D"/>
    <w:rsid w:val="00181534"/>
    <w:rsid w:val="00185F1B"/>
    <w:rsid w:val="001929F3"/>
    <w:rsid w:val="001A40E4"/>
    <w:rsid w:val="001A6049"/>
    <w:rsid w:val="001C4F83"/>
    <w:rsid w:val="001D5F08"/>
    <w:rsid w:val="0020206D"/>
    <w:rsid w:val="0021051A"/>
    <w:rsid w:val="002403FA"/>
    <w:rsid w:val="00250EEA"/>
    <w:rsid w:val="00295D51"/>
    <w:rsid w:val="00296A8A"/>
    <w:rsid w:val="002C2BB3"/>
    <w:rsid w:val="002E14F2"/>
    <w:rsid w:val="002E6509"/>
    <w:rsid w:val="002F0188"/>
    <w:rsid w:val="002F4EE7"/>
    <w:rsid w:val="0031668B"/>
    <w:rsid w:val="00331190"/>
    <w:rsid w:val="00363F9C"/>
    <w:rsid w:val="003822C7"/>
    <w:rsid w:val="003905E6"/>
    <w:rsid w:val="003A3B84"/>
    <w:rsid w:val="003A568F"/>
    <w:rsid w:val="003B2BD5"/>
    <w:rsid w:val="003E3280"/>
    <w:rsid w:val="003F4FA9"/>
    <w:rsid w:val="00417C1A"/>
    <w:rsid w:val="0042405E"/>
    <w:rsid w:val="00430E59"/>
    <w:rsid w:val="00437622"/>
    <w:rsid w:val="00444072"/>
    <w:rsid w:val="00461E30"/>
    <w:rsid w:val="00482143"/>
    <w:rsid w:val="004861D0"/>
    <w:rsid w:val="00491C5A"/>
    <w:rsid w:val="004A03DC"/>
    <w:rsid w:val="004C59D3"/>
    <w:rsid w:val="004E7C99"/>
    <w:rsid w:val="004F3C0C"/>
    <w:rsid w:val="0051202A"/>
    <w:rsid w:val="00526BC0"/>
    <w:rsid w:val="00551682"/>
    <w:rsid w:val="005542EB"/>
    <w:rsid w:val="0057205E"/>
    <w:rsid w:val="005A5900"/>
    <w:rsid w:val="005A7989"/>
    <w:rsid w:val="005D37E4"/>
    <w:rsid w:val="005F5FBA"/>
    <w:rsid w:val="00625A1B"/>
    <w:rsid w:val="00637594"/>
    <w:rsid w:val="00665ED4"/>
    <w:rsid w:val="00675EBE"/>
    <w:rsid w:val="0067799E"/>
    <w:rsid w:val="006810B8"/>
    <w:rsid w:val="006857EF"/>
    <w:rsid w:val="006D18CA"/>
    <w:rsid w:val="006D63BE"/>
    <w:rsid w:val="006E2B75"/>
    <w:rsid w:val="00705DF9"/>
    <w:rsid w:val="00732B00"/>
    <w:rsid w:val="0074097D"/>
    <w:rsid w:val="00745AAF"/>
    <w:rsid w:val="00746B15"/>
    <w:rsid w:val="00752466"/>
    <w:rsid w:val="00762A45"/>
    <w:rsid w:val="00786DCB"/>
    <w:rsid w:val="00796D16"/>
    <w:rsid w:val="007A1882"/>
    <w:rsid w:val="007A4037"/>
    <w:rsid w:val="007D16D9"/>
    <w:rsid w:val="007D2341"/>
    <w:rsid w:val="007D60F7"/>
    <w:rsid w:val="007D6218"/>
    <w:rsid w:val="007F5B55"/>
    <w:rsid w:val="007F7997"/>
    <w:rsid w:val="00805CB9"/>
    <w:rsid w:val="008072EC"/>
    <w:rsid w:val="00810B28"/>
    <w:rsid w:val="00825142"/>
    <w:rsid w:val="00836436"/>
    <w:rsid w:val="0084063F"/>
    <w:rsid w:val="0084501B"/>
    <w:rsid w:val="00856EE6"/>
    <w:rsid w:val="00875F0A"/>
    <w:rsid w:val="00877353"/>
    <w:rsid w:val="00893C2E"/>
    <w:rsid w:val="008D7B3A"/>
    <w:rsid w:val="008E2E34"/>
    <w:rsid w:val="009324F0"/>
    <w:rsid w:val="0093311C"/>
    <w:rsid w:val="00933CBD"/>
    <w:rsid w:val="00943AFD"/>
    <w:rsid w:val="0094589A"/>
    <w:rsid w:val="00952222"/>
    <w:rsid w:val="009565A9"/>
    <w:rsid w:val="00966F9F"/>
    <w:rsid w:val="0099315F"/>
    <w:rsid w:val="00993505"/>
    <w:rsid w:val="009964A7"/>
    <w:rsid w:val="009A572F"/>
    <w:rsid w:val="009B6FFA"/>
    <w:rsid w:val="009C0955"/>
    <w:rsid w:val="009E4A2D"/>
    <w:rsid w:val="009E73A8"/>
    <w:rsid w:val="009F6845"/>
    <w:rsid w:val="00A173E8"/>
    <w:rsid w:val="00A215F9"/>
    <w:rsid w:val="00A2745F"/>
    <w:rsid w:val="00A321B1"/>
    <w:rsid w:val="00A450BB"/>
    <w:rsid w:val="00A45187"/>
    <w:rsid w:val="00A60390"/>
    <w:rsid w:val="00A67DB7"/>
    <w:rsid w:val="00A723DC"/>
    <w:rsid w:val="00A76CB6"/>
    <w:rsid w:val="00A87F3B"/>
    <w:rsid w:val="00A92189"/>
    <w:rsid w:val="00AD745A"/>
    <w:rsid w:val="00AF062C"/>
    <w:rsid w:val="00AF76FB"/>
    <w:rsid w:val="00B04DA7"/>
    <w:rsid w:val="00B1550D"/>
    <w:rsid w:val="00B17491"/>
    <w:rsid w:val="00B219AB"/>
    <w:rsid w:val="00B411E2"/>
    <w:rsid w:val="00B518CA"/>
    <w:rsid w:val="00B5688B"/>
    <w:rsid w:val="00B82D4A"/>
    <w:rsid w:val="00B938EF"/>
    <w:rsid w:val="00BA6C15"/>
    <w:rsid w:val="00BC6C96"/>
    <w:rsid w:val="00BD21FF"/>
    <w:rsid w:val="00BD3208"/>
    <w:rsid w:val="00BE04B6"/>
    <w:rsid w:val="00BF015A"/>
    <w:rsid w:val="00BF56E9"/>
    <w:rsid w:val="00C12C52"/>
    <w:rsid w:val="00C13303"/>
    <w:rsid w:val="00C157A5"/>
    <w:rsid w:val="00C17BF7"/>
    <w:rsid w:val="00C31C5F"/>
    <w:rsid w:val="00C47290"/>
    <w:rsid w:val="00C516EC"/>
    <w:rsid w:val="00C63F9B"/>
    <w:rsid w:val="00C72F36"/>
    <w:rsid w:val="00C76207"/>
    <w:rsid w:val="00C8049E"/>
    <w:rsid w:val="00C90ACD"/>
    <w:rsid w:val="00C93459"/>
    <w:rsid w:val="00CB3DBC"/>
    <w:rsid w:val="00CE2A9E"/>
    <w:rsid w:val="00CF5DD1"/>
    <w:rsid w:val="00CF75D8"/>
    <w:rsid w:val="00D43F7D"/>
    <w:rsid w:val="00D450CA"/>
    <w:rsid w:val="00D66504"/>
    <w:rsid w:val="00D87224"/>
    <w:rsid w:val="00DA63ED"/>
    <w:rsid w:val="00DC3EEB"/>
    <w:rsid w:val="00DD671E"/>
    <w:rsid w:val="00DE09A1"/>
    <w:rsid w:val="00DF736C"/>
    <w:rsid w:val="00E01E4B"/>
    <w:rsid w:val="00E10BFA"/>
    <w:rsid w:val="00E13C11"/>
    <w:rsid w:val="00E439C0"/>
    <w:rsid w:val="00E6137A"/>
    <w:rsid w:val="00E70CB9"/>
    <w:rsid w:val="00E90949"/>
    <w:rsid w:val="00E90CE8"/>
    <w:rsid w:val="00EC14DF"/>
    <w:rsid w:val="00EC6B06"/>
    <w:rsid w:val="00ED1657"/>
    <w:rsid w:val="00EE5FC9"/>
    <w:rsid w:val="00F046F4"/>
    <w:rsid w:val="00F1594B"/>
    <w:rsid w:val="00F3323A"/>
    <w:rsid w:val="00F3508E"/>
    <w:rsid w:val="00F523ED"/>
    <w:rsid w:val="00F52565"/>
    <w:rsid w:val="00F72A53"/>
    <w:rsid w:val="00F83FEB"/>
    <w:rsid w:val="00F843FE"/>
    <w:rsid w:val="00F9185D"/>
    <w:rsid w:val="00F97794"/>
    <w:rsid w:val="00FB28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DECA"/>
  <w15:docId w15:val="{442AFE00-4F28-514F-A93D-B50460FB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A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2A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2A45"/>
  </w:style>
  <w:style w:type="paragraph" w:styleId="Piedepgina">
    <w:name w:val="footer"/>
    <w:basedOn w:val="Normal"/>
    <w:link w:val="PiedepginaCar"/>
    <w:uiPriority w:val="99"/>
    <w:unhideWhenUsed/>
    <w:rsid w:val="00762A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2A45"/>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uiPriority w:val="99"/>
    <w:qFormat/>
    <w:rsid w:val="00762A45"/>
    <w:rPr>
      <w:vertAlign w:val="superscript"/>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uiPriority w:val="99"/>
    <w:qFormat/>
    <w:rsid w:val="00762A4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762A45"/>
    <w:rPr>
      <w:rFonts w:ascii="Times New Roman" w:eastAsia="Times New Roman" w:hAnsi="Times New Roman" w:cs="Times New Roman"/>
      <w:sz w:val="20"/>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2A45"/>
    <w:pPr>
      <w:spacing w:after="0" w:line="240" w:lineRule="auto"/>
      <w:jc w:val="both"/>
    </w:pPr>
    <w:rPr>
      <w:vertAlign w:val="superscript"/>
    </w:rPr>
  </w:style>
  <w:style w:type="paragraph" w:styleId="Prrafodelista">
    <w:name w:val="List Paragraph"/>
    <w:basedOn w:val="Normal"/>
    <w:uiPriority w:val="34"/>
    <w:qFormat/>
    <w:rsid w:val="00762A45"/>
    <w:pPr>
      <w:ind w:left="720"/>
      <w:contextualSpacing/>
    </w:pPr>
  </w:style>
  <w:style w:type="character" w:styleId="Hipervnculo">
    <w:name w:val="Hyperlink"/>
    <w:basedOn w:val="Fuentedeprrafopredeter"/>
    <w:uiPriority w:val="99"/>
    <w:unhideWhenUsed/>
    <w:rsid w:val="00A60390"/>
    <w:rPr>
      <w:color w:val="0563C1" w:themeColor="hyperlink"/>
      <w:u w:val="single"/>
    </w:rPr>
  </w:style>
  <w:style w:type="paragraph" w:customStyle="1" w:styleId="Sombreadomedio1-nfasis11">
    <w:name w:val="Sombreado medio 1 - Énfasis 11"/>
    <w:uiPriority w:val="1"/>
    <w:qFormat/>
    <w:rsid w:val="005D37E4"/>
    <w:pPr>
      <w:spacing w:after="0" w:line="240" w:lineRule="auto"/>
    </w:pPr>
    <w:rPr>
      <w:rFonts w:ascii="Calibri" w:eastAsia="SimSun" w:hAnsi="Calibri" w:cs="Times New Roman"/>
      <w:sz w:val="22"/>
      <w:szCs w:val="22"/>
    </w:rPr>
  </w:style>
  <w:style w:type="character" w:styleId="Hipervnculovisitado">
    <w:name w:val="FollowedHyperlink"/>
    <w:basedOn w:val="Fuentedeprrafopredeter"/>
    <w:uiPriority w:val="99"/>
    <w:semiHidden/>
    <w:unhideWhenUsed/>
    <w:rsid w:val="00363F9C"/>
    <w:rPr>
      <w:color w:val="954F72" w:themeColor="followedHyperlink"/>
      <w:u w:val="single"/>
    </w:rPr>
  </w:style>
  <w:style w:type="character" w:styleId="Refdecomentario">
    <w:name w:val="annotation reference"/>
    <w:basedOn w:val="Fuentedeprrafopredeter"/>
    <w:uiPriority w:val="99"/>
    <w:semiHidden/>
    <w:unhideWhenUsed/>
    <w:rsid w:val="005542EB"/>
    <w:rPr>
      <w:sz w:val="16"/>
      <w:szCs w:val="16"/>
    </w:rPr>
  </w:style>
  <w:style w:type="paragraph" w:styleId="Textocomentario">
    <w:name w:val="annotation text"/>
    <w:basedOn w:val="Normal"/>
    <w:link w:val="TextocomentarioCar"/>
    <w:uiPriority w:val="99"/>
    <w:semiHidden/>
    <w:unhideWhenUsed/>
    <w:rsid w:val="005542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542EB"/>
    <w:rPr>
      <w:sz w:val="20"/>
      <w:szCs w:val="20"/>
    </w:rPr>
  </w:style>
  <w:style w:type="paragraph" w:styleId="Asuntodelcomentario">
    <w:name w:val="annotation subject"/>
    <w:basedOn w:val="Textocomentario"/>
    <w:next w:val="Textocomentario"/>
    <w:link w:val="AsuntodelcomentarioCar"/>
    <w:uiPriority w:val="99"/>
    <w:semiHidden/>
    <w:unhideWhenUsed/>
    <w:rsid w:val="005542EB"/>
    <w:rPr>
      <w:b/>
      <w:bCs/>
    </w:rPr>
  </w:style>
  <w:style w:type="character" w:customStyle="1" w:styleId="AsuntodelcomentarioCar">
    <w:name w:val="Asunto del comentario Car"/>
    <w:basedOn w:val="TextocomentarioCar"/>
    <w:link w:val="Asuntodelcomentario"/>
    <w:uiPriority w:val="99"/>
    <w:semiHidden/>
    <w:rsid w:val="005542EB"/>
    <w:rPr>
      <w:b/>
      <w:bCs/>
      <w:sz w:val="20"/>
      <w:szCs w:val="20"/>
    </w:rPr>
  </w:style>
  <w:style w:type="paragraph" w:styleId="Textodeglobo">
    <w:name w:val="Balloon Text"/>
    <w:basedOn w:val="Normal"/>
    <w:link w:val="TextodegloboCar"/>
    <w:uiPriority w:val="99"/>
    <w:semiHidden/>
    <w:unhideWhenUsed/>
    <w:rsid w:val="005542EB"/>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42EB"/>
    <w:rPr>
      <w:rFonts w:ascii="Times New Roman" w:hAnsi="Times New Roman" w:cs="Times New Roman"/>
      <w:sz w:val="18"/>
      <w:szCs w:val="18"/>
    </w:rPr>
  </w:style>
  <w:style w:type="paragraph" w:styleId="Sangradetextonormal">
    <w:name w:val="Body Text Indent"/>
    <w:basedOn w:val="Normal"/>
    <w:link w:val="SangradetextonormalCar"/>
    <w:qFormat/>
    <w:rsid w:val="008D7B3A"/>
    <w:pPr>
      <w:spacing w:after="120" w:line="240" w:lineRule="auto"/>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qFormat/>
    <w:rsid w:val="008D7B3A"/>
    <w:rPr>
      <w:rFonts w:ascii="Times New Roman" w:eastAsia="Times New Roman" w:hAnsi="Times New Roman" w:cs="Times New Roman"/>
      <w:lang w:val="es-ES" w:eastAsia="es-ES"/>
    </w:rPr>
  </w:style>
  <w:style w:type="character" w:customStyle="1" w:styleId="SinespaciadoCar">
    <w:name w:val="Sin espaciado Car"/>
    <w:aliases w:val="C. Extensa Car,CITA 1 Car"/>
    <w:link w:val="Sinespaciado"/>
    <w:uiPriority w:val="1"/>
    <w:locked/>
    <w:rsid w:val="008D7B3A"/>
    <w:rPr>
      <w:rFonts w:ascii="Times New Roman" w:eastAsia="Times New Roman" w:hAnsi="Times New Roman"/>
      <w:lang w:val="es-ES" w:eastAsia="es-ES"/>
    </w:rPr>
  </w:style>
  <w:style w:type="paragraph" w:styleId="Sinespaciado">
    <w:name w:val="No Spacing"/>
    <w:aliases w:val="C. Extensa,CITA 1"/>
    <w:link w:val="SinespaciadoCar"/>
    <w:uiPriority w:val="1"/>
    <w:qFormat/>
    <w:rsid w:val="008D7B3A"/>
    <w:pPr>
      <w:spacing w:after="0" w:line="240" w:lineRule="auto"/>
    </w:pPr>
    <w:rPr>
      <w:rFonts w:ascii="Times New Roman" w:eastAsia="Times New Roman" w:hAnsi="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108758">
      <w:bodyDiv w:val="1"/>
      <w:marLeft w:val="0"/>
      <w:marRight w:val="0"/>
      <w:marTop w:val="0"/>
      <w:marBottom w:val="0"/>
      <w:divBdr>
        <w:top w:val="none" w:sz="0" w:space="0" w:color="auto"/>
        <w:left w:val="none" w:sz="0" w:space="0" w:color="auto"/>
        <w:bottom w:val="none" w:sz="0" w:space="0" w:color="auto"/>
        <w:right w:val="none" w:sz="0" w:space="0" w:color="auto"/>
      </w:divBdr>
    </w:div>
    <w:div w:id="595292017">
      <w:bodyDiv w:val="1"/>
      <w:marLeft w:val="0"/>
      <w:marRight w:val="0"/>
      <w:marTop w:val="0"/>
      <w:marBottom w:val="0"/>
      <w:divBdr>
        <w:top w:val="none" w:sz="0" w:space="0" w:color="auto"/>
        <w:left w:val="none" w:sz="0" w:space="0" w:color="auto"/>
        <w:bottom w:val="none" w:sz="0" w:space="0" w:color="auto"/>
        <w:right w:val="none" w:sz="0" w:space="0" w:color="auto"/>
      </w:divBdr>
    </w:div>
    <w:div w:id="183992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1162dbcc1e063276b7a617a5596cffdd">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ec98d8d2525e77836cea513fc0f58d0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0F199-F768-47AE-956B-10999513F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6B926-2F22-4918-939B-FB389AEFB349}">
  <ds:schemaRefs>
    <ds:schemaRef ds:uri="http://schemas.openxmlformats.org/officeDocument/2006/bibliography"/>
  </ds:schemaRefs>
</ds:datastoreItem>
</file>

<file path=customXml/itemProps3.xml><?xml version="1.0" encoding="utf-8"?>
<ds:datastoreItem xmlns:ds="http://schemas.openxmlformats.org/officeDocument/2006/customXml" ds:itemID="{7277185F-C101-49F6-90A3-9A3C55F94B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8BA5DA-8126-4608-AC71-7354802C6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1091</Words>
  <Characters>5728</Characters>
  <Application>Microsoft Office Word</Application>
  <DocSecurity>0</DocSecurity>
  <Lines>179</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Alejandra</dc:creator>
  <cp:lastModifiedBy>María Paula Sierra Torres</cp:lastModifiedBy>
  <cp:revision>2</cp:revision>
  <dcterms:created xsi:type="dcterms:W3CDTF">2021-06-27T23:59:00Z</dcterms:created>
  <dcterms:modified xsi:type="dcterms:W3CDTF">2021-06-27T23:59:00Z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