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2919B" w14:textId="0AA17852" w:rsidR="00066B29" w:rsidRDefault="00066B29" w:rsidP="00C1070D">
      <w:pPr>
        <w:spacing w:line="360" w:lineRule="auto"/>
        <w:jc w:val="center"/>
        <w:rPr>
          <w:b/>
          <w:sz w:val="24"/>
          <w:szCs w:val="24"/>
        </w:rPr>
      </w:pPr>
      <w:r w:rsidRPr="0026030A">
        <w:rPr>
          <w:b/>
          <w:sz w:val="24"/>
          <w:szCs w:val="24"/>
        </w:rPr>
        <w:t>Consejero Ponente: NICOLÁS YEPES CORRALES</w:t>
      </w:r>
    </w:p>
    <w:p w14:paraId="0E4E44BC" w14:textId="77777777" w:rsidR="00BA3258" w:rsidRPr="0026030A" w:rsidRDefault="00BA3258" w:rsidP="00C1070D">
      <w:pPr>
        <w:spacing w:line="360" w:lineRule="auto"/>
        <w:rPr>
          <w:b/>
          <w:sz w:val="24"/>
          <w:szCs w:val="24"/>
        </w:rPr>
      </w:pPr>
    </w:p>
    <w:p w14:paraId="70B8D8AC" w14:textId="509890C1" w:rsidR="00066B29" w:rsidRPr="0026030A" w:rsidRDefault="00066B29" w:rsidP="00C1070D">
      <w:pPr>
        <w:spacing w:line="360" w:lineRule="auto"/>
        <w:rPr>
          <w:sz w:val="24"/>
          <w:szCs w:val="24"/>
        </w:rPr>
      </w:pPr>
      <w:r w:rsidRPr="0026030A">
        <w:rPr>
          <w:sz w:val="24"/>
          <w:szCs w:val="24"/>
        </w:rPr>
        <w:t xml:space="preserve">Bogotá D.C., </w:t>
      </w:r>
      <w:r w:rsidR="0044763D">
        <w:rPr>
          <w:sz w:val="24"/>
          <w:szCs w:val="24"/>
        </w:rPr>
        <w:t xml:space="preserve">diez </w:t>
      </w:r>
      <w:r w:rsidR="0071486F">
        <w:rPr>
          <w:sz w:val="24"/>
          <w:szCs w:val="24"/>
        </w:rPr>
        <w:t>(</w:t>
      </w:r>
      <w:r w:rsidR="0044763D">
        <w:rPr>
          <w:sz w:val="24"/>
          <w:szCs w:val="24"/>
        </w:rPr>
        <w:t>10</w:t>
      </w:r>
      <w:r w:rsidRPr="0026030A">
        <w:rPr>
          <w:sz w:val="24"/>
          <w:szCs w:val="24"/>
        </w:rPr>
        <w:t xml:space="preserve">) de </w:t>
      </w:r>
      <w:r w:rsidR="00DC6CA6">
        <w:rPr>
          <w:sz w:val="24"/>
          <w:szCs w:val="24"/>
        </w:rPr>
        <w:t xml:space="preserve">junio </w:t>
      </w:r>
      <w:r w:rsidR="00403D4F" w:rsidRPr="0026030A">
        <w:rPr>
          <w:sz w:val="24"/>
          <w:szCs w:val="24"/>
        </w:rPr>
        <w:t>de dos mil veintiuno (2021</w:t>
      </w:r>
      <w:r w:rsidRPr="0026030A">
        <w:rPr>
          <w:sz w:val="24"/>
          <w:szCs w:val="24"/>
        </w:rPr>
        <w:t>)</w:t>
      </w:r>
    </w:p>
    <w:p w14:paraId="025EC2D6" w14:textId="2FD3791A" w:rsidR="0092710E" w:rsidRDefault="0092710E" w:rsidP="00C1070D">
      <w:pPr>
        <w:spacing w:line="360" w:lineRule="auto"/>
        <w:rPr>
          <w:sz w:val="24"/>
          <w:szCs w:val="24"/>
        </w:rPr>
      </w:pPr>
    </w:p>
    <w:p w14:paraId="59352360" w14:textId="29C9D10B"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D5764B" w:rsidRPr="00D5764B">
        <w:rPr>
          <w:sz w:val="24"/>
          <w:szCs w:val="24"/>
        </w:rPr>
        <w:t>11001-03-15-000-2021-03442</w:t>
      </w:r>
      <w:r w:rsidR="002E3C1E" w:rsidRPr="002E3C1E">
        <w:rPr>
          <w:sz w:val="24"/>
          <w:szCs w:val="24"/>
        </w:rPr>
        <w:t>-</w:t>
      </w:r>
      <w:r w:rsidR="00B3341B" w:rsidRPr="00B3341B">
        <w:rPr>
          <w:sz w:val="24"/>
          <w:szCs w:val="24"/>
        </w:rPr>
        <w:t>00</w:t>
      </w:r>
    </w:p>
    <w:p w14:paraId="669B1115" w14:textId="642FCF4A" w:rsidR="00066B29" w:rsidRPr="0026030A" w:rsidRDefault="000D0EC0" w:rsidP="00C94147">
      <w:pPr>
        <w:spacing w:line="276" w:lineRule="auto"/>
        <w:rPr>
          <w:sz w:val="24"/>
          <w:szCs w:val="24"/>
        </w:rPr>
      </w:pPr>
      <w:r w:rsidRPr="0026030A">
        <w:rPr>
          <w:b/>
          <w:sz w:val="24"/>
          <w:szCs w:val="24"/>
        </w:rPr>
        <w:t>Accionante</w:t>
      </w:r>
      <w:r w:rsidR="00D5764B">
        <w:rPr>
          <w:b/>
          <w:sz w:val="24"/>
          <w:szCs w:val="24"/>
        </w:rPr>
        <w:t>s</w:t>
      </w:r>
      <w:r w:rsidR="00583AD7" w:rsidRPr="00A54E08">
        <w:rPr>
          <w:sz w:val="24"/>
          <w:szCs w:val="24"/>
        </w:rPr>
        <w:t>:</w:t>
      </w:r>
      <w:r w:rsidR="00583AD7" w:rsidRPr="0026030A">
        <w:rPr>
          <w:sz w:val="24"/>
          <w:szCs w:val="24"/>
        </w:rPr>
        <w:t xml:space="preserve"> </w:t>
      </w:r>
      <w:r w:rsidR="00583AD7">
        <w:rPr>
          <w:sz w:val="24"/>
          <w:szCs w:val="24"/>
        </w:rPr>
        <w:t>Martí</w:t>
      </w:r>
      <w:r w:rsidR="00583AD7" w:rsidRPr="00583AD7">
        <w:rPr>
          <w:sz w:val="24"/>
          <w:szCs w:val="24"/>
        </w:rPr>
        <w:t>n Alonso Álvarez Bermúdez</w:t>
      </w:r>
      <w:r w:rsidR="00583AD7">
        <w:rPr>
          <w:sz w:val="24"/>
          <w:szCs w:val="24"/>
        </w:rPr>
        <w:t xml:space="preserve"> y otra</w:t>
      </w:r>
    </w:p>
    <w:p w14:paraId="65EB5274" w14:textId="354A00A7" w:rsidR="00066B29" w:rsidRPr="006669A4" w:rsidRDefault="00066B29" w:rsidP="00FF5A7F">
      <w:pPr>
        <w:spacing w:line="276" w:lineRule="auto"/>
        <w:rPr>
          <w:sz w:val="24"/>
          <w:szCs w:val="24"/>
        </w:rPr>
      </w:pPr>
      <w:r w:rsidRPr="0026030A">
        <w:rPr>
          <w:b/>
          <w:sz w:val="24"/>
          <w:szCs w:val="24"/>
        </w:rPr>
        <w:t>Accionado</w:t>
      </w:r>
      <w:r w:rsidR="006669A4" w:rsidRPr="006669A4">
        <w:rPr>
          <w:sz w:val="24"/>
          <w:szCs w:val="24"/>
        </w:rPr>
        <w:t xml:space="preserve">: </w:t>
      </w:r>
      <w:r w:rsidR="00583AD7">
        <w:rPr>
          <w:sz w:val="24"/>
          <w:szCs w:val="24"/>
        </w:rPr>
        <w:t>Corte Constitucional</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w:t>
      </w:r>
      <w:proofErr w:type="spellStart"/>
      <w:r w:rsidRPr="0026030A">
        <w:rPr>
          <w:sz w:val="24"/>
          <w:szCs w:val="24"/>
        </w:rPr>
        <w:t>admisorio</w:t>
      </w:r>
      <w:proofErr w:type="spellEnd"/>
      <w:r w:rsidRPr="0026030A">
        <w:rPr>
          <w:sz w:val="24"/>
          <w:szCs w:val="24"/>
        </w:rPr>
        <w:t xml:space="preserve"> </w:t>
      </w:r>
    </w:p>
    <w:p w14:paraId="7EA3D50A" w14:textId="77777777" w:rsidR="00C32E3E" w:rsidRDefault="00C32E3E" w:rsidP="00C1070D">
      <w:pPr>
        <w:spacing w:line="360" w:lineRule="auto"/>
        <w:jc w:val="center"/>
        <w:rPr>
          <w:b/>
          <w:sz w:val="24"/>
          <w:szCs w:val="24"/>
        </w:rPr>
      </w:pPr>
    </w:p>
    <w:p w14:paraId="5D8DB0BF" w14:textId="2C832E15" w:rsidR="00066B29" w:rsidRPr="0026030A" w:rsidRDefault="00066B29" w:rsidP="00C1070D">
      <w:pPr>
        <w:spacing w:line="360" w:lineRule="auto"/>
        <w:jc w:val="center"/>
        <w:rPr>
          <w:b/>
          <w:sz w:val="24"/>
          <w:szCs w:val="24"/>
        </w:rPr>
      </w:pPr>
      <w:r w:rsidRPr="0026030A">
        <w:rPr>
          <w:b/>
          <w:sz w:val="24"/>
          <w:szCs w:val="24"/>
        </w:rPr>
        <w:t>I. ANTECEDENTES</w:t>
      </w:r>
    </w:p>
    <w:p w14:paraId="1FC26CC0" w14:textId="35D1682D" w:rsidR="00066B29" w:rsidRDefault="00066B29" w:rsidP="00C1070D">
      <w:pPr>
        <w:shd w:val="clear" w:color="auto" w:fill="FFFFFF" w:themeFill="background1"/>
        <w:spacing w:line="360" w:lineRule="auto"/>
        <w:rPr>
          <w:sz w:val="24"/>
          <w:szCs w:val="24"/>
        </w:rPr>
      </w:pPr>
    </w:p>
    <w:p w14:paraId="00D2C1AB" w14:textId="49C2F962"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AA7932" w:rsidRPr="00AA7932">
        <w:rPr>
          <w:sz w:val="24"/>
          <w:szCs w:val="24"/>
          <w:shd w:val="clear" w:color="auto" w:fill="FFFFFF" w:themeFill="background1"/>
        </w:rPr>
        <w:t>Martín Alonso Álvarez Bermúdez y Luisa Fernanda Correa Roda</w:t>
      </w:r>
      <w:r w:rsidR="00AA7932">
        <w:rPr>
          <w:sz w:val="24"/>
          <w:szCs w:val="24"/>
          <w:shd w:val="clear" w:color="auto" w:fill="FFFFFF" w:themeFill="background1"/>
        </w:rPr>
        <w:t>s</w:t>
      </w:r>
      <w:r w:rsidR="00421AA3">
        <w:rPr>
          <w:sz w:val="24"/>
          <w:szCs w:val="24"/>
          <w:shd w:val="clear" w:color="auto" w:fill="FFFFFF" w:themeFill="background1"/>
        </w:rPr>
        <w:t>,</w:t>
      </w:r>
      <w:r w:rsidR="00B9761E" w:rsidRPr="007679B5">
        <w:rPr>
          <w:sz w:val="24"/>
          <w:szCs w:val="24"/>
          <w:shd w:val="clear" w:color="auto" w:fill="FFFFFF" w:themeFill="background1"/>
        </w:rPr>
        <w:t xml:space="preserve"> </w:t>
      </w:r>
      <w:r w:rsidR="00C95082">
        <w:rPr>
          <w:sz w:val="24"/>
          <w:szCs w:val="24"/>
          <w:shd w:val="clear" w:color="auto" w:fill="FFFFFF" w:themeFill="background1"/>
        </w:rPr>
        <w:t>en</w:t>
      </w:r>
      <w:r w:rsidR="00AA32DE">
        <w:rPr>
          <w:sz w:val="24"/>
          <w:szCs w:val="24"/>
          <w:shd w:val="clear" w:color="auto" w:fill="FFFFFF" w:themeFill="background1"/>
        </w:rPr>
        <w:t xml:space="preserve"> </w:t>
      </w:r>
      <w:r w:rsidR="00B37E3A">
        <w:rPr>
          <w:sz w:val="24"/>
          <w:szCs w:val="24"/>
          <w:shd w:val="clear" w:color="auto" w:fill="FFFFFF" w:themeFill="background1"/>
        </w:rPr>
        <w:t>nombre propio</w:t>
      </w:r>
      <w:r w:rsidR="00B9761E" w:rsidRPr="00D50EAA">
        <w:rPr>
          <w:sz w:val="24"/>
          <w:szCs w:val="24"/>
        </w:rPr>
        <w:t xml:space="preserve">, en contra </w:t>
      </w:r>
      <w:r w:rsidR="006466C4">
        <w:rPr>
          <w:sz w:val="24"/>
          <w:szCs w:val="24"/>
        </w:rPr>
        <w:t>de</w:t>
      </w:r>
      <w:r w:rsidR="001A1476">
        <w:rPr>
          <w:sz w:val="24"/>
          <w:szCs w:val="24"/>
        </w:rPr>
        <w:t xml:space="preserve"> </w:t>
      </w:r>
      <w:r w:rsidR="00E76958">
        <w:rPr>
          <w:sz w:val="24"/>
          <w:szCs w:val="24"/>
        </w:rPr>
        <w:t>l</w:t>
      </w:r>
      <w:r w:rsidR="001A1476">
        <w:rPr>
          <w:sz w:val="24"/>
          <w:szCs w:val="24"/>
        </w:rPr>
        <w:t>a</w:t>
      </w:r>
      <w:r w:rsidR="00E76958">
        <w:rPr>
          <w:sz w:val="24"/>
          <w:szCs w:val="24"/>
        </w:rPr>
        <w:t xml:space="preserve"> </w:t>
      </w:r>
      <w:r w:rsidR="00AA7932">
        <w:rPr>
          <w:sz w:val="24"/>
          <w:szCs w:val="24"/>
        </w:rPr>
        <w:t>Sala Plena de la Corte Constitucional</w:t>
      </w:r>
      <w:r w:rsidR="00B9761E" w:rsidRPr="0026030A">
        <w:rPr>
          <w:sz w:val="24"/>
          <w:szCs w:val="24"/>
        </w:rPr>
        <w:t>, en procura de la protección de</w:t>
      </w:r>
      <w:r w:rsidR="00284447">
        <w:rPr>
          <w:sz w:val="24"/>
          <w:szCs w:val="24"/>
        </w:rPr>
        <w:t xml:space="preserve"> su</w:t>
      </w:r>
      <w:r w:rsidR="00AA7932">
        <w:rPr>
          <w:sz w:val="24"/>
          <w:szCs w:val="24"/>
        </w:rPr>
        <w:t>s</w:t>
      </w:r>
      <w:r w:rsidR="00284447">
        <w:rPr>
          <w:sz w:val="24"/>
          <w:szCs w:val="24"/>
        </w:rPr>
        <w:t xml:space="preserve"> derecho</w:t>
      </w:r>
      <w:r w:rsidR="006B23DE">
        <w:rPr>
          <w:sz w:val="24"/>
          <w:szCs w:val="24"/>
        </w:rPr>
        <w:t>s</w:t>
      </w:r>
      <w:r w:rsidR="00144626">
        <w:rPr>
          <w:sz w:val="24"/>
          <w:szCs w:val="24"/>
        </w:rPr>
        <w:t xml:space="preserve"> fundamentales</w:t>
      </w:r>
      <w:r w:rsidR="006B23DE">
        <w:rPr>
          <w:sz w:val="24"/>
          <w:szCs w:val="24"/>
        </w:rPr>
        <w:t xml:space="preserve"> “</w:t>
      </w:r>
      <w:r w:rsidR="00144626">
        <w:rPr>
          <w:sz w:val="24"/>
          <w:szCs w:val="24"/>
        </w:rPr>
        <w:t xml:space="preserve">de </w:t>
      </w:r>
      <w:r w:rsidR="006B23DE" w:rsidRPr="006B23DE">
        <w:rPr>
          <w:i/>
          <w:sz w:val="24"/>
          <w:szCs w:val="24"/>
        </w:rPr>
        <w:t>acceso a la justicia en conexidad con el derecho de petición</w:t>
      </w:r>
      <w:r w:rsidR="006B23DE">
        <w:rPr>
          <w:sz w:val="24"/>
          <w:szCs w:val="24"/>
        </w:rPr>
        <w:t>”</w:t>
      </w:r>
      <w:r w:rsidR="00B9761E" w:rsidRPr="0026030A">
        <w:rPr>
          <w:rStyle w:val="Refdenotaalpie"/>
          <w:sz w:val="24"/>
          <w:szCs w:val="24"/>
        </w:rPr>
        <w:footnoteReference w:id="2"/>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5A99F894" w14:textId="276A85E4" w:rsidR="002424DA" w:rsidRDefault="00FF5A7F" w:rsidP="00FF5A7F">
      <w:pPr>
        <w:spacing w:line="360" w:lineRule="auto"/>
        <w:rPr>
          <w:sz w:val="24"/>
          <w:szCs w:val="24"/>
        </w:rPr>
      </w:pPr>
      <w:r w:rsidRPr="00B06C40">
        <w:rPr>
          <w:sz w:val="24"/>
          <w:szCs w:val="24"/>
        </w:rPr>
        <w:t xml:space="preserve">1.2.- </w:t>
      </w:r>
      <w:r w:rsidR="003E36E4">
        <w:rPr>
          <w:sz w:val="24"/>
          <w:szCs w:val="24"/>
        </w:rPr>
        <w:t>Los</w:t>
      </w:r>
      <w:r w:rsidR="006055EE" w:rsidRPr="00B06C40">
        <w:rPr>
          <w:sz w:val="24"/>
          <w:szCs w:val="24"/>
        </w:rPr>
        <w:t xml:space="preserve"> </w:t>
      </w:r>
      <w:r w:rsidR="00411FD7">
        <w:rPr>
          <w:sz w:val="24"/>
          <w:szCs w:val="24"/>
        </w:rPr>
        <w:t>peticionario</w:t>
      </w:r>
      <w:r w:rsidR="003E36E4">
        <w:rPr>
          <w:sz w:val="24"/>
          <w:szCs w:val="24"/>
        </w:rPr>
        <w:t>s</w:t>
      </w:r>
      <w:r w:rsidR="00C64836" w:rsidRPr="00B06C40">
        <w:rPr>
          <w:sz w:val="24"/>
          <w:szCs w:val="24"/>
        </w:rPr>
        <w:t xml:space="preserve"> </w:t>
      </w:r>
      <w:r w:rsidRPr="00B06C40">
        <w:rPr>
          <w:sz w:val="24"/>
          <w:szCs w:val="24"/>
        </w:rPr>
        <w:t>estim</w:t>
      </w:r>
      <w:r w:rsidR="00162F36" w:rsidRPr="00B06C40">
        <w:rPr>
          <w:sz w:val="24"/>
          <w:szCs w:val="24"/>
        </w:rPr>
        <w:t>a</w:t>
      </w:r>
      <w:r w:rsidR="003E36E4">
        <w:rPr>
          <w:sz w:val="24"/>
          <w:szCs w:val="24"/>
        </w:rPr>
        <w:t>n</w:t>
      </w:r>
      <w:r w:rsidR="00FB2265">
        <w:rPr>
          <w:sz w:val="24"/>
          <w:szCs w:val="24"/>
        </w:rPr>
        <w:t xml:space="preserve"> vulnerada</w:t>
      </w:r>
      <w:r w:rsidR="003E36E4">
        <w:rPr>
          <w:sz w:val="24"/>
          <w:szCs w:val="24"/>
        </w:rPr>
        <w:t>s</w:t>
      </w:r>
      <w:r w:rsidRPr="00B06C40">
        <w:rPr>
          <w:sz w:val="24"/>
          <w:szCs w:val="24"/>
        </w:rPr>
        <w:t xml:space="preserve"> </w:t>
      </w:r>
      <w:r w:rsidR="003F53E1">
        <w:rPr>
          <w:sz w:val="24"/>
          <w:szCs w:val="24"/>
        </w:rPr>
        <w:t>la</w:t>
      </w:r>
      <w:r w:rsidR="003E36E4">
        <w:rPr>
          <w:sz w:val="24"/>
          <w:szCs w:val="24"/>
        </w:rPr>
        <w:t>s</w:t>
      </w:r>
      <w:r w:rsidR="00411FD7">
        <w:rPr>
          <w:sz w:val="24"/>
          <w:szCs w:val="24"/>
        </w:rPr>
        <w:t xml:space="preserve"> </w:t>
      </w:r>
      <w:r w:rsidR="00EF5068">
        <w:rPr>
          <w:sz w:val="24"/>
          <w:szCs w:val="24"/>
        </w:rPr>
        <w:t>aludida</w:t>
      </w:r>
      <w:r w:rsidR="003E36E4">
        <w:rPr>
          <w:sz w:val="24"/>
          <w:szCs w:val="24"/>
        </w:rPr>
        <w:t>s</w:t>
      </w:r>
      <w:r w:rsidR="00EF5068">
        <w:rPr>
          <w:sz w:val="24"/>
          <w:szCs w:val="24"/>
        </w:rPr>
        <w:t xml:space="preserve"> </w:t>
      </w:r>
      <w:r w:rsidR="00411FD7">
        <w:rPr>
          <w:sz w:val="24"/>
          <w:szCs w:val="24"/>
        </w:rPr>
        <w:t>prerrogativa</w:t>
      </w:r>
      <w:r w:rsidR="003E36E4">
        <w:rPr>
          <w:sz w:val="24"/>
          <w:szCs w:val="24"/>
        </w:rPr>
        <w:t>s</w:t>
      </w:r>
      <w:r w:rsidR="00411FD7">
        <w:rPr>
          <w:sz w:val="24"/>
          <w:szCs w:val="24"/>
        </w:rPr>
        <w:t xml:space="preserve"> </w:t>
      </w:r>
      <w:r w:rsidR="00A14325">
        <w:rPr>
          <w:sz w:val="24"/>
          <w:szCs w:val="24"/>
        </w:rPr>
        <w:t>por</w:t>
      </w:r>
      <w:r w:rsidR="007816C4">
        <w:rPr>
          <w:sz w:val="24"/>
          <w:szCs w:val="24"/>
        </w:rPr>
        <w:t xml:space="preserve"> la </w:t>
      </w:r>
      <w:r w:rsidR="003E36E4">
        <w:rPr>
          <w:sz w:val="24"/>
          <w:szCs w:val="24"/>
        </w:rPr>
        <w:t xml:space="preserve">sentencia C-456 del 21 de octubre de 2020 dictada </w:t>
      </w:r>
      <w:r w:rsidR="009D782B">
        <w:rPr>
          <w:sz w:val="24"/>
          <w:szCs w:val="24"/>
        </w:rPr>
        <w:t xml:space="preserve">por </w:t>
      </w:r>
      <w:r w:rsidR="007816C4">
        <w:rPr>
          <w:sz w:val="24"/>
          <w:szCs w:val="24"/>
        </w:rPr>
        <w:t xml:space="preserve">la </w:t>
      </w:r>
      <w:r w:rsidR="003E36E4">
        <w:rPr>
          <w:sz w:val="24"/>
          <w:szCs w:val="24"/>
        </w:rPr>
        <w:t>Sala Plena de la Corte Constitucional</w:t>
      </w:r>
      <w:r w:rsidR="002424DA">
        <w:rPr>
          <w:sz w:val="24"/>
          <w:szCs w:val="24"/>
        </w:rPr>
        <w:t xml:space="preserve">, </w:t>
      </w:r>
      <w:r w:rsidR="00144626">
        <w:rPr>
          <w:sz w:val="24"/>
          <w:szCs w:val="24"/>
        </w:rPr>
        <w:t>a través</w:t>
      </w:r>
      <w:r w:rsidR="002424DA">
        <w:rPr>
          <w:sz w:val="24"/>
          <w:szCs w:val="24"/>
        </w:rPr>
        <w:t xml:space="preserve"> de la cual se declaró </w:t>
      </w:r>
      <w:r w:rsidR="008E709F">
        <w:rPr>
          <w:sz w:val="24"/>
          <w:szCs w:val="24"/>
        </w:rPr>
        <w:t>la exequibilidad condicionada de</w:t>
      </w:r>
      <w:r w:rsidR="00144626">
        <w:rPr>
          <w:sz w:val="24"/>
          <w:szCs w:val="24"/>
        </w:rPr>
        <w:t xml:space="preserve"> </w:t>
      </w:r>
      <w:r w:rsidR="002424DA" w:rsidRPr="002424DA">
        <w:rPr>
          <w:sz w:val="24"/>
          <w:szCs w:val="24"/>
        </w:rPr>
        <w:t>las expresiones “</w:t>
      </w:r>
      <w:r w:rsidR="002424DA" w:rsidRPr="00E828CC">
        <w:rPr>
          <w:i/>
          <w:sz w:val="24"/>
          <w:szCs w:val="24"/>
        </w:rPr>
        <w:t>cónyuge</w:t>
      </w:r>
      <w:r w:rsidR="002424DA" w:rsidRPr="002424DA">
        <w:rPr>
          <w:sz w:val="24"/>
          <w:szCs w:val="24"/>
        </w:rPr>
        <w:t>”, “</w:t>
      </w:r>
      <w:r w:rsidR="002424DA" w:rsidRPr="00E828CC">
        <w:rPr>
          <w:i/>
          <w:sz w:val="24"/>
          <w:szCs w:val="24"/>
        </w:rPr>
        <w:t>casada</w:t>
      </w:r>
      <w:r w:rsidR="002424DA" w:rsidRPr="002424DA">
        <w:rPr>
          <w:sz w:val="24"/>
          <w:szCs w:val="24"/>
        </w:rPr>
        <w:t>”, “</w:t>
      </w:r>
      <w:r w:rsidR="002424DA" w:rsidRPr="00E828CC">
        <w:rPr>
          <w:i/>
          <w:sz w:val="24"/>
          <w:szCs w:val="24"/>
        </w:rPr>
        <w:t>cónyuges</w:t>
      </w:r>
      <w:r w:rsidR="002424DA" w:rsidRPr="002424DA">
        <w:rPr>
          <w:sz w:val="24"/>
          <w:szCs w:val="24"/>
        </w:rPr>
        <w:t>” y “</w:t>
      </w:r>
      <w:r w:rsidR="002424DA" w:rsidRPr="00E828CC">
        <w:rPr>
          <w:i/>
          <w:sz w:val="24"/>
          <w:szCs w:val="24"/>
        </w:rPr>
        <w:t>marido y mujer</w:t>
      </w:r>
      <w:r w:rsidR="002424DA" w:rsidRPr="002424DA">
        <w:rPr>
          <w:sz w:val="24"/>
          <w:szCs w:val="24"/>
        </w:rPr>
        <w:t xml:space="preserve">” contenidas en </w:t>
      </w:r>
      <w:r w:rsidR="00E828CC">
        <w:rPr>
          <w:sz w:val="24"/>
          <w:szCs w:val="24"/>
        </w:rPr>
        <w:t>los artículos 19,</w:t>
      </w:r>
      <w:r w:rsidR="002424DA" w:rsidRPr="002424DA">
        <w:rPr>
          <w:sz w:val="24"/>
          <w:szCs w:val="24"/>
        </w:rPr>
        <w:t xml:space="preserve"> 61, 745, 1025, 1026,</w:t>
      </w:r>
      <w:r w:rsidR="00DD79F0">
        <w:rPr>
          <w:sz w:val="24"/>
          <w:szCs w:val="24"/>
        </w:rPr>
        <w:t xml:space="preserve"> 1056,</w:t>
      </w:r>
      <w:r w:rsidR="002424DA" w:rsidRPr="002424DA">
        <w:rPr>
          <w:sz w:val="24"/>
          <w:szCs w:val="24"/>
        </w:rPr>
        <w:t xml:space="preserve"> 1068, 1119, 1125, 1161, 1165, 1195, 1196, 1266 y 1488 del Código Civil</w:t>
      </w:r>
      <w:r w:rsidR="00167552">
        <w:rPr>
          <w:sz w:val="24"/>
          <w:szCs w:val="24"/>
        </w:rPr>
        <w:t xml:space="preserve">; por cuanto </w:t>
      </w:r>
      <w:r w:rsidR="001376E9">
        <w:rPr>
          <w:sz w:val="24"/>
          <w:szCs w:val="24"/>
        </w:rPr>
        <w:t>consideran</w:t>
      </w:r>
      <w:r w:rsidR="00167552">
        <w:rPr>
          <w:sz w:val="24"/>
          <w:szCs w:val="24"/>
        </w:rPr>
        <w:t xml:space="preserve"> que la </w:t>
      </w:r>
      <w:r w:rsidR="00E23EF3">
        <w:rPr>
          <w:sz w:val="24"/>
          <w:szCs w:val="24"/>
        </w:rPr>
        <w:t xml:space="preserve">autoridad </w:t>
      </w:r>
      <w:r w:rsidR="00167552">
        <w:rPr>
          <w:sz w:val="24"/>
          <w:szCs w:val="24"/>
        </w:rPr>
        <w:t xml:space="preserve">accionada omitió pronunciarse </w:t>
      </w:r>
      <w:r w:rsidR="00DF40FC">
        <w:rPr>
          <w:sz w:val="24"/>
          <w:szCs w:val="24"/>
        </w:rPr>
        <w:t>respecto de la segunda pretensión</w:t>
      </w:r>
      <w:r w:rsidR="00DF40FC">
        <w:rPr>
          <w:rStyle w:val="Refdenotaalpie"/>
          <w:sz w:val="24"/>
          <w:szCs w:val="24"/>
        </w:rPr>
        <w:footnoteReference w:id="3"/>
      </w:r>
      <w:r w:rsidR="00DF40FC">
        <w:rPr>
          <w:sz w:val="24"/>
          <w:szCs w:val="24"/>
        </w:rPr>
        <w:t xml:space="preserve"> de la demanda de inconstitucionalidad con radicado</w:t>
      </w:r>
      <w:r w:rsidR="002A15DF">
        <w:rPr>
          <w:sz w:val="24"/>
          <w:szCs w:val="24"/>
        </w:rPr>
        <w:t xml:space="preserve"> No.</w:t>
      </w:r>
      <w:r w:rsidR="00DF40FC">
        <w:rPr>
          <w:sz w:val="24"/>
          <w:szCs w:val="24"/>
        </w:rPr>
        <w:t xml:space="preserve"> </w:t>
      </w:r>
      <w:r w:rsidR="008971AF">
        <w:rPr>
          <w:sz w:val="24"/>
          <w:szCs w:val="24"/>
        </w:rPr>
        <w:t>D-1355</w:t>
      </w:r>
      <w:r w:rsidR="00672DAC">
        <w:rPr>
          <w:sz w:val="24"/>
          <w:szCs w:val="24"/>
        </w:rPr>
        <w:t>3</w:t>
      </w:r>
      <w:r w:rsidR="008971AF">
        <w:rPr>
          <w:sz w:val="24"/>
          <w:szCs w:val="24"/>
        </w:rPr>
        <w:t>.</w:t>
      </w:r>
    </w:p>
    <w:p w14:paraId="0444880F" w14:textId="77777777" w:rsidR="002424DA" w:rsidRDefault="002424DA"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6364ED22" w:rsidR="00A42C77" w:rsidRPr="00CD5399" w:rsidRDefault="00A42C77" w:rsidP="00A42C77">
      <w:pPr>
        <w:pStyle w:val="NormalWeb"/>
        <w:spacing w:before="0" w:beforeAutospacing="0" w:after="0" w:afterAutospacing="0" w:line="360" w:lineRule="auto"/>
        <w:jc w:val="both"/>
        <w:rPr>
          <w:rFonts w:ascii="Arial" w:hAnsi="Arial" w:cs="Arial"/>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4"/>
      </w:r>
      <w:r w:rsidRPr="0026030A">
        <w:rPr>
          <w:rFonts w:ascii="Arial" w:hAnsi="Arial" w:cs="Arial"/>
        </w:rPr>
        <w:t xml:space="preserve">, </w:t>
      </w:r>
      <w:r w:rsidRPr="0026030A">
        <w:rPr>
          <w:rFonts w:ascii="Arial" w:hAnsi="Arial" w:cs="Arial"/>
        </w:rPr>
        <w:lastRenderedPageBreak/>
        <w:t>37</w:t>
      </w:r>
      <w:r w:rsidRPr="0026030A">
        <w:rPr>
          <w:rFonts w:ascii="Arial" w:hAnsi="Arial" w:cs="Arial"/>
          <w:vertAlign w:val="superscript"/>
        </w:rPr>
        <w:footnoteReference w:id="5"/>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BE0331">
        <w:rPr>
          <w:rFonts w:ascii="Arial" w:hAnsi="Arial" w:cs="Arial"/>
          <w:iCs/>
          <w:color w:val="000000"/>
        </w:rPr>
        <w:t>“</w:t>
      </w:r>
      <w:r w:rsidRPr="0026030A">
        <w:rPr>
          <w:rFonts w:ascii="Arial" w:hAnsi="Arial" w:cs="Arial"/>
          <w:i/>
          <w:color w:val="000000"/>
        </w:rPr>
        <w:t>Reglamento Interno del Consejo de Estado</w:t>
      </w:r>
      <w:r w:rsidR="00CD5399" w:rsidRPr="00BE0331">
        <w:rPr>
          <w:rFonts w:ascii="Arial" w:hAnsi="Arial" w:cs="Arial"/>
          <w:color w:val="000000"/>
        </w:rPr>
        <w:t>”</w:t>
      </w:r>
      <w:r w:rsidR="00CD5399" w:rsidRPr="00CD5399">
        <w:rPr>
          <w:rFonts w:ascii="Arial" w:hAnsi="Arial" w:cs="Arial"/>
          <w:color w:val="000000"/>
        </w:rPr>
        <w:t>;</w:t>
      </w:r>
      <w:r w:rsidRPr="00CD5399">
        <w:rPr>
          <w:rFonts w:ascii="Arial" w:hAnsi="Arial" w:cs="Arial"/>
          <w:color w:val="000000"/>
        </w:rPr>
        <w:t xml:space="preserve"> </w:t>
      </w:r>
      <w:r w:rsidR="00CD5399" w:rsidRPr="00CD5399">
        <w:rPr>
          <w:rFonts w:ascii="Arial" w:hAnsi="Arial" w:cs="Arial"/>
          <w:color w:val="000000"/>
        </w:rPr>
        <w:t>a</w:t>
      </w:r>
      <w:r w:rsidR="00CD5399">
        <w:rPr>
          <w:rFonts w:ascii="Arial" w:hAnsi="Arial" w:cs="Arial"/>
          <w:color w:val="000000"/>
        </w:rPr>
        <w:t xml:space="preserve">unado a que, mediante providencia A-226 de 2021, la Corte Constitucional remitió la acción </w:t>
      </w:r>
      <w:r w:rsidR="00CD5399" w:rsidRPr="00CD5399">
        <w:rPr>
          <w:rFonts w:ascii="Arial" w:hAnsi="Arial" w:cs="Arial"/>
          <w:i/>
          <w:color w:val="000000"/>
        </w:rPr>
        <w:t>sub judice</w:t>
      </w:r>
      <w:r w:rsidR="00CD5399">
        <w:rPr>
          <w:rFonts w:ascii="Arial" w:hAnsi="Arial" w:cs="Arial"/>
          <w:color w:val="000000"/>
        </w:rPr>
        <w:t xml:space="preserve"> a esta Corporación</w:t>
      </w:r>
      <w:r w:rsidR="00575EBE">
        <w:rPr>
          <w:rFonts w:ascii="Arial" w:hAnsi="Arial" w:cs="Arial"/>
          <w:color w:val="000000"/>
        </w:rPr>
        <w:t>,</w:t>
      </w:r>
      <w:r w:rsidR="00EE5CEF">
        <w:rPr>
          <w:rFonts w:ascii="Arial" w:hAnsi="Arial" w:cs="Arial"/>
          <w:color w:val="000000"/>
        </w:rPr>
        <w:t xml:space="preserve"> por considerarla competente</w:t>
      </w:r>
      <w:r w:rsidR="00CD5399">
        <w:rPr>
          <w:rFonts w:ascii="Arial" w:hAnsi="Arial" w:cs="Arial"/>
          <w:color w:val="000000"/>
        </w:rPr>
        <w:t>.</w:t>
      </w:r>
    </w:p>
    <w:p w14:paraId="3C1B0D70" w14:textId="77777777" w:rsidR="00A42C77" w:rsidRPr="0026030A" w:rsidRDefault="00A42C77" w:rsidP="00A42C77">
      <w:pPr>
        <w:spacing w:line="360" w:lineRule="auto"/>
        <w:rPr>
          <w:rFonts w:cs="Arial"/>
          <w:b/>
          <w:sz w:val="24"/>
          <w:szCs w:val="24"/>
        </w:rPr>
      </w:pPr>
    </w:p>
    <w:p w14:paraId="5C2CAC28" w14:textId="7F4936F8"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r w:rsidR="00672DAC" w:rsidRPr="00AA7932">
        <w:rPr>
          <w:sz w:val="24"/>
          <w:szCs w:val="24"/>
          <w:shd w:val="clear" w:color="auto" w:fill="FFFFFF" w:themeFill="background1"/>
        </w:rPr>
        <w:t>Martín Alonso Álvarez Bermúdez y Luisa Fernanda Correa Roda</w:t>
      </w:r>
      <w:r w:rsidR="00672DAC">
        <w:rPr>
          <w:sz w:val="24"/>
          <w:szCs w:val="24"/>
          <w:shd w:val="clear" w:color="auto" w:fill="FFFFFF" w:themeFill="background1"/>
        </w:rPr>
        <w:t>s,</w:t>
      </w:r>
      <w:r w:rsidR="00672DAC" w:rsidRPr="007679B5">
        <w:rPr>
          <w:sz w:val="24"/>
          <w:szCs w:val="24"/>
          <w:shd w:val="clear" w:color="auto" w:fill="FFFFFF" w:themeFill="background1"/>
        </w:rPr>
        <w:t xml:space="preserve"> </w:t>
      </w:r>
      <w:r w:rsidR="00672DAC" w:rsidRPr="00D50EAA">
        <w:rPr>
          <w:sz w:val="24"/>
          <w:szCs w:val="24"/>
        </w:rPr>
        <w:t xml:space="preserve">en contra </w:t>
      </w:r>
      <w:r w:rsidR="00672DAC">
        <w:rPr>
          <w:sz w:val="24"/>
          <w:szCs w:val="24"/>
        </w:rPr>
        <w:t>de la Sala Plena de la Corte Constitucional</w:t>
      </w:r>
      <w:r w:rsidR="00FA22B0" w:rsidRPr="00E06046">
        <w:rPr>
          <w:rFonts w:eastAsia="Times New Roman" w:cs="Arial"/>
          <w:sz w:val="24"/>
          <w:szCs w:val="24"/>
          <w:lang w:eastAsia="es-CO"/>
        </w:rPr>
        <w:t>.</w:t>
      </w:r>
    </w:p>
    <w:p w14:paraId="5FB31BBD" w14:textId="1E81B9EC" w:rsidR="0001357E" w:rsidRDefault="0001357E"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08A67D2F"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F20E90">
        <w:rPr>
          <w:sz w:val="24"/>
          <w:szCs w:val="24"/>
          <w:shd w:val="clear" w:color="auto" w:fill="FFFFFF" w:themeFill="background1"/>
        </w:rPr>
        <w:t>por</w:t>
      </w:r>
      <w:r w:rsidR="00F20E90" w:rsidRPr="007679B5">
        <w:rPr>
          <w:sz w:val="24"/>
          <w:szCs w:val="24"/>
          <w:shd w:val="clear" w:color="auto" w:fill="FFFFFF" w:themeFill="background1"/>
        </w:rPr>
        <w:t xml:space="preserve"> </w:t>
      </w:r>
      <w:r w:rsidR="00F20E90" w:rsidRPr="00AA7932">
        <w:rPr>
          <w:sz w:val="24"/>
          <w:szCs w:val="24"/>
          <w:shd w:val="clear" w:color="auto" w:fill="FFFFFF" w:themeFill="background1"/>
        </w:rPr>
        <w:t>Martín Alonso Álvarez Bermúdez y Luisa Fernanda Correa Roda</w:t>
      </w:r>
      <w:r w:rsidR="00F20E90">
        <w:rPr>
          <w:sz w:val="24"/>
          <w:szCs w:val="24"/>
          <w:shd w:val="clear" w:color="auto" w:fill="FFFFFF" w:themeFill="background1"/>
        </w:rPr>
        <w:t>s,</w:t>
      </w:r>
      <w:r w:rsidR="00F20E90" w:rsidRPr="007679B5">
        <w:rPr>
          <w:sz w:val="24"/>
          <w:szCs w:val="24"/>
          <w:shd w:val="clear" w:color="auto" w:fill="FFFFFF" w:themeFill="background1"/>
        </w:rPr>
        <w:t xml:space="preserve"> </w:t>
      </w:r>
      <w:r w:rsidR="00F20E90" w:rsidRPr="00D50EAA">
        <w:rPr>
          <w:sz w:val="24"/>
          <w:szCs w:val="24"/>
        </w:rPr>
        <w:t xml:space="preserve">en contra </w:t>
      </w:r>
      <w:r w:rsidR="00F20E90">
        <w:rPr>
          <w:sz w:val="24"/>
          <w:szCs w:val="24"/>
        </w:rPr>
        <w:t>de la Sala Plena de la Corte Constitucional</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11B27DFC" w:rsidR="00501B81" w:rsidRPr="00491146" w:rsidRDefault="00060808" w:rsidP="00983C19">
      <w:pPr>
        <w:spacing w:line="360" w:lineRule="auto"/>
        <w:rPr>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527FC1">
        <w:rPr>
          <w:sz w:val="24"/>
          <w:szCs w:val="24"/>
        </w:rPr>
        <w:t>a</w:t>
      </w:r>
      <w:r w:rsidR="00DE2672">
        <w:rPr>
          <w:sz w:val="24"/>
          <w:szCs w:val="24"/>
        </w:rPr>
        <w:t>l magistrado Jorge Enrique Ibáñez Najar</w:t>
      </w:r>
      <w:r w:rsidR="0000789F">
        <w:rPr>
          <w:sz w:val="24"/>
          <w:szCs w:val="24"/>
        </w:rPr>
        <w:t>, quien fungió</w:t>
      </w:r>
      <w:r w:rsidR="007A53FC">
        <w:rPr>
          <w:sz w:val="24"/>
          <w:szCs w:val="24"/>
        </w:rPr>
        <w:t xml:space="preserve"> como ponente </w:t>
      </w:r>
      <w:r w:rsidR="00DE2672">
        <w:rPr>
          <w:sz w:val="24"/>
          <w:szCs w:val="24"/>
        </w:rPr>
        <w:t>de la sentencia C-456 del 21 de octubre de 2020</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67CB033A"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FC39AC">
        <w:rPr>
          <w:sz w:val="24"/>
          <w:szCs w:val="24"/>
        </w:rPr>
        <w:t xml:space="preserve"> del Decreto Ley 2591 de 1991,</w:t>
      </w:r>
      <w:r w:rsidR="004B6DCE">
        <w:rPr>
          <w:sz w:val="24"/>
          <w:szCs w:val="24"/>
        </w:rPr>
        <w:t xml:space="preserve"> </w:t>
      </w:r>
      <w:r w:rsidR="00064022">
        <w:rPr>
          <w:sz w:val="24"/>
          <w:szCs w:val="24"/>
        </w:rPr>
        <w:t>a</w:t>
      </w:r>
      <w:r w:rsidR="005E433F">
        <w:rPr>
          <w:sz w:val="24"/>
          <w:szCs w:val="24"/>
        </w:rPr>
        <w:t xml:space="preserve"> </w:t>
      </w:r>
      <w:r w:rsidR="00880984">
        <w:rPr>
          <w:sz w:val="24"/>
          <w:szCs w:val="24"/>
        </w:rPr>
        <w:t>l</w:t>
      </w:r>
      <w:r w:rsidR="005E433F">
        <w:rPr>
          <w:sz w:val="24"/>
          <w:szCs w:val="24"/>
        </w:rPr>
        <w:t>a Procuraduría General de la Naci</w:t>
      </w:r>
      <w:r w:rsidR="002A15DF">
        <w:rPr>
          <w:sz w:val="24"/>
          <w:szCs w:val="24"/>
        </w:rPr>
        <w:t>ón,</w:t>
      </w:r>
      <w:r w:rsidR="005E433F">
        <w:rPr>
          <w:sz w:val="24"/>
          <w:szCs w:val="24"/>
        </w:rPr>
        <w:t xml:space="preserve"> al Ministerio de </w:t>
      </w:r>
      <w:r w:rsidR="00D67E07">
        <w:rPr>
          <w:sz w:val="24"/>
          <w:szCs w:val="24"/>
        </w:rPr>
        <w:t>Justicia y del Derecho</w:t>
      </w:r>
      <w:r w:rsidR="002A15DF">
        <w:rPr>
          <w:sz w:val="24"/>
          <w:szCs w:val="24"/>
        </w:rPr>
        <w:t xml:space="preserve"> y a la Universidad Externado de Colombia,</w:t>
      </w:r>
      <w:r w:rsidR="005E433F">
        <w:rPr>
          <w:sz w:val="24"/>
          <w:szCs w:val="24"/>
        </w:rPr>
        <w:t xml:space="preserve"> quienes </w:t>
      </w:r>
      <w:r w:rsidR="0006695D">
        <w:rPr>
          <w:sz w:val="24"/>
          <w:szCs w:val="24"/>
        </w:rPr>
        <w:t>fungieron como intervinientes</w:t>
      </w:r>
      <w:r w:rsidR="002A15DF">
        <w:rPr>
          <w:sz w:val="24"/>
          <w:szCs w:val="24"/>
        </w:rPr>
        <w:t xml:space="preserve"> dentro del expediente con radicado No. D-13553</w:t>
      </w:r>
      <w:r w:rsidR="00C64D10" w:rsidRPr="00AB3847">
        <w:rPr>
          <w:rFonts w:cs="Arial"/>
          <w:bCs/>
          <w:sz w:val="24"/>
          <w:szCs w:val="24"/>
        </w:rPr>
        <w:t>;</w:t>
      </w:r>
      <w:r w:rsidR="00C64D10" w:rsidRPr="00AB3847">
        <w:rPr>
          <w:sz w:val="24"/>
          <w:szCs w:val="24"/>
        </w:rPr>
        <w:t xml:space="preserve"> para que, en el término de (2) días contados a partir de </w:t>
      </w:r>
      <w:r w:rsidR="001806C3">
        <w:rPr>
          <w:sz w:val="24"/>
          <w:szCs w:val="24"/>
        </w:rPr>
        <w:t>la</w:t>
      </w:r>
      <w:r w:rsidR="00C64D10" w:rsidRPr="00AB3847">
        <w:rPr>
          <w:sz w:val="24"/>
          <w:szCs w:val="24"/>
        </w:rPr>
        <w:t xml:space="preserve"> notificación</w:t>
      </w:r>
      <w:r w:rsidR="001806C3">
        <w:rPr>
          <w:sz w:val="24"/>
          <w:szCs w:val="24"/>
        </w:rPr>
        <w:t xml:space="preserve"> de esta providencia</w:t>
      </w:r>
      <w:r w:rsidR="00C64D10" w:rsidRPr="00AB3847">
        <w:rPr>
          <w:sz w:val="24"/>
          <w:szCs w:val="24"/>
        </w:rPr>
        <w:t>, se pronuncie</w:t>
      </w:r>
      <w:r w:rsidR="006948B8">
        <w:rPr>
          <w:sz w:val="24"/>
          <w:szCs w:val="24"/>
        </w:rPr>
        <w:t>n</w:t>
      </w:r>
      <w:r w:rsidR="00C64D10" w:rsidRPr="00AB3847">
        <w:rPr>
          <w:sz w:val="24"/>
          <w:szCs w:val="24"/>
        </w:rPr>
        <w:t xml:space="preserve"> sobre el contenido de la acción de amparo impetrada.</w:t>
      </w:r>
    </w:p>
    <w:p w14:paraId="48B4ABAF" w14:textId="19721303" w:rsidR="00983C19" w:rsidRDefault="00983C19" w:rsidP="001C5D78">
      <w:pPr>
        <w:spacing w:line="360" w:lineRule="auto"/>
        <w:rPr>
          <w:sz w:val="24"/>
          <w:szCs w:val="24"/>
        </w:rPr>
      </w:pPr>
    </w:p>
    <w:p w14:paraId="11BD0E25" w14:textId="00738A1E" w:rsidR="00757128" w:rsidRPr="006948B8" w:rsidRDefault="006411CB" w:rsidP="001C5D78">
      <w:pPr>
        <w:spacing w:line="360" w:lineRule="auto"/>
        <w:rPr>
          <w:rFonts w:cs="Arial"/>
          <w:sz w:val="24"/>
          <w:szCs w:val="24"/>
        </w:rPr>
      </w:pPr>
      <w:r w:rsidRPr="0026030A">
        <w:rPr>
          <w:rFonts w:cs="Arial"/>
          <w:b/>
          <w:sz w:val="24"/>
          <w:szCs w:val="24"/>
        </w:rPr>
        <w:t xml:space="preserve">CUARTO: </w:t>
      </w:r>
      <w:r w:rsidR="004E347B" w:rsidRPr="0026030A">
        <w:rPr>
          <w:rFonts w:cs="Arial"/>
          <w:b/>
          <w:sz w:val="24"/>
          <w:szCs w:val="24"/>
        </w:rPr>
        <w:t xml:space="preserve">TENER </w:t>
      </w:r>
      <w:r w:rsidR="004E347B" w:rsidRPr="0026030A">
        <w:rPr>
          <w:rFonts w:cs="Arial"/>
          <w:sz w:val="24"/>
          <w:szCs w:val="24"/>
        </w:rPr>
        <w:t>como pruebas los documentos arrimados con la solicitud de amparo.</w:t>
      </w:r>
    </w:p>
    <w:p w14:paraId="5D0DAAAA" w14:textId="77777777" w:rsidR="00757128" w:rsidRPr="0026030A" w:rsidRDefault="00757128" w:rsidP="001C5D78">
      <w:pPr>
        <w:spacing w:line="360" w:lineRule="auto"/>
        <w:rPr>
          <w:rFonts w:cs="Arial"/>
          <w:sz w:val="24"/>
          <w:szCs w:val="24"/>
        </w:rPr>
      </w:pPr>
    </w:p>
    <w:p w14:paraId="6605385B" w14:textId="5058EF53" w:rsidR="00895E96" w:rsidRDefault="006411CB" w:rsidP="00C64D10">
      <w:pPr>
        <w:spacing w:line="360" w:lineRule="auto"/>
        <w:rPr>
          <w:sz w:val="24"/>
          <w:szCs w:val="24"/>
        </w:rPr>
      </w:pPr>
      <w:r w:rsidRPr="0026030A">
        <w:rPr>
          <w:b/>
          <w:sz w:val="24"/>
          <w:szCs w:val="24"/>
        </w:rPr>
        <w:lastRenderedPageBreak/>
        <w:t>QUINTO:</w:t>
      </w:r>
      <w:r w:rsidR="00895E96">
        <w:rPr>
          <w:rFonts w:cs="Arial"/>
          <w:bCs/>
          <w:sz w:val="24"/>
          <w:szCs w:val="24"/>
        </w:rPr>
        <w:t xml:space="preserve"> </w:t>
      </w:r>
      <w:r w:rsidR="00531665" w:rsidRPr="0026030A">
        <w:rPr>
          <w:rFonts w:cs="Arial"/>
          <w:b/>
          <w:sz w:val="24"/>
          <w:szCs w:val="24"/>
        </w:rPr>
        <w:t xml:space="preserve">PUBLICAR </w:t>
      </w:r>
      <w:r w:rsidR="00531665" w:rsidRPr="0026030A">
        <w:rPr>
          <w:rFonts w:cs="Arial"/>
          <w:sz w:val="24"/>
          <w:szCs w:val="24"/>
        </w:rPr>
        <w:t xml:space="preserve">la presente providencia en las páginas web </w:t>
      </w:r>
      <w:r w:rsidR="00531665" w:rsidRPr="0026030A">
        <w:rPr>
          <w:rFonts w:cs="Arial"/>
          <w:bCs/>
          <w:sz w:val="24"/>
          <w:szCs w:val="24"/>
        </w:rPr>
        <w:t>de esta Corporación, de la Rama Judicial, de la autoridad tutelada</w:t>
      </w:r>
      <w:r w:rsidR="00531665">
        <w:rPr>
          <w:rFonts w:cs="Arial"/>
          <w:bCs/>
          <w:sz w:val="24"/>
          <w:szCs w:val="24"/>
        </w:rPr>
        <w:t xml:space="preserve"> y de las vinculadas</w:t>
      </w:r>
      <w:r w:rsidR="00531665" w:rsidRPr="0026030A">
        <w:rPr>
          <w:rFonts w:cs="Arial"/>
          <w:bCs/>
          <w:sz w:val="24"/>
          <w:szCs w:val="24"/>
        </w:rPr>
        <w:t>.</w:t>
      </w:r>
    </w:p>
    <w:p w14:paraId="6BBA4B3D" w14:textId="28048656" w:rsidR="00385269" w:rsidRDefault="00385269" w:rsidP="00C64D10">
      <w:pPr>
        <w:spacing w:line="360" w:lineRule="auto"/>
        <w:rPr>
          <w:sz w:val="24"/>
          <w:szCs w:val="24"/>
        </w:rPr>
      </w:pPr>
    </w:p>
    <w:p w14:paraId="50A26383" w14:textId="5E1A5460" w:rsidR="00385269" w:rsidRDefault="00385269" w:rsidP="00C64D10">
      <w:pPr>
        <w:spacing w:line="360" w:lineRule="auto"/>
        <w:rPr>
          <w:rFonts w:cs="Arial"/>
          <w:bCs/>
          <w:sz w:val="24"/>
          <w:szCs w:val="24"/>
        </w:rPr>
      </w:pPr>
      <w:r w:rsidRPr="00385269">
        <w:rPr>
          <w:b/>
          <w:sz w:val="24"/>
          <w:szCs w:val="24"/>
        </w:rPr>
        <w:t>SEXTO</w:t>
      </w:r>
      <w:r>
        <w:rPr>
          <w:sz w:val="24"/>
          <w:szCs w:val="24"/>
        </w:rPr>
        <w:t xml:space="preserve">: </w:t>
      </w:r>
      <w:r w:rsidR="00531665" w:rsidRPr="0026030A">
        <w:rPr>
          <w:rFonts w:cs="Arial"/>
          <w:b/>
          <w:bCs/>
          <w:sz w:val="24"/>
          <w:szCs w:val="24"/>
        </w:rPr>
        <w:t xml:space="preserve">SUSPENDER </w:t>
      </w:r>
      <w:r w:rsidR="00531665" w:rsidRPr="0026030A">
        <w:rPr>
          <w:rFonts w:cs="Arial"/>
          <w:bCs/>
          <w:sz w:val="24"/>
          <w:szCs w:val="24"/>
        </w:rPr>
        <w:t xml:space="preserve">los términos del presente asunto desde el </w:t>
      </w:r>
      <w:r w:rsidR="0006695D">
        <w:rPr>
          <w:rFonts w:cs="Arial"/>
          <w:bCs/>
          <w:sz w:val="24"/>
          <w:szCs w:val="24"/>
        </w:rPr>
        <w:t>8</w:t>
      </w:r>
      <w:r w:rsidR="00531665" w:rsidRPr="0026030A">
        <w:rPr>
          <w:rFonts w:cs="Arial"/>
          <w:bCs/>
          <w:sz w:val="24"/>
          <w:szCs w:val="24"/>
        </w:rPr>
        <w:t xml:space="preserve"> de </w:t>
      </w:r>
      <w:r w:rsidR="00531665">
        <w:rPr>
          <w:rFonts w:cs="Arial"/>
          <w:bCs/>
          <w:sz w:val="24"/>
          <w:szCs w:val="24"/>
        </w:rPr>
        <w:t xml:space="preserve">junio </w:t>
      </w:r>
      <w:r w:rsidR="00531665" w:rsidRPr="0026030A">
        <w:rPr>
          <w:rFonts w:cs="Arial"/>
          <w:bCs/>
          <w:sz w:val="24"/>
          <w:szCs w:val="24"/>
        </w:rPr>
        <w:t>de 2021, inclusive, hasta que reingrese el expediente al Despacho.</w:t>
      </w:r>
    </w:p>
    <w:p w14:paraId="750AFC33" w14:textId="77777777" w:rsidR="00895E96" w:rsidRDefault="00895E96" w:rsidP="00C64D10">
      <w:pPr>
        <w:spacing w:line="360" w:lineRule="auto"/>
        <w:rPr>
          <w:rFonts w:cs="Arial"/>
          <w:bCs/>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7E72A4B0" w14:textId="31B295C3" w:rsidR="00C73E6F" w:rsidRDefault="00C73E6F" w:rsidP="00AD5997">
      <w:pPr>
        <w:keepNext/>
        <w:spacing w:line="360" w:lineRule="auto"/>
        <w:jc w:val="center"/>
        <w:rPr>
          <w:rFonts w:cs="Arial"/>
          <w:b/>
          <w:noProof/>
          <w:sz w:val="24"/>
          <w:szCs w:val="24"/>
        </w:rPr>
      </w:pPr>
    </w:p>
    <w:p w14:paraId="2B2823F2" w14:textId="2226636B" w:rsidR="004A07AA" w:rsidRDefault="004A07AA" w:rsidP="00AD5997">
      <w:pPr>
        <w:keepNext/>
        <w:spacing w:line="360" w:lineRule="auto"/>
        <w:jc w:val="center"/>
        <w:rPr>
          <w:rFonts w:cs="Arial"/>
          <w:b/>
          <w:noProof/>
          <w:sz w:val="24"/>
          <w:szCs w:val="24"/>
        </w:rPr>
      </w:pPr>
    </w:p>
    <w:p w14:paraId="35C0D644" w14:textId="77777777" w:rsidR="004A07AA" w:rsidRDefault="004A07AA"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81037" w14:textId="77777777" w:rsidR="001A2262" w:rsidRDefault="001A2262" w:rsidP="00066B29">
      <w:r>
        <w:separator/>
      </w:r>
    </w:p>
  </w:endnote>
  <w:endnote w:type="continuationSeparator" w:id="0">
    <w:p w14:paraId="5E82CA3A" w14:textId="77777777" w:rsidR="001A2262" w:rsidRDefault="001A2262"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68AC4" w14:textId="77777777" w:rsidR="001A2262" w:rsidRDefault="001A2262" w:rsidP="00066B29">
      <w:r>
        <w:separator/>
      </w:r>
    </w:p>
  </w:footnote>
  <w:footnote w:type="continuationSeparator" w:id="0">
    <w:p w14:paraId="2D00CC0B" w14:textId="77777777" w:rsidR="001A2262" w:rsidRDefault="001A2262" w:rsidP="00066B29">
      <w:r>
        <w:continuationSeparator/>
      </w:r>
    </w:p>
  </w:footnote>
  <w:footnote w:id="1">
    <w:p w14:paraId="3EA1C864" w14:textId="5B9D9D49" w:rsidR="00FF5A7F" w:rsidRPr="005D1C17" w:rsidRDefault="00FF5A7F" w:rsidP="002B5428">
      <w:pPr>
        <w:pStyle w:val="Textonotapie"/>
        <w:rPr>
          <w:rFonts w:cs="Arial"/>
        </w:rPr>
      </w:pPr>
      <w:r w:rsidRPr="005D1C17">
        <w:rPr>
          <w:rStyle w:val="Refdenotaalpie"/>
          <w:rFonts w:cs="Arial"/>
        </w:rPr>
        <w:footnoteRef/>
      </w:r>
      <w:r w:rsidRPr="005D1C17">
        <w:rPr>
          <w:rFonts w:cs="Arial"/>
        </w:rPr>
        <w:t xml:space="preserve"> </w:t>
      </w:r>
      <w:r w:rsidR="0092715F">
        <w:rPr>
          <w:rFonts w:cs="Arial"/>
        </w:rPr>
        <w:t xml:space="preserve">Obra escrito de tutela </w:t>
      </w:r>
      <w:r w:rsidR="004C7C09">
        <w:rPr>
          <w:rFonts w:cs="Arial"/>
        </w:rPr>
        <w:t xml:space="preserve">a folios 1-9 del </w:t>
      </w:r>
      <w:r w:rsidRPr="005D1C17">
        <w:rPr>
          <w:rFonts w:cs="Arial"/>
        </w:rPr>
        <w:t xml:space="preserve">documento </w:t>
      </w:r>
      <w:r w:rsidR="008A6341" w:rsidRPr="005D1C17">
        <w:rPr>
          <w:rFonts w:cs="Arial"/>
        </w:rPr>
        <w:t xml:space="preserve">subido en SAMAI </w:t>
      </w:r>
      <w:r w:rsidR="0016334B" w:rsidRPr="005D1C17">
        <w:rPr>
          <w:rFonts w:cs="Arial"/>
        </w:rPr>
        <w:t>con</w:t>
      </w:r>
      <w:r w:rsidRPr="005D1C17">
        <w:rPr>
          <w:rFonts w:cs="Arial"/>
        </w:rPr>
        <w:t xml:space="preserve"> certificado </w:t>
      </w:r>
      <w:r w:rsidR="00583AD7" w:rsidRPr="00583AD7">
        <w:rPr>
          <w:rFonts w:cs="Arial"/>
        </w:rPr>
        <w:t>D91C91ECB249CEC1 3B7DDC480C35894D 3048876A903E49E2 47DE611B45B246A1</w:t>
      </w:r>
      <w:r w:rsidRPr="005D1C17">
        <w:rPr>
          <w:rFonts w:cs="Arial"/>
        </w:rPr>
        <w:t xml:space="preserve">. </w:t>
      </w:r>
    </w:p>
  </w:footnote>
  <w:footnote w:id="2">
    <w:p w14:paraId="1BE5B99A" w14:textId="1D0DCC44" w:rsidR="00B9761E" w:rsidRPr="00F95069" w:rsidRDefault="00B9761E" w:rsidP="00B9761E">
      <w:pPr>
        <w:pStyle w:val="Textonotapie"/>
        <w:rPr>
          <w:rFonts w:cs="Arial"/>
        </w:rPr>
      </w:pPr>
      <w:r w:rsidRPr="00F95069">
        <w:rPr>
          <w:rStyle w:val="Refdenotaalpie"/>
          <w:rFonts w:cs="Arial"/>
        </w:rPr>
        <w:footnoteRef/>
      </w:r>
      <w:r w:rsidRPr="00F95069">
        <w:rPr>
          <w:rFonts w:cs="Arial"/>
        </w:rPr>
        <w:t xml:space="preserve"> </w:t>
      </w:r>
      <w:r>
        <w:rPr>
          <w:rFonts w:cs="Arial"/>
        </w:rPr>
        <w:t xml:space="preserve">A folio </w:t>
      </w:r>
      <w:r w:rsidR="00E56C29">
        <w:rPr>
          <w:rFonts w:cs="Arial"/>
        </w:rPr>
        <w:t>1</w:t>
      </w:r>
      <w:r>
        <w:rPr>
          <w:rFonts w:cs="Arial"/>
        </w:rPr>
        <w:t xml:space="preserve"> </w:t>
      </w:r>
      <w:r w:rsidRPr="00F95069">
        <w:rPr>
          <w:rFonts w:cs="Arial"/>
        </w:rPr>
        <w:t xml:space="preserve">del </w:t>
      </w:r>
      <w:r w:rsidRPr="00F95069">
        <w:rPr>
          <w:rFonts w:cs="Arial"/>
          <w:color w:val="000000" w:themeColor="text1"/>
        </w:rPr>
        <w:t xml:space="preserve">escrito de tutela </w:t>
      </w:r>
      <w:r>
        <w:rPr>
          <w:rFonts w:cs="Arial"/>
          <w:color w:val="000000" w:themeColor="text1"/>
        </w:rPr>
        <w:t xml:space="preserve">en el </w:t>
      </w:r>
      <w:r w:rsidRPr="00F95069">
        <w:rPr>
          <w:rFonts w:cs="Arial"/>
          <w:color w:val="000000" w:themeColor="text1"/>
        </w:rPr>
        <w:t xml:space="preserve">documento </w:t>
      </w:r>
      <w:r>
        <w:rPr>
          <w:rFonts w:cs="Arial"/>
          <w:color w:val="000000" w:themeColor="text1"/>
        </w:rPr>
        <w:t xml:space="preserve">subido en SAMAI </w:t>
      </w:r>
      <w:r w:rsidRPr="00F95069">
        <w:rPr>
          <w:rFonts w:cs="Arial"/>
          <w:color w:val="000000" w:themeColor="text1"/>
        </w:rPr>
        <w:t xml:space="preserve">con certificado </w:t>
      </w:r>
      <w:r w:rsidR="006B23DE" w:rsidRPr="00583AD7">
        <w:rPr>
          <w:rFonts w:cs="Arial"/>
        </w:rPr>
        <w:t>D91C91ECB249CEC1 3B7DDC480C35894D 3048876A903E49E2 47DE611B45B246A1</w:t>
      </w:r>
      <w:r w:rsidRPr="00F95069">
        <w:rPr>
          <w:rFonts w:cs="Arial"/>
          <w:color w:val="000000" w:themeColor="text1"/>
        </w:rPr>
        <w:t>.</w:t>
      </w:r>
    </w:p>
  </w:footnote>
  <w:footnote w:id="3">
    <w:p w14:paraId="338B50CA" w14:textId="512821C6" w:rsidR="00DF40FC" w:rsidRDefault="00DF40FC">
      <w:pPr>
        <w:pStyle w:val="Textonotapie"/>
      </w:pPr>
      <w:r>
        <w:rPr>
          <w:rStyle w:val="Refdenotaalpie"/>
        </w:rPr>
        <w:footnoteRef/>
      </w:r>
      <w:r>
        <w:t xml:space="preserve"> Mediante la cual se solicitó que se exhortara al Congreso de la República </w:t>
      </w:r>
      <w:r w:rsidR="009D1A87">
        <w:t xml:space="preserve">para que legislara sobre las uniones maritales de hecho y </w:t>
      </w:r>
      <w:r w:rsidR="00116B91">
        <w:t xml:space="preserve">sobre </w:t>
      </w:r>
      <w:r w:rsidR="009D1A87">
        <w:t xml:space="preserve">las parejas del mismo sexo, en cumplimiento </w:t>
      </w:r>
      <w:r w:rsidR="00116B91">
        <w:t>de lo ordenado en la</w:t>
      </w:r>
      <w:r w:rsidR="009D1A87">
        <w:t xml:space="preserve"> sentencia C-283 del 13 de abril de 2011</w:t>
      </w:r>
      <w:r w:rsidR="001376E9">
        <w:t>.</w:t>
      </w:r>
    </w:p>
  </w:footnote>
  <w:footnote w:id="4">
    <w:p w14:paraId="620FDCD5" w14:textId="02DF8ADE" w:rsidR="00A42C77" w:rsidRPr="00717803" w:rsidRDefault="00A42C77" w:rsidP="00F95069">
      <w:pPr>
        <w:pStyle w:val="Textonotapie"/>
        <w:rPr>
          <w:rFonts w:cs="Arial"/>
        </w:rPr>
      </w:pPr>
      <w:r w:rsidRPr="00717803">
        <w:rPr>
          <w:rStyle w:val="Refdenotaalpie"/>
          <w:rFonts w:cs="Arial"/>
        </w:rPr>
        <w:footnoteRef/>
      </w:r>
      <w:r w:rsidRPr="00717803">
        <w:rPr>
          <w:rFonts w:cs="Arial"/>
        </w:rPr>
        <w:t xml:space="preserve"> </w:t>
      </w:r>
      <w:r w:rsidR="004B42D4" w:rsidRPr="00BE0331">
        <w:rPr>
          <w:rFonts w:cs="Arial"/>
        </w:rPr>
        <w:t>“</w:t>
      </w:r>
      <w:r w:rsidRPr="00717803">
        <w:rPr>
          <w:rFonts w:cs="Arial"/>
          <w:i/>
          <w:iCs/>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DD79F0">
        <w:rPr>
          <w:rFonts w:cs="Arial"/>
          <w:i/>
          <w:iCs/>
        </w:rPr>
        <w:t>[e]</w:t>
      </w:r>
      <w:proofErr w:type="spellStart"/>
      <w:r w:rsidRPr="00717803">
        <w:rPr>
          <w:rFonts w:cs="Arial"/>
          <w:i/>
          <w:iCs/>
        </w:rPr>
        <w:t>stos</w:t>
      </w:r>
      <w:proofErr w:type="spellEnd"/>
      <w:r w:rsidRPr="00717803">
        <w:rPr>
          <w:rFonts w:cs="Arial"/>
          <w:i/>
          <w:iCs/>
        </w:rPr>
        <w:t xml:space="preserve"> resulten vulnerados o amenazados por la acción o la omisión</w:t>
      </w:r>
      <w:r w:rsidR="00E03C78" w:rsidRPr="00717803">
        <w:rPr>
          <w:rFonts w:cs="Arial"/>
          <w:i/>
          <w:iCs/>
        </w:rPr>
        <w:t xml:space="preserve"> de cualquier autoridad pública</w:t>
      </w:r>
      <w:r w:rsidRPr="00717803">
        <w:rPr>
          <w:rFonts w:cs="Arial"/>
          <w:i/>
          <w:iCs/>
        </w:rPr>
        <w:t xml:space="preserve"> (…)</w:t>
      </w:r>
      <w:r w:rsidR="00E03C78" w:rsidRPr="00BE0331">
        <w:rPr>
          <w:rFonts w:cs="Arial"/>
        </w:rPr>
        <w:t>”</w:t>
      </w:r>
      <w:r w:rsidRPr="00717803">
        <w:rPr>
          <w:rFonts w:cs="Arial"/>
        </w:rPr>
        <w:t>.</w:t>
      </w:r>
    </w:p>
  </w:footnote>
  <w:footnote w:id="5">
    <w:p w14:paraId="1597BE42" w14:textId="6D777386" w:rsidR="00A42C77" w:rsidRPr="00717803" w:rsidRDefault="00A42C77" w:rsidP="00F95069">
      <w:pPr>
        <w:pStyle w:val="Textonotapie"/>
        <w:rPr>
          <w:rFonts w:cs="Arial"/>
          <w:i/>
          <w:shd w:val="clear" w:color="auto" w:fill="FFFFFF"/>
        </w:rPr>
      </w:pPr>
      <w:r w:rsidRPr="00717803">
        <w:rPr>
          <w:rStyle w:val="Refdenotaalpie"/>
          <w:rFonts w:cs="Arial"/>
        </w:rPr>
        <w:footnoteRef/>
      </w:r>
      <w:r w:rsidRPr="00717803">
        <w:rPr>
          <w:rFonts w:cs="Arial"/>
        </w:rPr>
        <w:t xml:space="preserve"> </w:t>
      </w:r>
      <w:r w:rsidR="00CE1E43" w:rsidRPr="00BE0331">
        <w:rPr>
          <w:rFonts w:cs="Arial"/>
        </w:rPr>
        <w:t>“</w:t>
      </w:r>
      <w:r w:rsidRPr="00717803">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BE0331">
        <w:rPr>
          <w:rFonts w:cs="Arial"/>
          <w:shd w:val="clear" w:color="auto" w:fill="FFFFFF"/>
        </w:rPr>
        <w:t>”</w:t>
      </w:r>
      <w:r w:rsidR="00081F2C" w:rsidRPr="00717803">
        <w:rPr>
          <w:rFonts w:cs="Arial"/>
          <w: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271FE3DA" w14:textId="77777777" w:rsidR="003906CA" w:rsidRDefault="00D57ADF">
        <w:pPr>
          <w:pStyle w:val="Encabezado"/>
          <w:jc w:val="center"/>
        </w:pPr>
        <w:r>
          <w:fldChar w:fldCharType="begin"/>
        </w:r>
        <w:r>
          <w:instrText>PAGE   \* MERGEFORMAT</w:instrText>
        </w:r>
        <w:r>
          <w:fldChar w:fldCharType="separate"/>
        </w:r>
        <w:r w:rsidR="0006695D" w:rsidRPr="0006695D">
          <w:rPr>
            <w:noProof/>
            <w:lang w:val="es-ES"/>
          </w:rPr>
          <w:t>3</w:t>
        </w:r>
        <w:r>
          <w:fldChar w:fldCharType="end"/>
        </w:r>
      </w:p>
      <w:p w14:paraId="0ADF013D" w14:textId="68051C69" w:rsidR="00D57ADF" w:rsidRDefault="001A2262">
        <w:pPr>
          <w:pStyle w:val="Encabezado"/>
          <w:jc w:val="center"/>
        </w:pP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05765E8A" w:rsidR="00D57ADF" w:rsidRPr="00D57ADF" w:rsidRDefault="00D57ADF" w:rsidP="00D57ADF">
    <w:pPr>
      <w:spacing w:line="276" w:lineRule="auto"/>
      <w:jc w:val="right"/>
      <w:rPr>
        <w:i/>
        <w:sz w:val="18"/>
        <w:szCs w:val="18"/>
      </w:rPr>
    </w:pPr>
    <w:r w:rsidRPr="00D57ADF">
      <w:rPr>
        <w:i/>
        <w:sz w:val="18"/>
        <w:szCs w:val="18"/>
      </w:rPr>
      <w:t xml:space="preserve">Radicación: </w:t>
    </w:r>
    <w:r w:rsidR="00531665" w:rsidRPr="00D5764B">
      <w:rPr>
        <w:i/>
        <w:sz w:val="18"/>
        <w:szCs w:val="18"/>
      </w:rPr>
      <w:t>11001-03-15-000-2021-</w:t>
    </w:r>
    <w:r w:rsidR="00D5764B" w:rsidRPr="00D5764B">
      <w:rPr>
        <w:i/>
        <w:sz w:val="18"/>
        <w:szCs w:val="18"/>
      </w:rPr>
      <w:t>03442</w:t>
    </w:r>
    <w:r w:rsidR="006F57AD">
      <w:rPr>
        <w:i/>
        <w:sz w:val="18"/>
        <w:szCs w:val="18"/>
      </w:rPr>
      <w:t>-</w:t>
    </w:r>
    <w:r w:rsidR="00AA4368" w:rsidRPr="00AA4368">
      <w:rPr>
        <w:i/>
        <w:sz w:val="18"/>
        <w:szCs w:val="18"/>
      </w:rPr>
      <w:t>00</w:t>
    </w:r>
  </w:p>
  <w:p w14:paraId="23759618" w14:textId="15D2BC27" w:rsidR="00D57ADF" w:rsidRPr="00D57ADF" w:rsidRDefault="00D57ADF" w:rsidP="00D57ADF">
    <w:pPr>
      <w:spacing w:line="276" w:lineRule="auto"/>
      <w:jc w:val="right"/>
      <w:rPr>
        <w:i/>
        <w:sz w:val="18"/>
        <w:szCs w:val="18"/>
      </w:rPr>
    </w:pPr>
    <w:r w:rsidRPr="00D57ADF">
      <w:rPr>
        <w:i/>
        <w:sz w:val="18"/>
        <w:szCs w:val="18"/>
      </w:rPr>
      <w:t>Accionante</w:t>
    </w:r>
    <w:r w:rsidR="00D5764B">
      <w:rPr>
        <w:i/>
        <w:sz w:val="18"/>
        <w:szCs w:val="18"/>
      </w:rPr>
      <w:t>s</w:t>
    </w:r>
    <w:r w:rsidR="000B51BA">
      <w:rPr>
        <w:i/>
        <w:sz w:val="18"/>
        <w:szCs w:val="18"/>
      </w:rPr>
      <w:t xml:space="preserve">: </w:t>
    </w:r>
    <w:r w:rsidR="00D5764B" w:rsidRPr="00D5764B">
      <w:rPr>
        <w:i/>
        <w:sz w:val="18"/>
        <w:szCs w:val="18"/>
      </w:rPr>
      <w:t>Martín Alonso Álvarez Bermúdez y otra</w:t>
    </w:r>
  </w:p>
  <w:p w14:paraId="710BD92D" w14:textId="6BC2A82F" w:rsidR="00D57ADF" w:rsidRPr="00D57ADF" w:rsidRDefault="00C416F4" w:rsidP="00D85E24">
    <w:pPr>
      <w:spacing w:line="276" w:lineRule="auto"/>
      <w:jc w:val="right"/>
      <w:rPr>
        <w:i/>
        <w:sz w:val="18"/>
        <w:szCs w:val="18"/>
      </w:rPr>
    </w:pPr>
    <w:r>
      <w:rPr>
        <w:i/>
        <w:sz w:val="18"/>
        <w:szCs w:val="18"/>
      </w:rPr>
      <w:t xml:space="preserve">Accionado: </w:t>
    </w:r>
    <w:r w:rsidR="00D5764B">
      <w:rPr>
        <w:i/>
        <w:sz w:val="18"/>
        <w:szCs w:val="18"/>
      </w:rPr>
      <w:t>Corte Constitucional</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789F"/>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757E"/>
    <w:rsid w:val="00047E12"/>
    <w:rsid w:val="0005664E"/>
    <w:rsid w:val="000606ED"/>
    <w:rsid w:val="00060808"/>
    <w:rsid w:val="00060AB1"/>
    <w:rsid w:val="000621B3"/>
    <w:rsid w:val="00062EAC"/>
    <w:rsid w:val="000630A4"/>
    <w:rsid w:val="00063B09"/>
    <w:rsid w:val="00063D74"/>
    <w:rsid w:val="00064022"/>
    <w:rsid w:val="00064A35"/>
    <w:rsid w:val="000650EA"/>
    <w:rsid w:val="0006695D"/>
    <w:rsid w:val="00066B29"/>
    <w:rsid w:val="0007793B"/>
    <w:rsid w:val="00081F2C"/>
    <w:rsid w:val="00085764"/>
    <w:rsid w:val="000864BF"/>
    <w:rsid w:val="00086F8E"/>
    <w:rsid w:val="000944BA"/>
    <w:rsid w:val="00096D05"/>
    <w:rsid w:val="00097985"/>
    <w:rsid w:val="000A0C1E"/>
    <w:rsid w:val="000A1632"/>
    <w:rsid w:val="000A59B8"/>
    <w:rsid w:val="000A76BA"/>
    <w:rsid w:val="000B31C6"/>
    <w:rsid w:val="000B4F96"/>
    <w:rsid w:val="000B51BA"/>
    <w:rsid w:val="000B738B"/>
    <w:rsid w:val="000B73C2"/>
    <w:rsid w:val="000B759F"/>
    <w:rsid w:val="000C4BEF"/>
    <w:rsid w:val="000C5CDA"/>
    <w:rsid w:val="000C6879"/>
    <w:rsid w:val="000C7B02"/>
    <w:rsid w:val="000D0EC0"/>
    <w:rsid w:val="000D413C"/>
    <w:rsid w:val="000D6A17"/>
    <w:rsid w:val="000D7A24"/>
    <w:rsid w:val="000E6C2D"/>
    <w:rsid w:val="000E7D54"/>
    <w:rsid w:val="000F1903"/>
    <w:rsid w:val="000F2595"/>
    <w:rsid w:val="000F4D76"/>
    <w:rsid w:val="000F5B3E"/>
    <w:rsid w:val="00100957"/>
    <w:rsid w:val="001049E1"/>
    <w:rsid w:val="001059A9"/>
    <w:rsid w:val="00105ECF"/>
    <w:rsid w:val="0011059A"/>
    <w:rsid w:val="0011647A"/>
    <w:rsid w:val="00116B91"/>
    <w:rsid w:val="00120884"/>
    <w:rsid w:val="00122597"/>
    <w:rsid w:val="001241EF"/>
    <w:rsid w:val="00126D40"/>
    <w:rsid w:val="00127B3B"/>
    <w:rsid w:val="00133A2D"/>
    <w:rsid w:val="00134A65"/>
    <w:rsid w:val="0013684B"/>
    <w:rsid w:val="001376E9"/>
    <w:rsid w:val="0014168D"/>
    <w:rsid w:val="001444DF"/>
    <w:rsid w:val="00144626"/>
    <w:rsid w:val="0014479B"/>
    <w:rsid w:val="001466D3"/>
    <w:rsid w:val="00147640"/>
    <w:rsid w:val="00147F74"/>
    <w:rsid w:val="001505D0"/>
    <w:rsid w:val="001555C5"/>
    <w:rsid w:val="00155EC4"/>
    <w:rsid w:val="00156DCE"/>
    <w:rsid w:val="0015728E"/>
    <w:rsid w:val="00162508"/>
    <w:rsid w:val="00162F36"/>
    <w:rsid w:val="0016334B"/>
    <w:rsid w:val="001635B4"/>
    <w:rsid w:val="00164C1D"/>
    <w:rsid w:val="00165EF8"/>
    <w:rsid w:val="00167552"/>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5E23"/>
    <w:rsid w:val="00197473"/>
    <w:rsid w:val="001A1476"/>
    <w:rsid w:val="001A1A1A"/>
    <w:rsid w:val="001A2262"/>
    <w:rsid w:val="001A40E4"/>
    <w:rsid w:val="001A4824"/>
    <w:rsid w:val="001A635A"/>
    <w:rsid w:val="001B3406"/>
    <w:rsid w:val="001B5A1C"/>
    <w:rsid w:val="001B7F29"/>
    <w:rsid w:val="001C0E3F"/>
    <w:rsid w:val="001C115C"/>
    <w:rsid w:val="001C156E"/>
    <w:rsid w:val="001C1C57"/>
    <w:rsid w:val="001C5D78"/>
    <w:rsid w:val="001D09FF"/>
    <w:rsid w:val="001D3D4E"/>
    <w:rsid w:val="001E05BC"/>
    <w:rsid w:val="001E218F"/>
    <w:rsid w:val="001E2A0E"/>
    <w:rsid w:val="001E3202"/>
    <w:rsid w:val="001E6433"/>
    <w:rsid w:val="001E7ACD"/>
    <w:rsid w:val="001E7FA4"/>
    <w:rsid w:val="001F0153"/>
    <w:rsid w:val="001F06F2"/>
    <w:rsid w:val="001F08DD"/>
    <w:rsid w:val="001F2352"/>
    <w:rsid w:val="001F3D55"/>
    <w:rsid w:val="001F633A"/>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3045C"/>
    <w:rsid w:val="002313E3"/>
    <w:rsid w:val="00232937"/>
    <w:rsid w:val="00234557"/>
    <w:rsid w:val="002369FC"/>
    <w:rsid w:val="00237A39"/>
    <w:rsid w:val="002424DA"/>
    <w:rsid w:val="00245EE2"/>
    <w:rsid w:val="00246B01"/>
    <w:rsid w:val="00247D5F"/>
    <w:rsid w:val="00250651"/>
    <w:rsid w:val="00250A2C"/>
    <w:rsid w:val="0025190B"/>
    <w:rsid w:val="00253D57"/>
    <w:rsid w:val="00253FCE"/>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3343"/>
    <w:rsid w:val="00284447"/>
    <w:rsid w:val="00286101"/>
    <w:rsid w:val="00286649"/>
    <w:rsid w:val="002923FA"/>
    <w:rsid w:val="00293880"/>
    <w:rsid w:val="002946CF"/>
    <w:rsid w:val="00295D61"/>
    <w:rsid w:val="00296187"/>
    <w:rsid w:val="00297A8A"/>
    <w:rsid w:val="002A14DC"/>
    <w:rsid w:val="002A15DF"/>
    <w:rsid w:val="002A20C1"/>
    <w:rsid w:val="002A2728"/>
    <w:rsid w:val="002A3ABD"/>
    <w:rsid w:val="002A4C76"/>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F7180"/>
    <w:rsid w:val="002F765C"/>
    <w:rsid w:val="00300653"/>
    <w:rsid w:val="003028FD"/>
    <w:rsid w:val="00302DF8"/>
    <w:rsid w:val="00303269"/>
    <w:rsid w:val="00304881"/>
    <w:rsid w:val="003111E4"/>
    <w:rsid w:val="00313A61"/>
    <w:rsid w:val="00314643"/>
    <w:rsid w:val="00314E49"/>
    <w:rsid w:val="00317113"/>
    <w:rsid w:val="0031727E"/>
    <w:rsid w:val="003176EA"/>
    <w:rsid w:val="00321CE9"/>
    <w:rsid w:val="00322211"/>
    <w:rsid w:val="00322340"/>
    <w:rsid w:val="00324ABA"/>
    <w:rsid w:val="003277B2"/>
    <w:rsid w:val="00334F26"/>
    <w:rsid w:val="003417D5"/>
    <w:rsid w:val="003446DB"/>
    <w:rsid w:val="003508AD"/>
    <w:rsid w:val="0035193C"/>
    <w:rsid w:val="00355127"/>
    <w:rsid w:val="0036085E"/>
    <w:rsid w:val="003625EC"/>
    <w:rsid w:val="00362EEB"/>
    <w:rsid w:val="003647EE"/>
    <w:rsid w:val="00364AA8"/>
    <w:rsid w:val="00366318"/>
    <w:rsid w:val="003666C5"/>
    <w:rsid w:val="003701AC"/>
    <w:rsid w:val="0037315F"/>
    <w:rsid w:val="00374CAF"/>
    <w:rsid w:val="00380CE9"/>
    <w:rsid w:val="0038223F"/>
    <w:rsid w:val="00385269"/>
    <w:rsid w:val="003861BB"/>
    <w:rsid w:val="0038663E"/>
    <w:rsid w:val="003905AD"/>
    <w:rsid w:val="003906CA"/>
    <w:rsid w:val="00391635"/>
    <w:rsid w:val="00391AAB"/>
    <w:rsid w:val="00394702"/>
    <w:rsid w:val="00394BF0"/>
    <w:rsid w:val="003958D8"/>
    <w:rsid w:val="00396207"/>
    <w:rsid w:val="003A1525"/>
    <w:rsid w:val="003A3E3D"/>
    <w:rsid w:val="003A51B0"/>
    <w:rsid w:val="003A6D33"/>
    <w:rsid w:val="003B0496"/>
    <w:rsid w:val="003B1CD6"/>
    <w:rsid w:val="003B32A4"/>
    <w:rsid w:val="003B5E0E"/>
    <w:rsid w:val="003B6AB9"/>
    <w:rsid w:val="003B7693"/>
    <w:rsid w:val="003B7CA4"/>
    <w:rsid w:val="003C0244"/>
    <w:rsid w:val="003C050F"/>
    <w:rsid w:val="003C06D4"/>
    <w:rsid w:val="003C1A84"/>
    <w:rsid w:val="003C1C2C"/>
    <w:rsid w:val="003C71B9"/>
    <w:rsid w:val="003D248D"/>
    <w:rsid w:val="003D284A"/>
    <w:rsid w:val="003D32B2"/>
    <w:rsid w:val="003D7090"/>
    <w:rsid w:val="003D7A52"/>
    <w:rsid w:val="003E25F4"/>
    <w:rsid w:val="003E36E4"/>
    <w:rsid w:val="003E37F4"/>
    <w:rsid w:val="003E39E9"/>
    <w:rsid w:val="003E5EB8"/>
    <w:rsid w:val="003E7964"/>
    <w:rsid w:val="003F0212"/>
    <w:rsid w:val="003F3E04"/>
    <w:rsid w:val="003F44A2"/>
    <w:rsid w:val="003F53E1"/>
    <w:rsid w:val="00403D4F"/>
    <w:rsid w:val="00404957"/>
    <w:rsid w:val="004055F3"/>
    <w:rsid w:val="004070D8"/>
    <w:rsid w:val="004104B4"/>
    <w:rsid w:val="0041165E"/>
    <w:rsid w:val="00411FD7"/>
    <w:rsid w:val="0041212A"/>
    <w:rsid w:val="004121FB"/>
    <w:rsid w:val="00414268"/>
    <w:rsid w:val="00416216"/>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6775"/>
    <w:rsid w:val="0044763D"/>
    <w:rsid w:val="0044778F"/>
    <w:rsid w:val="004520E5"/>
    <w:rsid w:val="00452DEE"/>
    <w:rsid w:val="00456E22"/>
    <w:rsid w:val="0046037A"/>
    <w:rsid w:val="00461FDD"/>
    <w:rsid w:val="0046238E"/>
    <w:rsid w:val="00466F12"/>
    <w:rsid w:val="004679B1"/>
    <w:rsid w:val="004723DC"/>
    <w:rsid w:val="00474042"/>
    <w:rsid w:val="00474343"/>
    <w:rsid w:val="00474B1E"/>
    <w:rsid w:val="00476EF3"/>
    <w:rsid w:val="004773A3"/>
    <w:rsid w:val="0048315B"/>
    <w:rsid w:val="004869C8"/>
    <w:rsid w:val="00491146"/>
    <w:rsid w:val="004926C6"/>
    <w:rsid w:val="00495710"/>
    <w:rsid w:val="004A07AA"/>
    <w:rsid w:val="004A33B3"/>
    <w:rsid w:val="004A7326"/>
    <w:rsid w:val="004B0CCD"/>
    <w:rsid w:val="004B2F5E"/>
    <w:rsid w:val="004B42D4"/>
    <w:rsid w:val="004B49BF"/>
    <w:rsid w:val="004B5940"/>
    <w:rsid w:val="004B6DCE"/>
    <w:rsid w:val="004C0EBA"/>
    <w:rsid w:val="004C1E4C"/>
    <w:rsid w:val="004C1E5A"/>
    <w:rsid w:val="004C4456"/>
    <w:rsid w:val="004C523E"/>
    <w:rsid w:val="004C7C09"/>
    <w:rsid w:val="004C7CD5"/>
    <w:rsid w:val="004D5522"/>
    <w:rsid w:val="004D5876"/>
    <w:rsid w:val="004E017A"/>
    <w:rsid w:val="004E2758"/>
    <w:rsid w:val="004E347B"/>
    <w:rsid w:val="004E6D09"/>
    <w:rsid w:val="004F254B"/>
    <w:rsid w:val="004F5CF8"/>
    <w:rsid w:val="004F71B9"/>
    <w:rsid w:val="00500189"/>
    <w:rsid w:val="00501B81"/>
    <w:rsid w:val="00503885"/>
    <w:rsid w:val="0050681A"/>
    <w:rsid w:val="00507D82"/>
    <w:rsid w:val="00510CBA"/>
    <w:rsid w:val="005126C9"/>
    <w:rsid w:val="005159EB"/>
    <w:rsid w:val="00516F3D"/>
    <w:rsid w:val="005261AD"/>
    <w:rsid w:val="00526342"/>
    <w:rsid w:val="00526C70"/>
    <w:rsid w:val="00527FC1"/>
    <w:rsid w:val="00531665"/>
    <w:rsid w:val="0053180D"/>
    <w:rsid w:val="00531B3C"/>
    <w:rsid w:val="00532558"/>
    <w:rsid w:val="00532F14"/>
    <w:rsid w:val="00534AD2"/>
    <w:rsid w:val="0053636E"/>
    <w:rsid w:val="005409BB"/>
    <w:rsid w:val="00547090"/>
    <w:rsid w:val="00547FA7"/>
    <w:rsid w:val="00550A9C"/>
    <w:rsid w:val="00552A35"/>
    <w:rsid w:val="00552BD3"/>
    <w:rsid w:val="00566662"/>
    <w:rsid w:val="00566D2A"/>
    <w:rsid w:val="0057021C"/>
    <w:rsid w:val="00570BFB"/>
    <w:rsid w:val="00571876"/>
    <w:rsid w:val="00575EBE"/>
    <w:rsid w:val="0057798C"/>
    <w:rsid w:val="00583AD7"/>
    <w:rsid w:val="00585716"/>
    <w:rsid w:val="0058648E"/>
    <w:rsid w:val="00591AC3"/>
    <w:rsid w:val="00591EA6"/>
    <w:rsid w:val="00592015"/>
    <w:rsid w:val="00592850"/>
    <w:rsid w:val="005933A8"/>
    <w:rsid w:val="005935AF"/>
    <w:rsid w:val="00593826"/>
    <w:rsid w:val="00593C37"/>
    <w:rsid w:val="00595704"/>
    <w:rsid w:val="005979B0"/>
    <w:rsid w:val="005A2355"/>
    <w:rsid w:val="005A4E0E"/>
    <w:rsid w:val="005A5B36"/>
    <w:rsid w:val="005A7D40"/>
    <w:rsid w:val="005B05F8"/>
    <w:rsid w:val="005B0734"/>
    <w:rsid w:val="005B0932"/>
    <w:rsid w:val="005B0A59"/>
    <w:rsid w:val="005B0D6F"/>
    <w:rsid w:val="005B243B"/>
    <w:rsid w:val="005B2CF9"/>
    <w:rsid w:val="005B2E73"/>
    <w:rsid w:val="005B3FF9"/>
    <w:rsid w:val="005B40A5"/>
    <w:rsid w:val="005B6858"/>
    <w:rsid w:val="005C6E18"/>
    <w:rsid w:val="005C7471"/>
    <w:rsid w:val="005D1C17"/>
    <w:rsid w:val="005D233A"/>
    <w:rsid w:val="005D4D01"/>
    <w:rsid w:val="005D538D"/>
    <w:rsid w:val="005D5792"/>
    <w:rsid w:val="005E1B42"/>
    <w:rsid w:val="005E2C42"/>
    <w:rsid w:val="005E433F"/>
    <w:rsid w:val="005E4440"/>
    <w:rsid w:val="005E6CA9"/>
    <w:rsid w:val="005E6F50"/>
    <w:rsid w:val="005E7216"/>
    <w:rsid w:val="005F367D"/>
    <w:rsid w:val="005F5D9D"/>
    <w:rsid w:val="006055EE"/>
    <w:rsid w:val="006106FF"/>
    <w:rsid w:val="00611163"/>
    <w:rsid w:val="00613803"/>
    <w:rsid w:val="006146D7"/>
    <w:rsid w:val="0061741F"/>
    <w:rsid w:val="006202F0"/>
    <w:rsid w:val="006205B6"/>
    <w:rsid w:val="00620FF1"/>
    <w:rsid w:val="0062107C"/>
    <w:rsid w:val="00621369"/>
    <w:rsid w:val="00622364"/>
    <w:rsid w:val="00622F68"/>
    <w:rsid w:val="006253BC"/>
    <w:rsid w:val="00630482"/>
    <w:rsid w:val="006316D5"/>
    <w:rsid w:val="00632C87"/>
    <w:rsid w:val="00632D1D"/>
    <w:rsid w:val="00633686"/>
    <w:rsid w:val="00635502"/>
    <w:rsid w:val="0064086B"/>
    <w:rsid w:val="00640C14"/>
    <w:rsid w:val="00641157"/>
    <w:rsid w:val="006411CB"/>
    <w:rsid w:val="00642562"/>
    <w:rsid w:val="00642901"/>
    <w:rsid w:val="00644684"/>
    <w:rsid w:val="00645A83"/>
    <w:rsid w:val="00645F63"/>
    <w:rsid w:val="006466C4"/>
    <w:rsid w:val="00647C16"/>
    <w:rsid w:val="0065218B"/>
    <w:rsid w:val="00652CCF"/>
    <w:rsid w:val="00653013"/>
    <w:rsid w:val="00657B6C"/>
    <w:rsid w:val="00657F1A"/>
    <w:rsid w:val="00657F69"/>
    <w:rsid w:val="006669A4"/>
    <w:rsid w:val="006676D5"/>
    <w:rsid w:val="00672DAC"/>
    <w:rsid w:val="00676199"/>
    <w:rsid w:val="00680B8A"/>
    <w:rsid w:val="0068130D"/>
    <w:rsid w:val="00685422"/>
    <w:rsid w:val="00685B29"/>
    <w:rsid w:val="00692AB0"/>
    <w:rsid w:val="006933F2"/>
    <w:rsid w:val="00693E07"/>
    <w:rsid w:val="006948B8"/>
    <w:rsid w:val="00694EF5"/>
    <w:rsid w:val="00697713"/>
    <w:rsid w:val="006A2E17"/>
    <w:rsid w:val="006A42CE"/>
    <w:rsid w:val="006A5736"/>
    <w:rsid w:val="006B033D"/>
    <w:rsid w:val="006B1967"/>
    <w:rsid w:val="006B1BB7"/>
    <w:rsid w:val="006B23DE"/>
    <w:rsid w:val="006B4F5D"/>
    <w:rsid w:val="006B507D"/>
    <w:rsid w:val="006C00E0"/>
    <w:rsid w:val="006C4E1A"/>
    <w:rsid w:val="006C7065"/>
    <w:rsid w:val="006D38D4"/>
    <w:rsid w:val="006D47E1"/>
    <w:rsid w:val="006D5E07"/>
    <w:rsid w:val="006D64BA"/>
    <w:rsid w:val="006D72C4"/>
    <w:rsid w:val="006D73CA"/>
    <w:rsid w:val="006E03C0"/>
    <w:rsid w:val="006E0788"/>
    <w:rsid w:val="006E1F8F"/>
    <w:rsid w:val="006E2540"/>
    <w:rsid w:val="006E436E"/>
    <w:rsid w:val="006E5D81"/>
    <w:rsid w:val="006F0ABA"/>
    <w:rsid w:val="006F0FF1"/>
    <w:rsid w:val="006F2641"/>
    <w:rsid w:val="006F28D5"/>
    <w:rsid w:val="006F2CA3"/>
    <w:rsid w:val="006F2F40"/>
    <w:rsid w:val="006F32DE"/>
    <w:rsid w:val="006F376B"/>
    <w:rsid w:val="006F3A24"/>
    <w:rsid w:val="006F49D5"/>
    <w:rsid w:val="006F4FCD"/>
    <w:rsid w:val="006F57AD"/>
    <w:rsid w:val="006F5CA1"/>
    <w:rsid w:val="006F7353"/>
    <w:rsid w:val="007041E4"/>
    <w:rsid w:val="00704AF7"/>
    <w:rsid w:val="0071141F"/>
    <w:rsid w:val="00711D7B"/>
    <w:rsid w:val="0071441A"/>
    <w:rsid w:val="0071486F"/>
    <w:rsid w:val="00715778"/>
    <w:rsid w:val="007160D2"/>
    <w:rsid w:val="00717803"/>
    <w:rsid w:val="007211F5"/>
    <w:rsid w:val="007244AE"/>
    <w:rsid w:val="00724876"/>
    <w:rsid w:val="00726F2E"/>
    <w:rsid w:val="00727596"/>
    <w:rsid w:val="00730188"/>
    <w:rsid w:val="00730937"/>
    <w:rsid w:val="00730E0E"/>
    <w:rsid w:val="00733BFB"/>
    <w:rsid w:val="00734D7C"/>
    <w:rsid w:val="007351BB"/>
    <w:rsid w:val="0073556D"/>
    <w:rsid w:val="0074034B"/>
    <w:rsid w:val="00741A13"/>
    <w:rsid w:val="00743708"/>
    <w:rsid w:val="00743E2C"/>
    <w:rsid w:val="00743E7C"/>
    <w:rsid w:val="00745299"/>
    <w:rsid w:val="00745D2D"/>
    <w:rsid w:val="00747F59"/>
    <w:rsid w:val="00757128"/>
    <w:rsid w:val="0076050F"/>
    <w:rsid w:val="00761063"/>
    <w:rsid w:val="007613E5"/>
    <w:rsid w:val="00762459"/>
    <w:rsid w:val="007679B5"/>
    <w:rsid w:val="00773EA1"/>
    <w:rsid w:val="0077525F"/>
    <w:rsid w:val="0077779A"/>
    <w:rsid w:val="007816C4"/>
    <w:rsid w:val="007839D8"/>
    <w:rsid w:val="00794450"/>
    <w:rsid w:val="007A0691"/>
    <w:rsid w:val="007A0EEC"/>
    <w:rsid w:val="007A245F"/>
    <w:rsid w:val="007A3286"/>
    <w:rsid w:val="007A47AB"/>
    <w:rsid w:val="007A4D38"/>
    <w:rsid w:val="007A53FC"/>
    <w:rsid w:val="007A6996"/>
    <w:rsid w:val="007B254F"/>
    <w:rsid w:val="007B3A99"/>
    <w:rsid w:val="007B69E3"/>
    <w:rsid w:val="007B703B"/>
    <w:rsid w:val="007C00A0"/>
    <w:rsid w:val="007C3719"/>
    <w:rsid w:val="007C47A8"/>
    <w:rsid w:val="007C558D"/>
    <w:rsid w:val="007C5F36"/>
    <w:rsid w:val="007C5F74"/>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04634"/>
    <w:rsid w:val="00810B28"/>
    <w:rsid w:val="008127F4"/>
    <w:rsid w:val="00813E5A"/>
    <w:rsid w:val="00816753"/>
    <w:rsid w:val="00821851"/>
    <w:rsid w:val="00821CE6"/>
    <w:rsid w:val="00823A47"/>
    <w:rsid w:val="00826233"/>
    <w:rsid w:val="00826A2C"/>
    <w:rsid w:val="00827668"/>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A18"/>
    <w:rsid w:val="00871A45"/>
    <w:rsid w:val="00875A89"/>
    <w:rsid w:val="00875E18"/>
    <w:rsid w:val="00877187"/>
    <w:rsid w:val="008771B4"/>
    <w:rsid w:val="00880984"/>
    <w:rsid w:val="008823DE"/>
    <w:rsid w:val="008830F3"/>
    <w:rsid w:val="00884FE3"/>
    <w:rsid w:val="0088504A"/>
    <w:rsid w:val="00885AAE"/>
    <w:rsid w:val="008865F3"/>
    <w:rsid w:val="0088690A"/>
    <w:rsid w:val="00886DF9"/>
    <w:rsid w:val="00890D20"/>
    <w:rsid w:val="0089148D"/>
    <w:rsid w:val="0089199C"/>
    <w:rsid w:val="00894B15"/>
    <w:rsid w:val="008957FA"/>
    <w:rsid w:val="00895E96"/>
    <w:rsid w:val="008971AF"/>
    <w:rsid w:val="008A0278"/>
    <w:rsid w:val="008A07D5"/>
    <w:rsid w:val="008A2B72"/>
    <w:rsid w:val="008A40DA"/>
    <w:rsid w:val="008A4116"/>
    <w:rsid w:val="008A6341"/>
    <w:rsid w:val="008A6B19"/>
    <w:rsid w:val="008A6CED"/>
    <w:rsid w:val="008B0512"/>
    <w:rsid w:val="008B0D3C"/>
    <w:rsid w:val="008B1560"/>
    <w:rsid w:val="008B2858"/>
    <w:rsid w:val="008B5900"/>
    <w:rsid w:val="008B5FD5"/>
    <w:rsid w:val="008B66E8"/>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E709F"/>
    <w:rsid w:val="008F07D5"/>
    <w:rsid w:val="008F30CC"/>
    <w:rsid w:val="008F3625"/>
    <w:rsid w:val="008F41F0"/>
    <w:rsid w:val="008F70E0"/>
    <w:rsid w:val="00900967"/>
    <w:rsid w:val="009023E3"/>
    <w:rsid w:val="00902C3A"/>
    <w:rsid w:val="009032BE"/>
    <w:rsid w:val="00903FA8"/>
    <w:rsid w:val="009067E1"/>
    <w:rsid w:val="009068F3"/>
    <w:rsid w:val="00914087"/>
    <w:rsid w:val="0091498B"/>
    <w:rsid w:val="009166BA"/>
    <w:rsid w:val="00921625"/>
    <w:rsid w:val="009225FA"/>
    <w:rsid w:val="00926532"/>
    <w:rsid w:val="009268C0"/>
    <w:rsid w:val="0092710E"/>
    <w:rsid w:val="0092715F"/>
    <w:rsid w:val="00927C00"/>
    <w:rsid w:val="00930E28"/>
    <w:rsid w:val="00934D62"/>
    <w:rsid w:val="00935177"/>
    <w:rsid w:val="009354E1"/>
    <w:rsid w:val="009357B1"/>
    <w:rsid w:val="00935A43"/>
    <w:rsid w:val="00936284"/>
    <w:rsid w:val="00941F89"/>
    <w:rsid w:val="00944770"/>
    <w:rsid w:val="00946C2D"/>
    <w:rsid w:val="00951F3D"/>
    <w:rsid w:val="00952C07"/>
    <w:rsid w:val="0095725F"/>
    <w:rsid w:val="00964A03"/>
    <w:rsid w:val="00971223"/>
    <w:rsid w:val="00971BC5"/>
    <w:rsid w:val="009728E4"/>
    <w:rsid w:val="00972F3F"/>
    <w:rsid w:val="00975C34"/>
    <w:rsid w:val="009761A7"/>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B6A48"/>
    <w:rsid w:val="009C2723"/>
    <w:rsid w:val="009C3007"/>
    <w:rsid w:val="009C5C64"/>
    <w:rsid w:val="009C79C6"/>
    <w:rsid w:val="009D1355"/>
    <w:rsid w:val="009D1A87"/>
    <w:rsid w:val="009D1E3E"/>
    <w:rsid w:val="009D531F"/>
    <w:rsid w:val="009D55C9"/>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10538"/>
    <w:rsid w:val="00A108E5"/>
    <w:rsid w:val="00A1326C"/>
    <w:rsid w:val="00A14325"/>
    <w:rsid w:val="00A1624C"/>
    <w:rsid w:val="00A31DAF"/>
    <w:rsid w:val="00A42C77"/>
    <w:rsid w:val="00A45ADA"/>
    <w:rsid w:val="00A504D6"/>
    <w:rsid w:val="00A54E08"/>
    <w:rsid w:val="00A577EF"/>
    <w:rsid w:val="00A62CE9"/>
    <w:rsid w:val="00A6766E"/>
    <w:rsid w:val="00A703D8"/>
    <w:rsid w:val="00A71E36"/>
    <w:rsid w:val="00A74187"/>
    <w:rsid w:val="00A76064"/>
    <w:rsid w:val="00A84907"/>
    <w:rsid w:val="00A90FFF"/>
    <w:rsid w:val="00A939C7"/>
    <w:rsid w:val="00A96E51"/>
    <w:rsid w:val="00AA08F8"/>
    <w:rsid w:val="00AA21E1"/>
    <w:rsid w:val="00AA237B"/>
    <w:rsid w:val="00AA32DE"/>
    <w:rsid w:val="00AA3E91"/>
    <w:rsid w:val="00AA4368"/>
    <w:rsid w:val="00AA5482"/>
    <w:rsid w:val="00AA6653"/>
    <w:rsid w:val="00AA6795"/>
    <w:rsid w:val="00AA7248"/>
    <w:rsid w:val="00AA7932"/>
    <w:rsid w:val="00AB258F"/>
    <w:rsid w:val="00AB2F9A"/>
    <w:rsid w:val="00AB3847"/>
    <w:rsid w:val="00AB65D7"/>
    <w:rsid w:val="00AB69DC"/>
    <w:rsid w:val="00AC2EFE"/>
    <w:rsid w:val="00AC4FD3"/>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146CD"/>
    <w:rsid w:val="00B20A33"/>
    <w:rsid w:val="00B210D4"/>
    <w:rsid w:val="00B21187"/>
    <w:rsid w:val="00B21DD0"/>
    <w:rsid w:val="00B226A7"/>
    <w:rsid w:val="00B232EE"/>
    <w:rsid w:val="00B23E47"/>
    <w:rsid w:val="00B2688F"/>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6E95"/>
    <w:rsid w:val="00B5751C"/>
    <w:rsid w:val="00B578F1"/>
    <w:rsid w:val="00B62339"/>
    <w:rsid w:val="00B67C65"/>
    <w:rsid w:val="00B7027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2DE7"/>
    <w:rsid w:val="00B9761E"/>
    <w:rsid w:val="00BA069F"/>
    <w:rsid w:val="00BA3258"/>
    <w:rsid w:val="00BA4E6F"/>
    <w:rsid w:val="00BA5201"/>
    <w:rsid w:val="00BA6CB1"/>
    <w:rsid w:val="00BB01A5"/>
    <w:rsid w:val="00BB5272"/>
    <w:rsid w:val="00BB5E59"/>
    <w:rsid w:val="00BB5EF9"/>
    <w:rsid w:val="00BB79B3"/>
    <w:rsid w:val="00BC56D3"/>
    <w:rsid w:val="00BD4219"/>
    <w:rsid w:val="00BD546B"/>
    <w:rsid w:val="00BD69EB"/>
    <w:rsid w:val="00BE0331"/>
    <w:rsid w:val="00BE2093"/>
    <w:rsid w:val="00BE2800"/>
    <w:rsid w:val="00BE3115"/>
    <w:rsid w:val="00BE4A4E"/>
    <w:rsid w:val="00BE5574"/>
    <w:rsid w:val="00BF20EE"/>
    <w:rsid w:val="00BF2AFA"/>
    <w:rsid w:val="00BF3139"/>
    <w:rsid w:val="00BF4CCC"/>
    <w:rsid w:val="00BF631B"/>
    <w:rsid w:val="00C0046C"/>
    <w:rsid w:val="00C01D62"/>
    <w:rsid w:val="00C036D6"/>
    <w:rsid w:val="00C0415E"/>
    <w:rsid w:val="00C0532A"/>
    <w:rsid w:val="00C1070D"/>
    <w:rsid w:val="00C117F2"/>
    <w:rsid w:val="00C11E4E"/>
    <w:rsid w:val="00C140DA"/>
    <w:rsid w:val="00C14721"/>
    <w:rsid w:val="00C17954"/>
    <w:rsid w:val="00C20376"/>
    <w:rsid w:val="00C22E5F"/>
    <w:rsid w:val="00C233B7"/>
    <w:rsid w:val="00C23462"/>
    <w:rsid w:val="00C2355B"/>
    <w:rsid w:val="00C23B24"/>
    <w:rsid w:val="00C26EB5"/>
    <w:rsid w:val="00C2705F"/>
    <w:rsid w:val="00C32E3E"/>
    <w:rsid w:val="00C33908"/>
    <w:rsid w:val="00C416F4"/>
    <w:rsid w:val="00C43D0B"/>
    <w:rsid w:val="00C45501"/>
    <w:rsid w:val="00C50BA6"/>
    <w:rsid w:val="00C547A0"/>
    <w:rsid w:val="00C54BAC"/>
    <w:rsid w:val="00C64836"/>
    <w:rsid w:val="00C64D10"/>
    <w:rsid w:val="00C716EC"/>
    <w:rsid w:val="00C72126"/>
    <w:rsid w:val="00C73E6F"/>
    <w:rsid w:val="00C777A0"/>
    <w:rsid w:val="00C831DE"/>
    <w:rsid w:val="00C84FF1"/>
    <w:rsid w:val="00C86972"/>
    <w:rsid w:val="00C90D36"/>
    <w:rsid w:val="00C92739"/>
    <w:rsid w:val="00C92D06"/>
    <w:rsid w:val="00C9362E"/>
    <w:rsid w:val="00C94147"/>
    <w:rsid w:val="00C95082"/>
    <w:rsid w:val="00C957BE"/>
    <w:rsid w:val="00C958FB"/>
    <w:rsid w:val="00CA2FD0"/>
    <w:rsid w:val="00CA5B09"/>
    <w:rsid w:val="00CA5F0F"/>
    <w:rsid w:val="00CA7A25"/>
    <w:rsid w:val="00CB0E04"/>
    <w:rsid w:val="00CB1589"/>
    <w:rsid w:val="00CC04B1"/>
    <w:rsid w:val="00CC4CE4"/>
    <w:rsid w:val="00CC5976"/>
    <w:rsid w:val="00CD0D65"/>
    <w:rsid w:val="00CD157D"/>
    <w:rsid w:val="00CD2B6B"/>
    <w:rsid w:val="00CD5399"/>
    <w:rsid w:val="00CE1E43"/>
    <w:rsid w:val="00CE3031"/>
    <w:rsid w:val="00CE34F0"/>
    <w:rsid w:val="00CE3CE8"/>
    <w:rsid w:val="00CE3F66"/>
    <w:rsid w:val="00CE6258"/>
    <w:rsid w:val="00CF5183"/>
    <w:rsid w:val="00CF591A"/>
    <w:rsid w:val="00D00C27"/>
    <w:rsid w:val="00D06EBA"/>
    <w:rsid w:val="00D13E92"/>
    <w:rsid w:val="00D169D3"/>
    <w:rsid w:val="00D175CC"/>
    <w:rsid w:val="00D17AAD"/>
    <w:rsid w:val="00D23224"/>
    <w:rsid w:val="00D23DC3"/>
    <w:rsid w:val="00D24E3F"/>
    <w:rsid w:val="00D25334"/>
    <w:rsid w:val="00D25DAA"/>
    <w:rsid w:val="00D2747B"/>
    <w:rsid w:val="00D328AA"/>
    <w:rsid w:val="00D3379F"/>
    <w:rsid w:val="00D415F3"/>
    <w:rsid w:val="00D4188D"/>
    <w:rsid w:val="00D41BE5"/>
    <w:rsid w:val="00D41CE6"/>
    <w:rsid w:val="00D41E25"/>
    <w:rsid w:val="00D424FD"/>
    <w:rsid w:val="00D434F2"/>
    <w:rsid w:val="00D453DB"/>
    <w:rsid w:val="00D470C0"/>
    <w:rsid w:val="00D4714B"/>
    <w:rsid w:val="00D50EAA"/>
    <w:rsid w:val="00D51816"/>
    <w:rsid w:val="00D51F8F"/>
    <w:rsid w:val="00D5764B"/>
    <w:rsid w:val="00D57ADF"/>
    <w:rsid w:val="00D63D55"/>
    <w:rsid w:val="00D661CB"/>
    <w:rsid w:val="00D66496"/>
    <w:rsid w:val="00D66813"/>
    <w:rsid w:val="00D67759"/>
    <w:rsid w:val="00D67B7E"/>
    <w:rsid w:val="00D67E07"/>
    <w:rsid w:val="00D70CBF"/>
    <w:rsid w:val="00D714DC"/>
    <w:rsid w:val="00D76750"/>
    <w:rsid w:val="00D77B9B"/>
    <w:rsid w:val="00D80DF7"/>
    <w:rsid w:val="00D83115"/>
    <w:rsid w:val="00D85E24"/>
    <w:rsid w:val="00D86D8B"/>
    <w:rsid w:val="00D92B1F"/>
    <w:rsid w:val="00D965B9"/>
    <w:rsid w:val="00D976A9"/>
    <w:rsid w:val="00DA17B8"/>
    <w:rsid w:val="00DA18A5"/>
    <w:rsid w:val="00DA1B9B"/>
    <w:rsid w:val="00DA2FFF"/>
    <w:rsid w:val="00DA3C64"/>
    <w:rsid w:val="00DB23AA"/>
    <w:rsid w:val="00DB2ABA"/>
    <w:rsid w:val="00DB3AFD"/>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D79F0"/>
    <w:rsid w:val="00DE0F78"/>
    <w:rsid w:val="00DE2672"/>
    <w:rsid w:val="00DE7C97"/>
    <w:rsid w:val="00DF2999"/>
    <w:rsid w:val="00DF2E44"/>
    <w:rsid w:val="00DF40FC"/>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3EF3"/>
    <w:rsid w:val="00E24AC3"/>
    <w:rsid w:val="00E25909"/>
    <w:rsid w:val="00E26BFC"/>
    <w:rsid w:val="00E2723E"/>
    <w:rsid w:val="00E27AB6"/>
    <w:rsid w:val="00E30214"/>
    <w:rsid w:val="00E328C8"/>
    <w:rsid w:val="00E33B38"/>
    <w:rsid w:val="00E3577C"/>
    <w:rsid w:val="00E418EF"/>
    <w:rsid w:val="00E42A99"/>
    <w:rsid w:val="00E432AB"/>
    <w:rsid w:val="00E442C1"/>
    <w:rsid w:val="00E4448C"/>
    <w:rsid w:val="00E444C9"/>
    <w:rsid w:val="00E44959"/>
    <w:rsid w:val="00E51F45"/>
    <w:rsid w:val="00E52704"/>
    <w:rsid w:val="00E54139"/>
    <w:rsid w:val="00E56C29"/>
    <w:rsid w:val="00E571BE"/>
    <w:rsid w:val="00E579CF"/>
    <w:rsid w:val="00E70CB9"/>
    <w:rsid w:val="00E71B3A"/>
    <w:rsid w:val="00E71CF5"/>
    <w:rsid w:val="00E74749"/>
    <w:rsid w:val="00E74BE0"/>
    <w:rsid w:val="00E75479"/>
    <w:rsid w:val="00E767FF"/>
    <w:rsid w:val="00E76958"/>
    <w:rsid w:val="00E81D5F"/>
    <w:rsid w:val="00E828CC"/>
    <w:rsid w:val="00E83091"/>
    <w:rsid w:val="00E8383A"/>
    <w:rsid w:val="00E865C2"/>
    <w:rsid w:val="00E8745E"/>
    <w:rsid w:val="00E93416"/>
    <w:rsid w:val="00E9477A"/>
    <w:rsid w:val="00E969B5"/>
    <w:rsid w:val="00EA03CC"/>
    <w:rsid w:val="00EA070A"/>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5C8A"/>
    <w:rsid w:val="00ED67B8"/>
    <w:rsid w:val="00EE1DCD"/>
    <w:rsid w:val="00EE5CEF"/>
    <w:rsid w:val="00EE6487"/>
    <w:rsid w:val="00EE79EE"/>
    <w:rsid w:val="00EF2532"/>
    <w:rsid w:val="00EF4B7A"/>
    <w:rsid w:val="00EF5068"/>
    <w:rsid w:val="00EF58A0"/>
    <w:rsid w:val="00EF6956"/>
    <w:rsid w:val="00EF73BB"/>
    <w:rsid w:val="00EF7550"/>
    <w:rsid w:val="00EF7EC2"/>
    <w:rsid w:val="00F0415F"/>
    <w:rsid w:val="00F0588D"/>
    <w:rsid w:val="00F1082C"/>
    <w:rsid w:val="00F1224F"/>
    <w:rsid w:val="00F14E43"/>
    <w:rsid w:val="00F15D1B"/>
    <w:rsid w:val="00F16405"/>
    <w:rsid w:val="00F20E90"/>
    <w:rsid w:val="00F21E16"/>
    <w:rsid w:val="00F2218E"/>
    <w:rsid w:val="00F22510"/>
    <w:rsid w:val="00F24B0B"/>
    <w:rsid w:val="00F250F8"/>
    <w:rsid w:val="00F25131"/>
    <w:rsid w:val="00F25C78"/>
    <w:rsid w:val="00F264D6"/>
    <w:rsid w:val="00F3005F"/>
    <w:rsid w:val="00F323E3"/>
    <w:rsid w:val="00F37D18"/>
    <w:rsid w:val="00F4042A"/>
    <w:rsid w:val="00F41911"/>
    <w:rsid w:val="00F42649"/>
    <w:rsid w:val="00F42A0B"/>
    <w:rsid w:val="00F44036"/>
    <w:rsid w:val="00F47DC8"/>
    <w:rsid w:val="00F5027C"/>
    <w:rsid w:val="00F51305"/>
    <w:rsid w:val="00F52DA6"/>
    <w:rsid w:val="00F61DAC"/>
    <w:rsid w:val="00F6240E"/>
    <w:rsid w:val="00F63FFD"/>
    <w:rsid w:val="00F641C1"/>
    <w:rsid w:val="00F67806"/>
    <w:rsid w:val="00F724FA"/>
    <w:rsid w:val="00F76686"/>
    <w:rsid w:val="00F770BD"/>
    <w:rsid w:val="00F82A60"/>
    <w:rsid w:val="00F82F1F"/>
    <w:rsid w:val="00F857B6"/>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B38"/>
    <w:rsid w:val="00FB435B"/>
    <w:rsid w:val="00FB44E3"/>
    <w:rsid w:val="00FB7206"/>
    <w:rsid w:val="00FC08AF"/>
    <w:rsid w:val="00FC2C2F"/>
    <w:rsid w:val="00FC39AC"/>
    <w:rsid w:val="00FC654F"/>
    <w:rsid w:val="00FC6E62"/>
    <w:rsid w:val="00FD1077"/>
    <w:rsid w:val="00FD1392"/>
    <w:rsid w:val="00FD173D"/>
    <w:rsid w:val="00FD17C5"/>
    <w:rsid w:val="00FD627C"/>
    <w:rsid w:val="00FE19A3"/>
    <w:rsid w:val="00FE5500"/>
    <w:rsid w:val="00FE55D8"/>
    <w:rsid w:val="00FF03D3"/>
    <w:rsid w:val="00FF0F6C"/>
    <w:rsid w:val="00FF29C2"/>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882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7CE26-0666-4F55-A13F-71F091AF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2916</Characters>
  <Application>Microsoft Office Word</Application>
  <DocSecurity>0</DocSecurity>
  <Lines>91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2021-06-11T11:30:00Z</cp:lastPrinted>
  <dcterms:created xsi:type="dcterms:W3CDTF">2021-06-11T11:30:00Z</dcterms:created>
  <dcterms:modified xsi:type="dcterms:W3CDTF">2021-06-11T11:31:00Z</dcterms:modified>
</cp:coreProperties>
</file>