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lang w:val="es-MX"/>
        </w:rPr>
        <w:id w:val="893161713"/>
        <w:placeholder>
          <w:docPart w:val="2165DA21E32241C8A2E20E0A52BEB221"/>
        </w:placeholder>
      </w:sdtPr>
      <w:sdtEndPr/>
      <w:sdtContent>
        <w:p w14:paraId="40E91738" w14:textId="77777777" w:rsidR="00B87936" w:rsidRPr="002C67BC" w:rsidRDefault="00B87936" w:rsidP="00BD78B0">
          <w:pPr>
            <w:jc w:val="center"/>
            <w:rPr>
              <w:lang w:val="es-MX"/>
            </w:rPr>
          </w:pPr>
        </w:p>
        <w:p w14:paraId="3E79F34C" w14:textId="7BBFFBE6" w:rsidR="0043731D" w:rsidRPr="002C67BC" w:rsidRDefault="00B87936" w:rsidP="00D64BB0">
          <w:pPr>
            <w:rPr>
              <w:rFonts w:cs="Arial"/>
              <w:b/>
              <w:szCs w:val="24"/>
            </w:rPr>
          </w:pPr>
          <w:r w:rsidRPr="002C67BC">
            <w:rPr>
              <w:lang w:val="es-MX"/>
            </w:rPr>
            <w:t xml:space="preserve">                        </w:t>
          </w:r>
          <w:r w:rsidR="0043731D" w:rsidRPr="002C67BC">
            <w:rPr>
              <w:rFonts w:cs="Arial"/>
              <w:b/>
              <w:szCs w:val="24"/>
            </w:rPr>
            <w:t>CONSEJO DE ESTADO</w:t>
          </w:r>
        </w:p>
        <w:p w14:paraId="67778ABE" w14:textId="77777777" w:rsidR="0043731D" w:rsidRPr="002C67BC" w:rsidRDefault="0043731D" w:rsidP="007A1D05">
          <w:pPr>
            <w:spacing w:after="160" w:line="240" w:lineRule="auto"/>
            <w:jc w:val="center"/>
            <w:rPr>
              <w:rFonts w:cs="Arial"/>
              <w:b/>
              <w:szCs w:val="24"/>
            </w:rPr>
          </w:pPr>
          <w:r w:rsidRPr="002C67BC">
            <w:rPr>
              <w:rFonts w:cs="Arial"/>
              <w:b/>
              <w:szCs w:val="24"/>
            </w:rPr>
            <w:t>SALA DE LO CONTENCIOSO ADMINISTRATIVO</w:t>
          </w:r>
        </w:p>
        <w:p w14:paraId="70127695" w14:textId="77777777" w:rsidR="0043731D" w:rsidRPr="002C67BC" w:rsidRDefault="0043731D" w:rsidP="007A1D05">
          <w:pPr>
            <w:spacing w:after="160" w:line="240" w:lineRule="auto"/>
            <w:jc w:val="center"/>
            <w:rPr>
              <w:rFonts w:cs="Arial"/>
              <w:b/>
              <w:szCs w:val="24"/>
            </w:rPr>
          </w:pPr>
          <w:r w:rsidRPr="002C67BC">
            <w:rPr>
              <w:rFonts w:cs="Arial"/>
              <w:b/>
              <w:szCs w:val="24"/>
            </w:rPr>
            <w:t>SECCIÓN TERCERA – SUBSECCIÓN B</w:t>
          </w:r>
        </w:p>
        <w:p w14:paraId="5ECFFAF4" w14:textId="77777777" w:rsidR="0043731D" w:rsidRPr="002C67BC" w:rsidRDefault="0043731D" w:rsidP="007A1D05">
          <w:pPr>
            <w:spacing w:after="160" w:line="240" w:lineRule="auto"/>
            <w:jc w:val="center"/>
            <w:rPr>
              <w:rFonts w:cs="Arial"/>
              <w:szCs w:val="24"/>
              <w:lang w:val="es-ES"/>
            </w:rPr>
          </w:pPr>
          <w:r w:rsidRPr="002C67BC">
            <w:rPr>
              <w:rFonts w:cs="Arial"/>
              <w:b/>
              <w:szCs w:val="24"/>
              <w:lang w:val="es-ES_tradnl"/>
            </w:rPr>
            <w:t>Consejero ponente: Ramiro Pazos Guerrero</w:t>
          </w:r>
        </w:p>
        <w:p w14:paraId="6BDB4073" w14:textId="77777777" w:rsidR="004C4833" w:rsidRPr="002C67BC" w:rsidRDefault="000B33D8" w:rsidP="004C4833">
          <w:pPr>
            <w:widowControl w:val="0"/>
            <w:rPr>
              <w:lang w:val="es-MX"/>
            </w:rPr>
          </w:pPr>
        </w:p>
      </w:sdtContent>
    </w:sdt>
    <w:p w14:paraId="19972542" w14:textId="26873693" w:rsidR="00AC791C" w:rsidRPr="002C67BC" w:rsidRDefault="00AC791C" w:rsidP="00AC791C">
      <w:pPr>
        <w:suppressAutoHyphens/>
        <w:overflowPunct w:val="0"/>
        <w:autoSpaceDE w:val="0"/>
        <w:textAlignment w:val="baseline"/>
        <w:rPr>
          <w:rFonts w:eastAsia="MS Mincho" w:cs="Arial"/>
          <w:szCs w:val="24"/>
          <w:lang w:val="es-ES" w:eastAsia="ar-SA"/>
        </w:rPr>
      </w:pPr>
      <w:r w:rsidRPr="002C67BC">
        <w:rPr>
          <w:rFonts w:eastAsia="MS Mincho" w:cs="Arial"/>
          <w:szCs w:val="24"/>
          <w:lang w:val="es-ES" w:eastAsia="ar-SA"/>
        </w:rPr>
        <w:t xml:space="preserve">Bogotá D.C., </w:t>
      </w:r>
      <w:r w:rsidR="00C55D32" w:rsidRPr="002C67BC">
        <w:rPr>
          <w:rFonts w:eastAsia="MS Mincho" w:cs="Arial"/>
          <w:szCs w:val="24"/>
          <w:lang w:val="es-ES" w:eastAsia="ar-SA"/>
        </w:rPr>
        <w:t xml:space="preserve">veintiuno </w:t>
      </w:r>
      <w:r w:rsidRPr="002C67BC">
        <w:rPr>
          <w:rFonts w:eastAsia="MS Mincho" w:cs="Arial"/>
          <w:szCs w:val="24"/>
          <w:lang w:val="es-ES" w:eastAsia="ar-SA"/>
        </w:rPr>
        <w:t>(</w:t>
      </w:r>
      <w:r w:rsidR="00C55D32" w:rsidRPr="002C67BC">
        <w:rPr>
          <w:rFonts w:eastAsia="MS Mincho" w:cs="Arial"/>
          <w:szCs w:val="24"/>
          <w:lang w:val="es-ES" w:eastAsia="ar-SA"/>
        </w:rPr>
        <w:t>21</w:t>
      </w:r>
      <w:r w:rsidRPr="002C67BC">
        <w:rPr>
          <w:rFonts w:eastAsia="MS Mincho" w:cs="Arial"/>
          <w:szCs w:val="24"/>
          <w:lang w:val="es-ES" w:eastAsia="ar-SA"/>
        </w:rPr>
        <w:t xml:space="preserve">) de </w:t>
      </w:r>
      <w:r w:rsidR="000D37BB" w:rsidRPr="002C67BC">
        <w:rPr>
          <w:rFonts w:eastAsia="MS Mincho" w:cs="Arial"/>
          <w:szCs w:val="24"/>
          <w:lang w:val="es-ES" w:eastAsia="ar-SA"/>
        </w:rPr>
        <w:t xml:space="preserve">mayo </w:t>
      </w:r>
      <w:r w:rsidRPr="002C67BC">
        <w:rPr>
          <w:rFonts w:eastAsia="MS Mincho" w:cs="Arial"/>
          <w:szCs w:val="24"/>
          <w:lang w:val="es-ES" w:eastAsia="ar-SA"/>
        </w:rPr>
        <w:t>de dos mil veintiuno (2021)</w:t>
      </w:r>
    </w:p>
    <w:p w14:paraId="0030FB5F" w14:textId="77777777" w:rsidR="009B4656" w:rsidRPr="002C67BC" w:rsidRDefault="009B4656" w:rsidP="009B4656">
      <w:pPr>
        <w:widowControl w:val="0"/>
        <w:spacing w:line="240" w:lineRule="auto"/>
        <w:rPr>
          <w:rFonts w:cs="Arial"/>
          <w:color w:val="000000"/>
          <w:szCs w:val="26"/>
          <w:lang w:val="es-ES"/>
        </w:rPr>
      </w:pPr>
    </w:p>
    <w:bookmarkStart w:id="0" w:name="_Hlk44926676" w:displacedByCustomXml="next"/>
    <w:sdt>
      <w:sdtPr>
        <w:rPr>
          <w:rFonts w:cs="Arial"/>
          <w:color w:val="000000"/>
          <w:szCs w:val="26"/>
        </w:rPr>
        <w:id w:val="348536599"/>
        <w:placeholder>
          <w:docPart w:val="2165DA21E32241C8A2E20E0A52BEB221"/>
        </w:placeholder>
      </w:sdtPr>
      <w:sdtEndPr/>
      <w:sdtContent>
        <w:p w14:paraId="3BF6C4BB" w14:textId="22239A04" w:rsidR="004C4833" w:rsidRPr="002C67BC" w:rsidRDefault="004C4833" w:rsidP="009B4656">
          <w:pPr>
            <w:spacing w:line="240" w:lineRule="auto"/>
            <w:rPr>
              <w:rFonts w:cs="Arial"/>
              <w:color w:val="000000"/>
              <w:szCs w:val="26"/>
            </w:rPr>
          </w:pPr>
          <w:r w:rsidRPr="002C67BC">
            <w:rPr>
              <w:rFonts w:cs="Arial"/>
              <w:color w:val="000000"/>
              <w:szCs w:val="26"/>
            </w:rPr>
            <w:t>Radicado:</w:t>
          </w:r>
          <w:r w:rsidRPr="002C67BC">
            <w:rPr>
              <w:rFonts w:cs="Arial"/>
              <w:color w:val="000000"/>
              <w:szCs w:val="26"/>
            </w:rPr>
            <w:tab/>
          </w:r>
          <w:r w:rsidRPr="002C67BC">
            <w:rPr>
              <w:rFonts w:cs="Arial"/>
              <w:color w:val="000000"/>
              <w:szCs w:val="26"/>
            </w:rPr>
            <w:tab/>
            <w:t>11001-03-15-000-2020-</w:t>
          </w:r>
          <w:r w:rsidR="00E85EEA" w:rsidRPr="002C67BC">
            <w:rPr>
              <w:rFonts w:cs="Arial"/>
              <w:color w:val="000000"/>
              <w:szCs w:val="26"/>
            </w:rPr>
            <w:t>04</w:t>
          </w:r>
          <w:r w:rsidR="008402E7" w:rsidRPr="002C67BC">
            <w:rPr>
              <w:rFonts w:cs="Arial"/>
              <w:color w:val="000000"/>
              <w:szCs w:val="26"/>
            </w:rPr>
            <w:t>335</w:t>
          </w:r>
          <w:r w:rsidRPr="002C67BC">
            <w:rPr>
              <w:rFonts w:cs="Arial"/>
              <w:color w:val="000000"/>
              <w:szCs w:val="26"/>
            </w:rPr>
            <w:t>-0</w:t>
          </w:r>
          <w:r w:rsidR="00E85EEA" w:rsidRPr="002C67BC">
            <w:rPr>
              <w:rFonts w:cs="Arial"/>
              <w:color w:val="000000"/>
              <w:szCs w:val="26"/>
            </w:rPr>
            <w:t>1</w:t>
          </w:r>
        </w:p>
        <w:p w14:paraId="04E5FCA0" w14:textId="48A2C9C9" w:rsidR="004C4833" w:rsidRPr="002C67BC" w:rsidRDefault="004C4833" w:rsidP="009B4656">
          <w:pPr>
            <w:spacing w:line="240" w:lineRule="auto"/>
            <w:rPr>
              <w:rFonts w:cs="Arial"/>
              <w:color w:val="000000"/>
              <w:szCs w:val="26"/>
            </w:rPr>
          </w:pPr>
          <w:r w:rsidRPr="002C67BC">
            <w:rPr>
              <w:rFonts w:cs="Arial"/>
              <w:color w:val="000000"/>
              <w:szCs w:val="26"/>
            </w:rPr>
            <w:t>Actor:</w:t>
          </w:r>
          <w:r w:rsidRPr="002C67BC">
            <w:rPr>
              <w:rFonts w:cs="Arial"/>
              <w:color w:val="000000"/>
              <w:szCs w:val="26"/>
            </w:rPr>
            <w:tab/>
          </w:r>
          <w:r w:rsidRPr="002C67BC">
            <w:rPr>
              <w:rFonts w:cs="Arial"/>
              <w:color w:val="000000"/>
              <w:szCs w:val="26"/>
            </w:rPr>
            <w:tab/>
          </w:r>
          <w:r w:rsidRPr="002C67BC">
            <w:rPr>
              <w:rFonts w:cs="Arial"/>
              <w:color w:val="000000"/>
              <w:szCs w:val="26"/>
            </w:rPr>
            <w:tab/>
          </w:r>
          <w:r w:rsidR="008402E7" w:rsidRPr="002C67BC">
            <w:rPr>
              <w:rFonts w:eastAsia="Batang" w:cs="Arial"/>
              <w:szCs w:val="26"/>
            </w:rPr>
            <w:t xml:space="preserve">Luis Felipe Barrios </w:t>
          </w:r>
          <w:proofErr w:type="spellStart"/>
          <w:r w:rsidR="008402E7" w:rsidRPr="002C67BC">
            <w:rPr>
              <w:rFonts w:eastAsia="Batang" w:cs="Arial"/>
              <w:szCs w:val="26"/>
            </w:rPr>
            <w:t>Barrios</w:t>
          </w:r>
          <w:proofErr w:type="spellEnd"/>
        </w:p>
        <w:bookmarkEnd w:id="0"/>
        <w:p w14:paraId="06192C91" w14:textId="4838D12F" w:rsidR="004C4833" w:rsidRPr="002C67BC" w:rsidRDefault="004C4833" w:rsidP="0047509D">
          <w:pPr>
            <w:spacing w:line="240" w:lineRule="auto"/>
            <w:ind w:left="2120" w:hanging="2120"/>
            <w:rPr>
              <w:rFonts w:cs="Arial"/>
              <w:szCs w:val="26"/>
              <w:lang w:eastAsia="es-ES"/>
            </w:rPr>
          </w:pPr>
          <w:r w:rsidRPr="002C67BC">
            <w:rPr>
              <w:rFonts w:cs="Arial"/>
              <w:bCs/>
              <w:color w:val="000000"/>
              <w:szCs w:val="26"/>
            </w:rPr>
            <w:t>Demandado</w:t>
          </w:r>
          <w:r w:rsidR="0047509D" w:rsidRPr="002C67BC">
            <w:rPr>
              <w:rFonts w:cs="Arial"/>
              <w:bCs/>
              <w:color w:val="000000"/>
              <w:szCs w:val="26"/>
            </w:rPr>
            <w:t>s</w:t>
          </w:r>
          <w:r w:rsidRPr="002C67BC">
            <w:rPr>
              <w:rFonts w:cs="Arial"/>
              <w:bCs/>
              <w:color w:val="000000"/>
              <w:szCs w:val="26"/>
            </w:rPr>
            <w:t xml:space="preserve">: </w:t>
          </w:r>
          <w:r w:rsidRPr="002C67BC">
            <w:rPr>
              <w:rFonts w:cs="Arial"/>
              <w:bCs/>
              <w:color w:val="000000"/>
              <w:szCs w:val="26"/>
            </w:rPr>
            <w:tab/>
          </w:r>
          <w:r w:rsidR="008D349A" w:rsidRPr="002C67BC">
            <w:rPr>
              <w:rFonts w:cs="Arial"/>
              <w:bCs/>
              <w:color w:val="000000"/>
              <w:szCs w:val="26"/>
            </w:rPr>
            <w:t>Sala Plena de lo Contencioso Administrativo del Consejo de Estado</w:t>
          </w:r>
        </w:p>
        <w:p w14:paraId="0ECF7120" w14:textId="77777777" w:rsidR="004C4833" w:rsidRPr="002C67BC" w:rsidRDefault="004C4833" w:rsidP="009B4656">
          <w:pPr>
            <w:spacing w:line="240" w:lineRule="auto"/>
            <w:rPr>
              <w:rFonts w:cs="Arial"/>
              <w:color w:val="000000"/>
              <w:szCs w:val="26"/>
            </w:rPr>
          </w:pPr>
          <w:r w:rsidRPr="002C67BC">
            <w:rPr>
              <w:rFonts w:cs="Arial"/>
              <w:color w:val="000000"/>
              <w:szCs w:val="26"/>
            </w:rPr>
            <w:t>Naturaleza:</w:t>
          </w:r>
          <w:r w:rsidRPr="002C67BC">
            <w:rPr>
              <w:rFonts w:cs="Arial"/>
              <w:color w:val="000000"/>
              <w:szCs w:val="26"/>
            </w:rPr>
            <w:tab/>
          </w:r>
          <w:r w:rsidRPr="002C67BC">
            <w:rPr>
              <w:rFonts w:cs="Arial"/>
              <w:color w:val="000000"/>
              <w:szCs w:val="26"/>
            </w:rPr>
            <w:tab/>
            <w:t>Acción de tutela</w:t>
          </w:r>
        </w:p>
      </w:sdtContent>
    </w:sdt>
    <w:p w14:paraId="47337FD0" w14:textId="77777777" w:rsidR="00AC09A2" w:rsidRPr="002C67BC" w:rsidRDefault="00AC09A2">
      <w:pPr>
        <w:rPr>
          <w:lang w:val="es-MX"/>
        </w:rPr>
      </w:pPr>
    </w:p>
    <w:p w14:paraId="1DBB2854" w14:textId="5B464C89" w:rsidR="004C4833" w:rsidRPr="002C67BC" w:rsidRDefault="004C4833" w:rsidP="007A1D05">
      <w:pPr>
        <w:pStyle w:val="Textoindependiente21"/>
        <w:tabs>
          <w:tab w:val="left" w:pos="142"/>
        </w:tabs>
        <w:spacing w:after="0"/>
        <w:rPr>
          <w:b/>
        </w:rPr>
      </w:pPr>
      <w:r w:rsidRPr="002C67BC">
        <w:rPr>
          <w:b/>
        </w:rPr>
        <w:t xml:space="preserve">Sentencia de </w:t>
      </w:r>
      <w:r w:rsidR="00B65580" w:rsidRPr="002C67BC">
        <w:rPr>
          <w:b/>
        </w:rPr>
        <w:t xml:space="preserve">primera </w:t>
      </w:r>
      <w:r w:rsidRPr="002C67BC">
        <w:rPr>
          <w:b/>
        </w:rPr>
        <w:t xml:space="preserve">instancia </w:t>
      </w:r>
    </w:p>
    <w:p w14:paraId="3006E938" w14:textId="77777777" w:rsidR="004C4833" w:rsidRPr="002C67BC" w:rsidRDefault="004C4833" w:rsidP="007A1D05">
      <w:pPr>
        <w:pStyle w:val="Textoindependiente21"/>
        <w:tabs>
          <w:tab w:val="left" w:pos="142"/>
        </w:tabs>
        <w:spacing w:after="0"/>
      </w:pP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r>
      <w:r w:rsidRPr="002C67BC">
        <w:softHyphen/>
        <w:t>__________________________________________________________</w:t>
      </w:r>
    </w:p>
    <w:p w14:paraId="142DE6DB" w14:textId="702D737A" w:rsidR="004C4833" w:rsidRPr="002C67BC" w:rsidRDefault="004C4833" w:rsidP="005747D0">
      <w:pPr>
        <w:pStyle w:val="Textoindependiente21"/>
        <w:tabs>
          <w:tab w:val="left" w:pos="1848"/>
        </w:tabs>
        <w:spacing w:after="0"/>
        <w:rPr>
          <w:i/>
          <w:szCs w:val="24"/>
        </w:rPr>
      </w:pPr>
      <w:r w:rsidRPr="002C67BC">
        <w:rPr>
          <w:i/>
          <w:szCs w:val="24"/>
        </w:rPr>
        <w:t xml:space="preserve">Tema: </w:t>
      </w:r>
      <w:r w:rsidR="00241A5E" w:rsidRPr="002C67BC">
        <w:rPr>
          <w:i/>
          <w:szCs w:val="24"/>
        </w:rPr>
        <w:t>Acción de t</w:t>
      </w:r>
      <w:r w:rsidRPr="002C67BC">
        <w:rPr>
          <w:i/>
          <w:szCs w:val="24"/>
        </w:rPr>
        <w:t>utela contra</w:t>
      </w:r>
      <w:r w:rsidR="00B65580" w:rsidRPr="002C67BC">
        <w:rPr>
          <w:i/>
          <w:szCs w:val="24"/>
        </w:rPr>
        <w:t xml:space="preserve"> </w:t>
      </w:r>
      <w:r w:rsidR="00241A5E" w:rsidRPr="002C67BC">
        <w:rPr>
          <w:i/>
          <w:szCs w:val="24"/>
        </w:rPr>
        <w:t xml:space="preserve">providencia judicial en </w:t>
      </w:r>
      <w:r w:rsidR="00E85EEA" w:rsidRPr="002C67BC">
        <w:rPr>
          <w:i/>
          <w:szCs w:val="24"/>
        </w:rPr>
        <w:t xml:space="preserve">proceso de pérdida de investidura </w:t>
      </w:r>
      <w:r w:rsidR="00294AE8" w:rsidRPr="002C67BC">
        <w:rPr>
          <w:i/>
          <w:szCs w:val="24"/>
        </w:rPr>
        <w:t xml:space="preserve">/ </w:t>
      </w:r>
      <w:r w:rsidR="00241A5E" w:rsidRPr="002C67BC">
        <w:rPr>
          <w:i/>
          <w:szCs w:val="24"/>
        </w:rPr>
        <w:t>I</w:t>
      </w:r>
      <w:r w:rsidR="00023A19" w:rsidRPr="002C67BC">
        <w:rPr>
          <w:i/>
          <w:szCs w:val="24"/>
        </w:rPr>
        <w:t xml:space="preserve">mprocedencia de la acción de tutela </w:t>
      </w:r>
      <w:r w:rsidR="00241A5E" w:rsidRPr="002C67BC">
        <w:rPr>
          <w:i/>
          <w:szCs w:val="24"/>
        </w:rPr>
        <w:t>por incumplimiento del requisito de inmediatez</w:t>
      </w:r>
      <w:r w:rsidR="000D37BB" w:rsidRPr="002C67BC">
        <w:rPr>
          <w:i/>
          <w:szCs w:val="24"/>
        </w:rPr>
        <w:t xml:space="preserve"> </w:t>
      </w:r>
    </w:p>
    <w:p w14:paraId="3FFE2D69" w14:textId="77777777" w:rsidR="004C4833" w:rsidRPr="002C67BC" w:rsidRDefault="004C4833" w:rsidP="00BD78B0">
      <w:pPr>
        <w:pStyle w:val="Textoindependiente21"/>
        <w:tabs>
          <w:tab w:val="left" w:pos="2229"/>
        </w:tabs>
        <w:spacing w:after="0"/>
      </w:pPr>
      <w:r w:rsidRPr="002C67BC">
        <w:tab/>
      </w:r>
    </w:p>
    <w:p w14:paraId="1520E46C" w14:textId="5200BAAD" w:rsidR="004C4833" w:rsidRPr="002C67BC" w:rsidRDefault="00461C3C" w:rsidP="004C4833">
      <w:pPr>
        <w:pStyle w:val="Textoindependiente21"/>
        <w:tabs>
          <w:tab w:val="left" w:pos="142"/>
        </w:tabs>
        <w:spacing w:after="0" w:line="360" w:lineRule="auto"/>
        <w:ind w:left="0"/>
      </w:pPr>
      <w:r w:rsidRPr="002C67BC">
        <w:rPr>
          <w:rFonts w:eastAsia="Times New Roman"/>
          <w:szCs w:val="24"/>
          <w:lang w:eastAsia="es-ES_tradnl"/>
        </w:rPr>
        <w:t xml:space="preserve">Procede la Sala a </w:t>
      </w:r>
      <w:r w:rsidR="00F466B7" w:rsidRPr="002C67BC">
        <w:rPr>
          <w:rFonts w:eastAsia="Times New Roman"/>
          <w:szCs w:val="24"/>
          <w:lang w:eastAsia="es-ES_tradnl"/>
        </w:rPr>
        <w:t xml:space="preserve">resolver la impugnación presentada por el señor </w:t>
      </w:r>
      <w:r w:rsidR="008D349A" w:rsidRPr="002C67BC">
        <w:rPr>
          <w:rFonts w:eastAsia="Times New Roman"/>
          <w:szCs w:val="24"/>
          <w:lang w:eastAsia="es-ES_tradnl"/>
        </w:rPr>
        <w:t xml:space="preserve">Luis Felipe Barrios </w:t>
      </w:r>
      <w:proofErr w:type="spellStart"/>
      <w:r w:rsidR="008D349A" w:rsidRPr="002C67BC">
        <w:rPr>
          <w:rFonts w:eastAsia="Times New Roman"/>
          <w:szCs w:val="24"/>
          <w:lang w:eastAsia="es-ES_tradnl"/>
        </w:rPr>
        <w:t>Barrios</w:t>
      </w:r>
      <w:proofErr w:type="spellEnd"/>
      <w:r w:rsidR="00F466B7" w:rsidRPr="002C67BC">
        <w:rPr>
          <w:rFonts w:eastAsia="Times New Roman"/>
          <w:szCs w:val="24"/>
          <w:lang w:eastAsia="es-ES_tradnl"/>
        </w:rPr>
        <w:t xml:space="preserve"> contra la sentencia de primera instancia proferida el </w:t>
      </w:r>
      <w:r w:rsidR="008D349A" w:rsidRPr="002C67BC">
        <w:rPr>
          <w:rFonts w:eastAsia="Times New Roman"/>
          <w:szCs w:val="24"/>
          <w:lang w:eastAsia="es-ES_tradnl"/>
        </w:rPr>
        <w:t xml:space="preserve">15 </w:t>
      </w:r>
      <w:r w:rsidR="00F466B7" w:rsidRPr="002C67BC">
        <w:rPr>
          <w:rFonts w:eastAsia="Times New Roman"/>
          <w:szCs w:val="24"/>
          <w:lang w:eastAsia="es-ES_tradnl"/>
        </w:rPr>
        <w:t xml:space="preserve">de </w:t>
      </w:r>
      <w:r w:rsidR="008D349A" w:rsidRPr="002C67BC">
        <w:rPr>
          <w:rFonts w:eastAsia="Times New Roman"/>
          <w:szCs w:val="24"/>
          <w:lang w:eastAsia="es-ES_tradnl"/>
        </w:rPr>
        <w:t xml:space="preserve">octubre </w:t>
      </w:r>
      <w:r w:rsidR="00F466B7" w:rsidRPr="002C67BC">
        <w:rPr>
          <w:rFonts w:eastAsia="Times New Roman"/>
          <w:szCs w:val="24"/>
          <w:lang w:eastAsia="es-ES_tradnl"/>
        </w:rPr>
        <w:t xml:space="preserve">de 2020 por la Sección </w:t>
      </w:r>
      <w:r w:rsidR="008D349A" w:rsidRPr="002C67BC">
        <w:rPr>
          <w:rFonts w:eastAsia="Times New Roman"/>
          <w:szCs w:val="24"/>
          <w:lang w:eastAsia="es-ES_tradnl"/>
        </w:rPr>
        <w:t xml:space="preserve">Tercera, Subsección C </w:t>
      </w:r>
      <w:r w:rsidR="00F466B7" w:rsidRPr="002C67BC">
        <w:rPr>
          <w:rFonts w:eastAsia="Times New Roman"/>
          <w:szCs w:val="24"/>
          <w:lang w:eastAsia="es-ES_tradnl"/>
        </w:rPr>
        <w:t>del Consejo de Estado</w:t>
      </w:r>
      <w:r w:rsidR="00E01E5F" w:rsidRPr="002C67BC">
        <w:rPr>
          <w:rFonts w:eastAsia="Times New Roman"/>
          <w:szCs w:val="24"/>
          <w:lang w:eastAsia="es-ES_tradnl"/>
        </w:rPr>
        <w:t>, mediante la cual se</w:t>
      </w:r>
      <w:r w:rsidR="00F466B7" w:rsidRPr="002C67BC">
        <w:rPr>
          <w:rFonts w:eastAsia="Times New Roman"/>
          <w:szCs w:val="24"/>
          <w:lang w:eastAsia="es-ES_tradnl"/>
        </w:rPr>
        <w:t xml:space="preserve"> declaró improcedente la acción de tutela.</w:t>
      </w:r>
    </w:p>
    <w:p w14:paraId="3A5BEA26" w14:textId="3093DB23" w:rsidR="00EC5FA4" w:rsidRPr="002C67BC" w:rsidRDefault="00EC5FA4" w:rsidP="00F466B7">
      <w:pPr>
        <w:pStyle w:val="Ttulo1"/>
      </w:pPr>
      <w:r w:rsidRPr="002C67BC">
        <w:t>SÍNTESIS DEL CASO</w:t>
      </w:r>
    </w:p>
    <w:p w14:paraId="334A8E01" w14:textId="77777777" w:rsidR="009B4656" w:rsidRPr="002C67BC" w:rsidRDefault="009B4656" w:rsidP="009B4656"/>
    <w:p w14:paraId="35266C08" w14:textId="0F99C5A7" w:rsidR="00F466B7" w:rsidRPr="002C67BC" w:rsidRDefault="00B65580" w:rsidP="00F466B7">
      <w:pPr>
        <w:tabs>
          <w:tab w:val="left" w:pos="284"/>
          <w:tab w:val="left" w:pos="426"/>
        </w:tabs>
        <w:contextualSpacing/>
        <w:rPr>
          <w:rFonts w:cs="Arial"/>
          <w:szCs w:val="24"/>
          <w:lang w:val="es-ES"/>
        </w:rPr>
      </w:pPr>
      <w:r w:rsidRPr="002C67BC">
        <w:rPr>
          <w:rFonts w:cs="Arial"/>
          <w:bCs/>
          <w:szCs w:val="24"/>
        </w:rPr>
        <w:t xml:space="preserve">1. </w:t>
      </w:r>
      <w:r w:rsidR="00F466B7" w:rsidRPr="002C67BC">
        <w:rPr>
          <w:rFonts w:cs="Arial"/>
          <w:bCs/>
          <w:szCs w:val="24"/>
        </w:rPr>
        <w:t>El actor impugnó la sentencia de primera instancia en la que se declaró la improcedencia de la acción de tutela por cuanto fue interpuesta de manera tardía.</w:t>
      </w:r>
      <w:r w:rsidRPr="002C67BC">
        <w:rPr>
          <w:rFonts w:cs="Arial"/>
          <w:color w:val="000000"/>
          <w:szCs w:val="24"/>
          <w:lang w:eastAsia="es-ES"/>
        </w:rPr>
        <w:t xml:space="preserve"> La Sala </w:t>
      </w:r>
      <w:r w:rsidR="00F466B7" w:rsidRPr="002C67BC">
        <w:rPr>
          <w:rFonts w:cs="Arial"/>
          <w:bCs/>
          <w:szCs w:val="24"/>
          <w:lang w:val="es-ES"/>
        </w:rPr>
        <w:t>denotó que el demandante no acreditó alguna situación excepcional que permitiera flexibilizar el análisis de ese requisito de procedencia.</w:t>
      </w:r>
    </w:p>
    <w:p w14:paraId="4D313BD0" w14:textId="77777777" w:rsidR="00023A19" w:rsidRPr="002C67BC" w:rsidRDefault="00023A19" w:rsidP="00B65580">
      <w:pPr>
        <w:tabs>
          <w:tab w:val="left" w:pos="284"/>
          <w:tab w:val="left" w:pos="426"/>
        </w:tabs>
        <w:contextualSpacing/>
        <w:rPr>
          <w:rFonts w:cs="Arial"/>
          <w:szCs w:val="24"/>
        </w:rPr>
      </w:pPr>
    </w:p>
    <w:p w14:paraId="7DABC465" w14:textId="41F0402C" w:rsidR="007A1D05" w:rsidRPr="002C67BC" w:rsidRDefault="004C4833" w:rsidP="007A1D05">
      <w:pPr>
        <w:pStyle w:val="Textoindependiente21"/>
        <w:tabs>
          <w:tab w:val="left" w:pos="142"/>
        </w:tabs>
        <w:spacing w:after="0" w:line="360" w:lineRule="auto"/>
        <w:jc w:val="center"/>
        <w:rPr>
          <w:b/>
        </w:rPr>
      </w:pPr>
      <w:r w:rsidRPr="002C67BC">
        <w:rPr>
          <w:b/>
        </w:rPr>
        <w:t>ANTECEDENTES</w:t>
      </w:r>
    </w:p>
    <w:p w14:paraId="2A64F32B" w14:textId="77777777" w:rsidR="00E30265" w:rsidRPr="002C67BC" w:rsidRDefault="00E30265" w:rsidP="000574EF">
      <w:pPr>
        <w:pStyle w:val="Ttulo2"/>
      </w:pPr>
    </w:p>
    <w:p w14:paraId="2CBFE9EE" w14:textId="35D97EE4" w:rsidR="006613B5" w:rsidRPr="002C67BC" w:rsidRDefault="00E30265" w:rsidP="000574EF">
      <w:pPr>
        <w:pStyle w:val="Ttulo2"/>
      </w:pPr>
      <w:r w:rsidRPr="002C67BC">
        <w:t>a</w:t>
      </w:r>
      <w:r w:rsidR="006613B5" w:rsidRPr="002C67BC">
        <w:t>.- Hechos y fundamentos de la vulneración</w:t>
      </w:r>
    </w:p>
    <w:p w14:paraId="597E222E" w14:textId="77777777" w:rsidR="004C4833" w:rsidRPr="002C67BC" w:rsidRDefault="004C4833" w:rsidP="000574EF">
      <w:pPr>
        <w:pStyle w:val="Ttulo2"/>
      </w:pPr>
    </w:p>
    <w:p w14:paraId="56F22CEE" w14:textId="77777777" w:rsidR="00E91036" w:rsidRPr="002C67BC" w:rsidRDefault="00E91036" w:rsidP="00E91036">
      <w:r w:rsidRPr="002C67BC">
        <w:t xml:space="preserve">Los hechos en que se fundamentó la solicitud de amparo se pueden sintetizar así: </w:t>
      </w:r>
    </w:p>
    <w:p w14:paraId="5251EBA5" w14:textId="77777777" w:rsidR="00E30265" w:rsidRPr="002C67BC" w:rsidRDefault="00E30265" w:rsidP="00E30265">
      <w:pPr>
        <w:tabs>
          <w:tab w:val="left" w:pos="284"/>
        </w:tabs>
        <w:contextualSpacing/>
      </w:pPr>
    </w:p>
    <w:p w14:paraId="4920DF91" w14:textId="17778BA5" w:rsidR="00461C3C" w:rsidRPr="002C67BC" w:rsidRDefault="00E30265" w:rsidP="00E30265">
      <w:pPr>
        <w:tabs>
          <w:tab w:val="left" w:pos="284"/>
        </w:tabs>
        <w:contextualSpacing/>
        <w:rPr>
          <w:rFonts w:cs="Arial"/>
          <w:sz w:val="26"/>
          <w:szCs w:val="26"/>
          <w:lang w:val="es-ES_tradnl"/>
        </w:rPr>
      </w:pPr>
      <w:r w:rsidRPr="002C67BC">
        <w:t xml:space="preserve">2. </w:t>
      </w:r>
      <w:r w:rsidRPr="002C67BC">
        <w:rPr>
          <w:rFonts w:cs="Arial"/>
          <w:szCs w:val="24"/>
        </w:rPr>
        <w:t>E</w:t>
      </w:r>
      <w:r w:rsidR="00AD664C" w:rsidRPr="002C67BC">
        <w:rPr>
          <w:rFonts w:cs="Arial"/>
          <w:szCs w:val="24"/>
        </w:rPr>
        <w:t xml:space="preserve">l </w:t>
      </w:r>
      <w:r w:rsidR="008D349A" w:rsidRPr="002C67BC">
        <w:rPr>
          <w:rFonts w:cs="Arial"/>
          <w:szCs w:val="24"/>
        </w:rPr>
        <w:t>10</w:t>
      </w:r>
      <w:r w:rsidRPr="002C67BC">
        <w:rPr>
          <w:rFonts w:cs="Arial"/>
          <w:szCs w:val="24"/>
        </w:rPr>
        <w:t xml:space="preserve"> de </w:t>
      </w:r>
      <w:r w:rsidR="008D349A" w:rsidRPr="002C67BC">
        <w:rPr>
          <w:rFonts w:cs="Arial"/>
          <w:szCs w:val="24"/>
        </w:rPr>
        <w:t xml:space="preserve">noviembre </w:t>
      </w:r>
      <w:r w:rsidRPr="002C67BC">
        <w:rPr>
          <w:rFonts w:cs="Arial"/>
          <w:szCs w:val="24"/>
        </w:rPr>
        <w:t>de 20</w:t>
      </w:r>
      <w:r w:rsidR="008D349A" w:rsidRPr="002C67BC">
        <w:rPr>
          <w:rFonts w:cs="Arial"/>
          <w:szCs w:val="24"/>
        </w:rPr>
        <w:t>09</w:t>
      </w:r>
      <w:r w:rsidRPr="002C67BC">
        <w:rPr>
          <w:rFonts w:cs="Arial"/>
          <w:szCs w:val="24"/>
        </w:rPr>
        <w:t xml:space="preserve">, el ciudadano </w:t>
      </w:r>
      <w:r w:rsidR="008D349A" w:rsidRPr="002C67BC">
        <w:rPr>
          <w:rFonts w:cs="Arial"/>
          <w:szCs w:val="24"/>
        </w:rPr>
        <w:t xml:space="preserve">César Alberto Sierra Avellaneda </w:t>
      </w:r>
      <w:r w:rsidRPr="002C67BC">
        <w:rPr>
          <w:rFonts w:cs="Arial"/>
          <w:szCs w:val="24"/>
        </w:rPr>
        <w:t>promovió una demanda de pérdida de investidura contra</w:t>
      </w:r>
      <w:r w:rsidR="004D186D" w:rsidRPr="002C67BC">
        <w:rPr>
          <w:rFonts w:cs="Arial"/>
          <w:szCs w:val="24"/>
        </w:rPr>
        <w:t xml:space="preserve"> el señor </w:t>
      </w:r>
      <w:r w:rsidR="008D349A" w:rsidRPr="002C67BC">
        <w:rPr>
          <w:rFonts w:cs="Arial"/>
          <w:szCs w:val="24"/>
        </w:rPr>
        <w:t xml:space="preserve">Luis Felipe Barrios </w:t>
      </w:r>
      <w:proofErr w:type="spellStart"/>
      <w:r w:rsidR="008D349A" w:rsidRPr="002C67BC">
        <w:rPr>
          <w:rFonts w:cs="Arial"/>
          <w:szCs w:val="24"/>
        </w:rPr>
        <w:t>Barrios</w:t>
      </w:r>
      <w:proofErr w:type="spellEnd"/>
      <w:r w:rsidR="004D186D" w:rsidRPr="002C67BC">
        <w:rPr>
          <w:rFonts w:cs="Arial"/>
          <w:szCs w:val="24"/>
        </w:rPr>
        <w:t xml:space="preserve">, para entonces </w:t>
      </w:r>
      <w:r w:rsidR="008D349A" w:rsidRPr="002C67BC">
        <w:rPr>
          <w:rFonts w:cs="Arial"/>
          <w:szCs w:val="24"/>
        </w:rPr>
        <w:t>Representante a la Cámara.</w:t>
      </w:r>
    </w:p>
    <w:p w14:paraId="6D4BA0B5" w14:textId="77777777" w:rsidR="004D186D" w:rsidRPr="002C67BC" w:rsidRDefault="004D186D" w:rsidP="004D186D">
      <w:pPr>
        <w:tabs>
          <w:tab w:val="left" w:pos="284"/>
        </w:tabs>
        <w:contextualSpacing/>
        <w:rPr>
          <w:rFonts w:cs="Arial"/>
          <w:sz w:val="26"/>
          <w:szCs w:val="26"/>
          <w:lang w:val="es-ES_tradnl"/>
        </w:rPr>
      </w:pPr>
    </w:p>
    <w:p w14:paraId="34C944A3" w14:textId="77777777" w:rsidR="0042270A" w:rsidRPr="002C67BC" w:rsidRDefault="004D186D" w:rsidP="008D349A">
      <w:pPr>
        <w:tabs>
          <w:tab w:val="left" w:pos="284"/>
        </w:tabs>
        <w:contextualSpacing/>
        <w:rPr>
          <w:rFonts w:cs="Arial"/>
          <w:szCs w:val="24"/>
          <w:lang w:val="es-ES_tradnl"/>
        </w:rPr>
      </w:pPr>
      <w:r w:rsidRPr="002C67BC">
        <w:rPr>
          <w:rFonts w:cs="Arial"/>
          <w:szCs w:val="24"/>
          <w:lang w:val="es-ES_tradnl"/>
        </w:rPr>
        <w:t xml:space="preserve">3. </w:t>
      </w:r>
      <w:r w:rsidR="00256083" w:rsidRPr="002C67BC">
        <w:rPr>
          <w:rFonts w:cs="Arial"/>
          <w:szCs w:val="24"/>
          <w:lang w:val="es-ES_tradnl"/>
        </w:rPr>
        <w:t xml:space="preserve">El </w:t>
      </w:r>
      <w:r w:rsidRPr="002C67BC">
        <w:rPr>
          <w:rFonts w:cs="Arial"/>
          <w:szCs w:val="24"/>
          <w:lang w:val="es-ES_tradnl"/>
        </w:rPr>
        <w:t>conocimiento de ese asunto correspondió a</w:t>
      </w:r>
      <w:r w:rsidR="008D349A" w:rsidRPr="002C67BC">
        <w:rPr>
          <w:rFonts w:cs="Arial"/>
          <w:szCs w:val="24"/>
          <w:lang w:val="es-ES_tradnl"/>
        </w:rPr>
        <w:t xml:space="preserve"> </w:t>
      </w:r>
      <w:r w:rsidRPr="002C67BC">
        <w:rPr>
          <w:rFonts w:cs="Arial"/>
          <w:szCs w:val="24"/>
          <w:lang w:val="es-ES_tradnl"/>
        </w:rPr>
        <w:t>l</w:t>
      </w:r>
      <w:r w:rsidR="008D349A" w:rsidRPr="002C67BC">
        <w:rPr>
          <w:rFonts w:cs="Arial"/>
          <w:szCs w:val="24"/>
          <w:lang w:val="es-ES_tradnl"/>
        </w:rPr>
        <w:t>a Sala Plena de lo Contencioso Administrativo del Consejo de Estado en virtud de lo reglado en los artículos 184 y 237 numeral 5 de la Constitución Política, 1º de la Ley 144 de 1994 y 37 numeral 7 de la Ley 270 de 1996</w:t>
      </w:r>
      <w:r w:rsidR="0042270A" w:rsidRPr="002C67BC">
        <w:rPr>
          <w:rFonts w:cs="Arial"/>
          <w:szCs w:val="24"/>
          <w:lang w:val="es-ES_tradnl"/>
        </w:rPr>
        <w:t xml:space="preserve"> por tratarse de la solicitud de pérdida de investidura de un congresista. </w:t>
      </w:r>
    </w:p>
    <w:p w14:paraId="43643085" w14:textId="77777777" w:rsidR="0042270A" w:rsidRPr="002C67BC" w:rsidRDefault="0042270A" w:rsidP="008D349A">
      <w:pPr>
        <w:tabs>
          <w:tab w:val="left" w:pos="284"/>
        </w:tabs>
        <w:contextualSpacing/>
        <w:rPr>
          <w:rFonts w:cs="Arial"/>
          <w:szCs w:val="24"/>
          <w:lang w:val="es-ES_tradnl"/>
        </w:rPr>
      </w:pPr>
    </w:p>
    <w:p w14:paraId="75952B44" w14:textId="23D6D80A" w:rsidR="002B59E8" w:rsidRPr="002C67BC" w:rsidRDefault="0042270A" w:rsidP="0042270A">
      <w:pPr>
        <w:tabs>
          <w:tab w:val="left" w:pos="284"/>
        </w:tabs>
        <w:contextualSpacing/>
        <w:rPr>
          <w:rFonts w:cs="Arial"/>
          <w:szCs w:val="24"/>
          <w:lang w:val="es-ES_tradnl"/>
        </w:rPr>
      </w:pPr>
      <w:r w:rsidRPr="002C67BC">
        <w:rPr>
          <w:rFonts w:cs="Arial"/>
          <w:szCs w:val="24"/>
          <w:lang w:val="es-ES_tradnl"/>
        </w:rPr>
        <w:t>4. La a</w:t>
      </w:r>
      <w:r w:rsidR="004D186D" w:rsidRPr="002C67BC">
        <w:rPr>
          <w:rFonts w:cs="Arial"/>
          <w:szCs w:val="24"/>
          <w:lang w:val="es-ES_tradnl"/>
        </w:rPr>
        <w:t xml:space="preserve">utoridad </w:t>
      </w:r>
      <w:r w:rsidRPr="002C67BC">
        <w:rPr>
          <w:rFonts w:cs="Arial"/>
          <w:szCs w:val="24"/>
          <w:lang w:val="es-ES_tradnl"/>
        </w:rPr>
        <w:t>accionada profirió</w:t>
      </w:r>
      <w:r w:rsidR="004D186D" w:rsidRPr="002C67BC">
        <w:rPr>
          <w:rFonts w:cs="Arial"/>
          <w:szCs w:val="24"/>
          <w:lang w:val="es-ES_tradnl"/>
        </w:rPr>
        <w:t xml:space="preserve"> sentencia </w:t>
      </w:r>
      <w:r w:rsidRPr="002C67BC">
        <w:rPr>
          <w:rFonts w:cs="Arial"/>
          <w:szCs w:val="24"/>
          <w:lang w:val="es-ES_tradnl"/>
        </w:rPr>
        <w:t>en fecha 27</w:t>
      </w:r>
      <w:r w:rsidR="004D186D" w:rsidRPr="002C67BC">
        <w:rPr>
          <w:rFonts w:cs="Arial"/>
          <w:szCs w:val="24"/>
          <w:lang w:val="es-ES_tradnl"/>
        </w:rPr>
        <w:t xml:space="preserve"> de </w:t>
      </w:r>
      <w:r w:rsidRPr="002C67BC">
        <w:rPr>
          <w:rFonts w:cs="Arial"/>
          <w:szCs w:val="24"/>
          <w:lang w:val="es-ES_tradnl"/>
        </w:rPr>
        <w:t xml:space="preserve">julio </w:t>
      </w:r>
      <w:r w:rsidR="004D186D" w:rsidRPr="002C67BC">
        <w:rPr>
          <w:rFonts w:cs="Arial"/>
          <w:szCs w:val="24"/>
          <w:lang w:val="es-ES_tradnl"/>
        </w:rPr>
        <w:t>de 2010</w:t>
      </w:r>
      <w:r w:rsidR="00622B7E" w:rsidRPr="002C67BC">
        <w:rPr>
          <w:rFonts w:cs="Arial"/>
          <w:szCs w:val="24"/>
          <w:lang w:val="es-ES_tradnl"/>
        </w:rPr>
        <w:t>,</w:t>
      </w:r>
      <w:r w:rsidR="004D186D" w:rsidRPr="002C67BC">
        <w:rPr>
          <w:rFonts w:cs="Arial"/>
          <w:szCs w:val="24"/>
          <w:lang w:val="es-ES_tradnl"/>
        </w:rPr>
        <w:t xml:space="preserve"> </w:t>
      </w:r>
      <w:r w:rsidRPr="002C67BC">
        <w:rPr>
          <w:rFonts w:cs="Arial"/>
          <w:szCs w:val="24"/>
          <w:lang w:val="es-ES_tradnl"/>
        </w:rPr>
        <w:t xml:space="preserve">en la que </w:t>
      </w:r>
      <w:r w:rsidR="004D186D" w:rsidRPr="002C67BC">
        <w:rPr>
          <w:rFonts w:cs="Arial"/>
          <w:szCs w:val="24"/>
          <w:lang w:val="es-ES_tradnl"/>
        </w:rPr>
        <w:t xml:space="preserve">decretó la pérdida de investidura del aquí accionante con fundamento en la causal de </w:t>
      </w:r>
      <w:r w:rsidRPr="002C67BC">
        <w:rPr>
          <w:rFonts w:cs="Arial"/>
          <w:szCs w:val="24"/>
          <w:lang w:val="es-ES_tradnl"/>
        </w:rPr>
        <w:t>violación al régimen de conflicto de intereses, establecida en los artículos 182 y 183 numeral 1º de la Constitución Política, 122, 124, 268, 286, 292 y 293 de la Ley 5ª de 1992.</w:t>
      </w:r>
    </w:p>
    <w:p w14:paraId="042AB035" w14:textId="74B69A0C" w:rsidR="0042270A" w:rsidRPr="002C67BC" w:rsidRDefault="0042270A" w:rsidP="0042270A">
      <w:pPr>
        <w:tabs>
          <w:tab w:val="left" w:pos="284"/>
        </w:tabs>
        <w:contextualSpacing/>
        <w:rPr>
          <w:rFonts w:cs="Arial"/>
          <w:szCs w:val="24"/>
          <w:lang w:val="es-ES_tradnl"/>
        </w:rPr>
      </w:pPr>
    </w:p>
    <w:p w14:paraId="1C40B26D" w14:textId="76B62282" w:rsidR="0042270A" w:rsidRPr="002C67BC" w:rsidRDefault="0042270A" w:rsidP="0042270A">
      <w:pPr>
        <w:tabs>
          <w:tab w:val="left" w:pos="284"/>
        </w:tabs>
        <w:contextualSpacing/>
        <w:rPr>
          <w:rFonts w:cs="Arial"/>
          <w:szCs w:val="24"/>
          <w:lang w:val="es-ES_tradnl"/>
        </w:rPr>
      </w:pPr>
      <w:r w:rsidRPr="002C67BC">
        <w:rPr>
          <w:rFonts w:cs="Arial"/>
          <w:szCs w:val="24"/>
          <w:lang w:val="es-ES_tradnl"/>
        </w:rPr>
        <w:t>5. Con auto de 28 de septiembre de 2010</w:t>
      </w:r>
      <w:r w:rsidR="00E01E5F" w:rsidRPr="002C67BC">
        <w:rPr>
          <w:rFonts w:cs="Arial"/>
          <w:szCs w:val="24"/>
          <w:lang w:val="es-ES_tradnl"/>
        </w:rPr>
        <w:t>,</w:t>
      </w:r>
      <w:r w:rsidR="008431E7" w:rsidRPr="002C67BC">
        <w:rPr>
          <w:rFonts w:cs="Arial"/>
          <w:szCs w:val="24"/>
          <w:lang w:val="es-ES_tradnl"/>
        </w:rPr>
        <w:t xml:space="preserve"> </w:t>
      </w:r>
      <w:r w:rsidR="00E3266B" w:rsidRPr="002C67BC">
        <w:rPr>
          <w:rFonts w:cs="Arial"/>
          <w:szCs w:val="24"/>
          <w:lang w:val="es-ES_tradnl"/>
        </w:rPr>
        <w:t>la Sala Plena de lo Contencioso Administrativo del Consejo de Estado</w:t>
      </w:r>
      <w:r w:rsidR="008431E7" w:rsidRPr="002C67BC">
        <w:rPr>
          <w:rFonts w:cs="Arial"/>
          <w:szCs w:val="24"/>
          <w:lang w:val="es-ES_tradnl"/>
        </w:rPr>
        <w:t xml:space="preserve"> negó una solicitud de aclaración al fallo que presentó el señor Luis Felipe Barrios </w:t>
      </w:r>
      <w:proofErr w:type="spellStart"/>
      <w:r w:rsidR="008431E7" w:rsidRPr="002C67BC">
        <w:rPr>
          <w:rFonts w:cs="Arial"/>
          <w:szCs w:val="24"/>
          <w:lang w:val="es-ES_tradnl"/>
        </w:rPr>
        <w:t>Barrios</w:t>
      </w:r>
      <w:proofErr w:type="spellEnd"/>
      <w:r w:rsidR="008431E7" w:rsidRPr="002C67BC">
        <w:rPr>
          <w:rFonts w:cs="Arial"/>
          <w:szCs w:val="24"/>
          <w:lang w:val="es-ES_tradnl"/>
        </w:rPr>
        <w:t>. Adicionalmente, en auto de 17 de abril de 2012 se rechazó un incidente de nulidad formulado por el actor.</w:t>
      </w:r>
    </w:p>
    <w:p w14:paraId="4E1B20A9" w14:textId="77777777" w:rsidR="00256083" w:rsidRPr="002C67BC" w:rsidRDefault="00256083" w:rsidP="00256083">
      <w:pPr>
        <w:tabs>
          <w:tab w:val="left" w:pos="284"/>
        </w:tabs>
        <w:contextualSpacing/>
        <w:rPr>
          <w:rFonts w:cs="Arial"/>
          <w:szCs w:val="24"/>
          <w:lang w:val="es-ES_tradnl"/>
        </w:rPr>
      </w:pPr>
    </w:p>
    <w:p w14:paraId="1A31F114" w14:textId="541A6F1E" w:rsidR="008431E7" w:rsidRPr="002C67BC" w:rsidRDefault="008431E7" w:rsidP="005A7954">
      <w:pPr>
        <w:tabs>
          <w:tab w:val="left" w:pos="284"/>
        </w:tabs>
        <w:contextualSpacing/>
        <w:rPr>
          <w:rFonts w:cs="Arial"/>
          <w:szCs w:val="24"/>
          <w:lang w:val="es-ES_tradnl"/>
        </w:rPr>
      </w:pPr>
      <w:r w:rsidRPr="002C67BC">
        <w:rPr>
          <w:rFonts w:cs="Arial"/>
          <w:szCs w:val="24"/>
          <w:lang w:val="es-ES_tradnl"/>
        </w:rPr>
        <w:t>6</w:t>
      </w:r>
      <w:r w:rsidR="004D186D" w:rsidRPr="002C67BC">
        <w:rPr>
          <w:rFonts w:cs="Arial"/>
          <w:szCs w:val="24"/>
          <w:lang w:val="es-ES_tradnl"/>
        </w:rPr>
        <w:t xml:space="preserve">. </w:t>
      </w:r>
      <w:r w:rsidRPr="002C67BC">
        <w:rPr>
          <w:rFonts w:cs="Arial"/>
          <w:szCs w:val="24"/>
          <w:lang w:val="es-ES_tradnl"/>
        </w:rPr>
        <w:t>Con los medios de prueba obrantes en el expediente está acreditado que el 16 de septiembre de 2015 el aquí demandante interpuso recurso extraordinario de revisión en contra de la sentencia de 27 de julio de 2010. Para ello, invocó las causales dispuestas en los literales a) y b) del artículo 17 de la Ley 144 de 1994 y en el numeral 6° del artículo 188 del Código Contencioso Administrativo.</w:t>
      </w:r>
    </w:p>
    <w:p w14:paraId="1525A778" w14:textId="60966AB4" w:rsidR="008431E7" w:rsidRPr="002C67BC" w:rsidRDefault="008431E7" w:rsidP="005A7954">
      <w:pPr>
        <w:tabs>
          <w:tab w:val="left" w:pos="284"/>
        </w:tabs>
        <w:contextualSpacing/>
        <w:rPr>
          <w:rFonts w:cs="Arial"/>
          <w:szCs w:val="24"/>
          <w:lang w:val="es-ES_tradnl"/>
        </w:rPr>
      </w:pPr>
    </w:p>
    <w:p w14:paraId="05885981" w14:textId="5DD1B96F" w:rsidR="008431E7" w:rsidRPr="002C67BC" w:rsidRDefault="008431E7" w:rsidP="005A7954">
      <w:pPr>
        <w:tabs>
          <w:tab w:val="left" w:pos="284"/>
        </w:tabs>
        <w:contextualSpacing/>
        <w:rPr>
          <w:rFonts w:cs="Arial"/>
          <w:szCs w:val="24"/>
          <w:lang w:val="es-ES_tradnl"/>
        </w:rPr>
      </w:pPr>
      <w:r w:rsidRPr="002C67BC">
        <w:rPr>
          <w:rFonts w:cs="Arial"/>
          <w:szCs w:val="24"/>
          <w:lang w:val="es-ES_tradnl"/>
        </w:rPr>
        <w:t xml:space="preserve">7. </w:t>
      </w:r>
      <w:r w:rsidR="007241FC" w:rsidRPr="002C67BC">
        <w:rPr>
          <w:rFonts w:cs="Arial"/>
          <w:szCs w:val="24"/>
          <w:lang w:val="es-ES_tradnl"/>
        </w:rPr>
        <w:t xml:space="preserve">El recurso extraordinario de revisión dentro del expediente 11001-03-15-000-2020-04335-00 correspondió por reparto al despacho del magistrado Jaime Enrique Rodríguez Navas y a la fecha se encuentra pendiente de decisión conforme </w:t>
      </w:r>
      <w:r w:rsidR="000D37BB" w:rsidRPr="002C67BC">
        <w:rPr>
          <w:rFonts w:cs="Arial"/>
          <w:szCs w:val="24"/>
          <w:lang w:val="es-ES_tradnl"/>
        </w:rPr>
        <w:t xml:space="preserve">se </w:t>
      </w:r>
      <w:r w:rsidR="007241FC" w:rsidRPr="002C67BC">
        <w:rPr>
          <w:rFonts w:cs="Arial"/>
          <w:szCs w:val="24"/>
          <w:lang w:val="es-ES_tradnl"/>
        </w:rPr>
        <w:t xml:space="preserve">informó en auto de </w:t>
      </w:r>
      <w:r w:rsidR="007241FC" w:rsidRPr="002C67BC">
        <w:rPr>
          <w:rFonts w:cs="Arial"/>
          <w:szCs w:val="24"/>
          <w:lang w:val="es-ES_tradnl"/>
        </w:rPr>
        <w:lastRenderedPageBreak/>
        <w:t xml:space="preserve">15 de octubre de 2020, en el que </w:t>
      </w:r>
      <w:r w:rsidR="000D37BB" w:rsidRPr="002C67BC">
        <w:rPr>
          <w:rFonts w:cs="Arial"/>
          <w:szCs w:val="24"/>
          <w:lang w:val="es-ES_tradnl"/>
        </w:rPr>
        <w:t xml:space="preserve">el magistrado mencionado </w:t>
      </w:r>
      <w:r w:rsidR="007241FC" w:rsidRPr="002C67BC">
        <w:rPr>
          <w:rFonts w:cs="Arial"/>
          <w:szCs w:val="24"/>
          <w:lang w:val="es-ES_tradnl"/>
        </w:rPr>
        <w:t>manifestó su impedimento para tramitar la presente acción de tutela.</w:t>
      </w:r>
    </w:p>
    <w:p w14:paraId="4F2CEE75" w14:textId="77777777" w:rsidR="008431E7" w:rsidRPr="002C67BC" w:rsidRDefault="008431E7" w:rsidP="005A7954">
      <w:pPr>
        <w:tabs>
          <w:tab w:val="left" w:pos="284"/>
        </w:tabs>
        <w:contextualSpacing/>
        <w:rPr>
          <w:rFonts w:cs="Arial"/>
          <w:szCs w:val="24"/>
          <w:lang w:val="es-ES_tradnl"/>
        </w:rPr>
      </w:pPr>
    </w:p>
    <w:p w14:paraId="084FAD76" w14:textId="51C3BE80" w:rsidR="005A7954" w:rsidRPr="002C67BC" w:rsidRDefault="007241FC" w:rsidP="003E45B6">
      <w:pPr>
        <w:tabs>
          <w:tab w:val="left" w:pos="284"/>
        </w:tabs>
        <w:contextualSpacing/>
        <w:rPr>
          <w:rFonts w:cs="Arial"/>
          <w:szCs w:val="24"/>
          <w:lang w:val="es-ES_tradnl"/>
        </w:rPr>
      </w:pPr>
      <w:r w:rsidRPr="002C67BC">
        <w:rPr>
          <w:rFonts w:cs="Arial"/>
          <w:szCs w:val="24"/>
          <w:lang w:val="es-ES_tradnl"/>
        </w:rPr>
        <w:t xml:space="preserve">8. </w:t>
      </w:r>
      <w:r w:rsidR="00256083" w:rsidRPr="002C67BC">
        <w:rPr>
          <w:rFonts w:cs="Arial"/>
          <w:szCs w:val="24"/>
          <w:lang w:val="es-ES_tradnl"/>
        </w:rPr>
        <w:t xml:space="preserve">Para la parte actora, el fallo cuestionado incurrió en un </w:t>
      </w:r>
      <w:r w:rsidR="005A7954" w:rsidRPr="002C67BC">
        <w:rPr>
          <w:rFonts w:cs="Arial"/>
          <w:szCs w:val="24"/>
          <w:lang w:val="es-ES_tradnl"/>
        </w:rPr>
        <w:t xml:space="preserve">defecto sustantivo </w:t>
      </w:r>
      <w:r w:rsidR="003E45B6" w:rsidRPr="002C67BC">
        <w:rPr>
          <w:rFonts w:cs="Arial"/>
          <w:szCs w:val="24"/>
          <w:lang w:val="es-ES_tradnl"/>
        </w:rPr>
        <w:t xml:space="preserve">por violación al derecho a la igualdad, en tanto </w:t>
      </w:r>
      <w:r w:rsidR="00E3266B" w:rsidRPr="002C67BC">
        <w:rPr>
          <w:rFonts w:cs="Arial"/>
          <w:szCs w:val="24"/>
          <w:lang w:val="es-ES_tradnl"/>
        </w:rPr>
        <w:t>la Sala Plena de lo Contencioso Administrativo del Consejo de Estado:</w:t>
      </w:r>
      <w:r w:rsidR="003E45B6" w:rsidRPr="002C67BC">
        <w:rPr>
          <w:rFonts w:cs="Arial"/>
          <w:szCs w:val="24"/>
          <w:lang w:val="es-ES_tradnl"/>
        </w:rPr>
        <w:t xml:space="preserve"> i) cometió una evidente discriminación al omitir la aplicación de la normatividad y jurisprudencia constitucional que previeron la garantía fundamental de la doble instancia como componente del debido proceso en asuntos sancionatorio</w:t>
      </w:r>
      <w:r w:rsidR="000D37BB" w:rsidRPr="002C67BC">
        <w:rPr>
          <w:rFonts w:cs="Arial"/>
          <w:szCs w:val="24"/>
          <w:lang w:val="es-ES_tradnl"/>
        </w:rPr>
        <w:t>s</w:t>
      </w:r>
      <w:r w:rsidR="003E45B6" w:rsidRPr="002C67BC">
        <w:rPr>
          <w:rFonts w:cs="Arial"/>
          <w:szCs w:val="24"/>
          <w:lang w:val="es-ES_tradnl"/>
        </w:rPr>
        <w:t xml:space="preserve"> de carácter disciplinario y ii) negó la aplicación del principio </w:t>
      </w:r>
      <w:r w:rsidR="003E45B6" w:rsidRPr="002C67BC">
        <w:rPr>
          <w:rFonts w:cs="Arial"/>
          <w:i/>
          <w:iCs/>
          <w:szCs w:val="24"/>
          <w:lang w:val="es-ES_tradnl"/>
        </w:rPr>
        <w:t>pro homine</w:t>
      </w:r>
      <w:r w:rsidR="003E45B6" w:rsidRPr="002C67BC">
        <w:rPr>
          <w:rFonts w:cs="Arial"/>
          <w:szCs w:val="24"/>
          <w:lang w:val="es-ES_tradnl"/>
        </w:rPr>
        <w:t xml:space="preserve">, al hacer una interpretación de los hechos objeto del proceso judicial ordinario, que desconoció la condición que resultaba </w:t>
      </w:r>
      <w:r w:rsidR="003E45B6" w:rsidRPr="002C67BC">
        <w:rPr>
          <w:rFonts w:cs="Arial"/>
          <w:i/>
          <w:iCs/>
          <w:szCs w:val="24"/>
          <w:lang w:val="es-ES_tradnl"/>
        </w:rPr>
        <w:t>“más favorable al ser humano y a su dignidad”</w:t>
      </w:r>
      <w:r w:rsidR="003E45B6" w:rsidRPr="002C67BC">
        <w:rPr>
          <w:rFonts w:cs="Arial"/>
          <w:szCs w:val="24"/>
          <w:lang w:val="es-ES_tradnl"/>
        </w:rPr>
        <w:t>.</w:t>
      </w:r>
    </w:p>
    <w:p w14:paraId="15C1694B" w14:textId="77777777" w:rsidR="003E45B6" w:rsidRPr="002C67BC" w:rsidRDefault="003E45B6" w:rsidP="003E45B6">
      <w:pPr>
        <w:tabs>
          <w:tab w:val="left" w:pos="284"/>
        </w:tabs>
        <w:contextualSpacing/>
        <w:rPr>
          <w:rFonts w:cs="Arial"/>
          <w:szCs w:val="24"/>
          <w:lang w:val="es-ES_tradnl"/>
        </w:rPr>
      </w:pPr>
    </w:p>
    <w:p w14:paraId="0E59C73E" w14:textId="3A0EFF87" w:rsidR="00F466B7" w:rsidRPr="002C67BC" w:rsidRDefault="00F466B7" w:rsidP="00F466B7">
      <w:pPr>
        <w:tabs>
          <w:tab w:val="left" w:pos="284"/>
        </w:tabs>
        <w:contextualSpacing/>
        <w:rPr>
          <w:rFonts w:cs="Arial"/>
          <w:szCs w:val="24"/>
          <w:lang w:val="es-ES_tradnl"/>
        </w:rPr>
      </w:pPr>
      <w:r w:rsidRPr="002C67BC">
        <w:rPr>
          <w:rFonts w:cs="Arial"/>
          <w:szCs w:val="24"/>
          <w:lang w:val="es-ES_tradnl"/>
        </w:rPr>
        <w:t>9. Adicionalmente, el demandante manifestó que la providencia cuestionada le causó un perjuicio irremediable por la anulación de sus derechos políticos, aunado a una afectación a sus derechos a la honra</w:t>
      </w:r>
      <w:r w:rsidR="003E45B6" w:rsidRPr="002C67BC">
        <w:rPr>
          <w:rFonts w:cs="Arial"/>
          <w:szCs w:val="24"/>
          <w:lang w:val="es-ES_tradnl"/>
        </w:rPr>
        <w:t xml:space="preserve"> y</w:t>
      </w:r>
      <w:r w:rsidRPr="002C67BC">
        <w:rPr>
          <w:rFonts w:cs="Arial"/>
          <w:szCs w:val="24"/>
          <w:lang w:val="es-ES_tradnl"/>
        </w:rPr>
        <w:t xml:space="preserve"> buen nombre.</w:t>
      </w:r>
    </w:p>
    <w:p w14:paraId="05621583" w14:textId="77777777" w:rsidR="00324580" w:rsidRPr="002C67BC" w:rsidRDefault="00324580" w:rsidP="00F466B7">
      <w:pPr>
        <w:tabs>
          <w:tab w:val="left" w:pos="284"/>
        </w:tabs>
        <w:rPr>
          <w:rFonts w:cs="Arial"/>
          <w:szCs w:val="24"/>
          <w:lang w:val="es-ES_tradnl"/>
        </w:rPr>
      </w:pPr>
    </w:p>
    <w:p w14:paraId="0D0177E5" w14:textId="77777777" w:rsidR="00B27E33" w:rsidRPr="002C67BC" w:rsidRDefault="00B27E33" w:rsidP="00F466B7">
      <w:pPr>
        <w:pStyle w:val="Ttulo2"/>
      </w:pPr>
      <w:r w:rsidRPr="002C67BC">
        <w:t xml:space="preserve">c.- Trámite procesal </w:t>
      </w:r>
    </w:p>
    <w:p w14:paraId="1E15F1A9" w14:textId="77777777" w:rsidR="00F466B7" w:rsidRPr="002C67BC" w:rsidRDefault="00F466B7" w:rsidP="00F466B7">
      <w:pPr>
        <w:tabs>
          <w:tab w:val="left" w:pos="284"/>
          <w:tab w:val="left" w:pos="426"/>
        </w:tabs>
        <w:contextualSpacing/>
      </w:pPr>
    </w:p>
    <w:p w14:paraId="0EAFF43E" w14:textId="77EF198C" w:rsidR="00B27E33" w:rsidRPr="002C67BC" w:rsidRDefault="00F466B7" w:rsidP="00F466B7">
      <w:pPr>
        <w:tabs>
          <w:tab w:val="left" w:pos="284"/>
          <w:tab w:val="left" w:pos="426"/>
        </w:tabs>
        <w:contextualSpacing/>
        <w:rPr>
          <w:rFonts w:cs="Arial"/>
          <w:szCs w:val="24"/>
          <w:lang w:val="es-ES_tradnl"/>
        </w:rPr>
      </w:pPr>
      <w:r w:rsidRPr="002C67BC">
        <w:t xml:space="preserve">10. </w:t>
      </w:r>
      <w:r w:rsidR="00B27E33" w:rsidRPr="002C67BC">
        <w:rPr>
          <w:rFonts w:cs="Arial"/>
          <w:szCs w:val="24"/>
          <w:lang w:val="es-ES_tradnl"/>
        </w:rPr>
        <w:t xml:space="preserve">Mediante auto de </w:t>
      </w:r>
      <w:r w:rsidR="00E3266B" w:rsidRPr="002C67BC">
        <w:rPr>
          <w:rFonts w:cs="Arial"/>
          <w:szCs w:val="24"/>
          <w:lang w:val="es-ES_tradnl"/>
        </w:rPr>
        <w:t xml:space="preserve">16 </w:t>
      </w:r>
      <w:r w:rsidR="00B27E33" w:rsidRPr="002C67BC">
        <w:rPr>
          <w:rFonts w:cs="Arial"/>
          <w:szCs w:val="24"/>
          <w:lang w:val="es-ES_tradnl"/>
        </w:rPr>
        <w:t xml:space="preserve">de </w:t>
      </w:r>
      <w:r w:rsidR="00E3266B" w:rsidRPr="002C67BC">
        <w:rPr>
          <w:rFonts w:cs="Arial"/>
          <w:szCs w:val="24"/>
          <w:lang w:val="es-ES_tradnl"/>
        </w:rPr>
        <w:t xml:space="preserve">diciembre </w:t>
      </w:r>
      <w:r w:rsidR="00B27E33" w:rsidRPr="002C67BC">
        <w:rPr>
          <w:rFonts w:cs="Arial"/>
          <w:szCs w:val="24"/>
          <w:lang w:val="es-ES_tradnl"/>
        </w:rPr>
        <w:t>de 20</w:t>
      </w:r>
      <w:r w:rsidR="00EE71FB" w:rsidRPr="002C67BC">
        <w:rPr>
          <w:rFonts w:cs="Arial"/>
          <w:szCs w:val="24"/>
          <w:lang w:val="es-ES_tradnl"/>
        </w:rPr>
        <w:t>20</w:t>
      </w:r>
      <w:r w:rsidR="00B27E33" w:rsidRPr="002C67BC">
        <w:rPr>
          <w:rFonts w:cs="Arial"/>
          <w:szCs w:val="24"/>
          <w:lang w:val="es-ES_tradnl"/>
        </w:rPr>
        <w:t>, se admitió la acción de tutela y se ordenó la notificación, en calidad de demandado, a</w:t>
      </w:r>
      <w:r w:rsidR="00E3266B" w:rsidRPr="002C67BC">
        <w:rPr>
          <w:rFonts w:cs="Arial"/>
          <w:szCs w:val="24"/>
          <w:lang w:val="es-ES_tradnl"/>
        </w:rPr>
        <w:t xml:space="preserve"> </w:t>
      </w:r>
      <w:r w:rsidR="0047509D" w:rsidRPr="002C67BC">
        <w:rPr>
          <w:rFonts w:cs="Arial"/>
          <w:szCs w:val="24"/>
          <w:lang w:val="es-ES_tradnl"/>
        </w:rPr>
        <w:t>l</w:t>
      </w:r>
      <w:r w:rsidR="00E3266B" w:rsidRPr="002C67BC">
        <w:rPr>
          <w:rFonts w:cs="Arial"/>
          <w:szCs w:val="24"/>
          <w:lang w:val="es-ES_tradnl"/>
        </w:rPr>
        <w:t>a Sala Plena de lo Contencioso Administrativo del Consejo de Estado</w:t>
      </w:r>
      <w:r w:rsidRPr="002C67BC">
        <w:rPr>
          <w:rFonts w:cs="Arial"/>
          <w:szCs w:val="24"/>
          <w:lang w:val="es-ES_tradnl"/>
        </w:rPr>
        <w:t>.</w:t>
      </w:r>
    </w:p>
    <w:p w14:paraId="5102EDF6" w14:textId="786FC903" w:rsidR="00F466B7" w:rsidRPr="002C67BC" w:rsidRDefault="00F466B7" w:rsidP="00F466B7">
      <w:pPr>
        <w:tabs>
          <w:tab w:val="left" w:pos="284"/>
          <w:tab w:val="left" w:pos="426"/>
        </w:tabs>
        <w:contextualSpacing/>
        <w:rPr>
          <w:rFonts w:cs="Arial"/>
          <w:szCs w:val="24"/>
          <w:lang w:val="es-ES_tradnl"/>
        </w:rPr>
      </w:pPr>
    </w:p>
    <w:p w14:paraId="144F62A0" w14:textId="707674B3" w:rsidR="00F466B7" w:rsidRPr="002C67BC" w:rsidRDefault="00F466B7" w:rsidP="00F466B7">
      <w:pPr>
        <w:pStyle w:val="Ttulo2"/>
        <w:rPr>
          <w:lang w:val="es-ES"/>
        </w:rPr>
      </w:pPr>
      <w:r w:rsidRPr="002C67BC">
        <w:rPr>
          <w:lang w:val="es-ES"/>
        </w:rPr>
        <w:t xml:space="preserve">d.- Sentencia de primera instancia </w:t>
      </w:r>
    </w:p>
    <w:p w14:paraId="4487614D" w14:textId="77777777" w:rsidR="00F466B7" w:rsidRPr="002C67BC" w:rsidRDefault="00F466B7" w:rsidP="00F466B7">
      <w:pPr>
        <w:pStyle w:val="Ttulo2"/>
        <w:rPr>
          <w:lang w:val="es-ES"/>
        </w:rPr>
      </w:pPr>
    </w:p>
    <w:p w14:paraId="18ACA443" w14:textId="2F0F9D0E" w:rsidR="00F466B7" w:rsidRPr="002C67BC" w:rsidRDefault="00F466B7" w:rsidP="00F466B7">
      <w:pPr>
        <w:tabs>
          <w:tab w:val="left" w:pos="284"/>
          <w:tab w:val="left" w:pos="426"/>
          <w:tab w:val="left" w:pos="709"/>
        </w:tabs>
        <w:contextualSpacing/>
        <w:rPr>
          <w:rFonts w:cs="Arial"/>
          <w:szCs w:val="24"/>
          <w:lang w:val="es-ES"/>
        </w:rPr>
      </w:pPr>
      <w:r w:rsidRPr="002C67BC">
        <w:rPr>
          <w:rFonts w:cs="Arial"/>
          <w:szCs w:val="24"/>
          <w:lang w:val="es-ES"/>
        </w:rPr>
        <w:t xml:space="preserve">11. El </w:t>
      </w:r>
      <w:r w:rsidR="000D37BB" w:rsidRPr="002C67BC">
        <w:rPr>
          <w:rFonts w:cs="Arial"/>
          <w:szCs w:val="24"/>
          <w:lang w:val="es-ES"/>
        </w:rPr>
        <w:t xml:space="preserve">15 </w:t>
      </w:r>
      <w:r w:rsidRPr="002C67BC">
        <w:rPr>
          <w:rFonts w:cs="Arial"/>
          <w:szCs w:val="24"/>
          <w:lang w:val="es-ES"/>
        </w:rPr>
        <w:t xml:space="preserve">de </w:t>
      </w:r>
      <w:r w:rsidR="000D37BB" w:rsidRPr="002C67BC">
        <w:rPr>
          <w:rFonts w:cs="Arial"/>
          <w:szCs w:val="24"/>
          <w:lang w:val="es-ES"/>
        </w:rPr>
        <w:t xml:space="preserve">febrero </w:t>
      </w:r>
      <w:r w:rsidRPr="002C67BC">
        <w:rPr>
          <w:rFonts w:cs="Arial"/>
          <w:szCs w:val="24"/>
          <w:lang w:val="es-ES"/>
        </w:rPr>
        <w:t>de 202</w:t>
      </w:r>
      <w:r w:rsidR="000D37BB" w:rsidRPr="002C67BC">
        <w:rPr>
          <w:rFonts w:cs="Arial"/>
          <w:szCs w:val="24"/>
          <w:lang w:val="es-ES"/>
        </w:rPr>
        <w:t>1</w:t>
      </w:r>
      <w:r w:rsidRPr="002C67BC">
        <w:rPr>
          <w:rFonts w:cs="Arial"/>
          <w:szCs w:val="24"/>
          <w:lang w:val="es-ES"/>
        </w:rPr>
        <w:t xml:space="preserve">, el Consejo de Estado, Sección </w:t>
      </w:r>
      <w:r w:rsidR="000D37BB" w:rsidRPr="002C67BC">
        <w:rPr>
          <w:rFonts w:cs="Arial"/>
          <w:szCs w:val="24"/>
          <w:lang w:val="es-ES"/>
        </w:rPr>
        <w:t>Tercera</w:t>
      </w:r>
      <w:r w:rsidRPr="002C67BC">
        <w:rPr>
          <w:rFonts w:cs="Arial"/>
          <w:szCs w:val="24"/>
          <w:lang w:val="es-ES"/>
        </w:rPr>
        <w:t xml:space="preserve">, Subsección </w:t>
      </w:r>
      <w:r w:rsidR="000D37BB" w:rsidRPr="002C67BC">
        <w:rPr>
          <w:rFonts w:cs="Arial"/>
          <w:szCs w:val="24"/>
          <w:lang w:val="es-ES"/>
        </w:rPr>
        <w:t>C</w:t>
      </w:r>
      <w:r w:rsidRPr="002C67BC">
        <w:rPr>
          <w:rFonts w:cs="Arial"/>
          <w:szCs w:val="24"/>
          <w:lang w:val="es-ES"/>
        </w:rPr>
        <w:t xml:space="preserve"> declaró improcedente la acción de tutela por incumplimiento del requisito de inmediatez.</w:t>
      </w:r>
    </w:p>
    <w:p w14:paraId="32265749" w14:textId="77777777" w:rsidR="00F466B7" w:rsidRPr="002C67BC" w:rsidRDefault="00F466B7" w:rsidP="00F466B7">
      <w:pPr>
        <w:tabs>
          <w:tab w:val="left" w:pos="284"/>
          <w:tab w:val="left" w:pos="426"/>
          <w:tab w:val="left" w:pos="709"/>
        </w:tabs>
        <w:contextualSpacing/>
        <w:rPr>
          <w:rFonts w:cs="Arial"/>
          <w:szCs w:val="24"/>
          <w:lang w:val="es-ES"/>
        </w:rPr>
      </w:pPr>
    </w:p>
    <w:p w14:paraId="03EF6729" w14:textId="0C80B86B" w:rsidR="00F466B7" w:rsidRPr="002C67BC" w:rsidRDefault="00F466B7" w:rsidP="00F466B7">
      <w:pPr>
        <w:tabs>
          <w:tab w:val="left" w:pos="284"/>
          <w:tab w:val="left" w:pos="426"/>
          <w:tab w:val="left" w:pos="709"/>
        </w:tabs>
        <w:contextualSpacing/>
        <w:rPr>
          <w:rFonts w:cs="Arial"/>
          <w:szCs w:val="24"/>
          <w:lang w:val="es-ES"/>
        </w:rPr>
      </w:pPr>
      <w:r w:rsidRPr="002C67BC">
        <w:rPr>
          <w:rFonts w:cs="Arial"/>
          <w:szCs w:val="24"/>
          <w:lang w:val="es-ES_tradnl"/>
        </w:rPr>
        <w:t xml:space="preserve">12. Al sustentar la decisión, el </w:t>
      </w:r>
      <w:r w:rsidRPr="002C67BC">
        <w:rPr>
          <w:rFonts w:cs="Arial"/>
          <w:i/>
          <w:szCs w:val="24"/>
          <w:lang w:val="es-ES_tradnl"/>
        </w:rPr>
        <w:t>a quo</w:t>
      </w:r>
      <w:r w:rsidRPr="002C67BC">
        <w:rPr>
          <w:rFonts w:cs="Arial"/>
          <w:szCs w:val="24"/>
          <w:lang w:val="es-ES_tradnl"/>
        </w:rPr>
        <w:t xml:space="preserve"> manifestó que la providencia objeto de tutela fue notificada por edicto </w:t>
      </w:r>
      <w:r w:rsidR="000D37BB" w:rsidRPr="002C67BC">
        <w:rPr>
          <w:rFonts w:cs="Arial"/>
          <w:szCs w:val="24"/>
          <w:lang w:val="es-ES_tradnl"/>
        </w:rPr>
        <w:t>des</w:t>
      </w:r>
      <w:r w:rsidRPr="002C67BC">
        <w:rPr>
          <w:rFonts w:cs="Arial"/>
          <w:szCs w:val="24"/>
          <w:lang w:val="es-ES_tradnl"/>
        </w:rPr>
        <w:t xml:space="preserve">fijado en la Secretaría </w:t>
      </w:r>
      <w:r w:rsidR="000D37BB" w:rsidRPr="002C67BC">
        <w:rPr>
          <w:rFonts w:cs="Arial"/>
          <w:szCs w:val="24"/>
          <w:lang w:val="es-ES_tradnl"/>
        </w:rPr>
        <w:t xml:space="preserve">General del </w:t>
      </w:r>
      <w:r w:rsidRPr="002C67BC">
        <w:rPr>
          <w:rFonts w:cs="Arial"/>
          <w:szCs w:val="24"/>
          <w:lang w:val="es-ES_tradnl"/>
        </w:rPr>
        <w:t xml:space="preserve">Consejo de Estado el </w:t>
      </w:r>
      <w:r w:rsidR="000D37BB" w:rsidRPr="002C67BC">
        <w:rPr>
          <w:rFonts w:cs="Arial"/>
          <w:szCs w:val="24"/>
          <w:lang w:val="es-ES_tradnl"/>
        </w:rPr>
        <w:t>4</w:t>
      </w:r>
      <w:r w:rsidRPr="002C67BC">
        <w:rPr>
          <w:rFonts w:cs="Arial"/>
          <w:szCs w:val="24"/>
          <w:lang w:val="es-ES_tradnl"/>
        </w:rPr>
        <w:t xml:space="preserve"> de </w:t>
      </w:r>
      <w:r w:rsidR="000D37BB" w:rsidRPr="002C67BC">
        <w:rPr>
          <w:rFonts w:cs="Arial"/>
          <w:szCs w:val="24"/>
          <w:lang w:val="es-ES_tradnl"/>
        </w:rPr>
        <w:t xml:space="preserve">octubre </w:t>
      </w:r>
      <w:r w:rsidRPr="002C67BC">
        <w:rPr>
          <w:rFonts w:cs="Arial"/>
          <w:szCs w:val="24"/>
          <w:lang w:val="es-ES_tradnl"/>
        </w:rPr>
        <w:t>de 2010</w:t>
      </w:r>
      <w:r w:rsidR="00FF272B" w:rsidRPr="002C67BC">
        <w:rPr>
          <w:rFonts w:cs="Arial"/>
          <w:szCs w:val="24"/>
          <w:lang w:val="es-ES_tradnl"/>
        </w:rPr>
        <w:t>, mientras que la acción de tutela fue presentada ante esta Corporación</w:t>
      </w:r>
      <w:r w:rsidRPr="002C67BC">
        <w:rPr>
          <w:rFonts w:cs="Arial"/>
          <w:szCs w:val="24"/>
          <w:lang w:val="es-ES_tradnl"/>
        </w:rPr>
        <w:t xml:space="preserve"> el </w:t>
      </w:r>
      <w:r w:rsidR="000D37BB" w:rsidRPr="002C67BC">
        <w:rPr>
          <w:rFonts w:cs="Arial"/>
          <w:szCs w:val="24"/>
          <w:lang w:val="es-ES_tradnl"/>
        </w:rPr>
        <w:t xml:space="preserve">7 </w:t>
      </w:r>
      <w:r w:rsidRPr="002C67BC">
        <w:rPr>
          <w:rFonts w:cs="Arial"/>
          <w:szCs w:val="24"/>
          <w:lang w:val="es-ES_tradnl"/>
        </w:rPr>
        <w:t xml:space="preserve">de </w:t>
      </w:r>
      <w:r w:rsidR="000D37BB" w:rsidRPr="002C67BC">
        <w:rPr>
          <w:rFonts w:cs="Arial"/>
          <w:szCs w:val="24"/>
          <w:lang w:val="es-ES_tradnl"/>
        </w:rPr>
        <w:t xml:space="preserve">octubre </w:t>
      </w:r>
      <w:r w:rsidRPr="002C67BC">
        <w:rPr>
          <w:rFonts w:cs="Arial"/>
          <w:szCs w:val="24"/>
          <w:lang w:val="es-ES_tradnl"/>
        </w:rPr>
        <w:t>de 2020.</w:t>
      </w:r>
    </w:p>
    <w:p w14:paraId="08F64FEC" w14:textId="77777777" w:rsidR="00FF272B" w:rsidRPr="002C67BC" w:rsidRDefault="00FF272B" w:rsidP="00FF272B">
      <w:pPr>
        <w:tabs>
          <w:tab w:val="left" w:pos="284"/>
          <w:tab w:val="left" w:pos="426"/>
          <w:tab w:val="left" w:pos="709"/>
        </w:tabs>
        <w:contextualSpacing/>
        <w:rPr>
          <w:rFonts w:cs="Arial"/>
          <w:szCs w:val="24"/>
          <w:lang w:val="es-ES"/>
        </w:rPr>
      </w:pPr>
    </w:p>
    <w:p w14:paraId="6CDDFB7B" w14:textId="676E3D34" w:rsidR="00F466B7" w:rsidRPr="002C67BC" w:rsidRDefault="00FF272B" w:rsidP="00FF272B">
      <w:pPr>
        <w:tabs>
          <w:tab w:val="left" w:pos="284"/>
          <w:tab w:val="left" w:pos="426"/>
          <w:tab w:val="left" w:pos="709"/>
        </w:tabs>
        <w:contextualSpacing/>
        <w:rPr>
          <w:rFonts w:cs="Arial"/>
          <w:szCs w:val="24"/>
          <w:lang w:val="es-ES_tradnl"/>
        </w:rPr>
      </w:pPr>
      <w:r w:rsidRPr="002C67BC">
        <w:rPr>
          <w:rFonts w:cs="Arial"/>
          <w:szCs w:val="24"/>
          <w:lang w:val="es-ES"/>
        </w:rPr>
        <w:t xml:space="preserve">13. </w:t>
      </w:r>
      <w:r w:rsidR="00F466B7" w:rsidRPr="002C67BC">
        <w:rPr>
          <w:rFonts w:cs="Arial"/>
          <w:szCs w:val="24"/>
          <w:lang w:val="es-ES_tradnl"/>
        </w:rPr>
        <w:t>Por lo anterior, consideró que este mecanismo de amparo fue presentado tiempo después del plazo razonable de seis meses, establecido por la jurisprudencia de la Corte Constitucional y de esta Corporación.</w:t>
      </w:r>
    </w:p>
    <w:p w14:paraId="0B2ED946" w14:textId="1F51FCB1" w:rsidR="00FF272B" w:rsidRPr="002C67BC" w:rsidRDefault="00FF272B" w:rsidP="00FF272B">
      <w:pPr>
        <w:tabs>
          <w:tab w:val="left" w:pos="284"/>
          <w:tab w:val="left" w:pos="426"/>
          <w:tab w:val="left" w:pos="709"/>
        </w:tabs>
        <w:contextualSpacing/>
        <w:rPr>
          <w:rFonts w:cs="Arial"/>
          <w:szCs w:val="24"/>
          <w:lang w:val="es-ES_tradnl"/>
        </w:rPr>
      </w:pPr>
    </w:p>
    <w:p w14:paraId="2757D6DD" w14:textId="7A3B8C11" w:rsidR="00FF272B" w:rsidRPr="002C67BC" w:rsidRDefault="00FF272B" w:rsidP="00FF272B">
      <w:pPr>
        <w:tabs>
          <w:tab w:val="left" w:pos="284"/>
          <w:tab w:val="left" w:pos="426"/>
          <w:tab w:val="left" w:pos="709"/>
        </w:tabs>
        <w:contextualSpacing/>
        <w:rPr>
          <w:rFonts w:cs="Arial"/>
          <w:szCs w:val="24"/>
          <w:lang w:val="es-ES_tradnl"/>
        </w:rPr>
      </w:pPr>
      <w:r w:rsidRPr="002C67BC">
        <w:rPr>
          <w:rFonts w:cs="Arial"/>
          <w:szCs w:val="24"/>
          <w:lang w:val="es-ES_tradnl"/>
        </w:rPr>
        <w:t>14. Adicionalmente, advirtió al actor que la acción de tutela no es un mecanismo judicial para revivir instancias y/o recursos dejados de utilizar o para permitir reabrir discusiones judiciales que por cambios jurisprudenciales dan viraje al análisis en el estudio del caso.</w:t>
      </w:r>
    </w:p>
    <w:p w14:paraId="59795F76" w14:textId="2050124D" w:rsidR="00FF272B" w:rsidRPr="002C67BC" w:rsidRDefault="00FF272B" w:rsidP="00FF272B">
      <w:pPr>
        <w:tabs>
          <w:tab w:val="left" w:pos="284"/>
          <w:tab w:val="left" w:pos="426"/>
          <w:tab w:val="left" w:pos="709"/>
        </w:tabs>
        <w:contextualSpacing/>
        <w:rPr>
          <w:rFonts w:cs="Arial"/>
          <w:szCs w:val="24"/>
          <w:lang w:val="es-ES_tradnl"/>
        </w:rPr>
      </w:pPr>
    </w:p>
    <w:p w14:paraId="3ADAE50C" w14:textId="302A378C" w:rsidR="00FF272B" w:rsidRPr="002C67BC" w:rsidRDefault="00FF272B" w:rsidP="00FF272B">
      <w:pPr>
        <w:tabs>
          <w:tab w:val="left" w:pos="284"/>
          <w:tab w:val="left" w:pos="426"/>
          <w:tab w:val="left" w:pos="709"/>
        </w:tabs>
        <w:contextualSpacing/>
        <w:rPr>
          <w:rFonts w:cs="Arial"/>
          <w:szCs w:val="24"/>
          <w:lang w:val="es-ES"/>
        </w:rPr>
      </w:pPr>
      <w:r w:rsidRPr="002C67BC">
        <w:rPr>
          <w:rFonts w:cs="Arial"/>
          <w:szCs w:val="24"/>
          <w:lang w:val="es-ES_tradnl"/>
        </w:rPr>
        <w:t>15. Afirmo que, aunque es cierto que a partir de la sentencia SU-424 de 2016, se habilitó la utilización del recurso extraordinario de revisión para casos en los que se discute la violación del debido proceso por omisión en el análisis de responsabilidad subjetiva en procesos de pérdida de investidura, dicha justificación del accionante, por la cual considera que</w:t>
      </w:r>
      <w:r w:rsidR="00587A8C" w:rsidRPr="002C67BC">
        <w:rPr>
          <w:rFonts w:cs="Arial"/>
          <w:szCs w:val="24"/>
          <w:lang w:val="es-ES_tradnl"/>
        </w:rPr>
        <w:t xml:space="preserve"> procede</w:t>
      </w:r>
      <w:r w:rsidRPr="002C67BC">
        <w:rPr>
          <w:rFonts w:cs="Arial"/>
          <w:szCs w:val="24"/>
          <w:lang w:val="es-ES_tradnl"/>
        </w:rPr>
        <w:t xml:space="preserve"> este mecanismo de amparo, no puede ser acogida puesto que la decisión cuestionada se encuentra amparada por el principio de la cosa juzgada y porque se adoptó con sujeción al criterio jurisprudencial en vigor.</w:t>
      </w:r>
    </w:p>
    <w:p w14:paraId="1B059B44" w14:textId="77777777" w:rsidR="00F466B7" w:rsidRPr="002C67BC" w:rsidRDefault="00F466B7" w:rsidP="00F466B7">
      <w:pPr>
        <w:tabs>
          <w:tab w:val="left" w:pos="284"/>
          <w:tab w:val="left" w:pos="426"/>
        </w:tabs>
        <w:contextualSpacing/>
        <w:rPr>
          <w:rFonts w:cs="Arial"/>
          <w:szCs w:val="24"/>
          <w:lang w:val="es-ES_tradnl"/>
        </w:rPr>
      </w:pPr>
    </w:p>
    <w:p w14:paraId="412243AA" w14:textId="77777777" w:rsidR="00F466B7" w:rsidRPr="002C67BC" w:rsidRDefault="00F466B7" w:rsidP="00F466B7">
      <w:pPr>
        <w:pStyle w:val="Ttulo2"/>
        <w:rPr>
          <w:lang w:val="es-ES"/>
        </w:rPr>
      </w:pPr>
      <w:r w:rsidRPr="002C67BC">
        <w:rPr>
          <w:lang w:val="es-ES"/>
        </w:rPr>
        <w:t xml:space="preserve">e.- Impugnación   </w:t>
      </w:r>
    </w:p>
    <w:p w14:paraId="5A8AA0EE" w14:textId="77777777" w:rsidR="00F466B7" w:rsidRPr="002C67BC" w:rsidRDefault="00F466B7" w:rsidP="00F466B7">
      <w:pPr>
        <w:pStyle w:val="Ttulo2"/>
        <w:rPr>
          <w:lang w:val="es-ES"/>
        </w:rPr>
      </w:pPr>
    </w:p>
    <w:p w14:paraId="737F5F57" w14:textId="7DE10EC6" w:rsidR="00F466B7" w:rsidRPr="002C67BC" w:rsidRDefault="00FF272B" w:rsidP="00885F29">
      <w:pPr>
        <w:tabs>
          <w:tab w:val="left" w:pos="284"/>
          <w:tab w:val="left" w:pos="426"/>
        </w:tabs>
        <w:contextualSpacing/>
        <w:rPr>
          <w:rFonts w:cs="Arial"/>
          <w:szCs w:val="24"/>
          <w:lang w:val="es-ES"/>
        </w:rPr>
      </w:pPr>
      <w:r w:rsidRPr="002C67BC">
        <w:rPr>
          <w:rFonts w:cs="Arial"/>
          <w:szCs w:val="24"/>
          <w:lang w:val="es-ES"/>
        </w:rPr>
        <w:t xml:space="preserve">16. El apoderado del </w:t>
      </w:r>
      <w:r w:rsidR="00F466B7" w:rsidRPr="002C67BC">
        <w:rPr>
          <w:rFonts w:cs="Arial"/>
          <w:szCs w:val="24"/>
          <w:lang w:val="es-ES"/>
        </w:rPr>
        <w:t>actor presentó impugnación</w:t>
      </w:r>
      <w:r w:rsidR="00F466B7" w:rsidRPr="002C67BC">
        <w:rPr>
          <w:rFonts w:cs="Arial"/>
          <w:szCs w:val="24"/>
          <w:lang w:val="es-ES_tradnl"/>
        </w:rPr>
        <w:t>. Para sustentar la contradicción al fallo manifestó que</w:t>
      </w:r>
      <w:r w:rsidRPr="002C67BC">
        <w:rPr>
          <w:rFonts w:cs="Arial"/>
          <w:szCs w:val="24"/>
          <w:lang w:val="es-ES_tradnl"/>
        </w:rPr>
        <w:t>,</w:t>
      </w:r>
      <w:r w:rsidR="00F466B7" w:rsidRPr="002C67BC">
        <w:rPr>
          <w:rFonts w:cs="Arial"/>
          <w:szCs w:val="24"/>
          <w:lang w:val="es-ES_tradnl"/>
        </w:rPr>
        <w:t xml:space="preserve"> </w:t>
      </w:r>
      <w:r w:rsidRPr="002C67BC">
        <w:rPr>
          <w:rFonts w:cs="Arial"/>
          <w:szCs w:val="24"/>
          <w:lang w:val="es-ES_tradnl"/>
        </w:rPr>
        <w:t xml:space="preserve">a diferencia de lo que planteó </w:t>
      </w:r>
      <w:r w:rsidR="00A51ABA" w:rsidRPr="002C67BC">
        <w:rPr>
          <w:rFonts w:cs="Arial"/>
          <w:szCs w:val="24"/>
          <w:lang w:val="es-ES_tradnl"/>
        </w:rPr>
        <w:t xml:space="preserve">el </w:t>
      </w:r>
      <w:r w:rsidR="00A51ABA" w:rsidRPr="002C67BC">
        <w:rPr>
          <w:rFonts w:cs="Arial"/>
          <w:i/>
          <w:iCs/>
          <w:szCs w:val="24"/>
          <w:lang w:val="es-ES_tradnl"/>
        </w:rPr>
        <w:t>a quo</w:t>
      </w:r>
      <w:r w:rsidRPr="002C67BC">
        <w:rPr>
          <w:rFonts w:cs="Arial"/>
          <w:szCs w:val="24"/>
          <w:lang w:val="es-ES_tradnl"/>
        </w:rPr>
        <w:t>,</w:t>
      </w:r>
      <w:r w:rsidR="00A51ABA" w:rsidRPr="002C67BC">
        <w:rPr>
          <w:rFonts w:cs="Arial"/>
          <w:szCs w:val="24"/>
          <w:lang w:val="es-ES_tradnl"/>
        </w:rPr>
        <w:t xml:space="preserve"> en </w:t>
      </w:r>
      <w:r w:rsidRPr="002C67BC">
        <w:rPr>
          <w:rFonts w:cs="Arial"/>
          <w:szCs w:val="24"/>
          <w:lang w:val="es-ES_tradnl"/>
        </w:rPr>
        <w:t xml:space="preserve">este caso </w:t>
      </w:r>
      <w:r w:rsidR="00A51ABA" w:rsidRPr="002C67BC">
        <w:rPr>
          <w:rFonts w:cs="Arial"/>
          <w:szCs w:val="24"/>
          <w:lang w:val="es-ES_tradnl"/>
        </w:rPr>
        <w:t>s</w:t>
      </w:r>
      <w:r w:rsidR="00D00E63" w:rsidRPr="002C67BC">
        <w:rPr>
          <w:rFonts w:cs="Arial"/>
          <w:szCs w:val="24"/>
          <w:lang w:val="es-ES_tradnl"/>
        </w:rPr>
        <w:t>í</w:t>
      </w:r>
      <w:r w:rsidR="00A51ABA" w:rsidRPr="002C67BC">
        <w:rPr>
          <w:rFonts w:cs="Arial"/>
          <w:szCs w:val="24"/>
          <w:lang w:val="es-ES_tradnl"/>
        </w:rPr>
        <w:t xml:space="preserve"> puede tenerse por cumplido el </w:t>
      </w:r>
      <w:r w:rsidRPr="002C67BC">
        <w:rPr>
          <w:rFonts w:cs="Arial"/>
          <w:szCs w:val="24"/>
          <w:lang w:val="es-ES_tradnl"/>
        </w:rPr>
        <w:t>principio de inmediatez</w:t>
      </w:r>
      <w:r w:rsidR="00D00E63" w:rsidRPr="002C67BC">
        <w:rPr>
          <w:rFonts w:cs="Arial"/>
          <w:szCs w:val="24"/>
          <w:lang w:val="es-ES_tradnl"/>
        </w:rPr>
        <w:t>,</w:t>
      </w:r>
      <w:r w:rsidR="00885F29" w:rsidRPr="002C67BC">
        <w:rPr>
          <w:rFonts w:cs="Arial"/>
          <w:szCs w:val="24"/>
          <w:lang w:val="es-ES_tradnl"/>
        </w:rPr>
        <w:t xml:space="preserve"> ante lo que consideró una vulneración permanente sumada a una situación desfavorable, contin</w:t>
      </w:r>
      <w:r w:rsidR="00D00E63" w:rsidRPr="002C67BC">
        <w:rPr>
          <w:rFonts w:cs="Arial"/>
          <w:szCs w:val="24"/>
          <w:lang w:val="es-ES_tradnl"/>
        </w:rPr>
        <w:t>u</w:t>
      </w:r>
      <w:r w:rsidR="00885F29" w:rsidRPr="002C67BC">
        <w:rPr>
          <w:rFonts w:cs="Arial"/>
          <w:szCs w:val="24"/>
          <w:lang w:val="es-ES_tradnl"/>
        </w:rPr>
        <w:t>a y actual, por los efectos de la pérdida de investidura que se impuso al actor y que le impiden acceder a cargos públicos de elección popular</w:t>
      </w:r>
      <w:r w:rsidR="00F466B7" w:rsidRPr="002C67BC">
        <w:rPr>
          <w:rFonts w:cs="Arial"/>
          <w:szCs w:val="24"/>
          <w:lang w:val="es-ES"/>
        </w:rPr>
        <w:t>.</w:t>
      </w:r>
    </w:p>
    <w:p w14:paraId="391BBF81" w14:textId="788E943F" w:rsidR="00235C2C" w:rsidRPr="002C67BC" w:rsidRDefault="00235C2C" w:rsidP="00885F29">
      <w:pPr>
        <w:tabs>
          <w:tab w:val="left" w:pos="284"/>
          <w:tab w:val="left" w:pos="426"/>
        </w:tabs>
        <w:contextualSpacing/>
        <w:rPr>
          <w:rFonts w:cs="Arial"/>
          <w:szCs w:val="24"/>
          <w:lang w:val="es-ES"/>
        </w:rPr>
      </w:pPr>
    </w:p>
    <w:p w14:paraId="10DA33AB" w14:textId="7A5BD79A" w:rsidR="00235C2C" w:rsidRPr="002C67BC" w:rsidRDefault="00235C2C" w:rsidP="00885F29">
      <w:pPr>
        <w:tabs>
          <w:tab w:val="left" w:pos="284"/>
          <w:tab w:val="left" w:pos="426"/>
        </w:tabs>
        <w:contextualSpacing/>
        <w:rPr>
          <w:rFonts w:cs="Arial"/>
          <w:szCs w:val="24"/>
          <w:lang w:val="es-ES"/>
        </w:rPr>
      </w:pPr>
      <w:r w:rsidRPr="002C67BC">
        <w:rPr>
          <w:rFonts w:cs="Arial"/>
          <w:szCs w:val="24"/>
          <w:lang w:val="es-ES"/>
        </w:rPr>
        <w:t>17. En lo demás, manifestó reiterar los planteamientos del escrito de tutela, relacionados con la configuración de un defecto sustantivo que torna procedente acceder a la solicitud de amparo.</w:t>
      </w:r>
    </w:p>
    <w:p w14:paraId="3F230CE4" w14:textId="77777777" w:rsidR="00F466B7" w:rsidRPr="002C67BC" w:rsidRDefault="00F466B7" w:rsidP="00F466B7">
      <w:pPr>
        <w:tabs>
          <w:tab w:val="left" w:pos="284"/>
          <w:tab w:val="left" w:pos="426"/>
        </w:tabs>
        <w:contextualSpacing/>
        <w:rPr>
          <w:rFonts w:cs="Arial"/>
          <w:szCs w:val="24"/>
          <w:lang w:val="es-ES_tradnl"/>
        </w:rPr>
      </w:pPr>
    </w:p>
    <w:p w14:paraId="0D6304C7" w14:textId="27FE65DD" w:rsidR="006A17FC" w:rsidRPr="002C67BC" w:rsidRDefault="006A17FC" w:rsidP="00F466B7">
      <w:pPr>
        <w:pStyle w:val="Ttulo1"/>
        <w:spacing w:before="0"/>
        <w:rPr>
          <w:lang w:val="es-ES_tradnl"/>
        </w:rPr>
      </w:pPr>
      <w:r w:rsidRPr="002C67BC">
        <w:rPr>
          <w:lang w:val="es-ES_tradnl"/>
        </w:rPr>
        <w:lastRenderedPageBreak/>
        <w:t>II. CONSIDERACIONES</w:t>
      </w:r>
    </w:p>
    <w:p w14:paraId="2ABB09CE" w14:textId="77777777" w:rsidR="00A12F25" w:rsidRPr="002C67BC" w:rsidRDefault="00A12F25" w:rsidP="00F466B7">
      <w:pPr>
        <w:pStyle w:val="Ttulo2"/>
        <w:rPr>
          <w:lang w:val="es-ES_tradnl"/>
        </w:rPr>
      </w:pPr>
      <w:r w:rsidRPr="002C67BC">
        <w:rPr>
          <w:lang w:val="es-ES_tradnl"/>
        </w:rPr>
        <w:t>a.- Competencia</w:t>
      </w:r>
    </w:p>
    <w:p w14:paraId="1A0E0137" w14:textId="77777777" w:rsidR="00235C2C" w:rsidRPr="002C67BC" w:rsidRDefault="00235C2C" w:rsidP="00235C2C">
      <w:pPr>
        <w:tabs>
          <w:tab w:val="left" w:pos="284"/>
          <w:tab w:val="left" w:pos="426"/>
        </w:tabs>
        <w:contextualSpacing/>
        <w:rPr>
          <w:rFonts w:eastAsia="Verdana" w:cs="Arial"/>
          <w:szCs w:val="24"/>
          <w:lang w:val="es-ES_tradnl"/>
        </w:rPr>
      </w:pPr>
    </w:p>
    <w:p w14:paraId="4EE09E27" w14:textId="4658D520" w:rsidR="00A12F25" w:rsidRPr="002C67BC" w:rsidRDefault="00235C2C" w:rsidP="00235C2C">
      <w:pPr>
        <w:tabs>
          <w:tab w:val="left" w:pos="284"/>
          <w:tab w:val="left" w:pos="426"/>
        </w:tabs>
        <w:contextualSpacing/>
        <w:rPr>
          <w:rFonts w:cs="Arial"/>
          <w:shd w:val="clear" w:color="auto" w:fill="FFFFFF"/>
          <w:lang w:eastAsia="es-CO"/>
        </w:rPr>
      </w:pPr>
      <w:r w:rsidRPr="002C67BC">
        <w:rPr>
          <w:rFonts w:eastAsia="Verdana" w:cs="Arial"/>
          <w:szCs w:val="24"/>
          <w:lang w:val="es-ES_tradnl"/>
        </w:rPr>
        <w:t xml:space="preserve">18. </w:t>
      </w:r>
      <w:r w:rsidRPr="002C67BC">
        <w:rPr>
          <w:rFonts w:cs="Arial"/>
          <w:szCs w:val="24"/>
          <w:lang w:val="es-ES"/>
        </w:rPr>
        <w:t>Esta Sala es competente para conocer de la impugnación del fallo de tutela</w:t>
      </w:r>
      <w:r w:rsidRPr="002C67BC">
        <w:rPr>
          <w:rFonts w:cs="Arial"/>
          <w:lang w:val="es-ES" w:eastAsia="es-CO"/>
        </w:rPr>
        <w:t xml:space="preserve">, </w:t>
      </w:r>
      <w:r w:rsidRPr="002C67BC">
        <w:rPr>
          <w:rFonts w:cs="Arial"/>
          <w:bCs/>
          <w:lang w:val="es-ES" w:eastAsia="x-none"/>
        </w:rPr>
        <w:t>de conformidad con lo establecido en los Decretos 2591 de 1991, 1069 de 2015</w:t>
      </w:r>
      <w:r w:rsidR="000D37BB" w:rsidRPr="002C67BC">
        <w:rPr>
          <w:rFonts w:cs="Arial"/>
          <w:bCs/>
          <w:lang w:val="es-ES" w:eastAsia="x-none"/>
        </w:rPr>
        <w:t>,</w:t>
      </w:r>
      <w:r w:rsidRPr="002C67BC">
        <w:rPr>
          <w:rFonts w:cs="Arial"/>
          <w:bCs/>
          <w:lang w:val="es-ES" w:eastAsia="x-none"/>
        </w:rPr>
        <w:t xml:space="preserve"> 1983 de 2017</w:t>
      </w:r>
      <w:r w:rsidR="000D37BB" w:rsidRPr="002C67BC">
        <w:rPr>
          <w:rFonts w:cs="Arial"/>
          <w:bCs/>
          <w:lang w:val="es-ES" w:eastAsia="x-none"/>
        </w:rPr>
        <w:t xml:space="preserve"> y 333 de 2021</w:t>
      </w:r>
      <w:r w:rsidRPr="002C67BC">
        <w:rPr>
          <w:rFonts w:cs="Arial"/>
          <w:bCs/>
          <w:lang w:val="es-ES" w:eastAsia="x-none"/>
        </w:rPr>
        <w:t>, así como lo previsto en el Acuerdo 80 de 2019 de la Sala Plena de esta Corporación</w:t>
      </w:r>
      <w:r w:rsidRPr="002C67BC">
        <w:rPr>
          <w:rFonts w:cs="Arial"/>
          <w:shd w:val="clear" w:color="auto" w:fill="FFFFFF"/>
          <w:lang w:val="es-ES" w:eastAsia="es-CO"/>
        </w:rPr>
        <w:t>.</w:t>
      </w:r>
    </w:p>
    <w:p w14:paraId="69C6970A" w14:textId="029D4DBA" w:rsidR="00357932" w:rsidRPr="002C67BC" w:rsidRDefault="00357932" w:rsidP="00357932">
      <w:pPr>
        <w:tabs>
          <w:tab w:val="left" w:pos="284"/>
          <w:tab w:val="left" w:pos="426"/>
        </w:tabs>
        <w:contextualSpacing/>
        <w:rPr>
          <w:rFonts w:cs="Arial"/>
          <w:szCs w:val="24"/>
          <w:u w:color="000000"/>
          <w:shd w:val="clear" w:color="auto" w:fill="FFFFFF"/>
          <w:lang w:eastAsia="es-CO"/>
        </w:rPr>
      </w:pPr>
    </w:p>
    <w:p w14:paraId="67BB8C0B" w14:textId="4C00F2F4" w:rsidR="00357932" w:rsidRPr="002C67BC" w:rsidRDefault="00357932" w:rsidP="00357932">
      <w:pPr>
        <w:tabs>
          <w:tab w:val="left" w:pos="284"/>
          <w:tab w:val="left" w:pos="426"/>
        </w:tabs>
        <w:contextualSpacing/>
        <w:rPr>
          <w:b/>
          <w:bCs/>
          <w:lang w:val="es-ES_tradnl"/>
        </w:rPr>
      </w:pPr>
      <w:r w:rsidRPr="002C67BC">
        <w:rPr>
          <w:b/>
          <w:bCs/>
          <w:lang w:val="es-ES"/>
        </w:rPr>
        <w:t>b.</w:t>
      </w:r>
      <w:r w:rsidRPr="002C67BC">
        <w:rPr>
          <w:b/>
          <w:bCs/>
          <w:lang w:val="es-ES_tradnl"/>
        </w:rPr>
        <w:t xml:space="preserve">- </w:t>
      </w:r>
      <w:r w:rsidR="00332922" w:rsidRPr="002C67BC">
        <w:rPr>
          <w:b/>
          <w:bCs/>
          <w:lang w:val="es-ES_tradnl"/>
        </w:rPr>
        <w:t>Problema jurídico</w:t>
      </w:r>
    </w:p>
    <w:p w14:paraId="43161CD2" w14:textId="77777777" w:rsidR="00235C2C" w:rsidRPr="002C67BC" w:rsidRDefault="00235C2C" w:rsidP="00235C2C">
      <w:pPr>
        <w:tabs>
          <w:tab w:val="left" w:pos="284"/>
          <w:tab w:val="left" w:pos="426"/>
        </w:tabs>
        <w:contextualSpacing/>
        <w:rPr>
          <w:lang w:val="es-ES_tradnl"/>
        </w:rPr>
      </w:pPr>
    </w:p>
    <w:p w14:paraId="0C358E7F" w14:textId="52250CED" w:rsidR="008A2B2A" w:rsidRPr="002C67BC" w:rsidRDefault="00235C2C" w:rsidP="00235C2C">
      <w:pPr>
        <w:tabs>
          <w:tab w:val="left" w:pos="284"/>
          <w:tab w:val="left" w:pos="426"/>
        </w:tabs>
        <w:contextualSpacing/>
        <w:rPr>
          <w:rFonts w:eastAsia="Verdana"/>
          <w:lang w:eastAsia="es-CO"/>
        </w:rPr>
      </w:pPr>
      <w:r w:rsidRPr="002C67BC">
        <w:rPr>
          <w:lang w:val="es-ES_tradnl"/>
        </w:rPr>
        <w:t xml:space="preserve">19. </w:t>
      </w:r>
      <w:r w:rsidRPr="002C67BC">
        <w:rPr>
          <w:rFonts w:eastAsia="Times New Roman" w:cs="Arial"/>
          <w:szCs w:val="24"/>
          <w:lang w:eastAsia="es-ES"/>
        </w:rPr>
        <w:t xml:space="preserve">De conformidad con las circunstancias que motivaron la presente acción de tutela y los argumentos de la impugnación, corresponde a la Sala determinar si revoca o confirma la providencia de </w:t>
      </w:r>
      <w:r w:rsidR="000D37BB" w:rsidRPr="002C67BC">
        <w:rPr>
          <w:rFonts w:eastAsia="Batang" w:cs="Arial"/>
          <w:szCs w:val="24"/>
        </w:rPr>
        <w:t xml:space="preserve">15 </w:t>
      </w:r>
      <w:r w:rsidRPr="002C67BC">
        <w:rPr>
          <w:rFonts w:eastAsia="Batang" w:cs="Arial"/>
          <w:szCs w:val="24"/>
        </w:rPr>
        <w:t xml:space="preserve">de </w:t>
      </w:r>
      <w:r w:rsidR="000D37BB" w:rsidRPr="002C67BC">
        <w:rPr>
          <w:rFonts w:eastAsia="Batang" w:cs="Arial"/>
          <w:szCs w:val="24"/>
        </w:rPr>
        <w:t xml:space="preserve">febrero </w:t>
      </w:r>
      <w:r w:rsidRPr="002C67BC">
        <w:rPr>
          <w:rFonts w:eastAsia="Batang" w:cs="Arial"/>
          <w:szCs w:val="24"/>
        </w:rPr>
        <w:t>de 202</w:t>
      </w:r>
      <w:r w:rsidR="000D37BB" w:rsidRPr="002C67BC">
        <w:rPr>
          <w:rFonts w:eastAsia="Batang" w:cs="Arial"/>
          <w:szCs w:val="24"/>
        </w:rPr>
        <w:t xml:space="preserve">1 </w:t>
      </w:r>
      <w:r w:rsidRPr="002C67BC">
        <w:rPr>
          <w:rFonts w:eastAsia="Times New Roman" w:cs="Arial"/>
          <w:szCs w:val="24"/>
          <w:lang w:eastAsia="es-ES"/>
        </w:rPr>
        <w:t>que declaró improcedente la acción de tutela</w:t>
      </w:r>
      <w:r w:rsidR="00D84CEF" w:rsidRPr="002C67BC">
        <w:rPr>
          <w:rFonts w:eastAsia="Times New Roman" w:cs="Arial"/>
          <w:szCs w:val="24"/>
          <w:lang w:eastAsia="es-ES"/>
        </w:rPr>
        <w:t xml:space="preserve"> por incumplimiento del requisito de inmediatez</w:t>
      </w:r>
      <w:r w:rsidRPr="002C67BC">
        <w:rPr>
          <w:rFonts w:eastAsia="Times New Roman" w:cs="Arial"/>
          <w:szCs w:val="24"/>
          <w:lang w:eastAsia="es-ES"/>
        </w:rPr>
        <w:t>. Para ello, se deberá establecer, en primer término, si el mecanismo de amparo cumplió o no con ese requisito general de procedibilidad contra providencias judiciales.</w:t>
      </w:r>
    </w:p>
    <w:p w14:paraId="292BA956" w14:textId="77777777" w:rsidR="008A2B2A" w:rsidRPr="002C67BC" w:rsidRDefault="008A2B2A" w:rsidP="008A2B2A">
      <w:pPr>
        <w:tabs>
          <w:tab w:val="left" w:pos="284"/>
          <w:tab w:val="left" w:pos="426"/>
        </w:tabs>
        <w:contextualSpacing/>
        <w:rPr>
          <w:rFonts w:eastAsia="Verdana"/>
          <w:lang w:eastAsia="es-CO"/>
        </w:rPr>
      </w:pPr>
    </w:p>
    <w:p w14:paraId="5AC6D5BF" w14:textId="77777777" w:rsidR="008A2B2A" w:rsidRPr="002C67BC" w:rsidRDefault="008A2B2A" w:rsidP="008A2B2A">
      <w:pPr>
        <w:tabs>
          <w:tab w:val="left" w:pos="284"/>
          <w:tab w:val="left" w:pos="426"/>
        </w:tabs>
        <w:contextualSpacing/>
        <w:rPr>
          <w:rFonts w:eastAsia="Verdana"/>
          <w:b/>
          <w:bCs/>
          <w:lang w:eastAsia="es-CO"/>
        </w:rPr>
      </w:pPr>
      <w:r w:rsidRPr="002C67BC">
        <w:rPr>
          <w:rFonts w:eastAsia="Verdana"/>
          <w:b/>
          <w:bCs/>
          <w:lang w:eastAsia="es-CO"/>
        </w:rPr>
        <w:t xml:space="preserve">c.- </w:t>
      </w:r>
      <w:r w:rsidR="00ED1AF4" w:rsidRPr="002C67BC">
        <w:rPr>
          <w:rFonts w:eastAsia="Verdana"/>
          <w:b/>
          <w:bCs/>
          <w:lang w:eastAsia="es-CO"/>
        </w:rPr>
        <w:t>Requisito de inmediatez como presupuesto general de procedencia de la acción de tutela contra providencias judiciales</w:t>
      </w:r>
    </w:p>
    <w:p w14:paraId="1CBFDD27" w14:textId="77777777" w:rsidR="008A2B2A" w:rsidRPr="002C67BC" w:rsidRDefault="008A2B2A" w:rsidP="008A2B2A">
      <w:pPr>
        <w:tabs>
          <w:tab w:val="left" w:pos="284"/>
          <w:tab w:val="left" w:pos="426"/>
        </w:tabs>
        <w:contextualSpacing/>
        <w:rPr>
          <w:rFonts w:eastAsia="Verdana"/>
          <w:b/>
          <w:bCs/>
          <w:lang w:eastAsia="es-CO"/>
        </w:rPr>
      </w:pPr>
    </w:p>
    <w:p w14:paraId="56DF1F10" w14:textId="3F36EE67" w:rsidR="008A2B2A" w:rsidRPr="002C67BC" w:rsidRDefault="00D84CEF" w:rsidP="008A2B2A">
      <w:pPr>
        <w:tabs>
          <w:tab w:val="left" w:pos="284"/>
          <w:tab w:val="left" w:pos="426"/>
        </w:tabs>
        <w:contextualSpacing/>
        <w:rPr>
          <w:rFonts w:eastAsia="Verdana"/>
          <w:bCs/>
          <w:lang w:eastAsia="es-CO"/>
        </w:rPr>
      </w:pPr>
      <w:r w:rsidRPr="002C67BC">
        <w:rPr>
          <w:rFonts w:eastAsia="Verdana"/>
          <w:bCs/>
          <w:lang w:eastAsia="es-CO"/>
        </w:rPr>
        <w:t>20</w:t>
      </w:r>
      <w:r w:rsidR="00ED1AF4" w:rsidRPr="002C67BC">
        <w:rPr>
          <w:rFonts w:eastAsia="Verdana"/>
          <w:bCs/>
          <w:lang w:eastAsia="es-CO"/>
        </w:rPr>
        <w:t>. El artículo 86 de la Constitución Política establece que “</w:t>
      </w:r>
      <w:r w:rsidR="00ED1AF4" w:rsidRPr="002C67BC">
        <w:rPr>
          <w:rFonts w:eastAsia="Verdana"/>
          <w:i/>
          <w:iCs/>
          <w:lang w:eastAsia="es-CO"/>
        </w:rPr>
        <w:t>toda persona tendrá acción de tutela para reclamar ante los jueces, en todo momento y lugar, mediante un procedimiento preferente y sumario, por sí misma o por quien actúe a su nombre, la protección inmediata de sus derechos constitucionales fundamentales</w:t>
      </w:r>
      <w:r w:rsidR="00ED1AF4" w:rsidRPr="002C67BC">
        <w:rPr>
          <w:rFonts w:eastAsia="Verdana"/>
          <w:lang w:eastAsia="es-CO"/>
        </w:rPr>
        <w:t>”. Ahora bien, aun cuando la Carta Política hace uso de la expresión “</w:t>
      </w:r>
      <w:r w:rsidR="00ED1AF4" w:rsidRPr="002C67BC">
        <w:rPr>
          <w:rFonts w:eastAsia="Verdana"/>
          <w:i/>
          <w:iCs/>
          <w:lang w:eastAsia="es-CO"/>
        </w:rPr>
        <w:t>en todo momento y lugar</w:t>
      </w:r>
      <w:r w:rsidR="00ED1AF4" w:rsidRPr="002C67BC">
        <w:rPr>
          <w:rFonts w:eastAsia="Verdana"/>
          <w:bCs/>
          <w:lang w:eastAsia="es-CO"/>
        </w:rPr>
        <w:t>”, lo que podría dar a entender que la acción de amparo puede solicitarse en cualquier tiempo, sin importar la urgencia, ni la relevancia de los derechos vulnerados, lo único cierto es que se trata de un requisito que se debe valorar en cada caso concreto.</w:t>
      </w:r>
    </w:p>
    <w:p w14:paraId="4646ADDF" w14:textId="77777777" w:rsidR="008A2B2A" w:rsidRPr="002C67BC" w:rsidRDefault="008A2B2A" w:rsidP="008A2B2A">
      <w:pPr>
        <w:tabs>
          <w:tab w:val="left" w:pos="284"/>
          <w:tab w:val="left" w:pos="426"/>
        </w:tabs>
        <w:contextualSpacing/>
        <w:rPr>
          <w:rFonts w:eastAsia="Verdana"/>
          <w:bCs/>
          <w:lang w:eastAsia="es-CO"/>
        </w:rPr>
      </w:pPr>
    </w:p>
    <w:p w14:paraId="71446817" w14:textId="4099DE82" w:rsidR="008A2B2A" w:rsidRPr="002C67BC" w:rsidRDefault="00D84CEF" w:rsidP="008A2B2A">
      <w:pPr>
        <w:tabs>
          <w:tab w:val="left" w:pos="284"/>
          <w:tab w:val="left" w:pos="426"/>
        </w:tabs>
        <w:contextualSpacing/>
        <w:rPr>
          <w:rFonts w:eastAsia="Verdana"/>
          <w:bCs/>
          <w:lang w:eastAsia="es-CO"/>
        </w:rPr>
      </w:pPr>
      <w:r w:rsidRPr="002C67BC">
        <w:rPr>
          <w:rFonts w:eastAsia="Verdana"/>
          <w:bCs/>
          <w:lang w:eastAsia="es-CO"/>
        </w:rPr>
        <w:t>21</w:t>
      </w:r>
      <w:r w:rsidR="00ED1AF4" w:rsidRPr="002C67BC">
        <w:rPr>
          <w:rFonts w:eastAsia="Verdana"/>
          <w:bCs/>
          <w:lang w:eastAsia="es-CO"/>
        </w:rPr>
        <w:t xml:space="preserve">. Sin embargo, la Corte Constitucional  ha señalado que si bien no es posible establecer un término de caducidad que limite el ejercicio de la acción de la tutela, esta no puede </w:t>
      </w:r>
      <w:r w:rsidR="00ED1AF4" w:rsidRPr="002C67BC">
        <w:rPr>
          <w:rFonts w:eastAsia="Verdana"/>
          <w:bCs/>
          <w:lang w:eastAsia="es-CO"/>
        </w:rPr>
        <w:lastRenderedPageBreak/>
        <w:t>presentarse en cualquier tiempo y, por lo tanto, debe existir un término razonable entre la ocurrencia de la vulneración o puesta en riesgo de los derechos fundamentales del actor y la presentación de la demanda, en la medida en que la naturaleza misma de este medio de defensa judicial no solo tiene que ver con la urgencia en la protección de las garantías constitucionales de una persona, sino también con el respeto de la seguridad jurídica y de los derechos de los terceros afectados.</w:t>
      </w:r>
    </w:p>
    <w:p w14:paraId="6985261C" w14:textId="77777777" w:rsidR="008A2B2A" w:rsidRPr="002C67BC" w:rsidRDefault="008A2B2A" w:rsidP="008A2B2A">
      <w:pPr>
        <w:tabs>
          <w:tab w:val="left" w:pos="284"/>
          <w:tab w:val="left" w:pos="426"/>
        </w:tabs>
        <w:contextualSpacing/>
        <w:rPr>
          <w:rFonts w:eastAsia="Verdana"/>
          <w:bCs/>
          <w:lang w:eastAsia="es-CO"/>
        </w:rPr>
      </w:pPr>
    </w:p>
    <w:p w14:paraId="183C991B" w14:textId="77777777" w:rsidR="00D84CEF" w:rsidRPr="002C67BC" w:rsidRDefault="00D84CEF" w:rsidP="00D84CEF">
      <w:pPr>
        <w:tabs>
          <w:tab w:val="left" w:pos="284"/>
          <w:tab w:val="left" w:pos="426"/>
        </w:tabs>
        <w:contextualSpacing/>
        <w:rPr>
          <w:rFonts w:eastAsia="Verdana"/>
          <w:bCs/>
          <w:lang w:eastAsia="es-CO"/>
        </w:rPr>
      </w:pPr>
      <w:r w:rsidRPr="002C67BC">
        <w:rPr>
          <w:rFonts w:eastAsia="Verdana"/>
          <w:bCs/>
          <w:lang w:eastAsia="es-CO"/>
        </w:rPr>
        <w:t>22</w:t>
      </w:r>
      <w:r w:rsidR="00ED1AF4" w:rsidRPr="002C67BC">
        <w:rPr>
          <w:rFonts w:eastAsia="Verdana"/>
          <w:bCs/>
          <w:lang w:eastAsia="es-CO"/>
        </w:rPr>
        <w:t xml:space="preserve">. En este orden de ideas, la inmediatez es más bien una condición que busca que la acción se presente en un plazo razonable contado desde el momento en que se tuvo conocimiento de la violación o amenaza de los derechos fundamentales y no un término de caducidad. </w:t>
      </w:r>
    </w:p>
    <w:p w14:paraId="59E1F13D" w14:textId="77777777" w:rsidR="00D84CEF" w:rsidRPr="002C67BC" w:rsidRDefault="00D84CEF" w:rsidP="00D84CEF">
      <w:pPr>
        <w:tabs>
          <w:tab w:val="left" w:pos="284"/>
          <w:tab w:val="left" w:pos="426"/>
        </w:tabs>
        <w:contextualSpacing/>
        <w:rPr>
          <w:rFonts w:eastAsia="Verdana"/>
          <w:bCs/>
          <w:lang w:eastAsia="es-CO"/>
        </w:rPr>
      </w:pPr>
    </w:p>
    <w:p w14:paraId="22F70BF0" w14:textId="77777777" w:rsidR="00D84CEF" w:rsidRPr="002C67BC" w:rsidRDefault="00D84CEF" w:rsidP="00D84CEF">
      <w:pPr>
        <w:tabs>
          <w:tab w:val="left" w:pos="284"/>
          <w:tab w:val="left" w:pos="426"/>
        </w:tabs>
        <w:contextualSpacing/>
        <w:rPr>
          <w:rFonts w:eastAsia="Verdana"/>
          <w:bCs/>
          <w:lang w:eastAsia="es-CO"/>
        </w:rPr>
      </w:pPr>
      <w:r w:rsidRPr="002C67BC">
        <w:rPr>
          <w:rFonts w:eastAsia="Verdana"/>
          <w:bCs/>
          <w:lang w:eastAsia="es-CO"/>
        </w:rPr>
        <w:t>23</w:t>
      </w:r>
      <w:r w:rsidR="00ED1AF4" w:rsidRPr="002C67BC">
        <w:rPr>
          <w:rFonts w:eastAsia="Verdana"/>
          <w:bCs/>
          <w:lang w:eastAsia="es-CO"/>
        </w:rPr>
        <w:t>. Justamente, porque la acción de tutela es un medio excepcional para la protección pronta y eficaz es que se requiere que se ejerza en un tiempo prudencial. Por ello, el presupuesto de la inmediatez constituye un requisito para habilitar el estudio de fondo de la acción de tutela, pues se evita “</w:t>
      </w:r>
      <w:r w:rsidR="00ED1AF4" w:rsidRPr="002C67BC">
        <w:rPr>
          <w:rFonts w:eastAsia="Verdana"/>
          <w:bCs/>
          <w:i/>
          <w:iCs/>
          <w:lang w:eastAsia="es-CO"/>
        </w:rPr>
        <w:t>el uso de este mecanismo constitucional como herramienta que consienta la negligencia o indiferencia de los actores, o que propicie la inseguridad jurídica</w:t>
      </w:r>
      <w:r w:rsidR="007E2CFA" w:rsidRPr="002C67BC">
        <w:rPr>
          <w:rStyle w:val="Refdenotaalpie"/>
          <w:rFonts w:eastAsia="Verdana"/>
          <w:bCs/>
          <w:i/>
          <w:iCs/>
          <w:lang w:eastAsia="es-CO"/>
        </w:rPr>
        <w:footnoteReference w:id="1"/>
      </w:r>
      <w:r w:rsidR="00ED1AF4" w:rsidRPr="002C67BC">
        <w:rPr>
          <w:rFonts w:eastAsia="Verdana"/>
          <w:bCs/>
          <w:i/>
          <w:iCs/>
          <w:lang w:eastAsia="es-CO"/>
        </w:rPr>
        <w:t>”</w:t>
      </w:r>
      <w:r w:rsidR="00ED1AF4" w:rsidRPr="002C67BC">
        <w:rPr>
          <w:rFonts w:eastAsia="Verdana"/>
          <w:bCs/>
          <w:lang w:eastAsia="es-CO"/>
        </w:rPr>
        <w:t>.</w:t>
      </w:r>
    </w:p>
    <w:p w14:paraId="45EF3956" w14:textId="77777777" w:rsidR="00D84CEF" w:rsidRPr="002C67BC" w:rsidRDefault="00D84CEF" w:rsidP="00D84CEF">
      <w:pPr>
        <w:tabs>
          <w:tab w:val="left" w:pos="284"/>
          <w:tab w:val="left" w:pos="426"/>
        </w:tabs>
        <w:contextualSpacing/>
        <w:rPr>
          <w:rFonts w:eastAsia="Verdana"/>
          <w:bCs/>
          <w:lang w:eastAsia="es-CO"/>
        </w:rPr>
      </w:pPr>
    </w:p>
    <w:p w14:paraId="52544F98" w14:textId="77777777" w:rsidR="00D84CEF" w:rsidRPr="002C67BC" w:rsidRDefault="00D84CEF" w:rsidP="00D84CEF">
      <w:pPr>
        <w:tabs>
          <w:tab w:val="left" w:pos="284"/>
          <w:tab w:val="left" w:pos="426"/>
        </w:tabs>
        <w:contextualSpacing/>
        <w:rPr>
          <w:rFonts w:eastAsia="Verdana"/>
          <w:bCs/>
          <w:lang w:eastAsia="es-CO"/>
        </w:rPr>
      </w:pPr>
      <w:r w:rsidRPr="002C67BC">
        <w:rPr>
          <w:rFonts w:eastAsia="Verdana"/>
          <w:bCs/>
          <w:lang w:eastAsia="es-CO"/>
        </w:rPr>
        <w:t>24</w:t>
      </w:r>
      <w:r w:rsidR="00ED1AF4" w:rsidRPr="002C67BC">
        <w:rPr>
          <w:rFonts w:eastAsia="Verdana"/>
          <w:bCs/>
          <w:lang w:eastAsia="es-CO"/>
        </w:rPr>
        <w:t xml:space="preserve">. La jurisprudencia constitucional ha identificado cinco criterios orientadores para que el juez de tutela pueda determinar, en cada caso, si se ha cumplido con el requisito de la inmediatez. Tales criterios se precisaron en la sentencia SU-391 de 2016, así: </w:t>
      </w:r>
    </w:p>
    <w:p w14:paraId="13911EF4" w14:textId="77777777" w:rsidR="00D84CEF" w:rsidRPr="002C67BC" w:rsidRDefault="00D84CEF" w:rsidP="00D84CEF">
      <w:pPr>
        <w:tabs>
          <w:tab w:val="left" w:pos="284"/>
          <w:tab w:val="left" w:pos="426"/>
        </w:tabs>
        <w:contextualSpacing/>
        <w:rPr>
          <w:rFonts w:eastAsia="Verdana"/>
          <w:bCs/>
          <w:lang w:eastAsia="es-CO"/>
        </w:rPr>
      </w:pPr>
    </w:p>
    <w:p w14:paraId="11AACD61" w14:textId="077E4E5E" w:rsidR="00ED1AF4" w:rsidRPr="002C67BC" w:rsidRDefault="00ED1AF4" w:rsidP="00D84CEF">
      <w:pPr>
        <w:tabs>
          <w:tab w:val="left" w:pos="284"/>
          <w:tab w:val="left" w:pos="426"/>
        </w:tabs>
        <w:spacing w:line="240" w:lineRule="auto"/>
        <w:ind w:left="850" w:right="850"/>
        <w:contextualSpacing/>
        <w:rPr>
          <w:rFonts w:eastAsia="Verdana"/>
          <w:b/>
          <w:bCs/>
          <w:lang w:eastAsia="es-CO"/>
        </w:rPr>
      </w:pPr>
      <w:r w:rsidRPr="002C67BC">
        <w:rPr>
          <w:rFonts w:eastAsia="Verdana"/>
          <w:bCs/>
          <w:i/>
          <w:iCs/>
          <w:sz w:val="22"/>
          <w:szCs w:val="24"/>
          <w:lang w:eastAsia="es-CO"/>
        </w:rPr>
        <w:t xml:space="preserve">(i) La situación personal del peticionario: debe analizarse la situación personal del peticionario, pues en determinados casos esta hace desproporcionada la exigencia de presentar la acción de tutela en un término breve; (ii) El momento en el que se produce la vulneración: pueden existir casos de vulneraciones permanentes a los derechos fundamentales. En estos casos, para analizar la inmediatez el juez de tutela no debe contar el término desde el momento en el que la vulneración o amenaza inició hasta la fecha de presentación de la tutela, sino que debe tomar en cuenta el tiempo por el que esta se prolongó; (iii) La naturaleza de la vulneración: existen casos donde se presenta un nexo causal entre el ejercicio inoportuno de la acción de tutela y la vulneración de los </w:t>
      </w:r>
      <w:r w:rsidRPr="002C67BC">
        <w:rPr>
          <w:rFonts w:eastAsia="Verdana"/>
          <w:bCs/>
          <w:i/>
          <w:iCs/>
          <w:sz w:val="22"/>
          <w:szCs w:val="24"/>
          <w:lang w:eastAsia="es-CO"/>
        </w:rPr>
        <w:lastRenderedPageBreak/>
        <w:t xml:space="preserve">derechos de los interesados. De acuerdo con este criterio, el juez debe analizar si la demora en la presentación de la tutela guarda relación con la situación de vulneración de derechos fundamentales que alega el peticionario; (iv) La actuación contra la que se dirige la tutela: la jurisprudencia constitucional ha señalado que el análisis de la inmediatez puede variar dependiendo de la actuación que se identifica como </w:t>
      </w:r>
      <w:proofErr w:type="spellStart"/>
      <w:r w:rsidRPr="002C67BC">
        <w:rPr>
          <w:rFonts w:eastAsia="Verdana"/>
          <w:bCs/>
          <w:i/>
          <w:iCs/>
          <w:sz w:val="22"/>
          <w:szCs w:val="24"/>
          <w:lang w:eastAsia="es-CO"/>
        </w:rPr>
        <w:t>vulneratoria</w:t>
      </w:r>
      <w:proofErr w:type="spellEnd"/>
      <w:r w:rsidRPr="002C67BC">
        <w:rPr>
          <w:rFonts w:eastAsia="Verdana"/>
          <w:bCs/>
          <w:i/>
          <w:iCs/>
          <w:sz w:val="22"/>
          <w:szCs w:val="24"/>
          <w:lang w:eastAsia="es-CO"/>
        </w:rPr>
        <w:t xml:space="preserve"> de los derechos invocados en la tutela. Específicamente, ha señalado que este análisis debe ser más estricto tratándose de acciones de tutela contra providencias judiciales y (v) Los efectos de la tutela: la Corte ha considerado que, aún si se encuentra un motivo que justifique la demora en la interposición de la tutela, el juez debe tener en cuenta los efectos que esta tendría en los derechos de terceros si se declarara procedente.  </w:t>
      </w:r>
    </w:p>
    <w:p w14:paraId="6095B2DD" w14:textId="77777777" w:rsidR="00ED1AF4" w:rsidRPr="002C67BC" w:rsidRDefault="00ED1AF4" w:rsidP="00ED1AF4">
      <w:pPr>
        <w:pStyle w:val="Ttulo2"/>
        <w:rPr>
          <w:rFonts w:eastAsia="Verdana"/>
          <w:b w:val="0"/>
          <w:bCs/>
          <w:lang w:eastAsia="es-CO"/>
        </w:rPr>
      </w:pPr>
    </w:p>
    <w:p w14:paraId="79929277" w14:textId="05E0EE01" w:rsidR="00ED1AF4" w:rsidRPr="002C67BC" w:rsidRDefault="00D84CEF" w:rsidP="00ED1AF4">
      <w:pPr>
        <w:pStyle w:val="Ttulo2"/>
        <w:rPr>
          <w:rFonts w:eastAsia="Verdana"/>
          <w:b w:val="0"/>
          <w:bCs/>
          <w:lang w:eastAsia="es-CO"/>
        </w:rPr>
      </w:pPr>
      <w:r w:rsidRPr="002C67BC">
        <w:rPr>
          <w:rFonts w:eastAsia="Verdana"/>
          <w:b w:val="0"/>
          <w:bCs/>
          <w:lang w:eastAsia="es-CO"/>
        </w:rPr>
        <w:t>25</w:t>
      </w:r>
      <w:r w:rsidR="00ED1AF4" w:rsidRPr="002C67BC">
        <w:rPr>
          <w:rFonts w:eastAsia="Verdana"/>
          <w:b w:val="0"/>
          <w:bCs/>
          <w:lang w:eastAsia="es-CO"/>
        </w:rPr>
        <w:t>. Específicamente, en torno a la verificación de este presupuesto cuando la tutela que se analiza está dirigida contra una providencia judicial, la Sala Plena de esta Corporación</w:t>
      </w:r>
      <w:r w:rsidR="00CB7A61" w:rsidRPr="002C67BC">
        <w:rPr>
          <w:rFonts w:eastAsia="Verdana"/>
          <w:b w:val="0"/>
          <w:bCs/>
          <w:lang w:eastAsia="es-CO"/>
        </w:rPr>
        <w:t>,</w:t>
      </w:r>
      <w:r w:rsidR="00ED1AF4" w:rsidRPr="002C67BC">
        <w:rPr>
          <w:rFonts w:eastAsia="Verdana"/>
          <w:b w:val="0"/>
          <w:bCs/>
          <w:lang w:eastAsia="es-CO"/>
        </w:rPr>
        <w:t xml:space="preserve"> mediante sentencia de unificación de 5 de agosto de 2014</w:t>
      </w:r>
      <w:r w:rsidR="007E2CFA" w:rsidRPr="002C67BC">
        <w:rPr>
          <w:rStyle w:val="Refdenotaalpie"/>
          <w:rFonts w:eastAsia="Verdana"/>
          <w:b w:val="0"/>
          <w:bCs/>
          <w:lang w:eastAsia="es-CO"/>
        </w:rPr>
        <w:footnoteReference w:id="2"/>
      </w:r>
      <w:r w:rsidR="00CB7A61" w:rsidRPr="002C67BC">
        <w:rPr>
          <w:rFonts w:eastAsia="Verdana"/>
          <w:b w:val="0"/>
          <w:bCs/>
          <w:lang w:eastAsia="es-CO"/>
        </w:rPr>
        <w:t>,</w:t>
      </w:r>
      <w:r w:rsidR="00ED1AF4" w:rsidRPr="002C67BC">
        <w:rPr>
          <w:rFonts w:eastAsia="Verdana"/>
          <w:b w:val="0"/>
          <w:bCs/>
          <w:lang w:eastAsia="es-CO"/>
        </w:rPr>
        <w:t xml:space="preserve"> estableció, como regla general, que el mecanismo de amparo debe promoverse en un plazo máximo de seis meses contados a partir de la notificación de la sentencia o providencia objeto de reproche constitucional, límite temporal que también acogió la Corte Constitucional.</w:t>
      </w:r>
      <w:r w:rsidR="00842409" w:rsidRPr="002C67BC">
        <w:rPr>
          <w:rFonts w:eastAsia="Verdana"/>
          <w:b w:val="0"/>
          <w:bCs/>
          <w:lang w:eastAsia="es-CO"/>
        </w:rPr>
        <w:t xml:space="preserve"> </w:t>
      </w:r>
    </w:p>
    <w:p w14:paraId="73BC5622" w14:textId="4CC53F8B" w:rsidR="00170F2C" w:rsidRPr="002C67BC" w:rsidRDefault="00170F2C" w:rsidP="00170F2C">
      <w:pPr>
        <w:shd w:val="clear" w:color="auto" w:fill="FFFFFF"/>
        <w:tabs>
          <w:tab w:val="left" w:pos="284"/>
          <w:tab w:val="left" w:pos="426"/>
        </w:tabs>
        <w:rPr>
          <w:rFonts w:cs="Arial"/>
          <w:bCs/>
          <w:szCs w:val="24"/>
          <w:lang w:eastAsia="x-none"/>
        </w:rPr>
      </w:pPr>
    </w:p>
    <w:p w14:paraId="46239276" w14:textId="18392EBC" w:rsidR="00ED1AF4" w:rsidRPr="002C67BC" w:rsidRDefault="00ED1AF4" w:rsidP="00170F2C">
      <w:pPr>
        <w:shd w:val="clear" w:color="auto" w:fill="FFFFFF"/>
        <w:tabs>
          <w:tab w:val="left" w:pos="284"/>
          <w:tab w:val="left" w:pos="426"/>
        </w:tabs>
        <w:rPr>
          <w:rFonts w:cs="Arial"/>
          <w:b/>
          <w:szCs w:val="24"/>
          <w:lang w:eastAsia="x-none"/>
        </w:rPr>
      </w:pPr>
      <w:r w:rsidRPr="002C67BC">
        <w:rPr>
          <w:rFonts w:cs="Arial"/>
          <w:b/>
          <w:szCs w:val="24"/>
          <w:lang w:eastAsia="x-none"/>
        </w:rPr>
        <w:t>Caso concreto</w:t>
      </w:r>
    </w:p>
    <w:p w14:paraId="64C29A91" w14:textId="18B09654" w:rsidR="00ED1AF4" w:rsidRPr="002C67BC" w:rsidRDefault="00ED1AF4" w:rsidP="00170F2C">
      <w:pPr>
        <w:shd w:val="clear" w:color="auto" w:fill="FFFFFF"/>
        <w:tabs>
          <w:tab w:val="left" w:pos="284"/>
          <w:tab w:val="left" w:pos="426"/>
        </w:tabs>
        <w:rPr>
          <w:rFonts w:cs="Arial"/>
          <w:b/>
          <w:szCs w:val="24"/>
          <w:lang w:eastAsia="x-none"/>
        </w:rPr>
      </w:pPr>
    </w:p>
    <w:p w14:paraId="2622BB43" w14:textId="58BDC9C5" w:rsidR="00ED1AF4" w:rsidRPr="002C67BC" w:rsidRDefault="009825BD" w:rsidP="00ED1AF4">
      <w:pPr>
        <w:shd w:val="clear" w:color="auto" w:fill="FFFFFF"/>
        <w:tabs>
          <w:tab w:val="left" w:pos="284"/>
          <w:tab w:val="left" w:pos="426"/>
        </w:tabs>
        <w:rPr>
          <w:rFonts w:cs="Arial"/>
          <w:bCs/>
          <w:szCs w:val="24"/>
          <w:lang w:eastAsia="x-none"/>
        </w:rPr>
      </w:pPr>
      <w:r w:rsidRPr="002C67BC">
        <w:rPr>
          <w:rFonts w:cs="Arial"/>
          <w:bCs/>
          <w:szCs w:val="24"/>
          <w:lang w:eastAsia="x-none"/>
        </w:rPr>
        <w:t>26</w:t>
      </w:r>
      <w:r w:rsidR="00ED1AF4" w:rsidRPr="002C67BC">
        <w:rPr>
          <w:rFonts w:cs="Arial"/>
          <w:bCs/>
          <w:szCs w:val="24"/>
          <w:lang w:eastAsia="x-none"/>
        </w:rPr>
        <w:t xml:space="preserve">. </w:t>
      </w:r>
      <w:r w:rsidRPr="002C67BC">
        <w:rPr>
          <w:rFonts w:cs="Arial"/>
          <w:bCs/>
          <w:szCs w:val="24"/>
          <w:lang w:eastAsia="x-none"/>
        </w:rPr>
        <w:t xml:space="preserve">La Sala encontró, como lo hiciera la primera instancia, que en el presente asunto no se cumplió con el requisito de inmediatez, por cuanto la providencia atacada fue proferida el </w:t>
      </w:r>
      <w:r w:rsidR="000D37BB" w:rsidRPr="002C67BC">
        <w:rPr>
          <w:rFonts w:cs="Arial"/>
          <w:bCs/>
          <w:szCs w:val="24"/>
          <w:lang w:eastAsia="x-none"/>
        </w:rPr>
        <w:t xml:space="preserve">27 </w:t>
      </w:r>
      <w:r w:rsidRPr="002C67BC">
        <w:rPr>
          <w:rFonts w:cs="Arial"/>
          <w:bCs/>
          <w:szCs w:val="24"/>
          <w:lang w:eastAsia="x-none"/>
        </w:rPr>
        <w:t xml:space="preserve">de </w:t>
      </w:r>
      <w:r w:rsidR="000D37BB" w:rsidRPr="002C67BC">
        <w:rPr>
          <w:rFonts w:cs="Arial"/>
          <w:bCs/>
          <w:szCs w:val="24"/>
          <w:lang w:eastAsia="x-none"/>
        </w:rPr>
        <w:t xml:space="preserve">julio </w:t>
      </w:r>
      <w:r w:rsidRPr="002C67BC">
        <w:rPr>
          <w:rFonts w:cs="Arial"/>
          <w:bCs/>
          <w:szCs w:val="24"/>
          <w:lang w:eastAsia="x-none"/>
        </w:rPr>
        <w:t xml:space="preserve">de </w:t>
      </w:r>
      <w:r w:rsidR="00535910" w:rsidRPr="002C67BC">
        <w:rPr>
          <w:rFonts w:cs="Arial"/>
          <w:bCs/>
          <w:szCs w:val="24"/>
          <w:lang w:eastAsia="x-none"/>
        </w:rPr>
        <w:t xml:space="preserve">2010 </w:t>
      </w:r>
      <w:r w:rsidRPr="002C67BC">
        <w:rPr>
          <w:rFonts w:cs="Arial"/>
          <w:bCs/>
          <w:szCs w:val="24"/>
          <w:lang w:eastAsia="x-none"/>
        </w:rPr>
        <w:t xml:space="preserve">y notificada por </w:t>
      </w:r>
      <w:r w:rsidR="00535910" w:rsidRPr="002C67BC">
        <w:rPr>
          <w:rFonts w:cs="Arial"/>
          <w:bCs/>
          <w:szCs w:val="24"/>
          <w:lang w:eastAsia="x-none"/>
        </w:rPr>
        <w:t xml:space="preserve">edicto desfijado </w:t>
      </w:r>
      <w:r w:rsidRPr="002C67BC">
        <w:rPr>
          <w:rFonts w:cs="Arial"/>
          <w:bCs/>
          <w:szCs w:val="24"/>
          <w:lang w:eastAsia="x-none"/>
        </w:rPr>
        <w:t xml:space="preserve">el </w:t>
      </w:r>
      <w:r w:rsidR="000D37BB" w:rsidRPr="002C67BC">
        <w:rPr>
          <w:rFonts w:cs="Arial"/>
          <w:bCs/>
          <w:szCs w:val="24"/>
          <w:lang w:eastAsia="x-none"/>
        </w:rPr>
        <w:t xml:space="preserve">4 </w:t>
      </w:r>
      <w:r w:rsidRPr="002C67BC">
        <w:rPr>
          <w:rFonts w:cs="Arial"/>
          <w:bCs/>
          <w:szCs w:val="24"/>
          <w:lang w:eastAsia="x-none"/>
        </w:rPr>
        <w:t xml:space="preserve">de </w:t>
      </w:r>
      <w:r w:rsidR="000D37BB" w:rsidRPr="002C67BC">
        <w:rPr>
          <w:rFonts w:cs="Arial"/>
          <w:bCs/>
          <w:szCs w:val="24"/>
          <w:lang w:eastAsia="x-none"/>
        </w:rPr>
        <w:t xml:space="preserve">octubre </w:t>
      </w:r>
      <w:r w:rsidRPr="002C67BC">
        <w:rPr>
          <w:rFonts w:cs="Arial"/>
          <w:bCs/>
          <w:szCs w:val="24"/>
          <w:lang w:eastAsia="x-none"/>
        </w:rPr>
        <w:t xml:space="preserve">de </w:t>
      </w:r>
      <w:r w:rsidR="00535910" w:rsidRPr="002C67BC">
        <w:rPr>
          <w:rFonts w:cs="Arial"/>
          <w:bCs/>
          <w:szCs w:val="24"/>
          <w:lang w:eastAsia="x-none"/>
        </w:rPr>
        <w:t xml:space="preserve">2010 </w:t>
      </w:r>
      <w:r w:rsidRPr="002C67BC">
        <w:rPr>
          <w:rFonts w:cs="Arial"/>
          <w:bCs/>
          <w:szCs w:val="24"/>
          <w:lang w:eastAsia="x-none"/>
        </w:rPr>
        <w:t xml:space="preserve">-tal como se advierte de la prueba allegada al expediente - mientras que la tutela se interpuso el </w:t>
      </w:r>
      <w:r w:rsidR="000D37BB" w:rsidRPr="002C67BC">
        <w:rPr>
          <w:rFonts w:cs="Arial"/>
          <w:bCs/>
          <w:szCs w:val="24"/>
          <w:lang w:eastAsia="x-none"/>
        </w:rPr>
        <w:t xml:space="preserve">7 </w:t>
      </w:r>
      <w:r w:rsidRPr="002C67BC">
        <w:rPr>
          <w:rFonts w:cs="Arial"/>
          <w:bCs/>
          <w:szCs w:val="24"/>
          <w:lang w:eastAsia="x-none"/>
        </w:rPr>
        <w:t xml:space="preserve">de </w:t>
      </w:r>
      <w:r w:rsidR="000D37BB" w:rsidRPr="002C67BC">
        <w:rPr>
          <w:rFonts w:cs="Arial"/>
          <w:bCs/>
          <w:szCs w:val="24"/>
          <w:lang w:eastAsia="x-none"/>
        </w:rPr>
        <w:t xml:space="preserve">octubre </w:t>
      </w:r>
      <w:r w:rsidRPr="002C67BC">
        <w:rPr>
          <w:rFonts w:cs="Arial"/>
          <w:bCs/>
          <w:szCs w:val="24"/>
          <w:lang w:eastAsia="x-none"/>
        </w:rPr>
        <w:t>de</w:t>
      </w:r>
      <w:r w:rsidR="00535910" w:rsidRPr="002C67BC">
        <w:rPr>
          <w:rFonts w:cs="Arial"/>
          <w:bCs/>
          <w:szCs w:val="24"/>
          <w:lang w:eastAsia="x-none"/>
        </w:rPr>
        <w:t xml:space="preserve"> 2020</w:t>
      </w:r>
      <w:r w:rsidRPr="002C67BC">
        <w:rPr>
          <w:rFonts w:cs="Arial"/>
          <w:bCs/>
          <w:szCs w:val="24"/>
          <w:lang w:eastAsia="x-none"/>
        </w:rPr>
        <w:t xml:space="preserve">, esto es, </w:t>
      </w:r>
      <w:r w:rsidR="00535910" w:rsidRPr="002C67BC">
        <w:rPr>
          <w:rFonts w:cs="Arial"/>
          <w:bCs/>
          <w:szCs w:val="24"/>
          <w:lang w:eastAsia="x-none"/>
        </w:rPr>
        <w:t>10</w:t>
      </w:r>
      <w:r w:rsidRPr="002C67BC">
        <w:rPr>
          <w:rFonts w:cs="Arial"/>
          <w:bCs/>
          <w:szCs w:val="24"/>
          <w:lang w:eastAsia="x-none"/>
        </w:rPr>
        <w:t xml:space="preserve"> </w:t>
      </w:r>
      <w:r w:rsidR="00535910" w:rsidRPr="002C67BC">
        <w:rPr>
          <w:rFonts w:cs="Arial"/>
          <w:bCs/>
          <w:szCs w:val="24"/>
          <w:lang w:eastAsia="x-none"/>
        </w:rPr>
        <w:t xml:space="preserve">años </w:t>
      </w:r>
      <w:r w:rsidRPr="002C67BC">
        <w:rPr>
          <w:rFonts w:cs="Arial"/>
          <w:bCs/>
          <w:szCs w:val="24"/>
          <w:lang w:eastAsia="x-none"/>
        </w:rPr>
        <w:t xml:space="preserve">y </w:t>
      </w:r>
      <w:r w:rsidR="000D37BB" w:rsidRPr="002C67BC">
        <w:rPr>
          <w:rFonts w:cs="Arial"/>
          <w:bCs/>
          <w:szCs w:val="24"/>
          <w:lang w:eastAsia="x-none"/>
        </w:rPr>
        <w:t xml:space="preserve">3 </w:t>
      </w:r>
      <w:r w:rsidRPr="002C67BC">
        <w:rPr>
          <w:rFonts w:cs="Arial"/>
          <w:bCs/>
          <w:szCs w:val="24"/>
          <w:lang w:eastAsia="x-none"/>
        </w:rPr>
        <w:t>días después de la notificación, lo que denota que se ejerció extemporáneamente.</w:t>
      </w:r>
    </w:p>
    <w:p w14:paraId="1D76B9DB" w14:textId="77777777" w:rsidR="00ED1AF4" w:rsidRPr="002C67BC" w:rsidRDefault="00ED1AF4" w:rsidP="00ED1AF4">
      <w:pPr>
        <w:shd w:val="clear" w:color="auto" w:fill="FFFFFF"/>
        <w:tabs>
          <w:tab w:val="left" w:pos="284"/>
          <w:tab w:val="left" w:pos="426"/>
        </w:tabs>
        <w:rPr>
          <w:rFonts w:cs="Arial"/>
          <w:bCs/>
          <w:szCs w:val="24"/>
          <w:lang w:eastAsia="x-none"/>
        </w:rPr>
      </w:pPr>
    </w:p>
    <w:p w14:paraId="4983CC56" w14:textId="03E12E61" w:rsidR="00ED1AF4" w:rsidRPr="002C67BC" w:rsidRDefault="00535910" w:rsidP="00ED1AF4">
      <w:pPr>
        <w:shd w:val="clear" w:color="auto" w:fill="FFFFFF"/>
        <w:tabs>
          <w:tab w:val="left" w:pos="284"/>
          <w:tab w:val="left" w:pos="426"/>
        </w:tabs>
        <w:rPr>
          <w:rFonts w:cs="Arial"/>
          <w:bCs/>
          <w:szCs w:val="24"/>
          <w:lang w:eastAsia="x-none"/>
        </w:rPr>
      </w:pPr>
      <w:r w:rsidRPr="002C67BC">
        <w:rPr>
          <w:rFonts w:cs="Arial"/>
          <w:bCs/>
          <w:szCs w:val="24"/>
          <w:lang w:eastAsia="x-none"/>
        </w:rPr>
        <w:t>27</w:t>
      </w:r>
      <w:r w:rsidR="00ED1AF4" w:rsidRPr="002C67BC">
        <w:rPr>
          <w:rFonts w:cs="Arial"/>
          <w:bCs/>
          <w:szCs w:val="24"/>
          <w:lang w:eastAsia="x-none"/>
        </w:rPr>
        <w:t xml:space="preserve">. </w:t>
      </w:r>
      <w:r w:rsidRPr="002C67BC">
        <w:rPr>
          <w:rFonts w:cs="Arial"/>
          <w:bCs/>
          <w:szCs w:val="24"/>
          <w:lang w:eastAsia="x-none"/>
        </w:rPr>
        <w:t xml:space="preserve">Esta Sala reconoce que aplicar de manera estricta el término de seis meses puede resultar en una decisión excesivamente rigurosa, es por ello que no siempre el simple transcurso del tiempo puede llevar al juez a concluir que la tutela se ha presentado de forma tardía, ante la posibilidad que existan circunstancias especiales que no solo </w:t>
      </w:r>
      <w:r w:rsidRPr="002C67BC">
        <w:rPr>
          <w:rFonts w:cs="Arial"/>
          <w:bCs/>
          <w:szCs w:val="24"/>
          <w:lang w:eastAsia="x-none"/>
        </w:rPr>
        <w:lastRenderedPageBreak/>
        <w:t>justifiquen que la acción de tutela no se haya presentado en un término razonable, sino que demuestren que el hecho o la omisión que vulnera el derecho fundamental sean permanentes, persisten en el tiempo y hacen que la violación sea siempre actual.</w:t>
      </w:r>
    </w:p>
    <w:p w14:paraId="3D585BC2" w14:textId="77777777" w:rsidR="00ED1AF4" w:rsidRPr="002C67BC" w:rsidRDefault="00ED1AF4" w:rsidP="00170F2C">
      <w:pPr>
        <w:shd w:val="clear" w:color="auto" w:fill="FFFFFF"/>
        <w:tabs>
          <w:tab w:val="left" w:pos="284"/>
          <w:tab w:val="left" w:pos="426"/>
        </w:tabs>
        <w:rPr>
          <w:rFonts w:cs="Arial"/>
          <w:bCs/>
          <w:szCs w:val="24"/>
          <w:lang w:eastAsia="x-none"/>
        </w:rPr>
      </w:pPr>
    </w:p>
    <w:p w14:paraId="690C3149" w14:textId="2C4F4C55" w:rsidR="0044788D" w:rsidRPr="002C67BC" w:rsidRDefault="00535910" w:rsidP="0044788D">
      <w:pPr>
        <w:shd w:val="clear" w:color="auto" w:fill="FFFFFF"/>
        <w:tabs>
          <w:tab w:val="left" w:pos="284"/>
          <w:tab w:val="left" w:pos="426"/>
        </w:tabs>
        <w:rPr>
          <w:rFonts w:cs="Arial"/>
          <w:color w:val="000000"/>
          <w:lang w:eastAsia="es-ES"/>
        </w:rPr>
      </w:pPr>
      <w:r w:rsidRPr="002C67BC">
        <w:rPr>
          <w:rFonts w:cs="Arial"/>
          <w:kern w:val="1"/>
          <w:lang w:eastAsia="zh-CN" w:bidi="hi-IN"/>
        </w:rPr>
        <w:t>28</w:t>
      </w:r>
      <w:r w:rsidR="0044788D" w:rsidRPr="002C67BC">
        <w:rPr>
          <w:rFonts w:cs="Arial"/>
          <w:kern w:val="1"/>
          <w:lang w:eastAsia="zh-CN" w:bidi="hi-IN"/>
        </w:rPr>
        <w:t>. S</w:t>
      </w:r>
      <w:r w:rsidR="0044788D" w:rsidRPr="002C67BC">
        <w:rPr>
          <w:rFonts w:cs="Arial"/>
          <w:bCs/>
          <w:kern w:val="1"/>
          <w:lang w:eastAsia="zh-CN" w:bidi="hi-IN"/>
        </w:rPr>
        <w:t xml:space="preserve">e insiste que cuando se cuestionan providencias judiciales, dictadas en el marco de las acciones o medios de control que se tramitan en la jurisdicción contenciosa administrativa, la oportunidad de la solicitud de amparo, por regla general, es de seis (6) meses, que se determinan a partir del momento en que se notifica la providencia acusada, pues es a partir de entonces que, se infiere, las partes tienen conocimiento de las decisiones judiciales. </w:t>
      </w:r>
    </w:p>
    <w:p w14:paraId="13CBB2EF" w14:textId="77777777" w:rsidR="0044788D" w:rsidRPr="002C67BC" w:rsidRDefault="0044788D" w:rsidP="0044788D">
      <w:pPr>
        <w:pStyle w:val="Prrafodelista"/>
        <w:rPr>
          <w:rFonts w:ascii="Arial" w:hAnsi="Arial"/>
          <w:color w:val="000000"/>
          <w:lang w:eastAsia="es-ES"/>
        </w:rPr>
      </w:pPr>
    </w:p>
    <w:p w14:paraId="7D0916E0" w14:textId="09777B24" w:rsidR="00535910" w:rsidRPr="002C67BC" w:rsidRDefault="0044788D" w:rsidP="00535910">
      <w:pPr>
        <w:shd w:val="clear" w:color="auto" w:fill="FFFFFF"/>
        <w:tabs>
          <w:tab w:val="left" w:pos="284"/>
          <w:tab w:val="left" w:pos="426"/>
        </w:tabs>
        <w:rPr>
          <w:rFonts w:cs="Arial"/>
          <w:color w:val="000000"/>
          <w:lang w:val="es-ES" w:eastAsia="es-ES"/>
        </w:rPr>
      </w:pPr>
      <w:r w:rsidRPr="002C67BC">
        <w:rPr>
          <w:rFonts w:eastAsia="DejaVu Sans" w:cs="Arial"/>
          <w:bCs/>
          <w:kern w:val="1"/>
          <w:lang w:eastAsia="zh-CN" w:bidi="hi-IN"/>
        </w:rPr>
        <w:t>2</w:t>
      </w:r>
      <w:r w:rsidR="00535910" w:rsidRPr="002C67BC">
        <w:rPr>
          <w:rFonts w:eastAsia="DejaVu Sans" w:cs="Arial"/>
          <w:bCs/>
          <w:kern w:val="1"/>
          <w:lang w:eastAsia="zh-CN" w:bidi="hi-IN"/>
        </w:rPr>
        <w:t>9</w:t>
      </w:r>
      <w:r w:rsidRPr="002C67BC">
        <w:rPr>
          <w:rFonts w:eastAsia="DejaVu Sans" w:cs="Arial"/>
          <w:bCs/>
          <w:kern w:val="1"/>
          <w:lang w:eastAsia="zh-CN" w:bidi="hi-IN"/>
        </w:rPr>
        <w:t xml:space="preserve">. </w:t>
      </w:r>
      <w:r w:rsidR="00535910" w:rsidRPr="002C67BC">
        <w:rPr>
          <w:rFonts w:eastAsia="DejaVu Sans" w:cs="Arial"/>
          <w:bCs/>
          <w:kern w:val="1"/>
          <w:lang w:eastAsia="zh-CN" w:bidi="hi-IN"/>
        </w:rPr>
        <w:t xml:space="preserve">Ahora bien, la Sala observa que el accionante manifestó que había lugar a flexibilizar el término de inmediatez, en consideración a la </w:t>
      </w:r>
      <w:r w:rsidR="00D00E63" w:rsidRPr="002C67BC">
        <w:rPr>
          <w:rFonts w:eastAsia="DejaVu Sans" w:cs="Arial"/>
          <w:bCs/>
          <w:kern w:val="1"/>
          <w:lang w:eastAsia="zh-CN" w:bidi="hi-IN"/>
        </w:rPr>
        <w:t xml:space="preserve">presunta </w:t>
      </w:r>
      <w:r w:rsidR="00535910" w:rsidRPr="002C67BC">
        <w:rPr>
          <w:rFonts w:eastAsia="DejaVu Sans" w:cs="Arial"/>
          <w:bCs/>
          <w:kern w:val="1"/>
          <w:lang w:eastAsia="zh-CN" w:bidi="hi-IN"/>
        </w:rPr>
        <w:t xml:space="preserve">afectación permanente sobre sus derechos, derivada de la sentencia atacada en la que se declaró la pérdida de su investidura como </w:t>
      </w:r>
      <w:r w:rsidR="000D37BB" w:rsidRPr="002C67BC">
        <w:rPr>
          <w:rFonts w:eastAsia="DejaVu Sans" w:cs="Arial"/>
          <w:bCs/>
          <w:kern w:val="1"/>
          <w:lang w:eastAsia="zh-CN" w:bidi="hi-IN"/>
        </w:rPr>
        <w:t>congresista</w:t>
      </w:r>
      <w:r w:rsidR="00535910" w:rsidRPr="002C67BC">
        <w:rPr>
          <w:rFonts w:eastAsia="DejaVu Sans" w:cs="Arial"/>
          <w:bCs/>
          <w:kern w:val="1"/>
          <w:lang w:eastAsia="zh-CN" w:bidi="hi-IN"/>
        </w:rPr>
        <w:t>; n</w:t>
      </w:r>
      <w:r w:rsidR="00535910" w:rsidRPr="002C67BC">
        <w:rPr>
          <w:rFonts w:cs="Arial"/>
          <w:color w:val="000000"/>
          <w:lang w:eastAsia="es-ES"/>
        </w:rPr>
        <w:t>o obstante, para la Sala,</w:t>
      </w:r>
      <w:r w:rsidR="00535910" w:rsidRPr="002C67BC">
        <w:rPr>
          <w:rFonts w:cs="Arial"/>
          <w:lang w:val="es-ES_tradnl"/>
        </w:rPr>
        <w:t xml:space="preserve"> dicho argumento no constituye </w:t>
      </w:r>
      <w:r w:rsidR="00947428" w:rsidRPr="002C67BC">
        <w:rPr>
          <w:rFonts w:cs="Arial"/>
          <w:lang w:val="es-ES_tradnl"/>
        </w:rPr>
        <w:t xml:space="preserve">una </w:t>
      </w:r>
      <w:r w:rsidR="00535910" w:rsidRPr="002C67BC">
        <w:rPr>
          <w:rFonts w:cs="Arial"/>
          <w:lang w:val="es-ES_tradnl"/>
        </w:rPr>
        <w:t>circunstancia que excuse la presentación tardía de la acción de tutela y que permita flexibilizar el término de inmediatez</w:t>
      </w:r>
      <w:r w:rsidR="00535910" w:rsidRPr="002C67BC">
        <w:rPr>
          <w:rFonts w:cs="Arial"/>
          <w:color w:val="000000"/>
          <w:lang w:val="es-ES" w:eastAsia="es-ES"/>
        </w:rPr>
        <w:t>.</w:t>
      </w:r>
    </w:p>
    <w:p w14:paraId="2CBEADBA" w14:textId="2A1B7EC8" w:rsidR="00947428" w:rsidRPr="002C67BC" w:rsidRDefault="00947428" w:rsidP="00535910">
      <w:pPr>
        <w:shd w:val="clear" w:color="auto" w:fill="FFFFFF"/>
        <w:tabs>
          <w:tab w:val="left" w:pos="284"/>
          <w:tab w:val="left" w:pos="426"/>
        </w:tabs>
        <w:rPr>
          <w:rFonts w:cs="Arial"/>
          <w:color w:val="000000"/>
          <w:lang w:val="es-ES" w:eastAsia="es-ES"/>
        </w:rPr>
      </w:pPr>
    </w:p>
    <w:p w14:paraId="7BDB79B2" w14:textId="0D3B9322" w:rsidR="00947428" w:rsidRPr="002C67BC" w:rsidRDefault="00947428" w:rsidP="00535910">
      <w:pPr>
        <w:shd w:val="clear" w:color="auto" w:fill="FFFFFF"/>
        <w:tabs>
          <w:tab w:val="left" w:pos="284"/>
          <w:tab w:val="left" w:pos="426"/>
        </w:tabs>
        <w:rPr>
          <w:rFonts w:eastAsia="Times New Roman" w:cs="Arial"/>
          <w:color w:val="000000"/>
          <w:szCs w:val="24"/>
          <w:lang w:val="es-ES" w:eastAsia="es-ES"/>
        </w:rPr>
      </w:pPr>
      <w:r w:rsidRPr="002C67BC">
        <w:rPr>
          <w:rFonts w:cs="Arial"/>
          <w:color w:val="000000"/>
          <w:lang w:val="es-ES" w:eastAsia="es-ES"/>
        </w:rPr>
        <w:t>30. En efecto, acoger el planteamiento de la parte demandante implicaría desconocer de manera flagrante la decisión de</w:t>
      </w:r>
      <w:r w:rsidR="000D37BB" w:rsidRPr="002C67BC">
        <w:rPr>
          <w:rFonts w:cs="Arial"/>
          <w:color w:val="000000"/>
          <w:lang w:val="es-ES" w:eastAsia="es-ES"/>
        </w:rPr>
        <w:t xml:space="preserve"> </w:t>
      </w:r>
      <w:r w:rsidRPr="002C67BC">
        <w:rPr>
          <w:rFonts w:cs="Arial"/>
          <w:color w:val="000000"/>
          <w:lang w:val="es-ES" w:eastAsia="es-ES"/>
        </w:rPr>
        <w:t>l</w:t>
      </w:r>
      <w:r w:rsidR="000D37BB" w:rsidRPr="002C67BC">
        <w:rPr>
          <w:rFonts w:cs="Arial"/>
          <w:color w:val="000000"/>
          <w:lang w:val="es-ES" w:eastAsia="es-ES"/>
        </w:rPr>
        <w:t>a Sala Plena de lo Contencioso Administrativa de esta Corporación que como</w:t>
      </w:r>
      <w:r w:rsidRPr="002C67BC">
        <w:rPr>
          <w:rFonts w:cs="Arial"/>
          <w:color w:val="000000"/>
          <w:lang w:val="es-ES" w:eastAsia="es-ES"/>
        </w:rPr>
        <w:t xml:space="preserve"> juez natural de la causa decidió la acción de pérdida de investidura desde el año 2010, y propiciar el desconocimiento del principio de seguridad jurídica de que están revestidas las providencias judiciales que se encuentren ejecutoriadas y en firme. </w:t>
      </w:r>
    </w:p>
    <w:p w14:paraId="15EE5B05" w14:textId="34CF426D" w:rsidR="0044788D" w:rsidRPr="002C67BC" w:rsidRDefault="0044788D" w:rsidP="0044788D">
      <w:pPr>
        <w:widowControl w:val="0"/>
        <w:shd w:val="clear" w:color="auto" w:fill="FFFFFF"/>
        <w:tabs>
          <w:tab w:val="left" w:pos="426"/>
          <w:tab w:val="left" w:pos="993"/>
        </w:tabs>
        <w:rPr>
          <w:rFonts w:eastAsia="DejaVu Sans" w:cs="Arial"/>
          <w:bCs/>
          <w:kern w:val="1"/>
          <w:lang w:val="es-ES" w:eastAsia="zh-CN" w:bidi="hi-IN"/>
        </w:rPr>
      </w:pPr>
    </w:p>
    <w:p w14:paraId="04568661" w14:textId="77777777" w:rsidR="00947428" w:rsidRPr="002C67BC" w:rsidRDefault="00947428" w:rsidP="00947428">
      <w:pPr>
        <w:widowControl w:val="0"/>
        <w:shd w:val="clear" w:color="auto" w:fill="FFFFFF"/>
        <w:tabs>
          <w:tab w:val="left" w:pos="426"/>
          <w:tab w:val="left" w:pos="993"/>
        </w:tabs>
        <w:rPr>
          <w:rFonts w:eastAsia="Verdana"/>
          <w:bCs/>
          <w:lang w:eastAsia="es-CO"/>
        </w:rPr>
      </w:pPr>
      <w:r w:rsidRPr="002C67BC">
        <w:rPr>
          <w:rFonts w:eastAsia="DejaVu Sans" w:cs="Arial"/>
          <w:bCs/>
          <w:kern w:val="1"/>
          <w:lang w:val="es-ES" w:eastAsia="zh-CN" w:bidi="hi-IN"/>
        </w:rPr>
        <w:t xml:space="preserve">31. </w:t>
      </w:r>
      <w:r w:rsidRPr="002C67BC">
        <w:rPr>
          <w:rFonts w:eastAsia="Verdana"/>
          <w:bCs/>
          <w:lang w:eastAsia="es-CO"/>
        </w:rPr>
        <w:t xml:space="preserve">No está acreditado el cumplimiento de alguno de los citados requisitos previstos por la jurisprudencia constitucional que permiten flexibilizar la aplicación del requisito de inmediatez por cuanto el actor no demostró alguna situación personal que demuestre que esa exigencia sea desproporcionada, máxime cuando de los planteamientos del escrito de tutela es posible inferir que lo que se pretende es revivir una discusión que ya fue zanjada. </w:t>
      </w:r>
    </w:p>
    <w:p w14:paraId="414E061A" w14:textId="77777777" w:rsidR="00947428" w:rsidRPr="002C67BC" w:rsidRDefault="00947428" w:rsidP="00947428">
      <w:pPr>
        <w:widowControl w:val="0"/>
        <w:shd w:val="clear" w:color="auto" w:fill="FFFFFF"/>
        <w:tabs>
          <w:tab w:val="left" w:pos="426"/>
          <w:tab w:val="left" w:pos="993"/>
        </w:tabs>
        <w:rPr>
          <w:rFonts w:eastAsia="Verdana"/>
          <w:bCs/>
          <w:lang w:eastAsia="es-CO"/>
        </w:rPr>
      </w:pPr>
    </w:p>
    <w:p w14:paraId="4833DD3B" w14:textId="59A935C6" w:rsidR="00555028" w:rsidRPr="002C67BC" w:rsidRDefault="00947428" w:rsidP="00947428">
      <w:pPr>
        <w:widowControl w:val="0"/>
        <w:shd w:val="clear" w:color="auto" w:fill="FFFFFF"/>
        <w:tabs>
          <w:tab w:val="left" w:pos="426"/>
          <w:tab w:val="left" w:pos="993"/>
        </w:tabs>
        <w:rPr>
          <w:rFonts w:eastAsia="Verdana"/>
          <w:bCs/>
          <w:lang w:eastAsia="es-CO"/>
        </w:rPr>
      </w:pPr>
      <w:r w:rsidRPr="002C67BC">
        <w:rPr>
          <w:rFonts w:eastAsia="Verdana"/>
          <w:bCs/>
          <w:lang w:eastAsia="es-CO"/>
        </w:rPr>
        <w:t>32. El accionante pretende que a través de este mecanismo de amparo constitucional se ordene a la autoridad judicial accionada que acoja el criterio jurisprudencial reciente, en el que se previó la posibilidad de permitir la interposición del recurso extraordinario de revisión contra aquellas providencia</w:t>
      </w:r>
      <w:r w:rsidR="00751123" w:rsidRPr="002C67BC">
        <w:rPr>
          <w:rFonts w:eastAsia="Verdana"/>
          <w:bCs/>
          <w:lang w:eastAsia="es-CO"/>
        </w:rPr>
        <w:t>s</w:t>
      </w:r>
      <w:r w:rsidRPr="002C67BC">
        <w:rPr>
          <w:rFonts w:eastAsia="Verdana"/>
          <w:bCs/>
          <w:lang w:eastAsia="es-CO"/>
        </w:rPr>
        <w:t xml:space="preserve"> que, al resolver la acción de pérdida de investidura, </w:t>
      </w:r>
      <w:r w:rsidR="00E01E5F" w:rsidRPr="002C67BC">
        <w:rPr>
          <w:rFonts w:eastAsia="Verdana"/>
          <w:bCs/>
          <w:lang w:eastAsia="es-CO"/>
        </w:rPr>
        <w:t>omitieron</w:t>
      </w:r>
      <w:r w:rsidR="00555028" w:rsidRPr="002C67BC">
        <w:rPr>
          <w:rFonts w:eastAsia="Verdana"/>
          <w:bCs/>
          <w:lang w:eastAsia="es-CO"/>
        </w:rPr>
        <w:t xml:space="preserve"> el análisis de responsabilidad subjetiva, </w:t>
      </w:r>
      <w:r w:rsidR="00751123" w:rsidRPr="002C67BC">
        <w:rPr>
          <w:rFonts w:eastAsia="Verdana"/>
          <w:bCs/>
          <w:lang w:eastAsia="es-CO"/>
        </w:rPr>
        <w:t xml:space="preserve">orden </w:t>
      </w:r>
      <w:r w:rsidR="00555028" w:rsidRPr="002C67BC">
        <w:rPr>
          <w:rFonts w:eastAsia="Verdana"/>
          <w:bCs/>
          <w:lang w:eastAsia="es-CO"/>
        </w:rPr>
        <w:t xml:space="preserve">que no puede </w:t>
      </w:r>
      <w:r w:rsidR="00751123" w:rsidRPr="002C67BC">
        <w:rPr>
          <w:rFonts w:eastAsia="Verdana"/>
          <w:bCs/>
          <w:lang w:eastAsia="es-CO"/>
        </w:rPr>
        <w:t xml:space="preserve">dictar </w:t>
      </w:r>
      <w:r w:rsidR="00555028" w:rsidRPr="002C67BC">
        <w:rPr>
          <w:rFonts w:eastAsia="Verdana"/>
          <w:bCs/>
          <w:lang w:eastAsia="es-CO"/>
        </w:rPr>
        <w:t xml:space="preserve">el juez de tutela frente a una decisión judicial </w:t>
      </w:r>
      <w:r w:rsidR="00751123" w:rsidRPr="002C67BC">
        <w:rPr>
          <w:rFonts w:eastAsia="Verdana"/>
          <w:bCs/>
          <w:lang w:eastAsia="es-CO"/>
        </w:rPr>
        <w:t>de hace más de diez años</w:t>
      </w:r>
      <w:r w:rsidR="00E01E5F" w:rsidRPr="002C67BC">
        <w:rPr>
          <w:rFonts w:eastAsia="Verdana"/>
          <w:bCs/>
          <w:lang w:eastAsia="es-CO"/>
        </w:rPr>
        <w:t xml:space="preserve">, </w:t>
      </w:r>
      <w:r w:rsidR="00555028" w:rsidRPr="002C67BC">
        <w:rPr>
          <w:rFonts w:eastAsia="Verdana"/>
          <w:bCs/>
          <w:lang w:eastAsia="es-CO"/>
        </w:rPr>
        <w:t>que contiene el criterio vigente para la fecha en que fue adoptada y</w:t>
      </w:r>
      <w:r w:rsidR="00751123" w:rsidRPr="002C67BC">
        <w:rPr>
          <w:rFonts w:eastAsia="Verdana"/>
          <w:bCs/>
          <w:lang w:eastAsia="es-CO"/>
        </w:rPr>
        <w:t xml:space="preserve"> que se encuentra</w:t>
      </w:r>
      <w:r w:rsidR="00555028" w:rsidRPr="002C67BC">
        <w:rPr>
          <w:rFonts w:eastAsia="Verdana"/>
          <w:bCs/>
          <w:lang w:eastAsia="es-CO"/>
        </w:rPr>
        <w:t xml:space="preserve"> amparada por el principio de cosa juzgada</w:t>
      </w:r>
      <w:r w:rsidR="00751123" w:rsidRPr="002C67BC">
        <w:rPr>
          <w:rFonts w:eastAsia="Verdana"/>
          <w:bCs/>
          <w:lang w:eastAsia="es-CO"/>
        </w:rPr>
        <w:t xml:space="preserve"> y el de seguridad jurídica</w:t>
      </w:r>
      <w:r w:rsidR="00555028" w:rsidRPr="002C67BC">
        <w:rPr>
          <w:rFonts w:eastAsia="Verdana"/>
          <w:bCs/>
          <w:lang w:eastAsia="es-CO"/>
        </w:rPr>
        <w:t>.</w:t>
      </w:r>
    </w:p>
    <w:p w14:paraId="4B3A846D" w14:textId="1EF72709" w:rsidR="00751123" w:rsidRPr="002C67BC" w:rsidRDefault="00751123" w:rsidP="00947428">
      <w:pPr>
        <w:widowControl w:val="0"/>
        <w:shd w:val="clear" w:color="auto" w:fill="FFFFFF"/>
        <w:tabs>
          <w:tab w:val="left" w:pos="426"/>
          <w:tab w:val="left" w:pos="993"/>
        </w:tabs>
        <w:rPr>
          <w:rFonts w:eastAsia="Verdana"/>
          <w:bCs/>
          <w:lang w:eastAsia="es-CO"/>
        </w:rPr>
      </w:pPr>
    </w:p>
    <w:p w14:paraId="04048775" w14:textId="25A40D42" w:rsidR="00947428" w:rsidRPr="002C67BC" w:rsidRDefault="00751123" w:rsidP="00751123">
      <w:pPr>
        <w:widowControl w:val="0"/>
        <w:shd w:val="clear" w:color="auto" w:fill="FFFFFF"/>
        <w:tabs>
          <w:tab w:val="left" w:pos="426"/>
          <w:tab w:val="left" w:pos="993"/>
        </w:tabs>
        <w:rPr>
          <w:rFonts w:eastAsia="Verdana"/>
          <w:bCs/>
          <w:lang w:eastAsia="es-CO"/>
        </w:rPr>
      </w:pPr>
      <w:r w:rsidRPr="002C67BC">
        <w:rPr>
          <w:rFonts w:eastAsia="Verdana"/>
          <w:bCs/>
          <w:lang w:eastAsia="es-CO"/>
        </w:rPr>
        <w:t xml:space="preserve">33. No es posible afirmar que el actor padezca una vulneración permanente a sus derechos fundamentales en tanto su situación fue definida por una providencia judicial proferida por la autoridad competente y con el criterio </w:t>
      </w:r>
      <w:r w:rsidR="00E01E5F" w:rsidRPr="002C67BC">
        <w:rPr>
          <w:rFonts w:eastAsia="Verdana"/>
          <w:bCs/>
          <w:lang w:eastAsia="es-CO"/>
        </w:rPr>
        <w:t>vigente para la época</w:t>
      </w:r>
      <w:r w:rsidR="00F71AD3" w:rsidRPr="002C67BC">
        <w:rPr>
          <w:rFonts w:eastAsia="Verdana"/>
          <w:bCs/>
          <w:lang w:eastAsia="es-CO"/>
        </w:rPr>
        <w:t>. E</w:t>
      </w:r>
      <w:r w:rsidRPr="002C67BC">
        <w:rPr>
          <w:rFonts w:eastAsia="Verdana"/>
          <w:bCs/>
          <w:lang w:eastAsia="es-CO"/>
        </w:rPr>
        <w:t xml:space="preserve">n dicha medida, </w:t>
      </w:r>
      <w:r w:rsidR="00E01E5F" w:rsidRPr="002C67BC">
        <w:rPr>
          <w:rFonts w:eastAsia="Verdana"/>
          <w:bCs/>
          <w:lang w:eastAsia="es-CO"/>
        </w:rPr>
        <w:t xml:space="preserve">es necesario recalcar que </w:t>
      </w:r>
      <w:r w:rsidRPr="002C67BC">
        <w:rPr>
          <w:rFonts w:eastAsia="Verdana"/>
          <w:bCs/>
          <w:lang w:eastAsia="es-CO"/>
        </w:rPr>
        <w:t>un cambio de criterio jurisprudencial no puede estimarse como razón suficiente que permita acudir a este mecanismo de tutela con el único propósito de reabrir una controversia que ya fue resuelta.</w:t>
      </w:r>
    </w:p>
    <w:p w14:paraId="22A24EB7" w14:textId="47B27821" w:rsidR="000D37BB" w:rsidRPr="002C67BC" w:rsidRDefault="000D37BB" w:rsidP="00751123">
      <w:pPr>
        <w:widowControl w:val="0"/>
        <w:shd w:val="clear" w:color="auto" w:fill="FFFFFF"/>
        <w:tabs>
          <w:tab w:val="left" w:pos="426"/>
          <w:tab w:val="left" w:pos="993"/>
        </w:tabs>
        <w:rPr>
          <w:rFonts w:eastAsia="Verdana"/>
          <w:bCs/>
          <w:lang w:eastAsia="es-CO"/>
        </w:rPr>
      </w:pPr>
    </w:p>
    <w:p w14:paraId="53AFF13E" w14:textId="2EDE98E1" w:rsidR="00751123" w:rsidRPr="002C67BC" w:rsidRDefault="000D37BB" w:rsidP="00751123">
      <w:pPr>
        <w:widowControl w:val="0"/>
        <w:shd w:val="clear" w:color="auto" w:fill="FFFFFF"/>
        <w:tabs>
          <w:tab w:val="left" w:pos="426"/>
          <w:tab w:val="left" w:pos="993"/>
        </w:tabs>
        <w:rPr>
          <w:rFonts w:eastAsia="Verdana"/>
          <w:bCs/>
          <w:lang w:eastAsia="es-CO"/>
        </w:rPr>
      </w:pPr>
      <w:r w:rsidRPr="002C67BC">
        <w:rPr>
          <w:rFonts w:eastAsia="Verdana"/>
          <w:bCs/>
          <w:lang w:eastAsia="es-CO"/>
        </w:rPr>
        <w:t xml:space="preserve">34. Aunado a lo expuesto y como quedó expuesto en antelación es claro que el actor hizo ejercicio del recurso de revisión contra la sentencia cuestionada y dicho trámite procesal se encuentra pendiente de decisión, de </w:t>
      </w:r>
      <w:r w:rsidR="00E01E5F" w:rsidRPr="002C67BC">
        <w:rPr>
          <w:rFonts w:eastAsia="Verdana"/>
          <w:bCs/>
          <w:lang w:eastAsia="es-CO"/>
        </w:rPr>
        <w:t xml:space="preserve">donde </w:t>
      </w:r>
      <w:r w:rsidRPr="002C67BC">
        <w:rPr>
          <w:rFonts w:eastAsia="Verdana"/>
          <w:bCs/>
          <w:lang w:eastAsia="es-CO"/>
        </w:rPr>
        <w:t>se extrae que el escrito de amparo tampoco superó el requisito de subsidiariedad</w:t>
      </w:r>
      <w:r w:rsidR="00E01E5F" w:rsidRPr="002C67BC">
        <w:rPr>
          <w:rFonts w:eastAsia="Verdana"/>
          <w:bCs/>
          <w:lang w:eastAsia="es-CO"/>
        </w:rPr>
        <w:t>,</w:t>
      </w:r>
      <w:r w:rsidRPr="002C67BC">
        <w:rPr>
          <w:rFonts w:eastAsia="Verdana"/>
          <w:bCs/>
          <w:lang w:eastAsia="es-CO"/>
        </w:rPr>
        <w:t xml:space="preserve"> </w:t>
      </w:r>
      <w:r w:rsidR="00E01E5F" w:rsidRPr="002C67BC">
        <w:rPr>
          <w:rFonts w:eastAsia="Verdana"/>
          <w:bCs/>
          <w:lang w:eastAsia="es-CO"/>
        </w:rPr>
        <w:t>pues en dicho recurso justamente planteó similares argumentos a los que aquí expone y será el juez extraordinario de revisión quien deberá determinar si hay lugar o no a infirmar dicha providencia</w:t>
      </w:r>
      <w:r w:rsidRPr="002C67BC">
        <w:rPr>
          <w:rFonts w:eastAsia="Verdana"/>
          <w:bCs/>
          <w:lang w:eastAsia="es-CO"/>
        </w:rPr>
        <w:t>.</w:t>
      </w:r>
      <w:r w:rsidR="00751123" w:rsidRPr="002C67BC">
        <w:rPr>
          <w:rFonts w:eastAsia="Verdana"/>
          <w:bCs/>
          <w:lang w:eastAsia="es-CO"/>
        </w:rPr>
        <w:t xml:space="preserve"> En suma, la Sala no avizoró un perjuicio irremediable que ameritara la intervención del juez constitucional y atenuara la interposición tan tardía de la tutela del actor o mucho menos que él hubiere demostrado ser un sujeto de especial protección constitucional, en esa medida, se debe confirmar la sentencia de primera instancia que declaró la improcedencia de la solicitud de amparo.</w:t>
      </w:r>
    </w:p>
    <w:p w14:paraId="40EC79F2" w14:textId="4B0F0E8F" w:rsidR="00947428" w:rsidRPr="002C67BC" w:rsidRDefault="00947428" w:rsidP="00947428">
      <w:pPr>
        <w:widowControl w:val="0"/>
        <w:shd w:val="clear" w:color="auto" w:fill="FFFFFF"/>
        <w:tabs>
          <w:tab w:val="left" w:pos="426"/>
          <w:tab w:val="left" w:pos="993"/>
        </w:tabs>
        <w:rPr>
          <w:rFonts w:eastAsia="Verdana"/>
          <w:bCs/>
          <w:lang w:eastAsia="es-CO"/>
        </w:rPr>
      </w:pPr>
    </w:p>
    <w:p w14:paraId="4B3EDDFC" w14:textId="2FEBCE4B" w:rsidR="0044788D" w:rsidRPr="002C67BC" w:rsidRDefault="00751123" w:rsidP="0044788D">
      <w:pPr>
        <w:widowControl w:val="0"/>
        <w:shd w:val="clear" w:color="auto" w:fill="FFFFFF"/>
        <w:tabs>
          <w:tab w:val="left" w:pos="426"/>
          <w:tab w:val="left" w:pos="993"/>
        </w:tabs>
      </w:pPr>
      <w:r w:rsidRPr="002C67BC">
        <w:rPr>
          <w:rFonts w:eastAsia="Verdana" w:cs="Arial"/>
          <w:color w:val="000000"/>
        </w:rPr>
        <w:t>35</w:t>
      </w:r>
      <w:r w:rsidR="0044788D" w:rsidRPr="002C67BC">
        <w:rPr>
          <w:rFonts w:eastAsia="Verdana" w:cs="Arial"/>
          <w:color w:val="000000"/>
        </w:rPr>
        <w:t xml:space="preserve">. En mérito de lo expuesto, el Consejo de Estado, en Sala de lo Contencioso Administrativo, Sección Tercera –Subsección “B”-, administrando justicia en nombre de </w:t>
      </w:r>
      <w:r w:rsidR="0044788D" w:rsidRPr="002C67BC">
        <w:rPr>
          <w:rFonts w:eastAsia="Verdana" w:cs="Arial"/>
          <w:color w:val="000000"/>
        </w:rPr>
        <w:lastRenderedPageBreak/>
        <w:t>la República de Colombia y por autoridad de la ley,</w:t>
      </w:r>
    </w:p>
    <w:p w14:paraId="4D55F8BD" w14:textId="45D6F466" w:rsidR="00565FF8" w:rsidRPr="002C67BC" w:rsidRDefault="00565FF8" w:rsidP="00F466B7">
      <w:pPr>
        <w:pStyle w:val="Ttulo1"/>
      </w:pPr>
      <w:r w:rsidRPr="002C67BC">
        <w:t>FALLA</w:t>
      </w:r>
    </w:p>
    <w:p w14:paraId="76344DB6" w14:textId="77777777" w:rsidR="00565FF8" w:rsidRPr="002C67BC" w:rsidRDefault="00565FF8" w:rsidP="00237363">
      <w:pPr>
        <w:shd w:val="clear" w:color="auto" w:fill="FFFFFF"/>
        <w:tabs>
          <w:tab w:val="left" w:pos="284"/>
          <w:tab w:val="left" w:pos="426"/>
        </w:tabs>
        <w:rPr>
          <w:rFonts w:cs="Arial"/>
          <w:szCs w:val="24"/>
        </w:rPr>
      </w:pPr>
    </w:p>
    <w:p w14:paraId="4F964444" w14:textId="2E2409BB" w:rsidR="00565FF8" w:rsidRPr="002C67BC" w:rsidRDefault="00565FF8" w:rsidP="00565FF8">
      <w:pPr>
        <w:tabs>
          <w:tab w:val="left" w:pos="8222"/>
        </w:tabs>
        <w:ind w:right="51"/>
        <w:rPr>
          <w:rFonts w:cs="Arial"/>
          <w:bCs/>
          <w:szCs w:val="24"/>
        </w:rPr>
      </w:pPr>
      <w:r w:rsidRPr="002C67BC">
        <w:rPr>
          <w:rFonts w:cs="Arial"/>
          <w:b/>
          <w:szCs w:val="24"/>
        </w:rPr>
        <w:t xml:space="preserve">PRIMERO: </w:t>
      </w:r>
      <w:r w:rsidR="00751123" w:rsidRPr="002C67BC">
        <w:rPr>
          <w:rFonts w:cs="Arial"/>
          <w:b/>
          <w:szCs w:val="24"/>
        </w:rPr>
        <w:t xml:space="preserve">CONFIRMAR </w:t>
      </w:r>
      <w:r w:rsidR="00751123" w:rsidRPr="002C67BC">
        <w:rPr>
          <w:rFonts w:cs="Arial"/>
          <w:bCs/>
          <w:szCs w:val="24"/>
        </w:rPr>
        <w:t>la sentencia de primera instancia, mediante la cual se declaró</w:t>
      </w:r>
      <w:r w:rsidR="00FC2FCD" w:rsidRPr="002C67BC">
        <w:rPr>
          <w:rFonts w:cs="Arial"/>
          <w:b/>
          <w:szCs w:val="24"/>
        </w:rPr>
        <w:t xml:space="preserve"> </w:t>
      </w:r>
      <w:r w:rsidR="00170F2C" w:rsidRPr="002C67BC">
        <w:rPr>
          <w:rFonts w:eastAsia="Batang" w:cs="Arial"/>
          <w:szCs w:val="24"/>
        </w:rPr>
        <w:t xml:space="preserve">improcedente </w:t>
      </w:r>
      <w:r w:rsidR="00FC2FCD" w:rsidRPr="002C67BC">
        <w:rPr>
          <w:rFonts w:eastAsia="Batang" w:cs="Arial"/>
          <w:szCs w:val="24"/>
        </w:rPr>
        <w:t xml:space="preserve">la acción de tutela presentada por </w:t>
      </w:r>
      <w:r w:rsidR="0044788D" w:rsidRPr="002C67BC">
        <w:rPr>
          <w:rFonts w:eastAsia="Batang" w:cs="Arial"/>
          <w:szCs w:val="24"/>
        </w:rPr>
        <w:t xml:space="preserve">el </w:t>
      </w:r>
      <w:r w:rsidR="00FC2FCD" w:rsidRPr="002C67BC">
        <w:rPr>
          <w:rFonts w:eastAsia="Batang" w:cs="Arial"/>
          <w:szCs w:val="24"/>
        </w:rPr>
        <w:t xml:space="preserve">señor </w:t>
      </w:r>
      <w:r w:rsidR="000D37BB" w:rsidRPr="002C67BC">
        <w:rPr>
          <w:rFonts w:eastAsia="Batang" w:cs="Arial"/>
          <w:szCs w:val="24"/>
        </w:rPr>
        <w:t xml:space="preserve">Luis Felipe Barrios </w:t>
      </w:r>
      <w:proofErr w:type="spellStart"/>
      <w:r w:rsidR="000D37BB" w:rsidRPr="002C67BC">
        <w:rPr>
          <w:rFonts w:eastAsia="Batang" w:cs="Arial"/>
          <w:szCs w:val="24"/>
        </w:rPr>
        <w:t>Barrios</w:t>
      </w:r>
      <w:proofErr w:type="spellEnd"/>
      <w:r w:rsidR="00751123" w:rsidRPr="002C67BC">
        <w:rPr>
          <w:rFonts w:eastAsia="Batang" w:cs="Arial"/>
          <w:szCs w:val="24"/>
        </w:rPr>
        <w:t xml:space="preserve"> </w:t>
      </w:r>
      <w:r w:rsidR="00FC2FCD" w:rsidRPr="002C67BC">
        <w:rPr>
          <w:rFonts w:eastAsia="Batang" w:cs="Arial"/>
          <w:szCs w:val="24"/>
        </w:rPr>
        <w:t>contra</w:t>
      </w:r>
      <w:r w:rsidR="0047509D" w:rsidRPr="002C67BC">
        <w:rPr>
          <w:rFonts w:eastAsia="Batang" w:cs="Arial"/>
          <w:szCs w:val="24"/>
        </w:rPr>
        <w:t xml:space="preserve"> </w:t>
      </w:r>
      <w:r w:rsidR="000D37BB" w:rsidRPr="002C67BC">
        <w:rPr>
          <w:rFonts w:eastAsia="Batang" w:cs="Arial"/>
          <w:szCs w:val="24"/>
        </w:rPr>
        <w:t>la Sala Plena de lo Contencioso Administrativo d</w:t>
      </w:r>
      <w:r w:rsidR="00AB4DC7" w:rsidRPr="002C67BC">
        <w:rPr>
          <w:rFonts w:eastAsia="Batang" w:cs="Arial"/>
          <w:szCs w:val="24"/>
        </w:rPr>
        <w:t xml:space="preserve">el </w:t>
      </w:r>
      <w:r w:rsidR="00751123" w:rsidRPr="002C67BC">
        <w:rPr>
          <w:rFonts w:eastAsia="Batang" w:cs="Arial"/>
          <w:szCs w:val="24"/>
        </w:rPr>
        <w:t xml:space="preserve">Consejo de Estado </w:t>
      </w:r>
      <w:r w:rsidR="00FC2FCD" w:rsidRPr="002C67BC">
        <w:rPr>
          <w:rFonts w:eastAsia="Batang" w:cs="Arial"/>
          <w:szCs w:val="24"/>
        </w:rPr>
        <w:t>de conformidad con las razones expuestas en la parte motiva de esta providencia.</w:t>
      </w:r>
    </w:p>
    <w:p w14:paraId="52C5B600" w14:textId="77777777" w:rsidR="003B4DB4" w:rsidRPr="002C67BC" w:rsidRDefault="003B4DB4" w:rsidP="00565FF8">
      <w:pPr>
        <w:tabs>
          <w:tab w:val="left" w:pos="8222"/>
        </w:tabs>
        <w:ind w:right="51"/>
        <w:rPr>
          <w:rFonts w:cs="Arial"/>
          <w:bCs/>
          <w:szCs w:val="24"/>
        </w:rPr>
      </w:pPr>
    </w:p>
    <w:p w14:paraId="161D9F7A" w14:textId="71278AD2" w:rsidR="003B4DB4" w:rsidRPr="002C67BC" w:rsidRDefault="00565FF8" w:rsidP="00565FF8">
      <w:pPr>
        <w:rPr>
          <w:rFonts w:eastAsia="DejaVu Sans"/>
          <w:kern w:val="2"/>
          <w:szCs w:val="24"/>
          <w:lang w:eastAsia="zh-CN" w:bidi="hi-IN"/>
        </w:rPr>
      </w:pPr>
      <w:r w:rsidRPr="002C67BC">
        <w:rPr>
          <w:rFonts w:cs="Arial"/>
          <w:b/>
          <w:bCs/>
          <w:szCs w:val="24"/>
          <w:lang w:eastAsia="x-none"/>
        </w:rPr>
        <w:t xml:space="preserve">SEGUNDO: </w:t>
      </w:r>
      <w:r w:rsidRPr="002C67BC">
        <w:rPr>
          <w:rFonts w:cs="Arial"/>
          <w:b/>
          <w:szCs w:val="24"/>
        </w:rPr>
        <w:t>NOTIFICAR</w:t>
      </w:r>
      <w:r w:rsidRPr="002C67BC">
        <w:rPr>
          <w:rFonts w:cs="Arial"/>
          <w:szCs w:val="24"/>
        </w:rPr>
        <w:t xml:space="preserve"> a las partes e intervinientes </w:t>
      </w:r>
      <w:r w:rsidR="00BB1DAF" w:rsidRPr="002C67BC">
        <w:rPr>
          <w:szCs w:val="24"/>
        </w:rPr>
        <w:t>por el medio que resulte más expedito y eficaz</w:t>
      </w:r>
      <w:r w:rsidR="00BB1DAF" w:rsidRPr="002C67BC">
        <w:rPr>
          <w:rFonts w:cs="Arial"/>
          <w:szCs w:val="24"/>
        </w:rPr>
        <w:t xml:space="preserve">, conforme al </w:t>
      </w:r>
      <w:r w:rsidR="00BB1DAF" w:rsidRPr="002C67BC">
        <w:rPr>
          <w:rFonts w:eastAsia="DejaVu Sans"/>
          <w:kern w:val="2"/>
          <w:szCs w:val="24"/>
          <w:lang w:eastAsia="zh-CN" w:bidi="hi-IN"/>
        </w:rPr>
        <w:t>artículo 30 del Decreto 2591 de 1991.</w:t>
      </w:r>
    </w:p>
    <w:p w14:paraId="656EEB3C" w14:textId="7207B018" w:rsidR="00BB1DAF" w:rsidRPr="002C67BC" w:rsidRDefault="00BB1DAF" w:rsidP="00565FF8">
      <w:pPr>
        <w:rPr>
          <w:rFonts w:cs="Arial"/>
          <w:szCs w:val="24"/>
        </w:rPr>
      </w:pPr>
    </w:p>
    <w:p w14:paraId="2FE2B88A" w14:textId="4D907A25" w:rsidR="000574EF" w:rsidRPr="002C67BC" w:rsidRDefault="00565FF8" w:rsidP="00565FF8">
      <w:pPr>
        <w:rPr>
          <w:rFonts w:cs="Arial"/>
          <w:bCs/>
          <w:szCs w:val="24"/>
        </w:rPr>
      </w:pPr>
      <w:r w:rsidRPr="002C67BC">
        <w:rPr>
          <w:rFonts w:cs="Arial"/>
          <w:b/>
          <w:szCs w:val="24"/>
        </w:rPr>
        <w:t xml:space="preserve">TERCERO: </w:t>
      </w:r>
      <w:r w:rsidR="000574EF" w:rsidRPr="002C67BC">
        <w:rPr>
          <w:rFonts w:cs="Arial"/>
          <w:bCs/>
          <w:szCs w:val="24"/>
        </w:rPr>
        <w:t>Por Secretaría,</w:t>
      </w:r>
      <w:r w:rsidR="000574EF" w:rsidRPr="002C67BC">
        <w:rPr>
          <w:rFonts w:cs="Arial"/>
          <w:b/>
          <w:szCs w:val="24"/>
        </w:rPr>
        <w:t xml:space="preserve"> PUBLICAR </w:t>
      </w:r>
      <w:r w:rsidR="000574EF" w:rsidRPr="002C67BC">
        <w:rPr>
          <w:rFonts w:cs="Arial"/>
          <w:bCs/>
          <w:szCs w:val="24"/>
        </w:rPr>
        <w:t>la presente providencia en la página web de esta Corporación.</w:t>
      </w:r>
    </w:p>
    <w:p w14:paraId="320B533A" w14:textId="77777777" w:rsidR="000574EF" w:rsidRPr="002C67BC" w:rsidRDefault="000574EF" w:rsidP="00565FF8">
      <w:pPr>
        <w:rPr>
          <w:rFonts w:cs="Arial"/>
          <w:b/>
          <w:szCs w:val="24"/>
        </w:rPr>
      </w:pPr>
    </w:p>
    <w:p w14:paraId="4B464846" w14:textId="49E5FF88" w:rsidR="00565FF8" w:rsidRPr="002C67BC" w:rsidRDefault="00751123" w:rsidP="00565FF8">
      <w:pPr>
        <w:rPr>
          <w:rFonts w:cs="Arial"/>
          <w:szCs w:val="24"/>
        </w:rPr>
      </w:pPr>
      <w:r w:rsidRPr="002C67BC">
        <w:rPr>
          <w:rFonts w:cs="Arial"/>
          <w:b/>
          <w:szCs w:val="24"/>
          <w:lang w:val="es-ES"/>
        </w:rPr>
        <w:t xml:space="preserve">CUARTO: </w:t>
      </w:r>
      <w:r w:rsidRPr="002C67BC">
        <w:rPr>
          <w:rFonts w:cs="Arial"/>
          <w:szCs w:val="24"/>
          <w:lang w:val="es-ES"/>
        </w:rPr>
        <w:t xml:space="preserve">Una vez ejecutoriado este fallo, por Secretaría </w:t>
      </w:r>
      <w:r w:rsidRPr="002C67BC">
        <w:rPr>
          <w:rFonts w:cs="Arial"/>
          <w:b/>
          <w:bCs/>
          <w:szCs w:val="26"/>
          <w:lang w:val="es-ES"/>
        </w:rPr>
        <w:t>ENVIAR</w:t>
      </w:r>
      <w:r w:rsidRPr="002C67BC">
        <w:rPr>
          <w:rFonts w:cs="Arial"/>
          <w:szCs w:val="26"/>
          <w:lang w:val="es-ES"/>
        </w:rPr>
        <w:t xml:space="preserve"> el expediente de tutela a la Corte Constitucional para lo de su cargo y devolver el expediente en préstamo</w:t>
      </w:r>
      <w:r w:rsidRPr="002C67BC">
        <w:rPr>
          <w:rFonts w:cs="Arial"/>
          <w:szCs w:val="24"/>
          <w:lang w:val="es-ES"/>
        </w:rPr>
        <w:t>.</w:t>
      </w:r>
    </w:p>
    <w:p w14:paraId="33B66762" w14:textId="77777777" w:rsidR="002215F0" w:rsidRPr="002C67BC" w:rsidRDefault="002215F0" w:rsidP="00565FF8">
      <w:pPr>
        <w:rPr>
          <w:rFonts w:cs="Arial"/>
          <w:szCs w:val="24"/>
        </w:rPr>
      </w:pPr>
    </w:p>
    <w:p w14:paraId="624F706E" w14:textId="1DAAA892" w:rsidR="00565FF8" w:rsidRPr="002C67BC" w:rsidRDefault="00565FF8" w:rsidP="00565FF8">
      <w:pPr>
        <w:rPr>
          <w:rFonts w:cs="Arial"/>
          <w:szCs w:val="24"/>
        </w:rPr>
      </w:pPr>
      <w:r w:rsidRPr="002C67BC">
        <w:rPr>
          <w:rFonts w:cs="Arial"/>
          <w:szCs w:val="24"/>
        </w:rPr>
        <w:t>Cópiese, notifíquese y cúmplase.</w:t>
      </w:r>
    </w:p>
    <w:p w14:paraId="72F6B573" w14:textId="14D89E81" w:rsidR="007A1D05" w:rsidRPr="002C67BC" w:rsidRDefault="007A1D05" w:rsidP="00565FF8">
      <w:pPr>
        <w:rPr>
          <w:rFonts w:cs="Arial"/>
          <w:szCs w:val="24"/>
        </w:rPr>
      </w:pPr>
    </w:p>
    <w:p w14:paraId="1C992559" w14:textId="670ECBCB" w:rsidR="00565FF8" w:rsidRPr="002C67BC" w:rsidRDefault="00565FF8" w:rsidP="00565FF8">
      <w:pPr>
        <w:rPr>
          <w:rFonts w:cs="Arial"/>
          <w:bCs/>
          <w:szCs w:val="24"/>
          <w:lang w:eastAsia="es-ES"/>
        </w:rPr>
      </w:pPr>
      <w:r w:rsidRPr="002C67BC">
        <w:rPr>
          <w:rFonts w:cs="Arial"/>
          <w:bCs/>
          <w:szCs w:val="24"/>
          <w:lang w:eastAsia="es-ES"/>
        </w:rPr>
        <w:t>La anterior providencia fue discutida y aprobada en sesión de la fecha.</w:t>
      </w:r>
    </w:p>
    <w:p w14:paraId="344A7041" w14:textId="08A91E0C" w:rsidR="00170F2C" w:rsidRPr="002C67BC" w:rsidRDefault="00170F2C" w:rsidP="00565FF8">
      <w:pPr>
        <w:rPr>
          <w:rFonts w:cs="Arial"/>
          <w:b/>
          <w:szCs w:val="24"/>
          <w:lang w:eastAsia="es-ES"/>
        </w:rPr>
      </w:pPr>
    </w:p>
    <w:p w14:paraId="4408DFAE" w14:textId="4384AA92" w:rsidR="00D64BB0" w:rsidRPr="002C67BC" w:rsidRDefault="00294AE8" w:rsidP="00D64BB0">
      <w:pPr>
        <w:spacing w:line="240" w:lineRule="auto"/>
        <w:rPr>
          <w:rFonts w:cs="Arial"/>
          <w:bCs/>
          <w:sz w:val="22"/>
          <w:lang w:val="es-ES" w:eastAsia="es-ES"/>
        </w:rPr>
      </w:pPr>
      <w:r w:rsidRPr="002C67BC">
        <w:rPr>
          <w:rFonts w:cs="Arial"/>
          <w:bCs/>
          <w:szCs w:val="24"/>
          <w:lang w:val="es-ES" w:eastAsia="es-ES"/>
        </w:rPr>
        <w:t xml:space="preserve">           </w:t>
      </w:r>
      <w:r w:rsidR="00D64BB0" w:rsidRPr="002C67BC">
        <w:rPr>
          <w:rFonts w:cs="Arial"/>
          <w:bCs/>
          <w:sz w:val="22"/>
          <w:lang w:val="es-ES" w:eastAsia="es-ES"/>
        </w:rPr>
        <w:t xml:space="preserve">Firmado electrónicamente                              </w:t>
      </w:r>
      <w:r w:rsidR="00B518D9" w:rsidRPr="002C67BC">
        <w:rPr>
          <w:rFonts w:cs="Arial"/>
          <w:bCs/>
          <w:sz w:val="22"/>
          <w:lang w:val="es-ES" w:eastAsia="es-ES"/>
        </w:rPr>
        <w:t xml:space="preserve">       </w:t>
      </w:r>
      <w:r w:rsidR="00D64BB0" w:rsidRPr="002C67BC">
        <w:rPr>
          <w:rFonts w:cs="Arial"/>
          <w:bCs/>
          <w:sz w:val="22"/>
          <w:lang w:val="es-ES" w:eastAsia="es-ES"/>
        </w:rPr>
        <w:t xml:space="preserve">      Firmado electrónicamente</w:t>
      </w:r>
    </w:p>
    <w:p w14:paraId="237A0149" w14:textId="2F2F86A4" w:rsidR="00D64BB0" w:rsidRPr="002C67BC" w:rsidRDefault="00D64BB0" w:rsidP="00D64BB0">
      <w:pPr>
        <w:widowControl w:val="0"/>
        <w:tabs>
          <w:tab w:val="left" w:pos="3454"/>
        </w:tabs>
        <w:overflowPunct w:val="0"/>
        <w:autoSpaceDE w:val="0"/>
        <w:autoSpaceDN w:val="0"/>
        <w:adjustRightInd w:val="0"/>
        <w:spacing w:line="240" w:lineRule="auto"/>
        <w:jc w:val="center"/>
        <w:textAlignment w:val="baseline"/>
        <w:rPr>
          <w:rFonts w:cs="Arial"/>
          <w:b/>
          <w:szCs w:val="24"/>
          <w:lang w:val="es-ES" w:eastAsia="es-ES"/>
        </w:rPr>
      </w:pPr>
      <w:r w:rsidRPr="002C67BC">
        <w:rPr>
          <w:rFonts w:cs="Arial"/>
          <w:b/>
          <w:szCs w:val="24"/>
          <w:shd w:val="clear" w:color="auto" w:fill="FFFFFF"/>
          <w:lang w:val="es-ES"/>
        </w:rPr>
        <w:t xml:space="preserve">ALBERTO MONTAÑA PLATA                            </w:t>
      </w:r>
      <w:r w:rsidRPr="002C67BC">
        <w:rPr>
          <w:rFonts w:cs="Arial"/>
          <w:b/>
          <w:szCs w:val="24"/>
          <w:lang w:val="es-ES" w:eastAsia="es-ES"/>
        </w:rPr>
        <w:t>MARTÍN BERMÚDEZ MUÑOZ</w:t>
      </w:r>
    </w:p>
    <w:p w14:paraId="1A9016A7" w14:textId="6B3A4DF9" w:rsidR="00D64BB0" w:rsidRPr="002C67BC" w:rsidRDefault="00D64BB0" w:rsidP="00D64BB0">
      <w:pPr>
        <w:widowControl w:val="0"/>
        <w:tabs>
          <w:tab w:val="left" w:pos="3454"/>
        </w:tabs>
        <w:overflowPunct w:val="0"/>
        <w:autoSpaceDE w:val="0"/>
        <w:autoSpaceDN w:val="0"/>
        <w:adjustRightInd w:val="0"/>
        <w:spacing w:line="240" w:lineRule="auto"/>
        <w:textAlignment w:val="baseline"/>
        <w:rPr>
          <w:rFonts w:cs="Arial"/>
          <w:szCs w:val="24"/>
          <w:shd w:val="clear" w:color="auto" w:fill="FFFFFF"/>
          <w:lang w:val="es-ES"/>
        </w:rPr>
      </w:pPr>
      <w:r w:rsidRPr="002C67BC">
        <w:rPr>
          <w:rFonts w:cs="Arial"/>
          <w:szCs w:val="24"/>
          <w:shd w:val="clear" w:color="auto" w:fill="FFFFFF"/>
          <w:lang w:val="es-ES"/>
        </w:rPr>
        <w:t xml:space="preserve">                Magistrado                                                               </w:t>
      </w:r>
      <w:proofErr w:type="spellStart"/>
      <w:r w:rsidRPr="002C67BC">
        <w:rPr>
          <w:rFonts w:cs="Arial"/>
          <w:szCs w:val="24"/>
          <w:shd w:val="clear" w:color="auto" w:fill="FFFFFF"/>
          <w:lang w:val="es-ES"/>
        </w:rPr>
        <w:t>Magistrado</w:t>
      </w:r>
      <w:proofErr w:type="spellEnd"/>
    </w:p>
    <w:p w14:paraId="24C1C2EF" w14:textId="2EA6E2A1" w:rsidR="00D64BB0" w:rsidRPr="002C67BC" w:rsidRDefault="00D64BB0" w:rsidP="00D64BB0">
      <w:pPr>
        <w:widowControl w:val="0"/>
        <w:tabs>
          <w:tab w:val="left" w:pos="3454"/>
        </w:tabs>
        <w:overflowPunct w:val="0"/>
        <w:autoSpaceDE w:val="0"/>
        <w:autoSpaceDN w:val="0"/>
        <w:adjustRightInd w:val="0"/>
        <w:spacing w:line="240" w:lineRule="auto"/>
        <w:jc w:val="center"/>
        <w:textAlignment w:val="baseline"/>
        <w:rPr>
          <w:rFonts w:cs="Arial"/>
          <w:szCs w:val="24"/>
          <w:lang w:val="es-ES" w:eastAsia="es-ES"/>
        </w:rPr>
      </w:pPr>
      <w:r w:rsidRPr="002C67BC">
        <w:rPr>
          <w:rFonts w:cs="Arial"/>
          <w:color w:val="333333"/>
          <w:szCs w:val="24"/>
          <w:shd w:val="clear" w:color="auto" w:fill="FFFFFF"/>
          <w:lang w:val="es-ES"/>
        </w:rPr>
        <w:t> </w:t>
      </w:r>
      <w:r w:rsidRPr="002C67BC">
        <w:rPr>
          <w:rFonts w:cs="Arial"/>
          <w:szCs w:val="24"/>
          <w:lang w:val="es-ES" w:eastAsia="es-ES"/>
        </w:rPr>
        <w:t xml:space="preserve"> </w:t>
      </w:r>
      <w:r w:rsidR="00B217A4" w:rsidRPr="002C67BC">
        <w:rPr>
          <w:rFonts w:cs="Arial"/>
          <w:szCs w:val="24"/>
          <w:lang w:val="es-ES" w:eastAsia="es-ES"/>
        </w:rPr>
        <w:t xml:space="preserve">                                                                </w:t>
      </w:r>
    </w:p>
    <w:p w14:paraId="5D2BAD0A" w14:textId="77777777" w:rsidR="00D64BB0" w:rsidRPr="002C67BC" w:rsidRDefault="00D64BB0" w:rsidP="00D64BB0">
      <w:pPr>
        <w:widowControl w:val="0"/>
        <w:tabs>
          <w:tab w:val="left" w:pos="3454"/>
        </w:tabs>
        <w:overflowPunct w:val="0"/>
        <w:autoSpaceDE w:val="0"/>
        <w:autoSpaceDN w:val="0"/>
        <w:adjustRightInd w:val="0"/>
        <w:spacing w:line="240" w:lineRule="auto"/>
        <w:jc w:val="center"/>
        <w:textAlignment w:val="baseline"/>
        <w:rPr>
          <w:rFonts w:cs="Arial"/>
          <w:sz w:val="22"/>
          <w:lang w:val="es-ES" w:eastAsia="es-ES"/>
        </w:rPr>
      </w:pPr>
      <w:r w:rsidRPr="002C67BC">
        <w:rPr>
          <w:rFonts w:cs="Arial"/>
          <w:bCs/>
          <w:sz w:val="22"/>
          <w:lang w:val="es-ES" w:eastAsia="es-ES"/>
        </w:rPr>
        <w:t>Firmado electrónicamente</w:t>
      </w:r>
    </w:p>
    <w:p w14:paraId="6F9A3DC9" w14:textId="48195DB1" w:rsidR="00D64BB0" w:rsidRPr="002C67BC" w:rsidRDefault="00D64BB0" w:rsidP="00D64BB0">
      <w:pPr>
        <w:overflowPunct w:val="0"/>
        <w:autoSpaceDE w:val="0"/>
        <w:autoSpaceDN w:val="0"/>
        <w:adjustRightInd w:val="0"/>
        <w:spacing w:line="240" w:lineRule="auto"/>
        <w:jc w:val="center"/>
        <w:textAlignment w:val="baseline"/>
        <w:rPr>
          <w:rFonts w:cs="Arial"/>
          <w:b/>
          <w:szCs w:val="24"/>
          <w:lang w:val="es-ES" w:eastAsia="es-ES"/>
        </w:rPr>
      </w:pPr>
      <w:r w:rsidRPr="002C67BC">
        <w:rPr>
          <w:rFonts w:cs="Arial"/>
          <w:b/>
          <w:szCs w:val="24"/>
          <w:lang w:val="es-ES" w:eastAsia="es-ES"/>
        </w:rPr>
        <w:t>RAMIRO PAZOS GUERRERO</w:t>
      </w:r>
    </w:p>
    <w:p w14:paraId="7FB47FD4" w14:textId="73BD29F3" w:rsidR="00237363" w:rsidRPr="002C67BC" w:rsidRDefault="00B518D9" w:rsidP="00D64BB0">
      <w:pPr>
        <w:widowControl w:val="0"/>
        <w:tabs>
          <w:tab w:val="left" w:pos="3454"/>
        </w:tabs>
        <w:overflowPunct w:val="0"/>
        <w:autoSpaceDE w:val="0"/>
        <w:autoSpaceDN w:val="0"/>
        <w:adjustRightInd w:val="0"/>
        <w:spacing w:line="240" w:lineRule="auto"/>
        <w:jc w:val="center"/>
        <w:textAlignment w:val="baseline"/>
        <w:rPr>
          <w:rFonts w:cs="Arial"/>
          <w:szCs w:val="24"/>
          <w:lang w:val="es-ES" w:eastAsia="es-ES"/>
        </w:rPr>
      </w:pPr>
      <w:r w:rsidRPr="002C67BC">
        <w:rPr>
          <w:rFonts w:cs="Arial"/>
          <w:szCs w:val="24"/>
          <w:lang w:val="es-ES" w:eastAsia="es-ES"/>
        </w:rPr>
        <w:t>Magistrado</w:t>
      </w:r>
    </w:p>
    <w:p w14:paraId="412E7FC3" w14:textId="3711B58B" w:rsidR="00AC791C" w:rsidRPr="002C67BC" w:rsidRDefault="00AC791C" w:rsidP="00AC791C">
      <w:pPr>
        <w:ind w:right="1182"/>
        <w:rPr>
          <w:sz w:val="20"/>
          <w:szCs w:val="18"/>
        </w:rPr>
      </w:pPr>
      <w:r w:rsidRPr="002C67BC">
        <w:rPr>
          <w:noProof/>
        </w:rPr>
        <w:drawing>
          <wp:anchor distT="0" distB="0" distL="114300" distR="114300" simplePos="0" relativeHeight="251658240" behindDoc="0" locked="0" layoutInCell="1" allowOverlap="1" wp14:anchorId="13B1A120" wp14:editId="5A605D8B">
            <wp:simplePos x="0" y="0"/>
            <wp:positionH relativeFrom="column">
              <wp:posOffset>5519420</wp:posOffset>
            </wp:positionH>
            <wp:positionV relativeFrom="paragraph">
              <wp:posOffset>120015</wp:posOffset>
            </wp:positionV>
            <wp:extent cx="824230" cy="946785"/>
            <wp:effectExtent l="0" t="0" r="0" b="5715"/>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1">
                      <a:extLst>
                        <a:ext uri="{28A0092B-C50C-407E-A947-70E740481C1C}">
                          <a14:useLocalDpi xmlns:a14="http://schemas.microsoft.com/office/drawing/2010/main" val="0"/>
                        </a:ext>
                      </a:extLst>
                    </a:blip>
                    <a:srcRect l="85850"/>
                    <a:stretch/>
                  </pic:blipFill>
                  <pic:spPr bwMode="auto">
                    <a:xfrm>
                      <a:off x="0" y="0"/>
                      <a:ext cx="824230" cy="946785"/>
                    </a:xfrm>
                    <a:prstGeom prst="rect">
                      <a:avLst/>
                    </a:prstGeom>
                    <a:noFill/>
                    <a:ln>
                      <a:noFill/>
                    </a:ln>
                    <a:extLst>
                      <a:ext uri="{53640926-AAD7-44D8-BBD7-CCE9431645EC}">
                        <a14:shadowObscured xmlns:a14="http://schemas.microsoft.com/office/drawing/2010/main"/>
                      </a:ext>
                    </a:extLst>
                  </pic:spPr>
                </pic:pic>
              </a:graphicData>
            </a:graphic>
          </wp:anchor>
        </w:drawing>
      </w:r>
    </w:p>
    <w:p w14:paraId="6C65260B" w14:textId="53510FC1" w:rsidR="00AC791C" w:rsidRPr="00A12F25" w:rsidRDefault="00AC791C" w:rsidP="009A0B13">
      <w:pPr>
        <w:ind w:right="1182"/>
      </w:pPr>
      <w:r w:rsidRPr="002C67BC">
        <w:rPr>
          <w:sz w:val="20"/>
          <w:szCs w:val="18"/>
        </w:rPr>
        <w:t xml:space="preserve">Esta providencia es auténtica y fue firmada electrónicamente. Para verificar la autenticidad de su contenido puede escanear con su celular el código QR que aparece a la derecha o ingresar al siguiente link: </w:t>
      </w:r>
      <w:hyperlink r:id="rId12" w:history="1">
        <w:r w:rsidRPr="002C67BC">
          <w:rPr>
            <w:rStyle w:val="Hipervnculo"/>
            <w:sz w:val="20"/>
            <w:szCs w:val="18"/>
          </w:rPr>
          <w:t>http://relatoria.consejodeestado.gov.co:8080</w:t>
        </w:r>
      </w:hyperlink>
      <w:r w:rsidRPr="002C67BC">
        <w:rPr>
          <w:sz w:val="20"/>
          <w:szCs w:val="18"/>
        </w:rPr>
        <w:t xml:space="preserve"> y colocar el código alfanumérico que aparece en el acto de notificación.</w:t>
      </w:r>
    </w:p>
    <w:sectPr w:rsidR="00AC791C" w:rsidRPr="00A12F25" w:rsidSect="00306243">
      <w:headerReference w:type="default" r:id="rId13"/>
      <w:headerReference w:type="first" r:id="rId14"/>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679A7" w14:textId="77777777" w:rsidR="000B33D8" w:rsidRDefault="000B33D8" w:rsidP="00BE696A">
      <w:pPr>
        <w:spacing w:line="240" w:lineRule="auto"/>
      </w:pPr>
      <w:r>
        <w:separator/>
      </w:r>
    </w:p>
  </w:endnote>
  <w:endnote w:type="continuationSeparator" w:id="0">
    <w:p w14:paraId="189D6658" w14:textId="77777777" w:rsidR="000B33D8" w:rsidRDefault="000B33D8" w:rsidP="00BE6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Arial Unicode MS"/>
    <w:charset w:val="00"/>
    <w:family w:val="auto"/>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D452F" w14:textId="77777777" w:rsidR="000B33D8" w:rsidRDefault="000B33D8" w:rsidP="00BE696A">
      <w:pPr>
        <w:spacing w:line="240" w:lineRule="auto"/>
      </w:pPr>
      <w:r>
        <w:separator/>
      </w:r>
    </w:p>
  </w:footnote>
  <w:footnote w:type="continuationSeparator" w:id="0">
    <w:p w14:paraId="7DE3A36B" w14:textId="77777777" w:rsidR="000B33D8" w:rsidRDefault="000B33D8" w:rsidP="00BE696A">
      <w:pPr>
        <w:spacing w:line="240" w:lineRule="auto"/>
      </w:pPr>
      <w:r>
        <w:continuationSeparator/>
      </w:r>
    </w:p>
  </w:footnote>
  <w:footnote w:id="1">
    <w:p w14:paraId="48095262" w14:textId="64A273A8" w:rsidR="007E2CFA" w:rsidRPr="007E2CFA" w:rsidRDefault="007E2CFA" w:rsidP="007E2CFA">
      <w:pPr>
        <w:pStyle w:val="Textonotapie"/>
        <w:spacing w:line="240" w:lineRule="auto"/>
        <w:jc w:val="both"/>
        <w:rPr>
          <w:rFonts w:ascii="Arial" w:hAnsi="Arial" w:cs="Arial"/>
        </w:rPr>
      </w:pPr>
      <w:r w:rsidRPr="007E2CFA">
        <w:rPr>
          <w:rStyle w:val="Refdenotaalpie"/>
          <w:rFonts w:ascii="Arial" w:hAnsi="Arial" w:cs="Arial"/>
        </w:rPr>
        <w:footnoteRef/>
      </w:r>
      <w:r w:rsidRPr="007E2CFA">
        <w:rPr>
          <w:rFonts w:ascii="Arial" w:hAnsi="Arial" w:cs="Arial"/>
        </w:rPr>
        <w:t xml:space="preserve"> </w:t>
      </w:r>
      <w:r w:rsidR="000218C6">
        <w:rPr>
          <w:rFonts w:ascii="Arial" w:hAnsi="Arial" w:cs="Arial"/>
        </w:rPr>
        <w:t>Corte Constitucional</w:t>
      </w:r>
      <w:r w:rsidRPr="007E2CFA">
        <w:rPr>
          <w:rFonts w:ascii="Arial" w:hAnsi="Arial" w:cs="Arial"/>
        </w:rPr>
        <w:t>. Sentencia T-1089 de 2005. Ref. T-1149592. C.P. Álvaro Tafur Gálvis.</w:t>
      </w:r>
    </w:p>
  </w:footnote>
  <w:footnote w:id="2">
    <w:p w14:paraId="415D9E14" w14:textId="0F73C2C5" w:rsidR="007E2CFA" w:rsidRPr="007E2CFA" w:rsidRDefault="007E2CFA" w:rsidP="007E2CFA">
      <w:pPr>
        <w:pStyle w:val="Textonotapie"/>
        <w:spacing w:line="240" w:lineRule="auto"/>
        <w:jc w:val="both"/>
        <w:rPr>
          <w:rFonts w:ascii="Arial" w:hAnsi="Arial" w:cs="Arial"/>
        </w:rPr>
      </w:pPr>
      <w:r w:rsidRPr="007E2CFA">
        <w:rPr>
          <w:rStyle w:val="Refdenotaalpie"/>
          <w:rFonts w:ascii="Arial" w:hAnsi="Arial" w:cs="Arial"/>
        </w:rPr>
        <w:footnoteRef/>
      </w:r>
      <w:r w:rsidRPr="007E2CFA">
        <w:rPr>
          <w:rFonts w:ascii="Arial" w:hAnsi="Arial" w:cs="Arial"/>
        </w:rPr>
        <w:t xml:space="preserve"> Consejo de Estado. Sala Plena de lo Contencioso Administrativo. Radicado: 11001-03-15-000-2012-02201-01. C.P. Jorge Octavio Ramírez Ramírez.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DC025" w14:textId="465FF8B9" w:rsidR="00EC5FA4" w:rsidRPr="00EC5FA4" w:rsidRDefault="00EC5FA4" w:rsidP="00EC5FA4">
    <w:pPr>
      <w:pStyle w:val="Encabezado"/>
      <w:jc w:val="right"/>
      <w:rPr>
        <w:rFonts w:cs="Arial"/>
        <w:i/>
        <w:iCs/>
        <w:sz w:val="20"/>
        <w:szCs w:val="20"/>
      </w:rPr>
    </w:pPr>
    <w:r w:rsidRPr="00EC5FA4">
      <w:rPr>
        <w:rFonts w:cs="Arial"/>
        <w:i/>
        <w:iCs/>
        <w:sz w:val="20"/>
        <w:szCs w:val="20"/>
      </w:rPr>
      <w:t>Radicado: 11001031500020200</w:t>
    </w:r>
    <w:r w:rsidR="00DE2A6D">
      <w:rPr>
        <w:rFonts w:cs="Arial"/>
        <w:i/>
        <w:iCs/>
        <w:sz w:val="20"/>
        <w:szCs w:val="20"/>
      </w:rPr>
      <w:t>4</w:t>
    </w:r>
    <w:r w:rsidR="0042270A">
      <w:rPr>
        <w:rFonts w:cs="Arial"/>
        <w:i/>
        <w:iCs/>
        <w:sz w:val="20"/>
        <w:szCs w:val="20"/>
      </w:rPr>
      <w:t>335</w:t>
    </w:r>
    <w:r w:rsidRPr="00EC5FA4">
      <w:rPr>
        <w:rFonts w:cs="Arial"/>
        <w:i/>
        <w:iCs/>
        <w:sz w:val="20"/>
        <w:szCs w:val="20"/>
      </w:rPr>
      <w:t>0</w:t>
    </w:r>
    <w:r w:rsidR="004D186D">
      <w:rPr>
        <w:rFonts w:cs="Arial"/>
        <w:i/>
        <w:iCs/>
        <w:sz w:val="20"/>
        <w:szCs w:val="20"/>
      </w:rPr>
      <w:t>1</w:t>
    </w:r>
  </w:p>
  <w:p w14:paraId="72514A24" w14:textId="7E288612" w:rsidR="00EC5FA4" w:rsidRPr="00EC5FA4" w:rsidRDefault="00EC5FA4" w:rsidP="00EC5FA4">
    <w:pPr>
      <w:pStyle w:val="Encabezado"/>
      <w:jc w:val="right"/>
      <w:rPr>
        <w:rFonts w:cs="Arial"/>
        <w:i/>
        <w:iCs/>
        <w:sz w:val="20"/>
        <w:szCs w:val="20"/>
      </w:rPr>
    </w:pPr>
    <w:r w:rsidRPr="00EC5FA4">
      <w:rPr>
        <w:rFonts w:cs="Arial"/>
        <w:i/>
        <w:iCs/>
        <w:sz w:val="20"/>
        <w:szCs w:val="20"/>
      </w:rPr>
      <w:t xml:space="preserve">Demandante: </w:t>
    </w:r>
    <w:r w:rsidR="0042270A">
      <w:rPr>
        <w:rFonts w:cs="Arial"/>
        <w:i/>
        <w:iCs/>
        <w:sz w:val="20"/>
        <w:szCs w:val="20"/>
      </w:rPr>
      <w:t xml:space="preserve">Luis Felipe Barrios </w:t>
    </w:r>
    <w:proofErr w:type="spellStart"/>
    <w:r w:rsidR="0042270A">
      <w:rPr>
        <w:rFonts w:cs="Arial"/>
        <w:i/>
        <w:iCs/>
        <w:sz w:val="20"/>
        <w:szCs w:val="20"/>
      </w:rPr>
      <w:t>Barrios</w:t>
    </w:r>
    <w:proofErr w:type="spellEnd"/>
  </w:p>
  <w:p w14:paraId="33964D47" w14:textId="2E0A64DA" w:rsidR="00BE696A" w:rsidRDefault="00EC5FA4" w:rsidP="00EC5FA4">
    <w:pPr>
      <w:pStyle w:val="Encabezado"/>
      <w:pBdr>
        <w:bottom w:val="single" w:sz="12" w:space="1" w:color="auto"/>
      </w:pBdr>
      <w:jc w:val="right"/>
      <w:rPr>
        <w:rFonts w:cs="Arial"/>
        <w:i/>
        <w:iCs/>
        <w:sz w:val="20"/>
        <w:szCs w:val="20"/>
      </w:rPr>
    </w:pPr>
    <w:r w:rsidRPr="00EC5FA4">
      <w:rPr>
        <w:rFonts w:cs="Arial"/>
        <w:i/>
        <w:iCs/>
        <w:sz w:val="20"/>
        <w:szCs w:val="20"/>
      </w:rPr>
      <w:t>Acción de tutela</w:t>
    </w:r>
  </w:p>
  <w:p w14:paraId="0DC4B846" w14:textId="77777777" w:rsidR="00461C3C" w:rsidRPr="00EC5FA4" w:rsidRDefault="00461C3C" w:rsidP="00EC5FA4">
    <w:pPr>
      <w:pStyle w:val="Encabezado"/>
      <w:jc w:val="right"/>
      <w:rPr>
        <w:rFonts w:cs="Arial"/>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EA387" w14:textId="77777777" w:rsidR="006613B5" w:rsidRDefault="006613B5">
    <w:pPr>
      <w:pStyle w:val="Encabezado"/>
    </w:pPr>
    <w:r w:rsidRPr="00EC5FA4">
      <w:rPr>
        <w:rFonts w:cs="Arial"/>
        <w:i/>
        <w:iCs/>
        <w:noProof/>
        <w:sz w:val="22"/>
      </w:rPr>
      <w:drawing>
        <wp:anchor distT="0" distB="0" distL="114300" distR="114300" simplePos="0" relativeHeight="251661312" behindDoc="0" locked="0" layoutInCell="1" allowOverlap="1" wp14:anchorId="113E0851" wp14:editId="13D1D588">
          <wp:simplePos x="0" y="0"/>
          <wp:positionH relativeFrom="margin">
            <wp:align>left</wp:align>
          </wp:positionH>
          <wp:positionV relativeFrom="paragraph">
            <wp:posOffset>-124460</wp:posOffset>
          </wp:positionV>
          <wp:extent cx="992505" cy="923925"/>
          <wp:effectExtent l="0" t="0" r="0"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505"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63885"/>
    <w:multiLevelType w:val="hybridMultilevel"/>
    <w:tmpl w:val="61E85B52"/>
    <w:lvl w:ilvl="0" w:tplc="CDE672C0">
      <w:start w:val="1"/>
      <w:numFmt w:val="decimal"/>
      <w:pStyle w:val="Otrascitas"/>
      <w:lvlText w:val="%1."/>
      <w:lvlJc w:val="left"/>
      <w:pPr>
        <w:ind w:left="4613" w:hanging="360"/>
      </w:pPr>
      <w:rPr>
        <w:rFonts w:ascii="Arial" w:hAnsi="Arial" w:cs="Arial" w:hint="default"/>
        <w:b w:val="0"/>
        <w:i w:val="0"/>
        <w:sz w:val="24"/>
        <w:lang w:val="es-E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2E3136F3"/>
    <w:multiLevelType w:val="hybridMultilevel"/>
    <w:tmpl w:val="F48C431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4B885D56"/>
    <w:multiLevelType w:val="hybridMultilevel"/>
    <w:tmpl w:val="FFAC2ED0"/>
    <w:lvl w:ilvl="0" w:tplc="8D3EFE00">
      <w:start w:val="1"/>
      <w:numFmt w:val="decimal"/>
      <w:lvlText w:val="%1."/>
      <w:lvlJc w:val="left"/>
      <w:pPr>
        <w:ind w:left="1211" w:hanging="360"/>
      </w:pPr>
    </w:lvl>
    <w:lvl w:ilvl="1" w:tplc="0C0A0019">
      <w:start w:val="1"/>
      <w:numFmt w:val="lowerLetter"/>
      <w:lvlText w:val="%2."/>
      <w:lvlJc w:val="left"/>
      <w:pPr>
        <w:ind w:left="1931" w:hanging="360"/>
      </w:pPr>
    </w:lvl>
    <w:lvl w:ilvl="2" w:tplc="0C0A001B">
      <w:start w:val="1"/>
      <w:numFmt w:val="lowerRoman"/>
      <w:lvlText w:val="%3."/>
      <w:lvlJc w:val="right"/>
      <w:pPr>
        <w:ind w:left="2651" w:hanging="180"/>
      </w:pPr>
    </w:lvl>
    <w:lvl w:ilvl="3" w:tplc="0C0A000F">
      <w:start w:val="1"/>
      <w:numFmt w:val="decimal"/>
      <w:lvlText w:val="%4."/>
      <w:lvlJc w:val="left"/>
      <w:pPr>
        <w:ind w:left="3371" w:hanging="360"/>
      </w:pPr>
    </w:lvl>
    <w:lvl w:ilvl="4" w:tplc="0C0A0019">
      <w:start w:val="1"/>
      <w:numFmt w:val="lowerLetter"/>
      <w:lvlText w:val="%5."/>
      <w:lvlJc w:val="left"/>
      <w:pPr>
        <w:ind w:left="4091" w:hanging="360"/>
      </w:pPr>
    </w:lvl>
    <w:lvl w:ilvl="5" w:tplc="0C0A001B">
      <w:start w:val="1"/>
      <w:numFmt w:val="lowerRoman"/>
      <w:lvlText w:val="%6."/>
      <w:lvlJc w:val="right"/>
      <w:pPr>
        <w:ind w:left="4811" w:hanging="180"/>
      </w:pPr>
    </w:lvl>
    <w:lvl w:ilvl="6" w:tplc="0C0A000F">
      <w:start w:val="1"/>
      <w:numFmt w:val="decimal"/>
      <w:lvlText w:val="%7."/>
      <w:lvlJc w:val="left"/>
      <w:pPr>
        <w:ind w:left="5531" w:hanging="360"/>
      </w:pPr>
    </w:lvl>
    <w:lvl w:ilvl="7" w:tplc="0C0A0019">
      <w:start w:val="1"/>
      <w:numFmt w:val="lowerLetter"/>
      <w:lvlText w:val="%8."/>
      <w:lvlJc w:val="left"/>
      <w:pPr>
        <w:ind w:left="6251" w:hanging="360"/>
      </w:pPr>
    </w:lvl>
    <w:lvl w:ilvl="8" w:tplc="0C0A001B">
      <w:start w:val="1"/>
      <w:numFmt w:val="lowerRoman"/>
      <w:lvlText w:val="%9."/>
      <w:lvlJc w:val="right"/>
      <w:pPr>
        <w:ind w:left="6971" w:hanging="180"/>
      </w:pPr>
    </w:lvl>
  </w:abstractNum>
  <w:abstractNum w:abstractNumId="3" w15:restartNumberingAfterBreak="0">
    <w:nsid w:val="55240F20"/>
    <w:multiLevelType w:val="hybridMultilevel"/>
    <w:tmpl w:val="584013BA"/>
    <w:lvl w:ilvl="0" w:tplc="460EF8CA">
      <w:start w:val="1"/>
      <w:numFmt w:val="decimal"/>
      <w:lvlText w:val="%1."/>
      <w:lvlJc w:val="left"/>
      <w:pPr>
        <w:ind w:left="9008" w:hanging="360"/>
      </w:pPr>
      <w:rPr>
        <w:b w:val="0"/>
        <w:i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83B5270"/>
    <w:multiLevelType w:val="multilevel"/>
    <w:tmpl w:val="E7A2E7BC"/>
    <w:lvl w:ilvl="0">
      <w:start w:val="3"/>
      <w:numFmt w:val="decimal"/>
      <w:lvlText w:val="%1."/>
      <w:lvlJc w:val="left"/>
      <w:pPr>
        <w:ind w:left="1856" w:hanging="360"/>
      </w:pPr>
      <w:rPr>
        <w:rFonts w:ascii="Century Gothic" w:hAnsi="Century Gothic" w:hint="default"/>
        <w:b w:val="0"/>
        <w:i w:val="0"/>
        <w:sz w:val="24"/>
        <w:szCs w:val="24"/>
      </w:rPr>
    </w:lvl>
    <w:lvl w:ilvl="1">
      <w:start w:val="1"/>
      <w:numFmt w:val="decimal"/>
      <w:isLgl/>
      <w:lvlText w:val="%1.%2."/>
      <w:lvlJc w:val="left"/>
      <w:pPr>
        <w:ind w:left="2216" w:hanging="720"/>
      </w:pPr>
      <w:rPr>
        <w:rFonts w:hint="default"/>
      </w:rPr>
    </w:lvl>
    <w:lvl w:ilvl="2">
      <w:start w:val="1"/>
      <w:numFmt w:val="decimal"/>
      <w:isLgl/>
      <w:lvlText w:val="%1.%2.%3."/>
      <w:lvlJc w:val="left"/>
      <w:pPr>
        <w:ind w:left="2216"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936" w:hanging="1440"/>
      </w:pPr>
      <w:rPr>
        <w:rFonts w:hint="default"/>
      </w:rPr>
    </w:lvl>
    <w:lvl w:ilvl="6">
      <w:start w:val="1"/>
      <w:numFmt w:val="decimal"/>
      <w:isLgl/>
      <w:lvlText w:val="%1.%2.%3.%4.%5.%6.%7."/>
      <w:lvlJc w:val="left"/>
      <w:pPr>
        <w:ind w:left="3296" w:hanging="1800"/>
      </w:pPr>
      <w:rPr>
        <w:rFonts w:hint="default"/>
      </w:rPr>
    </w:lvl>
    <w:lvl w:ilvl="7">
      <w:start w:val="1"/>
      <w:numFmt w:val="decimal"/>
      <w:isLgl/>
      <w:lvlText w:val="%1.%2.%3.%4.%5.%6.%7.%8."/>
      <w:lvlJc w:val="left"/>
      <w:pPr>
        <w:ind w:left="3296" w:hanging="1800"/>
      </w:pPr>
      <w:rPr>
        <w:rFonts w:hint="default"/>
      </w:rPr>
    </w:lvl>
    <w:lvl w:ilvl="8">
      <w:start w:val="1"/>
      <w:numFmt w:val="decimal"/>
      <w:isLgl/>
      <w:lvlText w:val="%1.%2.%3.%4.%5.%6.%7.%8.%9."/>
      <w:lvlJc w:val="left"/>
      <w:pPr>
        <w:ind w:left="3656" w:hanging="2160"/>
      </w:pPr>
      <w:rPr>
        <w:rFonts w:hint="default"/>
      </w:rPr>
    </w:lvl>
  </w:abstractNum>
  <w:abstractNum w:abstractNumId="5" w15:restartNumberingAfterBreak="0">
    <w:nsid w:val="79324B3A"/>
    <w:multiLevelType w:val="hybridMultilevel"/>
    <w:tmpl w:val="83EA1D4C"/>
    <w:lvl w:ilvl="0" w:tplc="7F682322">
      <w:start w:val="1"/>
      <w:numFmt w:val="decimal"/>
      <w:lvlText w:val="%1."/>
      <w:lvlJc w:val="left"/>
      <w:pPr>
        <w:ind w:left="360" w:hanging="360"/>
      </w:pPr>
      <w:rPr>
        <w:rFonts w:ascii="Arial" w:hAnsi="Arial" w:cs="Arial" w:hint="default"/>
        <w:b w:val="0"/>
        <w:i w:val="0"/>
        <w:sz w:val="24"/>
        <w:szCs w:val="24"/>
        <w:lang w:val="es-C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56"/>
    <w:rsid w:val="0001186C"/>
    <w:rsid w:val="00021334"/>
    <w:rsid w:val="000218C6"/>
    <w:rsid w:val="00023A19"/>
    <w:rsid w:val="000555AD"/>
    <w:rsid w:val="000574EF"/>
    <w:rsid w:val="00072478"/>
    <w:rsid w:val="0008395C"/>
    <w:rsid w:val="0009251A"/>
    <w:rsid w:val="000944C5"/>
    <w:rsid w:val="00095773"/>
    <w:rsid w:val="00097728"/>
    <w:rsid w:val="000B33D8"/>
    <w:rsid w:val="000C5BD8"/>
    <w:rsid w:val="000D14CF"/>
    <w:rsid w:val="000D1D99"/>
    <w:rsid w:val="000D37BB"/>
    <w:rsid w:val="000F2E24"/>
    <w:rsid w:val="000F5952"/>
    <w:rsid w:val="00163BC0"/>
    <w:rsid w:val="00170F2C"/>
    <w:rsid w:val="001745C2"/>
    <w:rsid w:val="001A7333"/>
    <w:rsid w:val="001B3635"/>
    <w:rsid w:val="001B6903"/>
    <w:rsid w:val="001C478D"/>
    <w:rsid w:val="00214511"/>
    <w:rsid w:val="002215F0"/>
    <w:rsid w:val="002271A0"/>
    <w:rsid w:val="00230D3A"/>
    <w:rsid w:val="00235C2C"/>
    <w:rsid w:val="00237363"/>
    <w:rsid w:val="00241A5E"/>
    <w:rsid w:val="00256083"/>
    <w:rsid w:val="00287F31"/>
    <w:rsid w:val="00294AE8"/>
    <w:rsid w:val="00294C21"/>
    <w:rsid w:val="002A005E"/>
    <w:rsid w:val="002B59E8"/>
    <w:rsid w:val="002C67BC"/>
    <w:rsid w:val="002F049B"/>
    <w:rsid w:val="00302928"/>
    <w:rsid w:val="00305988"/>
    <w:rsid w:val="00306243"/>
    <w:rsid w:val="003071FE"/>
    <w:rsid w:val="00324580"/>
    <w:rsid w:val="00332922"/>
    <w:rsid w:val="00357932"/>
    <w:rsid w:val="003626B8"/>
    <w:rsid w:val="003837C6"/>
    <w:rsid w:val="003A3A1B"/>
    <w:rsid w:val="003A41E7"/>
    <w:rsid w:val="003B06A9"/>
    <w:rsid w:val="003B4DB4"/>
    <w:rsid w:val="003C7223"/>
    <w:rsid w:val="003D5230"/>
    <w:rsid w:val="003E45B6"/>
    <w:rsid w:val="003E5A70"/>
    <w:rsid w:val="00404D32"/>
    <w:rsid w:val="00422552"/>
    <w:rsid w:val="0042270A"/>
    <w:rsid w:val="0043731D"/>
    <w:rsid w:val="00441247"/>
    <w:rsid w:val="0044788D"/>
    <w:rsid w:val="00452245"/>
    <w:rsid w:val="00452F80"/>
    <w:rsid w:val="00461C3C"/>
    <w:rsid w:val="00463CBC"/>
    <w:rsid w:val="00463F07"/>
    <w:rsid w:val="004717C1"/>
    <w:rsid w:val="0047509D"/>
    <w:rsid w:val="00477A2F"/>
    <w:rsid w:val="00484304"/>
    <w:rsid w:val="004A0863"/>
    <w:rsid w:val="004A0F94"/>
    <w:rsid w:val="004B5042"/>
    <w:rsid w:val="004B5509"/>
    <w:rsid w:val="004C4833"/>
    <w:rsid w:val="004D186D"/>
    <w:rsid w:val="004E3C8D"/>
    <w:rsid w:val="004F1427"/>
    <w:rsid w:val="00510971"/>
    <w:rsid w:val="0052373A"/>
    <w:rsid w:val="0053145F"/>
    <w:rsid w:val="0053352F"/>
    <w:rsid w:val="00535910"/>
    <w:rsid w:val="0055371E"/>
    <w:rsid w:val="00555028"/>
    <w:rsid w:val="005578CC"/>
    <w:rsid w:val="00565FF8"/>
    <w:rsid w:val="005747D0"/>
    <w:rsid w:val="00587A8C"/>
    <w:rsid w:val="00593B16"/>
    <w:rsid w:val="005A7954"/>
    <w:rsid w:val="005B21A2"/>
    <w:rsid w:val="005C2DB5"/>
    <w:rsid w:val="005D2264"/>
    <w:rsid w:val="005E2EDA"/>
    <w:rsid w:val="00610F2B"/>
    <w:rsid w:val="00616566"/>
    <w:rsid w:val="00622B7E"/>
    <w:rsid w:val="00644865"/>
    <w:rsid w:val="00644FEA"/>
    <w:rsid w:val="006613B5"/>
    <w:rsid w:val="00663E69"/>
    <w:rsid w:val="006760DA"/>
    <w:rsid w:val="006766F6"/>
    <w:rsid w:val="006A17FC"/>
    <w:rsid w:val="006A488E"/>
    <w:rsid w:val="006C34E9"/>
    <w:rsid w:val="006D3169"/>
    <w:rsid w:val="006D3F46"/>
    <w:rsid w:val="006E25D3"/>
    <w:rsid w:val="007241FC"/>
    <w:rsid w:val="00725DB4"/>
    <w:rsid w:val="007343F1"/>
    <w:rsid w:val="007370D4"/>
    <w:rsid w:val="00751123"/>
    <w:rsid w:val="00755838"/>
    <w:rsid w:val="0075742A"/>
    <w:rsid w:val="007826EB"/>
    <w:rsid w:val="00782CEA"/>
    <w:rsid w:val="00796AE4"/>
    <w:rsid w:val="007A1D05"/>
    <w:rsid w:val="007A508C"/>
    <w:rsid w:val="007D5512"/>
    <w:rsid w:val="007E2CFA"/>
    <w:rsid w:val="007E7DAE"/>
    <w:rsid w:val="007F1691"/>
    <w:rsid w:val="007F1FFE"/>
    <w:rsid w:val="0081656F"/>
    <w:rsid w:val="008402E7"/>
    <w:rsid w:val="00841F2E"/>
    <w:rsid w:val="00842409"/>
    <w:rsid w:val="008431E7"/>
    <w:rsid w:val="008462E3"/>
    <w:rsid w:val="008464C7"/>
    <w:rsid w:val="008471EE"/>
    <w:rsid w:val="0085679F"/>
    <w:rsid w:val="008662DD"/>
    <w:rsid w:val="00871881"/>
    <w:rsid w:val="008825FB"/>
    <w:rsid w:val="00885F29"/>
    <w:rsid w:val="008A2B2A"/>
    <w:rsid w:val="008A3F3B"/>
    <w:rsid w:val="008A6B78"/>
    <w:rsid w:val="008B0A97"/>
    <w:rsid w:val="008D349A"/>
    <w:rsid w:val="008D47B1"/>
    <w:rsid w:val="008F3069"/>
    <w:rsid w:val="00920C8A"/>
    <w:rsid w:val="009225D6"/>
    <w:rsid w:val="00923D5C"/>
    <w:rsid w:val="00934AFE"/>
    <w:rsid w:val="00940E53"/>
    <w:rsid w:val="00947428"/>
    <w:rsid w:val="00967BA7"/>
    <w:rsid w:val="00980259"/>
    <w:rsid w:val="009823AA"/>
    <w:rsid w:val="009825BD"/>
    <w:rsid w:val="009908A8"/>
    <w:rsid w:val="009937BE"/>
    <w:rsid w:val="009A0B13"/>
    <w:rsid w:val="009A3C84"/>
    <w:rsid w:val="009B4656"/>
    <w:rsid w:val="009B4939"/>
    <w:rsid w:val="009B5FB7"/>
    <w:rsid w:val="009D1090"/>
    <w:rsid w:val="009D1A7E"/>
    <w:rsid w:val="009E2866"/>
    <w:rsid w:val="00A03B45"/>
    <w:rsid w:val="00A12F25"/>
    <w:rsid w:val="00A16222"/>
    <w:rsid w:val="00A31E39"/>
    <w:rsid w:val="00A471D5"/>
    <w:rsid w:val="00A51ABA"/>
    <w:rsid w:val="00A5382E"/>
    <w:rsid w:val="00A56152"/>
    <w:rsid w:val="00A623EA"/>
    <w:rsid w:val="00A80E76"/>
    <w:rsid w:val="00A94E4A"/>
    <w:rsid w:val="00AA52E2"/>
    <w:rsid w:val="00AA6FA0"/>
    <w:rsid w:val="00AB4DC7"/>
    <w:rsid w:val="00AC09A2"/>
    <w:rsid w:val="00AC791C"/>
    <w:rsid w:val="00AD40F8"/>
    <w:rsid w:val="00AD46F0"/>
    <w:rsid w:val="00AD664C"/>
    <w:rsid w:val="00AD7BB6"/>
    <w:rsid w:val="00B014BC"/>
    <w:rsid w:val="00B217A4"/>
    <w:rsid w:val="00B27E33"/>
    <w:rsid w:val="00B37E85"/>
    <w:rsid w:val="00B518D9"/>
    <w:rsid w:val="00B549B0"/>
    <w:rsid w:val="00B62437"/>
    <w:rsid w:val="00B65580"/>
    <w:rsid w:val="00B679DC"/>
    <w:rsid w:val="00B76DD4"/>
    <w:rsid w:val="00B8085F"/>
    <w:rsid w:val="00B83C21"/>
    <w:rsid w:val="00B8513A"/>
    <w:rsid w:val="00B87936"/>
    <w:rsid w:val="00BB1DAF"/>
    <w:rsid w:val="00BC6ADE"/>
    <w:rsid w:val="00BD3C45"/>
    <w:rsid w:val="00BD78B0"/>
    <w:rsid w:val="00BE2AB9"/>
    <w:rsid w:val="00BE696A"/>
    <w:rsid w:val="00C10F7A"/>
    <w:rsid w:val="00C55D32"/>
    <w:rsid w:val="00C6061C"/>
    <w:rsid w:val="00C62264"/>
    <w:rsid w:val="00C731F2"/>
    <w:rsid w:val="00C852CD"/>
    <w:rsid w:val="00C86601"/>
    <w:rsid w:val="00C87C6B"/>
    <w:rsid w:val="00CB7A61"/>
    <w:rsid w:val="00CC0CFE"/>
    <w:rsid w:val="00CC183A"/>
    <w:rsid w:val="00CC2DDD"/>
    <w:rsid w:val="00CC7094"/>
    <w:rsid w:val="00CD3D95"/>
    <w:rsid w:val="00CD53DD"/>
    <w:rsid w:val="00CE7501"/>
    <w:rsid w:val="00D00E63"/>
    <w:rsid w:val="00D12077"/>
    <w:rsid w:val="00D17B1B"/>
    <w:rsid w:val="00D17C9F"/>
    <w:rsid w:val="00D24A51"/>
    <w:rsid w:val="00D2534A"/>
    <w:rsid w:val="00D279DC"/>
    <w:rsid w:val="00D31AA1"/>
    <w:rsid w:val="00D4421D"/>
    <w:rsid w:val="00D64BB0"/>
    <w:rsid w:val="00D83092"/>
    <w:rsid w:val="00D84CEF"/>
    <w:rsid w:val="00D92196"/>
    <w:rsid w:val="00DA7CEF"/>
    <w:rsid w:val="00DC0936"/>
    <w:rsid w:val="00DC309A"/>
    <w:rsid w:val="00DD30DE"/>
    <w:rsid w:val="00DE2A6D"/>
    <w:rsid w:val="00DF2342"/>
    <w:rsid w:val="00E01E5F"/>
    <w:rsid w:val="00E14D58"/>
    <w:rsid w:val="00E17461"/>
    <w:rsid w:val="00E25EEF"/>
    <w:rsid w:val="00E30265"/>
    <w:rsid w:val="00E3266B"/>
    <w:rsid w:val="00E64728"/>
    <w:rsid w:val="00E85EEA"/>
    <w:rsid w:val="00E91036"/>
    <w:rsid w:val="00EA016C"/>
    <w:rsid w:val="00EA0E46"/>
    <w:rsid w:val="00EC5FA4"/>
    <w:rsid w:val="00ED1AF4"/>
    <w:rsid w:val="00EE4879"/>
    <w:rsid w:val="00EE71FB"/>
    <w:rsid w:val="00EF0FE8"/>
    <w:rsid w:val="00F17360"/>
    <w:rsid w:val="00F21BB1"/>
    <w:rsid w:val="00F2434C"/>
    <w:rsid w:val="00F44E5F"/>
    <w:rsid w:val="00F466B7"/>
    <w:rsid w:val="00F71AD3"/>
    <w:rsid w:val="00F75BDA"/>
    <w:rsid w:val="00F82F41"/>
    <w:rsid w:val="00FC2FCD"/>
    <w:rsid w:val="00FD570F"/>
    <w:rsid w:val="00FD6179"/>
    <w:rsid w:val="00FD7746"/>
    <w:rsid w:val="00FF27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384CE"/>
  <w15:chartTrackingRefBased/>
  <w15:docId w15:val="{DC9CD777-5DDE-4E16-BD7C-11B6A1CA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036"/>
    <w:pPr>
      <w:spacing w:after="0" w:line="360" w:lineRule="auto"/>
      <w:jc w:val="both"/>
    </w:pPr>
    <w:rPr>
      <w:rFonts w:ascii="Arial" w:hAnsi="Arial"/>
      <w:sz w:val="24"/>
    </w:rPr>
  </w:style>
  <w:style w:type="paragraph" w:styleId="Ttulo1">
    <w:name w:val="heading 1"/>
    <w:aliases w:val="Título principal"/>
    <w:basedOn w:val="Normal"/>
    <w:next w:val="Normal"/>
    <w:link w:val="Ttulo1Car"/>
    <w:autoRedefine/>
    <w:uiPriority w:val="9"/>
    <w:qFormat/>
    <w:rsid w:val="00F466B7"/>
    <w:pPr>
      <w:keepNext/>
      <w:keepLines/>
      <w:spacing w:before="240"/>
      <w:jc w:val="center"/>
      <w:outlineLvl w:val="0"/>
    </w:pPr>
    <w:rPr>
      <w:rFonts w:eastAsiaTheme="majorEastAsia" w:cstheme="majorBidi"/>
      <w:b/>
      <w:caps/>
      <w:szCs w:val="32"/>
    </w:rPr>
  </w:style>
  <w:style w:type="paragraph" w:styleId="Ttulo2">
    <w:name w:val="heading 2"/>
    <w:aliases w:val="Substitulos"/>
    <w:basedOn w:val="Normal"/>
    <w:next w:val="Normal"/>
    <w:link w:val="Ttulo2Car"/>
    <w:autoRedefine/>
    <w:uiPriority w:val="9"/>
    <w:unhideWhenUsed/>
    <w:qFormat/>
    <w:rsid w:val="000574EF"/>
    <w:pPr>
      <w:keepNext/>
      <w:keepLines/>
      <w:outlineLvl w:val="1"/>
    </w:pPr>
    <w:rPr>
      <w:rFonts w:eastAsiaTheme="majorEastAsia" w:cstheme="majorBidi"/>
      <w:b/>
      <w:szCs w:val="26"/>
    </w:rPr>
  </w:style>
  <w:style w:type="paragraph" w:styleId="Ttulo3">
    <w:name w:val="heading 3"/>
    <w:basedOn w:val="Normal"/>
    <w:next w:val="Normal"/>
    <w:link w:val="Ttulo3Car"/>
    <w:uiPriority w:val="9"/>
    <w:unhideWhenUsed/>
    <w:rsid w:val="0044788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696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E696A"/>
  </w:style>
  <w:style w:type="paragraph" w:styleId="Piedepgina">
    <w:name w:val="footer"/>
    <w:basedOn w:val="Normal"/>
    <w:link w:val="PiedepginaCar"/>
    <w:uiPriority w:val="99"/>
    <w:unhideWhenUsed/>
    <w:rsid w:val="00BE696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E696A"/>
  </w:style>
  <w:style w:type="character" w:styleId="Textodelmarcadordeposicin">
    <w:name w:val="Placeholder Text"/>
    <w:basedOn w:val="Fuentedeprrafopredeter"/>
    <w:uiPriority w:val="99"/>
    <w:semiHidden/>
    <w:rsid w:val="00BE2AB9"/>
    <w:rPr>
      <w:color w:val="808080"/>
    </w:rPr>
  </w:style>
  <w:style w:type="paragraph" w:customStyle="1" w:styleId="Textoindependiente21">
    <w:name w:val="Texto independiente 21"/>
    <w:basedOn w:val="Normal"/>
    <w:rsid w:val="004C4833"/>
    <w:pPr>
      <w:widowControl w:val="0"/>
      <w:suppressAutoHyphens/>
      <w:overflowPunct w:val="0"/>
      <w:autoSpaceDE w:val="0"/>
      <w:spacing w:after="120" w:line="240" w:lineRule="auto"/>
      <w:ind w:left="283"/>
    </w:pPr>
    <w:rPr>
      <w:rFonts w:eastAsia="DejaVu Sans" w:cs="Arial"/>
      <w:kern w:val="2"/>
      <w:szCs w:val="20"/>
      <w:lang w:val="es-ES_tradnl" w:eastAsia="zh-CN" w:bidi="hi-IN"/>
    </w:rPr>
  </w:style>
  <w:style w:type="character" w:customStyle="1" w:styleId="Ttulo1Car">
    <w:name w:val="Título 1 Car"/>
    <w:aliases w:val="Título principal Car"/>
    <w:basedOn w:val="Fuentedeprrafopredeter"/>
    <w:link w:val="Ttulo1"/>
    <w:uiPriority w:val="9"/>
    <w:rsid w:val="00F466B7"/>
    <w:rPr>
      <w:rFonts w:ascii="Arial" w:eastAsiaTheme="majorEastAsia" w:hAnsi="Arial" w:cstheme="majorBidi"/>
      <w:b/>
      <w:caps/>
      <w:sz w:val="24"/>
      <w:szCs w:val="32"/>
    </w:rPr>
  </w:style>
  <w:style w:type="paragraph" w:styleId="Ttulo">
    <w:name w:val="Title"/>
    <w:basedOn w:val="Normal"/>
    <w:next w:val="Normal"/>
    <w:link w:val="TtuloCar"/>
    <w:uiPriority w:val="10"/>
    <w:qFormat/>
    <w:rsid w:val="00EC5FA4"/>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5FA4"/>
    <w:rPr>
      <w:rFonts w:asciiTheme="majorHAnsi" w:eastAsiaTheme="majorEastAsia" w:hAnsiTheme="majorHAnsi" w:cstheme="majorBidi"/>
      <w:spacing w:val="-10"/>
      <w:kern w:val="28"/>
      <w:sz w:val="56"/>
      <w:szCs w:val="56"/>
    </w:rPr>
  </w:style>
  <w:style w:type="character" w:customStyle="1" w:styleId="SinespaciadoCar">
    <w:name w:val="Sin espaciado Car"/>
    <w:aliases w:val="Citas Car"/>
    <w:link w:val="Sinespaciado"/>
    <w:uiPriority w:val="1"/>
    <w:locked/>
    <w:rsid w:val="00BC6ADE"/>
    <w:rPr>
      <w:rFonts w:ascii="Arial" w:hAnsi="Arial"/>
      <w:i/>
    </w:rPr>
  </w:style>
  <w:style w:type="paragraph" w:styleId="Sinespaciado">
    <w:name w:val="No Spacing"/>
    <w:aliases w:val="Citas"/>
    <w:link w:val="SinespaciadoCar"/>
    <w:uiPriority w:val="1"/>
    <w:qFormat/>
    <w:rsid w:val="00BC6ADE"/>
    <w:pPr>
      <w:spacing w:after="0" w:line="240" w:lineRule="auto"/>
      <w:ind w:left="708"/>
      <w:jc w:val="both"/>
    </w:pPr>
    <w:rPr>
      <w:rFonts w:ascii="Arial" w:hAnsi="Arial"/>
      <w:i/>
    </w:rPr>
  </w:style>
  <w:style w:type="paragraph" w:customStyle="1" w:styleId="Otrascitas">
    <w:name w:val="Otras citas"/>
    <w:basedOn w:val="Normal"/>
    <w:autoRedefine/>
    <w:rsid w:val="00302928"/>
    <w:pPr>
      <w:numPr>
        <w:numId w:val="1"/>
      </w:numPr>
      <w:tabs>
        <w:tab w:val="left" w:pos="284"/>
      </w:tabs>
      <w:ind w:left="851" w:right="851" w:firstLine="0"/>
      <w:contextualSpacing/>
    </w:pPr>
    <w:rPr>
      <w:rFonts w:cs="Arial"/>
      <w:i/>
      <w:spacing w:val="-20"/>
      <w:szCs w:val="24"/>
      <w:lang w:val="es-ES_tradnl"/>
    </w:rPr>
  </w:style>
  <w:style w:type="paragraph" w:customStyle="1" w:styleId="Citasnormales">
    <w:name w:val="Citas normales"/>
    <w:basedOn w:val="Sinespaciado"/>
    <w:qFormat/>
    <w:rsid w:val="00302928"/>
    <w:pPr>
      <w:ind w:left="851" w:right="851"/>
    </w:pPr>
    <w:rPr>
      <w:rFonts w:cs="Arial"/>
    </w:rPr>
  </w:style>
  <w:style w:type="character" w:customStyle="1" w:styleId="Ttulo2Car">
    <w:name w:val="Título 2 Car"/>
    <w:aliases w:val="Substitulos Car"/>
    <w:basedOn w:val="Fuentedeprrafopredeter"/>
    <w:link w:val="Ttulo2"/>
    <w:uiPriority w:val="9"/>
    <w:rsid w:val="000574EF"/>
    <w:rPr>
      <w:rFonts w:ascii="Arial" w:eastAsiaTheme="majorEastAsia" w:hAnsi="Arial" w:cstheme="majorBidi"/>
      <w:b/>
      <w:sz w:val="24"/>
      <w:szCs w:val="26"/>
    </w:rPr>
  </w:style>
  <w:style w:type="paragraph" w:styleId="Prrafodelista">
    <w:name w:val="List Paragraph"/>
    <w:aliases w:val="Colorful List - Accent 11,Ha,List Paragraph1,lp1,List Paragraph2,Lista vistosa - Énfasis 11,Párrafo,Numbered Paragraph,Bullets,titulo 3,BOLADEF,BOLA,Párrafo de lista21,Guión,Titulo 8,HOJA,Chulito,Párrafo de lista3,MIBEX B,TITULO1REQ"/>
    <w:basedOn w:val="Normal"/>
    <w:link w:val="PrrafodelistaCar"/>
    <w:uiPriority w:val="34"/>
    <w:qFormat/>
    <w:rsid w:val="00324580"/>
    <w:pPr>
      <w:spacing w:line="240" w:lineRule="auto"/>
      <w:ind w:left="708"/>
      <w:jc w:val="left"/>
    </w:pPr>
    <w:rPr>
      <w:rFonts w:ascii="Calibri" w:eastAsia="Calibri" w:hAnsi="Calibri" w:cs="Times New Roman"/>
      <w:sz w:val="22"/>
    </w:rPr>
  </w:style>
  <w:style w:type="character" w:customStyle="1" w:styleId="PrrafodelistaCar">
    <w:name w:val="Párrafo de lista Car"/>
    <w:aliases w:val="Colorful List - Accent 11 Car,Ha Car,List Paragraph1 Car,lp1 Car,List Paragraph2 Car,Lista vistosa - Énfasis 11 Car,Párrafo Car,Numbered Paragraph Car,Bullets Car,titulo 3 Car,BOLADEF Car,BOLA Car,Párrafo de lista21 Car,Guión Car"/>
    <w:link w:val="Prrafodelista"/>
    <w:uiPriority w:val="34"/>
    <w:qFormat/>
    <w:locked/>
    <w:rsid w:val="00B8513A"/>
    <w:rPr>
      <w:rFonts w:ascii="Calibri" w:eastAsia="Calibri" w:hAnsi="Calibri" w:cs="Times New Roman"/>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Footnote Text Char Car"/>
    <w:basedOn w:val="Fuentedeprrafopredeter"/>
    <w:link w:val="Textonotapie"/>
    <w:uiPriority w:val="99"/>
    <w:qFormat/>
    <w:locked/>
    <w:rsid w:val="00B8513A"/>
    <w:rPr>
      <w:rFonts w:ascii="Calibri" w:eastAsia="Calibri" w:hAnsi="Calibri" w:cs="Times New Roman"/>
      <w:sz w:val="20"/>
      <w:szCs w:val="20"/>
      <w:lang w:val="es-ES"/>
    </w:rPr>
  </w:style>
  <w:style w:type="paragraph" w:styleId="Textonotapie">
    <w:name w:val="footnote text"/>
    <w:aliases w:val="Footnote Text Char Char Char Char Char,Footnote Text Char Char Char Char,Footnote reference,FA Fu,Footnote Text Char Char Char,Footnote Text Char Char Char Char Char Char Char Char,Footnote Text Char,texto de nota al pi,texto de nota al p"/>
    <w:basedOn w:val="Normal"/>
    <w:link w:val="TextonotapieCar"/>
    <w:uiPriority w:val="99"/>
    <w:unhideWhenUsed/>
    <w:qFormat/>
    <w:rsid w:val="00B8513A"/>
    <w:pPr>
      <w:spacing w:after="160" w:line="256" w:lineRule="auto"/>
      <w:jc w:val="left"/>
    </w:pPr>
    <w:rPr>
      <w:rFonts w:ascii="Calibri" w:eastAsia="Calibri" w:hAnsi="Calibri" w:cs="Times New Roman"/>
      <w:sz w:val="20"/>
      <w:szCs w:val="20"/>
      <w:lang w:val="es-ES"/>
    </w:rPr>
  </w:style>
  <w:style w:type="character" w:customStyle="1" w:styleId="TextonotapieCar1">
    <w:name w:val="Texto nota pie Car1"/>
    <w:aliases w:val="ft Car"/>
    <w:basedOn w:val="Fuentedeprrafopredeter"/>
    <w:uiPriority w:val="99"/>
    <w:qFormat/>
    <w:rsid w:val="00B8513A"/>
    <w:rPr>
      <w:rFonts w:ascii="Arial" w:hAnsi="Arial"/>
      <w:sz w:val="20"/>
      <w:szCs w:val="20"/>
    </w:rPr>
  </w:style>
  <w:style w:type="character" w:styleId="Refdenotaalpie">
    <w:name w:val="footnote reference"/>
    <w:aliases w:val="Texto de nota al pie,referencia nota al pie,Ref. de nota al pie 2,Pie de Página,FC,Appel note de bas de page,Texto nota pie Car1 Car,Texto nota pie Car2 Car Car,Texto nota pie Car1 Car Car Car,Footnote reference Car Car Car Car,BVI f"/>
    <w:link w:val="4GChar"/>
    <w:uiPriority w:val="99"/>
    <w:unhideWhenUsed/>
    <w:qFormat/>
    <w:rsid w:val="00B8513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B8513A"/>
    <w:pPr>
      <w:spacing w:line="240" w:lineRule="auto"/>
    </w:pPr>
    <w:rPr>
      <w:rFonts w:asciiTheme="minorHAnsi" w:hAnsiTheme="minorHAnsi"/>
      <w:sz w:val="22"/>
      <w:vertAlign w:val="superscript"/>
    </w:rPr>
  </w:style>
  <w:style w:type="paragraph" w:customStyle="1" w:styleId="Piedepagina">
    <w:name w:val="Pie de pagina"/>
    <w:basedOn w:val="Normal"/>
    <w:autoRedefine/>
    <w:rsid w:val="00C62264"/>
    <w:pPr>
      <w:spacing w:line="240" w:lineRule="exact"/>
    </w:pPr>
    <w:rPr>
      <w:sz w:val="20"/>
    </w:rPr>
  </w:style>
  <w:style w:type="character" w:styleId="Hipervnculo">
    <w:name w:val="Hyperlink"/>
    <w:basedOn w:val="Fuentedeprrafopredeter"/>
    <w:uiPriority w:val="99"/>
    <w:semiHidden/>
    <w:unhideWhenUsed/>
    <w:rsid w:val="00565FF8"/>
    <w:rPr>
      <w:color w:val="0563C1" w:themeColor="hyperlink"/>
      <w:u w:val="single"/>
    </w:rPr>
  </w:style>
  <w:style w:type="paragraph" w:styleId="Textodeglobo">
    <w:name w:val="Balloon Text"/>
    <w:basedOn w:val="Normal"/>
    <w:link w:val="TextodegloboCar"/>
    <w:uiPriority w:val="99"/>
    <w:semiHidden/>
    <w:unhideWhenUsed/>
    <w:rsid w:val="00B37E8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7E85"/>
    <w:rPr>
      <w:rFonts w:ascii="Segoe UI" w:hAnsi="Segoe UI" w:cs="Segoe UI"/>
      <w:sz w:val="18"/>
      <w:szCs w:val="18"/>
    </w:rPr>
  </w:style>
  <w:style w:type="character" w:styleId="Refdecomentario">
    <w:name w:val="annotation reference"/>
    <w:basedOn w:val="Fuentedeprrafopredeter"/>
    <w:uiPriority w:val="99"/>
    <w:semiHidden/>
    <w:unhideWhenUsed/>
    <w:rsid w:val="00A471D5"/>
    <w:rPr>
      <w:sz w:val="16"/>
      <w:szCs w:val="16"/>
    </w:rPr>
  </w:style>
  <w:style w:type="paragraph" w:styleId="Textocomentario">
    <w:name w:val="annotation text"/>
    <w:basedOn w:val="Normal"/>
    <w:link w:val="TextocomentarioCar"/>
    <w:uiPriority w:val="99"/>
    <w:semiHidden/>
    <w:unhideWhenUsed/>
    <w:rsid w:val="00A471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71D5"/>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471D5"/>
    <w:rPr>
      <w:b/>
      <w:bCs/>
    </w:rPr>
  </w:style>
  <w:style w:type="character" w:customStyle="1" w:styleId="AsuntodelcomentarioCar">
    <w:name w:val="Asunto del comentario Car"/>
    <w:basedOn w:val="TextocomentarioCar"/>
    <w:link w:val="Asuntodelcomentario"/>
    <w:uiPriority w:val="99"/>
    <w:semiHidden/>
    <w:rsid w:val="00A471D5"/>
    <w:rPr>
      <w:rFonts w:ascii="Arial" w:hAnsi="Arial"/>
      <w:b/>
      <w:bCs/>
      <w:sz w:val="20"/>
      <w:szCs w:val="20"/>
    </w:rPr>
  </w:style>
  <w:style w:type="paragraph" w:styleId="Textoindependiente">
    <w:name w:val="Body Text"/>
    <w:aliases w:val=" Car Car, Car Car Car Car,Car,Car Car,Car Car Car Car"/>
    <w:basedOn w:val="Normal"/>
    <w:link w:val="TextoindependienteCar"/>
    <w:qFormat/>
    <w:rsid w:val="0044788D"/>
    <w:rPr>
      <w:rFonts w:eastAsia="Times New Roman" w:cs="Arial"/>
      <w:sz w:val="26"/>
      <w:szCs w:val="24"/>
      <w:lang w:val="x-none" w:eastAsia="x-none"/>
    </w:rPr>
  </w:style>
  <w:style w:type="character" w:customStyle="1" w:styleId="TextoindependienteCar">
    <w:name w:val="Texto independiente Car"/>
    <w:aliases w:val=" Car Car Car, Car Car Car Car Car,Car Car1,Car Car Car,Car Car Car Car Car"/>
    <w:basedOn w:val="Fuentedeprrafopredeter"/>
    <w:link w:val="Textoindependiente"/>
    <w:rsid w:val="0044788D"/>
    <w:rPr>
      <w:rFonts w:ascii="Arial" w:eastAsia="Times New Roman" w:hAnsi="Arial" w:cs="Arial"/>
      <w:sz w:val="26"/>
      <w:szCs w:val="24"/>
      <w:lang w:val="x-none" w:eastAsia="x-none"/>
    </w:rPr>
  </w:style>
  <w:style w:type="character" w:customStyle="1" w:styleId="Ttulo3Car">
    <w:name w:val="Título 3 Car"/>
    <w:basedOn w:val="Fuentedeprrafopredeter"/>
    <w:link w:val="Ttulo3"/>
    <w:uiPriority w:val="9"/>
    <w:rsid w:val="0044788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1500">
      <w:bodyDiv w:val="1"/>
      <w:marLeft w:val="0"/>
      <w:marRight w:val="0"/>
      <w:marTop w:val="0"/>
      <w:marBottom w:val="0"/>
      <w:divBdr>
        <w:top w:val="none" w:sz="0" w:space="0" w:color="auto"/>
        <w:left w:val="none" w:sz="0" w:space="0" w:color="auto"/>
        <w:bottom w:val="none" w:sz="0" w:space="0" w:color="auto"/>
        <w:right w:val="none" w:sz="0" w:space="0" w:color="auto"/>
      </w:divBdr>
    </w:div>
    <w:div w:id="47270779">
      <w:bodyDiv w:val="1"/>
      <w:marLeft w:val="0"/>
      <w:marRight w:val="0"/>
      <w:marTop w:val="0"/>
      <w:marBottom w:val="0"/>
      <w:divBdr>
        <w:top w:val="none" w:sz="0" w:space="0" w:color="auto"/>
        <w:left w:val="none" w:sz="0" w:space="0" w:color="auto"/>
        <w:bottom w:val="none" w:sz="0" w:space="0" w:color="auto"/>
        <w:right w:val="none" w:sz="0" w:space="0" w:color="auto"/>
      </w:divBdr>
    </w:div>
    <w:div w:id="58359799">
      <w:bodyDiv w:val="1"/>
      <w:marLeft w:val="0"/>
      <w:marRight w:val="0"/>
      <w:marTop w:val="0"/>
      <w:marBottom w:val="0"/>
      <w:divBdr>
        <w:top w:val="none" w:sz="0" w:space="0" w:color="auto"/>
        <w:left w:val="none" w:sz="0" w:space="0" w:color="auto"/>
        <w:bottom w:val="none" w:sz="0" w:space="0" w:color="auto"/>
        <w:right w:val="none" w:sz="0" w:space="0" w:color="auto"/>
      </w:divBdr>
    </w:div>
    <w:div w:id="127167282">
      <w:bodyDiv w:val="1"/>
      <w:marLeft w:val="0"/>
      <w:marRight w:val="0"/>
      <w:marTop w:val="0"/>
      <w:marBottom w:val="0"/>
      <w:divBdr>
        <w:top w:val="none" w:sz="0" w:space="0" w:color="auto"/>
        <w:left w:val="none" w:sz="0" w:space="0" w:color="auto"/>
        <w:bottom w:val="none" w:sz="0" w:space="0" w:color="auto"/>
        <w:right w:val="none" w:sz="0" w:space="0" w:color="auto"/>
      </w:divBdr>
    </w:div>
    <w:div w:id="196940086">
      <w:bodyDiv w:val="1"/>
      <w:marLeft w:val="0"/>
      <w:marRight w:val="0"/>
      <w:marTop w:val="0"/>
      <w:marBottom w:val="0"/>
      <w:divBdr>
        <w:top w:val="none" w:sz="0" w:space="0" w:color="auto"/>
        <w:left w:val="none" w:sz="0" w:space="0" w:color="auto"/>
        <w:bottom w:val="none" w:sz="0" w:space="0" w:color="auto"/>
        <w:right w:val="none" w:sz="0" w:space="0" w:color="auto"/>
      </w:divBdr>
    </w:div>
    <w:div w:id="209466701">
      <w:bodyDiv w:val="1"/>
      <w:marLeft w:val="0"/>
      <w:marRight w:val="0"/>
      <w:marTop w:val="0"/>
      <w:marBottom w:val="0"/>
      <w:divBdr>
        <w:top w:val="none" w:sz="0" w:space="0" w:color="auto"/>
        <w:left w:val="none" w:sz="0" w:space="0" w:color="auto"/>
        <w:bottom w:val="none" w:sz="0" w:space="0" w:color="auto"/>
        <w:right w:val="none" w:sz="0" w:space="0" w:color="auto"/>
      </w:divBdr>
    </w:div>
    <w:div w:id="212617142">
      <w:bodyDiv w:val="1"/>
      <w:marLeft w:val="0"/>
      <w:marRight w:val="0"/>
      <w:marTop w:val="0"/>
      <w:marBottom w:val="0"/>
      <w:divBdr>
        <w:top w:val="none" w:sz="0" w:space="0" w:color="auto"/>
        <w:left w:val="none" w:sz="0" w:space="0" w:color="auto"/>
        <w:bottom w:val="none" w:sz="0" w:space="0" w:color="auto"/>
        <w:right w:val="none" w:sz="0" w:space="0" w:color="auto"/>
      </w:divBdr>
    </w:div>
    <w:div w:id="235866911">
      <w:bodyDiv w:val="1"/>
      <w:marLeft w:val="0"/>
      <w:marRight w:val="0"/>
      <w:marTop w:val="0"/>
      <w:marBottom w:val="0"/>
      <w:divBdr>
        <w:top w:val="none" w:sz="0" w:space="0" w:color="auto"/>
        <w:left w:val="none" w:sz="0" w:space="0" w:color="auto"/>
        <w:bottom w:val="none" w:sz="0" w:space="0" w:color="auto"/>
        <w:right w:val="none" w:sz="0" w:space="0" w:color="auto"/>
      </w:divBdr>
    </w:div>
    <w:div w:id="340668970">
      <w:bodyDiv w:val="1"/>
      <w:marLeft w:val="0"/>
      <w:marRight w:val="0"/>
      <w:marTop w:val="0"/>
      <w:marBottom w:val="0"/>
      <w:divBdr>
        <w:top w:val="none" w:sz="0" w:space="0" w:color="auto"/>
        <w:left w:val="none" w:sz="0" w:space="0" w:color="auto"/>
        <w:bottom w:val="none" w:sz="0" w:space="0" w:color="auto"/>
        <w:right w:val="none" w:sz="0" w:space="0" w:color="auto"/>
      </w:divBdr>
    </w:div>
    <w:div w:id="372848986">
      <w:bodyDiv w:val="1"/>
      <w:marLeft w:val="0"/>
      <w:marRight w:val="0"/>
      <w:marTop w:val="0"/>
      <w:marBottom w:val="0"/>
      <w:divBdr>
        <w:top w:val="none" w:sz="0" w:space="0" w:color="auto"/>
        <w:left w:val="none" w:sz="0" w:space="0" w:color="auto"/>
        <w:bottom w:val="none" w:sz="0" w:space="0" w:color="auto"/>
        <w:right w:val="none" w:sz="0" w:space="0" w:color="auto"/>
      </w:divBdr>
    </w:div>
    <w:div w:id="425922730">
      <w:bodyDiv w:val="1"/>
      <w:marLeft w:val="0"/>
      <w:marRight w:val="0"/>
      <w:marTop w:val="0"/>
      <w:marBottom w:val="0"/>
      <w:divBdr>
        <w:top w:val="none" w:sz="0" w:space="0" w:color="auto"/>
        <w:left w:val="none" w:sz="0" w:space="0" w:color="auto"/>
        <w:bottom w:val="none" w:sz="0" w:space="0" w:color="auto"/>
        <w:right w:val="none" w:sz="0" w:space="0" w:color="auto"/>
      </w:divBdr>
    </w:div>
    <w:div w:id="478301638">
      <w:bodyDiv w:val="1"/>
      <w:marLeft w:val="0"/>
      <w:marRight w:val="0"/>
      <w:marTop w:val="0"/>
      <w:marBottom w:val="0"/>
      <w:divBdr>
        <w:top w:val="none" w:sz="0" w:space="0" w:color="auto"/>
        <w:left w:val="none" w:sz="0" w:space="0" w:color="auto"/>
        <w:bottom w:val="none" w:sz="0" w:space="0" w:color="auto"/>
        <w:right w:val="none" w:sz="0" w:space="0" w:color="auto"/>
      </w:divBdr>
    </w:div>
    <w:div w:id="597642306">
      <w:bodyDiv w:val="1"/>
      <w:marLeft w:val="0"/>
      <w:marRight w:val="0"/>
      <w:marTop w:val="0"/>
      <w:marBottom w:val="0"/>
      <w:divBdr>
        <w:top w:val="none" w:sz="0" w:space="0" w:color="auto"/>
        <w:left w:val="none" w:sz="0" w:space="0" w:color="auto"/>
        <w:bottom w:val="none" w:sz="0" w:space="0" w:color="auto"/>
        <w:right w:val="none" w:sz="0" w:space="0" w:color="auto"/>
      </w:divBdr>
    </w:div>
    <w:div w:id="716197618">
      <w:bodyDiv w:val="1"/>
      <w:marLeft w:val="0"/>
      <w:marRight w:val="0"/>
      <w:marTop w:val="0"/>
      <w:marBottom w:val="0"/>
      <w:divBdr>
        <w:top w:val="none" w:sz="0" w:space="0" w:color="auto"/>
        <w:left w:val="none" w:sz="0" w:space="0" w:color="auto"/>
        <w:bottom w:val="none" w:sz="0" w:space="0" w:color="auto"/>
        <w:right w:val="none" w:sz="0" w:space="0" w:color="auto"/>
      </w:divBdr>
    </w:div>
    <w:div w:id="802966444">
      <w:bodyDiv w:val="1"/>
      <w:marLeft w:val="0"/>
      <w:marRight w:val="0"/>
      <w:marTop w:val="0"/>
      <w:marBottom w:val="0"/>
      <w:divBdr>
        <w:top w:val="none" w:sz="0" w:space="0" w:color="auto"/>
        <w:left w:val="none" w:sz="0" w:space="0" w:color="auto"/>
        <w:bottom w:val="none" w:sz="0" w:space="0" w:color="auto"/>
        <w:right w:val="none" w:sz="0" w:space="0" w:color="auto"/>
      </w:divBdr>
    </w:div>
    <w:div w:id="803160014">
      <w:bodyDiv w:val="1"/>
      <w:marLeft w:val="0"/>
      <w:marRight w:val="0"/>
      <w:marTop w:val="0"/>
      <w:marBottom w:val="0"/>
      <w:divBdr>
        <w:top w:val="none" w:sz="0" w:space="0" w:color="auto"/>
        <w:left w:val="none" w:sz="0" w:space="0" w:color="auto"/>
        <w:bottom w:val="none" w:sz="0" w:space="0" w:color="auto"/>
        <w:right w:val="none" w:sz="0" w:space="0" w:color="auto"/>
      </w:divBdr>
    </w:div>
    <w:div w:id="907040054">
      <w:bodyDiv w:val="1"/>
      <w:marLeft w:val="0"/>
      <w:marRight w:val="0"/>
      <w:marTop w:val="0"/>
      <w:marBottom w:val="0"/>
      <w:divBdr>
        <w:top w:val="none" w:sz="0" w:space="0" w:color="auto"/>
        <w:left w:val="none" w:sz="0" w:space="0" w:color="auto"/>
        <w:bottom w:val="none" w:sz="0" w:space="0" w:color="auto"/>
        <w:right w:val="none" w:sz="0" w:space="0" w:color="auto"/>
      </w:divBdr>
    </w:div>
    <w:div w:id="942952218">
      <w:bodyDiv w:val="1"/>
      <w:marLeft w:val="0"/>
      <w:marRight w:val="0"/>
      <w:marTop w:val="0"/>
      <w:marBottom w:val="0"/>
      <w:divBdr>
        <w:top w:val="none" w:sz="0" w:space="0" w:color="auto"/>
        <w:left w:val="none" w:sz="0" w:space="0" w:color="auto"/>
        <w:bottom w:val="none" w:sz="0" w:space="0" w:color="auto"/>
        <w:right w:val="none" w:sz="0" w:space="0" w:color="auto"/>
      </w:divBdr>
    </w:div>
    <w:div w:id="956761385">
      <w:bodyDiv w:val="1"/>
      <w:marLeft w:val="0"/>
      <w:marRight w:val="0"/>
      <w:marTop w:val="0"/>
      <w:marBottom w:val="0"/>
      <w:divBdr>
        <w:top w:val="none" w:sz="0" w:space="0" w:color="auto"/>
        <w:left w:val="none" w:sz="0" w:space="0" w:color="auto"/>
        <w:bottom w:val="none" w:sz="0" w:space="0" w:color="auto"/>
        <w:right w:val="none" w:sz="0" w:space="0" w:color="auto"/>
      </w:divBdr>
    </w:div>
    <w:div w:id="1035353623">
      <w:bodyDiv w:val="1"/>
      <w:marLeft w:val="0"/>
      <w:marRight w:val="0"/>
      <w:marTop w:val="0"/>
      <w:marBottom w:val="0"/>
      <w:divBdr>
        <w:top w:val="none" w:sz="0" w:space="0" w:color="auto"/>
        <w:left w:val="none" w:sz="0" w:space="0" w:color="auto"/>
        <w:bottom w:val="none" w:sz="0" w:space="0" w:color="auto"/>
        <w:right w:val="none" w:sz="0" w:space="0" w:color="auto"/>
      </w:divBdr>
    </w:div>
    <w:div w:id="1126702142">
      <w:bodyDiv w:val="1"/>
      <w:marLeft w:val="0"/>
      <w:marRight w:val="0"/>
      <w:marTop w:val="0"/>
      <w:marBottom w:val="0"/>
      <w:divBdr>
        <w:top w:val="none" w:sz="0" w:space="0" w:color="auto"/>
        <w:left w:val="none" w:sz="0" w:space="0" w:color="auto"/>
        <w:bottom w:val="none" w:sz="0" w:space="0" w:color="auto"/>
        <w:right w:val="none" w:sz="0" w:space="0" w:color="auto"/>
      </w:divBdr>
    </w:div>
    <w:div w:id="1196887209">
      <w:bodyDiv w:val="1"/>
      <w:marLeft w:val="0"/>
      <w:marRight w:val="0"/>
      <w:marTop w:val="0"/>
      <w:marBottom w:val="0"/>
      <w:divBdr>
        <w:top w:val="none" w:sz="0" w:space="0" w:color="auto"/>
        <w:left w:val="none" w:sz="0" w:space="0" w:color="auto"/>
        <w:bottom w:val="none" w:sz="0" w:space="0" w:color="auto"/>
        <w:right w:val="none" w:sz="0" w:space="0" w:color="auto"/>
      </w:divBdr>
    </w:div>
    <w:div w:id="1245384191">
      <w:bodyDiv w:val="1"/>
      <w:marLeft w:val="0"/>
      <w:marRight w:val="0"/>
      <w:marTop w:val="0"/>
      <w:marBottom w:val="0"/>
      <w:divBdr>
        <w:top w:val="none" w:sz="0" w:space="0" w:color="auto"/>
        <w:left w:val="none" w:sz="0" w:space="0" w:color="auto"/>
        <w:bottom w:val="none" w:sz="0" w:space="0" w:color="auto"/>
        <w:right w:val="none" w:sz="0" w:space="0" w:color="auto"/>
      </w:divBdr>
    </w:div>
    <w:div w:id="1279995284">
      <w:bodyDiv w:val="1"/>
      <w:marLeft w:val="0"/>
      <w:marRight w:val="0"/>
      <w:marTop w:val="0"/>
      <w:marBottom w:val="0"/>
      <w:divBdr>
        <w:top w:val="none" w:sz="0" w:space="0" w:color="auto"/>
        <w:left w:val="none" w:sz="0" w:space="0" w:color="auto"/>
        <w:bottom w:val="none" w:sz="0" w:space="0" w:color="auto"/>
        <w:right w:val="none" w:sz="0" w:space="0" w:color="auto"/>
      </w:divBdr>
    </w:div>
    <w:div w:id="1307318163">
      <w:bodyDiv w:val="1"/>
      <w:marLeft w:val="0"/>
      <w:marRight w:val="0"/>
      <w:marTop w:val="0"/>
      <w:marBottom w:val="0"/>
      <w:divBdr>
        <w:top w:val="none" w:sz="0" w:space="0" w:color="auto"/>
        <w:left w:val="none" w:sz="0" w:space="0" w:color="auto"/>
        <w:bottom w:val="none" w:sz="0" w:space="0" w:color="auto"/>
        <w:right w:val="none" w:sz="0" w:space="0" w:color="auto"/>
      </w:divBdr>
    </w:div>
    <w:div w:id="1411586503">
      <w:bodyDiv w:val="1"/>
      <w:marLeft w:val="0"/>
      <w:marRight w:val="0"/>
      <w:marTop w:val="0"/>
      <w:marBottom w:val="0"/>
      <w:divBdr>
        <w:top w:val="none" w:sz="0" w:space="0" w:color="auto"/>
        <w:left w:val="none" w:sz="0" w:space="0" w:color="auto"/>
        <w:bottom w:val="none" w:sz="0" w:space="0" w:color="auto"/>
        <w:right w:val="none" w:sz="0" w:space="0" w:color="auto"/>
      </w:divBdr>
    </w:div>
    <w:div w:id="1428770775">
      <w:bodyDiv w:val="1"/>
      <w:marLeft w:val="0"/>
      <w:marRight w:val="0"/>
      <w:marTop w:val="0"/>
      <w:marBottom w:val="0"/>
      <w:divBdr>
        <w:top w:val="none" w:sz="0" w:space="0" w:color="auto"/>
        <w:left w:val="none" w:sz="0" w:space="0" w:color="auto"/>
        <w:bottom w:val="none" w:sz="0" w:space="0" w:color="auto"/>
        <w:right w:val="none" w:sz="0" w:space="0" w:color="auto"/>
      </w:divBdr>
    </w:div>
    <w:div w:id="1535802981">
      <w:bodyDiv w:val="1"/>
      <w:marLeft w:val="0"/>
      <w:marRight w:val="0"/>
      <w:marTop w:val="0"/>
      <w:marBottom w:val="0"/>
      <w:divBdr>
        <w:top w:val="none" w:sz="0" w:space="0" w:color="auto"/>
        <w:left w:val="none" w:sz="0" w:space="0" w:color="auto"/>
        <w:bottom w:val="none" w:sz="0" w:space="0" w:color="auto"/>
        <w:right w:val="none" w:sz="0" w:space="0" w:color="auto"/>
      </w:divBdr>
    </w:div>
    <w:div w:id="1556047271">
      <w:bodyDiv w:val="1"/>
      <w:marLeft w:val="0"/>
      <w:marRight w:val="0"/>
      <w:marTop w:val="0"/>
      <w:marBottom w:val="0"/>
      <w:divBdr>
        <w:top w:val="none" w:sz="0" w:space="0" w:color="auto"/>
        <w:left w:val="none" w:sz="0" w:space="0" w:color="auto"/>
        <w:bottom w:val="none" w:sz="0" w:space="0" w:color="auto"/>
        <w:right w:val="none" w:sz="0" w:space="0" w:color="auto"/>
      </w:divBdr>
    </w:div>
    <w:div w:id="1567456142">
      <w:bodyDiv w:val="1"/>
      <w:marLeft w:val="0"/>
      <w:marRight w:val="0"/>
      <w:marTop w:val="0"/>
      <w:marBottom w:val="0"/>
      <w:divBdr>
        <w:top w:val="none" w:sz="0" w:space="0" w:color="auto"/>
        <w:left w:val="none" w:sz="0" w:space="0" w:color="auto"/>
        <w:bottom w:val="none" w:sz="0" w:space="0" w:color="auto"/>
        <w:right w:val="none" w:sz="0" w:space="0" w:color="auto"/>
      </w:divBdr>
    </w:div>
    <w:div w:id="1694107030">
      <w:bodyDiv w:val="1"/>
      <w:marLeft w:val="0"/>
      <w:marRight w:val="0"/>
      <w:marTop w:val="0"/>
      <w:marBottom w:val="0"/>
      <w:divBdr>
        <w:top w:val="none" w:sz="0" w:space="0" w:color="auto"/>
        <w:left w:val="none" w:sz="0" w:space="0" w:color="auto"/>
        <w:bottom w:val="none" w:sz="0" w:space="0" w:color="auto"/>
        <w:right w:val="none" w:sz="0" w:space="0" w:color="auto"/>
      </w:divBdr>
    </w:div>
    <w:div w:id="1765031519">
      <w:bodyDiv w:val="1"/>
      <w:marLeft w:val="0"/>
      <w:marRight w:val="0"/>
      <w:marTop w:val="0"/>
      <w:marBottom w:val="0"/>
      <w:divBdr>
        <w:top w:val="none" w:sz="0" w:space="0" w:color="auto"/>
        <w:left w:val="none" w:sz="0" w:space="0" w:color="auto"/>
        <w:bottom w:val="none" w:sz="0" w:space="0" w:color="auto"/>
        <w:right w:val="none" w:sz="0" w:space="0" w:color="auto"/>
      </w:divBdr>
    </w:div>
    <w:div w:id="1819298592">
      <w:bodyDiv w:val="1"/>
      <w:marLeft w:val="0"/>
      <w:marRight w:val="0"/>
      <w:marTop w:val="0"/>
      <w:marBottom w:val="0"/>
      <w:divBdr>
        <w:top w:val="none" w:sz="0" w:space="0" w:color="auto"/>
        <w:left w:val="none" w:sz="0" w:space="0" w:color="auto"/>
        <w:bottom w:val="none" w:sz="0" w:space="0" w:color="auto"/>
        <w:right w:val="none" w:sz="0" w:space="0" w:color="auto"/>
      </w:divBdr>
    </w:div>
    <w:div w:id="1863275774">
      <w:bodyDiv w:val="1"/>
      <w:marLeft w:val="0"/>
      <w:marRight w:val="0"/>
      <w:marTop w:val="0"/>
      <w:marBottom w:val="0"/>
      <w:divBdr>
        <w:top w:val="none" w:sz="0" w:space="0" w:color="auto"/>
        <w:left w:val="none" w:sz="0" w:space="0" w:color="auto"/>
        <w:bottom w:val="none" w:sz="0" w:space="0" w:color="auto"/>
        <w:right w:val="none" w:sz="0" w:space="0" w:color="auto"/>
      </w:divBdr>
    </w:div>
    <w:div w:id="1873609158">
      <w:bodyDiv w:val="1"/>
      <w:marLeft w:val="0"/>
      <w:marRight w:val="0"/>
      <w:marTop w:val="0"/>
      <w:marBottom w:val="0"/>
      <w:divBdr>
        <w:top w:val="none" w:sz="0" w:space="0" w:color="auto"/>
        <w:left w:val="none" w:sz="0" w:space="0" w:color="auto"/>
        <w:bottom w:val="none" w:sz="0" w:space="0" w:color="auto"/>
        <w:right w:val="none" w:sz="0" w:space="0" w:color="auto"/>
      </w:divBdr>
    </w:div>
    <w:div w:id="1885751751">
      <w:bodyDiv w:val="1"/>
      <w:marLeft w:val="0"/>
      <w:marRight w:val="0"/>
      <w:marTop w:val="0"/>
      <w:marBottom w:val="0"/>
      <w:divBdr>
        <w:top w:val="none" w:sz="0" w:space="0" w:color="auto"/>
        <w:left w:val="none" w:sz="0" w:space="0" w:color="auto"/>
        <w:bottom w:val="none" w:sz="0" w:space="0" w:color="auto"/>
        <w:right w:val="none" w:sz="0" w:space="0" w:color="auto"/>
      </w:divBdr>
    </w:div>
    <w:div w:id="1914392120">
      <w:bodyDiv w:val="1"/>
      <w:marLeft w:val="0"/>
      <w:marRight w:val="0"/>
      <w:marTop w:val="0"/>
      <w:marBottom w:val="0"/>
      <w:divBdr>
        <w:top w:val="none" w:sz="0" w:space="0" w:color="auto"/>
        <w:left w:val="none" w:sz="0" w:space="0" w:color="auto"/>
        <w:bottom w:val="none" w:sz="0" w:space="0" w:color="auto"/>
        <w:right w:val="none" w:sz="0" w:space="0" w:color="auto"/>
      </w:divBdr>
    </w:div>
    <w:div w:id="1942371049">
      <w:bodyDiv w:val="1"/>
      <w:marLeft w:val="0"/>
      <w:marRight w:val="0"/>
      <w:marTop w:val="0"/>
      <w:marBottom w:val="0"/>
      <w:divBdr>
        <w:top w:val="none" w:sz="0" w:space="0" w:color="auto"/>
        <w:left w:val="none" w:sz="0" w:space="0" w:color="auto"/>
        <w:bottom w:val="none" w:sz="0" w:space="0" w:color="auto"/>
        <w:right w:val="none" w:sz="0" w:space="0" w:color="auto"/>
      </w:divBdr>
    </w:div>
    <w:div w:id="1945990514">
      <w:bodyDiv w:val="1"/>
      <w:marLeft w:val="0"/>
      <w:marRight w:val="0"/>
      <w:marTop w:val="0"/>
      <w:marBottom w:val="0"/>
      <w:divBdr>
        <w:top w:val="none" w:sz="0" w:space="0" w:color="auto"/>
        <w:left w:val="none" w:sz="0" w:space="0" w:color="auto"/>
        <w:bottom w:val="none" w:sz="0" w:space="0" w:color="auto"/>
        <w:right w:val="none" w:sz="0" w:space="0" w:color="auto"/>
      </w:divBdr>
    </w:div>
    <w:div w:id="1946422414">
      <w:bodyDiv w:val="1"/>
      <w:marLeft w:val="0"/>
      <w:marRight w:val="0"/>
      <w:marTop w:val="0"/>
      <w:marBottom w:val="0"/>
      <w:divBdr>
        <w:top w:val="none" w:sz="0" w:space="0" w:color="auto"/>
        <w:left w:val="none" w:sz="0" w:space="0" w:color="auto"/>
        <w:bottom w:val="none" w:sz="0" w:space="0" w:color="auto"/>
        <w:right w:val="none" w:sz="0" w:space="0" w:color="auto"/>
      </w:divBdr>
    </w:div>
    <w:div w:id="1986615757">
      <w:bodyDiv w:val="1"/>
      <w:marLeft w:val="0"/>
      <w:marRight w:val="0"/>
      <w:marTop w:val="0"/>
      <w:marBottom w:val="0"/>
      <w:divBdr>
        <w:top w:val="none" w:sz="0" w:space="0" w:color="auto"/>
        <w:left w:val="none" w:sz="0" w:space="0" w:color="auto"/>
        <w:bottom w:val="none" w:sz="0" w:space="0" w:color="auto"/>
        <w:right w:val="none" w:sz="0" w:space="0" w:color="auto"/>
      </w:divBdr>
    </w:div>
    <w:div w:id="1995644777">
      <w:bodyDiv w:val="1"/>
      <w:marLeft w:val="0"/>
      <w:marRight w:val="0"/>
      <w:marTop w:val="0"/>
      <w:marBottom w:val="0"/>
      <w:divBdr>
        <w:top w:val="none" w:sz="0" w:space="0" w:color="auto"/>
        <w:left w:val="none" w:sz="0" w:space="0" w:color="auto"/>
        <w:bottom w:val="none" w:sz="0" w:space="0" w:color="auto"/>
        <w:right w:val="none" w:sz="0" w:space="0" w:color="auto"/>
      </w:divBdr>
    </w:div>
    <w:div w:id="2041978172">
      <w:bodyDiv w:val="1"/>
      <w:marLeft w:val="0"/>
      <w:marRight w:val="0"/>
      <w:marTop w:val="0"/>
      <w:marBottom w:val="0"/>
      <w:divBdr>
        <w:top w:val="none" w:sz="0" w:space="0" w:color="auto"/>
        <w:left w:val="none" w:sz="0" w:space="0" w:color="auto"/>
        <w:bottom w:val="none" w:sz="0" w:space="0" w:color="auto"/>
        <w:right w:val="none" w:sz="0" w:space="0" w:color="auto"/>
      </w:divBdr>
    </w:div>
    <w:div w:id="2042245378">
      <w:bodyDiv w:val="1"/>
      <w:marLeft w:val="0"/>
      <w:marRight w:val="0"/>
      <w:marTop w:val="0"/>
      <w:marBottom w:val="0"/>
      <w:divBdr>
        <w:top w:val="none" w:sz="0" w:space="0" w:color="auto"/>
        <w:left w:val="none" w:sz="0" w:space="0" w:color="auto"/>
        <w:bottom w:val="none" w:sz="0" w:space="0" w:color="auto"/>
        <w:right w:val="none" w:sz="0" w:space="0" w:color="auto"/>
      </w:divBdr>
    </w:div>
    <w:div w:id="2136366968">
      <w:bodyDiv w:val="1"/>
      <w:marLeft w:val="0"/>
      <w:marRight w:val="0"/>
      <w:marTop w:val="0"/>
      <w:marBottom w:val="0"/>
      <w:divBdr>
        <w:top w:val="none" w:sz="0" w:space="0" w:color="auto"/>
        <w:left w:val="none" w:sz="0" w:space="0" w:color="auto"/>
        <w:bottom w:val="none" w:sz="0" w:space="0" w:color="auto"/>
        <w:right w:val="none" w:sz="0" w:space="0" w:color="auto"/>
      </w:divBdr>
    </w:div>
    <w:div w:id="2137529753">
      <w:bodyDiv w:val="1"/>
      <w:marLeft w:val="0"/>
      <w:marRight w:val="0"/>
      <w:marTop w:val="0"/>
      <w:marBottom w:val="0"/>
      <w:divBdr>
        <w:top w:val="none" w:sz="0" w:space="0" w:color="auto"/>
        <w:left w:val="none" w:sz="0" w:space="0" w:color="auto"/>
        <w:bottom w:val="none" w:sz="0" w:space="0" w:color="auto"/>
        <w:right w:val="none" w:sz="0" w:space="0" w:color="auto"/>
      </w:divBdr>
    </w:div>
    <w:div w:id="213964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elatoria.consejodeestado.gov.co:8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h\Documents\Plantillas%20personalizadas%20de%20Office\Modelo%20tutel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165DA21E32241C8A2E20E0A52BEB221"/>
        <w:category>
          <w:name w:val="General"/>
          <w:gallery w:val="placeholder"/>
        </w:category>
        <w:types>
          <w:type w:val="bbPlcHdr"/>
        </w:types>
        <w:behaviors>
          <w:behavior w:val="content"/>
        </w:behaviors>
        <w:guid w:val="{B746A839-4C7A-4A90-AC7F-01FC00A2AD55}"/>
      </w:docPartPr>
      <w:docPartBody>
        <w:p w:rsidR="007A6D96" w:rsidRDefault="00EB3CA2">
          <w:pPr>
            <w:pStyle w:val="2165DA21E32241C8A2E20E0A52BEB221"/>
          </w:pPr>
          <w:r w:rsidRPr="00786B49">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Arial Unicode MS"/>
    <w:charset w:val="00"/>
    <w:family w:val="auto"/>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A2"/>
    <w:rsid w:val="00092E75"/>
    <w:rsid w:val="000E0850"/>
    <w:rsid w:val="00135D3D"/>
    <w:rsid w:val="00180C10"/>
    <w:rsid w:val="001B6014"/>
    <w:rsid w:val="00237910"/>
    <w:rsid w:val="00262C89"/>
    <w:rsid w:val="0027212B"/>
    <w:rsid w:val="002E6A89"/>
    <w:rsid w:val="003332ED"/>
    <w:rsid w:val="00374811"/>
    <w:rsid w:val="003F3A8D"/>
    <w:rsid w:val="00471BBC"/>
    <w:rsid w:val="006B211D"/>
    <w:rsid w:val="006C0FFE"/>
    <w:rsid w:val="00716AB3"/>
    <w:rsid w:val="00774716"/>
    <w:rsid w:val="007A31B8"/>
    <w:rsid w:val="007A6D96"/>
    <w:rsid w:val="00827538"/>
    <w:rsid w:val="0084439A"/>
    <w:rsid w:val="0085477B"/>
    <w:rsid w:val="00867CD7"/>
    <w:rsid w:val="008A5238"/>
    <w:rsid w:val="00996FFB"/>
    <w:rsid w:val="009A760E"/>
    <w:rsid w:val="009D329B"/>
    <w:rsid w:val="00A13268"/>
    <w:rsid w:val="00A4220F"/>
    <w:rsid w:val="00A45C01"/>
    <w:rsid w:val="00B20E2B"/>
    <w:rsid w:val="00B25042"/>
    <w:rsid w:val="00B743B8"/>
    <w:rsid w:val="00BA491F"/>
    <w:rsid w:val="00BF122F"/>
    <w:rsid w:val="00BF1BD0"/>
    <w:rsid w:val="00C2057B"/>
    <w:rsid w:val="00C559DF"/>
    <w:rsid w:val="00CD2844"/>
    <w:rsid w:val="00CE5934"/>
    <w:rsid w:val="00DD3431"/>
    <w:rsid w:val="00EB3CA2"/>
    <w:rsid w:val="00F4387F"/>
    <w:rsid w:val="00F64094"/>
    <w:rsid w:val="00F931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2165DA21E32241C8A2E20E0A52BEB221">
    <w:name w:val="2165DA21E32241C8A2E20E0A52BEB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F5F8EB3B015164686C904CDFD7AD381" ma:contentTypeVersion="2" ma:contentTypeDescription="Crear nuevo documento." ma:contentTypeScope="" ma:versionID="f3a50d878a484864d4ee9fd4479eae43">
  <xsd:schema xmlns:xsd="http://www.w3.org/2001/XMLSchema" xmlns:xs="http://www.w3.org/2001/XMLSchema" xmlns:p="http://schemas.microsoft.com/office/2006/metadata/properties" xmlns:ns2="22284b6d-4320-4c1c-b93c-fb5ab6f9e403" targetNamespace="http://schemas.microsoft.com/office/2006/metadata/properties" ma:root="true" ma:fieldsID="b741d398f05e370ba9a8f034645bfbde" ns2:_="">
    <xsd:import namespace="22284b6d-4320-4c1c-b93c-fb5ab6f9e4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84b6d-4320-4c1c-b93c-fb5ab6f9e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5024E-9119-4A5D-8D9D-C6B410B1A4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200D59-07CF-4323-9024-69E65B6C6C29}">
  <ds:schemaRefs>
    <ds:schemaRef ds:uri="http://schemas.microsoft.com/sharepoint/v3/contenttype/forms"/>
  </ds:schemaRefs>
</ds:datastoreItem>
</file>

<file path=customXml/itemProps3.xml><?xml version="1.0" encoding="utf-8"?>
<ds:datastoreItem xmlns:ds="http://schemas.openxmlformats.org/officeDocument/2006/customXml" ds:itemID="{6013A427-D2FE-4570-94F1-DD0ECFD4B206}">
  <ds:schemaRefs>
    <ds:schemaRef ds:uri="http://schemas.openxmlformats.org/officeDocument/2006/bibliography"/>
  </ds:schemaRefs>
</ds:datastoreItem>
</file>

<file path=customXml/itemProps4.xml><?xml version="1.0" encoding="utf-8"?>
<ds:datastoreItem xmlns:ds="http://schemas.openxmlformats.org/officeDocument/2006/customXml" ds:itemID="{C09257EA-2A63-40A9-9F7E-AAF717F1B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84b6d-4320-4c1c-b93c-fb5ab6f9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Modelo tutelas</Template>
  <TotalTime>2</TotalTime>
  <Pages>10</Pages>
  <Words>2935</Words>
  <Characters>16146</Characters>
  <Application>Microsoft Office Word</Application>
  <DocSecurity>0</DocSecurity>
  <Lines>134</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dc:creator>
  <cp:keywords/>
  <dc:description/>
  <cp:lastModifiedBy>Erich Cogollo Lombana</cp:lastModifiedBy>
  <cp:revision>3</cp:revision>
  <dcterms:created xsi:type="dcterms:W3CDTF">2021-05-24T17:11:00Z</dcterms:created>
  <dcterms:modified xsi:type="dcterms:W3CDTF">2021-05-27T13:38:00Z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0x010100BF5F8EB3B015164686C904CDFD7AD381</vt:lpwstr>
  </property>
</Properties>
</file>