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0BD6F" w14:textId="77777777" w:rsidR="009E3ECE" w:rsidRPr="00BA0028" w:rsidRDefault="009E3ECE" w:rsidP="62968F2C">
      <w:pPr>
        <w:pStyle w:val="NoSpacing"/>
        <w:spacing w:line="276" w:lineRule="auto"/>
        <w:rPr>
          <w:color w:val="auto"/>
        </w:rPr>
      </w:pPr>
      <w:r w:rsidRPr="62968F2C">
        <w:rPr>
          <w:color w:val="auto"/>
        </w:rPr>
        <w:t>CONSEJERO PONENTE: JAIME ENRIQUE RODRÍGUEZ NAVAS</w:t>
      </w:r>
    </w:p>
    <w:p w14:paraId="2154033D" w14:textId="77777777" w:rsidR="00FB660A" w:rsidRPr="00BA0028" w:rsidRDefault="00FB660A" w:rsidP="62968F2C">
      <w:pPr>
        <w:pStyle w:val="NoSpacing"/>
        <w:spacing w:line="276" w:lineRule="auto"/>
        <w:rPr>
          <w:color w:val="auto"/>
        </w:rPr>
      </w:pPr>
    </w:p>
    <w:p w14:paraId="66003472" w14:textId="77777777" w:rsidR="009E3ECE" w:rsidRPr="00BA0028" w:rsidRDefault="009E3ECE" w:rsidP="00B73871">
      <w:pPr>
        <w:spacing w:line="276" w:lineRule="auto"/>
        <w:contextualSpacing/>
        <w:rPr>
          <w:b/>
          <w:bCs/>
          <w:sz w:val="24"/>
          <w:szCs w:val="24"/>
        </w:rPr>
      </w:pPr>
    </w:p>
    <w:p w14:paraId="7543FA58" w14:textId="2A6FD566" w:rsidR="00FE5C9F" w:rsidRPr="00BA0028" w:rsidRDefault="00BA0028" w:rsidP="62968F2C">
      <w:pPr>
        <w:spacing w:line="276" w:lineRule="auto"/>
        <w:contextualSpacing/>
        <w:rPr>
          <w:sz w:val="24"/>
          <w:szCs w:val="24"/>
          <w:lang w:val="es-ES"/>
        </w:rPr>
      </w:pPr>
      <w:r w:rsidRPr="62968F2C">
        <w:rPr>
          <w:sz w:val="24"/>
          <w:szCs w:val="24"/>
        </w:rPr>
        <w:t>Bogotá D.C., veintidós (22) de febrero</w:t>
      </w:r>
      <w:r w:rsidR="00FB660A" w:rsidRPr="62968F2C">
        <w:rPr>
          <w:sz w:val="24"/>
          <w:szCs w:val="24"/>
        </w:rPr>
        <w:t xml:space="preserve"> </w:t>
      </w:r>
      <w:r w:rsidR="00D967B7" w:rsidRPr="62968F2C">
        <w:rPr>
          <w:sz w:val="24"/>
          <w:szCs w:val="24"/>
        </w:rPr>
        <w:t>de dos mil veintiuno (2021)</w:t>
      </w:r>
    </w:p>
    <w:p w14:paraId="2F0D00C5" w14:textId="77777777" w:rsidR="00FB660A" w:rsidRPr="00BA0028" w:rsidRDefault="00FB660A" w:rsidP="62968F2C">
      <w:pPr>
        <w:spacing w:line="276" w:lineRule="auto"/>
        <w:contextualSpacing/>
        <w:rPr>
          <w:b/>
          <w:bCs/>
          <w:sz w:val="24"/>
          <w:szCs w:val="24"/>
        </w:rPr>
      </w:pPr>
    </w:p>
    <w:p w14:paraId="1EA823BC" w14:textId="2F9418BD" w:rsidR="00FE5C9F" w:rsidRPr="00BA0028" w:rsidRDefault="00FE5C9F" w:rsidP="62968F2C">
      <w:pPr>
        <w:spacing w:line="276" w:lineRule="auto"/>
        <w:ind w:left="1985" w:hanging="1985"/>
        <w:contextualSpacing/>
        <w:rPr>
          <w:b/>
          <w:bCs/>
          <w:sz w:val="24"/>
          <w:szCs w:val="24"/>
        </w:rPr>
      </w:pPr>
      <w:r w:rsidRPr="62968F2C">
        <w:rPr>
          <w:b/>
          <w:bCs/>
          <w:sz w:val="24"/>
          <w:szCs w:val="24"/>
        </w:rPr>
        <w:t xml:space="preserve">Referencia: </w:t>
      </w:r>
      <w:r>
        <w:tab/>
      </w:r>
      <w:r w:rsidRPr="62968F2C">
        <w:rPr>
          <w:sz w:val="24"/>
          <w:szCs w:val="24"/>
        </w:rPr>
        <w:t>Acción de tutela</w:t>
      </w:r>
    </w:p>
    <w:p w14:paraId="336F9D4B" w14:textId="525C4D09" w:rsidR="00FE5C9F" w:rsidRPr="00BA0028" w:rsidRDefault="00FE5C9F" w:rsidP="00B73871">
      <w:pPr>
        <w:tabs>
          <w:tab w:val="left" w:pos="1985"/>
        </w:tabs>
        <w:spacing w:line="276" w:lineRule="auto"/>
        <w:contextualSpacing/>
        <w:rPr>
          <w:sz w:val="24"/>
          <w:szCs w:val="24"/>
        </w:rPr>
      </w:pPr>
      <w:r w:rsidRPr="62968F2C">
        <w:rPr>
          <w:b/>
          <w:bCs/>
          <w:sz w:val="24"/>
          <w:szCs w:val="24"/>
        </w:rPr>
        <w:t>Radicación:</w:t>
      </w:r>
      <w:r>
        <w:tab/>
      </w:r>
      <w:r w:rsidR="00FB660A" w:rsidRPr="62968F2C">
        <w:rPr>
          <w:sz w:val="24"/>
          <w:szCs w:val="24"/>
        </w:rPr>
        <w:t>11001-03-15-000-2020-05167-00</w:t>
      </w:r>
    </w:p>
    <w:p w14:paraId="5BF21059" w14:textId="67042CEA" w:rsidR="00FE5C9F" w:rsidRPr="00BA0028" w:rsidRDefault="00FE5C9F" w:rsidP="00B73871">
      <w:pPr>
        <w:tabs>
          <w:tab w:val="left" w:pos="1985"/>
        </w:tabs>
        <w:spacing w:line="276" w:lineRule="auto"/>
        <w:ind w:left="1980" w:hanging="1980"/>
        <w:contextualSpacing/>
        <w:rPr>
          <w:sz w:val="24"/>
          <w:szCs w:val="24"/>
        </w:rPr>
      </w:pPr>
      <w:r w:rsidRPr="62968F2C">
        <w:rPr>
          <w:b/>
          <w:bCs/>
          <w:sz w:val="24"/>
          <w:szCs w:val="24"/>
        </w:rPr>
        <w:t>Accionante:</w:t>
      </w:r>
      <w:r>
        <w:tab/>
      </w:r>
      <w:r w:rsidR="00FB660A" w:rsidRPr="62968F2C">
        <w:rPr>
          <w:sz w:val="24"/>
          <w:szCs w:val="24"/>
        </w:rPr>
        <w:t>Nación-</w:t>
      </w:r>
      <w:r w:rsidRPr="62968F2C">
        <w:rPr>
          <w:sz w:val="24"/>
          <w:szCs w:val="24"/>
        </w:rPr>
        <w:t>Rama Judicial, Co</w:t>
      </w:r>
      <w:r w:rsidR="00FB660A" w:rsidRPr="62968F2C">
        <w:rPr>
          <w:sz w:val="24"/>
          <w:szCs w:val="24"/>
        </w:rPr>
        <w:t>nsejo Superior de la Judicatura-</w:t>
      </w:r>
      <w:r w:rsidRPr="62968F2C">
        <w:rPr>
          <w:sz w:val="24"/>
          <w:szCs w:val="24"/>
        </w:rPr>
        <w:t xml:space="preserve"> Dirección Ejecu</w:t>
      </w:r>
      <w:r w:rsidR="00FB660A" w:rsidRPr="62968F2C">
        <w:rPr>
          <w:sz w:val="24"/>
          <w:szCs w:val="24"/>
        </w:rPr>
        <w:t>tiva de Administración Judicial</w:t>
      </w:r>
    </w:p>
    <w:p w14:paraId="706A18D2" w14:textId="0C1621D9" w:rsidR="00FE5C9F" w:rsidRPr="00BA0028" w:rsidRDefault="00FE5C9F" w:rsidP="62968F2C">
      <w:pPr>
        <w:tabs>
          <w:tab w:val="left" w:pos="1985"/>
        </w:tabs>
        <w:spacing w:line="276" w:lineRule="auto"/>
        <w:ind w:left="1985" w:right="51" w:hanging="1985"/>
        <w:contextualSpacing/>
        <w:rPr>
          <w:sz w:val="24"/>
          <w:szCs w:val="24"/>
        </w:rPr>
      </w:pPr>
      <w:r w:rsidRPr="62968F2C">
        <w:rPr>
          <w:b/>
          <w:bCs/>
          <w:sz w:val="24"/>
          <w:szCs w:val="24"/>
        </w:rPr>
        <w:t>Accionado:</w:t>
      </w:r>
      <w:r>
        <w:tab/>
      </w:r>
      <w:r w:rsidRPr="62968F2C">
        <w:rPr>
          <w:sz w:val="24"/>
          <w:szCs w:val="24"/>
        </w:rPr>
        <w:t>Subsección B de la Sección Tercera del Consejo de Estado</w:t>
      </w:r>
    </w:p>
    <w:p w14:paraId="481D2652" w14:textId="77777777" w:rsidR="00FB660A" w:rsidRPr="00BA0028" w:rsidRDefault="00FB660A" w:rsidP="62968F2C">
      <w:pPr>
        <w:tabs>
          <w:tab w:val="left" w:pos="1985"/>
        </w:tabs>
        <w:spacing w:line="276" w:lineRule="auto"/>
        <w:ind w:left="1985" w:right="51" w:hanging="1985"/>
        <w:contextualSpacing/>
        <w:rPr>
          <w:sz w:val="24"/>
          <w:szCs w:val="24"/>
        </w:rPr>
      </w:pPr>
    </w:p>
    <w:p w14:paraId="31471F1C" w14:textId="77777777" w:rsidR="00FE5C9F" w:rsidRPr="00BA0028" w:rsidRDefault="00FE5C9F" w:rsidP="62968F2C">
      <w:pPr>
        <w:tabs>
          <w:tab w:val="left" w:pos="8222"/>
        </w:tabs>
        <w:spacing w:line="276" w:lineRule="auto"/>
        <w:ind w:right="51"/>
        <w:contextualSpacing/>
        <w:rPr>
          <w:b/>
          <w:bCs/>
          <w:sz w:val="24"/>
          <w:szCs w:val="24"/>
        </w:rPr>
      </w:pPr>
    </w:p>
    <w:p w14:paraId="10814187" w14:textId="77777777" w:rsidR="00FE5C9F" w:rsidRPr="00BA0028" w:rsidRDefault="00FE5C9F" w:rsidP="62968F2C">
      <w:pPr>
        <w:pBdr>
          <w:bottom w:val="single" w:sz="12" w:space="0" w:color="auto"/>
        </w:pBdr>
        <w:spacing w:line="276" w:lineRule="auto"/>
        <w:ind w:left="2832" w:hanging="2832"/>
        <w:contextualSpacing/>
        <w:rPr>
          <w:b/>
          <w:bCs/>
          <w:sz w:val="24"/>
          <w:szCs w:val="24"/>
        </w:rPr>
      </w:pPr>
      <w:r w:rsidRPr="62968F2C">
        <w:rPr>
          <w:b/>
          <w:bCs/>
          <w:sz w:val="24"/>
          <w:szCs w:val="24"/>
        </w:rPr>
        <w:t>SENTENCIA DE PRIMERA INSTANCIA</w:t>
      </w:r>
    </w:p>
    <w:p w14:paraId="49BB8F0A" w14:textId="77777777" w:rsidR="00FE5C9F" w:rsidRPr="00BA0028" w:rsidRDefault="00FE5C9F" w:rsidP="62968F2C">
      <w:pPr>
        <w:spacing w:line="276" w:lineRule="auto"/>
        <w:contextualSpacing/>
        <w:jc w:val="center"/>
        <w:rPr>
          <w:b/>
          <w:bCs/>
          <w:sz w:val="24"/>
          <w:szCs w:val="24"/>
        </w:rPr>
      </w:pPr>
    </w:p>
    <w:p w14:paraId="3B6B58E9" w14:textId="14C79194" w:rsidR="00FE5C9F" w:rsidRPr="00BA0028" w:rsidRDefault="00FE5C9F" w:rsidP="62968F2C">
      <w:pPr>
        <w:pStyle w:val="Textoindependiente21"/>
        <w:spacing w:after="0" w:line="276" w:lineRule="auto"/>
        <w:ind w:left="0"/>
        <w:jc w:val="both"/>
        <w:rPr>
          <w:rFonts w:cs="Arial"/>
          <w:sz w:val="24"/>
          <w:szCs w:val="24"/>
          <w:lang w:val="es-CO"/>
        </w:rPr>
      </w:pPr>
      <w:r w:rsidRPr="62968F2C">
        <w:rPr>
          <w:rFonts w:cs="Arial"/>
          <w:sz w:val="24"/>
          <w:szCs w:val="24"/>
        </w:rPr>
        <w:t xml:space="preserve">La Sala decide en primera instancia la acción de tutela incoada por la Nación, Rama Judicial, Consejo Superior de la Judicatura, Dirección Ejecutiva de Administración Judicial </w:t>
      </w:r>
      <w:r w:rsidR="006C5DE5" w:rsidRPr="62968F2C">
        <w:rPr>
          <w:rFonts w:cs="Arial"/>
          <w:sz w:val="24"/>
          <w:szCs w:val="24"/>
        </w:rPr>
        <w:t>(DEAJ)</w:t>
      </w:r>
      <w:r w:rsidR="007A3F17" w:rsidRPr="62968F2C">
        <w:rPr>
          <w:rFonts w:cs="Arial"/>
          <w:sz w:val="24"/>
          <w:szCs w:val="24"/>
        </w:rPr>
        <w:t>,</w:t>
      </w:r>
      <w:r w:rsidR="006C5DE5" w:rsidRPr="62968F2C">
        <w:rPr>
          <w:rFonts w:cs="Arial"/>
          <w:sz w:val="24"/>
          <w:szCs w:val="24"/>
        </w:rPr>
        <w:t xml:space="preserve"> </w:t>
      </w:r>
      <w:r w:rsidRPr="62968F2C">
        <w:rPr>
          <w:rFonts w:cs="Arial"/>
          <w:sz w:val="24"/>
          <w:szCs w:val="24"/>
        </w:rPr>
        <w:t>en contra</w:t>
      </w:r>
      <w:bookmarkStart w:id="0" w:name="_Hlk49761891"/>
      <w:r w:rsidRPr="62968F2C">
        <w:rPr>
          <w:rFonts w:cs="Arial"/>
          <w:sz w:val="24"/>
          <w:szCs w:val="24"/>
        </w:rPr>
        <w:t xml:space="preserve"> de la Subsección B de la Sección Tercera del Consejo de Estado</w:t>
      </w:r>
      <w:r w:rsidRPr="62968F2C">
        <w:rPr>
          <w:rFonts w:cs="Arial"/>
          <w:sz w:val="24"/>
          <w:szCs w:val="24"/>
          <w:lang w:val="es-CO"/>
        </w:rPr>
        <w:t>.</w:t>
      </w:r>
    </w:p>
    <w:p w14:paraId="203EBA2A" w14:textId="77777777" w:rsidR="00FE5C9F" w:rsidRPr="00BA0028" w:rsidRDefault="00FE5C9F" w:rsidP="62968F2C">
      <w:pPr>
        <w:pStyle w:val="Textoindependiente21"/>
        <w:spacing w:after="0" w:line="276" w:lineRule="auto"/>
        <w:ind w:left="0"/>
        <w:jc w:val="both"/>
        <w:rPr>
          <w:rFonts w:cs="Arial"/>
          <w:sz w:val="24"/>
          <w:szCs w:val="24"/>
          <w:lang w:val="es-CO"/>
        </w:rPr>
      </w:pPr>
    </w:p>
    <w:bookmarkEnd w:id="0"/>
    <w:p w14:paraId="217896BB" w14:textId="77777777" w:rsidR="00FE5C9F" w:rsidRPr="00BA0028" w:rsidRDefault="00FE5C9F" w:rsidP="62968F2C">
      <w:pPr>
        <w:pStyle w:val="Heading1"/>
        <w:spacing w:before="0" w:after="0"/>
        <w:rPr>
          <w:rFonts w:cs="Arial"/>
        </w:rPr>
      </w:pPr>
      <w:r w:rsidRPr="62968F2C">
        <w:rPr>
          <w:rFonts w:cs="Arial"/>
        </w:rPr>
        <w:t>ANTECEDENTES</w:t>
      </w:r>
    </w:p>
    <w:p w14:paraId="2A3B43A0" w14:textId="77777777" w:rsidR="00FE5C9F" w:rsidRPr="00BA0028" w:rsidRDefault="00FE5C9F" w:rsidP="00B73871">
      <w:pPr>
        <w:spacing w:line="276" w:lineRule="auto"/>
        <w:rPr>
          <w:sz w:val="24"/>
          <w:szCs w:val="24"/>
        </w:rPr>
      </w:pPr>
    </w:p>
    <w:p w14:paraId="3E9E13BD" w14:textId="77777777" w:rsidR="00FE5C9F" w:rsidRPr="00BA0028" w:rsidRDefault="00FE5C9F" w:rsidP="62968F2C">
      <w:pPr>
        <w:pStyle w:val="Heading2"/>
        <w:spacing w:before="0" w:after="0" w:line="276" w:lineRule="auto"/>
        <w:rPr>
          <w:rFonts w:cs="Arial"/>
          <w:lang w:eastAsia="es-ES"/>
        </w:rPr>
      </w:pPr>
      <w:r w:rsidRPr="62968F2C">
        <w:rPr>
          <w:rFonts w:cs="Arial"/>
          <w:lang w:eastAsia="es-ES"/>
        </w:rPr>
        <w:t>Solicitud de tutela</w:t>
      </w:r>
    </w:p>
    <w:p w14:paraId="5167FF7E" w14:textId="77777777" w:rsidR="00FE5C9F" w:rsidRPr="00BA0028" w:rsidRDefault="00FE5C9F" w:rsidP="00B73871">
      <w:pPr>
        <w:overflowPunct w:val="0"/>
        <w:autoSpaceDE w:val="0"/>
        <w:autoSpaceDN w:val="0"/>
        <w:adjustRightInd w:val="0"/>
        <w:spacing w:line="276" w:lineRule="auto"/>
        <w:contextualSpacing/>
        <w:textAlignment w:val="baseline"/>
        <w:rPr>
          <w:sz w:val="24"/>
          <w:szCs w:val="24"/>
        </w:rPr>
      </w:pPr>
    </w:p>
    <w:p w14:paraId="1DC169B4" w14:textId="42F53D3A" w:rsidR="00FE5C9F" w:rsidRPr="00BA0028" w:rsidRDefault="00FE5C9F" w:rsidP="00B73871">
      <w:pPr>
        <w:tabs>
          <w:tab w:val="left" w:pos="1985"/>
        </w:tabs>
        <w:spacing w:line="276" w:lineRule="auto"/>
        <w:rPr>
          <w:sz w:val="24"/>
          <w:szCs w:val="24"/>
        </w:rPr>
      </w:pPr>
      <w:r w:rsidRPr="62968F2C">
        <w:rPr>
          <w:sz w:val="24"/>
          <w:szCs w:val="24"/>
        </w:rPr>
        <w:t>La Nación, Rama Judicial, Consejo Superior de la Judicatura, Dirección Ejecutiva de Administración Judicial</w:t>
      </w:r>
      <w:r w:rsidRPr="62968F2C">
        <w:rPr>
          <w:sz w:val="24"/>
          <w:szCs w:val="24"/>
          <w:lang w:val="es-MX" w:eastAsia="ja-JP"/>
        </w:rPr>
        <w:t xml:space="preserve">, a través de apoderada judicial, solicitó el amparo constitucional de sus derechos fundamentales </w:t>
      </w:r>
      <w:r w:rsidRPr="62968F2C">
        <w:rPr>
          <w:sz w:val="24"/>
          <w:szCs w:val="24"/>
        </w:rPr>
        <w:t>al debido proceso, a l</w:t>
      </w:r>
      <w:r w:rsidR="005343C4" w:rsidRPr="62968F2C">
        <w:rPr>
          <w:sz w:val="24"/>
          <w:szCs w:val="24"/>
        </w:rPr>
        <w:t xml:space="preserve">a defensa, a la contradicción, </w:t>
      </w:r>
      <w:r w:rsidRPr="62968F2C">
        <w:rPr>
          <w:sz w:val="24"/>
          <w:szCs w:val="24"/>
        </w:rPr>
        <w:t>a la igualdad</w:t>
      </w:r>
      <w:r w:rsidR="005343C4" w:rsidRPr="62968F2C">
        <w:rPr>
          <w:sz w:val="24"/>
          <w:szCs w:val="24"/>
        </w:rPr>
        <w:t xml:space="preserve"> y a la </w:t>
      </w:r>
      <w:r w:rsidR="005343C4" w:rsidRPr="62968F2C">
        <w:rPr>
          <w:i/>
          <w:iCs/>
          <w:sz w:val="24"/>
          <w:szCs w:val="24"/>
        </w:rPr>
        <w:t xml:space="preserve">no </w:t>
      </w:r>
      <w:proofErr w:type="spellStart"/>
      <w:r w:rsidR="005343C4" w:rsidRPr="62968F2C">
        <w:rPr>
          <w:i/>
          <w:iCs/>
          <w:sz w:val="24"/>
          <w:szCs w:val="24"/>
        </w:rPr>
        <w:t>reformatio</w:t>
      </w:r>
      <w:proofErr w:type="spellEnd"/>
      <w:r w:rsidR="005343C4" w:rsidRPr="62968F2C">
        <w:rPr>
          <w:i/>
          <w:iCs/>
          <w:sz w:val="24"/>
          <w:szCs w:val="24"/>
        </w:rPr>
        <w:t xml:space="preserve"> in </w:t>
      </w:r>
      <w:proofErr w:type="spellStart"/>
      <w:r w:rsidR="005343C4" w:rsidRPr="62968F2C">
        <w:rPr>
          <w:i/>
          <w:iCs/>
          <w:sz w:val="24"/>
          <w:szCs w:val="24"/>
        </w:rPr>
        <w:t>pejus</w:t>
      </w:r>
      <w:proofErr w:type="spellEnd"/>
      <w:r w:rsidRPr="62968F2C">
        <w:rPr>
          <w:sz w:val="24"/>
          <w:szCs w:val="24"/>
        </w:rPr>
        <w:t>, que consideró fueron vulnerados por la Subsección B de la Sección Tercera del Consejo de Estado, con ocasión de la sentencia de s</w:t>
      </w:r>
      <w:r w:rsidR="00CE6D53" w:rsidRPr="62968F2C">
        <w:rPr>
          <w:sz w:val="24"/>
          <w:szCs w:val="24"/>
        </w:rPr>
        <w:t>egunda instancia del 19 de junio</w:t>
      </w:r>
      <w:r w:rsidRPr="62968F2C">
        <w:rPr>
          <w:sz w:val="24"/>
          <w:szCs w:val="24"/>
        </w:rPr>
        <w:t xml:space="preserve"> de 2020 proferida dentro del proceso de repara</w:t>
      </w:r>
      <w:r w:rsidR="00CE6D53" w:rsidRPr="62968F2C">
        <w:rPr>
          <w:sz w:val="24"/>
          <w:szCs w:val="24"/>
        </w:rPr>
        <w:t>ción directa con radicado 20001233100020110061601</w:t>
      </w:r>
      <w:r w:rsidRPr="62968F2C">
        <w:rPr>
          <w:sz w:val="24"/>
          <w:szCs w:val="24"/>
        </w:rPr>
        <w:t>.</w:t>
      </w:r>
    </w:p>
    <w:p w14:paraId="4718E0D0" w14:textId="77777777" w:rsidR="001C4D01" w:rsidRPr="00BA0028" w:rsidRDefault="001C4D01" w:rsidP="00B73871">
      <w:pPr>
        <w:spacing w:line="276" w:lineRule="auto"/>
        <w:contextualSpacing/>
        <w:rPr>
          <w:rFonts w:eastAsia="Verdana"/>
          <w:sz w:val="24"/>
          <w:szCs w:val="24"/>
          <w:lang w:val="es-MX"/>
        </w:rPr>
      </w:pPr>
    </w:p>
    <w:p w14:paraId="2075725E" w14:textId="2DC9E55E" w:rsidR="001C4D01" w:rsidRPr="00BA0028" w:rsidRDefault="001C4D01" w:rsidP="62968F2C">
      <w:pPr>
        <w:numPr>
          <w:ilvl w:val="0"/>
          <w:numId w:val="3"/>
        </w:numPr>
        <w:spacing w:line="276" w:lineRule="auto"/>
        <w:contextualSpacing/>
        <w:rPr>
          <w:rFonts w:eastAsia="Verdana"/>
          <w:b/>
          <w:bCs/>
          <w:sz w:val="24"/>
          <w:szCs w:val="24"/>
        </w:rPr>
      </w:pPr>
      <w:r w:rsidRPr="62968F2C">
        <w:rPr>
          <w:rFonts w:eastAsia="Verdana"/>
          <w:b/>
          <w:bCs/>
          <w:sz w:val="24"/>
          <w:szCs w:val="24"/>
        </w:rPr>
        <w:t>Hechos</w:t>
      </w:r>
    </w:p>
    <w:p w14:paraId="54B13BB7" w14:textId="77777777" w:rsidR="001C4D01" w:rsidRPr="00BA0028" w:rsidRDefault="001C4D01" w:rsidP="00B73871">
      <w:pPr>
        <w:spacing w:line="276" w:lineRule="auto"/>
        <w:contextualSpacing/>
        <w:rPr>
          <w:rFonts w:eastAsia="Verdana"/>
          <w:sz w:val="24"/>
          <w:szCs w:val="24"/>
        </w:rPr>
      </w:pPr>
    </w:p>
    <w:p w14:paraId="5B7A77D9" w14:textId="77777777" w:rsidR="005D4643" w:rsidRDefault="001C4D01" w:rsidP="00B73871">
      <w:pPr>
        <w:autoSpaceDE w:val="0"/>
        <w:autoSpaceDN w:val="0"/>
        <w:adjustRightInd w:val="0"/>
        <w:spacing w:line="276" w:lineRule="auto"/>
        <w:rPr>
          <w:sz w:val="24"/>
          <w:szCs w:val="24"/>
          <w:lang w:val="es-MX" w:eastAsia="ja-JP"/>
        </w:rPr>
      </w:pPr>
      <w:r w:rsidRPr="62968F2C">
        <w:rPr>
          <w:b/>
          <w:bCs/>
          <w:sz w:val="24"/>
          <w:szCs w:val="24"/>
          <w:lang w:val="es-MX" w:eastAsia="ja-JP"/>
        </w:rPr>
        <w:t>2.1.</w:t>
      </w:r>
      <w:r w:rsidRPr="00BA0028">
        <w:rPr>
          <w:sz w:val="24"/>
          <w:szCs w:val="24"/>
          <w:lang w:val="es-MX" w:eastAsia="ja-JP"/>
        </w:rPr>
        <w:t xml:space="preserve"> </w:t>
      </w:r>
      <w:r w:rsidR="00CE6D53" w:rsidRPr="00BA0028">
        <w:rPr>
          <w:sz w:val="24"/>
          <w:szCs w:val="24"/>
          <w:lang w:val="es-MX" w:eastAsia="ja-JP"/>
        </w:rPr>
        <w:t xml:space="preserve">Luis Carlos </w:t>
      </w:r>
      <w:proofErr w:type="spellStart"/>
      <w:r w:rsidR="00CE6D53" w:rsidRPr="00BA0028">
        <w:rPr>
          <w:sz w:val="24"/>
          <w:szCs w:val="24"/>
          <w:lang w:val="es-MX" w:eastAsia="ja-JP"/>
        </w:rPr>
        <w:t>Riqueth</w:t>
      </w:r>
      <w:proofErr w:type="spellEnd"/>
      <w:r w:rsidR="00CE6D53" w:rsidRPr="00BA0028">
        <w:rPr>
          <w:sz w:val="24"/>
          <w:szCs w:val="24"/>
          <w:lang w:val="es-MX" w:eastAsia="ja-JP"/>
        </w:rPr>
        <w:t xml:space="preserve"> García</w:t>
      </w:r>
      <w:r w:rsidR="00A61163" w:rsidRPr="00BA0028">
        <w:rPr>
          <w:sz w:val="24"/>
          <w:szCs w:val="24"/>
          <w:lang w:val="es-MX" w:eastAsia="ja-JP"/>
        </w:rPr>
        <w:t xml:space="preserve"> y su núcleo familiar</w:t>
      </w:r>
      <w:r w:rsidR="00A52F52" w:rsidRPr="00BA0028">
        <w:rPr>
          <w:sz w:val="24"/>
          <w:szCs w:val="24"/>
          <w:lang w:val="es-MX" w:eastAsia="ja-JP"/>
        </w:rPr>
        <w:t>,</w:t>
      </w:r>
      <w:r w:rsidR="00A61163" w:rsidRPr="00BA0028">
        <w:rPr>
          <w:sz w:val="24"/>
          <w:szCs w:val="24"/>
          <w:lang w:val="es-MX" w:eastAsia="ja-JP"/>
        </w:rPr>
        <w:t xml:space="preserve"> presentaron demanda de reparación directa</w:t>
      </w:r>
      <w:r w:rsidR="0034201B" w:rsidRPr="00BA0028">
        <w:rPr>
          <w:rStyle w:val="FootnoteReference"/>
          <w:sz w:val="24"/>
          <w:szCs w:val="24"/>
          <w:lang w:val="es-MX" w:eastAsia="ja-JP"/>
        </w:rPr>
        <w:footnoteReference w:id="1"/>
      </w:r>
      <w:r w:rsidR="00A61163" w:rsidRPr="00BA0028">
        <w:rPr>
          <w:sz w:val="24"/>
          <w:szCs w:val="24"/>
          <w:lang w:val="es-MX" w:eastAsia="ja-JP"/>
        </w:rPr>
        <w:t xml:space="preserve"> </w:t>
      </w:r>
      <w:r w:rsidR="00CE6D53" w:rsidRPr="00BA0028">
        <w:rPr>
          <w:sz w:val="24"/>
          <w:szCs w:val="24"/>
          <w:lang w:val="es-MX" w:eastAsia="ja-JP"/>
        </w:rPr>
        <w:t>en contra de la Nación-</w:t>
      </w:r>
      <w:r w:rsidR="000B71FD" w:rsidRPr="00BA0028">
        <w:rPr>
          <w:sz w:val="24"/>
          <w:szCs w:val="24"/>
          <w:lang w:val="es-MX" w:eastAsia="ja-JP"/>
        </w:rPr>
        <w:t xml:space="preserve">Rama Judicial, para que fueran reparados por los </w:t>
      </w:r>
      <w:r w:rsidR="00FB1253" w:rsidRPr="00BA0028">
        <w:rPr>
          <w:sz w:val="24"/>
          <w:szCs w:val="24"/>
          <w:lang w:val="es-MX" w:eastAsia="ja-JP"/>
        </w:rPr>
        <w:t xml:space="preserve">perjuicios materiales, en </w:t>
      </w:r>
      <w:r w:rsidR="00753538" w:rsidRPr="00BA0028">
        <w:rPr>
          <w:sz w:val="24"/>
          <w:szCs w:val="24"/>
          <w:lang w:val="es-MX" w:eastAsia="ja-JP"/>
        </w:rPr>
        <w:t>las modalidades de</w:t>
      </w:r>
      <w:r w:rsidR="005D4680" w:rsidRPr="00BA0028">
        <w:rPr>
          <w:sz w:val="24"/>
          <w:szCs w:val="24"/>
          <w:lang w:val="es-MX" w:eastAsia="ja-JP"/>
        </w:rPr>
        <w:t xml:space="preserve"> lucro cesante y daño emergente; y por perjuicios</w:t>
      </w:r>
      <w:r w:rsidR="00FB1253" w:rsidRPr="00BA0028">
        <w:rPr>
          <w:sz w:val="24"/>
          <w:szCs w:val="24"/>
          <w:lang w:val="es-MX" w:eastAsia="ja-JP"/>
        </w:rPr>
        <w:t xml:space="preserve"> </w:t>
      </w:r>
      <w:r w:rsidR="005D4680" w:rsidRPr="00BA0028">
        <w:rPr>
          <w:sz w:val="24"/>
          <w:szCs w:val="24"/>
          <w:lang w:val="es-MX" w:eastAsia="ja-JP"/>
        </w:rPr>
        <w:t>morales,</w:t>
      </w:r>
      <w:r w:rsidR="00FB1253" w:rsidRPr="00BA0028">
        <w:rPr>
          <w:sz w:val="24"/>
          <w:szCs w:val="24"/>
          <w:lang w:val="es-MX" w:eastAsia="ja-JP"/>
        </w:rPr>
        <w:t xml:space="preserve"> </w:t>
      </w:r>
      <w:r w:rsidR="005D4680" w:rsidRPr="00BA0028">
        <w:rPr>
          <w:sz w:val="24"/>
          <w:szCs w:val="24"/>
          <w:lang w:val="es-MX" w:eastAsia="ja-JP"/>
        </w:rPr>
        <w:t xml:space="preserve">daño </w:t>
      </w:r>
      <w:r w:rsidR="00FB1253" w:rsidRPr="00BA0028">
        <w:rPr>
          <w:sz w:val="24"/>
          <w:szCs w:val="24"/>
          <w:lang w:val="es-MX" w:eastAsia="ja-JP"/>
        </w:rPr>
        <w:t>a la vida de relación</w:t>
      </w:r>
      <w:r w:rsidR="00765A01">
        <w:rPr>
          <w:sz w:val="24"/>
          <w:szCs w:val="24"/>
          <w:lang w:val="es-MX" w:eastAsia="ja-JP"/>
        </w:rPr>
        <w:t xml:space="preserve"> y daño al buen nombre</w:t>
      </w:r>
      <w:r w:rsidR="00FB1253" w:rsidRPr="00BA0028">
        <w:rPr>
          <w:sz w:val="24"/>
          <w:szCs w:val="24"/>
          <w:lang w:val="es-MX" w:eastAsia="ja-JP"/>
        </w:rPr>
        <w:t xml:space="preserve">, </w:t>
      </w:r>
      <w:proofErr w:type="spellStart"/>
      <w:r w:rsidR="000B71FD" w:rsidRPr="00BA0028">
        <w:rPr>
          <w:sz w:val="24"/>
          <w:szCs w:val="24"/>
          <w:lang w:val="es-MX" w:eastAsia="ja-JP"/>
        </w:rPr>
        <w:t>der</w:t>
      </w:r>
      <w:proofErr w:type="spellEnd"/>
    </w:p>
    <w:p w14:paraId="48E6B2EC" w14:textId="63AF69CB" w:rsidR="00A61163" w:rsidRPr="00BA0028" w:rsidRDefault="000B71FD" w:rsidP="00B73871">
      <w:pPr>
        <w:autoSpaceDE w:val="0"/>
        <w:autoSpaceDN w:val="0"/>
        <w:adjustRightInd w:val="0"/>
        <w:spacing w:line="276" w:lineRule="auto"/>
        <w:rPr>
          <w:sz w:val="24"/>
          <w:szCs w:val="24"/>
          <w:lang w:val="es-MX" w:eastAsia="ja-JP"/>
        </w:rPr>
      </w:pPr>
      <w:proofErr w:type="spellStart"/>
      <w:r w:rsidRPr="62968F2C">
        <w:rPr>
          <w:sz w:val="24"/>
          <w:szCs w:val="24"/>
          <w:lang w:val="es-MX" w:eastAsia="ja-JP"/>
        </w:rPr>
        <w:t>ivados</w:t>
      </w:r>
      <w:proofErr w:type="spellEnd"/>
      <w:r w:rsidRPr="62968F2C">
        <w:rPr>
          <w:sz w:val="24"/>
          <w:szCs w:val="24"/>
          <w:lang w:val="es-MX" w:eastAsia="ja-JP"/>
        </w:rPr>
        <w:t xml:space="preserve"> de la privación de la libertad </w:t>
      </w:r>
      <w:r w:rsidR="005D4680" w:rsidRPr="62968F2C">
        <w:rPr>
          <w:sz w:val="24"/>
          <w:szCs w:val="24"/>
          <w:lang w:val="es-MX" w:eastAsia="ja-JP"/>
        </w:rPr>
        <w:t>de</w:t>
      </w:r>
      <w:r w:rsidR="00FB1253" w:rsidRPr="62968F2C">
        <w:rPr>
          <w:sz w:val="24"/>
          <w:szCs w:val="24"/>
          <w:lang w:val="es-MX" w:eastAsia="ja-JP"/>
        </w:rPr>
        <w:t xml:space="preserve"> 4</w:t>
      </w:r>
      <w:r w:rsidR="005D4680" w:rsidRPr="62968F2C">
        <w:rPr>
          <w:sz w:val="24"/>
          <w:szCs w:val="24"/>
          <w:lang w:val="es-MX" w:eastAsia="ja-JP"/>
        </w:rPr>
        <w:t>5 días</w:t>
      </w:r>
      <w:r w:rsidR="00FB1253" w:rsidRPr="62968F2C">
        <w:rPr>
          <w:sz w:val="24"/>
          <w:szCs w:val="24"/>
          <w:lang w:val="es-MX" w:eastAsia="ja-JP"/>
        </w:rPr>
        <w:t xml:space="preserve"> </w:t>
      </w:r>
      <w:r w:rsidRPr="62968F2C">
        <w:rPr>
          <w:sz w:val="24"/>
          <w:szCs w:val="24"/>
          <w:lang w:val="es-MX" w:eastAsia="ja-JP"/>
        </w:rPr>
        <w:t xml:space="preserve">de la que </w:t>
      </w:r>
      <w:r w:rsidR="005D4680" w:rsidRPr="62968F2C">
        <w:rPr>
          <w:sz w:val="24"/>
          <w:szCs w:val="24"/>
          <w:lang w:val="es-MX" w:eastAsia="ja-JP"/>
        </w:rPr>
        <w:t>fue sujeto</w:t>
      </w:r>
      <w:r w:rsidR="00047AD2" w:rsidRPr="62968F2C">
        <w:rPr>
          <w:sz w:val="24"/>
          <w:szCs w:val="24"/>
          <w:lang w:val="es-MX" w:eastAsia="ja-JP"/>
        </w:rPr>
        <w:t xml:space="preserve"> </w:t>
      </w:r>
      <w:r w:rsidR="005D4680" w:rsidRPr="62968F2C">
        <w:rPr>
          <w:sz w:val="24"/>
          <w:szCs w:val="24"/>
          <w:lang w:val="es-MX" w:eastAsia="ja-JP"/>
        </w:rPr>
        <w:t>el accionante</w:t>
      </w:r>
      <w:r w:rsidRPr="62968F2C">
        <w:rPr>
          <w:sz w:val="24"/>
          <w:szCs w:val="24"/>
          <w:lang w:val="es-MX" w:eastAsia="ja-JP"/>
        </w:rPr>
        <w:t>.</w:t>
      </w:r>
      <w:r w:rsidR="005D4680" w:rsidRPr="62968F2C">
        <w:rPr>
          <w:sz w:val="24"/>
          <w:szCs w:val="24"/>
          <w:lang w:val="es-MX" w:eastAsia="ja-JP"/>
        </w:rPr>
        <w:t xml:space="preserve"> </w:t>
      </w:r>
    </w:p>
    <w:p w14:paraId="42E281B3" w14:textId="77777777" w:rsidR="000B71FD" w:rsidRPr="00BA0028" w:rsidRDefault="000B71FD" w:rsidP="00B73871">
      <w:pPr>
        <w:autoSpaceDE w:val="0"/>
        <w:autoSpaceDN w:val="0"/>
        <w:adjustRightInd w:val="0"/>
        <w:spacing w:line="276" w:lineRule="auto"/>
        <w:rPr>
          <w:sz w:val="24"/>
          <w:szCs w:val="24"/>
          <w:lang w:val="es-MX" w:eastAsia="ja-JP"/>
        </w:rPr>
      </w:pPr>
    </w:p>
    <w:p w14:paraId="7205DBBD" w14:textId="1831DB71" w:rsidR="00994E01" w:rsidRPr="00BA0028" w:rsidRDefault="00D433A7" w:rsidP="00B73871">
      <w:pPr>
        <w:autoSpaceDE w:val="0"/>
        <w:autoSpaceDN w:val="0"/>
        <w:adjustRightInd w:val="0"/>
        <w:spacing w:line="276" w:lineRule="auto"/>
        <w:rPr>
          <w:sz w:val="24"/>
          <w:szCs w:val="24"/>
        </w:rPr>
      </w:pPr>
      <w:r w:rsidRPr="62968F2C">
        <w:rPr>
          <w:b/>
          <w:bCs/>
          <w:sz w:val="24"/>
          <w:szCs w:val="24"/>
          <w:lang w:val="es-MX" w:eastAsia="ja-JP"/>
        </w:rPr>
        <w:t xml:space="preserve">2.2. </w:t>
      </w:r>
      <w:r w:rsidR="000B71FD" w:rsidRPr="62968F2C">
        <w:rPr>
          <w:sz w:val="24"/>
          <w:szCs w:val="24"/>
          <w:lang w:val="es-MX" w:eastAsia="ja-JP"/>
        </w:rPr>
        <w:t xml:space="preserve">El asunto </w:t>
      </w:r>
      <w:r w:rsidR="00667AD5" w:rsidRPr="62968F2C">
        <w:rPr>
          <w:sz w:val="24"/>
          <w:szCs w:val="24"/>
          <w:lang w:val="es-MX" w:eastAsia="ja-JP"/>
        </w:rPr>
        <w:t xml:space="preserve">lo conoció </w:t>
      </w:r>
      <w:r w:rsidR="00667AD5" w:rsidRPr="62968F2C">
        <w:rPr>
          <w:sz w:val="24"/>
          <w:szCs w:val="24"/>
        </w:rPr>
        <w:t>e</w:t>
      </w:r>
      <w:r w:rsidR="000B71FD" w:rsidRPr="62968F2C">
        <w:rPr>
          <w:sz w:val="24"/>
          <w:szCs w:val="24"/>
          <w:lang w:val="es-MX" w:eastAsia="ja-JP"/>
        </w:rPr>
        <w:t>l Tribunal Administrativo de</w:t>
      </w:r>
      <w:r w:rsidR="00667AD5" w:rsidRPr="62968F2C">
        <w:rPr>
          <w:sz w:val="24"/>
          <w:szCs w:val="24"/>
          <w:lang w:val="es-MX" w:eastAsia="ja-JP"/>
        </w:rPr>
        <w:t>l</w:t>
      </w:r>
      <w:r w:rsidR="000B71FD" w:rsidRPr="62968F2C">
        <w:rPr>
          <w:sz w:val="24"/>
          <w:szCs w:val="24"/>
          <w:lang w:val="es-MX" w:eastAsia="ja-JP"/>
        </w:rPr>
        <w:t xml:space="preserve"> </w:t>
      </w:r>
      <w:r w:rsidR="00667AD5" w:rsidRPr="62968F2C">
        <w:rPr>
          <w:sz w:val="24"/>
          <w:szCs w:val="24"/>
          <w:lang w:val="es-MX" w:eastAsia="ja-JP"/>
        </w:rPr>
        <w:t>Cesar</w:t>
      </w:r>
      <w:r w:rsidR="000903AC" w:rsidRPr="62968F2C">
        <w:rPr>
          <w:sz w:val="24"/>
          <w:szCs w:val="24"/>
          <w:lang w:val="es-MX" w:eastAsia="ja-JP"/>
        </w:rPr>
        <w:t xml:space="preserve">, </w:t>
      </w:r>
      <w:r w:rsidR="000B71FD" w:rsidRPr="62968F2C">
        <w:rPr>
          <w:sz w:val="24"/>
          <w:szCs w:val="24"/>
        </w:rPr>
        <w:t>autoridad</w:t>
      </w:r>
      <w:r w:rsidR="00756E7C" w:rsidRPr="62968F2C">
        <w:rPr>
          <w:sz w:val="24"/>
          <w:szCs w:val="24"/>
        </w:rPr>
        <w:t xml:space="preserve"> judicial</w:t>
      </w:r>
      <w:r w:rsidR="000B71FD" w:rsidRPr="62968F2C">
        <w:rPr>
          <w:sz w:val="24"/>
          <w:szCs w:val="24"/>
        </w:rPr>
        <w:t xml:space="preserve"> que, en sentencia del </w:t>
      </w:r>
      <w:r w:rsidR="00667AD5" w:rsidRPr="62968F2C">
        <w:rPr>
          <w:sz w:val="24"/>
          <w:szCs w:val="24"/>
        </w:rPr>
        <w:t>9 de agosto</w:t>
      </w:r>
      <w:r w:rsidR="000B71FD" w:rsidRPr="62968F2C">
        <w:rPr>
          <w:sz w:val="24"/>
          <w:szCs w:val="24"/>
        </w:rPr>
        <w:t xml:space="preserve"> de 201</w:t>
      </w:r>
      <w:r w:rsidR="00667AD5" w:rsidRPr="62968F2C">
        <w:rPr>
          <w:sz w:val="24"/>
          <w:szCs w:val="24"/>
        </w:rPr>
        <w:t>3</w:t>
      </w:r>
      <w:r w:rsidR="000B71FD" w:rsidRPr="62968F2C">
        <w:rPr>
          <w:sz w:val="24"/>
          <w:szCs w:val="24"/>
        </w:rPr>
        <w:t xml:space="preserve">, </w:t>
      </w:r>
      <w:r w:rsidR="00FB25AE" w:rsidRPr="62968F2C">
        <w:rPr>
          <w:sz w:val="24"/>
          <w:szCs w:val="24"/>
        </w:rPr>
        <w:t xml:space="preserve">declaró </w:t>
      </w:r>
      <w:r w:rsidR="00756E7C" w:rsidRPr="62968F2C">
        <w:rPr>
          <w:sz w:val="24"/>
          <w:szCs w:val="24"/>
        </w:rPr>
        <w:t xml:space="preserve">la responsabilidad extracontractual de </w:t>
      </w:r>
      <w:r w:rsidR="00756E7C" w:rsidRPr="62968F2C">
        <w:rPr>
          <w:sz w:val="24"/>
          <w:szCs w:val="24"/>
        </w:rPr>
        <w:lastRenderedPageBreak/>
        <w:t>la Nación-Rama Judicial, por la privación</w:t>
      </w:r>
      <w:r w:rsidR="00EA7475" w:rsidRPr="62968F2C">
        <w:rPr>
          <w:sz w:val="24"/>
          <w:szCs w:val="24"/>
        </w:rPr>
        <w:t xml:space="preserve"> de la libertad </w:t>
      </w:r>
      <w:r w:rsidR="00756E7C" w:rsidRPr="62968F2C">
        <w:rPr>
          <w:sz w:val="24"/>
          <w:szCs w:val="24"/>
        </w:rPr>
        <w:t xml:space="preserve">Luis Carlos </w:t>
      </w:r>
      <w:proofErr w:type="spellStart"/>
      <w:r w:rsidR="00756E7C" w:rsidRPr="62968F2C">
        <w:rPr>
          <w:sz w:val="24"/>
          <w:szCs w:val="24"/>
        </w:rPr>
        <w:t>Riqueth</w:t>
      </w:r>
      <w:proofErr w:type="spellEnd"/>
      <w:r w:rsidR="00756E7C" w:rsidRPr="62968F2C">
        <w:rPr>
          <w:sz w:val="24"/>
          <w:szCs w:val="24"/>
        </w:rPr>
        <w:t xml:space="preserve"> García, y la condenó al pago</w:t>
      </w:r>
      <w:r w:rsidR="00753538" w:rsidRPr="62968F2C">
        <w:rPr>
          <w:sz w:val="24"/>
          <w:szCs w:val="24"/>
        </w:rPr>
        <w:t xml:space="preserve"> de los perjuicios por daño em</w:t>
      </w:r>
      <w:r w:rsidR="00770486" w:rsidRPr="62968F2C">
        <w:rPr>
          <w:sz w:val="24"/>
          <w:szCs w:val="24"/>
        </w:rPr>
        <w:t xml:space="preserve">ergente, lucro cesante y </w:t>
      </w:r>
      <w:r w:rsidR="00EA7475" w:rsidRPr="62968F2C">
        <w:rPr>
          <w:sz w:val="24"/>
          <w:szCs w:val="24"/>
        </w:rPr>
        <w:t>daño moral</w:t>
      </w:r>
      <w:r w:rsidR="00770486" w:rsidRPr="62968F2C">
        <w:rPr>
          <w:sz w:val="24"/>
          <w:szCs w:val="24"/>
        </w:rPr>
        <w:t>, y negó las demás pretensiones.</w:t>
      </w:r>
      <w:r w:rsidR="00753538" w:rsidRPr="62968F2C">
        <w:rPr>
          <w:sz w:val="24"/>
          <w:szCs w:val="24"/>
        </w:rPr>
        <w:t xml:space="preserve"> </w:t>
      </w:r>
    </w:p>
    <w:p w14:paraId="5914F37F" w14:textId="77777777" w:rsidR="00994E01" w:rsidRPr="00BA0028" w:rsidRDefault="00994E01" w:rsidP="00B73871">
      <w:pPr>
        <w:autoSpaceDE w:val="0"/>
        <w:autoSpaceDN w:val="0"/>
        <w:adjustRightInd w:val="0"/>
        <w:spacing w:line="276" w:lineRule="auto"/>
        <w:rPr>
          <w:sz w:val="24"/>
          <w:szCs w:val="24"/>
        </w:rPr>
      </w:pPr>
    </w:p>
    <w:p w14:paraId="34631939" w14:textId="5BD63785" w:rsidR="00FB1253" w:rsidRPr="00BA0028" w:rsidRDefault="00D433A7" w:rsidP="00B73871">
      <w:pPr>
        <w:autoSpaceDE w:val="0"/>
        <w:autoSpaceDN w:val="0"/>
        <w:adjustRightInd w:val="0"/>
        <w:spacing w:line="276" w:lineRule="auto"/>
        <w:rPr>
          <w:sz w:val="24"/>
          <w:szCs w:val="24"/>
        </w:rPr>
      </w:pPr>
      <w:r w:rsidRPr="62968F2C">
        <w:rPr>
          <w:b/>
          <w:bCs/>
          <w:sz w:val="24"/>
          <w:szCs w:val="24"/>
        </w:rPr>
        <w:t xml:space="preserve">2.3. </w:t>
      </w:r>
      <w:r w:rsidRPr="00BA0028">
        <w:rPr>
          <w:sz w:val="24"/>
          <w:szCs w:val="24"/>
        </w:rPr>
        <w:t>La anterior decisión fue apelada por las partes</w:t>
      </w:r>
      <w:r w:rsidR="00B142B2" w:rsidRPr="00BA0028">
        <w:rPr>
          <w:sz w:val="24"/>
          <w:szCs w:val="24"/>
        </w:rPr>
        <w:t>. Los</w:t>
      </w:r>
      <w:r w:rsidR="00770486" w:rsidRPr="00BA0028">
        <w:rPr>
          <w:sz w:val="24"/>
          <w:szCs w:val="24"/>
        </w:rPr>
        <w:t xml:space="preserve"> demandantes</w:t>
      </w:r>
      <w:r w:rsidR="00B142B2" w:rsidRPr="00BA0028">
        <w:rPr>
          <w:sz w:val="24"/>
          <w:szCs w:val="24"/>
        </w:rPr>
        <w:t xml:space="preserve"> reclamaron</w:t>
      </w:r>
      <w:r w:rsidR="000F02E3" w:rsidRPr="00BA0028">
        <w:rPr>
          <w:sz w:val="24"/>
          <w:szCs w:val="24"/>
        </w:rPr>
        <w:t xml:space="preserve"> un aumento en la tasación de los perjuicios morales, así como el reconocimiento de la indemnización solicitada por daño a la vida de relación</w:t>
      </w:r>
      <w:r w:rsidR="000F02E3" w:rsidRPr="00BA0028">
        <w:rPr>
          <w:rStyle w:val="FootnoteReference"/>
          <w:sz w:val="24"/>
          <w:szCs w:val="24"/>
        </w:rPr>
        <w:footnoteReference w:id="2"/>
      </w:r>
      <w:r w:rsidR="000F02E3" w:rsidRPr="00BA0028">
        <w:rPr>
          <w:sz w:val="24"/>
          <w:szCs w:val="24"/>
        </w:rPr>
        <w:t xml:space="preserve">. </w:t>
      </w:r>
      <w:r w:rsidR="00B142B2" w:rsidRPr="00BA0028">
        <w:rPr>
          <w:sz w:val="24"/>
          <w:szCs w:val="24"/>
        </w:rPr>
        <w:t>Por su parte, la Rama Judicial argumentó</w:t>
      </w:r>
      <w:r w:rsidR="000F02E3" w:rsidRPr="00BA0028">
        <w:rPr>
          <w:sz w:val="24"/>
          <w:szCs w:val="24"/>
        </w:rPr>
        <w:t xml:space="preserve"> en su apelación</w:t>
      </w:r>
      <w:r w:rsidR="00B142B2" w:rsidRPr="00BA0028">
        <w:rPr>
          <w:sz w:val="24"/>
          <w:szCs w:val="24"/>
        </w:rPr>
        <w:t xml:space="preserve"> que </w:t>
      </w:r>
      <w:r w:rsidR="0095495B" w:rsidRPr="00BA0028">
        <w:rPr>
          <w:rFonts w:eastAsia="Arial"/>
          <w:color w:val="000000"/>
          <w:sz w:val="24"/>
          <w:szCs w:val="24"/>
        </w:rPr>
        <w:t>la actuación</w:t>
      </w:r>
      <w:r w:rsidR="003C7764" w:rsidRPr="00BA0028">
        <w:rPr>
          <w:rFonts w:eastAsia="Arial"/>
          <w:color w:val="000000"/>
          <w:sz w:val="24"/>
          <w:szCs w:val="24"/>
        </w:rPr>
        <w:t xml:space="preserve"> estuvo</w:t>
      </w:r>
      <w:r w:rsidR="0095495B" w:rsidRPr="00BA0028">
        <w:rPr>
          <w:rFonts w:eastAsia="Arial"/>
          <w:color w:val="000000"/>
          <w:sz w:val="24"/>
          <w:szCs w:val="24"/>
        </w:rPr>
        <w:t xml:space="preserve"> a</w:t>
      </w:r>
      <w:r w:rsidR="003C7764" w:rsidRPr="00BA0028">
        <w:rPr>
          <w:rFonts w:eastAsia="Arial"/>
          <w:color w:val="000000"/>
          <w:sz w:val="24"/>
          <w:szCs w:val="24"/>
        </w:rPr>
        <w:t>justada a</w:t>
      </w:r>
      <w:r w:rsidR="0095495B" w:rsidRPr="00BA0028">
        <w:rPr>
          <w:rFonts w:eastAsia="Arial"/>
          <w:color w:val="000000"/>
          <w:sz w:val="24"/>
          <w:szCs w:val="24"/>
        </w:rPr>
        <w:t xml:space="preserve"> los parámetros legales y constitucionales que rigen la materia, por lo cual solicitó</w:t>
      </w:r>
      <w:r w:rsidR="0078025D">
        <w:rPr>
          <w:rFonts w:eastAsia="Arial"/>
          <w:color w:val="000000"/>
          <w:sz w:val="24"/>
          <w:szCs w:val="24"/>
        </w:rPr>
        <w:t xml:space="preserve">, se </w:t>
      </w:r>
      <w:r w:rsidR="0095495B" w:rsidRPr="00BA0028">
        <w:rPr>
          <w:rFonts w:eastAsia="Arial"/>
          <w:color w:val="000000"/>
          <w:sz w:val="24"/>
          <w:szCs w:val="24"/>
        </w:rPr>
        <w:t>revocar</w:t>
      </w:r>
      <w:r w:rsidR="0078025D">
        <w:rPr>
          <w:rFonts w:eastAsia="Arial"/>
          <w:color w:val="000000"/>
          <w:sz w:val="24"/>
          <w:szCs w:val="24"/>
        </w:rPr>
        <w:t>a</w:t>
      </w:r>
      <w:r w:rsidR="0095495B" w:rsidRPr="00BA0028">
        <w:rPr>
          <w:rFonts w:eastAsia="Arial"/>
          <w:color w:val="000000"/>
          <w:sz w:val="24"/>
          <w:szCs w:val="24"/>
        </w:rPr>
        <w:t xml:space="preserve"> la sentencia de primera instancia y </w:t>
      </w:r>
      <w:r w:rsidR="0078025D">
        <w:rPr>
          <w:rFonts w:eastAsia="Arial"/>
          <w:color w:val="000000"/>
          <w:sz w:val="24"/>
          <w:szCs w:val="24"/>
        </w:rPr>
        <w:t xml:space="preserve">se </w:t>
      </w:r>
      <w:r w:rsidR="0095495B" w:rsidRPr="00BA0028">
        <w:rPr>
          <w:rFonts w:eastAsia="Arial"/>
          <w:color w:val="000000"/>
          <w:sz w:val="24"/>
          <w:szCs w:val="24"/>
        </w:rPr>
        <w:t>negar</w:t>
      </w:r>
      <w:r w:rsidR="0078025D">
        <w:rPr>
          <w:rFonts w:eastAsia="Arial"/>
          <w:color w:val="000000"/>
          <w:sz w:val="24"/>
          <w:szCs w:val="24"/>
        </w:rPr>
        <w:t>an</w:t>
      </w:r>
      <w:r w:rsidR="0095495B" w:rsidRPr="00BA0028">
        <w:rPr>
          <w:rFonts w:eastAsia="Arial"/>
          <w:color w:val="000000"/>
          <w:sz w:val="24"/>
          <w:szCs w:val="24"/>
        </w:rPr>
        <w:t xml:space="preserve"> las pretensiones de la demanda</w:t>
      </w:r>
      <w:r w:rsidR="00B142B2" w:rsidRPr="00BA0028">
        <w:rPr>
          <w:sz w:val="24"/>
          <w:szCs w:val="24"/>
        </w:rPr>
        <w:t xml:space="preserve">. </w:t>
      </w:r>
    </w:p>
    <w:p w14:paraId="56D5C8A0" w14:textId="77777777" w:rsidR="008C168D" w:rsidRPr="00BA0028" w:rsidRDefault="008C168D" w:rsidP="00B73871">
      <w:pPr>
        <w:autoSpaceDE w:val="0"/>
        <w:autoSpaceDN w:val="0"/>
        <w:adjustRightInd w:val="0"/>
        <w:spacing w:line="276" w:lineRule="auto"/>
        <w:rPr>
          <w:sz w:val="24"/>
          <w:szCs w:val="24"/>
        </w:rPr>
      </w:pPr>
    </w:p>
    <w:p w14:paraId="3FCE7A0F" w14:textId="2C5A981A" w:rsidR="009B6F76" w:rsidRPr="00BA0028" w:rsidRDefault="008C168D" w:rsidP="00B73871">
      <w:pPr>
        <w:autoSpaceDE w:val="0"/>
        <w:autoSpaceDN w:val="0"/>
        <w:adjustRightInd w:val="0"/>
        <w:spacing w:line="276" w:lineRule="auto"/>
        <w:rPr>
          <w:sz w:val="24"/>
          <w:szCs w:val="24"/>
        </w:rPr>
      </w:pPr>
      <w:r w:rsidRPr="62968F2C">
        <w:rPr>
          <w:sz w:val="24"/>
          <w:szCs w:val="24"/>
        </w:rPr>
        <w:t xml:space="preserve">2.3.1. </w:t>
      </w:r>
      <w:r w:rsidR="009627CE" w:rsidRPr="62968F2C">
        <w:rPr>
          <w:sz w:val="24"/>
          <w:szCs w:val="24"/>
        </w:rPr>
        <w:t>E</w:t>
      </w:r>
      <w:r w:rsidRPr="62968F2C">
        <w:rPr>
          <w:sz w:val="24"/>
          <w:szCs w:val="24"/>
        </w:rPr>
        <w:t xml:space="preserve">l Tribunal Administrativo del Cesar solo </w:t>
      </w:r>
      <w:r w:rsidR="009627CE" w:rsidRPr="62968F2C">
        <w:rPr>
          <w:sz w:val="24"/>
          <w:szCs w:val="24"/>
        </w:rPr>
        <w:t xml:space="preserve">concedió el recurso de apelación interpuesto por la Nación-Rama Judicial, puesto que la parte demandante no asistió a la audiencia de conciliación prevista en el </w:t>
      </w:r>
      <w:r w:rsidR="009627CE" w:rsidRPr="62968F2C">
        <w:rPr>
          <w:rFonts w:eastAsia="Arial"/>
          <w:color w:val="000000" w:themeColor="text1"/>
          <w:sz w:val="24"/>
          <w:szCs w:val="24"/>
        </w:rPr>
        <w:t>70 de la Ley 1395 de 2010.</w:t>
      </w:r>
    </w:p>
    <w:p w14:paraId="4246811D" w14:textId="2A89F26A" w:rsidR="00150F4F" w:rsidRPr="00BA0028" w:rsidRDefault="008C168D" w:rsidP="00B73871">
      <w:pPr>
        <w:autoSpaceDE w:val="0"/>
        <w:autoSpaceDN w:val="0"/>
        <w:adjustRightInd w:val="0"/>
        <w:spacing w:line="276" w:lineRule="auto"/>
        <w:rPr>
          <w:sz w:val="24"/>
          <w:szCs w:val="24"/>
        </w:rPr>
      </w:pPr>
      <w:r w:rsidRPr="62968F2C">
        <w:rPr>
          <w:sz w:val="24"/>
          <w:szCs w:val="24"/>
        </w:rPr>
        <w:t xml:space="preserve"> </w:t>
      </w:r>
    </w:p>
    <w:p w14:paraId="7398DDC5" w14:textId="7D035AE7" w:rsidR="00FB25AE" w:rsidRPr="00BA0028" w:rsidRDefault="00415366" w:rsidP="00B73871">
      <w:pPr>
        <w:autoSpaceDE w:val="0"/>
        <w:autoSpaceDN w:val="0"/>
        <w:adjustRightInd w:val="0"/>
        <w:spacing w:line="276" w:lineRule="auto"/>
        <w:rPr>
          <w:sz w:val="24"/>
          <w:szCs w:val="24"/>
          <w:lang w:val="es-MX" w:eastAsia="ja-JP"/>
        </w:rPr>
      </w:pPr>
      <w:r w:rsidRPr="62968F2C">
        <w:rPr>
          <w:b/>
          <w:bCs/>
          <w:sz w:val="24"/>
          <w:szCs w:val="24"/>
          <w:lang w:val="es-MX" w:eastAsia="ja-JP"/>
        </w:rPr>
        <w:t xml:space="preserve">2.4. </w:t>
      </w:r>
      <w:r w:rsidRPr="00BA0028">
        <w:rPr>
          <w:sz w:val="24"/>
          <w:szCs w:val="24"/>
          <w:lang w:val="es-MX" w:eastAsia="ja-JP"/>
        </w:rPr>
        <w:t xml:space="preserve">En segunda instancia, la Subsección B de la Sección Tercera del Consejo de Estado, en </w:t>
      </w:r>
      <w:r w:rsidR="00770486" w:rsidRPr="00BA0028">
        <w:rPr>
          <w:sz w:val="24"/>
          <w:szCs w:val="24"/>
          <w:lang w:val="es-MX" w:eastAsia="ja-JP"/>
        </w:rPr>
        <w:t>fallo</w:t>
      </w:r>
      <w:r w:rsidR="009627CE" w:rsidRPr="00BA0028">
        <w:rPr>
          <w:sz w:val="24"/>
          <w:szCs w:val="24"/>
          <w:lang w:val="es-MX" w:eastAsia="ja-JP"/>
        </w:rPr>
        <w:t xml:space="preserve"> del 19 de junio</w:t>
      </w:r>
      <w:r w:rsidRPr="00BA0028">
        <w:rPr>
          <w:sz w:val="24"/>
          <w:szCs w:val="24"/>
          <w:lang w:val="es-MX" w:eastAsia="ja-JP"/>
        </w:rPr>
        <w:t xml:space="preserve"> de 2020</w:t>
      </w:r>
      <w:r w:rsidR="0034201B" w:rsidRPr="00BA0028">
        <w:rPr>
          <w:rStyle w:val="FootnoteReference"/>
          <w:sz w:val="24"/>
          <w:szCs w:val="24"/>
          <w:lang w:val="es-MX" w:eastAsia="ja-JP"/>
        </w:rPr>
        <w:footnoteReference w:id="3"/>
      </w:r>
      <w:r w:rsidRPr="00BA0028">
        <w:rPr>
          <w:sz w:val="24"/>
          <w:szCs w:val="24"/>
          <w:lang w:val="es-MX" w:eastAsia="ja-JP"/>
        </w:rPr>
        <w:t>, co</w:t>
      </w:r>
      <w:r w:rsidR="009627CE" w:rsidRPr="00BA0028">
        <w:rPr>
          <w:sz w:val="24"/>
          <w:szCs w:val="24"/>
          <w:lang w:val="es-MX" w:eastAsia="ja-JP"/>
        </w:rPr>
        <w:t>nfirmó la responsabilidad de la</w:t>
      </w:r>
      <w:r w:rsidRPr="00BA0028">
        <w:rPr>
          <w:sz w:val="24"/>
          <w:szCs w:val="24"/>
          <w:lang w:val="es-MX" w:eastAsia="ja-JP"/>
        </w:rPr>
        <w:t xml:space="preserve"> </w:t>
      </w:r>
      <w:r w:rsidR="009627CE" w:rsidRPr="00BA0028">
        <w:rPr>
          <w:sz w:val="24"/>
          <w:szCs w:val="24"/>
          <w:lang w:val="es-MX" w:eastAsia="ja-JP"/>
        </w:rPr>
        <w:t>Nación-Rama Judicial</w:t>
      </w:r>
      <w:r w:rsidR="00B64BAE" w:rsidRPr="00BA0028">
        <w:rPr>
          <w:sz w:val="24"/>
          <w:szCs w:val="24"/>
          <w:lang w:val="es-MX" w:eastAsia="ja-JP"/>
        </w:rPr>
        <w:t>;</w:t>
      </w:r>
      <w:r w:rsidRPr="00BA0028">
        <w:rPr>
          <w:sz w:val="24"/>
          <w:szCs w:val="24"/>
          <w:lang w:val="es-MX" w:eastAsia="ja-JP"/>
        </w:rPr>
        <w:t xml:space="preserve"> </w:t>
      </w:r>
      <w:r w:rsidR="003E45EC" w:rsidRPr="00BA0028">
        <w:rPr>
          <w:sz w:val="24"/>
          <w:szCs w:val="24"/>
          <w:lang w:val="es-MX" w:eastAsia="ja-JP"/>
        </w:rPr>
        <w:t>mantuvo el monto de la indemnización por perjuicios morales, pues en virtud del</w:t>
      </w:r>
      <w:r w:rsidR="00012033" w:rsidRPr="00BA0028">
        <w:rPr>
          <w:sz w:val="24"/>
          <w:szCs w:val="24"/>
          <w:lang w:val="es-MX" w:eastAsia="ja-JP"/>
        </w:rPr>
        <w:t xml:space="preserve"> </w:t>
      </w:r>
      <w:r w:rsidR="003E45EC" w:rsidRPr="00BA0028">
        <w:rPr>
          <w:sz w:val="24"/>
          <w:szCs w:val="24"/>
          <w:lang w:val="es-MX" w:eastAsia="ja-JP"/>
        </w:rPr>
        <w:t xml:space="preserve">principio </w:t>
      </w:r>
      <w:r w:rsidR="003E45EC" w:rsidRPr="62968F2C">
        <w:rPr>
          <w:i/>
          <w:iCs/>
          <w:sz w:val="24"/>
          <w:szCs w:val="24"/>
          <w:lang w:val="es-MX" w:eastAsia="ja-JP"/>
        </w:rPr>
        <w:t xml:space="preserve">no </w:t>
      </w:r>
      <w:proofErr w:type="spellStart"/>
      <w:r w:rsidR="003E45EC" w:rsidRPr="62968F2C">
        <w:rPr>
          <w:i/>
          <w:iCs/>
          <w:sz w:val="24"/>
          <w:szCs w:val="24"/>
          <w:lang w:val="es-MX" w:eastAsia="ja-JP"/>
        </w:rPr>
        <w:t>reformatio</w:t>
      </w:r>
      <w:proofErr w:type="spellEnd"/>
      <w:r w:rsidR="003E45EC" w:rsidRPr="62968F2C">
        <w:rPr>
          <w:i/>
          <w:iCs/>
          <w:sz w:val="24"/>
          <w:szCs w:val="24"/>
          <w:lang w:val="es-MX" w:eastAsia="ja-JP"/>
        </w:rPr>
        <w:t xml:space="preserve"> in </w:t>
      </w:r>
      <w:proofErr w:type="spellStart"/>
      <w:r w:rsidR="003E45EC" w:rsidRPr="62968F2C">
        <w:rPr>
          <w:i/>
          <w:iCs/>
          <w:sz w:val="24"/>
          <w:szCs w:val="24"/>
          <w:lang w:val="es-MX" w:eastAsia="ja-JP"/>
        </w:rPr>
        <w:t>pejus</w:t>
      </w:r>
      <w:proofErr w:type="spellEnd"/>
      <w:r w:rsidR="003E45EC" w:rsidRPr="00BA0028">
        <w:rPr>
          <w:sz w:val="24"/>
          <w:szCs w:val="24"/>
          <w:lang w:val="es-MX" w:eastAsia="ja-JP"/>
        </w:rPr>
        <w:t xml:space="preserve"> no le era posible aumentarla</w:t>
      </w:r>
      <w:r w:rsidR="00B64BAE" w:rsidRPr="00BA0028">
        <w:rPr>
          <w:sz w:val="24"/>
          <w:szCs w:val="24"/>
          <w:lang w:val="es-MX" w:eastAsia="ja-JP"/>
        </w:rPr>
        <w:t>;</w:t>
      </w:r>
      <w:r w:rsidR="00012033" w:rsidRPr="00BA0028">
        <w:rPr>
          <w:sz w:val="24"/>
          <w:szCs w:val="24"/>
          <w:lang w:val="es-MX" w:eastAsia="ja-JP"/>
        </w:rPr>
        <w:t xml:space="preserve"> revocó la indemnización reconocida por daño emergente, en tanto no se aportó al proceso prueba efectiva del pago de honorarios profesionales alegado</w:t>
      </w:r>
      <w:r w:rsidR="00B64BAE" w:rsidRPr="00BA0028">
        <w:rPr>
          <w:sz w:val="24"/>
          <w:szCs w:val="24"/>
          <w:lang w:val="es-MX" w:eastAsia="ja-JP"/>
        </w:rPr>
        <w:t>;</w:t>
      </w:r>
      <w:r w:rsidR="00012033" w:rsidRPr="00BA0028">
        <w:rPr>
          <w:sz w:val="24"/>
          <w:szCs w:val="24"/>
          <w:lang w:val="es-MX" w:eastAsia="ja-JP"/>
        </w:rPr>
        <w:t xml:space="preserve"> liquidó el monto de la indemnización del lucro cesante con base en el salario mínimo</w:t>
      </w:r>
      <w:r w:rsidR="00B64BAE" w:rsidRPr="00BA0028">
        <w:rPr>
          <w:sz w:val="24"/>
          <w:szCs w:val="24"/>
          <w:lang w:val="es-MX" w:eastAsia="ja-JP"/>
        </w:rPr>
        <w:t>;</w:t>
      </w:r>
      <w:r w:rsidR="00135745" w:rsidRPr="00BA0028">
        <w:rPr>
          <w:sz w:val="24"/>
          <w:szCs w:val="24"/>
          <w:lang w:val="es-MX" w:eastAsia="ja-JP"/>
        </w:rPr>
        <w:t xml:space="preserve"> negó el reconocimiento de indemnización por daño a la vida de relación y </w:t>
      </w:r>
      <w:r w:rsidR="00770486" w:rsidRPr="00BA0028">
        <w:rPr>
          <w:sz w:val="24"/>
          <w:szCs w:val="24"/>
          <w:lang w:val="es-MX" w:eastAsia="ja-JP"/>
        </w:rPr>
        <w:t>reconoció</w:t>
      </w:r>
      <w:r w:rsidR="00135745" w:rsidRPr="00BA0028">
        <w:rPr>
          <w:sz w:val="24"/>
          <w:szCs w:val="24"/>
          <w:lang w:val="es-MX" w:eastAsia="ja-JP"/>
        </w:rPr>
        <w:t xml:space="preserve"> </w:t>
      </w:r>
      <w:r w:rsidR="00B50F4C" w:rsidRPr="00BA0028">
        <w:rPr>
          <w:sz w:val="24"/>
          <w:szCs w:val="24"/>
          <w:lang w:val="es-MX" w:eastAsia="ja-JP"/>
        </w:rPr>
        <w:t>l</w:t>
      </w:r>
      <w:r w:rsidR="00135745" w:rsidRPr="00BA0028">
        <w:rPr>
          <w:sz w:val="24"/>
          <w:szCs w:val="24"/>
          <w:lang w:val="es-MX" w:eastAsia="ja-JP"/>
        </w:rPr>
        <w:t>a</w:t>
      </w:r>
      <w:r w:rsidR="00B50F4C" w:rsidRPr="00BA0028">
        <w:rPr>
          <w:sz w:val="24"/>
          <w:szCs w:val="24"/>
          <w:lang w:val="es-MX" w:eastAsia="ja-JP"/>
        </w:rPr>
        <w:t xml:space="preserve"> existencia de una</w:t>
      </w:r>
      <w:r w:rsidR="00135745" w:rsidRPr="00BA0028">
        <w:rPr>
          <w:sz w:val="24"/>
          <w:szCs w:val="24"/>
          <w:lang w:val="es-MX" w:eastAsia="ja-JP"/>
        </w:rPr>
        <w:t xml:space="preserve"> afectación al buen nombre, sobre lo que realizó la siguiente consideración</w:t>
      </w:r>
      <w:r w:rsidR="00FF458B" w:rsidRPr="00BA0028">
        <w:rPr>
          <w:sz w:val="24"/>
          <w:szCs w:val="24"/>
          <w:lang w:val="es-MX" w:eastAsia="ja-JP"/>
        </w:rPr>
        <w:t xml:space="preserve">: </w:t>
      </w:r>
    </w:p>
    <w:p w14:paraId="3DFEAD93" w14:textId="77777777" w:rsidR="00FF458B" w:rsidRPr="00BA0028" w:rsidRDefault="00FF458B" w:rsidP="00B73871">
      <w:pPr>
        <w:autoSpaceDE w:val="0"/>
        <w:autoSpaceDN w:val="0"/>
        <w:adjustRightInd w:val="0"/>
        <w:spacing w:line="276" w:lineRule="auto"/>
        <w:rPr>
          <w:sz w:val="24"/>
          <w:szCs w:val="24"/>
          <w:lang w:val="es-MX" w:eastAsia="ja-JP"/>
        </w:rPr>
      </w:pPr>
    </w:p>
    <w:p w14:paraId="23936873" w14:textId="35C26FA5" w:rsidR="00135745" w:rsidRPr="00BA0028" w:rsidRDefault="00390088" w:rsidP="62968F2C">
      <w:pPr>
        <w:pBdr>
          <w:top w:val="nil"/>
          <w:left w:val="nil"/>
          <w:bottom w:val="nil"/>
          <w:right w:val="nil"/>
          <w:between w:val="nil"/>
        </w:pBdr>
        <w:spacing w:line="276" w:lineRule="auto"/>
        <w:ind w:left="567" w:right="623"/>
        <w:rPr>
          <w:b/>
          <w:bCs/>
          <w:color w:val="000000"/>
          <w:sz w:val="22"/>
          <w:szCs w:val="22"/>
        </w:rPr>
      </w:pPr>
      <w:r w:rsidRPr="62968F2C">
        <w:rPr>
          <w:rFonts w:eastAsia="Arial"/>
          <w:b/>
          <w:bCs/>
          <w:color w:val="000000" w:themeColor="text1"/>
          <w:sz w:val="22"/>
          <w:szCs w:val="22"/>
        </w:rPr>
        <w:t>“</w:t>
      </w:r>
      <w:r w:rsidR="00135745" w:rsidRPr="62968F2C">
        <w:rPr>
          <w:rFonts w:eastAsia="Arial"/>
          <w:b/>
          <w:bCs/>
          <w:color w:val="000000" w:themeColor="text1"/>
          <w:sz w:val="22"/>
          <w:szCs w:val="22"/>
        </w:rPr>
        <w:t>Derecho al buen nombre</w:t>
      </w:r>
    </w:p>
    <w:p w14:paraId="691AD60C" w14:textId="77777777" w:rsidR="00135745" w:rsidRPr="00BA0028" w:rsidRDefault="00135745" w:rsidP="62968F2C">
      <w:pPr>
        <w:pBdr>
          <w:top w:val="nil"/>
          <w:left w:val="nil"/>
          <w:bottom w:val="nil"/>
          <w:right w:val="nil"/>
          <w:between w:val="nil"/>
        </w:pBdr>
        <w:spacing w:line="276" w:lineRule="auto"/>
        <w:ind w:left="567" w:right="623"/>
        <w:rPr>
          <w:rFonts w:eastAsia="Arial"/>
          <w:color w:val="000000"/>
          <w:sz w:val="22"/>
          <w:szCs w:val="22"/>
        </w:rPr>
      </w:pPr>
    </w:p>
    <w:p w14:paraId="45927522" w14:textId="77777777" w:rsidR="00135745" w:rsidRPr="00BA0028" w:rsidRDefault="00135745" w:rsidP="62968F2C">
      <w:pPr>
        <w:numPr>
          <w:ilvl w:val="0"/>
          <w:numId w:val="12"/>
        </w:numPr>
        <w:pBdr>
          <w:top w:val="nil"/>
          <w:left w:val="nil"/>
          <w:bottom w:val="nil"/>
          <w:right w:val="nil"/>
          <w:between w:val="nil"/>
        </w:pBdr>
        <w:tabs>
          <w:tab w:val="left" w:pos="142"/>
          <w:tab w:val="left" w:pos="426"/>
          <w:tab w:val="left" w:pos="993"/>
        </w:tabs>
        <w:spacing w:line="276" w:lineRule="auto"/>
        <w:ind w:left="567" w:right="623" w:firstLine="0"/>
        <w:rPr>
          <w:color w:val="000000"/>
          <w:sz w:val="22"/>
          <w:szCs w:val="22"/>
        </w:rPr>
      </w:pPr>
      <w:r w:rsidRPr="62968F2C">
        <w:rPr>
          <w:rFonts w:eastAsia="Arial"/>
          <w:color w:val="000000" w:themeColor="text1"/>
          <w:sz w:val="22"/>
          <w:szCs w:val="22"/>
        </w:rPr>
        <w:t xml:space="preserve">La parte demandante reclamó el reconocimiento de indemnización pecuniaria por la afectación al buen nombre, que identificó como “Good Will”, al estimar que, a raíz de la privación de su libertad, su actividad diaria y su buen nombre se vieron seriamente afectados.  </w:t>
      </w:r>
    </w:p>
    <w:p w14:paraId="1EA46CF9" w14:textId="77777777" w:rsidR="00135745" w:rsidRPr="00BA0028" w:rsidRDefault="00135745" w:rsidP="62968F2C">
      <w:pPr>
        <w:pBdr>
          <w:top w:val="nil"/>
          <w:left w:val="nil"/>
          <w:bottom w:val="nil"/>
          <w:right w:val="nil"/>
          <w:between w:val="nil"/>
        </w:pBdr>
        <w:tabs>
          <w:tab w:val="left" w:pos="142"/>
          <w:tab w:val="left" w:pos="426"/>
        </w:tabs>
        <w:spacing w:line="276" w:lineRule="auto"/>
        <w:ind w:left="567" w:right="623"/>
        <w:rPr>
          <w:rFonts w:eastAsia="Arial"/>
          <w:color w:val="000000"/>
          <w:sz w:val="22"/>
          <w:szCs w:val="22"/>
        </w:rPr>
      </w:pPr>
    </w:p>
    <w:p w14:paraId="24F55B35" w14:textId="77777777" w:rsidR="00135745" w:rsidRPr="00BA0028" w:rsidRDefault="00135745" w:rsidP="62968F2C">
      <w:pPr>
        <w:numPr>
          <w:ilvl w:val="0"/>
          <w:numId w:val="12"/>
        </w:numPr>
        <w:pBdr>
          <w:top w:val="nil"/>
          <w:left w:val="nil"/>
          <w:bottom w:val="nil"/>
          <w:right w:val="nil"/>
          <w:between w:val="nil"/>
        </w:pBdr>
        <w:tabs>
          <w:tab w:val="left" w:pos="142"/>
          <w:tab w:val="left" w:pos="426"/>
          <w:tab w:val="left" w:pos="993"/>
        </w:tabs>
        <w:spacing w:line="276" w:lineRule="auto"/>
        <w:ind w:left="567" w:right="623" w:firstLine="0"/>
        <w:rPr>
          <w:color w:val="000000"/>
          <w:sz w:val="22"/>
          <w:szCs w:val="22"/>
        </w:rPr>
      </w:pPr>
      <w:r w:rsidRPr="62968F2C">
        <w:rPr>
          <w:rFonts w:eastAsia="Arial"/>
          <w:color w:val="000000" w:themeColor="text1"/>
          <w:sz w:val="22"/>
          <w:szCs w:val="22"/>
        </w:rPr>
        <w:t xml:space="preserve">Al respecto, la Sala encuentra que </w:t>
      </w:r>
      <w:bookmarkStart w:id="1" w:name="_Hlk57243032"/>
      <w:r w:rsidRPr="62968F2C">
        <w:rPr>
          <w:rFonts w:eastAsia="Arial"/>
          <w:color w:val="000000" w:themeColor="text1"/>
          <w:sz w:val="22"/>
          <w:szCs w:val="22"/>
        </w:rPr>
        <w:t xml:space="preserve">la privación de la libertad, por el periodo comprendido entre el 15 de enero al 1 de marzo de 2011, provocó en este caso una afectación al buen nombre y a la dignidad del demandante Luis Carlos </w:t>
      </w:r>
      <w:proofErr w:type="spellStart"/>
      <w:r w:rsidRPr="62968F2C">
        <w:rPr>
          <w:rFonts w:eastAsia="Arial"/>
          <w:color w:val="000000" w:themeColor="text1"/>
          <w:sz w:val="22"/>
          <w:szCs w:val="22"/>
        </w:rPr>
        <w:t>Riqueth</w:t>
      </w:r>
      <w:proofErr w:type="spellEnd"/>
      <w:r w:rsidRPr="62968F2C">
        <w:rPr>
          <w:rFonts w:eastAsia="Arial"/>
          <w:color w:val="000000" w:themeColor="text1"/>
          <w:sz w:val="22"/>
          <w:szCs w:val="22"/>
        </w:rPr>
        <w:t xml:space="preserve"> García, de suerte que se torna en una afectación relevante a bienes o derechos convencional y constitucionalmente amparados. La Sala encuentra que la única forma de reparar este perjuicio es a través de la rectificación como medida de reparación no pecuniaria y en tal sentido dispondrá que la Rama Judicial exprese disculpas al señor Luis Carlos </w:t>
      </w:r>
      <w:proofErr w:type="spellStart"/>
      <w:r w:rsidRPr="62968F2C">
        <w:rPr>
          <w:rFonts w:eastAsia="Arial"/>
          <w:color w:val="000000" w:themeColor="text1"/>
          <w:sz w:val="22"/>
          <w:szCs w:val="22"/>
        </w:rPr>
        <w:t>Riqueth</w:t>
      </w:r>
      <w:proofErr w:type="spellEnd"/>
      <w:r w:rsidRPr="62968F2C">
        <w:rPr>
          <w:rFonts w:eastAsia="Arial"/>
          <w:color w:val="000000" w:themeColor="text1"/>
          <w:sz w:val="22"/>
          <w:szCs w:val="22"/>
        </w:rPr>
        <w:t xml:space="preserve"> y su familia, por la privación injusta de la libertad de la que fue objeto, durante el periodo del 15 de enero al 1 de marzo de 2011, a través de una misiva dirigida al demandante.</w:t>
      </w:r>
    </w:p>
    <w:p w14:paraId="73B8D66B" w14:textId="77777777" w:rsidR="00135745" w:rsidRPr="00BA0028" w:rsidRDefault="00135745" w:rsidP="62968F2C">
      <w:pPr>
        <w:pBdr>
          <w:top w:val="nil"/>
          <w:left w:val="nil"/>
          <w:bottom w:val="nil"/>
          <w:right w:val="nil"/>
          <w:between w:val="nil"/>
        </w:pBdr>
        <w:spacing w:line="276" w:lineRule="auto"/>
        <w:ind w:left="567" w:right="623"/>
        <w:rPr>
          <w:rFonts w:eastAsia="Arial"/>
          <w:color w:val="000000"/>
          <w:sz w:val="22"/>
          <w:szCs w:val="22"/>
        </w:rPr>
      </w:pPr>
    </w:p>
    <w:p w14:paraId="13ABAB7C" w14:textId="1F298841" w:rsidR="00135745" w:rsidRPr="00BA0028" w:rsidRDefault="00135745" w:rsidP="62968F2C">
      <w:pPr>
        <w:numPr>
          <w:ilvl w:val="0"/>
          <w:numId w:val="12"/>
        </w:numPr>
        <w:pBdr>
          <w:top w:val="nil"/>
          <w:left w:val="nil"/>
          <w:bottom w:val="nil"/>
          <w:right w:val="nil"/>
          <w:between w:val="nil"/>
        </w:pBdr>
        <w:tabs>
          <w:tab w:val="left" w:pos="142"/>
          <w:tab w:val="left" w:pos="426"/>
          <w:tab w:val="left" w:pos="993"/>
        </w:tabs>
        <w:spacing w:line="276" w:lineRule="auto"/>
        <w:ind w:left="567" w:right="623" w:firstLine="0"/>
        <w:rPr>
          <w:color w:val="000000"/>
          <w:sz w:val="22"/>
          <w:szCs w:val="22"/>
        </w:rPr>
      </w:pPr>
      <w:r w:rsidRPr="62968F2C">
        <w:rPr>
          <w:rFonts w:eastAsia="Arial"/>
          <w:color w:val="000000" w:themeColor="text1"/>
          <w:sz w:val="22"/>
          <w:szCs w:val="22"/>
        </w:rPr>
        <w:t xml:space="preserve">Para asegurar que la medida de reparación sea concertada con la víctima, la entidad demandada deberá coordinar con el aquí demandante si es suficiente con que el documento le sea entregado personalmente a él o si, además, debe publicarse en las plataformas de comunicación y difusión de la entidad, por un periodo de seis meses. </w:t>
      </w:r>
      <w:bookmarkEnd w:id="1"/>
      <w:r w:rsidRPr="62968F2C">
        <w:rPr>
          <w:rFonts w:eastAsia="Arial"/>
          <w:color w:val="000000" w:themeColor="text1"/>
          <w:sz w:val="22"/>
          <w:szCs w:val="22"/>
        </w:rPr>
        <w:t>Esta medida deberá cumplirse dentro del mes siguiente a la ejecutoria de la presente providencia.</w:t>
      </w:r>
    </w:p>
    <w:p w14:paraId="1506C2BB" w14:textId="57DCC094" w:rsidR="00135745" w:rsidRPr="00BA0028" w:rsidRDefault="00135745" w:rsidP="62968F2C">
      <w:pPr>
        <w:pBdr>
          <w:top w:val="nil"/>
          <w:left w:val="nil"/>
          <w:bottom w:val="nil"/>
          <w:right w:val="nil"/>
          <w:between w:val="nil"/>
        </w:pBdr>
        <w:tabs>
          <w:tab w:val="left" w:pos="142"/>
          <w:tab w:val="left" w:pos="426"/>
        </w:tabs>
        <w:autoSpaceDE w:val="0"/>
        <w:autoSpaceDN w:val="0"/>
        <w:adjustRightInd w:val="0"/>
        <w:spacing w:line="276" w:lineRule="auto"/>
        <w:ind w:left="567" w:right="623"/>
        <w:rPr>
          <w:rFonts w:eastAsia="Arial"/>
          <w:color w:val="000000"/>
          <w:sz w:val="22"/>
          <w:szCs w:val="22"/>
        </w:rPr>
      </w:pPr>
      <w:r w:rsidRPr="62968F2C">
        <w:rPr>
          <w:rFonts w:eastAsia="Arial"/>
          <w:color w:val="000000" w:themeColor="text1"/>
          <w:sz w:val="22"/>
          <w:szCs w:val="22"/>
        </w:rPr>
        <w:t>[…]</w:t>
      </w:r>
    </w:p>
    <w:p w14:paraId="7A7DBC2A" w14:textId="3B917FB3" w:rsidR="00135745" w:rsidRPr="00BA0028" w:rsidRDefault="001D573C" w:rsidP="62968F2C">
      <w:pPr>
        <w:widowControl w:val="0"/>
        <w:pBdr>
          <w:top w:val="nil"/>
          <w:left w:val="nil"/>
          <w:bottom w:val="nil"/>
          <w:right w:val="nil"/>
          <w:between w:val="nil"/>
        </w:pBdr>
        <w:tabs>
          <w:tab w:val="left" w:pos="284"/>
        </w:tabs>
        <w:spacing w:line="276" w:lineRule="auto"/>
        <w:ind w:left="567" w:right="623"/>
        <w:jc w:val="center"/>
        <w:rPr>
          <w:rFonts w:eastAsia="Arial"/>
          <w:color w:val="000000"/>
          <w:sz w:val="22"/>
          <w:szCs w:val="22"/>
        </w:rPr>
      </w:pPr>
      <w:r w:rsidRPr="62968F2C">
        <w:rPr>
          <w:rFonts w:eastAsia="Arial"/>
          <w:color w:val="000000" w:themeColor="text1"/>
          <w:sz w:val="22"/>
          <w:szCs w:val="22"/>
        </w:rPr>
        <w:t>FALLA</w:t>
      </w:r>
    </w:p>
    <w:p w14:paraId="453AC3FE" w14:textId="2A2997B5" w:rsidR="00135745" w:rsidRPr="00BA0028" w:rsidRDefault="001D573C" w:rsidP="62968F2C">
      <w:pPr>
        <w:pBdr>
          <w:top w:val="nil"/>
          <w:left w:val="nil"/>
          <w:bottom w:val="nil"/>
          <w:right w:val="nil"/>
          <w:between w:val="nil"/>
        </w:pBdr>
        <w:tabs>
          <w:tab w:val="left" w:pos="142"/>
          <w:tab w:val="left" w:pos="426"/>
        </w:tabs>
        <w:autoSpaceDE w:val="0"/>
        <w:autoSpaceDN w:val="0"/>
        <w:adjustRightInd w:val="0"/>
        <w:spacing w:line="276" w:lineRule="auto"/>
        <w:ind w:left="567" w:right="623"/>
        <w:rPr>
          <w:rFonts w:eastAsia="Arial"/>
          <w:color w:val="000000"/>
          <w:sz w:val="22"/>
          <w:szCs w:val="22"/>
        </w:rPr>
      </w:pPr>
      <w:r w:rsidRPr="62968F2C">
        <w:rPr>
          <w:rFonts w:eastAsia="Arial"/>
          <w:color w:val="000000" w:themeColor="text1"/>
          <w:sz w:val="22"/>
          <w:szCs w:val="22"/>
        </w:rPr>
        <w:t>[…]</w:t>
      </w:r>
    </w:p>
    <w:p w14:paraId="546862B6" w14:textId="7365B846" w:rsidR="00135745" w:rsidRPr="00BA0028" w:rsidRDefault="00135745" w:rsidP="62968F2C">
      <w:pPr>
        <w:tabs>
          <w:tab w:val="left" w:pos="142"/>
          <w:tab w:val="left" w:pos="426"/>
        </w:tabs>
        <w:spacing w:line="276" w:lineRule="auto"/>
        <w:ind w:left="567" w:right="623"/>
        <w:rPr>
          <w:rFonts w:eastAsia="Arial"/>
          <w:color w:val="000000"/>
          <w:sz w:val="22"/>
          <w:szCs w:val="22"/>
        </w:rPr>
      </w:pPr>
      <w:r w:rsidRPr="62968F2C">
        <w:rPr>
          <w:rFonts w:eastAsia="Arial"/>
          <w:sz w:val="22"/>
          <w:szCs w:val="22"/>
        </w:rPr>
        <w:t xml:space="preserve">CUARTO: </w:t>
      </w:r>
      <w:r w:rsidRPr="62968F2C">
        <w:rPr>
          <w:rFonts w:eastAsia="Arial"/>
          <w:color w:val="000000" w:themeColor="text1"/>
          <w:sz w:val="22"/>
          <w:szCs w:val="22"/>
        </w:rPr>
        <w:t xml:space="preserve">La Rama Judicial, en el término de un mes siguiente a la ejecutoria de esta providencia, deberá remitir con destino al señor Luis Carlos </w:t>
      </w:r>
      <w:proofErr w:type="spellStart"/>
      <w:r w:rsidRPr="62968F2C">
        <w:rPr>
          <w:rFonts w:eastAsia="Arial"/>
          <w:color w:val="000000" w:themeColor="text1"/>
          <w:sz w:val="22"/>
          <w:szCs w:val="22"/>
        </w:rPr>
        <w:t>Riqueth</w:t>
      </w:r>
      <w:proofErr w:type="spellEnd"/>
      <w:r w:rsidRPr="62968F2C">
        <w:rPr>
          <w:rFonts w:eastAsia="Arial"/>
          <w:color w:val="000000" w:themeColor="text1"/>
          <w:sz w:val="22"/>
          <w:szCs w:val="22"/>
        </w:rPr>
        <w:t xml:space="preserve"> García y su familia, una misiva en la que exprese disculpas a raíz de la privación de la libertad de la cual fue objeto, durante el periodo comprendido entre el 15 de enero de 2011 al 1 de marzo de 2011. La Rama Judicial deberá coordinar con el aquí demandante si es suficiente con que el documento le sea entregado personalmente a él o si, además, debe publicarse en las plataformas de comunicación y difusión de la entidad por el término de seis meses</w:t>
      </w:r>
      <w:r w:rsidR="00390088" w:rsidRPr="62968F2C">
        <w:rPr>
          <w:rFonts w:eastAsia="Arial"/>
          <w:color w:val="000000" w:themeColor="text1"/>
          <w:sz w:val="22"/>
          <w:szCs w:val="22"/>
        </w:rPr>
        <w:t>”</w:t>
      </w:r>
      <w:r w:rsidRPr="62968F2C">
        <w:rPr>
          <w:rFonts w:eastAsia="Arial"/>
          <w:color w:val="000000" w:themeColor="text1"/>
          <w:sz w:val="22"/>
          <w:szCs w:val="22"/>
        </w:rPr>
        <w:t>.</w:t>
      </w:r>
    </w:p>
    <w:p w14:paraId="491E7280" w14:textId="296CA2F4" w:rsidR="001C4D01" w:rsidRPr="00BA0028" w:rsidRDefault="001D573C" w:rsidP="00B73871">
      <w:pPr>
        <w:pBdr>
          <w:top w:val="nil"/>
          <w:left w:val="nil"/>
          <w:bottom w:val="nil"/>
          <w:right w:val="nil"/>
          <w:between w:val="nil"/>
        </w:pBdr>
        <w:tabs>
          <w:tab w:val="left" w:pos="142"/>
          <w:tab w:val="left" w:pos="426"/>
        </w:tabs>
        <w:autoSpaceDE w:val="0"/>
        <w:autoSpaceDN w:val="0"/>
        <w:adjustRightInd w:val="0"/>
        <w:spacing w:line="276" w:lineRule="auto"/>
        <w:ind w:left="708" w:right="51"/>
        <w:rPr>
          <w:sz w:val="24"/>
          <w:szCs w:val="24"/>
          <w:lang w:val="es-MX" w:eastAsia="ja-JP"/>
        </w:rPr>
      </w:pPr>
      <w:r w:rsidRPr="62968F2C">
        <w:rPr>
          <w:rFonts w:eastAsia="Arial"/>
          <w:color w:val="000000" w:themeColor="text1"/>
          <w:sz w:val="24"/>
          <w:szCs w:val="24"/>
        </w:rPr>
        <w:t xml:space="preserve"> </w:t>
      </w:r>
    </w:p>
    <w:p w14:paraId="7CE368A5" w14:textId="1E79E59F" w:rsidR="009E3ECE" w:rsidRPr="00BA0028" w:rsidRDefault="009E3ECE" w:rsidP="62968F2C">
      <w:pPr>
        <w:numPr>
          <w:ilvl w:val="0"/>
          <w:numId w:val="3"/>
        </w:numPr>
        <w:overflowPunct w:val="0"/>
        <w:autoSpaceDE w:val="0"/>
        <w:autoSpaceDN w:val="0"/>
        <w:adjustRightInd w:val="0"/>
        <w:spacing w:line="276" w:lineRule="auto"/>
        <w:contextualSpacing/>
        <w:rPr>
          <w:rFonts w:eastAsia="Times New Roman"/>
          <w:b/>
          <w:bCs/>
          <w:sz w:val="24"/>
          <w:szCs w:val="24"/>
          <w:lang w:eastAsia="es-ES"/>
        </w:rPr>
      </w:pPr>
      <w:r w:rsidRPr="62968F2C">
        <w:rPr>
          <w:rFonts w:eastAsia="Times New Roman"/>
          <w:b/>
          <w:bCs/>
          <w:sz w:val="24"/>
          <w:szCs w:val="24"/>
          <w:lang w:eastAsia="es-ES"/>
        </w:rPr>
        <w:t>Pretensiones de</w:t>
      </w:r>
      <w:r w:rsidR="00751A87" w:rsidRPr="62968F2C">
        <w:rPr>
          <w:rFonts w:eastAsia="Times New Roman"/>
          <w:b/>
          <w:bCs/>
          <w:sz w:val="24"/>
          <w:szCs w:val="24"/>
          <w:lang w:eastAsia="es-ES"/>
        </w:rPr>
        <w:t xml:space="preserve"> la</w:t>
      </w:r>
      <w:r w:rsidRPr="62968F2C">
        <w:rPr>
          <w:rFonts w:eastAsia="Times New Roman"/>
          <w:b/>
          <w:bCs/>
          <w:sz w:val="24"/>
          <w:szCs w:val="24"/>
          <w:lang w:eastAsia="es-ES"/>
        </w:rPr>
        <w:t xml:space="preserve"> tutela</w:t>
      </w:r>
    </w:p>
    <w:p w14:paraId="3B3284B1" w14:textId="77777777" w:rsidR="009E3ECE" w:rsidRPr="00BA0028" w:rsidRDefault="009E3ECE" w:rsidP="00B73871">
      <w:pPr>
        <w:overflowPunct w:val="0"/>
        <w:autoSpaceDE w:val="0"/>
        <w:autoSpaceDN w:val="0"/>
        <w:adjustRightInd w:val="0"/>
        <w:spacing w:line="276" w:lineRule="auto"/>
        <w:contextualSpacing/>
        <w:rPr>
          <w:rFonts w:eastAsia="Times New Roman"/>
          <w:sz w:val="24"/>
          <w:szCs w:val="24"/>
          <w:lang w:eastAsia="es-ES"/>
        </w:rPr>
      </w:pPr>
    </w:p>
    <w:p w14:paraId="1710C403" w14:textId="1B19D1C4" w:rsidR="00586C2C" w:rsidRPr="00BA0028" w:rsidRDefault="00B64BAE" w:rsidP="00B73871">
      <w:pPr>
        <w:autoSpaceDE w:val="0"/>
        <w:autoSpaceDN w:val="0"/>
        <w:adjustRightInd w:val="0"/>
        <w:spacing w:line="276" w:lineRule="auto"/>
        <w:rPr>
          <w:sz w:val="24"/>
          <w:szCs w:val="24"/>
        </w:rPr>
      </w:pPr>
      <w:r w:rsidRPr="00BA0028">
        <w:rPr>
          <w:rFonts w:eastAsia="Times New Roman"/>
          <w:sz w:val="24"/>
          <w:szCs w:val="24"/>
          <w:lang w:eastAsia="es-ES"/>
        </w:rPr>
        <w:t>La Nación-Rama Judicial</w:t>
      </w:r>
      <w:r w:rsidR="009A00E9" w:rsidRPr="00BA0028">
        <w:rPr>
          <w:rFonts w:eastAsia="Times New Roman"/>
          <w:sz w:val="24"/>
          <w:szCs w:val="24"/>
          <w:lang w:eastAsia="es-ES"/>
        </w:rPr>
        <w:t xml:space="preserve"> </w:t>
      </w:r>
      <w:r w:rsidR="009E3ECE" w:rsidRPr="00BA0028">
        <w:rPr>
          <w:sz w:val="24"/>
          <w:szCs w:val="24"/>
          <w:lang w:val="es-MX" w:eastAsia="ja-JP"/>
        </w:rPr>
        <w:t>presentó escrito de tutela</w:t>
      </w:r>
      <w:r w:rsidR="009E3ECE" w:rsidRPr="00BA0028">
        <w:rPr>
          <w:rStyle w:val="FootnoteReference"/>
          <w:sz w:val="24"/>
          <w:szCs w:val="24"/>
          <w:lang w:val="es-MX" w:eastAsia="ja-JP"/>
        </w:rPr>
        <w:footnoteReference w:id="4"/>
      </w:r>
      <w:r w:rsidR="00751A87" w:rsidRPr="00BA0028">
        <w:rPr>
          <w:sz w:val="24"/>
          <w:szCs w:val="24"/>
          <w:lang w:val="es-MX" w:eastAsia="ja-JP"/>
        </w:rPr>
        <w:t xml:space="preserve"> el </w:t>
      </w:r>
      <w:r w:rsidRPr="00BA0028">
        <w:rPr>
          <w:sz w:val="24"/>
          <w:szCs w:val="24"/>
          <w:lang w:val="es-MX" w:eastAsia="ja-JP"/>
        </w:rPr>
        <w:t>11</w:t>
      </w:r>
      <w:r w:rsidR="002E65D8" w:rsidRPr="00BA0028">
        <w:rPr>
          <w:sz w:val="24"/>
          <w:szCs w:val="24"/>
          <w:lang w:val="es-MX" w:eastAsia="ja-JP"/>
        </w:rPr>
        <w:t xml:space="preserve"> de </w:t>
      </w:r>
      <w:r w:rsidRPr="00BA0028">
        <w:rPr>
          <w:sz w:val="24"/>
          <w:szCs w:val="24"/>
          <w:lang w:val="es-MX" w:eastAsia="ja-JP"/>
        </w:rPr>
        <w:t>diciembre</w:t>
      </w:r>
      <w:r w:rsidR="002E65D8" w:rsidRPr="00BA0028">
        <w:rPr>
          <w:sz w:val="24"/>
          <w:szCs w:val="24"/>
          <w:lang w:val="es-MX" w:eastAsia="ja-JP"/>
        </w:rPr>
        <w:t xml:space="preserve"> de 2020,</w:t>
      </w:r>
      <w:r w:rsidR="009E3ECE" w:rsidRPr="00BA0028">
        <w:rPr>
          <w:sz w:val="24"/>
          <w:szCs w:val="24"/>
          <w:lang w:val="es-MX" w:eastAsia="ja-JP"/>
        </w:rPr>
        <w:t xml:space="preserve"> en el que solicitó al juez </w:t>
      </w:r>
      <w:r w:rsidR="00CD43AF" w:rsidRPr="00BA0028">
        <w:rPr>
          <w:sz w:val="24"/>
          <w:szCs w:val="24"/>
          <w:lang w:val="es-MX" w:eastAsia="ja-JP"/>
        </w:rPr>
        <w:t>constitucional</w:t>
      </w:r>
      <w:r w:rsidRPr="00BA0028">
        <w:rPr>
          <w:sz w:val="24"/>
          <w:szCs w:val="24"/>
          <w:lang w:val="es-MX" w:eastAsia="ja-JP"/>
        </w:rPr>
        <w:t xml:space="preserve"> el amparo</w:t>
      </w:r>
      <w:r w:rsidR="00586C2C" w:rsidRPr="00BA0028">
        <w:rPr>
          <w:sz w:val="24"/>
          <w:szCs w:val="24"/>
          <w:lang w:val="es-MX" w:eastAsia="ja-JP"/>
        </w:rPr>
        <w:t xml:space="preserve"> </w:t>
      </w:r>
      <w:r w:rsidRPr="00BA0028">
        <w:rPr>
          <w:sz w:val="24"/>
          <w:szCs w:val="24"/>
          <w:lang w:val="es-MX" w:eastAsia="ja-JP"/>
        </w:rPr>
        <w:t xml:space="preserve">de </w:t>
      </w:r>
      <w:r w:rsidR="00586C2C" w:rsidRPr="00BA0028">
        <w:rPr>
          <w:sz w:val="24"/>
          <w:szCs w:val="24"/>
          <w:lang w:val="es-MX" w:eastAsia="ja-JP"/>
        </w:rPr>
        <w:t xml:space="preserve">sus derechos fundamentales </w:t>
      </w:r>
      <w:r w:rsidR="00586C2C" w:rsidRPr="00BA0028">
        <w:rPr>
          <w:sz w:val="24"/>
          <w:szCs w:val="24"/>
        </w:rPr>
        <w:t>al debido proceso, a la defensa, a la</w:t>
      </w:r>
      <w:r w:rsidR="005343C4" w:rsidRPr="00BA0028">
        <w:rPr>
          <w:sz w:val="24"/>
          <w:szCs w:val="24"/>
        </w:rPr>
        <w:t xml:space="preserve"> contradicción, </w:t>
      </w:r>
      <w:r w:rsidRPr="00BA0028">
        <w:rPr>
          <w:sz w:val="24"/>
          <w:szCs w:val="24"/>
        </w:rPr>
        <w:t>a la igualdad</w:t>
      </w:r>
      <w:r w:rsidR="005343C4" w:rsidRPr="00BA0028">
        <w:rPr>
          <w:sz w:val="24"/>
          <w:szCs w:val="24"/>
        </w:rPr>
        <w:t xml:space="preserve"> y a la </w:t>
      </w:r>
      <w:r w:rsidR="005343C4" w:rsidRPr="62968F2C">
        <w:rPr>
          <w:i/>
          <w:iCs/>
          <w:sz w:val="24"/>
          <w:szCs w:val="24"/>
        </w:rPr>
        <w:t xml:space="preserve">no </w:t>
      </w:r>
      <w:proofErr w:type="spellStart"/>
      <w:r w:rsidR="005343C4" w:rsidRPr="62968F2C">
        <w:rPr>
          <w:i/>
          <w:iCs/>
          <w:sz w:val="24"/>
          <w:szCs w:val="24"/>
        </w:rPr>
        <w:t>reformatio</w:t>
      </w:r>
      <w:proofErr w:type="spellEnd"/>
      <w:r w:rsidR="005343C4" w:rsidRPr="62968F2C">
        <w:rPr>
          <w:i/>
          <w:iCs/>
          <w:sz w:val="24"/>
          <w:szCs w:val="24"/>
        </w:rPr>
        <w:t xml:space="preserve"> in </w:t>
      </w:r>
      <w:proofErr w:type="spellStart"/>
      <w:r w:rsidR="005343C4" w:rsidRPr="62968F2C">
        <w:rPr>
          <w:i/>
          <w:iCs/>
          <w:sz w:val="24"/>
          <w:szCs w:val="24"/>
        </w:rPr>
        <w:t>pejus</w:t>
      </w:r>
      <w:proofErr w:type="spellEnd"/>
      <w:r w:rsidR="00586C2C" w:rsidRPr="00BA0028">
        <w:rPr>
          <w:sz w:val="24"/>
          <w:szCs w:val="24"/>
        </w:rPr>
        <w:t>,</w:t>
      </w:r>
      <w:r w:rsidRPr="00BA0028">
        <w:rPr>
          <w:sz w:val="24"/>
          <w:szCs w:val="24"/>
        </w:rPr>
        <w:t xml:space="preserve"> que consideró vulnerados con la decisión adoptada por el Tribunal en el numeral cuarto de la sentencia de 19 de junio</w:t>
      </w:r>
      <w:r w:rsidR="00586C2C" w:rsidRPr="00BA0028">
        <w:rPr>
          <w:sz w:val="24"/>
          <w:szCs w:val="24"/>
        </w:rPr>
        <w:t xml:space="preserve"> de 2020</w:t>
      </w:r>
      <w:r w:rsidR="001D573C" w:rsidRPr="00BA0028">
        <w:rPr>
          <w:sz w:val="24"/>
          <w:szCs w:val="24"/>
        </w:rPr>
        <w:t>.</w:t>
      </w:r>
    </w:p>
    <w:p w14:paraId="512D9A6D" w14:textId="77777777" w:rsidR="00C21BC2" w:rsidRPr="00BA0028" w:rsidRDefault="00C21BC2" w:rsidP="00B73871">
      <w:pPr>
        <w:autoSpaceDE w:val="0"/>
        <w:autoSpaceDN w:val="0"/>
        <w:adjustRightInd w:val="0"/>
        <w:spacing w:line="276" w:lineRule="auto"/>
        <w:rPr>
          <w:sz w:val="24"/>
          <w:szCs w:val="24"/>
        </w:rPr>
      </w:pPr>
    </w:p>
    <w:p w14:paraId="4E1F4AA7" w14:textId="550D99C3" w:rsidR="00150F4F" w:rsidRPr="00BA0028" w:rsidRDefault="000F547F" w:rsidP="00B73871">
      <w:pPr>
        <w:pStyle w:val="Textoindependiente21"/>
        <w:spacing w:after="0" w:line="276" w:lineRule="auto"/>
        <w:ind w:left="0"/>
        <w:jc w:val="both"/>
        <w:rPr>
          <w:rFonts w:cs="Arial"/>
          <w:sz w:val="24"/>
          <w:szCs w:val="24"/>
        </w:rPr>
      </w:pPr>
      <w:r w:rsidRPr="62968F2C">
        <w:rPr>
          <w:rFonts w:cs="Arial"/>
          <w:sz w:val="24"/>
          <w:szCs w:val="24"/>
          <w:lang w:val="es-MX" w:eastAsia="ja-JP"/>
        </w:rPr>
        <w:t xml:space="preserve">Como </w:t>
      </w:r>
      <w:r w:rsidRPr="62968F2C">
        <w:rPr>
          <w:rFonts w:cs="Arial"/>
          <w:sz w:val="24"/>
          <w:szCs w:val="24"/>
        </w:rPr>
        <w:t xml:space="preserve">medida provisional, pidió que se ordenara la suspensión de la sentencia del </w:t>
      </w:r>
      <w:r w:rsidR="00B50F4C" w:rsidRPr="62968F2C">
        <w:rPr>
          <w:rFonts w:cs="Arial"/>
          <w:sz w:val="24"/>
          <w:szCs w:val="24"/>
        </w:rPr>
        <w:t>19 de junio</w:t>
      </w:r>
      <w:r w:rsidRPr="62968F2C">
        <w:rPr>
          <w:rFonts w:cs="Arial"/>
          <w:sz w:val="24"/>
          <w:szCs w:val="24"/>
        </w:rPr>
        <w:t xml:space="preserve"> de 2020 o, en su defecto, del numeral cuarto de dicha providencia, puesto que de quedar en firme tendría que darle cumplimiento, lo que haría ilusorio un posible fallo favorable a sus intereses. </w:t>
      </w:r>
    </w:p>
    <w:p w14:paraId="217FCBA7" w14:textId="77777777" w:rsidR="00150F4F" w:rsidRPr="00BA0028" w:rsidRDefault="00150F4F" w:rsidP="00B73871">
      <w:pPr>
        <w:autoSpaceDE w:val="0"/>
        <w:autoSpaceDN w:val="0"/>
        <w:adjustRightInd w:val="0"/>
        <w:spacing w:line="276" w:lineRule="auto"/>
        <w:rPr>
          <w:sz w:val="24"/>
          <w:szCs w:val="24"/>
        </w:rPr>
      </w:pPr>
    </w:p>
    <w:p w14:paraId="24A950BD" w14:textId="0729B4F8" w:rsidR="00751A87" w:rsidRPr="00BA0028" w:rsidRDefault="00751A87" w:rsidP="62968F2C">
      <w:pPr>
        <w:numPr>
          <w:ilvl w:val="0"/>
          <w:numId w:val="3"/>
        </w:numPr>
        <w:overflowPunct w:val="0"/>
        <w:autoSpaceDE w:val="0"/>
        <w:autoSpaceDN w:val="0"/>
        <w:adjustRightInd w:val="0"/>
        <w:spacing w:line="276" w:lineRule="auto"/>
        <w:contextualSpacing/>
        <w:rPr>
          <w:rFonts w:eastAsia="Times New Roman"/>
          <w:b/>
          <w:bCs/>
          <w:sz w:val="24"/>
          <w:szCs w:val="24"/>
          <w:lang w:eastAsia="es-ES"/>
        </w:rPr>
      </w:pPr>
      <w:r w:rsidRPr="62968F2C">
        <w:rPr>
          <w:rFonts w:eastAsia="Times New Roman"/>
          <w:b/>
          <w:bCs/>
          <w:sz w:val="24"/>
          <w:szCs w:val="24"/>
          <w:lang w:eastAsia="es-ES"/>
        </w:rPr>
        <w:t>Argumentos de la solicitud de tutela</w:t>
      </w:r>
    </w:p>
    <w:p w14:paraId="0E8B348F" w14:textId="77777777" w:rsidR="00751A87" w:rsidRPr="00BA0028" w:rsidRDefault="00751A87" w:rsidP="62968F2C">
      <w:pPr>
        <w:overflowPunct w:val="0"/>
        <w:autoSpaceDE w:val="0"/>
        <w:autoSpaceDN w:val="0"/>
        <w:adjustRightInd w:val="0"/>
        <w:spacing w:line="276" w:lineRule="auto"/>
        <w:contextualSpacing/>
        <w:rPr>
          <w:rFonts w:eastAsia="Times New Roman"/>
          <w:b/>
          <w:bCs/>
          <w:sz w:val="24"/>
          <w:szCs w:val="24"/>
          <w:lang w:eastAsia="es-ES"/>
        </w:rPr>
      </w:pPr>
    </w:p>
    <w:p w14:paraId="19887180" w14:textId="6E9C2E74" w:rsidR="009228F7" w:rsidRPr="00BA0028" w:rsidRDefault="009A00E9" w:rsidP="00B73871">
      <w:pPr>
        <w:overflowPunct w:val="0"/>
        <w:autoSpaceDE w:val="0"/>
        <w:autoSpaceDN w:val="0"/>
        <w:adjustRightInd w:val="0"/>
        <w:spacing w:line="276" w:lineRule="auto"/>
        <w:contextualSpacing/>
        <w:rPr>
          <w:rFonts w:eastAsia="Times New Roman"/>
          <w:sz w:val="24"/>
          <w:szCs w:val="24"/>
          <w:lang w:eastAsia="es-ES"/>
        </w:rPr>
      </w:pPr>
      <w:r w:rsidRPr="62968F2C">
        <w:rPr>
          <w:sz w:val="24"/>
          <w:szCs w:val="24"/>
          <w:lang w:val="es-MX" w:eastAsia="ja-JP"/>
        </w:rPr>
        <w:t>La parte accionante</w:t>
      </w:r>
      <w:r w:rsidR="00586D06" w:rsidRPr="62968F2C">
        <w:rPr>
          <w:rFonts w:eastAsia="Times New Roman"/>
          <w:sz w:val="24"/>
          <w:szCs w:val="24"/>
          <w:lang w:eastAsia="es-ES"/>
        </w:rPr>
        <w:t xml:space="preserve"> manifestó que la Subsección B de la Sección Tercera del Consejo de Estado</w:t>
      </w:r>
      <w:r w:rsidR="003E7DF4" w:rsidRPr="62968F2C">
        <w:rPr>
          <w:rFonts w:eastAsia="Times New Roman"/>
          <w:sz w:val="24"/>
          <w:szCs w:val="24"/>
          <w:lang w:eastAsia="es-ES"/>
        </w:rPr>
        <w:t>, en la sentencia del 19</w:t>
      </w:r>
      <w:r w:rsidRPr="62968F2C">
        <w:rPr>
          <w:rFonts w:eastAsia="Times New Roman"/>
          <w:sz w:val="24"/>
          <w:szCs w:val="24"/>
          <w:lang w:eastAsia="es-ES"/>
        </w:rPr>
        <w:t xml:space="preserve"> de </w:t>
      </w:r>
      <w:r w:rsidR="003E7DF4" w:rsidRPr="62968F2C">
        <w:rPr>
          <w:rFonts w:eastAsia="Times New Roman"/>
          <w:sz w:val="24"/>
          <w:szCs w:val="24"/>
          <w:lang w:eastAsia="es-ES"/>
        </w:rPr>
        <w:t>junio</w:t>
      </w:r>
      <w:r w:rsidRPr="62968F2C">
        <w:rPr>
          <w:rFonts w:eastAsia="Times New Roman"/>
          <w:sz w:val="24"/>
          <w:szCs w:val="24"/>
          <w:lang w:eastAsia="es-ES"/>
        </w:rPr>
        <w:t xml:space="preserve"> de 2020,</w:t>
      </w:r>
      <w:r w:rsidR="00586D06" w:rsidRPr="62968F2C">
        <w:rPr>
          <w:rFonts w:eastAsia="Times New Roman"/>
          <w:sz w:val="24"/>
          <w:szCs w:val="24"/>
          <w:lang w:eastAsia="es-ES"/>
        </w:rPr>
        <w:t xml:space="preserve"> incurrió en un defecto sustantivo y de desconocimiento del precedente constitucional</w:t>
      </w:r>
      <w:r w:rsidR="003F517F" w:rsidRPr="62968F2C">
        <w:rPr>
          <w:rFonts w:eastAsia="Times New Roman"/>
          <w:sz w:val="24"/>
          <w:szCs w:val="24"/>
          <w:lang w:eastAsia="es-ES"/>
        </w:rPr>
        <w:t xml:space="preserve">, </w:t>
      </w:r>
      <w:r w:rsidR="00F74A37" w:rsidRPr="62968F2C">
        <w:rPr>
          <w:rFonts w:eastAsia="Times New Roman"/>
          <w:sz w:val="24"/>
          <w:szCs w:val="24"/>
          <w:lang w:eastAsia="es-ES"/>
        </w:rPr>
        <w:t>con fundamento en los</w:t>
      </w:r>
      <w:r w:rsidR="009228F7" w:rsidRPr="62968F2C">
        <w:rPr>
          <w:rFonts w:eastAsia="Times New Roman"/>
          <w:sz w:val="24"/>
          <w:szCs w:val="24"/>
          <w:lang w:eastAsia="es-ES"/>
        </w:rPr>
        <w:t xml:space="preserve"> </w:t>
      </w:r>
      <w:r w:rsidR="00F74A37" w:rsidRPr="62968F2C">
        <w:rPr>
          <w:rFonts w:eastAsia="Times New Roman"/>
          <w:sz w:val="24"/>
          <w:szCs w:val="24"/>
          <w:lang w:eastAsia="es-ES"/>
        </w:rPr>
        <w:t>argumentos que la Sala resume a continuación</w:t>
      </w:r>
      <w:r w:rsidR="009228F7" w:rsidRPr="62968F2C">
        <w:rPr>
          <w:rFonts w:eastAsia="Times New Roman"/>
          <w:sz w:val="24"/>
          <w:szCs w:val="24"/>
          <w:lang w:eastAsia="es-ES"/>
        </w:rPr>
        <w:t>:</w:t>
      </w:r>
    </w:p>
    <w:p w14:paraId="4B4155E2" w14:textId="77777777" w:rsidR="009228F7" w:rsidRPr="00BA0028" w:rsidRDefault="009228F7" w:rsidP="00B73871">
      <w:pPr>
        <w:overflowPunct w:val="0"/>
        <w:autoSpaceDE w:val="0"/>
        <w:autoSpaceDN w:val="0"/>
        <w:adjustRightInd w:val="0"/>
        <w:spacing w:line="276" w:lineRule="auto"/>
        <w:contextualSpacing/>
        <w:rPr>
          <w:rFonts w:eastAsia="Times New Roman"/>
          <w:sz w:val="24"/>
          <w:szCs w:val="24"/>
          <w:lang w:eastAsia="es-ES"/>
        </w:rPr>
      </w:pPr>
    </w:p>
    <w:p w14:paraId="59D65D0C" w14:textId="2216E73F" w:rsidR="0012085E" w:rsidRPr="00BA0028" w:rsidRDefault="004E30D9" w:rsidP="62968F2C">
      <w:pPr>
        <w:overflowPunct w:val="0"/>
        <w:autoSpaceDE w:val="0"/>
        <w:autoSpaceDN w:val="0"/>
        <w:adjustRightInd w:val="0"/>
        <w:spacing w:line="276" w:lineRule="auto"/>
        <w:contextualSpacing/>
        <w:rPr>
          <w:sz w:val="24"/>
          <w:szCs w:val="24"/>
        </w:rPr>
      </w:pPr>
      <w:r w:rsidRPr="62968F2C">
        <w:rPr>
          <w:rFonts w:eastAsia="Times New Roman"/>
          <w:b/>
          <w:bCs/>
          <w:sz w:val="24"/>
          <w:szCs w:val="24"/>
          <w:lang w:eastAsia="es-ES"/>
        </w:rPr>
        <w:t xml:space="preserve">4.1. </w:t>
      </w:r>
      <w:r w:rsidR="0012085E" w:rsidRPr="00BA0028">
        <w:rPr>
          <w:rFonts w:eastAsia="Times New Roman"/>
          <w:sz w:val="24"/>
          <w:szCs w:val="24"/>
          <w:lang w:eastAsia="es-ES"/>
        </w:rPr>
        <w:t xml:space="preserve">El principio de justicia rogada, que modera el principio </w:t>
      </w:r>
      <w:proofErr w:type="spellStart"/>
      <w:r w:rsidR="0012085E" w:rsidRPr="00BA0028">
        <w:rPr>
          <w:rFonts w:eastAsia="Times New Roman"/>
          <w:sz w:val="24"/>
          <w:szCs w:val="24"/>
          <w:lang w:eastAsia="es-ES"/>
        </w:rPr>
        <w:t>iura</w:t>
      </w:r>
      <w:proofErr w:type="spellEnd"/>
      <w:r w:rsidR="0012085E" w:rsidRPr="00BA0028">
        <w:rPr>
          <w:rFonts w:eastAsia="Times New Roman"/>
          <w:sz w:val="24"/>
          <w:szCs w:val="24"/>
          <w:lang w:eastAsia="es-ES"/>
        </w:rPr>
        <w:t xml:space="preserve"> </w:t>
      </w:r>
      <w:proofErr w:type="spellStart"/>
      <w:r w:rsidR="0012085E" w:rsidRPr="00BA0028">
        <w:rPr>
          <w:rFonts w:eastAsia="Times New Roman"/>
          <w:sz w:val="24"/>
          <w:szCs w:val="24"/>
          <w:lang w:eastAsia="es-ES"/>
        </w:rPr>
        <w:t>novit</w:t>
      </w:r>
      <w:proofErr w:type="spellEnd"/>
      <w:r w:rsidR="0012085E" w:rsidRPr="00BA0028">
        <w:rPr>
          <w:rFonts w:eastAsia="Times New Roman"/>
          <w:sz w:val="24"/>
          <w:szCs w:val="24"/>
          <w:lang w:eastAsia="es-ES"/>
        </w:rPr>
        <w:t xml:space="preserve"> curia, implica que la jurisdicción no puede actuar de oficio, que el demandante tiene la carga de orientar al juez, y una garantía al debido proceso. En los eventos de responsabilidad extracontractual del Estado, la</w:t>
      </w:r>
      <w:r w:rsidR="00B83AFB" w:rsidRPr="00BA0028">
        <w:rPr>
          <w:rFonts w:eastAsia="Times New Roman"/>
          <w:sz w:val="24"/>
          <w:szCs w:val="24"/>
          <w:lang w:eastAsia="es-ES"/>
        </w:rPr>
        <w:t xml:space="preserve"> obligación de reparar proviene</w:t>
      </w:r>
      <w:r w:rsidR="0012085E" w:rsidRPr="00BA0028">
        <w:rPr>
          <w:rFonts w:eastAsia="Times New Roman"/>
          <w:sz w:val="24"/>
          <w:szCs w:val="24"/>
          <w:lang w:eastAsia="es-ES"/>
        </w:rPr>
        <w:t xml:space="preserve"> de las sentencias, por lo </w:t>
      </w:r>
      <w:r w:rsidR="0012085E" w:rsidRPr="00BA0028">
        <w:rPr>
          <w:rFonts w:eastAsia="Times New Roman"/>
          <w:sz w:val="24"/>
          <w:szCs w:val="24"/>
          <w:lang w:eastAsia="es-ES"/>
        </w:rPr>
        <w:lastRenderedPageBreak/>
        <w:t xml:space="preserve">que estas deben atender a los principios de congruencia y legalidad, es decir, ser coherentes con lo pretendido y lo probado, de manera tal que “[…] </w:t>
      </w:r>
      <w:r w:rsidR="0012085E" w:rsidRPr="62968F2C">
        <w:rPr>
          <w:sz w:val="24"/>
          <w:szCs w:val="24"/>
        </w:rPr>
        <w:t>lo que debe resarcirse es la consecuencia o resultado del daño antijurídico y no el hecho que lo produce […]”</w:t>
      </w:r>
      <w:r w:rsidR="00B42CB1" w:rsidRPr="00BA0028">
        <w:rPr>
          <w:rStyle w:val="FootnoteReference"/>
          <w:sz w:val="24"/>
          <w:szCs w:val="24"/>
          <w:lang w:val="es-MX" w:eastAsia="ja-JP"/>
        </w:rPr>
        <w:footnoteReference w:id="5"/>
      </w:r>
      <w:r w:rsidR="0012085E" w:rsidRPr="62968F2C">
        <w:rPr>
          <w:sz w:val="24"/>
          <w:szCs w:val="24"/>
        </w:rPr>
        <w:t xml:space="preserve">, ya que el perjuicio es el límite de la indemnización. </w:t>
      </w:r>
    </w:p>
    <w:p w14:paraId="0FBC79D7" w14:textId="77777777" w:rsidR="0012085E" w:rsidRPr="00BA0028" w:rsidRDefault="0012085E" w:rsidP="00B73871">
      <w:pPr>
        <w:overflowPunct w:val="0"/>
        <w:autoSpaceDE w:val="0"/>
        <w:autoSpaceDN w:val="0"/>
        <w:adjustRightInd w:val="0"/>
        <w:spacing w:line="276" w:lineRule="auto"/>
        <w:contextualSpacing/>
        <w:rPr>
          <w:rFonts w:eastAsia="Times New Roman"/>
          <w:sz w:val="24"/>
          <w:szCs w:val="24"/>
          <w:lang w:val="es-ES" w:eastAsia="es-ES"/>
        </w:rPr>
      </w:pPr>
    </w:p>
    <w:p w14:paraId="0053C0CA" w14:textId="4BBBDEE5" w:rsidR="0012085E" w:rsidRPr="00BA0028" w:rsidRDefault="005C0B29" w:rsidP="00B73871">
      <w:pPr>
        <w:tabs>
          <w:tab w:val="left" w:pos="8301"/>
        </w:tabs>
        <w:overflowPunct w:val="0"/>
        <w:autoSpaceDE w:val="0"/>
        <w:autoSpaceDN w:val="0"/>
        <w:adjustRightInd w:val="0"/>
        <w:spacing w:line="276" w:lineRule="auto"/>
        <w:contextualSpacing/>
        <w:rPr>
          <w:rFonts w:eastAsia="Times New Roman"/>
          <w:sz w:val="24"/>
          <w:szCs w:val="24"/>
          <w:lang w:eastAsia="es-ES"/>
        </w:rPr>
      </w:pPr>
      <w:r w:rsidRPr="62968F2C">
        <w:rPr>
          <w:rFonts w:eastAsia="Times New Roman"/>
          <w:sz w:val="24"/>
          <w:szCs w:val="24"/>
          <w:lang w:eastAsia="es-ES"/>
        </w:rPr>
        <w:t>Al juez le c</w:t>
      </w:r>
      <w:r w:rsidR="00F73069" w:rsidRPr="62968F2C">
        <w:rPr>
          <w:rFonts w:eastAsia="Times New Roman"/>
          <w:sz w:val="24"/>
          <w:szCs w:val="24"/>
          <w:lang w:eastAsia="es-ES"/>
        </w:rPr>
        <w:t xml:space="preserve">orresponde resolver la </w:t>
      </w:r>
      <w:r w:rsidR="000903AC" w:rsidRPr="62968F2C">
        <w:rPr>
          <w:rFonts w:eastAsia="Times New Roman"/>
          <w:sz w:val="24"/>
          <w:szCs w:val="24"/>
          <w:lang w:eastAsia="es-ES"/>
        </w:rPr>
        <w:t>pretensión</w:t>
      </w:r>
      <w:r w:rsidR="00F73069" w:rsidRPr="62968F2C">
        <w:rPr>
          <w:rFonts w:eastAsia="Times New Roman"/>
          <w:sz w:val="24"/>
          <w:szCs w:val="24"/>
          <w:lang w:eastAsia="es-ES"/>
        </w:rPr>
        <w:t xml:space="preserve"> </w:t>
      </w:r>
      <w:r w:rsidR="009146FF" w:rsidRPr="62968F2C">
        <w:rPr>
          <w:rFonts w:eastAsia="Times New Roman"/>
          <w:sz w:val="24"/>
          <w:szCs w:val="24"/>
          <w:lang w:eastAsia="es-ES"/>
        </w:rPr>
        <w:t>planteada</w:t>
      </w:r>
      <w:r w:rsidR="00F73069" w:rsidRPr="62968F2C">
        <w:rPr>
          <w:rFonts w:eastAsia="Times New Roman"/>
          <w:sz w:val="24"/>
          <w:szCs w:val="24"/>
          <w:lang w:eastAsia="es-ES"/>
        </w:rPr>
        <w:t xml:space="preserve"> en la demanda, con fundamento en lo probado y excepcionado en el proceso</w:t>
      </w:r>
      <w:r w:rsidRPr="62968F2C">
        <w:rPr>
          <w:rFonts w:eastAsia="Times New Roman"/>
          <w:sz w:val="24"/>
          <w:szCs w:val="24"/>
          <w:lang w:eastAsia="es-ES"/>
        </w:rPr>
        <w:t xml:space="preserve">, y no </w:t>
      </w:r>
      <w:r w:rsidR="009146FF" w:rsidRPr="62968F2C">
        <w:rPr>
          <w:rFonts w:eastAsia="Times New Roman"/>
          <w:sz w:val="24"/>
          <w:szCs w:val="24"/>
          <w:lang w:eastAsia="es-ES"/>
        </w:rPr>
        <w:t xml:space="preserve">en </w:t>
      </w:r>
      <w:r w:rsidRPr="62968F2C">
        <w:rPr>
          <w:rFonts w:eastAsia="Times New Roman"/>
          <w:sz w:val="24"/>
          <w:szCs w:val="24"/>
          <w:lang w:eastAsia="es-ES"/>
        </w:rPr>
        <w:t>lo que considere equivocado</w:t>
      </w:r>
      <w:r w:rsidR="00F73069" w:rsidRPr="62968F2C">
        <w:rPr>
          <w:rFonts w:eastAsia="Times New Roman"/>
          <w:sz w:val="24"/>
          <w:szCs w:val="24"/>
          <w:lang w:eastAsia="es-ES"/>
        </w:rPr>
        <w:t xml:space="preserve">. </w:t>
      </w:r>
      <w:r w:rsidR="0012085E" w:rsidRPr="62968F2C">
        <w:rPr>
          <w:rFonts w:eastAsia="Times New Roman"/>
          <w:sz w:val="24"/>
          <w:szCs w:val="24"/>
          <w:lang w:eastAsia="es-ES"/>
        </w:rPr>
        <w:t>En ese orden, l</w:t>
      </w:r>
      <w:r w:rsidR="009228F7" w:rsidRPr="62968F2C">
        <w:rPr>
          <w:rFonts w:eastAsia="Times New Roman"/>
          <w:sz w:val="24"/>
          <w:szCs w:val="24"/>
          <w:lang w:eastAsia="es-ES"/>
        </w:rPr>
        <w:t xml:space="preserve">a accionada </w:t>
      </w:r>
      <w:r w:rsidR="003F517F" w:rsidRPr="62968F2C">
        <w:rPr>
          <w:rFonts w:eastAsia="Times New Roman"/>
          <w:sz w:val="24"/>
          <w:szCs w:val="24"/>
          <w:lang w:eastAsia="es-ES"/>
        </w:rPr>
        <w:t>transgredió los principios de justicia rogada y congruencia de las decisiones judiciales</w:t>
      </w:r>
      <w:r w:rsidR="00757DD8" w:rsidRPr="62968F2C">
        <w:rPr>
          <w:rFonts w:eastAsia="Times New Roman"/>
          <w:sz w:val="24"/>
          <w:szCs w:val="24"/>
          <w:lang w:eastAsia="es-ES"/>
        </w:rPr>
        <w:t xml:space="preserve">, ya que </w:t>
      </w:r>
      <w:r w:rsidR="00F74A37" w:rsidRPr="62968F2C">
        <w:rPr>
          <w:rFonts w:eastAsia="Times New Roman"/>
          <w:sz w:val="24"/>
          <w:szCs w:val="24"/>
          <w:lang w:eastAsia="es-ES"/>
        </w:rPr>
        <w:t>ordenó,</w:t>
      </w:r>
      <w:r w:rsidR="00757DD8" w:rsidRPr="62968F2C">
        <w:rPr>
          <w:rFonts w:eastAsia="Times New Roman"/>
          <w:sz w:val="24"/>
          <w:szCs w:val="24"/>
          <w:lang w:eastAsia="es-ES"/>
        </w:rPr>
        <w:t xml:space="preserve"> </w:t>
      </w:r>
      <w:r w:rsidR="00F74A37" w:rsidRPr="62968F2C">
        <w:rPr>
          <w:rFonts w:eastAsia="Times New Roman"/>
          <w:sz w:val="24"/>
          <w:szCs w:val="24"/>
          <w:lang w:eastAsia="es-ES"/>
        </w:rPr>
        <w:t xml:space="preserve">de forma </w:t>
      </w:r>
      <w:r w:rsidR="00757DD8" w:rsidRPr="62968F2C">
        <w:rPr>
          <w:rFonts w:eastAsia="Times New Roman"/>
          <w:sz w:val="24"/>
          <w:szCs w:val="24"/>
          <w:lang w:eastAsia="es-ES"/>
        </w:rPr>
        <w:t>extra</w:t>
      </w:r>
      <w:r w:rsidR="00757DD8" w:rsidRPr="62968F2C">
        <w:rPr>
          <w:rFonts w:eastAsia="Times New Roman"/>
          <w:i/>
          <w:iCs/>
          <w:sz w:val="24"/>
          <w:szCs w:val="24"/>
          <w:lang w:eastAsia="es-ES"/>
        </w:rPr>
        <w:t xml:space="preserve"> </w:t>
      </w:r>
      <w:proofErr w:type="spellStart"/>
      <w:r w:rsidR="00757DD8" w:rsidRPr="62968F2C">
        <w:rPr>
          <w:rFonts w:eastAsia="Times New Roman"/>
          <w:i/>
          <w:iCs/>
          <w:sz w:val="24"/>
          <w:szCs w:val="24"/>
          <w:lang w:eastAsia="es-ES"/>
        </w:rPr>
        <w:t>petita</w:t>
      </w:r>
      <w:proofErr w:type="spellEnd"/>
      <w:r w:rsidR="00F74A37" w:rsidRPr="62968F2C">
        <w:rPr>
          <w:rFonts w:eastAsia="Times New Roman"/>
          <w:i/>
          <w:iCs/>
          <w:sz w:val="24"/>
          <w:szCs w:val="24"/>
          <w:lang w:eastAsia="es-ES"/>
        </w:rPr>
        <w:t>,</w:t>
      </w:r>
      <w:r w:rsidR="00757DD8" w:rsidRPr="62968F2C">
        <w:rPr>
          <w:rFonts w:eastAsia="Times New Roman"/>
          <w:sz w:val="24"/>
          <w:szCs w:val="24"/>
          <w:lang w:eastAsia="es-ES"/>
        </w:rPr>
        <w:t xml:space="preserve"> </w:t>
      </w:r>
      <w:r w:rsidR="00F74A37" w:rsidRPr="62968F2C">
        <w:rPr>
          <w:rFonts w:eastAsia="Times New Roman"/>
          <w:sz w:val="24"/>
          <w:szCs w:val="24"/>
          <w:lang w:eastAsia="es-ES"/>
        </w:rPr>
        <w:t>que se ofrecieran</w:t>
      </w:r>
      <w:r w:rsidR="00757DD8" w:rsidRPr="62968F2C">
        <w:rPr>
          <w:rFonts w:eastAsia="Times New Roman"/>
          <w:sz w:val="24"/>
          <w:szCs w:val="24"/>
          <w:lang w:eastAsia="es-ES"/>
        </w:rPr>
        <w:t xml:space="preserve"> </w:t>
      </w:r>
      <w:r w:rsidR="00CE4DF7" w:rsidRPr="62968F2C">
        <w:rPr>
          <w:rFonts w:eastAsia="Times New Roman"/>
          <w:sz w:val="24"/>
          <w:szCs w:val="24"/>
          <w:lang w:eastAsia="es-ES"/>
        </w:rPr>
        <w:t>unas</w:t>
      </w:r>
      <w:r w:rsidR="00757DD8" w:rsidRPr="62968F2C">
        <w:rPr>
          <w:rFonts w:eastAsia="Times New Roman"/>
          <w:sz w:val="24"/>
          <w:szCs w:val="24"/>
          <w:lang w:eastAsia="es-ES"/>
        </w:rPr>
        <w:t xml:space="preserve"> disculpas que no fueron solicitadas</w:t>
      </w:r>
      <w:r w:rsidR="000903AC" w:rsidRPr="62968F2C">
        <w:rPr>
          <w:rFonts w:eastAsia="Times New Roman"/>
          <w:sz w:val="24"/>
          <w:szCs w:val="24"/>
          <w:lang w:eastAsia="es-ES"/>
        </w:rPr>
        <w:t xml:space="preserve"> en </w:t>
      </w:r>
      <w:r w:rsidR="00F73069" w:rsidRPr="62968F2C">
        <w:rPr>
          <w:rFonts w:eastAsia="Times New Roman"/>
          <w:sz w:val="24"/>
          <w:szCs w:val="24"/>
          <w:lang w:eastAsia="es-ES"/>
        </w:rPr>
        <w:t>el</w:t>
      </w:r>
      <w:r w:rsidR="000903AC" w:rsidRPr="62968F2C">
        <w:rPr>
          <w:rFonts w:eastAsia="Times New Roman"/>
          <w:sz w:val="24"/>
          <w:szCs w:val="24"/>
          <w:lang w:eastAsia="es-ES"/>
        </w:rPr>
        <w:t xml:space="preserve"> escrito inicial de</w:t>
      </w:r>
      <w:r w:rsidR="00221C3D" w:rsidRPr="62968F2C">
        <w:rPr>
          <w:rFonts w:eastAsia="Times New Roman"/>
          <w:sz w:val="24"/>
          <w:szCs w:val="24"/>
          <w:lang w:eastAsia="es-ES"/>
        </w:rPr>
        <w:t xml:space="preserve">l señor </w:t>
      </w:r>
      <w:proofErr w:type="spellStart"/>
      <w:r w:rsidR="00221C3D" w:rsidRPr="62968F2C">
        <w:rPr>
          <w:rFonts w:eastAsia="Times New Roman"/>
          <w:sz w:val="24"/>
          <w:szCs w:val="24"/>
          <w:lang w:eastAsia="es-ES"/>
        </w:rPr>
        <w:t>Riqueth</w:t>
      </w:r>
      <w:proofErr w:type="spellEnd"/>
      <w:r w:rsidR="00221C3D" w:rsidRPr="62968F2C">
        <w:rPr>
          <w:rFonts w:eastAsia="Times New Roman"/>
          <w:sz w:val="24"/>
          <w:szCs w:val="24"/>
          <w:lang w:eastAsia="es-ES"/>
        </w:rPr>
        <w:t xml:space="preserve"> García y su familia.</w:t>
      </w:r>
    </w:p>
    <w:p w14:paraId="0E492F1D" w14:textId="77777777" w:rsidR="00221C3D" w:rsidRPr="00BA0028" w:rsidRDefault="00221C3D" w:rsidP="00B73871">
      <w:pPr>
        <w:tabs>
          <w:tab w:val="left" w:pos="8301"/>
        </w:tabs>
        <w:overflowPunct w:val="0"/>
        <w:autoSpaceDE w:val="0"/>
        <w:autoSpaceDN w:val="0"/>
        <w:adjustRightInd w:val="0"/>
        <w:spacing w:line="276" w:lineRule="auto"/>
        <w:contextualSpacing/>
        <w:rPr>
          <w:rFonts w:eastAsia="Times New Roman"/>
          <w:sz w:val="24"/>
          <w:szCs w:val="24"/>
          <w:lang w:eastAsia="es-ES"/>
        </w:rPr>
      </w:pPr>
    </w:p>
    <w:p w14:paraId="5A9AD114" w14:textId="07E9AF69" w:rsidR="0012085E" w:rsidRPr="00BA0028" w:rsidRDefault="00221C3D" w:rsidP="62968F2C">
      <w:pPr>
        <w:overflowPunct w:val="0"/>
        <w:autoSpaceDE w:val="0"/>
        <w:autoSpaceDN w:val="0"/>
        <w:adjustRightInd w:val="0"/>
        <w:spacing w:line="276" w:lineRule="auto"/>
        <w:contextualSpacing/>
        <w:rPr>
          <w:sz w:val="24"/>
          <w:szCs w:val="24"/>
        </w:rPr>
      </w:pPr>
      <w:r w:rsidRPr="62968F2C">
        <w:rPr>
          <w:rFonts w:eastAsia="Times New Roman"/>
          <w:sz w:val="24"/>
          <w:szCs w:val="24"/>
          <w:lang w:eastAsia="es-ES"/>
        </w:rPr>
        <w:t>L</w:t>
      </w:r>
      <w:r w:rsidR="0012085E" w:rsidRPr="62968F2C">
        <w:rPr>
          <w:rFonts w:eastAsia="Times New Roman"/>
          <w:sz w:val="24"/>
          <w:szCs w:val="24"/>
          <w:lang w:eastAsia="es-ES"/>
        </w:rPr>
        <w:t>a imposición de una obligación de hacer</w:t>
      </w:r>
      <w:r w:rsidRPr="62968F2C">
        <w:rPr>
          <w:rFonts w:eastAsia="Times New Roman"/>
          <w:sz w:val="24"/>
          <w:szCs w:val="24"/>
          <w:lang w:eastAsia="es-ES"/>
        </w:rPr>
        <w:t>,</w:t>
      </w:r>
      <w:r w:rsidR="0012085E" w:rsidRPr="62968F2C">
        <w:rPr>
          <w:rFonts w:eastAsia="Times New Roman"/>
          <w:sz w:val="24"/>
          <w:szCs w:val="24"/>
          <w:lang w:eastAsia="es-ES"/>
        </w:rPr>
        <w:t xml:space="preserve"> </w:t>
      </w:r>
      <w:r w:rsidR="00B83AFB" w:rsidRPr="62968F2C">
        <w:rPr>
          <w:rFonts w:eastAsia="Times New Roman"/>
          <w:sz w:val="24"/>
          <w:szCs w:val="24"/>
          <w:lang w:eastAsia="es-ES"/>
        </w:rPr>
        <w:t>extraña a</w:t>
      </w:r>
      <w:r w:rsidR="0012085E" w:rsidRPr="62968F2C">
        <w:rPr>
          <w:rFonts w:eastAsia="Times New Roman"/>
          <w:sz w:val="24"/>
          <w:szCs w:val="24"/>
          <w:lang w:eastAsia="es-ES"/>
        </w:rPr>
        <w:t xml:space="preserve"> los hechos y las pretensiones de los </w:t>
      </w:r>
      <w:r w:rsidRPr="62968F2C">
        <w:rPr>
          <w:rFonts w:eastAsia="Times New Roman"/>
          <w:sz w:val="24"/>
          <w:szCs w:val="24"/>
          <w:lang w:eastAsia="es-ES"/>
        </w:rPr>
        <w:t>demandantes, le negó a la parte demandada</w:t>
      </w:r>
      <w:r w:rsidR="0012085E" w:rsidRPr="62968F2C">
        <w:rPr>
          <w:rFonts w:eastAsia="Times New Roman"/>
          <w:sz w:val="24"/>
          <w:szCs w:val="24"/>
          <w:lang w:eastAsia="es-ES"/>
        </w:rPr>
        <w:t xml:space="preserve"> el ejercicio de sus derechos fundamentales a la defensa y a la contradicción, materializados en la posibilidad de presentar alegaciones que sustenten los intereses relacionados con lo decidido.</w:t>
      </w:r>
    </w:p>
    <w:p w14:paraId="4F85B03E" w14:textId="77777777" w:rsidR="00FE2B16" w:rsidRPr="00BA0028" w:rsidRDefault="00FE2B16" w:rsidP="00B73871">
      <w:pPr>
        <w:overflowPunct w:val="0"/>
        <w:autoSpaceDE w:val="0"/>
        <w:autoSpaceDN w:val="0"/>
        <w:adjustRightInd w:val="0"/>
        <w:spacing w:line="276" w:lineRule="auto"/>
        <w:contextualSpacing/>
        <w:rPr>
          <w:rFonts w:eastAsia="Times New Roman"/>
          <w:sz w:val="24"/>
          <w:szCs w:val="24"/>
          <w:lang w:eastAsia="es-ES"/>
        </w:rPr>
      </w:pPr>
    </w:p>
    <w:p w14:paraId="2CC867EE" w14:textId="77649B20" w:rsidR="00DA371D" w:rsidRPr="00BA0028" w:rsidRDefault="0012085E" w:rsidP="62968F2C">
      <w:pPr>
        <w:overflowPunct w:val="0"/>
        <w:autoSpaceDE w:val="0"/>
        <w:autoSpaceDN w:val="0"/>
        <w:adjustRightInd w:val="0"/>
        <w:spacing w:line="276" w:lineRule="auto"/>
        <w:contextualSpacing/>
        <w:rPr>
          <w:rFonts w:eastAsia="Times New Roman"/>
          <w:i/>
          <w:iCs/>
          <w:sz w:val="24"/>
          <w:szCs w:val="24"/>
          <w:lang w:eastAsia="es-ES"/>
        </w:rPr>
      </w:pPr>
      <w:r w:rsidRPr="62968F2C">
        <w:rPr>
          <w:b/>
          <w:bCs/>
          <w:sz w:val="24"/>
          <w:szCs w:val="24"/>
        </w:rPr>
        <w:t xml:space="preserve">4.2. </w:t>
      </w:r>
      <w:r w:rsidR="005B7E46" w:rsidRPr="62968F2C">
        <w:rPr>
          <w:rFonts w:eastAsia="Times New Roman"/>
          <w:sz w:val="24"/>
          <w:szCs w:val="24"/>
          <w:lang w:eastAsia="es-ES"/>
        </w:rPr>
        <w:t>Ahora bien, l</w:t>
      </w:r>
      <w:r w:rsidR="00DA371D" w:rsidRPr="62968F2C">
        <w:rPr>
          <w:rFonts w:eastAsia="Times New Roman"/>
          <w:sz w:val="24"/>
          <w:szCs w:val="24"/>
          <w:lang w:eastAsia="es-ES"/>
        </w:rPr>
        <w:t xml:space="preserve">as disculpas públicas </w:t>
      </w:r>
      <w:r w:rsidR="00026740" w:rsidRPr="62968F2C">
        <w:rPr>
          <w:rFonts w:eastAsia="Times New Roman"/>
          <w:sz w:val="24"/>
          <w:szCs w:val="24"/>
          <w:lang w:eastAsia="es-ES"/>
        </w:rPr>
        <w:t>son</w:t>
      </w:r>
      <w:r w:rsidR="00DA371D" w:rsidRPr="62968F2C">
        <w:rPr>
          <w:rFonts w:eastAsia="Times New Roman"/>
          <w:sz w:val="24"/>
          <w:szCs w:val="24"/>
          <w:lang w:eastAsia="es-ES"/>
        </w:rPr>
        <w:t xml:space="preserve"> un elemento propio de la política de justicia transicional como forma de reparación simbólica, que procede </w:t>
      </w:r>
      <w:r w:rsidR="00287806" w:rsidRPr="62968F2C">
        <w:rPr>
          <w:rFonts w:eastAsia="Times New Roman"/>
          <w:sz w:val="24"/>
          <w:szCs w:val="24"/>
          <w:lang w:eastAsia="es-ES"/>
        </w:rPr>
        <w:t xml:space="preserve">en la mayoría de </w:t>
      </w:r>
      <w:r w:rsidR="00474FC3" w:rsidRPr="62968F2C">
        <w:rPr>
          <w:rFonts w:eastAsia="Times New Roman"/>
          <w:sz w:val="24"/>
          <w:szCs w:val="24"/>
          <w:lang w:eastAsia="es-ES"/>
        </w:rPr>
        <w:t>los casos</w:t>
      </w:r>
      <w:r w:rsidR="00287806" w:rsidRPr="62968F2C">
        <w:rPr>
          <w:rFonts w:eastAsia="Times New Roman"/>
          <w:sz w:val="24"/>
          <w:szCs w:val="24"/>
          <w:lang w:eastAsia="es-ES"/>
        </w:rPr>
        <w:t xml:space="preserve"> </w:t>
      </w:r>
      <w:r w:rsidR="00DA371D" w:rsidRPr="62968F2C">
        <w:rPr>
          <w:rFonts w:eastAsia="Times New Roman"/>
          <w:sz w:val="24"/>
          <w:szCs w:val="24"/>
          <w:lang w:eastAsia="es-ES"/>
        </w:rPr>
        <w:t xml:space="preserve">frente a violaciones de derechos humanos, como aceptación </w:t>
      </w:r>
      <w:r w:rsidR="004E30D9" w:rsidRPr="62968F2C">
        <w:rPr>
          <w:rFonts w:eastAsia="Times New Roman"/>
          <w:sz w:val="24"/>
          <w:szCs w:val="24"/>
          <w:lang w:eastAsia="es-ES"/>
        </w:rPr>
        <w:t xml:space="preserve">de responsabilidad </w:t>
      </w:r>
      <w:r w:rsidR="00DA371D" w:rsidRPr="62968F2C">
        <w:rPr>
          <w:rFonts w:eastAsia="Times New Roman"/>
          <w:sz w:val="24"/>
          <w:szCs w:val="24"/>
          <w:lang w:eastAsia="es-ES"/>
        </w:rPr>
        <w:t>po</w:t>
      </w:r>
      <w:r w:rsidR="004E30D9" w:rsidRPr="62968F2C">
        <w:rPr>
          <w:rFonts w:eastAsia="Times New Roman"/>
          <w:sz w:val="24"/>
          <w:szCs w:val="24"/>
          <w:lang w:eastAsia="es-ES"/>
        </w:rPr>
        <w:t>r parte</w:t>
      </w:r>
      <w:r w:rsidR="005343C4" w:rsidRPr="62968F2C">
        <w:rPr>
          <w:rFonts w:eastAsia="Times New Roman"/>
          <w:sz w:val="24"/>
          <w:szCs w:val="24"/>
          <w:lang w:eastAsia="es-ES"/>
        </w:rPr>
        <w:t xml:space="preserve"> de</w:t>
      </w:r>
      <w:r w:rsidR="004E30D9" w:rsidRPr="62968F2C">
        <w:rPr>
          <w:rFonts w:eastAsia="Times New Roman"/>
          <w:sz w:val="24"/>
          <w:szCs w:val="24"/>
          <w:lang w:eastAsia="es-ES"/>
        </w:rPr>
        <w:t xml:space="preserve"> </w:t>
      </w:r>
      <w:r w:rsidR="00026740" w:rsidRPr="62968F2C">
        <w:rPr>
          <w:rFonts w:eastAsia="Times New Roman"/>
          <w:sz w:val="24"/>
          <w:szCs w:val="24"/>
          <w:lang w:eastAsia="es-ES"/>
        </w:rPr>
        <w:t xml:space="preserve">las </w:t>
      </w:r>
      <w:proofErr w:type="gramStart"/>
      <w:r w:rsidR="00026740" w:rsidRPr="62968F2C">
        <w:rPr>
          <w:rFonts w:eastAsia="Times New Roman"/>
          <w:sz w:val="24"/>
          <w:szCs w:val="24"/>
          <w:lang w:eastAsia="es-ES"/>
        </w:rPr>
        <w:t>autoridades</w:t>
      </w:r>
      <w:r w:rsidR="00EA7475" w:rsidRPr="62968F2C">
        <w:rPr>
          <w:rFonts w:eastAsia="Times New Roman"/>
          <w:sz w:val="24"/>
          <w:szCs w:val="24"/>
          <w:lang w:eastAsia="es-ES"/>
        </w:rPr>
        <w:t xml:space="preserve"> públicas</w:t>
      </w:r>
      <w:proofErr w:type="gramEnd"/>
      <w:r w:rsidR="004E30D9" w:rsidRPr="62968F2C">
        <w:rPr>
          <w:rFonts w:eastAsia="Times New Roman"/>
          <w:sz w:val="24"/>
          <w:szCs w:val="24"/>
          <w:lang w:eastAsia="es-ES"/>
        </w:rPr>
        <w:t>, entre otros</w:t>
      </w:r>
      <w:r w:rsidR="00DA371D" w:rsidRPr="62968F2C">
        <w:rPr>
          <w:rFonts w:eastAsia="Times New Roman"/>
          <w:sz w:val="24"/>
          <w:szCs w:val="24"/>
          <w:lang w:eastAsia="es-ES"/>
        </w:rPr>
        <w:t>.</w:t>
      </w:r>
      <w:r w:rsidR="007075E5" w:rsidRPr="62968F2C">
        <w:rPr>
          <w:rFonts w:eastAsia="Times New Roman"/>
          <w:sz w:val="24"/>
          <w:szCs w:val="24"/>
          <w:lang w:eastAsia="es-ES"/>
        </w:rPr>
        <w:t xml:space="preserve"> Esta comprensión conceptual est</w:t>
      </w:r>
      <w:r w:rsidR="002873C9" w:rsidRPr="62968F2C">
        <w:rPr>
          <w:rFonts w:eastAsia="Times New Roman"/>
          <w:sz w:val="24"/>
          <w:szCs w:val="24"/>
          <w:lang w:eastAsia="es-ES"/>
        </w:rPr>
        <w:t>á impedida en los procesos de reparación directa</w:t>
      </w:r>
      <w:r w:rsidR="009146FF" w:rsidRPr="62968F2C">
        <w:rPr>
          <w:rFonts w:eastAsia="Times New Roman"/>
          <w:sz w:val="24"/>
          <w:szCs w:val="24"/>
          <w:lang w:eastAsia="es-ES"/>
        </w:rPr>
        <w:t>,</w:t>
      </w:r>
      <w:r w:rsidR="00026740" w:rsidRPr="62968F2C">
        <w:rPr>
          <w:rFonts w:eastAsia="Times New Roman"/>
          <w:sz w:val="24"/>
          <w:szCs w:val="24"/>
          <w:lang w:eastAsia="es-ES"/>
        </w:rPr>
        <w:t xml:space="preserve"> por su</w:t>
      </w:r>
      <w:r w:rsidR="002873C9" w:rsidRPr="62968F2C">
        <w:rPr>
          <w:rFonts w:eastAsia="Times New Roman"/>
          <w:sz w:val="24"/>
          <w:szCs w:val="24"/>
          <w:lang w:eastAsia="es-ES"/>
        </w:rPr>
        <w:t xml:space="preserve"> naturaleza, pues </w:t>
      </w:r>
      <w:r w:rsidR="00026740" w:rsidRPr="62968F2C">
        <w:rPr>
          <w:rFonts w:eastAsia="Times New Roman"/>
          <w:sz w:val="24"/>
          <w:szCs w:val="24"/>
          <w:lang w:eastAsia="es-ES"/>
        </w:rPr>
        <w:t>la</w:t>
      </w:r>
      <w:r w:rsidR="00DA371D" w:rsidRPr="62968F2C">
        <w:rPr>
          <w:rFonts w:eastAsia="Times New Roman"/>
          <w:sz w:val="24"/>
          <w:szCs w:val="24"/>
          <w:lang w:eastAsia="es-ES"/>
        </w:rPr>
        <w:t>s características de</w:t>
      </w:r>
      <w:r w:rsidR="009146FF" w:rsidRPr="62968F2C">
        <w:rPr>
          <w:rFonts w:eastAsia="Times New Roman"/>
          <w:sz w:val="24"/>
          <w:szCs w:val="24"/>
          <w:lang w:eastAsia="es-ES"/>
        </w:rPr>
        <w:t xml:space="preserve"> lo</w:t>
      </w:r>
      <w:r w:rsidR="002873C9" w:rsidRPr="62968F2C">
        <w:rPr>
          <w:rFonts w:eastAsia="Times New Roman"/>
          <w:sz w:val="24"/>
          <w:szCs w:val="24"/>
          <w:lang w:eastAsia="es-ES"/>
        </w:rPr>
        <w:t>s</w:t>
      </w:r>
      <w:r w:rsidR="00DA371D" w:rsidRPr="62968F2C">
        <w:rPr>
          <w:rFonts w:eastAsia="Times New Roman"/>
          <w:sz w:val="24"/>
          <w:szCs w:val="24"/>
          <w:lang w:eastAsia="es-ES"/>
        </w:rPr>
        <w:t xml:space="preserve"> resultado</w:t>
      </w:r>
      <w:r w:rsidR="002873C9" w:rsidRPr="62968F2C">
        <w:rPr>
          <w:rFonts w:eastAsia="Times New Roman"/>
          <w:sz w:val="24"/>
          <w:szCs w:val="24"/>
          <w:lang w:eastAsia="es-ES"/>
        </w:rPr>
        <w:t>s</w:t>
      </w:r>
      <w:r w:rsidR="00DA371D" w:rsidRPr="62968F2C">
        <w:rPr>
          <w:rFonts w:eastAsia="Times New Roman"/>
          <w:sz w:val="24"/>
          <w:szCs w:val="24"/>
          <w:lang w:eastAsia="es-ES"/>
        </w:rPr>
        <w:t xml:space="preserve"> son esen</w:t>
      </w:r>
      <w:r w:rsidR="00AC27FC" w:rsidRPr="62968F2C">
        <w:rPr>
          <w:rFonts w:eastAsia="Times New Roman"/>
          <w:sz w:val="24"/>
          <w:szCs w:val="24"/>
          <w:lang w:eastAsia="es-ES"/>
        </w:rPr>
        <w:t xml:space="preserve">cialmente materiales o </w:t>
      </w:r>
      <w:r w:rsidR="00221C3D" w:rsidRPr="62968F2C">
        <w:rPr>
          <w:rFonts w:eastAsia="Times New Roman"/>
          <w:sz w:val="24"/>
          <w:szCs w:val="24"/>
          <w:lang w:eastAsia="es-ES"/>
        </w:rPr>
        <w:t>económicas</w:t>
      </w:r>
      <w:r w:rsidR="00DA371D" w:rsidRPr="62968F2C">
        <w:rPr>
          <w:rFonts w:eastAsia="Times New Roman"/>
          <w:sz w:val="24"/>
          <w:szCs w:val="24"/>
          <w:lang w:eastAsia="es-ES"/>
        </w:rPr>
        <w:t xml:space="preserve">, sin perjuicio del resarcimiento procedente por las lesiones </w:t>
      </w:r>
      <w:r w:rsidR="00474FC3" w:rsidRPr="62968F2C">
        <w:rPr>
          <w:rFonts w:eastAsia="Times New Roman"/>
          <w:sz w:val="24"/>
          <w:szCs w:val="24"/>
          <w:lang w:eastAsia="es-ES"/>
        </w:rPr>
        <w:t>extrapatrimoniales</w:t>
      </w:r>
      <w:r w:rsidR="00DA371D" w:rsidRPr="62968F2C">
        <w:rPr>
          <w:rFonts w:eastAsia="Times New Roman"/>
          <w:sz w:val="24"/>
          <w:szCs w:val="24"/>
          <w:lang w:eastAsia="es-ES"/>
        </w:rPr>
        <w:t xml:space="preserve"> distintas a la moral. La reclamación, por este medio, está ubicada en la imposibilidad real de que los hechos retroced</w:t>
      </w:r>
      <w:r w:rsidR="00AA0388" w:rsidRPr="62968F2C">
        <w:rPr>
          <w:rFonts w:eastAsia="Times New Roman"/>
          <w:sz w:val="24"/>
          <w:szCs w:val="24"/>
          <w:lang w:eastAsia="es-ES"/>
        </w:rPr>
        <w:t xml:space="preserve">an al estado inicial, como </w:t>
      </w:r>
      <w:r w:rsidR="00AC27FC" w:rsidRPr="62968F2C">
        <w:rPr>
          <w:rFonts w:eastAsia="Times New Roman"/>
          <w:sz w:val="24"/>
          <w:szCs w:val="24"/>
          <w:lang w:eastAsia="es-ES"/>
        </w:rPr>
        <w:t>s</w:t>
      </w:r>
      <w:r w:rsidR="00FB3DE4" w:rsidRPr="62968F2C">
        <w:rPr>
          <w:rFonts w:eastAsia="Times New Roman"/>
          <w:sz w:val="24"/>
          <w:szCs w:val="24"/>
          <w:lang w:eastAsia="es-ES"/>
        </w:rPr>
        <w:t>í</w:t>
      </w:r>
      <w:r w:rsidR="00AC27FC" w:rsidRPr="62968F2C">
        <w:rPr>
          <w:rFonts w:eastAsia="Times New Roman"/>
          <w:sz w:val="24"/>
          <w:szCs w:val="24"/>
          <w:lang w:eastAsia="es-ES"/>
        </w:rPr>
        <w:t xml:space="preserve"> </w:t>
      </w:r>
      <w:r w:rsidR="00AA0388" w:rsidRPr="62968F2C">
        <w:rPr>
          <w:rFonts w:eastAsia="Times New Roman"/>
          <w:sz w:val="24"/>
          <w:szCs w:val="24"/>
          <w:lang w:eastAsia="es-ES"/>
        </w:rPr>
        <w:t xml:space="preserve">ocurre en la reparación </w:t>
      </w:r>
      <w:r w:rsidR="00AA0388" w:rsidRPr="62968F2C">
        <w:rPr>
          <w:rFonts w:eastAsia="Times New Roman"/>
          <w:i/>
          <w:iCs/>
          <w:sz w:val="24"/>
          <w:szCs w:val="24"/>
          <w:lang w:eastAsia="es-ES"/>
        </w:rPr>
        <w:t>in natura.</w:t>
      </w:r>
    </w:p>
    <w:p w14:paraId="1DDA13B7" w14:textId="77777777" w:rsidR="0012085E" w:rsidRPr="00BA0028" w:rsidRDefault="0012085E" w:rsidP="00B73871">
      <w:pPr>
        <w:overflowPunct w:val="0"/>
        <w:autoSpaceDE w:val="0"/>
        <w:autoSpaceDN w:val="0"/>
        <w:adjustRightInd w:val="0"/>
        <w:spacing w:line="276" w:lineRule="auto"/>
        <w:contextualSpacing/>
        <w:rPr>
          <w:rFonts w:eastAsia="Times New Roman"/>
          <w:sz w:val="24"/>
          <w:szCs w:val="24"/>
          <w:lang w:eastAsia="es-ES"/>
        </w:rPr>
      </w:pPr>
    </w:p>
    <w:p w14:paraId="45173282" w14:textId="2F176B64" w:rsidR="0012085E" w:rsidRPr="00BA0028" w:rsidRDefault="0012085E" w:rsidP="62968F2C">
      <w:pPr>
        <w:overflowPunct w:val="0"/>
        <w:autoSpaceDE w:val="0"/>
        <w:autoSpaceDN w:val="0"/>
        <w:adjustRightInd w:val="0"/>
        <w:spacing w:line="276" w:lineRule="auto"/>
        <w:contextualSpacing/>
        <w:rPr>
          <w:sz w:val="24"/>
          <w:szCs w:val="24"/>
        </w:rPr>
      </w:pPr>
      <w:r w:rsidRPr="62968F2C">
        <w:rPr>
          <w:sz w:val="24"/>
          <w:szCs w:val="24"/>
        </w:rPr>
        <w:t>Así, que el juez administrativo intente volver las cosas al estado inicial</w:t>
      </w:r>
      <w:r w:rsidR="00221C3D" w:rsidRPr="62968F2C">
        <w:rPr>
          <w:sz w:val="24"/>
          <w:szCs w:val="24"/>
        </w:rPr>
        <w:t>,</w:t>
      </w:r>
      <w:r w:rsidRPr="62968F2C">
        <w:rPr>
          <w:sz w:val="24"/>
          <w:szCs w:val="24"/>
        </w:rPr>
        <w:t xml:space="preserve"> a través de una orden emitida </w:t>
      </w:r>
      <w:r w:rsidR="00221C3D" w:rsidRPr="62968F2C">
        <w:rPr>
          <w:sz w:val="24"/>
          <w:szCs w:val="24"/>
        </w:rPr>
        <w:t xml:space="preserve">a </w:t>
      </w:r>
      <w:r w:rsidRPr="62968F2C">
        <w:rPr>
          <w:sz w:val="24"/>
          <w:szCs w:val="24"/>
        </w:rPr>
        <w:t>la Rama Judicial, consist</w:t>
      </w:r>
      <w:r w:rsidR="00221C3D" w:rsidRPr="62968F2C">
        <w:rPr>
          <w:sz w:val="24"/>
          <w:szCs w:val="24"/>
        </w:rPr>
        <w:t>ente en corregir la falla que consideró</w:t>
      </w:r>
      <w:r w:rsidR="00B83AFB" w:rsidRPr="62968F2C">
        <w:rPr>
          <w:sz w:val="24"/>
          <w:szCs w:val="24"/>
        </w:rPr>
        <w:t xml:space="preserve"> </w:t>
      </w:r>
      <w:r w:rsidRPr="62968F2C">
        <w:rPr>
          <w:sz w:val="24"/>
          <w:szCs w:val="24"/>
        </w:rPr>
        <w:t xml:space="preserve">produjo un daño, puede ir acompañado de una carga subjetiva moral del fallador, indeseable para la administración de justicia. Acudir </w:t>
      </w:r>
      <w:r w:rsidR="00741CBE" w:rsidRPr="62968F2C">
        <w:rPr>
          <w:sz w:val="24"/>
          <w:szCs w:val="24"/>
        </w:rPr>
        <w:t>a</w:t>
      </w:r>
      <w:r w:rsidR="005B7E46" w:rsidRPr="62968F2C">
        <w:rPr>
          <w:sz w:val="24"/>
          <w:szCs w:val="24"/>
        </w:rPr>
        <w:t xml:space="preserve"> estas</w:t>
      </w:r>
      <w:r w:rsidR="00741CBE" w:rsidRPr="62968F2C">
        <w:rPr>
          <w:sz w:val="24"/>
          <w:szCs w:val="24"/>
        </w:rPr>
        <w:t xml:space="preserve"> medidas restaurativas es incoherente y desconoce la autonom</w:t>
      </w:r>
      <w:r w:rsidR="009F7CEB" w:rsidRPr="62968F2C">
        <w:rPr>
          <w:sz w:val="24"/>
          <w:szCs w:val="24"/>
        </w:rPr>
        <w:t xml:space="preserve">ía e independencia de </w:t>
      </w:r>
      <w:r w:rsidR="00291E47" w:rsidRPr="62968F2C">
        <w:rPr>
          <w:sz w:val="24"/>
          <w:szCs w:val="24"/>
        </w:rPr>
        <w:t xml:space="preserve">los </w:t>
      </w:r>
      <w:r w:rsidR="009F7CEB" w:rsidRPr="62968F2C">
        <w:rPr>
          <w:sz w:val="24"/>
          <w:szCs w:val="24"/>
        </w:rPr>
        <w:t>jueces</w:t>
      </w:r>
      <w:r w:rsidR="00741CBE" w:rsidRPr="62968F2C">
        <w:rPr>
          <w:sz w:val="24"/>
          <w:szCs w:val="24"/>
        </w:rPr>
        <w:t xml:space="preserve"> y</w:t>
      </w:r>
      <w:r w:rsidR="00291E47" w:rsidRPr="62968F2C">
        <w:rPr>
          <w:sz w:val="24"/>
          <w:szCs w:val="24"/>
        </w:rPr>
        <w:t xml:space="preserve"> </w:t>
      </w:r>
      <w:r w:rsidR="009146FF" w:rsidRPr="62968F2C">
        <w:rPr>
          <w:sz w:val="24"/>
          <w:szCs w:val="24"/>
        </w:rPr>
        <w:t xml:space="preserve">de </w:t>
      </w:r>
      <w:r w:rsidR="00291E47" w:rsidRPr="62968F2C">
        <w:rPr>
          <w:sz w:val="24"/>
          <w:szCs w:val="24"/>
        </w:rPr>
        <w:t>la administración</w:t>
      </w:r>
      <w:r w:rsidR="00390428" w:rsidRPr="62968F2C">
        <w:rPr>
          <w:sz w:val="24"/>
          <w:szCs w:val="24"/>
        </w:rPr>
        <w:t xml:space="preserve">. </w:t>
      </w:r>
    </w:p>
    <w:p w14:paraId="6CB261B2" w14:textId="77777777" w:rsidR="0012085E" w:rsidRPr="00BA0028" w:rsidRDefault="0012085E" w:rsidP="62968F2C">
      <w:pPr>
        <w:overflowPunct w:val="0"/>
        <w:autoSpaceDE w:val="0"/>
        <w:autoSpaceDN w:val="0"/>
        <w:adjustRightInd w:val="0"/>
        <w:spacing w:line="276" w:lineRule="auto"/>
        <w:contextualSpacing/>
        <w:rPr>
          <w:sz w:val="24"/>
          <w:szCs w:val="24"/>
        </w:rPr>
      </w:pPr>
    </w:p>
    <w:p w14:paraId="6EA03B4C" w14:textId="205CF8CC" w:rsidR="009F7CEB" w:rsidRPr="00BA0028" w:rsidRDefault="00390428" w:rsidP="62968F2C">
      <w:pPr>
        <w:overflowPunct w:val="0"/>
        <w:autoSpaceDE w:val="0"/>
        <w:autoSpaceDN w:val="0"/>
        <w:adjustRightInd w:val="0"/>
        <w:spacing w:line="276" w:lineRule="auto"/>
        <w:contextualSpacing/>
        <w:rPr>
          <w:sz w:val="24"/>
          <w:szCs w:val="24"/>
        </w:rPr>
      </w:pPr>
      <w:r w:rsidRPr="62968F2C">
        <w:rPr>
          <w:sz w:val="24"/>
          <w:szCs w:val="24"/>
        </w:rPr>
        <w:t xml:space="preserve">Por </w:t>
      </w:r>
      <w:r w:rsidR="00AC27FC" w:rsidRPr="62968F2C">
        <w:rPr>
          <w:sz w:val="24"/>
          <w:szCs w:val="24"/>
        </w:rPr>
        <w:t xml:space="preserve">lo </w:t>
      </w:r>
      <w:r w:rsidRPr="62968F2C">
        <w:rPr>
          <w:sz w:val="24"/>
          <w:szCs w:val="24"/>
        </w:rPr>
        <w:t>tanto, ordenar</w:t>
      </w:r>
      <w:r w:rsidR="00741CBE" w:rsidRPr="62968F2C">
        <w:rPr>
          <w:sz w:val="24"/>
          <w:szCs w:val="24"/>
        </w:rPr>
        <w:t xml:space="preserve"> a</w:t>
      </w:r>
      <w:r w:rsidR="00221C3D" w:rsidRPr="62968F2C">
        <w:rPr>
          <w:sz w:val="24"/>
          <w:szCs w:val="24"/>
        </w:rPr>
        <w:t xml:space="preserve"> </w:t>
      </w:r>
      <w:r w:rsidR="00741CBE" w:rsidRPr="62968F2C">
        <w:rPr>
          <w:sz w:val="24"/>
          <w:szCs w:val="24"/>
        </w:rPr>
        <w:t>l</w:t>
      </w:r>
      <w:r w:rsidR="00221C3D" w:rsidRPr="62968F2C">
        <w:rPr>
          <w:sz w:val="24"/>
          <w:szCs w:val="24"/>
        </w:rPr>
        <w:t>a</w:t>
      </w:r>
      <w:r w:rsidR="00741CBE" w:rsidRPr="62968F2C">
        <w:rPr>
          <w:sz w:val="24"/>
          <w:szCs w:val="24"/>
        </w:rPr>
        <w:t xml:space="preserve"> </w:t>
      </w:r>
      <w:r w:rsidR="00221C3D" w:rsidRPr="62968F2C">
        <w:rPr>
          <w:sz w:val="24"/>
          <w:szCs w:val="24"/>
        </w:rPr>
        <w:t xml:space="preserve">Rama Judicial </w:t>
      </w:r>
      <w:r w:rsidR="00741CBE" w:rsidRPr="62968F2C">
        <w:rPr>
          <w:sz w:val="24"/>
          <w:szCs w:val="24"/>
        </w:rPr>
        <w:t xml:space="preserve">que ofrezca disculpas por </w:t>
      </w:r>
      <w:r w:rsidR="00221C3D" w:rsidRPr="62968F2C">
        <w:rPr>
          <w:sz w:val="24"/>
          <w:szCs w:val="24"/>
        </w:rPr>
        <w:t xml:space="preserve">las </w:t>
      </w:r>
      <w:r w:rsidR="00741CBE" w:rsidRPr="62968F2C">
        <w:rPr>
          <w:sz w:val="24"/>
          <w:szCs w:val="24"/>
        </w:rPr>
        <w:t xml:space="preserve">decisiones </w:t>
      </w:r>
      <w:r w:rsidR="00221C3D" w:rsidRPr="62968F2C">
        <w:rPr>
          <w:sz w:val="24"/>
          <w:szCs w:val="24"/>
        </w:rPr>
        <w:t>adoptadas en un proceso judicial, desnaturaliza las</w:t>
      </w:r>
      <w:r w:rsidR="00741CBE" w:rsidRPr="62968F2C">
        <w:rPr>
          <w:sz w:val="24"/>
          <w:szCs w:val="24"/>
        </w:rPr>
        <w:t xml:space="preserve"> funciones contenidas en los artículos 98 y 99 de la Ley 270 de 1996, tales como cumplir las políticas </w:t>
      </w:r>
      <w:r w:rsidR="00291E47" w:rsidRPr="62968F2C">
        <w:rPr>
          <w:sz w:val="24"/>
          <w:szCs w:val="24"/>
        </w:rPr>
        <w:t>impartidas</w:t>
      </w:r>
      <w:r w:rsidR="00741CBE" w:rsidRPr="62968F2C">
        <w:rPr>
          <w:sz w:val="24"/>
          <w:szCs w:val="24"/>
        </w:rPr>
        <w:t xml:space="preserve"> por el Consejo Superior de la Judicatura</w:t>
      </w:r>
      <w:r w:rsidRPr="62968F2C">
        <w:rPr>
          <w:sz w:val="24"/>
          <w:szCs w:val="24"/>
        </w:rPr>
        <w:t xml:space="preserve"> y</w:t>
      </w:r>
      <w:r w:rsidR="00741CBE" w:rsidRPr="62968F2C">
        <w:rPr>
          <w:sz w:val="24"/>
          <w:szCs w:val="24"/>
        </w:rPr>
        <w:t xml:space="preserve"> </w:t>
      </w:r>
      <w:r w:rsidRPr="62968F2C">
        <w:rPr>
          <w:sz w:val="24"/>
          <w:szCs w:val="24"/>
        </w:rPr>
        <w:t>dirigir</w:t>
      </w:r>
      <w:r w:rsidR="00741CBE" w:rsidRPr="62968F2C">
        <w:rPr>
          <w:sz w:val="24"/>
          <w:szCs w:val="24"/>
        </w:rPr>
        <w:t xml:space="preserve"> el gasto</w:t>
      </w:r>
      <w:r w:rsidR="009F7CEB" w:rsidRPr="62968F2C">
        <w:rPr>
          <w:sz w:val="24"/>
          <w:szCs w:val="24"/>
        </w:rPr>
        <w:t xml:space="preserve">, más aún, al tener en </w:t>
      </w:r>
      <w:r w:rsidR="00502ADE" w:rsidRPr="62968F2C">
        <w:rPr>
          <w:sz w:val="24"/>
          <w:szCs w:val="24"/>
        </w:rPr>
        <w:t xml:space="preserve">cuenta que esta entidad no es </w:t>
      </w:r>
      <w:r w:rsidR="009F7CEB" w:rsidRPr="62968F2C">
        <w:rPr>
          <w:sz w:val="24"/>
          <w:szCs w:val="24"/>
        </w:rPr>
        <w:t>l</w:t>
      </w:r>
      <w:r w:rsidR="00502ADE" w:rsidRPr="62968F2C">
        <w:rPr>
          <w:sz w:val="24"/>
          <w:szCs w:val="24"/>
        </w:rPr>
        <w:t>a</w:t>
      </w:r>
      <w:r w:rsidR="009F7CEB" w:rsidRPr="62968F2C">
        <w:rPr>
          <w:sz w:val="24"/>
          <w:szCs w:val="24"/>
        </w:rPr>
        <w:t xml:space="preserve"> nominador</w:t>
      </w:r>
      <w:r w:rsidR="00502ADE" w:rsidRPr="62968F2C">
        <w:rPr>
          <w:sz w:val="24"/>
          <w:szCs w:val="24"/>
        </w:rPr>
        <w:t>a, superior jerárquica</w:t>
      </w:r>
      <w:r w:rsidR="009F7CEB" w:rsidRPr="62968F2C">
        <w:rPr>
          <w:sz w:val="24"/>
          <w:szCs w:val="24"/>
        </w:rPr>
        <w:t xml:space="preserve"> u orientador</w:t>
      </w:r>
      <w:r w:rsidR="00502ADE" w:rsidRPr="62968F2C">
        <w:rPr>
          <w:sz w:val="24"/>
          <w:szCs w:val="24"/>
        </w:rPr>
        <w:t>a</w:t>
      </w:r>
      <w:r w:rsidR="009F7CEB" w:rsidRPr="62968F2C">
        <w:rPr>
          <w:sz w:val="24"/>
          <w:szCs w:val="24"/>
        </w:rPr>
        <w:t xml:space="preserve"> de las autoridades judiciales. </w:t>
      </w:r>
    </w:p>
    <w:p w14:paraId="0C370509" w14:textId="77777777" w:rsidR="00DE403C" w:rsidRPr="00BA0028" w:rsidRDefault="00DE403C" w:rsidP="62968F2C">
      <w:pPr>
        <w:overflowPunct w:val="0"/>
        <w:autoSpaceDE w:val="0"/>
        <w:autoSpaceDN w:val="0"/>
        <w:adjustRightInd w:val="0"/>
        <w:spacing w:line="276" w:lineRule="auto"/>
        <w:contextualSpacing/>
        <w:rPr>
          <w:sz w:val="24"/>
          <w:szCs w:val="24"/>
        </w:rPr>
      </w:pPr>
    </w:p>
    <w:p w14:paraId="3EE91DCB" w14:textId="06BE43B0" w:rsidR="009F7CEB" w:rsidRPr="00BA0028" w:rsidRDefault="005F36CD" w:rsidP="62968F2C">
      <w:pPr>
        <w:overflowPunct w:val="0"/>
        <w:autoSpaceDE w:val="0"/>
        <w:autoSpaceDN w:val="0"/>
        <w:adjustRightInd w:val="0"/>
        <w:spacing w:line="276" w:lineRule="auto"/>
        <w:contextualSpacing/>
        <w:rPr>
          <w:sz w:val="24"/>
          <w:szCs w:val="24"/>
        </w:rPr>
      </w:pPr>
      <w:r w:rsidRPr="62968F2C">
        <w:rPr>
          <w:sz w:val="24"/>
          <w:szCs w:val="24"/>
        </w:rPr>
        <w:lastRenderedPageBreak/>
        <w:t>Además, pedir excusas en la forma ordenada por la tutelada, “deslegitima la actividad judicial y desnaturaliza y atenta contra el principio de autonomía e independencia judicial, regulada en el artículo 228 de la Constitución, al imponer a un tercero (sin función jurisdiccional) descalificar públicamente las providencias judiciales, lo cual irradia en la imagen que tiene el ciudadano frente a la Rama Judicial y mina la credibilidad frente a los administradores de justicia”</w:t>
      </w:r>
      <w:r w:rsidR="00DE403C" w:rsidRPr="00BA0028">
        <w:rPr>
          <w:rStyle w:val="FootnoteReference"/>
          <w:sz w:val="24"/>
          <w:szCs w:val="24"/>
          <w:lang w:val="es-MX" w:eastAsia="ja-JP"/>
        </w:rPr>
        <w:footnoteReference w:id="6"/>
      </w:r>
      <w:r w:rsidRPr="62968F2C">
        <w:rPr>
          <w:sz w:val="24"/>
          <w:szCs w:val="24"/>
        </w:rPr>
        <w:t>.</w:t>
      </w:r>
    </w:p>
    <w:p w14:paraId="1028D435" w14:textId="77777777" w:rsidR="009F7CEB" w:rsidRPr="00BA0028" w:rsidRDefault="009F7CEB" w:rsidP="62968F2C">
      <w:pPr>
        <w:overflowPunct w:val="0"/>
        <w:autoSpaceDE w:val="0"/>
        <w:autoSpaceDN w:val="0"/>
        <w:adjustRightInd w:val="0"/>
        <w:spacing w:line="276" w:lineRule="auto"/>
        <w:contextualSpacing/>
        <w:rPr>
          <w:sz w:val="24"/>
          <w:szCs w:val="24"/>
        </w:rPr>
      </w:pPr>
    </w:p>
    <w:p w14:paraId="0A83FA3B" w14:textId="4BBC4E39" w:rsidR="006F0A40" w:rsidRPr="00BA0028" w:rsidRDefault="0012085E" w:rsidP="00B73871">
      <w:pPr>
        <w:overflowPunct w:val="0"/>
        <w:autoSpaceDE w:val="0"/>
        <w:autoSpaceDN w:val="0"/>
        <w:adjustRightInd w:val="0"/>
        <w:spacing w:line="276" w:lineRule="auto"/>
        <w:contextualSpacing/>
        <w:rPr>
          <w:rFonts w:eastAsia="Times New Roman"/>
          <w:sz w:val="24"/>
          <w:szCs w:val="24"/>
          <w:lang w:eastAsia="es-ES"/>
        </w:rPr>
      </w:pPr>
      <w:r w:rsidRPr="62968F2C">
        <w:rPr>
          <w:b/>
          <w:bCs/>
          <w:sz w:val="24"/>
          <w:szCs w:val="24"/>
        </w:rPr>
        <w:t xml:space="preserve">4.3. </w:t>
      </w:r>
      <w:r w:rsidR="00EF717C" w:rsidRPr="62968F2C">
        <w:rPr>
          <w:sz w:val="24"/>
          <w:szCs w:val="24"/>
        </w:rPr>
        <w:t>L</w:t>
      </w:r>
      <w:r w:rsidR="00DB012C" w:rsidRPr="62968F2C">
        <w:rPr>
          <w:rFonts w:eastAsia="Times New Roman"/>
          <w:sz w:val="24"/>
          <w:szCs w:val="24"/>
          <w:lang w:eastAsia="es-ES"/>
        </w:rPr>
        <w:t>a orden</w:t>
      </w:r>
      <w:r w:rsidR="00EF717C" w:rsidRPr="62968F2C">
        <w:rPr>
          <w:rFonts w:eastAsia="Times New Roman"/>
          <w:sz w:val="24"/>
          <w:szCs w:val="24"/>
          <w:lang w:eastAsia="es-ES"/>
        </w:rPr>
        <w:t xml:space="preserve"> del numeral cuarto d</w:t>
      </w:r>
      <w:r w:rsidR="00DB012C" w:rsidRPr="62968F2C">
        <w:rPr>
          <w:rFonts w:eastAsia="Times New Roman"/>
          <w:sz w:val="24"/>
          <w:szCs w:val="24"/>
          <w:lang w:eastAsia="es-ES"/>
        </w:rPr>
        <w:t>el fallo de</w:t>
      </w:r>
      <w:r w:rsidR="00AC27FC" w:rsidRPr="62968F2C">
        <w:rPr>
          <w:rFonts w:eastAsia="Times New Roman"/>
          <w:sz w:val="24"/>
          <w:szCs w:val="24"/>
          <w:lang w:eastAsia="es-ES"/>
        </w:rPr>
        <w:t xml:space="preserve">l </w:t>
      </w:r>
      <w:r w:rsidR="00B30706" w:rsidRPr="62968F2C">
        <w:rPr>
          <w:rFonts w:eastAsia="Times New Roman"/>
          <w:sz w:val="24"/>
          <w:szCs w:val="24"/>
          <w:lang w:eastAsia="es-ES"/>
        </w:rPr>
        <w:t>19</w:t>
      </w:r>
      <w:r w:rsidR="00AC27FC" w:rsidRPr="62968F2C">
        <w:rPr>
          <w:rFonts w:eastAsia="Times New Roman"/>
          <w:sz w:val="24"/>
          <w:szCs w:val="24"/>
          <w:lang w:eastAsia="es-ES"/>
        </w:rPr>
        <w:t xml:space="preserve"> de </w:t>
      </w:r>
      <w:r w:rsidR="00B30706" w:rsidRPr="62968F2C">
        <w:rPr>
          <w:rFonts w:eastAsia="Times New Roman"/>
          <w:sz w:val="24"/>
          <w:szCs w:val="24"/>
          <w:lang w:eastAsia="es-ES"/>
        </w:rPr>
        <w:t>junio</w:t>
      </w:r>
      <w:r w:rsidR="00AC27FC" w:rsidRPr="62968F2C">
        <w:rPr>
          <w:rFonts w:eastAsia="Times New Roman"/>
          <w:sz w:val="24"/>
          <w:szCs w:val="24"/>
          <w:lang w:eastAsia="es-ES"/>
        </w:rPr>
        <w:t xml:space="preserve"> de 2020 vulneró el derecho fundamental</w:t>
      </w:r>
      <w:r w:rsidR="00DB012C" w:rsidRPr="62968F2C">
        <w:rPr>
          <w:rFonts w:eastAsia="Times New Roman"/>
          <w:sz w:val="24"/>
          <w:szCs w:val="24"/>
          <w:lang w:eastAsia="es-ES"/>
        </w:rPr>
        <w:t xml:space="preserve"> </w:t>
      </w:r>
      <w:r w:rsidR="00AC27FC" w:rsidRPr="62968F2C">
        <w:rPr>
          <w:rFonts w:eastAsia="Times New Roman"/>
          <w:sz w:val="24"/>
          <w:szCs w:val="24"/>
          <w:lang w:eastAsia="es-ES"/>
        </w:rPr>
        <w:t>al debido proceso</w:t>
      </w:r>
      <w:r w:rsidR="00DB012C" w:rsidRPr="62968F2C">
        <w:rPr>
          <w:rFonts w:eastAsia="Times New Roman"/>
          <w:sz w:val="24"/>
          <w:szCs w:val="24"/>
          <w:lang w:eastAsia="es-ES"/>
        </w:rPr>
        <w:t xml:space="preserve">, </w:t>
      </w:r>
      <w:r w:rsidR="00002075" w:rsidRPr="62968F2C">
        <w:rPr>
          <w:rFonts w:eastAsia="Times New Roman"/>
          <w:sz w:val="24"/>
          <w:szCs w:val="24"/>
          <w:lang w:eastAsia="es-ES"/>
        </w:rPr>
        <w:t xml:space="preserve">por cuanto </w:t>
      </w:r>
      <w:r w:rsidR="00DE02EA" w:rsidRPr="62968F2C">
        <w:rPr>
          <w:rFonts w:eastAsia="Times New Roman"/>
          <w:sz w:val="24"/>
          <w:szCs w:val="24"/>
          <w:lang w:eastAsia="es-ES"/>
        </w:rPr>
        <w:t>el juez ordinario de segunda instancia</w:t>
      </w:r>
      <w:r w:rsidR="00DB012C" w:rsidRPr="62968F2C">
        <w:rPr>
          <w:rFonts w:eastAsia="Times New Roman"/>
          <w:sz w:val="24"/>
          <w:szCs w:val="24"/>
          <w:lang w:eastAsia="es-ES"/>
        </w:rPr>
        <w:t xml:space="preserve"> </w:t>
      </w:r>
      <w:r w:rsidR="00C01CE2" w:rsidRPr="62968F2C">
        <w:rPr>
          <w:rFonts w:eastAsia="Times New Roman"/>
          <w:sz w:val="24"/>
          <w:szCs w:val="24"/>
          <w:lang w:eastAsia="es-ES"/>
        </w:rPr>
        <w:t xml:space="preserve">presumió los perjuicios al buen nombre, </w:t>
      </w:r>
      <w:r w:rsidR="00DE02EA" w:rsidRPr="62968F2C">
        <w:rPr>
          <w:rFonts w:eastAsia="Times New Roman"/>
          <w:sz w:val="24"/>
          <w:szCs w:val="24"/>
          <w:lang w:eastAsia="es-ES"/>
        </w:rPr>
        <w:t xml:space="preserve">no justificó, por lo menos sumariamente, la razón </w:t>
      </w:r>
      <w:r w:rsidR="00002075" w:rsidRPr="62968F2C">
        <w:rPr>
          <w:rFonts w:eastAsia="Times New Roman"/>
          <w:sz w:val="24"/>
          <w:szCs w:val="24"/>
          <w:lang w:eastAsia="es-ES"/>
        </w:rPr>
        <w:t>por la que concedió</w:t>
      </w:r>
      <w:r w:rsidR="00DE02EA" w:rsidRPr="62968F2C">
        <w:rPr>
          <w:rFonts w:eastAsia="Times New Roman"/>
          <w:sz w:val="24"/>
          <w:szCs w:val="24"/>
          <w:lang w:eastAsia="es-ES"/>
        </w:rPr>
        <w:t xml:space="preserve"> una medida resarcitoria no </w:t>
      </w:r>
      <w:proofErr w:type="gramStart"/>
      <w:r w:rsidR="00474FC3" w:rsidRPr="62968F2C">
        <w:rPr>
          <w:rFonts w:eastAsia="Times New Roman"/>
          <w:sz w:val="24"/>
          <w:szCs w:val="24"/>
          <w:lang w:eastAsia="es-ES"/>
        </w:rPr>
        <w:t>pecuniaria</w:t>
      </w:r>
      <w:r w:rsidR="005E17AB" w:rsidRPr="62968F2C">
        <w:rPr>
          <w:rFonts w:eastAsia="Times New Roman"/>
          <w:sz w:val="24"/>
          <w:szCs w:val="24"/>
          <w:lang w:eastAsia="es-ES"/>
        </w:rPr>
        <w:t>,</w:t>
      </w:r>
      <w:proofErr w:type="gramEnd"/>
      <w:r w:rsidR="00810080" w:rsidRPr="62968F2C">
        <w:rPr>
          <w:rFonts w:eastAsia="Times New Roman"/>
          <w:sz w:val="24"/>
          <w:szCs w:val="24"/>
          <w:lang w:eastAsia="es-ES"/>
        </w:rPr>
        <w:t xml:space="preserve"> no explicó su concreción</w:t>
      </w:r>
      <w:r w:rsidR="00DE02EA" w:rsidRPr="62968F2C">
        <w:rPr>
          <w:rFonts w:eastAsia="Times New Roman"/>
          <w:sz w:val="24"/>
          <w:szCs w:val="24"/>
          <w:lang w:eastAsia="es-ES"/>
        </w:rPr>
        <w:t xml:space="preserve"> y en</w:t>
      </w:r>
      <w:r w:rsidR="00C01CE2" w:rsidRPr="62968F2C">
        <w:rPr>
          <w:rFonts w:eastAsia="Times New Roman"/>
          <w:sz w:val="24"/>
          <w:szCs w:val="24"/>
          <w:lang w:eastAsia="es-ES"/>
        </w:rPr>
        <w:t xml:space="preserve"> el plenario </w:t>
      </w:r>
      <w:r w:rsidR="00DE02EA" w:rsidRPr="62968F2C">
        <w:rPr>
          <w:rFonts w:eastAsia="Times New Roman"/>
          <w:sz w:val="24"/>
          <w:szCs w:val="24"/>
          <w:lang w:eastAsia="es-ES"/>
        </w:rPr>
        <w:t>no obró</w:t>
      </w:r>
      <w:r w:rsidR="00C01CE2" w:rsidRPr="62968F2C">
        <w:rPr>
          <w:rFonts w:eastAsia="Times New Roman"/>
          <w:sz w:val="24"/>
          <w:szCs w:val="24"/>
          <w:lang w:eastAsia="es-ES"/>
        </w:rPr>
        <w:t xml:space="preserve"> prueba que lograra avizorar su ocurrencia</w:t>
      </w:r>
      <w:r w:rsidR="00EF717C" w:rsidRPr="62968F2C">
        <w:rPr>
          <w:rFonts w:eastAsia="Times New Roman"/>
          <w:sz w:val="24"/>
          <w:szCs w:val="24"/>
          <w:lang w:eastAsia="es-ES"/>
        </w:rPr>
        <w:t>, a</w:t>
      </w:r>
      <w:r w:rsidR="00C01CE2" w:rsidRPr="62968F2C">
        <w:rPr>
          <w:rFonts w:eastAsia="Times New Roman"/>
          <w:sz w:val="24"/>
          <w:szCs w:val="24"/>
          <w:lang w:eastAsia="es-ES"/>
        </w:rPr>
        <w:t xml:space="preserve">sí: </w:t>
      </w:r>
    </w:p>
    <w:p w14:paraId="60287C4C" w14:textId="77777777" w:rsidR="00C01CE2" w:rsidRPr="00BA0028" w:rsidRDefault="00C01CE2" w:rsidP="62968F2C">
      <w:pPr>
        <w:overflowPunct w:val="0"/>
        <w:autoSpaceDE w:val="0"/>
        <w:autoSpaceDN w:val="0"/>
        <w:adjustRightInd w:val="0"/>
        <w:spacing w:line="276" w:lineRule="auto"/>
        <w:contextualSpacing/>
        <w:rPr>
          <w:rFonts w:eastAsia="Times New Roman"/>
          <w:i/>
          <w:iCs/>
          <w:sz w:val="24"/>
          <w:szCs w:val="24"/>
          <w:lang w:eastAsia="es-ES"/>
        </w:rPr>
      </w:pPr>
    </w:p>
    <w:p w14:paraId="2A09FEED" w14:textId="7CA16389" w:rsidR="004E60D4" w:rsidRPr="00BA0028" w:rsidRDefault="00002075" w:rsidP="00B73871">
      <w:pPr>
        <w:overflowPunct w:val="0"/>
        <w:autoSpaceDE w:val="0"/>
        <w:autoSpaceDN w:val="0"/>
        <w:adjustRightInd w:val="0"/>
        <w:spacing w:line="276" w:lineRule="auto"/>
        <w:ind w:left="708" w:right="623"/>
        <w:contextualSpacing/>
        <w:rPr>
          <w:rFonts w:eastAsia="Times New Roman"/>
          <w:sz w:val="22"/>
          <w:szCs w:val="22"/>
          <w:lang w:eastAsia="es-ES"/>
        </w:rPr>
      </w:pPr>
      <w:r w:rsidRPr="62968F2C">
        <w:rPr>
          <w:sz w:val="22"/>
          <w:szCs w:val="22"/>
        </w:rPr>
        <w:t xml:space="preserve">En conclusión, NO existe sustentó </w:t>
      </w:r>
      <w:r w:rsidR="00390088" w:rsidRPr="62968F2C">
        <w:rPr>
          <w:sz w:val="22"/>
          <w:szCs w:val="22"/>
        </w:rPr>
        <w:t xml:space="preserve">[sic] </w:t>
      </w:r>
      <w:r w:rsidRPr="62968F2C">
        <w:rPr>
          <w:sz w:val="22"/>
          <w:szCs w:val="22"/>
        </w:rPr>
        <w:t>fáctico, probatorio ni jurídico para sostener esta condena respecto de la Rama judicial, pues las medidas de reparación deben ser correlativas, oportunas, pertinentes y adecuadas al daño generado, situación que no solamente no se analizó y ni siquiera se mencionó por parte del operador judicial</w:t>
      </w:r>
      <w:r w:rsidR="00DE403C" w:rsidRPr="00BA0028">
        <w:rPr>
          <w:rStyle w:val="FootnoteReference"/>
          <w:sz w:val="22"/>
          <w:szCs w:val="22"/>
          <w:lang w:val="es-MX" w:eastAsia="ja-JP"/>
        </w:rPr>
        <w:footnoteReference w:id="7"/>
      </w:r>
      <w:r w:rsidR="00C01CE2" w:rsidRPr="00BA0028">
        <w:rPr>
          <w:rFonts w:eastAsia="Times New Roman"/>
          <w:sz w:val="22"/>
          <w:szCs w:val="22"/>
          <w:lang w:eastAsia="es-ES"/>
        </w:rPr>
        <w:t>.</w:t>
      </w:r>
    </w:p>
    <w:p w14:paraId="4490F34A" w14:textId="5E2EE596" w:rsidR="00DB012C" w:rsidRPr="00BA0028" w:rsidRDefault="00002075" w:rsidP="00B73871">
      <w:pPr>
        <w:overflowPunct w:val="0"/>
        <w:autoSpaceDE w:val="0"/>
        <w:autoSpaceDN w:val="0"/>
        <w:adjustRightInd w:val="0"/>
        <w:spacing w:line="276" w:lineRule="auto"/>
        <w:contextualSpacing/>
        <w:rPr>
          <w:rFonts w:eastAsia="Times New Roman"/>
          <w:sz w:val="24"/>
          <w:szCs w:val="24"/>
          <w:lang w:eastAsia="es-ES"/>
        </w:rPr>
      </w:pPr>
      <w:r w:rsidRPr="62968F2C">
        <w:rPr>
          <w:rFonts w:eastAsia="Times New Roman"/>
          <w:sz w:val="24"/>
          <w:szCs w:val="24"/>
          <w:lang w:eastAsia="es-ES"/>
        </w:rPr>
        <w:t xml:space="preserve"> </w:t>
      </w:r>
    </w:p>
    <w:p w14:paraId="0BB019BA" w14:textId="0A7285AF" w:rsidR="004E60D4" w:rsidRPr="00BA0028" w:rsidRDefault="00810080" w:rsidP="00B73871">
      <w:pPr>
        <w:overflowPunct w:val="0"/>
        <w:autoSpaceDE w:val="0"/>
        <w:autoSpaceDN w:val="0"/>
        <w:adjustRightInd w:val="0"/>
        <w:spacing w:line="276" w:lineRule="auto"/>
        <w:contextualSpacing/>
        <w:rPr>
          <w:rFonts w:eastAsia="Times New Roman"/>
          <w:sz w:val="24"/>
          <w:szCs w:val="24"/>
          <w:lang w:eastAsia="es-ES"/>
        </w:rPr>
      </w:pPr>
      <w:r w:rsidRPr="00BA0028">
        <w:rPr>
          <w:rFonts w:eastAsia="Times New Roman"/>
          <w:sz w:val="24"/>
          <w:szCs w:val="24"/>
          <w:lang w:eastAsia="es-ES"/>
        </w:rPr>
        <w:t>E</w:t>
      </w:r>
      <w:r w:rsidR="004E60D4" w:rsidRPr="00BA0028">
        <w:rPr>
          <w:rFonts w:eastAsia="Times New Roman"/>
          <w:sz w:val="24"/>
          <w:szCs w:val="24"/>
          <w:lang w:eastAsia="es-ES"/>
        </w:rPr>
        <w:t xml:space="preserve">l </w:t>
      </w:r>
      <w:r w:rsidR="006930B3" w:rsidRPr="00BA0028">
        <w:rPr>
          <w:rFonts w:eastAsia="Times New Roman"/>
          <w:sz w:val="24"/>
          <w:szCs w:val="24"/>
          <w:lang w:eastAsia="es-ES"/>
        </w:rPr>
        <w:t>Consejo de Estado</w:t>
      </w:r>
      <w:r w:rsidR="009146FF" w:rsidRPr="00BA0028">
        <w:rPr>
          <w:rFonts w:eastAsia="Times New Roman"/>
          <w:sz w:val="24"/>
          <w:szCs w:val="24"/>
          <w:lang w:eastAsia="es-ES"/>
        </w:rPr>
        <w:t>,</w:t>
      </w:r>
      <w:r w:rsidR="004E60D4" w:rsidRPr="00BA0028">
        <w:rPr>
          <w:rFonts w:eastAsia="Times New Roman"/>
          <w:sz w:val="24"/>
          <w:szCs w:val="24"/>
          <w:lang w:eastAsia="es-ES"/>
        </w:rPr>
        <w:t xml:space="preserve"> </w:t>
      </w:r>
      <w:r w:rsidR="00D11E2D" w:rsidRPr="00BA0028">
        <w:rPr>
          <w:rFonts w:eastAsia="Times New Roman"/>
          <w:sz w:val="24"/>
          <w:szCs w:val="24"/>
          <w:lang w:eastAsia="es-ES"/>
        </w:rPr>
        <w:t>en su jurisprudencia</w:t>
      </w:r>
      <w:r w:rsidR="006930B3" w:rsidRPr="00BA0028">
        <w:rPr>
          <w:rStyle w:val="FootnoteReference"/>
          <w:rFonts w:eastAsia="Times New Roman"/>
          <w:sz w:val="24"/>
          <w:szCs w:val="24"/>
          <w:lang w:eastAsia="es-ES"/>
        </w:rPr>
        <w:footnoteReference w:id="8"/>
      </w:r>
      <w:r w:rsidR="009146FF" w:rsidRPr="00BA0028">
        <w:rPr>
          <w:rFonts w:eastAsia="Times New Roman"/>
          <w:sz w:val="24"/>
          <w:szCs w:val="24"/>
          <w:lang w:eastAsia="es-ES"/>
        </w:rPr>
        <w:t>,</w:t>
      </w:r>
      <w:r w:rsidR="00D11E2D" w:rsidRPr="00BA0028">
        <w:rPr>
          <w:rFonts w:eastAsia="Times New Roman"/>
          <w:sz w:val="24"/>
          <w:szCs w:val="24"/>
          <w:lang w:eastAsia="es-ES"/>
        </w:rPr>
        <w:t xml:space="preserve"> </w:t>
      </w:r>
      <w:r w:rsidR="006930B3" w:rsidRPr="00BA0028">
        <w:rPr>
          <w:rFonts w:eastAsia="Times New Roman"/>
          <w:sz w:val="24"/>
          <w:szCs w:val="24"/>
          <w:lang w:eastAsia="es-ES"/>
        </w:rPr>
        <w:t xml:space="preserve">ha destacado </w:t>
      </w:r>
      <w:r w:rsidR="004E60D4" w:rsidRPr="00BA0028">
        <w:rPr>
          <w:rFonts w:eastAsia="Times New Roman"/>
          <w:sz w:val="24"/>
          <w:szCs w:val="24"/>
          <w:lang w:eastAsia="es-ES"/>
        </w:rPr>
        <w:t>que incumbe a las partes probar el da</w:t>
      </w:r>
      <w:r w:rsidR="006930B3" w:rsidRPr="00BA0028">
        <w:rPr>
          <w:rFonts w:eastAsia="Times New Roman"/>
          <w:sz w:val="24"/>
          <w:szCs w:val="24"/>
          <w:lang w:eastAsia="es-ES"/>
        </w:rPr>
        <w:t>ño antijurídico que alegan, y la</w:t>
      </w:r>
      <w:r w:rsidR="004E60D4" w:rsidRPr="00BA0028">
        <w:rPr>
          <w:rFonts w:eastAsia="Times New Roman"/>
          <w:sz w:val="24"/>
          <w:szCs w:val="24"/>
          <w:lang w:eastAsia="es-ES"/>
        </w:rPr>
        <w:t xml:space="preserve"> omisión</w:t>
      </w:r>
      <w:r w:rsidR="006930B3" w:rsidRPr="00BA0028">
        <w:rPr>
          <w:rFonts w:eastAsia="Times New Roman"/>
          <w:sz w:val="24"/>
          <w:szCs w:val="24"/>
          <w:lang w:eastAsia="es-ES"/>
        </w:rPr>
        <w:t xml:space="preserve"> de este deber</w:t>
      </w:r>
      <w:r w:rsidR="004E60D4" w:rsidRPr="00BA0028">
        <w:rPr>
          <w:rFonts w:eastAsia="Times New Roman"/>
          <w:sz w:val="24"/>
          <w:szCs w:val="24"/>
          <w:lang w:eastAsia="es-ES"/>
        </w:rPr>
        <w:t xml:space="preserve"> impide el cumplimiento de uno de los requisitos de la responsabilidad, en los términos del artículo 90 Superior. </w:t>
      </w:r>
      <w:r w:rsidR="006930B3" w:rsidRPr="00BA0028">
        <w:rPr>
          <w:rFonts w:eastAsia="Times New Roman"/>
          <w:sz w:val="24"/>
          <w:szCs w:val="24"/>
          <w:lang w:eastAsia="es-ES"/>
        </w:rPr>
        <w:t>Además, dicha o</w:t>
      </w:r>
      <w:r w:rsidR="00B30706" w:rsidRPr="00BA0028">
        <w:rPr>
          <w:rFonts w:eastAsia="Times New Roman"/>
          <w:sz w:val="24"/>
          <w:szCs w:val="24"/>
          <w:lang w:eastAsia="es-ES"/>
        </w:rPr>
        <w:t>misión</w:t>
      </w:r>
      <w:r w:rsidR="0013220A" w:rsidRPr="00BA0028">
        <w:rPr>
          <w:rFonts w:eastAsia="Times New Roman"/>
          <w:sz w:val="24"/>
          <w:szCs w:val="24"/>
          <w:lang w:eastAsia="es-ES"/>
        </w:rPr>
        <w:t xml:space="preserve"> no puede ser suplida por el juez, ya que ello rompe el equilibrio de la relación procesal. </w:t>
      </w:r>
    </w:p>
    <w:p w14:paraId="5447F5D4" w14:textId="77777777" w:rsidR="00810080" w:rsidRPr="00BA0028" w:rsidRDefault="00810080" w:rsidP="00B73871">
      <w:pPr>
        <w:overflowPunct w:val="0"/>
        <w:autoSpaceDE w:val="0"/>
        <w:autoSpaceDN w:val="0"/>
        <w:adjustRightInd w:val="0"/>
        <w:spacing w:line="276" w:lineRule="auto"/>
        <w:contextualSpacing/>
        <w:rPr>
          <w:rFonts w:eastAsia="Times New Roman"/>
          <w:sz w:val="24"/>
          <w:szCs w:val="24"/>
          <w:lang w:eastAsia="es-ES"/>
        </w:rPr>
      </w:pPr>
    </w:p>
    <w:p w14:paraId="67AEBA3A" w14:textId="4A129056" w:rsidR="00810080" w:rsidRPr="00BA0028" w:rsidRDefault="006930B3" w:rsidP="62968F2C">
      <w:pPr>
        <w:overflowPunct w:val="0"/>
        <w:autoSpaceDE w:val="0"/>
        <w:autoSpaceDN w:val="0"/>
        <w:adjustRightInd w:val="0"/>
        <w:spacing w:line="276" w:lineRule="auto"/>
        <w:contextualSpacing/>
        <w:rPr>
          <w:sz w:val="24"/>
          <w:szCs w:val="24"/>
        </w:rPr>
      </w:pPr>
      <w:r w:rsidRPr="62968F2C">
        <w:rPr>
          <w:sz w:val="24"/>
          <w:szCs w:val="24"/>
        </w:rPr>
        <w:t>E</w:t>
      </w:r>
      <w:r w:rsidR="00810080" w:rsidRPr="62968F2C">
        <w:rPr>
          <w:sz w:val="24"/>
          <w:szCs w:val="24"/>
        </w:rPr>
        <w:t>n la sentencia de unificación del 28 de agosto de 2014</w:t>
      </w:r>
      <w:r w:rsidR="008965F9" w:rsidRPr="00BA0028">
        <w:rPr>
          <w:rStyle w:val="FootnoteReference"/>
          <w:rFonts w:eastAsia="Times New Roman"/>
          <w:sz w:val="24"/>
          <w:szCs w:val="24"/>
          <w:lang w:eastAsia="es-ES"/>
        </w:rPr>
        <w:footnoteReference w:id="9"/>
      </w:r>
      <w:r w:rsidR="00810080" w:rsidRPr="62968F2C">
        <w:rPr>
          <w:sz w:val="24"/>
          <w:szCs w:val="24"/>
        </w:rPr>
        <w:t>,</w:t>
      </w:r>
      <w:r w:rsidRPr="62968F2C">
        <w:rPr>
          <w:sz w:val="24"/>
          <w:szCs w:val="24"/>
        </w:rPr>
        <w:t xml:space="preserve"> el Consejo de Estado</w:t>
      </w:r>
      <w:r w:rsidR="00810080" w:rsidRPr="62968F2C">
        <w:rPr>
          <w:sz w:val="24"/>
          <w:szCs w:val="24"/>
        </w:rPr>
        <w:t xml:space="preserve"> reiteró los criterios de la providencia del 14 de septiembre de 2011</w:t>
      </w:r>
      <w:r w:rsidR="00027C9A" w:rsidRPr="62968F2C">
        <w:rPr>
          <w:rStyle w:val="FootnoteReference"/>
          <w:sz w:val="24"/>
          <w:szCs w:val="24"/>
        </w:rPr>
        <w:footnoteReference w:id="10"/>
      </w:r>
      <w:r w:rsidR="00810080" w:rsidRPr="62968F2C">
        <w:rPr>
          <w:sz w:val="24"/>
          <w:szCs w:val="24"/>
        </w:rPr>
        <w:t xml:space="preserve">, </w:t>
      </w:r>
      <w:r w:rsidR="00725404" w:rsidRPr="62968F2C">
        <w:rPr>
          <w:sz w:val="24"/>
          <w:szCs w:val="24"/>
        </w:rPr>
        <w:t xml:space="preserve">en la que </w:t>
      </w:r>
      <w:r w:rsidR="00810080" w:rsidRPr="62968F2C">
        <w:rPr>
          <w:sz w:val="24"/>
          <w:szCs w:val="24"/>
        </w:rPr>
        <w:t>sostuvo que las afectaciones a los bienes y derechos constitucionalmente protegidos</w:t>
      </w:r>
      <w:r w:rsidR="009667AF" w:rsidRPr="62968F2C">
        <w:rPr>
          <w:sz w:val="24"/>
          <w:szCs w:val="24"/>
        </w:rPr>
        <w:t xml:space="preserve">, </w:t>
      </w:r>
      <w:r w:rsidR="0097339E" w:rsidRPr="62968F2C">
        <w:rPr>
          <w:sz w:val="24"/>
          <w:szCs w:val="24"/>
        </w:rPr>
        <w:t>entre</w:t>
      </w:r>
      <w:r w:rsidR="009667AF" w:rsidRPr="62968F2C">
        <w:rPr>
          <w:sz w:val="24"/>
          <w:szCs w:val="24"/>
        </w:rPr>
        <w:t xml:space="preserve"> los que se encuentra el derecho al buen nombre,</w:t>
      </w:r>
      <w:r w:rsidR="00810080" w:rsidRPr="62968F2C">
        <w:rPr>
          <w:sz w:val="24"/>
          <w:szCs w:val="24"/>
        </w:rPr>
        <w:t xml:space="preserve"> deben ser reconocidas dentro de una tercera categoría de daños inmateriales, siempre y cuando se cumplan con unas características y parámetros</w:t>
      </w:r>
      <w:r w:rsidRPr="62968F2C">
        <w:rPr>
          <w:sz w:val="24"/>
          <w:szCs w:val="24"/>
        </w:rPr>
        <w:t xml:space="preserve">; </w:t>
      </w:r>
      <w:r w:rsidR="00810080" w:rsidRPr="62968F2C">
        <w:rPr>
          <w:sz w:val="24"/>
          <w:szCs w:val="24"/>
        </w:rPr>
        <w:t xml:space="preserve">estén acreditadas en el </w:t>
      </w:r>
      <w:r w:rsidRPr="62968F2C">
        <w:rPr>
          <w:sz w:val="24"/>
          <w:szCs w:val="24"/>
        </w:rPr>
        <w:t>respectivo proceso;</w:t>
      </w:r>
      <w:r w:rsidR="00810080" w:rsidRPr="62968F2C">
        <w:rPr>
          <w:sz w:val="24"/>
          <w:szCs w:val="24"/>
        </w:rPr>
        <w:t xml:space="preserve"> se verifique su concreción y se precise su reparación integral. </w:t>
      </w:r>
    </w:p>
    <w:p w14:paraId="1A359209" w14:textId="77777777" w:rsidR="00F111EE" w:rsidRPr="00BA0028" w:rsidRDefault="00F111EE" w:rsidP="62968F2C">
      <w:pPr>
        <w:overflowPunct w:val="0"/>
        <w:autoSpaceDE w:val="0"/>
        <w:autoSpaceDN w:val="0"/>
        <w:adjustRightInd w:val="0"/>
        <w:spacing w:line="276" w:lineRule="auto"/>
        <w:contextualSpacing/>
        <w:rPr>
          <w:sz w:val="24"/>
          <w:szCs w:val="24"/>
        </w:rPr>
      </w:pPr>
    </w:p>
    <w:p w14:paraId="3346ACCB" w14:textId="77777777" w:rsidR="00F111EE" w:rsidRPr="00BA0028" w:rsidRDefault="00F111EE" w:rsidP="00B73871">
      <w:pPr>
        <w:overflowPunct w:val="0"/>
        <w:autoSpaceDE w:val="0"/>
        <w:autoSpaceDN w:val="0"/>
        <w:adjustRightInd w:val="0"/>
        <w:spacing w:line="276" w:lineRule="auto"/>
        <w:contextualSpacing/>
        <w:rPr>
          <w:sz w:val="24"/>
          <w:szCs w:val="24"/>
        </w:rPr>
      </w:pPr>
      <w:r w:rsidRPr="62968F2C">
        <w:rPr>
          <w:sz w:val="24"/>
          <w:szCs w:val="24"/>
        </w:rPr>
        <w:t xml:space="preserve">4.4. La orden emitida en el numeral cuarto de la sentencia de segunda instancia vulneró el principio de </w:t>
      </w:r>
      <w:r w:rsidRPr="62968F2C">
        <w:rPr>
          <w:i/>
          <w:iCs/>
          <w:sz w:val="24"/>
          <w:szCs w:val="24"/>
        </w:rPr>
        <w:t xml:space="preserve">non </w:t>
      </w:r>
      <w:proofErr w:type="spellStart"/>
      <w:r w:rsidRPr="62968F2C">
        <w:rPr>
          <w:i/>
          <w:iCs/>
          <w:sz w:val="24"/>
          <w:szCs w:val="24"/>
        </w:rPr>
        <w:t>reformatio</w:t>
      </w:r>
      <w:proofErr w:type="spellEnd"/>
      <w:r w:rsidRPr="62968F2C">
        <w:rPr>
          <w:i/>
          <w:iCs/>
          <w:sz w:val="24"/>
          <w:szCs w:val="24"/>
        </w:rPr>
        <w:t xml:space="preserve"> in </w:t>
      </w:r>
      <w:proofErr w:type="spellStart"/>
      <w:r w:rsidRPr="62968F2C">
        <w:rPr>
          <w:i/>
          <w:iCs/>
          <w:sz w:val="24"/>
          <w:szCs w:val="24"/>
        </w:rPr>
        <w:t>pejus</w:t>
      </w:r>
      <w:proofErr w:type="spellEnd"/>
      <w:r w:rsidRPr="62968F2C">
        <w:rPr>
          <w:sz w:val="24"/>
          <w:szCs w:val="24"/>
        </w:rPr>
        <w:t xml:space="preserve">, puesto que la Nación- Rama Judicial fungió como apelante único ante el Tribunal que ordenó el resarcimiento de un perjuicio que no fue reconocido en la sentencia de primera instancia, por lo que desmejoró su situación frente a la condena emitida por el </w:t>
      </w:r>
      <w:r w:rsidRPr="62968F2C">
        <w:rPr>
          <w:i/>
          <w:iCs/>
          <w:sz w:val="24"/>
          <w:szCs w:val="24"/>
        </w:rPr>
        <w:t>a quo</w:t>
      </w:r>
      <w:r w:rsidRPr="62968F2C">
        <w:rPr>
          <w:sz w:val="24"/>
          <w:szCs w:val="24"/>
        </w:rPr>
        <w:t xml:space="preserve">. </w:t>
      </w:r>
    </w:p>
    <w:p w14:paraId="2584C35B" w14:textId="77777777" w:rsidR="00F111EE" w:rsidRPr="00BA0028" w:rsidRDefault="00F111EE" w:rsidP="00B73871">
      <w:pPr>
        <w:overflowPunct w:val="0"/>
        <w:autoSpaceDE w:val="0"/>
        <w:autoSpaceDN w:val="0"/>
        <w:adjustRightInd w:val="0"/>
        <w:spacing w:line="276" w:lineRule="auto"/>
        <w:contextualSpacing/>
        <w:rPr>
          <w:sz w:val="24"/>
          <w:szCs w:val="24"/>
        </w:rPr>
      </w:pPr>
    </w:p>
    <w:p w14:paraId="5DE4D0FE" w14:textId="5F686835" w:rsidR="009E3ECE" w:rsidRPr="00BA0028" w:rsidRDefault="009E3ECE" w:rsidP="62968F2C">
      <w:pPr>
        <w:pStyle w:val="ListParagraph"/>
        <w:numPr>
          <w:ilvl w:val="0"/>
          <w:numId w:val="3"/>
        </w:numPr>
        <w:overflowPunct w:val="0"/>
        <w:autoSpaceDE w:val="0"/>
        <w:autoSpaceDN w:val="0"/>
        <w:adjustRightInd w:val="0"/>
        <w:spacing w:line="276" w:lineRule="auto"/>
        <w:rPr>
          <w:rFonts w:ascii="Arial" w:eastAsia="Times New Roman" w:hAnsi="Arial" w:cs="Arial"/>
          <w:b/>
          <w:bCs/>
          <w:lang w:eastAsia="es-ES"/>
        </w:rPr>
      </w:pPr>
      <w:r w:rsidRPr="62968F2C">
        <w:rPr>
          <w:rFonts w:ascii="Arial" w:hAnsi="Arial" w:cs="Arial"/>
          <w:b/>
          <w:bCs/>
        </w:rPr>
        <w:t xml:space="preserve">Trámite de tutela e intervenciones  </w:t>
      </w:r>
    </w:p>
    <w:p w14:paraId="531E15CB" w14:textId="77777777" w:rsidR="00DB6618" w:rsidRPr="00BA0028" w:rsidRDefault="00DB6618" w:rsidP="62968F2C">
      <w:pPr>
        <w:overflowPunct w:val="0"/>
        <w:autoSpaceDE w:val="0"/>
        <w:autoSpaceDN w:val="0"/>
        <w:adjustRightInd w:val="0"/>
        <w:spacing w:line="276" w:lineRule="auto"/>
        <w:contextualSpacing/>
        <w:rPr>
          <w:rFonts w:eastAsia="Times New Roman"/>
          <w:b/>
          <w:bCs/>
          <w:sz w:val="24"/>
          <w:szCs w:val="24"/>
          <w:lang w:eastAsia="es-ES"/>
        </w:rPr>
      </w:pPr>
    </w:p>
    <w:p w14:paraId="6BCB7052" w14:textId="79437E27" w:rsidR="009B561A" w:rsidRPr="00BA0028" w:rsidRDefault="00865650" w:rsidP="62968F2C">
      <w:pPr>
        <w:pStyle w:val="ListParagraph"/>
        <w:numPr>
          <w:ilvl w:val="1"/>
          <w:numId w:val="3"/>
        </w:numPr>
        <w:tabs>
          <w:tab w:val="left" w:pos="426"/>
        </w:tabs>
        <w:overflowPunct w:val="0"/>
        <w:autoSpaceDE w:val="0"/>
        <w:autoSpaceDN w:val="0"/>
        <w:adjustRightInd w:val="0"/>
        <w:spacing w:line="276" w:lineRule="auto"/>
        <w:ind w:left="0" w:hanging="11"/>
        <w:jc w:val="both"/>
        <w:rPr>
          <w:rFonts w:ascii="Arial" w:eastAsia="Times New Roman" w:hAnsi="Arial" w:cs="Arial"/>
          <w:lang w:eastAsia="es-ES"/>
        </w:rPr>
      </w:pPr>
      <w:r w:rsidRPr="62968F2C">
        <w:rPr>
          <w:rFonts w:ascii="Arial" w:eastAsia="Times New Roman" w:hAnsi="Arial" w:cs="Arial"/>
          <w:lang w:eastAsia="es-ES"/>
        </w:rPr>
        <w:t xml:space="preserve"> </w:t>
      </w:r>
      <w:r w:rsidR="00E911C1" w:rsidRPr="62968F2C">
        <w:rPr>
          <w:rFonts w:ascii="Arial" w:eastAsia="Times New Roman" w:hAnsi="Arial" w:cs="Arial"/>
          <w:lang w:eastAsia="es-ES"/>
        </w:rPr>
        <w:t>El Despacho del m</w:t>
      </w:r>
      <w:r w:rsidR="009E3ECE" w:rsidRPr="62968F2C">
        <w:rPr>
          <w:rFonts w:ascii="Arial" w:eastAsia="Times New Roman" w:hAnsi="Arial" w:cs="Arial"/>
          <w:lang w:eastAsia="es-ES"/>
        </w:rPr>
        <w:t>ag</w:t>
      </w:r>
      <w:r w:rsidR="00262F14" w:rsidRPr="62968F2C">
        <w:rPr>
          <w:rFonts w:ascii="Arial" w:eastAsia="Times New Roman" w:hAnsi="Arial" w:cs="Arial"/>
          <w:lang w:eastAsia="es-ES"/>
        </w:rPr>
        <w:t>istrado ponente, con auto del 16</w:t>
      </w:r>
      <w:r w:rsidR="009E3ECE" w:rsidRPr="62968F2C">
        <w:rPr>
          <w:rFonts w:ascii="Arial" w:eastAsia="Times New Roman" w:hAnsi="Arial" w:cs="Arial"/>
          <w:lang w:eastAsia="es-ES"/>
        </w:rPr>
        <w:t xml:space="preserve"> de </w:t>
      </w:r>
      <w:r w:rsidR="00262F14" w:rsidRPr="62968F2C">
        <w:rPr>
          <w:rFonts w:ascii="Arial" w:eastAsia="Times New Roman" w:hAnsi="Arial" w:cs="Arial"/>
          <w:lang w:eastAsia="es-ES"/>
        </w:rPr>
        <w:t>diciembre</w:t>
      </w:r>
      <w:r w:rsidR="00BC77DA" w:rsidRPr="62968F2C">
        <w:rPr>
          <w:rFonts w:ascii="Arial" w:eastAsia="Times New Roman" w:hAnsi="Arial" w:cs="Arial"/>
          <w:lang w:eastAsia="es-ES"/>
        </w:rPr>
        <w:t xml:space="preserve"> de </w:t>
      </w:r>
      <w:r w:rsidR="009E3ECE" w:rsidRPr="62968F2C">
        <w:rPr>
          <w:rFonts w:ascii="Arial" w:eastAsia="Times New Roman" w:hAnsi="Arial" w:cs="Arial"/>
          <w:lang w:eastAsia="es-ES"/>
        </w:rPr>
        <w:t>2020</w:t>
      </w:r>
      <w:r w:rsidR="00CB4C21" w:rsidRPr="62968F2C">
        <w:rPr>
          <w:rStyle w:val="FootnoteReference"/>
          <w:rFonts w:ascii="Arial" w:eastAsia="Times New Roman" w:hAnsi="Arial" w:cs="Arial"/>
          <w:lang w:eastAsia="es-ES"/>
        </w:rPr>
        <w:footnoteReference w:id="11"/>
      </w:r>
      <w:r w:rsidRPr="62968F2C">
        <w:rPr>
          <w:rFonts w:ascii="Arial" w:eastAsia="Times New Roman" w:hAnsi="Arial" w:cs="Arial"/>
          <w:lang w:eastAsia="es-ES"/>
        </w:rPr>
        <w:t>, admitió la solicitud de amparo;</w:t>
      </w:r>
      <w:r w:rsidR="009E3ECE" w:rsidRPr="62968F2C">
        <w:rPr>
          <w:rFonts w:ascii="Arial" w:eastAsia="Times New Roman" w:hAnsi="Arial" w:cs="Arial"/>
          <w:lang w:eastAsia="es-ES"/>
        </w:rPr>
        <w:t xml:space="preserve"> vinculó a</w:t>
      </w:r>
      <w:r w:rsidRPr="62968F2C">
        <w:rPr>
          <w:rFonts w:ascii="Arial" w:eastAsia="Times New Roman" w:hAnsi="Arial" w:cs="Arial"/>
          <w:lang w:eastAsia="es-ES"/>
        </w:rPr>
        <w:t xml:space="preserve">l Tribunal Administrativo del Cesar </w:t>
      </w:r>
      <w:r w:rsidRPr="00BA0028">
        <w:rPr>
          <w:rFonts w:ascii="Arial" w:hAnsi="Arial" w:cs="Arial"/>
        </w:rPr>
        <w:t>y a todos lo</w:t>
      </w:r>
      <w:r w:rsidR="009B561A" w:rsidRPr="00BA0028">
        <w:rPr>
          <w:rFonts w:ascii="Arial" w:hAnsi="Arial" w:cs="Arial"/>
        </w:rPr>
        <w:t>s de</w:t>
      </w:r>
      <w:r w:rsidRPr="00BA0028">
        <w:rPr>
          <w:rFonts w:ascii="Arial" w:hAnsi="Arial" w:cs="Arial"/>
        </w:rPr>
        <w:t xml:space="preserve">mandantes </w:t>
      </w:r>
      <w:r w:rsidR="009B561A" w:rsidRPr="00BA0028">
        <w:rPr>
          <w:rFonts w:ascii="Arial" w:hAnsi="Arial" w:cs="Arial"/>
        </w:rPr>
        <w:t xml:space="preserve">dentro del proceso de reparación directa con radicado </w:t>
      </w:r>
      <w:r w:rsidRPr="00BA0028">
        <w:rPr>
          <w:rFonts w:ascii="Arial" w:hAnsi="Arial" w:cs="Arial"/>
        </w:rPr>
        <w:t>20001-23-31-000-2011-00616-01</w:t>
      </w:r>
      <w:r w:rsidR="009B561A" w:rsidRPr="00BA0028">
        <w:rPr>
          <w:rFonts w:ascii="Arial" w:hAnsi="Arial" w:cs="Arial"/>
        </w:rPr>
        <w:t xml:space="preserve">; ordenó al Tribunal Administrativo del </w:t>
      </w:r>
      <w:r w:rsidRPr="00BA0028">
        <w:rPr>
          <w:rFonts w:ascii="Arial" w:hAnsi="Arial" w:cs="Arial"/>
        </w:rPr>
        <w:t xml:space="preserve">Cesar remitir a este proceso el escrito </w:t>
      </w:r>
      <w:r w:rsidR="006930B3" w:rsidRPr="00BA0028">
        <w:rPr>
          <w:rFonts w:ascii="Arial" w:hAnsi="Arial" w:cs="Arial"/>
        </w:rPr>
        <w:t xml:space="preserve">de </w:t>
      </w:r>
      <w:r w:rsidR="009B561A" w:rsidRPr="00BA0028">
        <w:rPr>
          <w:rFonts w:ascii="Arial" w:hAnsi="Arial" w:cs="Arial"/>
        </w:rPr>
        <w:t>la demanda</w:t>
      </w:r>
      <w:r w:rsidRPr="00BA0028">
        <w:rPr>
          <w:rFonts w:ascii="Arial" w:hAnsi="Arial" w:cs="Arial"/>
        </w:rPr>
        <w:t xml:space="preserve"> de reparación directa y un informe con los nombres de las personas que integraron la parte demandante, la parte demandada y los terceros interesados</w:t>
      </w:r>
      <w:r w:rsidR="00711CA6" w:rsidRPr="00BA0028">
        <w:rPr>
          <w:rFonts w:ascii="Arial" w:hAnsi="Arial" w:cs="Arial"/>
        </w:rPr>
        <w:t>; accedió a la solicitud de medida provisional</w:t>
      </w:r>
      <w:r w:rsidR="00711CA6" w:rsidRPr="00BA0028">
        <w:rPr>
          <w:rStyle w:val="FootnoteReference"/>
          <w:rFonts w:ascii="Arial" w:hAnsi="Arial" w:cs="Arial"/>
        </w:rPr>
        <w:footnoteReference w:id="12"/>
      </w:r>
      <w:r w:rsidR="006C5DE5" w:rsidRPr="00BA0028">
        <w:rPr>
          <w:rFonts w:ascii="Arial" w:hAnsi="Arial" w:cs="Arial"/>
        </w:rPr>
        <w:t xml:space="preserve">; </w:t>
      </w:r>
      <w:r w:rsidRPr="00BA0028">
        <w:rPr>
          <w:rFonts w:ascii="Arial" w:hAnsi="Arial" w:cs="Arial"/>
        </w:rPr>
        <w:t xml:space="preserve">y </w:t>
      </w:r>
      <w:r w:rsidR="006C5DE5" w:rsidRPr="00BA0028">
        <w:rPr>
          <w:rFonts w:ascii="Arial" w:hAnsi="Arial" w:cs="Arial"/>
        </w:rPr>
        <w:t>suspendió los términos de la presente acción constituciona</w:t>
      </w:r>
      <w:r w:rsidRPr="00BA0028">
        <w:rPr>
          <w:rFonts w:ascii="Arial" w:hAnsi="Arial" w:cs="Arial"/>
        </w:rPr>
        <w:t>l</w:t>
      </w:r>
      <w:r w:rsidR="006C5DE5" w:rsidRPr="00BA0028">
        <w:rPr>
          <w:rFonts w:ascii="Arial" w:hAnsi="Arial" w:cs="Arial"/>
        </w:rPr>
        <w:t>.</w:t>
      </w:r>
    </w:p>
    <w:p w14:paraId="6A957161" w14:textId="77777777" w:rsidR="009E3ECE" w:rsidRPr="00BA0028" w:rsidRDefault="009E3ECE" w:rsidP="62968F2C">
      <w:pPr>
        <w:overflowPunct w:val="0"/>
        <w:autoSpaceDE w:val="0"/>
        <w:autoSpaceDN w:val="0"/>
        <w:adjustRightInd w:val="0"/>
        <w:spacing w:line="276" w:lineRule="auto"/>
        <w:contextualSpacing/>
        <w:rPr>
          <w:b/>
          <w:bCs/>
          <w:sz w:val="24"/>
          <w:szCs w:val="24"/>
        </w:rPr>
      </w:pPr>
    </w:p>
    <w:p w14:paraId="79E1A100" w14:textId="2EC38578" w:rsidR="00241A20" w:rsidRPr="00BA0028" w:rsidRDefault="006930B3" w:rsidP="00B73871">
      <w:pPr>
        <w:autoSpaceDE w:val="0"/>
        <w:autoSpaceDN w:val="0"/>
        <w:adjustRightInd w:val="0"/>
        <w:spacing w:line="276" w:lineRule="auto"/>
        <w:rPr>
          <w:sz w:val="24"/>
          <w:szCs w:val="24"/>
          <w:lang w:val="es-MX" w:eastAsia="ja-JP"/>
        </w:rPr>
      </w:pPr>
      <w:r w:rsidRPr="62968F2C">
        <w:rPr>
          <w:b/>
          <w:bCs/>
          <w:sz w:val="24"/>
          <w:szCs w:val="24"/>
          <w:lang w:val="es-MX" w:eastAsia="ja-JP"/>
        </w:rPr>
        <w:t>5</w:t>
      </w:r>
      <w:r w:rsidR="009E3ECE" w:rsidRPr="62968F2C">
        <w:rPr>
          <w:b/>
          <w:bCs/>
          <w:sz w:val="24"/>
          <w:szCs w:val="24"/>
          <w:lang w:val="es-MX" w:eastAsia="ja-JP"/>
        </w:rPr>
        <w:t>.2.</w:t>
      </w:r>
      <w:r w:rsidR="00F8566B" w:rsidRPr="00BA0028">
        <w:rPr>
          <w:sz w:val="24"/>
          <w:szCs w:val="24"/>
          <w:lang w:val="es-MX" w:eastAsia="ja-JP"/>
        </w:rPr>
        <w:t xml:space="preserve"> </w:t>
      </w:r>
      <w:r w:rsidR="005776A6" w:rsidRPr="00BA0028">
        <w:rPr>
          <w:sz w:val="24"/>
          <w:szCs w:val="24"/>
          <w:lang w:val="es-MX" w:eastAsia="ja-JP"/>
        </w:rPr>
        <w:t xml:space="preserve">El despacho </w:t>
      </w:r>
      <w:r w:rsidR="00A323E4" w:rsidRPr="00BA0028">
        <w:rPr>
          <w:sz w:val="24"/>
          <w:szCs w:val="24"/>
          <w:lang w:val="es-MX" w:eastAsia="ja-JP"/>
        </w:rPr>
        <w:t xml:space="preserve">de la Sección Tercera, Subsección B del Consejo de Estado, </w:t>
      </w:r>
      <w:r w:rsidR="005776A6" w:rsidRPr="00BA0028">
        <w:rPr>
          <w:sz w:val="24"/>
          <w:szCs w:val="24"/>
          <w:lang w:val="es-MX" w:eastAsia="ja-JP"/>
        </w:rPr>
        <w:t xml:space="preserve">ponente </w:t>
      </w:r>
      <w:r w:rsidR="00A323E4" w:rsidRPr="00BA0028">
        <w:rPr>
          <w:sz w:val="24"/>
          <w:szCs w:val="24"/>
          <w:lang w:val="es-MX" w:eastAsia="ja-JP"/>
        </w:rPr>
        <w:t xml:space="preserve">de la providencia atacada, </w:t>
      </w:r>
      <w:r w:rsidR="005776A6" w:rsidRPr="00BA0028">
        <w:rPr>
          <w:sz w:val="24"/>
          <w:szCs w:val="24"/>
          <w:lang w:val="es-MX" w:eastAsia="ja-JP"/>
        </w:rPr>
        <w:t>presentó informe, en el que señaló que la orden de reparación no pecuniaria se emitió debido a que se encontró acreditado el daño causado por la privación injusta de la libertad del demandante, así como la afectación al buen nombre derivada de este, por lo que la sentencia no incurrió en ninguno de los defectos alegados en el escrito de tutela</w:t>
      </w:r>
      <w:r w:rsidR="005776A6" w:rsidRPr="00BA0028">
        <w:rPr>
          <w:rStyle w:val="FootnoteReference"/>
          <w:sz w:val="24"/>
          <w:szCs w:val="24"/>
          <w:lang w:val="es-MX" w:eastAsia="ja-JP"/>
        </w:rPr>
        <w:footnoteReference w:id="13"/>
      </w:r>
      <w:r w:rsidR="00765A01">
        <w:rPr>
          <w:sz w:val="24"/>
          <w:szCs w:val="24"/>
          <w:lang w:val="es-MX" w:eastAsia="ja-JP"/>
        </w:rPr>
        <w:t>.</w:t>
      </w:r>
      <w:r w:rsidR="005776A6" w:rsidRPr="00BA0028">
        <w:rPr>
          <w:sz w:val="24"/>
          <w:szCs w:val="24"/>
          <w:lang w:val="es-MX" w:eastAsia="ja-JP"/>
        </w:rPr>
        <w:t xml:space="preserve"> </w:t>
      </w:r>
    </w:p>
    <w:p w14:paraId="75BF1321" w14:textId="77777777" w:rsidR="009D368B" w:rsidRPr="00BA0028" w:rsidRDefault="009D368B" w:rsidP="00B73871">
      <w:pPr>
        <w:autoSpaceDE w:val="0"/>
        <w:autoSpaceDN w:val="0"/>
        <w:adjustRightInd w:val="0"/>
        <w:spacing w:line="276" w:lineRule="auto"/>
        <w:rPr>
          <w:sz w:val="24"/>
          <w:szCs w:val="24"/>
          <w:lang w:val="es-ES" w:eastAsia="ja-JP"/>
        </w:rPr>
      </w:pPr>
    </w:p>
    <w:p w14:paraId="6C51A93B" w14:textId="77777777" w:rsidR="00A323E4" w:rsidRPr="00BA0028" w:rsidRDefault="00A323E4" w:rsidP="00B73871">
      <w:pPr>
        <w:autoSpaceDE w:val="0"/>
        <w:autoSpaceDN w:val="0"/>
        <w:adjustRightInd w:val="0"/>
        <w:spacing w:line="276" w:lineRule="auto"/>
        <w:rPr>
          <w:sz w:val="24"/>
          <w:szCs w:val="24"/>
          <w:lang w:val="es-ES" w:eastAsia="ja-JP"/>
        </w:rPr>
      </w:pPr>
    </w:p>
    <w:p w14:paraId="2DA9C0B1" w14:textId="5F8D06C5" w:rsidR="006155A3" w:rsidRPr="00BA0028" w:rsidRDefault="000C5DB7" w:rsidP="62968F2C">
      <w:pPr>
        <w:pStyle w:val="Heading1"/>
        <w:spacing w:before="0" w:after="0"/>
        <w:rPr>
          <w:rFonts w:cs="Arial"/>
          <w:lang w:val="es-ES"/>
        </w:rPr>
      </w:pPr>
      <w:r w:rsidRPr="62968F2C">
        <w:rPr>
          <w:rFonts w:cs="Arial"/>
          <w:lang w:val="es-ES"/>
        </w:rPr>
        <w:t>CONSIDERACIONES</w:t>
      </w:r>
    </w:p>
    <w:p w14:paraId="4049A947" w14:textId="77777777" w:rsidR="006155A3" w:rsidRPr="00BA0028" w:rsidRDefault="006155A3" w:rsidP="62968F2C">
      <w:pPr>
        <w:spacing w:line="276" w:lineRule="auto"/>
        <w:rPr>
          <w:sz w:val="24"/>
          <w:szCs w:val="24"/>
          <w:lang w:val="es-ES"/>
        </w:rPr>
      </w:pPr>
    </w:p>
    <w:p w14:paraId="4101652C" w14:textId="55031700" w:rsidR="000C5DB7" w:rsidRPr="00BA0028" w:rsidRDefault="000C5DB7" w:rsidP="62968F2C">
      <w:pPr>
        <w:numPr>
          <w:ilvl w:val="0"/>
          <w:numId w:val="1"/>
        </w:numPr>
        <w:tabs>
          <w:tab w:val="left" w:pos="426"/>
        </w:tabs>
        <w:spacing w:line="276" w:lineRule="auto"/>
        <w:ind w:left="0" w:firstLine="0"/>
        <w:contextualSpacing/>
        <w:rPr>
          <w:b/>
          <w:bCs/>
          <w:sz w:val="24"/>
          <w:szCs w:val="24"/>
          <w:lang w:val="es-ES"/>
        </w:rPr>
      </w:pPr>
      <w:r w:rsidRPr="62968F2C">
        <w:rPr>
          <w:b/>
          <w:bCs/>
          <w:sz w:val="24"/>
          <w:szCs w:val="24"/>
          <w:lang w:val="es-ES"/>
        </w:rPr>
        <w:t>Competencia</w:t>
      </w:r>
    </w:p>
    <w:p w14:paraId="729641CD" w14:textId="77777777" w:rsidR="006E742C" w:rsidRPr="00BA0028" w:rsidRDefault="006E742C" w:rsidP="62968F2C">
      <w:pPr>
        <w:tabs>
          <w:tab w:val="left" w:pos="426"/>
        </w:tabs>
        <w:spacing w:line="276" w:lineRule="auto"/>
        <w:contextualSpacing/>
        <w:rPr>
          <w:b/>
          <w:bCs/>
          <w:sz w:val="24"/>
          <w:szCs w:val="24"/>
          <w:lang w:val="es-ES"/>
        </w:rPr>
      </w:pPr>
    </w:p>
    <w:p w14:paraId="23384028" w14:textId="77777777" w:rsidR="00D51DED" w:rsidRPr="00BA0028" w:rsidRDefault="00D51DED" w:rsidP="00B73871">
      <w:pPr>
        <w:pStyle w:val="ListParagraph"/>
        <w:spacing w:line="276" w:lineRule="auto"/>
        <w:ind w:left="0"/>
        <w:jc w:val="both"/>
        <w:rPr>
          <w:rFonts w:ascii="Arial" w:hAnsi="Arial" w:cs="Arial"/>
        </w:rPr>
      </w:pPr>
      <w:r w:rsidRPr="00BA0028">
        <w:rPr>
          <w:rFonts w:ascii="Arial" w:hAnsi="Arial" w:cs="Arial"/>
        </w:rPr>
        <w:t>La Sala es competente para decidir la presente acción de tutela en virtud de lo dispuesto en el artículo 86 de la Constitución Política, en el Decreto 2591 de 1991, en el Decreto 1983 de 2017 que modificó el Decreto 1069 de 2015 y en el Acuerdo de Sala Plena del Consejo de Estado No. 080 del 12 de marzo de 2019</w:t>
      </w:r>
      <w:r w:rsidRPr="00BA0028">
        <w:rPr>
          <w:rStyle w:val="FootnoteReference"/>
          <w:rFonts w:ascii="Arial" w:hAnsi="Arial" w:cs="Arial"/>
        </w:rPr>
        <w:footnoteReference w:id="14"/>
      </w:r>
      <w:r w:rsidRPr="00BA0028">
        <w:rPr>
          <w:rFonts w:ascii="Arial" w:hAnsi="Arial" w:cs="Arial"/>
        </w:rPr>
        <w:t>.</w:t>
      </w:r>
    </w:p>
    <w:p w14:paraId="28B93711" w14:textId="77777777" w:rsidR="008462F3" w:rsidRPr="00BA0028" w:rsidRDefault="008462F3" w:rsidP="00B73871">
      <w:pPr>
        <w:overflowPunct w:val="0"/>
        <w:autoSpaceDE w:val="0"/>
        <w:autoSpaceDN w:val="0"/>
        <w:adjustRightInd w:val="0"/>
        <w:spacing w:line="276" w:lineRule="auto"/>
        <w:contextualSpacing/>
        <w:rPr>
          <w:rFonts w:eastAsia="Times New Roman"/>
          <w:sz w:val="24"/>
          <w:szCs w:val="24"/>
          <w:lang w:val="es-MX" w:eastAsia="es-ES"/>
        </w:rPr>
      </w:pPr>
    </w:p>
    <w:p w14:paraId="64826043" w14:textId="09075410" w:rsidR="008462F3" w:rsidRPr="00BA0028" w:rsidRDefault="008462F3" w:rsidP="62968F2C">
      <w:pPr>
        <w:spacing w:line="276" w:lineRule="auto"/>
        <w:contextualSpacing/>
        <w:rPr>
          <w:b/>
          <w:bCs/>
          <w:sz w:val="24"/>
          <w:szCs w:val="24"/>
          <w:lang w:val="es-ES"/>
        </w:rPr>
      </w:pPr>
      <w:r w:rsidRPr="62968F2C">
        <w:rPr>
          <w:b/>
          <w:bCs/>
          <w:sz w:val="24"/>
          <w:szCs w:val="24"/>
          <w:lang w:val="es-ES"/>
        </w:rPr>
        <w:t>2. Procedibilidad de la acción</w:t>
      </w:r>
    </w:p>
    <w:p w14:paraId="78B3E96A" w14:textId="77777777" w:rsidR="008462F3" w:rsidRPr="00BA0028" w:rsidRDefault="008462F3" w:rsidP="00B73871">
      <w:pPr>
        <w:spacing w:line="276" w:lineRule="auto"/>
        <w:contextualSpacing/>
        <w:rPr>
          <w:sz w:val="24"/>
          <w:szCs w:val="24"/>
        </w:rPr>
      </w:pPr>
    </w:p>
    <w:p w14:paraId="17CA7F62" w14:textId="1DE41C9F" w:rsidR="00DF3831" w:rsidRPr="00BA0028" w:rsidRDefault="008462F3" w:rsidP="00B73871">
      <w:pPr>
        <w:spacing w:line="276" w:lineRule="auto"/>
        <w:contextualSpacing/>
        <w:rPr>
          <w:rFonts w:eastAsia="Arial"/>
          <w:sz w:val="24"/>
          <w:szCs w:val="24"/>
          <w:lang w:val="es-MX"/>
        </w:rPr>
      </w:pPr>
      <w:r w:rsidRPr="00BA0028">
        <w:rPr>
          <w:rFonts w:eastAsia="Arial"/>
          <w:sz w:val="24"/>
          <w:szCs w:val="24"/>
          <w:lang w:val="es-MX"/>
        </w:rPr>
        <w:t xml:space="preserve">En los casos en que la solicitud de amparo ataca una providencia judicial, la doctrina constitucional ha indicado que el juez de tutela debe, en forma preliminar, realizar un </w:t>
      </w:r>
      <w:r w:rsidRPr="00BA0028">
        <w:rPr>
          <w:rFonts w:eastAsia="Arial"/>
          <w:sz w:val="24"/>
          <w:szCs w:val="24"/>
          <w:lang w:val="es-MX"/>
        </w:rPr>
        <w:lastRenderedPageBreak/>
        <w:t>examen de procedibilidad general de la acción; pues, s</w:t>
      </w:r>
      <w:r w:rsidR="005E17AB">
        <w:rPr>
          <w:rFonts w:eastAsia="Arial"/>
          <w:sz w:val="24"/>
          <w:szCs w:val="24"/>
          <w:lang w:val="es-MX"/>
        </w:rPr>
        <w:t>o</w:t>
      </w:r>
      <w:r w:rsidRPr="00BA0028">
        <w:rPr>
          <w:rFonts w:eastAsia="Arial"/>
          <w:sz w:val="24"/>
          <w:szCs w:val="24"/>
          <w:lang w:val="es-MX"/>
        </w:rPr>
        <w:t>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BA0028">
        <w:rPr>
          <w:sz w:val="24"/>
          <w:szCs w:val="24"/>
          <w:vertAlign w:val="superscript"/>
        </w:rPr>
        <w:footnoteReference w:id="15"/>
      </w:r>
      <w:r w:rsidRPr="00BA0028">
        <w:rPr>
          <w:rFonts w:eastAsia="Arial"/>
          <w:sz w:val="24"/>
          <w:szCs w:val="24"/>
          <w:lang w:val="es-MX"/>
        </w:rPr>
        <w:t>.</w:t>
      </w:r>
    </w:p>
    <w:p w14:paraId="138B36D0" w14:textId="77777777" w:rsidR="009E510B" w:rsidRPr="00BA0028" w:rsidRDefault="009E510B" w:rsidP="00B73871">
      <w:pPr>
        <w:spacing w:line="276" w:lineRule="auto"/>
        <w:contextualSpacing/>
        <w:rPr>
          <w:rFonts w:eastAsia="Arial"/>
          <w:sz w:val="24"/>
          <w:szCs w:val="24"/>
          <w:lang w:val="es-MX"/>
        </w:rPr>
      </w:pPr>
    </w:p>
    <w:p w14:paraId="64089524" w14:textId="08F66CB1" w:rsidR="008462F3" w:rsidRPr="00BA0028" w:rsidRDefault="008462F3" w:rsidP="62968F2C">
      <w:pPr>
        <w:autoSpaceDE w:val="0"/>
        <w:autoSpaceDN w:val="0"/>
        <w:adjustRightInd w:val="0"/>
        <w:spacing w:line="276" w:lineRule="auto"/>
        <w:rPr>
          <w:sz w:val="24"/>
          <w:szCs w:val="24"/>
          <w:lang w:val="es-ES"/>
        </w:rPr>
      </w:pPr>
      <w:r w:rsidRPr="62968F2C">
        <w:rPr>
          <w:rFonts w:eastAsia="Verdana"/>
          <w:b/>
          <w:bCs/>
          <w:sz w:val="24"/>
          <w:szCs w:val="24"/>
          <w:lang w:val="es-ES"/>
        </w:rPr>
        <w:t xml:space="preserve">2.1. </w:t>
      </w:r>
      <w:r w:rsidRPr="62968F2C">
        <w:rPr>
          <w:rFonts w:eastAsia="Verdana"/>
          <w:sz w:val="24"/>
          <w:szCs w:val="24"/>
          <w:lang w:val="es-ES"/>
        </w:rPr>
        <w:t xml:space="preserve">La </w:t>
      </w:r>
      <w:r w:rsidRPr="62968F2C">
        <w:rPr>
          <w:b/>
          <w:bCs/>
          <w:sz w:val="24"/>
          <w:szCs w:val="24"/>
          <w:lang w:val="es-ES"/>
        </w:rPr>
        <w:t>legitimación</w:t>
      </w:r>
      <w:r w:rsidRPr="62968F2C">
        <w:rPr>
          <w:sz w:val="24"/>
          <w:szCs w:val="24"/>
          <w:lang w:val="es-ES"/>
        </w:rPr>
        <w:t xml:space="preserve"> </w:t>
      </w:r>
      <w:r w:rsidRPr="62968F2C">
        <w:rPr>
          <w:b/>
          <w:bCs/>
          <w:sz w:val="24"/>
          <w:szCs w:val="24"/>
          <w:lang w:val="es-ES"/>
        </w:rPr>
        <w:t>en la causa</w:t>
      </w:r>
      <w:r w:rsidRPr="62968F2C">
        <w:rPr>
          <w:sz w:val="24"/>
          <w:szCs w:val="24"/>
          <w:lang w:val="es-ES"/>
        </w:rPr>
        <w:t xml:space="preserve"> </w:t>
      </w:r>
      <w:r w:rsidRPr="62968F2C">
        <w:rPr>
          <w:b/>
          <w:bCs/>
          <w:sz w:val="24"/>
          <w:szCs w:val="24"/>
          <w:lang w:val="es-ES"/>
        </w:rPr>
        <w:t>por</w:t>
      </w:r>
      <w:r w:rsidRPr="62968F2C">
        <w:rPr>
          <w:sz w:val="24"/>
          <w:szCs w:val="24"/>
          <w:lang w:val="es-ES"/>
        </w:rPr>
        <w:t xml:space="preserve"> </w:t>
      </w:r>
      <w:r w:rsidRPr="62968F2C">
        <w:rPr>
          <w:b/>
          <w:bCs/>
          <w:sz w:val="24"/>
          <w:szCs w:val="24"/>
          <w:lang w:val="es-ES"/>
        </w:rPr>
        <w:t>activa</w:t>
      </w:r>
      <w:r w:rsidR="006930B3" w:rsidRPr="62968F2C">
        <w:rPr>
          <w:sz w:val="24"/>
          <w:szCs w:val="24"/>
          <w:lang w:val="es-ES"/>
        </w:rPr>
        <w:t xml:space="preserve"> de la Nación-Rama Judicial</w:t>
      </w:r>
      <w:r w:rsidRPr="62968F2C">
        <w:rPr>
          <w:sz w:val="24"/>
          <w:szCs w:val="24"/>
          <w:lang w:val="es-ES"/>
        </w:rPr>
        <w:t xml:space="preserve"> se encuentra acreditada, puesto que </w:t>
      </w:r>
      <w:r w:rsidR="007D7257" w:rsidRPr="62968F2C">
        <w:rPr>
          <w:sz w:val="24"/>
          <w:szCs w:val="24"/>
          <w:lang w:val="es-ES"/>
        </w:rPr>
        <w:t>fungió como</w:t>
      </w:r>
      <w:r w:rsidR="00DF3831" w:rsidRPr="62968F2C">
        <w:rPr>
          <w:sz w:val="24"/>
          <w:szCs w:val="24"/>
          <w:lang w:val="es-ES"/>
        </w:rPr>
        <w:t xml:space="preserve"> parte</w:t>
      </w:r>
      <w:r w:rsidR="007D7257" w:rsidRPr="62968F2C">
        <w:rPr>
          <w:sz w:val="24"/>
          <w:szCs w:val="24"/>
          <w:lang w:val="es-ES"/>
        </w:rPr>
        <w:t xml:space="preserve"> demanda</w:t>
      </w:r>
      <w:r w:rsidR="00C3395D" w:rsidRPr="62968F2C">
        <w:rPr>
          <w:sz w:val="24"/>
          <w:szCs w:val="24"/>
          <w:lang w:val="es-ES"/>
        </w:rPr>
        <w:t>da</w:t>
      </w:r>
      <w:r w:rsidRPr="62968F2C">
        <w:rPr>
          <w:sz w:val="24"/>
          <w:szCs w:val="24"/>
          <w:lang w:val="es-ES"/>
        </w:rPr>
        <w:t xml:space="preserve"> dentro del proceso de </w:t>
      </w:r>
      <w:r w:rsidR="00C3395D" w:rsidRPr="62968F2C">
        <w:rPr>
          <w:sz w:val="24"/>
          <w:szCs w:val="24"/>
          <w:lang w:val="es-ES"/>
        </w:rPr>
        <w:t>reparación directa</w:t>
      </w:r>
      <w:r w:rsidRPr="62968F2C">
        <w:rPr>
          <w:sz w:val="24"/>
          <w:szCs w:val="24"/>
          <w:lang w:val="es-ES"/>
        </w:rPr>
        <w:t xml:space="preserve"> con radicado </w:t>
      </w:r>
      <w:r w:rsidR="00C23501" w:rsidRPr="62968F2C">
        <w:rPr>
          <w:sz w:val="24"/>
          <w:szCs w:val="24"/>
          <w:lang w:val="es-ES"/>
        </w:rPr>
        <w:t>20001233100020110061601</w:t>
      </w:r>
      <w:r w:rsidRPr="62968F2C">
        <w:rPr>
          <w:sz w:val="24"/>
          <w:szCs w:val="24"/>
          <w:lang w:val="es-ES"/>
        </w:rPr>
        <w:t>, y es la titular de los derechos fundamentales que adujo fueron vulnerados.</w:t>
      </w:r>
      <w:r w:rsidR="00C23501" w:rsidRPr="62968F2C">
        <w:rPr>
          <w:sz w:val="24"/>
          <w:szCs w:val="24"/>
          <w:lang w:val="es-ES"/>
        </w:rPr>
        <w:t xml:space="preserve"> </w:t>
      </w:r>
    </w:p>
    <w:p w14:paraId="384E8289" w14:textId="77777777" w:rsidR="008462F3" w:rsidRPr="00BA0028" w:rsidRDefault="008462F3" w:rsidP="62968F2C">
      <w:pPr>
        <w:autoSpaceDE w:val="0"/>
        <w:autoSpaceDN w:val="0"/>
        <w:adjustRightInd w:val="0"/>
        <w:spacing w:line="276" w:lineRule="auto"/>
        <w:rPr>
          <w:sz w:val="24"/>
          <w:szCs w:val="24"/>
          <w:lang w:val="es-ES"/>
        </w:rPr>
      </w:pPr>
    </w:p>
    <w:p w14:paraId="36F2904C" w14:textId="2364218E" w:rsidR="008462F3" w:rsidRPr="00BA0028" w:rsidRDefault="008462F3" w:rsidP="62968F2C">
      <w:pPr>
        <w:spacing w:line="276" w:lineRule="auto"/>
        <w:contextualSpacing/>
        <w:rPr>
          <w:sz w:val="24"/>
          <w:szCs w:val="24"/>
          <w:lang w:val="es-ES"/>
        </w:rPr>
      </w:pPr>
      <w:r w:rsidRPr="62968F2C">
        <w:rPr>
          <w:sz w:val="24"/>
          <w:szCs w:val="24"/>
          <w:lang w:val="es-ES"/>
        </w:rPr>
        <w:t xml:space="preserve">También está probada </w:t>
      </w:r>
      <w:r w:rsidRPr="62968F2C">
        <w:rPr>
          <w:b/>
          <w:bCs/>
          <w:sz w:val="24"/>
          <w:szCs w:val="24"/>
          <w:lang w:val="es-ES"/>
        </w:rPr>
        <w:t>la legitimación en la causa por pasiva</w:t>
      </w:r>
      <w:r w:rsidRPr="62968F2C">
        <w:rPr>
          <w:sz w:val="24"/>
          <w:szCs w:val="24"/>
          <w:lang w:val="es-ES"/>
        </w:rPr>
        <w:t xml:space="preserve"> d</w:t>
      </w:r>
      <w:r w:rsidR="007D7257" w:rsidRPr="62968F2C">
        <w:rPr>
          <w:sz w:val="24"/>
          <w:szCs w:val="24"/>
          <w:lang w:val="es-ES"/>
        </w:rPr>
        <w:t>e la Subsección B de la Sección Tercera del Consejo de Estado</w:t>
      </w:r>
      <w:r w:rsidRPr="62968F2C">
        <w:rPr>
          <w:sz w:val="24"/>
          <w:szCs w:val="24"/>
          <w:lang w:val="es-ES"/>
        </w:rPr>
        <w:t xml:space="preserve">, en la medida en que fue la autoridad que profirió la sentencia del </w:t>
      </w:r>
      <w:r w:rsidR="00C23501" w:rsidRPr="62968F2C">
        <w:rPr>
          <w:sz w:val="24"/>
          <w:szCs w:val="24"/>
        </w:rPr>
        <w:t>19 de junio</w:t>
      </w:r>
      <w:r w:rsidR="007D7257" w:rsidRPr="62968F2C">
        <w:rPr>
          <w:sz w:val="24"/>
          <w:szCs w:val="24"/>
        </w:rPr>
        <w:t xml:space="preserve"> de 2020 </w:t>
      </w:r>
      <w:r w:rsidR="007D7257" w:rsidRPr="62968F2C">
        <w:rPr>
          <w:sz w:val="24"/>
          <w:szCs w:val="24"/>
          <w:lang w:val="es-ES"/>
        </w:rPr>
        <w:t xml:space="preserve">que, según </w:t>
      </w:r>
      <w:r w:rsidRPr="62968F2C">
        <w:rPr>
          <w:sz w:val="24"/>
          <w:szCs w:val="24"/>
          <w:lang w:val="es-ES"/>
        </w:rPr>
        <w:t>l</w:t>
      </w:r>
      <w:r w:rsidR="007D7257" w:rsidRPr="62968F2C">
        <w:rPr>
          <w:sz w:val="24"/>
          <w:szCs w:val="24"/>
          <w:lang w:val="es-ES"/>
        </w:rPr>
        <w:t>a</w:t>
      </w:r>
      <w:r w:rsidRPr="62968F2C">
        <w:rPr>
          <w:sz w:val="24"/>
          <w:szCs w:val="24"/>
          <w:lang w:val="es-ES"/>
        </w:rPr>
        <w:t xml:space="preserve"> </w:t>
      </w:r>
      <w:r w:rsidR="00C23501" w:rsidRPr="62968F2C">
        <w:rPr>
          <w:sz w:val="24"/>
          <w:szCs w:val="24"/>
          <w:lang w:val="es-ES"/>
        </w:rPr>
        <w:t xml:space="preserve">entidad </w:t>
      </w:r>
      <w:r w:rsidRPr="62968F2C">
        <w:rPr>
          <w:sz w:val="24"/>
          <w:szCs w:val="24"/>
          <w:lang w:val="es-ES"/>
        </w:rPr>
        <w:t>tutelante, vulneró sus derechos fundamentales.</w:t>
      </w:r>
    </w:p>
    <w:p w14:paraId="3DA20EFC" w14:textId="77777777" w:rsidR="00342DF6" w:rsidRPr="00BA0028" w:rsidRDefault="00342DF6" w:rsidP="62968F2C">
      <w:pPr>
        <w:spacing w:line="276" w:lineRule="auto"/>
        <w:contextualSpacing/>
        <w:rPr>
          <w:sz w:val="24"/>
          <w:szCs w:val="24"/>
        </w:rPr>
      </w:pPr>
    </w:p>
    <w:p w14:paraId="0B73D85F" w14:textId="058D9183" w:rsidR="007E5F36" w:rsidRPr="00BA0028" w:rsidRDefault="006B45C5" w:rsidP="62968F2C">
      <w:pPr>
        <w:spacing w:line="276" w:lineRule="auto"/>
        <w:contextualSpacing/>
        <w:rPr>
          <w:sz w:val="24"/>
          <w:szCs w:val="24"/>
        </w:rPr>
      </w:pPr>
      <w:r w:rsidRPr="62968F2C">
        <w:rPr>
          <w:b/>
          <w:bCs/>
          <w:sz w:val="24"/>
          <w:szCs w:val="24"/>
        </w:rPr>
        <w:t xml:space="preserve">2.2. </w:t>
      </w:r>
      <w:r w:rsidR="007E5F36" w:rsidRPr="62968F2C">
        <w:rPr>
          <w:sz w:val="24"/>
          <w:szCs w:val="24"/>
          <w:lang w:val="es-ES"/>
        </w:rPr>
        <w:t xml:space="preserve">Verificada la legitimación de las partes, </w:t>
      </w:r>
      <w:r w:rsidR="007E5F36" w:rsidRPr="62968F2C">
        <w:rPr>
          <w:sz w:val="24"/>
          <w:szCs w:val="24"/>
        </w:rPr>
        <w:t>para continuar con el examen de procedibilidad, es pertinente destacar que el análisis del juez de tutela debe estar ubicado dentro del asunto debatido en el proceso cuestionado de manera tal que permita determinar, en particular, si los requisitos generales de relevancia constitucional</w:t>
      </w:r>
      <w:r w:rsidR="00A71B9B" w:rsidRPr="62968F2C">
        <w:rPr>
          <w:sz w:val="24"/>
          <w:szCs w:val="24"/>
        </w:rPr>
        <w:t>, explicación su</w:t>
      </w:r>
      <w:r w:rsidR="00DF3831" w:rsidRPr="62968F2C">
        <w:rPr>
          <w:sz w:val="24"/>
          <w:szCs w:val="24"/>
        </w:rPr>
        <w:t>ficiente de hechos y argumentos</w:t>
      </w:r>
      <w:r w:rsidR="007E5F36" w:rsidRPr="62968F2C">
        <w:rPr>
          <w:sz w:val="24"/>
          <w:szCs w:val="24"/>
        </w:rPr>
        <w:t xml:space="preserve"> y subsidiariedad</w:t>
      </w:r>
      <w:r w:rsidR="00DF3831" w:rsidRPr="62968F2C">
        <w:rPr>
          <w:sz w:val="24"/>
          <w:szCs w:val="24"/>
        </w:rPr>
        <w:t>,</w:t>
      </w:r>
      <w:r w:rsidR="007E5F36" w:rsidRPr="62968F2C">
        <w:rPr>
          <w:sz w:val="24"/>
          <w:szCs w:val="24"/>
        </w:rPr>
        <w:t xml:space="preserve"> se encuentran superados.</w:t>
      </w:r>
    </w:p>
    <w:p w14:paraId="02B27A0D" w14:textId="77777777" w:rsidR="002330A9" w:rsidRPr="00BA0028" w:rsidRDefault="002330A9" w:rsidP="62968F2C">
      <w:pPr>
        <w:spacing w:line="276" w:lineRule="auto"/>
        <w:contextualSpacing/>
        <w:rPr>
          <w:b/>
          <w:bCs/>
          <w:sz w:val="24"/>
          <w:szCs w:val="24"/>
        </w:rPr>
      </w:pPr>
    </w:p>
    <w:p w14:paraId="34C8A9A3" w14:textId="532AB2F0" w:rsidR="006A0674" w:rsidRPr="00BA0028" w:rsidRDefault="006B45C5" w:rsidP="62968F2C">
      <w:pPr>
        <w:spacing w:line="276" w:lineRule="auto"/>
        <w:contextualSpacing/>
        <w:rPr>
          <w:sz w:val="24"/>
          <w:szCs w:val="24"/>
        </w:rPr>
      </w:pPr>
      <w:r w:rsidRPr="62968F2C">
        <w:rPr>
          <w:sz w:val="24"/>
          <w:szCs w:val="24"/>
        </w:rPr>
        <w:t>En el presente asunto, la parte accionante argument</w:t>
      </w:r>
      <w:r w:rsidR="007E5F36" w:rsidRPr="62968F2C">
        <w:rPr>
          <w:sz w:val="24"/>
          <w:szCs w:val="24"/>
        </w:rPr>
        <w:t>ó que</w:t>
      </w:r>
      <w:r w:rsidR="00B974B1" w:rsidRPr="62968F2C">
        <w:rPr>
          <w:sz w:val="24"/>
          <w:szCs w:val="24"/>
        </w:rPr>
        <w:t xml:space="preserve"> la Subsección B de la Sección Tercera del Consejo </w:t>
      </w:r>
      <w:r w:rsidR="007E5F36" w:rsidRPr="62968F2C">
        <w:rPr>
          <w:sz w:val="24"/>
          <w:szCs w:val="24"/>
        </w:rPr>
        <w:t xml:space="preserve">de Estado, en la providencia </w:t>
      </w:r>
      <w:r w:rsidR="0078025D" w:rsidRPr="62968F2C">
        <w:rPr>
          <w:sz w:val="24"/>
          <w:szCs w:val="24"/>
        </w:rPr>
        <w:t>objeto de estudio</w:t>
      </w:r>
      <w:r w:rsidR="007E5F36" w:rsidRPr="62968F2C">
        <w:rPr>
          <w:sz w:val="24"/>
          <w:szCs w:val="24"/>
        </w:rPr>
        <w:t xml:space="preserve">, </w:t>
      </w:r>
      <w:r w:rsidR="00B974B1" w:rsidRPr="62968F2C">
        <w:rPr>
          <w:sz w:val="24"/>
          <w:szCs w:val="24"/>
        </w:rPr>
        <w:t xml:space="preserve">vulneró los principios de </w:t>
      </w:r>
      <w:r w:rsidR="00847534" w:rsidRPr="62968F2C">
        <w:rPr>
          <w:i/>
          <w:iCs/>
          <w:sz w:val="24"/>
          <w:szCs w:val="24"/>
        </w:rPr>
        <w:t xml:space="preserve">no </w:t>
      </w:r>
      <w:proofErr w:type="spellStart"/>
      <w:r w:rsidR="00847534" w:rsidRPr="62968F2C">
        <w:rPr>
          <w:i/>
          <w:iCs/>
          <w:sz w:val="24"/>
          <w:szCs w:val="24"/>
        </w:rPr>
        <w:t>reformatio</w:t>
      </w:r>
      <w:proofErr w:type="spellEnd"/>
      <w:r w:rsidR="00847534" w:rsidRPr="62968F2C">
        <w:rPr>
          <w:i/>
          <w:iCs/>
          <w:sz w:val="24"/>
          <w:szCs w:val="24"/>
        </w:rPr>
        <w:t xml:space="preserve"> in </w:t>
      </w:r>
      <w:proofErr w:type="spellStart"/>
      <w:r w:rsidR="00847534" w:rsidRPr="62968F2C">
        <w:rPr>
          <w:i/>
          <w:iCs/>
          <w:sz w:val="24"/>
          <w:szCs w:val="24"/>
        </w:rPr>
        <w:t>pejus</w:t>
      </w:r>
      <w:proofErr w:type="spellEnd"/>
      <w:r w:rsidR="00C23501" w:rsidRPr="62968F2C">
        <w:rPr>
          <w:sz w:val="24"/>
          <w:szCs w:val="24"/>
        </w:rPr>
        <w:t xml:space="preserve">, justicia rogada, </w:t>
      </w:r>
      <w:r w:rsidR="00B974B1" w:rsidRPr="62968F2C">
        <w:rPr>
          <w:sz w:val="24"/>
          <w:szCs w:val="24"/>
        </w:rPr>
        <w:t>legalidad</w:t>
      </w:r>
      <w:r w:rsidR="00847534" w:rsidRPr="62968F2C">
        <w:rPr>
          <w:sz w:val="24"/>
          <w:szCs w:val="24"/>
        </w:rPr>
        <w:t xml:space="preserve"> y congruencia procesal,</w:t>
      </w:r>
      <w:r w:rsidR="00B974B1" w:rsidRPr="62968F2C">
        <w:rPr>
          <w:sz w:val="24"/>
          <w:szCs w:val="24"/>
        </w:rPr>
        <w:t xml:space="preserve"> en la medida en que </w:t>
      </w:r>
      <w:r w:rsidR="006A0674" w:rsidRPr="62968F2C">
        <w:rPr>
          <w:sz w:val="24"/>
          <w:szCs w:val="24"/>
        </w:rPr>
        <w:t>ordenó a</w:t>
      </w:r>
      <w:r w:rsidR="00C23501" w:rsidRPr="62968F2C">
        <w:rPr>
          <w:sz w:val="24"/>
          <w:szCs w:val="24"/>
        </w:rPr>
        <w:t xml:space="preserve"> la Rama Judicial remitir a la parte demandante</w:t>
      </w:r>
      <w:r w:rsidR="00E823ED" w:rsidRPr="62968F2C">
        <w:rPr>
          <w:sz w:val="24"/>
          <w:szCs w:val="24"/>
        </w:rPr>
        <w:t xml:space="preserve"> </w:t>
      </w:r>
      <w:r w:rsidR="00C23501" w:rsidRPr="62968F2C">
        <w:rPr>
          <w:sz w:val="24"/>
          <w:szCs w:val="24"/>
        </w:rPr>
        <w:t>una misiva en la que ofrezca</w:t>
      </w:r>
      <w:r w:rsidR="006A0674" w:rsidRPr="62968F2C">
        <w:rPr>
          <w:sz w:val="24"/>
          <w:szCs w:val="24"/>
        </w:rPr>
        <w:t xml:space="preserve"> disculpas, para reparar el derecho al buen nombre</w:t>
      </w:r>
      <w:r w:rsidR="00E823ED" w:rsidRPr="62968F2C">
        <w:rPr>
          <w:sz w:val="24"/>
          <w:szCs w:val="24"/>
        </w:rPr>
        <w:t xml:space="preserve"> afectado con </w:t>
      </w:r>
      <w:r w:rsidR="002E5637" w:rsidRPr="62968F2C">
        <w:rPr>
          <w:sz w:val="24"/>
          <w:szCs w:val="24"/>
        </w:rPr>
        <w:t>l</w:t>
      </w:r>
      <w:r w:rsidR="00E823ED" w:rsidRPr="62968F2C">
        <w:rPr>
          <w:sz w:val="24"/>
          <w:szCs w:val="24"/>
        </w:rPr>
        <w:t xml:space="preserve">a privación injusta de la libertad de Luis Carlos </w:t>
      </w:r>
      <w:proofErr w:type="spellStart"/>
      <w:r w:rsidR="00E823ED" w:rsidRPr="62968F2C">
        <w:rPr>
          <w:sz w:val="24"/>
          <w:szCs w:val="24"/>
        </w:rPr>
        <w:t>Riqueth</w:t>
      </w:r>
      <w:proofErr w:type="spellEnd"/>
      <w:r w:rsidR="00E823ED" w:rsidRPr="62968F2C">
        <w:rPr>
          <w:sz w:val="24"/>
          <w:szCs w:val="24"/>
        </w:rPr>
        <w:t xml:space="preserve"> García</w:t>
      </w:r>
      <w:r w:rsidR="006A0674" w:rsidRPr="62968F2C">
        <w:rPr>
          <w:sz w:val="24"/>
          <w:szCs w:val="24"/>
        </w:rPr>
        <w:t xml:space="preserve">, </w:t>
      </w:r>
      <w:r w:rsidR="00DF3831" w:rsidRPr="62968F2C">
        <w:rPr>
          <w:sz w:val="24"/>
          <w:szCs w:val="24"/>
        </w:rPr>
        <w:t xml:space="preserve">no obstante </w:t>
      </w:r>
      <w:r w:rsidR="006A0674" w:rsidRPr="62968F2C">
        <w:rPr>
          <w:sz w:val="24"/>
          <w:szCs w:val="24"/>
        </w:rPr>
        <w:t>que esto no fue solicitado dentro de las pretensiones de la demanda</w:t>
      </w:r>
      <w:r w:rsidR="00CE7F38" w:rsidRPr="62968F2C">
        <w:rPr>
          <w:sz w:val="24"/>
          <w:szCs w:val="24"/>
        </w:rPr>
        <w:t xml:space="preserve">, ni reconocido en primera instancia por el </w:t>
      </w:r>
      <w:r w:rsidR="00CE7F38" w:rsidRPr="62968F2C">
        <w:rPr>
          <w:i/>
          <w:iCs/>
          <w:sz w:val="24"/>
          <w:szCs w:val="24"/>
        </w:rPr>
        <w:t>a quo</w:t>
      </w:r>
      <w:r w:rsidR="00CE7F38" w:rsidRPr="62968F2C">
        <w:rPr>
          <w:sz w:val="24"/>
          <w:szCs w:val="24"/>
        </w:rPr>
        <w:t>, en un proceso en el que fungió como apelante único.</w:t>
      </w:r>
    </w:p>
    <w:p w14:paraId="39E55020" w14:textId="2D3FA907" w:rsidR="00847534" w:rsidRPr="00BA0028" w:rsidRDefault="00847534" w:rsidP="62968F2C">
      <w:pPr>
        <w:spacing w:line="276" w:lineRule="auto"/>
        <w:contextualSpacing/>
        <w:rPr>
          <w:sz w:val="24"/>
          <w:szCs w:val="24"/>
        </w:rPr>
      </w:pPr>
    </w:p>
    <w:p w14:paraId="7E443D5E" w14:textId="0DE9AC67" w:rsidR="00847534" w:rsidRPr="00BA0028" w:rsidRDefault="00847534" w:rsidP="62968F2C">
      <w:pPr>
        <w:spacing w:line="276" w:lineRule="auto"/>
        <w:contextualSpacing/>
        <w:rPr>
          <w:sz w:val="24"/>
          <w:szCs w:val="24"/>
        </w:rPr>
      </w:pPr>
      <w:r w:rsidRPr="62968F2C">
        <w:rPr>
          <w:sz w:val="24"/>
          <w:szCs w:val="24"/>
        </w:rPr>
        <w:lastRenderedPageBreak/>
        <w:t xml:space="preserve">Con base en lo anterior, la Sala analizará cada uno de los reproches elevados contra la sentencia, referentes a la vulneración al principio constitucional de la </w:t>
      </w:r>
      <w:r w:rsidRPr="62968F2C">
        <w:rPr>
          <w:i/>
          <w:iCs/>
          <w:sz w:val="24"/>
          <w:szCs w:val="24"/>
        </w:rPr>
        <w:t xml:space="preserve">no </w:t>
      </w:r>
      <w:proofErr w:type="spellStart"/>
      <w:r w:rsidRPr="62968F2C">
        <w:rPr>
          <w:i/>
          <w:iCs/>
          <w:sz w:val="24"/>
          <w:szCs w:val="24"/>
        </w:rPr>
        <w:t>reformatio</w:t>
      </w:r>
      <w:proofErr w:type="spellEnd"/>
      <w:r w:rsidRPr="62968F2C">
        <w:rPr>
          <w:i/>
          <w:iCs/>
          <w:sz w:val="24"/>
          <w:szCs w:val="24"/>
        </w:rPr>
        <w:t xml:space="preserve"> in </w:t>
      </w:r>
      <w:proofErr w:type="spellStart"/>
      <w:r w:rsidRPr="62968F2C">
        <w:rPr>
          <w:i/>
          <w:iCs/>
          <w:sz w:val="24"/>
          <w:szCs w:val="24"/>
        </w:rPr>
        <w:t>pejus</w:t>
      </w:r>
      <w:proofErr w:type="spellEnd"/>
      <w:r w:rsidRPr="62968F2C">
        <w:rPr>
          <w:sz w:val="24"/>
          <w:szCs w:val="24"/>
        </w:rPr>
        <w:t xml:space="preserve">, a la legalidad de la medida de reparación adoptada y a la supuesta falta de motivación para adoptar </w:t>
      </w:r>
      <w:r w:rsidR="005F06BA" w:rsidRPr="62968F2C">
        <w:rPr>
          <w:sz w:val="24"/>
          <w:szCs w:val="24"/>
        </w:rPr>
        <w:t>dicha</w:t>
      </w:r>
      <w:r w:rsidRPr="62968F2C">
        <w:rPr>
          <w:sz w:val="24"/>
          <w:szCs w:val="24"/>
        </w:rPr>
        <w:t xml:space="preserve"> decisión, con el fin de determinar si </w:t>
      </w:r>
      <w:r w:rsidR="005F06BA" w:rsidRPr="62968F2C">
        <w:rPr>
          <w:sz w:val="24"/>
          <w:szCs w:val="24"/>
        </w:rPr>
        <w:t>la providencia contiene alguno de los</w:t>
      </w:r>
      <w:r w:rsidRPr="62968F2C">
        <w:rPr>
          <w:sz w:val="24"/>
          <w:szCs w:val="24"/>
        </w:rPr>
        <w:t xml:space="preserve"> defecto</w:t>
      </w:r>
      <w:r w:rsidR="005F06BA" w:rsidRPr="62968F2C">
        <w:rPr>
          <w:sz w:val="24"/>
          <w:szCs w:val="24"/>
        </w:rPr>
        <w:t>s</w:t>
      </w:r>
      <w:r w:rsidRPr="62968F2C">
        <w:rPr>
          <w:sz w:val="24"/>
          <w:szCs w:val="24"/>
        </w:rPr>
        <w:t xml:space="preserve"> </w:t>
      </w:r>
      <w:r w:rsidR="005F06BA" w:rsidRPr="62968F2C">
        <w:rPr>
          <w:sz w:val="24"/>
          <w:szCs w:val="24"/>
        </w:rPr>
        <w:t>que habilitan la procedencia de la acción constitucional incoada.</w:t>
      </w:r>
    </w:p>
    <w:p w14:paraId="70D967A5" w14:textId="33A5C7B7" w:rsidR="00A27B4A" w:rsidRPr="00BA0028" w:rsidRDefault="00A27B4A" w:rsidP="62968F2C">
      <w:pPr>
        <w:spacing w:line="276" w:lineRule="auto"/>
        <w:contextualSpacing/>
        <w:rPr>
          <w:sz w:val="24"/>
          <w:szCs w:val="24"/>
        </w:rPr>
      </w:pPr>
    </w:p>
    <w:p w14:paraId="5EFA4387" w14:textId="63019BD1" w:rsidR="00AA0388" w:rsidRPr="00BA0028" w:rsidRDefault="00A27B4A" w:rsidP="62968F2C">
      <w:pPr>
        <w:spacing w:line="276" w:lineRule="auto"/>
        <w:contextualSpacing/>
        <w:rPr>
          <w:sz w:val="24"/>
          <w:szCs w:val="24"/>
        </w:rPr>
      </w:pPr>
      <w:r w:rsidRPr="62968F2C">
        <w:rPr>
          <w:b/>
          <w:bCs/>
          <w:sz w:val="24"/>
          <w:szCs w:val="24"/>
        </w:rPr>
        <w:t>2.2.1.</w:t>
      </w:r>
      <w:r w:rsidRPr="62968F2C">
        <w:rPr>
          <w:sz w:val="24"/>
          <w:szCs w:val="24"/>
        </w:rPr>
        <w:t xml:space="preserve"> El </w:t>
      </w:r>
      <w:r w:rsidRPr="62968F2C">
        <w:rPr>
          <w:b/>
          <w:bCs/>
          <w:sz w:val="24"/>
          <w:szCs w:val="24"/>
        </w:rPr>
        <w:t>primer cargo</w:t>
      </w:r>
      <w:r w:rsidRPr="62968F2C">
        <w:rPr>
          <w:sz w:val="24"/>
          <w:szCs w:val="24"/>
        </w:rPr>
        <w:t xml:space="preserve"> </w:t>
      </w:r>
      <w:r w:rsidR="001A736E" w:rsidRPr="62968F2C">
        <w:rPr>
          <w:sz w:val="24"/>
          <w:szCs w:val="24"/>
        </w:rPr>
        <w:t>d</w:t>
      </w:r>
      <w:r w:rsidR="001446EE" w:rsidRPr="62968F2C">
        <w:rPr>
          <w:sz w:val="24"/>
          <w:szCs w:val="24"/>
        </w:rPr>
        <w:t xml:space="preserve">el escrito de amparo </w:t>
      </w:r>
      <w:r w:rsidR="00C24A14" w:rsidRPr="62968F2C">
        <w:rPr>
          <w:sz w:val="24"/>
          <w:szCs w:val="24"/>
        </w:rPr>
        <w:t>consiste en que, en sentir</w:t>
      </w:r>
      <w:r w:rsidR="001446EE" w:rsidRPr="62968F2C">
        <w:rPr>
          <w:sz w:val="24"/>
          <w:szCs w:val="24"/>
        </w:rPr>
        <w:t xml:space="preserve"> de</w:t>
      </w:r>
      <w:r w:rsidR="00C53C81" w:rsidRPr="62968F2C">
        <w:rPr>
          <w:sz w:val="24"/>
          <w:szCs w:val="24"/>
        </w:rPr>
        <w:t xml:space="preserve"> </w:t>
      </w:r>
      <w:r w:rsidR="001446EE" w:rsidRPr="62968F2C">
        <w:rPr>
          <w:sz w:val="24"/>
          <w:szCs w:val="24"/>
        </w:rPr>
        <w:t>l</w:t>
      </w:r>
      <w:r w:rsidR="00C53C81" w:rsidRPr="62968F2C">
        <w:rPr>
          <w:sz w:val="24"/>
          <w:szCs w:val="24"/>
        </w:rPr>
        <w:t>a</w:t>
      </w:r>
      <w:r w:rsidR="001446EE" w:rsidRPr="62968F2C">
        <w:rPr>
          <w:sz w:val="24"/>
          <w:szCs w:val="24"/>
        </w:rPr>
        <w:t xml:space="preserve"> actor</w:t>
      </w:r>
      <w:r w:rsidR="00C53C81" w:rsidRPr="62968F2C">
        <w:rPr>
          <w:sz w:val="24"/>
          <w:szCs w:val="24"/>
        </w:rPr>
        <w:t>a</w:t>
      </w:r>
      <w:r w:rsidR="00C24A14" w:rsidRPr="62968F2C">
        <w:rPr>
          <w:sz w:val="24"/>
          <w:szCs w:val="24"/>
        </w:rPr>
        <w:t>: i) la autoridad tutelada</w:t>
      </w:r>
      <w:r w:rsidR="001446EE" w:rsidRPr="62968F2C">
        <w:rPr>
          <w:sz w:val="24"/>
          <w:szCs w:val="24"/>
        </w:rPr>
        <w:t xml:space="preserve"> ordenó </w:t>
      </w:r>
      <w:r w:rsidR="00814942" w:rsidRPr="62968F2C">
        <w:rPr>
          <w:sz w:val="24"/>
          <w:szCs w:val="24"/>
        </w:rPr>
        <w:t xml:space="preserve">volver las cosas al estado natural, </w:t>
      </w:r>
      <w:r w:rsidR="00BB65E6" w:rsidRPr="62968F2C">
        <w:rPr>
          <w:sz w:val="24"/>
          <w:szCs w:val="24"/>
        </w:rPr>
        <w:t>en el sentido de</w:t>
      </w:r>
      <w:r w:rsidR="00814942" w:rsidRPr="62968F2C">
        <w:rPr>
          <w:sz w:val="24"/>
          <w:szCs w:val="24"/>
        </w:rPr>
        <w:t xml:space="preserve"> </w:t>
      </w:r>
      <w:r w:rsidR="001446EE" w:rsidRPr="62968F2C">
        <w:rPr>
          <w:sz w:val="24"/>
          <w:szCs w:val="24"/>
        </w:rPr>
        <w:t xml:space="preserve">corregir una falla que, </w:t>
      </w:r>
      <w:r w:rsidR="00C24A14" w:rsidRPr="62968F2C">
        <w:rPr>
          <w:sz w:val="24"/>
          <w:szCs w:val="24"/>
        </w:rPr>
        <w:t>erróneamente</w:t>
      </w:r>
      <w:r w:rsidR="00AA0388" w:rsidRPr="62968F2C">
        <w:rPr>
          <w:sz w:val="24"/>
          <w:szCs w:val="24"/>
        </w:rPr>
        <w:t>,</w:t>
      </w:r>
      <w:r w:rsidR="00C24A14" w:rsidRPr="62968F2C">
        <w:rPr>
          <w:sz w:val="24"/>
          <w:szCs w:val="24"/>
        </w:rPr>
        <w:t xml:space="preserve"> </w:t>
      </w:r>
      <w:r w:rsidR="001446EE" w:rsidRPr="62968F2C">
        <w:rPr>
          <w:sz w:val="24"/>
          <w:szCs w:val="24"/>
        </w:rPr>
        <w:t xml:space="preserve">entendió </w:t>
      </w:r>
      <w:r w:rsidR="00C24A14" w:rsidRPr="62968F2C">
        <w:rPr>
          <w:sz w:val="24"/>
          <w:szCs w:val="24"/>
        </w:rPr>
        <w:t>que p</w:t>
      </w:r>
      <w:r w:rsidR="001446EE" w:rsidRPr="62968F2C">
        <w:rPr>
          <w:sz w:val="24"/>
          <w:szCs w:val="24"/>
        </w:rPr>
        <w:t xml:space="preserve">rodujo un daño, a partir de una subjetividad moral indeseable para la justicia; </w:t>
      </w:r>
      <w:r w:rsidR="00AA0388" w:rsidRPr="62968F2C">
        <w:rPr>
          <w:sz w:val="24"/>
          <w:szCs w:val="24"/>
        </w:rPr>
        <w:t xml:space="preserve">y </w:t>
      </w:r>
      <w:proofErr w:type="spellStart"/>
      <w:r w:rsidR="0090111E" w:rsidRPr="62968F2C">
        <w:rPr>
          <w:sz w:val="24"/>
          <w:szCs w:val="24"/>
        </w:rPr>
        <w:t>i</w:t>
      </w:r>
      <w:r w:rsidR="001446EE" w:rsidRPr="62968F2C">
        <w:rPr>
          <w:sz w:val="24"/>
          <w:szCs w:val="24"/>
        </w:rPr>
        <w:t>i</w:t>
      </w:r>
      <w:proofErr w:type="spellEnd"/>
      <w:r w:rsidR="001446EE" w:rsidRPr="62968F2C">
        <w:rPr>
          <w:sz w:val="24"/>
          <w:szCs w:val="24"/>
        </w:rPr>
        <w:t>) tal</w:t>
      </w:r>
      <w:r w:rsidR="00C24A14" w:rsidRPr="62968F2C">
        <w:rPr>
          <w:sz w:val="24"/>
          <w:szCs w:val="24"/>
        </w:rPr>
        <w:t xml:space="preserve"> medida restaurativa desconoce la autonomía e independencia de los jueces y </w:t>
      </w:r>
      <w:r w:rsidR="001446EE" w:rsidRPr="62968F2C">
        <w:rPr>
          <w:sz w:val="24"/>
          <w:szCs w:val="24"/>
        </w:rPr>
        <w:t xml:space="preserve">de </w:t>
      </w:r>
      <w:r w:rsidR="00C24A14" w:rsidRPr="62968F2C">
        <w:rPr>
          <w:sz w:val="24"/>
          <w:szCs w:val="24"/>
        </w:rPr>
        <w:t>la administración</w:t>
      </w:r>
      <w:r w:rsidR="00AA0388" w:rsidRPr="62968F2C">
        <w:rPr>
          <w:sz w:val="24"/>
          <w:szCs w:val="24"/>
        </w:rPr>
        <w:t>,</w:t>
      </w:r>
      <w:r w:rsidR="001446EE" w:rsidRPr="62968F2C">
        <w:rPr>
          <w:sz w:val="24"/>
          <w:szCs w:val="24"/>
        </w:rPr>
        <w:t xml:space="preserve"> desnaturaliza las funciones del director de la DEAJ</w:t>
      </w:r>
      <w:r w:rsidR="00AA0388" w:rsidRPr="62968F2C">
        <w:rPr>
          <w:sz w:val="24"/>
          <w:szCs w:val="24"/>
        </w:rPr>
        <w:t xml:space="preserve">, y deslegitima la actividad judicial. </w:t>
      </w:r>
    </w:p>
    <w:p w14:paraId="356DA8C1" w14:textId="77777777" w:rsidR="00AA0388" w:rsidRPr="00BA0028" w:rsidRDefault="00AA0388" w:rsidP="62968F2C">
      <w:pPr>
        <w:spacing w:line="276" w:lineRule="auto"/>
        <w:contextualSpacing/>
        <w:rPr>
          <w:sz w:val="24"/>
          <w:szCs w:val="24"/>
        </w:rPr>
      </w:pPr>
    </w:p>
    <w:p w14:paraId="1EEC90B0" w14:textId="199FED5D" w:rsidR="002C2628" w:rsidRPr="00BA0028" w:rsidRDefault="00253166" w:rsidP="62968F2C">
      <w:pPr>
        <w:spacing w:line="276" w:lineRule="auto"/>
        <w:contextualSpacing/>
        <w:rPr>
          <w:sz w:val="24"/>
          <w:szCs w:val="24"/>
        </w:rPr>
      </w:pPr>
      <w:r w:rsidRPr="62968F2C">
        <w:rPr>
          <w:sz w:val="24"/>
          <w:szCs w:val="24"/>
        </w:rPr>
        <w:t>Además, la</w:t>
      </w:r>
      <w:r w:rsidR="00AA0388" w:rsidRPr="62968F2C">
        <w:rPr>
          <w:sz w:val="24"/>
          <w:szCs w:val="24"/>
        </w:rPr>
        <w:t xml:space="preserve"> </w:t>
      </w:r>
      <w:r w:rsidR="00950E81" w:rsidRPr="62968F2C">
        <w:rPr>
          <w:sz w:val="24"/>
          <w:szCs w:val="24"/>
        </w:rPr>
        <w:t xml:space="preserve">entidad </w:t>
      </w:r>
      <w:r w:rsidR="00AA0388" w:rsidRPr="62968F2C">
        <w:rPr>
          <w:sz w:val="24"/>
          <w:szCs w:val="24"/>
        </w:rPr>
        <w:t xml:space="preserve">tutelante presentó algunas consideraciones </w:t>
      </w:r>
      <w:r w:rsidRPr="62968F2C">
        <w:rPr>
          <w:sz w:val="24"/>
          <w:szCs w:val="24"/>
        </w:rPr>
        <w:t>abstractas</w:t>
      </w:r>
      <w:r w:rsidR="000669E6" w:rsidRPr="62968F2C">
        <w:rPr>
          <w:sz w:val="24"/>
          <w:szCs w:val="24"/>
        </w:rPr>
        <w:t xml:space="preserve"> </w:t>
      </w:r>
      <w:r w:rsidR="00AA0388" w:rsidRPr="62968F2C">
        <w:rPr>
          <w:sz w:val="24"/>
          <w:szCs w:val="24"/>
        </w:rPr>
        <w:t xml:space="preserve">relacionadas con </w:t>
      </w:r>
      <w:r w:rsidR="00A64963" w:rsidRPr="62968F2C">
        <w:rPr>
          <w:sz w:val="24"/>
          <w:szCs w:val="24"/>
        </w:rPr>
        <w:t>las medidas resarcitoria</w:t>
      </w:r>
      <w:r w:rsidR="001A6122" w:rsidRPr="62968F2C">
        <w:rPr>
          <w:sz w:val="24"/>
          <w:szCs w:val="24"/>
        </w:rPr>
        <w:t>s</w:t>
      </w:r>
      <w:r w:rsidR="00A64963" w:rsidRPr="62968F2C">
        <w:rPr>
          <w:sz w:val="24"/>
          <w:szCs w:val="24"/>
        </w:rPr>
        <w:t>, con</w:t>
      </w:r>
      <w:r w:rsidR="00E9497E" w:rsidRPr="62968F2C">
        <w:rPr>
          <w:sz w:val="24"/>
          <w:szCs w:val="24"/>
        </w:rPr>
        <w:t xml:space="preserve"> los</w:t>
      </w:r>
      <w:r w:rsidR="000669E6" w:rsidRPr="62968F2C">
        <w:rPr>
          <w:sz w:val="24"/>
          <w:szCs w:val="24"/>
        </w:rPr>
        <w:t xml:space="preserve"> perjuicio</w:t>
      </w:r>
      <w:r w:rsidR="001A736E" w:rsidRPr="62968F2C">
        <w:rPr>
          <w:sz w:val="24"/>
          <w:szCs w:val="24"/>
        </w:rPr>
        <w:t>s</w:t>
      </w:r>
      <w:r w:rsidR="00AA0388" w:rsidRPr="62968F2C">
        <w:rPr>
          <w:sz w:val="24"/>
          <w:szCs w:val="24"/>
        </w:rPr>
        <w:t xml:space="preserve">, </w:t>
      </w:r>
      <w:r w:rsidR="00A64963" w:rsidRPr="62968F2C">
        <w:rPr>
          <w:sz w:val="24"/>
          <w:szCs w:val="24"/>
        </w:rPr>
        <w:t xml:space="preserve">con </w:t>
      </w:r>
      <w:r w:rsidR="00AA0388" w:rsidRPr="62968F2C">
        <w:rPr>
          <w:sz w:val="24"/>
          <w:szCs w:val="24"/>
        </w:rPr>
        <w:t>el medio de control de reparación directa,</w:t>
      </w:r>
      <w:r w:rsidR="00A64963" w:rsidRPr="62968F2C">
        <w:rPr>
          <w:sz w:val="24"/>
          <w:szCs w:val="24"/>
        </w:rPr>
        <w:t xml:space="preserve"> con</w:t>
      </w:r>
      <w:r w:rsidR="000669E6" w:rsidRPr="62968F2C">
        <w:rPr>
          <w:sz w:val="24"/>
          <w:szCs w:val="24"/>
        </w:rPr>
        <w:t xml:space="preserve"> la responsabilidad extracontractual del Estado,</w:t>
      </w:r>
      <w:r w:rsidR="00AA0388" w:rsidRPr="62968F2C">
        <w:rPr>
          <w:sz w:val="24"/>
          <w:szCs w:val="24"/>
        </w:rPr>
        <w:t xml:space="preserve"> su comprensión conceptual de las disculpas públicas y </w:t>
      </w:r>
      <w:r w:rsidR="00A64963" w:rsidRPr="62968F2C">
        <w:rPr>
          <w:sz w:val="24"/>
          <w:szCs w:val="24"/>
        </w:rPr>
        <w:t xml:space="preserve">con </w:t>
      </w:r>
      <w:r w:rsidR="00AA0388" w:rsidRPr="62968F2C">
        <w:rPr>
          <w:sz w:val="24"/>
          <w:szCs w:val="24"/>
        </w:rPr>
        <w:t xml:space="preserve">la reparación </w:t>
      </w:r>
      <w:r w:rsidR="00AA0388" w:rsidRPr="62968F2C">
        <w:rPr>
          <w:i/>
          <w:iCs/>
          <w:sz w:val="24"/>
          <w:szCs w:val="24"/>
        </w:rPr>
        <w:t>in natura</w:t>
      </w:r>
      <w:r w:rsidR="00C53C81" w:rsidRPr="62968F2C">
        <w:rPr>
          <w:i/>
          <w:iCs/>
          <w:sz w:val="24"/>
          <w:szCs w:val="24"/>
        </w:rPr>
        <w:t>.</w:t>
      </w:r>
    </w:p>
    <w:p w14:paraId="48DC1D85" w14:textId="77777777" w:rsidR="00C53C81" w:rsidRPr="00BA0028" w:rsidRDefault="00C53C81" w:rsidP="62968F2C">
      <w:pPr>
        <w:spacing w:line="276" w:lineRule="auto"/>
        <w:contextualSpacing/>
        <w:rPr>
          <w:sz w:val="24"/>
          <w:szCs w:val="24"/>
        </w:rPr>
      </w:pPr>
    </w:p>
    <w:p w14:paraId="27861922" w14:textId="7143A792" w:rsidR="002C2628" w:rsidRPr="00BA0028" w:rsidRDefault="00A51BD7" w:rsidP="62968F2C">
      <w:pPr>
        <w:spacing w:line="276" w:lineRule="auto"/>
        <w:contextualSpacing/>
        <w:rPr>
          <w:sz w:val="24"/>
          <w:szCs w:val="24"/>
        </w:rPr>
      </w:pPr>
      <w:r>
        <w:rPr>
          <w:sz w:val="24"/>
          <w:szCs w:val="24"/>
        </w:rPr>
        <w:t>L</w:t>
      </w:r>
      <w:r w:rsidR="00C53C81" w:rsidRPr="00BA0028">
        <w:rPr>
          <w:sz w:val="24"/>
          <w:szCs w:val="24"/>
        </w:rPr>
        <w:t xml:space="preserve">as anteriores apreciaciones de la accionante </w:t>
      </w:r>
      <w:r w:rsidR="0090111E" w:rsidRPr="00BA0028">
        <w:rPr>
          <w:sz w:val="24"/>
          <w:szCs w:val="24"/>
        </w:rPr>
        <w:t xml:space="preserve">no </w:t>
      </w:r>
      <w:r>
        <w:rPr>
          <w:sz w:val="24"/>
          <w:szCs w:val="24"/>
        </w:rPr>
        <w:t xml:space="preserve">trascienden la esfera de la subjetividad, no se encaminan a mostrar la </w:t>
      </w:r>
      <w:r w:rsidR="0090111E" w:rsidRPr="00BA0028">
        <w:rPr>
          <w:sz w:val="24"/>
          <w:szCs w:val="24"/>
        </w:rPr>
        <w:t xml:space="preserve">vulneración de derechos fundamentales, ya sea por una indebida valoración probatoria o aplicación normativa, por el desconocimiento de algún precedente judicial o constitucional aplicable al caso concreto, por </w:t>
      </w:r>
      <w:r w:rsidR="00814942" w:rsidRPr="00BA0028">
        <w:rPr>
          <w:sz w:val="24"/>
          <w:szCs w:val="24"/>
        </w:rPr>
        <w:t xml:space="preserve">una </w:t>
      </w:r>
      <w:r w:rsidR="0090111E" w:rsidRPr="00BA0028">
        <w:rPr>
          <w:sz w:val="24"/>
          <w:szCs w:val="24"/>
        </w:rPr>
        <w:t>falta de competencia, por</w:t>
      </w:r>
      <w:r w:rsidR="00657CCA" w:rsidRPr="00BA0028">
        <w:rPr>
          <w:sz w:val="24"/>
          <w:szCs w:val="24"/>
        </w:rPr>
        <w:t>que se</w:t>
      </w:r>
      <w:r w:rsidR="0090111E" w:rsidRPr="00BA0028">
        <w:rPr>
          <w:sz w:val="24"/>
          <w:szCs w:val="24"/>
        </w:rPr>
        <w:t xml:space="preserve"> </w:t>
      </w:r>
      <w:r w:rsidR="00657CCA" w:rsidRPr="00BA0028">
        <w:rPr>
          <w:sz w:val="24"/>
          <w:szCs w:val="24"/>
        </w:rPr>
        <w:t>violó de forma</w:t>
      </w:r>
      <w:r w:rsidR="0090111E" w:rsidRPr="00BA0028">
        <w:rPr>
          <w:sz w:val="24"/>
          <w:szCs w:val="24"/>
        </w:rPr>
        <w:t xml:space="preserve"> </w:t>
      </w:r>
      <w:r w:rsidR="00657CCA" w:rsidRPr="00BA0028">
        <w:rPr>
          <w:sz w:val="24"/>
          <w:szCs w:val="24"/>
        </w:rPr>
        <w:t>directa</w:t>
      </w:r>
      <w:r w:rsidR="0090111E" w:rsidRPr="00BA0028">
        <w:rPr>
          <w:sz w:val="24"/>
          <w:szCs w:val="24"/>
        </w:rPr>
        <w:t xml:space="preserve"> la Constitución, u otra comprensión que esté contenida en alguna de las causales que la Corte Constitucional</w:t>
      </w:r>
      <w:r w:rsidR="00814942" w:rsidRPr="00BA0028">
        <w:rPr>
          <w:rStyle w:val="FootnoteReference"/>
          <w:sz w:val="24"/>
          <w:szCs w:val="24"/>
        </w:rPr>
        <w:footnoteReference w:id="16"/>
      </w:r>
      <w:r w:rsidR="0090111E" w:rsidRPr="00BA0028">
        <w:rPr>
          <w:sz w:val="24"/>
          <w:szCs w:val="24"/>
        </w:rPr>
        <w:t xml:space="preserve"> decantó como </w:t>
      </w:r>
      <w:r w:rsidR="00814942" w:rsidRPr="00BA0028">
        <w:rPr>
          <w:sz w:val="24"/>
          <w:szCs w:val="24"/>
        </w:rPr>
        <w:t xml:space="preserve">únicos </w:t>
      </w:r>
      <w:r w:rsidR="0090111E" w:rsidRPr="00BA0028">
        <w:rPr>
          <w:sz w:val="24"/>
          <w:szCs w:val="24"/>
        </w:rPr>
        <w:t xml:space="preserve">requisitos específicos de procedencia de la acción de tutela contra providencia judicial. </w:t>
      </w:r>
      <w:r>
        <w:rPr>
          <w:sz w:val="24"/>
          <w:szCs w:val="24"/>
        </w:rPr>
        <w:t xml:space="preserve">Si pretendía con ellas denunciar una violación directa de la Constitución, lo cierto es que no alcanza a explicar, </w:t>
      </w:r>
      <w:r w:rsidR="00657CCA" w:rsidRPr="00BA0028">
        <w:rPr>
          <w:sz w:val="24"/>
          <w:szCs w:val="24"/>
        </w:rPr>
        <w:t xml:space="preserve">de qué manera el </w:t>
      </w:r>
      <w:r w:rsidR="00657CCA" w:rsidRPr="62968F2C">
        <w:rPr>
          <w:i/>
          <w:iCs/>
          <w:sz w:val="24"/>
          <w:szCs w:val="24"/>
        </w:rPr>
        <w:t xml:space="preserve">ad </w:t>
      </w:r>
      <w:proofErr w:type="spellStart"/>
      <w:r w:rsidR="00657CCA" w:rsidRPr="62968F2C">
        <w:rPr>
          <w:i/>
          <w:iCs/>
          <w:sz w:val="24"/>
          <w:szCs w:val="24"/>
        </w:rPr>
        <w:t>quem</w:t>
      </w:r>
      <w:proofErr w:type="spellEnd"/>
      <w:r w:rsidR="00657CCA" w:rsidRPr="62968F2C">
        <w:rPr>
          <w:i/>
          <w:iCs/>
          <w:sz w:val="24"/>
          <w:szCs w:val="24"/>
        </w:rPr>
        <w:t xml:space="preserve"> </w:t>
      </w:r>
      <w:r w:rsidR="00657CCA" w:rsidRPr="00BA0028">
        <w:rPr>
          <w:sz w:val="24"/>
          <w:szCs w:val="24"/>
        </w:rPr>
        <w:t>ordinario incurri</w:t>
      </w:r>
      <w:r w:rsidR="00E9497E" w:rsidRPr="00BA0028">
        <w:rPr>
          <w:sz w:val="24"/>
          <w:szCs w:val="24"/>
        </w:rPr>
        <w:t xml:space="preserve">ó en una subjetividad moral; o </w:t>
      </w:r>
      <w:r w:rsidR="00657CCA" w:rsidRPr="00BA0028">
        <w:rPr>
          <w:sz w:val="24"/>
          <w:szCs w:val="24"/>
        </w:rPr>
        <w:t>cómo</w:t>
      </w:r>
      <w:r w:rsidR="00E9497E" w:rsidRPr="00BA0028">
        <w:rPr>
          <w:sz w:val="24"/>
          <w:szCs w:val="24"/>
        </w:rPr>
        <w:t>,</w:t>
      </w:r>
      <w:r w:rsidR="00657CCA" w:rsidRPr="00BA0028">
        <w:rPr>
          <w:sz w:val="24"/>
          <w:szCs w:val="24"/>
        </w:rPr>
        <w:t xml:space="preserve"> </w:t>
      </w:r>
      <w:r w:rsidR="00E9497E" w:rsidRPr="00BA0028">
        <w:rPr>
          <w:sz w:val="24"/>
          <w:szCs w:val="24"/>
        </w:rPr>
        <w:t xml:space="preserve">con la medida cuestionada, </w:t>
      </w:r>
      <w:r w:rsidR="00657CCA" w:rsidRPr="00BA0028">
        <w:rPr>
          <w:sz w:val="24"/>
          <w:szCs w:val="24"/>
        </w:rPr>
        <w:t xml:space="preserve">se </w:t>
      </w:r>
      <w:r w:rsidR="00950E81" w:rsidRPr="00BA0028">
        <w:rPr>
          <w:sz w:val="24"/>
          <w:szCs w:val="24"/>
        </w:rPr>
        <w:t>deslegitima</w:t>
      </w:r>
      <w:r w:rsidR="00657CCA" w:rsidRPr="00BA0028">
        <w:rPr>
          <w:sz w:val="24"/>
          <w:szCs w:val="24"/>
        </w:rPr>
        <w:t xml:space="preserve"> la actividad judicial</w:t>
      </w:r>
      <w:r w:rsidR="00E9497E" w:rsidRPr="00BA0028">
        <w:rPr>
          <w:sz w:val="24"/>
          <w:szCs w:val="24"/>
        </w:rPr>
        <w:t xml:space="preserve">, </w:t>
      </w:r>
      <w:r w:rsidR="00657CCA" w:rsidRPr="00BA0028">
        <w:rPr>
          <w:sz w:val="24"/>
          <w:szCs w:val="24"/>
        </w:rPr>
        <w:t xml:space="preserve">o </w:t>
      </w:r>
      <w:r w:rsidR="00E9497E" w:rsidRPr="00BA0028">
        <w:rPr>
          <w:sz w:val="24"/>
          <w:szCs w:val="24"/>
        </w:rPr>
        <w:t>se</w:t>
      </w:r>
      <w:r w:rsidR="00C11F0C" w:rsidRPr="00BA0028">
        <w:rPr>
          <w:sz w:val="24"/>
          <w:szCs w:val="24"/>
        </w:rPr>
        <w:t xml:space="preserve"> desnaturalizan </w:t>
      </w:r>
      <w:r w:rsidR="00657CCA" w:rsidRPr="00BA0028">
        <w:rPr>
          <w:sz w:val="24"/>
          <w:szCs w:val="24"/>
        </w:rPr>
        <w:t xml:space="preserve">las funciones de director de la DEAJ </w:t>
      </w:r>
      <w:r w:rsidR="00E9497E" w:rsidRPr="00BA0028">
        <w:rPr>
          <w:sz w:val="24"/>
          <w:szCs w:val="24"/>
        </w:rPr>
        <w:t xml:space="preserve">a pesar de ser el representante de la Rama Judicial dentro de causas judiciales. </w:t>
      </w:r>
    </w:p>
    <w:p w14:paraId="068AEFA6" w14:textId="77777777" w:rsidR="007148B2" w:rsidRPr="00BA0028" w:rsidRDefault="007148B2" w:rsidP="62968F2C">
      <w:pPr>
        <w:spacing w:line="276" w:lineRule="auto"/>
        <w:contextualSpacing/>
        <w:rPr>
          <w:sz w:val="24"/>
          <w:szCs w:val="24"/>
        </w:rPr>
      </w:pPr>
    </w:p>
    <w:p w14:paraId="1EA55014" w14:textId="344B95FD" w:rsidR="001A736E" w:rsidRPr="00BA0028" w:rsidRDefault="001A736E" w:rsidP="62968F2C">
      <w:pPr>
        <w:tabs>
          <w:tab w:val="center" w:pos="4561"/>
        </w:tabs>
        <w:spacing w:line="276" w:lineRule="auto"/>
        <w:rPr>
          <w:sz w:val="24"/>
          <w:szCs w:val="24"/>
        </w:rPr>
      </w:pPr>
      <w:r w:rsidRPr="62968F2C">
        <w:rPr>
          <w:sz w:val="24"/>
          <w:szCs w:val="24"/>
        </w:rPr>
        <w:t>En consecuencia, los anteriores reproches no superan los requisitos general</w:t>
      </w:r>
      <w:r w:rsidR="006A62B6" w:rsidRPr="62968F2C">
        <w:rPr>
          <w:sz w:val="24"/>
          <w:szCs w:val="24"/>
        </w:rPr>
        <w:t>es</w:t>
      </w:r>
      <w:r w:rsidRPr="62968F2C">
        <w:rPr>
          <w:sz w:val="24"/>
          <w:szCs w:val="24"/>
        </w:rPr>
        <w:t xml:space="preserve"> de </w:t>
      </w:r>
      <w:r w:rsidRPr="62968F2C">
        <w:rPr>
          <w:b/>
          <w:bCs/>
          <w:sz w:val="24"/>
          <w:szCs w:val="24"/>
        </w:rPr>
        <w:t>exposición suficiente de hechos y argumentos y de rel</w:t>
      </w:r>
      <w:r w:rsidR="006A62B6" w:rsidRPr="62968F2C">
        <w:rPr>
          <w:b/>
          <w:bCs/>
          <w:sz w:val="24"/>
          <w:szCs w:val="24"/>
        </w:rPr>
        <w:t>evancia constitucional</w:t>
      </w:r>
      <w:r w:rsidR="006A62B6" w:rsidRPr="62968F2C">
        <w:rPr>
          <w:sz w:val="24"/>
          <w:szCs w:val="24"/>
        </w:rPr>
        <w:t xml:space="preserve">, pues los </w:t>
      </w:r>
      <w:r w:rsidRPr="62968F2C">
        <w:rPr>
          <w:sz w:val="24"/>
          <w:szCs w:val="24"/>
        </w:rPr>
        <w:t>asunto</w:t>
      </w:r>
      <w:r w:rsidR="006A62B6" w:rsidRPr="62968F2C">
        <w:rPr>
          <w:sz w:val="24"/>
          <w:szCs w:val="24"/>
        </w:rPr>
        <w:t>s</w:t>
      </w:r>
      <w:r w:rsidRPr="62968F2C">
        <w:rPr>
          <w:sz w:val="24"/>
          <w:szCs w:val="24"/>
        </w:rPr>
        <w:t xml:space="preserve"> plantea</w:t>
      </w:r>
      <w:r w:rsidR="006A62B6" w:rsidRPr="62968F2C">
        <w:rPr>
          <w:sz w:val="24"/>
          <w:szCs w:val="24"/>
        </w:rPr>
        <w:t xml:space="preserve">dos se quedan en apreciaciones subjetivas de la </w:t>
      </w:r>
      <w:r w:rsidR="000F636A" w:rsidRPr="62968F2C">
        <w:rPr>
          <w:sz w:val="24"/>
          <w:szCs w:val="24"/>
        </w:rPr>
        <w:t>accionante</w:t>
      </w:r>
      <w:r w:rsidR="006A62B6" w:rsidRPr="62968F2C">
        <w:rPr>
          <w:sz w:val="24"/>
          <w:szCs w:val="24"/>
        </w:rPr>
        <w:t xml:space="preserve"> y</w:t>
      </w:r>
      <w:r w:rsidRPr="62968F2C">
        <w:rPr>
          <w:sz w:val="24"/>
          <w:szCs w:val="24"/>
        </w:rPr>
        <w:t xml:space="preserve"> no consiste</w:t>
      </w:r>
      <w:r w:rsidR="006A62B6" w:rsidRPr="62968F2C">
        <w:rPr>
          <w:sz w:val="24"/>
          <w:szCs w:val="24"/>
        </w:rPr>
        <w:t>n</w:t>
      </w:r>
      <w:r w:rsidRPr="62968F2C">
        <w:rPr>
          <w:sz w:val="24"/>
          <w:szCs w:val="24"/>
        </w:rPr>
        <w:t xml:space="preserve"> en la posible vulneración de derechos fundamentales con ocasión de la configuración de alguna de las causales de procedencia de la acción de tutela</w:t>
      </w:r>
      <w:r w:rsidR="006A62B6" w:rsidRPr="62968F2C">
        <w:rPr>
          <w:sz w:val="24"/>
          <w:szCs w:val="24"/>
        </w:rPr>
        <w:t xml:space="preserve"> contra providencia judicial.</w:t>
      </w:r>
    </w:p>
    <w:p w14:paraId="5ED49857" w14:textId="77777777" w:rsidR="002C2628" w:rsidRPr="00BA0028" w:rsidRDefault="002C2628" w:rsidP="62968F2C">
      <w:pPr>
        <w:spacing w:line="276" w:lineRule="auto"/>
        <w:contextualSpacing/>
        <w:rPr>
          <w:sz w:val="24"/>
          <w:szCs w:val="24"/>
        </w:rPr>
      </w:pPr>
    </w:p>
    <w:p w14:paraId="73ECC306" w14:textId="0A094D4E" w:rsidR="00BB65E6" w:rsidRPr="00BB65E6" w:rsidRDefault="00BB65E6" w:rsidP="62968F2C">
      <w:pPr>
        <w:spacing w:line="276" w:lineRule="auto"/>
        <w:contextualSpacing/>
        <w:rPr>
          <w:sz w:val="24"/>
          <w:szCs w:val="24"/>
        </w:rPr>
      </w:pPr>
      <w:r w:rsidRPr="62968F2C">
        <w:rPr>
          <w:b/>
          <w:bCs/>
          <w:sz w:val="24"/>
          <w:szCs w:val="24"/>
        </w:rPr>
        <w:t>2.2.2</w:t>
      </w:r>
      <w:r w:rsidR="0019789B" w:rsidRPr="62968F2C">
        <w:rPr>
          <w:b/>
          <w:bCs/>
          <w:sz w:val="24"/>
          <w:szCs w:val="24"/>
        </w:rPr>
        <w:t xml:space="preserve">. La </w:t>
      </w:r>
      <w:r w:rsidRPr="62968F2C">
        <w:rPr>
          <w:b/>
          <w:bCs/>
          <w:sz w:val="24"/>
          <w:szCs w:val="24"/>
        </w:rPr>
        <w:t>segunda</w:t>
      </w:r>
      <w:r w:rsidR="0019789B" w:rsidRPr="62968F2C">
        <w:rPr>
          <w:b/>
          <w:bCs/>
          <w:sz w:val="24"/>
          <w:szCs w:val="24"/>
        </w:rPr>
        <w:t xml:space="preserve"> protesta</w:t>
      </w:r>
      <w:r w:rsidR="0019789B" w:rsidRPr="62968F2C">
        <w:rPr>
          <w:sz w:val="24"/>
          <w:szCs w:val="24"/>
        </w:rPr>
        <w:t xml:space="preserve"> de la </w:t>
      </w:r>
      <w:r w:rsidR="00950E81" w:rsidRPr="62968F2C">
        <w:rPr>
          <w:sz w:val="24"/>
          <w:szCs w:val="24"/>
        </w:rPr>
        <w:t xml:space="preserve">parte </w:t>
      </w:r>
      <w:r w:rsidR="0019789B" w:rsidRPr="62968F2C">
        <w:rPr>
          <w:sz w:val="24"/>
          <w:szCs w:val="24"/>
        </w:rPr>
        <w:t>ac</w:t>
      </w:r>
      <w:r w:rsidR="00950E81" w:rsidRPr="62968F2C">
        <w:rPr>
          <w:sz w:val="24"/>
          <w:szCs w:val="24"/>
        </w:rPr>
        <w:t>cionante radica en que</w:t>
      </w:r>
      <w:r w:rsidR="0019789B" w:rsidRPr="62968F2C">
        <w:rPr>
          <w:sz w:val="24"/>
          <w:szCs w:val="24"/>
        </w:rPr>
        <w:t xml:space="preserve"> la orden </w:t>
      </w:r>
      <w:r w:rsidR="00950E81" w:rsidRPr="62968F2C">
        <w:rPr>
          <w:sz w:val="24"/>
          <w:szCs w:val="24"/>
        </w:rPr>
        <w:t>emitida por la Subsección B para reparar la vulneración al</w:t>
      </w:r>
      <w:r w:rsidR="0019789B" w:rsidRPr="62968F2C">
        <w:rPr>
          <w:sz w:val="24"/>
          <w:szCs w:val="24"/>
        </w:rPr>
        <w:t xml:space="preserve"> buen nombre de los </w:t>
      </w:r>
      <w:r w:rsidR="002D5684" w:rsidRPr="62968F2C">
        <w:rPr>
          <w:sz w:val="24"/>
          <w:szCs w:val="24"/>
        </w:rPr>
        <w:t>demandantes</w:t>
      </w:r>
      <w:r w:rsidR="649C01D1" w:rsidRPr="62968F2C">
        <w:rPr>
          <w:sz w:val="24"/>
          <w:szCs w:val="24"/>
        </w:rPr>
        <w:t xml:space="preserve"> </w:t>
      </w:r>
      <w:r w:rsidRPr="62968F2C">
        <w:rPr>
          <w:sz w:val="24"/>
          <w:szCs w:val="24"/>
        </w:rPr>
        <w:lastRenderedPageBreak/>
        <w:t xml:space="preserve">vulneró los principios de </w:t>
      </w:r>
      <w:r w:rsidRPr="62968F2C">
        <w:rPr>
          <w:i/>
          <w:iCs/>
          <w:sz w:val="24"/>
          <w:szCs w:val="24"/>
        </w:rPr>
        <w:t xml:space="preserve">no </w:t>
      </w:r>
      <w:proofErr w:type="spellStart"/>
      <w:r w:rsidRPr="62968F2C">
        <w:rPr>
          <w:i/>
          <w:iCs/>
          <w:sz w:val="24"/>
          <w:szCs w:val="24"/>
        </w:rPr>
        <w:t>reformatio</w:t>
      </w:r>
      <w:proofErr w:type="spellEnd"/>
      <w:r w:rsidRPr="62968F2C">
        <w:rPr>
          <w:i/>
          <w:iCs/>
          <w:sz w:val="24"/>
          <w:szCs w:val="24"/>
        </w:rPr>
        <w:t xml:space="preserve"> in </w:t>
      </w:r>
      <w:proofErr w:type="spellStart"/>
      <w:r w:rsidRPr="62968F2C">
        <w:rPr>
          <w:i/>
          <w:iCs/>
          <w:sz w:val="24"/>
          <w:szCs w:val="24"/>
        </w:rPr>
        <w:t>pejus</w:t>
      </w:r>
      <w:proofErr w:type="spellEnd"/>
      <w:r w:rsidRPr="62968F2C">
        <w:rPr>
          <w:sz w:val="24"/>
          <w:szCs w:val="24"/>
        </w:rPr>
        <w:t>, justicia rogada, legalidad y congruencia procesal, en la medida en que ordenó al director de la DEAJ que ofreciera disculpas a la víctima de la privación de la libertad y a su familia, para reparar el derecho al buen nombre.</w:t>
      </w:r>
    </w:p>
    <w:p w14:paraId="0C95B30C" w14:textId="77777777" w:rsidR="00BB65E6" w:rsidRPr="00BB65E6" w:rsidRDefault="00BB65E6" w:rsidP="62968F2C">
      <w:pPr>
        <w:contextualSpacing/>
        <w:rPr>
          <w:sz w:val="24"/>
          <w:szCs w:val="24"/>
        </w:rPr>
      </w:pPr>
    </w:p>
    <w:p w14:paraId="3A092308" w14:textId="7F7920F8" w:rsidR="00BB65E6" w:rsidRPr="00BB65E6" w:rsidRDefault="00BB65E6" w:rsidP="62968F2C">
      <w:pPr>
        <w:contextualSpacing/>
        <w:rPr>
          <w:sz w:val="24"/>
          <w:szCs w:val="24"/>
        </w:rPr>
      </w:pPr>
      <w:r w:rsidRPr="62968F2C">
        <w:rPr>
          <w:sz w:val="24"/>
          <w:szCs w:val="24"/>
        </w:rPr>
        <w:t xml:space="preserve">Este reproche, si bien en principio tiene la apariencia de ser autónomo, lo cierto es que está sustentado en el escrito de tutela en que la orden de pedir disculpas para reparar el buen nombre de los </w:t>
      </w:r>
      <w:proofErr w:type="gramStart"/>
      <w:r w:rsidRPr="62968F2C">
        <w:rPr>
          <w:sz w:val="24"/>
          <w:szCs w:val="24"/>
        </w:rPr>
        <w:t>demandantes,</w:t>
      </w:r>
      <w:proofErr w:type="gramEnd"/>
      <w:r w:rsidRPr="62968F2C">
        <w:rPr>
          <w:sz w:val="24"/>
          <w:szCs w:val="24"/>
        </w:rPr>
        <w:t xml:space="preserve"> careció de todo tipo de motivación legal, jurisprudencial y probatoria que explicara las razones por las que la autoridad judicial cuestionada acudió a est</w:t>
      </w:r>
      <w:r w:rsidR="0024292B" w:rsidRPr="62968F2C">
        <w:rPr>
          <w:sz w:val="24"/>
          <w:szCs w:val="24"/>
        </w:rPr>
        <w:t>a</w:t>
      </w:r>
      <w:r w:rsidRPr="62968F2C">
        <w:rPr>
          <w:sz w:val="24"/>
          <w:szCs w:val="24"/>
        </w:rPr>
        <w:t xml:space="preserve"> </w:t>
      </w:r>
      <w:r w:rsidR="0024292B" w:rsidRPr="62968F2C">
        <w:rPr>
          <w:sz w:val="24"/>
          <w:szCs w:val="24"/>
        </w:rPr>
        <w:t xml:space="preserve">modalidad </w:t>
      </w:r>
      <w:r w:rsidRPr="62968F2C">
        <w:rPr>
          <w:sz w:val="24"/>
          <w:szCs w:val="24"/>
        </w:rPr>
        <w:t xml:space="preserve">de reparación y la concedió. </w:t>
      </w:r>
    </w:p>
    <w:p w14:paraId="700CBF35" w14:textId="77777777" w:rsidR="00BB65E6" w:rsidRPr="00BB65E6" w:rsidRDefault="00BB65E6" w:rsidP="62968F2C">
      <w:pPr>
        <w:contextualSpacing/>
        <w:rPr>
          <w:sz w:val="24"/>
          <w:szCs w:val="24"/>
        </w:rPr>
      </w:pPr>
    </w:p>
    <w:p w14:paraId="6D04322F" w14:textId="77777777" w:rsidR="00BB65E6" w:rsidRPr="001A7068" w:rsidRDefault="00BB65E6" w:rsidP="62968F2C">
      <w:pPr>
        <w:contextualSpacing/>
        <w:rPr>
          <w:sz w:val="24"/>
          <w:szCs w:val="24"/>
        </w:rPr>
      </w:pPr>
      <w:r w:rsidRPr="62968F2C">
        <w:rPr>
          <w:sz w:val="24"/>
          <w:szCs w:val="24"/>
        </w:rPr>
        <w:t xml:space="preserve">En tal sentido, la Sala abordará todos los anteriores argumentos a la luz del defecto de falta de motivación, ya que es la cuestión que en esencia recoge la inconformidad de la tutelante, entendida esta, en términos del artículo 86 Superior, como la acción u omisión en que incurrió el </w:t>
      </w:r>
      <w:r w:rsidRPr="62968F2C">
        <w:rPr>
          <w:i/>
          <w:iCs/>
          <w:sz w:val="24"/>
          <w:szCs w:val="24"/>
        </w:rPr>
        <w:t xml:space="preserve">ad </w:t>
      </w:r>
      <w:proofErr w:type="spellStart"/>
      <w:r w:rsidRPr="62968F2C">
        <w:rPr>
          <w:i/>
          <w:iCs/>
          <w:sz w:val="24"/>
          <w:szCs w:val="24"/>
        </w:rPr>
        <w:t>quem</w:t>
      </w:r>
      <w:proofErr w:type="spellEnd"/>
      <w:r w:rsidRPr="62968F2C">
        <w:rPr>
          <w:i/>
          <w:iCs/>
          <w:sz w:val="24"/>
          <w:szCs w:val="24"/>
        </w:rPr>
        <w:t xml:space="preserve"> </w:t>
      </w:r>
      <w:r w:rsidRPr="62968F2C">
        <w:rPr>
          <w:sz w:val="24"/>
          <w:szCs w:val="24"/>
        </w:rPr>
        <w:t>ordinario que se acusa de violar garantías constitucionales.</w:t>
      </w:r>
    </w:p>
    <w:p w14:paraId="34103669" w14:textId="77777777" w:rsidR="00BB65E6" w:rsidRDefault="00BB65E6" w:rsidP="62968F2C">
      <w:pPr>
        <w:contextualSpacing/>
        <w:rPr>
          <w:sz w:val="24"/>
          <w:szCs w:val="24"/>
        </w:rPr>
      </w:pPr>
    </w:p>
    <w:p w14:paraId="19715A66" w14:textId="77777777" w:rsidR="00BB65E6" w:rsidRPr="007148B2" w:rsidRDefault="00BB65E6" w:rsidP="62968F2C">
      <w:pPr>
        <w:contextualSpacing/>
        <w:rPr>
          <w:sz w:val="24"/>
          <w:szCs w:val="24"/>
        </w:rPr>
      </w:pPr>
      <w:r w:rsidRPr="62968F2C">
        <w:rPr>
          <w:sz w:val="24"/>
          <w:szCs w:val="24"/>
        </w:rPr>
        <w:t xml:space="preserve">En consecuencia, estos reproches superan los requisitos de carga argumentativa y de relevancia constitucional, por cuanto proponen la vulneración de derechos fundamentales a partir del incumplimiento de una obligación en que pudo incurrir la Subsección B de la Sección Tercera del Consejo de Estado en la sentencia del 22 de octubre de 2020, y su posible configuración es un aspecto definitivo para la protección del derecho al debido proceso en su dimensión constitucional. </w:t>
      </w:r>
    </w:p>
    <w:p w14:paraId="66EC7C81" w14:textId="77777777" w:rsidR="00BB65E6" w:rsidRPr="001A7068" w:rsidRDefault="00BB65E6" w:rsidP="62968F2C">
      <w:pPr>
        <w:contextualSpacing/>
        <w:rPr>
          <w:sz w:val="24"/>
          <w:szCs w:val="24"/>
        </w:rPr>
      </w:pPr>
    </w:p>
    <w:p w14:paraId="21393A13" w14:textId="46965247" w:rsidR="00A71B9B" w:rsidRPr="00BA0028" w:rsidRDefault="005F37AF" w:rsidP="62968F2C">
      <w:pPr>
        <w:spacing w:line="276" w:lineRule="auto"/>
        <w:contextualSpacing/>
        <w:rPr>
          <w:sz w:val="24"/>
          <w:szCs w:val="24"/>
        </w:rPr>
      </w:pPr>
      <w:r w:rsidRPr="62968F2C">
        <w:rPr>
          <w:sz w:val="24"/>
          <w:szCs w:val="24"/>
          <w:lang w:val="es-ES"/>
        </w:rPr>
        <w:t xml:space="preserve">El presupuesto de </w:t>
      </w:r>
      <w:r w:rsidR="00A71B9B" w:rsidRPr="62968F2C">
        <w:rPr>
          <w:b/>
          <w:bCs/>
          <w:sz w:val="24"/>
          <w:szCs w:val="24"/>
          <w:lang w:val="es-ES"/>
        </w:rPr>
        <w:t>subsidiariedad</w:t>
      </w:r>
      <w:r w:rsidR="00A71B9B" w:rsidRPr="62968F2C">
        <w:rPr>
          <w:sz w:val="24"/>
          <w:szCs w:val="24"/>
          <w:lang w:val="es-ES"/>
        </w:rPr>
        <w:t xml:space="preserve"> </w:t>
      </w:r>
      <w:r w:rsidR="00A71B9B" w:rsidRPr="62968F2C">
        <w:rPr>
          <w:sz w:val="24"/>
          <w:szCs w:val="24"/>
        </w:rPr>
        <w:t>también se encuentra satisfech</w:t>
      </w:r>
      <w:r w:rsidRPr="62968F2C">
        <w:rPr>
          <w:sz w:val="24"/>
          <w:szCs w:val="24"/>
        </w:rPr>
        <w:t>o</w:t>
      </w:r>
      <w:r w:rsidR="00A71B9B" w:rsidRPr="62968F2C">
        <w:rPr>
          <w:sz w:val="24"/>
          <w:szCs w:val="24"/>
        </w:rPr>
        <w:t>, porque no procede mecanismo judicial ordinario o extraordinario alguno para controvertir la providencia a través</w:t>
      </w:r>
      <w:r w:rsidR="00DF3831" w:rsidRPr="62968F2C">
        <w:rPr>
          <w:sz w:val="24"/>
          <w:szCs w:val="24"/>
        </w:rPr>
        <w:t xml:space="preserve"> del</w:t>
      </w:r>
      <w:r w:rsidR="00A71B9B" w:rsidRPr="62968F2C">
        <w:rPr>
          <w:sz w:val="24"/>
          <w:szCs w:val="24"/>
        </w:rPr>
        <w:t xml:space="preserve"> defec</w:t>
      </w:r>
      <w:r w:rsidR="00DF3831" w:rsidRPr="62968F2C">
        <w:rPr>
          <w:sz w:val="24"/>
          <w:szCs w:val="24"/>
        </w:rPr>
        <w:t>to endilgado</w:t>
      </w:r>
      <w:r w:rsidR="00A71B9B" w:rsidRPr="62968F2C">
        <w:rPr>
          <w:sz w:val="24"/>
          <w:szCs w:val="24"/>
        </w:rPr>
        <w:t>, proferida en segunda instancia y objeto de la presente solicitud de tutela, que resolvió de fondo el asunto. En consecuencia, la Sala continuará con el examen de los demás requisitos generales y, de ser superados, procederá a emitir un pronunciamiento de fondo.</w:t>
      </w:r>
    </w:p>
    <w:p w14:paraId="1DBA2AE0" w14:textId="77777777" w:rsidR="00A71B9B" w:rsidRPr="00BA0028" w:rsidRDefault="00A71B9B" w:rsidP="62968F2C">
      <w:pPr>
        <w:spacing w:line="276" w:lineRule="auto"/>
        <w:contextualSpacing/>
        <w:rPr>
          <w:sz w:val="24"/>
          <w:szCs w:val="24"/>
        </w:rPr>
      </w:pPr>
    </w:p>
    <w:p w14:paraId="223B51D4" w14:textId="66209DDF" w:rsidR="00A71B9B" w:rsidRPr="00BA0028" w:rsidRDefault="00A71B9B" w:rsidP="00B73871">
      <w:pPr>
        <w:spacing w:line="276" w:lineRule="auto"/>
        <w:contextualSpacing/>
        <w:rPr>
          <w:rFonts w:eastAsia="Verdana"/>
          <w:sz w:val="24"/>
          <w:szCs w:val="24"/>
          <w:lang w:val="es-ES"/>
        </w:rPr>
      </w:pPr>
      <w:r w:rsidRPr="62968F2C">
        <w:rPr>
          <w:b/>
          <w:bCs/>
          <w:sz w:val="24"/>
          <w:szCs w:val="24"/>
        </w:rPr>
        <w:t xml:space="preserve">2.3. </w:t>
      </w:r>
      <w:r w:rsidRPr="00BA0028">
        <w:rPr>
          <w:sz w:val="24"/>
          <w:szCs w:val="24"/>
        </w:rPr>
        <w:t xml:space="preserve">La acción de tutela se instauró oportunamente, en términos del requisito de la </w:t>
      </w:r>
      <w:r w:rsidRPr="62968F2C">
        <w:rPr>
          <w:b/>
          <w:bCs/>
          <w:sz w:val="24"/>
          <w:szCs w:val="24"/>
        </w:rPr>
        <w:t>inmediatez</w:t>
      </w:r>
      <w:r w:rsidRPr="00BA0028">
        <w:rPr>
          <w:sz w:val="24"/>
          <w:szCs w:val="24"/>
        </w:rPr>
        <w:t xml:space="preserve">, porque la sentencia reprochada de la Subsección B de la </w:t>
      </w:r>
      <w:r w:rsidRPr="62968F2C">
        <w:rPr>
          <w:sz w:val="24"/>
          <w:szCs w:val="24"/>
        </w:rPr>
        <w:t xml:space="preserve">Sala Tercera del </w:t>
      </w:r>
      <w:r w:rsidR="00893887" w:rsidRPr="62968F2C">
        <w:rPr>
          <w:sz w:val="24"/>
          <w:szCs w:val="24"/>
        </w:rPr>
        <w:t>Consejo</w:t>
      </w:r>
      <w:r w:rsidRPr="00BA0028">
        <w:rPr>
          <w:rFonts w:eastAsia="Arial"/>
          <w:sz w:val="24"/>
          <w:szCs w:val="24"/>
        </w:rPr>
        <w:t xml:space="preserve"> fue notificada el </w:t>
      </w:r>
      <w:r w:rsidR="00EB55D6" w:rsidRPr="00BA0028">
        <w:rPr>
          <w:rFonts w:eastAsia="Arial"/>
          <w:sz w:val="24"/>
          <w:szCs w:val="24"/>
        </w:rPr>
        <w:t>22 de octubre de 2020</w:t>
      </w:r>
      <w:r w:rsidR="00DF3831" w:rsidRPr="00BA0028">
        <w:rPr>
          <w:rStyle w:val="FootnoteReference"/>
          <w:rFonts w:eastAsia="Arial"/>
          <w:sz w:val="24"/>
          <w:szCs w:val="24"/>
        </w:rPr>
        <w:footnoteReference w:id="17"/>
      </w:r>
      <w:r w:rsidR="00EB55D6" w:rsidRPr="00BA0028">
        <w:rPr>
          <w:rFonts w:eastAsia="Arial"/>
          <w:sz w:val="24"/>
          <w:szCs w:val="24"/>
        </w:rPr>
        <w:t>,</w:t>
      </w:r>
      <w:r w:rsidRPr="00BA0028">
        <w:rPr>
          <w:sz w:val="24"/>
          <w:szCs w:val="24"/>
        </w:rPr>
        <w:t xml:space="preserve"> y </w:t>
      </w:r>
      <w:r w:rsidR="006421AE" w:rsidRPr="00BA0028">
        <w:rPr>
          <w:sz w:val="24"/>
          <w:szCs w:val="24"/>
        </w:rPr>
        <w:t>la entidad accionante</w:t>
      </w:r>
      <w:r w:rsidRPr="00BA0028">
        <w:rPr>
          <w:sz w:val="24"/>
          <w:szCs w:val="24"/>
        </w:rPr>
        <w:t xml:space="preserve"> presentó la solicitud de amparo el </w:t>
      </w:r>
      <w:r w:rsidR="006421AE" w:rsidRPr="00BA0028">
        <w:rPr>
          <w:sz w:val="24"/>
          <w:szCs w:val="24"/>
        </w:rPr>
        <w:t>11</w:t>
      </w:r>
      <w:r w:rsidRPr="00BA0028">
        <w:rPr>
          <w:sz w:val="24"/>
          <w:szCs w:val="24"/>
        </w:rPr>
        <w:t xml:space="preserve"> de </w:t>
      </w:r>
      <w:r w:rsidR="006421AE" w:rsidRPr="00BA0028">
        <w:rPr>
          <w:sz w:val="24"/>
          <w:szCs w:val="24"/>
        </w:rPr>
        <w:t>diciembre</w:t>
      </w:r>
      <w:r w:rsidRPr="00BA0028">
        <w:rPr>
          <w:sz w:val="24"/>
          <w:szCs w:val="24"/>
        </w:rPr>
        <w:t xml:space="preserve"> de</w:t>
      </w:r>
      <w:r w:rsidR="00EB55D6" w:rsidRPr="00BA0028">
        <w:rPr>
          <w:sz w:val="24"/>
          <w:szCs w:val="24"/>
        </w:rPr>
        <w:t>l mismo año</w:t>
      </w:r>
      <w:r w:rsidRPr="00BA0028">
        <w:rPr>
          <w:sz w:val="24"/>
          <w:szCs w:val="24"/>
        </w:rPr>
        <w:t xml:space="preserve">, </w:t>
      </w:r>
      <w:r w:rsidRPr="00BA0028">
        <w:rPr>
          <w:rFonts w:eastAsia="Verdana"/>
          <w:sz w:val="24"/>
          <w:szCs w:val="24"/>
          <w:lang w:val="es-ES"/>
        </w:rPr>
        <w:t>es decir, dentro del término razonable que la jurisprudencia constitucional ha previsto y que esta Corporación ha establecido de manera general en seis meses</w:t>
      </w:r>
      <w:r w:rsidRPr="00BA0028">
        <w:rPr>
          <w:rFonts w:eastAsia="Verdana"/>
          <w:sz w:val="24"/>
          <w:szCs w:val="24"/>
          <w:vertAlign w:val="superscript"/>
          <w:lang w:val="es-ES"/>
        </w:rPr>
        <w:footnoteReference w:id="18"/>
      </w:r>
      <w:r w:rsidRPr="00BA0028">
        <w:rPr>
          <w:rFonts w:eastAsia="Verdana"/>
          <w:sz w:val="24"/>
          <w:szCs w:val="24"/>
          <w:lang w:val="es-ES"/>
        </w:rPr>
        <w:t>.</w:t>
      </w:r>
    </w:p>
    <w:p w14:paraId="00AC615A" w14:textId="77777777" w:rsidR="00DF3831" w:rsidRPr="00BA0028" w:rsidRDefault="00DF3831" w:rsidP="00B73871">
      <w:pPr>
        <w:spacing w:line="276" w:lineRule="auto"/>
        <w:contextualSpacing/>
        <w:rPr>
          <w:rFonts w:eastAsia="Verdana"/>
          <w:sz w:val="24"/>
          <w:szCs w:val="24"/>
          <w:lang w:val="es-ES"/>
        </w:rPr>
      </w:pPr>
    </w:p>
    <w:p w14:paraId="62FB68B3" w14:textId="4F8D704E" w:rsidR="00A71B9B" w:rsidRPr="00BA0028" w:rsidRDefault="00EB55D6" w:rsidP="62968F2C">
      <w:pPr>
        <w:spacing w:line="276" w:lineRule="auto"/>
        <w:contextualSpacing/>
        <w:rPr>
          <w:sz w:val="24"/>
          <w:szCs w:val="24"/>
          <w:lang w:val="es-ES"/>
        </w:rPr>
      </w:pPr>
      <w:r w:rsidRPr="62968F2C">
        <w:rPr>
          <w:b/>
          <w:bCs/>
          <w:sz w:val="24"/>
          <w:szCs w:val="24"/>
        </w:rPr>
        <w:t>2.4</w:t>
      </w:r>
      <w:r w:rsidR="00A71B9B" w:rsidRPr="62968F2C">
        <w:rPr>
          <w:b/>
          <w:bCs/>
          <w:sz w:val="24"/>
          <w:szCs w:val="24"/>
        </w:rPr>
        <w:t xml:space="preserve">. </w:t>
      </w:r>
      <w:r w:rsidR="00A71B9B" w:rsidRPr="62968F2C">
        <w:rPr>
          <w:sz w:val="24"/>
          <w:szCs w:val="24"/>
          <w:lang w:val="es-ES"/>
        </w:rPr>
        <w:t xml:space="preserve">Finalmente, </w:t>
      </w:r>
      <w:r w:rsidR="006954CD" w:rsidRPr="62968F2C">
        <w:rPr>
          <w:sz w:val="24"/>
          <w:szCs w:val="24"/>
          <w:lang w:val="es-ES"/>
        </w:rPr>
        <w:t>como</w:t>
      </w:r>
      <w:r w:rsidR="00874EEC" w:rsidRPr="62968F2C">
        <w:rPr>
          <w:sz w:val="24"/>
          <w:szCs w:val="24"/>
          <w:lang w:val="es-ES"/>
        </w:rPr>
        <w:t xml:space="preserve"> en</w:t>
      </w:r>
      <w:r w:rsidR="00A71B9B" w:rsidRPr="62968F2C">
        <w:rPr>
          <w:sz w:val="24"/>
          <w:szCs w:val="24"/>
          <w:lang w:val="es-ES"/>
        </w:rPr>
        <w:t xml:space="preserve"> la solicitud de amparo no se argumentó la existencia de alguna irregularidad procesal, ni la providencia cuestionada es una sentencia de tutela</w:t>
      </w:r>
      <w:r w:rsidR="006954CD" w:rsidRPr="62968F2C">
        <w:rPr>
          <w:sz w:val="24"/>
          <w:szCs w:val="24"/>
          <w:lang w:val="es-ES"/>
        </w:rPr>
        <w:t xml:space="preserve">, y </w:t>
      </w:r>
      <w:r w:rsidR="00A71B9B" w:rsidRPr="62968F2C">
        <w:rPr>
          <w:sz w:val="24"/>
          <w:szCs w:val="24"/>
          <w:lang w:val="es-ES"/>
        </w:rPr>
        <w:t xml:space="preserve">la Sala </w:t>
      </w:r>
      <w:r w:rsidR="00253166" w:rsidRPr="62968F2C">
        <w:rPr>
          <w:sz w:val="24"/>
          <w:szCs w:val="24"/>
          <w:lang w:val="es-ES"/>
        </w:rPr>
        <w:t>encuentra</w:t>
      </w:r>
      <w:r w:rsidR="00A71B9B" w:rsidRPr="62968F2C">
        <w:rPr>
          <w:sz w:val="24"/>
          <w:szCs w:val="24"/>
          <w:lang w:val="es-ES"/>
        </w:rPr>
        <w:t xml:space="preserve"> satisfechos los requisitos generales de procedibilidad de la acción</w:t>
      </w:r>
      <w:r w:rsidR="006954CD" w:rsidRPr="62968F2C">
        <w:rPr>
          <w:sz w:val="24"/>
          <w:szCs w:val="24"/>
          <w:lang w:val="es-ES"/>
        </w:rPr>
        <w:t xml:space="preserve">, hay lugar a </w:t>
      </w:r>
      <w:r w:rsidR="00A71B9B" w:rsidRPr="62968F2C">
        <w:rPr>
          <w:sz w:val="24"/>
          <w:szCs w:val="24"/>
          <w:lang w:val="es-ES"/>
        </w:rPr>
        <w:t>avanza</w:t>
      </w:r>
      <w:r w:rsidR="006954CD" w:rsidRPr="62968F2C">
        <w:rPr>
          <w:sz w:val="24"/>
          <w:szCs w:val="24"/>
          <w:lang w:val="es-ES"/>
        </w:rPr>
        <w:t xml:space="preserve">r al </w:t>
      </w:r>
      <w:r w:rsidR="00A71B9B" w:rsidRPr="62968F2C">
        <w:rPr>
          <w:sz w:val="24"/>
          <w:szCs w:val="24"/>
          <w:lang w:val="es-ES"/>
        </w:rPr>
        <w:t>an</w:t>
      </w:r>
      <w:r w:rsidR="006954CD" w:rsidRPr="62968F2C">
        <w:rPr>
          <w:sz w:val="24"/>
          <w:szCs w:val="24"/>
          <w:lang w:val="es-ES"/>
        </w:rPr>
        <w:t>á</w:t>
      </w:r>
      <w:r w:rsidR="00A71B9B" w:rsidRPr="62968F2C">
        <w:rPr>
          <w:sz w:val="24"/>
          <w:szCs w:val="24"/>
          <w:lang w:val="es-ES"/>
        </w:rPr>
        <w:t>li</w:t>
      </w:r>
      <w:r w:rsidR="006954CD" w:rsidRPr="62968F2C">
        <w:rPr>
          <w:sz w:val="24"/>
          <w:szCs w:val="24"/>
          <w:lang w:val="es-ES"/>
        </w:rPr>
        <w:t>sis de</w:t>
      </w:r>
      <w:r w:rsidR="00A71B9B" w:rsidRPr="62968F2C">
        <w:rPr>
          <w:sz w:val="24"/>
          <w:szCs w:val="24"/>
          <w:lang w:val="es-ES"/>
        </w:rPr>
        <w:t xml:space="preserve"> los requisitos específicos de procedencia.</w:t>
      </w:r>
    </w:p>
    <w:p w14:paraId="700B4AB9" w14:textId="0AE2EEC1" w:rsidR="00253166" w:rsidRPr="00BA0028" w:rsidRDefault="00253166" w:rsidP="62968F2C">
      <w:pPr>
        <w:spacing w:line="276" w:lineRule="auto"/>
        <w:contextualSpacing/>
        <w:rPr>
          <w:sz w:val="24"/>
          <w:szCs w:val="24"/>
          <w:lang w:val="es-ES"/>
        </w:rPr>
      </w:pPr>
    </w:p>
    <w:p w14:paraId="3EEE14EB" w14:textId="77777777" w:rsidR="00847534" w:rsidRPr="00BA0028" w:rsidRDefault="00847534" w:rsidP="62968F2C">
      <w:pPr>
        <w:spacing w:line="276" w:lineRule="auto"/>
        <w:contextualSpacing/>
        <w:rPr>
          <w:sz w:val="24"/>
          <w:szCs w:val="24"/>
          <w:lang w:val="es-ES"/>
        </w:rPr>
      </w:pPr>
    </w:p>
    <w:p w14:paraId="0A152EBB" w14:textId="6E47388D" w:rsidR="00A71B9B" w:rsidRPr="00BA0028" w:rsidRDefault="00EB55D6" w:rsidP="62968F2C">
      <w:pPr>
        <w:spacing w:line="276" w:lineRule="auto"/>
        <w:contextualSpacing/>
        <w:rPr>
          <w:b/>
          <w:bCs/>
          <w:sz w:val="24"/>
          <w:szCs w:val="24"/>
        </w:rPr>
      </w:pPr>
      <w:r w:rsidRPr="62968F2C">
        <w:rPr>
          <w:b/>
          <w:bCs/>
          <w:sz w:val="24"/>
          <w:szCs w:val="24"/>
        </w:rPr>
        <w:t>3. Problema jurídico</w:t>
      </w:r>
    </w:p>
    <w:p w14:paraId="04132A37" w14:textId="77777777" w:rsidR="00EB55D6" w:rsidRPr="00BA0028" w:rsidRDefault="00EB55D6" w:rsidP="62968F2C">
      <w:pPr>
        <w:spacing w:line="276" w:lineRule="auto"/>
        <w:contextualSpacing/>
        <w:rPr>
          <w:b/>
          <w:bCs/>
          <w:sz w:val="24"/>
          <w:szCs w:val="24"/>
        </w:rPr>
      </w:pPr>
    </w:p>
    <w:p w14:paraId="4D0D3F89" w14:textId="77777777" w:rsidR="006421AE" w:rsidRPr="00BA0028" w:rsidRDefault="00EB55D6" w:rsidP="62968F2C">
      <w:pPr>
        <w:spacing w:line="276" w:lineRule="auto"/>
        <w:contextualSpacing/>
        <w:rPr>
          <w:sz w:val="24"/>
          <w:szCs w:val="24"/>
        </w:rPr>
      </w:pPr>
      <w:r w:rsidRPr="62968F2C">
        <w:rPr>
          <w:sz w:val="24"/>
          <w:szCs w:val="24"/>
        </w:rPr>
        <w:t>A la Sala le corresponde establecer si la Subsección B de la Sección Tercera del Consejo de Estado vulneró el derecho fundamental al debido proceso de la Nación, Rama Judicial</w:t>
      </w:r>
      <w:r w:rsidR="006421AE" w:rsidRPr="62968F2C">
        <w:rPr>
          <w:sz w:val="24"/>
          <w:szCs w:val="24"/>
        </w:rPr>
        <w:t>-</w:t>
      </w:r>
      <w:r w:rsidRPr="62968F2C">
        <w:rPr>
          <w:sz w:val="24"/>
          <w:szCs w:val="24"/>
        </w:rPr>
        <w:t>Consejo Superior de la Judicatura</w:t>
      </w:r>
      <w:r w:rsidR="006421AE" w:rsidRPr="62968F2C">
        <w:rPr>
          <w:sz w:val="24"/>
          <w:szCs w:val="24"/>
        </w:rPr>
        <w:t>-D</w:t>
      </w:r>
      <w:r w:rsidRPr="62968F2C">
        <w:rPr>
          <w:sz w:val="24"/>
          <w:szCs w:val="24"/>
        </w:rPr>
        <w:t>irección Ejecutiva de Administración Judicial, con la se</w:t>
      </w:r>
      <w:r w:rsidR="006421AE" w:rsidRPr="62968F2C">
        <w:rPr>
          <w:sz w:val="24"/>
          <w:szCs w:val="24"/>
        </w:rPr>
        <w:t>ntencia del 19 de junio</w:t>
      </w:r>
      <w:r w:rsidR="00FA4041" w:rsidRPr="62968F2C">
        <w:rPr>
          <w:sz w:val="24"/>
          <w:szCs w:val="24"/>
        </w:rPr>
        <w:t xml:space="preserve"> de 2020.</w:t>
      </w:r>
      <w:r w:rsidRPr="62968F2C">
        <w:rPr>
          <w:sz w:val="24"/>
          <w:szCs w:val="24"/>
        </w:rPr>
        <w:t xml:space="preserve"> </w:t>
      </w:r>
    </w:p>
    <w:p w14:paraId="32D8E33E" w14:textId="77777777" w:rsidR="006421AE" w:rsidRPr="00BA0028" w:rsidRDefault="006421AE" w:rsidP="62968F2C">
      <w:pPr>
        <w:spacing w:line="276" w:lineRule="auto"/>
        <w:contextualSpacing/>
        <w:rPr>
          <w:sz w:val="24"/>
          <w:szCs w:val="24"/>
        </w:rPr>
      </w:pPr>
    </w:p>
    <w:p w14:paraId="1C6CCBEF" w14:textId="462DB2E8" w:rsidR="00EB55D6" w:rsidRPr="00BA0028" w:rsidRDefault="006421AE" w:rsidP="62968F2C">
      <w:pPr>
        <w:spacing w:line="276" w:lineRule="auto"/>
        <w:contextualSpacing/>
        <w:rPr>
          <w:sz w:val="24"/>
          <w:szCs w:val="24"/>
        </w:rPr>
      </w:pPr>
      <w:r w:rsidRPr="62968F2C">
        <w:rPr>
          <w:sz w:val="24"/>
          <w:szCs w:val="24"/>
        </w:rPr>
        <w:t xml:space="preserve">En particular, la Sala tendrá que </w:t>
      </w:r>
      <w:r w:rsidR="00EB55D6" w:rsidRPr="62968F2C">
        <w:rPr>
          <w:sz w:val="24"/>
          <w:szCs w:val="24"/>
        </w:rPr>
        <w:t xml:space="preserve">determinar si </w:t>
      </w:r>
      <w:r w:rsidR="00CF07B0" w:rsidRPr="62968F2C">
        <w:rPr>
          <w:sz w:val="24"/>
          <w:szCs w:val="24"/>
        </w:rPr>
        <w:t xml:space="preserve">la </w:t>
      </w:r>
      <w:r w:rsidRPr="62968F2C">
        <w:rPr>
          <w:sz w:val="24"/>
          <w:szCs w:val="24"/>
        </w:rPr>
        <w:t>Subsección B de la Sección Tercera del Consejo de Estado</w:t>
      </w:r>
      <w:r w:rsidR="00CF07B0" w:rsidRPr="62968F2C">
        <w:rPr>
          <w:sz w:val="24"/>
          <w:szCs w:val="24"/>
        </w:rPr>
        <w:t xml:space="preserve">, </w:t>
      </w:r>
      <w:r w:rsidRPr="62968F2C">
        <w:rPr>
          <w:sz w:val="24"/>
          <w:szCs w:val="24"/>
        </w:rPr>
        <w:t xml:space="preserve">incurrió en un defecto por decisión sin motivación, </w:t>
      </w:r>
      <w:r w:rsidR="00CF07B0" w:rsidRPr="62968F2C">
        <w:rPr>
          <w:sz w:val="24"/>
          <w:szCs w:val="24"/>
        </w:rPr>
        <w:t xml:space="preserve">al imponer </w:t>
      </w:r>
      <w:r w:rsidR="00253166" w:rsidRPr="62968F2C">
        <w:rPr>
          <w:sz w:val="24"/>
          <w:szCs w:val="24"/>
        </w:rPr>
        <w:t>la orden de reparar el buen nombre de los de</w:t>
      </w:r>
      <w:r w:rsidRPr="62968F2C">
        <w:rPr>
          <w:sz w:val="24"/>
          <w:szCs w:val="24"/>
        </w:rPr>
        <w:t xml:space="preserve">mandantes del proceso ordinario. </w:t>
      </w:r>
    </w:p>
    <w:p w14:paraId="24AC27DA" w14:textId="77777777" w:rsidR="00CF07B0" w:rsidRPr="00BA0028" w:rsidRDefault="00CF07B0" w:rsidP="62968F2C">
      <w:pPr>
        <w:spacing w:line="276" w:lineRule="auto"/>
        <w:contextualSpacing/>
        <w:rPr>
          <w:sz w:val="24"/>
          <w:szCs w:val="24"/>
        </w:rPr>
      </w:pPr>
    </w:p>
    <w:p w14:paraId="39147D66" w14:textId="65949B33" w:rsidR="00CF07B0" w:rsidRPr="00BA0028" w:rsidRDefault="00CF07B0" w:rsidP="62968F2C">
      <w:pPr>
        <w:spacing w:line="276" w:lineRule="auto"/>
        <w:contextualSpacing/>
        <w:rPr>
          <w:sz w:val="24"/>
          <w:szCs w:val="24"/>
        </w:rPr>
      </w:pPr>
      <w:r w:rsidRPr="62968F2C">
        <w:rPr>
          <w:sz w:val="24"/>
          <w:szCs w:val="24"/>
        </w:rPr>
        <w:t>Para dar solución al pro</w:t>
      </w:r>
      <w:r w:rsidR="006421AE" w:rsidRPr="62968F2C">
        <w:rPr>
          <w:sz w:val="24"/>
          <w:szCs w:val="24"/>
        </w:rPr>
        <w:t>blema jurídico, la Sala hará la</w:t>
      </w:r>
      <w:r w:rsidRPr="62968F2C">
        <w:rPr>
          <w:sz w:val="24"/>
          <w:szCs w:val="24"/>
        </w:rPr>
        <w:t>s</w:t>
      </w:r>
      <w:r w:rsidR="006421AE" w:rsidRPr="62968F2C">
        <w:rPr>
          <w:sz w:val="24"/>
          <w:szCs w:val="24"/>
        </w:rPr>
        <w:t xml:space="preserve"> siguientes precisiones. E</w:t>
      </w:r>
      <w:r w:rsidRPr="62968F2C">
        <w:rPr>
          <w:sz w:val="24"/>
          <w:szCs w:val="24"/>
        </w:rPr>
        <w:t>n primer lugar,</w:t>
      </w:r>
      <w:r w:rsidR="004F3195" w:rsidRPr="62968F2C">
        <w:rPr>
          <w:sz w:val="24"/>
          <w:szCs w:val="24"/>
        </w:rPr>
        <w:t xml:space="preserve"> (3.1.)</w:t>
      </w:r>
      <w:r w:rsidRPr="62968F2C">
        <w:rPr>
          <w:sz w:val="24"/>
          <w:szCs w:val="24"/>
        </w:rPr>
        <w:t xml:space="preserve"> relaciona</w:t>
      </w:r>
      <w:r w:rsidR="004F3195" w:rsidRPr="62968F2C">
        <w:rPr>
          <w:sz w:val="24"/>
          <w:szCs w:val="24"/>
        </w:rPr>
        <w:t>das con el mencionado defecto</w:t>
      </w:r>
      <w:r w:rsidR="009667AF" w:rsidRPr="62968F2C">
        <w:rPr>
          <w:sz w:val="24"/>
          <w:szCs w:val="24"/>
        </w:rPr>
        <w:t>;</w:t>
      </w:r>
      <w:r w:rsidRPr="62968F2C">
        <w:rPr>
          <w:sz w:val="24"/>
          <w:szCs w:val="24"/>
        </w:rPr>
        <w:t xml:space="preserve"> posteriormente, </w:t>
      </w:r>
      <w:r w:rsidR="004F3195" w:rsidRPr="62968F2C">
        <w:rPr>
          <w:sz w:val="24"/>
          <w:szCs w:val="24"/>
        </w:rPr>
        <w:t xml:space="preserve">(3.2.) </w:t>
      </w:r>
      <w:r w:rsidRPr="62968F2C">
        <w:rPr>
          <w:sz w:val="24"/>
          <w:szCs w:val="24"/>
        </w:rPr>
        <w:t>con</w:t>
      </w:r>
      <w:r w:rsidR="009667AF" w:rsidRPr="62968F2C">
        <w:rPr>
          <w:sz w:val="24"/>
          <w:szCs w:val="24"/>
        </w:rPr>
        <w:t xml:space="preserve"> los</w:t>
      </w:r>
      <w:r w:rsidR="00760F45" w:rsidRPr="62968F2C">
        <w:rPr>
          <w:sz w:val="24"/>
          <w:szCs w:val="24"/>
        </w:rPr>
        <w:t xml:space="preserve"> daños inmateriales derivados de </w:t>
      </w:r>
      <w:r w:rsidR="00FA4041" w:rsidRPr="62968F2C">
        <w:rPr>
          <w:sz w:val="24"/>
          <w:szCs w:val="24"/>
        </w:rPr>
        <w:t>a</w:t>
      </w:r>
      <w:r w:rsidR="00760F45" w:rsidRPr="62968F2C">
        <w:rPr>
          <w:sz w:val="24"/>
          <w:szCs w:val="24"/>
        </w:rPr>
        <w:t>fectaciones relevantes a bienes o derechos convencional y constitucionalmente</w:t>
      </w:r>
      <w:r w:rsidR="009667AF" w:rsidRPr="62968F2C">
        <w:rPr>
          <w:sz w:val="24"/>
          <w:szCs w:val="24"/>
        </w:rPr>
        <w:t xml:space="preserve"> amparados, en razón a que la vulneración del buen nombre está </w:t>
      </w:r>
      <w:r w:rsidR="00FA4041" w:rsidRPr="62968F2C">
        <w:rPr>
          <w:sz w:val="24"/>
          <w:szCs w:val="24"/>
        </w:rPr>
        <w:t xml:space="preserve">contenida </w:t>
      </w:r>
      <w:r w:rsidR="009667AF" w:rsidRPr="62968F2C">
        <w:rPr>
          <w:sz w:val="24"/>
          <w:szCs w:val="24"/>
        </w:rPr>
        <w:t>en dicha categoría,</w:t>
      </w:r>
      <w:r w:rsidRPr="62968F2C">
        <w:rPr>
          <w:sz w:val="24"/>
          <w:szCs w:val="24"/>
        </w:rPr>
        <w:t xml:space="preserve"> para</w:t>
      </w:r>
      <w:r w:rsidR="00951CA1" w:rsidRPr="62968F2C">
        <w:rPr>
          <w:sz w:val="24"/>
          <w:szCs w:val="24"/>
        </w:rPr>
        <w:t>;</w:t>
      </w:r>
      <w:r w:rsidRPr="62968F2C">
        <w:rPr>
          <w:sz w:val="24"/>
          <w:szCs w:val="24"/>
        </w:rPr>
        <w:t xml:space="preserve"> finalm</w:t>
      </w:r>
      <w:r w:rsidR="00951CA1" w:rsidRPr="62968F2C">
        <w:rPr>
          <w:sz w:val="24"/>
          <w:szCs w:val="24"/>
        </w:rPr>
        <w:t>ente,</w:t>
      </w:r>
      <w:r w:rsidRPr="62968F2C">
        <w:rPr>
          <w:sz w:val="24"/>
          <w:szCs w:val="24"/>
        </w:rPr>
        <w:t xml:space="preserve"> </w:t>
      </w:r>
      <w:r w:rsidR="004F3195" w:rsidRPr="62968F2C">
        <w:rPr>
          <w:sz w:val="24"/>
          <w:szCs w:val="24"/>
        </w:rPr>
        <w:t xml:space="preserve">(3.3.) </w:t>
      </w:r>
      <w:r w:rsidRPr="62968F2C">
        <w:rPr>
          <w:sz w:val="24"/>
          <w:szCs w:val="24"/>
        </w:rPr>
        <w:t>analizar el caso concreto.</w:t>
      </w:r>
    </w:p>
    <w:p w14:paraId="632C4FEA" w14:textId="77777777" w:rsidR="00BD0116" w:rsidRPr="00BA0028" w:rsidRDefault="00BD0116" w:rsidP="62968F2C">
      <w:pPr>
        <w:spacing w:line="276" w:lineRule="auto"/>
        <w:contextualSpacing/>
        <w:rPr>
          <w:sz w:val="24"/>
          <w:szCs w:val="24"/>
        </w:rPr>
      </w:pPr>
    </w:p>
    <w:p w14:paraId="36029E13" w14:textId="12B18895" w:rsidR="00BD0116" w:rsidRPr="00BA0028" w:rsidRDefault="00BD0116" w:rsidP="62968F2C">
      <w:pPr>
        <w:spacing w:line="276" w:lineRule="auto"/>
        <w:contextualSpacing/>
        <w:rPr>
          <w:b/>
          <w:bCs/>
          <w:sz w:val="24"/>
          <w:szCs w:val="24"/>
        </w:rPr>
      </w:pPr>
      <w:r w:rsidRPr="62968F2C">
        <w:rPr>
          <w:b/>
          <w:bCs/>
          <w:sz w:val="24"/>
          <w:szCs w:val="24"/>
        </w:rPr>
        <w:t xml:space="preserve">3.1. Defecto </w:t>
      </w:r>
      <w:r w:rsidR="004F3195" w:rsidRPr="62968F2C">
        <w:rPr>
          <w:b/>
          <w:bCs/>
          <w:sz w:val="24"/>
          <w:szCs w:val="24"/>
        </w:rPr>
        <w:t>por</w:t>
      </w:r>
      <w:r w:rsidRPr="62968F2C">
        <w:rPr>
          <w:b/>
          <w:bCs/>
          <w:sz w:val="24"/>
          <w:szCs w:val="24"/>
        </w:rPr>
        <w:t xml:space="preserve"> </w:t>
      </w:r>
      <w:r w:rsidR="00B0456E" w:rsidRPr="62968F2C">
        <w:rPr>
          <w:b/>
          <w:bCs/>
          <w:sz w:val="24"/>
          <w:szCs w:val="24"/>
        </w:rPr>
        <w:t>decisión sin</w:t>
      </w:r>
      <w:r w:rsidRPr="62968F2C">
        <w:rPr>
          <w:b/>
          <w:bCs/>
          <w:sz w:val="24"/>
          <w:szCs w:val="24"/>
        </w:rPr>
        <w:t xml:space="preserve"> motivación</w:t>
      </w:r>
      <w:r w:rsidR="00874EEC" w:rsidRPr="62968F2C">
        <w:rPr>
          <w:b/>
          <w:bCs/>
          <w:sz w:val="24"/>
          <w:szCs w:val="24"/>
        </w:rPr>
        <w:t xml:space="preserve">   </w:t>
      </w:r>
    </w:p>
    <w:p w14:paraId="394D1664" w14:textId="77777777" w:rsidR="00BD0116" w:rsidRPr="00BA0028" w:rsidRDefault="00BD0116" w:rsidP="62968F2C">
      <w:pPr>
        <w:spacing w:line="276" w:lineRule="auto"/>
        <w:rPr>
          <w:b/>
          <w:bCs/>
          <w:sz w:val="24"/>
          <w:szCs w:val="24"/>
          <w:lang w:val="es-ES"/>
        </w:rPr>
      </w:pPr>
    </w:p>
    <w:p w14:paraId="4782915B" w14:textId="1C481944" w:rsidR="00BD0116" w:rsidRPr="00BA0028" w:rsidRDefault="00B0456E" w:rsidP="00B73871">
      <w:pPr>
        <w:overflowPunct w:val="0"/>
        <w:autoSpaceDE w:val="0"/>
        <w:autoSpaceDN w:val="0"/>
        <w:adjustRightInd w:val="0"/>
        <w:spacing w:line="276" w:lineRule="auto"/>
        <w:rPr>
          <w:sz w:val="24"/>
          <w:szCs w:val="24"/>
        </w:rPr>
      </w:pPr>
      <w:r w:rsidRPr="00BA0028">
        <w:rPr>
          <w:sz w:val="24"/>
          <w:szCs w:val="24"/>
        </w:rPr>
        <w:t xml:space="preserve">El defecto por </w:t>
      </w:r>
      <w:r w:rsidRPr="62968F2C">
        <w:rPr>
          <w:b/>
          <w:bCs/>
          <w:sz w:val="24"/>
          <w:szCs w:val="24"/>
        </w:rPr>
        <w:t>decisión sin</w:t>
      </w:r>
      <w:r w:rsidR="00BD0116" w:rsidRPr="62968F2C">
        <w:rPr>
          <w:b/>
          <w:bCs/>
          <w:sz w:val="24"/>
          <w:szCs w:val="24"/>
        </w:rPr>
        <w:t xml:space="preserve"> motivación</w:t>
      </w:r>
      <w:r w:rsidR="00C11F0C" w:rsidRPr="00BA0028">
        <w:rPr>
          <w:rStyle w:val="FootnoteReference"/>
          <w:sz w:val="24"/>
          <w:szCs w:val="24"/>
        </w:rPr>
        <w:footnoteReference w:id="19"/>
      </w:r>
      <w:r w:rsidR="00BD0116" w:rsidRPr="00BA0028">
        <w:rPr>
          <w:sz w:val="24"/>
          <w:szCs w:val="24"/>
        </w:rPr>
        <w:t xml:space="preserve"> tiene sustento en el derecho que tienen los sujetos procesales, dentro de un Estado social de derecho, de obtener una explicación de las decisiones judiciales como resultado de aplicar en el caso concreto las normas que el juez considera son pertinentes, en atención a los hechos probados. </w:t>
      </w:r>
    </w:p>
    <w:p w14:paraId="770F36C8" w14:textId="77777777" w:rsidR="00BD0116" w:rsidRPr="00BA0028" w:rsidRDefault="00BD0116" w:rsidP="00B73871">
      <w:pPr>
        <w:overflowPunct w:val="0"/>
        <w:autoSpaceDE w:val="0"/>
        <w:autoSpaceDN w:val="0"/>
        <w:adjustRightInd w:val="0"/>
        <w:spacing w:line="276" w:lineRule="auto"/>
        <w:rPr>
          <w:sz w:val="24"/>
          <w:szCs w:val="24"/>
        </w:rPr>
      </w:pPr>
    </w:p>
    <w:p w14:paraId="1DB597FC" w14:textId="70C86ECD" w:rsidR="00BD0116" w:rsidRPr="00BA0028" w:rsidRDefault="00BD0116" w:rsidP="00B73871">
      <w:pPr>
        <w:overflowPunct w:val="0"/>
        <w:autoSpaceDE w:val="0"/>
        <w:autoSpaceDN w:val="0"/>
        <w:adjustRightInd w:val="0"/>
        <w:spacing w:line="276" w:lineRule="auto"/>
        <w:rPr>
          <w:sz w:val="24"/>
          <w:szCs w:val="24"/>
        </w:rPr>
      </w:pPr>
      <w:r w:rsidRPr="62968F2C">
        <w:rPr>
          <w:sz w:val="24"/>
          <w:szCs w:val="24"/>
        </w:rPr>
        <w:t xml:space="preserve">Esta obligación, impide cualquier tipo de arbitrariedad y capricho en las autoridades judiciales, garantiza la tutela judicial efectiva, especialmente, de quienes resultan afectados de forma negativa con las providencias, soporta la justicia material y otorga validez a las resoluciones. Ahora bien, este defecto, consiste en la </w:t>
      </w:r>
      <w:r w:rsidR="00B0456E" w:rsidRPr="62968F2C">
        <w:rPr>
          <w:sz w:val="24"/>
          <w:szCs w:val="24"/>
        </w:rPr>
        <w:t>ausencia</w:t>
      </w:r>
      <w:r w:rsidRPr="62968F2C">
        <w:rPr>
          <w:sz w:val="24"/>
          <w:szCs w:val="24"/>
        </w:rPr>
        <w:t xml:space="preserve"> de motivación y no en la controversia con su contenido. </w:t>
      </w:r>
    </w:p>
    <w:p w14:paraId="5A9465CD" w14:textId="77777777" w:rsidR="00BD0116" w:rsidRPr="00BA0028" w:rsidRDefault="00BD0116" w:rsidP="00B73871">
      <w:pPr>
        <w:overflowPunct w:val="0"/>
        <w:autoSpaceDE w:val="0"/>
        <w:autoSpaceDN w:val="0"/>
        <w:adjustRightInd w:val="0"/>
        <w:spacing w:line="276" w:lineRule="auto"/>
        <w:rPr>
          <w:sz w:val="24"/>
          <w:szCs w:val="24"/>
        </w:rPr>
      </w:pPr>
    </w:p>
    <w:p w14:paraId="0A125FB7" w14:textId="08707C70" w:rsidR="00BD0116" w:rsidRPr="00BA0028" w:rsidRDefault="00BD0116" w:rsidP="00B73871">
      <w:pPr>
        <w:overflowPunct w:val="0"/>
        <w:autoSpaceDE w:val="0"/>
        <w:autoSpaceDN w:val="0"/>
        <w:adjustRightInd w:val="0"/>
        <w:spacing w:line="276" w:lineRule="auto"/>
        <w:rPr>
          <w:sz w:val="24"/>
          <w:szCs w:val="24"/>
        </w:rPr>
      </w:pPr>
      <w:r w:rsidRPr="00BA0028">
        <w:rPr>
          <w:sz w:val="24"/>
          <w:szCs w:val="24"/>
        </w:rPr>
        <w:t>La jurisprudencia constitucional</w:t>
      </w:r>
      <w:r w:rsidRPr="00BA0028">
        <w:rPr>
          <w:rStyle w:val="FootnoteReference"/>
          <w:sz w:val="24"/>
          <w:szCs w:val="24"/>
        </w:rPr>
        <w:footnoteReference w:id="20"/>
      </w:r>
      <w:r w:rsidRPr="00BA0028">
        <w:rPr>
          <w:sz w:val="24"/>
          <w:szCs w:val="24"/>
        </w:rPr>
        <w:t xml:space="preserve"> ha definido</w:t>
      </w:r>
      <w:r w:rsidR="00A10D3F" w:rsidRPr="00BA0028">
        <w:rPr>
          <w:sz w:val="24"/>
          <w:szCs w:val="24"/>
        </w:rPr>
        <w:t xml:space="preserve"> la motivación</w:t>
      </w:r>
      <w:r w:rsidRPr="00BA0028">
        <w:rPr>
          <w:sz w:val="24"/>
          <w:szCs w:val="24"/>
        </w:rPr>
        <w:t xml:space="preserve"> como “un ejercicio argumentativo por medio del cual el juez establece la interpretación de las disposiciones normativas, de una parte, y determina cómo, a partir de los elementos de convicción aportados al proceso y la hipótesis de hecho que se construye con base en esos elementos, es posible subsumir el caso concreto en el supuesto de hecho de una regla jurídica aplicable al caso”; y la tarea del juez de “exponer cómo, mediante el uso de reglas de la experiencia, puede inferir la existencia de hechos pasados a partir de determinados hechos presentes recaudados mediante las vías legales de decreto </w:t>
      </w:r>
      <w:r w:rsidRPr="00BA0028">
        <w:rPr>
          <w:sz w:val="24"/>
          <w:szCs w:val="24"/>
        </w:rPr>
        <w:lastRenderedPageBreak/>
        <w:t xml:space="preserve">y práctica de pruebas”. Finalmente, la Corte Constitucional manifestó respecto del referido defecto: </w:t>
      </w:r>
    </w:p>
    <w:p w14:paraId="7DEE94B7" w14:textId="77777777" w:rsidR="00BD0116" w:rsidRPr="00BA0028" w:rsidRDefault="00BD0116" w:rsidP="62968F2C">
      <w:pPr>
        <w:overflowPunct w:val="0"/>
        <w:autoSpaceDE w:val="0"/>
        <w:autoSpaceDN w:val="0"/>
        <w:adjustRightInd w:val="0"/>
        <w:spacing w:line="276" w:lineRule="auto"/>
        <w:ind w:right="623"/>
        <w:rPr>
          <w:i/>
          <w:iCs/>
          <w:sz w:val="24"/>
          <w:szCs w:val="24"/>
        </w:rPr>
      </w:pPr>
    </w:p>
    <w:p w14:paraId="44CC3B3F" w14:textId="4AC425CC" w:rsidR="00BD0116" w:rsidRPr="00BA0028" w:rsidRDefault="00BD0116" w:rsidP="62968F2C">
      <w:pPr>
        <w:overflowPunct w:val="0"/>
        <w:autoSpaceDE w:val="0"/>
        <w:autoSpaceDN w:val="0"/>
        <w:adjustRightInd w:val="0"/>
        <w:spacing w:line="276" w:lineRule="auto"/>
        <w:ind w:left="708" w:right="623"/>
        <w:rPr>
          <w:sz w:val="22"/>
          <w:szCs w:val="22"/>
          <w:lang w:val="es-ES"/>
        </w:rPr>
      </w:pPr>
      <w:r w:rsidRPr="62968F2C">
        <w:rPr>
          <w:sz w:val="22"/>
          <w:szCs w:val="22"/>
          <w:lang w:val="es-ES"/>
        </w:rPr>
        <w:t xml:space="preserve">Así pues, la motivación de las decisiones judiciales resulta crucial y necesaria para el adecuado entendimiento de ellas, y la cabal protección de los derechos de las partes en el respectivo proceso. </w:t>
      </w:r>
      <w:r w:rsidRPr="62968F2C">
        <w:rPr>
          <w:b/>
          <w:bCs/>
          <w:sz w:val="22"/>
          <w:szCs w:val="22"/>
          <w:lang w:val="es-ES"/>
        </w:rPr>
        <w:t>Es claro, además, que el cumplimiento de este deber no se agota con la mera inclusión de reflexiones más o menos amplias, a través de las cuales se pretenda apenas, llenar una formalidad.</w:t>
      </w:r>
      <w:r w:rsidRPr="62968F2C">
        <w:rPr>
          <w:sz w:val="22"/>
          <w:szCs w:val="22"/>
          <w:lang w:val="es-ES"/>
        </w:rPr>
        <w:t xml:space="preserve"> Sin embargo, es así mismo evidente, que solo podrá hablarse de ausencia de motivación cuando, en efecto, el juez omita explicar las razones de su decisión, de tal manera que para el ciudadano no resulte posible entender los fundamentos en que aquella se hubiere basado, situación que debe diferenciarse de la que se presenta cuando el juez cumple con su deber de informar los motivos o razones que respaldan su decisión, pero los sujetos procesales no los comparten, o no los aceptan, al punto de llegar a afirmar que la decisión carece de motivación. Ciertamente, en este caso, no podría abrirse paso este pretendido defecto, pues en tal evento la controversia radica en realidad en el contenido de la motivación, más que en la supuesta ausencia de ella</w:t>
      </w:r>
      <w:r w:rsidRPr="00BA0028">
        <w:rPr>
          <w:rStyle w:val="FootnoteReference"/>
          <w:sz w:val="22"/>
          <w:szCs w:val="22"/>
        </w:rPr>
        <w:footnoteReference w:id="21"/>
      </w:r>
      <w:r w:rsidRPr="62968F2C">
        <w:rPr>
          <w:sz w:val="22"/>
          <w:szCs w:val="22"/>
          <w:lang w:val="es-ES"/>
        </w:rPr>
        <w:t>.</w:t>
      </w:r>
    </w:p>
    <w:p w14:paraId="17ACF998" w14:textId="3A3041E9" w:rsidR="00851ED2" w:rsidRPr="00BA0028" w:rsidRDefault="00851ED2" w:rsidP="62968F2C">
      <w:pPr>
        <w:tabs>
          <w:tab w:val="left" w:pos="2677"/>
        </w:tabs>
        <w:spacing w:line="276" w:lineRule="auto"/>
        <w:contextualSpacing/>
        <w:rPr>
          <w:b/>
          <w:bCs/>
          <w:i/>
          <w:iCs/>
          <w:sz w:val="24"/>
          <w:szCs w:val="24"/>
        </w:rPr>
      </w:pPr>
      <w:r w:rsidRPr="00BA0028">
        <w:rPr>
          <w:b/>
          <w:i/>
          <w:sz w:val="24"/>
          <w:szCs w:val="24"/>
        </w:rPr>
        <w:tab/>
      </w:r>
    </w:p>
    <w:p w14:paraId="7C31F1F6" w14:textId="44E392BD" w:rsidR="00A71B9B" w:rsidRPr="00BA0028" w:rsidRDefault="002D03A5" w:rsidP="62968F2C">
      <w:pPr>
        <w:spacing w:line="276" w:lineRule="auto"/>
        <w:contextualSpacing/>
        <w:rPr>
          <w:b/>
          <w:bCs/>
          <w:sz w:val="24"/>
          <w:szCs w:val="24"/>
        </w:rPr>
      </w:pPr>
      <w:r w:rsidRPr="62968F2C">
        <w:rPr>
          <w:b/>
          <w:bCs/>
          <w:sz w:val="24"/>
          <w:szCs w:val="24"/>
        </w:rPr>
        <w:t>3.2. Daños inmateriales derivados de vulneraciones o afectaciones relevantes a bienes o derechos convencional y constitucionalmente amparados</w:t>
      </w:r>
    </w:p>
    <w:p w14:paraId="1BFDCAB8" w14:textId="77777777" w:rsidR="002D03A5" w:rsidRPr="00BA0028" w:rsidRDefault="002D03A5" w:rsidP="62968F2C">
      <w:pPr>
        <w:spacing w:line="276" w:lineRule="auto"/>
        <w:contextualSpacing/>
        <w:rPr>
          <w:b/>
          <w:bCs/>
          <w:sz w:val="24"/>
          <w:szCs w:val="24"/>
        </w:rPr>
      </w:pPr>
    </w:p>
    <w:p w14:paraId="5E627E92" w14:textId="77777777" w:rsidR="00A10D3F" w:rsidRPr="00BA0028" w:rsidRDefault="002D03A5" w:rsidP="62968F2C">
      <w:pPr>
        <w:spacing w:line="276" w:lineRule="auto"/>
        <w:contextualSpacing/>
        <w:rPr>
          <w:sz w:val="24"/>
          <w:szCs w:val="24"/>
          <w:u w:val="single"/>
        </w:rPr>
      </w:pPr>
      <w:r w:rsidRPr="00BA0028">
        <w:rPr>
          <w:sz w:val="24"/>
          <w:szCs w:val="24"/>
        </w:rPr>
        <w:t>La Sala Plena de la Sección Tercera del Consejo de Estado, en sentencia de unificación del 28 de agosto de 2014</w:t>
      </w:r>
      <w:r w:rsidR="00851ED2" w:rsidRPr="00BA0028">
        <w:rPr>
          <w:rStyle w:val="FootnoteReference"/>
          <w:rFonts w:eastAsia="Times New Roman"/>
          <w:sz w:val="24"/>
          <w:szCs w:val="24"/>
          <w:lang w:eastAsia="es-ES"/>
        </w:rPr>
        <w:footnoteReference w:id="22"/>
      </w:r>
      <w:r w:rsidRPr="00BA0028">
        <w:rPr>
          <w:sz w:val="24"/>
          <w:szCs w:val="24"/>
        </w:rPr>
        <w:t>, reiteró los criterios jurisprudenciales del fallo del 14 de septiembre de 2011</w:t>
      </w:r>
      <w:r w:rsidR="00851ED2" w:rsidRPr="62968F2C">
        <w:rPr>
          <w:rStyle w:val="FootnoteReference"/>
          <w:sz w:val="24"/>
          <w:szCs w:val="24"/>
        </w:rPr>
        <w:footnoteReference w:id="23"/>
      </w:r>
      <w:r w:rsidRPr="00BA0028">
        <w:rPr>
          <w:sz w:val="24"/>
          <w:szCs w:val="24"/>
        </w:rPr>
        <w:t xml:space="preserve"> proferido por la misma autoridad, </w:t>
      </w:r>
      <w:r w:rsidR="009E7FE0" w:rsidRPr="00BA0028">
        <w:rPr>
          <w:sz w:val="24"/>
          <w:szCs w:val="24"/>
        </w:rPr>
        <w:t>en el sentido de que mantuvo</w:t>
      </w:r>
      <w:r w:rsidRPr="00BA0028">
        <w:rPr>
          <w:sz w:val="24"/>
          <w:szCs w:val="24"/>
        </w:rPr>
        <w:t xml:space="preserve"> </w:t>
      </w:r>
      <w:r w:rsidR="007148B2" w:rsidRPr="00BA0028">
        <w:rPr>
          <w:sz w:val="24"/>
          <w:szCs w:val="24"/>
        </w:rPr>
        <w:t xml:space="preserve">la posición de </w:t>
      </w:r>
      <w:r w:rsidRPr="00BA0028">
        <w:rPr>
          <w:sz w:val="24"/>
          <w:szCs w:val="24"/>
        </w:rPr>
        <w:t>apartarse de la tipología de</w:t>
      </w:r>
      <w:r w:rsidR="00670785" w:rsidRPr="00BA0028">
        <w:rPr>
          <w:sz w:val="24"/>
          <w:szCs w:val="24"/>
        </w:rPr>
        <w:t>l</w:t>
      </w:r>
      <w:r w:rsidRPr="00BA0028">
        <w:rPr>
          <w:sz w:val="24"/>
          <w:szCs w:val="24"/>
        </w:rPr>
        <w:t xml:space="preserve"> perjuicio inmaterial llamado perjuicio fisiológico o daño a la vida en relación, para</w:t>
      </w:r>
      <w:r w:rsidR="007148B2" w:rsidRPr="00BA0028">
        <w:rPr>
          <w:sz w:val="24"/>
          <w:szCs w:val="24"/>
        </w:rPr>
        <w:t>,</w:t>
      </w:r>
      <w:r w:rsidRPr="00BA0028">
        <w:rPr>
          <w:sz w:val="24"/>
          <w:szCs w:val="24"/>
        </w:rPr>
        <w:t xml:space="preserve"> en su lugar</w:t>
      </w:r>
      <w:r w:rsidR="007148B2" w:rsidRPr="00BA0028">
        <w:rPr>
          <w:sz w:val="24"/>
          <w:szCs w:val="24"/>
        </w:rPr>
        <w:t>,</w:t>
      </w:r>
      <w:r w:rsidRPr="00BA0028">
        <w:rPr>
          <w:sz w:val="24"/>
          <w:szCs w:val="24"/>
        </w:rPr>
        <w:t xml:space="preserve"> reconocer las categorías de</w:t>
      </w:r>
      <w:r w:rsidR="006513B3" w:rsidRPr="00BA0028">
        <w:rPr>
          <w:sz w:val="24"/>
          <w:szCs w:val="24"/>
        </w:rPr>
        <w:t>: i)</w:t>
      </w:r>
      <w:r w:rsidRPr="00BA0028">
        <w:rPr>
          <w:sz w:val="24"/>
          <w:szCs w:val="24"/>
        </w:rPr>
        <w:t xml:space="preserve"> daño a la salud</w:t>
      </w:r>
      <w:r w:rsidR="006513B3" w:rsidRPr="00BA0028">
        <w:rPr>
          <w:sz w:val="24"/>
          <w:szCs w:val="24"/>
        </w:rPr>
        <w:t>;</w:t>
      </w:r>
      <w:r w:rsidRPr="00BA0028">
        <w:rPr>
          <w:sz w:val="24"/>
          <w:szCs w:val="24"/>
        </w:rPr>
        <w:t xml:space="preserve"> y </w:t>
      </w:r>
      <w:r w:rsidR="00DA76C2" w:rsidRPr="00BA0028">
        <w:rPr>
          <w:sz w:val="24"/>
          <w:szCs w:val="24"/>
        </w:rPr>
        <w:t xml:space="preserve">de </w:t>
      </w:r>
      <w:proofErr w:type="spellStart"/>
      <w:r w:rsidR="006513B3" w:rsidRPr="00BA0028">
        <w:rPr>
          <w:sz w:val="24"/>
          <w:szCs w:val="24"/>
        </w:rPr>
        <w:t>ii</w:t>
      </w:r>
      <w:proofErr w:type="spellEnd"/>
      <w:r w:rsidR="006513B3" w:rsidRPr="00BA0028">
        <w:rPr>
          <w:sz w:val="24"/>
          <w:szCs w:val="24"/>
        </w:rPr>
        <w:t xml:space="preserve">) </w:t>
      </w:r>
      <w:r w:rsidRPr="00BA0028">
        <w:rPr>
          <w:sz w:val="24"/>
          <w:szCs w:val="24"/>
          <w:u w:val="single"/>
        </w:rPr>
        <w:t>afectación relevante a bienes o derechos con</w:t>
      </w:r>
      <w:r w:rsidR="007366D6" w:rsidRPr="00BA0028">
        <w:rPr>
          <w:sz w:val="24"/>
          <w:szCs w:val="24"/>
          <w:u w:val="single"/>
        </w:rPr>
        <w:t>vencional y const</w:t>
      </w:r>
      <w:r w:rsidR="00760F45" w:rsidRPr="00BA0028">
        <w:rPr>
          <w:sz w:val="24"/>
          <w:szCs w:val="24"/>
          <w:u w:val="single"/>
        </w:rPr>
        <w:t>itucionalmente protegidos</w:t>
      </w:r>
      <w:r w:rsidR="006513B3" w:rsidRPr="00BA0028">
        <w:rPr>
          <w:sz w:val="24"/>
          <w:szCs w:val="24"/>
          <w:u w:val="single"/>
        </w:rPr>
        <w:t>, dentro de los que se encuentran los derechos al buen nombre, al honor y a la honra.</w:t>
      </w:r>
    </w:p>
    <w:p w14:paraId="022BEC0A" w14:textId="039E957D" w:rsidR="00670785" w:rsidRPr="00BA0028" w:rsidRDefault="00670785" w:rsidP="62968F2C">
      <w:pPr>
        <w:spacing w:line="276" w:lineRule="auto"/>
        <w:contextualSpacing/>
        <w:rPr>
          <w:sz w:val="24"/>
          <w:szCs w:val="24"/>
        </w:rPr>
      </w:pPr>
      <w:r w:rsidRPr="62968F2C">
        <w:rPr>
          <w:sz w:val="24"/>
          <w:szCs w:val="24"/>
        </w:rPr>
        <w:t xml:space="preserve"> </w:t>
      </w:r>
    </w:p>
    <w:p w14:paraId="33B05636" w14:textId="5065C455" w:rsidR="006513B3" w:rsidRPr="00BA0028" w:rsidRDefault="00670785" w:rsidP="62968F2C">
      <w:pPr>
        <w:spacing w:line="276" w:lineRule="auto"/>
        <w:contextualSpacing/>
        <w:rPr>
          <w:sz w:val="24"/>
          <w:szCs w:val="24"/>
        </w:rPr>
      </w:pPr>
      <w:r w:rsidRPr="00BA0028">
        <w:rPr>
          <w:sz w:val="24"/>
          <w:szCs w:val="24"/>
        </w:rPr>
        <w:t>En la sentencia de unificación, l</w:t>
      </w:r>
      <w:r w:rsidR="003F6853" w:rsidRPr="00BA0028">
        <w:rPr>
          <w:sz w:val="24"/>
          <w:szCs w:val="24"/>
        </w:rPr>
        <w:t xml:space="preserve">a autoridad judicial </w:t>
      </w:r>
      <w:r w:rsidR="00A324F9" w:rsidRPr="00BA0028">
        <w:rPr>
          <w:sz w:val="24"/>
          <w:szCs w:val="24"/>
        </w:rPr>
        <w:t>definió</w:t>
      </w:r>
      <w:r w:rsidR="00F64448" w:rsidRPr="00BA0028">
        <w:rPr>
          <w:sz w:val="24"/>
          <w:szCs w:val="24"/>
        </w:rPr>
        <w:t xml:space="preserve"> </w:t>
      </w:r>
      <w:r w:rsidR="00760F45" w:rsidRPr="00BA0028">
        <w:rPr>
          <w:sz w:val="24"/>
          <w:szCs w:val="24"/>
        </w:rPr>
        <w:t>esta última categoría de perjuicios</w:t>
      </w:r>
      <w:r w:rsidR="00A324F9" w:rsidRPr="00BA0028">
        <w:rPr>
          <w:sz w:val="24"/>
          <w:szCs w:val="24"/>
        </w:rPr>
        <w:t xml:space="preserve">, a partir de las </w:t>
      </w:r>
      <w:r w:rsidR="001C740B" w:rsidRPr="00BA0028">
        <w:rPr>
          <w:sz w:val="24"/>
          <w:szCs w:val="24"/>
        </w:rPr>
        <w:t>características del daño</w:t>
      </w:r>
      <w:r w:rsidR="001C740B" w:rsidRPr="00BA0028">
        <w:rPr>
          <w:rStyle w:val="FootnoteReference"/>
          <w:sz w:val="24"/>
          <w:szCs w:val="24"/>
        </w:rPr>
        <w:footnoteReference w:id="24"/>
      </w:r>
      <w:r w:rsidR="001C740B" w:rsidRPr="00BA0028">
        <w:rPr>
          <w:sz w:val="24"/>
          <w:szCs w:val="24"/>
        </w:rPr>
        <w:t>, de lo que este comprende</w:t>
      </w:r>
      <w:r w:rsidR="001C740B" w:rsidRPr="00BA0028">
        <w:rPr>
          <w:rStyle w:val="FootnoteReference"/>
          <w:sz w:val="24"/>
          <w:szCs w:val="24"/>
        </w:rPr>
        <w:footnoteReference w:id="25"/>
      </w:r>
      <w:r w:rsidR="006954CD" w:rsidRPr="00BA0028">
        <w:rPr>
          <w:sz w:val="24"/>
          <w:szCs w:val="24"/>
        </w:rPr>
        <w:t>,</w:t>
      </w:r>
      <w:r w:rsidR="001C740B" w:rsidRPr="00BA0028">
        <w:rPr>
          <w:sz w:val="24"/>
          <w:szCs w:val="24"/>
        </w:rPr>
        <w:t xml:space="preserve"> y </w:t>
      </w:r>
      <w:r w:rsidR="006513B3" w:rsidRPr="00BA0028">
        <w:rPr>
          <w:sz w:val="24"/>
          <w:szCs w:val="24"/>
        </w:rPr>
        <w:t xml:space="preserve">de lo que </w:t>
      </w:r>
      <w:r w:rsidR="006513B3" w:rsidRPr="00BA0028">
        <w:rPr>
          <w:rFonts w:eastAsia="Times New Roman"/>
          <w:sz w:val="24"/>
          <w:szCs w:val="24"/>
          <w:lang w:eastAsia="es-ES"/>
        </w:rPr>
        <w:t xml:space="preserve">al juez le corresponde verificar </w:t>
      </w:r>
      <w:r w:rsidR="006513B3" w:rsidRPr="62968F2C">
        <w:rPr>
          <w:rFonts w:eastAsia="Times New Roman"/>
          <w:i/>
          <w:iCs/>
          <w:sz w:val="24"/>
          <w:szCs w:val="24"/>
          <w:lang w:eastAsia="es-ES"/>
        </w:rPr>
        <w:t>ex ante</w:t>
      </w:r>
      <w:r w:rsidR="009667AF" w:rsidRPr="62968F2C">
        <w:rPr>
          <w:rFonts w:eastAsia="Times New Roman"/>
          <w:i/>
          <w:iCs/>
          <w:sz w:val="24"/>
          <w:szCs w:val="24"/>
          <w:lang w:eastAsia="es-ES"/>
        </w:rPr>
        <w:t xml:space="preserve"> </w:t>
      </w:r>
      <w:r w:rsidR="009667AF" w:rsidRPr="62968F2C">
        <w:rPr>
          <w:rFonts w:eastAsia="Times New Roman"/>
          <w:sz w:val="24"/>
          <w:szCs w:val="24"/>
          <w:lang w:eastAsia="es-ES"/>
        </w:rPr>
        <w:t>de su reconocimiento</w:t>
      </w:r>
      <w:r w:rsidR="006513B3" w:rsidRPr="62968F2C">
        <w:rPr>
          <w:rStyle w:val="FootnoteReference"/>
          <w:rFonts w:eastAsia="Times New Roman"/>
          <w:sz w:val="24"/>
          <w:szCs w:val="24"/>
          <w:lang w:eastAsia="es-ES"/>
        </w:rPr>
        <w:footnoteReference w:id="26"/>
      </w:r>
      <w:r w:rsidR="006513B3" w:rsidRPr="62968F2C">
        <w:rPr>
          <w:rFonts w:eastAsia="Times New Roman"/>
          <w:sz w:val="24"/>
          <w:szCs w:val="24"/>
          <w:lang w:eastAsia="es-ES"/>
        </w:rPr>
        <w:t>.</w:t>
      </w:r>
    </w:p>
    <w:p w14:paraId="027706CB" w14:textId="77777777" w:rsidR="009667AF" w:rsidRPr="00BA0028" w:rsidRDefault="009667AF" w:rsidP="62968F2C">
      <w:pPr>
        <w:spacing w:line="276" w:lineRule="auto"/>
        <w:contextualSpacing/>
        <w:rPr>
          <w:sz w:val="24"/>
          <w:szCs w:val="24"/>
        </w:rPr>
      </w:pPr>
    </w:p>
    <w:p w14:paraId="7FE28F55" w14:textId="19DF4FD5" w:rsidR="003F6853" w:rsidRPr="00BA0028" w:rsidRDefault="003F6853" w:rsidP="00B73871">
      <w:pPr>
        <w:spacing w:line="276" w:lineRule="auto"/>
        <w:ind w:right="-93"/>
        <w:rPr>
          <w:rFonts w:eastAsia="Times New Roman"/>
          <w:sz w:val="24"/>
          <w:szCs w:val="24"/>
          <w:lang w:eastAsia="es-ES"/>
        </w:rPr>
      </w:pPr>
      <w:r w:rsidRPr="62968F2C">
        <w:rPr>
          <w:rFonts w:eastAsia="Times New Roman"/>
          <w:sz w:val="24"/>
          <w:szCs w:val="24"/>
          <w:lang w:eastAsia="es-ES"/>
        </w:rPr>
        <w:t xml:space="preserve">En particular, en relación </w:t>
      </w:r>
      <w:r w:rsidR="00DA76C2" w:rsidRPr="62968F2C">
        <w:rPr>
          <w:rFonts w:eastAsia="Times New Roman"/>
          <w:sz w:val="24"/>
          <w:szCs w:val="24"/>
          <w:lang w:eastAsia="es-ES"/>
        </w:rPr>
        <w:t>con lo</w:t>
      </w:r>
      <w:r w:rsidR="009667AF" w:rsidRPr="62968F2C">
        <w:rPr>
          <w:rFonts w:eastAsia="Times New Roman"/>
          <w:sz w:val="24"/>
          <w:szCs w:val="24"/>
          <w:lang w:eastAsia="es-ES"/>
        </w:rPr>
        <w:t xml:space="preserve"> </w:t>
      </w:r>
      <w:r w:rsidR="00DA76C2" w:rsidRPr="62968F2C">
        <w:rPr>
          <w:rFonts w:eastAsia="Times New Roman"/>
          <w:sz w:val="24"/>
          <w:szCs w:val="24"/>
          <w:lang w:eastAsia="es-ES"/>
        </w:rPr>
        <w:t>autónomo</w:t>
      </w:r>
      <w:r w:rsidRPr="62968F2C">
        <w:rPr>
          <w:rFonts w:eastAsia="Times New Roman"/>
          <w:sz w:val="24"/>
          <w:szCs w:val="24"/>
          <w:lang w:eastAsia="es-ES"/>
        </w:rPr>
        <w:t xml:space="preserve"> de este daño y su reparación dispositiva, la Sección Tercera de esta Corporación</w:t>
      </w:r>
      <w:r w:rsidR="00F64448" w:rsidRPr="62968F2C">
        <w:rPr>
          <w:rFonts w:eastAsia="Times New Roman"/>
          <w:sz w:val="24"/>
          <w:szCs w:val="24"/>
          <w:lang w:eastAsia="es-ES"/>
        </w:rPr>
        <w:t>,</w:t>
      </w:r>
      <w:r w:rsidRPr="62968F2C">
        <w:rPr>
          <w:rFonts w:eastAsia="Times New Roman"/>
          <w:sz w:val="24"/>
          <w:szCs w:val="24"/>
          <w:lang w:eastAsia="es-ES"/>
        </w:rPr>
        <w:t xml:space="preserve"> indicó</w:t>
      </w:r>
      <w:r w:rsidR="00F64448" w:rsidRPr="62968F2C">
        <w:rPr>
          <w:rFonts w:eastAsia="Times New Roman"/>
          <w:sz w:val="24"/>
          <w:szCs w:val="24"/>
          <w:lang w:eastAsia="es-ES"/>
        </w:rPr>
        <w:t xml:space="preserve"> en la mencionada providencia</w:t>
      </w:r>
      <w:r w:rsidRPr="62968F2C">
        <w:rPr>
          <w:rFonts w:eastAsia="Times New Roman"/>
          <w:sz w:val="24"/>
          <w:szCs w:val="24"/>
          <w:lang w:eastAsia="es-ES"/>
        </w:rPr>
        <w:t xml:space="preserve">: </w:t>
      </w:r>
    </w:p>
    <w:p w14:paraId="6ECAA7C3" w14:textId="77777777" w:rsidR="003F6853" w:rsidRPr="00BA0028" w:rsidRDefault="003F6853" w:rsidP="00B73871">
      <w:pPr>
        <w:spacing w:line="276" w:lineRule="auto"/>
        <w:ind w:right="-93"/>
        <w:rPr>
          <w:rFonts w:eastAsia="Times New Roman"/>
          <w:sz w:val="24"/>
          <w:szCs w:val="24"/>
          <w:lang w:eastAsia="es-ES"/>
        </w:rPr>
      </w:pPr>
    </w:p>
    <w:p w14:paraId="685BA907" w14:textId="664627E3" w:rsidR="00A324F9" w:rsidRPr="00BA0028" w:rsidRDefault="00A324F9" w:rsidP="00B73871">
      <w:pPr>
        <w:spacing w:line="276" w:lineRule="auto"/>
        <w:ind w:left="708" w:right="-93"/>
        <w:rPr>
          <w:rFonts w:eastAsia="Times New Roman"/>
          <w:sz w:val="22"/>
          <w:szCs w:val="22"/>
          <w:lang w:eastAsia="es-ES"/>
        </w:rPr>
      </w:pPr>
      <w:r w:rsidRPr="62968F2C">
        <w:rPr>
          <w:rFonts w:eastAsia="Times New Roman"/>
          <w:sz w:val="22"/>
          <w:szCs w:val="22"/>
          <w:lang w:eastAsia="es-ES"/>
        </w:rPr>
        <w:t>El daño a bienes o derechos convencional y constitucionalmente amparados tiene las siguientes características:</w:t>
      </w:r>
    </w:p>
    <w:p w14:paraId="18712C89" w14:textId="3098816B" w:rsidR="00A324F9" w:rsidRPr="00BA0028" w:rsidRDefault="00A324F9" w:rsidP="00B73871">
      <w:pPr>
        <w:spacing w:line="276" w:lineRule="auto"/>
        <w:ind w:left="708" w:right="-93"/>
        <w:rPr>
          <w:rFonts w:eastAsia="Times New Roman"/>
          <w:sz w:val="22"/>
          <w:szCs w:val="22"/>
          <w:lang w:eastAsia="es-ES"/>
        </w:rPr>
      </w:pPr>
      <w:r w:rsidRPr="62968F2C">
        <w:rPr>
          <w:rFonts w:eastAsia="Times New Roman"/>
          <w:sz w:val="22"/>
          <w:szCs w:val="22"/>
          <w:lang w:eastAsia="es-ES"/>
        </w:rPr>
        <w:t>[…]</w:t>
      </w:r>
    </w:p>
    <w:p w14:paraId="175AFA96" w14:textId="1F706097" w:rsidR="003F6853" w:rsidRPr="00BA0028" w:rsidRDefault="00A324F9" w:rsidP="00B73871">
      <w:pPr>
        <w:spacing w:line="276" w:lineRule="auto"/>
        <w:ind w:left="708" w:right="-93"/>
        <w:rPr>
          <w:sz w:val="22"/>
          <w:szCs w:val="22"/>
          <w:u w:val="single"/>
          <w:lang w:val="es-MX"/>
        </w:rPr>
      </w:pPr>
      <w:proofErr w:type="spellStart"/>
      <w:r w:rsidRPr="62968F2C">
        <w:rPr>
          <w:rFonts w:eastAsia="Times New Roman"/>
          <w:sz w:val="22"/>
          <w:szCs w:val="22"/>
          <w:lang w:eastAsia="es-ES"/>
        </w:rPr>
        <w:t>iii</w:t>
      </w:r>
      <w:proofErr w:type="spellEnd"/>
      <w:r w:rsidRPr="62968F2C">
        <w:rPr>
          <w:rFonts w:eastAsia="Times New Roman"/>
          <w:sz w:val="22"/>
          <w:szCs w:val="22"/>
          <w:lang w:eastAsia="es-ES"/>
        </w:rPr>
        <w:t xml:space="preserve">) Es un daño autónomo: </w:t>
      </w:r>
      <w:r w:rsidR="003F6853" w:rsidRPr="62968F2C">
        <w:rPr>
          <w:sz w:val="22"/>
          <w:szCs w:val="22"/>
          <w:lang w:val="es-MX"/>
        </w:rPr>
        <w:t xml:space="preserve">no depende de otras categorías de daños, porque no está condicionado a la configuración de otros tradicionalmente reconocidos, como los perjuicios materiales, el daño a la salud y el daño moral, ni depende del agotamiento previo de otros requisitos, </w:t>
      </w:r>
      <w:r w:rsidR="003F6853" w:rsidRPr="62968F2C">
        <w:rPr>
          <w:sz w:val="22"/>
          <w:szCs w:val="22"/>
          <w:u w:val="single"/>
          <w:lang w:val="es-MX"/>
        </w:rPr>
        <w:t>ya que su concreción se realiza mediante presupuestos de configuración propios, que se comprueban o acreditan en cada situación fáctica particular</w:t>
      </w:r>
    </w:p>
    <w:p w14:paraId="7644D377" w14:textId="77777777" w:rsidR="003F6853" w:rsidRPr="00BA0028" w:rsidRDefault="003F6853" w:rsidP="00B73871">
      <w:pPr>
        <w:spacing w:line="276" w:lineRule="auto"/>
        <w:ind w:left="708" w:right="-93"/>
        <w:rPr>
          <w:sz w:val="22"/>
          <w:szCs w:val="22"/>
          <w:lang w:val="es-MX"/>
        </w:rPr>
      </w:pPr>
      <w:r w:rsidRPr="62968F2C">
        <w:rPr>
          <w:sz w:val="22"/>
          <w:szCs w:val="22"/>
          <w:lang w:val="es-MX"/>
        </w:rPr>
        <w:t>[…]</w:t>
      </w:r>
    </w:p>
    <w:p w14:paraId="3C6411F7" w14:textId="5D2FE545" w:rsidR="00A324F9" w:rsidRPr="00BA0028" w:rsidRDefault="00A324F9" w:rsidP="00B73871">
      <w:pPr>
        <w:spacing w:line="276" w:lineRule="auto"/>
        <w:ind w:left="708" w:right="-93"/>
        <w:rPr>
          <w:sz w:val="22"/>
          <w:szCs w:val="22"/>
          <w:lang w:val="es-MX"/>
        </w:rPr>
      </w:pPr>
      <w:r w:rsidRPr="62968F2C">
        <w:rPr>
          <w:sz w:val="22"/>
          <w:szCs w:val="22"/>
          <w:lang w:val="es-MX"/>
        </w:rPr>
        <w:t>La reparación del referido daño abarca los siguientes aspectos:</w:t>
      </w:r>
    </w:p>
    <w:p w14:paraId="6611FF41" w14:textId="28C05F2B" w:rsidR="00A324F9" w:rsidRPr="00BA0028" w:rsidRDefault="00A324F9" w:rsidP="00B73871">
      <w:pPr>
        <w:spacing w:line="276" w:lineRule="auto"/>
        <w:ind w:left="708" w:right="-93"/>
        <w:rPr>
          <w:sz w:val="22"/>
          <w:szCs w:val="22"/>
          <w:lang w:val="es-MX"/>
        </w:rPr>
      </w:pPr>
      <w:r w:rsidRPr="62968F2C">
        <w:rPr>
          <w:sz w:val="22"/>
          <w:szCs w:val="22"/>
          <w:lang w:val="es-MX"/>
        </w:rPr>
        <w:t>[…]</w:t>
      </w:r>
    </w:p>
    <w:p w14:paraId="78217706" w14:textId="232ACF6B" w:rsidR="003F6C71" w:rsidRPr="00BA0028" w:rsidRDefault="00A324F9" w:rsidP="00B73871">
      <w:pPr>
        <w:spacing w:line="276" w:lineRule="auto"/>
        <w:ind w:left="708" w:right="-93"/>
        <w:rPr>
          <w:sz w:val="22"/>
          <w:szCs w:val="22"/>
          <w:u w:val="single"/>
          <w:lang w:val="es-MX"/>
        </w:rPr>
      </w:pPr>
      <w:proofErr w:type="spellStart"/>
      <w:r w:rsidRPr="62968F2C">
        <w:rPr>
          <w:sz w:val="22"/>
          <w:szCs w:val="22"/>
          <w:lang w:val="es-MX"/>
        </w:rPr>
        <w:t>ii</w:t>
      </w:r>
      <w:proofErr w:type="spellEnd"/>
      <w:r w:rsidRPr="62968F2C">
        <w:rPr>
          <w:sz w:val="22"/>
          <w:szCs w:val="22"/>
          <w:lang w:val="es-MX"/>
        </w:rPr>
        <w:t xml:space="preserve">) </w:t>
      </w:r>
      <w:r w:rsidR="003F6853" w:rsidRPr="62968F2C">
        <w:rPr>
          <w:sz w:val="22"/>
          <w:szCs w:val="22"/>
          <w:lang w:val="es-MX"/>
        </w:rPr>
        <w:t xml:space="preserve">La reparación del daño es dispositiva: si bien las medidas de reparación de este tipo de daños pueden serlo a petición de parte, también operan de oficio, </w:t>
      </w:r>
      <w:r w:rsidR="003F6853" w:rsidRPr="62968F2C">
        <w:rPr>
          <w:sz w:val="22"/>
          <w:szCs w:val="22"/>
          <w:u w:val="single"/>
          <w:lang w:val="es-MX"/>
        </w:rPr>
        <w:t>siempre y cuando aparezca acreditada su existencia</w:t>
      </w:r>
    </w:p>
    <w:p w14:paraId="6C25CEFE" w14:textId="3806E0F8" w:rsidR="003F6C71" w:rsidRPr="00BA0028" w:rsidRDefault="003F6C71" w:rsidP="62968F2C">
      <w:pPr>
        <w:spacing w:line="276" w:lineRule="auto"/>
        <w:ind w:left="708" w:right="-93"/>
        <w:rPr>
          <w:i/>
          <w:iCs/>
          <w:sz w:val="22"/>
          <w:szCs w:val="22"/>
          <w:u w:val="single"/>
          <w:lang w:val="es-MX"/>
        </w:rPr>
      </w:pPr>
      <w:r w:rsidRPr="62968F2C">
        <w:rPr>
          <w:i/>
          <w:iCs/>
          <w:sz w:val="22"/>
          <w:szCs w:val="22"/>
          <w:u w:val="single"/>
          <w:lang w:val="es-MX"/>
        </w:rPr>
        <w:t>[…]</w:t>
      </w:r>
    </w:p>
    <w:p w14:paraId="5C620F47" w14:textId="77777777" w:rsidR="00AB1528" w:rsidRPr="00BA0028" w:rsidRDefault="00AB1528" w:rsidP="62968F2C">
      <w:pPr>
        <w:spacing w:line="276" w:lineRule="auto"/>
        <w:ind w:left="708" w:right="-93"/>
        <w:rPr>
          <w:i/>
          <w:iCs/>
          <w:sz w:val="22"/>
          <w:szCs w:val="22"/>
          <w:u w:val="single"/>
          <w:lang w:val="es-MX"/>
        </w:rPr>
      </w:pP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3260"/>
      </w:tblGrid>
      <w:tr w:rsidR="003F6C71" w:rsidRPr="00BA0028" w14:paraId="42B903B7" w14:textId="77777777" w:rsidTr="62968F2C">
        <w:trPr>
          <w:jc w:val="right"/>
        </w:trPr>
        <w:tc>
          <w:tcPr>
            <w:tcW w:w="7938" w:type="dxa"/>
            <w:gridSpan w:val="3"/>
            <w:shd w:val="clear" w:color="auto" w:fill="auto"/>
          </w:tcPr>
          <w:p w14:paraId="4D7954DA" w14:textId="77777777" w:rsidR="003F6C71" w:rsidRPr="00BA0028" w:rsidRDefault="003F6C71" w:rsidP="62968F2C">
            <w:pPr>
              <w:spacing w:line="276" w:lineRule="auto"/>
              <w:jc w:val="center"/>
              <w:rPr>
                <w:b/>
                <w:bCs/>
                <w:sz w:val="22"/>
                <w:szCs w:val="22"/>
              </w:rPr>
            </w:pPr>
            <w:r w:rsidRPr="62968F2C">
              <w:rPr>
                <w:b/>
                <w:bCs/>
                <w:sz w:val="22"/>
                <w:szCs w:val="22"/>
              </w:rPr>
              <w:t>REPARACIÓN NO PECUNIARIA</w:t>
            </w:r>
          </w:p>
        </w:tc>
      </w:tr>
      <w:tr w:rsidR="003F6C71" w:rsidRPr="00BA0028" w14:paraId="29F7EBB4" w14:textId="77777777" w:rsidTr="62968F2C">
        <w:trPr>
          <w:jc w:val="right"/>
        </w:trPr>
        <w:tc>
          <w:tcPr>
            <w:tcW w:w="7938" w:type="dxa"/>
            <w:gridSpan w:val="3"/>
            <w:shd w:val="clear" w:color="auto" w:fill="auto"/>
          </w:tcPr>
          <w:p w14:paraId="4ED0591F" w14:textId="77777777" w:rsidR="003F6C71" w:rsidRPr="00BA0028" w:rsidRDefault="003F6C71" w:rsidP="62968F2C">
            <w:pPr>
              <w:spacing w:line="276" w:lineRule="auto"/>
              <w:jc w:val="center"/>
              <w:rPr>
                <w:b/>
                <w:bCs/>
                <w:sz w:val="22"/>
                <w:szCs w:val="22"/>
              </w:rPr>
            </w:pPr>
            <w:r w:rsidRPr="62968F2C">
              <w:rPr>
                <w:b/>
                <w:bCs/>
                <w:sz w:val="22"/>
                <w:szCs w:val="22"/>
              </w:rPr>
              <w:t>AFECTACIÓN O VULNERACIÓN RELEVANTE DE BIENES O DERECHOS CONVENCIONAL Y CONSTITUCIONALMENTE AMPARADOS</w:t>
            </w:r>
          </w:p>
        </w:tc>
      </w:tr>
      <w:tr w:rsidR="003F6C71" w:rsidRPr="00BA0028" w14:paraId="4227EF29" w14:textId="77777777" w:rsidTr="62968F2C">
        <w:trPr>
          <w:jc w:val="right"/>
        </w:trPr>
        <w:tc>
          <w:tcPr>
            <w:tcW w:w="2835" w:type="dxa"/>
            <w:shd w:val="clear" w:color="auto" w:fill="auto"/>
          </w:tcPr>
          <w:p w14:paraId="271A3262" w14:textId="77777777" w:rsidR="003F6C71" w:rsidRPr="00BA0028" w:rsidRDefault="003F6C71" w:rsidP="62968F2C">
            <w:pPr>
              <w:spacing w:line="276" w:lineRule="auto"/>
              <w:jc w:val="center"/>
              <w:rPr>
                <w:b/>
                <w:bCs/>
                <w:sz w:val="22"/>
                <w:szCs w:val="22"/>
              </w:rPr>
            </w:pPr>
            <w:r w:rsidRPr="62968F2C">
              <w:rPr>
                <w:b/>
                <w:bCs/>
                <w:sz w:val="22"/>
                <w:szCs w:val="22"/>
              </w:rPr>
              <w:t>Criterio</w:t>
            </w:r>
          </w:p>
        </w:tc>
        <w:tc>
          <w:tcPr>
            <w:tcW w:w="1843" w:type="dxa"/>
            <w:shd w:val="clear" w:color="auto" w:fill="auto"/>
          </w:tcPr>
          <w:p w14:paraId="330B92D9" w14:textId="77777777" w:rsidR="003F6C71" w:rsidRPr="00BA0028" w:rsidRDefault="003F6C71" w:rsidP="62968F2C">
            <w:pPr>
              <w:spacing w:line="276" w:lineRule="auto"/>
              <w:rPr>
                <w:b/>
                <w:bCs/>
                <w:sz w:val="22"/>
                <w:szCs w:val="22"/>
              </w:rPr>
            </w:pPr>
            <w:r w:rsidRPr="62968F2C">
              <w:rPr>
                <w:b/>
                <w:bCs/>
                <w:sz w:val="22"/>
                <w:szCs w:val="22"/>
              </w:rPr>
              <w:t xml:space="preserve">Tipo de medida </w:t>
            </w:r>
          </w:p>
        </w:tc>
        <w:tc>
          <w:tcPr>
            <w:tcW w:w="3260" w:type="dxa"/>
            <w:shd w:val="clear" w:color="auto" w:fill="auto"/>
          </w:tcPr>
          <w:p w14:paraId="5E0D5FFA" w14:textId="77777777" w:rsidR="003F6C71" w:rsidRPr="00BA0028" w:rsidRDefault="003F6C71" w:rsidP="62968F2C">
            <w:pPr>
              <w:spacing w:line="276" w:lineRule="auto"/>
              <w:jc w:val="center"/>
              <w:rPr>
                <w:b/>
                <w:bCs/>
                <w:sz w:val="22"/>
                <w:szCs w:val="22"/>
              </w:rPr>
            </w:pPr>
            <w:r w:rsidRPr="62968F2C">
              <w:rPr>
                <w:b/>
                <w:bCs/>
                <w:sz w:val="22"/>
                <w:szCs w:val="22"/>
              </w:rPr>
              <w:t>Modulación</w:t>
            </w:r>
          </w:p>
        </w:tc>
      </w:tr>
      <w:tr w:rsidR="003F6C71" w:rsidRPr="00BA0028" w14:paraId="4B35DB2B" w14:textId="77777777" w:rsidTr="62968F2C">
        <w:trPr>
          <w:jc w:val="right"/>
        </w:trPr>
        <w:tc>
          <w:tcPr>
            <w:tcW w:w="2835" w:type="dxa"/>
            <w:shd w:val="clear" w:color="auto" w:fill="auto"/>
          </w:tcPr>
          <w:p w14:paraId="110EBC9B" w14:textId="77777777" w:rsidR="003F6C71" w:rsidRPr="00BA0028" w:rsidRDefault="003F6C71" w:rsidP="00B73871">
            <w:pPr>
              <w:spacing w:line="276" w:lineRule="auto"/>
              <w:rPr>
                <w:sz w:val="22"/>
                <w:szCs w:val="22"/>
              </w:rPr>
            </w:pPr>
            <w:r w:rsidRPr="62968F2C">
              <w:rPr>
                <w:sz w:val="22"/>
                <w:szCs w:val="22"/>
              </w:rPr>
              <w:t>En caso de vulneraciones o afectaciones relevantes a bienes o derechos convencional y constitucionalmente amparados.</w:t>
            </w:r>
          </w:p>
        </w:tc>
        <w:tc>
          <w:tcPr>
            <w:tcW w:w="1843" w:type="dxa"/>
            <w:shd w:val="clear" w:color="auto" w:fill="auto"/>
          </w:tcPr>
          <w:p w14:paraId="7D664F6F" w14:textId="77777777" w:rsidR="003F6C71" w:rsidRPr="00BA0028" w:rsidRDefault="003F6C71" w:rsidP="00B73871">
            <w:pPr>
              <w:spacing w:line="276" w:lineRule="auto"/>
              <w:rPr>
                <w:sz w:val="22"/>
                <w:szCs w:val="22"/>
              </w:rPr>
            </w:pPr>
            <w:r w:rsidRPr="62968F2C">
              <w:rPr>
                <w:sz w:val="22"/>
                <w:szCs w:val="22"/>
              </w:rPr>
              <w:t xml:space="preserve">Medidas de reparación integral no pecuniarias </w:t>
            </w:r>
          </w:p>
        </w:tc>
        <w:tc>
          <w:tcPr>
            <w:tcW w:w="3260" w:type="dxa"/>
            <w:shd w:val="clear" w:color="auto" w:fill="auto"/>
          </w:tcPr>
          <w:p w14:paraId="59026051" w14:textId="77777777" w:rsidR="003F6C71" w:rsidRPr="00BA0028" w:rsidRDefault="003F6C71" w:rsidP="00B73871">
            <w:pPr>
              <w:spacing w:line="276" w:lineRule="auto"/>
              <w:rPr>
                <w:sz w:val="22"/>
                <w:szCs w:val="22"/>
              </w:rPr>
            </w:pPr>
            <w:r w:rsidRPr="62968F2C">
              <w:rPr>
                <w:sz w:val="22"/>
                <w:szCs w:val="22"/>
                <w:u w:val="single"/>
              </w:rPr>
              <w:t>De acuerdo con los hechos probados,</w:t>
            </w:r>
            <w:r w:rsidRPr="62968F2C">
              <w:rPr>
                <w:sz w:val="22"/>
                <w:szCs w:val="22"/>
              </w:rPr>
              <w:t xml:space="preserve"> la oportunidad y pertinencia de </w:t>
            </w:r>
            <w:proofErr w:type="gramStart"/>
            <w:r w:rsidRPr="62968F2C">
              <w:rPr>
                <w:sz w:val="22"/>
                <w:szCs w:val="22"/>
              </w:rPr>
              <w:t>los mismos</w:t>
            </w:r>
            <w:proofErr w:type="gramEnd"/>
            <w:r w:rsidRPr="62968F2C">
              <w:rPr>
                <w:sz w:val="22"/>
                <w:szCs w:val="22"/>
              </w:rPr>
              <w:t>, se ordenará medidas reparatorias no indemnizatorias a favor de la víctima directa y de su núcleo familiar más cercano.</w:t>
            </w:r>
          </w:p>
        </w:tc>
      </w:tr>
    </w:tbl>
    <w:p w14:paraId="27D4F60A" w14:textId="77777777" w:rsidR="00312577" w:rsidRPr="00BA0028" w:rsidRDefault="00312577" w:rsidP="00B73871">
      <w:pPr>
        <w:spacing w:line="276" w:lineRule="auto"/>
        <w:ind w:left="708" w:right="-93"/>
        <w:rPr>
          <w:sz w:val="22"/>
          <w:szCs w:val="22"/>
          <w:lang w:val="es-MX"/>
        </w:rPr>
      </w:pPr>
    </w:p>
    <w:p w14:paraId="720F62A2" w14:textId="2FEFACC2" w:rsidR="003F6853" w:rsidRPr="00BA0028" w:rsidRDefault="003F6C71" w:rsidP="00B73871">
      <w:pPr>
        <w:spacing w:line="276" w:lineRule="auto"/>
        <w:ind w:left="708" w:right="-93"/>
        <w:rPr>
          <w:rFonts w:eastAsia="Times New Roman"/>
          <w:sz w:val="22"/>
          <w:szCs w:val="22"/>
          <w:lang w:eastAsia="es-ES"/>
        </w:rPr>
      </w:pPr>
      <w:r w:rsidRPr="62968F2C">
        <w:rPr>
          <w:sz w:val="22"/>
          <w:szCs w:val="22"/>
          <w:lang w:val="es-MX"/>
        </w:rPr>
        <w:t>[…]</w:t>
      </w:r>
      <w:r w:rsidR="00F2795A" w:rsidRPr="62968F2C">
        <w:rPr>
          <w:sz w:val="22"/>
          <w:szCs w:val="22"/>
          <w:lang w:val="es-MX"/>
        </w:rPr>
        <w:t xml:space="preserve"> (La Sala subraya)</w:t>
      </w:r>
      <w:r w:rsidR="003F6853" w:rsidRPr="62968F2C">
        <w:rPr>
          <w:sz w:val="22"/>
          <w:szCs w:val="22"/>
          <w:lang w:val="es-MX"/>
        </w:rPr>
        <w:t>.</w:t>
      </w:r>
    </w:p>
    <w:p w14:paraId="55BD815E" w14:textId="77777777" w:rsidR="007148B2" w:rsidRPr="00BA0028" w:rsidRDefault="007148B2" w:rsidP="00B73871">
      <w:pPr>
        <w:spacing w:line="276" w:lineRule="auto"/>
        <w:ind w:right="-93"/>
        <w:rPr>
          <w:rFonts w:eastAsia="Times New Roman"/>
          <w:sz w:val="24"/>
          <w:szCs w:val="24"/>
          <w:lang w:eastAsia="es-ES"/>
        </w:rPr>
      </w:pPr>
    </w:p>
    <w:p w14:paraId="72339A7A" w14:textId="6AE8B962" w:rsidR="008B7868" w:rsidRPr="00BA0028" w:rsidRDefault="003720BB" w:rsidP="00B73871">
      <w:pPr>
        <w:spacing w:line="276" w:lineRule="auto"/>
        <w:ind w:right="-93"/>
        <w:rPr>
          <w:rFonts w:eastAsia="Times New Roman"/>
          <w:sz w:val="24"/>
          <w:szCs w:val="24"/>
          <w:lang w:val="es-ES" w:eastAsia="es-ES"/>
        </w:rPr>
      </w:pPr>
      <w:r w:rsidRPr="00BA0028">
        <w:rPr>
          <w:rFonts w:eastAsia="Times New Roman"/>
          <w:sz w:val="24"/>
          <w:szCs w:val="24"/>
          <w:lang w:val="es-ES" w:eastAsia="es-ES"/>
        </w:rPr>
        <w:t>Los anteriores parámetros sobre la clasificación de daños</w:t>
      </w:r>
      <w:r w:rsidR="009667AF" w:rsidRPr="00BA0028">
        <w:rPr>
          <w:rFonts w:eastAsia="Times New Roman"/>
          <w:sz w:val="24"/>
          <w:szCs w:val="24"/>
          <w:lang w:val="es-ES" w:eastAsia="es-ES"/>
        </w:rPr>
        <w:t xml:space="preserve"> inmateriales</w:t>
      </w:r>
      <w:r w:rsidRPr="00BA0028">
        <w:rPr>
          <w:rFonts w:eastAsia="Times New Roman"/>
          <w:sz w:val="24"/>
          <w:szCs w:val="24"/>
          <w:lang w:val="es-ES" w:eastAsia="es-ES"/>
        </w:rPr>
        <w:t xml:space="preserve">, si bien en un principio fueron </w:t>
      </w:r>
      <w:r w:rsidR="00AB1528" w:rsidRPr="00BA0028">
        <w:rPr>
          <w:rFonts w:eastAsia="Times New Roman"/>
          <w:sz w:val="24"/>
          <w:szCs w:val="24"/>
          <w:lang w:val="es-ES" w:eastAsia="es-ES"/>
        </w:rPr>
        <w:t>desarrollados</w:t>
      </w:r>
      <w:r w:rsidRPr="00BA0028">
        <w:rPr>
          <w:rFonts w:eastAsia="Times New Roman"/>
          <w:sz w:val="24"/>
          <w:szCs w:val="24"/>
          <w:lang w:val="es-ES" w:eastAsia="es-ES"/>
        </w:rPr>
        <w:t xml:space="preserve"> en asuntos en los que se abordaron graves violaciones de derechos humanos</w:t>
      </w:r>
      <w:r w:rsidRPr="00BA0028">
        <w:rPr>
          <w:rStyle w:val="FootnoteReference"/>
          <w:rFonts w:eastAsia="Times New Roman"/>
          <w:sz w:val="24"/>
          <w:szCs w:val="24"/>
          <w:lang w:val="es-ES" w:eastAsia="es-ES"/>
        </w:rPr>
        <w:footnoteReference w:id="27"/>
      </w:r>
      <w:r w:rsidRPr="00BA0028">
        <w:rPr>
          <w:rFonts w:eastAsia="Times New Roman"/>
          <w:sz w:val="24"/>
          <w:szCs w:val="24"/>
          <w:lang w:val="es-ES" w:eastAsia="es-ES"/>
        </w:rPr>
        <w:t xml:space="preserve">, </w:t>
      </w:r>
      <w:r w:rsidR="00A51BD7">
        <w:rPr>
          <w:rFonts w:eastAsia="Times New Roman"/>
          <w:sz w:val="24"/>
          <w:szCs w:val="24"/>
          <w:lang w:val="es-ES" w:eastAsia="es-ES"/>
        </w:rPr>
        <w:t xml:space="preserve">con el paso del tiempo han sido acogidos por </w:t>
      </w:r>
      <w:r w:rsidRPr="00BA0028">
        <w:rPr>
          <w:rFonts w:eastAsia="Times New Roman"/>
          <w:sz w:val="24"/>
          <w:szCs w:val="24"/>
          <w:lang w:val="es-ES" w:eastAsia="es-ES"/>
        </w:rPr>
        <w:t>la Sección Tercera</w:t>
      </w:r>
      <w:r w:rsidR="00A51BD7">
        <w:rPr>
          <w:rFonts w:eastAsia="Times New Roman"/>
          <w:sz w:val="24"/>
          <w:szCs w:val="24"/>
          <w:lang w:val="es-ES" w:eastAsia="es-ES"/>
        </w:rPr>
        <w:t xml:space="preserve">, </w:t>
      </w:r>
      <w:r w:rsidRPr="00BA0028">
        <w:rPr>
          <w:rFonts w:eastAsia="Times New Roman"/>
          <w:sz w:val="24"/>
          <w:szCs w:val="24"/>
          <w:lang w:val="es-ES" w:eastAsia="es-ES"/>
        </w:rPr>
        <w:t>de manera reiterada</w:t>
      </w:r>
      <w:r w:rsidR="00AB1528" w:rsidRPr="00BA0028">
        <w:rPr>
          <w:rStyle w:val="FootnoteReference"/>
          <w:rFonts w:eastAsia="Times New Roman"/>
          <w:sz w:val="24"/>
          <w:szCs w:val="24"/>
          <w:lang w:val="es-ES" w:eastAsia="es-ES"/>
        </w:rPr>
        <w:footnoteReference w:id="28"/>
      </w:r>
      <w:r w:rsidR="00A51BD7">
        <w:rPr>
          <w:rFonts w:eastAsia="Times New Roman"/>
          <w:sz w:val="24"/>
          <w:szCs w:val="24"/>
          <w:lang w:val="es-ES" w:eastAsia="es-ES"/>
        </w:rPr>
        <w:t>,</w:t>
      </w:r>
      <w:r w:rsidRPr="00BA0028">
        <w:rPr>
          <w:rFonts w:eastAsia="Times New Roman"/>
          <w:sz w:val="24"/>
          <w:szCs w:val="24"/>
          <w:lang w:val="es-ES" w:eastAsia="es-ES"/>
        </w:rPr>
        <w:t xml:space="preserve"> como criterios para analizar </w:t>
      </w:r>
      <w:r w:rsidR="00755B84" w:rsidRPr="00BA0028">
        <w:rPr>
          <w:rFonts w:eastAsia="Times New Roman"/>
          <w:sz w:val="24"/>
          <w:szCs w:val="24"/>
          <w:lang w:val="es-ES" w:eastAsia="es-ES"/>
        </w:rPr>
        <w:t xml:space="preserve">las </w:t>
      </w:r>
      <w:r w:rsidRPr="00BA0028">
        <w:rPr>
          <w:rFonts w:eastAsia="Times New Roman"/>
          <w:sz w:val="24"/>
          <w:szCs w:val="24"/>
          <w:lang w:val="es-ES" w:eastAsia="es-ES"/>
        </w:rPr>
        <w:t>pretensiones de</w:t>
      </w:r>
      <w:r w:rsidR="00755B84" w:rsidRPr="00BA0028">
        <w:rPr>
          <w:rFonts w:eastAsia="Times New Roman"/>
          <w:sz w:val="24"/>
          <w:szCs w:val="24"/>
          <w:lang w:val="es-ES" w:eastAsia="es-ES"/>
        </w:rPr>
        <w:t xml:space="preserve"> los</w:t>
      </w:r>
      <w:r w:rsidRPr="00BA0028">
        <w:rPr>
          <w:rFonts w:eastAsia="Times New Roman"/>
          <w:sz w:val="24"/>
          <w:szCs w:val="24"/>
          <w:lang w:val="es-ES" w:eastAsia="es-ES"/>
        </w:rPr>
        <w:t xml:space="preserve"> demandantes que involucran </w:t>
      </w:r>
      <w:r w:rsidR="00847534" w:rsidRPr="00BA0028">
        <w:rPr>
          <w:rFonts w:eastAsia="Times New Roman"/>
          <w:sz w:val="24"/>
          <w:szCs w:val="24"/>
          <w:lang w:val="es-ES" w:eastAsia="es-ES"/>
        </w:rPr>
        <w:t>esta clase</w:t>
      </w:r>
      <w:r w:rsidRPr="00BA0028">
        <w:rPr>
          <w:rFonts w:eastAsia="Times New Roman"/>
          <w:sz w:val="24"/>
          <w:szCs w:val="24"/>
          <w:lang w:val="es-ES" w:eastAsia="es-ES"/>
        </w:rPr>
        <w:t xml:space="preserve"> de perjuicios</w:t>
      </w:r>
      <w:r w:rsidR="006513B3" w:rsidRPr="00BA0028">
        <w:rPr>
          <w:rFonts w:eastAsia="Times New Roman"/>
          <w:sz w:val="24"/>
          <w:szCs w:val="24"/>
          <w:lang w:val="es-ES" w:eastAsia="es-ES"/>
        </w:rPr>
        <w:t>,</w:t>
      </w:r>
      <w:r w:rsidR="00755B84" w:rsidRPr="00BA0028">
        <w:rPr>
          <w:rFonts w:eastAsia="Times New Roman"/>
          <w:sz w:val="24"/>
          <w:szCs w:val="24"/>
          <w:lang w:val="es-ES" w:eastAsia="es-ES"/>
        </w:rPr>
        <w:t xml:space="preserve"> en cualquier asunto. </w:t>
      </w:r>
    </w:p>
    <w:p w14:paraId="26B80D54" w14:textId="77777777" w:rsidR="009667AF" w:rsidRPr="00BA0028" w:rsidRDefault="009667AF" w:rsidP="00B73871">
      <w:pPr>
        <w:spacing w:line="276" w:lineRule="auto"/>
        <w:ind w:right="-93"/>
        <w:rPr>
          <w:rFonts w:eastAsia="Times New Roman"/>
          <w:sz w:val="24"/>
          <w:szCs w:val="24"/>
          <w:lang w:val="es-ES" w:eastAsia="es-ES"/>
        </w:rPr>
      </w:pPr>
    </w:p>
    <w:p w14:paraId="296E68FA" w14:textId="3AB0E1E8" w:rsidR="008B7868" w:rsidRPr="00BA0028" w:rsidRDefault="008B7868" w:rsidP="00B73871">
      <w:pPr>
        <w:spacing w:line="276" w:lineRule="auto"/>
        <w:ind w:right="-93"/>
        <w:rPr>
          <w:rFonts w:eastAsia="Times New Roman"/>
          <w:sz w:val="24"/>
          <w:szCs w:val="24"/>
          <w:lang w:val="es-ES" w:eastAsia="es-ES"/>
        </w:rPr>
      </w:pPr>
      <w:r w:rsidRPr="62968F2C">
        <w:rPr>
          <w:rFonts w:eastAsia="Times New Roman"/>
          <w:sz w:val="24"/>
          <w:szCs w:val="24"/>
          <w:lang w:val="es-ES" w:eastAsia="es-ES"/>
        </w:rPr>
        <w:t xml:space="preserve">En especial, </w:t>
      </w:r>
      <w:r w:rsidR="006623F8" w:rsidRPr="62968F2C">
        <w:rPr>
          <w:rFonts w:eastAsia="Times New Roman"/>
          <w:sz w:val="24"/>
          <w:szCs w:val="24"/>
          <w:lang w:val="es-ES" w:eastAsia="es-ES"/>
        </w:rPr>
        <w:t>la autoridad judicial referida</w:t>
      </w:r>
      <w:r w:rsidRPr="62968F2C">
        <w:rPr>
          <w:rFonts w:eastAsia="Times New Roman"/>
          <w:sz w:val="24"/>
          <w:szCs w:val="24"/>
          <w:lang w:val="es-ES" w:eastAsia="es-ES"/>
        </w:rPr>
        <w:t xml:space="preserve"> ha destacado</w:t>
      </w:r>
      <w:r w:rsidR="006513B3" w:rsidRPr="62968F2C">
        <w:rPr>
          <w:rFonts w:eastAsia="Times New Roman"/>
          <w:sz w:val="24"/>
          <w:szCs w:val="24"/>
          <w:lang w:val="es-ES" w:eastAsia="es-ES"/>
        </w:rPr>
        <w:t xml:space="preserve"> como </w:t>
      </w:r>
      <w:r w:rsidRPr="62968F2C">
        <w:rPr>
          <w:rFonts w:eastAsia="Times New Roman"/>
          <w:sz w:val="24"/>
          <w:szCs w:val="24"/>
          <w:lang w:val="es-ES" w:eastAsia="es-ES"/>
        </w:rPr>
        <w:t xml:space="preserve">requisito necesario para proceder al reconocimiento de las afectaciones relevante de bienes o derechos convencional y constitucionalmente amparados, que </w:t>
      </w:r>
      <w:r w:rsidR="008B2AF3" w:rsidRPr="62968F2C">
        <w:rPr>
          <w:rFonts w:eastAsia="Times New Roman"/>
          <w:sz w:val="24"/>
          <w:szCs w:val="24"/>
          <w:lang w:val="es-ES" w:eastAsia="es-ES"/>
        </w:rPr>
        <w:t xml:space="preserve">el perjuicio </w:t>
      </w:r>
      <w:r w:rsidRPr="62968F2C">
        <w:rPr>
          <w:rFonts w:eastAsia="Times New Roman"/>
          <w:sz w:val="24"/>
          <w:szCs w:val="24"/>
          <w:lang w:val="es-ES" w:eastAsia="es-ES"/>
        </w:rPr>
        <w:t xml:space="preserve">se encuentre </w:t>
      </w:r>
      <w:r w:rsidR="008B2AF3" w:rsidRPr="62968F2C">
        <w:rPr>
          <w:rFonts w:eastAsia="Times New Roman"/>
          <w:sz w:val="24"/>
          <w:szCs w:val="24"/>
          <w:lang w:val="es-ES" w:eastAsia="es-ES"/>
        </w:rPr>
        <w:t>acreditado</w:t>
      </w:r>
      <w:r w:rsidR="00AB1528" w:rsidRPr="62968F2C">
        <w:rPr>
          <w:rFonts w:eastAsia="Times New Roman"/>
          <w:sz w:val="24"/>
          <w:szCs w:val="24"/>
          <w:lang w:val="es-ES" w:eastAsia="es-ES"/>
        </w:rPr>
        <w:t xml:space="preserve"> dentro </w:t>
      </w:r>
      <w:r w:rsidR="00D11E2D" w:rsidRPr="62968F2C">
        <w:rPr>
          <w:rFonts w:eastAsia="Times New Roman"/>
          <w:sz w:val="24"/>
          <w:szCs w:val="24"/>
          <w:lang w:val="es-ES" w:eastAsia="es-ES"/>
        </w:rPr>
        <w:t>del proceso, es decir</w:t>
      </w:r>
      <w:r w:rsidR="00670785" w:rsidRPr="62968F2C">
        <w:rPr>
          <w:rFonts w:eastAsia="Times New Roman"/>
          <w:sz w:val="24"/>
          <w:szCs w:val="24"/>
          <w:lang w:val="es-ES" w:eastAsia="es-ES"/>
        </w:rPr>
        <w:t xml:space="preserve"> que</w:t>
      </w:r>
      <w:r w:rsidR="00D11E2D" w:rsidRPr="62968F2C">
        <w:rPr>
          <w:rFonts w:eastAsia="Times New Roman"/>
          <w:sz w:val="24"/>
          <w:szCs w:val="24"/>
          <w:lang w:val="es-ES" w:eastAsia="es-ES"/>
        </w:rPr>
        <w:t xml:space="preserve"> no acudió </w:t>
      </w:r>
      <w:r w:rsidR="00AB1528" w:rsidRPr="62968F2C">
        <w:rPr>
          <w:rFonts w:eastAsia="Times New Roman"/>
          <w:sz w:val="24"/>
          <w:szCs w:val="24"/>
          <w:lang w:val="es-ES" w:eastAsia="es-ES"/>
        </w:rPr>
        <w:t>a algún tipo de presunción sobre este daño.</w:t>
      </w:r>
      <w:r w:rsidRPr="62968F2C">
        <w:rPr>
          <w:rFonts w:eastAsia="Times New Roman"/>
          <w:sz w:val="24"/>
          <w:szCs w:val="24"/>
          <w:lang w:val="es-ES" w:eastAsia="es-ES"/>
        </w:rPr>
        <w:t xml:space="preserve"> </w:t>
      </w:r>
    </w:p>
    <w:p w14:paraId="1294AD4F" w14:textId="77777777" w:rsidR="008B7868" w:rsidRPr="00BA0028" w:rsidRDefault="008B7868" w:rsidP="00B73871">
      <w:pPr>
        <w:spacing w:line="276" w:lineRule="auto"/>
        <w:ind w:right="-93"/>
        <w:rPr>
          <w:rFonts w:eastAsia="Times New Roman"/>
          <w:sz w:val="24"/>
          <w:szCs w:val="24"/>
          <w:lang w:val="es-ES" w:eastAsia="es-ES"/>
        </w:rPr>
      </w:pPr>
    </w:p>
    <w:p w14:paraId="46831A67" w14:textId="3BB0E293" w:rsidR="003720BB" w:rsidRPr="00BA0028" w:rsidRDefault="008B7868" w:rsidP="00B73871">
      <w:pPr>
        <w:spacing w:line="276" w:lineRule="auto"/>
        <w:ind w:right="-93"/>
        <w:rPr>
          <w:rFonts w:eastAsia="Times New Roman"/>
          <w:sz w:val="24"/>
          <w:szCs w:val="24"/>
          <w:lang w:val="es-ES" w:eastAsia="es-ES"/>
        </w:rPr>
      </w:pPr>
      <w:r w:rsidRPr="00BA0028">
        <w:rPr>
          <w:rFonts w:eastAsia="Times New Roman"/>
          <w:sz w:val="24"/>
          <w:szCs w:val="24"/>
          <w:lang w:val="es-ES" w:eastAsia="es-ES"/>
        </w:rPr>
        <w:t xml:space="preserve">Así, por ejemplo, </w:t>
      </w:r>
      <w:r w:rsidR="005F37AF" w:rsidRPr="00BA0028">
        <w:rPr>
          <w:rFonts w:eastAsia="Times New Roman"/>
          <w:sz w:val="24"/>
          <w:szCs w:val="24"/>
          <w:lang w:val="es-ES" w:eastAsia="es-ES"/>
        </w:rPr>
        <w:t>la Subsección A de la Sección Tercera del Consejo de Estado</w:t>
      </w:r>
      <w:r w:rsidR="005F37AF" w:rsidRPr="00BA0028">
        <w:rPr>
          <w:rStyle w:val="FootnoteReference"/>
          <w:rFonts w:eastAsia="Times New Roman"/>
          <w:sz w:val="24"/>
          <w:szCs w:val="24"/>
          <w:lang w:val="es-ES" w:eastAsia="es-ES"/>
        </w:rPr>
        <w:footnoteReference w:id="29"/>
      </w:r>
      <w:r w:rsidR="005F37AF" w:rsidRPr="00BA0028">
        <w:rPr>
          <w:rFonts w:eastAsia="Times New Roman"/>
          <w:sz w:val="24"/>
          <w:szCs w:val="24"/>
          <w:lang w:val="es-ES" w:eastAsia="es-ES"/>
        </w:rPr>
        <w:t xml:space="preserve">, </w:t>
      </w:r>
      <w:r w:rsidRPr="00BA0028">
        <w:rPr>
          <w:rFonts w:eastAsia="Times New Roman"/>
          <w:sz w:val="24"/>
          <w:szCs w:val="24"/>
          <w:lang w:val="es-ES" w:eastAsia="es-ES"/>
        </w:rPr>
        <w:t xml:space="preserve">en </w:t>
      </w:r>
      <w:r w:rsidR="005F37AF" w:rsidRPr="00BA0028">
        <w:rPr>
          <w:rFonts w:eastAsia="Times New Roman"/>
          <w:sz w:val="24"/>
          <w:szCs w:val="24"/>
          <w:lang w:val="es-ES" w:eastAsia="es-ES"/>
        </w:rPr>
        <w:t xml:space="preserve">la </w:t>
      </w:r>
      <w:r w:rsidRPr="00BA0028">
        <w:rPr>
          <w:rFonts w:eastAsia="Times New Roman"/>
          <w:sz w:val="24"/>
          <w:szCs w:val="24"/>
          <w:lang w:val="es-ES" w:eastAsia="es-ES"/>
        </w:rPr>
        <w:t xml:space="preserve">sentencia </w:t>
      </w:r>
      <w:r w:rsidR="005F37AF" w:rsidRPr="00BA0028">
        <w:rPr>
          <w:rFonts w:eastAsia="Times New Roman"/>
          <w:sz w:val="24"/>
          <w:szCs w:val="24"/>
          <w:lang w:val="es-ES" w:eastAsia="es-ES"/>
        </w:rPr>
        <w:t xml:space="preserve">proferida </w:t>
      </w:r>
      <w:r w:rsidRPr="00BA0028">
        <w:rPr>
          <w:rFonts w:eastAsia="Times New Roman"/>
          <w:sz w:val="24"/>
          <w:szCs w:val="24"/>
          <w:lang w:val="es-ES" w:eastAsia="es-ES"/>
        </w:rPr>
        <w:t>el 6 de julio de 2020</w:t>
      </w:r>
      <w:r w:rsidR="005F37AF" w:rsidRPr="00BA0028">
        <w:rPr>
          <w:rFonts w:eastAsia="Times New Roman"/>
          <w:sz w:val="24"/>
          <w:szCs w:val="24"/>
          <w:lang w:val="es-ES" w:eastAsia="es-ES"/>
        </w:rPr>
        <w:t>,</w:t>
      </w:r>
      <w:r w:rsidR="00670785" w:rsidRPr="00BA0028">
        <w:rPr>
          <w:rFonts w:eastAsia="Times New Roman"/>
          <w:sz w:val="24"/>
          <w:szCs w:val="24"/>
          <w:lang w:val="es-ES" w:eastAsia="es-ES"/>
        </w:rPr>
        <w:t xml:space="preserve"> </w:t>
      </w:r>
      <w:r w:rsidRPr="00BA0028">
        <w:rPr>
          <w:rFonts w:eastAsia="Times New Roman"/>
          <w:sz w:val="24"/>
          <w:szCs w:val="24"/>
          <w:lang w:val="es-ES" w:eastAsia="es-ES"/>
        </w:rPr>
        <w:t xml:space="preserve">analizó la pretensión de </w:t>
      </w:r>
      <w:r w:rsidR="00AB1528" w:rsidRPr="00BA0028">
        <w:rPr>
          <w:rFonts w:eastAsia="Times New Roman"/>
          <w:sz w:val="24"/>
          <w:szCs w:val="24"/>
          <w:lang w:val="es-ES" w:eastAsia="es-ES"/>
        </w:rPr>
        <w:t>resarcimiento</w:t>
      </w:r>
      <w:r w:rsidRPr="00BA0028">
        <w:rPr>
          <w:rFonts w:eastAsia="Times New Roman"/>
          <w:sz w:val="24"/>
          <w:szCs w:val="24"/>
          <w:lang w:val="es-ES" w:eastAsia="es-ES"/>
        </w:rPr>
        <w:t xml:space="preserve"> </w:t>
      </w:r>
      <w:r w:rsidR="009667AF" w:rsidRPr="00BA0028">
        <w:rPr>
          <w:rFonts w:eastAsia="Times New Roman"/>
          <w:sz w:val="24"/>
          <w:szCs w:val="24"/>
          <w:lang w:val="es-ES" w:eastAsia="es-ES"/>
        </w:rPr>
        <w:t xml:space="preserve">al buen nombre </w:t>
      </w:r>
      <w:r w:rsidRPr="00BA0028">
        <w:rPr>
          <w:rFonts w:eastAsia="Times New Roman"/>
          <w:sz w:val="24"/>
          <w:szCs w:val="24"/>
          <w:lang w:val="es-ES" w:eastAsia="es-ES"/>
        </w:rPr>
        <w:t xml:space="preserve">en un proceso de reparación directa iniciado por privación injusta de la libertad, </w:t>
      </w:r>
      <w:r w:rsidR="005F37AF" w:rsidRPr="00BA0028">
        <w:rPr>
          <w:rFonts w:eastAsia="Times New Roman"/>
          <w:sz w:val="24"/>
          <w:szCs w:val="24"/>
          <w:lang w:val="es-ES" w:eastAsia="es-ES"/>
        </w:rPr>
        <w:t xml:space="preserve">y </w:t>
      </w:r>
      <w:r w:rsidRPr="00BA0028">
        <w:rPr>
          <w:rFonts w:eastAsia="Times New Roman"/>
          <w:sz w:val="24"/>
          <w:szCs w:val="24"/>
          <w:lang w:val="es-ES" w:eastAsia="es-ES"/>
        </w:rPr>
        <w:t xml:space="preserve">manifestó: </w:t>
      </w:r>
    </w:p>
    <w:p w14:paraId="3F1C311A" w14:textId="77777777" w:rsidR="008B7868" w:rsidRPr="00BA0028" w:rsidRDefault="008B7868" w:rsidP="62968F2C">
      <w:pPr>
        <w:spacing w:line="276" w:lineRule="auto"/>
        <w:ind w:right="-93"/>
        <w:rPr>
          <w:rFonts w:eastAsia="Times New Roman"/>
          <w:i/>
          <w:iCs/>
          <w:sz w:val="24"/>
          <w:szCs w:val="24"/>
          <w:lang w:val="es-ES" w:eastAsia="es-ES"/>
        </w:rPr>
      </w:pPr>
    </w:p>
    <w:p w14:paraId="379482FE" w14:textId="2AC7E26F" w:rsidR="008B7868" w:rsidRPr="00BA0028" w:rsidRDefault="008B7868" w:rsidP="00312577">
      <w:pPr>
        <w:spacing w:line="276" w:lineRule="auto"/>
        <w:ind w:left="708" w:right="623"/>
        <w:rPr>
          <w:rFonts w:eastAsia="Times New Roman"/>
          <w:sz w:val="22"/>
          <w:szCs w:val="22"/>
          <w:lang w:val="es-ES" w:eastAsia="es-ES"/>
        </w:rPr>
      </w:pPr>
      <w:r w:rsidRPr="00BA0028">
        <w:rPr>
          <w:rFonts w:eastAsia="Times New Roman"/>
          <w:sz w:val="22"/>
          <w:szCs w:val="22"/>
          <w:lang w:val="es-ES" w:eastAsia="es-ES"/>
        </w:rPr>
        <w:t>Para resolver sobre este aspecto, es oportuno manifestar que la jurisprudencia de esta Sección, siguiendo los lineamientos planteados en sus sentencias de unificación, se apartó de la tipología de perjuicio inmaterial denominado perjuicio fisiológico o daño a la vida de relación, para en su lugar reconocer las categorías de daño a la salud (cuando estos provengan de una lesión a la integridad psicofísica de la persona) y de afectación relevante a bienes o derechos convencional y constitucionalmente amparado</w:t>
      </w:r>
      <w:r w:rsidR="00CF7981" w:rsidRPr="00BA0028">
        <w:rPr>
          <w:rFonts w:eastAsia="Times New Roman"/>
          <w:sz w:val="22"/>
          <w:szCs w:val="22"/>
          <w:lang w:val="es-ES" w:eastAsia="es-ES"/>
        </w:rPr>
        <w:t>s</w:t>
      </w:r>
      <w:r w:rsidR="00CF7981" w:rsidRPr="00BA0028">
        <w:rPr>
          <w:rStyle w:val="FootnoteReference"/>
          <w:sz w:val="22"/>
          <w:szCs w:val="22"/>
        </w:rPr>
        <w:footnoteReference w:id="30"/>
      </w:r>
      <w:r w:rsidRPr="00BA0028">
        <w:rPr>
          <w:rFonts w:eastAsia="Times New Roman"/>
          <w:sz w:val="22"/>
          <w:szCs w:val="22"/>
          <w:lang w:val="es-ES" w:eastAsia="es-ES"/>
        </w:rPr>
        <w:t>, estos últimos que se reconocerán siempre y cuando su concreción se encuentre acreditada dentro del proceso y se precise su reparación integral, teniendo en cuenta la relevancia del c</w:t>
      </w:r>
      <w:r w:rsidR="00312577" w:rsidRPr="00BA0028">
        <w:rPr>
          <w:rFonts w:eastAsia="Times New Roman"/>
          <w:sz w:val="22"/>
          <w:szCs w:val="22"/>
          <w:lang w:val="es-ES" w:eastAsia="es-ES"/>
        </w:rPr>
        <w:t>aso y la gravedad de los hechos</w:t>
      </w:r>
      <w:r w:rsidRPr="00BA0028">
        <w:rPr>
          <w:rFonts w:eastAsia="Times New Roman"/>
          <w:sz w:val="22"/>
          <w:szCs w:val="22"/>
          <w:lang w:val="es-ES" w:eastAsia="es-ES"/>
        </w:rPr>
        <w:t>.</w:t>
      </w:r>
    </w:p>
    <w:p w14:paraId="0A124D5F" w14:textId="77777777" w:rsidR="00911651" w:rsidRPr="00BA0028" w:rsidRDefault="00911651" w:rsidP="00B73871">
      <w:pPr>
        <w:spacing w:line="276" w:lineRule="auto"/>
        <w:ind w:right="-93"/>
        <w:rPr>
          <w:rFonts w:eastAsia="Times New Roman"/>
          <w:sz w:val="24"/>
          <w:szCs w:val="24"/>
          <w:lang w:eastAsia="es-ES"/>
        </w:rPr>
      </w:pPr>
    </w:p>
    <w:p w14:paraId="7B2EE923" w14:textId="193B8981" w:rsidR="00911651" w:rsidRPr="00BA0028" w:rsidRDefault="00CF7981" w:rsidP="00B73871">
      <w:pPr>
        <w:spacing w:line="276" w:lineRule="auto"/>
        <w:ind w:right="-93"/>
        <w:rPr>
          <w:rFonts w:eastAsia="Times New Roman"/>
          <w:sz w:val="24"/>
          <w:szCs w:val="24"/>
          <w:lang w:eastAsia="es-ES"/>
        </w:rPr>
      </w:pPr>
      <w:r w:rsidRPr="00BA0028">
        <w:rPr>
          <w:rFonts w:eastAsia="Times New Roman"/>
          <w:sz w:val="24"/>
          <w:szCs w:val="24"/>
          <w:lang w:eastAsia="es-ES"/>
        </w:rPr>
        <w:t>En otra oportunidad, la Subsección B de la Sección Tercera del Consejo de Estado, en sentencia del 3 de abril de 2020</w:t>
      </w:r>
      <w:r w:rsidR="00112150" w:rsidRPr="00BA0028">
        <w:rPr>
          <w:rStyle w:val="FootnoteReference"/>
          <w:rFonts w:eastAsia="Times New Roman"/>
          <w:sz w:val="24"/>
          <w:szCs w:val="24"/>
          <w:lang w:val="es-ES" w:eastAsia="es-ES"/>
        </w:rPr>
        <w:footnoteReference w:id="31"/>
      </w:r>
      <w:r w:rsidR="00670785" w:rsidRPr="00BA0028">
        <w:rPr>
          <w:rFonts w:eastAsia="Times New Roman"/>
          <w:sz w:val="24"/>
          <w:szCs w:val="24"/>
          <w:lang w:eastAsia="es-ES"/>
        </w:rPr>
        <w:t>,</w:t>
      </w:r>
      <w:r w:rsidRPr="00BA0028">
        <w:rPr>
          <w:rFonts w:eastAsia="Times New Roman"/>
          <w:sz w:val="24"/>
          <w:szCs w:val="24"/>
          <w:lang w:eastAsia="es-ES"/>
        </w:rPr>
        <w:t xml:space="preserve"> resolvió un proceso de reparación di</w:t>
      </w:r>
      <w:r w:rsidR="00670785" w:rsidRPr="00BA0028">
        <w:rPr>
          <w:rFonts w:eastAsia="Times New Roman"/>
          <w:sz w:val="24"/>
          <w:szCs w:val="24"/>
          <w:lang w:eastAsia="es-ES"/>
        </w:rPr>
        <w:t xml:space="preserve">recta por error judicial, </w:t>
      </w:r>
      <w:r w:rsidR="005F37AF" w:rsidRPr="00BA0028">
        <w:rPr>
          <w:rFonts w:eastAsia="Times New Roman"/>
          <w:sz w:val="24"/>
          <w:szCs w:val="24"/>
          <w:lang w:eastAsia="es-ES"/>
        </w:rPr>
        <w:t>y,</w:t>
      </w:r>
      <w:r w:rsidR="00670785" w:rsidRPr="00BA0028">
        <w:rPr>
          <w:rFonts w:eastAsia="Times New Roman"/>
          <w:sz w:val="24"/>
          <w:szCs w:val="24"/>
          <w:lang w:eastAsia="es-ES"/>
        </w:rPr>
        <w:t xml:space="preserve"> </w:t>
      </w:r>
      <w:r w:rsidR="004F3195" w:rsidRPr="00BA0028">
        <w:rPr>
          <w:rFonts w:eastAsia="Times New Roman"/>
          <w:sz w:val="24"/>
          <w:szCs w:val="24"/>
          <w:lang w:eastAsia="es-ES"/>
        </w:rPr>
        <w:t>en relación con la</w:t>
      </w:r>
      <w:r w:rsidR="00287F46" w:rsidRPr="00BA0028">
        <w:rPr>
          <w:rFonts w:eastAsia="Times New Roman"/>
          <w:sz w:val="24"/>
          <w:szCs w:val="24"/>
          <w:lang w:eastAsia="es-ES"/>
        </w:rPr>
        <w:t xml:space="preserve"> manifestación del demandante de su afectación al buen nombre</w:t>
      </w:r>
      <w:r w:rsidR="005F37AF" w:rsidRPr="00BA0028">
        <w:rPr>
          <w:rFonts w:eastAsia="Times New Roman"/>
          <w:sz w:val="24"/>
          <w:szCs w:val="24"/>
          <w:lang w:eastAsia="es-ES"/>
        </w:rPr>
        <w:t>, indicó</w:t>
      </w:r>
      <w:r w:rsidR="008B2AF3" w:rsidRPr="00BA0028">
        <w:rPr>
          <w:rFonts w:eastAsia="Times New Roman"/>
          <w:sz w:val="24"/>
          <w:szCs w:val="24"/>
          <w:lang w:eastAsia="es-ES"/>
        </w:rPr>
        <w:t>:</w:t>
      </w:r>
    </w:p>
    <w:p w14:paraId="5F48B545" w14:textId="77777777" w:rsidR="00CF7981" w:rsidRPr="00BA0028" w:rsidRDefault="00CF7981" w:rsidP="62968F2C">
      <w:pPr>
        <w:spacing w:line="276" w:lineRule="auto"/>
        <w:ind w:right="-93"/>
        <w:rPr>
          <w:rFonts w:eastAsia="Times New Roman"/>
          <w:i/>
          <w:iCs/>
          <w:sz w:val="24"/>
          <w:szCs w:val="24"/>
          <w:lang w:eastAsia="es-ES"/>
        </w:rPr>
      </w:pPr>
    </w:p>
    <w:p w14:paraId="035EEE50" w14:textId="34A10C01" w:rsidR="00CF7981" w:rsidRPr="00BA0028" w:rsidRDefault="00CF7981" w:rsidP="00312577">
      <w:pPr>
        <w:spacing w:line="276" w:lineRule="auto"/>
        <w:ind w:left="708" w:right="623"/>
        <w:rPr>
          <w:rFonts w:eastAsia="Times New Roman"/>
          <w:sz w:val="22"/>
          <w:szCs w:val="22"/>
          <w:lang w:eastAsia="es-ES"/>
        </w:rPr>
      </w:pPr>
      <w:r w:rsidRPr="00BA0028">
        <w:rPr>
          <w:rFonts w:eastAsia="Times New Roman"/>
          <w:sz w:val="22"/>
          <w:szCs w:val="22"/>
          <w:lang w:eastAsia="es-ES"/>
        </w:rPr>
        <w:t xml:space="preserve">Ahora bien, la sola enunciación del daño presuntamente </w:t>
      </w:r>
      <w:r w:rsidR="00847534" w:rsidRPr="00BA0028">
        <w:rPr>
          <w:rFonts w:eastAsia="Times New Roman"/>
          <w:sz w:val="22"/>
          <w:szCs w:val="22"/>
          <w:lang w:eastAsia="es-ES"/>
        </w:rPr>
        <w:t>causado</w:t>
      </w:r>
      <w:r w:rsidRPr="00BA0028">
        <w:rPr>
          <w:rFonts w:eastAsia="Times New Roman"/>
          <w:sz w:val="22"/>
          <w:szCs w:val="22"/>
          <w:lang w:eastAsia="es-ES"/>
        </w:rPr>
        <w:t xml:space="preserve"> no es motivo suficiente para continuar con el estudio de los demás elementos de responsabilidad, toda vez que, además, ese daño debe encontrarse probado dentro del proceso. Así, la Sala comparte la tesis que ha sostenido esta Sección</w:t>
      </w:r>
      <w:r w:rsidRPr="00BA0028">
        <w:rPr>
          <w:rStyle w:val="FootnoteReference"/>
          <w:sz w:val="22"/>
          <w:szCs w:val="22"/>
        </w:rPr>
        <w:footnoteReference w:id="32"/>
      </w:r>
      <w:r w:rsidRPr="00BA0028">
        <w:rPr>
          <w:rFonts w:eastAsia="Times New Roman"/>
          <w:sz w:val="22"/>
          <w:szCs w:val="22"/>
          <w:lang w:eastAsia="es-ES"/>
        </w:rPr>
        <w:t>, según la cual el daño al buen nombre se reconocerá siempre que sea plenamente demostrado en el proceso, como uno de los elementos de la responsabilidad.</w:t>
      </w:r>
    </w:p>
    <w:p w14:paraId="51B2DA51" w14:textId="77777777" w:rsidR="00911651" w:rsidRPr="00BA0028" w:rsidRDefault="00911651" w:rsidP="00B73871">
      <w:pPr>
        <w:spacing w:line="276" w:lineRule="auto"/>
        <w:ind w:right="-93"/>
        <w:rPr>
          <w:rFonts w:eastAsia="Times New Roman"/>
          <w:sz w:val="24"/>
          <w:szCs w:val="24"/>
          <w:lang w:eastAsia="es-ES"/>
        </w:rPr>
      </w:pPr>
    </w:p>
    <w:p w14:paraId="19A89FE0" w14:textId="23F1DD7A" w:rsidR="008F0C16" w:rsidRPr="00BA0028" w:rsidRDefault="004F3195" w:rsidP="62968F2C">
      <w:pPr>
        <w:spacing w:line="276" w:lineRule="auto"/>
        <w:contextualSpacing/>
        <w:rPr>
          <w:sz w:val="24"/>
          <w:szCs w:val="24"/>
        </w:rPr>
      </w:pPr>
      <w:r w:rsidRPr="62968F2C">
        <w:rPr>
          <w:rFonts w:eastAsiaTheme="minorEastAsia"/>
          <w:b/>
          <w:bCs/>
          <w:sz w:val="24"/>
          <w:szCs w:val="24"/>
          <w:lang w:val="es-ES"/>
        </w:rPr>
        <w:lastRenderedPageBreak/>
        <w:t xml:space="preserve">3.3. En el caso concreto, </w:t>
      </w:r>
      <w:r w:rsidR="00CC1E34" w:rsidRPr="62968F2C">
        <w:rPr>
          <w:rFonts w:eastAsiaTheme="minorEastAsia"/>
          <w:sz w:val="24"/>
          <w:szCs w:val="24"/>
          <w:lang w:val="es-ES"/>
        </w:rPr>
        <w:t xml:space="preserve">la </w:t>
      </w:r>
      <w:r w:rsidR="00A10D3F" w:rsidRPr="62968F2C">
        <w:rPr>
          <w:rFonts w:eastAsiaTheme="minorEastAsia"/>
          <w:sz w:val="24"/>
          <w:szCs w:val="24"/>
          <w:lang w:val="es-ES"/>
        </w:rPr>
        <w:t>Rama Judicial</w:t>
      </w:r>
      <w:r w:rsidR="00CC1E34" w:rsidRPr="62968F2C">
        <w:rPr>
          <w:rFonts w:eastAsiaTheme="minorEastAsia"/>
          <w:sz w:val="24"/>
          <w:szCs w:val="24"/>
          <w:lang w:val="es-ES"/>
        </w:rPr>
        <w:t>, como parte demandada en el proceso ordinario de reparación directa, aseguró en su escrito de tutela que la autoridad judicial accionada vulneró su derecho fundamental al debido proceso, en la medida en que</w:t>
      </w:r>
      <w:r w:rsidR="003A72C2" w:rsidRPr="62968F2C">
        <w:rPr>
          <w:rFonts w:eastAsiaTheme="minorEastAsia"/>
          <w:sz w:val="24"/>
          <w:szCs w:val="24"/>
          <w:lang w:val="es-ES"/>
        </w:rPr>
        <w:t xml:space="preserve"> le</w:t>
      </w:r>
      <w:r w:rsidR="00CC1E34" w:rsidRPr="62968F2C">
        <w:rPr>
          <w:rFonts w:eastAsiaTheme="minorEastAsia"/>
          <w:sz w:val="24"/>
          <w:szCs w:val="24"/>
          <w:lang w:val="es-ES"/>
        </w:rPr>
        <w:t xml:space="preserve"> ordenó en la sentencia del </w:t>
      </w:r>
      <w:r w:rsidR="006C3A23" w:rsidRPr="62968F2C">
        <w:rPr>
          <w:rFonts w:eastAsiaTheme="minorEastAsia"/>
          <w:sz w:val="24"/>
          <w:szCs w:val="24"/>
          <w:lang w:val="es-ES"/>
        </w:rPr>
        <w:t>19 de junio</w:t>
      </w:r>
      <w:r w:rsidR="00CC1E34" w:rsidRPr="62968F2C">
        <w:rPr>
          <w:rFonts w:eastAsiaTheme="minorEastAsia"/>
          <w:sz w:val="24"/>
          <w:szCs w:val="24"/>
          <w:lang w:val="es-ES"/>
        </w:rPr>
        <w:t xml:space="preserve"> de 202</w:t>
      </w:r>
      <w:r w:rsidR="003A72C2" w:rsidRPr="62968F2C">
        <w:rPr>
          <w:rFonts w:eastAsiaTheme="minorEastAsia"/>
          <w:sz w:val="24"/>
          <w:szCs w:val="24"/>
          <w:lang w:val="es-ES"/>
        </w:rPr>
        <w:t>0 que ofreciera</w:t>
      </w:r>
      <w:r w:rsidR="002E6314" w:rsidRPr="62968F2C">
        <w:rPr>
          <w:rFonts w:eastAsiaTheme="minorEastAsia"/>
          <w:sz w:val="24"/>
          <w:szCs w:val="24"/>
          <w:lang w:val="es-ES"/>
        </w:rPr>
        <w:t xml:space="preserve"> disculpas a quien estuvo </w:t>
      </w:r>
      <w:r w:rsidR="007416B4" w:rsidRPr="62968F2C">
        <w:rPr>
          <w:rFonts w:eastAsiaTheme="minorEastAsia"/>
          <w:sz w:val="24"/>
          <w:szCs w:val="24"/>
          <w:lang w:val="es-ES"/>
        </w:rPr>
        <w:t>privado de la libertad y</w:t>
      </w:r>
      <w:r w:rsidR="003A72C2" w:rsidRPr="62968F2C">
        <w:rPr>
          <w:rFonts w:eastAsiaTheme="minorEastAsia"/>
          <w:sz w:val="24"/>
          <w:szCs w:val="24"/>
          <w:lang w:val="es-ES"/>
        </w:rPr>
        <w:t xml:space="preserve"> a</w:t>
      </w:r>
      <w:r w:rsidR="007416B4" w:rsidRPr="62968F2C">
        <w:rPr>
          <w:rFonts w:eastAsiaTheme="minorEastAsia"/>
          <w:sz w:val="24"/>
          <w:szCs w:val="24"/>
          <w:lang w:val="es-ES"/>
        </w:rPr>
        <w:t xml:space="preserve"> su núcleo familiar</w:t>
      </w:r>
      <w:r w:rsidR="003A72C2" w:rsidRPr="62968F2C">
        <w:rPr>
          <w:rFonts w:eastAsiaTheme="minorEastAsia"/>
          <w:sz w:val="24"/>
          <w:szCs w:val="24"/>
          <w:lang w:val="es-ES"/>
        </w:rPr>
        <w:t xml:space="preserve">, no obstante, omitió su obligación de sustentar dicha decisión </w:t>
      </w:r>
      <w:r w:rsidR="003A72C2" w:rsidRPr="62968F2C">
        <w:rPr>
          <w:sz w:val="24"/>
          <w:szCs w:val="24"/>
        </w:rPr>
        <w:t>en criterios</w:t>
      </w:r>
      <w:r w:rsidR="00312577" w:rsidRPr="62968F2C">
        <w:rPr>
          <w:sz w:val="24"/>
          <w:szCs w:val="24"/>
        </w:rPr>
        <w:t xml:space="preserve"> fá</w:t>
      </w:r>
      <w:r w:rsidR="009667AF" w:rsidRPr="62968F2C">
        <w:rPr>
          <w:sz w:val="24"/>
          <w:szCs w:val="24"/>
        </w:rPr>
        <w:t>cticos,</w:t>
      </w:r>
      <w:r w:rsidR="003A72C2" w:rsidRPr="62968F2C">
        <w:rPr>
          <w:sz w:val="24"/>
          <w:szCs w:val="24"/>
        </w:rPr>
        <w:t xml:space="preserve"> probatorios y jurídicos.</w:t>
      </w:r>
      <w:r w:rsidR="006C3A23" w:rsidRPr="62968F2C">
        <w:rPr>
          <w:sz w:val="24"/>
          <w:szCs w:val="24"/>
        </w:rPr>
        <w:t xml:space="preserve"> </w:t>
      </w:r>
    </w:p>
    <w:p w14:paraId="311F0AC6" w14:textId="77777777" w:rsidR="003A72C2" w:rsidRPr="00BA0028" w:rsidRDefault="003A72C2" w:rsidP="62968F2C">
      <w:pPr>
        <w:spacing w:line="276" w:lineRule="auto"/>
        <w:contextualSpacing/>
        <w:rPr>
          <w:sz w:val="24"/>
          <w:szCs w:val="24"/>
        </w:rPr>
      </w:pPr>
    </w:p>
    <w:p w14:paraId="0F9BEA15" w14:textId="45BC56D0" w:rsidR="00B21436" w:rsidRPr="00BA0028" w:rsidRDefault="00BB5197" w:rsidP="62968F2C">
      <w:pPr>
        <w:spacing w:line="276" w:lineRule="auto"/>
        <w:contextualSpacing/>
        <w:rPr>
          <w:rFonts w:eastAsiaTheme="minorEastAsia"/>
          <w:sz w:val="24"/>
          <w:szCs w:val="24"/>
          <w:lang w:val="es-ES"/>
        </w:rPr>
      </w:pPr>
      <w:r w:rsidRPr="62968F2C">
        <w:rPr>
          <w:rFonts w:eastAsiaTheme="minorEastAsia"/>
          <w:sz w:val="24"/>
          <w:szCs w:val="24"/>
          <w:lang w:val="es-ES"/>
        </w:rPr>
        <w:t>Una vez fue revisada la providencia cuestionada</w:t>
      </w:r>
      <w:r w:rsidR="00670785" w:rsidRPr="62968F2C">
        <w:rPr>
          <w:rFonts w:eastAsiaTheme="minorEastAsia"/>
          <w:sz w:val="24"/>
          <w:szCs w:val="24"/>
          <w:lang w:val="es-ES"/>
        </w:rPr>
        <w:t>, esta S</w:t>
      </w:r>
      <w:r w:rsidR="00A10D3F" w:rsidRPr="62968F2C">
        <w:rPr>
          <w:rFonts w:eastAsiaTheme="minorEastAsia"/>
          <w:sz w:val="24"/>
          <w:szCs w:val="24"/>
          <w:lang w:val="es-ES"/>
        </w:rPr>
        <w:t>ala</w:t>
      </w:r>
      <w:r w:rsidR="00670785" w:rsidRPr="62968F2C">
        <w:rPr>
          <w:rFonts w:eastAsiaTheme="minorEastAsia"/>
          <w:sz w:val="24"/>
          <w:szCs w:val="24"/>
          <w:lang w:val="es-ES"/>
        </w:rPr>
        <w:t xml:space="preserve"> encontró</w:t>
      </w:r>
      <w:r w:rsidRPr="62968F2C">
        <w:rPr>
          <w:rFonts w:eastAsiaTheme="minorEastAsia"/>
          <w:sz w:val="24"/>
          <w:szCs w:val="24"/>
          <w:lang w:val="es-ES"/>
        </w:rPr>
        <w:t xml:space="preserve"> que el juez ordinario de segunda instancia, para </w:t>
      </w:r>
      <w:r w:rsidR="004C2E8B" w:rsidRPr="62968F2C">
        <w:rPr>
          <w:rFonts w:eastAsiaTheme="minorEastAsia"/>
          <w:sz w:val="24"/>
          <w:szCs w:val="24"/>
          <w:lang w:val="es-ES"/>
        </w:rPr>
        <w:t>fundamentar</w:t>
      </w:r>
      <w:r w:rsidRPr="62968F2C">
        <w:rPr>
          <w:rFonts w:eastAsiaTheme="minorEastAsia"/>
          <w:sz w:val="24"/>
          <w:szCs w:val="24"/>
          <w:lang w:val="es-ES"/>
        </w:rPr>
        <w:t xml:space="preserve"> la orden de pedir disculpas, solo manifestó que </w:t>
      </w:r>
      <w:r w:rsidR="006C3A23" w:rsidRPr="62968F2C">
        <w:rPr>
          <w:rFonts w:eastAsiaTheme="minorEastAsia"/>
          <w:sz w:val="24"/>
          <w:szCs w:val="24"/>
          <w:lang w:val="es-ES"/>
        </w:rPr>
        <w:t xml:space="preserve">la privación de la libertad provocó una afectación al buen nombre y a la dignidad del privado de la libertad, pero </w:t>
      </w:r>
      <w:r w:rsidR="00842483" w:rsidRPr="62968F2C">
        <w:rPr>
          <w:rFonts w:eastAsiaTheme="minorEastAsia"/>
          <w:sz w:val="24"/>
          <w:szCs w:val="24"/>
          <w:lang w:val="es-ES"/>
        </w:rPr>
        <w:t xml:space="preserve">no realizó un ejercicio de </w:t>
      </w:r>
      <w:r w:rsidR="006C3A23" w:rsidRPr="62968F2C">
        <w:rPr>
          <w:rFonts w:eastAsiaTheme="minorEastAsia"/>
          <w:sz w:val="24"/>
          <w:szCs w:val="24"/>
          <w:lang w:val="es-ES"/>
        </w:rPr>
        <w:t xml:space="preserve">argumentación </w:t>
      </w:r>
      <w:r w:rsidR="00842483" w:rsidRPr="62968F2C">
        <w:rPr>
          <w:rFonts w:eastAsiaTheme="minorEastAsia"/>
          <w:sz w:val="24"/>
          <w:szCs w:val="24"/>
          <w:lang w:val="es-ES"/>
        </w:rPr>
        <w:t>a partir del material probatorio aportado al expediente de reparación directa</w:t>
      </w:r>
      <w:r w:rsidR="004D16DC" w:rsidRPr="62968F2C">
        <w:rPr>
          <w:rFonts w:eastAsiaTheme="minorEastAsia"/>
          <w:sz w:val="24"/>
          <w:szCs w:val="24"/>
          <w:lang w:val="es-ES"/>
        </w:rPr>
        <w:t xml:space="preserve">, </w:t>
      </w:r>
      <w:r w:rsidR="006C3A23" w:rsidRPr="62968F2C">
        <w:rPr>
          <w:rFonts w:eastAsiaTheme="minorEastAsia"/>
          <w:sz w:val="24"/>
          <w:szCs w:val="24"/>
          <w:lang w:val="es-ES"/>
        </w:rPr>
        <w:t xml:space="preserve">que permita derivar la </w:t>
      </w:r>
      <w:proofErr w:type="spellStart"/>
      <w:r w:rsidR="006C3A23" w:rsidRPr="62968F2C">
        <w:rPr>
          <w:rFonts w:eastAsiaTheme="minorEastAsia"/>
          <w:sz w:val="24"/>
          <w:szCs w:val="24"/>
          <w:lang w:val="es-ES"/>
        </w:rPr>
        <w:t>causación</w:t>
      </w:r>
      <w:proofErr w:type="spellEnd"/>
      <w:r w:rsidR="006C3A23" w:rsidRPr="62968F2C">
        <w:rPr>
          <w:rFonts w:eastAsiaTheme="minorEastAsia"/>
          <w:sz w:val="24"/>
          <w:szCs w:val="24"/>
          <w:lang w:val="es-ES"/>
        </w:rPr>
        <w:t xml:space="preserve"> de dicha afectación, </w:t>
      </w:r>
      <w:r w:rsidR="00B21436" w:rsidRPr="62968F2C">
        <w:rPr>
          <w:rFonts w:eastAsiaTheme="minorEastAsia"/>
          <w:sz w:val="24"/>
          <w:szCs w:val="24"/>
          <w:lang w:val="es-ES"/>
        </w:rPr>
        <w:t>en atención a los criterios jurisprudenciales desarrollados para la modalidad de</w:t>
      </w:r>
      <w:r w:rsidR="009667AF" w:rsidRPr="62968F2C">
        <w:rPr>
          <w:rFonts w:eastAsiaTheme="minorEastAsia"/>
          <w:sz w:val="24"/>
          <w:szCs w:val="24"/>
          <w:lang w:val="es-ES"/>
        </w:rPr>
        <w:t>l</w:t>
      </w:r>
      <w:r w:rsidR="00B21436" w:rsidRPr="62968F2C">
        <w:rPr>
          <w:rFonts w:eastAsiaTheme="minorEastAsia"/>
          <w:sz w:val="24"/>
          <w:szCs w:val="24"/>
          <w:lang w:val="es-ES"/>
        </w:rPr>
        <w:t xml:space="preserve"> daño denominado </w:t>
      </w:r>
      <w:r w:rsidR="00B21436" w:rsidRPr="62968F2C">
        <w:rPr>
          <w:rFonts w:eastAsiaTheme="minorEastAsia"/>
          <w:i/>
          <w:iCs/>
          <w:sz w:val="24"/>
          <w:szCs w:val="24"/>
          <w:lang w:val="es-ES"/>
        </w:rPr>
        <w:t>afectación o vulneración relevante de bienes o derechos convencional y constitucionalmente amparados</w:t>
      </w:r>
      <w:r w:rsidR="00842483" w:rsidRPr="62968F2C">
        <w:rPr>
          <w:rFonts w:eastAsiaTheme="minorEastAsia"/>
          <w:sz w:val="24"/>
          <w:szCs w:val="24"/>
          <w:lang w:val="es-ES"/>
        </w:rPr>
        <w:t>.</w:t>
      </w:r>
    </w:p>
    <w:p w14:paraId="50F297D7" w14:textId="77777777" w:rsidR="00A207AF" w:rsidRPr="00BA0028" w:rsidRDefault="00A207AF" w:rsidP="62968F2C">
      <w:pPr>
        <w:spacing w:line="276" w:lineRule="auto"/>
        <w:contextualSpacing/>
        <w:rPr>
          <w:rFonts w:eastAsiaTheme="minorEastAsia"/>
          <w:sz w:val="24"/>
          <w:szCs w:val="24"/>
          <w:lang w:val="es-ES"/>
        </w:rPr>
      </w:pPr>
    </w:p>
    <w:p w14:paraId="05B7E754" w14:textId="76596D27" w:rsidR="00A207AF" w:rsidRPr="00BA0028" w:rsidRDefault="00A207AF" w:rsidP="62968F2C">
      <w:pPr>
        <w:spacing w:line="276" w:lineRule="auto"/>
        <w:contextualSpacing/>
        <w:rPr>
          <w:rFonts w:eastAsiaTheme="minorEastAsia"/>
          <w:sz w:val="24"/>
          <w:szCs w:val="24"/>
          <w:lang w:val="es-ES"/>
        </w:rPr>
      </w:pPr>
      <w:r w:rsidRPr="62968F2C">
        <w:rPr>
          <w:rFonts w:eastAsiaTheme="minorEastAsia"/>
          <w:sz w:val="24"/>
          <w:szCs w:val="24"/>
          <w:lang w:val="es-ES"/>
        </w:rPr>
        <w:t>Es decir, en la sente</w:t>
      </w:r>
      <w:r w:rsidR="008967AF" w:rsidRPr="62968F2C">
        <w:rPr>
          <w:rFonts w:eastAsiaTheme="minorEastAsia"/>
          <w:sz w:val="24"/>
          <w:szCs w:val="24"/>
          <w:lang w:val="es-ES"/>
        </w:rPr>
        <w:t xml:space="preserve">ncia </w:t>
      </w:r>
      <w:r w:rsidR="00644E94" w:rsidRPr="62968F2C">
        <w:rPr>
          <w:rFonts w:eastAsiaTheme="minorEastAsia"/>
          <w:sz w:val="24"/>
          <w:szCs w:val="24"/>
          <w:lang w:val="es-ES"/>
        </w:rPr>
        <w:t>objeto de este estudio</w:t>
      </w:r>
      <w:r w:rsidR="008967AF" w:rsidRPr="62968F2C">
        <w:rPr>
          <w:rFonts w:eastAsiaTheme="minorEastAsia"/>
          <w:sz w:val="24"/>
          <w:szCs w:val="24"/>
          <w:lang w:val="es-ES"/>
        </w:rPr>
        <w:t xml:space="preserve"> no se identificó el análisis de las circunstancias en que ocurrió, desde el plano fá</w:t>
      </w:r>
      <w:r w:rsidR="00C65BC5" w:rsidRPr="62968F2C">
        <w:rPr>
          <w:rFonts w:eastAsiaTheme="minorEastAsia"/>
          <w:sz w:val="24"/>
          <w:szCs w:val="24"/>
          <w:lang w:val="es-ES"/>
        </w:rPr>
        <w:t>ctic</w:t>
      </w:r>
      <w:r w:rsidR="008967AF" w:rsidRPr="62968F2C">
        <w:rPr>
          <w:rFonts w:eastAsiaTheme="minorEastAsia"/>
          <w:sz w:val="24"/>
          <w:szCs w:val="24"/>
          <w:lang w:val="es-ES"/>
        </w:rPr>
        <w:t xml:space="preserve">o y con respaldo probatorio, </w:t>
      </w:r>
      <w:r w:rsidR="006C3A23" w:rsidRPr="62968F2C">
        <w:rPr>
          <w:rFonts w:eastAsiaTheme="minorEastAsia"/>
          <w:sz w:val="24"/>
          <w:szCs w:val="24"/>
          <w:lang w:val="es-ES"/>
        </w:rPr>
        <w:t xml:space="preserve">la afectación </w:t>
      </w:r>
      <w:r w:rsidR="009667AF" w:rsidRPr="62968F2C">
        <w:rPr>
          <w:rFonts w:eastAsiaTheme="minorEastAsia"/>
          <w:sz w:val="24"/>
          <w:szCs w:val="24"/>
          <w:lang w:val="es-ES"/>
        </w:rPr>
        <w:t>al buen nombre de</w:t>
      </w:r>
      <w:r w:rsidR="006C3A23" w:rsidRPr="62968F2C">
        <w:rPr>
          <w:rFonts w:eastAsiaTheme="minorEastAsia"/>
          <w:sz w:val="24"/>
          <w:szCs w:val="24"/>
          <w:lang w:val="es-ES"/>
        </w:rPr>
        <w:t>l</w:t>
      </w:r>
      <w:r w:rsidR="00C65BC5" w:rsidRPr="62968F2C">
        <w:rPr>
          <w:rFonts w:eastAsiaTheme="minorEastAsia"/>
          <w:sz w:val="24"/>
          <w:szCs w:val="24"/>
          <w:lang w:val="es-ES"/>
        </w:rPr>
        <w:t xml:space="preserve"> </w:t>
      </w:r>
      <w:r w:rsidR="006C3A23" w:rsidRPr="62968F2C">
        <w:rPr>
          <w:rFonts w:eastAsiaTheme="minorEastAsia"/>
          <w:sz w:val="24"/>
          <w:szCs w:val="24"/>
          <w:lang w:val="es-ES"/>
        </w:rPr>
        <w:t>demandante</w:t>
      </w:r>
      <w:r w:rsidR="008967AF" w:rsidRPr="62968F2C">
        <w:rPr>
          <w:rFonts w:eastAsiaTheme="minorEastAsia"/>
          <w:sz w:val="24"/>
          <w:szCs w:val="24"/>
          <w:lang w:val="es-ES"/>
        </w:rPr>
        <w:t xml:space="preserve"> </w:t>
      </w:r>
      <w:r w:rsidR="00C65BC5" w:rsidRPr="62968F2C">
        <w:rPr>
          <w:rFonts w:eastAsiaTheme="minorEastAsia"/>
          <w:sz w:val="24"/>
          <w:szCs w:val="24"/>
          <w:lang w:val="es-ES"/>
        </w:rPr>
        <w:t xml:space="preserve">que la jurisprudencia ha </w:t>
      </w:r>
      <w:r w:rsidR="00773572" w:rsidRPr="62968F2C">
        <w:rPr>
          <w:rFonts w:eastAsiaTheme="minorEastAsia"/>
          <w:sz w:val="24"/>
          <w:szCs w:val="24"/>
          <w:lang w:val="es-ES"/>
        </w:rPr>
        <w:t>caracterizado</w:t>
      </w:r>
      <w:r w:rsidR="00842483" w:rsidRPr="62968F2C">
        <w:rPr>
          <w:rFonts w:eastAsiaTheme="minorEastAsia"/>
          <w:sz w:val="24"/>
          <w:szCs w:val="24"/>
          <w:lang w:val="es-ES"/>
        </w:rPr>
        <w:t xml:space="preserve"> como</w:t>
      </w:r>
      <w:r w:rsidR="006C3A23" w:rsidRPr="62968F2C">
        <w:rPr>
          <w:rFonts w:eastAsiaTheme="minorEastAsia"/>
          <w:sz w:val="24"/>
          <w:szCs w:val="24"/>
          <w:lang w:val="es-ES"/>
        </w:rPr>
        <w:t xml:space="preserve"> un daño</w:t>
      </w:r>
      <w:r w:rsidR="00842483" w:rsidRPr="62968F2C">
        <w:rPr>
          <w:rFonts w:eastAsiaTheme="minorEastAsia"/>
          <w:sz w:val="24"/>
          <w:szCs w:val="24"/>
          <w:lang w:val="es-ES"/>
        </w:rPr>
        <w:t xml:space="preserve"> autónomo, y </w:t>
      </w:r>
      <w:r w:rsidR="00847534" w:rsidRPr="62968F2C">
        <w:rPr>
          <w:rFonts w:eastAsiaTheme="minorEastAsia"/>
          <w:sz w:val="24"/>
          <w:szCs w:val="24"/>
          <w:lang w:val="es-ES"/>
        </w:rPr>
        <w:t>que,</w:t>
      </w:r>
      <w:r w:rsidR="00842483" w:rsidRPr="62968F2C">
        <w:rPr>
          <w:rFonts w:eastAsiaTheme="minorEastAsia"/>
          <w:sz w:val="24"/>
          <w:szCs w:val="24"/>
          <w:lang w:val="es-ES"/>
        </w:rPr>
        <w:t xml:space="preserve"> por su relevancia</w:t>
      </w:r>
      <w:r w:rsidR="00C65BC5" w:rsidRPr="62968F2C">
        <w:rPr>
          <w:rFonts w:eastAsiaTheme="minorEastAsia"/>
          <w:sz w:val="24"/>
          <w:szCs w:val="24"/>
          <w:lang w:val="es-ES"/>
        </w:rPr>
        <w:t xml:space="preserve">, </w:t>
      </w:r>
      <w:r w:rsidR="009667AF" w:rsidRPr="62968F2C">
        <w:rPr>
          <w:rFonts w:eastAsiaTheme="minorEastAsia"/>
          <w:sz w:val="24"/>
          <w:szCs w:val="24"/>
          <w:lang w:val="es-ES"/>
        </w:rPr>
        <w:t>debía</w:t>
      </w:r>
      <w:r w:rsidR="00C65BC5" w:rsidRPr="62968F2C">
        <w:rPr>
          <w:rFonts w:eastAsiaTheme="minorEastAsia"/>
          <w:sz w:val="24"/>
          <w:szCs w:val="24"/>
          <w:lang w:val="es-ES"/>
        </w:rPr>
        <w:t xml:space="preserve"> ser reparado.</w:t>
      </w:r>
    </w:p>
    <w:p w14:paraId="58C55612" w14:textId="77777777" w:rsidR="007416B4" w:rsidRPr="00BA0028" w:rsidRDefault="007416B4" w:rsidP="62968F2C">
      <w:pPr>
        <w:spacing w:line="276" w:lineRule="auto"/>
        <w:contextualSpacing/>
        <w:rPr>
          <w:rFonts w:eastAsiaTheme="minorEastAsia"/>
          <w:sz w:val="24"/>
          <w:szCs w:val="24"/>
          <w:lang w:val="es-ES"/>
        </w:rPr>
      </w:pPr>
    </w:p>
    <w:p w14:paraId="31BE8E52" w14:textId="7B4994C6" w:rsidR="00AA37BD" w:rsidRPr="00BA0028" w:rsidRDefault="00D210DA" w:rsidP="00B73871">
      <w:pPr>
        <w:overflowPunct w:val="0"/>
        <w:autoSpaceDE w:val="0"/>
        <w:autoSpaceDN w:val="0"/>
        <w:adjustRightInd w:val="0"/>
        <w:spacing w:line="276" w:lineRule="auto"/>
        <w:rPr>
          <w:sz w:val="24"/>
          <w:szCs w:val="24"/>
        </w:rPr>
      </w:pPr>
      <w:r w:rsidRPr="62968F2C">
        <w:rPr>
          <w:sz w:val="24"/>
          <w:szCs w:val="24"/>
        </w:rPr>
        <w:t>L</w:t>
      </w:r>
      <w:r w:rsidR="008967AF" w:rsidRPr="62968F2C">
        <w:rPr>
          <w:sz w:val="24"/>
          <w:szCs w:val="24"/>
        </w:rPr>
        <w:t>o anterior permite</w:t>
      </w:r>
      <w:r w:rsidRPr="62968F2C">
        <w:rPr>
          <w:sz w:val="24"/>
          <w:szCs w:val="24"/>
        </w:rPr>
        <w:t xml:space="preserve"> concluir que</w:t>
      </w:r>
      <w:r w:rsidR="00AA37BD" w:rsidRPr="62968F2C">
        <w:rPr>
          <w:sz w:val="24"/>
          <w:szCs w:val="24"/>
        </w:rPr>
        <w:t xml:space="preserve"> se </w:t>
      </w:r>
      <w:r w:rsidRPr="62968F2C">
        <w:rPr>
          <w:sz w:val="24"/>
          <w:szCs w:val="24"/>
        </w:rPr>
        <w:t xml:space="preserve">configuró un </w:t>
      </w:r>
      <w:r w:rsidR="00413031" w:rsidRPr="62968F2C">
        <w:rPr>
          <w:sz w:val="24"/>
          <w:szCs w:val="24"/>
        </w:rPr>
        <w:t>defecto de decisión</w:t>
      </w:r>
      <w:r w:rsidR="006C3A23" w:rsidRPr="62968F2C">
        <w:rPr>
          <w:sz w:val="24"/>
          <w:szCs w:val="24"/>
        </w:rPr>
        <w:t xml:space="preserve"> sin</w:t>
      </w:r>
      <w:r w:rsidR="00AA37BD" w:rsidRPr="62968F2C">
        <w:rPr>
          <w:sz w:val="24"/>
          <w:szCs w:val="24"/>
        </w:rPr>
        <w:t xml:space="preserve"> motivación</w:t>
      </w:r>
      <w:r w:rsidR="00923373" w:rsidRPr="62968F2C">
        <w:rPr>
          <w:sz w:val="24"/>
          <w:szCs w:val="24"/>
        </w:rPr>
        <w:t xml:space="preserve"> en la sentencia del </w:t>
      </w:r>
      <w:r w:rsidR="006C3A23" w:rsidRPr="62968F2C">
        <w:rPr>
          <w:sz w:val="24"/>
          <w:szCs w:val="24"/>
        </w:rPr>
        <w:t>19 de junio</w:t>
      </w:r>
      <w:r w:rsidR="00923373" w:rsidRPr="62968F2C">
        <w:rPr>
          <w:sz w:val="24"/>
          <w:szCs w:val="24"/>
        </w:rPr>
        <w:t xml:space="preserve"> de 2020</w:t>
      </w:r>
      <w:r w:rsidR="00AA37BD" w:rsidRPr="62968F2C">
        <w:rPr>
          <w:sz w:val="24"/>
          <w:szCs w:val="24"/>
        </w:rPr>
        <w:t>, pues la Subsección B de la Sección Tercera del Consejo de Estado no cumplió con su deber de justificar de manera razonada</w:t>
      </w:r>
      <w:r w:rsidRPr="62968F2C">
        <w:rPr>
          <w:sz w:val="24"/>
          <w:szCs w:val="24"/>
        </w:rPr>
        <w:t xml:space="preserve"> la</w:t>
      </w:r>
      <w:r w:rsidR="00AA37BD" w:rsidRPr="62968F2C">
        <w:rPr>
          <w:sz w:val="24"/>
          <w:szCs w:val="24"/>
        </w:rPr>
        <w:t xml:space="preserve"> decisión de reparar el buen nombre de</w:t>
      </w:r>
      <w:r w:rsidR="006C3A23" w:rsidRPr="62968F2C">
        <w:rPr>
          <w:sz w:val="24"/>
          <w:szCs w:val="24"/>
        </w:rPr>
        <w:t>l</w:t>
      </w:r>
      <w:r w:rsidR="00AA37BD" w:rsidRPr="62968F2C">
        <w:rPr>
          <w:sz w:val="24"/>
          <w:szCs w:val="24"/>
        </w:rPr>
        <w:t xml:space="preserve"> </w:t>
      </w:r>
      <w:r w:rsidR="006C3A23" w:rsidRPr="62968F2C">
        <w:rPr>
          <w:sz w:val="24"/>
          <w:szCs w:val="24"/>
        </w:rPr>
        <w:t>demandante</w:t>
      </w:r>
      <w:r w:rsidR="00AA37BD" w:rsidRPr="62968F2C">
        <w:rPr>
          <w:sz w:val="24"/>
          <w:szCs w:val="24"/>
        </w:rPr>
        <w:t xml:space="preserve"> </w:t>
      </w:r>
      <w:r w:rsidR="00773572" w:rsidRPr="62968F2C">
        <w:rPr>
          <w:sz w:val="24"/>
          <w:szCs w:val="24"/>
        </w:rPr>
        <w:t>dentro</w:t>
      </w:r>
      <w:r w:rsidR="00AA37BD" w:rsidRPr="62968F2C">
        <w:rPr>
          <w:sz w:val="24"/>
          <w:szCs w:val="24"/>
        </w:rPr>
        <w:t xml:space="preserve"> </w:t>
      </w:r>
      <w:r w:rsidR="00312577" w:rsidRPr="62968F2C">
        <w:rPr>
          <w:sz w:val="24"/>
          <w:szCs w:val="24"/>
        </w:rPr>
        <w:t xml:space="preserve">del </w:t>
      </w:r>
      <w:r w:rsidR="00AA37BD" w:rsidRPr="62968F2C">
        <w:rPr>
          <w:sz w:val="24"/>
          <w:szCs w:val="24"/>
        </w:rPr>
        <w:t xml:space="preserve">proceso ordinario, mediante disculpas ofrecidas por la </w:t>
      </w:r>
      <w:r w:rsidR="006C3A23" w:rsidRPr="62968F2C">
        <w:rPr>
          <w:sz w:val="24"/>
          <w:szCs w:val="24"/>
        </w:rPr>
        <w:t>Rama Judicial,</w:t>
      </w:r>
      <w:r w:rsidR="00AA37BD" w:rsidRPr="62968F2C">
        <w:rPr>
          <w:sz w:val="24"/>
          <w:szCs w:val="24"/>
        </w:rPr>
        <w:t xml:space="preserve"> situación que</w:t>
      </w:r>
      <w:r w:rsidR="008967AF" w:rsidRPr="62968F2C">
        <w:rPr>
          <w:sz w:val="24"/>
          <w:szCs w:val="24"/>
        </w:rPr>
        <w:t xml:space="preserve"> al no tener ningún sustento probatorio</w:t>
      </w:r>
      <w:r w:rsidR="00AA37BD" w:rsidRPr="62968F2C">
        <w:rPr>
          <w:sz w:val="24"/>
          <w:szCs w:val="24"/>
        </w:rPr>
        <w:t xml:space="preserve"> vulnera el derecho fundamental al debido proceso</w:t>
      </w:r>
      <w:r w:rsidR="00773572" w:rsidRPr="62968F2C">
        <w:rPr>
          <w:sz w:val="24"/>
          <w:szCs w:val="24"/>
        </w:rPr>
        <w:t xml:space="preserve"> de la accionante</w:t>
      </w:r>
      <w:r w:rsidR="00AA37BD" w:rsidRPr="62968F2C">
        <w:rPr>
          <w:sz w:val="24"/>
          <w:szCs w:val="24"/>
        </w:rPr>
        <w:t>.</w:t>
      </w:r>
    </w:p>
    <w:p w14:paraId="5D360EC8" w14:textId="77777777" w:rsidR="00C65BC5" w:rsidRPr="00BA0028" w:rsidRDefault="00C65BC5" w:rsidP="00B73871">
      <w:pPr>
        <w:spacing w:line="276" w:lineRule="auto"/>
        <w:rPr>
          <w:rFonts w:eastAsia="Dotum"/>
          <w:sz w:val="24"/>
          <w:szCs w:val="24"/>
        </w:rPr>
      </w:pPr>
    </w:p>
    <w:p w14:paraId="0B43213D" w14:textId="31926517" w:rsidR="00EF76AC" w:rsidRPr="00BA0028" w:rsidRDefault="00AA37BD" w:rsidP="00B73871">
      <w:pPr>
        <w:spacing w:line="276" w:lineRule="auto"/>
        <w:rPr>
          <w:rFonts w:eastAsia="Dotum"/>
          <w:sz w:val="24"/>
          <w:szCs w:val="24"/>
        </w:rPr>
      </w:pPr>
      <w:r w:rsidRPr="62968F2C">
        <w:rPr>
          <w:rFonts w:eastAsia="Dotum"/>
          <w:sz w:val="24"/>
          <w:szCs w:val="24"/>
        </w:rPr>
        <w:t xml:space="preserve">Por lo tanto, la Sala dejará sin </w:t>
      </w:r>
      <w:r w:rsidR="00CE7F38" w:rsidRPr="62968F2C">
        <w:rPr>
          <w:rFonts w:eastAsia="Dotum"/>
          <w:sz w:val="24"/>
          <w:szCs w:val="24"/>
        </w:rPr>
        <w:t>efectos</w:t>
      </w:r>
      <w:r w:rsidR="00D210DA" w:rsidRPr="62968F2C">
        <w:rPr>
          <w:rFonts w:eastAsia="Dotum"/>
          <w:sz w:val="24"/>
          <w:szCs w:val="24"/>
        </w:rPr>
        <w:t xml:space="preserve"> </w:t>
      </w:r>
      <w:r w:rsidRPr="62968F2C">
        <w:rPr>
          <w:rFonts w:eastAsia="Dotum"/>
          <w:sz w:val="24"/>
          <w:szCs w:val="24"/>
        </w:rPr>
        <w:t>la sentencia mencionada</w:t>
      </w:r>
      <w:r w:rsidR="00923373" w:rsidRPr="62968F2C">
        <w:rPr>
          <w:rFonts w:eastAsia="Dotum"/>
          <w:sz w:val="24"/>
          <w:szCs w:val="24"/>
        </w:rPr>
        <w:t>, únicamente</w:t>
      </w:r>
      <w:r w:rsidR="00BB361E" w:rsidRPr="62968F2C">
        <w:rPr>
          <w:rFonts w:eastAsia="Dotum"/>
          <w:sz w:val="24"/>
          <w:szCs w:val="24"/>
        </w:rPr>
        <w:t xml:space="preserve"> en</w:t>
      </w:r>
      <w:r w:rsidR="00923373" w:rsidRPr="62968F2C">
        <w:rPr>
          <w:rFonts w:eastAsia="Dotum"/>
          <w:sz w:val="24"/>
          <w:szCs w:val="24"/>
        </w:rPr>
        <w:t xml:space="preserve"> lo </w:t>
      </w:r>
      <w:r w:rsidR="00D210DA" w:rsidRPr="62968F2C">
        <w:rPr>
          <w:rFonts w:eastAsia="Dotum"/>
          <w:sz w:val="24"/>
          <w:szCs w:val="24"/>
        </w:rPr>
        <w:t>que tiene que ver con e</w:t>
      </w:r>
      <w:r w:rsidR="00923373" w:rsidRPr="62968F2C">
        <w:rPr>
          <w:rFonts w:eastAsia="Dotum"/>
          <w:sz w:val="24"/>
          <w:szCs w:val="24"/>
        </w:rPr>
        <w:t xml:space="preserve">l ítem </w:t>
      </w:r>
      <w:r w:rsidR="00773572" w:rsidRPr="62968F2C">
        <w:rPr>
          <w:rFonts w:eastAsia="Dotum"/>
          <w:sz w:val="24"/>
          <w:szCs w:val="24"/>
        </w:rPr>
        <w:t xml:space="preserve">denominado </w:t>
      </w:r>
      <w:r w:rsidR="00923373" w:rsidRPr="62968F2C">
        <w:rPr>
          <w:rFonts w:eastAsia="Dotum"/>
          <w:sz w:val="24"/>
          <w:szCs w:val="24"/>
        </w:rPr>
        <w:t>“</w:t>
      </w:r>
      <w:r w:rsidR="00923373" w:rsidRPr="62968F2C">
        <w:rPr>
          <w:rFonts w:eastAsia="Dotum"/>
          <w:i/>
          <w:iCs/>
          <w:sz w:val="24"/>
          <w:szCs w:val="24"/>
        </w:rPr>
        <w:t>Derecho al buen nombre</w:t>
      </w:r>
      <w:r w:rsidR="008967AF" w:rsidRPr="62968F2C">
        <w:rPr>
          <w:rFonts w:eastAsia="Dotum"/>
          <w:sz w:val="24"/>
          <w:szCs w:val="24"/>
        </w:rPr>
        <w:t>” correspondiente a los párrafos 68 y 69</w:t>
      </w:r>
      <w:r w:rsidR="00773572" w:rsidRPr="62968F2C">
        <w:rPr>
          <w:rFonts w:eastAsia="Dotum"/>
          <w:sz w:val="24"/>
          <w:szCs w:val="24"/>
        </w:rPr>
        <w:t xml:space="preserve"> de la providencia</w:t>
      </w:r>
      <w:r w:rsidR="00EF76AC" w:rsidRPr="62968F2C">
        <w:rPr>
          <w:rFonts w:eastAsia="Dotum"/>
          <w:sz w:val="24"/>
          <w:szCs w:val="24"/>
        </w:rPr>
        <w:t xml:space="preserve">, y </w:t>
      </w:r>
      <w:r w:rsidR="008967AF" w:rsidRPr="62968F2C">
        <w:rPr>
          <w:rFonts w:eastAsia="Dotum"/>
          <w:sz w:val="24"/>
          <w:szCs w:val="24"/>
        </w:rPr>
        <w:t>e</w:t>
      </w:r>
      <w:r w:rsidR="00D210DA" w:rsidRPr="62968F2C">
        <w:rPr>
          <w:rFonts w:eastAsia="Dotum"/>
          <w:sz w:val="24"/>
          <w:szCs w:val="24"/>
        </w:rPr>
        <w:t>l numeral cuarto de su</w:t>
      </w:r>
      <w:r w:rsidR="00923373" w:rsidRPr="62968F2C">
        <w:rPr>
          <w:rFonts w:eastAsia="Dotum"/>
          <w:sz w:val="24"/>
          <w:szCs w:val="24"/>
        </w:rPr>
        <w:t xml:space="preserve"> parte resolutiva,</w:t>
      </w:r>
      <w:r w:rsidRPr="62968F2C">
        <w:rPr>
          <w:rFonts w:eastAsia="Dotum"/>
          <w:sz w:val="24"/>
          <w:szCs w:val="24"/>
        </w:rPr>
        <w:t xml:space="preserve"> para que, en su lugar, </w:t>
      </w:r>
      <w:r w:rsidR="00923373" w:rsidRPr="62968F2C">
        <w:rPr>
          <w:rFonts w:eastAsia="Dotum"/>
          <w:sz w:val="24"/>
          <w:szCs w:val="24"/>
        </w:rPr>
        <w:t xml:space="preserve">la Subsección B de la Sección Tercera del Consejo de Estado </w:t>
      </w:r>
      <w:r w:rsidRPr="62968F2C">
        <w:rPr>
          <w:rFonts w:eastAsia="Dotum"/>
          <w:sz w:val="24"/>
          <w:szCs w:val="24"/>
        </w:rPr>
        <w:t>profiera una nueva decisión</w:t>
      </w:r>
      <w:r w:rsidR="007E5EA7" w:rsidRPr="62968F2C">
        <w:rPr>
          <w:rFonts w:eastAsia="Dotum"/>
          <w:sz w:val="24"/>
          <w:szCs w:val="24"/>
        </w:rPr>
        <w:t>, a través de sentencia complementaria,</w:t>
      </w:r>
      <w:r w:rsidRPr="62968F2C">
        <w:rPr>
          <w:rFonts w:eastAsia="Dotum"/>
          <w:sz w:val="24"/>
          <w:szCs w:val="24"/>
        </w:rPr>
        <w:t xml:space="preserve"> en la que tenga en cuenta las consideracione</w:t>
      </w:r>
      <w:r w:rsidR="007A3F17" w:rsidRPr="62968F2C">
        <w:rPr>
          <w:rFonts w:eastAsia="Dotum"/>
          <w:sz w:val="24"/>
          <w:szCs w:val="24"/>
        </w:rPr>
        <w:t xml:space="preserve">s expuestas en esta providencia, dentro del término de </w:t>
      </w:r>
      <w:r w:rsidR="00526281" w:rsidRPr="62968F2C">
        <w:rPr>
          <w:rFonts w:eastAsia="Dotum"/>
          <w:sz w:val="24"/>
          <w:szCs w:val="24"/>
        </w:rPr>
        <w:t>cuarenta y cinco (</w:t>
      </w:r>
      <w:r w:rsidR="007A3F17" w:rsidRPr="62968F2C">
        <w:rPr>
          <w:rFonts w:eastAsia="Dotum"/>
          <w:sz w:val="24"/>
          <w:szCs w:val="24"/>
        </w:rPr>
        <w:t>45</w:t>
      </w:r>
      <w:r w:rsidR="00526281" w:rsidRPr="62968F2C">
        <w:rPr>
          <w:rFonts w:eastAsia="Dotum"/>
          <w:sz w:val="24"/>
          <w:szCs w:val="24"/>
        </w:rPr>
        <w:t>)</w:t>
      </w:r>
      <w:r w:rsidR="007A3F17" w:rsidRPr="62968F2C">
        <w:rPr>
          <w:rFonts w:eastAsia="Dotum"/>
          <w:sz w:val="24"/>
          <w:szCs w:val="24"/>
        </w:rPr>
        <w:t xml:space="preserve"> d</w:t>
      </w:r>
      <w:r w:rsidR="007E5EA7" w:rsidRPr="62968F2C">
        <w:rPr>
          <w:rFonts w:eastAsia="Dotum"/>
          <w:sz w:val="24"/>
          <w:szCs w:val="24"/>
        </w:rPr>
        <w:t>ías hábiles contados a partir de la notificación de la presente providencia.</w:t>
      </w:r>
      <w:r w:rsidR="00EF76AC" w:rsidRPr="62968F2C">
        <w:rPr>
          <w:rFonts w:eastAsia="Dotum"/>
          <w:sz w:val="24"/>
          <w:szCs w:val="24"/>
        </w:rPr>
        <w:t xml:space="preserve"> </w:t>
      </w:r>
    </w:p>
    <w:p w14:paraId="3421D922" w14:textId="77777777" w:rsidR="00EF76AC" w:rsidRPr="00BA0028" w:rsidRDefault="00EF76AC" w:rsidP="00B73871">
      <w:pPr>
        <w:spacing w:line="276" w:lineRule="auto"/>
        <w:rPr>
          <w:rFonts w:eastAsia="Dotum"/>
          <w:sz w:val="24"/>
          <w:szCs w:val="24"/>
        </w:rPr>
      </w:pPr>
    </w:p>
    <w:p w14:paraId="5A62AFE6" w14:textId="7F4DBC82" w:rsidR="00AA37BD" w:rsidRPr="00BA0028" w:rsidRDefault="00EF76AC" w:rsidP="00B73871">
      <w:pPr>
        <w:spacing w:line="276" w:lineRule="auto"/>
        <w:rPr>
          <w:rFonts w:eastAsia="Dotum"/>
          <w:sz w:val="24"/>
          <w:szCs w:val="24"/>
        </w:rPr>
      </w:pPr>
      <w:r w:rsidRPr="62968F2C">
        <w:rPr>
          <w:rFonts w:eastAsia="Dotum"/>
          <w:sz w:val="24"/>
          <w:szCs w:val="24"/>
        </w:rPr>
        <w:t>En cuanto a los demás argumentos de tutela, serán declarados improcedentes por no superar los requisitos generales de subsidiariedad, de exposición de hechos y argumentos y de relevancia constitucional, conforme a las razones expuestas en esta sentencia.</w:t>
      </w:r>
    </w:p>
    <w:p w14:paraId="1702DDCE" w14:textId="77777777" w:rsidR="00AA37BD" w:rsidRPr="00BA0028" w:rsidRDefault="00AA37BD" w:rsidP="00B73871">
      <w:pPr>
        <w:overflowPunct w:val="0"/>
        <w:autoSpaceDE w:val="0"/>
        <w:autoSpaceDN w:val="0"/>
        <w:adjustRightInd w:val="0"/>
        <w:spacing w:line="276" w:lineRule="auto"/>
        <w:rPr>
          <w:sz w:val="24"/>
          <w:szCs w:val="24"/>
        </w:rPr>
      </w:pPr>
    </w:p>
    <w:p w14:paraId="6403D3BE" w14:textId="77777777" w:rsidR="00AA37BD" w:rsidRPr="00BA0028" w:rsidRDefault="00AA37BD" w:rsidP="00B73871">
      <w:pPr>
        <w:spacing w:line="276" w:lineRule="auto"/>
        <w:rPr>
          <w:rFonts w:eastAsia="Times New Roman"/>
          <w:sz w:val="24"/>
          <w:szCs w:val="24"/>
          <w:lang w:eastAsia="es-CO"/>
        </w:rPr>
      </w:pPr>
      <w:r w:rsidRPr="62968F2C">
        <w:rPr>
          <w:rFonts w:eastAsia="Times New Roman"/>
          <w:sz w:val="24"/>
          <w:szCs w:val="24"/>
          <w:lang w:eastAsia="es-CO"/>
        </w:rPr>
        <w:lastRenderedPageBreak/>
        <w:t>En mérito de lo expuesto, el Consejo de Estado en Sala de lo Contencioso Administrativo, Sección Tercera, Subsección C administrando justicia en nombre de la República y por autoridad de la ley,</w:t>
      </w:r>
    </w:p>
    <w:p w14:paraId="6977CAC2" w14:textId="77777777" w:rsidR="0022658D" w:rsidRPr="00BA0028" w:rsidRDefault="0022658D" w:rsidP="00B73871">
      <w:pPr>
        <w:pStyle w:val="ListParagraph"/>
        <w:spacing w:line="276" w:lineRule="auto"/>
        <w:ind w:left="0"/>
        <w:rPr>
          <w:rFonts w:ascii="Arial" w:hAnsi="Arial" w:cs="Arial"/>
        </w:rPr>
      </w:pPr>
    </w:p>
    <w:p w14:paraId="33AA52AA" w14:textId="77777777" w:rsidR="0022658D" w:rsidRPr="00BA0028" w:rsidRDefault="0022658D" w:rsidP="62968F2C">
      <w:pPr>
        <w:pStyle w:val="RESUELVE"/>
        <w:spacing w:before="0" w:after="0"/>
        <w:rPr>
          <w:rFonts w:cs="Arial"/>
        </w:rPr>
      </w:pPr>
      <w:r w:rsidRPr="62968F2C">
        <w:rPr>
          <w:rFonts w:cs="Arial"/>
        </w:rPr>
        <w:t>RESUELVE</w:t>
      </w:r>
    </w:p>
    <w:p w14:paraId="28320399" w14:textId="77777777" w:rsidR="0022658D" w:rsidRPr="00BA0028" w:rsidRDefault="0022658D" w:rsidP="62968F2C">
      <w:pPr>
        <w:pStyle w:val="RESUELVE"/>
        <w:spacing w:before="0" w:after="0"/>
        <w:rPr>
          <w:rFonts w:cs="Arial"/>
        </w:rPr>
      </w:pPr>
    </w:p>
    <w:p w14:paraId="166CB48E" w14:textId="3D147CAD" w:rsidR="008F41C2" w:rsidRPr="00BA0028" w:rsidRDefault="00BB361E" w:rsidP="00B73871">
      <w:pPr>
        <w:tabs>
          <w:tab w:val="left" w:pos="851"/>
        </w:tabs>
        <w:spacing w:line="276" w:lineRule="auto"/>
        <w:rPr>
          <w:rFonts w:eastAsia="Verdana"/>
          <w:sz w:val="24"/>
          <w:szCs w:val="24"/>
        </w:rPr>
      </w:pPr>
      <w:r w:rsidRPr="62968F2C">
        <w:rPr>
          <w:rFonts w:eastAsia="Verdana"/>
          <w:b/>
          <w:bCs/>
          <w:sz w:val="24"/>
          <w:szCs w:val="24"/>
        </w:rPr>
        <w:t xml:space="preserve">PRIMERO: </w:t>
      </w:r>
      <w:r w:rsidR="00461C9C" w:rsidRPr="62968F2C">
        <w:rPr>
          <w:rFonts w:eastAsia="Verdana"/>
          <w:b/>
          <w:bCs/>
          <w:sz w:val="24"/>
          <w:szCs w:val="24"/>
        </w:rPr>
        <w:t xml:space="preserve">CONCEDER </w:t>
      </w:r>
      <w:r w:rsidR="00461C9C" w:rsidRPr="62968F2C">
        <w:rPr>
          <w:rFonts w:eastAsia="Verdana"/>
          <w:sz w:val="24"/>
          <w:szCs w:val="24"/>
        </w:rPr>
        <w:t xml:space="preserve">el amparo de tutela del derecho fundamental al debido proceso de la </w:t>
      </w:r>
      <w:r w:rsidR="007E63CF" w:rsidRPr="62968F2C">
        <w:rPr>
          <w:rFonts w:eastAsia="Verdana"/>
          <w:sz w:val="24"/>
          <w:szCs w:val="24"/>
        </w:rPr>
        <w:t>Nación- Rama Judicial-</w:t>
      </w:r>
      <w:r w:rsidR="00461C9C" w:rsidRPr="62968F2C">
        <w:rPr>
          <w:rFonts w:eastAsia="Verdana"/>
          <w:sz w:val="24"/>
          <w:szCs w:val="24"/>
        </w:rPr>
        <w:t xml:space="preserve"> Co</w:t>
      </w:r>
      <w:r w:rsidR="007E63CF" w:rsidRPr="62968F2C">
        <w:rPr>
          <w:rFonts w:eastAsia="Verdana"/>
          <w:sz w:val="24"/>
          <w:szCs w:val="24"/>
        </w:rPr>
        <w:t>nsejo Superior de la Judicatura-</w:t>
      </w:r>
      <w:r w:rsidR="00461C9C" w:rsidRPr="62968F2C">
        <w:rPr>
          <w:rFonts w:eastAsia="Verdana"/>
          <w:sz w:val="24"/>
          <w:szCs w:val="24"/>
        </w:rPr>
        <w:t xml:space="preserve"> Dirección Ejecutiva de Administración Judicial</w:t>
      </w:r>
      <w:r w:rsidR="00461C9C" w:rsidRPr="62968F2C">
        <w:rPr>
          <w:rFonts w:eastAsia="Times New Roman"/>
          <w:sz w:val="24"/>
          <w:szCs w:val="24"/>
          <w:lang w:val="es-ES" w:eastAsia="es-ES"/>
        </w:rPr>
        <w:t>.</w:t>
      </w:r>
    </w:p>
    <w:p w14:paraId="2BA16692" w14:textId="77777777" w:rsidR="008F41C2" w:rsidRPr="00BA0028" w:rsidRDefault="008F41C2" w:rsidP="62968F2C">
      <w:pPr>
        <w:tabs>
          <w:tab w:val="left" w:pos="851"/>
        </w:tabs>
        <w:spacing w:line="276" w:lineRule="auto"/>
        <w:rPr>
          <w:rFonts w:eastAsia="Verdana"/>
          <w:b/>
          <w:bCs/>
          <w:sz w:val="24"/>
          <w:szCs w:val="24"/>
        </w:rPr>
      </w:pPr>
    </w:p>
    <w:p w14:paraId="406D53A0" w14:textId="1B0321AB" w:rsidR="00BB361E" w:rsidRPr="00BA0028" w:rsidRDefault="00240628" w:rsidP="62968F2C">
      <w:pPr>
        <w:tabs>
          <w:tab w:val="left" w:pos="851"/>
        </w:tabs>
        <w:spacing w:line="276" w:lineRule="auto"/>
        <w:rPr>
          <w:rFonts w:eastAsia="Times New Roman"/>
          <w:sz w:val="24"/>
          <w:szCs w:val="24"/>
          <w:lang w:val="es-ES" w:eastAsia="es-ES"/>
        </w:rPr>
      </w:pPr>
      <w:r w:rsidRPr="62968F2C">
        <w:rPr>
          <w:rFonts w:eastAsia="Verdana"/>
          <w:b/>
          <w:bCs/>
          <w:sz w:val="24"/>
          <w:szCs w:val="24"/>
        </w:rPr>
        <w:t xml:space="preserve">SEGUNDO: </w:t>
      </w:r>
      <w:r w:rsidR="00461C9C" w:rsidRPr="62968F2C">
        <w:rPr>
          <w:rFonts w:eastAsia="Verdana"/>
          <w:b/>
          <w:bCs/>
          <w:sz w:val="24"/>
          <w:szCs w:val="24"/>
        </w:rPr>
        <w:t xml:space="preserve">DEJAR SIN EFECTOS </w:t>
      </w:r>
      <w:r w:rsidR="00461C9C" w:rsidRPr="62968F2C">
        <w:rPr>
          <w:rFonts w:eastAsia="Verdana"/>
          <w:sz w:val="24"/>
          <w:szCs w:val="24"/>
        </w:rPr>
        <w:t xml:space="preserve">la sentencia del 19 de junio del 2020, proferida por la subsección B de la Sección Tercera del Consejo de Estado, dentro del proceso de reparación directa con radicado </w:t>
      </w:r>
      <w:r w:rsidR="00461C9C" w:rsidRPr="62968F2C">
        <w:rPr>
          <w:sz w:val="24"/>
          <w:szCs w:val="24"/>
        </w:rPr>
        <w:t>1</w:t>
      </w:r>
      <w:r w:rsidR="00461C9C" w:rsidRPr="62968F2C">
        <w:rPr>
          <w:rFonts w:eastAsia="Verdana"/>
          <w:b/>
          <w:bCs/>
          <w:sz w:val="24"/>
          <w:szCs w:val="24"/>
        </w:rPr>
        <w:t>20001-23-31-000-2011-00616-01(49202)</w:t>
      </w:r>
      <w:r w:rsidR="00461C9C" w:rsidRPr="62968F2C">
        <w:rPr>
          <w:sz w:val="24"/>
          <w:szCs w:val="24"/>
        </w:rPr>
        <w:t xml:space="preserve">, </w:t>
      </w:r>
      <w:r w:rsidR="00461C9C" w:rsidRPr="62968F2C">
        <w:rPr>
          <w:rFonts w:eastAsia="Dotum"/>
          <w:sz w:val="24"/>
          <w:szCs w:val="24"/>
        </w:rPr>
        <w:t>únicamente en lo que tiene que ver con el ítem denominado “</w:t>
      </w:r>
      <w:r w:rsidR="00461C9C" w:rsidRPr="62968F2C">
        <w:rPr>
          <w:rFonts w:eastAsia="Dotum"/>
          <w:i/>
          <w:iCs/>
          <w:sz w:val="24"/>
          <w:szCs w:val="24"/>
        </w:rPr>
        <w:t>Derecho al buen nombre</w:t>
      </w:r>
      <w:r w:rsidR="00461C9C" w:rsidRPr="62968F2C">
        <w:rPr>
          <w:rFonts w:eastAsia="Dotum"/>
          <w:sz w:val="24"/>
          <w:szCs w:val="24"/>
        </w:rPr>
        <w:t>” correspondiente a los párrafos 68 y 69 de la providencia, y con el numeral cuarto de su parte resolutiva,</w:t>
      </w:r>
      <w:r w:rsidR="00461C9C" w:rsidRPr="62968F2C">
        <w:rPr>
          <w:sz w:val="24"/>
          <w:szCs w:val="24"/>
        </w:rPr>
        <w:t xml:space="preserve"> por las razones expuestas en esta providencia.</w:t>
      </w:r>
    </w:p>
    <w:p w14:paraId="65B359A7" w14:textId="77777777" w:rsidR="00BB361E" w:rsidRPr="00BA0028" w:rsidRDefault="00BB361E" w:rsidP="62968F2C">
      <w:pPr>
        <w:tabs>
          <w:tab w:val="left" w:pos="851"/>
        </w:tabs>
        <w:spacing w:line="276" w:lineRule="auto"/>
        <w:rPr>
          <w:rFonts w:eastAsia="Times New Roman"/>
          <w:sz w:val="24"/>
          <w:szCs w:val="24"/>
          <w:lang w:val="es-ES" w:eastAsia="es-ES"/>
        </w:rPr>
      </w:pPr>
    </w:p>
    <w:p w14:paraId="3D2DEDD8" w14:textId="489A8DAE" w:rsidR="00BB361E" w:rsidRPr="00BA0028" w:rsidRDefault="00240628" w:rsidP="00B73871">
      <w:pPr>
        <w:spacing w:line="276" w:lineRule="auto"/>
        <w:rPr>
          <w:rFonts w:eastAsia="Verdana"/>
          <w:sz w:val="24"/>
          <w:szCs w:val="24"/>
        </w:rPr>
      </w:pPr>
      <w:r w:rsidRPr="62968F2C">
        <w:rPr>
          <w:rFonts w:eastAsia="Verdana"/>
          <w:b/>
          <w:bCs/>
          <w:sz w:val="24"/>
          <w:szCs w:val="24"/>
        </w:rPr>
        <w:t xml:space="preserve">TERCERO: </w:t>
      </w:r>
      <w:r w:rsidR="00461C9C" w:rsidRPr="62968F2C">
        <w:rPr>
          <w:rFonts w:eastAsia="Verdana"/>
          <w:b/>
          <w:bCs/>
          <w:sz w:val="24"/>
          <w:szCs w:val="24"/>
        </w:rPr>
        <w:t>ORDENAR</w:t>
      </w:r>
      <w:r w:rsidR="00461C9C" w:rsidRPr="62968F2C">
        <w:rPr>
          <w:rFonts w:eastAsia="Verdana"/>
          <w:sz w:val="24"/>
          <w:szCs w:val="24"/>
        </w:rPr>
        <w:t xml:space="preserve"> a la Subsección B de la Sección Tercera del Consejo de Estado, que en el término de cuarenta y cinco (45) días hábiles contados a partir de la notificación de esta providencia</w:t>
      </w:r>
      <w:r w:rsidR="00461C9C" w:rsidRPr="62968F2C">
        <w:rPr>
          <w:sz w:val="24"/>
          <w:szCs w:val="24"/>
        </w:rPr>
        <w:t>, profiera una nueva decisión, a través de sentencia complementaria, en la que se tengan en cuenta lo indicado en la parte motiva de esta providencia.</w:t>
      </w:r>
    </w:p>
    <w:p w14:paraId="260A4206" w14:textId="77777777" w:rsidR="00BB361E" w:rsidRPr="00BA0028" w:rsidRDefault="00BB361E" w:rsidP="62968F2C">
      <w:pPr>
        <w:spacing w:line="276" w:lineRule="auto"/>
        <w:rPr>
          <w:rFonts w:eastAsia="Verdana"/>
          <w:b/>
          <w:bCs/>
          <w:sz w:val="24"/>
          <w:szCs w:val="24"/>
        </w:rPr>
      </w:pPr>
    </w:p>
    <w:p w14:paraId="7293AFC0" w14:textId="0746898B" w:rsidR="00BB361E" w:rsidRPr="00BA0028" w:rsidRDefault="00765A01" w:rsidP="62968F2C">
      <w:pPr>
        <w:spacing w:line="276" w:lineRule="auto"/>
        <w:rPr>
          <w:rFonts w:eastAsia="Verdana"/>
          <w:sz w:val="24"/>
          <w:szCs w:val="24"/>
        </w:rPr>
      </w:pPr>
      <w:r w:rsidRPr="62968F2C">
        <w:rPr>
          <w:rFonts w:eastAsia="Verdana"/>
          <w:b/>
          <w:bCs/>
          <w:sz w:val="24"/>
          <w:szCs w:val="24"/>
        </w:rPr>
        <w:t>CUARTO</w:t>
      </w:r>
      <w:r w:rsidR="00240628" w:rsidRPr="62968F2C">
        <w:rPr>
          <w:rFonts w:eastAsia="Verdana"/>
          <w:b/>
          <w:bCs/>
          <w:sz w:val="24"/>
          <w:szCs w:val="24"/>
        </w:rPr>
        <w:t xml:space="preserve">: </w:t>
      </w:r>
      <w:r w:rsidR="00461C9C" w:rsidRPr="62968F2C">
        <w:rPr>
          <w:rFonts w:eastAsia="Verdana"/>
          <w:b/>
          <w:bCs/>
          <w:sz w:val="24"/>
          <w:szCs w:val="24"/>
        </w:rPr>
        <w:t xml:space="preserve">DECLARAR IMPROCEDENTE </w:t>
      </w:r>
      <w:r w:rsidR="00461C9C" w:rsidRPr="62968F2C">
        <w:rPr>
          <w:rFonts w:eastAsia="Verdana"/>
          <w:sz w:val="24"/>
          <w:szCs w:val="24"/>
        </w:rPr>
        <w:t>la solicitud de amparo de tutela, en relación con los demás argumentos de esta acción, por las razones expuestas en la presente providencia.</w:t>
      </w:r>
    </w:p>
    <w:p w14:paraId="26CA5535" w14:textId="77777777" w:rsidR="00BB361E" w:rsidRPr="00BA0028" w:rsidRDefault="00BB361E" w:rsidP="00B73871">
      <w:pPr>
        <w:spacing w:line="276" w:lineRule="auto"/>
        <w:rPr>
          <w:rFonts w:eastAsia="Verdana"/>
          <w:sz w:val="24"/>
          <w:szCs w:val="24"/>
        </w:rPr>
      </w:pPr>
    </w:p>
    <w:p w14:paraId="3B33A0DB" w14:textId="4E7D8501" w:rsidR="00BB361E" w:rsidRPr="00BA0028" w:rsidRDefault="0091532F" w:rsidP="00B73871">
      <w:pPr>
        <w:tabs>
          <w:tab w:val="left" w:pos="709"/>
          <w:tab w:val="left" w:pos="9000"/>
        </w:tabs>
        <w:spacing w:line="276" w:lineRule="auto"/>
        <w:outlineLvl w:val="6"/>
        <w:rPr>
          <w:rFonts w:eastAsia="Verdana"/>
          <w:sz w:val="24"/>
          <w:szCs w:val="24"/>
        </w:rPr>
      </w:pPr>
      <w:r w:rsidRPr="62968F2C">
        <w:rPr>
          <w:rFonts w:eastAsia="Verdana"/>
          <w:b/>
          <w:bCs/>
          <w:sz w:val="24"/>
          <w:szCs w:val="24"/>
        </w:rPr>
        <w:t>QUINTO</w:t>
      </w:r>
      <w:r w:rsidR="00240628" w:rsidRPr="62968F2C">
        <w:rPr>
          <w:rFonts w:eastAsia="Verdana"/>
          <w:b/>
          <w:bCs/>
          <w:sz w:val="24"/>
          <w:szCs w:val="24"/>
        </w:rPr>
        <w:t xml:space="preserve">: </w:t>
      </w:r>
      <w:r w:rsidR="00461C9C" w:rsidRPr="62968F2C">
        <w:rPr>
          <w:rFonts w:eastAsia="Verdana"/>
          <w:b/>
          <w:bCs/>
          <w:sz w:val="24"/>
          <w:szCs w:val="24"/>
        </w:rPr>
        <w:t>REMITIR</w:t>
      </w:r>
      <w:r w:rsidR="00461C9C" w:rsidRPr="62968F2C">
        <w:rPr>
          <w:rFonts w:eastAsia="Verdana"/>
          <w:sz w:val="24"/>
          <w:szCs w:val="24"/>
        </w:rPr>
        <w:t xml:space="preserve"> el expediente del presente proceso de tutela a la Corte Constitucional para su eventual revisión, </w:t>
      </w:r>
      <w:r w:rsidR="00847534" w:rsidRPr="62968F2C">
        <w:rPr>
          <w:rFonts w:eastAsia="Verdana"/>
          <w:sz w:val="24"/>
          <w:szCs w:val="24"/>
        </w:rPr>
        <w:t>en caso de que</w:t>
      </w:r>
      <w:r w:rsidR="00461C9C" w:rsidRPr="62968F2C">
        <w:rPr>
          <w:rFonts w:eastAsia="Verdana"/>
          <w:sz w:val="24"/>
          <w:szCs w:val="24"/>
        </w:rPr>
        <w:t xml:space="preserve"> el fallo no sea impugnado.</w:t>
      </w:r>
    </w:p>
    <w:p w14:paraId="46AEB9CA" w14:textId="77777777" w:rsidR="00BB361E" w:rsidRPr="00BA0028" w:rsidRDefault="00BB361E" w:rsidP="62968F2C">
      <w:pPr>
        <w:tabs>
          <w:tab w:val="left" w:pos="709"/>
          <w:tab w:val="left" w:pos="9000"/>
        </w:tabs>
        <w:spacing w:line="276" w:lineRule="auto"/>
        <w:outlineLvl w:val="6"/>
        <w:rPr>
          <w:rFonts w:eastAsia="Verdana"/>
          <w:b/>
          <w:bCs/>
          <w:sz w:val="24"/>
          <w:szCs w:val="24"/>
        </w:rPr>
      </w:pPr>
    </w:p>
    <w:p w14:paraId="012188C4" w14:textId="77777777" w:rsidR="00903324" w:rsidRPr="00BA0028" w:rsidRDefault="00903324" w:rsidP="62968F2C">
      <w:pPr>
        <w:spacing w:line="276" w:lineRule="auto"/>
        <w:contextualSpacing/>
        <w:jc w:val="center"/>
        <w:rPr>
          <w:rFonts w:eastAsia="Verdana"/>
          <w:b/>
          <w:bCs/>
          <w:sz w:val="24"/>
          <w:szCs w:val="24"/>
          <w:lang w:val="es-ES"/>
        </w:rPr>
      </w:pPr>
    </w:p>
    <w:p w14:paraId="5A2F994B" w14:textId="77777777" w:rsidR="0022658D" w:rsidRPr="00BA0028" w:rsidRDefault="0022658D" w:rsidP="62968F2C">
      <w:pPr>
        <w:spacing w:line="276" w:lineRule="auto"/>
        <w:contextualSpacing/>
        <w:jc w:val="center"/>
        <w:rPr>
          <w:rFonts w:eastAsia="Verdana"/>
          <w:b/>
          <w:bCs/>
          <w:sz w:val="24"/>
          <w:szCs w:val="24"/>
          <w:lang w:val="es-ES"/>
        </w:rPr>
      </w:pPr>
      <w:r w:rsidRPr="62968F2C">
        <w:rPr>
          <w:rFonts w:eastAsia="Verdana"/>
          <w:b/>
          <w:bCs/>
          <w:sz w:val="24"/>
          <w:szCs w:val="24"/>
          <w:lang w:val="es-ES"/>
        </w:rPr>
        <w:t>GUILLERMO SÁNCHEZ LUQUE</w:t>
      </w:r>
    </w:p>
    <w:p w14:paraId="6F18BF6A" w14:textId="77777777" w:rsidR="0022658D" w:rsidRDefault="0022658D" w:rsidP="62968F2C">
      <w:pPr>
        <w:spacing w:line="276" w:lineRule="auto"/>
        <w:contextualSpacing/>
        <w:jc w:val="center"/>
        <w:rPr>
          <w:rFonts w:eastAsia="Verdana"/>
          <w:b/>
          <w:bCs/>
          <w:sz w:val="24"/>
          <w:szCs w:val="24"/>
          <w:lang w:val="es-ES"/>
        </w:rPr>
      </w:pPr>
      <w:r w:rsidRPr="62968F2C">
        <w:rPr>
          <w:rFonts w:eastAsia="Verdana"/>
          <w:b/>
          <w:bCs/>
          <w:sz w:val="24"/>
          <w:szCs w:val="24"/>
          <w:lang w:val="es-ES"/>
        </w:rPr>
        <w:t>Presidente de Sala</w:t>
      </w:r>
    </w:p>
    <w:p w14:paraId="406452B3" w14:textId="7FFBAA15" w:rsidR="0091532F" w:rsidRPr="00BA0028" w:rsidRDefault="0091532F" w:rsidP="62968F2C">
      <w:pPr>
        <w:spacing w:line="276" w:lineRule="auto"/>
        <w:contextualSpacing/>
        <w:jc w:val="center"/>
        <w:rPr>
          <w:rFonts w:eastAsia="Verdana"/>
          <w:b/>
          <w:bCs/>
          <w:sz w:val="24"/>
          <w:szCs w:val="24"/>
          <w:lang w:val="es-ES"/>
        </w:rPr>
      </w:pPr>
      <w:r w:rsidRPr="62968F2C">
        <w:rPr>
          <w:rFonts w:eastAsia="Verdana"/>
          <w:b/>
          <w:bCs/>
          <w:sz w:val="24"/>
          <w:szCs w:val="24"/>
          <w:lang w:val="es-ES"/>
        </w:rPr>
        <w:t>Salvamento de voto Cfr. Rad. 68001-23-33-000-2018-00940-01</w:t>
      </w:r>
    </w:p>
    <w:p w14:paraId="3CA09FF0" w14:textId="77777777" w:rsidR="0022658D" w:rsidRPr="00BA0028" w:rsidRDefault="0022658D" w:rsidP="62968F2C">
      <w:pPr>
        <w:spacing w:line="276" w:lineRule="auto"/>
        <w:contextualSpacing/>
        <w:jc w:val="center"/>
        <w:rPr>
          <w:rFonts w:eastAsia="Verdana"/>
          <w:b/>
          <w:bCs/>
          <w:sz w:val="24"/>
          <w:szCs w:val="24"/>
        </w:rPr>
      </w:pPr>
    </w:p>
    <w:p w14:paraId="4CBD8FBD" w14:textId="77777777" w:rsidR="0077612B" w:rsidRPr="00BA0028" w:rsidRDefault="0077612B" w:rsidP="62968F2C">
      <w:pPr>
        <w:spacing w:line="276" w:lineRule="auto"/>
        <w:contextualSpacing/>
        <w:jc w:val="center"/>
        <w:rPr>
          <w:rFonts w:eastAsia="Verdana"/>
          <w:b/>
          <w:bCs/>
          <w:sz w:val="24"/>
          <w:szCs w:val="24"/>
          <w:lang w:val="es-ES"/>
        </w:rPr>
      </w:pPr>
    </w:p>
    <w:p w14:paraId="79249C57" w14:textId="77777777" w:rsidR="0022658D" w:rsidRPr="00BA0028" w:rsidRDefault="0022658D" w:rsidP="62968F2C">
      <w:pPr>
        <w:spacing w:line="276" w:lineRule="auto"/>
        <w:contextualSpacing/>
        <w:jc w:val="center"/>
        <w:rPr>
          <w:rFonts w:eastAsia="Verdana"/>
          <w:b/>
          <w:bCs/>
          <w:sz w:val="24"/>
          <w:szCs w:val="24"/>
          <w:lang w:val="es-ES"/>
        </w:rPr>
      </w:pPr>
    </w:p>
    <w:p w14:paraId="0C8EB3DD" w14:textId="77777777" w:rsidR="0022658D" w:rsidRPr="00BA0028" w:rsidRDefault="0022658D" w:rsidP="62968F2C">
      <w:pPr>
        <w:spacing w:line="276" w:lineRule="auto"/>
        <w:contextualSpacing/>
        <w:jc w:val="center"/>
        <w:rPr>
          <w:rFonts w:eastAsia="Verdana"/>
          <w:b/>
          <w:bCs/>
          <w:sz w:val="24"/>
          <w:szCs w:val="24"/>
          <w:lang w:val="es-ES"/>
        </w:rPr>
      </w:pPr>
      <w:r w:rsidRPr="62968F2C">
        <w:rPr>
          <w:rFonts w:eastAsia="Verdana"/>
          <w:b/>
          <w:bCs/>
          <w:sz w:val="24"/>
          <w:szCs w:val="24"/>
          <w:lang w:val="es-ES"/>
        </w:rPr>
        <w:t>JAIME ENRIQUE RODRÍGUEZ NAVAS</w:t>
      </w:r>
    </w:p>
    <w:p w14:paraId="5996DB4F" w14:textId="77777777" w:rsidR="0022658D" w:rsidRDefault="0022658D" w:rsidP="62968F2C">
      <w:pPr>
        <w:spacing w:line="276" w:lineRule="auto"/>
        <w:contextualSpacing/>
        <w:jc w:val="center"/>
        <w:rPr>
          <w:rFonts w:eastAsia="Verdana"/>
          <w:b/>
          <w:bCs/>
          <w:sz w:val="24"/>
          <w:szCs w:val="24"/>
          <w:lang w:val="es-ES"/>
        </w:rPr>
      </w:pPr>
      <w:r w:rsidRPr="62968F2C">
        <w:rPr>
          <w:rFonts w:eastAsia="Verdana"/>
          <w:b/>
          <w:bCs/>
          <w:sz w:val="24"/>
          <w:szCs w:val="24"/>
          <w:lang w:val="es-ES"/>
        </w:rPr>
        <w:t>Magistrado</w:t>
      </w:r>
    </w:p>
    <w:p w14:paraId="31D1FD97" w14:textId="77777777" w:rsidR="0091532F" w:rsidRPr="00BA0028" w:rsidRDefault="0091532F" w:rsidP="62968F2C">
      <w:pPr>
        <w:spacing w:line="276" w:lineRule="auto"/>
        <w:contextualSpacing/>
        <w:jc w:val="center"/>
        <w:rPr>
          <w:rFonts w:eastAsia="Verdana"/>
          <w:b/>
          <w:bCs/>
          <w:sz w:val="24"/>
          <w:szCs w:val="24"/>
          <w:lang w:val="es-ES"/>
        </w:rPr>
      </w:pPr>
    </w:p>
    <w:p w14:paraId="2C53764E" w14:textId="77777777" w:rsidR="0022658D" w:rsidRPr="00BA0028" w:rsidRDefault="0022658D" w:rsidP="62968F2C">
      <w:pPr>
        <w:spacing w:line="276" w:lineRule="auto"/>
        <w:contextualSpacing/>
        <w:jc w:val="center"/>
        <w:rPr>
          <w:rFonts w:eastAsia="Verdana"/>
          <w:b/>
          <w:bCs/>
          <w:sz w:val="24"/>
          <w:szCs w:val="24"/>
          <w:lang w:val="es-ES"/>
        </w:rPr>
      </w:pPr>
    </w:p>
    <w:p w14:paraId="18EE5572" w14:textId="77777777" w:rsidR="0022658D" w:rsidRPr="00BA0028" w:rsidRDefault="0022658D" w:rsidP="62968F2C">
      <w:pPr>
        <w:spacing w:line="276" w:lineRule="auto"/>
        <w:contextualSpacing/>
        <w:jc w:val="center"/>
        <w:rPr>
          <w:rFonts w:eastAsia="Verdana"/>
          <w:b/>
          <w:bCs/>
          <w:sz w:val="24"/>
          <w:szCs w:val="24"/>
          <w:lang w:val="es-ES"/>
        </w:rPr>
      </w:pPr>
      <w:r w:rsidRPr="62968F2C">
        <w:rPr>
          <w:rFonts w:eastAsia="Verdana"/>
          <w:b/>
          <w:bCs/>
          <w:sz w:val="24"/>
          <w:szCs w:val="24"/>
          <w:lang w:val="es-ES"/>
        </w:rPr>
        <w:t>NICOLÁS YEPES CORRALES</w:t>
      </w:r>
    </w:p>
    <w:p w14:paraId="6605C1B2" w14:textId="5C7E2E23" w:rsidR="002E65D8" w:rsidRPr="00262F14" w:rsidRDefault="0022658D" w:rsidP="62968F2C">
      <w:pPr>
        <w:spacing w:line="276" w:lineRule="auto"/>
        <w:contextualSpacing/>
        <w:jc w:val="center"/>
        <w:rPr>
          <w:b/>
          <w:bCs/>
        </w:rPr>
      </w:pPr>
      <w:r w:rsidRPr="62968F2C">
        <w:rPr>
          <w:rFonts w:eastAsia="Verdana"/>
          <w:b/>
          <w:bCs/>
          <w:sz w:val="24"/>
          <w:szCs w:val="24"/>
          <w:lang w:val="es-ES"/>
        </w:rPr>
        <w:t>Magistrado</w:t>
      </w:r>
    </w:p>
    <w:sectPr w:rsidR="002E65D8" w:rsidRPr="00262F14" w:rsidSect="006C2508">
      <w:headerReference w:type="default" r:id="rId11"/>
      <w:footerReference w:type="default" r:id="rId12"/>
      <w:headerReference w:type="first" r:id="rId13"/>
      <w:footerReference w:type="first" r:id="rId14"/>
      <w:pgSz w:w="12247" w:h="18711" w:code="119"/>
      <w:pgMar w:top="2495" w:right="1418" w:bottom="2410"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938E6" w14:textId="77777777" w:rsidR="001D6425" w:rsidRDefault="001D6425" w:rsidP="00117091">
      <w:r>
        <w:separator/>
      </w:r>
    </w:p>
  </w:endnote>
  <w:endnote w:type="continuationSeparator" w:id="0">
    <w:p w14:paraId="74F4B14D" w14:textId="77777777" w:rsidR="001D6425" w:rsidRDefault="001D6425"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262F14" w14:paraId="4830A873" w14:textId="77777777" w:rsidTr="00B6429B">
      <w:trPr>
        <w:jc w:val="right"/>
      </w:trPr>
      <w:tc>
        <w:tcPr>
          <w:tcW w:w="4795" w:type="dxa"/>
          <w:vAlign w:val="center"/>
        </w:tcPr>
        <w:p w14:paraId="0C43E376" w14:textId="77777777" w:rsidR="00262F14" w:rsidRDefault="00262F14" w:rsidP="00B6429B">
          <w:pPr>
            <w:pStyle w:val="Header"/>
            <w:jc w:val="center"/>
            <w:rPr>
              <w:color w:val="767171"/>
              <w:sz w:val="20"/>
              <w:szCs w:val="20"/>
            </w:rPr>
          </w:pPr>
          <w:r w:rsidRPr="00A21194">
            <w:rPr>
              <w:color w:val="767171"/>
              <w:sz w:val="20"/>
              <w:szCs w:val="20"/>
            </w:rPr>
            <w:t>Calle 12 No. 7-65 – Tel: (57-1) 350-6700 – Bogotá D.C. – Colombia</w:t>
          </w:r>
        </w:p>
        <w:p w14:paraId="4007CEC6" w14:textId="77777777" w:rsidR="00262F14" w:rsidRPr="00A21194" w:rsidRDefault="00262F14"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262F14" w:rsidRPr="00B6429B" w:rsidRDefault="00262F14" w:rsidP="00B6429B">
          <w:pPr>
            <w:pStyle w:val="Footer"/>
            <w:jc w:val="center"/>
          </w:pPr>
          <w:r w:rsidRPr="00B6429B">
            <w:fldChar w:fldCharType="begin"/>
          </w:r>
          <w:r w:rsidRPr="00B6429B">
            <w:instrText>PAGE   \* MERGEFORMAT</w:instrText>
          </w:r>
          <w:r w:rsidRPr="00B6429B">
            <w:fldChar w:fldCharType="separate"/>
          </w:r>
          <w:r w:rsidR="0091532F" w:rsidRPr="0091532F">
            <w:rPr>
              <w:noProof/>
              <w:lang w:val="es-ES"/>
            </w:rPr>
            <w:t>15</w:t>
          </w:r>
          <w:r w:rsidRPr="00B6429B">
            <w:fldChar w:fldCharType="end"/>
          </w:r>
        </w:p>
      </w:tc>
    </w:tr>
  </w:tbl>
  <w:p w14:paraId="17AD93B2" w14:textId="77777777" w:rsidR="00262F14" w:rsidRPr="008C0DBE" w:rsidRDefault="00262F14" w:rsidP="00394A69">
    <w:pPr>
      <w:pStyle w:val="Footer"/>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262F14" w14:paraId="7BC39794" w14:textId="77777777" w:rsidTr="00B6429B">
      <w:trPr>
        <w:jc w:val="right"/>
      </w:trPr>
      <w:tc>
        <w:tcPr>
          <w:tcW w:w="4795" w:type="dxa"/>
          <w:vAlign w:val="center"/>
        </w:tcPr>
        <w:p w14:paraId="60E1FF49" w14:textId="77777777" w:rsidR="00262F14" w:rsidRDefault="00262F14" w:rsidP="00B6429B">
          <w:pPr>
            <w:pStyle w:val="Header"/>
            <w:jc w:val="center"/>
            <w:rPr>
              <w:color w:val="767171"/>
              <w:sz w:val="20"/>
              <w:szCs w:val="20"/>
            </w:rPr>
          </w:pPr>
          <w:r w:rsidRPr="00A21194">
            <w:rPr>
              <w:color w:val="767171"/>
              <w:sz w:val="20"/>
              <w:szCs w:val="20"/>
            </w:rPr>
            <w:t>Calle 12 No. 7-65 – Tel: (57-1) 350-6700 – Bogotá D.C. – Colombia</w:t>
          </w:r>
        </w:p>
        <w:p w14:paraId="1601DE47" w14:textId="77777777" w:rsidR="00262F14" w:rsidRPr="00A21194" w:rsidRDefault="00262F14"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262F14" w:rsidRPr="00B6429B" w:rsidRDefault="00262F14">
          <w:pPr>
            <w:pStyle w:val="Footer"/>
            <w:jc w:val="center"/>
          </w:pPr>
          <w:r w:rsidRPr="00B6429B">
            <w:fldChar w:fldCharType="begin"/>
          </w:r>
          <w:r w:rsidRPr="00B6429B">
            <w:instrText>PAGE   \* MERGEFORMAT</w:instrText>
          </w:r>
          <w:r w:rsidRPr="00B6429B">
            <w:fldChar w:fldCharType="separate"/>
          </w:r>
          <w:r w:rsidR="0091532F" w:rsidRPr="0091532F">
            <w:rPr>
              <w:noProof/>
              <w:lang w:val="es-ES"/>
            </w:rPr>
            <w:t>1</w:t>
          </w:r>
          <w:r w:rsidRPr="00B6429B">
            <w:fldChar w:fldCharType="end"/>
          </w:r>
        </w:p>
      </w:tc>
    </w:tr>
  </w:tbl>
  <w:p w14:paraId="5630AD66" w14:textId="77777777" w:rsidR="00262F14" w:rsidRDefault="0026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83E73" w14:textId="77777777" w:rsidR="001D6425" w:rsidRDefault="001D6425" w:rsidP="00117091">
      <w:r>
        <w:separator/>
      </w:r>
    </w:p>
  </w:footnote>
  <w:footnote w:type="continuationSeparator" w:id="0">
    <w:p w14:paraId="0DD6A070" w14:textId="77777777" w:rsidR="001D6425" w:rsidRDefault="001D6425" w:rsidP="00117091">
      <w:r>
        <w:continuationSeparator/>
      </w:r>
    </w:p>
  </w:footnote>
  <w:footnote w:id="1">
    <w:p w14:paraId="0482BD33" w14:textId="7015D1F9"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Documento visible en el expediente digital de tutela, con certificado </w:t>
      </w:r>
      <w:r w:rsidRPr="00765A01">
        <w:rPr>
          <w:sz w:val="16"/>
          <w:szCs w:val="16"/>
          <w:shd w:val="clear" w:color="auto" w:fill="FFFFFF"/>
        </w:rPr>
        <w:t>784834B716886704 A06F87A6F87E9F1B 3A071DA70BF7E2BE 7537001663A8D7F1</w:t>
      </w:r>
      <w:r w:rsidRPr="00765A01">
        <w:rPr>
          <w:sz w:val="16"/>
          <w:szCs w:val="16"/>
        </w:rPr>
        <w:t>.</w:t>
      </w:r>
    </w:p>
  </w:footnote>
  <w:footnote w:id="2">
    <w:p w14:paraId="38EEA516" w14:textId="0B605AF2"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De acuerdo con la información contenida en la sentencia atacada. </w:t>
      </w:r>
    </w:p>
  </w:footnote>
  <w:footnote w:id="3">
    <w:p w14:paraId="7DF1DBFE" w14:textId="63D85DB9" w:rsidR="00262F14" w:rsidRPr="00765A01" w:rsidRDefault="00262F14" w:rsidP="00765A01">
      <w:pPr>
        <w:pStyle w:val="FootnoteText"/>
        <w:rPr>
          <w:i/>
          <w:sz w:val="16"/>
          <w:szCs w:val="16"/>
          <w:u w:val="single"/>
        </w:rPr>
      </w:pPr>
      <w:r w:rsidRPr="00765A01">
        <w:rPr>
          <w:rStyle w:val="FootnoteReference"/>
          <w:sz w:val="16"/>
          <w:szCs w:val="16"/>
        </w:rPr>
        <w:footnoteRef/>
      </w:r>
      <w:r w:rsidRPr="00765A01">
        <w:rPr>
          <w:sz w:val="16"/>
          <w:szCs w:val="16"/>
        </w:rPr>
        <w:t xml:space="preserve"> </w:t>
      </w:r>
      <w:r w:rsidR="00390088" w:rsidRPr="00765A01">
        <w:rPr>
          <w:sz w:val="16"/>
          <w:szCs w:val="16"/>
        </w:rPr>
        <w:t xml:space="preserve">Documento visible en el expediente digital de tutela, con certificado </w:t>
      </w:r>
      <w:r w:rsidR="00390088" w:rsidRPr="00765A01">
        <w:rPr>
          <w:sz w:val="16"/>
          <w:szCs w:val="16"/>
          <w:shd w:val="clear" w:color="auto" w:fill="FFFFFF"/>
        </w:rPr>
        <w:t>784834B716886704 A06F87A6F87E9F1B 3A071DA70BF7E2BE 7537001663A8D7F1</w:t>
      </w:r>
      <w:r w:rsidR="00E06810" w:rsidRPr="00765A01">
        <w:rPr>
          <w:sz w:val="16"/>
          <w:szCs w:val="16"/>
          <w:shd w:val="clear" w:color="auto" w:fill="FFFFFF"/>
        </w:rPr>
        <w:t>.</w:t>
      </w:r>
    </w:p>
  </w:footnote>
  <w:footnote w:id="4">
    <w:p w14:paraId="5150B816" w14:textId="5E8EAF94"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Documento visible en el expediente digital de tutela, con certificado </w:t>
      </w:r>
      <w:r w:rsidRPr="00765A01">
        <w:rPr>
          <w:sz w:val="16"/>
          <w:szCs w:val="16"/>
          <w:shd w:val="clear" w:color="auto" w:fill="FFFFFF"/>
        </w:rPr>
        <w:t>347F795DF7FE0233 9C39ADC5AA5E9050 7F706704077E83B7 B7EADE0395A27DDF.</w:t>
      </w:r>
    </w:p>
  </w:footnote>
  <w:footnote w:id="5">
    <w:p w14:paraId="63B22949" w14:textId="5E471B21"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Expediente digital de tutela, con certificado </w:t>
      </w:r>
      <w:r w:rsidRPr="00765A01">
        <w:rPr>
          <w:sz w:val="16"/>
          <w:szCs w:val="16"/>
          <w:shd w:val="clear" w:color="auto" w:fill="FFFFFF"/>
        </w:rPr>
        <w:t>347F795DF7FE0233 9C39ADC5AA5E9050 7F706704077E83B7 B7EADE0395A27DDF.</w:t>
      </w:r>
    </w:p>
  </w:footnote>
  <w:footnote w:id="6">
    <w:p w14:paraId="78CC4A7C" w14:textId="03BAECF2"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w:t>
      </w:r>
      <w:proofErr w:type="spellStart"/>
      <w:r w:rsidRPr="00765A01">
        <w:rPr>
          <w:sz w:val="16"/>
          <w:szCs w:val="16"/>
        </w:rPr>
        <w:t>Ibíd</w:t>
      </w:r>
      <w:proofErr w:type="spellEnd"/>
      <w:r w:rsidRPr="00765A01">
        <w:rPr>
          <w:sz w:val="16"/>
          <w:szCs w:val="16"/>
        </w:rPr>
        <w:t>.</w:t>
      </w:r>
    </w:p>
  </w:footnote>
  <w:footnote w:id="7">
    <w:p w14:paraId="75954F38" w14:textId="76D16F7E"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Página 12 del documento visible en el expediente digital de tutela, con certificado </w:t>
      </w:r>
      <w:r w:rsidRPr="00765A01">
        <w:rPr>
          <w:sz w:val="16"/>
          <w:szCs w:val="16"/>
          <w:shd w:val="clear" w:color="auto" w:fill="FFFFFF"/>
        </w:rPr>
        <w:t>347F795DF7FE0233 9C39ADC5AA5E9050 7F706704077E83B7 B7EADE0395A27DDF</w:t>
      </w:r>
      <w:r w:rsidRPr="00765A01">
        <w:rPr>
          <w:sz w:val="16"/>
          <w:szCs w:val="16"/>
        </w:rPr>
        <w:t>.</w:t>
      </w:r>
    </w:p>
  </w:footnote>
  <w:footnote w:id="8">
    <w:p w14:paraId="60FB1F0B" w14:textId="77777777" w:rsidR="006930B3" w:rsidRPr="00765A01" w:rsidRDefault="006930B3" w:rsidP="00765A01">
      <w:pPr>
        <w:pStyle w:val="FootnoteText"/>
        <w:rPr>
          <w:sz w:val="16"/>
          <w:szCs w:val="16"/>
        </w:rPr>
      </w:pPr>
      <w:r w:rsidRPr="00765A01">
        <w:rPr>
          <w:rStyle w:val="FootnoteReference"/>
          <w:sz w:val="16"/>
          <w:szCs w:val="16"/>
        </w:rPr>
        <w:footnoteRef/>
      </w:r>
      <w:r w:rsidRPr="00765A01">
        <w:rPr>
          <w:sz w:val="16"/>
          <w:szCs w:val="16"/>
        </w:rPr>
        <w:t xml:space="preserve"> Consejo de Estado, Sección Tercera, Subsección C, sentencia del 28 de febrero de 2020, radicado: 25000232600020120016201 (50520).</w:t>
      </w:r>
    </w:p>
  </w:footnote>
  <w:footnote w:id="9">
    <w:p w14:paraId="631DAC3B" w14:textId="6CBE732F"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Consejo de Estado, Sección Tercera, Subsección C, sentencia del 28 de agosto de 2014, radicado: 05001-23-25-000-1999-01063-01(32988).</w:t>
      </w:r>
    </w:p>
  </w:footnote>
  <w:footnote w:id="10">
    <w:p w14:paraId="7B175F50" w14:textId="14BCA312"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Consejo de Estado, sentencia de Sala Plena de la Sección Tercera del 14 de septiembre de 2011, rad. 19031 y 38222.</w:t>
      </w:r>
    </w:p>
  </w:footnote>
  <w:footnote w:id="11">
    <w:p w14:paraId="5C1ACB0C" w14:textId="486F6A3B"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Documento visible en el expediente digital de tutela, con certificado</w:t>
      </w:r>
      <w:r w:rsidRPr="00765A01">
        <w:rPr>
          <w:sz w:val="16"/>
          <w:szCs w:val="16"/>
          <w:shd w:val="clear" w:color="auto" w:fill="FFFFFF"/>
        </w:rPr>
        <w:t xml:space="preserve"> 7ACEE2DE12BBC381 4E1A250FFCA0AA2D D9D63398BAD08B12 FBE57C1C30B374FF. </w:t>
      </w:r>
    </w:p>
  </w:footnote>
  <w:footnote w:id="12">
    <w:p w14:paraId="22E98E26" w14:textId="7CC13A98" w:rsidR="00262F14" w:rsidRPr="00765A01" w:rsidRDefault="00262F14" w:rsidP="00765A01">
      <w:pPr>
        <w:pStyle w:val="Textoindependiente21"/>
        <w:spacing w:after="0"/>
        <w:ind w:left="0"/>
        <w:jc w:val="both"/>
        <w:rPr>
          <w:rFonts w:cs="Arial"/>
          <w:szCs w:val="16"/>
        </w:rPr>
      </w:pPr>
      <w:r w:rsidRPr="00765A01">
        <w:rPr>
          <w:rStyle w:val="FootnoteReference"/>
          <w:rFonts w:cs="Arial"/>
          <w:szCs w:val="16"/>
        </w:rPr>
        <w:footnoteRef/>
      </w:r>
      <w:r w:rsidR="00865650" w:rsidRPr="00765A01">
        <w:rPr>
          <w:rFonts w:cs="Arial"/>
          <w:szCs w:val="16"/>
        </w:rPr>
        <w:t xml:space="preserve"> Auto admisorio del 16</w:t>
      </w:r>
      <w:r w:rsidRPr="00765A01">
        <w:rPr>
          <w:rFonts w:cs="Arial"/>
          <w:szCs w:val="16"/>
        </w:rPr>
        <w:t xml:space="preserve"> de </w:t>
      </w:r>
      <w:r w:rsidR="00865650" w:rsidRPr="00765A01">
        <w:rPr>
          <w:rFonts w:cs="Arial"/>
          <w:szCs w:val="16"/>
        </w:rPr>
        <w:t>dici</w:t>
      </w:r>
      <w:r w:rsidRPr="00765A01">
        <w:rPr>
          <w:rFonts w:cs="Arial"/>
          <w:szCs w:val="16"/>
        </w:rPr>
        <w:t xml:space="preserve">embre de 2020, numeral séptimo: </w:t>
      </w:r>
      <w:r w:rsidRPr="00765A01">
        <w:rPr>
          <w:rFonts w:cs="Arial"/>
          <w:i/>
          <w:szCs w:val="16"/>
        </w:rPr>
        <w:t>“</w:t>
      </w:r>
      <w:r w:rsidR="00865650" w:rsidRPr="00765A01">
        <w:rPr>
          <w:rFonts w:cs="Arial"/>
          <w:i/>
          <w:szCs w:val="16"/>
        </w:rPr>
        <w:t>ACCEDER a la solicitud de medida provisional, en el sentido de suspender los efectos del numeral cuarto de la sentencia proferida el 19 de junio de 2020 por la Subsección B de la Sección Tercera del Consejo de Estado dentro del expediente 20001-23-31-000-2011-00616-01, por las razones expuestas en la parte motiva de esta providencia</w:t>
      </w:r>
      <w:r w:rsidRPr="00765A01">
        <w:rPr>
          <w:rFonts w:cs="Arial"/>
          <w:i/>
          <w:szCs w:val="16"/>
        </w:rPr>
        <w:t>”</w:t>
      </w:r>
      <w:r w:rsidRPr="00765A01">
        <w:rPr>
          <w:rFonts w:cs="Arial"/>
          <w:szCs w:val="16"/>
        </w:rPr>
        <w:t>.</w:t>
      </w:r>
    </w:p>
    <w:p w14:paraId="7B7212AB" w14:textId="562EBC78" w:rsidR="00865650" w:rsidRPr="00765A01" w:rsidRDefault="00262F14" w:rsidP="00765A01">
      <w:pPr>
        <w:pStyle w:val="Textoindependiente21"/>
        <w:spacing w:after="0"/>
        <w:ind w:left="0"/>
        <w:jc w:val="both"/>
        <w:rPr>
          <w:rFonts w:cs="Arial"/>
          <w:i/>
          <w:szCs w:val="16"/>
        </w:rPr>
      </w:pPr>
      <w:r w:rsidRPr="00765A01">
        <w:rPr>
          <w:rFonts w:cs="Arial"/>
          <w:szCs w:val="16"/>
        </w:rPr>
        <w:t>Como fundamento de la decisión:</w:t>
      </w:r>
      <w:r w:rsidRPr="00765A01">
        <w:rPr>
          <w:rFonts w:cs="Arial"/>
          <w:i/>
          <w:szCs w:val="16"/>
        </w:rPr>
        <w:t xml:space="preserve"> “</w:t>
      </w:r>
      <w:r w:rsidR="00865650" w:rsidRPr="00765A01">
        <w:rPr>
          <w:rFonts w:cs="Arial"/>
          <w:i/>
          <w:szCs w:val="16"/>
        </w:rPr>
        <w:t xml:space="preserve">Ahora bien, en cuanto a la orden contenida en el numeral cuarto de la parte resolutiva de la sentencia del 19 de junio de 2020, el Despacho advierte </w:t>
      </w:r>
      <w:r w:rsidR="004F3206" w:rsidRPr="00765A01">
        <w:rPr>
          <w:rFonts w:cs="Arial"/>
          <w:i/>
          <w:szCs w:val="16"/>
        </w:rPr>
        <w:t>que,</w:t>
      </w:r>
      <w:r w:rsidR="00865650" w:rsidRPr="00765A01">
        <w:rPr>
          <w:rFonts w:cs="Arial"/>
          <w:i/>
          <w:szCs w:val="16"/>
        </w:rPr>
        <w:t xml:space="preserve"> por la naturaleza de la obligación, su cumplimiento, esto es, el acto de pedir </w:t>
      </w:r>
      <w:proofErr w:type="gramStart"/>
      <w:r w:rsidR="00865650" w:rsidRPr="00765A01">
        <w:rPr>
          <w:rFonts w:cs="Arial"/>
          <w:i/>
          <w:szCs w:val="16"/>
        </w:rPr>
        <w:t>disculpas,</w:t>
      </w:r>
      <w:proofErr w:type="gramEnd"/>
      <w:r w:rsidR="00865650" w:rsidRPr="00765A01">
        <w:rPr>
          <w:rFonts w:cs="Arial"/>
          <w:i/>
          <w:szCs w:val="16"/>
        </w:rPr>
        <w:t xml:space="preserve"> llevaría a que, en el caso de que hubiera lugar al amparo de los derechos, este no pudiera concretarse por tratarse de una situación ya consumada.</w:t>
      </w:r>
    </w:p>
    <w:p w14:paraId="208595D8" w14:textId="0910687A" w:rsidR="00262F14" w:rsidRPr="00765A01" w:rsidRDefault="00865650" w:rsidP="00765A01">
      <w:pPr>
        <w:pStyle w:val="Textoindependiente21"/>
        <w:spacing w:after="0"/>
        <w:ind w:left="0"/>
        <w:jc w:val="both"/>
        <w:rPr>
          <w:rFonts w:cs="Arial"/>
          <w:szCs w:val="16"/>
        </w:rPr>
      </w:pPr>
      <w:r w:rsidRPr="00765A01">
        <w:rPr>
          <w:rFonts w:cs="Arial"/>
          <w:i/>
          <w:szCs w:val="16"/>
        </w:rPr>
        <w:t>En consecuencia, resulta necesario acceder a la solicitud de suspensión provisional de los efectos del numeral cuarto de la sentencia del 19 de junio de 2020, proferida por la Subsección B de la Sección Tercera del Consejo de Estado dentro del proceso de reparación directa con radicado 20001-23-31-000-2011-00616-01 (49202), para evitar que la posible amenaza contra una garantía constitucional se convierta en vulneración y, en ese sentido, garantizar la efectividad del presente trámite constitucional</w:t>
      </w:r>
      <w:r w:rsidR="00262F14" w:rsidRPr="00765A01">
        <w:rPr>
          <w:rFonts w:cs="Arial"/>
          <w:i/>
          <w:szCs w:val="16"/>
        </w:rPr>
        <w:t>”.</w:t>
      </w:r>
    </w:p>
  </w:footnote>
  <w:footnote w:id="13">
    <w:p w14:paraId="43FA2C90" w14:textId="352FAC28" w:rsidR="005776A6" w:rsidRPr="00765A01" w:rsidRDefault="005776A6" w:rsidP="00765A01">
      <w:pPr>
        <w:pStyle w:val="FootnoteText"/>
        <w:rPr>
          <w:sz w:val="16"/>
          <w:szCs w:val="16"/>
        </w:rPr>
      </w:pPr>
      <w:r w:rsidRPr="00765A01">
        <w:rPr>
          <w:rStyle w:val="FootnoteReference"/>
          <w:sz w:val="16"/>
          <w:szCs w:val="16"/>
        </w:rPr>
        <w:footnoteRef/>
      </w:r>
      <w:r w:rsidRPr="00765A01">
        <w:rPr>
          <w:sz w:val="16"/>
          <w:szCs w:val="16"/>
        </w:rPr>
        <w:t xml:space="preserve"> Documento visible en el expediente digital de tutela, con certificado FE570DE108DA3091 43923FC6E13DD2A7 501DB4A3AE55E545 C17191704370E155.</w:t>
      </w:r>
    </w:p>
  </w:footnote>
  <w:footnote w:id="14">
    <w:p w14:paraId="40020749"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Publicado en el diario oficial 50.913 del 1 de abril de 2019.</w:t>
      </w:r>
    </w:p>
  </w:footnote>
  <w:footnote w:id="15">
    <w:p w14:paraId="11A21458"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6">
    <w:p w14:paraId="3623F08C" w14:textId="6381738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Ver sentencia C-590 de 2005.</w:t>
      </w:r>
    </w:p>
  </w:footnote>
  <w:footnote w:id="17">
    <w:p w14:paraId="02A5EBE6" w14:textId="7E040652"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Según consta en la página web de consulta de procesos de la rama judicial.</w:t>
      </w:r>
    </w:p>
  </w:footnote>
  <w:footnote w:id="18">
    <w:p w14:paraId="79BEA70C"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w:t>
      </w:r>
      <w:r w:rsidRPr="00765A01">
        <w:rPr>
          <w:rFonts w:eastAsia="Verdana"/>
          <w:sz w:val="16"/>
          <w:szCs w:val="16"/>
        </w:rPr>
        <w:t xml:space="preserve">Al respecto ver las sentencias </w:t>
      </w:r>
      <w:r w:rsidRPr="00765A01">
        <w:rPr>
          <w:sz w:val="16"/>
          <w:szCs w:val="16"/>
        </w:rPr>
        <w:t xml:space="preserve">SU-961de 1999 y </w:t>
      </w:r>
      <w:r w:rsidRPr="00765A01">
        <w:rPr>
          <w:rFonts w:eastAsia="Verdana"/>
          <w:sz w:val="16"/>
          <w:szCs w:val="16"/>
        </w:rPr>
        <w:t xml:space="preserve">T-031 de 2016 de la Corte Constitucional, y la sentencia </w:t>
      </w:r>
      <w:r w:rsidRPr="00765A01">
        <w:rPr>
          <w:sz w:val="16"/>
          <w:szCs w:val="16"/>
        </w:rPr>
        <w:t xml:space="preserve">proferida por la Sala Plena del Consejo de Estado el 5 de agosto del 2014. </w:t>
      </w:r>
    </w:p>
  </w:footnote>
  <w:footnote w:id="19">
    <w:p w14:paraId="5B004E39" w14:textId="3A804CD3"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Ver sentencia T-296 de 2018.</w:t>
      </w:r>
    </w:p>
  </w:footnote>
  <w:footnote w:id="20">
    <w:p w14:paraId="6A09C902"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Sentencia T-214 de 2012.</w:t>
      </w:r>
    </w:p>
  </w:footnote>
  <w:footnote w:id="21">
    <w:p w14:paraId="14714BDD"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Sentencia SU-489 de 2016.</w:t>
      </w:r>
    </w:p>
  </w:footnote>
  <w:footnote w:id="22">
    <w:p w14:paraId="16B65235"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Consejo de Estado, Sección Tercera, Subsección C, sentencia del 28 de agosto de 2014, radicado: 05001-23-25-000-1999-01063-01(32988).</w:t>
      </w:r>
    </w:p>
  </w:footnote>
  <w:footnote w:id="23">
    <w:p w14:paraId="333863A2"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Consejo de Estado, sentencia de Sala Plena de la Sección Tercera del 14 de septiembre de 2011, rad. 19031 y 38222.</w:t>
      </w:r>
    </w:p>
  </w:footnote>
  <w:footnote w:id="24">
    <w:p w14:paraId="7E99D4D9" w14:textId="3853647C"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En primer lugar, las características del daño a bienes o derechos constitucional o convencionalmente </w:t>
      </w:r>
      <w:r w:rsidR="00847534" w:rsidRPr="00765A01">
        <w:rPr>
          <w:sz w:val="16"/>
          <w:szCs w:val="16"/>
        </w:rPr>
        <w:t>amparados</w:t>
      </w:r>
      <w:r w:rsidRPr="00765A01">
        <w:rPr>
          <w:sz w:val="16"/>
          <w:szCs w:val="16"/>
        </w:rPr>
        <w:t xml:space="preserve"> son: (i) que es un tipo de perjuicio inmaterial; (</w:t>
      </w:r>
      <w:proofErr w:type="spellStart"/>
      <w:r w:rsidRPr="00765A01">
        <w:rPr>
          <w:sz w:val="16"/>
          <w:szCs w:val="16"/>
        </w:rPr>
        <w:t>ii</w:t>
      </w:r>
      <w:proofErr w:type="spellEnd"/>
      <w:r w:rsidRPr="00765A01">
        <w:rPr>
          <w:sz w:val="16"/>
          <w:szCs w:val="16"/>
        </w:rPr>
        <w:t>) que trata de vulneraciones o afectaciones relevantes; (</w:t>
      </w:r>
      <w:proofErr w:type="spellStart"/>
      <w:r w:rsidRPr="00765A01">
        <w:rPr>
          <w:sz w:val="16"/>
          <w:szCs w:val="16"/>
        </w:rPr>
        <w:t>iii</w:t>
      </w:r>
      <w:proofErr w:type="spellEnd"/>
      <w:r w:rsidRPr="00765A01">
        <w:rPr>
          <w:sz w:val="16"/>
          <w:szCs w:val="16"/>
        </w:rPr>
        <w:t xml:space="preserve">) que es autónomo porque no depende de otras categorías de daño; y </w:t>
      </w:r>
      <w:proofErr w:type="spellStart"/>
      <w:r w:rsidRPr="00765A01">
        <w:rPr>
          <w:sz w:val="16"/>
          <w:szCs w:val="16"/>
        </w:rPr>
        <w:t>iv</w:t>
      </w:r>
      <w:proofErr w:type="spellEnd"/>
      <w:r w:rsidRPr="00765A01">
        <w:rPr>
          <w:sz w:val="16"/>
          <w:szCs w:val="16"/>
        </w:rPr>
        <w:t>) que puede ser temporal o definitivo.</w:t>
      </w:r>
    </w:p>
  </w:footnote>
  <w:footnote w:id="25">
    <w:p w14:paraId="66CFE1C5" w14:textId="227255F0"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En segundo lugar, la reparación de esta categoría de daño, comprende: (i) el objetivo de restablecer plenamente a la víctima en el ejercicio de sus derechos; (</w:t>
      </w:r>
      <w:proofErr w:type="spellStart"/>
      <w:r w:rsidRPr="00765A01">
        <w:rPr>
          <w:sz w:val="16"/>
          <w:szCs w:val="16"/>
        </w:rPr>
        <w:t>ii</w:t>
      </w:r>
      <w:proofErr w:type="spellEnd"/>
      <w:r w:rsidRPr="00765A01">
        <w:rPr>
          <w:sz w:val="16"/>
          <w:szCs w:val="16"/>
        </w:rPr>
        <w:t>) el carácter dispositivo, puesto que opera a petición de parte o de oficio; (</w:t>
      </w:r>
      <w:proofErr w:type="spellStart"/>
      <w:r w:rsidRPr="00765A01">
        <w:rPr>
          <w:sz w:val="16"/>
          <w:szCs w:val="16"/>
        </w:rPr>
        <w:t>iii</w:t>
      </w:r>
      <w:proofErr w:type="spellEnd"/>
      <w:r w:rsidRPr="00765A01">
        <w:rPr>
          <w:sz w:val="16"/>
          <w:szCs w:val="16"/>
        </w:rPr>
        <w:t>) la legitimación de las víctimas; (</w:t>
      </w:r>
      <w:proofErr w:type="spellStart"/>
      <w:r w:rsidRPr="00765A01">
        <w:rPr>
          <w:sz w:val="16"/>
          <w:szCs w:val="16"/>
        </w:rPr>
        <w:t>iv</w:t>
      </w:r>
      <w:proofErr w:type="spellEnd"/>
      <w:r w:rsidRPr="00765A01">
        <w:rPr>
          <w:sz w:val="16"/>
          <w:szCs w:val="16"/>
        </w:rPr>
        <w:t>) la indemnización principalmente con medidas de carácter no pecuniarios; (v) un presupuesto de declaración de responsabilidad del Estado por la presencia de un daño a bienes constitucionales y convencionales imputable a este; y (vi) el rol del juez de lo contencioso administrativo como reparador integral de las garantías vulneradas.</w:t>
      </w:r>
    </w:p>
  </w:footnote>
  <w:footnote w:id="26">
    <w:p w14:paraId="7A1B8813" w14:textId="69C2EF30"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En tercer lugar, que al juez le corresponde verificar ex ante: (i) que se trate de una vulneración o afectación relevante de un bien o derecho constitucional o convencionalmente amparado; (</w:t>
      </w:r>
      <w:proofErr w:type="spellStart"/>
      <w:r w:rsidRPr="00765A01">
        <w:rPr>
          <w:sz w:val="16"/>
          <w:szCs w:val="16"/>
        </w:rPr>
        <w:t>ii</w:t>
      </w:r>
      <w:proofErr w:type="spellEnd"/>
      <w:r w:rsidRPr="00765A01">
        <w:rPr>
          <w:sz w:val="16"/>
          <w:szCs w:val="16"/>
        </w:rPr>
        <w:t>) que sea antijurídica; (</w:t>
      </w:r>
      <w:proofErr w:type="spellStart"/>
      <w:r w:rsidRPr="00765A01">
        <w:rPr>
          <w:sz w:val="16"/>
          <w:szCs w:val="16"/>
        </w:rPr>
        <w:t>iii</w:t>
      </w:r>
      <w:proofErr w:type="spellEnd"/>
      <w:r w:rsidRPr="00765A01">
        <w:rPr>
          <w:sz w:val="16"/>
          <w:szCs w:val="16"/>
        </w:rPr>
        <w:t xml:space="preserve">) </w:t>
      </w:r>
      <w:r w:rsidR="00847534" w:rsidRPr="00765A01">
        <w:rPr>
          <w:sz w:val="16"/>
          <w:szCs w:val="16"/>
        </w:rPr>
        <w:t>que,</w:t>
      </w:r>
      <w:r w:rsidRPr="00765A01">
        <w:rPr>
          <w:sz w:val="16"/>
          <w:szCs w:val="16"/>
        </w:rPr>
        <w:t xml:space="preserve"> en caso de ordenarse una indemnización excepcional, no esté comprendida dentro de los perjuicios materiales e inmateriales ya reconocidos; y (</w:t>
      </w:r>
      <w:proofErr w:type="spellStart"/>
      <w:r w:rsidRPr="00765A01">
        <w:rPr>
          <w:sz w:val="16"/>
          <w:szCs w:val="16"/>
        </w:rPr>
        <w:t>iv</w:t>
      </w:r>
      <w:proofErr w:type="spellEnd"/>
      <w:r w:rsidRPr="00765A01">
        <w:rPr>
          <w:sz w:val="16"/>
          <w:szCs w:val="16"/>
        </w:rPr>
        <w:t>) que las medidas de reparación sean correlativas, oportunas, pertinentes y adecuadas al daño generado.</w:t>
      </w:r>
    </w:p>
  </w:footnote>
  <w:footnote w:id="27">
    <w:p w14:paraId="538FE3C6" w14:textId="0BC26D38" w:rsidR="00262F14" w:rsidRPr="00765A01" w:rsidRDefault="00262F14" w:rsidP="00765A01">
      <w:pPr>
        <w:rPr>
          <w:lang w:eastAsia="es-ES"/>
        </w:rPr>
      </w:pPr>
      <w:r w:rsidRPr="00765A01">
        <w:rPr>
          <w:rStyle w:val="FootnoteReference"/>
        </w:rPr>
        <w:footnoteRef/>
      </w:r>
      <w:r w:rsidRPr="00765A01">
        <w:t xml:space="preserve"> Sentencia del 28 de agosto de 2014: “Las medidas de reparación integral operarán teniendo en cuenta la relevancia del caso y la gravedad de los hechos, todo con el propósito de restablecer la dignidad de las víctimas, reprobar las relevantes violaciones a los derechos humanos y concretar las medidas de garantía de verdad, justicia, reparación, no repetición y las demás definidas por el derecho internacional”. </w:t>
      </w:r>
    </w:p>
  </w:footnote>
  <w:footnote w:id="28">
    <w:p w14:paraId="15C1B710" w14:textId="77777777" w:rsidR="00262F14" w:rsidRPr="00765A01" w:rsidRDefault="00262F14" w:rsidP="00765A01">
      <w:r w:rsidRPr="00765A01">
        <w:rPr>
          <w:rStyle w:val="FootnoteReference"/>
        </w:rPr>
        <w:footnoteRef/>
      </w:r>
      <w:r w:rsidRPr="00765A01">
        <w:t xml:space="preserve"> Consejo de Estado, Sección Tercera, Subsección A, sentencias del </w:t>
      </w:r>
      <w:r w:rsidRPr="00765A01">
        <w:rPr>
          <w:u w:val="single"/>
        </w:rPr>
        <w:t>6 de julio de 2020</w:t>
      </w:r>
      <w:r w:rsidRPr="00765A01">
        <w:t xml:space="preserve">, radicado 15001-23-31-000-2011-00634-01(58157), del </w:t>
      </w:r>
      <w:r w:rsidRPr="00765A01">
        <w:rPr>
          <w:u w:val="single"/>
        </w:rPr>
        <w:t>5 de marzo de 2020</w:t>
      </w:r>
      <w:r w:rsidRPr="00765A01">
        <w:t xml:space="preserve">, radicado 76001-23-31-000-2010-01983-01(50159), del </w:t>
      </w:r>
      <w:r w:rsidRPr="00765A01">
        <w:rPr>
          <w:u w:val="single"/>
        </w:rPr>
        <w:t>24 de abril de 2020</w:t>
      </w:r>
      <w:r w:rsidRPr="00765A01">
        <w:t xml:space="preserve">, radicado </w:t>
      </w:r>
      <w:r w:rsidRPr="00765A01">
        <w:rPr>
          <w:bCs/>
        </w:rPr>
        <w:t xml:space="preserve">17001-23-31-000-2010-00400-01(52866), y del </w:t>
      </w:r>
      <w:r w:rsidRPr="00765A01">
        <w:rPr>
          <w:bCs/>
          <w:u w:val="single"/>
        </w:rPr>
        <w:t>25 de octubre de 2019</w:t>
      </w:r>
      <w:r w:rsidRPr="00765A01">
        <w:rPr>
          <w:bCs/>
        </w:rPr>
        <w:t xml:space="preserve">, radicado </w:t>
      </w:r>
      <w:bookmarkStart w:id="2" w:name="OLE_LINK1"/>
      <w:r w:rsidRPr="00765A01">
        <w:rPr>
          <w:rFonts w:eastAsia="Times New Roman"/>
          <w:lang w:val="es-ES" w:eastAsia="es-ES"/>
        </w:rPr>
        <w:t>73001-23-31-000-2011-00462-01</w:t>
      </w:r>
      <w:bookmarkEnd w:id="2"/>
      <w:r w:rsidRPr="00765A01">
        <w:rPr>
          <w:rFonts w:eastAsia="Times New Roman"/>
          <w:lang w:val="es-ES" w:eastAsia="es-ES"/>
        </w:rPr>
        <w:t xml:space="preserve">(46256); de la Subsección B, del </w:t>
      </w:r>
      <w:r w:rsidRPr="00765A01">
        <w:rPr>
          <w:rFonts w:eastAsia="Times New Roman"/>
          <w:u w:val="single"/>
          <w:lang w:val="es-ES" w:eastAsia="es-ES"/>
        </w:rPr>
        <w:t>8 de mayo de 2020</w:t>
      </w:r>
      <w:r w:rsidRPr="00765A01">
        <w:rPr>
          <w:rFonts w:eastAsia="Times New Roman"/>
          <w:lang w:val="es-ES" w:eastAsia="es-ES"/>
        </w:rPr>
        <w:t xml:space="preserve">, radicado </w:t>
      </w:r>
      <w:r w:rsidRPr="00765A01">
        <w:rPr>
          <w:lang w:val="es-ES"/>
        </w:rPr>
        <w:t xml:space="preserve">20001-23-31-000-2011-00469-01(50138), y del </w:t>
      </w:r>
      <w:r w:rsidRPr="00765A01">
        <w:rPr>
          <w:u w:val="single"/>
          <w:lang w:val="es-ES"/>
        </w:rPr>
        <w:t>3 de abril de 2020</w:t>
      </w:r>
      <w:r w:rsidRPr="00765A01">
        <w:rPr>
          <w:lang w:val="es-ES"/>
        </w:rPr>
        <w:t xml:space="preserve">, </w:t>
      </w:r>
      <w:r w:rsidRPr="00765A01">
        <w:t xml:space="preserve">76001-23-31-010-2009-00574-00(46324); y de la Subsección C, del </w:t>
      </w:r>
      <w:r w:rsidRPr="00765A01">
        <w:rPr>
          <w:u w:val="single"/>
        </w:rPr>
        <w:t>1 de octubre de 2018</w:t>
      </w:r>
      <w:r w:rsidRPr="00765A01">
        <w:t xml:space="preserve">, radicado 63001-23-31-000-2009-00183-01(46064), y del </w:t>
      </w:r>
      <w:r w:rsidRPr="00765A01">
        <w:rPr>
          <w:u w:val="single"/>
        </w:rPr>
        <w:t>28 de febrero de 2020</w:t>
      </w:r>
      <w:r w:rsidRPr="00765A01">
        <w:t xml:space="preserve">, </w:t>
      </w:r>
      <w:bookmarkStart w:id="3" w:name="_Hlk45726184"/>
      <w:r w:rsidRPr="00765A01">
        <w:rPr>
          <w:bCs/>
          <w:lang w:val="es-ES" w:eastAsia="en-US"/>
        </w:rPr>
        <w:t>17001-23-31-000-2008-00255-01(50501)</w:t>
      </w:r>
      <w:bookmarkEnd w:id="3"/>
      <w:r w:rsidRPr="00765A01">
        <w:rPr>
          <w:bCs/>
          <w:lang w:val="es-ES" w:eastAsia="en-US"/>
        </w:rPr>
        <w:t>, entre otras.</w:t>
      </w:r>
    </w:p>
  </w:footnote>
  <w:footnote w:id="29">
    <w:p w14:paraId="07472432" w14:textId="7E906E7A" w:rsidR="00262F14" w:rsidRPr="00765A01" w:rsidRDefault="00262F14" w:rsidP="00765A01">
      <w:pPr>
        <w:pStyle w:val="FootnoteText"/>
        <w:rPr>
          <w:sz w:val="16"/>
          <w:szCs w:val="16"/>
          <w:lang w:val="es-ES"/>
        </w:rPr>
      </w:pPr>
      <w:r w:rsidRPr="00765A01">
        <w:rPr>
          <w:rStyle w:val="FootnoteReference"/>
          <w:sz w:val="16"/>
          <w:szCs w:val="16"/>
        </w:rPr>
        <w:footnoteRef/>
      </w:r>
      <w:r w:rsidRPr="00765A01">
        <w:rPr>
          <w:sz w:val="16"/>
          <w:szCs w:val="16"/>
        </w:rPr>
        <w:t xml:space="preserve"> Consejo de Estado, Sección Tercera, Subsección A, sentencia del </w:t>
      </w:r>
      <w:r w:rsidRPr="00765A01">
        <w:rPr>
          <w:sz w:val="16"/>
          <w:szCs w:val="16"/>
          <w:u w:val="single"/>
        </w:rPr>
        <w:t>6 de julio de 2020</w:t>
      </w:r>
      <w:r w:rsidRPr="00765A01">
        <w:rPr>
          <w:sz w:val="16"/>
          <w:szCs w:val="16"/>
        </w:rPr>
        <w:t>, radicado 15001-23-31-000-2011-00634-01(58157).</w:t>
      </w:r>
    </w:p>
  </w:footnote>
  <w:footnote w:id="30">
    <w:p w14:paraId="0A663963" w14:textId="7777777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Consejo de Estado, Sala de lo Contencioso Administrativo, Sección Tercera, sentencias de unificación jurisprudencial del 28 de agosto de 2014, </w:t>
      </w:r>
      <w:proofErr w:type="spellStart"/>
      <w:r w:rsidRPr="00765A01">
        <w:rPr>
          <w:sz w:val="16"/>
          <w:szCs w:val="16"/>
        </w:rPr>
        <w:t>exp</w:t>
      </w:r>
      <w:proofErr w:type="spellEnd"/>
      <w:r w:rsidRPr="00765A01">
        <w:rPr>
          <w:sz w:val="16"/>
          <w:szCs w:val="16"/>
        </w:rPr>
        <w:t xml:space="preserve">. 32988 M.P. Ramiro Pazos Guerrero y </w:t>
      </w:r>
      <w:proofErr w:type="spellStart"/>
      <w:r w:rsidRPr="00765A01">
        <w:rPr>
          <w:sz w:val="16"/>
          <w:szCs w:val="16"/>
        </w:rPr>
        <w:t>exp</w:t>
      </w:r>
      <w:proofErr w:type="spellEnd"/>
      <w:r w:rsidRPr="00765A01">
        <w:rPr>
          <w:sz w:val="16"/>
          <w:szCs w:val="16"/>
        </w:rPr>
        <w:t xml:space="preserve">. 26251. M.P. Jaime Orlando Santofimio Gamboa. </w:t>
      </w:r>
    </w:p>
  </w:footnote>
  <w:footnote w:id="31">
    <w:p w14:paraId="4E3618C8" w14:textId="0118F927" w:rsidR="00262F14" w:rsidRPr="00765A01" w:rsidRDefault="00262F14" w:rsidP="00765A01">
      <w:pPr>
        <w:pStyle w:val="FootnoteText"/>
        <w:rPr>
          <w:sz w:val="16"/>
          <w:szCs w:val="16"/>
          <w:lang w:val="es-ES"/>
        </w:rPr>
      </w:pPr>
      <w:r w:rsidRPr="00765A01">
        <w:rPr>
          <w:rStyle w:val="FootnoteReference"/>
          <w:sz w:val="16"/>
          <w:szCs w:val="16"/>
        </w:rPr>
        <w:footnoteRef/>
      </w:r>
      <w:r w:rsidR="62968F2C" w:rsidRPr="00765A01">
        <w:rPr>
          <w:sz w:val="16"/>
          <w:szCs w:val="16"/>
        </w:rPr>
        <w:t xml:space="preserve"> Consejo de Estado, Sección Tercera, Subsección A, sentencia del </w:t>
      </w:r>
      <w:r w:rsidR="62968F2C" w:rsidRPr="00765A01">
        <w:rPr>
          <w:sz w:val="16"/>
          <w:szCs w:val="16"/>
          <w:u w:val="single"/>
          <w:lang w:val="es-ES"/>
        </w:rPr>
        <w:t>3 de abril de 2020</w:t>
      </w:r>
      <w:r w:rsidR="62968F2C" w:rsidRPr="00765A01">
        <w:rPr>
          <w:sz w:val="16"/>
          <w:szCs w:val="16"/>
          <w:lang w:val="es-ES"/>
        </w:rPr>
        <w:t xml:space="preserve">, </w:t>
      </w:r>
      <w:r w:rsidR="62968F2C" w:rsidRPr="00765A01">
        <w:rPr>
          <w:sz w:val="16"/>
          <w:szCs w:val="16"/>
        </w:rPr>
        <w:t>76001-23-31-010-2009-00574-00(46324).</w:t>
      </w:r>
    </w:p>
  </w:footnote>
  <w:footnote w:id="32">
    <w:p w14:paraId="789BEBD2" w14:textId="069DE547" w:rsidR="00262F14" w:rsidRPr="00765A01" w:rsidRDefault="00262F14" w:rsidP="00765A01">
      <w:pPr>
        <w:pStyle w:val="FootnoteText"/>
        <w:rPr>
          <w:sz w:val="16"/>
          <w:szCs w:val="16"/>
        </w:rPr>
      </w:pPr>
      <w:r w:rsidRPr="00765A01">
        <w:rPr>
          <w:rStyle w:val="FootnoteReference"/>
          <w:sz w:val="16"/>
          <w:szCs w:val="16"/>
        </w:rPr>
        <w:footnoteRef/>
      </w:r>
      <w:r w:rsidRPr="00765A01">
        <w:rPr>
          <w:sz w:val="16"/>
          <w:szCs w:val="16"/>
        </w:rPr>
        <w:t xml:space="preserve"> Consejo De Estado, Sección Tercera, Subsección B. Sentencia de 20 de marzo de 2018 Radicación: 25000 2326 000 2005 01824 01 (40434). En lo pertinente estableció: “Así, el menoscabo del buen nombre y la honra como derechos constitucional y convencionalmente amparados desde la perspectiva de la responsabilidad del Estado -y </w:t>
      </w:r>
      <w:r w:rsidRPr="00765A01">
        <w:rPr>
          <w:sz w:val="16"/>
          <w:szCs w:val="16"/>
          <w:u w:val="single"/>
        </w:rPr>
        <w:t>siempre y cuando ello se encuentre plenamente demostrado en el proceso</w:t>
      </w:r>
      <w:r w:rsidRPr="00765A01">
        <w:rPr>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777777" w:rsidR="00262F14" w:rsidRPr="00A15ACE" w:rsidRDefault="00262F14">
    <w:pPr>
      <w:pStyle w:val="Header"/>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6" name="Imagen 6"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262F14" w:rsidRPr="00A15ACE" w:rsidRDefault="00262F14">
    <w:pPr>
      <w:pStyle w:val="Header"/>
    </w:pPr>
  </w:p>
  <w:p w14:paraId="4B90DC7A" w14:textId="77777777" w:rsidR="00262F14" w:rsidRPr="00A15ACE" w:rsidRDefault="00262F14">
    <w:pPr>
      <w:pStyle w:val="Header"/>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5413AAF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030F93DA" w:rsidR="00262F14" w:rsidRPr="00F532EA" w:rsidRDefault="00262F14" w:rsidP="0054069D">
    <w:pPr>
      <w:pStyle w:val="Header"/>
      <w:jc w:val="right"/>
      <w:rPr>
        <w:color w:val="767171"/>
        <w:sz w:val="20"/>
        <w:szCs w:val="20"/>
      </w:rPr>
    </w:pPr>
    <w:r w:rsidRPr="00F532EA">
      <w:rPr>
        <w:color w:val="767171"/>
        <w:sz w:val="20"/>
        <w:szCs w:val="20"/>
      </w:rPr>
      <w:t xml:space="preserve">Radicado: </w:t>
    </w:r>
    <w:r w:rsidR="00B73871" w:rsidRPr="00B73871">
      <w:rPr>
        <w:color w:val="767171"/>
        <w:sz w:val="20"/>
        <w:szCs w:val="20"/>
      </w:rPr>
      <w:t>11001-03-15-000-2020-05167-00</w:t>
    </w:r>
  </w:p>
  <w:p w14:paraId="07B33FD0" w14:textId="1A3D24A7" w:rsidR="00262F14" w:rsidRPr="00F532EA" w:rsidRDefault="00262F14" w:rsidP="0054069D">
    <w:pPr>
      <w:pStyle w:val="Header"/>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sidR="00B73871">
      <w:rPr>
        <w:color w:val="767171"/>
        <w:sz w:val="20"/>
        <w:szCs w:val="20"/>
      </w:rPr>
      <w:t>: Nación-</w:t>
    </w:r>
    <w:r>
      <w:rPr>
        <w:color w:val="767171"/>
        <w:sz w:val="20"/>
        <w:szCs w:val="20"/>
      </w:rPr>
      <w:t>Rama Judicial, Con</w:t>
    </w:r>
    <w:r w:rsidR="00B73871">
      <w:rPr>
        <w:color w:val="767171"/>
        <w:sz w:val="20"/>
        <w:szCs w:val="20"/>
      </w:rPr>
      <w:t>sejo Superior de la Judicatura-</w:t>
    </w:r>
    <w:r>
      <w:rPr>
        <w:color w:val="767171"/>
        <w:sz w:val="20"/>
        <w:szCs w:val="20"/>
      </w:rPr>
      <w:t>Dirección Ejecutiva de Administración Judicial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262F14" w:rsidRPr="00A15ACE" w:rsidRDefault="00262F14" w:rsidP="00F1441F">
    <w:pPr>
      <w:pStyle w:val="Header"/>
    </w:pPr>
    <w:r>
      <w:rPr>
        <w:noProof/>
        <w:lang w:eastAsia="es-CO"/>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7" name="Imagen 7"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262F14" w:rsidRPr="00A15ACE" w:rsidRDefault="00262F14" w:rsidP="00F1441F">
    <w:pPr>
      <w:pStyle w:val="Header"/>
      <w:rPr>
        <w:color w:val="767171"/>
      </w:rPr>
    </w:pPr>
  </w:p>
  <w:p w14:paraId="3F3B7A5B" w14:textId="77777777" w:rsidR="00262F14" w:rsidRPr="007F276C" w:rsidRDefault="00262F14" w:rsidP="007F276C">
    <w:pPr>
      <w:pStyle w:val="NoSpacing"/>
    </w:pPr>
    <w:r w:rsidRPr="007F276C">
      <w:t>CONSEJO DE ESTADO</w:t>
    </w:r>
  </w:p>
  <w:p w14:paraId="6EF027A0" w14:textId="77777777" w:rsidR="00262F14" w:rsidRPr="007F276C" w:rsidRDefault="00262F14" w:rsidP="007F276C">
    <w:pPr>
      <w:pStyle w:val="NoSpacing"/>
    </w:pPr>
    <w:r w:rsidRPr="007F276C">
      <w:t>SALA DE LO CONTENCIOSO ADMINISTRATIVO</w:t>
    </w:r>
  </w:p>
  <w:p w14:paraId="2FC4305D" w14:textId="77777777" w:rsidR="00262F14" w:rsidRPr="007F276C" w:rsidRDefault="00262F14" w:rsidP="007F276C">
    <w:pPr>
      <w:pStyle w:val="NoSpacing"/>
    </w:pPr>
    <w:r w:rsidRPr="007F276C">
      <w:t>SECCIÓN TERCERA – SUBSECCIÓN C</w:t>
    </w:r>
  </w:p>
  <w:p w14:paraId="2BA226A1" w14:textId="77777777" w:rsidR="00262F14" w:rsidRDefault="00262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A5682CB6"/>
    <w:lvl w:ilvl="0">
      <w:start w:val="2"/>
      <w:numFmt w:val="decimal"/>
      <w:lvlText w:val="%1."/>
      <w:lvlJc w:val="left"/>
      <w:pPr>
        <w:ind w:left="400" w:hanging="400"/>
      </w:pPr>
      <w:rPr>
        <w:rFonts w:ascii="Arial" w:hAnsi="Arial" w:cs="Arial"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multilevel"/>
    <w:tmpl w:val="072C6618"/>
    <w:lvl w:ilvl="0">
      <w:start w:val="1"/>
      <w:numFmt w:val="upperRoman"/>
      <w:pStyle w:val="Heading1"/>
      <w:lvlText w:val="%1."/>
      <w:lvlJc w:val="righ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3D9C4E5A"/>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9C673A8"/>
    <w:multiLevelType w:val="multilevel"/>
    <w:tmpl w:val="ABBE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236E39"/>
    <w:multiLevelType w:val="multilevel"/>
    <w:tmpl w:val="9BB85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68F01386"/>
    <w:multiLevelType w:val="multilevel"/>
    <w:tmpl w:val="4ABA4CAE"/>
    <w:lvl w:ilvl="0">
      <w:start w:val="20"/>
      <w:numFmt w:val="decimal"/>
      <w:lvlText w:val="%1."/>
      <w:lvlJc w:val="left"/>
      <w:pPr>
        <w:ind w:left="788" w:hanging="360"/>
      </w:pPr>
      <w:rPr>
        <w:rFonts w:ascii="Arial" w:eastAsia="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B911D3"/>
    <w:multiLevelType w:val="multilevel"/>
    <w:tmpl w:val="D902C774"/>
    <w:lvl w:ilvl="0">
      <w:start w:val="20"/>
      <w:numFmt w:val="decimal"/>
      <w:lvlText w:val="%1."/>
      <w:lvlJc w:val="left"/>
      <w:pPr>
        <w:ind w:left="788" w:hanging="360"/>
      </w:pPr>
      <w:rPr>
        <w:rFonts w:ascii="Arial" w:eastAsia="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C15562"/>
    <w:multiLevelType w:val="hybridMultilevel"/>
    <w:tmpl w:val="8D9E53CA"/>
    <w:lvl w:ilvl="0" w:tplc="47109D8C">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10"/>
  </w:num>
  <w:num w:numId="7">
    <w:abstractNumId w:val="6"/>
  </w:num>
  <w:num w:numId="8">
    <w:abstractNumId w:val="11"/>
  </w:num>
  <w:num w:numId="9">
    <w:abstractNumId w:val="5"/>
  </w:num>
  <w:num w:numId="10">
    <w:abstractNumId w:val="4"/>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0899"/>
    <w:rsid w:val="00001220"/>
    <w:rsid w:val="00002075"/>
    <w:rsid w:val="00004070"/>
    <w:rsid w:val="00004379"/>
    <w:rsid w:val="00004405"/>
    <w:rsid w:val="00004D80"/>
    <w:rsid w:val="00005B2C"/>
    <w:rsid w:val="00006D3C"/>
    <w:rsid w:val="0001012C"/>
    <w:rsid w:val="0001030E"/>
    <w:rsid w:val="00011344"/>
    <w:rsid w:val="00012033"/>
    <w:rsid w:val="00012249"/>
    <w:rsid w:val="00013AF5"/>
    <w:rsid w:val="0001454F"/>
    <w:rsid w:val="00014FA0"/>
    <w:rsid w:val="00016FD6"/>
    <w:rsid w:val="00017CB3"/>
    <w:rsid w:val="0002321E"/>
    <w:rsid w:val="00023E74"/>
    <w:rsid w:val="0002471B"/>
    <w:rsid w:val="00026740"/>
    <w:rsid w:val="00027262"/>
    <w:rsid w:val="00027C9A"/>
    <w:rsid w:val="00031008"/>
    <w:rsid w:val="00035B36"/>
    <w:rsid w:val="00044E63"/>
    <w:rsid w:val="00045A3D"/>
    <w:rsid w:val="00047AD2"/>
    <w:rsid w:val="00050B31"/>
    <w:rsid w:val="000558C9"/>
    <w:rsid w:val="0005595B"/>
    <w:rsid w:val="000566B5"/>
    <w:rsid w:val="000572CE"/>
    <w:rsid w:val="000578BC"/>
    <w:rsid w:val="0006185D"/>
    <w:rsid w:val="00061B93"/>
    <w:rsid w:val="000640FF"/>
    <w:rsid w:val="00065048"/>
    <w:rsid w:val="00065263"/>
    <w:rsid w:val="000669E6"/>
    <w:rsid w:val="00071F03"/>
    <w:rsid w:val="00072695"/>
    <w:rsid w:val="000728E0"/>
    <w:rsid w:val="00073800"/>
    <w:rsid w:val="00073869"/>
    <w:rsid w:val="00074D00"/>
    <w:rsid w:val="00076747"/>
    <w:rsid w:val="00082A63"/>
    <w:rsid w:val="00082BE9"/>
    <w:rsid w:val="00082E9C"/>
    <w:rsid w:val="00083B8F"/>
    <w:rsid w:val="00084ACD"/>
    <w:rsid w:val="0008675F"/>
    <w:rsid w:val="00086B66"/>
    <w:rsid w:val="00087BF8"/>
    <w:rsid w:val="000903AC"/>
    <w:rsid w:val="00090D1E"/>
    <w:rsid w:val="00094E7B"/>
    <w:rsid w:val="00094EAB"/>
    <w:rsid w:val="00095EDE"/>
    <w:rsid w:val="000A14D8"/>
    <w:rsid w:val="000A3CA1"/>
    <w:rsid w:val="000A428A"/>
    <w:rsid w:val="000A54E3"/>
    <w:rsid w:val="000B0A8D"/>
    <w:rsid w:val="000B71A7"/>
    <w:rsid w:val="000B71FD"/>
    <w:rsid w:val="000C18BD"/>
    <w:rsid w:val="000C2795"/>
    <w:rsid w:val="000C2B43"/>
    <w:rsid w:val="000C341D"/>
    <w:rsid w:val="000C3525"/>
    <w:rsid w:val="000C5DB7"/>
    <w:rsid w:val="000C639A"/>
    <w:rsid w:val="000C7B4F"/>
    <w:rsid w:val="000D0E41"/>
    <w:rsid w:val="000D12BC"/>
    <w:rsid w:val="000D1A55"/>
    <w:rsid w:val="000D2A20"/>
    <w:rsid w:val="000D38FD"/>
    <w:rsid w:val="000D4AD7"/>
    <w:rsid w:val="000D5563"/>
    <w:rsid w:val="000D7042"/>
    <w:rsid w:val="000D7C4A"/>
    <w:rsid w:val="000E121D"/>
    <w:rsid w:val="000E2D62"/>
    <w:rsid w:val="000E6372"/>
    <w:rsid w:val="000F02E3"/>
    <w:rsid w:val="000F189F"/>
    <w:rsid w:val="000F4A94"/>
    <w:rsid w:val="000F547F"/>
    <w:rsid w:val="000F636A"/>
    <w:rsid w:val="00100DE6"/>
    <w:rsid w:val="00101468"/>
    <w:rsid w:val="00101D3B"/>
    <w:rsid w:val="00102722"/>
    <w:rsid w:val="001064F3"/>
    <w:rsid w:val="00106D53"/>
    <w:rsid w:val="001073C5"/>
    <w:rsid w:val="001117E0"/>
    <w:rsid w:val="00111F8A"/>
    <w:rsid w:val="00112150"/>
    <w:rsid w:val="001121D7"/>
    <w:rsid w:val="00114418"/>
    <w:rsid w:val="001147AE"/>
    <w:rsid w:val="00114E48"/>
    <w:rsid w:val="0011700D"/>
    <w:rsid w:val="00117091"/>
    <w:rsid w:val="001173B6"/>
    <w:rsid w:val="0012059B"/>
    <w:rsid w:val="0012085E"/>
    <w:rsid w:val="00121C55"/>
    <w:rsid w:val="001225C4"/>
    <w:rsid w:val="00125394"/>
    <w:rsid w:val="001264E9"/>
    <w:rsid w:val="001314F6"/>
    <w:rsid w:val="001314FA"/>
    <w:rsid w:val="0013220A"/>
    <w:rsid w:val="0013280E"/>
    <w:rsid w:val="00132AB9"/>
    <w:rsid w:val="00133F91"/>
    <w:rsid w:val="001341B1"/>
    <w:rsid w:val="00135569"/>
    <w:rsid w:val="00135745"/>
    <w:rsid w:val="00135B29"/>
    <w:rsid w:val="00137D2F"/>
    <w:rsid w:val="00143CD4"/>
    <w:rsid w:val="001446DE"/>
    <w:rsid w:val="001446EE"/>
    <w:rsid w:val="00146828"/>
    <w:rsid w:val="001501BB"/>
    <w:rsid w:val="001502BD"/>
    <w:rsid w:val="00150F4F"/>
    <w:rsid w:val="0015444A"/>
    <w:rsid w:val="00154D0E"/>
    <w:rsid w:val="00155E78"/>
    <w:rsid w:val="00155FE7"/>
    <w:rsid w:val="00161A22"/>
    <w:rsid w:val="00161EAA"/>
    <w:rsid w:val="0016208B"/>
    <w:rsid w:val="00162961"/>
    <w:rsid w:val="0016439C"/>
    <w:rsid w:val="001658C9"/>
    <w:rsid w:val="00165935"/>
    <w:rsid w:val="00165C5B"/>
    <w:rsid w:val="00166AF6"/>
    <w:rsid w:val="001674CF"/>
    <w:rsid w:val="001677B8"/>
    <w:rsid w:val="00170FE3"/>
    <w:rsid w:val="00171038"/>
    <w:rsid w:val="00171E2D"/>
    <w:rsid w:val="00171EF3"/>
    <w:rsid w:val="00174C02"/>
    <w:rsid w:val="00175282"/>
    <w:rsid w:val="001820A7"/>
    <w:rsid w:val="001838C6"/>
    <w:rsid w:val="00184593"/>
    <w:rsid w:val="00190924"/>
    <w:rsid w:val="001909A8"/>
    <w:rsid w:val="001915E1"/>
    <w:rsid w:val="00194CD0"/>
    <w:rsid w:val="0019789B"/>
    <w:rsid w:val="001A12BB"/>
    <w:rsid w:val="001A44C6"/>
    <w:rsid w:val="001A6122"/>
    <w:rsid w:val="001A736E"/>
    <w:rsid w:val="001B35D8"/>
    <w:rsid w:val="001B60B5"/>
    <w:rsid w:val="001B72F6"/>
    <w:rsid w:val="001C049C"/>
    <w:rsid w:val="001C29D8"/>
    <w:rsid w:val="001C319D"/>
    <w:rsid w:val="001C3C1F"/>
    <w:rsid w:val="001C4808"/>
    <w:rsid w:val="001C4D01"/>
    <w:rsid w:val="001C7132"/>
    <w:rsid w:val="001C740B"/>
    <w:rsid w:val="001D0208"/>
    <w:rsid w:val="001D4888"/>
    <w:rsid w:val="001D4E62"/>
    <w:rsid w:val="001D573C"/>
    <w:rsid w:val="001D5BEE"/>
    <w:rsid w:val="001D60C0"/>
    <w:rsid w:val="001D61E8"/>
    <w:rsid w:val="001D6425"/>
    <w:rsid w:val="001D67F0"/>
    <w:rsid w:val="001F0E32"/>
    <w:rsid w:val="001F31C1"/>
    <w:rsid w:val="001F4B0A"/>
    <w:rsid w:val="001F4D8C"/>
    <w:rsid w:val="001F6D2F"/>
    <w:rsid w:val="0020178C"/>
    <w:rsid w:val="00201EC3"/>
    <w:rsid w:val="002035BF"/>
    <w:rsid w:val="00207116"/>
    <w:rsid w:val="0021100C"/>
    <w:rsid w:val="00211E72"/>
    <w:rsid w:val="00214D23"/>
    <w:rsid w:val="00216E40"/>
    <w:rsid w:val="00221C3D"/>
    <w:rsid w:val="002230E3"/>
    <w:rsid w:val="002232EB"/>
    <w:rsid w:val="00223E8F"/>
    <w:rsid w:val="002253B6"/>
    <w:rsid w:val="002255B3"/>
    <w:rsid w:val="00225FD3"/>
    <w:rsid w:val="0022658D"/>
    <w:rsid w:val="0023161F"/>
    <w:rsid w:val="002330A9"/>
    <w:rsid w:val="002365FF"/>
    <w:rsid w:val="00240628"/>
    <w:rsid w:val="00241A20"/>
    <w:rsid w:val="0024292B"/>
    <w:rsid w:val="00243E3F"/>
    <w:rsid w:val="00245202"/>
    <w:rsid w:val="00246239"/>
    <w:rsid w:val="002468A7"/>
    <w:rsid w:val="002477FF"/>
    <w:rsid w:val="0025021D"/>
    <w:rsid w:val="002530CD"/>
    <w:rsid w:val="00253166"/>
    <w:rsid w:val="00254098"/>
    <w:rsid w:val="002554D9"/>
    <w:rsid w:val="00255C63"/>
    <w:rsid w:val="002618FA"/>
    <w:rsid w:val="00262F14"/>
    <w:rsid w:val="002652EE"/>
    <w:rsid w:val="0026613C"/>
    <w:rsid w:val="00266DCD"/>
    <w:rsid w:val="002715FF"/>
    <w:rsid w:val="0027248E"/>
    <w:rsid w:val="00273406"/>
    <w:rsid w:val="002753A1"/>
    <w:rsid w:val="00275638"/>
    <w:rsid w:val="00276E47"/>
    <w:rsid w:val="00277551"/>
    <w:rsid w:val="002813A9"/>
    <w:rsid w:val="00281874"/>
    <w:rsid w:val="0028309F"/>
    <w:rsid w:val="0028665C"/>
    <w:rsid w:val="00287048"/>
    <w:rsid w:val="002873C9"/>
    <w:rsid w:val="00287806"/>
    <w:rsid w:val="00287F46"/>
    <w:rsid w:val="00291407"/>
    <w:rsid w:val="00291E47"/>
    <w:rsid w:val="0029390A"/>
    <w:rsid w:val="00293DAE"/>
    <w:rsid w:val="00295308"/>
    <w:rsid w:val="002956F6"/>
    <w:rsid w:val="002A04D0"/>
    <w:rsid w:val="002A39C7"/>
    <w:rsid w:val="002A3BCF"/>
    <w:rsid w:val="002A5310"/>
    <w:rsid w:val="002A6BED"/>
    <w:rsid w:val="002A7DC7"/>
    <w:rsid w:val="002B26F8"/>
    <w:rsid w:val="002B3E8E"/>
    <w:rsid w:val="002B5870"/>
    <w:rsid w:val="002B6FC2"/>
    <w:rsid w:val="002B7816"/>
    <w:rsid w:val="002C12BC"/>
    <w:rsid w:val="002C1BDB"/>
    <w:rsid w:val="002C2628"/>
    <w:rsid w:val="002C4C34"/>
    <w:rsid w:val="002D033D"/>
    <w:rsid w:val="002D03A5"/>
    <w:rsid w:val="002D1219"/>
    <w:rsid w:val="002D1F32"/>
    <w:rsid w:val="002D2B80"/>
    <w:rsid w:val="002D3270"/>
    <w:rsid w:val="002D3CAC"/>
    <w:rsid w:val="002D480B"/>
    <w:rsid w:val="002D5684"/>
    <w:rsid w:val="002E1978"/>
    <w:rsid w:val="002E4663"/>
    <w:rsid w:val="002E5637"/>
    <w:rsid w:val="002E6314"/>
    <w:rsid w:val="002E65D8"/>
    <w:rsid w:val="002F29A7"/>
    <w:rsid w:val="002F4148"/>
    <w:rsid w:val="002F42B8"/>
    <w:rsid w:val="002F6F94"/>
    <w:rsid w:val="002F7E24"/>
    <w:rsid w:val="003007E6"/>
    <w:rsid w:val="00301EAE"/>
    <w:rsid w:val="00301FD7"/>
    <w:rsid w:val="0030212E"/>
    <w:rsid w:val="003026EB"/>
    <w:rsid w:val="00302CF5"/>
    <w:rsid w:val="003049C7"/>
    <w:rsid w:val="00312577"/>
    <w:rsid w:val="0031514A"/>
    <w:rsid w:val="0031562F"/>
    <w:rsid w:val="00316A7F"/>
    <w:rsid w:val="00320783"/>
    <w:rsid w:val="00322AE9"/>
    <w:rsid w:val="003260C7"/>
    <w:rsid w:val="0033117B"/>
    <w:rsid w:val="003336FD"/>
    <w:rsid w:val="0033395F"/>
    <w:rsid w:val="003353F5"/>
    <w:rsid w:val="00337155"/>
    <w:rsid w:val="00340AC8"/>
    <w:rsid w:val="0034201B"/>
    <w:rsid w:val="00342DF6"/>
    <w:rsid w:val="0034340E"/>
    <w:rsid w:val="00343766"/>
    <w:rsid w:val="00345E1C"/>
    <w:rsid w:val="00347076"/>
    <w:rsid w:val="00351B5E"/>
    <w:rsid w:val="003526C3"/>
    <w:rsid w:val="0035542D"/>
    <w:rsid w:val="00356CDD"/>
    <w:rsid w:val="00357E22"/>
    <w:rsid w:val="00360658"/>
    <w:rsid w:val="00361478"/>
    <w:rsid w:val="003628C8"/>
    <w:rsid w:val="0036383A"/>
    <w:rsid w:val="00366216"/>
    <w:rsid w:val="003674B8"/>
    <w:rsid w:val="003707A2"/>
    <w:rsid w:val="00371D29"/>
    <w:rsid w:val="003720BB"/>
    <w:rsid w:val="003727A7"/>
    <w:rsid w:val="003736AC"/>
    <w:rsid w:val="00374674"/>
    <w:rsid w:val="00377720"/>
    <w:rsid w:val="00377E1B"/>
    <w:rsid w:val="00380082"/>
    <w:rsid w:val="00382293"/>
    <w:rsid w:val="00383156"/>
    <w:rsid w:val="00383425"/>
    <w:rsid w:val="00384507"/>
    <w:rsid w:val="00386152"/>
    <w:rsid w:val="00386B09"/>
    <w:rsid w:val="00387BBC"/>
    <w:rsid w:val="00387CA1"/>
    <w:rsid w:val="00390088"/>
    <w:rsid w:val="00390428"/>
    <w:rsid w:val="00392C97"/>
    <w:rsid w:val="00392D66"/>
    <w:rsid w:val="00393843"/>
    <w:rsid w:val="00394A69"/>
    <w:rsid w:val="0039548C"/>
    <w:rsid w:val="003A0174"/>
    <w:rsid w:val="003A12C4"/>
    <w:rsid w:val="003A1C83"/>
    <w:rsid w:val="003A35B4"/>
    <w:rsid w:val="003A3FC4"/>
    <w:rsid w:val="003A4B37"/>
    <w:rsid w:val="003A72C2"/>
    <w:rsid w:val="003B1539"/>
    <w:rsid w:val="003B4515"/>
    <w:rsid w:val="003B6633"/>
    <w:rsid w:val="003C24DE"/>
    <w:rsid w:val="003C7764"/>
    <w:rsid w:val="003C78FA"/>
    <w:rsid w:val="003D0F7C"/>
    <w:rsid w:val="003D1B94"/>
    <w:rsid w:val="003D1C60"/>
    <w:rsid w:val="003D1E80"/>
    <w:rsid w:val="003D44B8"/>
    <w:rsid w:val="003D4892"/>
    <w:rsid w:val="003D58E3"/>
    <w:rsid w:val="003D6548"/>
    <w:rsid w:val="003D7632"/>
    <w:rsid w:val="003E06B6"/>
    <w:rsid w:val="003E25FB"/>
    <w:rsid w:val="003E4253"/>
    <w:rsid w:val="003E45EC"/>
    <w:rsid w:val="003E62BC"/>
    <w:rsid w:val="003E7A58"/>
    <w:rsid w:val="003E7DF4"/>
    <w:rsid w:val="003F1C53"/>
    <w:rsid w:val="003F1DF9"/>
    <w:rsid w:val="003F2236"/>
    <w:rsid w:val="003F2BA3"/>
    <w:rsid w:val="003F31BD"/>
    <w:rsid w:val="003F4EE1"/>
    <w:rsid w:val="003F517F"/>
    <w:rsid w:val="003F6853"/>
    <w:rsid w:val="003F6C71"/>
    <w:rsid w:val="003F7144"/>
    <w:rsid w:val="003F7FF5"/>
    <w:rsid w:val="0040213E"/>
    <w:rsid w:val="00402998"/>
    <w:rsid w:val="00403493"/>
    <w:rsid w:val="00403849"/>
    <w:rsid w:val="00406772"/>
    <w:rsid w:val="00413031"/>
    <w:rsid w:val="004139B0"/>
    <w:rsid w:val="0041501C"/>
    <w:rsid w:val="004150BA"/>
    <w:rsid w:val="00415366"/>
    <w:rsid w:val="004168CB"/>
    <w:rsid w:val="00416A7B"/>
    <w:rsid w:val="004175FC"/>
    <w:rsid w:val="004211FA"/>
    <w:rsid w:val="0042227D"/>
    <w:rsid w:val="004224E1"/>
    <w:rsid w:val="004230AD"/>
    <w:rsid w:val="004232B9"/>
    <w:rsid w:val="00424723"/>
    <w:rsid w:val="00425815"/>
    <w:rsid w:val="004269E2"/>
    <w:rsid w:val="004270A8"/>
    <w:rsid w:val="00430389"/>
    <w:rsid w:val="00430D89"/>
    <w:rsid w:val="00432365"/>
    <w:rsid w:val="00432814"/>
    <w:rsid w:val="00432FAE"/>
    <w:rsid w:val="00433C67"/>
    <w:rsid w:val="00433E19"/>
    <w:rsid w:val="00440DE3"/>
    <w:rsid w:val="00447745"/>
    <w:rsid w:val="00447956"/>
    <w:rsid w:val="00450F08"/>
    <w:rsid w:val="00454FBA"/>
    <w:rsid w:val="00455545"/>
    <w:rsid w:val="00455A82"/>
    <w:rsid w:val="004579FB"/>
    <w:rsid w:val="00461C9C"/>
    <w:rsid w:val="004654A4"/>
    <w:rsid w:val="00465D19"/>
    <w:rsid w:val="00467F77"/>
    <w:rsid w:val="00471300"/>
    <w:rsid w:val="0047256F"/>
    <w:rsid w:val="004738B8"/>
    <w:rsid w:val="00474FC3"/>
    <w:rsid w:val="00475103"/>
    <w:rsid w:val="004758EB"/>
    <w:rsid w:val="00477A81"/>
    <w:rsid w:val="00477AD8"/>
    <w:rsid w:val="00477CD1"/>
    <w:rsid w:val="00480BDB"/>
    <w:rsid w:val="00483A7E"/>
    <w:rsid w:val="004849BB"/>
    <w:rsid w:val="00484DEF"/>
    <w:rsid w:val="004857F6"/>
    <w:rsid w:val="00486447"/>
    <w:rsid w:val="00490268"/>
    <w:rsid w:val="00491910"/>
    <w:rsid w:val="00491D4D"/>
    <w:rsid w:val="00494668"/>
    <w:rsid w:val="00494CC1"/>
    <w:rsid w:val="00494F5F"/>
    <w:rsid w:val="00496046"/>
    <w:rsid w:val="00497536"/>
    <w:rsid w:val="00497572"/>
    <w:rsid w:val="00497735"/>
    <w:rsid w:val="004A04BC"/>
    <w:rsid w:val="004A0E84"/>
    <w:rsid w:val="004A1D38"/>
    <w:rsid w:val="004A4DE7"/>
    <w:rsid w:val="004A59E5"/>
    <w:rsid w:val="004A7C12"/>
    <w:rsid w:val="004B1658"/>
    <w:rsid w:val="004B48F9"/>
    <w:rsid w:val="004B4E43"/>
    <w:rsid w:val="004B546A"/>
    <w:rsid w:val="004B68A0"/>
    <w:rsid w:val="004B71FA"/>
    <w:rsid w:val="004B773D"/>
    <w:rsid w:val="004B7869"/>
    <w:rsid w:val="004C09AA"/>
    <w:rsid w:val="004C0BAB"/>
    <w:rsid w:val="004C2E8B"/>
    <w:rsid w:val="004C4E69"/>
    <w:rsid w:val="004C75AB"/>
    <w:rsid w:val="004D16DC"/>
    <w:rsid w:val="004D43F5"/>
    <w:rsid w:val="004D49EB"/>
    <w:rsid w:val="004D55D4"/>
    <w:rsid w:val="004D5983"/>
    <w:rsid w:val="004D63F2"/>
    <w:rsid w:val="004D6555"/>
    <w:rsid w:val="004D6896"/>
    <w:rsid w:val="004E01C0"/>
    <w:rsid w:val="004E1BB1"/>
    <w:rsid w:val="004E2B86"/>
    <w:rsid w:val="004E30D9"/>
    <w:rsid w:val="004E36C6"/>
    <w:rsid w:val="004E3D73"/>
    <w:rsid w:val="004E60D4"/>
    <w:rsid w:val="004E6970"/>
    <w:rsid w:val="004E7976"/>
    <w:rsid w:val="004F036E"/>
    <w:rsid w:val="004F1E10"/>
    <w:rsid w:val="004F2163"/>
    <w:rsid w:val="004F29EF"/>
    <w:rsid w:val="004F3056"/>
    <w:rsid w:val="004F3195"/>
    <w:rsid w:val="004F3206"/>
    <w:rsid w:val="004F64C5"/>
    <w:rsid w:val="004F64E9"/>
    <w:rsid w:val="004F6E40"/>
    <w:rsid w:val="004F7002"/>
    <w:rsid w:val="00500786"/>
    <w:rsid w:val="00502ADE"/>
    <w:rsid w:val="00505263"/>
    <w:rsid w:val="0051090B"/>
    <w:rsid w:val="00510B0F"/>
    <w:rsid w:val="005113B7"/>
    <w:rsid w:val="005127CB"/>
    <w:rsid w:val="005211BD"/>
    <w:rsid w:val="00521C3D"/>
    <w:rsid w:val="00522073"/>
    <w:rsid w:val="005229CC"/>
    <w:rsid w:val="00522B4B"/>
    <w:rsid w:val="00523047"/>
    <w:rsid w:val="00523393"/>
    <w:rsid w:val="00523AF5"/>
    <w:rsid w:val="00525B66"/>
    <w:rsid w:val="00526281"/>
    <w:rsid w:val="00530450"/>
    <w:rsid w:val="00530CAD"/>
    <w:rsid w:val="005343C4"/>
    <w:rsid w:val="0054069D"/>
    <w:rsid w:val="00540E31"/>
    <w:rsid w:val="00540F5C"/>
    <w:rsid w:val="005414C8"/>
    <w:rsid w:val="0054160F"/>
    <w:rsid w:val="00542050"/>
    <w:rsid w:val="0054247D"/>
    <w:rsid w:val="0054313B"/>
    <w:rsid w:val="00543FA4"/>
    <w:rsid w:val="00545CA7"/>
    <w:rsid w:val="0055229B"/>
    <w:rsid w:val="005522BC"/>
    <w:rsid w:val="00553863"/>
    <w:rsid w:val="0055391D"/>
    <w:rsid w:val="00560C9F"/>
    <w:rsid w:val="005639E7"/>
    <w:rsid w:val="00564169"/>
    <w:rsid w:val="00565A93"/>
    <w:rsid w:val="00566726"/>
    <w:rsid w:val="00566F5D"/>
    <w:rsid w:val="005671A8"/>
    <w:rsid w:val="005702A7"/>
    <w:rsid w:val="0057157A"/>
    <w:rsid w:val="00576DFD"/>
    <w:rsid w:val="00577059"/>
    <w:rsid w:val="005776A6"/>
    <w:rsid w:val="00585CA2"/>
    <w:rsid w:val="00586281"/>
    <w:rsid w:val="00586C2C"/>
    <w:rsid w:val="00586D06"/>
    <w:rsid w:val="00591F8F"/>
    <w:rsid w:val="0059201B"/>
    <w:rsid w:val="00592923"/>
    <w:rsid w:val="00593F37"/>
    <w:rsid w:val="00595248"/>
    <w:rsid w:val="00595F8B"/>
    <w:rsid w:val="00597938"/>
    <w:rsid w:val="005A0024"/>
    <w:rsid w:val="005A1C94"/>
    <w:rsid w:val="005A1D89"/>
    <w:rsid w:val="005A2030"/>
    <w:rsid w:val="005A236C"/>
    <w:rsid w:val="005A2EF5"/>
    <w:rsid w:val="005A358C"/>
    <w:rsid w:val="005A510D"/>
    <w:rsid w:val="005A6124"/>
    <w:rsid w:val="005A77E9"/>
    <w:rsid w:val="005A7E12"/>
    <w:rsid w:val="005B3AF1"/>
    <w:rsid w:val="005B4121"/>
    <w:rsid w:val="005B6A6F"/>
    <w:rsid w:val="005B7E46"/>
    <w:rsid w:val="005C0B29"/>
    <w:rsid w:val="005C1F30"/>
    <w:rsid w:val="005C3057"/>
    <w:rsid w:val="005C38DE"/>
    <w:rsid w:val="005C41D9"/>
    <w:rsid w:val="005C4D54"/>
    <w:rsid w:val="005C7059"/>
    <w:rsid w:val="005C72E5"/>
    <w:rsid w:val="005D0318"/>
    <w:rsid w:val="005D1160"/>
    <w:rsid w:val="005D1791"/>
    <w:rsid w:val="005D2B18"/>
    <w:rsid w:val="005D4643"/>
    <w:rsid w:val="005D4680"/>
    <w:rsid w:val="005D6D4F"/>
    <w:rsid w:val="005D7E03"/>
    <w:rsid w:val="005E17AB"/>
    <w:rsid w:val="005E7397"/>
    <w:rsid w:val="005F06BA"/>
    <w:rsid w:val="005F0AEA"/>
    <w:rsid w:val="005F11DA"/>
    <w:rsid w:val="005F2232"/>
    <w:rsid w:val="005F2A79"/>
    <w:rsid w:val="005F36CD"/>
    <w:rsid w:val="005F37AF"/>
    <w:rsid w:val="005F4B65"/>
    <w:rsid w:val="00600F5F"/>
    <w:rsid w:val="00601E44"/>
    <w:rsid w:val="006045FD"/>
    <w:rsid w:val="00606C5C"/>
    <w:rsid w:val="00606E0A"/>
    <w:rsid w:val="00606E3D"/>
    <w:rsid w:val="006070ED"/>
    <w:rsid w:val="0061110F"/>
    <w:rsid w:val="00611CF0"/>
    <w:rsid w:val="0061288C"/>
    <w:rsid w:val="006146CC"/>
    <w:rsid w:val="00614FB3"/>
    <w:rsid w:val="006155A3"/>
    <w:rsid w:val="00616D34"/>
    <w:rsid w:val="00617301"/>
    <w:rsid w:val="00617D85"/>
    <w:rsid w:val="00620227"/>
    <w:rsid w:val="00620DE7"/>
    <w:rsid w:val="00621F3E"/>
    <w:rsid w:val="00621F92"/>
    <w:rsid w:val="00623623"/>
    <w:rsid w:val="00624631"/>
    <w:rsid w:val="00627010"/>
    <w:rsid w:val="00630AE3"/>
    <w:rsid w:val="00631B95"/>
    <w:rsid w:val="00632DBD"/>
    <w:rsid w:val="006332F1"/>
    <w:rsid w:val="00634B10"/>
    <w:rsid w:val="006362F7"/>
    <w:rsid w:val="006371BF"/>
    <w:rsid w:val="006371C6"/>
    <w:rsid w:val="006421AE"/>
    <w:rsid w:val="006422B2"/>
    <w:rsid w:val="0064439B"/>
    <w:rsid w:val="00644990"/>
    <w:rsid w:val="00644E94"/>
    <w:rsid w:val="0064573D"/>
    <w:rsid w:val="00647B40"/>
    <w:rsid w:val="00651304"/>
    <w:rsid w:val="006513B3"/>
    <w:rsid w:val="00651F05"/>
    <w:rsid w:val="006549D9"/>
    <w:rsid w:val="00657CCA"/>
    <w:rsid w:val="006613D9"/>
    <w:rsid w:val="006615F2"/>
    <w:rsid w:val="00661E21"/>
    <w:rsid w:val="006623F8"/>
    <w:rsid w:val="00663267"/>
    <w:rsid w:val="00664A8F"/>
    <w:rsid w:val="00664B82"/>
    <w:rsid w:val="006671DE"/>
    <w:rsid w:val="00667AD5"/>
    <w:rsid w:val="00670737"/>
    <w:rsid w:val="00670785"/>
    <w:rsid w:val="006733D3"/>
    <w:rsid w:val="00673AF4"/>
    <w:rsid w:val="00675394"/>
    <w:rsid w:val="00676069"/>
    <w:rsid w:val="00677791"/>
    <w:rsid w:val="006804E5"/>
    <w:rsid w:val="0068169A"/>
    <w:rsid w:val="006828FF"/>
    <w:rsid w:val="00685672"/>
    <w:rsid w:val="00687E32"/>
    <w:rsid w:val="00687E3A"/>
    <w:rsid w:val="00692C53"/>
    <w:rsid w:val="006930B3"/>
    <w:rsid w:val="00693FE3"/>
    <w:rsid w:val="00694B53"/>
    <w:rsid w:val="00695217"/>
    <w:rsid w:val="006954CD"/>
    <w:rsid w:val="00695A87"/>
    <w:rsid w:val="00697008"/>
    <w:rsid w:val="00697934"/>
    <w:rsid w:val="006A02A8"/>
    <w:rsid w:val="006A0674"/>
    <w:rsid w:val="006A3BBA"/>
    <w:rsid w:val="006A4C31"/>
    <w:rsid w:val="006A62B6"/>
    <w:rsid w:val="006B082C"/>
    <w:rsid w:val="006B0EC0"/>
    <w:rsid w:val="006B2A4A"/>
    <w:rsid w:val="006B3043"/>
    <w:rsid w:val="006B40AC"/>
    <w:rsid w:val="006B45C5"/>
    <w:rsid w:val="006B53D1"/>
    <w:rsid w:val="006B6837"/>
    <w:rsid w:val="006C2508"/>
    <w:rsid w:val="006C3A23"/>
    <w:rsid w:val="006C53D5"/>
    <w:rsid w:val="006C5B42"/>
    <w:rsid w:val="006C5DE5"/>
    <w:rsid w:val="006D4799"/>
    <w:rsid w:val="006D4FDD"/>
    <w:rsid w:val="006D548B"/>
    <w:rsid w:val="006D574D"/>
    <w:rsid w:val="006D648A"/>
    <w:rsid w:val="006E1157"/>
    <w:rsid w:val="006E5E5C"/>
    <w:rsid w:val="006E742C"/>
    <w:rsid w:val="006F0A40"/>
    <w:rsid w:val="006F1879"/>
    <w:rsid w:val="006F52FC"/>
    <w:rsid w:val="006F5AF7"/>
    <w:rsid w:val="006F6047"/>
    <w:rsid w:val="0070023E"/>
    <w:rsid w:val="00700DB7"/>
    <w:rsid w:val="0070124D"/>
    <w:rsid w:val="00701255"/>
    <w:rsid w:val="00703DAC"/>
    <w:rsid w:val="007075E5"/>
    <w:rsid w:val="00710146"/>
    <w:rsid w:val="007102FC"/>
    <w:rsid w:val="00711538"/>
    <w:rsid w:val="00711880"/>
    <w:rsid w:val="0071195F"/>
    <w:rsid w:val="00711CA6"/>
    <w:rsid w:val="00711E02"/>
    <w:rsid w:val="007122E0"/>
    <w:rsid w:val="0071239E"/>
    <w:rsid w:val="00713740"/>
    <w:rsid w:val="007148B2"/>
    <w:rsid w:val="00714E71"/>
    <w:rsid w:val="007152BF"/>
    <w:rsid w:val="00715CC5"/>
    <w:rsid w:val="00716816"/>
    <w:rsid w:val="0072475A"/>
    <w:rsid w:val="00724EAF"/>
    <w:rsid w:val="00725404"/>
    <w:rsid w:val="00726694"/>
    <w:rsid w:val="007277C6"/>
    <w:rsid w:val="007306AA"/>
    <w:rsid w:val="007306BC"/>
    <w:rsid w:val="0073074A"/>
    <w:rsid w:val="00733784"/>
    <w:rsid w:val="00733E5F"/>
    <w:rsid w:val="007366D6"/>
    <w:rsid w:val="00737644"/>
    <w:rsid w:val="007403DB"/>
    <w:rsid w:val="007416B4"/>
    <w:rsid w:val="00741C24"/>
    <w:rsid w:val="00741CBE"/>
    <w:rsid w:val="0074235D"/>
    <w:rsid w:val="007423CB"/>
    <w:rsid w:val="00742806"/>
    <w:rsid w:val="00744CFE"/>
    <w:rsid w:val="00745D63"/>
    <w:rsid w:val="00746E9B"/>
    <w:rsid w:val="00750DB0"/>
    <w:rsid w:val="00751493"/>
    <w:rsid w:val="00751A87"/>
    <w:rsid w:val="00753538"/>
    <w:rsid w:val="00754423"/>
    <w:rsid w:val="00754FBF"/>
    <w:rsid w:val="00755B84"/>
    <w:rsid w:val="00756E7C"/>
    <w:rsid w:val="00757DD8"/>
    <w:rsid w:val="007601C6"/>
    <w:rsid w:val="00760DAF"/>
    <w:rsid w:val="00760F45"/>
    <w:rsid w:val="00761FC4"/>
    <w:rsid w:val="00763D2B"/>
    <w:rsid w:val="00765A01"/>
    <w:rsid w:val="0076661A"/>
    <w:rsid w:val="007669D8"/>
    <w:rsid w:val="00770486"/>
    <w:rsid w:val="007706B2"/>
    <w:rsid w:val="0077139D"/>
    <w:rsid w:val="00772E54"/>
    <w:rsid w:val="00773572"/>
    <w:rsid w:val="00773796"/>
    <w:rsid w:val="00773A85"/>
    <w:rsid w:val="00775682"/>
    <w:rsid w:val="0077612B"/>
    <w:rsid w:val="00776ECF"/>
    <w:rsid w:val="00777293"/>
    <w:rsid w:val="00780216"/>
    <w:rsid w:val="00780252"/>
    <w:rsid w:val="0078025D"/>
    <w:rsid w:val="0078120E"/>
    <w:rsid w:val="00781869"/>
    <w:rsid w:val="00782894"/>
    <w:rsid w:val="00787DF9"/>
    <w:rsid w:val="007904B6"/>
    <w:rsid w:val="00791657"/>
    <w:rsid w:val="00792212"/>
    <w:rsid w:val="00794AE2"/>
    <w:rsid w:val="00794C39"/>
    <w:rsid w:val="00795009"/>
    <w:rsid w:val="007957B1"/>
    <w:rsid w:val="00796E22"/>
    <w:rsid w:val="007A35CB"/>
    <w:rsid w:val="007A39E5"/>
    <w:rsid w:val="007A3F17"/>
    <w:rsid w:val="007A430E"/>
    <w:rsid w:val="007A47BB"/>
    <w:rsid w:val="007A54A5"/>
    <w:rsid w:val="007A5AE1"/>
    <w:rsid w:val="007A6E2F"/>
    <w:rsid w:val="007B1CC6"/>
    <w:rsid w:val="007B36DA"/>
    <w:rsid w:val="007B420C"/>
    <w:rsid w:val="007B6239"/>
    <w:rsid w:val="007B7D21"/>
    <w:rsid w:val="007C0452"/>
    <w:rsid w:val="007C13BD"/>
    <w:rsid w:val="007C4AC9"/>
    <w:rsid w:val="007C5349"/>
    <w:rsid w:val="007C56F8"/>
    <w:rsid w:val="007C7E98"/>
    <w:rsid w:val="007D0457"/>
    <w:rsid w:val="007D061B"/>
    <w:rsid w:val="007D1DEB"/>
    <w:rsid w:val="007D39E2"/>
    <w:rsid w:val="007D3A5C"/>
    <w:rsid w:val="007D4A96"/>
    <w:rsid w:val="007D7257"/>
    <w:rsid w:val="007E1524"/>
    <w:rsid w:val="007E3C96"/>
    <w:rsid w:val="007E3D1B"/>
    <w:rsid w:val="007E409E"/>
    <w:rsid w:val="007E4422"/>
    <w:rsid w:val="007E5EA7"/>
    <w:rsid w:val="007E5F36"/>
    <w:rsid w:val="007E63CF"/>
    <w:rsid w:val="007F2052"/>
    <w:rsid w:val="007F276C"/>
    <w:rsid w:val="007F3540"/>
    <w:rsid w:val="007F5A5F"/>
    <w:rsid w:val="00800150"/>
    <w:rsid w:val="00800972"/>
    <w:rsid w:val="00802867"/>
    <w:rsid w:val="0080392B"/>
    <w:rsid w:val="008053FA"/>
    <w:rsid w:val="00806C81"/>
    <w:rsid w:val="00810080"/>
    <w:rsid w:val="00810A16"/>
    <w:rsid w:val="00812379"/>
    <w:rsid w:val="00814942"/>
    <w:rsid w:val="008158F2"/>
    <w:rsid w:val="008162D1"/>
    <w:rsid w:val="00816E4C"/>
    <w:rsid w:val="00817555"/>
    <w:rsid w:val="00817A38"/>
    <w:rsid w:val="00817D85"/>
    <w:rsid w:val="00822EDC"/>
    <w:rsid w:val="00823E1F"/>
    <w:rsid w:val="0082667C"/>
    <w:rsid w:val="00826D5A"/>
    <w:rsid w:val="0083034A"/>
    <w:rsid w:val="008310CF"/>
    <w:rsid w:val="00835345"/>
    <w:rsid w:val="008360AD"/>
    <w:rsid w:val="00837D7D"/>
    <w:rsid w:val="0084199E"/>
    <w:rsid w:val="0084204C"/>
    <w:rsid w:val="00842483"/>
    <w:rsid w:val="008435AD"/>
    <w:rsid w:val="008462F3"/>
    <w:rsid w:val="00847534"/>
    <w:rsid w:val="00851A98"/>
    <w:rsid w:val="00851ED2"/>
    <w:rsid w:val="0085388E"/>
    <w:rsid w:val="008567E3"/>
    <w:rsid w:val="0086059B"/>
    <w:rsid w:val="00860E1C"/>
    <w:rsid w:val="008620F1"/>
    <w:rsid w:val="00862920"/>
    <w:rsid w:val="00863A28"/>
    <w:rsid w:val="00865650"/>
    <w:rsid w:val="00871943"/>
    <w:rsid w:val="008735EC"/>
    <w:rsid w:val="00873A63"/>
    <w:rsid w:val="00873E35"/>
    <w:rsid w:val="00873F56"/>
    <w:rsid w:val="00874EEC"/>
    <w:rsid w:val="008770ED"/>
    <w:rsid w:val="008800C1"/>
    <w:rsid w:val="00880936"/>
    <w:rsid w:val="00880C45"/>
    <w:rsid w:val="00881684"/>
    <w:rsid w:val="00884392"/>
    <w:rsid w:val="008879C5"/>
    <w:rsid w:val="00890196"/>
    <w:rsid w:val="00893887"/>
    <w:rsid w:val="00893C32"/>
    <w:rsid w:val="008965F9"/>
    <w:rsid w:val="008967AF"/>
    <w:rsid w:val="00897F89"/>
    <w:rsid w:val="008A0025"/>
    <w:rsid w:val="008A0CFA"/>
    <w:rsid w:val="008A0F13"/>
    <w:rsid w:val="008A2A69"/>
    <w:rsid w:val="008A3448"/>
    <w:rsid w:val="008A369C"/>
    <w:rsid w:val="008A3EA3"/>
    <w:rsid w:val="008A6D52"/>
    <w:rsid w:val="008B151E"/>
    <w:rsid w:val="008B1C62"/>
    <w:rsid w:val="008B2713"/>
    <w:rsid w:val="008B2AF3"/>
    <w:rsid w:val="008B46E5"/>
    <w:rsid w:val="008B4814"/>
    <w:rsid w:val="008B7429"/>
    <w:rsid w:val="008B7868"/>
    <w:rsid w:val="008C0DBE"/>
    <w:rsid w:val="008C168D"/>
    <w:rsid w:val="008C29F3"/>
    <w:rsid w:val="008C3C3D"/>
    <w:rsid w:val="008C4606"/>
    <w:rsid w:val="008C5C9B"/>
    <w:rsid w:val="008C6367"/>
    <w:rsid w:val="008C64B2"/>
    <w:rsid w:val="008D0387"/>
    <w:rsid w:val="008D4DF3"/>
    <w:rsid w:val="008D566D"/>
    <w:rsid w:val="008D6969"/>
    <w:rsid w:val="008D7532"/>
    <w:rsid w:val="008E0A03"/>
    <w:rsid w:val="008E4D34"/>
    <w:rsid w:val="008F026B"/>
    <w:rsid w:val="008F0C16"/>
    <w:rsid w:val="008F0E54"/>
    <w:rsid w:val="008F1B52"/>
    <w:rsid w:val="008F1C30"/>
    <w:rsid w:val="008F24EE"/>
    <w:rsid w:val="008F2652"/>
    <w:rsid w:val="008F2BA7"/>
    <w:rsid w:val="008F3A6D"/>
    <w:rsid w:val="008F3AC5"/>
    <w:rsid w:val="008F41C2"/>
    <w:rsid w:val="008F4493"/>
    <w:rsid w:val="008F46EE"/>
    <w:rsid w:val="008F4E01"/>
    <w:rsid w:val="00900BD2"/>
    <w:rsid w:val="0090111E"/>
    <w:rsid w:val="00901557"/>
    <w:rsid w:val="00901676"/>
    <w:rsid w:val="00901E6A"/>
    <w:rsid w:val="00902E76"/>
    <w:rsid w:val="00902FC0"/>
    <w:rsid w:val="00903324"/>
    <w:rsid w:val="00904A3A"/>
    <w:rsid w:val="00911651"/>
    <w:rsid w:val="00911C03"/>
    <w:rsid w:val="00911C2B"/>
    <w:rsid w:val="0091212B"/>
    <w:rsid w:val="009146FF"/>
    <w:rsid w:val="0091532F"/>
    <w:rsid w:val="00920EA3"/>
    <w:rsid w:val="009210E8"/>
    <w:rsid w:val="009214E2"/>
    <w:rsid w:val="009221F1"/>
    <w:rsid w:val="00922625"/>
    <w:rsid w:val="009228F7"/>
    <w:rsid w:val="00923373"/>
    <w:rsid w:val="00924665"/>
    <w:rsid w:val="009277DB"/>
    <w:rsid w:val="00927F4D"/>
    <w:rsid w:val="009323BF"/>
    <w:rsid w:val="00933F80"/>
    <w:rsid w:val="0093434A"/>
    <w:rsid w:val="00935E4F"/>
    <w:rsid w:val="00936C7B"/>
    <w:rsid w:val="00940813"/>
    <w:rsid w:val="00941336"/>
    <w:rsid w:val="00941766"/>
    <w:rsid w:val="00942223"/>
    <w:rsid w:val="00950E81"/>
    <w:rsid w:val="00951CA1"/>
    <w:rsid w:val="00954070"/>
    <w:rsid w:val="00954306"/>
    <w:rsid w:val="0095495B"/>
    <w:rsid w:val="00956DA2"/>
    <w:rsid w:val="00957978"/>
    <w:rsid w:val="0096002D"/>
    <w:rsid w:val="009606BC"/>
    <w:rsid w:val="0096193A"/>
    <w:rsid w:val="00961F77"/>
    <w:rsid w:val="00961F9A"/>
    <w:rsid w:val="0096256D"/>
    <w:rsid w:val="009627CE"/>
    <w:rsid w:val="00963767"/>
    <w:rsid w:val="00965004"/>
    <w:rsid w:val="009658D0"/>
    <w:rsid w:val="009667AF"/>
    <w:rsid w:val="00967439"/>
    <w:rsid w:val="009705EE"/>
    <w:rsid w:val="009730CE"/>
    <w:rsid w:val="0097339E"/>
    <w:rsid w:val="0097486A"/>
    <w:rsid w:val="00980220"/>
    <w:rsid w:val="00981205"/>
    <w:rsid w:val="009838A1"/>
    <w:rsid w:val="0098395F"/>
    <w:rsid w:val="009842D4"/>
    <w:rsid w:val="00984400"/>
    <w:rsid w:val="00986FEF"/>
    <w:rsid w:val="00992771"/>
    <w:rsid w:val="00994E01"/>
    <w:rsid w:val="00996286"/>
    <w:rsid w:val="009A00E9"/>
    <w:rsid w:val="009A02A6"/>
    <w:rsid w:val="009A037F"/>
    <w:rsid w:val="009A3921"/>
    <w:rsid w:val="009A4799"/>
    <w:rsid w:val="009A56ED"/>
    <w:rsid w:val="009A5798"/>
    <w:rsid w:val="009A5E58"/>
    <w:rsid w:val="009A62D1"/>
    <w:rsid w:val="009B1A69"/>
    <w:rsid w:val="009B2771"/>
    <w:rsid w:val="009B561A"/>
    <w:rsid w:val="009B6F76"/>
    <w:rsid w:val="009B7E23"/>
    <w:rsid w:val="009B7F6D"/>
    <w:rsid w:val="009C12A7"/>
    <w:rsid w:val="009C4F09"/>
    <w:rsid w:val="009C7498"/>
    <w:rsid w:val="009D24AC"/>
    <w:rsid w:val="009D299C"/>
    <w:rsid w:val="009D2E91"/>
    <w:rsid w:val="009D3549"/>
    <w:rsid w:val="009D368B"/>
    <w:rsid w:val="009D5736"/>
    <w:rsid w:val="009E29A6"/>
    <w:rsid w:val="009E3ECE"/>
    <w:rsid w:val="009E510B"/>
    <w:rsid w:val="009E7CF6"/>
    <w:rsid w:val="009E7FE0"/>
    <w:rsid w:val="009F0873"/>
    <w:rsid w:val="009F0CAE"/>
    <w:rsid w:val="009F2E2B"/>
    <w:rsid w:val="009F3060"/>
    <w:rsid w:val="009F4A20"/>
    <w:rsid w:val="009F5813"/>
    <w:rsid w:val="009F7CEB"/>
    <w:rsid w:val="00A00356"/>
    <w:rsid w:val="00A034E5"/>
    <w:rsid w:val="00A0511A"/>
    <w:rsid w:val="00A06A1B"/>
    <w:rsid w:val="00A0768B"/>
    <w:rsid w:val="00A10D3F"/>
    <w:rsid w:val="00A11441"/>
    <w:rsid w:val="00A147F6"/>
    <w:rsid w:val="00A15ACE"/>
    <w:rsid w:val="00A207AF"/>
    <w:rsid w:val="00A21194"/>
    <w:rsid w:val="00A220D4"/>
    <w:rsid w:val="00A24C22"/>
    <w:rsid w:val="00A25C52"/>
    <w:rsid w:val="00A26DB6"/>
    <w:rsid w:val="00A26DEE"/>
    <w:rsid w:val="00A2765D"/>
    <w:rsid w:val="00A27B4A"/>
    <w:rsid w:val="00A30E3E"/>
    <w:rsid w:val="00A323E4"/>
    <w:rsid w:val="00A324F9"/>
    <w:rsid w:val="00A3456D"/>
    <w:rsid w:val="00A37038"/>
    <w:rsid w:val="00A378E5"/>
    <w:rsid w:val="00A400E0"/>
    <w:rsid w:val="00A4379F"/>
    <w:rsid w:val="00A45ECE"/>
    <w:rsid w:val="00A467BD"/>
    <w:rsid w:val="00A50DEF"/>
    <w:rsid w:val="00A51BCE"/>
    <w:rsid w:val="00A51BD7"/>
    <w:rsid w:val="00A526CB"/>
    <w:rsid w:val="00A52DAE"/>
    <w:rsid w:val="00A52F52"/>
    <w:rsid w:val="00A53225"/>
    <w:rsid w:val="00A558CB"/>
    <w:rsid w:val="00A61163"/>
    <w:rsid w:val="00A62736"/>
    <w:rsid w:val="00A63124"/>
    <w:rsid w:val="00A63F23"/>
    <w:rsid w:val="00A64963"/>
    <w:rsid w:val="00A64CA8"/>
    <w:rsid w:val="00A64DC6"/>
    <w:rsid w:val="00A6558B"/>
    <w:rsid w:val="00A65B0C"/>
    <w:rsid w:val="00A6785F"/>
    <w:rsid w:val="00A70E6C"/>
    <w:rsid w:val="00A71B9B"/>
    <w:rsid w:val="00A7365C"/>
    <w:rsid w:val="00A73868"/>
    <w:rsid w:val="00A73F42"/>
    <w:rsid w:val="00A743C6"/>
    <w:rsid w:val="00A80795"/>
    <w:rsid w:val="00A8589E"/>
    <w:rsid w:val="00A8702B"/>
    <w:rsid w:val="00A94D6E"/>
    <w:rsid w:val="00A96D47"/>
    <w:rsid w:val="00AA0388"/>
    <w:rsid w:val="00AA0793"/>
    <w:rsid w:val="00AA3029"/>
    <w:rsid w:val="00AA37BD"/>
    <w:rsid w:val="00AA70ED"/>
    <w:rsid w:val="00AA77B1"/>
    <w:rsid w:val="00AB0A05"/>
    <w:rsid w:val="00AB0E06"/>
    <w:rsid w:val="00AB1528"/>
    <w:rsid w:val="00AB33F4"/>
    <w:rsid w:val="00AB5365"/>
    <w:rsid w:val="00AB5377"/>
    <w:rsid w:val="00AB67D4"/>
    <w:rsid w:val="00AB7C4A"/>
    <w:rsid w:val="00AB7EEB"/>
    <w:rsid w:val="00AC0B9E"/>
    <w:rsid w:val="00AC27FC"/>
    <w:rsid w:val="00AC5598"/>
    <w:rsid w:val="00AC5837"/>
    <w:rsid w:val="00AC76A3"/>
    <w:rsid w:val="00AD24EF"/>
    <w:rsid w:val="00AD3B2F"/>
    <w:rsid w:val="00AD7BBC"/>
    <w:rsid w:val="00AE0092"/>
    <w:rsid w:val="00AE5822"/>
    <w:rsid w:val="00AE616C"/>
    <w:rsid w:val="00AE7A18"/>
    <w:rsid w:val="00AF1B5E"/>
    <w:rsid w:val="00AF2259"/>
    <w:rsid w:val="00AF3280"/>
    <w:rsid w:val="00AF634C"/>
    <w:rsid w:val="00B00068"/>
    <w:rsid w:val="00B0456E"/>
    <w:rsid w:val="00B04B97"/>
    <w:rsid w:val="00B04EDB"/>
    <w:rsid w:val="00B05045"/>
    <w:rsid w:val="00B0514B"/>
    <w:rsid w:val="00B06A24"/>
    <w:rsid w:val="00B142B2"/>
    <w:rsid w:val="00B14389"/>
    <w:rsid w:val="00B144A3"/>
    <w:rsid w:val="00B14A51"/>
    <w:rsid w:val="00B16B0C"/>
    <w:rsid w:val="00B16D5A"/>
    <w:rsid w:val="00B209D5"/>
    <w:rsid w:val="00B21436"/>
    <w:rsid w:val="00B217A8"/>
    <w:rsid w:val="00B247CA"/>
    <w:rsid w:val="00B25052"/>
    <w:rsid w:val="00B251D5"/>
    <w:rsid w:val="00B30706"/>
    <w:rsid w:val="00B32D00"/>
    <w:rsid w:val="00B339C2"/>
    <w:rsid w:val="00B34923"/>
    <w:rsid w:val="00B36950"/>
    <w:rsid w:val="00B409DA"/>
    <w:rsid w:val="00B40CD2"/>
    <w:rsid w:val="00B41CC3"/>
    <w:rsid w:val="00B42CB1"/>
    <w:rsid w:val="00B4332C"/>
    <w:rsid w:val="00B4406B"/>
    <w:rsid w:val="00B45272"/>
    <w:rsid w:val="00B50F4C"/>
    <w:rsid w:val="00B521D8"/>
    <w:rsid w:val="00B552F3"/>
    <w:rsid w:val="00B56B44"/>
    <w:rsid w:val="00B5793E"/>
    <w:rsid w:val="00B60228"/>
    <w:rsid w:val="00B64080"/>
    <w:rsid w:val="00B6429B"/>
    <w:rsid w:val="00B64BAE"/>
    <w:rsid w:val="00B70044"/>
    <w:rsid w:val="00B717B2"/>
    <w:rsid w:val="00B73871"/>
    <w:rsid w:val="00B741DB"/>
    <w:rsid w:val="00B76382"/>
    <w:rsid w:val="00B83AFB"/>
    <w:rsid w:val="00B83F5F"/>
    <w:rsid w:val="00B866C5"/>
    <w:rsid w:val="00B87013"/>
    <w:rsid w:val="00B91B67"/>
    <w:rsid w:val="00B9314A"/>
    <w:rsid w:val="00B95839"/>
    <w:rsid w:val="00B96299"/>
    <w:rsid w:val="00B96E71"/>
    <w:rsid w:val="00B97262"/>
    <w:rsid w:val="00B974B1"/>
    <w:rsid w:val="00B975F7"/>
    <w:rsid w:val="00B97E8B"/>
    <w:rsid w:val="00BA0028"/>
    <w:rsid w:val="00BA0095"/>
    <w:rsid w:val="00BA0FA6"/>
    <w:rsid w:val="00BA110E"/>
    <w:rsid w:val="00BA1C2A"/>
    <w:rsid w:val="00BA73DE"/>
    <w:rsid w:val="00BB066D"/>
    <w:rsid w:val="00BB0DD6"/>
    <w:rsid w:val="00BB121C"/>
    <w:rsid w:val="00BB15D7"/>
    <w:rsid w:val="00BB17EE"/>
    <w:rsid w:val="00BB1A92"/>
    <w:rsid w:val="00BB361E"/>
    <w:rsid w:val="00BB4668"/>
    <w:rsid w:val="00BB4CB6"/>
    <w:rsid w:val="00BB5197"/>
    <w:rsid w:val="00BB5C27"/>
    <w:rsid w:val="00BB65E6"/>
    <w:rsid w:val="00BB7430"/>
    <w:rsid w:val="00BB79AE"/>
    <w:rsid w:val="00BC016F"/>
    <w:rsid w:val="00BC02E8"/>
    <w:rsid w:val="00BC124A"/>
    <w:rsid w:val="00BC1331"/>
    <w:rsid w:val="00BC33E7"/>
    <w:rsid w:val="00BC39CD"/>
    <w:rsid w:val="00BC5AD6"/>
    <w:rsid w:val="00BC77DA"/>
    <w:rsid w:val="00BC7EE6"/>
    <w:rsid w:val="00BD0116"/>
    <w:rsid w:val="00BD13FF"/>
    <w:rsid w:val="00BD54BC"/>
    <w:rsid w:val="00BD6202"/>
    <w:rsid w:val="00BD64E9"/>
    <w:rsid w:val="00BD67B1"/>
    <w:rsid w:val="00BD6F20"/>
    <w:rsid w:val="00BE1F69"/>
    <w:rsid w:val="00BE4D56"/>
    <w:rsid w:val="00BE5A16"/>
    <w:rsid w:val="00BE6922"/>
    <w:rsid w:val="00BE70DA"/>
    <w:rsid w:val="00BF2ACB"/>
    <w:rsid w:val="00BF4D00"/>
    <w:rsid w:val="00BF6472"/>
    <w:rsid w:val="00BF7C11"/>
    <w:rsid w:val="00C00951"/>
    <w:rsid w:val="00C00F1C"/>
    <w:rsid w:val="00C018AC"/>
    <w:rsid w:val="00C01CE2"/>
    <w:rsid w:val="00C052A9"/>
    <w:rsid w:val="00C06A02"/>
    <w:rsid w:val="00C078E8"/>
    <w:rsid w:val="00C07F10"/>
    <w:rsid w:val="00C11F0C"/>
    <w:rsid w:val="00C12D0B"/>
    <w:rsid w:val="00C13591"/>
    <w:rsid w:val="00C170E1"/>
    <w:rsid w:val="00C17A83"/>
    <w:rsid w:val="00C20B69"/>
    <w:rsid w:val="00C21BC2"/>
    <w:rsid w:val="00C2251F"/>
    <w:rsid w:val="00C23501"/>
    <w:rsid w:val="00C23789"/>
    <w:rsid w:val="00C24A14"/>
    <w:rsid w:val="00C30BFB"/>
    <w:rsid w:val="00C31604"/>
    <w:rsid w:val="00C3395D"/>
    <w:rsid w:val="00C34ECD"/>
    <w:rsid w:val="00C40ED5"/>
    <w:rsid w:val="00C41B92"/>
    <w:rsid w:val="00C42165"/>
    <w:rsid w:val="00C4241F"/>
    <w:rsid w:val="00C43CA0"/>
    <w:rsid w:val="00C47342"/>
    <w:rsid w:val="00C50A44"/>
    <w:rsid w:val="00C52BB4"/>
    <w:rsid w:val="00C52D83"/>
    <w:rsid w:val="00C53355"/>
    <w:rsid w:val="00C53C69"/>
    <w:rsid w:val="00C53C81"/>
    <w:rsid w:val="00C53EE6"/>
    <w:rsid w:val="00C54313"/>
    <w:rsid w:val="00C54A33"/>
    <w:rsid w:val="00C55060"/>
    <w:rsid w:val="00C57501"/>
    <w:rsid w:val="00C57607"/>
    <w:rsid w:val="00C57FA2"/>
    <w:rsid w:val="00C62B2C"/>
    <w:rsid w:val="00C62BDF"/>
    <w:rsid w:val="00C65BC5"/>
    <w:rsid w:val="00C661F4"/>
    <w:rsid w:val="00C66C39"/>
    <w:rsid w:val="00C70BC8"/>
    <w:rsid w:val="00C722A8"/>
    <w:rsid w:val="00C728C6"/>
    <w:rsid w:val="00C75430"/>
    <w:rsid w:val="00C7549A"/>
    <w:rsid w:val="00C76EED"/>
    <w:rsid w:val="00C77684"/>
    <w:rsid w:val="00C777FC"/>
    <w:rsid w:val="00C82DBD"/>
    <w:rsid w:val="00C84701"/>
    <w:rsid w:val="00C859EC"/>
    <w:rsid w:val="00C866D0"/>
    <w:rsid w:val="00C87516"/>
    <w:rsid w:val="00C91CDA"/>
    <w:rsid w:val="00C9265A"/>
    <w:rsid w:val="00C940C6"/>
    <w:rsid w:val="00C95440"/>
    <w:rsid w:val="00C969E0"/>
    <w:rsid w:val="00C97812"/>
    <w:rsid w:val="00CA3418"/>
    <w:rsid w:val="00CA55D2"/>
    <w:rsid w:val="00CA6674"/>
    <w:rsid w:val="00CA72B7"/>
    <w:rsid w:val="00CB0BF1"/>
    <w:rsid w:val="00CB2314"/>
    <w:rsid w:val="00CB3811"/>
    <w:rsid w:val="00CB4C21"/>
    <w:rsid w:val="00CC0071"/>
    <w:rsid w:val="00CC041A"/>
    <w:rsid w:val="00CC1E34"/>
    <w:rsid w:val="00CC4EAF"/>
    <w:rsid w:val="00CC6CB4"/>
    <w:rsid w:val="00CC7C2E"/>
    <w:rsid w:val="00CD0235"/>
    <w:rsid w:val="00CD239A"/>
    <w:rsid w:val="00CD3696"/>
    <w:rsid w:val="00CD3FA2"/>
    <w:rsid w:val="00CD43AF"/>
    <w:rsid w:val="00CD59F2"/>
    <w:rsid w:val="00CD7E47"/>
    <w:rsid w:val="00CE12D5"/>
    <w:rsid w:val="00CE1432"/>
    <w:rsid w:val="00CE2C4C"/>
    <w:rsid w:val="00CE4DF7"/>
    <w:rsid w:val="00CE54EC"/>
    <w:rsid w:val="00CE6AFE"/>
    <w:rsid w:val="00CE6D53"/>
    <w:rsid w:val="00CE7F38"/>
    <w:rsid w:val="00CF07B0"/>
    <w:rsid w:val="00CF1FB5"/>
    <w:rsid w:val="00CF26B6"/>
    <w:rsid w:val="00CF52EC"/>
    <w:rsid w:val="00CF5E1A"/>
    <w:rsid w:val="00CF69DF"/>
    <w:rsid w:val="00CF6F38"/>
    <w:rsid w:val="00CF7981"/>
    <w:rsid w:val="00D00D22"/>
    <w:rsid w:val="00D049C6"/>
    <w:rsid w:val="00D069C9"/>
    <w:rsid w:val="00D10CEB"/>
    <w:rsid w:val="00D11CCC"/>
    <w:rsid w:val="00D11E2D"/>
    <w:rsid w:val="00D163C7"/>
    <w:rsid w:val="00D16C4B"/>
    <w:rsid w:val="00D179E8"/>
    <w:rsid w:val="00D210DA"/>
    <w:rsid w:val="00D249DC"/>
    <w:rsid w:val="00D2756B"/>
    <w:rsid w:val="00D30A57"/>
    <w:rsid w:val="00D31837"/>
    <w:rsid w:val="00D33968"/>
    <w:rsid w:val="00D346D7"/>
    <w:rsid w:val="00D433A7"/>
    <w:rsid w:val="00D44450"/>
    <w:rsid w:val="00D5033E"/>
    <w:rsid w:val="00D5086A"/>
    <w:rsid w:val="00D51DED"/>
    <w:rsid w:val="00D5277D"/>
    <w:rsid w:val="00D53A8F"/>
    <w:rsid w:val="00D56AAD"/>
    <w:rsid w:val="00D60586"/>
    <w:rsid w:val="00D62242"/>
    <w:rsid w:val="00D64E8B"/>
    <w:rsid w:val="00D67159"/>
    <w:rsid w:val="00D67E46"/>
    <w:rsid w:val="00D70419"/>
    <w:rsid w:val="00D705F9"/>
    <w:rsid w:val="00D70D05"/>
    <w:rsid w:val="00D7283E"/>
    <w:rsid w:val="00D729A8"/>
    <w:rsid w:val="00D72EB2"/>
    <w:rsid w:val="00D75057"/>
    <w:rsid w:val="00D7551A"/>
    <w:rsid w:val="00D8059B"/>
    <w:rsid w:val="00D8138F"/>
    <w:rsid w:val="00D84355"/>
    <w:rsid w:val="00D862E7"/>
    <w:rsid w:val="00D873FC"/>
    <w:rsid w:val="00D87AA3"/>
    <w:rsid w:val="00D909ED"/>
    <w:rsid w:val="00D92074"/>
    <w:rsid w:val="00D93A30"/>
    <w:rsid w:val="00D93A71"/>
    <w:rsid w:val="00D94A80"/>
    <w:rsid w:val="00D964D4"/>
    <w:rsid w:val="00D965A8"/>
    <w:rsid w:val="00D967B7"/>
    <w:rsid w:val="00DA371D"/>
    <w:rsid w:val="00DA38A4"/>
    <w:rsid w:val="00DA4061"/>
    <w:rsid w:val="00DA6643"/>
    <w:rsid w:val="00DA76C2"/>
    <w:rsid w:val="00DB012C"/>
    <w:rsid w:val="00DB0BFB"/>
    <w:rsid w:val="00DB246A"/>
    <w:rsid w:val="00DB4688"/>
    <w:rsid w:val="00DB576B"/>
    <w:rsid w:val="00DB5835"/>
    <w:rsid w:val="00DB6618"/>
    <w:rsid w:val="00DB7A08"/>
    <w:rsid w:val="00DC1C44"/>
    <w:rsid w:val="00DC285E"/>
    <w:rsid w:val="00DC2932"/>
    <w:rsid w:val="00DD17AA"/>
    <w:rsid w:val="00DD221A"/>
    <w:rsid w:val="00DD5C43"/>
    <w:rsid w:val="00DE02EA"/>
    <w:rsid w:val="00DE1BF0"/>
    <w:rsid w:val="00DE38A8"/>
    <w:rsid w:val="00DE403C"/>
    <w:rsid w:val="00DE6CFA"/>
    <w:rsid w:val="00DE7123"/>
    <w:rsid w:val="00DE73D1"/>
    <w:rsid w:val="00DF0CCF"/>
    <w:rsid w:val="00DF317C"/>
    <w:rsid w:val="00DF3831"/>
    <w:rsid w:val="00E006D9"/>
    <w:rsid w:val="00E009D9"/>
    <w:rsid w:val="00E02E5E"/>
    <w:rsid w:val="00E06810"/>
    <w:rsid w:val="00E07B91"/>
    <w:rsid w:val="00E12334"/>
    <w:rsid w:val="00E128B9"/>
    <w:rsid w:val="00E12E28"/>
    <w:rsid w:val="00E13C3B"/>
    <w:rsid w:val="00E14D9D"/>
    <w:rsid w:val="00E15C6F"/>
    <w:rsid w:val="00E202F3"/>
    <w:rsid w:val="00E23440"/>
    <w:rsid w:val="00E250CD"/>
    <w:rsid w:val="00E30AD2"/>
    <w:rsid w:val="00E32E39"/>
    <w:rsid w:val="00E337AE"/>
    <w:rsid w:val="00E3418F"/>
    <w:rsid w:val="00E3460D"/>
    <w:rsid w:val="00E35C4F"/>
    <w:rsid w:val="00E36222"/>
    <w:rsid w:val="00E36952"/>
    <w:rsid w:val="00E36CB9"/>
    <w:rsid w:val="00E420BC"/>
    <w:rsid w:val="00E4328A"/>
    <w:rsid w:val="00E43FDF"/>
    <w:rsid w:val="00E45687"/>
    <w:rsid w:val="00E4583E"/>
    <w:rsid w:val="00E45B2E"/>
    <w:rsid w:val="00E46097"/>
    <w:rsid w:val="00E47EAF"/>
    <w:rsid w:val="00E50CB4"/>
    <w:rsid w:val="00E52B9D"/>
    <w:rsid w:val="00E53C25"/>
    <w:rsid w:val="00E560A4"/>
    <w:rsid w:val="00E560B5"/>
    <w:rsid w:val="00E56667"/>
    <w:rsid w:val="00E56C22"/>
    <w:rsid w:val="00E57611"/>
    <w:rsid w:val="00E63C2D"/>
    <w:rsid w:val="00E6448F"/>
    <w:rsid w:val="00E64BA9"/>
    <w:rsid w:val="00E66097"/>
    <w:rsid w:val="00E70863"/>
    <w:rsid w:val="00E716B5"/>
    <w:rsid w:val="00E7198F"/>
    <w:rsid w:val="00E719A8"/>
    <w:rsid w:val="00E734AF"/>
    <w:rsid w:val="00E7453C"/>
    <w:rsid w:val="00E74D96"/>
    <w:rsid w:val="00E76576"/>
    <w:rsid w:val="00E76FF4"/>
    <w:rsid w:val="00E8001F"/>
    <w:rsid w:val="00E800E8"/>
    <w:rsid w:val="00E823ED"/>
    <w:rsid w:val="00E82D51"/>
    <w:rsid w:val="00E8601B"/>
    <w:rsid w:val="00E87355"/>
    <w:rsid w:val="00E8783B"/>
    <w:rsid w:val="00E9114A"/>
    <w:rsid w:val="00E911C1"/>
    <w:rsid w:val="00E91C9B"/>
    <w:rsid w:val="00E91CFA"/>
    <w:rsid w:val="00E91F8D"/>
    <w:rsid w:val="00E93753"/>
    <w:rsid w:val="00E9497E"/>
    <w:rsid w:val="00E958D7"/>
    <w:rsid w:val="00E97497"/>
    <w:rsid w:val="00EA44B2"/>
    <w:rsid w:val="00EA45E1"/>
    <w:rsid w:val="00EA4C94"/>
    <w:rsid w:val="00EA519D"/>
    <w:rsid w:val="00EA58FA"/>
    <w:rsid w:val="00EA65C6"/>
    <w:rsid w:val="00EA69A6"/>
    <w:rsid w:val="00EA7475"/>
    <w:rsid w:val="00EB39C8"/>
    <w:rsid w:val="00EB55D6"/>
    <w:rsid w:val="00EB57EA"/>
    <w:rsid w:val="00EB65A3"/>
    <w:rsid w:val="00EC0424"/>
    <w:rsid w:val="00EC0B17"/>
    <w:rsid w:val="00EC38ED"/>
    <w:rsid w:val="00EC3E24"/>
    <w:rsid w:val="00EC40F6"/>
    <w:rsid w:val="00EC566D"/>
    <w:rsid w:val="00ED4F66"/>
    <w:rsid w:val="00ED5B39"/>
    <w:rsid w:val="00ED72BB"/>
    <w:rsid w:val="00EE215D"/>
    <w:rsid w:val="00EE25EE"/>
    <w:rsid w:val="00EE3118"/>
    <w:rsid w:val="00EE50B9"/>
    <w:rsid w:val="00EE704F"/>
    <w:rsid w:val="00EF103D"/>
    <w:rsid w:val="00EF3DBD"/>
    <w:rsid w:val="00EF48BD"/>
    <w:rsid w:val="00EF55F9"/>
    <w:rsid w:val="00EF6B7E"/>
    <w:rsid w:val="00EF717C"/>
    <w:rsid w:val="00EF76AC"/>
    <w:rsid w:val="00EF7FBA"/>
    <w:rsid w:val="00F01167"/>
    <w:rsid w:val="00F02EEB"/>
    <w:rsid w:val="00F0772F"/>
    <w:rsid w:val="00F111EE"/>
    <w:rsid w:val="00F1355E"/>
    <w:rsid w:val="00F1441F"/>
    <w:rsid w:val="00F16FD3"/>
    <w:rsid w:val="00F21FEF"/>
    <w:rsid w:val="00F2260D"/>
    <w:rsid w:val="00F2309D"/>
    <w:rsid w:val="00F24877"/>
    <w:rsid w:val="00F260CE"/>
    <w:rsid w:val="00F26341"/>
    <w:rsid w:val="00F2795A"/>
    <w:rsid w:val="00F27D5E"/>
    <w:rsid w:val="00F315ED"/>
    <w:rsid w:val="00F32348"/>
    <w:rsid w:val="00F34E55"/>
    <w:rsid w:val="00F34FD4"/>
    <w:rsid w:val="00F36692"/>
    <w:rsid w:val="00F37B4D"/>
    <w:rsid w:val="00F4004D"/>
    <w:rsid w:val="00F41540"/>
    <w:rsid w:val="00F41AA9"/>
    <w:rsid w:val="00F43CFC"/>
    <w:rsid w:val="00F44240"/>
    <w:rsid w:val="00F44535"/>
    <w:rsid w:val="00F449DD"/>
    <w:rsid w:val="00F476AA"/>
    <w:rsid w:val="00F50F2C"/>
    <w:rsid w:val="00F52B69"/>
    <w:rsid w:val="00F52F4E"/>
    <w:rsid w:val="00F532EA"/>
    <w:rsid w:val="00F53A99"/>
    <w:rsid w:val="00F54D27"/>
    <w:rsid w:val="00F55B42"/>
    <w:rsid w:val="00F57B57"/>
    <w:rsid w:val="00F6085F"/>
    <w:rsid w:val="00F60C5D"/>
    <w:rsid w:val="00F64448"/>
    <w:rsid w:val="00F67C50"/>
    <w:rsid w:val="00F713AF"/>
    <w:rsid w:val="00F71BFD"/>
    <w:rsid w:val="00F72B7E"/>
    <w:rsid w:val="00F73069"/>
    <w:rsid w:val="00F74A37"/>
    <w:rsid w:val="00F758C9"/>
    <w:rsid w:val="00F75EE2"/>
    <w:rsid w:val="00F77898"/>
    <w:rsid w:val="00F825E8"/>
    <w:rsid w:val="00F836EF"/>
    <w:rsid w:val="00F84433"/>
    <w:rsid w:val="00F8566B"/>
    <w:rsid w:val="00F85EFA"/>
    <w:rsid w:val="00F875F6"/>
    <w:rsid w:val="00F87ACB"/>
    <w:rsid w:val="00F87CD9"/>
    <w:rsid w:val="00F91B32"/>
    <w:rsid w:val="00F92C8D"/>
    <w:rsid w:val="00F949FF"/>
    <w:rsid w:val="00F97733"/>
    <w:rsid w:val="00FA03FF"/>
    <w:rsid w:val="00FA20D0"/>
    <w:rsid w:val="00FA22D0"/>
    <w:rsid w:val="00FA4041"/>
    <w:rsid w:val="00FA5BD0"/>
    <w:rsid w:val="00FB1253"/>
    <w:rsid w:val="00FB17C2"/>
    <w:rsid w:val="00FB1827"/>
    <w:rsid w:val="00FB25AE"/>
    <w:rsid w:val="00FB2AB1"/>
    <w:rsid w:val="00FB3B87"/>
    <w:rsid w:val="00FB3DE4"/>
    <w:rsid w:val="00FB3E83"/>
    <w:rsid w:val="00FB5480"/>
    <w:rsid w:val="00FB660A"/>
    <w:rsid w:val="00FB70CF"/>
    <w:rsid w:val="00FC67B2"/>
    <w:rsid w:val="00FC74CA"/>
    <w:rsid w:val="00FC7C84"/>
    <w:rsid w:val="00FC7FA9"/>
    <w:rsid w:val="00FD0312"/>
    <w:rsid w:val="00FD0B2C"/>
    <w:rsid w:val="00FD10C7"/>
    <w:rsid w:val="00FD3474"/>
    <w:rsid w:val="00FD70AA"/>
    <w:rsid w:val="00FD7CE1"/>
    <w:rsid w:val="00FE09DF"/>
    <w:rsid w:val="00FE2726"/>
    <w:rsid w:val="00FE2A0F"/>
    <w:rsid w:val="00FE2B16"/>
    <w:rsid w:val="00FE3D08"/>
    <w:rsid w:val="00FE42E8"/>
    <w:rsid w:val="00FE56B3"/>
    <w:rsid w:val="00FE5C9F"/>
    <w:rsid w:val="00FE7AE7"/>
    <w:rsid w:val="00FF016C"/>
    <w:rsid w:val="00FF0BD7"/>
    <w:rsid w:val="00FF190B"/>
    <w:rsid w:val="00FF3A06"/>
    <w:rsid w:val="00FF41E8"/>
    <w:rsid w:val="00FF433D"/>
    <w:rsid w:val="00FF458B"/>
    <w:rsid w:val="00FF54F4"/>
    <w:rsid w:val="00FF55A8"/>
    <w:rsid w:val="00FF5B79"/>
    <w:rsid w:val="00FF71A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968F2C"/>
    <w:rsid w:val="62E134EF"/>
    <w:rsid w:val="630B791F"/>
    <w:rsid w:val="63B8BC11"/>
    <w:rsid w:val="649C01D1"/>
    <w:rsid w:val="65110EE5"/>
    <w:rsid w:val="66A52AE5"/>
    <w:rsid w:val="66A777D9"/>
    <w:rsid w:val="6CCC3C0F"/>
    <w:rsid w:val="6D0842B9"/>
    <w:rsid w:val="7072E73D"/>
    <w:rsid w:val="724280AB"/>
    <w:rsid w:val="7326DEC9"/>
    <w:rsid w:val="74EE1BCA"/>
    <w:rsid w:val="75A29BA1"/>
    <w:rsid w:val="75BB47D7"/>
    <w:rsid w:val="7C1B8AD6"/>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B6D33EC8-79A5-4A60-ADF0-CD65CB76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Heading1">
    <w:name w:val="heading 1"/>
    <w:basedOn w:val="Normal"/>
    <w:next w:val="Normal"/>
    <w:link w:val="Heading1Ch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Heading3">
    <w:name w:val="heading 3"/>
    <w:basedOn w:val="Heading1"/>
    <w:next w:val="Normal"/>
    <w:link w:val="Heading3Char"/>
    <w:uiPriority w:val="9"/>
    <w:unhideWhenUsed/>
    <w:qFormat/>
    <w:rsid w:val="00E87355"/>
    <w:pPr>
      <w:numPr>
        <w:numId w:val="0"/>
      </w:numPr>
      <w:spacing w:before="240" w:after="240"/>
      <w:outlineLvl w:val="2"/>
    </w:pPr>
    <w:rPr>
      <w:b w:val="0"/>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91"/>
    <w:pPr>
      <w:tabs>
        <w:tab w:val="center" w:pos="4252"/>
        <w:tab w:val="right" w:pos="8504"/>
      </w:tabs>
    </w:pPr>
  </w:style>
  <w:style w:type="character" w:customStyle="1" w:styleId="HeaderChar">
    <w:name w:val="Header Char"/>
    <w:link w:val="Header"/>
    <w:uiPriority w:val="99"/>
    <w:rsid w:val="00117091"/>
    <w:rPr>
      <w:sz w:val="18"/>
      <w:szCs w:val="24"/>
      <w:lang w:eastAsia="en-US"/>
    </w:rPr>
  </w:style>
  <w:style w:type="paragraph" w:styleId="Footer">
    <w:name w:val="footer"/>
    <w:basedOn w:val="Normal"/>
    <w:link w:val="FooterChar"/>
    <w:uiPriority w:val="99"/>
    <w:unhideWhenUsed/>
    <w:rsid w:val="00117091"/>
    <w:pPr>
      <w:tabs>
        <w:tab w:val="center" w:pos="4252"/>
        <w:tab w:val="right" w:pos="8504"/>
      </w:tabs>
    </w:pPr>
  </w:style>
  <w:style w:type="character" w:customStyle="1" w:styleId="FooterChar">
    <w:name w:val="Footer Char"/>
    <w:link w:val="Footer"/>
    <w:uiPriority w:val="99"/>
    <w:rsid w:val="00117091"/>
    <w:rPr>
      <w:sz w:val="18"/>
      <w:szCs w:val="24"/>
      <w:lang w:eastAsia="en-US"/>
    </w:rPr>
  </w:style>
  <w:style w:type="character" w:styleId="Hyperlink">
    <w:name w:val="Hyperlink"/>
    <w:uiPriority w:val="99"/>
    <w:unhideWhenUsed/>
    <w:rsid w:val="00117091"/>
    <w:rPr>
      <w:color w:val="0563C1"/>
      <w:u w:val="single"/>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iPriority w:val="99"/>
    <w:unhideWhenUsed/>
    <w:qFormat/>
    <w:rsid w:val="008C29F3"/>
    <w:rPr>
      <w:bCs/>
      <w:iCs/>
      <w:sz w:val="18"/>
      <w:szCs w:val="18"/>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link w:val="FootnoteText"/>
    <w:uiPriority w:val="99"/>
    <w:qFormat/>
    <w:rsid w:val="008C29F3"/>
    <w:rPr>
      <w:bCs/>
      <w:iCs/>
      <w:sz w:val="18"/>
      <w:szCs w:val="18"/>
      <w:lang w:val="es-CO"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0C5DB7"/>
    <w:rPr>
      <w:rFonts w:ascii="Palatino Linotype" w:hAnsi="Palatino Linotype"/>
      <w:sz w:val="20"/>
      <w:szCs w:val="20"/>
      <w:vertAlign w:val="superscript"/>
    </w:rPr>
  </w:style>
  <w:style w:type="character" w:customStyle="1" w:styleId="Heading1Char">
    <w:name w:val="Heading 1 Char"/>
    <w:link w:val="Heading1"/>
    <w:uiPriority w:val="9"/>
    <w:rsid w:val="00FF190B"/>
    <w:rPr>
      <w:rFonts w:eastAsia="Times New Roman" w:cs="Times New Roman"/>
      <w:b/>
      <w:bCs/>
      <w:caps/>
      <w:kern w:val="32"/>
      <w:sz w:val="24"/>
      <w:szCs w:val="32"/>
    </w:rPr>
  </w:style>
  <w:style w:type="character" w:customStyle="1" w:styleId="Heading2Char">
    <w:name w:val="Heading 2 Char"/>
    <w:link w:val="Heading2"/>
    <w:uiPriority w:val="9"/>
    <w:rsid w:val="007D4A96"/>
    <w:rPr>
      <w:rFonts w:eastAsia="Times New Roman" w:cs="Times New Roman"/>
      <w:b/>
      <w:bCs/>
      <w:iCs/>
      <w:sz w:val="24"/>
      <w:szCs w:val="28"/>
      <w:lang w:val="es-CO" w:eastAsia="es-ES_tradnl"/>
    </w:rPr>
  </w:style>
  <w:style w:type="paragraph" w:styleId="NoSpacing">
    <w:name w:val="No Spacing"/>
    <w:aliases w:val="Encabezado1"/>
    <w:link w:val="NoSpacingChar"/>
    <w:autoRedefine/>
    <w:uiPriority w:val="1"/>
    <w:qFormat/>
    <w:rsid w:val="000728E0"/>
    <w:pPr>
      <w:jc w:val="center"/>
    </w:pPr>
    <w:rPr>
      <w:b/>
      <w:caps/>
      <w:color w:val="000000"/>
      <w:sz w:val="24"/>
      <w:szCs w:val="16"/>
      <w:lang w:val="es-CO" w:eastAsia="es-ES_tradnl"/>
    </w:rPr>
  </w:style>
  <w:style w:type="character" w:customStyle="1" w:styleId="NoSpacingChar">
    <w:name w:val="No Spacing Char"/>
    <w:aliases w:val="Encabezado1 Char"/>
    <w:link w:val="NoSpacing"/>
    <w:uiPriority w:val="1"/>
    <w:rsid w:val="000728E0"/>
    <w:rPr>
      <w:b/>
      <w:caps/>
      <w:color w:val="000000"/>
      <w:sz w:val="24"/>
      <w:szCs w:val="16"/>
    </w:rPr>
  </w:style>
  <w:style w:type="paragraph" w:styleId="Quote">
    <w:name w:val="Quote"/>
    <w:basedOn w:val="Normal"/>
    <w:next w:val="Normal"/>
    <w:link w:val="QuoteChar"/>
    <w:autoRedefine/>
    <w:uiPriority w:val="29"/>
    <w:qFormat/>
    <w:rsid w:val="00083B8F"/>
    <w:pPr>
      <w:ind w:left="862" w:right="862"/>
      <w:jc w:val="left"/>
    </w:pPr>
    <w:rPr>
      <w:i/>
      <w:iCs/>
      <w:color w:val="404040"/>
    </w:rPr>
  </w:style>
  <w:style w:type="character" w:customStyle="1" w:styleId="QuoteChar">
    <w:name w:val="Quote Char"/>
    <w:link w:val="Quote"/>
    <w:uiPriority w:val="29"/>
    <w:rsid w:val="00083B8F"/>
    <w:rPr>
      <w:i/>
      <w:iCs/>
      <w:color w:val="404040"/>
      <w:sz w:val="16"/>
      <w:szCs w:val="16"/>
    </w:rPr>
  </w:style>
  <w:style w:type="character" w:customStyle="1" w:styleId="Heading3Char">
    <w:name w:val="Heading 3 Char"/>
    <w:link w:val="Heading3"/>
    <w:uiPriority w:val="9"/>
    <w:rsid w:val="00E87355"/>
    <w:rPr>
      <w:rFonts w:eastAsia="Times New Roman" w:cs="Times New Roman"/>
      <w:caps/>
      <w:kern w:val="32"/>
      <w:sz w:val="24"/>
      <w:szCs w:val="26"/>
    </w:rPr>
  </w:style>
  <w:style w:type="paragraph" w:customStyle="1" w:styleId="RESUELVE">
    <w:name w:val="RESUELVE"/>
    <w:basedOn w:val="Heading3"/>
    <w:autoRedefine/>
    <w:qFormat/>
    <w:rsid w:val="00E87355"/>
    <w:pPr>
      <w:spacing w:before="360" w:after="360"/>
    </w:pPr>
    <w:rPr>
      <w:rFonts w:eastAsia="Verdana"/>
      <w:b/>
      <w:lang w:val="es-ES_tradnl"/>
    </w:rPr>
  </w:style>
  <w:style w:type="character" w:styleId="CommentReference">
    <w:name w:val="annotation reference"/>
    <w:uiPriority w:val="99"/>
    <w:semiHidden/>
    <w:unhideWhenUsed/>
    <w:rsid w:val="006146CC"/>
    <w:rPr>
      <w:sz w:val="16"/>
      <w:szCs w:val="16"/>
    </w:rPr>
  </w:style>
  <w:style w:type="paragraph" w:styleId="CommentText">
    <w:name w:val="annotation text"/>
    <w:basedOn w:val="Normal"/>
    <w:link w:val="CommentTextCh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CommentTextChar">
    <w:name w:val="Comment Text Char"/>
    <w:link w:val="CommentText"/>
    <w:uiPriority w:val="99"/>
    <w:semiHidden/>
    <w:rsid w:val="006146CC"/>
    <w:rPr>
      <w:rFonts w:ascii="Calibri" w:hAnsi="Calibri" w:cs="Times New Roman"/>
      <w:lang w:val="es-ES" w:eastAsia="en-US"/>
    </w:rPr>
  </w:style>
  <w:style w:type="paragraph" w:styleId="BalloonText">
    <w:name w:val="Balloon Text"/>
    <w:basedOn w:val="Normal"/>
    <w:link w:val="BalloonTextChar"/>
    <w:uiPriority w:val="99"/>
    <w:semiHidden/>
    <w:unhideWhenUsed/>
    <w:rsid w:val="006146CC"/>
    <w:rPr>
      <w:rFonts w:ascii="Segoe UI" w:hAnsi="Segoe UI" w:cs="Segoe UI"/>
      <w:sz w:val="18"/>
      <w:szCs w:val="18"/>
    </w:rPr>
  </w:style>
  <w:style w:type="character" w:customStyle="1" w:styleId="BalloonTextChar">
    <w:name w:val="Balloon Text Char"/>
    <w:link w:val="BalloonText"/>
    <w:uiPriority w:val="99"/>
    <w:semiHidden/>
    <w:rsid w:val="006146CC"/>
    <w:rPr>
      <w:rFonts w:ascii="Segoe UI" w:hAnsi="Segoe UI" w:cs="Segoe UI"/>
      <w:sz w:val="18"/>
      <w:szCs w:val="18"/>
      <w:lang w:eastAsia="es-ES_tradnl"/>
    </w:rPr>
  </w:style>
  <w:style w:type="paragraph" w:styleId="ListParagraph">
    <w:name w:val="List Paragraph"/>
    <w:basedOn w:val="Normal"/>
    <w:link w:val="ListParagraphCh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ListParagraphChar">
    <w:name w:val="List Paragraph Char"/>
    <w:link w:val="ListParagraph"/>
    <w:uiPriority w:val="34"/>
    <w:qFormat/>
    <w:locked/>
    <w:rsid w:val="007706B2"/>
    <w:rPr>
      <w:rFonts w:ascii="Times New Roman" w:eastAsiaTheme="minorHAnsi" w:hAnsi="Times New Roman" w:cs="Times New Roman"/>
      <w:sz w:val="24"/>
      <w:szCs w:val="24"/>
      <w:lang w:val="es-ES_tradnl" w:eastAsia="es-ES_tradnl"/>
    </w:rPr>
  </w:style>
  <w:style w:type="paragraph" w:styleId="BodyText">
    <w:name w:val="Body Text"/>
    <w:basedOn w:val="Normal"/>
    <w:link w:val="BodyTextChar"/>
    <w:uiPriority w:val="99"/>
    <w:semiHidden/>
    <w:unhideWhenUsed/>
    <w:rsid w:val="008D6969"/>
    <w:pPr>
      <w:spacing w:after="120"/>
    </w:pPr>
  </w:style>
  <w:style w:type="character" w:customStyle="1" w:styleId="BodyTextChar">
    <w:name w:val="Body Text Char"/>
    <w:basedOn w:val="DefaultParagraphFont"/>
    <w:link w:val="BodyText"/>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CommentSubject">
    <w:name w:val="annotation subject"/>
    <w:basedOn w:val="CommentText"/>
    <w:next w:val="CommentText"/>
    <w:link w:val="CommentSubjectChar"/>
    <w:uiPriority w:val="99"/>
    <w:semiHidden/>
    <w:unhideWhenUsed/>
    <w:rsid w:val="00277551"/>
    <w:pPr>
      <w:spacing w:after="0" w:line="240" w:lineRule="auto"/>
      <w:jc w:val="both"/>
    </w:pPr>
    <w:rPr>
      <w:rFonts w:ascii="Arial" w:hAnsi="Arial" w:cs="Arial"/>
      <w:b/>
      <w:bCs/>
      <w:lang w:val="es-CO" w:eastAsia="es-ES_tradnl"/>
    </w:rPr>
  </w:style>
  <w:style w:type="character" w:customStyle="1" w:styleId="CommentSubjectChar">
    <w:name w:val="Comment Subject Char"/>
    <w:basedOn w:val="CommentTextChar"/>
    <w:link w:val="CommentSubject"/>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Normal1">
    <w:name w:val="Normal1"/>
    <w:rsid w:val="00CE12D5"/>
    <w:pPr>
      <w:widowControl w:val="0"/>
    </w:pPr>
    <w:rPr>
      <w:rFonts w:ascii="Times New Roman" w:eastAsia="Times New Roman" w:hAnsi="Times New Roman" w:cs="Times New Roman"/>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9F463-B1A1-4519-8E13-BCC34878E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691FE-8545-4358-8838-0CF26A867840}">
  <ds:schemaRefs>
    <ds:schemaRef ds:uri="http://schemas.openxmlformats.org/officeDocument/2006/bibliography"/>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5389</Words>
  <Characters>29644</Characters>
  <Application>Microsoft Office Word</Application>
  <DocSecurity>0</DocSecurity>
  <Lines>247</Lines>
  <Paragraphs>69</Paragraphs>
  <ScaleCrop>false</ScaleCrop>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CarLogreira</cp:lastModifiedBy>
  <cp:revision>2</cp:revision>
  <cp:lastPrinted>2020-10-28T23:04:00Z</cp:lastPrinted>
  <dcterms:created xsi:type="dcterms:W3CDTF">2021-04-08T23:33:00Z</dcterms:created>
  <dcterms:modified xsi:type="dcterms:W3CDTF">2021-04-08T23:33:00Z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