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54823" w14:textId="77777777" w:rsidR="003660DF" w:rsidRPr="001131C4" w:rsidRDefault="003660DF" w:rsidP="003660DF">
      <w:pPr>
        <w:jc w:val="center"/>
        <w:rPr>
          <w:rFonts w:cs="Arial"/>
          <w:b/>
          <w:sz w:val="24"/>
          <w:szCs w:val="24"/>
        </w:rPr>
      </w:pPr>
      <w:r w:rsidRPr="001131C4">
        <w:rPr>
          <w:rFonts w:cs="Arial"/>
          <w:b/>
          <w:sz w:val="24"/>
          <w:szCs w:val="24"/>
        </w:rPr>
        <w:t>Consejero Ponente: NICOLÁS YEPES CORRALES</w:t>
      </w:r>
    </w:p>
    <w:p w14:paraId="502D5A54" w14:textId="77777777" w:rsidR="003660DF" w:rsidRPr="001131C4" w:rsidRDefault="003660DF" w:rsidP="003660DF">
      <w:pPr>
        <w:spacing w:line="360" w:lineRule="auto"/>
        <w:rPr>
          <w:rFonts w:cs="Arial"/>
          <w:b/>
          <w:sz w:val="24"/>
          <w:szCs w:val="24"/>
        </w:rPr>
      </w:pPr>
    </w:p>
    <w:p w14:paraId="279499B4" w14:textId="4734A0FB" w:rsidR="00CE06BA" w:rsidRPr="001131C4" w:rsidRDefault="00CE06BA" w:rsidP="00CE06BA">
      <w:pPr>
        <w:spacing w:line="360" w:lineRule="auto"/>
        <w:rPr>
          <w:rFonts w:cs="Arial"/>
          <w:color w:val="000000"/>
          <w:sz w:val="24"/>
          <w:szCs w:val="24"/>
        </w:rPr>
      </w:pPr>
      <w:r w:rsidRPr="001131C4">
        <w:rPr>
          <w:rFonts w:cs="Arial"/>
          <w:color w:val="000000"/>
          <w:sz w:val="24"/>
          <w:szCs w:val="24"/>
        </w:rPr>
        <w:t xml:space="preserve">Bogotá D.C., </w:t>
      </w:r>
      <w:r w:rsidRPr="001131C4">
        <w:rPr>
          <w:rFonts w:cs="Arial"/>
          <w:color w:val="000000"/>
          <w:sz w:val="24"/>
          <w:szCs w:val="24"/>
          <w:shd w:val="clear" w:color="auto" w:fill="FFFFFF"/>
        </w:rPr>
        <w:t>veinti</w:t>
      </w:r>
      <w:r w:rsidR="00967AFC">
        <w:rPr>
          <w:rFonts w:cs="Arial"/>
          <w:color w:val="000000"/>
          <w:sz w:val="24"/>
          <w:szCs w:val="24"/>
          <w:shd w:val="clear" w:color="auto" w:fill="FFFFFF"/>
        </w:rPr>
        <w:t>trés</w:t>
      </w:r>
      <w:r w:rsidRPr="001131C4">
        <w:rPr>
          <w:rFonts w:cs="Arial"/>
          <w:color w:val="000000"/>
          <w:sz w:val="24"/>
          <w:szCs w:val="24"/>
        </w:rPr>
        <w:t xml:space="preserve"> (</w:t>
      </w:r>
      <w:r w:rsidRPr="001131C4">
        <w:rPr>
          <w:rFonts w:cs="Arial"/>
          <w:color w:val="000000"/>
          <w:sz w:val="24"/>
          <w:szCs w:val="24"/>
          <w:shd w:val="clear" w:color="auto" w:fill="FFFFFF"/>
        </w:rPr>
        <w:t>2</w:t>
      </w:r>
      <w:r w:rsidR="00967AFC">
        <w:rPr>
          <w:rFonts w:cs="Arial"/>
          <w:color w:val="000000"/>
          <w:sz w:val="24"/>
          <w:szCs w:val="24"/>
          <w:shd w:val="clear" w:color="auto" w:fill="FFFFFF"/>
        </w:rPr>
        <w:t>3</w:t>
      </w:r>
      <w:r w:rsidRPr="001131C4">
        <w:rPr>
          <w:rFonts w:cs="Arial"/>
          <w:color w:val="000000"/>
          <w:sz w:val="24"/>
          <w:szCs w:val="24"/>
        </w:rPr>
        <w:t xml:space="preserve">) de </w:t>
      </w:r>
      <w:r w:rsidR="00967AFC">
        <w:rPr>
          <w:rFonts w:cs="Arial"/>
          <w:color w:val="000000"/>
          <w:sz w:val="24"/>
          <w:szCs w:val="24"/>
        </w:rPr>
        <w:t>abril</w:t>
      </w:r>
      <w:r w:rsidRPr="001131C4">
        <w:rPr>
          <w:rFonts w:cs="Arial"/>
          <w:color w:val="000000"/>
          <w:sz w:val="24"/>
          <w:szCs w:val="24"/>
        </w:rPr>
        <w:t xml:space="preserve"> de dos mil veintiuno (2021) </w:t>
      </w:r>
    </w:p>
    <w:p w14:paraId="0AD9513B" w14:textId="77777777" w:rsidR="00CE06BA" w:rsidRPr="001131C4" w:rsidRDefault="00CE06BA" w:rsidP="00CE06BA">
      <w:pPr>
        <w:spacing w:line="360" w:lineRule="auto"/>
        <w:rPr>
          <w:rFonts w:cs="Arial"/>
          <w:color w:val="000000"/>
          <w:sz w:val="24"/>
          <w:szCs w:val="24"/>
        </w:rPr>
      </w:pPr>
    </w:p>
    <w:p w14:paraId="4E0DF8CF" w14:textId="77777777" w:rsidR="00CE06BA" w:rsidRPr="001131C4" w:rsidRDefault="00CE06BA" w:rsidP="00CE06BA">
      <w:pPr>
        <w:rPr>
          <w:rFonts w:cs="Arial"/>
          <w:color w:val="000000"/>
          <w:sz w:val="24"/>
          <w:szCs w:val="24"/>
          <w:shd w:val="clear" w:color="auto" w:fill="FFFFFF"/>
        </w:rPr>
      </w:pPr>
      <w:r w:rsidRPr="001131C4">
        <w:rPr>
          <w:rFonts w:cs="Arial"/>
          <w:b/>
          <w:color w:val="000000"/>
          <w:sz w:val="24"/>
          <w:szCs w:val="24"/>
        </w:rPr>
        <w:t xml:space="preserve">Radicación: </w:t>
      </w:r>
      <w:r w:rsidRPr="001131C4">
        <w:rPr>
          <w:rFonts w:cs="Arial"/>
          <w:color w:val="000000"/>
          <w:sz w:val="24"/>
          <w:szCs w:val="24"/>
          <w:shd w:val="clear" w:color="auto" w:fill="FFFFFF"/>
        </w:rPr>
        <w:t>11001-03-15-000-2021-00808-00</w:t>
      </w:r>
    </w:p>
    <w:p w14:paraId="090EF5C5" w14:textId="77777777" w:rsidR="00CE06BA" w:rsidRPr="001131C4" w:rsidRDefault="00CE06BA" w:rsidP="00CE06BA">
      <w:pPr>
        <w:rPr>
          <w:rFonts w:cs="Arial"/>
          <w:color w:val="000000"/>
          <w:sz w:val="24"/>
          <w:szCs w:val="24"/>
        </w:rPr>
      </w:pPr>
      <w:r w:rsidRPr="001131C4">
        <w:rPr>
          <w:rFonts w:cs="Arial"/>
          <w:b/>
          <w:color w:val="000000"/>
          <w:sz w:val="24"/>
          <w:szCs w:val="24"/>
        </w:rPr>
        <w:t xml:space="preserve">Accionante: </w:t>
      </w:r>
      <w:r w:rsidRPr="001131C4">
        <w:rPr>
          <w:rFonts w:cs="Arial"/>
          <w:sz w:val="24"/>
          <w:szCs w:val="24"/>
        </w:rPr>
        <w:t>Alisadiela Arias</w:t>
      </w:r>
    </w:p>
    <w:p w14:paraId="61A38FDA" w14:textId="77777777" w:rsidR="00CE06BA" w:rsidRPr="001131C4" w:rsidRDefault="00CE06BA" w:rsidP="00CE06BA">
      <w:pPr>
        <w:pStyle w:val="Sangradetextonormal"/>
        <w:tabs>
          <w:tab w:val="left" w:pos="3810"/>
        </w:tabs>
        <w:spacing w:after="0"/>
        <w:ind w:left="0"/>
        <w:jc w:val="both"/>
        <w:rPr>
          <w:rFonts w:ascii="Arial" w:hAnsi="Arial" w:cs="Arial"/>
        </w:rPr>
      </w:pPr>
      <w:r w:rsidRPr="001131C4">
        <w:rPr>
          <w:rFonts w:ascii="Arial" w:hAnsi="Arial" w:cs="Arial"/>
          <w:b/>
          <w:color w:val="000000"/>
        </w:rPr>
        <w:t>Accionado:</w:t>
      </w:r>
      <w:r w:rsidRPr="001131C4">
        <w:rPr>
          <w:rFonts w:ascii="Arial" w:hAnsi="Arial" w:cs="Arial"/>
          <w:b/>
          <w:color w:val="000000"/>
          <w:lang w:val="es-CO"/>
        </w:rPr>
        <w:t xml:space="preserve"> </w:t>
      </w:r>
      <w:r w:rsidRPr="001131C4">
        <w:rPr>
          <w:rFonts w:ascii="Arial" w:hAnsi="Arial" w:cs="Arial"/>
          <w:bCs/>
          <w:color w:val="000000"/>
          <w:lang w:val="es-CO"/>
        </w:rPr>
        <w:t>Subsección E de la Sección Segunda del</w:t>
      </w:r>
      <w:r w:rsidRPr="001131C4">
        <w:rPr>
          <w:rFonts w:ascii="Arial" w:hAnsi="Arial" w:cs="Arial"/>
          <w:b/>
          <w:color w:val="000000"/>
          <w:lang w:val="es-CO"/>
        </w:rPr>
        <w:t xml:space="preserve"> </w:t>
      </w:r>
      <w:r w:rsidRPr="001131C4">
        <w:rPr>
          <w:rFonts w:ascii="Arial" w:hAnsi="Arial" w:cs="Arial"/>
        </w:rPr>
        <w:t xml:space="preserve">Tribunal Administrativo de Cundinamarca </w:t>
      </w:r>
    </w:p>
    <w:p w14:paraId="295E8E4D" w14:textId="7082B696" w:rsidR="001A40E4" w:rsidRPr="001131C4" w:rsidRDefault="003660DF" w:rsidP="00CE06BA">
      <w:pPr>
        <w:pStyle w:val="Sangradetextonormal"/>
        <w:tabs>
          <w:tab w:val="left" w:pos="3810"/>
        </w:tabs>
        <w:spacing w:after="0"/>
        <w:ind w:left="0"/>
        <w:jc w:val="both"/>
        <w:rPr>
          <w:rFonts w:ascii="Arial" w:hAnsi="Arial" w:cs="Arial"/>
          <w:bCs/>
          <w:color w:val="000000"/>
          <w:lang w:val="es-CO"/>
        </w:rPr>
      </w:pPr>
      <w:r w:rsidRPr="001131C4">
        <w:rPr>
          <w:rFonts w:ascii="Arial" w:hAnsi="Arial" w:cs="Arial"/>
          <w:b/>
        </w:rPr>
        <w:t xml:space="preserve">Asunto: </w:t>
      </w:r>
      <w:r w:rsidRPr="001131C4">
        <w:rPr>
          <w:rFonts w:ascii="Arial" w:hAnsi="Arial" w:cs="Arial"/>
        </w:rPr>
        <w:t xml:space="preserve">Acción de tutela – Sentencia de primera instancia </w:t>
      </w:r>
    </w:p>
    <w:p w14:paraId="2B85EB6D" w14:textId="77777777" w:rsidR="003660DF" w:rsidRPr="001131C4" w:rsidRDefault="003660DF" w:rsidP="003660DF">
      <w:pPr>
        <w:spacing w:line="360" w:lineRule="auto"/>
        <w:rPr>
          <w:rFonts w:cs="Arial"/>
          <w:sz w:val="24"/>
          <w:szCs w:val="24"/>
        </w:rPr>
      </w:pPr>
    </w:p>
    <w:p w14:paraId="4BA58B11" w14:textId="77C058A5" w:rsidR="003660DF" w:rsidRPr="001131C4" w:rsidRDefault="003660DF" w:rsidP="003660DF">
      <w:pPr>
        <w:tabs>
          <w:tab w:val="left" w:pos="6319"/>
        </w:tabs>
        <w:rPr>
          <w:rFonts w:cs="Arial"/>
          <w:sz w:val="24"/>
          <w:szCs w:val="24"/>
        </w:rPr>
      </w:pPr>
      <w:r w:rsidRPr="001131C4">
        <w:rPr>
          <w:rFonts w:cs="Arial"/>
          <w:b/>
          <w:sz w:val="24"/>
          <w:szCs w:val="24"/>
        </w:rPr>
        <w:t xml:space="preserve">Tema: </w:t>
      </w:r>
      <w:r w:rsidRPr="001131C4">
        <w:rPr>
          <w:rFonts w:cs="Arial"/>
          <w:sz w:val="24"/>
          <w:szCs w:val="24"/>
        </w:rPr>
        <w:t xml:space="preserve">Acción de tutela en contra de providencia judicial. </w:t>
      </w:r>
      <w:r w:rsidRPr="001131C4">
        <w:rPr>
          <w:rFonts w:cs="Arial"/>
          <w:b/>
          <w:sz w:val="24"/>
          <w:szCs w:val="24"/>
        </w:rPr>
        <w:t xml:space="preserve">Subtema 1: </w:t>
      </w:r>
      <w:r w:rsidRPr="001131C4">
        <w:rPr>
          <w:rFonts w:cs="Arial"/>
          <w:sz w:val="24"/>
          <w:szCs w:val="24"/>
        </w:rPr>
        <w:t xml:space="preserve">El requisito general de </w:t>
      </w:r>
      <w:r w:rsidR="00150170" w:rsidRPr="001131C4">
        <w:rPr>
          <w:rFonts w:cs="Arial"/>
          <w:sz w:val="24"/>
          <w:szCs w:val="24"/>
        </w:rPr>
        <w:t>inmediatez</w:t>
      </w:r>
      <w:r w:rsidRPr="001131C4">
        <w:rPr>
          <w:rFonts w:cs="Arial"/>
          <w:sz w:val="24"/>
          <w:szCs w:val="24"/>
        </w:rPr>
        <w:t>.</w:t>
      </w:r>
      <w:r w:rsidR="00150170" w:rsidRPr="001131C4">
        <w:rPr>
          <w:rFonts w:cs="Arial"/>
          <w:sz w:val="24"/>
          <w:szCs w:val="24"/>
        </w:rPr>
        <w:t xml:space="preserve"> </w:t>
      </w:r>
      <w:r w:rsidRPr="001131C4">
        <w:rPr>
          <w:rFonts w:cs="Arial"/>
          <w:b/>
          <w:sz w:val="24"/>
          <w:szCs w:val="24"/>
        </w:rPr>
        <w:t>Decisión:</w:t>
      </w:r>
      <w:r w:rsidR="003D7727" w:rsidRPr="001131C4">
        <w:rPr>
          <w:rFonts w:cs="Arial"/>
          <w:b/>
          <w:sz w:val="24"/>
          <w:szCs w:val="24"/>
        </w:rPr>
        <w:t xml:space="preserve"> </w:t>
      </w:r>
      <w:r w:rsidRPr="001131C4">
        <w:rPr>
          <w:rFonts w:cs="Arial"/>
          <w:sz w:val="24"/>
          <w:szCs w:val="24"/>
        </w:rPr>
        <w:t xml:space="preserve">Se declara improcedente la solicitud de amparo constitucional. </w:t>
      </w:r>
    </w:p>
    <w:p w14:paraId="28D4D62E" w14:textId="77777777" w:rsidR="003660DF" w:rsidRPr="001131C4" w:rsidRDefault="003660DF" w:rsidP="00AE1E9F">
      <w:pPr>
        <w:tabs>
          <w:tab w:val="left" w:pos="6319"/>
        </w:tabs>
        <w:spacing w:line="360" w:lineRule="auto"/>
        <w:rPr>
          <w:rFonts w:cs="Arial"/>
          <w:sz w:val="24"/>
          <w:szCs w:val="24"/>
        </w:rPr>
      </w:pPr>
    </w:p>
    <w:p w14:paraId="082975BC" w14:textId="427FCA6D" w:rsidR="003660DF" w:rsidRPr="001131C4" w:rsidRDefault="003660DF" w:rsidP="00AE1E9F">
      <w:pPr>
        <w:tabs>
          <w:tab w:val="left" w:pos="6319"/>
        </w:tabs>
        <w:spacing w:line="360" w:lineRule="auto"/>
        <w:rPr>
          <w:rFonts w:cs="Arial"/>
          <w:sz w:val="24"/>
          <w:szCs w:val="24"/>
        </w:rPr>
      </w:pPr>
      <w:r w:rsidRPr="001131C4">
        <w:rPr>
          <w:rFonts w:cs="Arial"/>
          <w:sz w:val="24"/>
          <w:szCs w:val="24"/>
        </w:rPr>
        <w:t xml:space="preserve">La Sala decide la acción de tutela presentada </w:t>
      </w:r>
      <w:r w:rsidR="00CE06BA" w:rsidRPr="001131C4">
        <w:rPr>
          <w:rFonts w:cs="Arial"/>
          <w:sz w:val="24"/>
          <w:szCs w:val="24"/>
        </w:rPr>
        <w:t xml:space="preserve">Alisadiela Arias </w:t>
      </w:r>
      <w:r w:rsidRPr="001131C4">
        <w:rPr>
          <w:rFonts w:cs="Arial"/>
          <w:sz w:val="24"/>
          <w:szCs w:val="24"/>
        </w:rPr>
        <w:t xml:space="preserve">en contra del fallo </w:t>
      </w:r>
      <w:r w:rsidR="00150170" w:rsidRPr="001131C4">
        <w:rPr>
          <w:rFonts w:cs="Arial"/>
          <w:sz w:val="24"/>
          <w:szCs w:val="24"/>
        </w:rPr>
        <w:t xml:space="preserve">proferido el 8 de </w:t>
      </w:r>
      <w:r w:rsidR="00CE06BA" w:rsidRPr="001131C4">
        <w:rPr>
          <w:rFonts w:cs="Arial"/>
          <w:sz w:val="24"/>
          <w:szCs w:val="24"/>
        </w:rPr>
        <w:t>noviembre</w:t>
      </w:r>
      <w:r w:rsidR="00150170" w:rsidRPr="001131C4">
        <w:rPr>
          <w:rFonts w:cs="Arial"/>
          <w:sz w:val="24"/>
          <w:szCs w:val="24"/>
        </w:rPr>
        <w:t xml:space="preserve"> de 2019</w:t>
      </w:r>
      <w:r w:rsidR="001131C4">
        <w:rPr>
          <w:rFonts w:cs="Arial"/>
          <w:sz w:val="24"/>
          <w:szCs w:val="24"/>
        </w:rPr>
        <w:t>,</w:t>
      </w:r>
      <w:r w:rsidR="00150170" w:rsidRPr="001131C4">
        <w:rPr>
          <w:rFonts w:cs="Arial"/>
          <w:sz w:val="24"/>
          <w:szCs w:val="24"/>
        </w:rPr>
        <w:t xml:space="preserve"> por la </w:t>
      </w:r>
      <w:r w:rsidR="00CE06BA" w:rsidRPr="001131C4">
        <w:rPr>
          <w:rFonts w:cs="Arial"/>
          <w:bCs/>
          <w:color w:val="000000"/>
          <w:sz w:val="24"/>
          <w:szCs w:val="24"/>
        </w:rPr>
        <w:t>Subsección E de la Sección Segunda del</w:t>
      </w:r>
      <w:r w:rsidR="00CE06BA" w:rsidRPr="001131C4">
        <w:rPr>
          <w:rFonts w:cs="Arial"/>
          <w:b/>
          <w:color w:val="000000"/>
          <w:sz w:val="24"/>
          <w:szCs w:val="24"/>
        </w:rPr>
        <w:t xml:space="preserve"> </w:t>
      </w:r>
      <w:r w:rsidR="00CE06BA" w:rsidRPr="001131C4">
        <w:rPr>
          <w:rFonts w:cs="Arial"/>
          <w:sz w:val="24"/>
          <w:szCs w:val="24"/>
        </w:rPr>
        <w:t>Tribunal Administrativo de Cundinamarca</w:t>
      </w:r>
      <w:r w:rsidR="003D7727" w:rsidRPr="001131C4">
        <w:rPr>
          <w:rFonts w:cs="Arial"/>
          <w:sz w:val="24"/>
          <w:szCs w:val="24"/>
        </w:rPr>
        <w:t>.</w:t>
      </w:r>
    </w:p>
    <w:p w14:paraId="39966AAA" w14:textId="77777777" w:rsidR="00150170" w:rsidRPr="001131C4" w:rsidRDefault="00150170" w:rsidP="00AE1E9F">
      <w:pPr>
        <w:tabs>
          <w:tab w:val="left" w:pos="6319"/>
        </w:tabs>
        <w:spacing w:line="360" w:lineRule="auto"/>
        <w:rPr>
          <w:rFonts w:cs="Arial"/>
          <w:sz w:val="24"/>
          <w:szCs w:val="24"/>
        </w:rPr>
      </w:pPr>
    </w:p>
    <w:p w14:paraId="5A86CC87" w14:textId="5810E98A" w:rsidR="00150170" w:rsidRPr="001131C4" w:rsidRDefault="00150170" w:rsidP="001131C4">
      <w:pPr>
        <w:pStyle w:val="Prrafodelista"/>
        <w:numPr>
          <w:ilvl w:val="0"/>
          <w:numId w:val="3"/>
        </w:numPr>
        <w:tabs>
          <w:tab w:val="left" w:pos="6319"/>
        </w:tabs>
        <w:spacing w:line="360" w:lineRule="auto"/>
        <w:jc w:val="center"/>
        <w:rPr>
          <w:rFonts w:cs="Arial"/>
          <w:b/>
          <w:sz w:val="24"/>
          <w:szCs w:val="24"/>
        </w:rPr>
      </w:pPr>
      <w:r w:rsidRPr="001131C4">
        <w:rPr>
          <w:rFonts w:cs="Arial"/>
          <w:b/>
          <w:sz w:val="24"/>
          <w:szCs w:val="24"/>
        </w:rPr>
        <w:t>ANTECEDENTES</w:t>
      </w:r>
    </w:p>
    <w:p w14:paraId="00614FE8" w14:textId="77777777" w:rsidR="00150170" w:rsidRPr="001131C4" w:rsidRDefault="00150170" w:rsidP="00AE1E9F">
      <w:pPr>
        <w:tabs>
          <w:tab w:val="left" w:pos="6319"/>
        </w:tabs>
        <w:spacing w:line="360" w:lineRule="auto"/>
        <w:rPr>
          <w:rFonts w:cs="Arial"/>
          <w:b/>
          <w:sz w:val="24"/>
          <w:szCs w:val="24"/>
        </w:rPr>
      </w:pPr>
    </w:p>
    <w:p w14:paraId="30432A3C" w14:textId="77777777" w:rsidR="00150170" w:rsidRPr="001131C4" w:rsidRDefault="00150170" w:rsidP="00AE1E9F">
      <w:pPr>
        <w:tabs>
          <w:tab w:val="left" w:pos="6319"/>
        </w:tabs>
        <w:spacing w:line="360" w:lineRule="auto"/>
        <w:rPr>
          <w:rFonts w:cs="Arial"/>
          <w:b/>
          <w:sz w:val="24"/>
          <w:szCs w:val="24"/>
        </w:rPr>
      </w:pPr>
      <w:r w:rsidRPr="001131C4">
        <w:rPr>
          <w:rFonts w:cs="Arial"/>
          <w:b/>
          <w:sz w:val="24"/>
          <w:szCs w:val="24"/>
        </w:rPr>
        <w:t xml:space="preserve">1.- La solicitud de tutela </w:t>
      </w:r>
    </w:p>
    <w:p w14:paraId="1BB8070F" w14:textId="77777777" w:rsidR="00150170" w:rsidRPr="001131C4" w:rsidRDefault="00150170" w:rsidP="00AE1E9F">
      <w:pPr>
        <w:tabs>
          <w:tab w:val="left" w:pos="6319"/>
        </w:tabs>
        <w:spacing w:line="360" w:lineRule="auto"/>
        <w:rPr>
          <w:rFonts w:cs="Arial"/>
          <w:b/>
          <w:sz w:val="24"/>
          <w:szCs w:val="24"/>
        </w:rPr>
      </w:pPr>
    </w:p>
    <w:p w14:paraId="7DF38258" w14:textId="5EF9AA89" w:rsidR="00C1454E" w:rsidRPr="001131C4" w:rsidRDefault="00CE06BA" w:rsidP="00AE1E9F">
      <w:pPr>
        <w:spacing w:line="360" w:lineRule="auto"/>
        <w:rPr>
          <w:rFonts w:cs="Arial"/>
          <w:sz w:val="24"/>
          <w:szCs w:val="24"/>
          <w:lang w:eastAsia="es-CO"/>
        </w:rPr>
      </w:pPr>
      <w:r w:rsidRPr="001131C4">
        <w:rPr>
          <w:rFonts w:cs="Arial"/>
          <w:sz w:val="24"/>
          <w:szCs w:val="24"/>
        </w:rPr>
        <w:t xml:space="preserve">Alisadiela Arias </w:t>
      </w:r>
      <w:r w:rsidR="00AE1E9F" w:rsidRPr="001131C4">
        <w:rPr>
          <w:rFonts w:cs="Arial"/>
          <w:sz w:val="24"/>
          <w:szCs w:val="24"/>
        </w:rPr>
        <w:t xml:space="preserve">mediante </w:t>
      </w:r>
      <w:r w:rsidR="00AE1E9F" w:rsidRPr="001131C4">
        <w:rPr>
          <w:rFonts w:cs="Arial"/>
          <w:sz w:val="24"/>
          <w:szCs w:val="24"/>
          <w:lang w:val="es-ES_tradnl"/>
        </w:rPr>
        <w:t>apoderad</w:t>
      </w:r>
      <w:r w:rsidR="001131C4">
        <w:rPr>
          <w:rFonts w:cs="Arial"/>
          <w:sz w:val="24"/>
          <w:szCs w:val="24"/>
          <w:lang w:val="es-ES_tradnl"/>
        </w:rPr>
        <w:t>a</w:t>
      </w:r>
      <w:r w:rsidR="00AE1E9F" w:rsidRPr="001131C4">
        <w:rPr>
          <w:rFonts w:cs="Arial"/>
          <w:sz w:val="24"/>
          <w:szCs w:val="24"/>
          <w:lang w:val="es-ES_tradnl"/>
        </w:rPr>
        <w:t xml:space="preserve"> judicial</w:t>
      </w:r>
      <w:r w:rsidR="00AE1E9F" w:rsidRPr="001131C4">
        <w:rPr>
          <w:rStyle w:val="Refdenotaalpie"/>
          <w:rFonts w:cs="Arial"/>
          <w:sz w:val="24"/>
          <w:szCs w:val="24"/>
          <w:lang w:val="es-ES_tradnl"/>
        </w:rPr>
        <w:footnoteReference w:id="1"/>
      </w:r>
      <w:r w:rsidR="00AE1E9F" w:rsidRPr="001131C4">
        <w:rPr>
          <w:rFonts w:cs="Arial"/>
          <w:sz w:val="24"/>
          <w:szCs w:val="24"/>
          <w:lang w:val="es-ES_tradnl"/>
        </w:rPr>
        <w:t xml:space="preserve">, </w:t>
      </w:r>
      <w:r w:rsidR="00150170" w:rsidRPr="001131C4">
        <w:rPr>
          <w:rFonts w:cs="Arial"/>
          <w:sz w:val="24"/>
          <w:szCs w:val="24"/>
        </w:rPr>
        <w:t>interpus</w:t>
      </w:r>
      <w:r w:rsidRPr="001131C4">
        <w:rPr>
          <w:rFonts w:cs="Arial"/>
          <w:sz w:val="24"/>
          <w:szCs w:val="24"/>
        </w:rPr>
        <w:t>o</w:t>
      </w:r>
      <w:r w:rsidR="00150170" w:rsidRPr="001131C4">
        <w:rPr>
          <w:rFonts w:cs="Arial"/>
          <w:sz w:val="24"/>
          <w:szCs w:val="24"/>
        </w:rPr>
        <w:t xml:space="preserve"> acción de </w:t>
      </w:r>
      <w:r w:rsidR="00AE1E9F" w:rsidRPr="001131C4">
        <w:rPr>
          <w:rFonts w:cs="Arial"/>
          <w:bCs/>
          <w:sz w:val="24"/>
          <w:szCs w:val="24"/>
        </w:rPr>
        <w:t>tutela</w:t>
      </w:r>
      <w:r w:rsidR="00AE1E9F" w:rsidRPr="001131C4">
        <w:rPr>
          <w:rStyle w:val="Refdenotaalpie"/>
          <w:rFonts w:cs="Arial"/>
          <w:bCs/>
          <w:sz w:val="24"/>
          <w:szCs w:val="24"/>
        </w:rPr>
        <w:footnoteReference w:id="2"/>
      </w:r>
      <w:r w:rsidR="00AE1E9F" w:rsidRPr="001131C4">
        <w:rPr>
          <w:rFonts w:cs="Arial"/>
          <w:bCs/>
          <w:sz w:val="24"/>
          <w:szCs w:val="24"/>
        </w:rPr>
        <w:t xml:space="preserve"> </w:t>
      </w:r>
      <w:r w:rsidR="00E93F2C" w:rsidRPr="001131C4">
        <w:rPr>
          <w:rFonts w:cs="Arial"/>
          <w:sz w:val="24"/>
          <w:szCs w:val="24"/>
          <w:lang w:eastAsia="es-CO"/>
        </w:rPr>
        <w:t xml:space="preserve">en contra de </w:t>
      </w:r>
      <w:r w:rsidRPr="001131C4">
        <w:rPr>
          <w:rFonts w:cs="Arial"/>
          <w:sz w:val="24"/>
          <w:szCs w:val="24"/>
        </w:rPr>
        <w:t xml:space="preserve">la </w:t>
      </w:r>
      <w:r w:rsidRPr="001131C4">
        <w:rPr>
          <w:rFonts w:cs="Arial"/>
          <w:bCs/>
          <w:color w:val="000000"/>
          <w:sz w:val="24"/>
          <w:szCs w:val="24"/>
        </w:rPr>
        <w:t>Subsección E de la Sección Segunda del</w:t>
      </w:r>
      <w:r w:rsidRPr="001131C4">
        <w:rPr>
          <w:rFonts w:cs="Arial"/>
          <w:b/>
          <w:color w:val="000000"/>
          <w:sz w:val="24"/>
          <w:szCs w:val="24"/>
        </w:rPr>
        <w:t xml:space="preserve"> </w:t>
      </w:r>
      <w:r w:rsidRPr="001131C4">
        <w:rPr>
          <w:rFonts w:cs="Arial"/>
          <w:sz w:val="24"/>
          <w:szCs w:val="24"/>
        </w:rPr>
        <w:t>Tribunal Administrativo de Cundinamarca</w:t>
      </w:r>
      <w:r w:rsidR="00E93F2C" w:rsidRPr="001131C4">
        <w:rPr>
          <w:rFonts w:cs="Arial"/>
          <w:sz w:val="24"/>
          <w:szCs w:val="24"/>
        </w:rPr>
        <w:t>, en la que solicit</w:t>
      </w:r>
      <w:r w:rsidRPr="001131C4">
        <w:rPr>
          <w:rFonts w:cs="Arial"/>
          <w:sz w:val="24"/>
          <w:szCs w:val="24"/>
        </w:rPr>
        <w:t>ó</w:t>
      </w:r>
      <w:r w:rsidR="00E93F2C" w:rsidRPr="001131C4">
        <w:rPr>
          <w:rFonts w:cs="Arial"/>
          <w:sz w:val="24"/>
          <w:szCs w:val="24"/>
        </w:rPr>
        <w:t xml:space="preserve"> la protección de sus derechos fundamentales </w:t>
      </w:r>
      <w:r w:rsidR="00AE1E9F" w:rsidRPr="001131C4">
        <w:rPr>
          <w:rFonts w:cs="Arial"/>
          <w:sz w:val="24"/>
          <w:szCs w:val="24"/>
        </w:rPr>
        <w:t>al debido proceso, de acceso a la administración de justicia, al trabajo, al mínimo vital y a la igualdad</w:t>
      </w:r>
      <w:r w:rsidR="00E93F2C" w:rsidRPr="001131C4">
        <w:rPr>
          <w:rFonts w:cs="Arial"/>
          <w:sz w:val="24"/>
          <w:szCs w:val="24"/>
        </w:rPr>
        <w:t>, que consider</w:t>
      </w:r>
      <w:r w:rsidR="00AE1E9F" w:rsidRPr="001131C4">
        <w:rPr>
          <w:rFonts w:cs="Arial"/>
          <w:sz w:val="24"/>
          <w:szCs w:val="24"/>
        </w:rPr>
        <w:t>ó</w:t>
      </w:r>
      <w:r w:rsidR="00E93F2C" w:rsidRPr="001131C4">
        <w:rPr>
          <w:rFonts w:cs="Arial"/>
          <w:sz w:val="24"/>
          <w:szCs w:val="24"/>
        </w:rPr>
        <w:t xml:space="preserve"> vulnerados </w:t>
      </w:r>
      <w:r w:rsidR="00AE1E9F" w:rsidRPr="001131C4">
        <w:rPr>
          <w:rFonts w:cs="Arial"/>
          <w:sz w:val="24"/>
          <w:szCs w:val="24"/>
        </w:rPr>
        <w:t xml:space="preserve">con la </w:t>
      </w:r>
      <w:r w:rsidR="00AE1E9F" w:rsidRPr="001131C4">
        <w:rPr>
          <w:rFonts w:cs="Arial"/>
          <w:sz w:val="24"/>
          <w:szCs w:val="24"/>
          <w:lang w:val="es-ES_tradnl"/>
        </w:rPr>
        <w:t xml:space="preserve">sentencia de segunda instancia del 8 de noviembre de 2019, dentro del proceso de nulidad y restablecimiento del derecho con radicado No. </w:t>
      </w:r>
      <w:r w:rsidR="00AE1E9F" w:rsidRPr="001131C4">
        <w:rPr>
          <w:rFonts w:cs="Arial"/>
          <w:sz w:val="24"/>
          <w:szCs w:val="24"/>
        </w:rPr>
        <w:t>11001334204720170006001</w:t>
      </w:r>
      <w:r w:rsidR="00E732A9">
        <w:rPr>
          <w:rFonts w:cs="Arial"/>
          <w:sz w:val="24"/>
          <w:szCs w:val="24"/>
        </w:rPr>
        <w:t>,</w:t>
      </w:r>
      <w:r w:rsidR="00AE1E9F" w:rsidRPr="001131C4">
        <w:rPr>
          <w:rFonts w:cs="Arial"/>
          <w:sz w:val="24"/>
          <w:szCs w:val="24"/>
        </w:rPr>
        <w:t xml:space="preserve"> que revocó el fallo de primera instancia emitido por el Juzgado Cuarenta</w:t>
      </w:r>
      <w:r w:rsidR="00AE1E9F" w:rsidRPr="001131C4">
        <w:rPr>
          <w:rFonts w:cs="Arial"/>
          <w:sz w:val="24"/>
          <w:szCs w:val="24"/>
          <w:lang w:val="es-ES_tradnl"/>
        </w:rPr>
        <w:t xml:space="preserve"> y Siete Administrativo de Bogotá, que había accedido a sus pretensiones.</w:t>
      </w:r>
    </w:p>
    <w:p w14:paraId="7D07CC94" w14:textId="2D74B7E1" w:rsidR="003660DF" w:rsidRPr="001131C4" w:rsidRDefault="003660DF" w:rsidP="003660DF">
      <w:pPr>
        <w:spacing w:line="360" w:lineRule="auto"/>
        <w:rPr>
          <w:rFonts w:cs="Arial"/>
          <w:sz w:val="24"/>
          <w:szCs w:val="24"/>
        </w:rPr>
      </w:pPr>
    </w:p>
    <w:p w14:paraId="71BEFDD0" w14:textId="471C14EA" w:rsidR="001374D4" w:rsidRPr="001131C4" w:rsidRDefault="001374D4" w:rsidP="003660DF">
      <w:pPr>
        <w:spacing w:line="360" w:lineRule="auto"/>
        <w:rPr>
          <w:rFonts w:cs="Arial"/>
          <w:sz w:val="24"/>
          <w:szCs w:val="24"/>
        </w:rPr>
      </w:pPr>
    </w:p>
    <w:p w14:paraId="1B5B34B2" w14:textId="1501426B" w:rsidR="001374D4" w:rsidRPr="001131C4" w:rsidRDefault="001374D4" w:rsidP="003660DF">
      <w:pPr>
        <w:spacing w:line="360" w:lineRule="auto"/>
        <w:rPr>
          <w:rFonts w:cs="Arial"/>
          <w:sz w:val="24"/>
          <w:szCs w:val="24"/>
        </w:rPr>
      </w:pPr>
    </w:p>
    <w:p w14:paraId="6C5DCDB9" w14:textId="77777777" w:rsidR="001374D4" w:rsidRPr="001131C4" w:rsidRDefault="001374D4" w:rsidP="003660DF">
      <w:pPr>
        <w:spacing w:line="360" w:lineRule="auto"/>
        <w:rPr>
          <w:rFonts w:cs="Arial"/>
          <w:sz w:val="24"/>
          <w:szCs w:val="24"/>
        </w:rPr>
      </w:pPr>
    </w:p>
    <w:p w14:paraId="2F403511" w14:textId="52800652" w:rsidR="00821831" w:rsidRPr="001131C4" w:rsidRDefault="00970FCA" w:rsidP="003660DF">
      <w:pPr>
        <w:spacing w:line="360" w:lineRule="auto"/>
        <w:rPr>
          <w:rFonts w:cs="Arial"/>
          <w:b/>
          <w:sz w:val="24"/>
          <w:szCs w:val="24"/>
        </w:rPr>
      </w:pPr>
      <w:r w:rsidRPr="001131C4">
        <w:rPr>
          <w:rFonts w:cs="Arial"/>
          <w:b/>
          <w:sz w:val="24"/>
          <w:szCs w:val="24"/>
        </w:rPr>
        <w:lastRenderedPageBreak/>
        <w:t>2</w:t>
      </w:r>
      <w:r w:rsidR="00821831" w:rsidRPr="001131C4">
        <w:rPr>
          <w:rFonts w:cs="Arial"/>
          <w:b/>
          <w:sz w:val="24"/>
          <w:szCs w:val="24"/>
        </w:rPr>
        <w:t xml:space="preserve">.- Hechos </w:t>
      </w:r>
    </w:p>
    <w:p w14:paraId="4D409BED" w14:textId="77777777" w:rsidR="00821831" w:rsidRPr="001131C4" w:rsidRDefault="00821831" w:rsidP="003660DF">
      <w:pPr>
        <w:spacing w:line="360" w:lineRule="auto"/>
        <w:rPr>
          <w:rFonts w:cs="Arial"/>
          <w:b/>
          <w:sz w:val="24"/>
          <w:szCs w:val="24"/>
        </w:rPr>
      </w:pPr>
    </w:p>
    <w:p w14:paraId="34CBF19C" w14:textId="22CFE8A3" w:rsidR="00970FCA" w:rsidRPr="001131C4" w:rsidRDefault="00970FCA" w:rsidP="00AE1E9F">
      <w:pPr>
        <w:spacing w:line="360" w:lineRule="auto"/>
        <w:rPr>
          <w:rFonts w:cs="Arial"/>
          <w:sz w:val="24"/>
          <w:szCs w:val="24"/>
        </w:rPr>
      </w:pPr>
      <w:r w:rsidRPr="001131C4">
        <w:rPr>
          <w:rFonts w:cs="Arial"/>
          <w:sz w:val="24"/>
          <w:szCs w:val="24"/>
        </w:rPr>
        <w:t>2.</w:t>
      </w:r>
      <w:r w:rsidR="00821831" w:rsidRPr="001131C4">
        <w:rPr>
          <w:rFonts w:cs="Arial"/>
          <w:sz w:val="24"/>
          <w:szCs w:val="24"/>
        </w:rPr>
        <w:t xml:space="preserve">1.- </w:t>
      </w:r>
      <w:r w:rsidR="00243515">
        <w:rPr>
          <w:rFonts w:cs="Arial"/>
          <w:sz w:val="24"/>
          <w:szCs w:val="24"/>
        </w:rPr>
        <w:t>Según se relata, l</w:t>
      </w:r>
      <w:r w:rsidR="00AE1E9F" w:rsidRPr="001131C4">
        <w:rPr>
          <w:rFonts w:cs="Arial"/>
          <w:sz w:val="24"/>
          <w:szCs w:val="24"/>
        </w:rPr>
        <w:t xml:space="preserve">a señora </w:t>
      </w:r>
      <w:proofErr w:type="spellStart"/>
      <w:r w:rsidRPr="001131C4">
        <w:rPr>
          <w:rFonts w:cs="Arial"/>
          <w:sz w:val="24"/>
          <w:szCs w:val="24"/>
        </w:rPr>
        <w:t>Alisadiela</w:t>
      </w:r>
      <w:proofErr w:type="spellEnd"/>
      <w:r w:rsidRPr="001131C4">
        <w:rPr>
          <w:rFonts w:cs="Arial"/>
          <w:sz w:val="24"/>
          <w:szCs w:val="24"/>
        </w:rPr>
        <w:t xml:space="preserve"> Arias </w:t>
      </w:r>
      <w:r w:rsidR="00AE1E9F" w:rsidRPr="001131C4">
        <w:rPr>
          <w:rFonts w:cs="Arial"/>
          <w:sz w:val="24"/>
          <w:szCs w:val="24"/>
        </w:rPr>
        <w:t xml:space="preserve">se vinculó al </w:t>
      </w:r>
      <w:r w:rsidR="00967AFC">
        <w:rPr>
          <w:rFonts w:cs="Arial"/>
          <w:sz w:val="24"/>
          <w:szCs w:val="24"/>
        </w:rPr>
        <w:t>M</w:t>
      </w:r>
      <w:r w:rsidR="00AE1E9F" w:rsidRPr="001131C4">
        <w:rPr>
          <w:rFonts w:cs="Arial"/>
          <w:sz w:val="24"/>
          <w:szCs w:val="24"/>
        </w:rPr>
        <w:t xml:space="preserve">inisterio </w:t>
      </w:r>
      <w:r w:rsidR="00967AFC">
        <w:rPr>
          <w:rFonts w:cs="Arial"/>
          <w:sz w:val="24"/>
          <w:szCs w:val="24"/>
        </w:rPr>
        <w:t>de D</w:t>
      </w:r>
      <w:r w:rsidR="00AE1E9F" w:rsidRPr="001131C4">
        <w:rPr>
          <w:rFonts w:cs="Arial"/>
          <w:sz w:val="24"/>
          <w:szCs w:val="24"/>
        </w:rPr>
        <w:t>efensa el</w:t>
      </w:r>
      <w:r w:rsidRPr="001131C4">
        <w:rPr>
          <w:rFonts w:cs="Arial"/>
          <w:sz w:val="24"/>
          <w:szCs w:val="24"/>
        </w:rPr>
        <w:t xml:space="preserve"> 1° de</w:t>
      </w:r>
      <w:r w:rsidR="00AE1E9F" w:rsidRPr="001131C4">
        <w:rPr>
          <w:rFonts w:cs="Arial"/>
          <w:sz w:val="24"/>
          <w:szCs w:val="24"/>
        </w:rPr>
        <w:t xml:space="preserve"> octubre de 1983</w:t>
      </w:r>
      <w:r w:rsidR="00967AFC">
        <w:rPr>
          <w:rFonts w:cs="Arial"/>
          <w:sz w:val="24"/>
          <w:szCs w:val="24"/>
        </w:rPr>
        <w:t>,</w:t>
      </w:r>
      <w:r w:rsidR="00AE1E9F" w:rsidRPr="001131C4">
        <w:rPr>
          <w:rFonts w:cs="Arial"/>
          <w:sz w:val="24"/>
          <w:szCs w:val="24"/>
        </w:rPr>
        <w:t xml:space="preserve"> </w:t>
      </w:r>
      <w:r w:rsidRPr="001131C4">
        <w:rPr>
          <w:rFonts w:cs="Arial"/>
          <w:sz w:val="24"/>
          <w:szCs w:val="24"/>
        </w:rPr>
        <w:t>en calidad de em</w:t>
      </w:r>
      <w:r w:rsidR="00AE1E9F" w:rsidRPr="001131C4">
        <w:rPr>
          <w:rFonts w:cs="Arial"/>
          <w:sz w:val="24"/>
          <w:szCs w:val="24"/>
        </w:rPr>
        <w:t xml:space="preserve">pleada pública </w:t>
      </w:r>
      <w:r w:rsidRPr="001131C4">
        <w:rPr>
          <w:rFonts w:cs="Arial"/>
          <w:sz w:val="24"/>
          <w:szCs w:val="24"/>
        </w:rPr>
        <w:t>d</w:t>
      </w:r>
      <w:r w:rsidR="00AE1E9F" w:rsidRPr="001131C4">
        <w:rPr>
          <w:rFonts w:cs="Arial"/>
          <w:sz w:val="24"/>
          <w:szCs w:val="24"/>
        </w:rPr>
        <w:t>el sector central</w:t>
      </w:r>
      <w:r w:rsidRPr="001131C4">
        <w:rPr>
          <w:rFonts w:cs="Arial"/>
          <w:sz w:val="24"/>
          <w:szCs w:val="24"/>
        </w:rPr>
        <w:t>.</w:t>
      </w:r>
    </w:p>
    <w:p w14:paraId="2A9F8D86" w14:textId="77777777" w:rsidR="00970FCA" w:rsidRPr="001131C4" w:rsidRDefault="00970FCA" w:rsidP="00AE1E9F">
      <w:pPr>
        <w:spacing w:line="360" w:lineRule="auto"/>
        <w:rPr>
          <w:rFonts w:cs="Arial"/>
          <w:sz w:val="24"/>
          <w:szCs w:val="24"/>
        </w:rPr>
      </w:pPr>
    </w:p>
    <w:p w14:paraId="137DA3CA" w14:textId="79E8EF18" w:rsidR="00970FCA" w:rsidRPr="001131C4" w:rsidRDefault="00970FCA" w:rsidP="00AE1E9F">
      <w:pPr>
        <w:spacing w:line="360" w:lineRule="auto"/>
        <w:rPr>
          <w:rFonts w:cs="Arial"/>
          <w:sz w:val="24"/>
          <w:szCs w:val="24"/>
        </w:rPr>
      </w:pPr>
      <w:r w:rsidRPr="001131C4">
        <w:rPr>
          <w:rFonts w:cs="Arial"/>
          <w:sz w:val="24"/>
          <w:szCs w:val="24"/>
        </w:rPr>
        <w:t>2.2.-</w:t>
      </w:r>
      <w:r w:rsidR="00AE1E9F" w:rsidRPr="001131C4">
        <w:rPr>
          <w:rFonts w:cs="Arial"/>
          <w:sz w:val="24"/>
          <w:szCs w:val="24"/>
        </w:rPr>
        <w:t xml:space="preserve"> </w:t>
      </w:r>
      <w:r w:rsidRPr="001131C4">
        <w:rPr>
          <w:rFonts w:cs="Arial"/>
          <w:sz w:val="24"/>
          <w:szCs w:val="24"/>
        </w:rPr>
        <w:t>El</w:t>
      </w:r>
      <w:r w:rsidR="00AE1E9F" w:rsidRPr="001131C4">
        <w:rPr>
          <w:rFonts w:cs="Arial"/>
          <w:sz w:val="24"/>
          <w:szCs w:val="24"/>
        </w:rPr>
        <w:t xml:space="preserve"> 1</w:t>
      </w:r>
      <w:r w:rsidRPr="001131C4">
        <w:rPr>
          <w:rFonts w:cs="Arial"/>
          <w:sz w:val="24"/>
          <w:szCs w:val="24"/>
        </w:rPr>
        <w:t>°</w:t>
      </w:r>
      <w:r w:rsidR="00AE1E9F" w:rsidRPr="001131C4">
        <w:rPr>
          <w:rFonts w:cs="Arial"/>
          <w:sz w:val="24"/>
          <w:szCs w:val="24"/>
        </w:rPr>
        <w:t xml:space="preserve"> de marzo de 1996</w:t>
      </w:r>
      <w:r w:rsidRPr="001131C4">
        <w:rPr>
          <w:rFonts w:cs="Arial"/>
          <w:sz w:val="24"/>
          <w:szCs w:val="24"/>
        </w:rPr>
        <w:t>,</w:t>
      </w:r>
      <w:r w:rsidR="00AE1E9F" w:rsidRPr="001131C4">
        <w:rPr>
          <w:rFonts w:cs="Arial"/>
          <w:sz w:val="24"/>
          <w:szCs w:val="24"/>
        </w:rPr>
        <w:t xml:space="preserve"> fue incorporada </w:t>
      </w:r>
      <w:r w:rsidRPr="001131C4">
        <w:rPr>
          <w:rFonts w:cs="Arial"/>
          <w:sz w:val="24"/>
          <w:szCs w:val="24"/>
        </w:rPr>
        <w:t xml:space="preserve">a </w:t>
      </w:r>
      <w:r w:rsidR="00AE1E9F" w:rsidRPr="001131C4">
        <w:rPr>
          <w:rFonts w:cs="Arial"/>
          <w:sz w:val="24"/>
          <w:szCs w:val="24"/>
        </w:rPr>
        <w:t xml:space="preserve">la planta global de personal del Instituto de </w:t>
      </w:r>
      <w:r w:rsidRPr="001131C4">
        <w:rPr>
          <w:rFonts w:cs="Arial"/>
          <w:sz w:val="24"/>
          <w:szCs w:val="24"/>
        </w:rPr>
        <w:t>S</w:t>
      </w:r>
      <w:r w:rsidR="00AE1E9F" w:rsidRPr="001131C4">
        <w:rPr>
          <w:rFonts w:cs="Arial"/>
          <w:sz w:val="24"/>
          <w:szCs w:val="24"/>
        </w:rPr>
        <w:t xml:space="preserve">alud de las </w:t>
      </w:r>
      <w:r w:rsidRPr="001131C4">
        <w:rPr>
          <w:rFonts w:cs="Arial"/>
          <w:sz w:val="24"/>
          <w:szCs w:val="24"/>
        </w:rPr>
        <w:t>F</w:t>
      </w:r>
      <w:r w:rsidR="00AE1E9F" w:rsidRPr="001131C4">
        <w:rPr>
          <w:rFonts w:cs="Arial"/>
          <w:sz w:val="24"/>
          <w:szCs w:val="24"/>
        </w:rPr>
        <w:t xml:space="preserve">uerzas </w:t>
      </w:r>
      <w:r w:rsidRPr="001131C4">
        <w:rPr>
          <w:rFonts w:cs="Arial"/>
          <w:sz w:val="24"/>
          <w:szCs w:val="24"/>
        </w:rPr>
        <w:t>M</w:t>
      </w:r>
      <w:r w:rsidR="00AE1E9F" w:rsidRPr="001131C4">
        <w:rPr>
          <w:rFonts w:cs="Arial"/>
          <w:sz w:val="24"/>
          <w:szCs w:val="24"/>
        </w:rPr>
        <w:t>ilitares</w:t>
      </w:r>
      <w:r w:rsidRPr="001131C4">
        <w:rPr>
          <w:rFonts w:cs="Arial"/>
          <w:sz w:val="24"/>
          <w:szCs w:val="24"/>
        </w:rPr>
        <w:t>,</w:t>
      </w:r>
      <w:r w:rsidR="00AE1E9F" w:rsidRPr="001131C4">
        <w:rPr>
          <w:rFonts w:cs="Arial"/>
          <w:sz w:val="24"/>
          <w:szCs w:val="24"/>
        </w:rPr>
        <w:t xml:space="preserve"> según acta de posición</w:t>
      </w:r>
      <w:r w:rsidRPr="001131C4">
        <w:rPr>
          <w:rFonts w:cs="Arial"/>
          <w:sz w:val="24"/>
          <w:szCs w:val="24"/>
        </w:rPr>
        <w:t xml:space="preserve"> 5</w:t>
      </w:r>
      <w:r w:rsidR="00AE1E9F" w:rsidRPr="001131C4">
        <w:rPr>
          <w:rFonts w:cs="Arial"/>
          <w:sz w:val="24"/>
          <w:szCs w:val="24"/>
        </w:rPr>
        <w:t>86</w:t>
      </w:r>
      <w:r w:rsidRPr="001131C4">
        <w:rPr>
          <w:rFonts w:cs="Arial"/>
          <w:sz w:val="24"/>
          <w:szCs w:val="24"/>
        </w:rPr>
        <w:t>.</w:t>
      </w:r>
    </w:p>
    <w:p w14:paraId="0795B116" w14:textId="77777777" w:rsidR="00970FCA" w:rsidRPr="001131C4" w:rsidRDefault="00970FCA" w:rsidP="00AE1E9F">
      <w:pPr>
        <w:spacing w:line="360" w:lineRule="auto"/>
        <w:rPr>
          <w:rFonts w:cs="Arial"/>
          <w:sz w:val="24"/>
          <w:szCs w:val="24"/>
        </w:rPr>
      </w:pPr>
    </w:p>
    <w:p w14:paraId="44667CF1" w14:textId="1196ACC2" w:rsidR="00970FCA" w:rsidRPr="001131C4" w:rsidRDefault="00970FCA" w:rsidP="00AE1E9F">
      <w:pPr>
        <w:spacing w:line="360" w:lineRule="auto"/>
        <w:rPr>
          <w:rFonts w:cs="Arial"/>
          <w:sz w:val="24"/>
          <w:szCs w:val="24"/>
        </w:rPr>
      </w:pPr>
      <w:r w:rsidRPr="001131C4">
        <w:rPr>
          <w:rFonts w:cs="Arial"/>
          <w:sz w:val="24"/>
          <w:szCs w:val="24"/>
        </w:rPr>
        <w:t>2.</w:t>
      </w:r>
      <w:r w:rsidR="003C65EE">
        <w:rPr>
          <w:rFonts w:cs="Arial"/>
          <w:sz w:val="24"/>
          <w:szCs w:val="24"/>
        </w:rPr>
        <w:t>3</w:t>
      </w:r>
      <w:r w:rsidRPr="001131C4">
        <w:rPr>
          <w:rFonts w:cs="Arial"/>
          <w:sz w:val="24"/>
          <w:szCs w:val="24"/>
        </w:rPr>
        <w:t>.-</w:t>
      </w:r>
      <w:r w:rsidR="00AE1E9F" w:rsidRPr="001131C4">
        <w:rPr>
          <w:rFonts w:cs="Arial"/>
          <w:sz w:val="24"/>
          <w:szCs w:val="24"/>
        </w:rPr>
        <w:t xml:space="preserve"> </w:t>
      </w:r>
      <w:r w:rsidRPr="001131C4">
        <w:rPr>
          <w:rFonts w:cs="Arial"/>
          <w:sz w:val="24"/>
          <w:szCs w:val="24"/>
        </w:rPr>
        <w:t>C</w:t>
      </w:r>
      <w:r w:rsidR="00AE1E9F" w:rsidRPr="001131C4">
        <w:rPr>
          <w:rFonts w:cs="Arial"/>
          <w:sz w:val="24"/>
          <w:szCs w:val="24"/>
        </w:rPr>
        <w:t xml:space="preserve">on ocasión de la supresión del </w:t>
      </w:r>
      <w:r w:rsidRPr="001131C4">
        <w:rPr>
          <w:rFonts w:cs="Arial"/>
          <w:sz w:val="24"/>
          <w:szCs w:val="24"/>
        </w:rPr>
        <w:t>Instituto de Salud de las Fuerzas Militares</w:t>
      </w:r>
      <w:r w:rsidR="00A24863">
        <w:rPr>
          <w:rFonts w:cs="Arial"/>
          <w:sz w:val="24"/>
          <w:szCs w:val="24"/>
        </w:rPr>
        <w:t>,</w:t>
      </w:r>
      <w:r w:rsidRPr="001131C4">
        <w:rPr>
          <w:rFonts w:cs="Arial"/>
          <w:sz w:val="24"/>
          <w:szCs w:val="24"/>
        </w:rPr>
        <w:t xml:space="preserve"> </w:t>
      </w:r>
      <w:r w:rsidR="00AE1E9F" w:rsidRPr="001131C4">
        <w:rPr>
          <w:rFonts w:cs="Arial"/>
          <w:sz w:val="24"/>
          <w:szCs w:val="24"/>
        </w:rPr>
        <w:t>dispuest</w:t>
      </w:r>
      <w:r w:rsidR="00A24863">
        <w:rPr>
          <w:rFonts w:cs="Arial"/>
          <w:sz w:val="24"/>
          <w:szCs w:val="24"/>
        </w:rPr>
        <w:t>a</w:t>
      </w:r>
      <w:r w:rsidR="00AE1E9F" w:rsidRPr="001131C4">
        <w:rPr>
          <w:rFonts w:cs="Arial"/>
          <w:sz w:val="24"/>
          <w:szCs w:val="24"/>
        </w:rPr>
        <w:t xml:space="preserve"> por el artículo 53 de la </w:t>
      </w:r>
      <w:r w:rsidR="00967AFC">
        <w:rPr>
          <w:rFonts w:cs="Arial"/>
          <w:sz w:val="24"/>
          <w:szCs w:val="24"/>
        </w:rPr>
        <w:t>Ley</w:t>
      </w:r>
      <w:r w:rsidR="00AE1E9F" w:rsidRPr="001131C4">
        <w:rPr>
          <w:rFonts w:cs="Arial"/>
          <w:sz w:val="24"/>
          <w:szCs w:val="24"/>
        </w:rPr>
        <w:t xml:space="preserve"> </w:t>
      </w:r>
      <w:r w:rsidR="00243515">
        <w:rPr>
          <w:rFonts w:cs="Arial"/>
          <w:sz w:val="24"/>
          <w:szCs w:val="24"/>
        </w:rPr>
        <w:t>3</w:t>
      </w:r>
      <w:r w:rsidR="00AE1E9F" w:rsidRPr="001131C4">
        <w:rPr>
          <w:rFonts w:cs="Arial"/>
          <w:sz w:val="24"/>
          <w:szCs w:val="24"/>
        </w:rPr>
        <w:t>52 de 1997</w:t>
      </w:r>
      <w:r w:rsidRPr="001131C4">
        <w:rPr>
          <w:rFonts w:cs="Arial"/>
          <w:sz w:val="24"/>
          <w:szCs w:val="24"/>
        </w:rPr>
        <w:t>,</w:t>
      </w:r>
      <w:r w:rsidR="00AE1E9F" w:rsidRPr="001131C4">
        <w:rPr>
          <w:rFonts w:cs="Arial"/>
          <w:sz w:val="24"/>
          <w:szCs w:val="24"/>
        </w:rPr>
        <w:t xml:space="preserve"> la demandante fue incorporada en la planta de </w:t>
      </w:r>
      <w:r w:rsidRPr="001131C4">
        <w:rPr>
          <w:rFonts w:cs="Arial"/>
          <w:sz w:val="24"/>
          <w:szCs w:val="24"/>
        </w:rPr>
        <w:t>S</w:t>
      </w:r>
      <w:r w:rsidR="00AE1E9F" w:rsidRPr="001131C4">
        <w:rPr>
          <w:rFonts w:cs="Arial"/>
          <w:sz w:val="24"/>
          <w:szCs w:val="24"/>
        </w:rPr>
        <w:t xml:space="preserve">alud del </w:t>
      </w:r>
      <w:r w:rsidRPr="001131C4">
        <w:rPr>
          <w:rFonts w:cs="Arial"/>
          <w:sz w:val="24"/>
          <w:szCs w:val="24"/>
        </w:rPr>
        <w:t>M</w:t>
      </w:r>
      <w:r w:rsidR="00AE1E9F" w:rsidRPr="001131C4">
        <w:rPr>
          <w:rFonts w:cs="Arial"/>
          <w:sz w:val="24"/>
          <w:szCs w:val="24"/>
        </w:rPr>
        <w:t xml:space="preserve">inisterio </w:t>
      </w:r>
      <w:r w:rsidRPr="001131C4">
        <w:rPr>
          <w:rFonts w:cs="Arial"/>
          <w:sz w:val="24"/>
          <w:szCs w:val="24"/>
        </w:rPr>
        <w:t>de D</w:t>
      </w:r>
      <w:r w:rsidR="00AE1E9F" w:rsidRPr="001131C4">
        <w:rPr>
          <w:rFonts w:cs="Arial"/>
          <w:sz w:val="24"/>
          <w:szCs w:val="24"/>
        </w:rPr>
        <w:t xml:space="preserve">efensa </w:t>
      </w:r>
      <w:r w:rsidRPr="001131C4">
        <w:rPr>
          <w:rFonts w:cs="Arial"/>
          <w:sz w:val="24"/>
          <w:szCs w:val="24"/>
        </w:rPr>
        <w:t>N</w:t>
      </w:r>
      <w:r w:rsidR="00AE1E9F" w:rsidRPr="001131C4">
        <w:rPr>
          <w:rFonts w:cs="Arial"/>
          <w:sz w:val="24"/>
          <w:szCs w:val="24"/>
        </w:rPr>
        <w:t>acional</w:t>
      </w:r>
      <w:r w:rsidRPr="001131C4">
        <w:rPr>
          <w:rFonts w:cs="Arial"/>
          <w:sz w:val="24"/>
          <w:szCs w:val="24"/>
        </w:rPr>
        <w:t>.</w:t>
      </w:r>
    </w:p>
    <w:p w14:paraId="1FEB13A0" w14:textId="77777777" w:rsidR="00970FCA" w:rsidRPr="001131C4" w:rsidRDefault="00970FCA" w:rsidP="00AE1E9F">
      <w:pPr>
        <w:spacing w:line="360" w:lineRule="auto"/>
        <w:rPr>
          <w:rFonts w:cs="Arial"/>
          <w:sz w:val="24"/>
          <w:szCs w:val="24"/>
        </w:rPr>
      </w:pPr>
    </w:p>
    <w:p w14:paraId="2B2D3D6B" w14:textId="0DA2B6C8" w:rsidR="00554231" w:rsidRPr="001131C4" w:rsidRDefault="00970FCA" w:rsidP="00AE1E9F">
      <w:pPr>
        <w:spacing w:line="360" w:lineRule="auto"/>
        <w:rPr>
          <w:rFonts w:cs="Arial"/>
          <w:sz w:val="24"/>
          <w:szCs w:val="24"/>
        </w:rPr>
      </w:pPr>
      <w:r w:rsidRPr="001131C4">
        <w:rPr>
          <w:rFonts w:cs="Arial"/>
          <w:sz w:val="24"/>
          <w:szCs w:val="24"/>
        </w:rPr>
        <w:t>2.</w:t>
      </w:r>
      <w:r w:rsidR="003C65EE">
        <w:rPr>
          <w:rFonts w:cs="Arial"/>
          <w:sz w:val="24"/>
          <w:szCs w:val="24"/>
        </w:rPr>
        <w:t>4</w:t>
      </w:r>
      <w:r w:rsidRPr="001131C4">
        <w:rPr>
          <w:rFonts w:cs="Arial"/>
          <w:sz w:val="24"/>
          <w:szCs w:val="24"/>
        </w:rPr>
        <w:t>.-</w:t>
      </w:r>
      <w:r w:rsidR="00AE1E9F" w:rsidRPr="001131C4">
        <w:rPr>
          <w:rFonts w:cs="Arial"/>
          <w:sz w:val="24"/>
          <w:szCs w:val="24"/>
        </w:rPr>
        <w:t xml:space="preserve"> </w:t>
      </w:r>
      <w:r w:rsidRPr="001131C4">
        <w:rPr>
          <w:rFonts w:cs="Arial"/>
          <w:sz w:val="24"/>
          <w:szCs w:val="24"/>
        </w:rPr>
        <w:t xml:space="preserve">El 2 de mayo de 2004, fue retirada del servicio </w:t>
      </w:r>
      <w:r w:rsidR="008B73E9" w:rsidRPr="001131C4">
        <w:rPr>
          <w:rFonts w:cs="Arial"/>
          <w:sz w:val="24"/>
          <w:szCs w:val="24"/>
        </w:rPr>
        <w:t xml:space="preserve">y </w:t>
      </w:r>
      <w:r w:rsidR="00AE1E9F" w:rsidRPr="001131C4">
        <w:rPr>
          <w:rFonts w:cs="Arial"/>
          <w:sz w:val="24"/>
          <w:szCs w:val="24"/>
        </w:rPr>
        <w:t>mediante resolución</w:t>
      </w:r>
      <w:r w:rsidRPr="001131C4">
        <w:rPr>
          <w:rFonts w:cs="Arial"/>
          <w:sz w:val="24"/>
          <w:szCs w:val="24"/>
        </w:rPr>
        <w:t xml:space="preserve"> </w:t>
      </w:r>
      <w:r w:rsidR="00AE1E9F" w:rsidRPr="001131C4">
        <w:rPr>
          <w:rFonts w:cs="Arial"/>
          <w:sz w:val="24"/>
          <w:szCs w:val="24"/>
        </w:rPr>
        <w:t xml:space="preserve">2324 </w:t>
      </w:r>
      <w:r w:rsidRPr="001131C4">
        <w:rPr>
          <w:rFonts w:cs="Arial"/>
          <w:sz w:val="24"/>
          <w:szCs w:val="24"/>
        </w:rPr>
        <w:t>d</w:t>
      </w:r>
      <w:r w:rsidR="00AE1E9F" w:rsidRPr="001131C4">
        <w:rPr>
          <w:rFonts w:cs="Arial"/>
          <w:sz w:val="24"/>
          <w:szCs w:val="24"/>
        </w:rPr>
        <w:t>el 13 de septiembre de 2004</w:t>
      </w:r>
      <w:r w:rsidRPr="001131C4">
        <w:rPr>
          <w:rFonts w:cs="Arial"/>
          <w:sz w:val="24"/>
          <w:szCs w:val="24"/>
        </w:rPr>
        <w:t xml:space="preserve">, </w:t>
      </w:r>
      <w:r w:rsidR="008B73E9" w:rsidRPr="001131C4">
        <w:rPr>
          <w:rFonts w:cs="Arial"/>
          <w:sz w:val="24"/>
          <w:szCs w:val="24"/>
        </w:rPr>
        <w:t xml:space="preserve">le fue reconocida </w:t>
      </w:r>
      <w:r w:rsidRPr="001131C4">
        <w:rPr>
          <w:rFonts w:cs="Arial"/>
          <w:sz w:val="24"/>
          <w:szCs w:val="24"/>
        </w:rPr>
        <w:t>la pensión de jubilación</w:t>
      </w:r>
      <w:r w:rsidR="00554231" w:rsidRPr="001131C4">
        <w:rPr>
          <w:rFonts w:cs="Arial"/>
          <w:sz w:val="24"/>
          <w:szCs w:val="24"/>
        </w:rPr>
        <w:t>.</w:t>
      </w:r>
    </w:p>
    <w:p w14:paraId="0E4170F9" w14:textId="77777777" w:rsidR="00554231" w:rsidRPr="001131C4" w:rsidRDefault="00554231" w:rsidP="00AE1E9F">
      <w:pPr>
        <w:spacing w:line="360" w:lineRule="auto"/>
        <w:rPr>
          <w:rFonts w:cs="Arial"/>
          <w:sz w:val="24"/>
          <w:szCs w:val="24"/>
        </w:rPr>
      </w:pPr>
    </w:p>
    <w:p w14:paraId="7F11EC7A" w14:textId="625DAFCF" w:rsidR="00AE1E9F" w:rsidRPr="001131C4" w:rsidRDefault="00554231" w:rsidP="00AE1E9F">
      <w:pPr>
        <w:spacing w:line="360" w:lineRule="auto"/>
        <w:rPr>
          <w:rFonts w:cs="Arial"/>
          <w:sz w:val="24"/>
          <w:szCs w:val="24"/>
        </w:rPr>
      </w:pPr>
      <w:r w:rsidRPr="001131C4">
        <w:rPr>
          <w:rFonts w:cs="Arial"/>
          <w:sz w:val="24"/>
          <w:szCs w:val="24"/>
        </w:rPr>
        <w:t>2.</w:t>
      </w:r>
      <w:r w:rsidR="003C65EE">
        <w:rPr>
          <w:rFonts w:cs="Arial"/>
          <w:sz w:val="24"/>
          <w:szCs w:val="24"/>
        </w:rPr>
        <w:t>5</w:t>
      </w:r>
      <w:r w:rsidRPr="001131C4">
        <w:rPr>
          <w:rFonts w:cs="Arial"/>
          <w:sz w:val="24"/>
          <w:szCs w:val="24"/>
        </w:rPr>
        <w:t>.-</w:t>
      </w:r>
      <w:r w:rsidR="00AE1E9F" w:rsidRPr="001131C4">
        <w:rPr>
          <w:rFonts w:cs="Arial"/>
          <w:sz w:val="24"/>
          <w:szCs w:val="24"/>
        </w:rPr>
        <w:t xml:space="preserve"> </w:t>
      </w:r>
      <w:r w:rsidRPr="001131C4">
        <w:rPr>
          <w:rFonts w:cs="Arial"/>
          <w:sz w:val="24"/>
          <w:szCs w:val="24"/>
        </w:rPr>
        <w:t>Posterior</w:t>
      </w:r>
      <w:r w:rsidR="00AE1E9F" w:rsidRPr="001131C4">
        <w:rPr>
          <w:rFonts w:cs="Arial"/>
          <w:sz w:val="24"/>
          <w:szCs w:val="24"/>
        </w:rPr>
        <w:t>mente</w:t>
      </w:r>
      <w:r w:rsidR="00140777" w:rsidRPr="001131C4">
        <w:rPr>
          <w:rFonts w:cs="Arial"/>
          <w:sz w:val="24"/>
          <w:szCs w:val="24"/>
        </w:rPr>
        <w:t>,</w:t>
      </w:r>
      <w:r w:rsidR="00AE1E9F" w:rsidRPr="001131C4">
        <w:rPr>
          <w:rFonts w:cs="Arial"/>
          <w:sz w:val="24"/>
          <w:szCs w:val="24"/>
        </w:rPr>
        <w:t xml:space="preserve"> mediante petición</w:t>
      </w:r>
      <w:r w:rsidR="00DA6D60">
        <w:rPr>
          <w:rFonts w:cs="Arial"/>
          <w:sz w:val="24"/>
          <w:szCs w:val="24"/>
        </w:rPr>
        <w:t>,</w:t>
      </w:r>
      <w:r w:rsidR="00AE1E9F" w:rsidRPr="001131C4">
        <w:rPr>
          <w:rFonts w:cs="Arial"/>
          <w:sz w:val="24"/>
          <w:szCs w:val="24"/>
        </w:rPr>
        <w:t xml:space="preserve"> la actora solicitó al </w:t>
      </w:r>
      <w:r w:rsidRPr="001131C4">
        <w:rPr>
          <w:rFonts w:cs="Arial"/>
          <w:sz w:val="24"/>
          <w:szCs w:val="24"/>
        </w:rPr>
        <w:t>M</w:t>
      </w:r>
      <w:r w:rsidR="00AE1E9F" w:rsidRPr="001131C4">
        <w:rPr>
          <w:rFonts w:cs="Arial"/>
          <w:sz w:val="24"/>
          <w:szCs w:val="24"/>
        </w:rPr>
        <w:t xml:space="preserve">inisterio de </w:t>
      </w:r>
      <w:r w:rsidRPr="001131C4">
        <w:rPr>
          <w:rFonts w:cs="Arial"/>
          <w:sz w:val="24"/>
          <w:szCs w:val="24"/>
        </w:rPr>
        <w:t>D</w:t>
      </w:r>
      <w:r w:rsidR="00AE1E9F" w:rsidRPr="001131C4">
        <w:rPr>
          <w:rFonts w:cs="Arial"/>
          <w:sz w:val="24"/>
          <w:szCs w:val="24"/>
        </w:rPr>
        <w:t xml:space="preserve">efensa </w:t>
      </w:r>
      <w:r w:rsidR="00140777" w:rsidRPr="001131C4">
        <w:rPr>
          <w:rFonts w:cs="Arial"/>
          <w:sz w:val="24"/>
          <w:szCs w:val="24"/>
        </w:rPr>
        <w:t>N</w:t>
      </w:r>
      <w:r w:rsidR="00AE1E9F" w:rsidRPr="001131C4">
        <w:rPr>
          <w:rFonts w:cs="Arial"/>
          <w:sz w:val="24"/>
          <w:szCs w:val="24"/>
        </w:rPr>
        <w:t>acional</w:t>
      </w:r>
      <w:r w:rsidR="00140777" w:rsidRPr="001131C4">
        <w:rPr>
          <w:rFonts w:cs="Arial"/>
          <w:sz w:val="24"/>
          <w:szCs w:val="24"/>
        </w:rPr>
        <w:t xml:space="preserve"> </w:t>
      </w:r>
      <w:r w:rsidR="00243515">
        <w:rPr>
          <w:rFonts w:cs="Arial"/>
          <w:sz w:val="24"/>
          <w:szCs w:val="24"/>
        </w:rPr>
        <w:t>–</w:t>
      </w:r>
      <w:r w:rsidR="00AE1E9F" w:rsidRPr="001131C4">
        <w:rPr>
          <w:rFonts w:cs="Arial"/>
          <w:sz w:val="24"/>
          <w:szCs w:val="24"/>
        </w:rPr>
        <w:t xml:space="preserve"> </w:t>
      </w:r>
      <w:r w:rsidR="00140777" w:rsidRPr="001131C4">
        <w:rPr>
          <w:rFonts w:cs="Arial"/>
          <w:sz w:val="24"/>
          <w:szCs w:val="24"/>
        </w:rPr>
        <w:t>G</w:t>
      </w:r>
      <w:r w:rsidR="00AE1E9F" w:rsidRPr="001131C4">
        <w:rPr>
          <w:rFonts w:cs="Arial"/>
          <w:sz w:val="24"/>
          <w:szCs w:val="24"/>
        </w:rPr>
        <w:t xml:space="preserve">rupo de </w:t>
      </w:r>
      <w:r w:rsidR="00140777" w:rsidRPr="001131C4">
        <w:rPr>
          <w:rFonts w:cs="Arial"/>
          <w:sz w:val="24"/>
          <w:szCs w:val="24"/>
        </w:rPr>
        <w:t>P</w:t>
      </w:r>
      <w:r w:rsidR="00AE1E9F" w:rsidRPr="001131C4">
        <w:rPr>
          <w:rFonts w:cs="Arial"/>
          <w:sz w:val="24"/>
          <w:szCs w:val="24"/>
        </w:rPr>
        <w:t xml:space="preserve">restaciones </w:t>
      </w:r>
      <w:r w:rsidR="00140777" w:rsidRPr="001131C4">
        <w:rPr>
          <w:rFonts w:cs="Arial"/>
          <w:sz w:val="24"/>
          <w:szCs w:val="24"/>
        </w:rPr>
        <w:t>S</w:t>
      </w:r>
      <w:r w:rsidR="00AE1E9F" w:rsidRPr="001131C4">
        <w:rPr>
          <w:rFonts w:cs="Arial"/>
          <w:sz w:val="24"/>
          <w:szCs w:val="24"/>
        </w:rPr>
        <w:t>ociales</w:t>
      </w:r>
      <w:r w:rsidR="00140777" w:rsidRPr="001131C4">
        <w:rPr>
          <w:rFonts w:cs="Arial"/>
          <w:sz w:val="24"/>
          <w:szCs w:val="24"/>
        </w:rPr>
        <w:t>,</w:t>
      </w:r>
      <w:r w:rsidR="00AE1E9F" w:rsidRPr="001131C4">
        <w:rPr>
          <w:rFonts w:cs="Arial"/>
          <w:sz w:val="24"/>
          <w:szCs w:val="24"/>
        </w:rPr>
        <w:t xml:space="preserve"> la reliquidación de su pensión de jubilación con inclusión de la partida de prima de actividad</w:t>
      </w:r>
      <w:r w:rsidR="00DA6D60">
        <w:rPr>
          <w:rFonts w:cs="Arial"/>
          <w:sz w:val="24"/>
          <w:szCs w:val="24"/>
        </w:rPr>
        <w:t xml:space="preserve">; </w:t>
      </w:r>
      <w:r w:rsidR="00496DD5">
        <w:rPr>
          <w:rFonts w:cs="Arial"/>
          <w:sz w:val="24"/>
          <w:szCs w:val="24"/>
        </w:rPr>
        <w:t>pedimento</w:t>
      </w:r>
      <w:r w:rsidR="00140777" w:rsidRPr="001131C4">
        <w:rPr>
          <w:rFonts w:cs="Arial"/>
          <w:sz w:val="24"/>
          <w:szCs w:val="24"/>
        </w:rPr>
        <w:t xml:space="preserve"> </w:t>
      </w:r>
      <w:r w:rsidR="00DA6D60">
        <w:rPr>
          <w:rFonts w:cs="Arial"/>
          <w:sz w:val="24"/>
          <w:szCs w:val="24"/>
        </w:rPr>
        <w:t xml:space="preserve">que fue </w:t>
      </w:r>
      <w:r w:rsidR="00140777" w:rsidRPr="001131C4">
        <w:rPr>
          <w:rFonts w:cs="Arial"/>
          <w:sz w:val="24"/>
          <w:szCs w:val="24"/>
        </w:rPr>
        <w:t>despachad</w:t>
      </w:r>
      <w:r w:rsidR="00496DD5">
        <w:rPr>
          <w:rFonts w:cs="Arial"/>
          <w:sz w:val="24"/>
          <w:szCs w:val="24"/>
        </w:rPr>
        <w:t>o</w:t>
      </w:r>
      <w:r w:rsidR="00140777" w:rsidRPr="001131C4">
        <w:rPr>
          <w:rFonts w:cs="Arial"/>
          <w:sz w:val="24"/>
          <w:szCs w:val="24"/>
        </w:rPr>
        <w:t xml:space="preserve"> de manera negativa mediante oficio OFI16-70952</w:t>
      </w:r>
      <w:r w:rsidR="00243515" w:rsidRPr="00243515">
        <w:rPr>
          <w:rFonts w:cs="Arial"/>
          <w:sz w:val="24"/>
          <w:szCs w:val="24"/>
        </w:rPr>
        <w:t xml:space="preserve"> </w:t>
      </w:r>
      <w:r w:rsidR="00243515" w:rsidRPr="001131C4">
        <w:rPr>
          <w:rFonts w:cs="Arial"/>
          <w:sz w:val="24"/>
          <w:szCs w:val="24"/>
        </w:rPr>
        <w:t>del 8 de septiembre de 2016</w:t>
      </w:r>
      <w:r w:rsidR="00140777" w:rsidRPr="001131C4">
        <w:rPr>
          <w:rFonts w:cs="Arial"/>
          <w:sz w:val="24"/>
          <w:szCs w:val="24"/>
        </w:rPr>
        <w:t>.</w:t>
      </w:r>
    </w:p>
    <w:p w14:paraId="7CDF3A2A" w14:textId="77777777" w:rsidR="00554231" w:rsidRPr="001131C4" w:rsidRDefault="00554231" w:rsidP="00AE1E9F">
      <w:pPr>
        <w:spacing w:line="360" w:lineRule="auto"/>
        <w:rPr>
          <w:rFonts w:cs="Arial"/>
          <w:sz w:val="24"/>
          <w:szCs w:val="24"/>
        </w:rPr>
      </w:pPr>
    </w:p>
    <w:p w14:paraId="6DAA0100" w14:textId="5A1373CB" w:rsidR="00AE1E9F" w:rsidRPr="001131C4" w:rsidRDefault="00140777" w:rsidP="00AE1E9F">
      <w:pPr>
        <w:spacing w:line="360" w:lineRule="auto"/>
        <w:rPr>
          <w:rFonts w:cs="Arial"/>
          <w:sz w:val="24"/>
          <w:szCs w:val="24"/>
        </w:rPr>
      </w:pPr>
      <w:r w:rsidRPr="001131C4">
        <w:rPr>
          <w:rFonts w:cs="Arial"/>
          <w:sz w:val="24"/>
          <w:szCs w:val="24"/>
        </w:rPr>
        <w:t>2.</w:t>
      </w:r>
      <w:r w:rsidR="003C65EE">
        <w:rPr>
          <w:rFonts w:cs="Arial"/>
          <w:sz w:val="24"/>
          <w:szCs w:val="24"/>
        </w:rPr>
        <w:t>6</w:t>
      </w:r>
      <w:r w:rsidRPr="001131C4">
        <w:rPr>
          <w:rFonts w:cs="Arial"/>
          <w:sz w:val="24"/>
          <w:szCs w:val="24"/>
        </w:rPr>
        <w:t xml:space="preserve">.- Como consecuencia de lo anterior, </w:t>
      </w:r>
      <w:r w:rsidR="00AE1E9F" w:rsidRPr="001131C4">
        <w:rPr>
          <w:rFonts w:cs="Arial"/>
          <w:sz w:val="24"/>
          <w:szCs w:val="24"/>
        </w:rPr>
        <w:t>in</w:t>
      </w:r>
      <w:r w:rsidR="00855D1C">
        <w:rPr>
          <w:rFonts w:cs="Arial"/>
          <w:sz w:val="24"/>
          <w:szCs w:val="24"/>
        </w:rPr>
        <w:t>co</w:t>
      </w:r>
      <w:r w:rsidR="00AE1E9F" w:rsidRPr="001131C4">
        <w:rPr>
          <w:rFonts w:cs="Arial"/>
          <w:sz w:val="24"/>
          <w:szCs w:val="24"/>
        </w:rPr>
        <w:t>ó demanda en uso del medio de control de nulidad y restablecimiento del derecho</w:t>
      </w:r>
      <w:r w:rsidR="00243515">
        <w:rPr>
          <w:rFonts w:cs="Arial"/>
          <w:sz w:val="24"/>
          <w:szCs w:val="24"/>
        </w:rPr>
        <w:t xml:space="preserve"> en contra de la Nación – Ministerio de Defensa</w:t>
      </w:r>
      <w:r w:rsidR="00855D1C">
        <w:rPr>
          <w:rFonts w:cs="Arial"/>
          <w:sz w:val="24"/>
          <w:szCs w:val="24"/>
        </w:rPr>
        <w:t>,</w:t>
      </w:r>
      <w:r w:rsidR="00AE1E9F" w:rsidRPr="001131C4">
        <w:rPr>
          <w:rFonts w:cs="Arial"/>
          <w:sz w:val="24"/>
          <w:szCs w:val="24"/>
        </w:rPr>
        <w:t xml:space="preserve"> con el fin de solicitar la nulidad de</w:t>
      </w:r>
      <w:r w:rsidR="00243515">
        <w:rPr>
          <w:rFonts w:cs="Arial"/>
          <w:sz w:val="24"/>
          <w:szCs w:val="24"/>
        </w:rPr>
        <w:t xml:space="preserve">l oficio </w:t>
      </w:r>
      <w:r w:rsidR="004F2F5E" w:rsidRPr="001131C4">
        <w:rPr>
          <w:rFonts w:cs="Arial"/>
          <w:sz w:val="24"/>
          <w:szCs w:val="24"/>
        </w:rPr>
        <w:t>OFI16-70952</w:t>
      </w:r>
      <w:r w:rsidR="00243515">
        <w:rPr>
          <w:rFonts w:cs="Arial"/>
          <w:sz w:val="24"/>
          <w:szCs w:val="24"/>
        </w:rPr>
        <w:t>.</w:t>
      </w:r>
    </w:p>
    <w:p w14:paraId="3594D3EE" w14:textId="77777777" w:rsidR="004F2F5E" w:rsidRPr="001131C4" w:rsidRDefault="004F2F5E" w:rsidP="00AE1E9F">
      <w:pPr>
        <w:spacing w:line="360" w:lineRule="auto"/>
        <w:rPr>
          <w:rFonts w:cs="Arial"/>
          <w:sz w:val="24"/>
          <w:szCs w:val="24"/>
        </w:rPr>
      </w:pPr>
    </w:p>
    <w:p w14:paraId="2DF5406E" w14:textId="4BA6E13D" w:rsidR="00AE1E9F" w:rsidRPr="001131C4" w:rsidRDefault="004F2F5E" w:rsidP="00AE1E9F">
      <w:pPr>
        <w:spacing w:line="360" w:lineRule="auto"/>
        <w:rPr>
          <w:rFonts w:cs="Arial"/>
          <w:sz w:val="24"/>
          <w:szCs w:val="24"/>
        </w:rPr>
      </w:pPr>
      <w:r w:rsidRPr="001131C4">
        <w:rPr>
          <w:rFonts w:cs="Arial"/>
          <w:sz w:val="24"/>
          <w:szCs w:val="24"/>
        </w:rPr>
        <w:t>2.</w:t>
      </w:r>
      <w:r w:rsidR="003C65EE">
        <w:rPr>
          <w:rFonts w:cs="Arial"/>
          <w:sz w:val="24"/>
          <w:szCs w:val="24"/>
        </w:rPr>
        <w:t>7</w:t>
      </w:r>
      <w:r w:rsidRPr="001131C4">
        <w:rPr>
          <w:rFonts w:cs="Arial"/>
          <w:sz w:val="24"/>
          <w:szCs w:val="24"/>
        </w:rPr>
        <w:t xml:space="preserve">.- </w:t>
      </w:r>
      <w:r w:rsidR="00AE1E9F" w:rsidRPr="001131C4">
        <w:rPr>
          <w:rFonts w:cs="Arial"/>
          <w:sz w:val="24"/>
          <w:szCs w:val="24"/>
        </w:rPr>
        <w:t>El trámite correspondi</w:t>
      </w:r>
      <w:r w:rsidR="00DA6D60">
        <w:rPr>
          <w:rFonts w:cs="Arial"/>
          <w:sz w:val="24"/>
          <w:szCs w:val="24"/>
        </w:rPr>
        <w:t>ó</w:t>
      </w:r>
      <w:r w:rsidR="00AE1E9F" w:rsidRPr="001131C4">
        <w:rPr>
          <w:rFonts w:cs="Arial"/>
          <w:sz w:val="24"/>
          <w:szCs w:val="24"/>
        </w:rPr>
        <w:t xml:space="preserve"> en primera instancia al </w:t>
      </w:r>
      <w:r w:rsidRPr="001131C4">
        <w:rPr>
          <w:rFonts w:cs="Arial"/>
          <w:sz w:val="24"/>
          <w:szCs w:val="24"/>
        </w:rPr>
        <w:t>J</w:t>
      </w:r>
      <w:r w:rsidR="00AE1E9F" w:rsidRPr="001131C4">
        <w:rPr>
          <w:rFonts w:cs="Arial"/>
          <w:sz w:val="24"/>
          <w:szCs w:val="24"/>
        </w:rPr>
        <w:t xml:space="preserve">uzgado 47 </w:t>
      </w:r>
      <w:r w:rsidRPr="001131C4">
        <w:rPr>
          <w:rFonts w:cs="Arial"/>
          <w:sz w:val="24"/>
          <w:szCs w:val="24"/>
        </w:rPr>
        <w:t>A</w:t>
      </w:r>
      <w:r w:rsidR="00AE1E9F" w:rsidRPr="001131C4">
        <w:rPr>
          <w:rFonts w:cs="Arial"/>
          <w:sz w:val="24"/>
          <w:szCs w:val="24"/>
        </w:rPr>
        <w:t>dministrativo de Bogotá</w:t>
      </w:r>
      <w:r w:rsidR="0016578D" w:rsidRPr="001131C4">
        <w:rPr>
          <w:rFonts w:cs="Arial"/>
          <w:sz w:val="24"/>
          <w:szCs w:val="24"/>
        </w:rPr>
        <w:t>, bajo el radicado No. 11001334204720170006000, que el 17 de mayo de 2018</w:t>
      </w:r>
      <w:r w:rsidR="00AE1E9F" w:rsidRPr="001131C4">
        <w:rPr>
          <w:rFonts w:cs="Arial"/>
          <w:sz w:val="24"/>
          <w:szCs w:val="24"/>
        </w:rPr>
        <w:t xml:space="preserve"> accedió a las pretensiones de la demanda.</w:t>
      </w:r>
    </w:p>
    <w:p w14:paraId="1F022133" w14:textId="77777777" w:rsidR="004F2F5E" w:rsidRPr="001131C4" w:rsidRDefault="004F2F5E" w:rsidP="00AE1E9F">
      <w:pPr>
        <w:spacing w:line="360" w:lineRule="auto"/>
        <w:rPr>
          <w:rFonts w:cs="Arial"/>
          <w:sz w:val="24"/>
          <w:szCs w:val="24"/>
        </w:rPr>
      </w:pPr>
    </w:p>
    <w:p w14:paraId="7477FFF8" w14:textId="762420EB" w:rsidR="00317A00" w:rsidRPr="001131C4" w:rsidRDefault="004F2F5E" w:rsidP="00AE1E9F">
      <w:pPr>
        <w:spacing w:line="360" w:lineRule="auto"/>
        <w:rPr>
          <w:rFonts w:cs="Arial"/>
          <w:sz w:val="24"/>
          <w:szCs w:val="24"/>
        </w:rPr>
      </w:pPr>
      <w:r w:rsidRPr="001131C4">
        <w:rPr>
          <w:rFonts w:cs="Arial"/>
          <w:sz w:val="24"/>
          <w:szCs w:val="24"/>
        </w:rPr>
        <w:t>2.</w:t>
      </w:r>
      <w:r w:rsidR="003C65EE">
        <w:rPr>
          <w:rFonts w:cs="Arial"/>
          <w:sz w:val="24"/>
          <w:szCs w:val="24"/>
        </w:rPr>
        <w:t>8</w:t>
      </w:r>
      <w:r w:rsidRPr="001131C4">
        <w:rPr>
          <w:rFonts w:cs="Arial"/>
          <w:sz w:val="24"/>
          <w:szCs w:val="24"/>
        </w:rPr>
        <w:t xml:space="preserve">.- </w:t>
      </w:r>
      <w:r w:rsidR="00AE1E9F" w:rsidRPr="001131C4">
        <w:rPr>
          <w:rFonts w:cs="Arial"/>
          <w:sz w:val="24"/>
          <w:szCs w:val="24"/>
        </w:rPr>
        <w:t>La entidad demandada interpuso recurso de apelación</w:t>
      </w:r>
      <w:r w:rsidRPr="001131C4">
        <w:rPr>
          <w:rFonts w:cs="Arial"/>
          <w:sz w:val="24"/>
          <w:szCs w:val="24"/>
        </w:rPr>
        <w:t>.</w:t>
      </w:r>
      <w:r w:rsidR="00AE1E9F" w:rsidRPr="001131C4">
        <w:rPr>
          <w:rFonts w:cs="Arial"/>
          <w:sz w:val="24"/>
          <w:szCs w:val="24"/>
        </w:rPr>
        <w:t xml:space="preserve"> </w:t>
      </w:r>
      <w:r w:rsidRPr="001131C4">
        <w:rPr>
          <w:rFonts w:cs="Arial"/>
          <w:sz w:val="24"/>
          <w:szCs w:val="24"/>
        </w:rPr>
        <w:t>L</w:t>
      </w:r>
      <w:r w:rsidR="00AE1E9F" w:rsidRPr="001131C4">
        <w:rPr>
          <w:rFonts w:cs="Arial"/>
          <w:sz w:val="24"/>
          <w:szCs w:val="24"/>
        </w:rPr>
        <w:t xml:space="preserve">a alzada fue conocida por </w:t>
      </w:r>
      <w:r w:rsidRPr="001131C4">
        <w:rPr>
          <w:rFonts w:cs="Arial"/>
          <w:sz w:val="24"/>
          <w:szCs w:val="24"/>
        </w:rPr>
        <w:t>p</w:t>
      </w:r>
      <w:r w:rsidR="00AE1E9F" w:rsidRPr="001131C4">
        <w:rPr>
          <w:rFonts w:cs="Arial"/>
          <w:sz w:val="24"/>
          <w:szCs w:val="24"/>
        </w:rPr>
        <w:t xml:space="preserve">or la </w:t>
      </w:r>
      <w:r w:rsidRPr="001131C4">
        <w:rPr>
          <w:rFonts w:cs="Arial"/>
          <w:sz w:val="24"/>
          <w:szCs w:val="24"/>
        </w:rPr>
        <w:t>S</w:t>
      </w:r>
      <w:r w:rsidR="00AE1E9F" w:rsidRPr="001131C4">
        <w:rPr>
          <w:rFonts w:cs="Arial"/>
          <w:sz w:val="24"/>
          <w:szCs w:val="24"/>
        </w:rPr>
        <w:t xml:space="preserve">ubsección E de la </w:t>
      </w:r>
      <w:r w:rsidRPr="001131C4">
        <w:rPr>
          <w:rFonts w:cs="Arial"/>
          <w:sz w:val="24"/>
          <w:szCs w:val="24"/>
        </w:rPr>
        <w:t>S</w:t>
      </w:r>
      <w:r w:rsidR="00AE1E9F" w:rsidRPr="001131C4">
        <w:rPr>
          <w:rFonts w:cs="Arial"/>
          <w:sz w:val="24"/>
          <w:szCs w:val="24"/>
        </w:rPr>
        <w:t xml:space="preserve">ección </w:t>
      </w:r>
      <w:r w:rsidRPr="001131C4">
        <w:rPr>
          <w:rFonts w:cs="Arial"/>
          <w:sz w:val="24"/>
          <w:szCs w:val="24"/>
        </w:rPr>
        <w:t>S</w:t>
      </w:r>
      <w:r w:rsidR="00AE1E9F" w:rsidRPr="001131C4">
        <w:rPr>
          <w:rFonts w:cs="Arial"/>
          <w:sz w:val="24"/>
          <w:szCs w:val="24"/>
        </w:rPr>
        <w:t xml:space="preserve">egunda del </w:t>
      </w:r>
      <w:r w:rsidRPr="001131C4">
        <w:rPr>
          <w:rFonts w:cs="Arial"/>
          <w:sz w:val="24"/>
          <w:szCs w:val="24"/>
        </w:rPr>
        <w:t>T</w:t>
      </w:r>
      <w:r w:rsidR="00AE1E9F" w:rsidRPr="001131C4">
        <w:rPr>
          <w:rFonts w:cs="Arial"/>
          <w:sz w:val="24"/>
          <w:szCs w:val="24"/>
        </w:rPr>
        <w:t xml:space="preserve">ribunal </w:t>
      </w:r>
      <w:r w:rsidRPr="001131C4">
        <w:rPr>
          <w:rFonts w:cs="Arial"/>
          <w:sz w:val="24"/>
          <w:szCs w:val="24"/>
        </w:rPr>
        <w:t>A</w:t>
      </w:r>
      <w:r w:rsidR="00AE1E9F" w:rsidRPr="001131C4">
        <w:rPr>
          <w:rFonts w:cs="Arial"/>
          <w:sz w:val="24"/>
          <w:szCs w:val="24"/>
        </w:rPr>
        <w:t>dministrativo de Cundinamarca</w:t>
      </w:r>
      <w:r w:rsidRPr="001131C4">
        <w:rPr>
          <w:rFonts w:cs="Arial"/>
          <w:sz w:val="24"/>
          <w:szCs w:val="24"/>
        </w:rPr>
        <w:t>,</w:t>
      </w:r>
      <w:r w:rsidR="00AE1E9F" w:rsidRPr="001131C4">
        <w:rPr>
          <w:rFonts w:cs="Arial"/>
          <w:sz w:val="24"/>
          <w:szCs w:val="24"/>
        </w:rPr>
        <w:t xml:space="preserve"> que mediante providencia del 8 de noviembre de 2019</w:t>
      </w:r>
      <w:r w:rsidR="00855D1C">
        <w:rPr>
          <w:rFonts w:cs="Arial"/>
          <w:sz w:val="24"/>
          <w:szCs w:val="24"/>
        </w:rPr>
        <w:t>,</w:t>
      </w:r>
      <w:r w:rsidR="00AE1E9F" w:rsidRPr="001131C4">
        <w:rPr>
          <w:rFonts w:cs="Arial"/>
          <w:sz w:val="24"/>
          <w:szCs w:val="24"/>
        </w:rPr>
        <w:t xml:space="preserve"> revocó la decisión de</w:t>
      </w:r>
      <w:r w:rsidRPr="001131C4">
        <w:rPr>
          <w:rFonts w:cs="Arial"/>
          <w:sz w:val="24"/>
          <w:szCs w:val="24"/>
        </w:rPr>
        <w:t xml:space="preserve">l </w:t>
      </w:r>
      <w:r w:rsidRPr="001131C4">
        <w:rPr>
          <w:rFonts w:cs="Arial"/>
          <w:i/>
          <w:iCs/>
          <w:sz w:val="24"/>
          <w:szCs w:val="24"/>
        </w:rPr>
        <w:t>A quo</w:t>
      </w:r>
      <w:r w:rsidR="00AE1E9F" w:rsidRPr="001131C4">
        <w:rPr>
          <w:rFonts w:cs="Arial"/>
          <w:sz w:val="24"/>
          <w:szCs w:val="24"/>
        </w:rPr>
        <w:t xml:space="preserve"> y</w:t>
      </w:r>
      <w:r w:rsidR="00DA6D60">
        <w:rPr>
          <w:rFonts w:cs="Arial"/>
          <w:sz w:val="24"/>
          <w:szCs w:val="24"/>
        </w:rPr>
        <w:t>,</w:t>
      </w:r>
      <w:r w:rsidR="00AE1E9F" w:rsidRPr="001131C4">
        <w:rPr>
          <w:rFonts w:cs="Arial"/>
          <w:sz w:val="24"/>
          <w:szCs w:val="24"/>
        </w:rPr>
        <w:t xml:space="preserve"> en su lugar</w:t>
      </w:r>
      <w:r w:rsidR="00DA6D60">
        <w:rPr>
          <w:rFonts w:cs="Arial"/>
          <w:sz w:val="24"/>
          <w:szCs w:val="24"/>
        </w:rPr>
        <w:t>,</w:t>
      </w:r>
      <w:r w:rsidR="00AE1E9F" w:rsidRPr="001131C4">
        <w:rPr>
          <w:rFonts w:cs="Arial"/>
          <w:sz w:val="24"/>
          <w:szCs w:val="24"/>
        </w:rPr>
        <w:t xml:space="preserve"> negó las pretensiones </w:t>
      </w:r>
      <w:r w:rsidR="00855D1C">
        <w:rPr>
          <w:rFonts w:cs="Arial"/>
          <w:sz w:val="24"/>
          <w:szCs w:val="24"/>
        </w:rPr>
        <w:t>elevadas</w:t>
      </w:r>
      <w:r w:rsidRPr="001131C4">
        <w:rPr>
          <w:rFonts w:cs="Arial"/>
          <w:sz w:val="24"/>
          <w:szCs w:val="24"/>
        </w:rPr>
        <w:t>.</w:t>
      </w:r>
    </w:p>
    <w:p w14:paraId="3AA3D17E" w14:textId="7EAB3B38" w:rsidR="00D960DC" w:rsidRDefault="00D960DC" w:rsidP="00821831">
      <w:pPr>
        <w:spacing w:line="360" w:lineRule="auto"/>
        <w:rPr>
          <w:rFonts w:cs="Arial"/>
          <w:sz w:val="24"/>
          <w:szCs w:val="24"/>
        </w:rPr>
      </w:pPr>
    </w:p>
    <w:p w14:paraId="0A0BBDD2" w14:textId="7F7DD91B" w:rsidR="00A24863" w:rsidRDefault="00A24863" w:rsidP="00821831">
      <w:pPr>
        <w:spacing w:line="360" w:lineRule="auto"/>
        <w:rPr>
          <w:rFonts w:cs="Arial"/>
          <w:sz w:val="24"/>
          <w:szCs w:val="24"/>
        </w:rPr>
      </w:pPr>
    </w:p>
    <w:p w14:paraId="19FEED60" w14:textId="63E54C6C" w:rsidR="00A24863" w:rsidRDefault="00A24863" w:rsidP="00821831">
      <w:pPr>
        <w:spacing w:line="360" w:lineRule="auto"/>
        <w:rPr>
          <w:rFonts w:cs="Arial"/>
          <w:sz w:val="24"/>
          <w:szCs w:val="24"/>
        </w:rPr>
      </w:pPr>
    </w:p>
    <w:p w14:paraId="6EB1AF30" w14:textId="77777777" w:rsidR="00A24863" w:rsidRPr="001131C4" w:rsidRDefault="00A24863" w:rsidP="00821831">
      <w:pPr>
        <w:spacing w:line="360" w:lineRule="auto"/>
        <w:rPr>
          <w:rFonts w:cs="Arial"/>
          <w:sz w:val="24"/>
          <w:szCs w:val="24"/>
        </w:rPr>
      </w:pPr>
    </w:p>
    <w:p w14:paraId="39A8A71D" w14:textId="79BA1C8A" w:rsidR="00317A00" w:rsidRPr="001131C4" w:rsidRDefault="00EF7BA0" w:rsidP="00821831">
      <w:pPr>
        <w:spacing w:line="360" w:lineRule="auto"/>
        <w:rPr>
          <w:rFonts w:cs="Arial"/>
          <w:b/>
          <w:sz w:val="24"/>
          <w:szCs w:val="24"/>
        </w:rPr>
      </w:pPr>
      <w:r w:rsidRPr="001131C4">
        <w:rPr>
          <w:rFonts w:cs="Arial"/>
          <w:b/>
          <w:sz w:val="24"/>
          <w:szCs w:val="24"/>
        </w:rPr>
        <w:lastRenderedPageBreak/>
        <w:t>3</w:t>
      </w:r>
      <w:r w:rsidR="00317A00" w:rsidRPr="001131C4">
        <w:rPr>
          <w:rFonts w:cs="Arial"/>
          <w:b/>
          <w:sz w:val="24"/>
          <w:szCs w:val="24"/>
        </w:rPr>
        <w:t xml:space="preserve">.- Fundamentos de la solicitud de amparo </w:t>
      </w:r>
    </w:p>
    <w:p w14:paraId="161FE34C" w14:textId="77777777" w:rsidR="00317A00" w:rsidRPr="001131C4" w:rsidRDefault="00317A00" w:rsidP="00821831">
      <w:pPr>
        <w:spacing w:line="360" w:lineRule="auto"/>
        <w:rPr>
          <w:rFonts w:cs="Arial"/>
          <w:b/>
          <w:sz w:val="24"/>
          <w:szCs w:val="24"/>
        </w:rPr>
      </w:pPr>
    </w:p>
    <w:p w14:paraId="7B0F7CB1" w14:textId="6677FCF6" w:rsidR="003F4CCC" w:rsidRPr="001131C4" w:rsidRDefault="00F87B16" w:rsidP="00821831">
      <w:pPr>
        <w:spacing w:line="360" w:lineRule="auto"/>
        <w:rPr>
          <w:rFonts w:cs="Arial"/>
          <w:sz w:val="24"/>
          <w:szCs w:val="24"/>
        </w:rPr>
      </w:pPr>
      <w:r w:rsidRPr="001131C4">
        <w:rPr>
          <w:rFonts w:cs="Arial"/>
          <w:sz w:val="24"/>
          <w:szCs w:val="24"/>
        </w:rPr>
        <w:t>L</w:t>
      </w:r>
      <w:r w:rsidR="004F2F5E" w:rsidRPr="001131C4">
        <w:rPr>
          <w:rFonts w:cs="Arial"/>
          <w:sz w:val="24"/>
          <w:szCs w:val="24"/>
        </w:rPr>
        <w:t>a</w:t>
      </w:r>
      <w:r w:rsidRPr="001131C4">
        <w:rPr>
          <w:rFonts w:cs="Arial"/>
          <w:sz w:val="24"/>
          <w:szCs w:val="24"/>
        </w:rPr>
        <w:t xml:space="preserve"> a</w:t>
      </w:r>
      <w:r w:rsidR="00E61D62" w:rsidRPr="001131C4">
        <w:rPr>
          <w:rFonts w:cs="Arial"/>
          <w:sz w:val="24"/>
          <w:szCs w:val="24"/>
        </w:rPr>
        <w:t>ccionante refiere que la autoridad judicial accionada</w:t>
      </w:r>
      <w:r w:rsidR="004F2F5E" w:rsidRPr="001131C4">
        <w:rPr>
          <w:rFonts w:cs="Arial"/>
          <w:sz w:val="24"/>
          <w:szCs w:val="24"/>
        </w:rPr>
        <w:t xml:space="preserve"> incurrió en los defectos sustantivo</w:t>
      </w:r>
      <w:r w:rsidR="003F4CCC" w:rsidRPr="001131C4">
        <w:rPr>
          <w:rFonts w:cs="Arial"/>
          <w:sz w:val="24"/>
          <w:szCs w:val="24"/>
        </w:rPr>
        <w:t xml:space="preserve">, desconocimiento del precedente y violación directa de la </w:t>
      </w:r>
      <w:r w:rsidR="00A24863">
        <w:rPr>
          <w:rFonts w:cs="Arial"/>
          <w:sz w:val="24"/>
          <w:szCs w:val="24"/>
        </w:rPr>
        <w:t>C</w:t>
      </w:r>
      <w:r w:rsidR="003F4CCC" w:rsidRPr="001131C4">
        <w:rPr>
          <w:rFonts w:cs="Arial"/>
          <w:sz w:val="24"/>
          <w:szCs w:val="24"/>
        </w:rPr>
        <w:t>onstitución. Al respecto adujo:</w:t>
      </w:r>
    </w:p>
    <w:p w14:paraId="69C35D35" w14:textId="77777777" w:rsidR="003F4CCC" w:rsidRPr="001131C4" w:rsidRDefault="003F4CCC" w:rsidP="00821831">
      <w:pPr>
        <w:spacing w:line="360" w:lineRule="auto"/>
        <w:rPr>
          <w:rFonts w:cs="Arial"/>
          <w:i/>
          <w:iCs/>
          <w:sz w:val="24"/>
          <w:szCs w:val="24"/>
        </w:rPr>
      </w:pPr>
    </w:p>
    <w:p w14:paraId="0204AD39" w14:textId="753602F6" w:rsidR="00ED606D" w:rsidRPr="001131C4" w:rsidRDefault="003F4CCC" w:rsidP="003F4CCC">
      <w:pPr>
        <w:ind w:left="567" w:right="567"/>
        <w:rPr>
          <w:rFonts w:cs="Arial"/>
          <w:i/>
          <w:iCs/>
          <w:sz w:val="24"/>
          <w:szCs w:val="24"/>
        </w:rPr>
      </w:pPr>
      <w:r w:rsidRPr="001131C4">
        <w:rPr>
          <w:rFonts w:cs="Arial"/>
          <w:i/>
          <w:iCs/>
          <w:sz w:val="24"/>
          <w:szCs w:val="24"/>
        </w:rPr>
        <w:t>“</w:t>
      </w:r>
      <w:r w:rsidRPr="001131C4">
        <w:rPr>
          <w:rFonts w:cs="Arial"/>
          <w:i/>
          <w:iCs/>
          <w:sz w:val="24"/>
          <w:szCs w:val="24"/>
          <w:u w:val="single"/>
        </w:rPr>
        <w:t>Defecto material</w:t>
      </w:r>
      <w:r w:rsidR="00ED606D" w:rsidRPr="001131C4">
        <w:rPr>
          <w:rFonts w:cs="Arial"/>
          <w:i/>
          <w:iCs/>
          <w:sz w:val="24"/>
          <w:szCs w:val="24"/>
        </w:rPr>
        <w:t>[:]</w:t>
      </w:r>
      <w:r w:rsidRPr="001131C4">
        <w:rPr>
          <w:rFonts w:cs="Arial"/>
          <w:i/>
          <w:iCs/>
          <w:sz w:val="24"/>
          <w:szCs w:val="24"/>
        </w:rPr>
        <w:t xml:space="preserve"> </w:t>
      </w:r>
      <w:r w:rsidR="00ED606D" w:rsidRPr="001131C4">
        <w:rPr>
          <w:rFonts w:cs="Arial"/>
          <w:i/>
          <w:iCs/>
          <w:sz w:val="24"/>
          <w:szCs w:val="24"/>
        </w:rPr>
        <w:t>P</w:t>
      </w:r>
      <w:r w:rsidRPr="001131C4">
        <w:rPr>
          <w:rFonts w:cs="Arial"/>
          <w:i/>
          <w:iCs/>
          <w:sz w:val="24"/>
          <w:szCs w:val="24"/>
        </w:rPr>
        <w:t xml:space="preserve">or el desconocimiento del objeto y alcance del </w:t>
      </w:r>
      <w:r w:rsidR="00ED606D" w:rsidRPr="001131C4">
        <w:rPr>
          <w:rFonts w:cs="Arial"/>
          <w:i/>
          <w:iCs/>
          <w:sz w:val="24"/>
          <w:szCs w:val="24"/>
        </w:rPr>
        <w:t>D</w:t>
      </w:r>
      <w:r w:rsidRPr="001131C4">
        <w:rPr>
          <w:rFonts w:cs="Arial"/>
          <w:i/>
          <w:iCs/>
          <w:sz w:val="24"/>
          <w:szCs w:val="24"/>
        </w:rPr>
        <w:t xml:space="preserve">ecreto 1301/94 específicamente el artículo 89 ratificado mediante ley </w:t>
      </w:r>
      <w:r w:rsidR="00ED606D" w:rsidRPr="001131C4">
        <w:rPr>
          <w:rFonts w:cs="Arial"/>
          <w:i/>
          <w:iCs/>
          <w:sz w:val="24"/>
          <w:szCs w:val="24"/>
        </w:rPr>
        <w:t>3</w:t>
      </w:r>
      <w:r w:rsidRPr="001131C4">
        <w:rPr>
          <w:rFonts w:cs="Arial"/>
          <w:i/>
          <w:iCs/>
          <w:sz w:val="24"/>
          <w:szCs w:val="24"/>
        </w:rPr>
        <w:t>52</w:t>
      </w:r>
      <w:r w:rsidR="00ED606D" w:rsidRPr="001131C4">
        <w:rPr>
          <w:rFonts w:cs="Arial"/>
          <w:i/>
          <w:iCs/>
          <w:sz w:val="24"/>
          <w:szCs w:val="24"/>
        </w:rPr>
        <w:t>/</w:t>
      </w:r>
      <w:r w:rsidRPr="001131C4">
        <w:rPr>
          <w:rFonts w:cs="Arial"/>
          <w:i/>
          <w:iCs/>
          <w:sz w:val="24"/>
          <w:szCs w:val="24"/>
        </w:rPr>
        <w:t>97 lo que produjo la negativa de los jueces en aplicar concretamente el artículo 55 de la referida ley</w:t>
      </w:r>
      <w:r w:rsidR="00ED606D" w:rsidRPr="001131C4">
        <w:rPr>
          <w:rFonts w:cs="Arial"/>
          <w:i/>
          <w:iCs/>
          <w:sz w:val="24"/>
          <w:szCs w:val="24"/>
        </w:rPr>
        <w:t>,</w:t>
      </w:r>
      <w:r w:rsidRPr="001131C4">
        <w:rPr>
          <w:rFonts w:cs="Arial"/>
          <w:i/>
          <w:iCs/>
          <w:sz w:val="24"/>
          <w:szCs w:val="24"/>
        </w:rPr>
        <w:t xml:space="preserve"> junto con el numeral </w:t>
      </w:r>
      <w:r w:rsidR="00ED606D" w:rsidRPr="001131C4">
        <w:rPr>
          <w:rFonts w:cs="Arial"/>
          <w:i/>
          <w:iCs/>
          <w:sz w:val="24"/>
          <w:szCs w:val="24"/>
        </w:rPr>
        <w:t>4</w:t>
      </w:r>
      <w:r w:rsidRPr="001131C4">
        <w:rPr>
          <w:rFonts w:cs="Arial"/>
          <w:i/>
          <w:iCs/>
          <w:sz w:val="24"/>
          <w:szCs w:val="24"/>
        </w:rPr>
        <w:t xml:space="preserve"> del artículo </w:t>
      </w:r>
      <w:r w:rsidR="00ED606D" w:rsidRPr="001131C4">
        <w:rPr>
          <w:rFonts w:cs="Arial"/>
          <w:i/>
          <w:iCs/>
          <w:sz w:val="24"/>
          <w:szCs w:val="24"/>
        </w:rPr>
        <w:t>3</w:t>
      </w:r>
      <w:r w:rsidRPr="001131C4">
        <w:rPr>
          <w:rFonts w:cs="Arial"/>
          <w:i/>
          <w:iCs/>
          <w:sz w:val="24"/>
          <w:szCs w:val="24"/>
        </w:rPr>
        <w:t xml:space="preserve"> del decreto 3062</w:t>
      </w:r>
      <w:r w:rsidR="00ED606D" w:rsidRPr="001131C4">
        <w:rPr>
          <w:rFonts w:cs="Arial"/>
          <w:i/>
          <w:iCs/>
          <w:sz w:val="24"/>
          <w:szCs w:val="24"/>
        </w:rPr>
        <w:t>/</w:t>
      </w:r>
      <w:r w:rsidRPr="001131C4">
        <w:rPr>
          <w:rFonts w:cs="Arial"/>
          <w:i/>
          <w:iCs/>
          <w:sz w:val="24"/>
          <w:szCs w:val="24"/>
        </w:rPr>
        <w:t>97</w:t>
      </w:r>
      <w:r w:rsidR="00ED606D" w:rsidRPr="001131C4">
        <w:rPr>
          <w:rFonts w:cs="Arial"/>
          <w:i/>
          <w:iCs/>
          <w:sz w:val="24"/>
          <w:szCs w:val="24"/>
        </w:rPr>
        <w:t>;</w:t>
      </w:r>
      <w:r w:rsidRPr="001131C4">
        <w:rPr>
          <w:rFonts w:cs="Arial"/>
          <w:i/>
          <w:iCs/>
          <w:sz w:val="24"/>
          <w:szCs w:val="24"/>
        </w:rPr>
        <w:t xml:space="preserve"> aplicación que de haber sido tenida en cuenta</w:t>
      </w:r>
      <w:r w:rsidR="00ED606D" w:rsidRPr="001131C4">
        <w:rPr>
          <w:rFonts w:cs="Arial"/>
          <w:i/>
          <w:iCs/>
          <w:sz w:val="24"/>
          <w:szCs w:val="24"/>
        </w:rPr>
        <w:t>,</w:t>
      </w:r>
      <w:r w:rsidRPr="001131C4">
        <w:rPr>
          <w:rFonts w:cs="Arial"/>
          <w:i/>
          <w:iCs/>
          <w:sz w:val="24"/>
          <w:szCs w:val="24"/>
        </w:rPr>
        <w:t xml:space="preserve"> necesariamente habría dado lugar a una decisión completamente diferente</w:t>
      </w:r>
      <w:r w:rsidR="00ED606D" w:rsidRPr="001131C4">
        <w:rPr>
          <w:rFonts w:cs="Arial"/>
          <w:i/>
          <w:iCs/>
          <w:sz w:val="24"/>
          <w:szCs w:val="24"/>
        </w:rPr>
        <w:t>[.]</w:t>
      </w:r>
    </w:p>
    <w:p w14:paraId="356437C0" w14:textId="77777777" w:rsidR="00ED606D" w:rsidRPr="001131C4" w:rsidRDefault="00ED606D" w:rsidP="003F4CCC">
      <w:pPr>
        <w:ind w:left="567" w:right="567"/>
        <w:rPr>
          <w:rFonts w:cs="Arial"/>
          <w:i/>
          <w:iCs/>
          <w:sz w:val="24"/>
          <w:szCs w:val="24"/>
        </w:rPr>
      </w:pPr>
    </w:p>
    <w:p w14:paraId="6EDF185B" w14:textId="54E51545" w:rsidR="00ED606D" w:rsidRPr="001131C4" w:rsidRDefault="00ED606D" w:rsidP="003F4CCC">
      <w:pPr>
        <w:ind w:left="567" w:right="567"/>
        <w:rPr>
          <w:rFonts w:cs="Arial"/>
          <w:i/>
          <w:iCs/>
          <w:sz w:val="24"/>
          <w:szCs w:val="24"/>
        </w:rPr>
      </w:pPr>
      <w:r w:rsidRPr="001131C4">
        <w:rPr>
          <w:rFonts w:cs="Arial"/>
          <w:i/>
          <w:iCs/>
          <w:sz w:val="24"/>
          <w:szCs w:val="24"/>
          <w:u w:val="single"/>
        </w:rPr>
        <w:t>D</w:t>
      </w:r>
      <w:r w:rsidR="003F4CCC" w:rsidRPr="001131C4">
        <w:rPr>
          <w:rFonts w:cs="Arial"/>
          <w:i/>
          <w:iCs/>
          <w:sz w:val="24"/>
          <w:szCs w:val="24"/>
          <w:u w:val="single"/>
        </w:rPr>
        <w:t xml:space="preserve">esconocimiento del </w:t>
      </w:r>
      <w:r w:rsidRPr="001131C4">
        <w:rPr>
          <w:rFonts w:cs="Arial"/>
          <w:i/>
          <w:iCs/>
          <w:sz w:val="24"/>
          <w:szCs w:val="24"/>
          <w:u w:val="single"/>
        </w:rPr>
        <w:t>P</w:t>
      </w:r>
      <w:r w:rsidR="003F4CCC" w:rsidRPr="001131C4">
        <w:rPr>
          <w:rFonts w:cs="Arial"/>
          <w:i/>
          <w:iCs/>
          <w:sz w:val="24"/>
          <w:szCs w:val="24"/>
          <w:u w:val="single"/>
        </w:rPr>
        <w:t>resente</w:t>
      </w:r>
      <w:r w:rsidRPr="001131C4">
        <w:rPr>
          <w:rFonts w:cs="Arial"/>
          <w:i/>
          <w:iCs/>
          <w:sz w:val="24"/>
          <w:szCs w:val="24"/>
        </w:rPr>
        <w:t>:</w:t>
      </w:r>
      <w:r w:rsidR="003F4CCC" w:rsidRPr="001131C4">
        <w:rPr>
          <w:rFonts w:cs="Arial"/>
          <w:i/>
          <w:iCs/>
          <w:sz w:val="24"/>
          <w:szCs w:val="24"/>
        </w:rPr>
        <w:t xml:space="preserve"> </w:t>
      </w:r>
      <w:r w:rsidRPr="001131C4">
        <w:rPr>
          <w:rFonts w:cs="Arial"/>
          <w:i/>
          <w:iCs/>
          <w:sz w:val="24"/>
          <w:szCs w:val="24"/>
        </w:rPr>
        <w:t>P</w:t>
      </w:r>
      <w:r w:rsidR="003F4CCC" w:rsidRPr="001131C4">
        <w:rPr>
          <w:rFonts w:cs="Arial"/>
          <w:i/>
          <w:iCs/>
          <w:sz w:val="24"/>
          <w:szCs w:val="24"/>
        </w:rPr>
        <w:t>ues conociendo la jurisprudencia que avala la existencia de un régimen prestacional especial para la actora</w:t>
      </w:r>
      <w:r w:rsidRPr="001131C4">
        <w:rPr>
          <w:rFonts w:cs="Arial"/>
          <w:i/>
          <w:iCs/>
          <w:sz w:val="24"/>
          <w:szCs w:val="24"/>
        </w:rPr>
        <w:t>,</w:t>
      </w:r>
      <w:r w:rsidR="003F4CCC" w:rsidRPr="001131C4">
        <w:rPr>
          <w:rFonts w:cs="Arial"/>
          <w:i/>
          <w:iCs/>
          <w:sz w:val="24"/>
          <w:szCs w:val="24"/>
        </w:rPr>
        <w:t xml:space="preserve"> se abstuvieron de aplicarlo</w:t>
      </w:r>
      <w:r w:rsidRPr="001131C4">
        <w:rPr>
          <w:rFonts w:cs="Arial"/>
          <w:i/>
          <w:iCs/>
          <w:sz w:val="24"/>
          <w:szCs w:val="24"/>
        </w:rPr>
        <w:t>,</w:t>
      </w:r>
      <w:r w:rsidR="003F4CCC" w:rsidRPr="001131C4">
        <w:rPr>
          <w:rFonts w:cs="Arial"/>
          <w:i/>
          <w:iCs/>
          <w:sz w:val="24"/>
          <w:szCs w:val="24"/>
        </w:rPr>
        <w:t xml:space="preserve"> el cual cobra mayor relevancia</w:t>
      </w:r>
      <w:r w:rsidRPr="001131C4">
        <w:rPr>
          <w:rFonts w:cs="Arial"/>
          <w:i/>
          <w:iCs/>
          <w:sz w:val="24"/>
          <w:szCs w:val="24"/>
        </w:rPr>
        <w:t>,</w:t>
      </w:r>
      <w:r w:rsidR="003F4CCC" w:rsidRPr="001131C4">
        <w:rPr>
          <w:rFonts w:cs="Arial"/>
          <w:i/>
          <w:iCs/>
          <w:sz w:val="24"/>
          <w:szCs w:val="24"/>
        </w:rPr>
        <w:t xml:space="preserve"> si se tiene</w:t>
      </w:r>
      <w:r w:rsidR="00C15C35">
        <w:rPr>
          <w:rFonts w:cs="Arial"/>
          <w:i/>
          <w:iCs/>
          <w:sz w:val="24"/>
          <w:szCs w:val="24"/>
        </w:rPr>
        <w:t xml:space="preserve"> e</w:t>
      </w:r>
      <w:r w:rsidR="003F4CCC" w:rsidRPr="001131C4">
        <w:rPr>
          <w:rFonts w:cs="Arial"/>
          <w:i/>
          <w:iCs/>
          <w:sz w:val="24"/>
          <w:szCs w:val="24"/>
        </w:rPr>
        <w:t xml:space="preserve">n cuenta que respecto </w:t>
      </w:r>
      <w:r w:rsidRPr="001131C4">
        <w:rPr>
          <w:rFonts w:cs="Arial"/>
          <w:i/>
          <w:iCs/>
          <w:sz w:val="24"/>
          <w:szCs w:val="24"/>
        </w:rPr>
        <w:t>de</w:t>
      </w:r>
      <w:r w:rsidR="003F4CCC" w:rsidRPr="001131C4">
        <w:rPr>
          <w:rFonts w:cs="Arial"/>
          <w:i/>
          <w:iCs/>
          <w:sz w:val="24"/>
          <w:szCs w:val="24"/>
        </w:rPr>
        <w:t xml:space="preserve"> asuntos de situación fáctica idéntica</w:t>
      </w:r>
      <w:r w:rsidRPr="001131C4">
        <w:rPr>
          <w:rFonts w:cs="Arial"/>
          <w:i/>
          <w:iCs/>
          <w:sz w:val="24"/>
          <w:szCs w:val="24"/>
        </w:rPr>
        <w:t>,</w:t>
      </w:r>
      <w:r w:rsidR="003F4CCC" w:rsidRPr="001131C4">
        <w:rPr>
          <w:rFonts w:cs="Arial"/>
          <w:i/>
          <w:iCs/>
          <w:sz w:val="24"/>
          <w:szCs w:val="24"/>
        </w:rPr>
        <w:t xml:space="preserve"> tanto la </w:t>
      </w:r>
      <w:r w:rsidRPr="001131C4">
        <w:rPr>
          <w:rFonts w:cs="Arial"/>
          <w:i/>
          <w:iCs/>
          <w:sz w:val="24"/>
          <w:szCs w:val="24"/>
        </w:rPr>
        <w:t>J</w:t>
      </w:r>
      <w:r w:rsidR="003F4CCC" w:rsidRPr="001131C4">
        <w:rPr>
          <w:rFonts w:cs="Arial"/>
          <w:i/>
          <w:iCs/>
          <w:sz w:val="24"/>
          <w:szCs w:val="24"/>
        </w:rPr>
        <w:t xml:space="preserve">urisdicción de lo </w:t>
      </w:r>
      <w:r w:rsidRPr="001131C4">
        <w:rPr>
          <w:rFonts w:cs="Arial"/>
          <w:i/>
          <w:iCs/>
          <w:sz w:val="24"/>
          <w:szCs w:val="24"/>
        </w:rPr>
        <w:t>C</w:t>
      </w:r>
      <w:r w:rsidR="003F4CCC" w:rsidRPr="001131C4">
        <w:rPr>
          <w:rFonts w:cs="Arial"/>
          <w:i/>
          <w:iCs/>
          <w:sz w:val="24"/>
          <w:szCs w:val="24"/>
        </w:rPr>
        <w:t>ontencioso</w:t>
      </w:r>
      <w:r w:rsidRPr="001131C4">
        <w:rPr>
          <w:rFonts w:cs="Arial"/>
          <w:i/>
          <w:iCs/>
          <w:sz w:val="24"/>
          <w:szCs w:val="24"/>
        </w:rPr>
        <w:t>,</w:t>
      </w:r>
      <w:r w:rsidR="003F4CCC" w:rsidRPr="001131C4">
        <w:rPr>
          <w:rFonts w:cs="Arial"/>
          <w:i/>
          <w:iCs/>
          <w:sz w:val="24"/>
          <w:szCs w:val="24"/>
        </w:rPr>
        <w:t xml:space="preserve"> como</w:t>
      </w:r>
      <w:r w:rsidR="00855D1C">
        <w:rPr>
          <w:rFonts w:cs="Arial"/>
          <w:i/>
          <w:iCs/>
          <w:sz w:val="24"/>
          <w:szCs w:val="24"/>
        </w:rPr>
        <w:t xml:space="preserve"> los</w:t>
      </w:r>
      <w:r w:rsidR="003F4CCC" w:rsidRPr="001131C4">
        <w:rPr>
          <w:rFonts w:cs="Arial"/>
          <w:i/>
          <w:iCs/>
          <w:sz w:val="24"/>
          <w:szCs w:val="24"/>
        </w:rPr>
        <w:t xml:space="preserve"> jueces de </w:t>
      </w:r>
      <w:r w:rsidRPr="001131C4">
        <w:rPr>
          <w:rFonts w:cs="Arial"/>
          <w:i/>
          <w:iCs/>
          <w:sz w:val="24"/>
          <w:szCs w:val="24"/>
        </w:rPr>
        <w:t>T</w:t>
      </w:r>
      <w:r w:rsidR="003F4CCC" w:rsidRPr="001131C4">
        <w:rPr>
          <w:rFonts w:cs="Arial"/>
          <w:i/>
          <w:iCs/>
          <w:sz w:val="24"/>
          <w:szCs w:val="24"/>
        </w:rPr>
        <w:t>utela</w:t>
      </w:r>
      <w:r w:rsidRPr="001131C4">
        <w:rPr>
          <w:rFonts w:cs="Arial"/>
          <w:i/>
          <w:iCs/>
          <w:sz w:val="24"/>
          <w:szCs w:val="24"/>
        </w:rPr>
        <w:t>,</w:t>
      </w:r>
      <w:r w:rsidR="003F4CCC" w:rsidRPr="001131C4">
        <w:rPr>
          <w:rFonts w:cs="Arial"/>
          <w:i/>
          <w:iCs/>
          <w:sz w:val="24"/>
          <w:szCs w:val="24"/>
        </w:rPr>
        <w:t xml:space="preserve"> han reconocido procedente la aplicación de estas normas especiales</w:t>
      </w:r>
      <w:r w:rsidRPr="001131C4">
        <w:rPr>
          <w:rFonts w:cs="Arial"/>
          <w:i/>
          <w:iCs/>
          <w:sz w:val="24"/>
          <w:szCs w:val="24"/>
        </w:rPr>
        <w:t>,</w:t>
      </w:r>
      <w:r w:rsidR="003F4CCC" w:rsidRPr="001131C4">
        <w:rPr>
          <w:rFonts w:cs="Arial"/>
          <w:i/>
          <w:iCs/>
          <w:sz w:val="24"/>
          <w:szCs w:val="24"/>
        </w:rPr>
        <w:t xml:space="preserve"> modificando la situación particular de la acci</w:t>
      </w:r>
      <w:r w:rsidRPr="001131C4">
        <w:rPr>
          <w:rFonts w:cs="Arial"/>
          <w:i/>
          <w:iCs/>
          <w:sz w:val="24"/>
          <w:szCs w:val="24"/>
        </w:rPr>
        <w:t>onante[.]</w:t>
      </w:r>
    </w:p>
    <w:p w14:paraId="12A6E1C7" w14:textId="77777777" w:rsidR="00ED606D" w:rsidRPr="001131C4" w:rsidRDefault="00ED606D" w:rsidP="003F4CCC">
      <w:pPr>
        <w:ind w:left="567" w:right="567"/>
        <w:rPr>
          <w:rFonts w:cs="Arial"/>
          <w:i/>
          <w:iCs/>
          <w:sz w:val="24"/>
          <w:szCs w:val="24"/>
        </w:rPr>
      </w:pPr>
    </w:p>
    <w:p w14:paraId="39B45335" w14:textId="509B35B0" w:rsidR="00437F40" w:rsidRPr="001131C4" w:rsidRDefault="008C3651" w:rsidP="001374D4">
      <w:pPr>
        <w:ind w:left="567" w:right="567"/>
        <w:rPr>
          <w:rFonts w:cs="Arial"/>
          <w:i/>
          <w:iCs/>
          <w:sz w:val="24"/>
          <w:szCs w:val="24"/>
        </w:rPr>
      </w:pPr>
      <w:r w:rsidRPr="001131C4">
        <w:rPr>
          <w:rFonts w:cs="Arial"/>
          <w:i/>
          <w:iCs/>
          <w:sz w:val="24"/>
          <w:szCs w:val="24"/>
          <w:u w:val="single"/>
        </w:rPr>
        <w:t>V</w:t>
      </w:r>
      <w:r w:rsidR="003F4CCC" w:rsidRPr="001131C4">
        <w:rPr>
          <w:rFonts w:cs="Arial"/>
          <w:i/>
          <w:iCs/>
          <w:sz w:val="24"/>
          <w:szCs w:val="24"/>
          <w:u w:val="single"/>
        </w:rPr>
        <w:t>iolación directa de la Constitución</w:t>
      </w:r>
      <w:r w:rsidRPr="001131C4">
        <w:rPr>
          <w:rFonts w:cs="Arial"/>
          <w:i/>
          <w:iCs/>
          <w:sz w:val="24"/>
          <w:szCs w:val="24"/>
        </w:rPr>
        <w:t>:</w:t>
      </w:r>
      <w:r w:rsidR="003F4CCC" w:rsidRPr="001131C4">
        <w:rPr>
          <w:rFonts w:cs="Arial"/>
          <w:i/>
          <w:iCs/>
          <w:sz w:val="24"/>
          <w:szCs w:val="24"/>
        </w:rPr>
        <w:t xml:space="preserve"> </w:t>
      </w:r>
      <w:r w:rsidRPr="001131C4">
        <w:rPr>
          <w:rFonts w:cs="Arial"/>
          <w:i/>
          <w:iCs/>
          <w:sz w:val="24"/>
          <w:szCs w:val="24"/>
        </w:rPr>
        <w:t>P</w:t>
      </w:r>
      <w:r w:rsidR="003F4CCC" w:rsidRPr="001131C4">
        <w:rPr>
          <w:rFonts w:cs="Arial"/>
          <w:i/>
          <w:iCs/>
          <w:sz w:val="24"/>
          <w:szCs w:val="24"/>
        </w:rPr>
        <w:t xml:space="preserve">or </w:t>
      </w:r>
      <w:r w:rsidRPr="001131C4">
        <w:rPr>
          <w:rFonts w:cs="Arial"/>
          <w:i/>
          <w:iCs/>
          <w:sz w:val="24"/>
          <w:szCs w:val="24"/>
        </w:rPr>
        <w:t>d</w:t>
      </w:r>
      <w:r w:rsidR="003F4CCC" w:rsidRPr="001131C4">
        <w:rPr>
          <w:rFonts w:cs="Arial"/>
          <w:i/>
          <w:iCs/>
          <w:sz w:val="24"/>
          <w:szCs w:val="24"/>
        </w:rPr>
        <w:t xml:space="preserve">esconocimiento de los preceptos que rodean el artículo 53 superior y </w:t>
      </w:r>
      <w:r w:rsidRPr="001131C4">
        <w:rPr>
          <w:rFonts w:cs="Arial"/>
          <w:i/>
          <w:iCs/>
          <w:sz w:val="24"/>
          <w:szCs w:val="24"/>
        </w:rPr>
        <w:t>T</w:t>
      </w:r>
      <w:r w:rsidR="003F4CCC" w:rsidRPr="001131C4">
        <w:rPr>
          <w:rFonts w:cs="Arial"/>
          <w:i/>
          <w:iCs/>
          <w:sz w:val="24"/>
          <w:szCs w:val="24"/>
        </w:rPr>
        <w:t>ratados internacionales debidamente ratificados</w:t>
      </w:r>
      <w:r w:rsidRPr="001131C4">
        <w:rPr>
          <w:rFonts w:cs="Arial"/>
          <w:i/>
          <w:iCs/>
          <w:sz w:val="24"/>
          <w:szCs w:val="24"/>
        </w:rPr>
        <w:t>”</w:t>
      </w:r>
      <w:r w:rsidR="00A24863" w:rsidRPr="00A24863">
        <w:rPr>
          <w:rStyle w:val="Refdenotaalpie"/>
          <w:rFonts w:cs="Arial"/>
          <w:i/>
          <w:iCs/>
          <w:sz w:val="24"/>
          <w:szCs w:val="24"/>
        </w:rPr>
        <w:t xml:space="preserve"> </w:t>
      </w:r>
      <w:r w:rsidR="00A24863" w:rsidRPr="00A24863">
        <w:rPr>
          <w:rStyle w:val="Refdenotaalpie"/>
          <w:rFonts w:cs="Arial"/>
          <w:sz w:val="24"/>
          <w:szCs w:val="24"/>
        </w:rPr>
        <w:footnoteReference w:id="3"/>
      </w:r>
      <w:r w:rsidR="00A24863" w:rsidRPr="00A24863">
        <w:rPr>
          <w:rFonts w:cs="Arial"/>
          <w:sz w:val="24"/>
          <w:szCs w:val="24"/>
        </w:rPr>
        <w:t xml:space="preserve"> </w:t>
      </w:r>
      <w:r w:rsidR="00F83A75" w:rsidRPr="00A24863">
        <w:rPr>
          <w:rFonts w:cs="Arial"/>
          <w:sz w:val="24"/>
          <w:szCs w:val="24"/>
        </w:rPr>
        <w:t>[.]</w:t>
      </w:r>
    </w:p>
    <w:p w14:paraId="03D8444B" w14:textId="77777777" w:rsidR="00606DAC" w:rsidRPr="001131C4" w:rsidRDefault="00606DAC" w:rsidP="00821831">
      <w:pPr>
        <w:spacing w:line="360" w:lineRule="auto"/>
        <w:rPr>
          <w:rFonts w:cs="Arial"/>
          <w:b/>
          <w:sz w:val="24"/>
          <w:szCs w:val="24"/>
        </w:rPr>
      </w:pPr>
    </w:p>
    <w:p w14:paraId="6312861B" w14:textId="18FFDA30" w:rsidR="00317A00" w:rsidRPr="001131C4" w:rsidRDefault="00EF7BA0" w:rsidP="00821831">
      <w:pPr>
        <w:spacing w:line="360" w:lineRule="auto"/>
        <w:rPr>
          <w:rFonts w:cs="Arial"/>
          <w:b/>
          <w:sz w:val="24"/>
          <w:szCs w:val="24"/>
        </w:rPr>
      </w:pPr>
      <w:r w:rsidRPr="001131C4">
        <w:rPr>
          <w:rFonts w:cs="Arial"/>
          <w:b/>
          <w:sz w:val="24"/>
          <w:szCs w:val="24"/>
        </w:rPr>
        <w:t>4</w:t>
      </w:r>
      <w:r w:rsidR="00317A00" w:rsidRPr="001131C4">
        <w:rPr>
          <w:rFonts w:cs="Arial"/>
          <w:b/>
          <w:sz w:val="24"/>
          <w:szCs w:val="24"/>
        </w:rPr>
        <w:t xml:space="preserve">.- Pretensiones </w:t>
      </w:r>
    </w:p>
    <w:p w14:paraId="58AFAEB2" w14:textId="77777777" w:rsidR="00113D18" w:rsidRPr="001131C4" w:rsidRDefault="00113D18" w:rsidP="00821831">
      <w:pPr>
        <w:spacing w:line="360" w:lineRule="auto"/>
        <w:rPr>
          <w:rFonts w:cs="Arial"/>
          <w:b/>
          <w:sz w:val="24"/>
          <w:szCs w:val="24"/>
        </w:rPr>
      </w:pPr>
    </w:p>
    <w:p w14:paraId="7FD65ABC" w14:textId="2FCBD8E8" w:rsidR="00317A00" w:rsidRPr="001131C4" w:rsidRDefault="001374D4" w:rsidP="009B2E51">
      <w:pPr>
        <w:spacing w:line="360" w:lineRule="auto"/>
        <w:rPr>
          <w:rFonts w:cs="Arial"/>
          <w:sz w:val="24"/>
          <w:szCs w:val="24"/>
        </w:rPr>
      </w:pPr>
      <w:r w:rsidRPr="001131C4">
        <w:rPr>
          <w:rFonts w:cs="Arial"/>
          <w:sz w:val="24"/>
          <w:szCs w:val="24"/>
        </w:rPr>
        <w:t xml:space="preserve">Solicitó dejar sin efectos la sentencia emitida por la </w:t>
      </w:r>
      <w:r w:rsidRPr="001131C4">
        <w:rPr>
          <w:rFonts w:cs="Arial"/>
          <w:bCs/>
          <w:color w:val="000000"/>
          <w:sz w:val="24"/>
          <w:szCs w:val="24"/>
        </w:rPr>
        <w:t>Subsección E de la Sección Segunda del</w:t>
      </w:r>
      <w:r w:rsidRPr="001131C4">
        <w:rPr>
          <w:rFonts w:cs="Arial"/>
          <w:b/>
          <w:color w:val="000000"/>
          <w:sz w:val="24"/>
          <w:szCs w:val="24"/>
        </w:rPr>
        <w:t xml:space="preserve"> </w:t>
      </w:r>
      <w:r w:rsidRPr="001131C4">
        <w:rPr>
          <w:rFonts w:cs="Arial"/>
          <w:sz w:val="24"/>
          <w:szCs w:val="24"/>
        </w:rPr>
        <w:t>Tribunal Administrativo de Cundinamarca</w:t>
      </w:r>
      <w:r w:rsidR="00855D1C">
        <w:rPr>
          <w:rFonts w:cs="Arial"/>
          <w:sz w:val="24"/>
          <w:szCs w:val="24"/>
        </w:rPr>
        <w:t>,</w:t>
      </w:r>
      <w:r w:rsidRPr="001131C4">
        <w:rPr>
          <w:rFonts w:cs="Arial"/>
          <w:sz w:val="24"/>
          <w:szCs w:val="24"/>
        </w:rPr>
        <w:t xml:space="preserve"> el 8 de noviembre de 2019 y</w:t>
      </w:r>
      <w:r w:rsidR="00F83A75">
        <w:rPr>
          <w:rFonts w:cs="Arial"/>
          <w:sz w:val="24"/>
          <w:szCs w:val="24"/>
        </w:rPr>
        <w:t>,</w:t>
      </w:r>
      <w:r w:rsidRPr="001131C4">
        <w:rPr>
          <w:rFonts w:cs="Arial"/>
          <w:sz w:val="24"/>
          <w:szCs w:val="24"/>
        </w:rPr>
        <w:t xml:space="preserve"> como consecuencia de ello, se orden</w:t>
      </w:r>
      <w:r w:rsidR="00A24863">
        <w:rPr>
          <w:rFonts w:cs="Arial"/>
          <w:sz w:val="24"/>
          <w:szCs w:val="24"/>
        </w:rPr>
        <w:t>ara</w:t>
      </w:r>
      <w:r w:rsidRPr="001131C4">
        <w:rPr>
          <w:rFonts w:cs="Arial"/>
          <w:sz w:val="24"/>
          <w:szCs w:val="24"/>
        </w:rPr>
        <w:t xml:space="preserve"> a la autoridad judicial accionada emitir una nueva sentencia en aplicación del régimen prestacional establecido en el Decreto </w:t>
      </w:r>
      <w:r w:rsidR="00022CF4" w:rsidRPr="001131C4">
        <w:rPr>
          <w:rFonts w:cs="Arial"/>
          <w:sz w:val="24"/>
          <w:szCs w:val="24"/>
        </w:rPr>
        <w:t>1214</w:t>
      </w:r>
      <w:r w:rsidR="00F83A75">
        <w:rPr>
          <w:rFonts w:cs="Arial"/>
          <w:sz w:val="24"/>
          <w:szCs w:val="24"/>
        </w:rPr>
        <w:t xml:space="preserve"> de 19</w:t>
      </w:r>
      <w:r w:rsidR="00022CF4" w:rsidRPr="001131C4">
        <w:rPr>
          <w:rFonts w:cs="Arial"/>
          <w:sz w:val="24"/>
          <w:szCs w:val="24"/>
        </w:rPr>
        <w:t>90.</w:t>
      </w:r>
    </w:p>
    <w:p w14:paraId="0CAA0DBA" w14:textId="77777777" w:rsidR="00022CF4" w:rsidRPr="001131C4" w:rsidRDefault="00022CF4" w:rsidP="009B2E51">
      <w:pPr>
        <w:spacing w:line="360" w:lineRule="auto"/>
        <w:rPr>
          <w:rFonts w:cs="Arial"/>
          <w:b/>
          <w:sz w:val="24"/>
          <w:szCs w:val="24"/>
        </w:rPr>
      </w:pPr>
    </w:p>
    <w:p w14:paraId="5D63E70A" w14:textId="100A6133" w:rsidR="00317A00" w:rsidRPr="001131C4" w:rsidRDefault="00EF7BA0" w:rsidP="009B2E51">
      <w:pPr>
        <w:spacing w:line="360" w:lineRule="auto"/>
        <w:rPr>
          <w:rFonts w:cs="Arial"/>
          <w:b/>
          <w:sz w:val="24"/>
          <w:szCs w:val="24"/>
        </w:rPr>
      </w:pPr>
      <w:r w:rsidRPr="001131C4">
        <w:rPr>
          <w:rFonts w:cs="Arial"/>
          <w:b/>
          <w:sz w:val="24"/>
          <w:szCs w:val="24"/>
        </w:rPr>
        <w:t>5</w:t>
      </w:r>
      <w:r w:rsidR="00317A00" w:rsidRPr="001131C4">
        <w:rPr>
          <w:rFonts w:cs="Arial"/>
          <w:b/>
          <w:sz w:val="24"/>
          <w:szCs w:val="24"/>
        </w:rPr>
        <w:t xml:space="preserve">.- Trámite de la acción de tutela y fundamento de la oposición </w:t>
      </w:r>
    </w:p>
    <w:p w14:paraId="5CA35781" w14:textId="77777777" w:rsidR="00317A00" w:rsidRPr="001131C4" w:rsidRDefault="00317A00" w:rsidP="009B2E51">
      <w:pPr>
        <w:spacing w:line="360" w:lineRule="auto"/>
        <w:rPr>
          <w:rFonts w:cs="Arial"/>
          <w:b/>
          <w:sz w:val="24"/>
          <w:szCs w:val="24"/>
        </w:rPr>
      </w:pPr>
    </w:p>
    <w:p w14:paraId="0160C6C9" w14:textId="55E5BBFE" w:rsidR="00800144" w:rsidRPr="001131C4" w:rsidRDefault="00800144" w:rsidP="009B2E51">
      <w:pPr>
        <w:spacing w:line="360" w:lineRule="auto"/>
        <w:rPr>
          <w:rFonts w:cs="Arial"/>
          <w:sz w:val="24"/>
          <w:szCs w:val="24"/>
        </w:rPr>
      </w:pPr>
      <w:r w:rsidRPr="001131C4">
        <w:rPr>
          <w:rFonts w:cs="Arial"/>
          <w:sz w:val="24"/>
          <w:szCs w:val="24"/>
        </w:rPr>
        <w:t xml:space="preserve">Mediante auto del </w:t>
      </w:r>
      <w:r w:rsidR="00022CF4" w:rsidRPr="001131C4">
        <w:rPr>
          <w:rFonts w:cs="Arial"/>
          <w:sz w:val="24"/>
          <w:szCs w:val="24"/>
        </w:rPr>
        <w:t>4</w:t>
      </w:r>
      <w:r w:rsidRPr="001131C4">
        <w:rPr>
          <w:rFonts w:cs="Arial"/>
          <w:sz w:val="24"/>
          <w:szCs w:val="24"/>
        </w:rPr>
        <w:t xml:space="preserve"> de </w:t>
      </w:r>
      <w:r w:rsidR="00022CF4" w:rsidRPr="001131C4">
        <w:rPr>
          <w:rFonts w:cs="Arial"/>
          <w:sz w:val="24"/>
          <w:szCs w:val="24"/>
        </w:rPr>
        <w:t>marzo</w:t>
      </w:r>
      <w:r w:rsidRPr="001131C4">
        <w:rPr>
          <w:rFonts w:cs="Arial"/>
          <w:sz w:val="24"/>
          <w:szCs w:val="24"/>
        </w:rPr>
        <w:t xml:space="preserve"> de 2021</w:t>
      </w:r>
      <w:r w:rsidR="00022CF4" w:rsidRPr="001131C4">
        <w:rPr>
          <w:rStyle w:val="Refdenotaalpie"/>
          <w:rFonts w:cs="Arial"/>
          <w:sz w:val="24"/>
          <w:szCs w:val="24"/>
        </w:rPr>
        <w:footnoteReference w:id="4"/>
      </w:r>
      <w:r w:rsidR="00F26CDE" w:rsidRPr="001131C4">
        <w:rPr>
          <w:rFonts w:cs="Arial"/>
          <w:sz w:val="24"/>
          <w:szCs w:val="24"/>
        </w:rPr>
        <w:t>, e</w:t>
      </w:r>
      <w:r w:rsidR="00022CF4" w:rsidRPr="001131C4">
        <w:rPr>
          <w:rFonts w:cs="Arial"/>
          <w:sz w:val="24"/>
          <w:szCs w:val="24"/>
        </w:rPr>
        <w:t>l Ponente</w:t>
      </w:r>
      <w:r w:rsidR="00F26CDE" w:rsidRPr="001131C4">
        <w:rPr>
          <w:rFonts w:cs="Arial"/>
          <w:sz w:val="24"/>
          <w:szCs w:val="24"/>
        </w:rPr>
        <w:t xml:space="preserve"> admitió la acción de tutela y ordenó su notificación</w:t>
      </w:r>
      <w:r w:rsidR="00022CF4" w:rsidRPr="001131C4">
        <w:rPr>
          <w:rStyle w:val="Refdenotaalpie"/>
          <w:rFonts w:cs="Arial"/>
          <w:sz w:val="24"/>
          <w:szCs w:val="24"/>
        </w:rPr>
        <w:footnoteReference w:id="5"/>
      </w:r>
      <w:r w:rsidR="00F26CDE" w:rsidRPr="001131C4">
        <w:rPr>
          <w:rFonts w:cs="Arial"/>
          <w:sz w:val="24"/>
          <w:szCs w:val="24"/>
        </w:rPr>
        <w:t xml:space="preserve">. </w:t>
      </w:r>
    </w:p>
    <w:p w14:paraId="78B6B51A" w14:textId="66FA2939" w:rsidR="00800144" w:rsidRDefault="00800144" w:rsidP="00821831">
      <w:pPr>
        <w:spacing w:line="360" w:lineRule="auto"/>
        <w:rPr>
          <w:rFonts w:cs="Arial"/>
          <w:b/>
          <w:sz w:val="24"/>
          <w:szCs w:val="24"/>
        </w:rPr>
      </w:pPr>
    </w:p>
    <w:p w14:paraId="260C6EB6" w14:textId="77777777" w:rsidR="003C65EE" w:rsidRPr="001131C4" w:rsidRDefault="003C65EE" w:rsidP="00821831">
      <w:pPr>
        <w:spacing w:line="360" w:lineRule="auto"/>
        <w:rPr>
          <w:rFonts w:cs="Arial"/>
          <w:b/>
          <w:sz w:val="24"/>
          <w:szCs w:val="24"/>
        </w:rPr>
      </w:pPr>
    </w:p>
    <w:p w14:paraId="144EAD78" w14:textId="19AB3D5D" w:rsidR="00317A00" w:rsidRPr="001131C4" w:rsidRDefault="00EF7BA0" w:rsidP="00821831">
      <w:pPr>
        <w:spacing w:line="360" w:lineRule="auto"/>
        <w:rPr>
          <w:rFonts w:cs="Arial"/>
          <w:b/>
          <w:sz w:val="24"/>
          <w:szCs w:val="24"/>
        </w:rPr>
      </w:pPr>
      <w:r w:rsidRPr="001131C4">
        <w:rPr>
          <w:rFonts w:cs="Arial"/>
          <w:b/>
          <w:sz w:val="24"/>
          <w:szCs w:val="24"/>
        </w:rPr>
        <w:lastRenderedPageBreak/>
        <w:t>5</w:t>
      </w:r>
      <w:r w:rsidR="00317A00" w:rsidRPr="001131C4">
        <w:rPr>
          <w:rFonts w:cs="Arial"/>
          <w:b/>
          <w:sz w:val="24"/>
          <w:szCs w:val="24"/>
        </w:rPr>
        <w:t xml:space="preserve">.1.- Contestaciones </w:t>
      </w:r>
    </w:p>
    <w:p w14:paraId="29619FC0" w14:textId="77777777" w:rsidR="00E54E44" w:rsidRPr="001131C4" w:rsidRDefault="00E54E44" w:rsidP="00821831">
      <w:pPr>
        <w:spacing w:line="360" w:lineRule="auto"/>
        <w:rPr>
          <w:rFonts w:cs="Arial"/>
          <w:b/>
          <w:sz w:val="24"/>
          <w:szCs w:val="24"/>
        </w:rPr>
      </w:pPr>
    </w:p>
    <w:p w14:paraId="0717C37A" w14:textId="54E6D5BD" w:rsidR="00EF7BA0" w:rsidRPr="001131C4" w:rsidRDefault="00EF7BA0" w:rsidP="00EF7BA0">
      <w:pPr>
        <w:spacing w:line="360" w:lineRule="auto"/>
        <w:rPr>
          <w:rFonts w:cs="Arial"/>
          <w:sz w:val="24"/>
          <w:szCs w:val="24"/>
        </w:rPr>
      </w:pPr>
      <w:r w:rsidRPr="001131C4">
        <w:rPr>
          <w:rFonts w:cs="Arial"/>
          <w:sz w:val="24"/>
          <w:szCs w:val="24"/>
        </w:rPr>
        <w:t>5.</w:t>
      </w:r>
      <w:r w:rsidR="00E54E44" w:rsidRPr="001131C4">
        <w:rPr>
          <w:rFonts w:cs="Arial"/>
          <w:sz w:val="24"/>
          <w:szCs w:val="24"/>
        </w:rPr>
        <w:t>2</w:t>
      </w:r>
      <w:r w:rsidR="00CA03F1" w:rsidRPr="001131C4">
        <w:rPr>
          <w:rFonts w:cs="Arial"/>
          <w:sz w:val="24"/>
          <w:szCs w:val="24"/>
        </w:rPr>
        <w:t>.</w:t>
      </w:r>
      <w:r w:rsidR="00E54E44" w:rsidRPr="001131C4">
        <w:rPr>
          <w:rFonts w:cs="Arial"/>
          <w:sz w:val="24"/>
          <w:szCs w:val="24"/>
        </w:rPr>
        <w:t xml:space="preserve">- </w:t>
      </w:r>
      <w:r w:rsidRPr="001131C4">
        <w:rPr>
          <w:rFonts w:cs="Arial"/>
          <w:sz w:val="24"/>
          <w:szCs w:val="24"/>
        </w:rPr>
        <w:t xml:space="preserve">La </w:t>
      </w:r>
      <w:r w:rsidRPr="001131C4">
        <w:rPr>
          <w:rFonts w:cs="Arial"/>
          <w:bCs/>
          <w:color w:val="000000"/>
          <w:sz w:val="24"/>
          <w:szCs w:val="24"/>
        </w:rPr>
        <w:t>Subsección E de la Sección Segunda del</w:t>
      </w:r>
      <w:r w:rsidRPr="001131C4">
        <w:rPr>
          <w:rFonts w:cs="Arial"/>
          <w:b/>
          <w:color w:val="000000"/>
          <w:sz w:val="24"/>
          <w:szCs w:val="24"/>
        </w:rPr>
        <w:t xml:space="preserve"> </w:t>
      </w:r>
      <w:r w:rsidRPr="001131C4">
        <w:rPr>
          <w:rFonts w:cs="Arial"/>
          <w:sz w:val="24"/>
          <w:szCs w:val="24"/>
        </w:rPr>
        <w:t>Tribunal Administrativo de Cundinamarca,</w:t>
      </w:r>
      <w:r w:rsidR="00855D1C" w:rsidRPr="001131C4">
        <w:rPr>
          <w:rFonts w:cs="Arial"/>
          <w:sz w:val="24"/>
          <w:szCs w:val="24"/>
        </w:rPr>
        <w:t xml:space="preserve"> </w:t>
      </w:r>
      <w:r w:rsidRPr="001131C4">
        <w:rPr>
          <w:rFonts w:cs="Arial"/>
          <w:sz w:val="24"/>
          <w:szCs w:val="24"/>
        </w:rPr>
        <w:t>solicitó declarar la improcedencia de la solicitud de amparo, pues no se acreditaron los requisitos general</w:t>
      </w:r>
      <w:r w:rsidR="00855D1C">
        <w:rPr>
          <w:rFonts w:cs="Arial"/>
          <w:sz w:val="24"/>
          <w:szCs w:val="24"/>
        </w:rPr>
        <w:t>es</w:t>
      </w:r>
      <w:r w:rsidRPr="001131C4">
        <w:rPr>
          <w:rFonts w:cs="Arial"/>
          <w:sz w:val="24"/>
          <w:szCs w:val="24"/>
        </w:rPr>
        <w:t xml:space="preserve"> en contra de providencia judicial, específicamente </w:t>
      </w:r>
      <w:r w:rsidR="00F83A75">
        <w:rPr>
          <w:rFonts w:cs="Arial"/>
          <w:sz w:val="24"/>
          <w:szCs w:val="24"/>
        </w:rPr>
        <w:t>los de</w:t>
      </w:r>
      <w:r w:rsidRPr="001131C4">
        <w:rPr>
          <w:rFonts w:cs="Arial"/>
          <w:sz w:val="24"/>
          <w:szCs w:val="24"/>
        </w:rPr>
        <w:t xml:space="preserve"> relevancia constitucional e inmediatez</w:t>
      </w:r>
      <w:r w:rsidR="00F83A75">
        <w:rPr>
          <w:rFonts w:cs="Arial"/>
          <w:sz w:val="24"/>
          <w:szCs w:val="24"/>
        </w:rPr>
        <w:t xml:space="preserve">. </w:t>
      </w:r>
    </w:p>
    <w:p w14:paraId="6B0B75DC" w14:textId="77777777" w:rsidR="00EF7BA0" w:rsidRPr="001131C4" w:rsidRDefault="00EF7BA0" w:rsidP="00EF7BA0">
      <w:pPr>
        <w:spacing w:line="360" w:lineRule="auto"/>
        <w:rPr>
          <w:rFonts w:cs="Arial"/>
          <w:sz w:val="24"/>
          <w:szCs w:val="24"/>
        </w:rPr>
      </w:pPr>
    </w:p>
    <w:p w14:paraId="390ABC1B" w14:textId="40598A91" w:rsidR="00317A00" w:rsidRPr="001131C4" w:rsidRDefault="00EF7BA0" w:rsidP="00EF7BA0">
      <w:pPr>
        <w:spacing w:line="360" w:lineRule="auto"/>
        <w:rPr>
          <w:rFonts w:cs="Arial"/>
          <w:sz w:val="24"/>
          <w:szCs w:val="24"/>
        </w:rPr>
      </w:pPr>
      <w:r w:rsidRPr="001131C4">
        <w:rPr>
          <w:rFonts w:cs="Arial"/>
          <w:sz w:val="24"/>
          <w:szCs w:val="24"/>
        </w:rPr>
        <w:t xml:space="preserve">5.3.- El Ministerio de Defensa </w:t>
      </w:r>
      <w:r w:rsidR="00F83A75">
        <w:rPr>
          <w:rFonts w:cs="Arial"/>
          <w:sz w:val="24"/>
          <w:szCs w:val="24"/>
        </w:rPr>
        <w:t xml:space="preserve">pidió </w:t>
      </w:r>
      <w:r w:rsidRPr="001131C4">
        <w:rPr>
          <w:rFonts w:cs="Arial"/>
          <w:sz w:val="24"/>
          <w:szCs w:val="24"/>
        </w:rPr>
        <w:t>negar las pretensiones de la tutela, tras considerar que no se vulneraron los derechos fundamentales de la accionante, en tanto no se incurrió en ninguno de los defectos alegados</w:t>
      </w:r>
      <w:r w:rsidR="00391E17">
        <w:rPr>
          <w:rFonts w:cs="Arial"/>
          <w:sz w:val="24"/>
          <w:szCs w:val="24"/>
        </w:rPr>
        <w:t>;</w:t>
      </w:r>
      <w:r w:rsidRPr="001131C4">
        <w:rPr>
          <w:rFonts w:cs="Arial"/>
          <w:sz w:val="24"/>
          <w:szCs w:val="24"/>
        </w:rPr>
        <w:t xml:space="preserve"> adicionalmente adujo que no se cumple con el requisito de inmediatez</w:t>
      </w:r>
      <w:r w:rsidRPr="001131C4">
        <w:rPr>
          <w:rStyle w:val="Refdenotaalpie"/>
          <w:rFonts w:cs="Arial"/>
          <w:sz w:val="24"/>
          <w:szCs w:val="24"/>
        </w:rPr>
        <w:footnoteReference w:id="6"/>
      </w:r>
      <w:r w:rsidRPr="001131C4">
        <w:rPr>
          <w:rFonts w:cs="Arial"/>
          <w:sz w:val="24"/>
          <w:szCs w:val="24"/>
        </w:rPr>
        <w:t>.</w:t>
      </w:r>
    </w:p>
    <w:p w14:paraId="6B53E0B0" w14:textId="77777777" w:rsidR="00606DAC" w:rsidRPr="001131C4" w:rsidRDefault="00606DAC" w:rsidP="00317A00">
      <w:pPr>
        <w:tabs>
          <w:tab w:val="left" w:pos="6319"/>
        </w:tabs>
        <w:spacing w:line="360" w:lineRule="auto"/>
        <w:jc w:val="center"/>
        <w:rPr>
          <w:rFonts w:cs="Arial"/>
          <w:b/>
          <w:sz w:val="24"/>
          <w:szCs w:val="24"/>
        </w:rPr>
      </w:pPr>
    </w:p>
    <w:p w14:paraId="75DF0E28" w14:textId="5466F25F" w:rsidR="00317A00" w:rsidRPr="00855D1C" w:rsidRDefault="00317A00" w:rsidP="00855D1C">
      <w:pPr>
        <w:pStyle w:val="Prrafodelista"/>
        <w:numPr>
          <w:ilvl w:val="0"/>
          <w:numId w:val="3"/>
        </w:numPr>
        <w:tabs>
          <w:tab w:val="left" w:pos="6319"/>
        </w:tabs>
        <w:spacing w:line="360" w:lineRule="auto"/>
        <w:jc w:val="center"/>
        <w:rPr>
          <w:rFonts w:cs="Arial"/>
          <w:b/>
          <w:sz w:val="24"/>
          <w:szCs w:val="24"/>
        </w:rPr>
      </w:pPr>
      <w:r w:rsidRPr="00855D1C">
        <w:rPr>
          <w:rFonts w:cs="Arial"/>
          <w:b/>
          <w:sz w:val="24"/>
          <w:szCs w:val="24"/>
        </w:rPr>
        <w:t>CONSIDERACIONES</w:t>
      </w:r>
    </w:p>
    <w:p w14:paraId="092F144A" w14:textId="77777777" w:rsidR="00317A00" w:rsidRPr="001131C4" w:rsidRDefault="00317A00" w:rsidP="00317A00">
      <w:pPr>
        <w:tabs>
          <w:tab w:val="left" w:pos="6319"/>
        </w:tabs>
        <w:spacing w:line="360" w:lineRule="auto"/>
        <w:rPr>
          <w:rFonts w:cs="Arial"/>
          <w:b/>
          <w:sz w:val="24"/>
          <w:szCs w:val="24"/>
        </w:rPr>
      </w:pPr>
    </w:p>
    <w:p w14:paraId="6E2A02D1" w14:textId="77777777" w:rsidR="00317A00" w:rsidRPr="001131C4" w:rsidRDefault="00317A00" w:rsidP="00317A00">
      <w:pPr>
        <w:tabs>
          <w:tab w:val="left" w:pos="6319"/>
        </w:tabs>
        <w:spacing w:line="360" w:lineRule="auto"/>
        <w:rPr>
          <w:rFonts w:cs="Arial"/>
          <w:b/>
          <w:sz w:val="24"/>
          <w:szCs w:val="24"/>
        </w:rPr>
      </w:pPr>
      <w:r w:rsidRPr="001131C4">
        <w:rPr>
          <w:rFonts w:cs="Arial"/>
          <w:b/>
          <w:sz w:val="24"/>
          <w:szCs w:val="24"/>
        </w:rPr>
        <w:t>1.- Competencia</w:t>
      </w:r>
    </w:p>
    <w:p w14:paraId="5CBB0502" w14:textId="77777777" w:rsidR="00317A00" w:rsidRPr="001131C4" w:rsidRDefault="00317A00" w:rsidP="00317A00">
      <w:pPr>
        <w:tabs>
          <w:tab w:val="left" w:pos="6319"/>
        </w:tabs>
        <w:spacing w:line="360" w:lineRule="auto"/>
        <w:rPr>
          <w:rFonts w:cs="Arial"/>
          <w:b/>
          <w:sz w:val="24"/>
          <w:szCs w:val="24"/>
        </w:rPr>
      </w:pPr>
    </w:p>
    <w:p w14:paraId="0DBC0BF3" w14:textId="01527918" w:rsidR="00317A00" w:rsidRPr="001131C4" w:rsidRDefault="00317A00" w:rsidP="00317A00">
      <w:pPr>
        <w:tabs>
          <w:tab w:val="left" w:pos="6319"/>
        </w:tabs>
        <w:spacing w:line="360" w:lineRule="auto"/>
        <w:rPr>
          <w:rFonts w:cs="Arial"/>
          <w:sz w:val="24"/>
          <w:szCs w:val="24"/>
        </w:rPr>
      </w:pPr>
      <w:r w:rsidRPr="001131C4">
        <w:rPr>
          <w:rFonts w:cs="Arial"/>
          <w:sz w:val="24"/>
          <w:szCs w:val="24"/>
        </w:rPr>
        <w:t xml:space="preserve">Esta Sala es competente para conocer de la acción de tutela interpuesta por </w:t>
      </w:r>
      <w:r w:rsidR="00855D1C" w:rsidRPr="001131C4">
        <w:rPr>
          <w:rFonts w:cs="Arial"/>
          <w:sz w:val="24"/>
          <w:szCs w:val="24"/>
        </w:rPr>
        <w:t>Alisadiela Arias</w:t>
      </w:r>
      <w:r w:rsidRPr="001131C4">
        <w:rPr>
          <w:rFonts w:cs="Arial"/>
          <w:sz w:val="24"/>
          <w:szCs w:val="24"/>
        </w:rPr>
        <w:t xml:space="preserve">, en contra del fallo proferido el 8 de </w:t>
      </w:r>
      <w:r w:rsidR="00855D1C">
        <w:rPr>
          <w:rFonts w:cs="Arial"/>
          <w:sz w:val="24"/>
          <w:szCs w:val="24"/>
        </w:rPr>
        <w:t>noviembre</w:t>
      </w:r>
      <w:r w:rsidRPr="001131C4">
        <w:rPr>
          <w:rFonts w:cs="Arial"/>
          <w:sz w:val="24"/>
          <w:szCs w:val="24"/>
        </w:rPr>
        <w:t xml:space="preserve"> de 2019 por la </w:t>
      </w:r>
      <w:r w:rsidR="00855D1C" w:rsidRPr="001131C4">
        <w:rPr>
          <w:rFonts w:cs="Arial"/>
          <w:bCs/>
          <w:color w:val="000000"/>
          <w:sz w:val="24"/>
          <w:szCs w:val="24"/>
        </w:rPr>
        <w:t>Subsección E de la Sección Segunda del</w:t>
      </w:r>
      <w:r w:rsidR="00855D1C" w:rsidRPr="001131C4">
        <w:rPr>
          <w:rFonts w:cs="Arial"/>
          <w:b/>
          <w:color w:val="000000"/>
          <w:sz w:val="24"/>
          <w:szCs w:val="24"/>
        </w:rPr>
        <w:t xml:space="preserve"> </w:t>
      </w:r>
      <w:r w:rsidR="00855D1C" w:rsidRPr="001131C4">
        <w:rPr>
          <w:rFonts w:cs="Arial"/>
          <w:sz w:val="24"/>
          <w:szCs w:val="24"/>
        </w:rPr>
        <w:t>Tribunal Administrativo de Cundinamarca</w:t>
      </w:r>
      <w:r w:rsidRPr="001131C4">
        <w:rPr>
          <w:rFonts w:cs="Arial"/>
          <w:sz w:val="24"/>
          <w:szCs w:val="24"/>
        </w:rPr>
        <w:t xml:space="preserve">; </w:t>
      </w:r>
      <w:r w:rsidRPr="001131C4">
        <w:rPr>
          <w:rFonts w:eastAsia="Arial" w:cs="Arial"/>
          <w:sz w:val="24"/>
          <w:szCs w:val="24"/>
        </w:rPr>
        <w:t>de conformidad con lo establecido en los artículos 86 de la Constitución Política, 37 del Decreto 2591 de 1991 y 13 del Acuerdo 080 de 2019 de la Sala Plena del Consejo de Estado.</w:t>
      </w:r>
    </w:p>
    <w:p w14:paraId="0223242D" w14:textId="77777777" w:rsidR="00317A00" w:rsidRPr="001131C4" w:rsidRDefault="00317A00" w:rsidP="00317A00">
      <w:pPr>
        <w:tabs>
          <w:tab w:val="left" w:pos="6319"/>
        </w:tabs>
        <w:spacing w:line="360" w:lineRule="auto"/>
        <w:rPr>
          <w:rFonts w:cs="Arial"/>
          <w:b/>
          <w:sz w:val="24"/>
          <w:szCs w:val="24"/>
        </w:rPr>
      </w:pPr>
    </w:p>
    <w:p w14:paraId="192F7CFC" w14:textId="77777777" w:rsidR="00317A00" w:rsidRPr="001131C4" w:rsidRDefault="00317A00" w:rsidP="00317A00">
      <w:pPr>
        <w:tabs>
          <w:tab w:val="left" w:pos="6319"/>
        </w:tabs>
        <w:spacing w:line="360" w:lineRule="auto"/>
        <w:rPr>
          <w:rFonts w:cs="Arial"/>
          <w:b/>
          <w:sz w:val="24"/>
          <w:szCs w:val="24"/>
        </w:rPr>
      </w:pPr>
      <w:r w:rsidRPr="001131C4">
        <w:rPr>
          <w:rFonts w:cs="Arial"/>
          <w:b/>
          <w:sz w:val="24"/>
          <w:szCs w:val="24"/>
        </w:rPr>
        <w:t xml:space="preserve">2.- Problema jurídico </w:t>
      </w:r>
    </w:p>
    <w:p w14:paraId="4DDA9096" w14:textId="77777777" w:rsidR="00317A00" w:rsidRPr="001131C4" w:rsidRDefault="00317A00" w:rsidP="00317A00">
      <w:pPr>
        <w:tabs>
          <w:tab w:val="left" w:pos="6319"/>
        </w:tabs>
        <w:spacing w:line="360" w:lineRule="auto"/>
        <w:rPr>
          <w:rFonts w:cs="Arial"/>
          <w:b/>
          <w:sz w:val="24"/>
          <w:szCs w:val="24"/>
        </w:rPr>
      </w:pPr>
    </w:p>
    <w:p w14:paraId="54E9AE72" w14:textId="7227ED88" w:rsidR="00317A00" w:rsidRPr="001131C4" w:rsidRDefault="00317A00" w:rsidP="00317A00">
      <w:pPr>
        <w:spacing w:line="360" w:lineRule="auto"/>
        <w:ind w:right="49"/>
        <w:rPr>
          <w:rFonts w:eastAsia="Arial" w:cs="Arial"/>
          <w:sz w:val="24"/>
          <w:szCs w:val="24"/>
        </w:rPr>
      </w:pPr>
      <w:r w:rsidRPr="001131C4">
        <w:rPr>
          <w:rFonts w:eastAsia="Arial" w:cs="Arial"/>
          <w:sz w:val="24"/>
          <w:szCs w:val="24"/>
        </w:rPr>
        <w:t xml:space="preserve">La Sala verificará si la solicitud de amparo cumple con los requisitos generales de procedibilidad en contra de providencias judiciales, específicamente </w:t>
      </w:r>
      <w:r w:rsidR="00C07EDB" w:rsidRPr="001131C4">
        <w:rPr>
          <w:rFonts w:eastAsia="Arial" w:cs="Arial"/>
          <w:sz w:val="24"/>
          <w:szCs w:val="24"/>
        </w:rPr>
        <w:t>analizará si se cumple el</w:t>
      </w:r>
      <w:r w:rsidR="008C47CF" w:rsidRPr="001131C4">
        <w:rPr>
          <w:rFonts w:eastAsia="Arial" w:cs="Arial"/>
          <w:sz w:val="24"/>
          <w:szCs w:val="24"/>
        </w:rPr>
        <w:t xml:space="preserve"> de</w:t>
      </w:r>
      <w:r w:rsidR="00C07EDB" w:rsidRPr="001131C4">
        <w:rPr>
          <w:rFonts w:eastAsia="Arial" w:cs="Arial"/>
          <w:sz w:val="24"/>
          <w:szCs w:val="24"/>
        </w:rPr>
        <w:t xml:space="preserve"> </w:t>
      </w:r>
      <w:r w:rsidRPr="001131C4">
        <w:rPr>
          <w:rFonts w:eastAsia="Arial" w:cs="Arial"/>
          <w:sz w:val="24"/>
          <w:szCs w:val="24"/>
        </w:rPr>
        <w:t>inmediatez</w:t>
      </w:r>
      <w:r w:rsidR="008C47CF" w:rsidRPr="001131C4">
        <w:rPr>
          <w:rFonts w:eastAsia="Arial" w:cs="Arial"/>
          <w:sz w:val="24"/>
          <w:szCs w:val="24"/>
        </w:rPr>
        <w:t>.</w:t>
      </w:r>
    </w:p>
    <w:p w14:paraId="23D63118" w14:textId="77777777" w:rsidR="00317A00" w:rsidRPr="001131C4" w:rsidRDefault="00317A00" w:rsidP="00317A00">
      <w:pPr>
        <w:spacing w:line="360" w:lineRule="auto"/>
        <w:ind w:right="49"/>
        <w:rPr>
          <w:rFonts w:eastAsia="Arial" w:cs="Arial"/>
          <w:sz w:val="24"/>
          <w:szCs w:val="24"/>
        </w:rPr>
      </w:pPr>
    </w:p>
    <w:p w14:paraId="6B262BD9" w14:textId="77777777" w:rsidR="00317A00" w:rsidRPr="001131C4" w:rsidRDefault="00317A00" w:rsidP="00317A00">
      <w:pPr>
        <w:tabs>
          <w:tab w:val="left" w:pos="6319"/>
        </w:tabs>
        <w:spacing w:line="360" w:lineRule="auto"/>
        <w:rPr>
          <w:rFonts w:cs="Arial"/>
          <w:b/>
          <w:sz w:val="24"/>
          <w:szCs w:val="24"/>
        </w:rPr>
      </w:pPr>
      <w:r w:rsidRPr="001131C4">
        <w:rPr>
          <w:rFonts w:cs="Arial"/>
          <w:b/>
          <w:sz w:val="24"/>
          <w:szCs w:val="24"/>
        </w:rPr>
        <w:t xml:space="preserve">3.- La acción de tutela en contra de providencias judiciales </w:t>
      </w:r>
    </w:p>
    <w:p w14:paraId="326D24A3" w14:textId="77777777" w:rsidR="00317A00" w:rsidRPr="001131C4" w:rsidRDefault="00317A00" w:rsidP="00317A00">
      <w:pPr>
        <w:tabs>
          <w:tab w:val="left" w:pos="6319"/>
        </w:tabs>
        <w:spacing w:line="360" w:lineRule="auto"/>
        <w:rPr>
          <w:rFonts w:cs="Arial"/>
          <w:b/>
          <w:sz w:val="24"/>
          <w:szCs w:val="24"/>
        </w:rPr>
      </w:pPr>
    </w:p>
    <w:p w14:paraId="20233DFC" w14:textId="08EE8ECC" w:rsidR="00437F40" w:rsidRPr="001131C4" w:rsidRDefault="00317A00" w:rsidP="006D781F">
      <w:pPr>
        <w:spacing w:line="360" w:lineRule="auto"/>
        <w:ind w:right="49"/>
        <w:rPr>
          <w:rFonts w:cs="Arial"/>
          <w:sz w:val="24"/>
          <w:szCs w:val="24"/>
        </w:rPr>
      </w:pPr>
      <w:r w:rsidRPr="001131C4">
        <w:rPr>
          <w:rFonts w:cs="Arial"/>
          <w:sz w:val="24"/>
          <w:szCs w:val="24"/>
        </w:rPr>
        <w:t xml:space="preserve">La Corte Constitucional en sentencia C-590 de 2005 reconoció que la acción de tutela en contra de providencias judiciales está sujeta al cumplimiento de rigurosos requisitos </w:t>
      </w:r>
      <w:r w:rsidRPr="001131C4">
        <w:rPr>
          <w:rFonts w:cs="Arial"/>
          <w:sz w:val="24"/>
          <w:szCs w:val="24"/>
        </w:rPr>
        <w:lastRenderedPageBreak/>
        <w:t>de procedibilidad</w:t>
      </w:r>
      <w:r w:rsidRPr="001131C4">
        <w:rPr>
          <w:rStyle w:val="Refdenotaalpie"/>
          <w:rFonts w:cs="Arial"/>
          <w:sz w:val="24"/>
          <w:szCs w:val="24"/>
        </w:rPr>
        <w:footnoteReference w:id="7"/>
      </w:r>
      <w:r w:rsidRPr="001131C4">
        <w:rPr>
          <w:rFonts w:cs="Arial"/>
          <w:sz w:val="24"/>
          <w:szCs w:val="24"/>
        </w:rPr>
        <w:t xml:space="preserve"> y de procedencia</w:t>
      </w:r>
      <w:r w:rsidRPr="001131C4">
        <w:rPr>
          <w:rStyle w:val="Refdenotaalpie"/>
          <w:rFonts w:cs="Arial"/>
          <w:sz w:val="24"/>
          <w:szCs w:val="24"/>
        </w:rPr>
        <w:footnoteReference w:id="8"/>
      </w:r>
      <w:r w:rsidRPr="001131C4">
        <w:rPr>
          <w:rFonts w:cs="Arial"/>
          <w:sz w:val="24"/>
          <w:szCs w:val="24"/>
        </w:rPr>
        <w:t>, con el fin de determinar si se vulneraron los derechos de orden superior.</w:t>
      </w:r>
    </w:p>
    <w:p w14:paraId="67D82A07" w14:textId="77777777" w:rsidR="00606DAC" w:rsidRPr="001131C4" w:rsidRDefault="00606DAC" w:rsidP="00821831">
      <w:pPr>
        <w:spacing w:line="360" w:lineRule="auto"/>
        <w:rPr>
          <w:rFonts w:cs="Arial"/>
          <w:b/>
          <w:sz w:val="24"/>
          <w:szCs w:val="24"/>
        </w:rPr>
      </w:pPr>
    </w:p>
    <w:p w14:paraId="0A685F74" w14:textId="77777777" w:rsidR="00ED1388" w:rsidRPr="001131C4" w:rsidRDefault="00ED1388" w:rsidP="00ED1388">
      <w:pPr>
        <w:spacing w:line="360" w:lineRule="auto"/>
        <w:rPr>
          <w:rFonts w:eastAsia="Dotum" w:cs="Arial"/>
          <w:b/>
          <w:sz w:val="24"/>
          <w:szCs w:val="24"/>
          <w:lang w:val="es-ES_tradnl" w:eastAsia="es-ES_tradnl"/>
        </w:rPr>
      </w:pPr>
      <w:r w:rsidRPr="001131C4">
        <w:rPr>
          <w:rFonts w:eastAsia="Dotum" w:cs="Arial"/>
          <w:b/>
          <w:sz w:val="24"/>
          <w:szCs w:val="24"/>
          <w:lang w:val="es-ES_tradnl" w:eastAsia="es-ES_tradnl"/>
        </w:rPr>
        <w:t>4.- Generalidades del requisito de inmediatez</w:t>
      </w:r>
    </w:p>
    <w:p w14:paraId="6122983D" w14:textId="77777777" w:rsidR="00ED1388" w:rsidRPr="001131C4" w:rsidRDefault="00ED1388" w:rsidP="00ED1388">
      <w:pPr>
        <w:spacing w:line="360" w:lineRule="auto"/>
        <w:rPr>
          <w:rFonts w:eastAsia="Dotum" w:cs="Arial"/>
          <w:b/>
          <w:sz w:val="24"/>
          <w:szCs w:val="24"/>
          <w:lang w:val="es-ES_tradnl" w:eastAsia="es-ES_tradnl"/>
        </w:rPr>
      </w:pPr>
    </w:p>
    <w:p w14:paraId="073757B8" w14:textId="77777777" w:rsidR="00ED1388" w:rsidRPr="001131C4" w:rsidRDefault="00ED1388" w:rsidP="00ED1388">
      <w:pPr>
        <w:spacing w:line="360" w:lineRule="auto"/>
        <w:rPr>
          <w:rFonts w:cs="Arial"/>
          <w:sz w:val="24"/>
          <w:szCs w:val="24"/>
        </w:rPr>
      </w:pPr>
      <w:r w:rsidRPr="001131C4">
        <w:rPr>
          <w:rFonts w:cs="Arial"/>
          <w:sz w:val="24"/>
          <w:szCs w:val="24"/>
        </w:rPr>
        <w:t>La Sala Plena del Consejo de Estado, en sentencia de unificación del 5 de agosto de 2014</w:t>
      </w:r>
      <w:r w:rsidRPr="001131C4">
        <w:rPr>
          <w:rStyle w:val="Refdenotaalpie"/>
          <w:rFonts w:cs="Arial"/>
          <w:sz w:val="24"/>
          <w:szCs w:val="24"/>
        </w:rPr>
        <w:footnoteReference w:id="9"/>
      </w:r>
      <w:r w:rsidRPr="001131C4">
        <w:rPr>
          <w:rFonts w:cs="Arial"/>
          <w:sz w:val="24"/>
          <w:szCs w:val="24"/>
        </w:rPr>
        <w:t xml:space="preserve">, especificó que la inmediatez es una condición que permite concretar la urgencia del amparo constitucional y, por tanto, determinar si se interpuso en un periodo razonable, para cuyo efecto fijó como regla general </w:t>
      </w:r>
      <w:r w:rsidRPr="001131C4">
        <w:rPr>
          <w:rFonts w:cs="Arial"/>
          <w:i/>
          <w:sz w:val="24"/>
          <w:szCs w:val="24"/>
        </w:rPr>
        <w:t>“un plazo de seis meses, contados a partir de la notificación o ejecutoria de la sentencia, según el caso”</w:t>
      </w:r>
      <w:r w:rsidRPr="001131C4">
        <w:rPr>
          <w:rStyle w:val="Refdenotaalpie"/>
          <w:rFonts w:cs="Arial"/>
          <w:iCs/>
          <w:sz w:val="24"/>
          <w:szCs w:val="24"/>
        </w:rPr>
        <w:footnoteReference w:id="10"/>
      </w:r>
      <w:r w:rsidRPr="001131C4">
        <w:rPr>
          <w:rFonts w:cs="Arial"/>
          <w:iCs/>
          <w:sz w:val="24"/>
          <w:szCs w:val="24"/>
        </w:rPr>
        <w:t>.</w:t>
      </w:r>
      <w:r w:rsidRPr="001131C4">
        <w:rPr>
          <w:rFonts w:cs="Arial"/>
          <w:sz w:val="24"/>
          <w:szCs w:val="24"/>
        </w:rPr>
        <w:t xml:space="preserve"> </w:t>
      </w:r>
    </w:p>
    <w:p w14:paraId="0704C470" w14:textId="77777777" w:rsidR="00C07EDB" w:rsidRPr="001131C4" w:rsidRDefault="00C07EDB" w:rsidP="00C07EDB">
      <w:pPr>
        <w:spacing w:line="360" w:lineRule="auto"/>
        <w:rPr>
          <w:rFonts w:cs="Arial"/>
          <w:b/>
          <w:sz w:val="24"/>
          <w:szCs w:val="24"/>
        </w:rPr>
      </w:pPr>
    </w:p>
    <w:p w14:paraId="5E43FC1A" w14:textId="77777777" w:rsidR="00416618" w:rsidRPr="001131C4" w:rsidRDefault="00416618" w:rsidP="00416618">
      <w:pPr>
        <w:spacing w:line="360" w:lineRule="auto"/>
        <w:rPr>
          <w:rFonts w:cs="Arial"/>
          <w:b/>
          <w:sz w:val="24"/>
          <w:szCs w:val="24"/>
        </w:rPr>
      </w:pPr>
      <w:r w:rsidRPr="001131C4">
        <w:rPr>
          <w:rFonts w:cs="Arial"/>
          <w:b/>
          <w:sz w:val="24"/>
          <w:szCs w:val="24"/>
        </w:rPr>
        <w:t xml:space="preserve">5.- El cumplimiento del requisito general de inmediatez en el caso concreto </w:t>
      </w:r>
    </w:p>
    <w:p w14:paraId="712B58FE" w14:textId="77777777" w:rsidR="002134E2" w:rsidRPr="001131C4" w:rsidRDefault="002134E2" w:rsidP="00821831">
      <w:pPr>
        <w:spacing w:line="360" w:lineRule="auto"/>
        <w:rPr>
          <w:rFonts w:cs="Arial"/>
          <w:sz w:val="24"/>
          <w:szCs w:val="24"/>
        </w:rPr>
      </w:pPr>
    </w:p>
    <w:p w14:paraId="3C93E1B6" w14:textId="4AA04832" w:rsidR="00513A9D" w:rsidRPr="001131C4" w:rsidRDefault="001D4909" w:rsidP="005E5457">
      <w:pPr>
        <w:spacing w:line="360" w:lineRule="auto"/>
        <w:rPr>
          <w:rFonts w:cs="Arial"/>
          <w:sz w:val="24"/>
          <w:szCs w:val="24"/>
        </w:rPr>
      </w:pPr>
      <w:r w:rsidRPr="001131C4">
        <w:rPr>
          <w:rFonts w:cs="Arial"/>
          <w:sz w:val="24"/>
          <w:szCs w:val="24"/>
        </w:rPr>
        <w:t xml:space="preserve">5.1.- Se encuentra </w:t>
      </w:r>
      <w:r w:rsidR="00DF09B1">
        <w:rPr>
          <w:rFonts w:cs="Arial"/>
          <w:sz w:val="24"/>
          <w:szCs w:val="24"/>
        </w:rPr>
        <w:t xml:space="preserve">que </w:t>
      </w:r>
      <w:r w:rsidR="00ED1388" w:rsidRPr="001131C4">
        <w:rPr>
          <w:rFonts w:cs="Arial"/>
          <w:sz w:val="24"/>
          <w:szCs w:val="24"/>
        </w:rPr>
        <w:t>la providencia atacada a través de esta acción constitucional fue proferida el 8 de noviembre de 2019</w:t>
      </w:r>
      <w:r w:rsidRPr="001131C4">
        <w:rPr>
          <w:rFonts w:cs="Arial"/>
          <w:sz w:val="24"/>
          <w:szCs w:val="24"/>
        </w:rPr>
        <w:t xml:space="preserve">, </w:t>
      </w:r>
      <w:r w:rsidR="00513A9D" w:rsidRPr="001131C4">
        <w:rPr>
          <w:rFonts w:cs="Arial"/>
          <w:sz w:val="24"/>
          <w:szCs w:val="24"/>
        </w:rPr>
        <w:t>y notificada</w:t>
      </w:r>
      <w:r w:rsidR="00513A9D" w:rsidRPr="001131C4">
        <w:rPr>
          <w:rStyle w:val="Refdenotaalpie"/>
          <w:rFonts w:cs="Arial"/>
          <w:sz w:val="24"/>
          <w:szCs w:val="24"/>
        </w:rPr>
        <w:footnoteReference w:id="11"/>
      </w:r>
      <w:r w:rsidR="00513A9D" w:rsidRPr="001131C4">
        <w:rPr>
          <w:rFonts w:cs="Arial"/>
          <w:sz w:val="24"/>
          <w:szCs w:val="24"/>
        </w:rPr>
        <w:t xml:space="preserve"> de forma electrónica el 25 del mismo mes y año </w:t>
      </w:r>
      <w:r w:rsidRPr="001131C4">
        <w:rPr>
          <w:rFonts w:cs="Arial"/>
          <w:sz w:val="24"/>
          <w:szCs w:val="24"/>
        </w:rPr>
        <w:t xml:space="preserve">como aparece en el expediente de </w:t>
      </w:r>
      <w:r w:rsidR="00ED1388" w:rsidRPr="001131C4">
        <w:rPr>
          <w:rFonts w:cs="Arial"/>
          <w:sz w:val="24"/>
          <w:szCs w:val="24"/>
        </w:rPr>
        <w:t>nulidad y restablecimiento del derecho</w:t>
      </w:r>
      <w:r w:rsidRPr="001131C4">
        <w:rPr>
          <w:rFonts w:cs="Arial"/>
          <w:sz w:val="24"/>
          <w:szCs w:val="24"/>
        </w:rPr>
        <w:t>.</w:t>
      </w:r>
    </w:p>
    <w:p w14:paraId="09BFB2DE" w14:textId="77777777" w:rsidR="00513A9D" w:rsidRPr="001131C4" w:rsidRDefault="00513A9D" w:rsidP="005E5457">
      <w:pPr>
        <w:spacing w:line="360" w:lineRule="auto"/>
        <w:rPr>
          <w:rFonts w:cs="Arial"/>
          <w:sz w:val="24"/>
          <w:szCs w:val="24"/>
        </w:rPr>
      </w:pPr>
    </w:p>
    <w:p w14:paraId="66BE67AB" w14:textId="1A3DB4B6" w:rsidR="001D4909" w:rsidRPr="001131C4" w:rsidRDefault="005E5457" w:rsidP="005E5457">
      <w:pPr>
        <w:spacing w:line="360" w:lineRule="auto"/>
        <w:rPr>
          <w:rFonts w:eastAsia="Times New Roman" w:cs="Arial"/>
          <w:sz w:val="24"/>
          <w:szCs w:val="24"/>
          <w:shd w:val="clear" w:color="auto" w:fill="FFFFFF"/>
        </w:rPr>
      </w:pPr>
      <w:r w:rsidRPr="001131C4">
        <w:rPr>
          <w:rFonts w:cs="Arial"/>
          <w:sz w:val="24"/>
          <w:szCs w:val="24"/>
          <w:lang w:val="es-ES_tradnl" w:eastAsia="es-ES_tradnl"/>
        </w:rPr>
        <w:t>Entonces, l</w:t>
      </w:r>
      <w:r w:rsidR="001D4909" w:rsidRPr="001131C4">
        <w:rPr>
          <w:rFonts w:cs="Arial"/>
          <w:sz w:val="24"/>
          <w:szCs w:val="24"/>
          <w:lang w:val="es-ES_tradnl" w:eastAsia="es-ES_tradnl"/>
        </w:rPr>
        <w:t xml:space="preserve">a Sala procederá a revisar si logra superarse </w:t>
      </w:r>
      <w:r w:rsidR="00C07EDB" w:rsidRPr="001131C4">
        <w:rPr>
          <w:rFonts w:cs="Arial"/>
          <w:sz w:val="24"/>
          <w:szCs w:val="24"/>
          <w:lang w:val="es-ES_tradnl" w:eastAsia="es-ES_tradnl"/>
        </w:rPr>
        <w:t>e</w:t>
      </w:r>
      <w:r w:rsidRPr="001131C4">
        <w:rPr>
          <w:rFonts w:cs="Arial"/>
          <w:sz w:val="24"/>
          <w:szCs w:val="24"/>
          <w:lang w:val="es-ES_tradnl" w:eastAsia="es-ES_tradnl"/>
        </w:rPr>
        <w:t>l</w:t>
      </w:r>
      <w:r w:rsidR="00C07EDB" w:rsidRPr="001131C4">
        <w:rPr>
          <w:rFonts w:cs="Arial"/>
          <w:sz w:val="24"/>
          <w:szCs w:val="24"/>
          <w:lang w:val="es-ES_tradnl" w:eastAsia="es-ES_tradnl"/>
        </w:rPr>
        <w:t xml:space="preserve"> presupuesto</w:t>
      </w:r>
      <w:r w:rsidRPr="001131C4">
        <w:rPr>
          <w:rFonts w:cs="Arial"/>
          <w:sz w:val="24"/>
          <w:szCs w:val="24"/>
          <w:lang w:val="es-ES_tradnl" w:eastAsia="es-ES_tradnl"/>
        </w:rPr>
        <w:t xml:space="preserve"> analizado</w:t>
      </w:r>
      <w:r w:rsidR="00C07EDB" w:rsidRPr="001131C4">
        <w:rPr>
          <w:rFonts w:cs="Arial"/>
          <w:sz w:val="24"/>
          <w:szCs w:val="24"/>
          <w:lang w:val="es-ES_tradnl" w:eastAsia="es-ES_tradnl"/>
        </w:rPr>
        <w:t xml:space="preserve">, </w:t>
      </w:r>
      <w:r w:rsidR="001D4909" w:rsidRPr="001131C4">
        <w:rPr>
          <w:rFonts w:cs="Arial"/>
          <w:sz w:val="24"/>
          <w:szCs w:val="24"/>
          <w:lang w:val="es-ES_tradnl" w:eastAsia="es-ES_tradnl"/>
        </w:rPr>
        <w:t xml:space="preserve">tomando como punto de partida para su cómputo la fecha en la que la providencia señalada cobró firmeza y previendo </w:t>
      </w:r>
      <w:r w:rsidR="001D4909" w:rsidRPr="001131C4">
        <w:rPr>
          <w:rFonts w:eastAsia="Times New Roman" w:cs="Arial"/>
          <w:sz w:val="24"/>
          <w:szCs w:val="24"/>
          <w:shd w:val="clear" w:color="auto" w:fill="FFFFFF"/>
        </w:rPr>
        <w:t xml:space="preserve">que dicho término de ejecutoria se predica una vez finiquitado el </w:t>
      </w:r>
      <w:r w:rsidRPr="001131C4">
        <w:rPr>
          <w:rFonts w:eastAsia="Times New Roman" w:cs="Arial"/>
          <w:sz w:val="24"/>
          <w:szCs w:val="24"/>
          <w:shd w:val="clear" w:color="auto" w:fill="FFFFFF"/>
        </w:rPr>
        <w:t>plazo</w:t>
      </w:r>
      <w:r w:rsidR="001D4909" w:rsidRPr="001131C4">
        <w:rPr>
          <w:rFonts w:eastAsia="Times New Roman" w:cs="Arial"/>
          <w:sz w:val="24"/>
          <w:szCs w:val="24"/>
          <w:shd w:val="clear" w:color="auto" w:fill="FFFFFF"/>
        </w:rPr>
        <w:t xml:space="preserve"> previsto en el artículo 302 del CGP, aplicable por remisión expresa del artículo 306 del CPACA, </w:t>
      </w:r>
      <w:r w:rsidR="00C07EDB" w:rsidRPr="001131C4">
        <w:rPr>
          <w:rFonts w:eastAsia="Times New Roman" w:cs="Arial"/>
          <w:sz w:val="24"/>
          <w:szCs w:val="24"/>
          <w:shd w:val="clear" w:color="auto" w:fill="FFFFFF"/>
        </w:rPr>
        <w:t xml:space="preserve">que puede ser usado para solicitar la corrección, la aclaración o la complementación de la decisión. </w:t>
      </w:r>
    </w:p>
    <w:p w14:paraId="319BE603" w14:textId="77777777" w:rsidR="001D4909" w:rsidRPr="001131C4" w:rsidRDefault="001D4909" w:rsidP="00C07EDB">
      <w:pPr>
        <w:spacing w:line="360" w:lineRule="auto"/>
        <w:ind w:left="851" w:right="49"/>
        <w:rPr>
          <w:rFonts w:eastAsia="Times New Roman" w:cs="Arial"/>
          <w:b/>
          <w:bCs/>
          <w:sz w:val="24"/>
          <w:szCs w:val="24"/>
        </w:rPr>
      </w:pPr>
    </w:p>
    <w:p w14:paraId="5F0D6541" w14:textId="0AF17B7F" w:rsidR="00F711F5" w:rsidRPr="001131C4" w:rsidRDefault="001D4909" w:rsidP="00631846">
      <w:pPr>
        <w:spacing w:line="360" w:lineRule="auto"/>
        <w:rPr>
          <w:rFonts w:cs="Arial"/>
          <w:sz w:val="24"/>
          <w:szCs w:val="24"/>
        </w:rPr>
      </w:pPr>
      <w:r w:rsidRPr="001131C4">
        <w:rPr>
          <w:rFonts w:cs="Arial"/>
          <w:sz w:val="24"/>
          <w:szCs w:val="24"/>
        </w:rPr>
        <w:t xml:space="preserve">5.2.- Así las cosas, la sentencia de segunda instancia del </w:t>
      </w:r>
      <w:r w:rsidR="00631846" w:rsidRPr="001131C4">
        <w:rPr>
          <w:rFonts w:cs="Arial"/>
          <w:sz w:val="24"/>
          <w:szCs w:val="24"/>
        </w:rPr>
        <w:t xml:space="preserve">8 de </w:t>
      </w:r>
      <w:r w:rsidR="00513A9D" w:rsidRPr="001131C4">
        <w:rPr>
          <w:rFonts w:cs="Arial"/>
          <w:sz w:val="24"/>
          <w:szCs w:val="24"/>
        </w:rPr>
        <w:t>noviembre</w:t>
      </w:r>
      <w:r w:rsidR="00631846" w:rsidRPr="001131C4">
        <w:rPr>
          <w:rFonts w:cs="Arial"/>
          <w:sz w:val="24"/>
          <w:szCs w:val="24"/>
        </w:rPr>
        <w:t xml:space="preserve"> de 2019, notificada el </w:t>
      </w:r>
      <w:r w:rsidR="00513A9D" w:rsidRPr="001131C4">
        <w:rPr>
          <w:rFonts w:cs="Arial"/>
          <w:sz w:val="24"/>
          <w:szCs w:val="24"/>
        </w:rPr>
        <w:t>25</w:t>
      </w:r>
      <w:r w:rsidR="00631846" w:rsidRPr="001131C4">
        <w:rPr>
          <w:rFonts w:cs="Arial"/>
          <w:sz w:val="24"/>
          <w:szCs w:val="24"/>
        </w:rPr>
        <w:t xml:space="preserve"> </w:t>
      </w:r>
      <w:r w:rsidR="00513A9D" w:rsidRPr="001131C4">
        <w:rPr>
          <w:rFonts w:cs="Arial"/>
          <w:sz w:val="24"/>
          <w:szCs w:val="24"/>
        </w:rPr>
        <w:t>del mismo mes y año</w:t>
      </w:r>
      <w:r w:rsidR="00631846" w:rsidRPr="001131C4">
        <w:rPr>
          <w:rFonts w:cs="Arial"/>
          <w:sz w:val="24"/>
          <w:szCs w:val="24"/>
        </w:rPr>
        <w:t xml:space="preserve">, cobró ejecutoria el </w:t>
      </w:r>
      <w:r w:rsidR="008604CC">
        <w:rPr>
          <w:rFonts w:cs="Arial"/>
          <w:sz w:val="24"/>
          <w:szCs w:val="24"/>
        </w:rPr>
        <w:t xml:space="preserve">día </w:t>
      </w:r>
      <w:r w:rsidR="00513A9D" w:rsidRPr="001131C4">
        <w:rPr>
          <w:rFonts w:cs="Arial"/>
          <w:sz w:val="24"/>
          <w:szCs w:val="24"/>
        </w:rPr>
        <w:t>28</w:t>
      </w:r>
      <w:r w:rsidR="008604CC">
        <w:rPr>
          <w:rFonts w:cs="Arial"/>
          <w:sz w:val="24"/>
          <w:szCs w:val="24"/>
        </w:rPr>
        <w:t xml:space="preserve"> siguiente</w:t>
      </w:r>
      <w:r w:rsidR="00631846" w:rsidRPr="001131C4">
        <w:rPr>
          <w:rFonts w:cs="Arial"/>
          <w:sz w:val="24"/>
          <w:szCs w:val="24"/>
        </w:rPr>
        <w:t>, de modo que el término de los 6 meses</w:t>
      </w:r>
      <w:r w:rsidR="00C07EDB" w:rsidRPr="001131C4">
        <w:rPr>
          <w:rFonts w:cs="Arial"/>
          <w:sz w:val="24"/>
          <w:szCs w:val="24"/>
        </w:rPr>
        <w:t xml:space="preserve">, que </w:t>
      </w:r>
      <w:r w:rsidR="00C07EDB" w:rsidRPr="001131C4">
        <w:rPr>
          <w:rFonts w:cs="Arial"/>
          <w:i/>
          <w:iCs/>
          <w:sz w:val="24"/>
          <w:szCs w:val="24"/>
        </w:rPr>
        <w:t>prima facie</w:t>
      </w:r>
      <w:r w:rsidR="00C07EDB" w:rsidRPr="001131C4">
        <w:rPr>
          <w:rFonts w:cs="Arial"/>
          <w:sz w:val="24"/>
          <w:szCs w:val="24"/>
        </w:rPr>
        <w:t xml:space="preserve">, se avista </w:t>
      </w:r>
      <w:r w:rsidR="00640E3E" w:rsidRPr="001131C4">
        <w:rPr>
          <w:rFonts w:cs="Arial"/>
          <w:sz w:val="24"/>
          <w:szCs w:val="24"/>
        </w:rPr>
        <w:t>razonable</w:t>
      </w:r>
      <w:r w:rsidR="00C07EDB" w:rsidRPr="001131C4">
        <w:rPr>
          <w:rFonts w:cs="Arial"/>
          <w:sz w:val="24"/>
          <w:szCs w:val="24"/>
        </w:rPr>
        <w:t>,</w:t>
      </w:r>
      <w:r w:rsidR="00631846" w:rsidRPr="001131C4">
        <w:rPr>
          <w:rFonts w:cs="Arial"/>
          <w:sz w:val="24"/>
          <w:szCs w:val="24"/>
        </w:rPr>
        <w:t xml:space="preserve"> estuvo vigente hasta </w:t>
      </w:r>
      <w:r w:rsidR="00F711F5" w:rsidRPr="001131C4">
        <w:rPr>
          <w:rFonts w:cs="Arial"/>
          <w:sz w:val="24"/>
          <w:szCs w:val="24"/>
        </w:rPr>
        <w:t xml:space="preserve">el </w:t>
      </w:r>
      <w:r w:rsidR="00513A9D" w:rsidRPr="001131C4">
        <w:rPr>
          <w:rFonts w:cs="Arial"/>
          <w:sz w:val="24"/>
          <w:szCs w:val="24"/>
        </w:rPr>
        <w:lastRenderedPageBreak/>
        <w:t>28</w:t>
      </w:r>
      <w:r w:rsidR="00F711F5" w:rsidRPr="001131C4">
        <w:rPr>
          <w:rFonts w:cs="Arial"/>
          <w:sz w:val="24"/>
          <w:szCs w:val="24"/>
        </w:rPr>
        <w:t xml:space="preserve"> de </w:t>
      </w:r>
      <w:r w:rsidR="00513A9D" w:rsidRPr="001131C4">
        <w:rPr>
          <w:rFonts w:cs="Arial"/>
          <w:sz w:val="24"/>
          <w:szCs w:val="24"/>
        </w:rPr>
        <w:t>mayo</w:t>
      </w:r>
      <w:r w:rsidR="00F711F5" w:rsidRPr="001131C4">
        <w:rPr>
          <w:rFonts w:cs="Arial"/>
          <w:sz w:val="24"/>
          <w:szCs w:val="24"/>
        </w:rPr>
        <w:t xml:space="preserve"> de 2020. No obstante, la acción de tutela presentada por </w:t>
      </w:r>
      <w:r w:rsidR="00513A9D" w:rsidRPr="001131C4">
        <w:rPr>
          <w:rFonts w:cs="Arial"/>
          <w:sz w:val="24"/>
          <w:szCs w:val="24"/>
        </w:rPr>
        <w:t>Alisadiela Arias</w:t>
      </w:r>
      <w:r w:rsidR="002134E2" w:rsidRPr="001131C4">
        <w:rPr>
          <w:rFonts w:cs="Arial"/>
          <w:sz w:val="24"/>
          <w:szCs w:val="24"/>
        </w:rPr>
        <w:t xml:space="preserve">, </w:t>
      </w:r>
      <w:r w:rsidR="00F711F5" w:rsidRPr="001131C4">
        <w:rPr>
          <w:rFonts w:cs="Arial"/>
          <w:sz w:val="24"/>
          <w:szCs w:val="24"/>
        </w:rPr>
        <w:t xml:space="preserve">solo fue radicada hasta el </w:t>
      </w:r>
      <w:r w:rsidR="00ED0A20" w:rsidRPr="001131C4">
        <w:rPr>
          <w:rFonts w:cs="Arial"/>
          <w:sz w:val="24"/>
          <w:szCs w:val="24"/>
        </w:rPr>
        <w:t>26</w:t>
      </w:r>
      <w:r w:rsidR="00F711F5" w:rsidRPr="001131C4">
        <w:rPr>
          <w:rFonts w:cs="Arial"/>
          <w:sz w:val="24"/>
          <w:szCs w:val="24"/>
        </w:rPr>
        <w:t xml:space="preserve"> de </w:t>
      </w:r>
      <w:r w:rsidR="00ED0A20" w:rsidRPr="001131C4">
        <w:rPr>
          <w:rFonts w:cs="Arial"/>
          <w:sz w:val="24"/>
          <w:szCs w:val="24"/>
        </w:rPr>
        <w:t>febrero</w:t>
      </w:r>
      <w:r w:rsidR="00F711F5" w:rsidRPr="001131C4">
        <w:rPr>
          <w:rFonts w:cs="Arial"/>
          <w:sz w:val="24"/>
          <w:szCs w:val="24"/>
        </w:rPr>
        <w:t xml:space="preserve"> de 202</w:t>
      </w:r>
      <w:r w:rsidR="00ED0A20" w:rsidRPr="001131C4">
        <w:rPr>
          <w:rFonts w:cs="Arial"/>
          <w:sz w:val="24"/>
          <w:szCs w:val="24"/>
        </w:rPr>
        <w:t>1</w:t>
      </w:r>
      <w:r w:rsidR="00F711F5" w:rsidRPr="001131C4">
        <w:rPr>
          <w:rFonts w:cs="Arial"/>
          <w:sz w:val="24"/>
          <w:szCs w:val="24"/>
        </w:rPr>
        <w:t>, por lo que fuerza concluir que tuvo lugar por fuera del plazo</w:t>
      </w:r>
      <w:r w:rsidR="00363E5C" w:rsidRPr="001131C4">
        <w:rPr>
          <w:rFonts w:cs="Arial"/>
          <w:sz w:val="24"/>
          <w:szCs w:val="24"/>
        </w:rPr>
        <w:t xml:space="preserve"> jurisprudencialmente dispuesto. </w:t>
      </w:r>
      <w:r w:rsidR="00F711F5" w:rsidRPr="001131C4">
        <w:rPr>
          <w:rFonts w:cs="Arial"/>
          <w:sz w:val="24"/>
          <w:szCs w:val="24"/>
        </w:rPr>
        <w:t xml:space="preserve"> </w:t>
      </w:r>
    </w:p>
    <w:p w14:paraId="1FF24E60" w14:textId="77777777" w:rsidR="00F711F5" w:rsidRPr="001131C4" w:rsidRDefault="00F711F5" w:rsidP="00631846">
      <w:pPr>
        <w:spacing w:line="360" w:lineRule="auto"/>
        <w:rPr>
          <w:rFonts w:cs="Arial"/>
          <w:sz w:val="24"/>
          <w:szCs w:val="24"/>
        </w:rPr>
      </w:pPr>
    </w:p>
    <w:p w14:paraId="18826388" w14:textId="753A6387" w:rsidR="0016578D" w:rsidRPr="001131C4" w:rsidRDefault="001D691D" w:rsidP="00861155">
      <w:pPr>
        <w:spacing w:line="360" w:lineRule="auto"/>
        <w:rPr>
          <w:rFonts w:cs="Arial"/>
          <w:sz w:val="24"/>
          <w:szCs w:val="24"/>
        </w:rPr>
      </w:pPr>
      <w:r w:rsidRPr="001131C4">
        <w:rPr>
          <w:rFonts w:cs="Arial"/>
          <w:sz w:val="24"/>
          <w:szCs w:val="24"/>
        </w:rPr>
        <w:t>En vista de lo anterior</w:t>
      </w:r>
      <w:r w:rsidR="00F711F5" w:rsidRPr="001131C4">
        <w:rPr>
          <w:rFonts w:cs="Arial"/>
          <w:sz w:val="24"/>
          <w:szCs w:val="24"/>
        </w:rPr>
        <w:t>, l</w:t>
      </w:r>
      <w:r w:rsidR="00ED0A20" w:rsidRPr="001131C4">
        <w:rPr>
          <w:rFonts w:cs="Arial"/>
          <w:sz w:val="24"/>
          <w:szCs w:val="24"/>
        </w:rPr>
        <w:t xml:space="preserve">a </w:t>
      </w:r>
      <w:r w:rsidR="0009542F">
        <w:rPr>
          <w:rFonts w:cs="Arial"/>
          <w:sz w:val="24"/>
          <w:szCs w:val="24"/>
        </w:rPr>
        <w:t>interesada</w:t>
      </w:r>
      <w:r w:rsidR="00ED0A20" w:rsidRPr="001131C4">
        <w:rPr>
          <w:rFonts w:cs="Arial"/>
          <w:sz w:val="24"/>
          <w:szCs w:val="24"/>
        </w:rPr>
        <w:t xml:space="preserve"> so</w:t>
      </w:r>
      <w:r w:rsidRPr="001131C4">
        <w:rPr>
          <w:rFonts w:cs="Arial"/>
          <w:sz w:val="24"/>
          <w:szCs w:val="24"/>
        </w:rPr>
        <w:t>licit</w:t>
      </w:r>
      <w:r w:rsidR="00ED0A20" w:rsidRPr="001131C4">
        <w:rPr>
          <w:rFonts w:cs="Arial"/>
          <w:sz w:val="24"/>
          <w:szCs w:val="24"/>
        </w:rPr>
        <w:t>ó</w:t>
      </w:r>
      <w:r w:rsidRPr="001131C4">
        <w:rPr>
          <w:rFonts w:cs="Arial"/>
          <w:sz w:val="24"/>
          <w:szCs w:val="24"/>
        </w:rPr>
        <w:t xml:space="preserve"> que el término de inmediatez se</w:t>
      </w:r>
      <w:r w:rsidR="00ED0A20" w:rsidRPr="001131C4">
        <w:rPr>
          <w:rFonts w:cs="Arial"/>
          <w:sz w:val="24"/>
          <w:szCs w:val="24"/>
        </w:rPr>
        <w:t xml:space="preserve"> flexibi</w:t>
      </w:r>
      <w:r w:rsidR="0016578D" w:rsidRPr="001131C4">
        <w:rPr>
          <w:rFonts w:cs="Arial"/>
          <w:sz w:val="24"/>
          <w:szCs w:val="24"/>
        </w:rPr>
        <w:t>li</w:t>
      </w:r>
      <w:r w:rsidR="00ED0A20" w:rsidRPr="001131C4">
        <w:rPr>
          <w:rFonts w:cs="Arial"/>
          <w:sz w:val="24"/>
          <w:szCs w:val="24"/>
        </w:rPr>
        <w:t>zara</w:t>
      </w:r>
      <w:r w:rsidR="00987924">
        <w:rPr>
          <w:rFonts w:cs="Arial"/>
          <w:sz w:val="24"/>
          <w:szCs w:val="24"/>
        </w:rPr>
        <w:t>,</w:t>
      </w:r>
      <w:r w:rsidR="00ED0A20" w:rsidRPr="001131C4">
        <w:rPr>
          <w:rFonts w:cs="Arial"/>
          <w:sz w:val="24"/>
          <w:szCs w:val="24"/>
        </w:rPr>
        <w:t xml:space="preserve"> </w:t>
      </w:r>
      <w:r w:rsidR="00987924">
        <w:rPr>
          <w:rFonts w:cs="Arial"/>
          <w:sz w:val="24"/>
          <w:szCs w:val="24"/>
        </w:rPr>
        <w:t xml:space="preserve">pues, </w:t>
      </w:r>
      <w:r w:rsidR="007D6EF9">
        <w:rPr>
          <w:rFonts w:cs="Arial"/>
          <w:sz w:val="24"/>
          <w:szCs w:val="24"/>
        </w:rPr>
        <w:t xml:space="preserve">estando en curso </w:t>
      </w:r>
      <w:r w:rsidR="0016578D" w:rsidRPr="001131C4">
        <w:rPr>
          <w:rFonts w:cs="Arial"/>
          <w:sz w:val="24"/>
          <w:szCs w:val="24"/>
        </w:rPr>
        <w:t>la segunda instancia del mencionado proceso</w:t>
      </w:r>
      <w:r w:rsidR="00987924">
        <w:rPr>
          <w:rFonts w:cs="Arial"/>
          <w:sz w:val="24"/>
          <w:szCs w:val="24"/>
        </w:rPr>
        <w:t xml:space="preserve"> ordinario</w:t>
      </w:r>
      <w:r w:rsidR="0016578D" w:rsidRPr="001131C4">
        <w:rPr>
          <w:rFonts w:cs="Arial"/>
          <w:sz w:val="24"/>
          <w:szCs w:val="24"/>
        </w:rPr>
        <w:t xml:space="preserve">, </w:t>
      </w:r>
      <w:r w:rsidR="0009542F">
        <w:rPr>
          <w:rFonts w:cs="Arial"/>
          <w:sz w:val="24"/>
          <w:szCs w:val="24"/>
        </w:rPr>
        <w:t xml:space="preserve">su abogada </w:t>
      </w:r>
      <w:r w:rsidR="0016578D" w:rsidRPr="001131C4">
        <w:rPr>
          <w:rFonts w:cs="Arial"/>
          <w:sz w:val="24"/>
          <w:szCs w:val="24"/>
        </w:rPr>
        <w:t xml:space="preserve">fue privada de </w:t>
      </w:r>
      <w:r w:rsidR="0009542F">
        <w:rPr>
          <w:rFonts w:cs="Arial"/>
          <w:sz w:val="24"/>
          <w:szCs w:val="24"/>
        </w:rPr>
        <w:t>la</w:t>
      </w:r>
      <w:r w:rsidR="0016578D" w:rsidRPr="001131C4">
        <w:rPr>
          <w:rFonts w:cs="Arial"/>
          <w:sz w:val="24"/>
          <w:szCs w:val="24"/>
        </w:rPr>
        <w:t xml:space="preserve"> libertad en el marco de una investigación penal, y solo </w:t>
      </w:r>
      <w:r w:rsidR="00D1795D">
        <w:rPr>
          <w:rFonts w:cs="Arial"/>
          <w:sz w:val="24"/>
          <w:szCs w:val="24"/>
        </w:rPr>
        <w:t>superó</w:t>
      </w:r>
      <w:r w:rsidR="0016578D" w:rsidRPr="001131C4">
        <w:rPr>
          <w:rFonts w:cs="Arial"/>
          <w:sz w:val="24"/>
          <w:szCs w:val="24"/>
        </w:rPr>
        <w:t xml:space="preserve"> esta situación hasta el 11 de noviembre de 2020</w:t>
      </w:r>
      <w:r w:rsidR="0009542F">
        <w:rPr>
          <w:rFonts w:cs="Arial"/>
          <w:sz w:val="24"/>
          <w:szCs w:val="24"/>
        </w:rPr>
        <w:t xml:space="preserve">, razón por la que no </w:t>
      </w:r>
      <w:r w:rsidR="00D1795D">
        <w:rPr>
          <w:rFonts w:cs="Arial"/>
          <w:sz w:val="24"/>
          <w:szCs w:val="24"/>
        </w:rPr>
        <w:t xml:space="preserve">estuvo posibilitada para </w:t>
      </w:r>
      <w:r w:rsidR="00987924">
        <w:rPr>
          <w:rFonts w:cs="Arial"/>
          <w:sz w:val="24"/>
          <w:szCs w:val="24"/>
        </w:rPr>
        <w:t>incoar la tutela</w:t>
      </w:r>
      <w:r w:rsidR="0009542F">
        <w:rPr>
          <w:rFonts w:cs="Arial"/>
          <w:sz w:val="24"/>
          <w:szCs w:val="24"/>
        </w:rPr>
        <w:t xml:space="preserve"> previamente</w:t>
      </w:r>
      <w:r w:rsidR="00987924">
        <w:rPr>
          <w:rFonts w:cs="Arial"/>
          <w:sz w:val="24"/>
          <w:szCs w:val="24"/>
        </w:rPr>
        <w:t xml:space="preserve">, </w:t>
      </w:r>
      <w:r w:rsidR="0009542F">
        <w:rPr>
          <w:rFonts w:cs="Arial"/>
          <w:sz w:val="24"/>
          <w:szCs w:val="24"/>
        </w:rPr>
        <w:t xml:space="preserve">representada jurídicamente. </w:t>
      </w:r>
      <w:r w:rsidR="00987924">
        <w:rPr>
          <w:rFonts w:cs="Arial"/>
          <w:sz w:val="24"/>
          <w:szCs w:val="24"/>
        </w:rPr>
        <w:t xml:space="preserve"> </w:t>
      </w:r>
    </w:p>
    <w:p w14:paraId="246A5039" w14:textId="77777777" w:rsidR="00B17D0D" w:rsidRPr="001131C4" w:rsidRDefault="00B17D0D" w:rsidP="00861155">
      <w:pPr>
        <w:spacing w:line="360" w:lineRule="auto"/>
        <w:rPr>
          <w:rFonts w:cs="Arial"/>
          <w:sz w:val="24"/>
          <w:szCs w:val="24"/>
        </w:rPr>
      </w:pPr>
    </w:p>
    <w:p w14:paraId="24AD2C33" w14:textId="56D465F5" w:rsidR="00B17D0D" w:rsidRDefault="00B17D0D" w:rsidP="00861155">
      <w:pPr>
        <w:spacing w:line="360" w:lineRule="auto"/>
        <w:rPr>
          <w:rFonts w:eastAsia="Times New Roman" w:cs="Arial"/>
          <w:color w:val="000000" w:themeColor="text1"/>
          <w:sz w:val="24"/>
          <w:szCs w:val="24"/>
          <w:lang w:val="es-ES" w:eastAsia="es-CO"/>
        </w:rPr>
      </w:pPr>
      <w:r w:rsidRPr="001131C4">
        <w:rPr>
          <w:rFonts w:eastAsia="Times New Roman" w:cs="Arial"/>
          <w:color w:val="000000" w:themeColor="text1"/>
          <w:sz w:val="24"/>
          <w:szCs w:val="24"/>
          <w:lang w:val="es-ES_tradnl" w:eastAsia="es-CO"/>
        </w:rPr>
        <w:t>A</w:t>
      </w:r>
      <w:r w:rsidR="00861155" w:rsidRPr="001131C4">
        <w:rPr>
          <w:rFonts w:eastAsia="Times New Roman" w:cs="Arial"/>
          <w:color w:val="000000" w:themeColor="text1"/>
          <w:sz w:val="24"/>
          <w:szCs w:val="24"/>
          <w:lang w:val="es-ES_tradnl" w:eastAsia="es-CO"/>
        </w:rPr>
        <w:t xml:space="preserve">l respecto, </w:t>
      </w:r>
      <w:r w:rsidRPr="001131C4">
        <w:rPr>
          <w:rFonts w:eastAsia="Times New Roman" w:cs="Arial"/>
          <w:color w:val="000000" w:themeColor="text1"/>
          <w:sz w:val="24"/>
          <w:szCs w:val="24"/>
          <w:lang w:val="es-ES_tradnl" w:eastAsia="es-CO"/>
        </w:rPr>
        <w:t>en cuanto a las razones expuestas por la parte actora, para llamar a la flexibilización del requisito de inmediatez</w:t>
      </w:r>
      <w:r w:rsidRPr="001131C4">
        <w:rPr>
          <w:rFonts w:eastAsia="Times New Roman" w:cs="Arial"/>
          <w:color w:val="000000" w:themeColor="text1"/>
          <w:sz w:val="24"/>
          <w:szCs w:val="24"/>
          <w:vertAlign w:val="superscript"/>
          <w:lang w:eastAsia="es-CO"/>
        </w:rPr>
        <w:footnoteReference w:id="12"/>
      </w:r>
      <w:r w:rsidRPr="001131C4">
        <w:rPr>
          <w:rFonts w:eastAsia="Times New Roman" w:cs="Arial"/>
          <w:color w:val="000000" w:themeColor="text1"/>
          <w:sz w:val="24"/>
          <w:szCs w:val="24"/>
          <w:lang w:val="es-ES_tradnl" w:eastAsia="es-CO"/>
        </w:rPr>
        <w:t xml:space="preserve">, resulta indicar, en primer lugar, que la presunta necesidad de acudir a un profesional del derecho para impetrar la presente acción no es un obstáculo para </w:t>
      </w:r>
      <w:r w:rsidRPr="001131C4">
        <w:rPr>
          <w:rFonts w:eastAsia="Times New Roman" w:cs="Arial"/>
          <w:color w:val="000000" w:themeColor="text1"/>
          <w:sz w:val="24"/>
          <w:szCs w:val="24"/>
          <w:lang w:val="es-ES" w:eastAsia="es-CO"/>
        </w:rPr>
        <w:t xml:space="preserve">solicitar el amparo de los derechos fundamentales. Ello es así, dada la naturaleza y el carácter informal de la acción de tutela, que permite que cualquier persona pueda pretender la protección de sus derechos, ya sea de manera verbal o escrita, sin ninguna exigencia adicional a que se exprese de manera clara </w:t>
      </w:r>
      <w:r w:rsidRPr="00B72F1F">
        <w:rPr>
          <w:rFonts w:eastAsia="Times New Roman" w:cs="Arial"/>
          <w:i/>
          <w:iCs/>
          <w:color w:val="000000" w:themeColor="text1"/>
          <w:sz w:val="24"/>
          <w:szCs w:val="24"/>
          <w:lang w:val="es-ES" w:eastAsia="es-CO"/>
        </w:rPr>
        <w:t>“la acción o la omisión que la motiva y el derecho que considera amenazado”</w:t>
      </w:r>
      <w:r w:rsidRPr="001131C4">
        <w:rPr>
          <w:rFonts w:eastAsia="Times New Roman" w:cs="Arial"/>
          <w:color w:val="000000" w:themeColor="text1"/>
          <w:sz w:val="24"/>
          <w:szCs w:val="24"/>
          <w:vertAlign w:val="superscript"/>
          <w:lang w:val="es-ES" w:eastAsia="es-CO"/>
        </w:rPr>
        <w:footnoteReference w:id="13"/>
      </w:r>
      <w:r w:rsidRPr="001131C4">
        <w:rPr>
          <w:rFonts w:eastAsia="Times New Roman" w:cs="Arial"/>
          <w:color w:val="000000" w:themeColor="text1"/>
          <w:sz w:val="24"/>
          <w:szCs w:val="24"/>
          <w:lang w:val="es-ES" w:eastAsia="es-CO"/>
        </w:rPr>
        <w:t xml:space="preserve">.  </w:t>
      </w:r>
    </w:p>
    <w:p w14:paraId="52F4F6C1" w14:textId="1AAB28C0" w:rsidR="008604CC" w:rsidRDefault="008604CC" w:rsidP="00861155">
      <w:pPr>
        <w:spacing w:line="360" w:lineRule="auto"/>
        <w:rPr>
          <w:rFonts w:eastAsia="Times New Roman" w:cs="Arial"/>
          <w:color w:val="000000" w:themeColor="text1"/>
          <w:sz w:val="24"/>
          <w:szCs w:val="24"/>
          <w:lang w:val="es-ES" w:eastAsia="es-CO"/>
        </w:rPr>
      </w:pPr>
    </w:p>
    <w:p w14:paraId="33471109" w14:textId="16D0DE56" w:rsidR="008604CC" w:rsidRDefault="008604CC" w:rsidP="00861155">
      <w:pPr>
        <w:spacing w:line="360" w:lineRule="auto"/>
        <w:rPr>
          <w:rFonts w:eastAsia="Times New Roman" w:cs="Arial"/>
          <w:color w:val="000000" w:themeColor="text1"/>
          <w:sz w:val="24"/>
          <w:szCs w:val="24"/>
          <w:lang w:val="es-ES" w:eastAsia="es-CO"/>
        </w:rPr>
      </w:pPr>
      <w:r>
        <w:rPr>
          <w:rFonts w:eastAsia="Times New Roman" w:cs="Arial"/>
          <w:color w:val="000000" w:themeColor="text1"/>
          <w:sz w:val="24"/>
          <w:szCs w:val="24"/>
          <w:lang w:val="es-ES" w:eastAsia="es-CO"/>
        </w:rPr>
        <w:t>Además, a pesar de que la apodera</w:t>
      </w:r>
      <w:r w:rsidR="00B12CAC">
        <w:rPr>
          <w:rFonts w:eastAsia="Times New Roman" w:cs="Arial"/>
          <w:color w:val="000000" w:themeColor="text1"/>
          <w:sz w:val="24"/>
          <w:szCs w:val="24"/>
          <w:lang w:val="es-ES" w:eastAsia="es-CO"/>
        </w:rPr>
        <w:t>da</w:t>
      </w:r>
      <w:r>
        <w:rPr>
          <w:rFonts w:eastAsia="Times New Roman" w:cs="Arial"/>
          <w:color w:val="000000" w:themeColor="text1"/>
          <w:sz w:val="24"/>
          <w:szCs w:val="24"/>
          <w:lang w:val="es-ES" w:eastAsia="es-CO"/>
        </w:rPr>
        <w:t xml:space="preserve"> judicial de la peticionaria se encontrara privada de la libertad, pudo, en principio, haber </w:t>
      </w:r>
      <w:r w:rsidR="00D1795D">
        <w:rPr>
          <w:rFonts w:eastAsia="Times New Roman" w:cs="Arial"/>
          <w:color w:val="000000" w:themeColor="text1"/>
          <w:sz w:val="24"/>
          <w:szCs w:val="24"/>
          <w:lang w:val="es-ES" w:eastAsia="es-CO"/>
        </w:rPr>
        <w:t xml:space="preserve">elaborado o </w:t>
      </w:r>
      <w:r>
        <w:rPr>
          <w:rFonts w:eastAsia="Times New Roman" w:cs="Arial"/>
          <w:color w:val="000000" w:themeColor="text1"/>
          <w:sz w:val="24"/>
          <w:szCs w:val="24"/>
          <w:lang w:val="es-ES" w:eastAsia="es-CO"/>
        </w:rPr>
        <w:t xml:space="preserve">radicado la acción constitucional desde el </w:t>
      </w:r>
      <w:r w:rsidR="00243515">
        <w:rPr>
          <w:rFonts w:eastAsia="Times New Roman" w:cs="Arial"/>
          <w:color w:val="000000" w:themeColor="text1"/>
          <w:sz w:val="24"/>
          <w:szCs w:val="24"/>
          <w:lang w:val="es-ES" w:eastAsia="es-CO"/>
        </w:rPr>
        <w:t xml:space="preserve">sitio de reclusión, </w:t>
      </w:r>
      <w:r>
        <w:rPr>
          <w:rFonts w:eastAsia="Times New Roman" w:cs="Arial"/>
          <w:color w:val="000000" w:themeColor="text1"/>
          <w:sz w:val="24"/>
          <w:szCs w:val="24"/>
          <w:lang w:val="es-ES" w:eastAsia="es-CO"/>
        </w:rPr>
        <w:t>o</w:t>
      </w:r>
      <w:r w:rsidR="00D1795D">
        <w:rPr>
          <w:rFonts w:eastAsia="Times New Roman" w:cs="Arial"/>
          <w:color w:val="000000" w:themeColor="text1"/>
          <w:sz w:val="24"/>
          <w:szCs w:val="24"/>
          <w:lang w:val="es-ES" w:eastAsia="es-CO"/>
        </w:rPr>
        <w:t>,</w:t>
      </w:r>
      <w:r>
        <w:rPr>
          <w:rFonts w:eastAsia="Times New Roman" w:cs="Arial"/>
          <w:color w:val="000000" w:themeColor="text1"/>
          <w:sz w:val="24"/>
          <w:szCs w:val="24"/>
          <w:lang w:val="es-ES" w:eastAsia="es-CO"/>
        </w:rPr>
        <w:t xml:space="preserve"> al menos, no se adujo alguna </w:t>
      </w:r>
      <w:r w:rsidR="00D1795D">
        <w:rPr>
          <w:rFonts w:eastAsia="Times New Roman" w:cs="Arial"/>
          <w:color w:val="000000" w:themeColor="text1"/>
          <w:sz w:val="24"/>
          <w:szCs w:val="24"/>
          <w:lang w:val="es-ES" w:eastAsia="es-CO"/>
        </w:rPr>
        <w:t>dificultad</w:t>
      </w:r>
      <w:r>
        <w:rPr>
          <w:rFonts w:eastAsia="Times New Roman" w:cs="Arial"/>
          <w:color w:val="000000" w:themeColor="text1"/>
          <w:sz w:val="24"/>
          <w:szCs w:val="24"/>
          <w:lang w:val="es-ES" w:eastAsia="es-CO"/>
        </w:rPr>
        <w:t xml:space="preserve"> </w:t>
      </w:r>
      <w:r w:rsidR="001642F8">
        <w:rPr>
          <w:rFonts w:eastAsia="Times New Roman" w:cs="Arial"/>
          <w:color w:val="000000" w:themeColor="text1"/>
          <w:sz w:val="24"/>
          <w:szCs w:val="24"/>
          <w:lang w:val="es-ES" w:eastAsia="es-CO"/>
        </w:rPr>
        <w:t xml:space="preserve">específica </w:t>
      </w:r>
      <w:r>
        <w:rPr>
          <w:rFonts w:eastAsia="Times New Roman" w:cs="Arial"/>
          <w:color w:val="000000" w:themeColor="text1"/>
          <w:sz w:val="24"/>
          <w:szCs w:val="24"/>
          <w:lang w:val="es-ES" w:eastAsia="es-CO"/>
        </w:rPr>
        <w:t xml:space="preserve">sobre el particular. </w:t>
      </w:r>
    </w:p>
    <w:p w14:paraId="2FD9D683" w14:textId="53071A55" w:rsidR="0031080E" w:rsidRDefault="0031080E" w:rsidP="00861155">
      <w:pPr>
        <w:spacing w:line="360" w:lineRule="auto"/>
        <w:rPr>
          <w:rFonts w:eastAsia="Times New Roman" w:cs="Arial"/>
          <w:color w:val="000000" w:themeColor="text1"/>
          <w:sz w:val="24"/>
          <w:szCs w:val="24"/>
          <w:lang w:val="es-ES" w:eastAsia="es-CO"/>
        </w:rPr>
      </w:pPr>
    </w:p>
    <w:p w14:paraId="528A184D" w14:textId="3D5CD4BB" w:rsidR="0031080E" w:rsidRPr="001131C4" w:rsidRDefault="0031080E" w:rsidP="00861155">
      <w:pPr>
        <w:spacing w:line="360" w:lineRule="auto"/>
        <w:rPr>
          <w:rFonts w:eastAsia="Times New Roman" w:cs="Arial"/>
          <w:color w:val="000000" w:themeColor="text1"/>
          <w:sz w:val="24"/>
          <w:szCs w:val="24"/>
          <w:lang w:val="es-ES_tradnl" w:eastAsia="es-CO"/>
        </w:rPr>
      </w:pPr>
      <w:r>
        <w:rPr>
          <w:rFonts w:eastAsia="Times New Roman" w:cs="Arial"/>
          <w:color w:val="000000" w:themeColor="text1"/>
          <w:sz w:val="24"/>
          <w:szCs w:val="24"/>
          <w:lang w:val="es-ES" w:eastAsia="es-CO"/>
        </w:rPr>
        <w:lastRenderedPageBreak/>
        <w:t xml:space="preserve">Por lo </w:t>
      </w:r>
      <w:r w:rsidR="001642F8">
        <w:rPr>
          <w:rFonts w:eastAsia="Times New Roman" w:cs="Arial"/>
          <w:color w:val="000000" w:themeColor="text1"/>
          <w:sz w:val="24"/>
          <w:szCs w:val="24"/>
          <w:lang w:val="es-ES" w:eastAsia="es-CO"/>
        </w:rPr>
        <w:t>anotado</w:t>
      </w:r>
      <w:r>
        <w:rPr>
          <w:rFonts w:eastAsia="Times New Roman" w:cs="Arial"/>
          <w:color w:val="000000" w:themeColor="text1"/>
          <w:sz w:val="24"/>
          <w:szCs w:val="24"/>
          <w:lang w:val="es-ES" w:eastAsia="es-CO"/>
        </w:rPr>
        <w:t xml:space="preserve">, </w:t>
      </w:r>
      <w:r w:rsidR="001642F8">
        <w:rPr>
          <w:rFonts w:eastAsia="Times New Roman" w:cs="Arial"/>
          <w:color w:val="000000" w:themeColor="text1"/>
          <w:sz w:val="24"/>
          <w:szCs w:val="24"/>
          <w:lang w:val="es-ES" w:eastAsia="es-CO"/>
        </w:rPr>
        <w:t xml:space="preserve">las justificaciones lucidas no serán acogidas, y el amparo se impone improcedente. </w:t>
      </w:r>
    </w:p>
    <w:p w14:paraId="4BFFC4B2" w14:textId="7FF71C91" w:rsidR="003756D9" w:rsidRPr="001131C4" w:rsidRDefault="003756D9" w:rsidP="00A91C04">
      <w:pPr>
        <w:spacing w:line="360" w:lineRule="auto"/>
        <w:rPr>
          <w:rFonts w:eastAsia="Palatino Linotype" w:cs="Arial"/>
          <w:bCs/>
          <w:sz w:val="24"/>
          <w:szCs w:val="24"/>
          <w:lang w:eastAsia="es-ES"/>
        </w:rPr>
      </w:pPr>
    </w:p>
    <w:p w14:paraId="3D83DADE" w14:textId="77777777" w:rsidR="003756D9" w:rsidRPr="001131C4" w:rsidRDefault="003756D9" w:rsidP="003756D9">
      <w:pPr>
        <w:tabs>
          <w:tab w:val="left" w:pos="709"/>
          <w:tab w:val="left" w:pos="1701"/>
        </w:tabs>
        <w:spacing w:line="360" w:lineRule="auto"/>
        <w:rPr>
          <w:rFonts w:cs="Arial"/>
          <w:sz w:val="24"/>
          <w:szCs w:val="24"/>
        </w:rPr>
      </w:pPr>
      <w:r w:rsidRPr="001131C4">
        <w:rPr>
          <w:rFonts w:eastAsia="Verdana" w:cs="Arial"/>
          <w:sz w:val="24"/>
          <w:szCs w:val="24"/>
        </w:rPr>
        <w:t xml:space="preserve">En mérito de lo expuesto, </w:t>
      </w:r>
      <w:r w:rsidRPr="001131C4">
        <w:rPr>
          <w:rFonts w:cs="Arial"/>
          <w:sz w:val="24"/>
          <w:szCs w:val="24"/>
        </w:rPr>
        <w:t>la Subsección C de la Sección Tercera de la Sala de lo Contencioso Administrativo del Consejo de Estado, administrando justicia en nombre de la República y por autoridad de la ley,</w:t>
      </w:r>
    </w:p>
    <w:p w14:paraId="06705656" w14:textId="77777777" w:rsidR="003756D9" w:rsidRPr="001131C4" w:rsidRDefault="003756D9" w:rsidP="003756D9">
      <w:pPr>
        <w:tabs>
          <w:tab w:val="left" w:pos="709"/>
          <w:tab w:val="left" w:pos="1701"/>
        </w:tabs>
        <w:spacing w:line="360" w:lineRule="auto"/>
        <w:rPr>
          <w:rFonts w:cs="Arial"/>
          <w:sz w:val="24"/>
          <w:szCs w:val="24"/>
        </w:rPr>
      </w:pPr>
    </w:p>
    <w:p w14:paraId="1EACD2FF" w14:textId="7C4AC3D2" w:rsidR="003756D9" w:rsidRPr="00DF09B1" w:rsidRDefault="003756D9" w:rsidP="00DF09B1">
      <w:pPr>
        <w:pStyle w:val="Prrafodelista"/>
        <w:numPr>
          <w:ilvl w:val="0"/>
          <w:numId w:val="3"/>
        </w:numPr>
        <w:tabs>
          <w:tab w:val="left" w:pos="709"/>
          <w:tab w:val="left" w:pos="1701"/>
        </w:tabs>
        <w:spacing w:line="360" w:lineRule="auto"/>
        <w:jc w:val="center"/>
        <w:rPr>
          <w:rFonts w:cs="Arial"/>
          <w:b/>
          <w:sz w:val="24"/>
          <w:szCs w:val="24"/>
        </w:rPr>
      </w:pPr>
      <w:r w:rsidRPr="00DF09B1">
        <w:rPr>
          <w:rFonts w:cs="Arial"/>
          <w:b/>
          <w:sz w:val="24"/>
          <w:szCs w:val="24"/>
        </w:rPr>
        <w:t>RESUELVE</w:t>
      </w:r>
    </w:p>
    <w:p w14:paraId="67274B7D" w14:textId="77777777" w:rsidR="003756D9" w:rsidRPr="001131C4" w:rsidRDefault="003756D9" w:rsidP="00821831">
      <w:pPr>
        <w:spacing w:line="360" w:lineRule="auto"/>
        <w:rPr>
          <w:rFonts w:eastAsia="Verdana" w:cs="Arial"/>
          <w:b/>
          <w:sz w:val="24"/>
          <w:szCs w:val="24"/>
        </w:rPr>
      </w:pPr>
    </w:p>
    <w:p w14:paraId="6987E5DB" w14:textId="4AD7528A" w:rsidR="00F711F5" w:rsidRPr="001131C4" w:rsidRDefault="003756D9" w:rsidP="00821831">
      <w:pPr>
        <w:spacing w:line="360" w:lineRule="auto"/>
        <w:rPr>
          <w:rFonts w:cs="Arial"/>
          <w:sz w:val="24"/>
          <w:szCs w:val="24"/>
        </w:rPr>
      </w:pPr>
      <w:r w:rsidRPr="001131C4">
        <w:rPr>
          <w:rFonts w:eastAsia="Verdana" w:cs="Arial"/>
          <w:b/>
          <w:sz w:val="24"/>
          <w:szCs w:val="24"/>
        </w:rPr>
        <w:t xml:space="preserve">PRIMERO: DECLARAR </w:t>
      </w:r>
      <w:r w:rsidRPr="001131C4">
        <w:rPr>
          <w:rFonts w:eastAsia="Verdana" w:cs="Arial"/>
          <w:sz w:val="24"/>
          <w:szCs w:val="24"/>
        </w:rPr>
        <w:t xml:space="preserve">improcedente el amparo solicitado por </w:t>
      </w:r>
      <w:r w:rsidR="001131C4" w:rsidRPr="001131C4">
        <w:rPr>
          <w:rFonts w:cs="Arial"/>
          <w:sz w:val="24"/>
          <w:szCs w:val="24"/>
        </w:rPr>
        <w:t>Alisadiela Arias</w:t>
      </w:r>
      <w:r w:rsidRPr="001131C4">
        <w:rPr>
          <w:rFonts w:cs="Arial"/>
          <w:sz w:val="24"/>
          <w:szCs w:val="24"/>
        </w:rPr>
        <w:t>.</w:t>
      </w:r>
    </w:p>
    <w:p w14:paraId="1D89EE88" w14:textId="77777777" w:rsidR="003756D9" w:rsidRPr="001131C4" w:rsidRDefault="003756D9" w:rsidP="00821831">
      <w:pPr>
        <w:spacing w:line="360" w:lineRule="auto"/>
        <w:rPr>
          <w:rFonts w:cs="Arial"/>
          <w:sz w:val="24"/>
          <w:szCs w:val="24"/>
        </w:rPr>
      </w:pPr>
    </w:p>
    <w:p w14:paraId="4F90A76E" w14:textId="77777777" w:rsidR="003756D9" w:rsidRPr="001131C4" w:rsidRDefault="003756D9" w:rsidP="003756D9">
      <w:pPr>
        <w:pStyle w:val="Sinespaciado"/>
        <w:spacing w:line="360" w:lineRule="auto"/>
        <w:jc w:val="both"/>
        <w:rPr>
          <w:rFonts w:ascii="Arial" w:hAnsi="Arial" w:cs="Arial"/>
          <w:sz w:val="24"/>
          <w:szCs w:val="24"/>
        </w:rPr>
      </w:pPr>
      <w:r w:rsidRPr="001131C4">
        <w:rPr>
          <w:rFonts w:ascii="Arial" w:eastAsia="Verdana" w:hAnsi="Arial" w:cs="Arial"/>
          <w:b/>
          <w:sz w:val="24"/>
          <w:szCs w:val="24"/>
        </w:rPr>
        <w:t xml:space="preserve">SEGUNDO: </w:t>
      </w:r>
      <w:r w:rsidRPr="001131C4">
        <w:rPr>
          <w:rFonts w:ascii="Arial" w:hAnsi="Arial" w:cs="Arial"/>
          <w:b/>
          <w:sz w:val="24"/>
          <w:szCs w:val="24"/>
        </w:rPr>
        <w:t xml:space="preserve">NOTIFICAR </w:t>
      </w:r>
      <w:r w:rsidRPr="001131C4">
        <w:rPr>
          <w:rFonts w:ascii="Arial" w:hAnsi="Arial" w:cs="Arial"/>
          <w:sz w:val="24"/>
          <w:szCs w:val="24"/>
        </w:rPr>
        <w:t xml:space="preserve">la presente decisión a los interesados por el medio más expedito. </w:t>
      </w:r>
    </w:p>
    <w:p w14:paraId="7B74007F" w14:textId="77777777" w:rsidR="003756D9" w:rsidRPr="001131C4" w:rsidRDefault="003756D9" w:rsidP="003756D9">
      <w:pPr>
        <w:pStyle w:val="Sinespaciado"/>
        <w:spacing w:line="360" w:lineRule="auto"/>
        <w:jc w:val="both"/>
        <w:rPr>
          <w:rFonts w:ascii="Arial" w:hAnsi="Arial" w:cs="Arial"/>
          <w:sz w:val="24"/>
          <w:szCs w:val="24"/>
        </w:rPr>
      </w:pPr>
    </w:p>
    <w:p w14:paraId="2C440AAA" w14:textId="77777777" w:rsidR="003756D9" w:rsidRPr="001131C4" w:rsidRDefault="003756D9" w:rsidP="003756D9">
      <w:pPr>
        <w:pStyle w:val="Sinespaciado"/>
        <w:spacing w:line="360" w:lineRule="auto"/>
        <w:jc w:val="both"/>
        <w:rPr>
          <w:rFonts w:ascii="Arial" w:hAnsi="Arial" w:cs="Arial"/>
          <w:sz w:val="24"/>
          <w:szCs w:val="24"/>
        </w:rPr>
      </w:pPr>
      <w:r w:rsidRPr="001131C4">
        <w:rPr>
          <w:rFonts w:ascii="Arial" w:hAnsi="Arial" w:cs="Arial"/>
          <w:b/>
          <w:sz w:val="24"/>
          <w:szCs w:val="24"/>
        </w:rPr>
        <w:t xml:space="preserve">TERCERO: ENVIAR </w:t>
      </w:r>
      <w:r w:rsidRPr="001131C4">
        <w:rPr>
          <w:rFonts w:ascii="Arial" w:hAnsi="Arial" w:cs="Arial"/>
          <w:sz w:val="24"/>
          <w:szCs w:val="24"/>
        </w:rPr>
        <w:t xml:space="preserve">a la Corte Constitucional para su eventual revisión, en caso de no presentarse impugnación en contra de la presente decisión. </w:t>
      </w:r>
    </w:p>
    <w:p w14:paraId="4959DF6B" w14:textId="77777777" w:rsidR="003756D9" w:rsidRPr="001131C4" w:rsidRDefault="003756D9" w:rsidP="003756D9">
      <w:pPr>
        <w:pStyle w:val="Sinespaciado"/>
        <w:tabs>
          <w:tab w:val="left" w:pos="3375"/>
        </w:tabs>
        <w:spacing w:line="360" w:lineRule="auto"/>
        <w:rPr>
          <w:rFonts w:ascii="Arial" w:hAnsi="Arial" w:cs="Arial"/>
          <w:sz w:val="24"/>
          <w:szCs w:val="24"/>
        </w:rPr>
      </w:pPr>
    </w:p>
    <w:p w14:paraId="17DCE689" w14:textId="77777777" w:rsidR="003756D9" w:rsidRPr="001131C4" w:rsidRDefault="003756D9" w:rsidP="009737AC">
      <w:pPr>
        <w:pStyle w:val="Sinespaciado"/>
        <w:jc w:val="center"/>
        <w:rPr>
          <w:rFonts w:ascii="Arial" w:hAnsi="Arial" w:cs="Arial"/>
          <w:b/>
          <w:sz w:val="24"/>
          <w:szCs w:val="24"/>
        </w:rPr>
      </w:pPr>
      <w:r w:rsidRPr="001131C4">
        <w:rPr>
          <w:rFonts w:ascii="Arial" w:hAnsi="Arial" w:cs="Arial"/>
          <w:b/>
          <w:sz w:val="24"/>
          <w:szCs w:val="24"/>
        </w:rPr>
        <w:t>CÓPIESE, NOTIFÍQUESE Y CÚMPLASE</w:t>
      </w:r>
    </w:p>
    <w:p w14:paraId="623D5A62" w14:textId="0B8A56B9" w:rsidR="003756D9" w:rsidRDefault="003756D9" w:rsidP="009737AC">
      <w:pPr>
        <w:pStyle w:val="Sinespaciado"/>
        <w:jc w:val="center"/>
        <w:rPr>
          <w:rFonts w:ascii="Arial" w:hAnsi="Arial" w:cs="Arial"/>
          <w:b/>
          <w:sz w:val="24"/>
          <w:szCs w:val="24"/>
        </w:rPr>
      </w:pPr>
    </w:p>
    <w:p w14:paraId="552DB4DF" w14:textId="77777777" w:rsidR="009737AC" w:rsidRPr="001131C4" w:rsidRDefault="009737AC" w:rsidP="009737AC">
      <w:pPr>
        <w:pStyle w:val="Sinespaciado"/>
        <w:jc w:val="center"/>
        <w:rPr>
          <w:rFonts w:ascii="Arial" w:hAnsi="Arial" w:cs="Arial"/>
          <w:b/>
          <w:sz w:val="24"/>
          <w:szCs w:val="24"/>
        </w:rPr>
      </w:pPr>
    </w:p>
    <w:p w14:paraId="52B0FDF8" w14:textId="6B0BE79C" w:rsidR="001131C4" w:rsidRPr="001131C4" w:rsidRDefault="001131C4" w:rsidP="009737AC">
      <w:pPr>
        <w:pStyle w:val="Sinespaciado"/>
        <w:jc w:val="center"/>
        <w:rPr>
          <w:rFonts w:ascii="Arial" w:hAnsi="Arial" w:cs="Arial"/>
          <w:b/>
          <w:sz w:val="24"/>
          <w:szCs w:val="24"/>
        </w:rPr>
      </w:pPr>
    </w:p>
    <w:p w14:paraId="42C147AE" w14:textId="77777777" w:rsidR="001131C4" w:rsidRPr="001131C4" w:rsidRDefault="001131C4" w:rsidP="009737AC">
      <w:pPr>
        <w:pStyle w:val="Sinespaciado"/>
        <w:jc w:val="center"/>
        <w:rPr>
          <w:rFonts w:ascii="Arial" w:hAnsi="Arial" w:cs="Arial"/>
          <w:b/>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3756D9" w:rsidRPr="001131C4" w14:paraId="440CABA9" w14:textId="77777777" w:rsidTr="003756D9">
        <w:tc>
          <w:tcPr>
            <w:tcW w:w="4698" w:type="dxa"/>
            <w:hideMark/>
          </w:tcPr>
          <w:p w14:paraId="7FB0DDB4" w14:textId="77777777" w:rsidR="001131C4" w:rsidRPr="001131C4" w:rsidRDefault="001131C4" w:rsidP="009737AC">
            <w:pPr>
              <w:pStyle w:val="Sinespaciado"/>
              <w:tabs>
                <w:tab w:val="center" w:pos="2241"/>
              </w:tabs>
              <w:jc w:val="center"/>
              <w:rPr>
                <w:rFonts w:ascii="Arial" w:hAnsi="Arial" w:cs="Arial"/>
                <w:b/>
                <w:bCs/>
                <w:sz w:val="24"/>
                <w:szCs w:val="24"/>
              </w:rPr>
            </w:pPr>
            <w:r w:rsidRPr="001131C4">
              <w:rPr>
                <w:rFonts w:ascii="Arial" w:hAnsi="Arial" w:cs="Arial"/>
                <w:b/>
                <w:bCs/>
                <w:sz w:val="24"/>
                <w:szCs w:val="24"/>
              </w:rPr>
              <w:t>JAIME ENRIQUE RODRÍGUEZ NAVAS</w:t>
            </w:r>
          </w:p>
          <w:p w14:paraId="66C15357" w14:textId="01E0C0F5" w:rsidR="001131C4" w:rsidRPr="001131C4" w:rsidRDefault="001131C4" w:rsidP="009737AC">
            <w:pPr>
              <w:pStyle w:val="Sinespaciado"/>
              <w:jc w:val="center"/>
              <w:rPr>
                <w:rFonts w:ascii="Arial" w:hAnsi="Arial" w:cs="Arial"/>
                <w:b/>
                <w:bCs/>
                <w:sz w:val="24"/>
                <w:szCs w:val="24"/>
              </w:rPr>
            </w:pPr>
            <w:r w:rsidRPr="001131C4">
              <w:rPr>
                <w:rFonts w:ascii="Arial" w:hAnsi="Arial" w:cs="Arial"/>
                <w:b/>
                <w:bCs/>
                <w:sz w:val="24"/>
                <w:szCs w:val="24"/>
              </w:rPr>
              <w:t xml:space="preserve">Presidente de Sala </w:t>
            </w:r>
          </w:p>
          <w:p w14:paraId="21A72678" w14:textId="1307BBC9" w:rsidR="003756D9" w:rsidRPr="001131C4" w:rsidRDefault="003756D9" w:rsidP="009737AC">
            <w:pPr>
              <w:pStyle w:val="Sinespaciado"/>
              <w:jc w:val="center"/>
              <w:rPr>
                <w:rFonts w:ascii="Arial" w:hAnsi="Arial" w:cs="Arial"/>
                <w:b/>
                <w:bCs/>
                <w:sz w:val="24"/>
                <w:szCs w:val="24"/>
              </w:rPr>
            </w:pPr>
          </w:p>
        </w:tc>
        <w:tc>
          <w:tcPr>
            <w:tcW w:w="4698" w:type="dxa"/>
            <w:hideMark/>
          </w:tcPr>
          <w:p w14:paraId="2657241D" w14:textId="77777777" w:rsidR="001131C4" w:rsidRPr="001131C4" w:rsidRDefault="001131C4" w:rsidP="009737AC">
            <w:pPr>
              <w:pStyle w:val="Sinespaciado"/>
              <w:jc w:val="center"/>
              <w:rPr>
                <w:rFonts w:ascii="Arial" w:hAnsi="Arial" w:cs="Arial"/>
                <w:b/>
                <w:bCs/>
                <w:sz w:val="24"/>
                <w:szCs w:val="24"/>
              </w:rPr>
            </w:pPr>
            <w:r w:rsidRPr="001131C4">
              <w:rPr>
                <w:rFonts w:ascii="Arial" w:hAnsi="Arial" w:cs="Arial"/>
                <w:b/>
                <w:bCs/>
                <w:sz w:val="24"/>
                <w:szCs w:val="24"/>
              </w:rPr>
              <w:t>GUILLERMO SÁNCHEZ LUQUE</w:t>
            </w:r>
          </w:p>
          <w:p w14:paraId="32E9B3B2" w14:textId="77777777" w:rsidR="003A5B0B" w:rsidRDefault="001131C4" w:rsidP="009737AC">
            <w:pPr>
              <w:pStyle w:val="Sinespaciado"/>
              <w:jc w:val="center"/>
              <w:rPr>
                <w:rFonts w:ascii="Arial" w:hAnsi="Arial" w:cs="Arial"/>
                <w:b/>
                <w:bCs/>
                <w:sz w:val="24"/>
                <w:szCs w:val="24"/>
              </w:rPr>
            </w:pPr>
            <w:r w:rsidRPr="001131C4">
              <w:rPr>
                <w:rFonts w:ascii="Arial" w:hAnsi="Arial" w:cs="Arial"/>
                <w:b/>
                <w:bCs/>
                <w:sz w:val="24"/>
                <w:szCs w:val="24"/>
              </w:rPr>
              <w:t xml:space="preserve">Consejero de Estado   </w:t>
            </w:r>
          </w:p>
          <w:p w14:paraId="52DDF30B" w14:textId="77777777" w:rsidR="003A5B0B" w:rsidRPr="003A5B0B" w:rsidRDefault="003A5B0B" w:rsidP="009737AC">
            <w:pPr>
              <w:ind w:left="360"/>
              <w:jc w:val="center"/>
              <w:rPr>
                <w:rFonts w:cs="Arial"/>
                <w:b/>
                <w:bCs/>
              </w:rPr>
            </w:pPr>
            <w:r w:rsidRPr="003A5B0B">
              <w:rPr>
                <w:rFonts w:cs="Arial"/>
                <w:b/>
                <w:bCs/>
              </w:rPr>
              <w:t>Aclaración de Voto</w:t>
            </w:r>
          </w:p>
          <w:p w14:paraId="66D915F7" w14:textId="52B331DC" w:rsidR="003A5B0B" w:rsidRPr="003A5B0B" w:rsidRDefault="003A5B0B" w:rsidP="009737AC">
            <w:pPr>
              <w:ind w:left="360"/>
              <w:jc w:val="center"/>
              <w:rPr>
                <w:rFonts w:cs="Arial"/>
              </w:rPr>
            </w:pPr>
            <w:r w:rsidRPr="003A5B0B">
              <w:rPr>
                <w:rFonts w:eastAsia="BatangChe" w:cs="Arial"/>
                <w:b/>
                <w:bCs/>
              </w:rPr>
              <w:t>Cfr. Rad.</w:t>
            </w:r>
            <w:r w:rsidRPr="003A5B0B">
              <w:t xml:space="preserve"> </w:t>
            </w:r>
            <w:r w:rsidRPr="003A5B0B">
              <w:rPr>
                <w:rFonts w:eastAsia="BatangChe" w:cs="Arial"/>
                <w:b/>
                <w:bCs/>
              </w:rPr>
              <w:t>11001-03-15-000-2019-00022-00</w:t>
            </w:r>
          </w:p>
          <w:p w14:paraId="349E9D7E" w14:textId="4A9F930C" w:rsidR="003756D9" w:rsidRPr="001131C4" w:rsidRDefault="001131C4" w:rsidP="009737AC">
            <w:pPr>
              <w:pStyle w:val="Sinespaciado"/>
              <w:jc w:val="center"/>
              <w:rPr>
                <w:rFonts w:ascii="Arial" w:hAnsi="Arial" w:cs="Arial"/>
                <w:sz w:val="24"/>
                <w:szCs w:val="24"/>
              </w:rPr>
            </w:pPr>
            <w:r w:rsidRPr="001131C4">
              <w:rPr>
                <w:rFonts w:ascii="Arial" w:hAnsi="Arial" w:cs="Arial"/>
                <w:b/>
                <w:bCs/>
                <w:sz w:val="24"/>
                <w:szCs w:val="24"/>
              </w:rPr>
              <w:t xml:space="preserve">      </w:t>
            </w:r>
          </w:p>
        </w:tc>
      </w:tr>
    </w:tbl>
    <w:p w14:paraId="432A6725" w14:textId="2E251E01" w:rsidR="003756D9" w:rsidRPr="001131C4" w:rsidRDefault="003756D9" w:rsidP="009737AC">
      <w:pPr>
        <w:pStyle w:val="Sinespaciado"/>
        <w:jc w:val="center"/>
        <w:rPr>
          <w:rFonts w:ascii="Arial" w:hAnsi="Arial" w:cs="Arial"/>
          <w:b/>
          <w:bCs/>
          <w:sz w:val="24"/>
          <w:szCs w:val="24"/>
        </w:rPr>
      </w:pPr>
    </w:p>
    <w:p w14:paraId="60FCE693" w14:textId="4605A4BF" w:rsidR="000C123B" w:rsidRPr="001131C4" w:rsidRDefault="000C123B" w:rsidP="009737AC">
      <w:pPr>
        <w:pStyle w:val="Sinespaciado"/>
        <w:jc w:val="center"/>
        <w:rPr>
          <w:rFonts w:ascii="Arial" w:hAnsi="Arial" w:cs="Arial"/>
          <w:b/>
          <w:bCs/>
          <w:sz w:val="24"/>
          <w:szCs w:val="24"/>
        </w:rPr>
      </w:pPr>
    </w:p>
    <w:p w14:paraId="618DFF23" w14:textId="77777777" w:rsidR="001131C4" w:rsidRPr="001131C4" w:rsidRDefault="001131C4" w:rsidP="009737AC">
      <w:pPr>
        <w:pStyle w:val="Sinespaciado"/>
        <w:jc w:val="center"/>
        <w:rPr>
          <w:rFonts w:ascii="Arial" w:hAnsi="Arial" w:cs="Arial"/>
          <w:b/>
          <w:bCs/>
          <w:sz w:val="24"/>
          <w:szCs w:val="24"/>
        </w:rPr>
      </w:pPr>
    </w:p>
    <w:p w14:paraId="4CC3D800" w14:textId="77777777" w:rsidR="003756D9" w:rsidRPr="001131C4" w:rsidRDefault="003756D9" w:rsidP="009737AC">
      <w:pPr>
        <w:pStyle w:val="Sinespaciado"/>
        <w:jc w:val="center"/>
        <w:rPr>
          <w:rFonts w:ascii="Arial" w:hAnsi="Arial" w:cs="Arial"/>
          <w:b/>
          <w:bCs/>
          <w:sz w:val="24"/>
          <w:szCs w:val="24"/>
        </w:rPr>
      </w:pPr>
      <w:r w:rsidRPr="001131C4">
        <w:rPr>
          <w:rFonts w:ascii="Arial" w:hAnsi="Arial" w:cs="Arial"/>
          <w:b/>
          <w:bCs/>
          <w:sz w:val="24"/>
          <w:szCs w:val="24"/>
        </w:rPr>
        <w:t>NICOLÁS YEPES CORRALES</w:t>
      </w:r>
    </w:p>
    <w:p w14:paraId="104249FA" w14:textId="77777777" w:rsidR="003756D9" w:rsidRPr="00437F40" w:rsidRDefault="003756D9" w:rsidP="009737AC">
      <w:pPr>
        <w:pStyle w:val="Sinespaciado"/>
        <w:jc w:val="center"/>
        <w:rPr>
          <w:rFonts w:ascii="Arial" w:hAnsi="Arial" w:cs="Arial"/>
          <w:b/>
          <w:bCs/>
          <w:sz w:val="24"/>
          <w:szCs w:val="24"/>
        </w:rPr>
      </w:pPr>
      <w:r w:rsidRPr="001131C4">
        <w:rPr>
          <w:rFonts w:ascii="Arial" w:hAnsi="Arial" w:cs="Arial"/>
          <w:b/>
          <w:bCs/>
          <w:sz w:val="24"/>
          <w:szCs w:val="24"/>
        </w:rPr>
        <w:t>Cons</w:t>
      </w:r>
      <w:r>
        <w:rPr>
          <w:rFonts w:ascii="Arial" w:hAnsi="Arial" w:cs="Arial"/>
          <w:b/>
          <w:bCs/>
          <w:sz w:val="24"/>
          <w:szCs w:val="24"/>
        </w:rPr>
        <w:t>ejero Ponente</w:t>
      </w:r>
    </w:p>
    <w:sectPr w:rsidR="003756D9" w:rsidRPr="00437F40" w:rsidSect="009F29FD">
      <w:headerReference w:type="default" r:id="rId11"/>
      <w:headerReference w:type="first" r:id="rId12"/>
      <w:pgSz w:w="12242" w:h="18722" w:code="5"/>
      <w:pgMar w:top="1701" w:right="1418" w:bottom="1701" w:left="1418" w:header="709" w:footer="709" w:gutter="0"/>
      <w:paperSrc w:first="28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7B1C49" w14:textId="77777777" w:rsidR="00883F82" w:rsidRDefault="00883F82" w:rsidP="003660DF">
      <w:r>
        <w:separator/>
      </w:r>
    </w:p>
  </w:endnote>
  <w:endnote w:type="continuationSeparator" w:id="0">
    <w:p w14:paraId="171E5873" w14:textId="77777777" w:rsidR="00883F82" w:rsidRDefault="00883F82" w:rsidP="00366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3FDCFB" w14:textId="77777777" w:rsidR="00883F82" w:rsidRDefault="00883F82" w:rsidP="003660DF">
      <w:r>
        <w:separator/>
      </w:r>
    </w:p>
  </w:footnote>
  <w:footnote w:type="continuationSeparator" w:id="0">
    <w:p w14:paraId="000A6C79" w14:textId="77777777" w:rsidR="00883F82" w:rsidRDefault="00883F82" w:rsidP="003660DF">
      <w:r>
        <w:continuationSeparator/>
      </w:r>
    </w:p>
  </w:footnote>
  <w:footnote w:id="1">
    <w:p w14:paraId="37FD0FB6" w14:textId="33AB87FC" w:rsidR="00AE1E9F" w:rsidRPr="00F72BA4" w:rsidRDefault="00AE1E9F" w:rsidP="00AE1E9F">
      <w:pPr>
        <w:pStyle w:val="Textonotapie"/>
        <w:jc w:val="both"/>
        <w:rPr>
          <w:rFonts w:ascii="Arial" w:hAnsi="Arial" w:cs="Arial"/>
          <w:lang w:val="es-ES"/>
        </w:rPr>
      </w:pPr>
      <w:r w:rsidRPr="00F72BA4">
        <w:rPr>
          <w:rStyle w:val="Refdenotaalpie"/>
          <w:rFonts w:ascii="Arial" w:hAnsi="Arial" w:cs="Arial"/>
          <w:lang w:eastAsia="zh-CN"/>
        </w:rPr>
        <w:footnoteRef/>
      </w:r>
      <w:r w:rsidR="001374D4" w:rsidRPr="00F72BA4">
        <w:rPr>
          <w:rFonts w:ascii="Arial" w:hAnsi="Arial" w:cs="Arial"/>
          <w:lang w:val="es-ES"/>
        </w:rPr>
        <w:t xml:space="preserve"> </w:t>
      </w:r>
      <w:r w:rsidRPr="00F72BA4">
        <w:rPr>
          <w:rFonts w:ascii="Arial" w:hAnsi="Arial" w:cs="Arial"/>
          <w:lang w:val="es-ES"/>
        </w:rPr>
        <w:t xml:space="preserve">Obra en aplicativo digital </w:t>
      </w:r>
      <w:proofErr w:type="spellStart"/>
      <w:r w:rsidRPr="00F72BA4">
        <w:rPr>
          <w:rFonts w:ascii="Arial" w:hAnsi="Arial" w:cs="Arial"/>
          <w:lang w:val="es-ES"/>
        </w:rPr>
        <w:t>Samai</w:t>
      </w:r>
      <w:proofErr w:type="spellEnd"/>
      <w:r w:rsidRPr="00F72BA4">
        <w:rPr>
          <w:rFonts w:ascii="Arial" w:hAnsi="Arial" w:cs="Arial"/>
          <w:lang w:val="es-ES"/>
        </w:rPr>
        <w:t xml:space="preserve"> con certificado</w:t>
      </w:r>
      <w:r w:rsidRPr="00F72BA4">
        <w:rPr>
          <w:rFonts w:ascii="Arial" w:hAnsi="Arial" w:cs="Arial"/>
          <w:lang w:eastAsia="zh-CN"/>
        </w:rPr>
        <w:t xml:space="preserve"> D90717D65E44B7B7AA7343AF818C34A10DB1096C436F5EDE 5E1B7D88BD2EFE10</w:t>
      </w:r>
      <w:r w:rsidRPr="00F72BA4">
        <w:rPr>
          <w:rFonts w:ascii="Arial" w:hAnsi="Arial" w:cs="Arial"/>
          <w:lang w:val="es-ES"/>
        </w:rPr>
        <w:t>.</w:t>
      </w:r>
    </w:p>
  </w:footnote>
  <w:footnote w:id="2">
    <w:p w14:paraId="06E5D7BE" w14:textId="6AFCC877" w:rsidR="00AE1E9F" w:rsidRPr="00F72BA4" w:rsidRDefault="00AE1E9F" w:rsidP="00AE1E9F">
      <w:pPr>
        <w:pStyle w:val="Textonotapie"/>
        <w:jc w:val="both"/>
        <w:rPr>
          <w:rFonts w:ascii="Arial" w:hAnsi="Arial" w:cs="Arial"/>
          <w:lang w:val="es-ES"/>
        </w:rPr>
      </w:pPr>
      <w:r w:rsidRPr="00F72BA4">
        <w:rPr>
          <w:rStyle w:val="Refdenotaalpie"/>
          <w:rFonts w:ascii="Arial" w:hAnsi="Arial" w:cs="Arial"/>
          <w:lang w:eastAsia="zh-CN"/>
        </w:rPr>
        <w:footnoteRef/>
      </w:r>
      <w:r w:rsidR="001374D4" w:rsidRPr="00F72BA4">
        <w:rPr>
          <w:rFonts w:ascii="Arial" w:hAnsi="Arial" w:cs="Arial"/>
          <w:lang w:val="es-ES"/>
        </w:rPr>
        <w:t xml:space="preserve"> </w:t>
      </w:r>
      <w:r w:rsidRPr="00F72BA4">
        <w:rPr>
          <w:rFonts w:ascii="Arial" w:hAnsi="Arial" w:cs="Arial"/>
          <w:lang w:val="es-ES"/>
        </w:rPr>
        <w:t xml:space="preserve">Obra en aplicativo digital </w:t>
      </w:r>
      <w:proofErr w:type="spellStart"/>
      <w:r w:rsidRPr="00F72BA4">
        <w:rPr>
          <w:rFonts w:ascii="Arial" w:hAnsi="Arial" w:cs="Arial"/>
          <w:lang w:val="es-ES"/>
        </w:rPr>
        <w:t>Samai</w:t>
      </w:r>
      <w:proofErr w:type="spellEnd"/>
      <w:r w:rsidRPr="00F72BA4">
        <w:rPr>
          <w:rFonts w:ascii="Arial" w:hAnsi="Arial" w:cs="Arial"/>
          <w:lang w:val="es-ES"/>
        </w:rPr>
        <w:t xml:space="preserve"> con certificado </w:t>
      </w:r>
      <w:r w:rsidRPr="00F72BA4">
        <w:rPr>
          <w:rFonts w:ascii="Arial" w:hAnsi="Arial" w:cs="Arial"/>
          <w:lang w:eastAsia="zh-CN"/>
        </w:rPr>
        <w:t>8ABD60E4B0202DCC82E81857E086C7A4AC30F311A5DBB907 A2D1F369010EC471</w:t>
      </w:r>
      <w:r w:rsidRPr="00F72BA4">
        <w:rPr>
          <w:rFonts w:ascii="Arial" w:hAnsi="Arial" w:cs="Arial"/>
          <w:lang w:val="es-ES"/>
        </w:rPr>
        <w:t>.</w:t>
      </w:r>
    </w:p>
  </w:footnote>
  <w:footnote w:id="3">
    <w:p w14:paraId="1CB26328" w14:textId="36250AF7" w:rsidR="00A24863" w:rsidRPr="00F72BA4" w:rsidRDefault="00A24863" w:rsidP="00A24863">
      <w:pPr>
        <w:pStyle w:val="Textonotapie"/>
        <w:jc w:val="both"/>
        <w:rPr>
          <w:rFonts w:ascii="Arial" w:hAnsi="Arial" w:cs="Arial"/>
        </w:rPr>
      </w:pPr>
      <w:r w:rsidRPr="00F72BA4">
        <w:rPr>
          <w:rStyle w:val="Refdenotaalpie"/>
          <w:rFonts w:ascii="Arial" w:hAnsi="Arial" w:cs="Arial"/>
        </w:rPr>
        <w:footnoteRef/>
      </w:r>
      <w:r w:rsidRPr="00F72BA4">
        <w:rPr>
          <w:rFonts w:ascii="Arial" w:hAnsi="Arial" w:cs="Arial"/>
        </w:rPr>
        <w:t xml:space="preserve">  </w:t>
      </w:r>
      <w:r w:rsidRPr="00F72BA4">
        <w:rPr>
          <w:rFonts w:ascii="Arial" w:hAnsi="Arial" w:cs="Arial"/>
          <w:lang w:val="es-ES"/>
        </w:rPr>
        <w:t xml:space="preserve">Obra en aplicativo digital </w:t>
      </w:r>
      <w:proofErr w:type="spellStart"/>
      <w:r w:rsidRPr="00F72BA4">
        <w:rPr>
          <w:rFonts w:ascii="Arial" w:hAnsi="Arial" w:cs="Arial"/>
          <w:lang w:val="es-ES"/>
        </w:rPr>
        <w:t>Samai</w:t>
      </w:r>
      <w:proofErr w:type="spellEnd"/>
      <w:r w:rsidRPr="00F72BA4">
        <w:rPr>
          <w:rFonts w:ascii="Arial" w:hAnsi="Arial" w:cs="Arial"/>
          <w:lang w:val="es-ES"/>
        </w:rPr>
        <w:t xml:space="preserve"> con certificado</w:t>
      </w:r>
      <w:r w:rsidRPr="00F72BA4">
        <w:rPr>
          <w:rFonts w:ascii="Arial" w:hAnsi="Arial" w:cs="Arial"/>
          <w:lang w:eastAsia="zh-CN"/>
        </w:rPr>
        <w:t xml:space="preserve"> </w:t>
      </w:r>
      <w:r w:rsidRPr="00F72BA4">
        <w:rPr>
          <w:rFonts w:ascii="Arial" w:hAnsi="Arial" w:cs="Arial"/>
        </w:rPr>
        <w:t>8ABD60E4B0202DCC82E81857E086C7A4AC30F311A5DBB907 A2D1F369010EC471.</w:t>
      </w:r>
      <w:r w:rsidRPr="00F72BA4">
        <w:rPr>
          <w:rFonts w:ascii="Arial" w:hAnsi="Arial" w:cs="Arial"/>
        </w:rPr>
        <w:tab/>
      </w:r>
    </w:p>
  </w:footnote>
  <w:footnote w:id="4">
    <w:p w14:paraId="2F74C1FD" w14:textId="3082A3E2" w:rsidR="00022CF4" w:rsidRPr="00F72BA4" w:rsidRDefault="00022CF4" w:rsidP="00022CF4">
      <w:pPr>
        <w:pStyle w:val="Textonotapie"/>
        <w:jc w:val="both"/>
        <w:rPr>
          <w:rFonts w:ascii="Arial" w:hAnsi="Arial" w:cs="Arial"/>
        </w:rPr>
      </w:pPr>
      <w:r w:rsidRPr="00F72BA4">
        <w:rPr>
          <w:rStyle w:val="Refdenotaalpie"/>
          <w:rFonts w:ascii="Arial" w:hAnsi="Arial" w:cs="Arial"/>
        </w:rPr>
        <w:footnoteRef/>
      </w:r>
      <w:r w:rsidRPr="00F72BA4">
        <w:rPr>
          <w:rFonts w:ascii="Arial" w:hAnsi="Arial" w:cs="Arial"/>
        </w:rPr>
        <w:t xml:space="preserve"> </w:t>
      </w:r>
      <w:r w:rsidRPr="00F72BA4">
        <w:rPr>
          <w:rFonts w:ascii="Arial" w:hAnsi="Arial" w:cs="Arial"/>
          <w:lang w:val="es-ES"/>
        </w:rPr>
        <w:t xml:space="preserve">Obra en aplicativo digital </w:t>
      </w:r>
      <w:proofErr w:type="spellStart"/>
      <w:r w:rsidRPr="00F72BA4">
        <w:rPr>
          <w:rFonts w:ascii="Arial" w:hAnsi="Arial" w:cs="Arial"/>
          <w:lang w:val="es-ES"/>
        </w:rPr>
        <w:t>Samai</w:t>
      </w:r>
      <w:proofErr w:type="spellEnd"/>
      <w:r w:rsidRPr="00F72BA4">
        <w:rPr>
          <w:rFonts w:ascii="Arial" w:hAnsi="Arial" w:cs="Arial"/>
          <w:lang w:val="es-ES"/>
        </w:rPr>
        <w:t xml:space="preserve"> con certificado</w:t>
      </w:r>
      <w:r w:rsidRPr="00F72BA4">
        <w:rPr>
          <w:rFonts w:ascii="Arial" w:hAnsi="Arial" w:cs="Arial"/>
          <w:lang w:eastAsia="zh-CN"/>
        </w:rPr>
        <w:t xml:space="preserve"> </w:t>
      </w:r>
      <w:r w:rsidRPr="00F72BA4">
        <w:rPr>
          <w:rFonts w:ascii="Arial" w:hAnsi="Arial" w:cs="Arial"/>
        </w:rPr>
        <w:t>1A1F766FABCAB03327C1D423DC368001F476C9F698467E1B DA4A6E42D9698093.</w:t>
      </w:r>
    </w:p>
  </w:footnote>
  <w:footnote w:id="5">
    <w:p w14:paraId="6969E699" w14:textId="0C6DF111" w:rsidR="00022CF4" w:rsidRPr="00F72BA4" w:rsidRDefault="00022CF4" w:rsidP="00022CF4">
      <w:pPr>
        <w:pStyle w:val="Textonotapie"/>
        <w:jc w:val="both"/>
        <w:rPr>
          <w:rFonts w:ascii="Arial" w:hAnsi="Arial" w:cs="Arial"/>
        </w:rPr>
      </w:pPr>
      <w:r w:rsidRPr="00F72BA4">
        <w:rPr>
          <w:rStyle w:val="Refdenotaalpie"/>
          <w:rFonts w:ascii="Arial" w:hAnsi="Arial" w:cs="Arial"/>
        </w:rPr>
        <w:footnoteRef/>
      </w:r>
      <w:r w:rsidRPr="00F72BA4">
        <w:rPr>
          <w:rFonts w:ascii="Arial" w:hAnsi="Arial" w:cs="Arial"/>
        </w:rPr>
        <w:t xml:space="preserve"> </w:t>
      </w:r>
      <w:r w:rsidRPr="00F72BA4">
        <w:rPr>
          <w:rFonts w:ascii="Arial" w:hAnsi="Arial" w:cs="Arial"/>
          <w:lang w:val="es-ES"/>
        </w:rPr>
        <w:t xml:space="preserve">Obra en aplicativo digital </w:t>
      </w:r>
      <w:proofErr w:type="spellStart"/>
      <w:r w:rsidRPr="00F72BA4">
        <w:rPr>
          <w:rFonts w:ascii="Arial" w:hAnsi="Arial" w:cs="Arial"/>
          <w:lang w:val="es-ES"/>
        </w:rPr>
        <w:t>Samai</w:t>
      </w:r>
      <w:proofErr w:type="spellEnd"/>
      <w:r w:rsidRPr="00F72BA4">
        <w:rPr>
          <w:rFonts w:ascii="Arial" w:hAnsi="Arial" w:cs="Arial"/>
          <w:lang w:val="es-ES"/>
        </w:rPr>
        <w:t xml:space="preserve"> con </w:t>
      </w:r>
      <w:r w:rsidRPr="00F72BA4">
        <w:rPr>
          <w:rFonts w:ascii="Arial" w:hAnsi="Arial" w:cs="Arial"/>
        </w:rPr>
        <w:t>certificado 9822DB3D99C33A07AAB35672626AC2AE688A53A5243A979D AE3CCF7725BD477D.</w:t>
      </w:r>
    </w:p>
  </w:footnote>
  <w:footnote w:id="6">
    <w:p w14:paraId="16103974" w14:textId="719BF991" w:rsidR="00EF7BA0" w:rsidRPr="00F72BA4" w:rsidRDefault="00EF7BA0" w:rsidP="008C47CF">
      <w:pPr>
        <w:pStyle w:val="Textonotapie"/>
        <w:jc w:val="both"/>
        <w:rPr>
          <w:rFonts w:ascii="Arial" w:hAnsi="Arial" w:cs="Arial"/>
        </w:rPr>
      </w:pPr>
      <w:r w:rsidRPr="00F72BA4">
        <w:rPr>
          <w:rStyle w:val="Refdenotaalpie"/>
          <w:rFonts w:ascii="Arial" w:hAnsi="Arial" w:cs="Arial"/>
        </w:rPr>
        <w:footnoteRef/>
      </w:r>
      <w:r w:rsidR="008C47CF" w:rsidRPr="00F72BA4">
        <w:rPr>
          <w:rFonts w:ascii="Arial" w:hAnsi="Arial" w:cs="Arial"/>
        </w:rPr>
        <w:t xml:space="preserve"> </w:t>
      </w:r>
      <w:r w:rsidR="008C47CF" w:rsidRPr="00F72BA4">
        <w:rPr>
          <w:rFonts w:ascii="Arial" w:hAnsi="Arial" w:cs="Arial"/>
          <w:lang w:val="es-ES"/>
        </w:rPr>
        <w:t xml:space="preserve">Obra en aplicativo digital </w:t>
      </w:r>
      <w:proofErr w:type="spellStart"/>
      <w:r w:rsidR="008C47CF" w:rsidRPr="00F72BA4">
        <w:rPr>
          <w:rFonts w:ascii="Arial" w:hAnsi="Arial" w:cs="Arial"/>
          <w:lang w:val="es-ES"/>
        </w:rPr>
        <w:t>Samai</w:t>
      </w:r>
      <w:proofErr w:type="spellEnd"/>
      <w:r w:rsidR="008C47CF" w:rsidRPr="00F72BA4">
        <w:rPr>
          <w:rFonts w:ascii="Arial" w:hAnsi="Arial" w:cs="Arial"/>
          <w:lang w:val="es-ES"/>
        </w:rPr>
        <w:t xml:space="preserve"> con certificado</w:t>
      </w:r>
      <w:r w:rsidRPr="00F72BA4">
        <w:rPr>
          <w:rFonts w:ascii="Arial" w:hAnsi="Arial" w:cs="Arial"/>
        </w:rPr>
        <w:t xml:space="preserve"> 50E0379C0F62AC8F04E65294A6735F6093B7589C28885EC2 330093EA8EB1F862</w:t>
      </w:r>
      <w:r w:rsidR="008C47CF" w:rsidRPr="00F72BA4">
        <w:rPr>
          <w:rFonts w:ascii="Arial" w:hAnsi="Arial" w:cs="Arial"/>
        </w:rPr>
        <w:t xml:space="preserve">. </w:t>
      </w:r>
    </w:p>
  </w:footnote>
  <w:footnote w:id="7">
    <w:p w14:paraId="710D7571" w14:textId="77777777" w:rsidR="00317A00" w:rsidRPr="00F72BA4" w:rsidRDefault="00317A00" w:rsidP="00513A9D">
      <w:pPr>
        <w:contextualSpacing/>
        <w:rPr>
          <w:rFonts w:cs="Arial"/>
          <w:color w:val="000000" w:themeColor="text1"/>
        </w:rPr>
      </w:pPr>
      <w:r w:rsidRPr="00F72BA4">
        <w:rPr>
          <w:rStyle w:val="Refdenotaalpie"/>
          <w:rFonts w:cs="Arial"/>
          <w:color w:val="000000" w:themeColor="text1"/>
        </w:rPr>
        <w:footnoteRef/>
      </w:r>
      <w:r w:rsidRPr="00F72BA4">
        <w:rPr>
          <w:rFonts w:cs="Arial"/>
          <w:color w:val="000000" w:themeColor="text1"/>
        </w:rPr>
        <w:t xml:space="preserve"> De acuerdo con la sentencia C-590 de 2005, la tutela contra providencia judicial está sujeta al cumplimiento de los siguientes requisitos generales de procedibilidad: que </w:t>
      </w:r>
      <w:r w:rsidRPr="00F72BA4">
        <w:rPr>
          <w:rFonts w:eastAsia="SimSun" w:cs="Arial"/>
          <w:color w:val="000000" w:themeColor="text1"/>
          <w:lang w:eastAsia="es-CO"/>
        </w:rPr>
        <w:t>el asunto sometido a estudio del juez de tutela tenga relevancia constitucional; que el actor haya agotado los recursos judiciales ordinarios y extraordinarios antes de acudir al juez de tutela; que la petición cumpla con el requisito de inmediatez</w:t>
      </w:r>
      <w:r w:rsidRPr="00F72BA4">
        <w:rPr>
          <w:rFonts w:eastAsia="MS Mincho" w:cs="Arial"/>
          <w:color w:val="000000" w:themeColor="text1"/>
          <w:lang w:eastAsia="es-CO"/>
        </w:rPr>
        <w:t xml:space="preserve">; </w:t>
      </w:r>
      <w:r w:rsidRPr="00F72BA4">
        <w:rPr>
          <w:rFonts w:eastAsia="SimSun" w:cs="Arial"/>
          <w:color w:val="000000" w:themeColor="text1"/>
          <w:lang w:eastAsia="es-CO"/>
        </w:rPr>
        <w:t>que en el evento de fundamentarse la solicitud en una irregularidad procesal, esta tenga incidencia directa en la decisión de fondo que se estima violatoria de los derechos fundamentales; que se identifiquen en forma razonable los hechos que generan la vulneración de los derechos y, de ser posible, hayan sido cuestionados al interior del proceso y; que el fallo censurado no sea de tutela.</w:t>
      </w:r>
    </w:p>
  </w:footnote>
  <w:footnote w:id="8">
    <w:p w14:paraId="2C5F586D" w14:textId="77777777" w:rsidR="00317A00" w:rsidRPr="00F72BA4" w:rsidRDefault="00317A00" w:rsidP="00513A9D">
      <w:pPr>
        <w:contextualSpacing/>
        <w:rPr>
          <w:rFonts w:eastAsia="Verdana" w:cs="Arial"/>
          <w:color w:val="000000" w:themeColor="text1"/>
        </w:rPr>
      </w:pPr>
      <w:r w:rsidRPr="00F72BA4">
        <w:rPr>
          <w:rStyle w:val="Refdenotaalpie"/>
          <w:rFonts w:cs="Arial"/>
          <w:color w:val="000000" w:themeColor="text1"/>
        </w:rPr>
        <w:footnoteRef/>
      </w:r>
      <w:r w:rsidRPr="00F72BA4">
        <w:rPr>
          <w:rFonts w:cs="Arial"/>
          <w:color w:val="000000" w:themeColor="text1"/>
        </w:rPr>
        <w:t xml:space="preserve"> Los requisitos específicos, también conocidos como defectos, son: d</w:t>
      </w:r>
      <w:r w:rsidRPr="00F72BA4">
        <w:rPr>
          <w:rFonts w:eastAsia="Verdana" w:cs="Arial"/>
          <w:color w:val="000000" w:themeColor="text1"/>
        </w:rPr>
        <w:t xml:space="preserve">efecto orgánico; defecto procedimental; defecto fáctico; defecto material o sustantivo; defecto por error inducido; defecto por falta de motivación; defecto por desconocimiento del precedente; y defecto por violación directa de la Constitución. </w:t>
      </w:r>
    </w:p>
  </w:footnote>
  <w:footnote w:id="9">
    <w:p w14:paraId="6A9644EB" w14:textId="77777777" w:rsidR="00ED1388" w:rsidRPr="00F72BA4" w:rsidRDefault="00ED1388" w:rsidP="00513A9D">
      <w:pPr>
        <w:pStyle w:val="Textonotapie"/>
        <w:jc w:val="both"/>
        <w:rPr>
          <w:rFonts w:ascii="Arial" w:hAnsi="Arial" w:cs="Arial"/>
        </w:rPr>
      </w:pPr>
      <w:r w:rsidRPr="00F72BA4">
        <w:rPr>
          <w:rStyle w:val="Refdenotaalpie"/>
          <w:rFonts w:ascii="Arial" w:hAnsi="Arial" w:cs="Arial"/>
        </w:rPr>
        <w:footnoteRef/>
      </w:r>
      <w:r w:rsidRPr="00F72BA4">
        <w:rPr>
          <w:rFonts w:ascii="Arial" w:hAnsi="Arial" w:cs="Arial"/>
        </w:rPr>
        <w:t xml:space="preserve"> Expediente 2012-02201.</w:t>
      </w:r>
    </w:p>
  </w:footnote>
  <w:footnote w:id="10">
    <w:p w14:paraId="21DED89E" w14:textId="77777777" w:rsidR="00ED1388" w:rsidRPr="00F72BA4" w:rsidRDefault="00ED1388" w:rsidP="00513A9D">
      <w:pPr>
        <w:pStyle w:val="Textonotapie"/>
        <w:jc w:val="both"/>
        <w:rPr>
          <w:rFonts w:ascii="Arial" w:hAnsi="Arial" w:cs="Arial"/>
          <w:color w:val="000000"/>
        </w:rPr>
      </w:pPr>
      <w:r w:rsidRPr="00F72BA4">
        <w:rPr>
          <w:rStyle w:val="Refdenotaalpie"/>
          <w:rFonts w:ascii="Arial" w:hAnsi="Arial" w:cs="Arial"/>
          <w:color w:val="000000"/>
        </w:rPr>
        <w:footnoteRef/>
      </w:r>
      <w:r w:rsidRPr="00F72BA4">
        <w:rPr>
          <w:rFonts w:ascii="Arial" w:hAnsi="Arial" w:cs="Arial"/>
          <w:color w:val="000000"/>
        </w:rPr>
        <w:t xml:space="preserve"> Consejo de Estado, sentencia de unificación del 5 de agosto de 2014, </w:t>
      </w:r>
      <w:proofErr w:type="spellStart"/>
      <w:r w:rsidRPr="00F72BA4">
        <w:rPr>
          <w:rFonts w:ascii="Arial" w:hAnsi="Arial" w:cs="Arial"/>
          <w:color w:val="000000"/>
        </w:rPr>
        <w:t>Exp</w:t>
      </w:r>
      <w:proofErr w:type="spellEnd"/>
      <w:r w:rsidRPr="00F72BA4">
        <w:rPr>
          <w:rFonts w:ascii="Arial" w:hAnsi="Arial" w:cs="Arial"/>
          <w:color w:val="000000"/>
        </w:rPr>
        <w:t>. 2012-02201.</w:t>
      </w:r>
    </w:p>
  </w:footnote>
  <w:footnote w:id="11">
    <w:p w14:paraId="2ADC58E0" w14:textId="14BA144A" w:rsidR="00513A9D" w:rsidRPr="00F72BA4" w:rsidRDefault="00513A9D" w:rsidP="00513A9D">
      <w:pPr>
        <w:pStyle w:val="Textonotapie"/>
        <w:jc w:val="both"/>
        <w:rPr>
          <w:rFonts w:ascii="Arial" w:hAnsi="Arial" w:cs="Arial"/>
        </w:rPr>
      </w:pPr>
      <w:r w:rsidRPr="00F72BA4">
        <w:rPr>
          <w:rStyle w:val="Refdenotaalpie"/>
          <w:rFonts w:ascii="Arial" w:hAnsi="Arial" w:cs="Arial"/>
        </w:rPr>
        <w:footnoteRef/>
      </w:r>
      <w:r w:rsidR="00B30F19">
        <w:rPr>
          <w:rFonts w:ascii="Arial" w:hAnsi="Arial" w:cs="Arial"/>
        </w:rPr>
        <w:t> </w:t>
      </w:r>
      <w:r w:rsidRPr="00F72BA4">
        <w:rPr>
          <w:rFonts w:ascii="Arial" w:hAnsi="Arial" w:cs="Arial"/>
        </w:rPr>
        <w:t>Sistema</w:t>
      </w:r>
      <w:r w:rsidR="00B30F19">
        <w:rPr>
          <w:rFonts w:ascii="Arial" w:hAnsi="Arial" w:cs="Arial"/>
        </w:rPr>
        <w:t> </w:t>
      </w:r>
      <w:r w:rsidRPr="00F72BA4">
        <w:rPr>
          <w:rFonts w:ascii="Arial" w:hAnsi="Arial" w:cs="Arial"/>
        </w:rPr>
        <w:t>de</w:t>
      </w:r>
      <w:r w:rsidR="00B30F19">
        <w:rPr>
          <w:rFonts w:ascii="Arial" w:hAnsi="Arial" w:cs="Arial"/>
        </w:rPr>
        <w:t> </w:t>
      </w:r>
      <w:r w:rsidRPr="00F72BA4">
        <w:rPr>
          <w:rFonts w:ascii="Arial" w:hAnsi="Arial" w:cs="Arial"/>
        </w:rPr>
        <w:t>información</w:t>
      </w:r>
      <w:r w:rsidR="00B30F19">
        <w:rPr>
          <w:rFonts w:ascii="Arial" w:hAnsi="Arial" w:cs="Arial"/>
        </w:rPr>
        <w:t> </w:t>
      </w:r>
      <w:r w:rsidRPr="00F72BA4">
        <w:rPr>
          <w:rFonts w:ascii="Arial" w:hAnsi="Arial" w:cs="Arial"/>
        </w:rPr>
        <w:t>de</w:t>
      </w:r>
      <w:r w:rsidR="00B30F19">
        <w:rPr>
          <w:rFonts w:ascii="Arial" w:hAnsi="Arial" w:cs="Arial"/>
        </w:rPr>
        <w:t> </w:t>
      </w:r>
      <w:r w:rsidRPr="00F72BA4">
        <w:rPr>
          <w:rFonts w:ascii="Arial" w:hAnsi="Arial" w:cs="Arial"/>
        </w:rPr>
        <w:t>la</w:t>
      </w:r>
      <w:r w:rsidR="00B30F19">
        <w:rPr>
          <w:rFonts w:ascii="Arial" w:hAnsi="Arial" w:cs="Arial"/>
        </w:rPr>
        <w:t> </w:t>
      </w:r>
      <w:r w:rsidRPr="00F72BA4">
        <w:rPr>
          <w:rFonts w:ascii="Arial" w:hAnsi="Arial" w:cs="Arial"/>
        </w:rPr>
        <w:t>Rama</w:t>
      </w:r>
      <w:r w:rsidR="00B30F19">
        <w:rPr>
          <w:rFonts w:ascii="Arial" w:hAnsi="Arial" w:cs="Arial"/>
        </w:rPr>
        <w:t> </w:t>
      </w:r>
      <w:r w:rsidRPr="00F72BA4">
        <w:rPr>
          <w:rFonts w:ascii="Arial" w:hAnsi="Arial" w:cs="Arial"/>
        </w:rPr>
        <w:t>Judicial</w:t>
      </w:r>
      <w:r w:rsidR="00B30F19">
        <w:rPr>
          <w:rFonts w:ascii="Arial" w:hAnsi="Arial" w:cs="Arial"/>
        </w:rPr>
        <w:t> </w:t>
      </w:r>
      <w:r w:rsidRPr="00F72BA4">
        <w:rPr>
          <w:rFonts w:ascii="Arial" w:hAnsi="Arial" w:cs="Arial"/>
        </w:rPr>
        <w:t>https://procesos.ramajudicial.gov.co/procesoscs/ConsultaJusticias21.aspx?EntryId=F4jKre3TobKqwZKmVDxyuqGaytQ%3d.</w:t>
      </w:r>
    </w:p>
  </w:footnote>
  <w:footnote w:id="12">
    <w:p w14:paraId="228562EA" w14:textId="77777777" w:rsidR="00B17D0D" w:rsidRPr="00F72BA4" w:rsidRDefault="00B17D0D" w:rsidP="00B17D0D">
      <w:pPr>
        <w:rPr>
          <w:rFonts w:eastAsia="Calibri" w:cs="Arial"/>
          <w:color w:val="000000"/>
          <w:lang w:eastAsia="es-ES_tradnl"/>
        </w:rPr>
      </w:pPr>
      <w:r w:rsidRPr="00F72BA4">
        <w:rPr>
          <w:rStyle w:val="Refdenotaalpie"/>
          <w:rFonts w:cs="Arial"/>
          <w:color w:val="000000"/>
        </w:rPr>
        <w:footnoteRef/>
      </w:r>
      <w:r w:rsidRPr="00F72BA4">
        <w:rPr>
          <w:rFonts w:cs="Arial"/>
          <w:color w:val="000000"/>
        </w:rPr>
        <w:t xml:space="preserve"> La Sala advierte que, en las sentencias T-091 de 2018, T-164 de 2017 y SU-391 de 2016, la Corte Constitucional ha reconocido ciertos supuestos fácticos y jurídicos para valorar la satisfacción de la inmediatez por fuera del ya mencionado plazo razonable: </w:t>
      </w:r>
      <w:r w:rsidRPr="00F72BA4">
        <w:rPr>
          <w:rFonts w:cs="Arial"/>
          <w:bCs/>
          <w:i/>
          <w:color w:val="000000"/>
        </w:rPr>
        <w:t>“(i) la situación personal del peticionario, que puede hacer desproporcionada la exigencia de presentar la acción de tutela en un término breve; (ii) el momento en el que se produce la vulneración, ya que pueden existir casos de violación permanente de derechos fundamentales; (iii) la naturaleza de la vulneración, pues la demora en la presentación de la tutela puede estar relacionada, precisamente, con la situación que, según el accionante, vulnera sus derechos fundamentales; (iv) la actuación contra la que se dirige la tutela, ya que si se trata de una providencia judicial, el análisis debe ser más estricto, y (v) los efectos de la tutela en los derechos de terceros, quienes tienen la expectativa legítima de que se proteja su seguridad jurídica”</w:t>
      </w:r>
      <w:r w:rsidRPr="00F72BA4">
        <w:rPr>
          <w:rFonts w:cs="Arial"/>
          <w:bCs/>
          <w:iCs/>
          <w:color w:val="000000"/>
        </w:rPr>
        <w:t>.</w:t>
      </w:r>
      <w:r w:rsidRPr="00F72BA4">
        <w:rPr>
          <w:rFonts w:cs="Arial"/>
          <w:bCs/>
          <w:color w:val="000000"/>
        </w:rPr>
        <w:t xml:space="preserve"> También en las sentencias T-422 de 2018, SU-499 de 2016 y SU-407 de 2013 señaló otros criterios que deben tenerse en cuenta para determinar si el término en el que se radicó la tutela es razonable, a saber: </w:t>
      </w:r>
      <w:r w:rsidRPr="00F72BA4">
        <w:rPr>
          <w:rFonts w:cs="Arial"/>
          <w:i/>
          <w:color w:val="000000"/>
          <w:shd w:val="clear" w:color="auto" w:fill="FFFFFF"/>
        </w:rPr>
        <w:t>“[…] (ii) cuánto tiempo trascurrió entre la expedición de una sentencia de unificación novedosa de esta Corte sobre una materia discutida y la presentación del amparo; […]; o (iv) cuál ha sido el lapso que la jurisprudencia de esta Corte ha juzgado irrazonable en casos similares al que está por resolverse”</w:t>
      </w:r>
      <w:r w:rsidRPr="00F72BA4">
        <w:rPr>
          <w:rFonts w:cs="Arial"/>
          <w:iCs/>
          <w:color w:val="000000"/>
          <w:shd w:val="clear" w:color="auto" w:fill="FFFFFF"/>
        </w:rPr>
        <w:t xml:space="preserve">. </w:t>
      </w:r>
      <w:r w:rsidRPr="00F72BA4">
        <w:rPr>
          <w:rFonts w:cs="Arial"/>
          <w:color w:val="000000"/>
        </w:rPr>
        <w:t>No pasa por alto esta Colegiatura que el anterior listado es meramente indicativo y que, como lo afirmó la Corte Constitucional en la sentencia T-246 de 2015, en cada caso se hace una valoración de la situación en concreto y de la exigencia para acudir al juez de tutela.</w:t>
      </w:r>
    </w:p>
  </w:footnote>
  <w:footnote w:id="13">
    <w:p w14:paraId="7230824C" w14:textId="77777777" w:rsidR="00B17D0D" w:rsidRPr="00F72BA4" w:rsidRDefault="00B17D0D" w:rsidP="00B17D0D">
      <w:pPr>
        <w:pStyle w:val="Textonotapie"/>
        <w:rPr>
          <w:rFonts w:ascii="Arial" w:hAnsi="Arial" w:cs="Arial"/>
        </w:rPr>
      </w:pPr>
      <w:r w:rsidRPr="00F72BA4">
        <w:rPr>
          <w:rStyle w:val="Refdenotaalpie"/>
          <w:rFonts w:ascii="Arial" w:hAnsi="Arial" w:cs="Arial"/>
        </w:rPr>
        <w:footnoteRef/>
      </w:r>
      <w:r w:rsidRPr="00F72BA4">
        <w:rPr>
          <w:rFonts w:ascii="Arial" w:hAnsi="Arial" w:cs="Arial"/>
        </w:rPr>
        <w:t xml:space="preserve"> Cfr. Corte Constitucional T-288 de 1997.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6944412"/>
      <w:docPartObj>
        <w:docPartGallery w:val="Page Numbers (Top of Page)"/>
        <w:docPartUnique/>
      </w:docPartObj>
    </w:sdtPr>
    <w:sdtEndPr/>
    <w:sdtContent>
      <w:p w14:paraId="59148E8B" w14:textId="77777777" w:rsidR="00821831" w:rsidRDefault="00821831">
        <w:pPr>
          <w:pStyle w:val="Encabezado"/>
          <w:jc w:val="center"/>
        </w:pPr>
        <w:r>
          <w:fldChar w:fldCharType="begin"/>
        </w:r>
        <w:r>
          <w:instrText>PAGE   \* MERGEFORMAT</w:instrText>
        </w:r>
        <w:r>
          <w:fldChar w:fldCharType="separate"/>
        </w:r>
        <w:r w:rsidR="003A5B0B" w:rsidRPr="003A5B0B">
          <w:rPr>
            <w:noProof/>
            <w:lang w:val="es-ES"/>
          </w:rPr>
          <w:t>7</w:t>
        </w:r>
        <w:r>
          <w:fldChar w:fldCharType="end"/>
        </w:r>
      </w:p>
    </w:sdtContent>
  </w:sdt>
  <w:p w14:paraId="7F937230" w14:textId="77777777" w:rsidR="00ED1388" w:rsidRPr="00ED1388" w:rsidRDefault="00ED1388" w:rsidP="00ED1388">
    <w:pPr>
      <w:jc w:val="right"/>
      <w:rPr>
        <w:rFonts w:cs="Arial"/>
        <w:i/>
        <w:iCs/>
        <w:color w:val="000000"/>
        <w:sz w:val="16"/>
        <w:szCs w:val="16"/>
        <w:shd w:val="clear" w:color="auto" w:fill="FFFFFF"/>
      </w:rPr>
    </w:pPr>
    <w:r w:rsidRPr="00ED1388">
      <w:rPr>
        <w:rFonts w:cs="Arial"/>
        <w:b/>
        <w:i/>
        <w:iCs/>
        <w:color w:val="000000"/>
        <w:sz w:val="16"/>
        <w:szCs w:val="16"/>
      </w:rPr>
      <w:t xml:space="preserve">Radicación: </w:t>
    </w:r>
    <w:r w:rsidRPr="00ED1388">
      <w:rPr>
        <w:rFonts w:cs="Arial"/>
        <w:i/>
        <w:iCs/>
        <w:color w:val="000000"/>
        <w:sz w:val="16"/>
        <w:szCs w:val="16"/>
        <w:shd w:val="clear" w:color="auto" w:fill="FFFFFF"/>
      </w:rPr>
      <w:t>11001-03-15-000-2021-00808-00</w:t>
    </w:r>
  </w:p>
  <w:p w14:paraId="56908862" w14:textId="77777777" w:rsidR="00ED1388" w:rsidRPr="00ED1388" w:rsidRDefault="00ED1388" w:rsidP="00ED1388">
    <w:pPr>
      <w:jc w:val="right"/>
      <w:rPr>
        <w:rFonts w:cs="Arial"/>
        <w:i/>
        <w:iCs/>
        <w:color w:val="000000"/>
        <w:sz w:val="16"/>
        <w:szCs w:val="16"/>
      </w:rPr>
    </w:pPr>
    <w:r w:rsidRPr="00ED1388">
      <w:rPr>
        <w:rFonts w:cs="Arial"/>
        <w:b/>
        <w:i/>
        <w:iCs/>
        <w:color w:val="000000"/>
        <w:sz w:val="16"/>
        <w:szCs w:val="16"/>
      </w:rPr>
      <w:t xml:space="preserve">Accionante: </w:t>
    </w:r>
    <w:r w:rsidRPr="00ED1388">
      <w:rPr>
        <w:rFonts w:cs="Arial"/>
        <w:i/>
        <w:iCs/>
        <w:sz w:val="16"/>
        <w:szCs w:val="16"/>
      </w:rPr>
      <w:t>Alisadiela Arias</w:t>
    </w:r>
  </w:p>
  <w:p w14:paraId="01CCF5A4" w14:textId="77777777" w:rsidR="00ED1388" w:rsidRPr="00ED1388" w:rsidRDefault="00ED1388" w:rsidP="00ED1388">
    <w:pPr>
      <w:pStyle w:val="Sangradetextonormal"/>
      <w:tabs>
        <w:tab w:val="left" w:pos="3810"/>
      </w:tabs>
      <w:spacing w:after="0"/>
      <w:ind w:left="0"/>
      <w:jc w:val="right"/>
      <w:rPr>
        <w:rFonts w:ascii="Arial" w:hAnsi="Arial" w:cs="Arial"/>
        <w:i/>
        <w:iCs/>
        <w:sz w:val="16"/>
        <w:szCs w:val="16"/>
      </w:rPr>
    </w:pPr>
    <w:r w:rsidRPr="00ED1388">
      <w:rPr>
        <w:rFonts w:ascii="Arial" w:hAnsi="Arial" w:cs="Arial"/>
        <w:b/>
        <w:i/>
        <w:iCs/>
        <w:color w:val="000000"/>
        <w:sz w:val="16"/>
        <w:szCs w:val="16"/>
      </w:rPr>
      <w:t>Accionado:</w:t>
    </w:r>
    <w:r w:rsidRPr="00ED1388">
      <w:rPr>
        <w:rFonts w:ascii="Arial" w:hAnsi="Arial" w:cs="Arial"/>
        <w:b/>
        <w:i/>
        <w:iCs/>
        <w:color w:val="000000"/>
        <w:sz w:val="16"/>
        <w:szCs w:val="16"/>
        <w:lang w:val="es-CO"/>
      </w:rPr>
      <w:t xml:space="preserve"> </w:t>
    </w:r>
    <w:r w:rsidRPr="00ED1388">
      <w:rPr>
        <w:rFonts w:ascii="Arial" w:hAnsi="Arial" w:cs="Arial"/>
        <w:bCs/>
        <w:i/>
        <w:iCs/>
        <w:color w:val="000000"/>
        <w:sz w:val="16"/>
        <w:szCs w:val="16"/>
        <w:lang w:val="es-CO"/>
      </w:rPr>
      <w:t>Subsección E de la Sección Segunda del</w:t>
    </w:r>
    <w:r w:rsidRPr="00ED1388">
      <w:rPr>
        <w:rFonts w:ascii="Arial" w:hAnsi="Arial" w:cs="Arial"/>
        <w:b/>
        <w:i/>
        <w:iCs/>
        <w:color w:val="000000"/>
        <w:sz w:val="16"/>
        <w:szCs w:val="16"/>
        <w:lang w:val="es-CO"/>
      </w:rPr>
      <w:t xml:space="preserve"> </w:t>
    </w:r>
    <w:r w:rsidRPr="00ED1388">
      <w:rPr>
        <w:rFonts w:ascii="Arial" w:hAnsi="Arial" w:cs="Arial"/>
        <w:i/>
        <w:iCs/>
        <w:sz w:val="16"/>
        <w:szCs w:val="16"/>
      </w:rPr>
      <w:t xml:space="preserve">Tribunal Administrativo de Cundinamarca </w:t>
    </w:r>
  </w:p>
  <w:p w14:paraId="2EF8467B" w14:textId="77777777" w:rsidR="00ED1388" w:rsidRPr="00ED1388" w:rsidRDefault="00ED1388" w:rsidP="00ED1388">
    <w:pPr>
      <w:pStyle w:val="Sangradetextonormal"/>
      <w:tabs>
        <w:tab w:val="left" w:pos="3810"/>
      </w:tabs>
      <w:spacing w:after="0"/>
      <w:ind w:left="0"/>
      <w:jc w:val="right"/>
      <w:rPr>
        <w:rFonts w:ascii="Arial" w:hAnsi="Arial" w:cs="Arial"/>
        <w:bCs/>
        <w:i/>
        <w:iCs/>
        <w:color w:val="000000"/>
        <w:sz w:val="16"/>
        <w:szCs w:val="16"/>
        <w:lang w:val="es-CO"/>
      </w:rPr>
    </w:pPr>
    <w:r w:rsidRPr="00ED1388">
      <w:rPr>
        <w:rFonts w:ascii="Arial" w:hAnsi="Arial" w:cs="Arial"/>
        <w:b/>
        <w:i/>
        <w:iCs/>
        <w:sz w:val="16"/>
        <w:szCs w:val="16"/>
      </w:rPr>
      <w:t xml:space="preserve">Asunto: </w:t>
    </w:r>
    <w:r w:rsidRPr="00ED1388">
      <w:rPr>
        <w:rFonts w:ascii="Arial" w:hAnsi="Arial" w:cs="Arial"/>
        <w:i/>
        <w:iCs/>
        <w:sz w:val="16"/>
        <w:szCs w:val="16"/>
      </w:rPr>
      <w:t xml:space="preserve">Acción de tutela – Sentencia de primera instancia </w:t>
    </w:r>
  </w:p>
  <w:p w14:paraId="5A4921D2" w14:textId="77777777" w:rsidR="00821831" w:rsidRDefault="0082183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257FE" w14:textId="77777777" w:rsidR="003660DF" w:rsidRPr="0067560B" w:rsidRDefault="003660DF" w:rsidP="003660DF">
    <w:pPr>
      <w:pStyle w:val="Encabezado"/>
      <w:rPr>
        <w:sz w:val="24"/>
        <w:szCs w:val="24"/>
      </w:rPr>
    </w:pPr>
  </w:p>
  <w:p w14:paraId="7CF668DC" w14:textId="77777777" w:rsidR="003660DF" w:rsidRPr="0067560B" w:rsidRDefault="003660DF" w:rsidP="003660DF">
    <w:pPr>
      <w:pStyle w:val="Encabezado"/>
      <w:rPr>
        <w:sz w:val="24"/>
        <w:szCs w:val="24"/>
      </w:rPr>
    </w:pPr>
    <w:r w:rsidRPr="0067560B">
      <w:rPr>
        <w:noProof/>
        <w:sz w:val="24"/>
        <w:szCs w:val="24"/>
        <w:lang w:val="es-ES" w:eastAsia="es-ES"/>
      </w:rPr>
      <w:drawing>
        <wp:anchor distT="0" distB="0" distL="114300" distR="114300" simplePos="0" relativeHeight="251659264" behindDoc="1" locked="0" layoutInCell="1" allowOverlap="1" wp14:anchorId="40113D37" wp14:editId="70663368">
          <wp:simplePos x="0" y="0"/>
          <wp:positionH relativeFrom="column">
            <wp:posOffset>-100330</wp:posOffset>
          </wp:positionH>
          <wp:positionV relativeFrom="paragraph">
            <wp:posOffset>-250190</wp:posOffset>
          </wp:positionV>
          <wp:extent cx="1238250" cy="1154430"/>
          <wp:effectExtent l="0" t="0" r="0" b="0"/>
          <wp:wrapNone/>
          <wp:docPr id="2" name="Imagen 2" descr="ESCUDO FINAL FF-0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FINAL FF-02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4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21CBF7" w14:textId="77777777" w:rsidR="003660DF" w:rsidRPr="0067560B" w:rsidRDefault="003660DF" w:rsidP="003660DF">
    <w:pPr>
      <w:ind w:right="-93"/>
      <w:jc w:val="center"/>
      <w:rPr>
        <w:rFonts w:cs="Arial"/>
        <w:b/>
        <w:bCs/>
        <w:sz w:val="24"/>
        <w:szCs w:val="24"/>
        <w:lang w:eastAsia="es-ES"/>
      </w:rPr>
    </w:pPr>
    <w:r w:rsidRPr="0067560B">
      <w:rPr>
        <w:rFonts w:cs="Arial"/>
        <w:b/>
        <w:bCs/>
        <w:sz w:val="24"/>
        <w:szCs w:val="24"/>
        <w:lang w:eastAsia="es-ES"/>
      </w:rPr>
      <w:t>CONSEJO DE ESTADO</w:t>
    </w:r>
  </w:p>
  <w:p w14:paraId="6F9A88F0" w14:textId="77777777" w:rsidR="003660DF" w:rsidRPr="0067560B" w:rsidRDefault="003660DF" w:rsidP="003660DF">
    <w:pPr>
      <w:ind w:right="-93"/>
      <w:jc w:val="center"/>
      <w:rPr>
        <w:rFonts w:cs="Arial"/>
        <w:b/>
        <w:bCs/>
        <w:color w:val="000000"/>
        <w:sz w:val="24"/>
        <w:szCs w:val="24"/>
        <w:lang w:eastAsia="es-ES"/>
      </w:rPr>
    </w:pPr>
    <w:r w:rsidRPr="0067560B">
      <w:rPr>
        <w:rFonts w:cs="Arial"/>
        <w:b/>
        <w:bCs/>
        <w:color w:val="000000"/>
        <w:sz w:val="24"/>
        <w:szCs w:val="24"/>
        <w:lang w:eastAsia="es-ES"/>
      </w:rPr>
      <w:t>SALA DE LO CONTENCIOSO ADMINISTRATIVO</w:t>
    </w:r>
  </w:p>
  <w:p w14:paraId="16844099" w14:textId="77777777" w:rsidR="003660DF" w:rsidRPr="0067560B" w:rsidRDefault="003660DF" w:rsidP="003660DF">
    <w:pPr>
      <w:ind w:right="-93"/>
      <w:jc w:val="center"/>
      <w:rPr>
        <w:rFonts w:cs="Arial"/>
        <w:b/>
        <w:bCs/>
        <w:color w:val="000000"/>
        <w:sz w:val="24"/>
        <w:szCs w:val="24"/>
        <w:lang w:eastAsia="es-ES"/>
      </w:rPr>
    </w:pPr>
    <w:r w:rsidRPr="0067560B">
      <w:rPr>
        <w:rFonts w:cs="Arial"/>
        <w:b/>
        <w:bCs/>
        <w:color w:val="000000"/>
        <w:sz w:val="24"/>
        <w:szCs w:val="24"/>
        <w:lang w:eastAsia="es-ES"/>
      </w:rPr>
      <w:t>SECCIÓN TERCERA</w:t>
    </w:r>
  </w:p>
  <w:p w14:paraId="6AAEE627" w14:textId="77777777" w:rsidR="003660DF" w:rsidRPr="0067560B" w:rsidRDefault="003660DF" w:rsidP="003660DF">
    <w:pPr>
      <w:tabs>
        <w:tab w:val="center" w:pos="4465"/>
        <w:tab w:val="right" w:pos="8931"/>
      </w:tabs>
      <w:ind w:right="-93"/>
      <w:jc w:val="center"/>
      <w:rPr>
        <w:rFonts w:cs="Arial"/>
        <w:b/>
        <w:bCs/>
        <w:color w:val="000000"/>
        <w:sz w:val="24"/>
        <w:szCs w:val="24"/>
        <w:lang w:eastAsia="es-ES"/>
      </w:rPr>
    </w:pPr>
    <w:r w:rsidRPr="0067560B">
      <w:rPr>
        <w:rFonts w:cs="Arial"/>
        <w:b/>
        <w:bCs/>
        <w:color w:val="000000"/>
        <w:sz w:val="24"/>
        <w:szCs w:val="24"/>
        <w:lang w:eastAsia="es-ES"/>
      </w:rPr>
      <w:t>SUBSECCIÓN C</w:t>
    </w:r>
  </w:p>
  <w:p w14:paraId="52C04553" w14:textId="77777777" w:rsidR="003660DF" w:rsidRDefault="003660D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2797F"/>
    <w:multiLevelType w:val="hybridMultilevel"/>
    <w:tmpl w:val="78724F34"/>
    <w:lvl w:ilvl="0" w:tplc="373081D0">
      <w:start w:val="1"/>
      <w:numFmt w:val="decimal"/>
      <w:lvlText w:val="%1."/>
      <w:lvlJc w:val="left"/>
      <w:pPr>
        <w:ind w:left="360" w:hanging="360"/>
      </w:pPr>
      <w:rPr>
        <w:rFonts w:eastAsia="Calibri" w:hint="default"/>
        <w:b w:val="0"/>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 w15:restartNumberingAfterBreak="0">
    <w:nsid w:val="1BDB68F4"/>
    <w:multiLevelType w:val="hybridMultilevel"/>
    <w:tmpl w:val="0B30A762"/>
    <w:lvl w:ilvl="0" w:tplc="F53CB87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B850BC4"/>
    <w:multiLevelType w:val="hybridMultilevel"/>
    <w:tmpl w:val="401A74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099790A"/>
    <w:multiLevelType w:val="multilevel"/>
    <w:tmpl w:val="699CE0C4"/>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1"/>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0DF"/>
    <w:rsid w:val="00022CF4"/>
    <w:rsid w:val="00031F6E"/>
    <w:rsid w:val="00035D2D"/>
    <w:rsid w:val="00071CB8"/>
    <w:rsid w:val="00081ABE"/>
    <w:rsid w:val="0009542F"/>
    <w:rsid w:val="0009548B"/>
    <w:rsid w:val="00095819"/>
    <w:rsid w:val="000A7052"/>
    <w:rsid w:val="000C123B"/>
    <w:rsid w:val="000D3C77"/>
    <w:rsid w:val="000D463A"/>
    <w:rsid w:val="001131C4"/>
    <w:rsid w:val="00113D18"/>
    <w:rsid w:val="00114059"/>
    <w:rsid w:val="0011491D"/>
    <w:rsid w:val="001333EA"/>
    <w:rsid w:val="001374D4"/>
    <w:rsid w:val="00140777"/>
    <w:rsid w:val="00150170"/>
    <w:rsid w:val="001526F4"/>
    <w:rsid w:val="001642F8"/>
    <w:rsid w:val="0016578D"/>
    <w:rsid w:val="00171308"/>
    <w:rsid w:val="00173C71"/>
    <w:rsid w:val="00186974"/>
    <w:rsid w:val="001A40E4"/>
    <w:rsid w:val="001D4909"/>
    <w:rsid w:val="001D691D"/>
    <w:rsid w:val="002134E2"/>
    <w:rsid w:val="002176B9"/>
    <w:rsid w:val="00243515"/>
    <w:rsid w:val="00281AC8"/>
    <w:rsid w:val="00282B10"/>
    <w:rsid w:val="0029379F"/>
    <w:rsid w:val="002A43E6"/>
    <w:rsid w:val="002A4E64"/>
    <w:rsid w:val="002B4067"/>
    <w:rsid w:val="002C071D"/>
    <w:rsid w:val="002C36A5"/>
    <w:rsid w:val="002E37B2"/>
    <w:rsid w:val="002E71C9"/>
    <w:rsid w:val="0031080E"/>
    <w:rsid w:val="00317A00"/>
    <w:rsid w:val="00332735"/>
    <w:rsid w:val="00363E5C"/>
    <w:rsid w:val="003660DF"/>
    <w:rsid w:val="00367367"/>
    <w:rsid w:val="003756D9"/>
    <w:rsid w:val="003833CD"/>
    <w:rsid w:val="00391E17"/>
    <w:rsid w:val="003A5B0B"/>
    <w:rsid w:val="003C65EE"/>
    <w:rsid w:val="003D7727"/>
    <w:rsid w:val="003E01EF"/>
    <w:rsid w:val="003F1567"/>
    <w:rsid w:val="003F4CCC"/>
    <w:rsid w:val="00401BE7"/>
    <w:rsid w:val="00416618"/>
    <w:rsid w:val="00424004"/>
    <w:rsid w:val="00437F40"/>
    <w:rsid w:val="00452475"/>
    <w:rsid w:val="004728BB"/>
    <w:rsid w:val="00496DD5"/>
    <w:rsid w:val="004A2688"/>
    <w:rsid w:val="004C0749"/>
    <w:rsid w:val="004C076C"/>
    <w:rsid w:val="004F2F5E"/>
    <w:rsid w:val="0050489D"/>
    <w:rsid w:val="00513A9D"/>
    <w:rsid w:val="00535785"/>
    <w:rsid w:val="00554231"/>
    <w:rsid w:val="00577F3F"/>
    <w:rsid w:val="00580A7F"/>
    <w:rsid w:val="005C7A03"/>
    <w:rsid w:val="005E5457"/>
    <w:rsid w:val="00606DAC"/>
    <w:rsid w:val="00631846"/>
    <w:rsid w:val="00640E3E"/>
    <w:rsid w:val="006749FD"/>
    <w:rsid w:val="00695C57"/>
    <w:rsid w:val="006D781F"/>
    <w:rsid w:val="0071031D"/>
    <w:rsid w:val="0072222E"/>
    <w:rsid w:val="00722565"/>
    <w:rsid w:val="0075692A"/>
    <w:rsid w:val="007B2FD3"/>
    <w:rsid w:val="007D6EF9"/>
    <w:rsid w:val="007F7790"/>
    <w:rsid w:val="00800144"/>
    <w:rsid w:val="00810B28"/>
    <w:rsid w:val="00821831"/>
    <w:rsid w:val="0082349C"/>
    <w:rsid w:val="00855BE5"/>
    <w:rsid w:val="00855D1C"/>
    <w:rsid w:val="008604CC"/>
    <w:rsid w:val="00861155"/>
    <w:rsid w:val="00861754"/>
    <w:rsid w:val="00876C75"/>
    <w:rsid w:val="00883F82"/>
    <w:rsid w:val="008B41DA"/>
    <w:rsid w:val="008B73E9"/>
    <w:rsid w:val="008C3651"/>
    <w:rsid w:val="008C47CF"/>
    <w:rsid w:val="00910526"/>
    <w:rsid w:val="00912EFD"/>
    <w:rsid w:val="00914E2C"/>
    <w:rsid w:val="00934032"/>
    <w:rsid w:val="009403DE"/>
    <w:rsid w:val="00960CE5"/>
    <w:rsid w:val="00967AFC"/>
    <w:rsid w:val="00970FCA"/>
    <w:rsid w:val="009722F4"/>
    <w:rsid w:val="009737AC"/>
    <w:rsid w:val="00987148"/>
    <w:rsid w:val="00987924"/>
    <w:rsid w:val="009B2E51"/>
    <w:rsid w:val="009D5B57"/>
    <w:rsid w:val="009F29FD"/>
    <w:rsid w:val="00A24863"/>
    <w:rsid w:val="00A53AF3"/>
    <w:rsid w:val="00A91C04"/>
    <w:rsid w:val="00AA1254"/>
    <w:rsid w:val="00AA22DC"/>
    <w:rsid w:val="00AB68E2"/>
    <w:rsid w:val="00AE0098"/>
    <w:rsid w:val="00AE1E9F"/>
    <w:rsid w:val="00AF1A4B"/>
    <w:rsid w:val="00B12CAC"/>
    <w:rsid w:val="00B17D0D"/>
    <w:rsid w:val="00B2360B"/>
    <w:rsid w:val="00B30F19"/>
    <w:rsid w:val="00B72F1F"/>
    <w:rsid w:val="00B9010D"/>
    <w:rsid w:val="00BA2DCE"/>
    <w:rsid w:val="00BA4B40"/>
    <w:rsid w:val="00BD1BEC"/>
    <w:rsid w:val="00BE0484"/>
    <w:rsid w:val="00BF0FDE"/>
    <w:rsid w:val="00C032CE"/>
    <w:rsid w:val="00C07EDB"/>
    <w:rsid w:val="00C13799"/>
    <w:rsid w:val="00C1454E"/>
    <w:rsid w:val="00C15C35"/>
    <w:rsid w:val="00C57CA4"/>
    <w:rsid w:val="00C950B9"/>
    <w:rsid w:val="00CA03F1"/>
    <w:rsid w:val="00CA0FB3"/>
    <w:rsid w:val="00CE06BA"/>
    <w:rsid w:val="00D1795D"/>
    <w:rsid w:val="00D2524C"/>
    <w:rsid w:val="00D25F6D"/>
    <w:rsid w:val="00D64E26"/>
    <w:rsid w:val="00D75FBC"/>
    <w:rsid w:val="00D960DC"/>
    <w:rsid w:val="00DA6D60"/>
    <w:rsid w:val="00DD22FD"/>
    <w:rsid w:val="00DF09B1"/>
    <w:rsid w:val="00E12D93"/>
    <w:rsid w:val="00E17DF1"/>
    <w:rsid w:val="00E40418"/>
    <w:rsid w:val="00E44C5A"/>
    <w:rsid w:val="00E54E44"/>
    <w:rsid w:val="00E61D62"/>
    <w:rsid w:val="00E70CB9"/>
    <w:rsid w:val="00E732A9"/>
    <w:rsid w:val="00E93F2C"/>
    <w:rsid w:val="00E95F1A"/>
    <w:rsid w:val="00EA2B1E"/>
    <w:rsid w:val="00EC3ED6"/>
    <w:rsid w:val="00ED0A20"/>
    <w:rsid w:val="00ED1388"/>
    <w:rsid w:val="00ED3EA9"/>
    <w:rsid w:val="00ED606D"/>
    <w:rsid w:val="00EF7BA0"/>
    <w:rsid w:val="00F17657"/>
    <w:rsid w:val="00F22AE8"/>
    <w:rsid w:val="00F22FC5"/>
    <w:rsid w:val="00F2684B"/>
    <w:rsid w:val="00F26CDE"/>
    <w:rsid w:val="00F3539E"/>
    <w:rsid w:val="00F711F5"/>
    <w:rsid w:val="00F72BA4"/>
    <w:rsid w:val="00F83A75"/>
    <w:rsid w:val="00F87B16"/>
    <w:rsid w:val="00FB197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1CA1B"/>
  <w15:chartTrackingRefBased/>
  <w15:docId w15:val="{6CF02C80-1CAE-4897-99B4-5EDA8AA95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lang w:val="es-C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0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660DF"/>
    <w:pPr>
      <w:tabs>
        <w:tab w:val="center" w:pos="4419"/>
        <w:tab w:val="right" w:pos="8838"/>
      </w:tabs>
    </w:pPr>
  </w:style>
  <w:style w:type="character" w:customStyle="1" w:styleId="EncabezadoCar">
    <w:name w:val="Encabezado Car"/>
    <w:basedOn w:val="Fuentedeprrafopredeter"/>
    <w:link w:val="Encabezado"/>
    <w:uiPriority w:val="99"/>
    <w:rsid w:val="003660DF"/>
  </w:style>
  <w:style w:type="paragraph" w:styleId="Piedepgina">
    <w:name w:val="footer"/>
    <w:basedOn w:val="Normal"/>
    <w:link w:val="PiedepginaCar"/>
    <w:uiPriority w:val="99"/>
    <w:unhideWhenUsed/>
    <w:rsid w:val="003660DF"/>
    <w:pPr>
      <w:tabs>
        <w:tab w:val="center" w:pos="4419"/>
        <w:tab w:val="right" w:pos="8838"/>
      </w:tabs>
    </w:pPr>
  </w:style>
  <w:style w:type="character" w:customStyle="1" w:styleId="PiedepginaCar">
    <w:name w:val="Pie de página Car"/>
    <w:basedOn w:val="Fuentedeprrafopredeter"/>
    <w:link w:val="Piedepgina"/>
    <w:uiPriority w:val="99"/>
    <w:rsid w:val="003660DF"/>
  </w:style>
  <w:style w:type="character" w:styleId="Refdenotaalpie">
    <w:name w:val="footnote reference"/>
    <w:aliases w:val="Texto de nota al pie,referencia nota al pie,Footnotes refss,Appel note de bas de page,Ref. de nota al pie 2,Footnote number,BVI fnr,f,4_G,16 Point,Superscript 6 Point,Texto nota al pie,Pie de Página,FC,Texto de nota al pi,Nota de pie"/>
    <w:link w:val="4GChar"/>
    <w:uiPriority w:val="99"/>
    <w:qFormat/>
    <w:rsid w:val="00150170"/>
    <w:rPr>
      <w:vertAlign w:val="superscript"/>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texto de nota al pie,Texto nota pie Ca"/>
    <w:basedOn w:val="Normal"/>
    <w:link w:val="TextonotapieCar"/>
    <w:uiPriority w:val="99"/>
    <w:qFormat/>
    <w:rsid w:val="00150170"/>
    <w:pPr>
      <w:overflowPunct w:val="0"/>
      <w:autoSpaceDE w:val="0"/>
      <w:autoSpaceDN w:val="0"/>
      <w:adjustRightInd w:val="0"/>
      <w:jc w:val="left"/>
      <w:textAlignment w:val="baseline"/>
    </w:pPr>
    <w:rPr>
      <w:rFonts w:ascii="Times New Roman" w:eastAsia="Times New Roman" w:hAnsi="Times New Roman" w:cs="Times New Roman"/>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
    <w:basedOn w:val="Fuentedeprrafopredeter"/>
    <w:link w:val="Textonotapie"/>
    <w:uiPriority w:val="99"/>
    <w:qFormat/>
    <w:rsid w:val="00150170"/>
    <w:rPr>
      <w:rFonts w:ascii="Times New Roman" w:eastAsia="Times New Roman" w:hAnsi="Times New Roman" w:cs="Times New Roman"/>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150170"/>
    <w:rPr>
      <w:vertAlign w:val="superscript"/>
    </w:rPr>
  </w:style>
  <w:style w:type="paragraph" w:styleId="Prrafodelista">
    <w:name w:val="List Paragraph"/>
    <w:basedOn w:val="Normal"/>
    <w:uiPriority w:val="34"/>
    <w:qFormat/>
    <w:rsid w:val="00150170"/>
    <w:pPr>
      <w:ind w:left="720"/>
      <w:contextualSpacing/>
    </w:pPr>
  </w:style>
  <w:style w:type="character" w:customStyle="1" w:styleId="SinespaciadoCar">
    <w:name w:val="Sin espaciado Car"/>
    <w:aliases w:val="C. Extensa Car,CITA 1 Car"/>
    <w:link w:val="Sinespaciado"/>
    <w:uiPriority w:val="1"/>
    <w:locked/>
    <w:rsid w:val="003756D9"/>
    <w:rPr>
      <w:rFonts w:ascii="Calibri" w:eastAsia="Calibri" w:hAnsi="Calibri" w:cs="Times New Roman"/>
      <w:sz w:val="22"/>
      <w:szCs w:val="22"/>
      <w:lang w:val="es-ES"/>
    </w:rPr>
  </w:style>
  <w:style w:type="paragraph" w:styleId="Sinespaciado">
    <w:name w:val="No Spacing"/>
    <w:aliases w:val="C. Extensa,CITA 1"/>
    <w:link w:val="SinespaciadoCar"/>
    <w:uiPriority w:val="1"/>
    <w:qFormat/>
    <w:rsid w:val="003756D9"/>
    <w:pPr>
      <w:jc w:val="left"/>
    </w:pPr>
    <w:rPr>
      <w:rFonts w:ascii="Calibri" w:eastAsia="Calibri" w:hAnsi="Calibri" w:cs="Times New Roman"/>
      <w:sz w:val="22"/>
      <w:szCs w:val="22"/>
      <w:lang w:val="es-ES"/>
    </w:rPr>
  </w:style>
  <w:style w:type="table" w:styleId="Tablaconcuadrcula">
    <w:name w:val="Table Grid"/>
    <w:basedOn w:val="Tablanormal"/>
    <w:uiPriority w:val="39"/>
    <w:rsid w:val="003756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qFormat/>
    <w:rsid w:val="00CE06BA"/>
    <w:pPr>
      <w:spacing w:after="120"/>
      <w:ind w:left="283"/>
      <w:jc w:val="left"/>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qFormat/>
    <w:rsid w:val="00CE06BA"/>
    <w:rPr>
      <w:rFonts w:ascii="Times New Roman" w:eastAsia="Times New Roman" w:hAnsi="Times New Roman" w:cs="Times New Roman"/>
      <w:sz w:val="24"/>
      <w:szCs w:val="24"/>
      <w:lang w:val="es-ES" w:eastAsia="es-ES"/>
    </w:rPr>
  </w:style>
  <w:style w:type="character" w:customStyle="1" w:styleId="NoSpacingChar1">
    <w:name w:val="No Spacing Char1"/>
    <w:aliases w:val="C. Extensa Char,CITA 1 Char"/>
    <w:uiPriority w:val="1"/>
    <w:locked/>
    <w:rsid w:val="00CE06BA"/>
    <w:rPr>
      <w:rFonts w:ascii="Times New Roman" w:eastAsia="Times New Roman" w:hAnsi="Times New Roman"/>
      <w:sz w:val="24"/>
      <w:szCs w:val="24"/>
      <w:lang w:val="es-ES" w:eastAsia="es-ES"/>
    </w:rPr>
  </w:style>
  <w:style w:type="character" w:styleId="Refdecomentario">
    <w:name w:val="annotation reference"/>
    <w:basedOn w:val="Fuentedeprrafopredeter"/>
    <w:uiPriority w:val="99"/>
    <w:semiHidden/>
    <w:unhideWhenUsed/>
    <w:rsid w:val="00367367"/>
    <w:rPr>
      <w:sz w:val="16"/>
      <w:szCs w:val="16"/>
    </w:rPr>
  </w:style>
  <w:style w:type="paragraph" w:styleId="Textocomentario">
    <w:name w:val="annotation text"/>
    <w:basedOn w:val="Normal"/>
    <w:link w:val="TextocomentarioCar"/>
    <w:uiPriority w:val="99"/>
    <w:semiHidden/>
    <w:unhideWhenUsed/>
    <w:rsid w:val="00367367"/>
  </w:style>
  <w:style w:type="character" w:customStyle="1" w:styleId="TextocomentarioCar">
    <w:name w:val="Texto comentario Car"/>
    <w:basedOn w:val="Fuentedeprrafopredeter"/>
    <w:link w:val="Textocomentario"/>
    <w:uiPriority w:val="99"/>
    <w:semiHidden/>
    <w:rsid w:val="00367367"/>
  </w:style>
  <w:style w:type="paragraph" w:styleId="Asuntodelcomentario">
    <w:name w:val="annotation subject"/>
    <w:basedOn w:val="Textocomentario"/>
    <w:next w:val="Textocomentario"/>
    <w:link w:val="AsuntodelcomentarioCar"/>
    <w:uiPriority w:val="99"/>
    <w:semiHidden/>
    <w:unhideWhenUsed/>
    <w:rsid w:val="00367367"/>
    <w:rPr>
      <w:b/>
      <w:bCs/>
    </w:rPr>
  </w:style>
  <w:style w:type="character" w:customStyle="1" w:styleId="AsuntodelcomentarioCar">
    <w:name w:val="Asunto del comentario Car"/>
    <w:basedOn w:val="TextocomentarioCar"/>
    <w:link w:val="Asuntodelcomentario"/>
    <w:uiPriority w:val="99"/>
    <w:semiHidden/>
    <w:rsid w:val="00367367"/>
    <w:rPr>
      <w:b/>
      <w:bCs/>
    </w:rPr>
  </w:style>
  <w:style w:type="paragraph" w:styleId="Revisin">
    <w:name w:val="Revision"/>
    <w:hidden/>
    <w:uiPriority w:val="99"/>
    <w:semiHidden/>
    <w:rsid w:val="009737AC"/>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308107">
      <w:bodyDiv w:val="1"/>
      <w:marLeft w:val="0"/>
      <w:marRight w:val="0"/>
      <w:marTop w:val="0"/>
      <w:marBottom w:val="0"/>
      <w:divBdr>
        <w:top w:val="none" w:sz="0" w:space="0" w:color="auto"/>
        <w:left w:val="none" w:sz="0" w:space="0" w:color="auto"/>
        <w:bottom w:val="none" w:sz="0" w:space="0" w:color="auto"/>
        <w:right w:val="none" w:sz="0" w:space="0" w:color="auto"/>
      </w:divBdr>
    </w:div>
    <w:div w:id="208109449">
      <w:bodyDiv w:val="1"/>
      <w:marLeft w:val="0"/>
      <w:marRight w:val="0"/>
      <w:marTop w:val="0"/>
      <w:marBottom w:val="0"/>
      <w:divBdr>
        <w:top w:val="none" w:sz="0" w:space="0" w:color="auto"/>
        <w:left w:val="none" w:sz="0" w:space="0" w:color="auto"/>
        <w:bottom w:val="none" w:sz="0" w:space="0" w:color="auto"/>
        <w:right w:val="none" w:sz="0" w:space="0" w:color="auto"/>
      </w:divBdr>
    </w:div>
    <w:div w:id="370883884">
      <w:bodyDiv w:val="1"/>
      <w:marLeft w:val="0"/>
      <w:marRight w:val="0"/>
      <w:marTop w:val="0"/>
      <w:marBottom w:val="0"/>
      <w:divBdr>
        <w:top w:val="none" w:sz="0" w:space="0" w:color="auto"/>
        <w:left w:val="none" w:sz="0" w:space="0" w:color="auto"/>
        <w:bottom w:val="none" w:sz="0" w:space="0" w:color="auto"/>
        <w:right w:val="none" w:sz="0" w:space="0" w:color="auto"/>
      </w:divBdr>
    </w:div>
    <w:div w:id="429354216">
      <w:bodyDiv w:val="1"/>
      <w:marLeft w:val="0"/>
      <w:marRight w:val="0"/>
      <w:marTop w:val="0"/>
      <w:marBottom w:val="0"/>
      <w:divBdr>
        <w:top w:val="none" w:sz="0" w:space="0" w:color="auto"/>
        <w:left w:val="none" w:sz="0" w:space="0" w:color="auto"/>
        <w:bottom w:val="none" w:sz="0" w:space="0" w:color="auto"/>
        <w:right w:val="none" w:sz="0" w:space="0" w:color="auto"/>
      </w:divBdr>
    </w:div>
    <w:div w:id="665135483">
      <w:bodyDiv w:val="1"/>
      <w:marLeft w:val="0"/>
      <w:marRight w:val="0"/>
      <w:marTop w:val="0"/>
      <w:marBottom w:val="0"/>
      <w:divBdr>
        <w:top w:val="none" w:sz="0" w:space="0" w:color="auto"/>
        <w:left w:val="none" w:sz="0" w:space="0" w:color="auto"/>
        <w:bottom w:val="none" w:sz="0" w:space="0" w:color="auto"/>
        <w:right w:val="none" w:sz="0" w:space="0" w:color="auto"/>
      </w:divBdr>
    </w:div>
    <w:div w:id="975571826">
      <w:bodyDiv w:val="1"/>
      <w:marLeft w:val="0"/>
      <w:marRight w:val="0"/>
      <w:marTop w:val="0"/>
      <w:marBottom w:val="0"/>
      <w:divBdr>
        <w:top w:val="none" w:sz="0" w:space="0" w:color="auto"/>
        <w:left w:val="none" w:sz="0" w:space="0" w:color="auto"/>
        <w:bottom w:val="none" w:sz="0" w:space="0" w:color="auto"/>
        <w:right w:val="none" w:sz="0" w:space="0" w:color="auto"/>
      </w:divBdr>
    </w:div>
    <w:div w:id="1097872671">
      <w:bodyDiv w:val="1"/>
      <w:marLeft w:val="0"/>
      <w:marRight w:val="0"/>
      <w:marTop w:val="0"/>
      <w:marBottom w:val="0"/>
      <w:divBdr>
        <w:top w:val="none" w:sz="0" w:space="0" w:color="auto"/>
        <w:left w:val="none" w:sz="0" w:space="0" w:color="auto"/>
        <w:bottom w:val="none" w:sz="0" w:space="0" w:color="auto"/>
        <w:right w:val="none" w:sz="0" w:space="0" w:color="auto"/>
      </w:divBdr>
    </w:div>
    <w:div w:id="1177382878">
      <w:bodyDiv w:val="1"/>
      <w:marLeft w:val="0"/>
      <w:marRight w:val="0"/>
      <w:marTop w:val="0"/>
      <w:marBottom w:val="0"/>
      <w:divBdr>
        <w:top w:val="none" w:sz="0" w:space="0" w:color="auto"/>
        <w:left w:val="none" w:sz="0" w:space="0" w:color="auto"/>
        <w:bottom w:val="none" w:sz="0" w:space="0" w:color="auto"/>
        <w:right w:val="none" w:sz="0" w:space="0" w:color="auto"/>
      </w:divBdr>
    </w:div>
    <w:div w:id="1191185174">
      <w:bodyDiv w:val="1"/>
      <w:marLeft w:val="0"/>
      <w:marRight w:val="0"/>
      <w:marTop w:val="0"/>
      <w:marBottom w:val="0"/>
      <w:divBdr>
        <w:top w:val="none" w:sz="0" w:space="0" w:color="auto"/>
        <w:left w:val="none" w:sz="0" w:space="0" w:color="auto"/>
        <w:bottom w:val="none" w:sz="0" w:space="0" w:color="auto"/>
        <w:right w:val="none" w:sz="0" w:space="0" w:color="auto"/>
      </w:divBdr>
    </w:div>
    <w:div w:id="1380397106">
      <w:bodyDiv w:val="1"/>
      <w:marLeft w:val="0"/>
      <w:marRight w:val="0"/>
      <w:marTop w:val="0"/>
      <w:marBottom w:val="0"/>
      <w:divBdr>
        <w:top w:val="none" w:sz="0" w:space="0" w:color="auto"/>
        <w:left w:val="none" w:sz="0" w:space="0" w:color="auto"/>
        <w:bottom w:val="none" w:sz="0" w:space="0" w:color="auto"/>
        <w:right w:val="none" w:sz="0" w:space="0" w:color="auto"/>
      </w:divBdr>
    </w:div>
    <w:div w:id="1395618673">
      <w:bodyDiv w:val="1"/>
      <w:marLeft w:val="0"/>
      <w:marRight w:val="0"/>
      <w:marTop w:val="0"/>
      <w:marBottom w:val="0"/>
      <w:divBdr>
        <w:top w:val="none" w:sz="0" w:space="0" w:color="auto"/>
        <w:left w:val="none" w:sz="0" w:space="0" w:color="auto"/>
        <w:bottom w:val="none" w:sz="0" w:space="0" w:color="auto"/>
        <w:right w:val="none" w:sz="0" w:space="0" w:color="auto"/>
      </w:divBdr>
    </w:div>
    <w:div w:id="1971007685">
      <w:bodyDiv w:val="1"/>
      <w:marLeft w:val="0"/>
      <w:marRight w:val="0"/>
      <w:marTop w:val="0"/>
      <w:marBottom w:val="0"/>
      <w:divBdr>
        <w:top w:val="none" w:sz="0" w:space="0" w:color="auto"/>
        <w:left w:val="none" w:sz="0" w:space="0" w:color="auto"/>
        <w:bottom w:val="none" w:sz="0" w:space="0" w:color="auto"/>
        <w:right w:val="none" w:sz="0" w:space="0" w:color="auto"/>
      </w:divBdr>
    </w:div>
    <w:div w:id="2054766278">
      <w:bodyDiv w:val="1"/>
      <w:marLeft w:val="0"/>
      <w:marRight w:val="0"/>
      <w:marTop w:val="0"/>
      <w:marBottom w:val="0"/>
      <w:divBdr>
        <w:top w:val="none" w:sz="0" w:space="0" w:color="auto"/>
        <w:left w:val="none" w:sz="0" w:space="0" w:color="auto"/>
        <w:bottom w:val="none" w:sz="0" w:space="0" w:color="auto"/>
        <w:right w:val="none" w:sz="0" w:space="0" w:color="auto"/>
      </w:divBdr>
    </w:div>
    <w:div w:id="206301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3C6B7335167F145BCA082A8F6CB3F14" ma:contentTypeVersion="4" ma:contentTypeDescription="Crear nuevo documento." ma:contentTypeScope="" ma:versionID="b456d4c9a31ee18b391aaa7789bf1479">
  <xsd:schema xmlns:xsd="http://www.w3.org/2001/XMLSchema" xmlns:xs="http://www.w3.org/2001/XMLSchema" xmlns:p="http://schemas.microsoft.com/office/2006/metadata/properties" xmlns:ns2="90c507b4-eb83-4d09-9396-a464e3679abf" xmlns:ns3="3f651fff-6043-404f-be87-95b68ded21b6" targetNamespace="http://schemas.microsoft.com/office/2006/metadata/properties" ma:root="true" ma:fieldsID="61f35a95da4b5bb70c5e2335b95217e3" ns2:_="" ns3:_="">
    <xsd:import namespace="90c507b4-eb83-4d09-9396-a464e3679abf"/>
    <xsd:import namespace="3f651fff-6043-404f-be87-95b68ded21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507b4-eb83-4d09-9396-a464e367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651fff-6043-404f-be87-95b68ded21b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A0EB3-C751-43CE-960C-203B12979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507b4-eb83-4d09-9396-a464e3679abf"/>
    <ds:schemaRef ds:uri="3f651fff-6043-404f-be87-95b68ded21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0E7730-BEC3-4A00-992E-31393F7CE356}">
  <ds:schemaRefs>
    <ds:schemaRef ds:uri="http://schemas.microsoft.com/sharepoint/v3/contenttype/forms"/>
  </ds:schemaRefs>
</ds:datastoreItem>
</file>

<file path=customXml/itemProps3.xml><?xml version="1.0" encoding="utf-8"?>
<ds:datastoreItem xmlns:ds="http://schemas.openxmlformats.org/officeDocument/2006/customXml" ds:itemID="{37AB99B4-F2B5-4B23-9FD3-9F48C56D0E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D15F2F-98C0-44E0-8712-0A40242E8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1648</Words>
  <Characters>9069</Characters>
  <Application>Microsoft Office Word</Application>
  <DocSecurity>0</DocSecurity>
  <Lines>75</Lines>
  <Paragraphs>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Alejandra</dc:creator>
  <cp:keywords/>
  <dc:description/>
  <cp:lastModifiedBy>María Paula Sierra Torres</cp:lastModifiedBy>
  <cp:revision>2</cp:revision>
  <dcterms:created xsi:type="dcterms:W3CDTF">2021-04-28T12:46:00Z</dcterms:created>
  <dcterms:modified xsi:type="dcterms:W3CDTF">2021-04-28T12:46:00Z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0x01010013C6B7335167F145BCA082A8F6CB3F14</vt:lpwstr>
  </property>
</Properties>
</file>