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013CD" w14:textId="77777777" w:rsidR="000C5DB7" w:rsidRPr="00280E67" w:rsidRDefault="000C5DB7" w:rsidP="00D86793">
      <w:pPr>
        <w:pStyle w:val="Sinespaciado"/>
      </w:pPr>
      <w:r w:rsidRPr="00280E67">
        <w:t>CONSEJERO PONENTE: JAIME ENRIQUE RODRÍGUEZ NAVAS</w:t>
      </w:r>
    </w:p>
    <w:p w14:paraId="0A37501D" w14:textId="77777777" w:rsidR="00F91B32" w:rsidRPr="00280E67" w:rsidRDefault="00F91B32" w:rsidP="000C5DB7">
      <w:pPr>
        <w:spacing w:line="276" w:lineRule="auto"/>
        <w:contextualSpacing/>
        <w:rPr>
          <w:b/>
          <w:bCs/>
          <w:sz w:val="24"/>
          <w:szCs w:val="24"/>
        </w:rPr>
      </w:pPr>
    </w:p>
    <w:p w14:paraId="77749C61" w14:textId="77777777" w:rsidR="00027850" w:rsidRPr="00280E67" w:rsidRDefault="00027850" w:rsidP="00027850">
      <w:pPr>
        <w:spacing w:line="276" w:lineRule="auto"/>
        <w:contextualSpacing/>
        <w:rPr>
          <w:b/>
          <w:bCs/>
          <w:sz w:val="24"/>
          <w:szCs w:val="24"/>
        </w:rPr>
      </w:pPr>
    </w:p>
    <w:p w14:paraId="4FA03D62" w14:textId="77777777" w:rsidR="00027850" w:rsidRPr="00280E67" w:rsidRDefault="00027850" w:rsidP="00027850">
      <w:pPr>
        <w:spacing w:line="276" w:lineRule="auto"/>
        <w:contextualSpacing/>
        <w:rPr>
          <w:bCs/>
          <w:sz w:val="24"/>
          <w:szCs w:val="24"/>
        </w:rPr>
      </w:pPr>
      <w:r w:rsidRPr="00280E67">
        <w:rPr>
          <w:bCs/>
          <w:sz w:val="24"/>
          <w:szCs w:val="24"/>
        </w:rPr>
        <w:t>Bogotá D.C., ocho (8) de febrero de dos mil veintiuno (2021)</w:t>
      </w:r>
    </w:p>
    <w:p w14:paraId="515FB417" w14:textId="77777777" w:rsidR="00027850" w:rsidRPr="00280E67" w:rsidRDefault="00027850" w:rsidP="00027850">
      <w:pPr>
        <w:spacing w:line="276" w:lineRule="auto"/>
        <w:contextualSpacing/>
        <w:rPr>
          <w:b/>
          <w:sz w:val="24"/>
          <w:szCs w:val="24"/>
        </w:rPr>
      </w:pPr>
    </w:p>
    <w:p w14:paraId="5F8CA7E0" w14:textId="77777777" w:rsidR="00027850" w:rsidRPr="00280E67" w:rsidRDefault="00027850" w:rsidP="00027850">
      <w:pPr>
        <w:spacing w:line="276" w:lineRule="auto"/>
        <w:ind w:left="1985" w:hanging="1985"/>
        <w:contextualSpacing/>
        <w:rPr>
          <w:b/>
          <w:sz w:val="24"/>
          <w:szCs w:val="24"/>
        </w:rPr>
      </w:pPr>
      <w:r w:rsidRPr="00280E67">
        <w:rPr>
          <w:b/>
          <w:sz w:val="24"/>
          <w:szCs w:val="24"/>
        </w:rPr>
        <w:t xml:space="preserve">Referencia: </w:t>
      </w:r>
      <w:r w:rsidRPr="00280E67">
        <w:rPr>
          <w:b/>
          <w:sz w:val="24"/>
          <w:szCs w:val="24"/>
        </w:rPr>
        <w:tab/>
      </w:r>
      <w:r w:rsidRPr="00280E67">
        <w:rPr>
          <w:sz w:val="24"/>
          <w:szCs w:val="24"/>
        </w:rPr>
        <w:t>Acción de tutela</w:t>
      </w:r>
    </w:p>
    <w:p w14:paraId="32112E31" w14:textId="77777777" w:rsidR="00027850" w:rsidRPr="00280E67" w:rsidRDefault="00027850" w:rsidP="00027850">
      <w:pPr>
        <w:tabs>
          <w:tab w:val="left" w:pos="1985"/>
        </w:tabs>
        <w:spacing w:line="276" w:lineRule="auto"/>
        <w:contextualSpacing/>
        <w:rPr>
          <w:sz w:val="24"/>
          <w:szCs w:val="24"/>
        </w:rPr>
      </w:pPr>
      <w:r w:rsidRPr="00280E67">
        <w:rPr>
          <w:b/>
          <w:sz w:val="24"/>
          <w:szCs w:val="24"/>
        </w:rPr>
        <w:t>Radicación:</w:t>
      </w:r>
      <w:r w:rsidRPr="00280E67">
        <w:rPr>
          <w:b/>
          <w:sz w:val="24"/>
          <w:szCs w:val="24"/>
        </w:rPr>
        <w:tab/>
      </w:r>
      <w:bookmarkStart w:id="0" w:name="_Hlk37534198"/>
      <w:bookmarkStart w:id="1" w:name="_Hlk47103110"/>
      <w:r w:rsidRPr="00280E67">
        <w:rPr>
          <w:sz w:val="24"/>
          <w:szCs w:val="24"/>
        </w:rPr>
        <w:t>11001-03-15-000-2020-05221-00</w:t>
      </w:r>
      <w:bookmarkEnd w:id="0"/>
    </w:p>
    <w:bookmarkEnd w:id="1"/>
    <w:p w14:paraId="5825E444" w14:textId="77777777" w:rsidR="00027850" w:rsidRPr="00280E67" w:rsidRDefault="00027850" w:rsidP="00027850">
      <w:pPr>
        <w:tabs>
          <w:tab w:val="left" w:pos="1985"/>
        </w:tabs>
        <w:spacing w:line="276" w:lineRule="auto"/>
        <w:ind w:left="1980" w:hanging="1980"/>
        <w:rPr>
          <w:bCs/>
          <w:sz w:val="24"/>
          <w:szCs w:val="24"/>
          <w:lang w:eastAsia="en-US"/>
        </w:rPr>
      </w:pPr>
      <w:r w:rsidRPr="00280E67">
        <w:rPr>
          <w:b/>
          <w:sz w:val="24"/>
          <w:szCs w:val="24"/>
          <w:lang w:val="es-ES" w:eastAsia="en-US"/>
        </w:rPr>
        <w:t>Accionante:</w:t>
      </w:r>
      <w:r w:rsidRPr="00280E67">
        <w:rPr>
          <w:b/>
          <w:sz w:val="24"/>
          <w:szCs w:val="24"/>
          <w:lang w:val="es-ES" w:eastAsia="en-US"/>
        </w:rPr>
        <w:tab/>
      </w:r>
      <w:bookmarkStart w:id="2" w:name="_Hlk39513731"/>
      <w:r w:rsidRPr="00280E67">
        <w:rPr>
          <w:bCs/>
          <w:sz w:val="24"/>
          <w:szCs w:val="24"/>
          <w:lang w:val="es-ES" w:eastAsia="en-US"/>
        </w:rPr>
        <w:t>Transportes Futuros del Valle S.A. (Transfuvalle S.A.)</w:t>
      </w:r>
    </w:p>
    <w:bookmarkEnd w:id="2"/>
    <w:p w14:paraId="40B2F612" w14:textId="1237E000" w:rsidR="00027850" w:rsidRPr="00280E67" w:rsidRDefault="00027850" w:rsidP="00027850">
      <w:pPr>
        <w:tabs>
          <w:tab w:val="left" w:pos="1985"/>
        </w:tabs>
        <w:spacing w:line="276" w:lineRule="auto"/>
        <w:ind w:left="1980" w:hanging="1980"/>
        <w:rPr>
          <w:bCs/>
          <w:sz w:val="24"/>
          <w:szCs w:val="24"/>
          <w:lang w:val="es-ES" w:eastAsia="en-US"/>
        </w:rPr>
      </w:pPr>
      <w:r w:rsidRPr="00280E67">
        <w:rPr>
          <w:b/>
          <w:sz w:val="24"/>
          <w:szCs w:val="24"/>
          <w:lang w:val="es-ES" w:eastAsia="en-US"/>
        </w:rPr>
        <w:t>Accionados:</w:t>
      </w:r>
      <w:r w:rsidRPr="00280E67">
        <w:rPr>
          <w:b/>
          <w:sz w:val="24"/>
          <w:szCs w:val="24"/>
          <w:lang w:val="es-ES" w:eastAsia="en-US"/>
        </w:rPr>
        <w:tab/>
      </w:r>
      <w:bookmarkStart w:id="3" w:name="_Hlk55288909"/>
      <w:r w:rsidRPr="00280E67">
        <w:rPr>
          <w:bCs/>
          <w:sz w:val="24"/>
          <w:szCs w:val="24"/>
          <w:lang w:val="es-ES" w:eastAsia="en-US"/>
        </w:rPr>
        <w:t>Tribunal de Arbitramento integrado por los árbitros: Mónica Fernanda Rúgeles Martínez, Antonio Pabón Sa</w:t>
      </w:r>
      <w:r w:rsidR="000778B0" w:rsidRPr="00280E67">
        <w:rPr>
          <w:bCs/>
          <w:sz w:val="24"/>
          <w:szCs w:val="24"/>
          <w:lang w:val="es-ES" w:eastAsia="en-US"/>
        </w:rPr>
        <w:t>ntander y Henry Sanabria Santos,</w:t>
      </w:r>
      <w:r w:rsidRPr="00280E67">
        <w:rPr>
          <w:bCs/>
          <w:sz w:val="24"/>
          <w:szCs w:val="24"/>
          <w:lang w:val="es-ES" w:eastAsia="en-US"/>
        </w:rPr>
        <w:t xml:space="preserve"> y la Sala Civil </w:t>
      </w:r>
      <w:r w:rsidR="00B07964">
        <w:rPr>
          <w:bCs/>
          <w:sz w:val="24"/>
          <w:szCs w:val="24"/>
          <w:lang w:val="es-ES" w:eastAsia="en-US"/>
        </w:rPr>
        <w:t>d</w:t>
      </w:r>
      <w:r w:rsidR="00B07964" w:rsidRPr="00280E67">
        <w:rPr>
          <w:bCs/>
          <w:sz w:val="24"/>
          <w:szCs w:val="24"/>
          <w:lang w:val="es-ES" w:eastAsia="en-US"/>
        </w:rPr>
        <w:t>el Tribunal Superior del Distrito Judicial de Cali.</w:t>
      </w:r>
    </w:p>
    <w:bookmarkEnd w:id="3"/>
    <w:p w14:paraId="2C96E390" w14:textId="77777777" w:rsidR="00027850" w:rsidRPr="00280E67" w:rsidRDefault="00027850" w:rsidP="00027850">
      <w:pPr>
        <w:tabs>
          <w:tab w:val="left" w:pos="8222"/>
        </w:tabs>
        <w:spacing w:line="276" w:lineRule="auto"/>
        <w:ind w:right="51"/>
        <w:contextualSpacing/>
        <w:rPr>
          <w:b/>
          <w:sz w:val="24"/>
          <w:szCs w:val="24"/>
          <w:lang w:val="es-ES"/>
        </w:rPr>
      </w:pPr>
    </w:p>
    <w:p w14:paraId="33A4C8AE" w14:textId="77777777" w:rsidR="00027850" w:rsidRPr="00280E67" w:rsidRDefault="00027850" w:rsidP="00027850">
      <w:pPr>
        <w:pBdr>
          <w:bottom w:val="single" w:sz="12" w:space="0" w:color="auto"/>
        </w:pBdr>
        <w:spacing w:line="276" w:lineRule="auto"/>
        <w:ind w:left="2832" w:hanging="2832"/>
        <w:contextualSpacing/>
        <w:rPr>
          <w:b/>
          <w:sz w:val="24"/>
          <w:szCs w:val="24"/>
        </w:rPr>
      </w:pPr>
      <w:r w:rsidRPr="00280E67">
        <w:rPr>
          <w:b/>
          <w:sz w:val="24"/>
          <w:szCs w:val="24"/>
        </w:rPr>
        <w:t>SENTENCIA DE PRIMERA INSTANCIA</w:t>
      </w:r>
    </w:p>
    <w:p w14:paraId="53B38BFC" w14:textId="77777777" w:rsidR="00027850" w:rsidRPr="00280E67" w:rsidRDefault="00027850" w:rsidP="00027850">
      <w:pPr>
        <w:spacing w:line="276" w:lineRule="auto"/>
        <w:contextualSpacing/>
        <w:rPr>
          <w:b/>
          <w:sz w:val="24"/>
          <w:szCs w:val="24"/>
        </w:rPr>
      </w:pPr>
    </w:p>
    <w:p w14:paraId="2A0E150B" w14:textId="1B4F3839" w:rsidR="00027850" w:rsidRPr="00280E67" w:rsidRDefault="00027850" w:rsidP="00027850">
      <w:pPr>
        <w:spacing w:line="276" w:lineRule="auto"/>
        <w:rPr>
          <w:bCs/>
          <w:sz w:val="24"/>
          <w:szCs w:val="24"/>
          <w:lang w:val="es-ES" w:eastAsia="en-US"/>
        </w:rPr>
      </w:pPr>
      <w:r w:rsidRPr="00280E67">
        <w:rPr>
          <w:rFonts w:eastAsia="Verdana"/>
          <w:sz w:val="24"/>
          <w:szCs w:val="24"/>
        </w:rPr>
        <w:t xml:space="preserve">La Sala decide la acción de tutela presentada por </w:t>
      </w:r>
      <w:r w:rsidRPr="00280E67">
        <w:rPr>
          <w:bCs/>
          <w:sz w:val="24"/>
          <w:szCs w:val="24"/>
          <w:lang w:val="es-ES" w:eastAsia="en-US"/>
        </w:rPr>
        <w:t xml:space="preserve">Transportes Futuros del Valle S.A. </w:t>
      </w:r>
      <w:r w:rsidRPr="00280E67">
        <w:rPr>
          <w:bCs/>
          <w:sz w:val="24"/>
          <w:szCs w:val="24"/>
        </w:rPr>
        <w:t xml:space="preserve">en contra </w:t>
      </w:r>
      <w:r w:rsidRPr="00280E67">
        <w:rPr>
          <w:bCs/>
          <w:sz w:val="24"/>
          <w:szCs w:val="24"/>
          <w:lang w:val="es-ES"/>
        </w:rPr>
        <w:t xml:space="preserve">del </w:t>
      </w:r>
      <w:r w:rsidRPr="00280E67">
        <w:rPr>
          <w:bCs/>
          <w:sz w:val="24"/>
          <w:szCs w:val="24"/>
          <w:lang w:val="es-ES" w:eastAsia="en-US"/>
        </w:rPr>
        <w:t>Tribunal de Arbitramento integrado por los árbitros: Mónica Fernanda Rúgeles Martínez, Antonio Pabón San</w:t>
      </w:r>
      <w:r w:rsidR="000778B0" w:rsidRPr="00280E67">
        <w:rPr>
          <w:bCs/>
          <w:sz w:val="24"/>
          <w:szCs w:val="24"/>
          <w:lang w:val="es-ES" w:eastAsia="en-US"/>
        </w:rPr>
        <w:t xml:space="preserve">tander y Henry Sanabria Santos, </w:t>
      </w:r>
      <w:r w:rsidRPr="00280E67">
        <w:rPr>
          <w:bCs/>
          <w:sz w:val="24"/>
          <w:szCs w:val="24"/>
          <w:lang w:val="es-ES" w:eastAsia="en-US"/>
        </w:rPr>
        <w:t>y de la Sala Civil del Tribunal Superior del Distrito Judicial de Cali.</w:t>
      </w:r>
    </w:p>
    <w:p w14:paraId="794A204F" w14:textId="77777777" w:rsidR="00027850" w:rsidRPr="00280E67" w:rsidRDefault="00027850" w:rsidP="00027850">
      <w:pPr>
        <w:spacing w:line="276" w:lineRule="auto"/>
        <w:rPr>
          <w:rFonts w:eastAsia="Verdana"/>
          <w:sz w:val="24"/>
          <w:szCs w:val="24"/>
          <w:lang w:val="es-ES"/>
        </w:rPr>
      </w:pPr>
    </w:p>
    <w:p w14:paraId="2BC66452" w14:textId="77777777" w:rsidR="00027850" w:rsidRPr="00280E67" w:rsidRDefault="00027850" w:rsidP="00027850">
      <w:pPr>
        <w:keepNext/>
        <w:numPr>
          <w:ilvl w:val="0"/>
          <w:numId w:val="5"/>
        </w:numPr>
        <w:spacing w:line="276" w:lineRule="auto"/>
        <w:ind w:left="714" w:hanging="357"/>
        <w:jc w:val="center"/>
        <w:outlineLvl w:val="0"/>
        <w:rPr>
          <w:rFonts w:eastAsia="Times New Roman"/>
          <w:b/>
          <w:bCs/>
          <w:caps/>
          <w:kern w:val="32"/>
          <w:sz w:val="24"/>
          <w:szCs w:val="32"/>
        </w:rPr>
      </w:pPr>
      <w:r w:rsidRPr="00280E67">
        <w:rPr>
          <w:rFonts w:eastAsia="Times New Roman"/>
          <w:b/>
          <w:bCs/>
          <w:caps/>
          <w:kern w:val="32"/>
          <w:sz w:val="24"/>
          <w:szCs w:val="32"/>
        </w:rPr>
        <w:t>ANTECEDENTES</w:t>
      </w:r>
    </w:p>
    <w:p w14:paraId="75036DBC" w14:textId="77777777" w:rsidR="00027850" w:rsidRPr="00280E67" w:rsidRDefault="00027850" w:rsidP="00027850">
      <w:pPr>
        <w:spacing w:line="276" w:lineRule="auto"/>
        <w:rPr>
          <w:sz w:val="24"/>
        </w:rPr>
      </w:pPr>
    </w:p>
    <w:p w14:paraId="1F95BE3C" w14:textId="77777777" w:rsidR="00027850" w:rsidRPr="00280E67" w:rsidRDefault="00027850" w:rsidP="00027850">
      <w:pPr>
        <w:keepNext/>
        <w:numPr>
          <w:ilvl w:val="0"/>
          <w:numId w:val="6"/>
        </w:numPr>
        <w:spacing w:line="276" w:lineRule="auto"/>
        <w:ind w:left="360"/>
        <w:jc w:val="left"/>
        <w:outlineLvl w:val="1"/>
        <w:rPr>
          <w:rFonts w:eastAsia="Times New Roman"/>
          <w:b/>
          <w:bCs/>
          <w:iCs/>
          <w:sz w:val="24"/>
          <w:szCs w:val="28"/>
          <w:lang w:eastAsia="es-ES"/>
        </w:rPr>
      </w:pPr>
      <w:r w:rsidRPr="00280E67">
        <w:rPr>
          <w:rFonts w:eastAsia="Times New Roman"/>
          <w:b/>
          <w:bCs/>
          <w:iCs/>
          <w:sz w:val="24"/>
          <w:szCs w:val="28"/>
          <w:lang w:eastAsia="es-ES"/>
        </w:rPr>
        <w:t>Solicitud de tutela</w:t>
      </w:r>
    </w:p>
    <w:p w14:paraId="4EAFBDDE" w14:textId="77777777" w:rsidR="00027850" w:rsidRPr="00280E67" w:rsidRDefault="00027850" w:rsidP="00027850">
      <w:pPr>
        <w:spacing w:line="276" w:lineRule="auto"/>
        <w:contextualSpacing/>
        <w:rPr>
          <w:bCs/>
          <w:sz w:val="24"/>
          <w:szCs w:val="24"/>
        </w:rPr>
      </w:pPr>
    </w:p>
    <w:p w14:paraId="4713BEB9" w14:textId="53E0E4B4" w:rsidR="00027850" w:rsidRPr="00280E67" w:rsidRDefault="00027850" w:rsidP="00027850">
      <w:pPr>
        <w:tabs>
          <w:tab w:val="left" w:pos="1985"/>
        </w:tabs>
        <w:spacing w:line="276" w:lineRule="auto"/>
        <w:rPr>
          <w:bCs/>
          <w:sz w:val="24"/>
          <w:szCs w:val="24"/>
          <w:lang w:val="es-ES" w:eastAsia="en-US"/>
        </w:rPr>
      </w:pPr>
      <w:r w:rsidRPr="00280E67">
        <w:rPr>
          <w:bCs/>
          <w:sz w:val="24"/>
          <w:szCs w:val="24"/>
          <w:lang w:val="es-ES" w:eastAsia="en-US"/>
        </w:rPr>
        <w:t>Transportes Futuros del Valle S.</w:t>
      </w:r>
      <w:r w:rsidR="00366EC1" w:rsidRPr="00280E67">
        <w:rPr>
          <w:bCs/>
          <w:sz w:val="24"/>
          <w:szCs w:val="24"/>
          <w:lang w:val="es-ES" w:eastAsia="en-US"/>
        </w:rPr>
        <w:t>A. (en adelante, Transfuvalle)</w:t>
      </w:r>
      <w:r w:rsidRPr="00280E67">
        <w:rPr>
          <w:bCs/>
          <w:sz w:val="24"/>
          <w:szCs w:val="24"/>
          <w:lang w:val="es-ES"/>
        </w:rPr>
        <w:t xml:space="preserve">, por medio de </w:t>
      </w:r>
      <w:r w:rsidR="00366EC1" w:rsidRPr="00280E67">
        <w:rPr>
          <w:bCs/>
          <w:sz w:val="24"/>
          <w:szCs w:val="24"/>
          <w:lang w:val="es-ES"/>
        </w:rPr>
        <w:t>su representante legal</w:t>
      </w:r>
      <w:r w:rsidRPr="00280E67">
        <w:rPr>
          <w:bCs/>
          <w:sz w:val="24"/>
          <w:szCs w:val="24"/>
          <w:lang w:val="es-ES"/>
        </w:rPr>
        <w:t xml:space="preserve">, </w:t>
      </w:r>
      <w:r w:rsidR="00366EC1" w:rsidRPr="00280E67">
        <w:rPr>
          <w:bCs/>
          <w:sz w:val="24"/>
          <w:szCs w:val="24"/>
          <w:lang w:val="es-ES"/>
        </w:rPr>
        <w:t xml:space="preserve">presentó </w:t>
      </w:r>
      <w:r w:rsidRPr="00280E67">
        <w:rPr>
          <w:bCs/>
          <w:sz w:val="24"/>
          <w:szCs w:val="24"/>
          <w:lang w:val="es-ES"/>
        </w:rPr>
        <w:t xml:space="preserve">acción de tutela, </w:t>
      </w:r>
      <w:r w:rsidRPr="00280E67">
        <w:rPr>
          <w:bCs/>
          <w:sz w:val="24"/>
          <w:szCs w:val="24"/>
          <w:lang w:val="es-ES" w:eastAsia="en-US"/>
        </w:rPr>
        <w:t>el 16 de diciembre de 2020</w:t>
      </w:r>
      <w:r w:rsidRPr="00280E67">
        <w:rPr>
          <w:bCs/>
          <w:sz w:val="24"/>
          <w:szCs w:val="24"/>
          <w:vertAlign w:val="superscript"/>
          <w:lang w:val="es-ES" w:eastAsia="en-US"/>
        </w:rPr>
        <w:footnoteReference w:id="1"/>
      </w:r>
      <w:r w:rsidRPr="00280E67">
        <w:rPr>
          <w:bCs/>
          <w:sz w:val="24"/>
          <w:szCs w:val="24"/>
          <w:lang w:val="es-ES" w:eastAsia="en-US"/>
        </w:rPr>
        <w:t>,</w:t>
      </w:r>
      <w:r w:rsidRPr="00280E67">
        <w:rPr>
          <w:bCs/>
          <w:sz w:val="24"/>
          <w:szCs w:val="24"/>
          <w:lang w:val="es-ES"/>
        </w:rPr>
        <w:t xml:space="preserve"> </w:t>
      </w:r>
      <w:r w:rsidR="000778B0" w:rsidRPr="00280E67">
        <w:rPr>
          <w:bCs/>
          <w:sz w:val="24"/>
          <w:szCs w:val="24"/>
          <w:lang w:val="es-ES"/>
        </w:rPr>
        <w:t>co</w:t>
      </w:r>
      <w:r w:rsidR="00F1215B" w:rsidRPr="00280E67">
        <w:rPr>
          <w:bCs/>
          <w:sz w:val="24"/>
          <w:szCs w:val="24"/>
          <w:lang w:val="es-ES"/>
        </w:rPr>
        <w:t>n la pretensión de que se amparara</w:t>
      </w:r>
      <w:r w:rsidR="000778B0" w:rsidRPr="00280E67">
        <w:rPr>
          <w:bCs/>
          <w:sz w:val="24"/>
          <w:szCs w:val="24"/>
          <w:lang w:val="es-ES"/>
        </w:rPr>
        <w:t>n</w:t>
      </w:r>
      <w:r w:rsidRPr="00280E67">
        <w:rPr>
          <w:bCs/>
          <w:sz w:val="24"/>
          <w:szCs w:val="24"/>
          <w:lang w:val="es-ES"/>
        </w:rPr>
        <w:t xml:space="preserve"> sus derechos </w:t>
      </w:r>
      <w:r w:rsidRPr="00280E67">
        <w:rPr>
          <w:bCs/>
          <w:sz w:val="24"/>
          <w:szCs w:val="24"/>
          <w:lang w:val="es-ES" w:eastAsia="en-US"/>
        </w:rPr>
        <w:t xml:space="preserve">fundamentales al debido proceso y al acceso a la administración de justicia. La sociedad accionante consideró vulneradas las anteriores garantías con ocasión de las siguientes decisiones judiciales: </w:t>
      </w:r>
    </w:p>
    <w:p w14:paraId="5B888736" w14:textId="77777777" w:rsidR="00027850" w:rsidRPr="00280E67" w:rsidRDefault="00027850" w:rsidP="00027850">
      <w:pPr>
        <w:tabs>
          <w:tab w:val="left" w:pos="1985"/>
        </w:tabs>
        <w:spacing w:line="276" w:lineRule="auto"/>
        <w:rPr>
          <w:bCs/>
          <w:sz w:val="24"/>
          <w:szCs w:val="24"/>
          <w:lang w:val="es-ES" w:eastAsia="en-US"/>
        </w:rPr>
      </w:pPr>
    </w:p>
    <w:p w14:paraId="1FB811D0" w14:textId="0085AF56" w:rsidR="00027850" w:rsidRPr="00280E67" w:rsidRDefault="00027850" w:rsidP="001E115B">
      <w:pPr>
        <w:pStyle w:val="Prrafodelista"/>
        <w:numPr>
          <w:ilvl w:val="0"/>
          <w:numId w:val="36"/>
        </w:numPr>
        <w:tabs>
          <w:tab w:val="left" w:pos="1985"/>
        </w:tabs>
        <w:spacing w:line="276" w:lineRule="auto"/>
        <w:jc w:val="both"/>
        <w:rPr>
          <w:rFonts w:ascii="Arial" w:hAnsi="Arial" w:cs="Arial"/>
          <w:bCs/>
          <w:lang w:val="es-ES"/>
        </w:rPr>
      </w:pPr>
      <w:r w:rsidRPr="00280E67">
        <w:rPr>
          <w:rFonts w:ascii="Arial" w:hAnsi="Arial" w:cs="Arial"/>
          <w:bCs/>
          <w:lang w:val="es-ES" w:eastAsia="en-US"/>
        </w:rPr>
        <w:t>laudo arbitral del 28 de noviembre de 2019, proferido por el Tribunal de Arbitramento integrado por los árbitros: Mónica Fernanda Rúgeles Martínez, Antonio Pabón Santa</w:t>
      </w:r>
      <w:r w:rsidR="000778B0" w:rsidRPr="00280E67">
        <w:rPr>
          <w:rFonts w:ascii="Arial" w:hAnsi="Arial" w:cs="Arial"/>
          <w:bCs/>
          <w:lang w:val="es-ES" w:eastAsia="en-US"/>
        </w:rPr>
        <w:t>nder y Henry Sanabria Santos</w:t>
      </w:r>
      <w:r w:rsidRPr="00280E67">
        <w:rPr>
          <w:rFonts w:ascii="Arial" w:hAnsi="Arial" w:cs="Arial"/>
          <w:bCs/>
          <w:lang w:val="es-ES" w:eastAsia="en-US"/>
        </w:rPr>
        <w:t>, que resolvió la controversia suscitada entre Transfuvalle y Sistema Operativos Móviles Somos K S.A.</w:t>
      </w:r>
    </w:p>
    <w:p w14:paraId="73902151" w14:textId="2B028E4D" w:rsidR="00027850" w:rsidRPr="00280E67" w:rsidRDefault="00F1215B" w:rsidP="001E115B">
      <w:pPr>
        <w:pStyle w:val="Prrafodelista"/>
        <w:numPr>
          <w:ilvl w:val="0"/>
          <w:numId w:val="36"/>
        </w:numPr>
        <w:tabs>
          <w:tab w:val="left" w:pos="1985"/>
        </w:tabs>
        <w:spacing w:line="276" w:lineRule="auto"/>
        <w:jc w:val="both"/>
        <w:rPr>
          <w:rFonts w:ascii="Arial" w:hAnsi="Arial" w:cs="Arial"/>
          <w:bCs/>
          <w:lang w:val="es-ES"/>
        </w:rPr>
      </w:pPr>
      <w:r w:rsidRPr="00280E67">
        <w:rPr>
          <w:rFonts w:ascii="Arial" w:hAnsi="Arial" w:cs="Arial"/>
          <w:bCs/>
          <w:lang w:val="es-ES" w:eastAsia="en-US"/>
        </w:rPr>
        <w:t>p</w:t>
      </w:r>
      <w:r w:rsidR="00027850" w:rsidRPr="00280E67">
        <w:rPr>
          <w:rFonts w:ascii="Arial" w:hAnsi="Arial" w:cs="Arial"/>
          <w:bCs/>
          <w:lang w:val="es-ES" w:eastAsia="en-US"/>
        </w:rPr>
        <w:t xml:space="preserve">rovidencia del 27 de julio de 2020 dictada por la Sala Civil del Tribunal Superior del Distrito Judicial de Cali, que declaró infundado el recurso de anulación interpuesto por </w:t>
      </w:r>
      <w:r w:rsidRPr="00280E67">
        <w:rPr>
          <w:rFonts w:ascii="Arial" w:hAnsi="Arial" w:cs="Arial"/>
          <w:bCs/>
          <w:lang w:val="es-ES" w:eastAsia="en-US"/>
        </w:rPr>
        <w:t xml:space="preserve">Transfuvalle </w:t>
      </w:r>
      <w:r w:rsidR="00027850" w:rsidRPr="00280E67">
        <w:rPr>
          <w:rFonts w:ascii="Arial" w:hAnsi="Arial" w:cs="Arial"/>
          <w:bCs/>
          <w:lang w:val="es-ES" w:eastAsia="en-US"/>
        </w:rPr>
        <w:t xml:space="preserve">en contra del anterior laudo arbitral, en el proceso </w:t>
      </w:r>
      <w:r w:rsidR="00027850" w:rsidRPr="00280E67">
        <w:rPr>
          <w:rFonts w:ascii="Arial" w:hAnsi="Arial" w:cs="Arial"/>
          <w:bCs/>
          <w:lang w:eastAsia="en-US"/>
        </w:rPr>
        <w:t>con número de radicado 76001-91-11-000-2020-00001-00-3857</w:t>
      </w:r>
      <w:r w:rsidR="00027850" w:rsidRPr="00280E67">
        <w:rPr>
          <w:rFonts w:ascii="Arial" w:hAnsi="Arial" w:cs="Arial"/>
          <w:bCs/>
          <w:lang w:val="es-ES" w:eastAsia="en-US"/>
        </w:rPr>
        <w:t>.</w:t>
      </w:r>
    </w:p>
    <w:p w14:paraId="7B5B0893" w14:textId="77777777" w:rsidR="00027850" w:rsidRPr="00280E67" w:rsidRDefault="00027850" w:rsidP="00027850">
      <w:pPr>
        <w:tabs>
          <w:tab w:val="left" w:pos="1985"/>
        </w:tabs>
        <w:spacing w:line="276" w:lineRule="auto"/>
        <w:rPr>
          <w:bCs/>
          <w:sz w:val="24"/>
          <w:szCs w:val="24"/>
          <w:lang w:val="es-ES"/>
        </w:rPr>
      </w:pPr>
    </w:p>
    <w:p w14:paraId="6E64DBD2" w14:textId="087D30EF" w:rsidR="00027850" w:rsidRPr="00280E67" w:rsidRDefault="00027850" w:rsidP="00027850">
      <w:pPr>
        <w:tabs>
          <w:tab w:val="left" w:pos="1985"/>
        </w:tabs>
        <w:spacing w:line="276" w:lineRule="auto"/>
        <w:rPr>
          <w:bCs/>
          <w:sz w:val="24"/>
          <w:szCs w:val="24"/>
          <w:lang w:val="es-ES"/>
        </w:rPr>
      </w:pPr>
    </w:p>
    <w:p w14:paraId="45CB016A" w14:textId="77777777" w:rsidR="000778B0" w:rsidRPr="00280E67" w:rsidRDefault="000778B0" w:rsidP="00027850">
      <w:pPr>
        <w:tabs>
          <w:tab w:val="left" w:pos="1985"/>
        </w:tabs>
        <w:spacing w:line="276" w:lineRule="auto"/>
        <w:rPr>
          <w:bCs/>
          <w:sz w:val="24"/>
          <w:szCs w:val="24"/>
          <w:lang w:val="es-ES"/>
        </w:rPr>
      </w:pPr>
    </w:p>
    <w:p w14:paraId="2E520133" w14:textId="77777777" w:rsidR="00027850" w:rsidRPr="00280E67" w:rsidRDefault="00027850" w:rsidP="00027850">
      <w:pPr>
        <w:keepNext/>
        <w:numPr>
          <w:ilvl w:val="0"/>
          <w:numId w:val="6"/>
        </w:numPr>
        <w:spacing w:line="276" w:lineRule="auto"/>
        <w:ind w:left="360"/>
        <w:jc w:val="left"/>
        <w:outlineLvl w:val="1"/>
        <w:rPr>
          <w:rFonts w:eastAsia="Times New Roman" w:cs="Times New Roman"/>
          <w:b/>
          <w:bCs/>
          <w:iCs/>
          <w:sz w:val="24"/>
          <w:szCs w:val="28"/>
          <w:lang w:val="es-ES" w:eastAsia="es-ES"/>
        </w:rPr>
      </w:pPr>
      <w:r w:rsidRPr="00280E67">
        <w:rPr>
          <w:rFonts w:eastAsia="Times New Roman" w:cs="Times New Roman"/>
          <w:b/>
          <w:bCs/>
          <w:iCs/>
          <w:sz w:val="24"/>
          <w:szCs w:val="28"/>
          <w:lang w:val="es-ES" w:eastAsia="es-ES"/>
        </w:rPr>
        <w:lastRenderedPageBreak/>
        <w:t xml:space="preserve">Hechos </w:t>
      </w:r>
    </w:p>
    <w:p w14:paraId="1B04C963" w14:textId="77777777" w:rsidR="00027850" w:rsidRPr="00280E67" w:rsidRDefault="00027850" w:rsidP="00027850">
      <w:pPr>
        <w:spacing w:line="276" w:lineRule="auto"/>
        <w:rPr>
          <w:sz w:val="24"/>
          <w:lang w:val="es-ES" w:eastAsia="es-ES"/>
        </w:rPr>
      </w:pPr>
    </w:p>
    <w:p w14:paraId="25BDB913" w14:textId="3D7E15F9" w:rsidR="00F1215B" w:rsidRPr="00280E67" w:rsidRDefault="00027850" w:rsidP="003C2DB0">
      <w:pPr>
        <w:spacing w:line="276" w:lineRule="auto"/>
        <w:rPr>
          <w:sz w:val="24"/>
          <w:szCs w:val="24"/>
          <w:lang w:val="es-ES" w:eastAsia="es-ES"/>
        </w:rPr>
      </w:pPr>
      <w:r w:rsidRPr="00280E67">
        <w:rPr>
          <w:b/>
          <w:sz w:val="24"/>
          <w:lang w:val="es-ES" w:eastAsia="es-ES"/>
        </w:rPr>
        <w:t>2</w:t>
      </w:r>
      <w:r w:rsidRPr="00280E67">
        <w:rPr>
          <w:b/>
          <w:sz w:val="24"/>
          <w:szCs w:val="24"/>
          <w:lang w:val="es-ES" w:eastAsia="es-ES"/>
        </w:rPr>
        <w:t xml:space="preserve">.1. </w:t>
      </w:r>
      <w:r w:rsidRPr="00280E67">
        <w:rPr>
          <w:sz w:val="24"/>
          <w:szCs w:val="24"/>
          <w:lang w:val="es-ES" w:eastAsia="es-ES"/>
        </w:rPr>
        <w:t xml:space="preserve">Sistemas Operativos Móviles SOMOS K S.A. (en adelante, Somos K), y un colectivo de </w:t>
      </w:r>
      <w:r w:rsidR="00F1215B" w:rsidRPr="00280E67">
        <w:rPr>
          <w:sz w:val="24"/>
          <w:szCs w:val="24"/>
          <w:lang w:val="es-ES" w:eastAsia="es-ES"/>
        </w:rPr>
        <w:t xml:space="preserve">personas naturales y jurídicas </w:t>
      </w:r>
      <w:r w:rsidR="00F1215B" w:rsidRPr="00280E67">
        <w:rPr>
          <w:color w:val="202124"/>
          <w:sz w:val="27"/>
          <w:szCs w:val="27"/>
          <w:shd w:val="clear" w:color="auto" w:fill="FFFFFF"/>
        </w:rPr>
        <w:t>—</w:t>
      </w:r>
      <w:r w:rsidR="00F1215B" w:rsidRPr="00280E67">
        <w:rPr>
          <w:sz w:val="24"/>
          <w:szCs w:val="24"/>
          <w:lang w:val="es-ES" w:eastAsia="es-ES"/>
        </w:rPr>
        <w:t>entre ellas Transfuvalle</w:t>
      </w:r>
      <w:r w:rsidR="00F1215B" w:rsidRPr="00280E67">
        <w:rPr>
          <w:color w:val="202124"/>
          <w:sz w:val="27"/>
          <w:szCs w:val="27"/>
          <w:shd w:val="clear" w:color="auto" w:fill="FFFFFF"/>
        </w:rPr>
        <w:t>—</w:t>
      </w:r>
      <w:r w:rsidRPr="00280E67">
        <w:rPr>
          <w:sz w:val="24"/>
          <w:szCs w:val="24"/>
          <w:lang w:val="es-ES" w:eastAsia="es-ES"/>
        </w:rPr>
        <w:t>, que eran accionistas de la sociedad Grupo Integrado de Transporte Masivo S.A.</w:t>
      </w:r>
      <w:r w:rsidR="00F1215B" w:rsidRPr="00280E67">
        <w:rPr>
          <w:sz w:val="24"/>
          <w:szCs w:val="24"/>
          <w:lang w:val="es-ES" w:eastAsia="es-ES"/>
        </w:rPr>
        <w:t xml:space="preserve"> (en adelante, GIT Masivo)</w:t>
      </w:r>
      <w:r w:rsidRPr="00280E67">
        <w:rPr>
          <w:sz w:val="24"/>
          <w:szCs w:val="24"/>
          <w:lang w:val="es-ES" w:eastAsia="es-ES"/>
        </w:rPr>
        <w:t>, suscribieron un Acuerdo de Accionistas el 2 de diciembre de 2014</w:t>
      </w:r>
      <w:r w:rsidRPr="00280E67">
        <w:rPr>
          <w:sz w:val="24"/>
          <w:szCs w:val="24"/>
          <w:vertAlign w:val="superscript"/>
          <w:lang w:val="es-ES" w:eastAsia="es-ES"/>
        </w:rPr>
        <w:footnoteReference w:id="2"/>
      </w:r>
      <w:r w:rsidRPr="00280E67">
        <w:rPr>
          <w:sz w:val="24"/>
          <w:szCs w:val="24"/>
          <w:lang w:val="es-ES" w:eastAsia="es-ES"/>
        </w:rPr>
        <w:t xml:space="preserve">. </w:t>
      </w:r>
    </w:p>
    <w:p w14:paraId="161A2DC3" w14:textId="77777777" w:rsidR="00F1215B" w:rsidRPr="00280E67" w:rsidRDefault="00F1215B" w:rsidP="003C2DB0">
      <w:pPr>
        <w:spacing w:line="276" w:lineRule="auto"/>
        <w:rPr>
          <w:sz w:val="24"/>
          <w:szCs w:val="24"/>
          <w:lang w:val="es-ES" w:eastAsia="es-ES"/>
        </w:rPr>
      </w:pPr>
    </w:p>
    <w:p w14:paraId="19B7D434" w14:textId="7401F753" w:rsidR="00DC2A7A" w:rsidRPr="00280E67" w:rsidRDefault="00027850" w:rsidP="003C2DB0">
      <w:pPr>
        <w:spacing w:line="276" w:lineRule="auto"/>
        <w:rPr>
          <w:sz w:val="24"/>
          <w:szCs w:val="24"/>
          <w:lang w:val="es-ES" w:eastAsia="es-ES"/>
        </w:rPr>
      </w:pPr>
      <w:r w:rsidRPr="00280E67">
        <w:rPr>
          <w:sz w:val="24"/>
          <w:szCs w:val="24"/>
          <w:lang w:val="es-ES" w:eastAsia="es-ES"/>
        </w:rPr>
        <w:t xml:space="preserve">El </w:t>
      </w:r>
      <w:r w:rsidR="00A369E1" w:rsidRPr="00280E67">
        <w:rPr>
          <w:sz w:val="24"/>
          <w:szCs w:val="24"/>
          <w:lang w:val="es-ES" w:eastAsia="es-ES"/>
        </w:rPr>
        <w:t xml:space="preserve">Acuerdo de Accionistas </w:t>
      </w:r>
      <w:r w:rsidRPr="00280E67">
        <w:rPr>
          <w:sz w:val="24"/>
          <w:szCs w:val="24"/>
          <w:lang w:val="es-ES" w:eastAsia="es-ES"/>
        </w:rPr>
        <w:t xml:space="preserve">tenía como objeto </w:t>
      </w:r>
      <w:r w:rsidR="007038A9" w:rsidRPr="00280E67">
        <w:rPr>
          <w:sz w:val="24"/>
          <w:szCs w:val="24"/>
          <w:lang w:val="es-ES" w:eastAsia="es-ES"/>
        </w:rPr>
        <w:t>el ingreso d</w:t>
      </w:r>
      <w:r w:rsidRPr="00280E67">
        <w:rPr>
          <w:sz w:val="24"/>
          <w:szCs w:val="24"/>
          <w:lang w:val="es-ES" w:eastAsia="es-ES"/>
        </w:rPr>
        <w:t>e Somos K como accionista a GIT Masivo</w:t>
      </w:r>
      <w:r w:rsidR="00F1215B" w:rsidRPr="00280E67">
        <w:rPr>
          <w:sz w:val="24"/>
          <w:szCs w:val="24"/>
          <w:lang w:val="es-ES" w:eastAsia="es-ES"/>
        </w:rPr>
        <w:t>,</w:t>
      </w:r>
      <w:r w:rsidRPr="00280E67">
        <w:rPr>
          <w:sz w:val="24"/>
          <w:szCs w:val="24"/>
          <w:lang w:val="es-ES" w:eastAsia="es-ES"/>
        </w:rPr>
        <w:t xml:space="preserve"> </w:t>
      </w:r>
      <w:r w:rsidR="00D25AE1" w:rsidRPr="00280E67">
        <w:rPr>
          <w:sz w:val="24"/>
          <w:szCs w:val="24"/>
          <w:lang w:val="es-ES" w:eastAsia="es-ES"/>
        </w:rPr>
        <w:t xml:space="preserve">y la </w:t>
      </w:r>
      <w:r w:rsidR="007038A9" w:rsidRPr="00280E67">
        <w:rPr>
          <w:sz w:val="24"/>
          <w:szCs w:val="24"/>
          <w:lang w:val="es-ES" w:eastAsia="es-ES"/>
        </w:rPr>
        <w:t>capitalización de GIT Masivo por parte de aquella.</w:t>
      </w:r>
      <w:r w:rsidRPr="00280E67">
        <w:rPr>
          <w:sz w:val="24"/>
          <w:szCs w:val="24"/>
          <w:lang w:val="es-ES" w:eastAsia="es-ES"/>
        </w:rPr>
        <w:t xml:space="preserve"> </w:t>
      </w:r>
      <w:r w:rsidR="00CF5938" w:rsidRPr="00280E67">
        <w:rPr>
          <w:sz w:val="24"/>
          <w:szCs w:val="24"/>
          <w:lang w:val="es-ES" w:eastAsia="es-ES"/>
        </w:rPr>
        <w:t>La cláusula sexta del acuerdo de accionistas denominada “Adquisición, Pago y Registro de Acciones” fijó el precio</w:t>
      </w:r>
      <w:r w:rsidR="00A369E1" w:rsidRPr="00280E67">
        <w:rPr>
          <w:sz w:val="24"/>
          <w:szCs w:val="24"/>
          <w:lang w:val="es-ES" w:eastAsia="es-ES"/>
        </w:rPr>
        <w:t xml:space="preserve"> y la forma del pago de la capitalización</w:t>
      </w:r>
      <w:r w:rsidR="00CF5938" w:rsidRPr="00280E67">
        <w:rPr>
          <w:sz w:val="24"/>
          <w:szCs w:val="24"/>
          <w:lang w:val="es-ES" w:eastAsia="es-ES"/>
        </w:rPr>
        <w:t xml:space="preserve">, el plazo para </w:t>
      </w:r>
      <w:r w:rsidR="00A369E1" w:rsidRPr="00280E67">
        <w:rPr>
          <w:sz w:val="24"/>
          <w:szCs w:val="24"/>
          <w:lang w:val="es-ES" w:eastAsia="es-ES"/>
        </w:rPr>
        <w:t xml:space="preserve">la cancelación de las acciones en circulación </w:t>
      </w:r>
      <w:r w:rsidR="00CF5938" w:rsidRPr="00280E67">
        <w:rPr>
          <w:sz w:val="24"/>
          <w:szCs w:val="24"/>
          <w:lang w:val="es-ES" w:eastAsia="es-ES"/>
        </w:rPr>
        <w:t xml:space="preserve">y la destinación de los aportes. La </w:t>
      </w:r>
      <w:r w:rsidR="00771FE5" w:rsidRPr="00280E67">
        <w:rPr>
          <w:sz w:val="24"/>
          <w:szCs w:val="24"/>
          <w:lang w:val="es-ES" w:eastAsia="es-ES"/>
        </w:rPr>
        <w:t>cláusula</w:t>
      </w:r>
      <w:r w:rsidR="00CF5938" w:rsidRPr="00280E67">
        <w:rPr>
          <w:sz w:val="24"/>
          <w:szCs w:val="24"/>
          <w:lang w:val="es-ES" w:eastAsia="es-ES"/>
        </w:rPr>
        <w:t xml:space="preserve"> trece, por su parte, reguló la</w:t>
      </w:r>
      <w:r w:rsidR="00D83E55" w:rsidRPr="00280E67">
        <w:rPr>
          <w:sz w:val="24"/>
          <w:szCs w:val="24"/>
          <w:lang w:val="es-ES" w:eastAsia="es-ES"/>
        </w:rPr>
        <w:t>s condiciones para la</w:t>
      </w:r>
      <w:r w:rsidR="00CF5938" w:rsidRPr="00280E67">
        <w:rPr>
          <w:sz w:val="24"/>
          <w:szCs w:val="24"/>
          <w:lang w:val="es-ES" w:eastAsia="es-ES"/>
        </w:rPr>
        <w:t xml:space="preserve"> prestación de</w:t>
      </w:r>
      <w:r w:rsidR="00D83E55" w:rsidRPr="00280E67">
        <w:rPr>
          <w:sz w:val="24"/>
          <w:szCs w:val="24"/>
          <w:lang w:val="es-ES" w:eastAsia="es-ES"/>
        </w:rPr>
        <w:t xml:space="preserve"> servicios complementarios</w:t>
      </w:r>
      <w:r w:rsidR="00DD082C" w:rsidRPr="00280E67">
        <w:rPr>
          <w:sz w:val="24"/>
          <w:szCs w:val="24"/>
          <w:lang w:val="es-ES" w:eastAsia="es-ES"/>
        </w:rPr>
        <w:t xml:space="preserve"> que </w:t>
      </w:r>
      <w:r w:rsidR="00EA1A9C" w:rsidRPr="00280E67">
        <w:rPr>
          <w:sz w:val="24"/>
          <w:szCs w:val="24"/>
          <w:lang w:val="es-ES" w:eastAsia="es-ES"/>
        </w:rPr>
        <w:t>quisiera</w:t>
      </w:r>
      <w:r w:rsidR="00DD082C" w:rsidRPr="00280E67">
        <w:rPr>
          <w:sz w:val="24"/>
          <w:szCs w:val="24"/>
          <w:lang w:val="es-ES" w:eastAsia="es-ES"/>
        </w:rPr>
        <w:t xml:space="preserve"> llevar a cabo alguno de los accionistas, entre ellas</w:t>
      </w:r>
      <w:r w:rsidR="001A08BD" w:rsidRPr="00280E67">
        <w:rPr>
          <w:sz w:val="24"/>
          <w:szCs w:val="24"/>
          <w:lang w:val="es-ES" w:eastAsia="es-ES"/>
        </w:rPr>
        <w:t>,</w:t>
      </w:r>
      <w:r w:rsidR="00DD082C" w:rsidRPr="00280E67">
        <w:rPr>
          <w:sz w:val="24"/>
          <w:szCs w:val="24"/>
          <w:lang w:val="es-ES" w:eastAsia="es-ES"/>
        </w:rPr>
        <w:t xml:space="preserve"> </w:t>
      </w:r>
      <w:r w:rsidR="001A08BD" w:rsidRPr="00280E67">
        <w:rPr>
          <w:sz w:val="24"/>
          <w:szCs w:val="24"/>
          <w:lang w:val="es-ES" w:eastAsia="es-ES"/>
        </w:rPr>
        <w:t>la presentación de la propuesta ante la junta directiva de GIT Masivo para que ella decida si quiere llevar a cabo el negocio consultado</w:t>
      </w:r>
      <w:r w:rsidR="00D83E55" w:rsidRPr="00280E67">
        <w:rPr>
          <w:sz w:val="24"/>
          <w:szCs w:val="24"/>
          <w:lang w:val="es-ES" w:eastAsia="es-ES"/>
        </w:rPr>
        <w:t>.</w:t>
      </w:r>
      <w:r w:rsidR="00CF5938" w:rsidRPr="00280E67">
        <w:rPr>
          <w:sz w:val="24"/>
          <w:szCs w:val="24"/>
          <w:lang w:val="es-ES" w:eastAsia="es-ES"/>
        </w:rPr>
        <w:t xml:space="preserve"> </w:t>
      </w:r>
    </w:p>
    <w:p w14:paraId="2DD50EB5" w14:textId="77777777" w:rsidR="00DC2A7A" w:rsidRPr="00280E67" w:rsidRDefault="00DC2A7A" w:rsidP="003C2DB0">
      <w:pPr>
        <w:spacing w:line="276" w:lineRule="auto"/>
        <w:rPr>
          <w:sz w:val="24"/>
          <w:szCs w:val="24"/>
          <w:lang w:val="es-ES" w:eastAsia="es-ES"/>
        </w:rPr>
      </w:pPr>
    </w:p>
    <w:p w14:paraId="21AE95DC" w14:textId="7F3FFCD3" w:rsidR="00027850" w:rsidRPr="00280E67" w:rsidRDefault="00027850" w:rsidP="003C2DB0">
      <w:pPr>
        <w:spacing w:line="276" w:lineRule="auto"/>
        <w:rPr>
          <w:sz w:val="24"/>
          <w:szCs w:val="24"/>
          <w:lang w:val="es-ES" w:eastAsia="es-ES"/>
        </w:rPr>
      </w:pPr>
      <w:r w:rsidRPr="00280E67">
        <w:rPr>
          <w:sz w:val="24"/>
          <w:szCs w:val="24"/>
          <w:lang w:val="es-ES" w:eastAsia="es-ES"/>
        </w:rPr>
        <w:t xml:space="preserve">En </w:t>
      </w:r>
      <w:r w:rsidR="000778B0" w:rsidRPr="00280E67">
        <w:rPr>
          <w:sz w:val="24"/>
          <w:szCs w:val="24"/>
          <w:lang w:val="es-ES" w:eastAsia="es-ES"/>
        </w:rPr>
        <w:t>la</w:t>
      </w:r>
      <w:r w:rsidRPr="00280E67">
        <w:rPr>
          <w:sz w:val="24"/>
          <w:szCs w:val="24"/>
          <w:lang w:val="es-ES" w:eastAsia="es-ES"/>
        </w:rPr>
        <w:t xml:space="preserve"> cláusula No. 17.2.</w:t>
      </w:r>
      <w:r w:rsidR="000778B0" w:rsidRPr="00280E67">
        <w:rPr>
          <w:sz w:val="24"/>
          <w:szCs w:val="24"/>
          <w:lang w:val="es-ES" w:eastAsia="es-ES"/>
        </w:rPr>
        <w:t xml:space="preserve"> de ese negoci</w:t>
      </w:r>
      <w:r w:rsidR="00E43048" w:rsidRPr="00280E67">
        <w:rPr>
          <w:sz w:val="24"/>
          <w:szCs w:val="24"/>
          <w:lang w:val="es-ES" w:eastAsia="es-ES"/>
        </w:rPr>
        <w:t>o</w:t>
      </w:r>
      <w:r w:rsidR="000778B0" w:rsidRPr="00280E67">
        <w:rPr>
          <w:sz w:val="24"/>
          <w:szCs w:val="24"/>
          <w:lang w:val="es-ES" w:eastAsia="es-ES"/>
        </w:rPr>
        <w:t xml:space="preserve"> jurídico</w:t>
      </w:r>
      <w:r w:rsidRPr="00280E67">
        <w:rPr>
          <w:sz w:val="24"/>
          <w:szCs w:val="24"/>
          <w:lang w:val="es-ES" w:eastAsia="es-ES"/>
        </w:rPr>
        <w:t xml:space="preserve">, las partes </w:t>
      </w:r>
      <w:r w:rsidR="000778B0" w:rsidRPr="00280E67">
        <w:rPr>
          <w:sz w:val="24"/>
          <w:szCs w:val="24"/>
          <w:lang w:val="es-ES" w:eastAsia="es-ES"/>
        </w:rPr>
        <w:t>pactaron</w:t>
      </w:r>
      <w:r w:rsidRPr="00280E67">
        <w:rPr>
          <w:sz w:val="24"/>
          <w:szCs w:val="24"/>
          <w:lang w:val="es-ES" w:eastAsia="es-ES"/>
        </w:rPr>
        <w:t xml:space="preserve"> que “[…] toda controversia o diferencia relativa a este Acuerdo o que tenga relación con el mismo, se resolverá por un tribunal de arbitramento ante el Centro de Arbitraje y Conciliación de la Cámara de Comercio de Cali”</w:t>
      </w:r>
      <w:r w:rsidRPr="00280E67">
        <w:rPr>
          <w:sz w:val="24"/>
          <w:szCs w:val="24"/>
          <w:vertAlign w:val="superscript"/>
          <w:lang w:val="es-ES" w:eastAsia="es-ES"/>
        </w:rPr>
        <w:footnoteReference w:id="3"/>
      </w:r>
      <w:r w:rsidRPr="00280E67">
        <w:rPr>
          <w:sz w:val="24"/>
          <w:szCs w:val="24"/>
          <w:lang w:val="es-ES" w:eastAsia="es-ES"/>
        </w:rPr>
        <w:t>.</w:t>
      </w:r>
    </w:p>
    <w:p w14:paraId="41B7E9EB" w14:textId="77777777" w:rsidR="00027850" w:rsidRPr="00280E67" w:rsidRDefault="00027850" w:rsidP="003C2DB0">
      <w:pPr>
        <w:spacing w:line="276" w:lineRule="auto"/>
        <w:rPr>
          <w:sz w:val="24"/>
          <w:szCs w:val="24"/>
          <w:lang w:val="es-ES" w:eastAsia="es-ES"/>
        </w:rPr>
      </w:pPr>
    </w:p>
    <w:p w14:paraId="4795C3C6" w14:textId="0C70AD4A" w:rsidR="00027850" w:rsidRPr="00280E67" w:rsidRDefault="00027850" w:rsidP="003C2DB0">
      <w:pPr>
        <w:spacing w:line="276" w:lineRule="auto"/>
        <w:rPr>
          <w:sz w:val="24"/>
          <w:szCs w:val="24"/>
          <w:lang w:val="es-ES" w:eastAsia="es-ES"/>
        </w:rPr>
      </w:pPr>
      <w:r w:rsidRPr="00280E67">
        <w:rPr>
          <w:b/>
          <w:sz w:val="24"/>
          <w:szCs w:val="24"/>
          <w:lang w:val="es-ES" w:eastAsia="es-ES"/>
        </w:rPr>
        <w:t>2.2</w:t>
      </w:r>
      <w:r w:rsidR="000778B0" w:rsidRPr="00280E67">
        <w:rPr>
          <w:b/>
          <w:sz w:val="24"/>
          <w:szCs w:val="24"/>
          <w:lang w:val="es-ES" w:eastAsia="es-ES"/>
        </w:rPr>
        <w:t>.</w:t>
      </w:r>
      <w:r w:rsidR="000778B0" w:rsidRPr="00280E67">
        <w:rPr>
          <w:sz w:val="24"/>
          <w:szCs w:val="24"/>
          <w:lang w:val="es-ES" w:eastAsia="es-ES"/>
        </w:rPr>
        <w:t xml:space="preserve"> Transfuvalle</w:t>
      </w:r>
      <w:r w:rsidRPr="00280E67">
        <w:rPr>
          <w:b/>
          <w:sz w:val="24"/>
          <w:szCs w:val="24"/>
          <w:lang w:val="es-ES" w:eastAsia="es-ES"/>
        </w:rPr>
        <w:t xml:space="preserve"> </w:t>
      </w:r>
      <w:r w:rsidR="000778B0" w:rsidRPr="00280E67">
        <w:rPr>
          <w:bCs/>
          <w:sz w:val="24"/>
          <w:szCs w:val="24"/>
        </w:rPr>
        <w:t>presentó solicitud de convocatoria a conformación de</w:t>
      </w:r>
      <w:r w:rsidR="00ED370F">
        <w:rPr>
          <w:bCs/>
          <w:sz w:val="24"/>
          <w:szCs w:val="24"/>
        </w:rPr>
        <w:t>l</w:t>
      </w:r>
      <w:r w:rsidR="000778B0" w:rsidRPr="00280E67">
        <w:rPr>
          <w:bCs/>
          <w:sz w:val="24"/>
          <w:szCs w:val="24"/>
        </w:rPr>
        <w:t xml:space="preserve"> Tribunal de Arbitramento y demanda arbitral en la Cámara de Comercio de Cali, en contra de la </w:t>
      </w:r>
      <w:r w:rsidR="000778B0" w:rsidRPr="00280E67">
        <w:rPr>
          <w:sz w:val="24"/>
          <w:szCs w:val="24"/>
          <w:lang w:val="es-ES" w:eastAsia="es-ES"/>
        </w:rPr>
        <w:t>SOMOS K</w:t>
      </w:r>
      <w:r w:rsidR="000778B0" w:rsidRPr="00280E67">
        <w:rPr>
          <w:bCs/>
          <w:sz w:val="24"/>
          <w:szCs w:val="24"/>
        </w:rPr>
        <w:t>,</w:t>
      </w:r>
      <w:r w:rsidR="000778B0" w:rsidRPr="00280E67">
        <w:rPr>
          <w:b/>
          <w:sz w:val="24"/>
          <w:szCs w:val="24"/>
          <w:lang w:val="es-ES" w:eastAsia="es-ES"/>
        </w:rPr>
        <w:t xml:space="preserve"> </w:t>
      </w:r>
      <w:r w:rsidRPr="00280E67">
        <w:rPr>
          <w:sz w:val="24"/>
          <w:szCs w:val="24"/>
          <w:lang w:val="es-ES" w:eastAsia="es-ES"/>
        </w:rPr>
        <w:t xml:space="preserve">con la pretensión de que se declarara el incumplimiento de las obligaciones estipuladas en algunas de las clausulas previstas en el Acuerdo de Accionistas del 2 de diciembre de 2014; y que, en consecuencia, se condenara a la parte convocada al pago de los perjuicios </w:t>
      </w:r>
      <w:r w:rsidR="000778B0" w:rsidRPr="00280E67">
        <w:rPr>
          <w:sz w:val="24"/>
          <w:szCs w:val="24"/>
          <w:lang w:val="es-ES" w:eastAsia="es-ES"/>
        </w:rPr>
        <w:t>ocasionados</w:t>
      </w:r>
      <w:r w:rsidRPr="00280E67">
        <w:rPr>
          <w:sz w:val="24"/>
          <w:szCs w:val="24"/>
          <w:vertAlign w:val="superscript"/>
          <w:lang w:val="es-ES" w:eastAsia="es-ES"/>
        </w:rPr>
        <w:footnoteReference w:id="4"/>
      </w:r>
      <w:r w:rsidRPr="00280E67">
        <w:rPr>
          <w:sz w:val="24"/>
          <w:szCs w:val="24"/>
          <w:lang w:val="es-ES" w:eastAsia="es-ES"/>
        </w:rPr>
        <w:t>.</w:t>
      </w:r>
    </w:p>
    <w:p w14:paraId="7CA6A413" w14:textId="7DBD3F3C" w:rsidR="00304A11" w:rsidRPr="00280E67" w:rsidRDefault="00304A11" w:rsidP="003C2DB0">
      <w:pPr>
        <w:spacing w:line="276" w:lineRule="auto"/>
        <w:rPr>
          <w:sz w:val="24"/>
          <w:szCs w:val="24"/>
          <w:lang w:val="es-ES" w:eastAsia="es-ES"/>
        </w:rPr>
      </w:pPr>
    </w:p>
    <w:p w14:paraId="602FD35C" w14:textId="5DBBFC51" w:rsidR="00304A11" w:rsidRPr="00280E67" w:rsidRDefault="00A369E1" w:rsidP="003C2DB0">
      <w:pPr>
        <w:spacing w:line="276" w:lineRule="auto"/>
        <w:rPr>
          <w:b/>
          <w:sz w:val="24"/>
          <w:szCs w:val="24"/>
          <w:lang w:val="es-ES" w:eastAsia="es-ES"/>
        </w:rPr>
      </w:pPr>
      <w:r w:rsidRPr="00280E67">
        <w:rPr>
          <w:sz w:val="24"/>
          <w:szCs w:val="24"/>
          <w:lang w:val="es-ES" w:eastAsia="es-ES"/>
        </w:rPr>
        <w:t>En concreto, l</w:t>
      </w:r>
      <w:r w:rsidR="00304A11" w:rsidRPr="00280E67">
        <w:rPr>
          <w:sz w:val="24"/>
          <w:szCs w:val="24"/>
          <w:lang w:val="es-ES" w:eastAsia="es-ES"/>
        </w:rPr>
        <w:t>os argumentos de la demanda se cen</w:t>
      </w:r>
      <w:r w:rsidR="00D83E55" w:rsidRPr="00280E67">
        <w:rPr>
          <w:sz w:val="24"/>
          <w:szCs w:val="24"/>
          <w:lang w:val="es-ES" w:eastAsia="es-ES"/>
        </w:rPr>
        <w:t>traban en protestar que S</w:t>
      </w:r>
      <w:r w:rsidR="004F0615" w:rsidRPr="00280E67">
        <w:rPr>
          <w:sz w:val="24"/>
          <w:szCs w:val="24"/>
          <w:lang w:val="es-ES" w:eastAsia="es-ES"/>
        </w:rPr>
        <w:t>omos</w:t>
      </w:r>
      <w:r w:rsidR="00D83E55" w:rsidRPr="00280E67">
        <w:rPr>
          <w:sz w:val="24"/>
          <w:szCs w:val="24"/>
          <w:lang w:val="es-ES" w:eastAsia="es-ES"/>
        </w:rPr>
        <w:t xml:space="preserve"> K</w:t>
      </w:r>
      <w:r w:rsidR="00304A11" w:rsidRPr="00280E67">
        <w:rPr>
          <w:sz w:val="24"/>
          <w:szCs w:val="24"/>
          <w:lang w:val="es-ES" w:eastAsia="es-ES"/>
        </w:rPr>
        <w:t xml:space="preserve"> incumplió, por </w:t>
      </w:r>
      <w:r w:rsidRPr="00280E67">
        <w:rPr>
          <w:sz w:val="24"/>
          <w:szCs w:val="24"/>
          <w:lang w:val="es-ES" w:eastAsia="es-ES"/>
        </w:rPr>
        <w:t>un lado, la cláusula sexta del Acuerdo de A</w:t>
      </w:r>
      <w:r w:rsidR="00304A11" w:rsidRPr="00280E67">
        <w:rPr>
          <w:sz w:val="24"/>
          <w:szCs w:val="24"/>
          <w:lang w:val="es-ES" w:eastAsia="es-ES"/>
        </w:rPr>
        <w:t xml:space="preserve">ccionistas por no cancelar la suma de dinero </w:t>
      </w:r>
      <w:r w:rsidR="00D02FD1" w:rsidRPr="00280E67">
        <w:rPr>
          <w:sz w:val="24"/>
          <w:szCs w:val="24"/>
          <w:lang w:val="es-ES" w:eastAsia="es-ES"/>
        </w:rPr>
        <w:t xml:space="preserve">destinada a la suscripción de las acciones, </w:t>
      </w:r>
      <w:r w:rsidRPr="00280E67">
        <w:rPr>
          <w:sz w:val="24"/>
          <w:szCs w:val="24"/>
          <w:lang w:val="es-ES" w:eastAsia="es-ES"/>
        </w:rPr>
        <w:t>asunto que</w:t>
      </w:r>
      <w:r w:rsidR="00771FE5" w:rsidRPr="00280E67">
        <w:rPr>
          <w:sz w:val="24"/>
          <w:szCs w:val="24"/>
          <w:lang w:val="es-ES" w:eastAsia="es-ES"/>
        </w:rPr>
        <w:t>, en su decir, constituía</w:t>
      </w:r>
      <w:r w:rsidR="00D02FD1" w:rsidRPr="00280E67">
        <w:rPr>
          <w:sz w:val="24"/>
          <w:szCs w:val="24"/>
          <w:lang w:val="es-ES" w:eastAsia="es-ES"/>
        </w:rPr>
        <w:t xml:space="preserve"> un abuso de </w:t>
      </w:r>
      <w:r w:rsidR="00771FE5" w:rsidRPr="00280E67">
        <w:rPr>
          <w:sz w:val="24"/>
          <w:szCs w:val="24"/>
          <w:lang w:val="es-ES" w:eastAsia="es-ES"/>
        </w:rPr>
        <w:t>su</w:t>
      </w:r>
      <w:r w:rsidR="00D02FD1" w:rsidRPr="00280E67">
        <w:rPr>
          <w:sz w:val="24"/>
          <w:szCs w:val="24"/>
          <w:lang w:val="es-ES" w:eastAsia="es-ES"/>
        </w:rPr>
        <w:t xml:space="preserve"> posición dominante y una falta al deber de lealtad; y, por el otro, la cláusula </w:t>
      </w:r>
      <w:r w:rsidR="001A08BD" w:rsidRPr="00280E67">
        <w:rPr>
          <w:sz w:val="24"/>
          <w:szCs w:val="24"/>
          <w:lang w:val="es-ES" w:eastAsia="es-ES"/>
        </w:rPr>
        <w:t>trece</w:t>
      </w:r>
      <w:r w:rsidR="00D02FD1" w:rsidRPr="00280E67">
        <w:rPr>
          <w:sz w:val="24"/>
          <w:szCs w:val="24"/>
          <w:lang w:val="es-ES" w:eastAsia="es-ES"/>
        </w:rPr>
        <w:t xml:space="preserve"> al apartarse de los requisitos </w:t>
      </w:r>
      <w:r w:rsidR="00771FE5" w:rsidRPr="00280E67">
        <w:rPr>
          <w:sz w:val="24"/>
          <w:szCs w:val="24"/>
          <w:lang w:val="es-ES" w:eastAsia="es-ES"/>
        </w:rPr>
        <w:t>previstos</w:t>
      </w:r>
      <w:r w:rsidR="00D02FD1" w:rsidRPr="00280E67">
        <w:rPr>
          <w:sz w:val="24"/>
          <w:szCs w:val="24"/>
          <w:lang w:val="es-ES" w:eastAsia="es-ES"/>
        </w:rPr>
        <w:t xml:space="preserve"> para la prestación de</w:t>
      </w:r>
      <w:r w:rsidR="00771FE5" w:rsidRPr="00280E67">
        <w:rPr>
          <w:sz w:val="24"/>
          <w:szCs w:val="24"/>
          <w:lang w:val="es-ES" w:eastAsia="es-ES"/>
        </w:rPr>
        <w:t xml:space="preserve"> los</w:t>
      </w:r>
      <w:r w:rsidR="00D02FD1" w:rsidRPr="00280E67">
        <w:rPr>
          <w:sz w:val="24"/>
          <w:szCs w:val="24"/>
          <w:lang w:val="es-ES" w:eastAsia="es-ES"/>
        </w:rPr>
        <w:t xml:space="preserve"> servicios complementarios</w:t>
      </w:r>
      <w:r w:rsidR="00D83E55" w:rsidRPr="00280E67">
        <w:rPr>
          <w:bCs/>
          <w:sz w:val="24"/>
          <w:szCs w:val="24"/>
          <w:lang w:val="es-ES" w:eastAsia="es-ES"/>
        </w:rPr>
        <w:t>.</w:t>
      </w:r>
    </w:p>
    <w:p w14:paraId="57844FE1" w14:textId="77777777" w:rsidR="00027850" w:rsidRPr="00280E67" w:rsidRDefault="00027850" w:rsidP="003C2DB0">
      <w:pPr>
        <w:spacing w:line="276" w:lineRule="auto"/>
        <w:rPr>
          <w:b/>
          <w:sz w:val="24"/>
          <w:szCs w:val="24"/>
          <w:lang w:val="es-ES" w:eastAsia="es-ES"/>
        </w:rPr>
      </w:pPr>
    </w:p>
    <w:p w14:paraId="09F9597C" w14:textId="005558E3" w:rsidR="00027850" w:rsidRPr="00280E67" w:rsidRDefault="00027850" w:rsidP="003C2DB0">
      <w:pPr>
        <w:spacing w:line="276" w:lineRule="auto"/>
        <w:rPr>
          <w:sz w:val="24"/>
          <w:szCs w:val="24"/>
          <w:lang w:val="es-ES" w:eastAsia="es-ES"/>
        </w:rPr>
      </w:pPr>
      <w:r w:rsidRPr="00280E67">
        <w:rPr>
          <w:b/>
          <w:sz w:val="24"/>
          <w:szCs w:val="24"/>
          <w:lang w:val="es-ES" w:eastAsia="es-ES"/>
        </w:rPr>
        <w:t xml:space="preserve">2.3. </w:t>
      </w:r>
      <w:r w:rsidRPr="00280E67">
        <w:rPr>
          <w:sz w:val="24"/>
          <w:szCs w:val="24"/>
          <w:lang w:val="es-ES" w:eastAsia="es-ES"/>
        </w:rPr>
        <w:t xml:space="preserve">El Centro de Arbitraje y Conciliación de la Cámara de Comercio de Cali, </w:t>
      </w:r>
      <w:r w:rsidR="007038A9" w:rsidRPr="00280E67">
        <w:rPr>
          <w:sz w:val="24"/>
          <w:szCs w:val="24"/>
          <w:lang w:val="es-ES" w:eastAsia="es-ES"/>
        </w:rPr>
        <w:t>por</w:t>
      </w:r>
      <w:r w:rsidRPr="00280E67">
        <w:rPr>
          <w:sz w:val="24"/>
          <w:szCs w:val="24"/>
          <w:lang w:val="es-ES" w:eastAsia="es-ES"/>
        </w:rPr>
        <w:t xml:space="preserve"> común acuerdo </w:t>
      </w:r>
      <w:r w:rsidR="007038A9" w:rsidRPr="00280E67">
        <w:rPr>
          <w:sz w:val="24"/>
          <w:szCs w:val="24"/>
          <w:lang w:val="es-ES" w:eastAsia="es-ES"/>
        </w:rPr>
        <w:t>de</w:t>
      </w:r>
      <w:r w:rsidRPr="00280E67">
        <w:rPr>
          <w:sz w:val="24"/>
          <w:szCs w:val="24"/>
          <w:lang w:val="es-ES" w:eastAsia="es-ES"/>
        </w:rPr>
        <w:t xml:space="preserve"> las partes y en cumplimiento de la</w:t>
      </w:r>
      <w:r w:rsidR="000778B0" w:rsidRPr="00280E67">
        <w:rPr>
          <w:sz w:val="24"/>
          <w:szCs w:val="24"/>
          <w:lang w:val="es-ES" w:eastAsia="es-ES"/>
        </w:rPr>
        <w:t xml:space="preserve"> mencionada</w:t>
      </w:r>
      <w:r w:rsidRPr="00280E67">
        <w:rPr>
          <w:sz w:val="24"/>
          <w:szCs w:val="24"/>
          <w:lang w:val="es-ES" w:eastAsia="es-ES"/>
        </w:rPr>
        <w:t xml:space="preserve"> cláusula compromisoria, designó como árbitros a Antonio Pabón Santander, Mónica Fernanda Rúgeles y Henry Sanabria Santos.</w:t>
      </w:r>
    </w:p>
    <w:p w14:paraId="3DEAAF5B" w14:textId="77777777" w:rsidR="00027850" w:rsidRPr="00280E67" w:rsidRDefault="00027850" w:rsidP="003C2DB0">
      <w:pPr>
        <w:spacing w:line="276" w:lineRule="auto"/>
        <w:rPr>
          <w:sz w:val="24"/>
          <w:szCs w:val="24"/>
          <w:lang w:val="es-ES" w:eastAsia="es-ES"/>
        </w:rPr>
      </w:pPr>
    </w:p>
    <w:p w14:paraId="6F561092" w14:textId="776D7121" w:rsidR="00027850" w:rsidRPr="00280E67" w:rsidRDefault="00027850" w:rsidP="003C2DB0">
      <w:pPr>
        <w:spacing w:line="276" w:lineRule="auto"/>
        <w:rPr>
          <w:sz w:val="24"/>
          <w:szCs w:val="24"/>
          <w:lang w:val="es-ES" w:eastAsia="es-ES"/>
        </w:rPr>
      </w:pPr>
      <w:r w:rsidRPr="00280E67">
        <w:rPr>
          <w:b/>
          <w:sz w:val="24"/>
          <w:szCs w:val="24"/>
          <w:lang w:val="es-ES" w:eastAsia="es-ES"/>
        </w:rPr>
        <w:lastRenderedPageBreak/>
        <w:t xml:space="preserve">2.4. </w:t>
      </w:r>
      <w:r w:rsidRPr="00280E67">
        <w:rPr>
          <w:sz w:val="24"/>
          <w:szCs w:val="24"/>
          <w:lang w:val="es-ES" w:eastAsia="es-ES"/>
        </w:rPr>
        <w:t>El Tribunal de Arbitramento, el 29 de mayo de 2019, celebró la primera audiencia de trámite, en la que se declaró competente para conocer las controversias surgidas entre la convocante y la convocada</w:t>
      </w:r>
      <w:r w:rsidRPr="00280E67">
        <w:rPr>
          <w:sz w:val="24"/>
          <w:szCs w:val="24"/>
          <w:vertAlign w:val="superscript"/>
          <w:lang w:val="es-ES" w:eastAsia="es-ES"/>
        </w:rPr>
        <w:footnoteReference w:id="5"/>
      </w:r>
      <w:r w:rsidRPr="00280E67">
        <w:rPr>
          <w:sz w:val="24"/>
          <w:szCs w:val="24"/>
          <w:lang w:val="es-ES" w:eastAsia="es-ES"/>
        </w:rPr>
        <w:t>; y decretó las pruebas solicitadas por las partes, entre ellas, la inspección judicial, con exhibición de documentos, en las oficinas de GIT Masivo y de Somos K</w:t>
      </w:r>
      <w:r w:rsidRPr="00280E67">
        <w:rPr>
          <w:sz w:val="24"/>
          <w:szCs w:val="24"/>
          <w:vertAlign w:val="superscript"/>
          <w:lang w:val="es-ES" w:eastAsia="es-ES"/>
        </w:rPr>
        <w:footnoteReference w:id="6"/>
      </w:r>
      <w:r w:rsidRPr="00280E67">
        <w:rPr>
          <w:sz w:val="24"/>
          <w:szCs w:val="24"/>
          <w:lang w:val="es-ES" w:eastAsia="es-ES"/>
        </w:rPr>
        <w:t>.</w:t>
      </w:r>
    </w:p>
    <w:p w14:paraId="53C69B10" w14:textId="77777777" w:rsidR="00027850" w:rsidRPr="00280E67" w:rsidRDefault="00027850" w:rsidP="003C2DB0">
      <w:pPr>
        <w:spacing w:line="276" w:lineRule="auto"/>
        <w:rPr>
          <w:sz w:val="24"/>
          <w:szCs w:val="24"/>
          <w:lang w:val="es-ES" w:eastAsia="es-ES"/>
        </w:rPr>
      </w:pPr>
    </w:p>
    <w:p w14:paraId="05378F8E" w14:textId="481F390B" w:rsidR="00027850" w:rsidRPr="00280E67" w:rsidRDefault="00027850" w:rsidP="003C2DB0">
      <w:pPr>
        <w:spacing w:line="276" w:lineRule="auto"/>
        <w:rPr>
          <w:sz w:val="24"/>
          <w:szCs w:val="24"/>
          <w:lang w:val="es-ES" w:eastAsia="es-ES"/>
        </w:rPr>
      </w:pPr>
      <w:r w:rsidRPr="00280E67">
        <w:rPr>
          <w:b/>
          <w:sz w:val="24"/>
          <w:szCs w:val="24"/>
          <w:lang w:val="es-ES" w:eastAsia="es-ES"/>
        </w:rPr>
        <w:t xml:space="preserve">2.5. </w:t>
      </w:r>
      <w:r w:rsidRPr="00280E67">
        <w:rPr>
          <w:sz w:val="24"/>
          <w:szCs w:val="24"/>
          <w:lang w:val="es-ES" w:eastAsia="es-ES"/>
        </w:rPr>
        <w:t xml:space="preserve">En el trámite de la referida inspección judicial, GIT Masivo se opuso a la exhibición de algunos documentos, </w:t>
      </w:r>
      <w:r w:rsidR="000778B0" w:rsidRPr="00280E67">
        <w:rPr>
          <w:sz w:val="24"/>
          <w:szCs w:val="24"/>
          <w:lang w:val="es-ES" w:eastAsia="es-ES"/>
        </w:rPr>
        <w:t>justificándose en</w:t>
      </w:r>
      <w:r w:rsidRPr="00280E67">
        <w:rPr>
          <w:sz w:val="24"/>
          <w:szCs w:val="24"/>
          <w:lang w:val="es-ES" w:eastAsia="es-ES"/>
        </w:rPr>
        <w:t xml:space="preserve"> que </w:t>
      </w:r>
      <w:r w:rsidR="000778B0" w:rsidRPr="00280E67">
        <w:rPr>
          <w:sz w:val="24"/>
          <w:szCs w:val="24"/>
          <w:lang w:val="es-ES" w:eastAsia="es-ES"/>
        </w:rPr>
        <w:t>actuaba como</w:t>
      </w:r>
      <w:r w:rsidRPr="00280E67">
        <w:rPr>
          <w:sz w:val="24"/>
          <w:szCs w:val="24"/>
          <w:lang w:val="es-ES" w:eastAsia="es-ES"/>
        </w:rPr>
        <w:t xml:space="preserve"> tercero en el proceso y </w:t>
      </w:r>
      <w:r w:rsidR="000778B0" w:rsidRPr="00280E67">
        <w:rPr>
          <w:sz w:val="24"/>
          <w:szCs w:val="24"/>
          <w:lang w:val="es-ES" w:eastAsia="es-ES"/>
        </w:rPr>
        <w:t xml:space="preserve">en el </w:t>
      </w:r>
      <w:r w:rsidRPr="00280E67">
        <w:rPr>
          <w:sz w:val="24"/>
          <w:szCs w:val="24"/>
          <w:lang w:val="es-ES" w:eastAsia="es-ES"/>
        </w:rPr>
        <w:t>carácter reservado de la información contenida en aquellos archivos.</w:t>
      </w:r>
    </w:p>
    <w:p w14:paraId="3B3701A5" w14:textId="7822FEB5" w:rsidR="00D02709" w:rsidRPr="00280E67" w:rsidRDefault="00D02709" w:rsidP="003C2DB0">
      <w:pPr>
        <w:spacing w:line="276" w:lineRule="auto"/>
        <w:rPr>
          <w:sz w:val="24"/>
          <w:szCs w:val="24"/>
          <w:lang w:val="es-ES" w:eastAsia="es-ES"/>
        </w:rPr>
      </w:pPr>
    </w:p>
    <w:p w14:paraId="46B16F49" w14:textId="3423BDA4" w:rsidR="00D02709" w:rsidRPr="00280E67" w:rsidRDefault="00D02709" w:rsidP="003C2DB0">
      <w:pPr>
        <w:spacing w:line="276" w:lineRule="auto"/>
        <w:rPr>
          <w:sz w:val="24"/>
          <w:szCs w:val="24"/>
          <w:lang w:val="es-ES" w:eastAsia="es-ES"/>
        </w:rPr>
      </w:pPr>
      <w:r w:rsidRPr="00280E67">
        <w:rPr>
          <w:b/>
          <w:sz w:val="24"/>
          <w:szCs w:val="24"/>
          <w:lang w:val="es-ES" w:eastAsia="es-ES"/>
        </w:rPr>
        <w:t xml:space="preserve">2.6. </w:t>
      </w:r>
      <w:r w:rsidR="00027850" w:rsidRPr="00280E67">
        <w:rPr>
          <w:sz w:val="24"/>
          <w:szCs w:val="24"/>
          <w:lang w:val="es-ES" w:eastAsia="es-ES"/>
        </w:rPr>
        <w:t>El Tribunal de Arbitramento, en audiencia del 9 de septiembre de 2019, aceptó la oposición formulada por G</w:t>
      </w:r>
      <w:r w:rsidR="00F1215B" w:rsidRPr="00280E67">
        <w:rPr>
          <w:sz w:val="24"/>
          <w:szCs w:val="24"/>
          <w:lang w:val="es-ES" w:eastAsia="es-ES"/>
        </w:rPr>
        <w:t xml:space="preserve">IT Masivo, </w:t>
      </w:r>
      <w:r w:rsidR="00027850" w:rsidRPr="00280E67">
        <w:rPr>
          <w:sz w:val="24"/>
          <w:szCs w:val="24"/>
          <w:lang w:val="es-ES" w:eastAsia="es-ES"/>
        </w:rPr>
        <w:t xml:space="preserve">puesto que, en su criterio, </w:t>
      </w:r>
      <w:r w:rsidRPr="00280E67">
        <w:rPr>
          <w:sz w:val="24"/>
          <w:szCs w:val="24"/>
          <w:lang w:val="es-ES" w:eastAsia="es-ES"/>
        </w:rPr>
        <w:t>aquella sociedad no se encontraba obligada a la exhibición de esos documentos, pues</w:t>
      </w:r>
      <w:r w:rsidR="00F1215B" w:rsidRPr="00280E67">
        <w:rPr>
          <w:sz w:val="24"/>
          <w:szCs w:val="24"/>
          <w:lang w:val="es-ES" w:eastAsia="es-ES"/>
        </w:rPr>
        <w:t xml:space="preserve"> sí</w:t>
      </w:r>
      <w:r w:rsidRPr="00280E67">
        <w:rPr>
          <w:sz w:val="24"/>
          <w:szCs w:val="24"/>
          <w:lang w:val="es-ES" w:eastAsia="es-ES"/>
        </w:rPr>
        <w:t xml:space="preserve"> tenían reserva legal y era indiscutible su calidad de tercero en el proceso</w:t>
      </w:r>
      <w:r w:rsidRPr="00280E67">
        <w:rPr>
          <w:sz w:val="24"/>
          <w:szCs w:val="24"/>
          <w:vertAlign w:val="superscript"/>
          <w:lang w:val="es-ES" w:eastAsia="es-ES"/>
        </w:rPr>
        <w:footnoteReference w:id="7"/>
      </w:r>
      <w:r w:rsidRPr="00280E67">
        <w:rPr>
          <w:sz w:val="24"/>
          <w:szCs w:val="24"/>
          <w:lang w:val="es-ES" w:eastAsia="es-ES"/>
        </w:rPr>
        <w:t>.</w:t>
      </w:r>
    </w:p>
    <w:p w14:paraId="66EE3F4B" w14:textId="77777777" w:rsidR="00027850" w:rsidRPr="00280E67" w:rsidRDefault="00027850" w:rsidP="003C2DB0">
      <w:pPr>
        <w:spacing w:line="276" w:lineRule="auto"/>
        <w:rPr>
          <w:sz w:val="24"/>
          <w:szCs w:val="24"/>
          <w:lang w:val="es-ES" w:eastAsia="es-ES"/>
        </w:rPr>
      </w:pPr>
    </w:p>
    <w:p w14:paraId="5CFF0E77" w14:textId="65EE1C52" w:rsidR="00027850" w:rsidRPr="00280E67" w:rsidRDefault="00027850" w:rsidP="003C2DB0">
      <w:pPr>
        <w:spacing w:line="276" w:lineRule="auto"/>
        <w:rPr>
          <w:sz w:val="24"/>
          <w:szCs w:val="24"/>
          <w:lang w:val="es-ES" w:eastAsia="es-ES"/>
        </w:rPr>
      </w:pPr>
      <w:r w:rsidRPr="00280E67">
        <w:rPr>
          <w:b/>
          <w:sz w:val="24"/>
          <w:szCs w:val="24"/>
          <w:lang w:val="es-ES" w:eastAsia="es-ES"/>
        </w:rPr>
        <w:t xml:space="preserve">2.7. </w:t>
      </w:r>
      <w:r w:rsidRPr="00280E67">
        <w:rPr>
          <w:sz w:val="24"/>
          <w:szCs w:val="24"/>
          <w:lang w:val="es-ES" w:eastAsia="es-ES"/>
        </w:rPr>
        <w:t>Luego, en la misma audiencia, la parte convocante interpuso recurso de reposición en contra de la anterior decisión; a lo que el Tribunal de Arbitramento no accedió</w:t>
      </w:r>
      <w:r w:rsidR="00B07964">
        <w:rPr>
          <w:sz w:val="24"/>
          <w:szCs w:val="24"/>
          <w:lang w:val="es-ES" w:eastAsia="es-ES"/>
        </w:rPr>
        <w:t xml:space="preserve"> a la reposición</w:t>
      </w:r>
      <w:r w:rsidRPr="00280E67">
        <w:rPr>
          <w:sz w:val="24"/>
          <w:szCs w:val="24"/>
          <w:vertAlign w:val="superscript"/>
          <w:lang w:val="es-ES" w:eastAsia="es-ES"/>
        </w:rPr>
        <w:footnoteReference w:id="8"/>
      </w:r>
      <w:r w:rsidRPr="00280E67">
        <w:rPr>
          <w:sz w:val="24"/>
          <w:szCs w:val="24"/>
          <w:lang w:val="es-ES" w:eastAsia="es-ES"/>
        </w:rPr>
        <w:t>.</w:t>
      </w:r>
    </w:p>
    <w:p w14:paraId="3FDACC7D" w14:textId="77777777" w:rsidR="00027850" w:rsidRPr="00280E67" w:rsidRDefault="00027850" w:rsidP="003C2DB0">
      <w:pPr>
        <w:spacing w:line="276" w:lineRule="auto"/>
        <w:rPr>
          <w:sz w:val="24"/>
          <w:szCs w:val="24"/>
          <w:lang w:val="es-ES" w:eastAsia="es-ES"/>
        </w:rPr>
      </w:pPr>
    </w:p>
    <w:p w14:paraId="47E3A868" w14:textId="389D151A" w:rsidR="00027850" w:rsidRPr="00280E67" w:rsidRDefault="00027850" w:rsidP="003C2DB0">
      <w:pPr>
        <w:spacing w:line="276" w:lineRule="auto"/>
        <w:rPr>
          <w:bCs/>
          <w:sz w:val="24"/>
          <w:szCs w:val="24"/>
          <w:lang w:val="es-ES" w:eastAsia="es-ES"/>
        </w:rPr>
      </w:pPr>
      <w:r w:rsidRPr="00280E67">
        <w:rPr>
          <w:b/>
          <w:sz w:val="24"/>
          <w:szCs w:val="24"/>
          <w:lang w:val="es-ES" w:eastAsia="es-ES"/>
        </w:rPr>
        <w:t xml:space="preserve">2.8. </w:t>
      </w:r>
      <w:r w:rsidRPr="00280E67">
        <w:rPr>
          <w:sz w:val="24"/>
          <w:szCs w:val="24"/>
          <w:lang w:val="es-ES" w:eastAsia="es-ES"/>
        </w:rPr>
        <w:t xml:space="preserve">Tras ello, </w:t>
      </w:r>
      <w:r w:rsidRPr="00280E67">
        <w:rPr>
          <w:bCs/>
          <w:sz w:val="24"/>
          <w:szCs w:val="24"/>
          <w:lang w:val="es-ES" w:eastAsia="es-ES"/>
        </w:rPr>
        <w:t>el Tribunal de Arbitramento profirió laudo el 28 de noviembre de 2019, en el que negó las pretensiones de la demanda arbitral y condenó a Transfuvalle al pago de costas y agencias en derecho</w:t>
      </w:r>
      <w:r w:rsidRPr="00280E67">
        <w:rPr>
          <w:bCs/>
          <w:sz w:val="24"/>
          <w:szCs w:val="24"/>
          <w:vertAlign w:val="superscript"/>
          <w:lang w:val="es-ES" w:eastAsia="es-ES"/>
        </w:rPr>
        <w:footnoteReference w:id="9"/>
      </w:r>
      <w:r w:rsidRPr="00280E67">
        <w:rPr>
          <w:bCs/>
          <w:sz w:val="24"/>
          <w:szCs w:val="24"/>
          <w:lang w:val="es-ES" w:eastAsia="es-ES"/>
        </w:rPr>
        <w:t>. Decisión que fue objeto de solicitud de aclaración y</w:t>
      </w:r>
      <w:r w:rsidR="00D02709" w:rsidRPr="00280E67">
        <w:rPr>
          <w:bCs/>
          <w:sz w:val="24"/>
          <w:szCs w:val="24"/>
          <w:lang w:val="es-ES" w:eastAsia="es-ES"/>
        </w:rPr>
        <w:t xml:space="preserve"> de</w:t>
      </w:r>
      <w:r w:rsidRPr="00280E67">
        <w:rPr>
          <w:bCs/>
          <w:sz w:val="24"/>
          <w:szCs w:val="24"/>
          <w:lang w:val="es-ES" w:eastAsia="es-ES"/>
        </w:rPr>
        <w:t xml:space="preserve"> corrección por parte de Transfuvalle, no obstante, no prosper</w:t>
      </w:r>
      <w:r w:rsidR="00D02709" w:rsidRPr="00280E67">
        <w:rPr>
          <w:bCs/>
          <w:sz w:val="24"/>
          <w:szCs w:val="24"/>
          <w:lang w:val="es-ES" w:eastAsia="es-ES"/>
        </w:rPr>
        <w:t>aron</w:t>
      </w:r>
      <w:r w:rsidRPr="00280E67">
        <w:rPr>
          <w:bCs/>
          <w:sz w:val="24"/>
          <w:szCs w:val="24"/>
          <w:vertAlign w:val="superscript"/>
          <w:lang w:val="es-ES" w:eastAsia="es-ES"/>
        </w:rPr>
        <w:footnoteReference w:id="10"/>
      </w:r>
      <w:r w:rsidRPr="00280E67">
        <w:rPr>
          <w:bCs/>
          <w:sz w:val="24"/>
          <w:szCs w:val="24"/>
          <w:lang w:val="es-ES" w:eastAsia="es-ES"/>
        </w:rPr>
        <w:t>.</w:t>
      </w:r>
    </w:p>
    <w:p w14:paraId="7D3F65E7" w14:textId="4C112BC9" w:rsidR="00206B87" w:rsidRPr="00280E67" w:rsidRDefault="00206B87" w:rsidP="003C2DB0">
      <w:pPr>
        <w:spacing w:line="276" w:lineRule="auto"/>
        <w:rPr>
          <w:bCs/>
          <w:sz w:val="24"/>
          <w:szCs w:val="24"/>
          <w:lang w:val="es-ES" w:eastAsia="es-ES"/>
        </w:rPr>
      </w:pPr>
    </w:p>
    <w:p w14:paraId="27D58187" w14:textId="158501F3" w:rsidR="00D83E55" w:rsidRPr="00280E67" w:rsidRDefault="00D6033A" w:rsidP="00DC2A7A">
      <w:pPr>
        <w:spacing w:line="276" w:lineRule="auto"/>
        <w:rPr>
          <w:bCs/>
          <w:sz w:val="24"/>
          <w:szCs w:val="24"/>
          <w:lang w:val="es-ES" w:eastAsia="es-ES"/>
        </w:rPr>
      </w:pPr>
      <w:r w:rsidRPr="00280E67">
        <w:rPr>
          <w:bCs/>
          <w:sz w:val="24"/>
          <w:szCs w:val="24"/>
          <w:lang w:val="es-ES" w:eastAsia="es-ES"/>
        </w:rPr>
        <w:t>El</w:t>
      </w:r>
      <w:r w:rsidR="00771FE5" w:rsidRPr="00280E67">
        <w:rPr>
          <w:bCs/>
          <w:sz w:val="24"/>
          <w:szCs w:val="24"/>
          <w:lang w:val="es-ES" w:eastAsia="es-ES"/>
        </w:rPr>
        <w:t xml:space="preserve"> Tribun</w:t>
      </w:r>
      <w:r w:rsidR="001A08BD" w:rsidRPr="00280E67">
        <w:rPr>
          <w:bCs/>
          <w:sz w:val="24"/>
          <w:szCs w:val="24"/>
          <w:lang w:val="es-ES" w:eastAsia="es-ES"/>
        </w:rPr>
        <w:t>al de Arbitramento, en el laudo</w:t>
      </w:r>
      <w:r w:rsidR="00771FE5" w:rsidRPr="00280E67">
        <w:rPr>
          <w:bCs/>
          <w:sz w:val="24"/>
          <w:szCs w:val="24"/>
          <w:lang w:val="es-ES" w:eastAsia="es-ES"/>
        </w:rPr>
        <w:t>, encontr</w:t>
      </w:r>
      <w:r w:rsidR="00EA1A9C" w:rsidRPr="00280E67">
        <w:rPr>
          <w:bCs/>
          <w:sz w:val="24"/>
          <w:szCs w:val="24"/>
          <w:lang w:val="es-ES" w:eastAsia="es-ES"/>
        </w:rPr>
        <w:t xml:space="preserve">ó </w:t>
      </w:r>
      <w:r w:rsidR="00771FE5" w:rsidRPr="00280E67">
        <w:rPr>
          <w:bCs/>
          <w:sz w:val="24"/>
          <w:szCs w:val="24"/>
          <w:lang w:val="es-ES" w:eastAsia="es-ES"/>
        </w:rPr>
        <w:t xml:space="preserve">que no había evidencia de que el contenido del referido negocio jurídico fuera producto de la imposición unilateral o posición dominante de Somos K, sino que fue estudiado y analizado por los socios de la junta directiva de GIT Masivo y sus asesores. </w:t>
      </w:r>
      <w:r w:rsidR="00D83E55" w:rsidRPr="00280E67">
        <w:rPr>
          <w:bCs/>
          <w:sz w:val="24"/>
          <w:szCs w:val="24"/>
          <w:lang w:val="es-ES" w:eastAsia="es-ES"/>
        </w:rPr>
        <w:t xml:space="preserve">En relación con el presunto incumplimiento de la cláusula sexta del </w:t>
      </w:r>
      <w:r w:rsidR="00771FE5" w:rsidRPr="00280E67">
        <w:rPr>
          <w:bCs/>
          <w:sz w:val="24"/>
          <w:szCs w:val="24"/>
          <w:lang w:val="es-ES" w:eastAsia="es-ES"/>
        </w:rPr>
        <w:t>citado acuerdo</w:t>
      </w:r>
      <w:r w:rsidR="00D83E55" w:rsidRPr="00280E67">
        <w:rPr>
          <w:bCs/>
          <w:sz w:val="24"/>
          <w:szCs w:val="24"/>
          <w:lang w:val="es-ES" w:eastAsia="es-ES"/>
        </w:rPr>
        <w:t xml:space="preserve">, </w:t>
      </w:r>
      <w:r w:rsidR="00DD082C" w:rsidRPr="00280E67">
        <w:rPr>
          <w:bCs/>
          <w:sz w:val="24"/>
          <w:szCs w:val="24"/>
          <w:lang w:val="es-ES" w:eastAsia="es-ES"/>
        </w:rPr>
        <w:t>puso de presente que los términos en los que pactaron la estipulación de la forma de pago no pueden desconocer las exigencias</w:t>
      </w:r>
      <w:r w:rsidR="001A08BD" w:rsidRPr="00280E67">
        <w:rPr>
          <w:bCs/>
          <w:sz w:val="24"/>
          <w:szCs w:val="24"/>
          <w:lang w:val="es-ES" w:eastAsia="es-ES"/>
        </w:rPr>
        <w:t xml:space="preserve"> previstas en el C</w:t>
      </w:r>
      <w:r w:rsidR="00DD082C" w:rsidRPr="00280E67">
        <w:rPr>
          <w:bCs/>
          <w:sz w:val="24"/>
          <w:szCs w:val="24"/>
          <w:lang w:val="es-ES" w:eastAsia="es-ES"/>
        </w:rPr>
        <w:t xml:space="preserve">ódigo de Comercio para la suscripción de acciones. En ese </w:t>
      </w:r>
      <w:r w:rsidR="001A08BD" w:rsidRPr="00280E67">
        <w:rPr>
          <w:bCs/>
          <w:sz w:val="24"/>
          <w:szCs w:val="24"/>
          <w:lang w:val="es-ES" w:eastAsia="es-ES"/>
        </w:rPr>
        <w:t>contexto</w:t>
      </w:r>
      <w:r w:rsidR="00DD082C" w:rsidRPr="00280E67">
        <w:rPr>
          <w:bCs/>
          <w:sz w:val="24"/>
          <w:szCs w:val="24"/>
          <w:lang w:val="es-ES" w:eastAsia="es-ES"/>
        </w:rPr>
        <w:t>,</w:t>
      </w:r>
      <w:r w:rsidR="00D83E55" w:rsidRPr="00280E67">
        <w:rPr>
          <w:bCs/>
          <w:sz w:val="24"/>
          <w:szCs w:val="24"/>
          <w:lang w:val="es-ES" w:eastAsia="es-ES"/>
        </w:rPr>
        <w:t xml:space="preserve"> </w:t>
      </w:r>
      <w:r w:rsidR="00DD082C" w:rsidRPr="00280E67">
        <w:rPr>
          <w:bCs/>
          <w:sz w:val="24"/>
          <w:szCs w:val="24"/>
          <w:lang w:val="es-ES" w:eastAsia="es-ES"/>
        </w:rPr>
        <w:t xml:space="preserve">afirmó, </w:t>
      </w:r>
      <w:r w:rsidR="00771FE5" w:rsidRPr="00280E67">
        <w:rPr>
          <w:bCs/>
          <w:sz w:val="24"/>
          <w:szCs w:val="24"/>
          <w:lang w:val="es-ES" w:eastAsia="es-ES"/>
        </w:rPr>
        <w:t>Somos</w:t>
      </w:r>
      <w:r w:rsidR="00D83E55" w:rsidRPr="00280E67">
        <w:rPr>
          <w:bCs/>
          <w:sz w:val="24"/>
          <w:szCs w:val="24"/>
          <w:lang w:val="es-ES" w:eastAsia="es-ES"/>
        </w:rPr>
        <w:t xml:space="preserve"> K</w:t>
      </w:r>
      <w:r w:rsidR="00DD082C" w:rsidRPr="00280E67">
        <w:rPr>
          <w:bCs/>
          <w:sz w:val="24"/>
          <w:szCs w:val="24"/>
          <w:lang w:val="es-ES" w:eastAsia="es-ES"/>
        </w:rPr>
        <w:t xml:space="preserve"> </w:t>
      </w:r>
      <w:r w:rsidR="00D83E55" w:rsidRPr="00280E67">
        <w:rPr>
          <w:bCs/>
          <w:sz w:val="24"/>
          <w:szCs w:val="24"/>
          <w:lang w:val="es-ES" w:eastAsia="es-ES"/>
        </w:rPr>
        <w:t>canceló el monto correspondiente a las acciones suscrit</w:t>
      </w:r>
      <w:r w:rsidR="00DD082C" w:rsidRPr="00280E67">
        <w:rPr>
          <w:bCs/>
          <w:sz w:val="24"/>
          <w:szCs w:val="24"/>
          <w:lang w:val="es-ES" w:eastAsia="es-ES"/>
        </w:rPr>
        <w:t>as y adquiridas por compraventa.</w:t>
      </w:r>
      <w:r w:rsidR="00D83E55" w:rsidRPr="00280E67">
        <w:rPr>
          <w:bCs/>
          <w:sz w:val="24"/>
          <w:szCs w:val="24"/>
          <w:lang w:val="es-ES" w:eastAsia="es-ES"/>
        </w:rPr>
        <w:t xml:space="preserve"> </w:t>
      </w:r>
      <w:r w:rsidR="00DC2A7A" w:rsidRPr="00280E67">
        <w:rPr>
          <w:bCs/>
          <w:sz w:val="24"/>
          <w:szCs w:val="24"/>
          <w:lang w:val="es-ES" w:eastAsia="es-ES"/>
        </w:rPr>
        <w:t>Respecto del desacatamiento de la cláusula trece, expresó que la contratación de los servicios comp</w:t>
      </w:r>
      <w:r w:rsidR="00771FE5" w:rsidRPr="00280E67">
        <w:rPr>
          <w:bCs/>
          <w:sz w:val="24"/>
          <w:szCs w:val="24"/>
          <w:lang w:val="es-ES" w:eastAsia="es-ES"/>
        </w:rPr>
        <w:t>lementarios realizados por Somos</w:t>
      </w:r>
      <w:r w:rsidR="00DC2A7A" w:rsidRPr="00280E67">
        <w:rPr>
          <w:bCs/>
          <w:sz w:val="24"/>
          <w:szCs w:val="24"/>
          <w:lang w:val="es-ES" w:eastAsia="es-ES"/>
        </w:rPr>
        <w:t xml:space="preserve"> K contó con la aprobación previa de la junta directiva de GIT Masivo; </w:t>
      </w:r>
      <w:r w:rsidR="001A08BD" w:rsidRPr="00280E67">
        <w:rPr>
          <w:bCs/>
          <w:sz w:val="24"/>
          <w:szCs w:val="24"/>
          <w:lang w:val="es-ES" w:eastAsia="es-ES"/>
        </w:rPr>
        <w:t>razón por la</w:t>
      </w:r>
      <w:r w:rsidR="00771FE5" w:rsidRPr="00280E67">
        <w:rPr>
          <w:bCs/>
          <w:sz w:val="24"/>
          <w:szCs w:val="24"/>
          <w:lang w:val="es-ES" w:eastAsia="es-ES"/>
        </w:rPr>
        <w:t xml:space="preserve"> que</w:t>
      </w:r>
      <w:r w:rsidR="00DC2A7A" w:rsidRPr="00280E67">
        <w:rPr>
          <w:bCs/>
          <w:sz w:val="24"/>
          <w:szCs w:val="24"/>
          <w:lang w:val="es-ES" w:eastAsia="es-ES"/>
        </w:rPr>
        <w:t xml:space="preserve"> </w:t>
      </w:r>
      <w:r w:rsidR="001A08BD" w:rsidRPr="00280E67">
        <w:rPr>
          <w:bCs/>
          <w:sz w:val="24"/>
          <w:szCs w:val="24"/>
          <w:lang w:val="es-ES" w:eastAsia="es-ES"/>
        </w:rPr>
        <w:t xml:space="preserve">se encontraban satisfechos </w:t>
      </w:r>
      <w:r w:rsidR="00771FE5" w:rsidRPr="00280E67">
        <w:rPr>
          <w:bCs/>
          <w:sz w:val="24"/>
          <w:szCs w:val="24"/>
          <w:lang w:val="es-ES" w:eastAsia="es-ES"/>
        </w:rPr>
        <w:t>los requerimientos estipulados en el contrato</w:t>
      </w:r>
      <w:r w:rsidR="00EA1A9C" w:rsidRPr="00280E67">
        <w:rPr>
          <w:bCs/>
          <w:sz w:val="24"/>
          <w:szCs w:val="24"/>
          <w:lang w:val="es-ES" w:eastAsia="es-ES"/>
        </w:rPr>
        <w:t xml:space="preserve"> para ese tipo de negocios</w:t>
      </w:r>
      <w:r w:rsidR="00771FE5" w:rsidRPr="00280E67">
        <w:rPr>
          <w:bCs/>
          <w:sz w:val="24"/>
          <w:szCs w:val="24"/>
          <w:lang w:val="es-ES" w:eastAsia="es-ES"/>
        </w:rPr>
        <w:t>.</w:t>
      </w:r>
    </w:p>
    <w:p w14:paraId="03C08530" w14:textId="12780A47" w:rsidR="00027850" w:rsidRPr="00280E67" w:rsidRDefault="00027850" w:rsidP="003C2DB0">
      <w:pPr>
        <w:spacing w:line="276" w:lineRule="auto"/>
        <w:rPr>
          <w:sz w:val="24"/>
          <w:szCs w:val="24"/>
          <w:lang w:val="es-ES" w:eastAsia="es-ES"/>
        </w:rPr>
      </w:pPr>
    </w:p>
    <w:p w14:paraId="0BC22907" w14:textId="7A66B49B" w:rsidR="00027850" w:rsidRPr="00280E67" w:rsidRDefault="00027850" w:rsidP="003C2DB0">
      <w:pPr>
        <w:tabs>
          <w:tab w:val="left" w:pos="1985"/>
        </w:tabs>
        <w:spacing w:line="276" w:lineRule="auto"/>
        <w:rPr>
          <w:rFonts w:eastAsia="Times New Roman"/>
          <w:bCs/>
          <w:sz w:val="24"/>
          <w:szCs w:val="24"/>
          <w:lang w:eastAsia="es-ES"/>
        </w:rPr>
      </w:pPr>
      <w:r w:rsidRPr="00280E67">
        <w:rPr>
          <w:b/>
          <w:sz w:val="24"/>
          <w:szCs w:val="24"/>
          <w:lang w:val="es-ES" w:eastAsia="es-ES"/>
        </w:rPr>
        <w:t xml:space="preserve">2.9. </w:t>
      </w:r>
      <w:r w:rsidRPr="00280E67">
        <w:rPr>
          <w:rFonts w:eastAsia="Times New Roman"/>
          <w:bCs/>
          <w:sz w:val="24"/>
          <w:szCs w:val="24"/>
          <w:lang w:val="es-ES" w:eastAsia="es-ES"/>
        </w:rPr>
        <w:t xml:space="preserve">Inconforme con </w:t>
      </w:r>
      <w:r w:rsidR="008C2028" w:rsidRPr="00280E67">
        <w:rPr>
          <w:rFonts w:eastAsia="Times New Roman"/>
          <w:bCs/>
          <w:sz w:val="24"/>
          <w:szCs w:val="24"/>
          <w:lang w:val="es-ES" w:eastAsia="es-ES"/>
        </w:rPr>
        <w:t>el laudo arbitral</w:t>
      </w:r>
      <w:r w:rsidRPr="00280E67">
        <w:rPr>
          <w:rFonts w:eastAsia="Times New Roman"/>
          <w:bCs/>
          <w:sz w:val="24"/>
          <w:szCs w:val="24"/>
          <w:lang w:val="es-ES" w:eastAsia="es-ES"/>
        </w:rPr>
        <w:t xml:space="preserve">, </w:t>
      </w:r>
      <w:r w:rsidRPr="00280E67">
        <w:rPr>
          <w:rFonts w:eastAsia="Times New Roman"/>
          <w:bCs/>
          <w:sz w:val="24"/>
          <w:szCs w:val="24"/>
          <w:lang w:eastAsia="es-ES"/>
        </w:rPr>
        <w:t>Transfuvalle interpuso recurso de anulación, el 22 de enero de 2020</w:t>
      </w:r>
      <w:r w:rsidR="007038A9" w:rsidRPr="00280E67">
        <w:rPr>
          <w:rFonts w:eastAsia="Times New Roman"/>
          <w:bCs/>
          <w:sz w:val="24"/>
          <w:szCs w:val="24"/>
          <w:lang w:eastAsia="es-ES"/>
        </w:rPr>
        <w:t>.</w:t>
      </w:r>
      <w:r w:rsidRPr="00280E67">
        <w:rPr>
          <w:rFonts w:eastAsia="Times New Roman"/>
          <w:bCs/>
          <w:sz w:val="24"/>
          <w:szCs w:val="24"/>
          <w:lang w:eastAsia="es-ES"/>
        </w:rPr>
        <w:t xml:space="preserve"> La parte recurrente invocó las causales previstas en los </w:t>
      </w:r>
      <w:r w:rsidRPr="00280E67">
        <w:rPr>
          <w:rFonts w:eastAsia="Times New Roman"/>
          <w:bCs/>
          <w:sz w:val="24"/>
          <w:szCs w:val="24"/>
          <w:lang w:eastAsia="es-ES"/>
        </w:rPr>
        <w:lastRenderedPageBreak/>
        <w:t>numerales 2</w:t>
      </w:r>
      <w:r w:rsidR="00056943">
        <w:rPr>
          <w:rFonts w:eastAsia="Times New Roman"/>
          <w:bCs/>
          <w:sz w:val="24"/>
          <w:szCs w:val="24"/>
          <w:lang w:eastAsia="es-ES"/>
        </w:rPr>
        <w:t>º</w:t>
      </w:r>
      <w:r w:rsidRPr="00280E67">
        <w:rPr>
          <w:rFonts w:eastAsia="Times New Roman"/>
          <w:bCs/>
          <w:sz w:val="24"/>
          <w:szCs w:val="24"/>
          <w:vertAlign w:val="superscript"/>
          <w:lang w:eastAsia="es-ES"/>
        </w:rPr>
        <w:footnoteReference w:id="11"/>
      </w:r>
      <w:r w:rsidRPr="00280E67">
        <w:rPr>
          <w:rFonts w:eastAsia="Times New Roman"/>
          <w:bCs/>
          <w:sz w:val="24"/>
          <w:szCs w:val="24"/>
          <w:lang w:eastAsia="es-ES"/>
        </w:rPr>
        <w:t>, 5°</w:t>
      </w:r>
      <w:r w:rsidRPr="00280E67">
        <w:rPr>
          <w:rFonts w:eastAsia="Times New Roman"/>
          <w:bCs/>
          <w:sz w:val="24"/>
          <w:szCs w:val="24"/>
          <w:vertAlign w:val="superscript"/>
          <w:lang w:eastAsia="es-ES"/>
        </w:rPr>
        <w:footnoteReference w:id="12"/>
      </w:r>
      <w:r w:rsidRPr="00280E67">
        <w:rPr>
          <w:rFonts w:eastAsia="Times New Roman"/>
          <w:bCs/>
          <w:sz w:val="24"/>
          <w:szCs w:val="24"/>
          <w:lang w:eastAsia="es-ES"/>
        </w:rPr>
        <w:t xml:space="preserve"> y 9°</w:t>
      </w:r>
      <w:r w:rsidRPr="00280E67">
        <w:rPr>
          <w:rFonts w:eastAsia="Times New Roman"/>
          <w:bCs/>
          <w:sz w:val="24"/>
          <w:szCs w:val="24"/>
          <w:vertAlign w:val="superscript"/>
          <w:lang w:eastAsia="es-ES"/>
        </w:rPr>
        <w:footnoteReference w:id="13"/>
      </w:r>
      <w:r w:rsidRPr="00280E67">
        <w:rPr>
          <w:rFonts w:eastAsia="Times New Roman"/>
          <w:bCs/>
          <w:sz w:val="24"/>
          <w:szCs w:val="24"/>
          <w:lang w:eastAsia="es-ES"/>
        </w:rPr>
        <w:t xml:space="preserve"> del artículo 41 del Estatuto de Arbitraje Nacional e Internacional (Ley 1563 de 2012)</w:t>
      </w:r>
      <w:r w:rsidRPr="00280E67">
        <w:rPr>
          <w:rFonts w:eastAsia="Times New Roman"/>
          <w:bCs/>
          <w:sz w:val="24"/>
          <w:szCs w:val="24"/>
          <w:vertAlign w:val="superscript"/>
          <w:lang w:eastAsia="es-ES"/>
        </w:rPr>
        <w:footnoteReference w:id="14"/>
      </w:r>
      <w:r w:rsidRPr="00280E67">
        <w:rPr>
          <w:rFonts w:eastAsia="Times New Roman"/>
          <w:bCs/>
          <w:sz w:val="24"/>
          <w:szCs w:val="24"/>
          <w:lang w:eastAsia="es-ES"/>
        </w:rPr>
        <w:t>.</w:t>
      </w:r>
    </w:p>
    <w:p w14:paraId="32ACB9ED" w14:textId="77777777" w:rsidR="00027850" w:rsidRPr="00280E67" w:rsidRDefault="00027850" w:rsidP="003C2DB0">
      <w:pPr>
        <w:tabs>
          <w:tab w:val="left" w:pos="1985"/>
        </w:tabs>
        <w:spacing w:line="276" w:lineRule="auto"/>
        <w:rPr>
          <w:rFonts w:eastAsia="Times New Roman"/>
          <w:bCs/>
          <w:sz w:val="24"/>
          <w:szCs w:val="24"/>
          <w:lang w:eastAsia="es-ES"/>
        </w:rPr>
      </w:pPr>
    </w:p>
    <w:p w14:paraId="27657E68" w14:textId="3B73705D" w:rsidR="00027850" w:rsidRPr="00280E67" w:rsidRDefault="00027850" w:rsidP="003C2DB0">
      <w:pPr>
        <w:tabs>
          <w:tab w:val="left" w:pos="1985"/>
        </w:tabs>
        <w:spacing w:line="276" w:lineRule="auto"/>
        <w:rPr>
          <w:rFonts w:eastAsia="Times New Roman"/>
          <w:bCs/>
          <w:sz w:val="24"/>
          <w:szCs w:val="24"/>
          <w:lang w:eastAsia="es-ES"/>
        </w:rPr>
      </w:pPr>
      <w:r w:rsidRPr="00280E67">
        <w:rPr>
          <w:rFonts w:eastAsia="Times New Roman"/>
          <w:b/>
          <w:bCs/>
          <w:sz w:val="24"/>
          <w:szCs w:val="24"/>
          <w:lang w:eastAsia="es-ES"/>
        </w:rPr>
        <w:t xml:space="preserve">2.10. </w:t>
      </w:r>
      <w:r w:rsidRPr="00280E67">
        <w:rPr>
          <w:rFonts w:eastAsia="Times New Roman"/>
          <w:bCs/>
          <w:sz w:val="24"/>
          <w:szCs w:val="24"/>
          <w:lang w:eastAsia="es-ES"/>
        </w:rPr>
        <w:t xml:space="preserve">La Sala Civil del Tribunal Superior del Distrito de Cali, con providencia del 27 de julio de 2020, </w:t>
      </w:r>
      <w:r w:rsidR="007F6ADF" w:rsidRPr="00280E67">
        <w:rPr>
          <w:rFonts w:eastAsia="Times New Roman"/>
          <w:bCs/>
          <w:sz w:val="24"/>
          <w:szCs w:val="24"/>
          <w:lang w:eastAsia="es-ES"/>
        </w:rPr>
        <w:t xml:space="preserve">tras advertir que procedería al estudio de los argumentos que sustentaban la causal novena del artículo 41 de la Ley 1563 de 2012, bajo la </w:t>
      </w:r>
      <w:r w:rsidR="007F6ADF" w:rsidRPr="00632238">
        <w:rPr>
          <w:rFonts w:eastAsia="Times New Roman"/>
          <w:bCs/>
          <w:sz w:val="24"/>
          <w:szCs w:val="24"/>
          <w:lang w:eastAsia="es-ES"/>
        </w:rPr>
        <w:t>causal</w:t>
      </w:r>
      <w:r w:rsidR="007F6ADF" w:rsidRPr="00280E67">
        <w:rPr>
          <w:rFonts w:eastAsia="Times New Roman"/>
          <w:bCs/>
          <w:sz w:val="24"/>
          <w:szCs w:val="24"/>
          <w:lang w:eastAsia="es-ES"/>
        </w:rPr>
        <w:t xml:space="preserve"> segunda de la misma norma, sin que ello comportara desconocimiento del principio de congruencia, </w:t>
      </w:r>
      <w:r w:rsidRPr="00280E67">
        <w:rPr>
          <w:rFonts w:eastAsia="Times New Roman"/>
          <w:bCs/>
          <w:sz w:val="24"/>
          <w:szCs w:val="24"/>
          <w:lang w:eastAsia="es-ES"/>
        </w:rPr>
        <w:t xml:space="preserve">declaró infundado el recurso de anulación interpuesto por la parte </w:t>
      </w:r>
      <w:r w:rsidR="00D02709" w:rsidRPr="00280E67">
        <w:rPr>
          <w:rFonts w:eastAsia="Times New Roman"/>
          <w:bCs/>
          <w:sz w:val="24"/>
          <w:szCs w:val="24"/>
          <w:lang w:eastAsia="es-ES"/>
        </w:rPr>
        <w:t>convocante</w:t>
      </w:r>
      <w:r w:rsidRPr="00280E67">
        <w:rPr>
          <w:rFonts w:eastAsia="Times New Roman"/>
          <w:bCs/>
          <w:sz w:val="24"/>
          <w:szCs w:val="24"/>
          <w:lang w:eastAsia="es-ES"/>
        </w:rPr>
        <w:t>. Como sustento de su decisión, esa autoridad judicial adujo que: (i)</w:t>
      </w:r>
      <w:r w:rsidR="007F6ADF" w:rsidRPr="00280E67">
        <w:rPr>
          <w:rFonts w:eastAsia="Times New Roman"/>
          <w:bCs/>
          <w:sz w:val="24"/>
          <w:szCs w:val="24"/>
          <w:lang w:eastAsia="es-ES"/>
        </w:rPr>
        <w:t xml:space="preserve"> </w:t>
      </w:r>
      <w:r w:rsidR="006F5132" w:rsidRPr="00280E67">
        <w:rPr>
          <w:rFonts w:eastAsia="Times New Roman"/>
          <w:bCs/>
          <w:sz w:val="24"/>
          <w:szCs w:val="24"/>
          <w:lang w:eastAsia="es-ES"/>
        </w:rPr>
        <w:t>la parte recurrente</w:t>
      </w:r>
      <w:r w:rsidR="007F6ADF" w:rsidRPr="00280E67">
        <w:rPr>
          <w:rFonts w:eastAsia="Times New Roman"/>
          <w:bCs/>
          <w:sz w:val="24"/>
          <w:szCs w:val="24"/>
          <w:lang w:eastAsia="es-ES"/>
        </w:rPr>
        <w:t xml:space="preserve"> había incumplido </w:t>
      </w:r>
      <w:r w:rsidRPr="00280E67">
        <w:rPr>
          <w:rFonts w:eastAsia="Times New Roman"/>
          <w:bCs/>
          <w:sz w:val="24"/>
          <w:szCs w:val="24"/>
          <w:lang w:eastAsia="es-ES"/>
        </w:rPr>
        <w:t xml:space="preserve">el requisito de procedibilidad exigido </w:t>
      </w:r>
      <w:r w:rsidR="006F5132" w:rsidRPr="00280E67">
        <w:rPr>
          <w:rFonts w:eastAsia="Times New Roman"/>
          <w:bCs/>
          <w:sz w:val="24"/>
          <w:szCs w:val="24"/>
          <w:lang w:eastAsia="es-ES"/>
        </w:rPr>
        <w:t>para invocar</w:t>
      </w:r>
      <w:r w:rsidRPr="00280E67">
        <w:rPr>
          <w:rFonts w:eastAsia="Times New Roman"/>
          <w:bCs/>
          <w:sz w:val="24"/>
          <w:szCs w:val="24"/>
          <w:lang w:eastAsia="es-ES"/>
        </w:rPr>
        <w:t xml:space="preserve"> la causal </w:t>
      </w:r>
      <w:r w:rsidR="00267434" w:rsidRPr="00280E67">
        <w:rPr>
          <w:rFonts w:eastAsia="Times New Roman"/>
          <w:bCs/>
          <w:sz w:val="24"/>
          <w:szCs w:val="24"/>
          <w:lang w:eastAsia="es-ES"/>
        </w:rPr>
        <w:t>segunda</w:t>
      </w:r>
      <w:r w:rsidRPr="00280E67">
        <w:rPr>
          <w:rFonts w:eastAsia="Times New Roman"/>
          <w:bCs/>
          <w:sz w:val="24"/>
          <w:szCs w:val="24"/>
          <w:lang w:eastAsia="es-ES"/>
        </w:rPr>
        <w:t>; y (ii) no enc</w:t>
      </w:r>
      <w:r w:rsidR="007038A9" w:rsidRPr="00280E67">
        <w:rPr>
          <w:rFonts w:eastAsia="Times New Roman"/>
          <w:bCs/>
          <w:sz w:val="24"/>
          <w:szCs w:val="24"/>
          <w:lang w:eastAsia="es-ES"/>
        </w:rPr>
        <w:t>ontraba</w:t>
      </w:r>
      <w:r w:rsidRPr="00280E67">
        <w:rPr>
          <w:rFonts w:eastAsia="Times New Roman"/>
          <w:bCs/>
          <w:sz w:val="24"/>
          <w:szCs w:val="24"/>
          <w:lang w:eastAsia="es-ES"/>
        </w:rPr>
        <w:t xml:space="preserve"> satisfechas las exigencias de la causal quinta, pues los medios de prueba invocados no t</w:t>
      </w:r>
      <w:r w:rsidR="007038A9" w:rsidRPr="00280E67">
        <w:rPr>
          <w:rFonts w:eastAsia="Times New Roman"/>
          <w:bCs/>
          <w:sz w:val="24"/>
          <w:szCs w:val="24"/>
          <w:lang w:eastAsia="es-ES"/>
        </w:rPr>
        <w:t>enían</w:t>
      </w:r>
      <w:r w:rsidRPr="00280E67">
        <w:rPr>
          <w:rFonts w:eastAsia="Times New Roman"/>
          <w:bCs/>
          <w:sz w:val="24"/>
          <w:szCs w:val="24"/>
          <w:lang w:eastAsia="es-ES"/>
        </w:rPr>
        <w:t xml:space="preserve"> incidencia en la decisión</w:t>
      </w:r>
      <w:r w:rsidRPr="00280E67">
        <w:rPr>
          <w:rFonts w:eastAsia="Times New Roman"/>
          <w:bCs/>
          <w:sz w:val="24"/>
          <w:szCs w:val="24"/>
          <w:vertAlign w:val="superscript"/>
          <w:lang w:eastAsia="es-ES"/>
        </w:rPr>
        <w:footnoteReference w:id="15"/>
      </w:r>
      <w:r w:rsidRPr="00280E67">
        <w:rPr>
          <w:rFonts w:eastAsia="Times New Roman"/>
          <w:bCs/>
          <w:sz w:val="24"/>
          <w:szCs w:val="24"/>
          <w:lang w:eastAsia="es-ES"/>
        </w:rPr>
        <w:t>.</w:t>
      </w:r>
    </w:p>
    <w:p w14:paraId="7BAF364B" w14:textId="77777777" w:rsidR="00027850" w:rsidRPr="00280E67" w:rsidRDefault="00027850" w:rsidP="003C2DB0">
      <w:pPr>
        <w:spacing w:line="276" w:lineRule="auto"/>
        <w:contextualSpacing/>
        <w:rPr>
          <w:b/>
          <w:sz w:val="24"/>
          <w:szCs w:val="24"/>
        </w:rPr>
      </w:pPr>
    </w:p>
    <w:p w14:paraId="0BC2C546" w14:textId="77777777" w:rsidR="00027850" w:rsidRPr="00280E67" w:rsidRDefault="00027850" w:rsidP="003C2DB0">
      <w:pPr>
        <w:overflowPunct w:val="0"/>
        <w:autoSpaceDE w:val="0"/>
        <w:autoSpaceDN w:val="0"/>
        <w:adjustRightInd w:val="0"/>
        <w:spacing w:line="276" w:lineRule="auto"/>
        <w:contextualSpacing/>
        <w:rPr>
          <w:rFonts w:eastAsia="Times New Roman"/>
          <w:b/>
          <w:sz w:val="24"/>
          <w:szCs w:val="24"/>
          <w:lang w:eastAsia="es-ES"/>
        </w:rPr>
      </w:pPr>
      <w:r w:rsidRPr="00280E67">
        <w:rPr>
          <w:rFonts w:eastAsia="Times New Roman"/>
          <w:b/>
          <w:sz w:val="24"/>
          <w:szCs w:val="24"/>
          <w:lang w:eastAsia="es-ES"/>
        </w:rPr>
        <w:t>3. Pretensiones de tutela</w:t>
      </w:r>
      <w:r w:rsidRPr="00280E67">
        <w:rPr>
          <w:bCs/>
          <w:sz w:val="24"/>
          <w:szCs w:val="24"/>
          <w:lang w:val="es-ES" w:eastAsia="en-US"/>
        </w:rPr>
        <w:t xml:space="preserve"> </w:t>
      </w:r>
    </w:p>
    <w:p w14:paraId="4A16C2CE" w14:textId="77777777" w:rsidR="00027850" w:rsidRPr="00280E67" w:rsidRDefault="00027850" w:rsidP="003C2DB0">
      <w:pPr>
        <w:overflowPunct w:val="0"/>
        <w:autoSpaceDE w:val="0"/>
        <w:autoSpaceDN w:val="0"/>
        <w:adjustRightInd w:val="0"/>
        <w:spacing w:line="276" w:lineRule="auto"/>
        <w:contextualSpacing/>
        <w:rPr>
          <w:rFonts w:eastAsia="Times New Roman"/>
          <w:sz w:val="24"/>
          <w:szCs w:val="24"/>
          <w:lang w:eastAsia="es-ES"/>
        </w:rPr>
      </w:pPr>
    </w:p>
    <w:p w14:paraId="663C3166" w14:textId="10F73216" w:rsidR="00027850" w:rsidRPr="00280E67" w:rsidRDefault="00027850" w:rsidP="003C2DB0">
      <w:pPr>
        <w:overflowPunct w:val="0"/>
        <w:autoSpaceDE w:val="0"/>
        <w:autoSpaceDN w:val="0"/>
        <w:adjustRightInd w:val="0"/>
        <w:spacing w:line="276" w:lineRule="auto"/>
        <w:contextualSpacing/>
        <w:rPr>
          <w:rFonts w:eastAsia="Times New Roman"/>
          <w:sz w:val="24"/>
          <w:szCs w:val="24"/>
          <w:lang w:eastAsia="es-ES"/>
        </w:rPr>
      </w:pPr>
      <w:r w:rsidRPr="00280E67">
        <w:rPr>
          <w:rFonts w:eastAsia="Times New Roman"/>
          <w:b/>
          <w:sz w:val="24"/>
          <w:szCs w:val="24"/>
          <w:lang w:eastAsia="es-ES"/>
        </w:rPr>
        <w:t xml:space="preserve">3.1. </w:t>
      </w:r>
      <w:r w:rsidRPr="00280E67">
        <w:rPr>
          <w:rFonts w:eastAsia="Times New Roman"/>
          <w:sz w:val="24"/>
          <w:szCs w:val="24"/>
          <w:lang w:eastAsia="es-ES"/>
        </w:rPr>
        <w:t>La parte accionante pretende que se amparen los derechos fundamentales invocados y, que, en consecuencia, se deje</w:t>
      </w:r>
      <w:r w:rsidR="00D02709" w:rsidRPr="00280E67">
        <w:rPr>
          <w:rFonts w:eastAsia="Times New Roman"/>
          <w:sz w:val="24"/>
          <w:szCs w:val="24"/>
          <w:lang w:eastAsia="es-ES"/>
        </w:rPr>
        <w:t xml:space="preserve"> sin efecto</w:t>
      </w:r>
      <w:r w:rsidRPr="00280E67">
        <w:rPr>
          <w:rFonts w:eastAsia="Times New Roman"/>
          <w:sz w:val="24"/>
          <w:szCs w:val="24"/>
          <w:lang w:eastAsia="es-ES"/>
        </w:rPr>
        <w:t xml:space="preserve"> el laudo arbitral reprochado.</w:t>
      </w:r>
    </w:p>
    <w:p w14:paraId="2E400AB8" w14:textId="77777777" w:rsidR="00027850" w:rsidRPr="00280E67" w:rsidRDefault="00027850" w:rsidP="003C2DB0">
      <w:pPr>
        <w:overflowPunct w:val="0"/>
        <w:autoSpaceDE w:val="0"/>
        <w:autoSpaceDN w:val="0"/>
        <w:adjustRightInd w:val="0"/>
        <w:spacing w:line="276" w:lineRule="auto"/>
        <w:contextualSpacing/>
        <w:rPr>
          <w:rFonts w:eastAsia="Times New Roman"/>
          <w:sz w:val="24"/>
          <w:szCs w:val="24"/>
          <w:lang w:eastAsia="es-ES"/>
        </w:rPr>
      </w:pPr>
    </w:p>
    <w:p w14:paraId="69E80790" w14:textId="160154A7" w:rsidR="00027850" w:rsidRPr="00280E67" w:rsidRDefault="00027850" w:rsidP="003C2DB0">
      <w:pPr>
        <w:overflowPunct w:val="0"/>
        <w:autoSpaceDE w:val="0"/>
        <w:autoSpaceDN w:val="0"/>
        <w:adjustRightInd w:val="0"/>
        <w:spacing w:line="276" w:lineRule="auto"/>
        <w:contextualSpacing/>
        <w:rPr>
          <w:rFonts w:eastAsia="Times New Roman"/>
          <w:sz w:val="24"/>
          <w:szCs w:val="24"/>
          <w:lang w:eastAsia="es-ES"/>
        </w:rPr>
      </w:pPr>
      <w:r w:rsidRPr="00280E67">
        <w:rPr>
          <w:rFonts w:eastAsia="Times New Roman"/>
          <w:sz w:val="24"/>
          <w:szCs w:val="24"/>
          <w:lang w:eastAsia="es-ES"/>
        </w:rPr>
        <w:t>Como pretensión subsi</w:t>
      </w:r>
      <w:r w:rsidR="006F5132" w:rsidRPr="00280E67">
        <w:rPr>
          <w:rFonts w:eastAsia="Times New Roman"/>
          <w:sz w:val="24"/>
          <w:szCs w:val="24"/>
          <w:lang w:eastAsia="es-ES"/>
        </w:rPr>
        <w:t xml:space="preserve">diaria, </w:t>
      </w:r>
      <w:r w:rsidR="007038A9" w:rsidRPr="00280E67">
        <w:rPr>
          <w:rFonts w:eastAsia="Times New Roman"/>
          <w:sz w:val="24"/>
          <w:szCs w:val="24"/>
          <w:lang w:eastAsia="es-ES"/>
        </w:rPr>
        <w:t xml:space="preserve">pide </w:t>
      </w:r>
      <w:r w:rsidRPr="00280E67">
        <w:rPr>
          <w:rFonts w:eastAsia="Times New Roman"/>
          <w:sz w:val="24"/>
          <w:szCs w:val="24"/>
          <w:lang w:eastAsia="es-ES"/>
        </w:rPr>
        <w:t>que se ordene al Tribunal de Arbitramento que (i) profiera un laudo de reemplazo en el que respete “la competencia que ese mismo Tribunal definió de manera expresa, desde la primera audiencia de trámite y siguientes actuaciones del proceso arbitral”</w:t>
      </w:r>
      <w:r w:rsidR="00CE2681" w:rsidRPr="00280E67">
        <w:rPr>
          <w:rFonts w:eastAsia="Times New Roman"/>
          <w:sz w:val="24"/>
          <w:szCs w:val="24"/>
          <w:vertAlign w:val="superscript"/>
          <w:lang w:eastAsia="es-ES"/>
        </w:rPr>
        <w:footnoteReference w:id="16"/>
      </w:r>
      <w:r w:rsidRPr="00280E67">
        <w:rPr>
          <w:rFonts w:eastAsia="Times New Roman"/>
          <w:sz w:val="24"/>
          <w:szCs w:val="24"/>
          <w:lang w:eastAsia="es-ES"/>
        </w:rPr>
        <w:t>; y (ii) que practique el medio de prueba de “exhibición de documentos de manera total a la sociedad GIT MASIVO, tal y como fue decretada”</w:t>
      </w:r>
      <w:r w:rsidR="00CE2681" w:rsidRPr="00280E67">
        <w:rPr>
          <w:rStyle w:val="Refdenotaalpie"/>
          <w:rFonts w:eastAsia="Times New Roman"/>
          <w:sz w:val="24"/>
          <w:szCs w:val="24"/>
          <w:lang w:eastAsia="es-ES"/>
        </w:rPr>
        <w:footnoteReference w:id="17"/>
      </w:r>
      <w:r w:rsidRPr="00280E67">
        <w:rPr>
          <w:rFonts w:eastAsia="Times New Roman"/>
          <w:sz w:val="24"/>
          <w:szCs w:val="24"/>
          <w:lang w:eastAsia="es-ES"/>
        </w:rPr>
        <w:t>.</w:t>
      </w:r>
    </w:p>
    <w:p w14:paraId="05770D89" w14:textId="77777777" w:rsidR="00027850" w:rsidRPr="00280E67" w:rsidRDefault="00027850" w:rsidP="003C2DB0">
      <w:pPr>
        <w:overflowPunct w:val="0"/>
        <w:autoSpaceDE w:val="0"/>
        <w:autoSpaceDN w:val="0"/>
        <w:adjustRightInd w:val="0"/>
        <w:spacing w:line="276" w:lineRule="auto"/>
        <w:contextualSpacing/>
        <w:rPr>
          <w:rFonts w:eastAsia="Times New Roman"/>
          <w:sz w:val="24"/>
          <w:szCs w:val="24"/>
          <w:lang w:eastAsia="es-ES"/>
        </w:rPr>
      </w:pPr>
    </w:p>
    <w:p w14:paraId="6A3025DF" w14:textId="77777777" w:rsidR="00D02709" w:rsidRPr="00280E67" w:rsidRDefault="00027850" w:rsidP="003C2DB0">
      <w:pPr>
        <w:overflowPunct w:val="0"/>
        <w:autoSpaceDE w:val="0"/>
        <w:autoSpaceDN w:val="0"/>
        <w:adjustRightInd w:val="0"/>
        <w:spacing w:line="276" w:lineRule="auto"/>
        <w:contextualSpacing/>
        <w:rPr>
          <w:rFonts w:eastAsia="Times New Roman"/>
          <w:sz w:val="24"/>
          <w:szCs w:val="24"/>
          <w:lang w:eastAsia="es-ES"/>
        </w:rPr>
      </w:pPr>
      <w:r w:rsidRPr="00280E67">
        <w:rPr>
          <w:rFonts w:eastAsia="Times New Roman"/>
          <w:b/>
          <w:sz w:val="24"/>
          <w:szCs w:val="24"/>
          <w:lang w:eastAsia="es-ES"/>
        </w:rPr>
        <w:t xml:space="preserve">3.2. </w:t>
      </w:r>
      <w:r w:rsidRPr="00280E67">
        <w:rPr>
          <w:rFonts w:eastAsia="Times New Roman"/>
          <w:sz w:val="24"/>
          <w:szCs w:val="24"/>
          <w:lang w:eastAsia="es-ES"/>
        </w:rPr>
        <w:t>En segundo lugar, el actor solicita que se tutelen sus garantías constitucionales, y que, en consecuencia, se deje sin efecto la providencia de la Sala Civil del Tribunal Superior de Cali.</w:t>
      </w:r>
      <w:r w:rsidR="00D02709" w:rsidRPr="00280E67">
        <w:rPr>
          <w:rFonts w:eastAsia="Times New Roman"/>
          <w:sz w:val="24"/>
          <w:szCs w:val="24"/>
          <w:lang w:eastAsia="es-ES"/>
        </w:rPr>
        <w:t xml:space="preserve"> </w:t>
      </w:r>
    </w:p>
    <w:p w14:paraId="34BE50E4" w14:textId="77777777" w:rsidR="00D02709" w:rsidRPr="00280E67" w:rsidRDefault="00D02709" w:rsidP="003C2DB0">
      <w:pPr>
        <w:overflowPunct w:val="0"/>
        <w:autoSpaceDE w:val="0"/>
        <w:autoSpaceDN w:val="0"/>
        <w:adjustRightInd w:val="0"/>
        <w:spacing w:line="276" w:lineRule="auto"/>
        <w:contextualSpacing/>
        <w:rPr>
          <w:rFonts w:eastAsia="Times New Roman"/>
          <w:sz w:val="24"/>
          <w:szCs w:val="24"/>
          <w:lang w:eastAsia="es-ES"/>
        </w:rPr>
      </w:pPr>
    </w:p>
    <w:p w14:paraId="1460C884" w14:textId="5FACD3CB" w:rsidR="00027850" w:rsidRPr="00280E67" w:rsidRDefault="00027850" w:rsidP="003C2DB0">
      <w:pPr>
        <w:overflowPunct w:val="0"/>
        <w:autoSpaceDE w:val="0"/>
        <w:autoSpaceDN w:val="0"/>
        <w:adjustRightInd w:val="0"/>
        <w:spacing w:line="276" w:lineRule="auto"/>
        <w:contextualSpacing/>
        <w:rPr>
          <w:rFonts w:eastAsia="Times New Roman"/>
          <w:sz w:val="24"/>
          <w:szCs w:val="24"/>
          <w:lang w:eastAsia="es-ES"/>
        </w:rPr>
      </w:pPr>
      <w:r w:rsidRPr="00280E67">
        <w:rPr>
          <w:rFonts w:eastAsia="Times New Roman"/>
          <w:sz w:val="24"/>
          <w:szCs w:val="24"/>
          <w:lang w:eastAsia="es-ES"/>
        </w:rPr>
        <w:t>Como petición consecuencial de esta última, s</w:t>
      </w:r>
      <w:r w:rsidR="006D5982">
        <w:rPr>
          <w:rFonts w:eastAsia="Times New Roman"/>
          <w:sz w:val="24"/>
          <w:szCs w:val="24"/>
          <w:lang w:eastAsia="es-ES"/>
        </w:rPr>
        <w:t>u</w:t>
      </w:r>
      <w:r w:rsidRPr="00280E67">
        <w:rPr>
          <w:rFonts w:eastAsia="Times New Roman"/>
          <w:sz w:val="24"/>
          <w:szCs w:val="24"/>
          <w:lang w:eastAsia="es-ES"/>
        </w:rPr>
        <w:t>plica que se ordene a la Sala Civil del Tribunal Superior de Cali que “avoque su competencia y resuelva de fondo los aspectos relacionados con las causales invocadas, (numeral 2, 5 y 9 del artículo 41 de la Ley 1563 de 2012)”</w:t>
      </w:r>
      <w:r w:rsidR="00CE2681" w:rsidRPr="00280E67">
        <w:rPr>
          <w:rStyle w:val="Refdenotaalpie"/>
          <w:rFonts w:eastAsia="Times New Roman"/>
          <w:sz w:val="24"/>
          <w:szCs w:val="24"/>
          <w:lang w:eastAsia="es-ES"/>
        </w:rPr>
        <w:footnoteReference w:id="18"/>
      </w:r>
      <w:r w:rsidRPr="00280E67">
        <w:rPr>
          <w:rFonts w:eastAsia="Times New Roman"/>
          <w:sz w:val="24"/>
          <w:szCs w:val="24"/>
          <w:lang w:eastAsia="es-ES"/>
        </w:rPr>
        <w:t>.</w:t>
      </w:r>
    </w:p>
    <w:p w14:paraId="5FF93CE7" w14:textId="78BC433A" w:rsidR="00027850" w:rsidRPr="00280E67" w:rsidRDefault="00027850" w:rsidP="003C2DB0">
      <w:pPr>
        <w:overflowPunct w:val="0"/>
        <w:autoSpaceDE w:val="0"/>
        <w:autoSpaceDN w:val="0"/>
        <w:adjustRightInd w:val="0"/>
        <w:spacing w:line="276" w:lineRule="auto"/>
        <w:contextualSpacing/>
        <w:rPr>
          <w:rFonts w:eastAsia="Times New Roman"/>
          <w:bCs/>
          <w:sz w:val="24"/>
          <w:szCs w:val="24"/>
          <w:lang w:eastAsia="es-ES"/>
        </w:rPr>
      </w:pPr>
    </w:p>
    <w:p w14:paraId="54673C4D" w14:textId="3FC93232" w:rsidR="00CF5938" w:rsidRPr="00280E67" w:rsidRDefault="00CF5938" w:rsidP="003C2DB0">
      <w:pPr>
        <w:overflowPunct w:val="0"/>
        <w:autoSpaceDE w:val="0"/>
        <w:autoSpaceDN w:val="0"/>
        <w:adjustRightInd w:val="0"/>
        <w:spacing w:line="276" w:lineRule="auto"/>
        <w:contextualSpacing/>
        <w:rPr>
          <w:rFonts w:eastAsia="Times New Roman"/>
          <w:bCs/>
          <w:sz w:val="24"/>
          <w:szCs w:val="24"/>
          <w:lang w:eastAsia="es-ES"/>
        </w:rPr>
      </w:pPr>
    </w:p>
    <w:p w14:paraId="24977DE2" w14:textId="578548B5" w:rsidR="00DC2A7A" w:rsidRPr="00280E67" w:rsidRDefault="00DC2A7A" w:rsidP="003C2DB0">
      <w:pPr>
        <w:overflowPunct w:val="0"/>
        <w:autoSpaceDE w:val="0"/>
        <w:autoSpaceDN w:val="0"/>
        <w:adjustRightInd w:val="0"/>
        <w:spacing w:line="276" w:lineRule="auto"/>
        <w:contextualSpacing/>
        <w:rPr>
          <w:rFonts w:eastAsia="Times New Roman"/>
          <w:bCs/>
          <w:sz w:val="24"/>
          <w:szCs w:val="24"/>
          <w:lang w:eastAsia="es-ES"/>
        </w:rPr>
      </w:pPr>
    </w:p>
    <w:p w14:paraId="2F43226B" w14:textId="77777777" w:rsidR="00DC2A7A" w:rsidRPr="00280E67" w:rsidRDefault="00DC2A7A" w:rsidP="003C2DB0">
      <w:pPr>
        <w:overflowPunct w:val="0"/>
        <w:autoSpaceDE w:val="0"/>
        <w:autoSpaceDN w:val="0"/>
        <w:adjustRightInd w:val="0"/>
        <w:spacing w:line="276" w:lineRule="auto"/>
        <w:contextualSpacing/>
        <w:rPr>
          <w:rFonts w:eastAsia="Times New Roman"/>
          <w:bCs/>
          <w:sz w:val="24"/>
          <w:szCs w:val="24"/>
          <w:lang w:eastAsia="es-ES"/>
        </w:rPr>
      </w:pPr>
    </w:p>
    <w:p w14:paraId="77A258A9" w14:textId="77777777" w:rsidR="00027850" w:rsidRPr="00280E67" w:rsidRDefault="00027850" w:rsidP="003C2DB0">
      <w:pPr>
        <w:overflowPunct w:val="0"/>
        <w:autoSpaceDE w:val="0"/>
        <w:autoSpaceDN w:val="0"/>
        <w:adjustRightInd w:val="0"/>
        <w:spacing w:line="276" w:lineRule="auto"/>
        <w:contextualSpacing/>
        <w:rPr>
          <w:sz w:val="24"/>
          <w:szCs w:val="24"/>
        </w:rPr>
      </w:pPr>
      <w:r w:rsidRPr="00280E67">
        <w:rPr>
          <w:rFonts w:eastAsia="Arial Unicode MS"/>
          <w:b/>
          <w:sz w:val="24"/>
          <w:szCs w:val="24"/>
        </w:rPr>
        <w:lastRenderedPageBreak/>
        <w:t>4. Argumentos de la solicitud de tutela</w:t>
      </w:r>
    </w:p>
    <w:p w14:paraId="2A303711" w14:textId="77777777" w:rsidR="00027850" w:rsidRPr="00280E67" w:rsidRDefault="00027850" w:rsidP="003C2DB0">
      <w:pPr>
        <w:overflowPunct w:val="0"/>
        <w:autoSpaceDE w:val="0"/>
        <w:autoSpaceDN w:val="0"/>
        <w:adjustRightInd w:val="0"/>
        <w:spacing w:line="276" w:lineRule="auto"/>
        <w:contextualSpacing/>
        <w:rPr>
          <w:sz w:val="24"/>
          <w:szCs w:val="24"/>
        </w:rPr>
      </w:pPr>
    </w:p>
    <w:p w14:paraId="16BD61C4" w14:textId="5BB81C8C" w:rsidR="00027850" w:rsidRPr="00280E67" w:rsidRDefault="00EB0959" w:rsidP="003C2DB0">
      <w:pPr>
        <w:overflowPunct w:val="0"/>
        <w:autoSpaceDE w:val="0"/>
        <w:autoSpaceDN w:val="0"/>
        <w:adjustRightInd w:val="0"/>
        <w:spacing w:line="276" w:lineRule="auto"/>
        <w:contextualSpacing/>
        <w:rPr>
          <w:sz w:val="24"/>
          <w:szCs w:val="24"/>
        </w:rPr>
      </w:pPr>
      <w:r w:rsidRPr="00280E67">
        <w:rPr>
          <w:b/>
          <w:sz w:val="24"/>
          <w:szCs w:val="24"/>
        </w:rPr>
        <w:t>4</w:t>
      </w:r>
      <w:r w:rsidR="00027850" w:rsidRPr="00280E67">
        <w:rPr>
          <w:b/>
          <w:sz w:val="24"/>
          <w:szCs w:val="24"/>
        </w:rPr>
        <w:t xml:space="preserve">.1. </w:t>
      </w:r>
      <w:r w:rsidR="00211BB3" w:rsidRPr="00280E67">
        <w:rPr>
          <w:sz w:val="24"/>
          <w:szCs w:val="24"/>
        </w:rPr>
        <w:t>En primer lugar, Transfuvalle</w:t>
      </w:r>
      <w:r w:rsidR="00027850" w:rsidRPr="00280E67">
        <w:rPr>
          <w:sz w:val="24"/>
          <w:szCs w:val="24"/>
        </w:rPr>
        <w:t xml:space="preserve"> endilga al laudo arbitral reprochado los siguientes defectos</w:t>
      </w:r>
      <w:r w:rsidR="00027850" w:rsidRPr="00280E67">
        <w:rPr>
          <w:sz w:val="24"/>
          <w:szCs w:val="24"/>
          <w:vertAlign w:val="superscript"/>
        </w:rPr>
        <w:footnoteReference w:id="19"/>
      </w:r>
      <w:r w:rsidR="00027850" w:rsidRPr="00280E67">
        <w:rPr>
          <w:sz w:val="24"/>
          <w:szCs w:val="24"/>
        </w:rPr>
        <w:t xml:space="preserve">: </w:t>
      </w:r>
    </w:p>
    <w:p w14:paraId="7A5C66D4" w14:textId="77777777" w:rsidR="00027850" w:rsidRPr="00280E67" w:rsidRDefault="00027850" w:rsidP="003C2DB0">
      <w:pPr>
        <w:overflowPunct w:val="0"/>
        <w:autoSpaceDE w:val="0"/>
        <w:autoSpaceDN w:val="0"/>
        <w:adjustRightInd w:val="0"/>
        <w:spacing w:line="276" w:lineRule="auto"/>
        <w:contextualSpacing/>
        <w:rPr>
          <w:sz w:val="24"/>
          <w:szCs w:val="24"/>
        </w:rPr>
      </w:pPr>
    </w:p>
    <w:p w14:paraId="500337C2" w14:textId="4C5A3A71" w:rsidR="004303C5" w:rsidRPr="00280E67" w:rsidRDefault="00EB0959" w:rsidP="003C2DB0">
      <w:pPr>
        <w:overflowPunct w:val="0"/>
        <w:autoSpaceDE w:val="0"/>
        <w:autoSpaceDN w:val="0"/>
        <w:adjustRightInd w:val="0"/>
        <w:spacing w:line="276" w:lineRule="auto"/>
        <w:contextualSpacing/>
        <w:rPr>
          <w:sz w:val="24"/>
          <w:szCs w:val="24"/>
        </w:rPr>
      </w:pPr>
      <w:r w:rsidRPr="00280E67">
        <w:rPr>
          <w:b/>
          <w:sz w:val="24"/>
          <w:szCs w:val="24"/>
        </w:rPr>
        <w:t>4</w:t>
      </w:r>
      <w:r w:rsidR="00027850" w:rsidRPr="00280E67">
        <w:rPr>
          <w:b/>
          <w:sz w:val="24"/>
          <w:szCs w:val="24"/>
        </w:rPr>
        <w:t>.1.1.</w:t>
      </w:r>
      <w:r w:rsidR="00027850" w:rsidRPr="00280E67">
        <w:rPr>
          <w:sz w:val="24"/>
          <w:szCs w:val="24"/>
        </w:rPr>
        <w:t xml:space="preserve"> </w:t>
      </w:r>
      <w:r w:rsidR="00027850" w:rsidRPr="00280E67">
        <w:rPr>
          <w:b/>
          <w:sz w:val="24"/>
          <w:szCs w:val="24"/>
        </w:rPr>
        <w:t>orgánico</w:t>
      </w:r>
      <w:r w:rsidR="00027850" w:rsidRPr="00280E67">
        <w:rPr>
          <w:sz w:val="24"/>
          <w:szCs w:val="24"/>
        </w:rPr>
        <w:t xml:space="preserve">, </w:t>
      </w:r>
      <w:r w:rsidR="004303C5" w:rsidRPr="00280E67">
        <w:rPr>
          <w:sz w:val="24"/>
          <w:szCs w:val="24"/>
        </w:rPr>
        <w:t>con base en e</w:t>
      </w:r>
      <w:r w:rsidR="0046487B" w:rsidRPr="00280E67">
        <w:rPr>
          <w:sz w:val="24"/>
          <w:szCs w:val="24"/>
        </w:rPr>
        <w:t>l siguiente</w:t>
      </w:r>
      <w:r w:rsidR="00DC2A7A" w:rsidRPr="00280E67">
        <w:rPr>
          <w:sz w:val="24"/>
          <w:szCs w:val="24"/>
        </w:rPr>
        <w:t xml:space="preserve"> motivo: </w:t>
      </w:r>
      <w:r w:rsidR="004303C5" w:rsidRPr="00280E67">
        <w:rPr>
          <w:sz w:val="24"/>
          <w:szCs w:val="24"/>
        </w:rPr>
        <w:t xml:space="preserve">el Tribunal de Arbitramento accionado desbordó su ámbito de competencia, </w:t>
      </w:r>
      <w:r w:rsidR="005026D6" w:rsidRPr="00280E67">
        <w:rPr>
          <w:sz w:val="24"/>
          <w:szCs w:val="24"/>
        </w:rPr>
        <w:t xml:space="preserve">al momento de pronunciarse sobre la legalidad del Acuerdo de Accionistas, es decir, cuando expresó que resultaba contrario al ordenamiento jurídico que “las partes hayan pactado que las obligaciones relativas a la suscripción de acciones y pago de </w:t>
      </w:r>
      <w:r w:rsidR="00056DF7" w:rsidRPr="00280E67">
        <w:rPr>
          <w:sz w:val="24"/>
          <w:szCs w:val="24"/>
        </w:rPr>
        <w:t>las mismas</w:t>
      </w:r>
      <w:r w:rsidR="005026D6" w:rsidRPr="00280E67">
        <w:rPr>
          <w:sz w:val="24"/>
          <w:szCs w:val="24"/>
        </w:rPr>
        <w:t xml:space="preserve"> de Somos K, </w:t>
      </w:r>
      <w:r w:rsidR="005026D6" w:rsidRPr="00280E67">
        <w:rPr>
          <w:b/>
          <w:sz w:val="24"/>
          <w:szCs w:val="24"/>
        </w:rPr>
        <w:t>emanaban directamente del Acuerdo de Accionistas</w:t>
      </w:r>
      <w:r w:rsidR="00056DF7" w:rsidRPr="00280E67">
        <w:rPr>
          <w:rStyle w:val="Refdenotaalpie"/>
          <w:sz w:val="24"/>
          <w:szCs w:val="24"/>
        </w:rPr>
        <w:footnoteReference w:id="20"/>
      </w:r>
      <w:r w:rsidR="005026D6" w:rsidRPr="00280E67">
        <w:rPr>
          <w:sz w:val="24"/>
          <w:szCs w:val="24"/>
        </w:rPr>
        <w:t xml:space="preserve">, cuando en dicho </w:t>
      </w:r>
      <w:r w:rsidR="00056DF7" w:rsidRPr="00280E67">
        <w:rPr>
          <w:sz w:val="24"/>
          <w:szCs w:val="24"/>
        </w:rPr>
        <w:t>acuerdo ni era para GIT MASIVO</w:t>
      </w:r>
      <w:r w:rsidR="005026D6" w:rsidRPr="00280E67">
        <w:rPr>
          <w:sz w:val="24"/>
          <w:szCs w:val="24"/>
        </w:rPr>
        <w:t>, ni los demás intervinientes tenían posibilidad de ofrecer acciones de aquella y menos reclamar el precio de las mismas</w:t>
      </w:r>
      <w:r w:rsidR="00056DF7" w:rsidRPr="00280E67">
        <w:rPr>
          <w:sz w:val="24"/>
          <w:szCs w:val="24"/>
        </w:rPr>
        <w:t xml:space="preserve"> […]</w:t>
      </w:r>
      <w:r w:rsidR="005026D6" w:rsidRPr="00280E67">
        <w:rPr>
          <w:sz w:val="24"/>
          <w:szCs w:val="24"/>
        </w:rPr>
        <w:t>”. Lo anterior, pues</w:t>
      </w:r>
      <w:r w:rsidR="0046487B" w:rsidRPr="00280E67">
        <w:rPr>
          <w:sz w:val="24"/>
          <w:szCs w:val="24"/>
        </w:rPr>
        <w:t xml:space="preserve"> </w:t>
      </w:r>
      <w:r w:rsidR="004303C5" w:rsidRPr="00280E67">
        <w:rPr>
          <w:sz w:val="24"/>
          <w:szCs w:val="24"/>
        </w:rPr>
        <w:t xml:space="preserve">la demanda y las excepciones se centraban exclusivamente en el incumplimiento de las obligaciones a cargo de SOMOS K, especialmente </w:t>
      </w:r>
      <w:r w:rsidR="003D2558" w:rsidRPr="00280E67">
        <w:rPr>
          <w:sz w:val="24"/>
          <w:szCs w:val="24"/>
        </w:rPr>
        <w:t>las</w:t>
      </w:r>
      <w:r w:rsidR="004303C5" w:rsidRPr="00280E67">
        <w:rPr>
          <w:sz w:val="24"/>
          <w:szCs w:val="24"/>
        </w:rPr>
        <w:t xml:space="preserve"> que tiene</w:t>
      </w:r>
      <w:r w:rsidR="003D2558" w:rsidRPr="00280E67">
        <w:rPr>
          <w:sz w:val="24"/>
          <w:szCs w:val="24"/>
        </w:rPr>
        <w:t>n</w:t>
      </w:r>
      <w:r w:rsidR="004303C5" w:rsidRPr="00280E67">
        <w:rPr>
          <w:sz w:val="24"/>
          <w:szCs w:val="24"/>
        </w:rPr>
        <w:t xml:space="preserve"> que ver con el plazo y la forma de pago de la capitalización acordada</w:t>
      </w:r>
      <w:r w:rsidR="005026D6" w:rsidRPr="00280E67">
        <w:rPr>
          <w:sz w:val="24"/>
          <w:szCs w:val="24"/>
        </w:rPr>
        <w:t>,</w:t>
      </w:r>
      <w:r w:rsidR="0046487B" w:rsidRPr="00280E67">
        <w:rPr>
          <w:sz w:val="24"/>
          <w:szCs w:val="24"/>
        </w:rPr>
        <w:t xml:space="preserve"> </w:t>
      </w:r>
      <w:r w:rsidR="004303C5" w:rsidRPr="00280E67">
        <w:rPr>
          <w:sz w:val="24"/>
          <w:szCs w:val="24"/>
        </w:rPr>
        <w:t>y</w:t>
      </w:r>
      <w:r w:rsidR="005026D6" w:rsidRPr="00280E67">
        <w:rPr>
          <w:sz w:val="24"/>
          <w:szCs w:val="24"/>
        </w:rPr>
        <w:t xml:space="preserve"> </w:t>
      </w:r>
      <w:r w:rsidR="004303C5" w:rsidRPr="00280E67">
        <w:rPr>
          <w:sz w:val="24"/>
          <w:szCs w:val="24"/>
        </w:rPr>
        <w:t>la interpretación de la cláusula compromisoria se circunscribe a la controversia planteada en la demanda arbitral.</w:t>
      </w:r>
    </w:p>
    <w:p w14:paraId="02F262C9" w14:textId="3E875514" w:rsidR="00027850" w:rsidRPr="00280E67" w:rsidRDefault="00027850" w:rsidP="003C2DB0">
      <w:pPr>
        <w:overflowPunct w:val="0"/>
        <w:autoSpaceDE w:val="0"/>
        <w:autoSpaceDN w:val="0"/>
        <w:adjustRightInd w:val="0"/>
        <w:spacing w:line="276" w:lineRule="auto"/>
        <w:contextualSpacing/>
        <w:rPr>
          <w:sz w:val="24"/>
          <w:szCs w:val="24"/>
        </w:rPr>
      </w:pPr>
    </w:p>
    <w:p w14:paraId="27C46887" w14:textId="3C80D306" w:rsidR="00027850" w:rsidRPr="00280E67" w:rsidRDefault="00EB0959" w:rsidP="003C2DB0">
      <w:pPr>
        <w:overflowPunct w:val="0"/>
        <w:autoSpaceDE w:val="0"/>
        <w:autoSpaceDN w:val="0"/>
        <w:adjustRightInd w:val="0"/>
        <w:spacing w:line="276" w:lineRule="auto"/>
        <w:contextualSpacing/>
        <w:rPr>
          <w:sz w:val="24"/>
          <w:szCs w:val="24"/>
        </w:rPr>
      </w:pPr>
      <w:r w:rsidRPr="00280E67">
        <w:rPr>
          <w:b/>
          <w:sz w:val="24"/>
          <w:szCs w:val="24"/>
        </w:rPr>
        <w:t>4</w:t>
      </w:r>
      <w:r w:rsidR="00027850" w:rsidRPr="00280E67">
        <w:rPr>
          <w:b/>
          <w:sz w:val="24"/>
          <w:szCs w:val="24"/>
        </w:rPr>
        <w:t>.1.2.</w:t>
      </w:r>
      <w:r w:rsidR="00027850" w:rsidRPr="00280E67">
        <w:rPr>
          <w:sz w:val="24"/>
          <w:szCs w:val="24"/>
        </w:rPr>
        <w:t xml:space="preserve"> </w:t>
      </w:r>
      <w:r w:rsidR="004303C5" w:rsidRPr="00280E67">
        <w:rPr>
          <w:b/>
          <w:sz w:val="24"/>
          <w:szCs w:val="24"/>
        </w:rPr>
        <w:t>s</w:t>
      </w:r>
      <w:r w:rsidR="00027850" w:rsidRPr="00280E67">
        <w:rPr>
          <w:b/>
          <w:sz w:val="24"/>
          <w:szCs w:val="24"/>
        </w:rPr>
        <w:t>ustantivo</w:t>
      </w:r>
      <w:r w:rsidR="00027850" w:rsidRPr="00280E67">
        <w:rPr>
          <w:sz w:val="24"/>
          <w:szCs w:val="24"/>
        </w:rPr>
        <w:t>, porque</w:t>
      </w:r>
      <w:r w:rsidR="00027850" w:rsidRPr="00280E67">
        <w:rPr>
          <w:b/>
          <w:sz w:val="24"/>
          <w:szCs w:val="24"/>
        </w:rPr>
        <w:t xml:space="preserve"> </w:t>
      </w:r>
      <w:r w:rsidR="003D2558" w:rsidRPr="00280E67">
        <w:rPr>
          <w:sz w:val="24"/>
          <w:szCs w:val="24"/>
        </w:rPr>
        <w:t>aceptar que el Tribunal de A</w:t>
      </w:r>
      <w:r w:rsidR="00027850" w:rsidRPr="00280E67">
        <w:rPr>
          <w:sz w:val="24"/>
          <w:szCs w:val="24"/>
        </w:rPr>
        <w:t>rbitramento tenía la facultad para interpre</w:t>
      </w:r>
      <w:r w:rsidR="00E43FC5" w:rsidRPr="00280E67">
        <w:rPr>
          <w:sz w:val="24"/>
          <w:szCs w:val="24"/>
        </w:rPr>
        <w:t>tar y revisar la legalidad del Acuerdo de A</w:t>
      </w:r>
      <w:r w:rsidR="00027850" w:rsidRPr="00280E67">
        <w:rPr>
          <w:sz w:val="24"/>
          <w:szCs w:val="24"/>
        </w:rPr>
        <w:t>ccionistas, implica</w:t>
      </w:r>
      <w:r w:rsidR="004303C5" w:rsidRPr="00280E67">
        <w:rPr>
          <w:sz w:val="24"/>
          <w:szCs w:val="24"/>
        </w:rPr>
        <w:t>ría</w:t>
      </w:r>
      <w:r w:rsidR="00027850" w:rsidRPr="00280E67">
        <w:rPr>
          <w:sz w:val="24"/>
          <w:szCs w:val="24"/>
        </w:rPr>
        <w:t xml:space="preserve"> reconocer que podía ejercer su función por fuera de los límites que </w:t>
      </w:r>
      <w:r w:rsidR="004303C5" w:rsidRPr="00280E67">
        <w:rPr>
          <w:sz w:val="24"/>
          <w:szCs w:val="24"/>
        </w:rPr>
        <w:t>las partes habían acordado en la cláusula 19.4</w:t>
      </w:r>
      <w:r w:rsidR="00E43FC5" w:rsidRPr="00280E67">
        <w:rPr>
          <w:sz w:val="24"/>
          <w:szCs w:val="24"/>
        </w:rPr>
        <w:t xml:space="preserve"> del comentado pacto</w:t>
      </w:r>
      <w:r w:rsidR="00027850" w:rsidRPr="00280E67">
        <w:rPr>
          <w:sz w:val="24"/>
          <w:szCs w:val="24"/>
        </w:rPr>
        <w:t>.</w:t>
      </w:r>
    </w:p>
    <w:p w14:paraId="34EABCAB" w14:textId="77777777" w:rsidR="00027850" w:rsidRPr="00280E67" w:rsidRDefault="00027850" w:rsidP="003C2DB0">
      <w:pPr>
        <w:overflowPunct w:val="0"/>
        <w:autoSpaceDE w:val="0"/>
        <w:autoSpaceDN w:val="0"/>
        <w:adjustRightInd w:val="0"/>
        <w:spacing w:line="276" w:lineRule="auto"/>
        <w:contextualSpacing/>
        <w:rPr>
          <w:b/>
          <w:sz w:val="24"/>
          <w:szCs w:val="24"/>
        </w:rPr>
      </w:pPr>
    </w:p>
    <w:p w14:paraId="2C54AA63" w14:textId="71DA9341" w:rsidR="00027850" w:rsidRPr="00280E67" w:rsidRDefault="00EB0959" w:rsidP="003C2DB0">
      <w:pPr>
        <w:overflowPunct w:val="0"/>
        <w:autoSpaceDE w:val="0"/>
        <w:autoSpaceDN w:val="0"/>
        <w:adjustRightInd w:val="0"/>
        <w:spacing w:line="276" w:lineRule="auto"/>
        <w:contextualSpacing/>
        <w:rPr>
          <w:sz w:val="24"/>
          <w:szCs w:val="24"/>
        </w:rPr>
      </w:pPr>
      <w:r w:rsidRPr="00280E67">
        <w:rPr>
          <w:b/>
          <w:sz w:val="24"/>
          <w:szCs w:val="24"/>
        </w:rPr>
        <w:t>4.</w:t>
      </w:r>
      <w:r w:rsidR="00027850" w:rsidRPr="00280E67">
        <w:rPr>
          <w:b/>
          <w:sz w:val="24"/>
          <w:szCs w:val="24"/>
        </w:rPr>
        <w:t>1.3.</w:t>
      </w:r>
      <w:r w:rsidR="00027850" w:rsidRPr="00280E67">
        <w:rPr>
          <w:sz w:val="24"/>
          <w:szCs w:val="24"/>
        </w:rPr>
        <w:t xml:space="preserve"> </w:t>
      </w:r>
      <w:r w:rsidR="004303C5" w:rsidRPr="00280E67">
        <w:rPr>
          <w:b/>
          <w:sz w:val="24"/>
          <w:szCs w:val="24"/>
        </w:rPr>
        <w:t>f</w:t>
      </w:r>
      <w:r w:rsidR="00027850" w:rsidRPr="00280E67">
        <w:rPr>
          <w:b/>
          <w:sz w:val="24"/>
          <w:szCs w:val="24"/>
        </w:rPr>
        <w:t>áctico</w:t>
      </w:r>
      <w:r w:rsidR="00027850" w:rsidRPr="00280E67">
        <w:rPr>
          <w:sz w:val="24"/>
          <w:szCs w:val="24"/>
        </w:rPr>
        <w:t xml:space="preserve">, en la medida en que la decisión de admitir la oposición de exhibición de documentos formulada por GIT Masivo trajo consigo la omisión de valorar medios de prueba determinantes para la decisión. </w:t>
      </w:r>
      <w:r w:rsidR="00267434" w:rsidRPr="00280E67">
        <w:rPr>
          <w:sz w:val="24"/>
          <w:szCs w:val="24"/>
        </w:rPr>
        <w:t>Además, l</w:t>
      </w:r>
      <w:r w:rsidR="00027850" w:rsidRPr="00280E67">
        <w:rPr>
          <w:sz w:val="24"/>
          <w:szCs w:val="24"/>
        </w:rPr>
        <w:t xml:space="preserve">as piezas procesales requeridas </w:t>
      </w:r>
      <w:r w:rsidR="00267434" w:rsidRPr="00280E67">
        <w:rPr>
          <w:sz w:val="24"/>
          <w:szCs w:val="24"/>
        </w:rPr>
        <w:t>en</w:t>
      </w:r>
      <w:r w:rsidR="00027850" w:rsidRPr="00280E67">
        <w:rPr>
          <w:sz w:val="24"/>
          <w:szCs w:val="24"/>
        </w:rPr>
        <w:t xml:space="preserve"> la inspección judicial no eran objeto de reserva</w:t>
      </w:r>
      <w:r w:rsidR="00267434" w:rsidRPr="00280E67">
        <w:rPr>
          <w:sz w:val="24"/>
          <w:szCs w:val="24"/>
        </w:rPr>
        <w:t>,</w:t>
      </w:r>
      <w:r w:rsidR="00027850" w:rsidRPr="00280E67">
        <w:rPr>
          <w:sz w:val="24"/>
          <w:szCs w:val="24"/>
        </w:rPr>
        <w:t xml:space="preserve"> y la mencionada sociedad</w:t>
      </w:r>
      <w:r w:rsidR="004303C5" w:rsidRPr="00280E67">
        <w:rPr>
          <w:sz w:val="24"/>
          <w:szCs w:val="24"/>
        </w:rPr>
        <w:t>,</w:t>
      </w:r>
      <w:r w:rsidR="00027850" w:rsidRPr="00280E67">
        <w:rPr>
          <w:sz w:val="24"/>
          <w:szCs w:val="24"/>
        </w:rPr>
        <w:t xml:space="preserve"> a pesar de que no era parte en el proceso, s</w:t>
      </w:r>
      <w:r w:rsidR="005B5D73">
        <w:rPr>
          <w:sz w:val="24"/>
          <w:szCs w:val="24"/>
        </w:rPr>
        <w:t>í</w:t>
      </w:r>
      <w:r w:rsidR="00027850" w:rsidRPr="00280E67">
        <w:rPr>
          <w:sz w:val="24"/>
          <w:szCs w:val="24"/>
        </w:rPr>
        <w:t xml:space="preserve"> tenía </w:t>
      </w:r>
      <w:r w:rsidR="00267434" w:rsidRPr="00280E67">
        <w:rPr>
          <w:sz w:val="24"/>
          <w:szCs w:val="24"/>
        </w:rPr>
        <w:t xml:space="preserve">un </w:t>
      </w:r>
      <w:r w:rsidR="00027850" w:rsidRPr="00280E67">
        <w:rPr>
          <w:sz w:val="24"/>
          <w:szCs w:val="24"/>
        </w:rPr>
        <w:t xml:space="preserve">vínculo </w:t>
      </w:r>
      <w:r w:rsidR="004303C5" w:rsidRPr="00280E67">
        <w:rPr>
          <w:sz w:val="24"/>
          <w:szCs w:val="24"/>
        </w:rPr>
        <w:t>con la relación sustancial debatida</w:t>
      </w:r>
      <w:r w:rsidR="00027850" w:rsidRPr="00280E67">
        <w:rPr>
          <w:sz w:val="24"/>
          <w:szCs w:val="24"/>
        </w:rPr>
        <w:t xml:space="preserve"> en el proceso.</w:t>
      </w:r>
    </w:p>
    <w:p w14:paraId="47196FA1" w14:textId="77777777" w:rsidR="00027850" w:rsidRPr="00280E67" w:rsidRDefault="00027850" w:rsidP="003C2DB0">
      <w:pPr>
        <w:overflowPunct w:val="0"/>
        <w:autoSpaceDE w:val="0"/>
        <w:autoSpaceDN w:val="0"/>
        <w:adjustRightInd w:val="0"/>
        <w:spacing w:line="276" w:lineRule="auto"/>
        <w:contextualSpacing/>
        <w:rPr>
          <w:sz w:val="24"/>
          <w:szCs w:val="24"/>
        </w:rPr>
      </w:pPr>
    </w:p>
    <w:p w14:paraId="35DC6142" w14:textId="0F7A025F" w:rsidR="00027850" w:rsidRPr="00280E67" w:rsidRDefault="00EB0959" w:rsidP="003C2DB0">
      <w:pPr>
        <w:overflowPunct w:val="0"/>
        <w:autoSpaceDE w:val="0"/>
        <w:autoSpaceDN w:val="0"/>
        <w:adjustRightInd w:val="0"/>
        <w:spacing w:line="276" w:lineRule="auto"/>
        <w:contextualSpacing/>
        <w:rPr>
          <w:sz w:val="24"/>
          <w:szCs w:val="24"/>
        </w:rPr>
      </w:pPr>
      <w:r w:rsidRPr="00280E67">
        <w:rPr>
          <w:b/>
          <w:sz w:val="24"/>
          <w:szCs w:val="24"/>
        </w:rPr>
        <w:t>4.</w:t>
      </w:r>
      <w:r w:rsidR="00027850" w:rsidRPr="00280E67">
        <w:rPr>
          <w:b/>
          <w:sz w:val="24"/>
          <w:szCs w:val="24"/>
        </w:rPr>
        <w:t xml:space="preserve">2. </w:t>
      </w:r>
      <w:r w:rsidR="00211BB3" w:rsidRPr="00280E67">
        <w:rPr>
          <w:sz w:val="24"/>
          <w:szCs w:val="24"/>
        </w:rPr>
        <w:t>En</w:t>
      </w:r>
      <w:r w:rsidR="00027850" w:rsidRPr="00280E67">
        <w:rPr>
          <w:sz w:val="24"/>
          <w:szCs w:val="24"/>
        </w:rPr>
        <w:t xml:space="preserve"> segundo lugar, </w:t>
      </w:r>
      <w:r w:rsidR="00211BB3" w:rsidRPr="00280E67">
        <w:rPr>
          <w:sz w:val="24"/>
          <w:szCs w:val="24"/>
        </w:rPr>
        <w:t>la sociedad tutelante reprocha</w:t>
      </w:r>
      <w:r w:rsidR="00027850" w:rsidRPr="00280E67">
        <w:rPr>
          <w:sz w:val="24"/>
          <w:szCs w:val="24"/>
        </w:rPr>
        <w:t xml:space="preserve"> </w:t>
      </w:r>
      <w:r w:rsidR="00211BB3" w:rsidRPr="00280E67">
        <w:rPr>
          <w:sz w:val="24"/>
          <w:szCs w:val="24"/>
        </w:rPr>
        <w:t xml:space="preserve">estas cuestiones, respecto </w:t>
      </w:r>
      <w:r w:rsidR="00027850" w:rsidRPr="00280E67">
        <w:rPr>
          <w:sz w:val="24"/>
          <w:szCs w:val="24"/>
        </w:rPr>
        <w:t xml:space="preserve">de la </w:t>
      </w:r>
      <w:r w:rsidR="00211BB3" w:rsidRPr="00280E67">
        <w:rPr>
          <w:sz w:val="24"/>
          <w:szCs w:val="24"/>
        </w:rPr>
        <w:t>providencia</w:t>
      </w:r>
      <w:r w:rsidR="00027850" w:rsidRPr="00280E67">
        <w:rPr>
          <w:sz w:val="24"/>
          <w:szCs w:val="24"/>
        </w:rPr>
        <w:t xml:space="preserve"> </w:t>
      </w:r>
      <w:r w:rsidR="00211BB3" w:rsidRPr="00280E67">
        <w:rPr>
          <w:sz w:val="24"/>
          <w:szCs w:val="24"/>
        </w:rPr>
        <w:t>que resolvió el recurso de anulación</w:t>
      </w:r>
      <w:r w:rsidR="00027850" w:rsidRPr="00280E67">
        <w:rPr>
          <w:sz w:val="24"/>
          <w:szCs w:val="24"/>
          <w:vertAlign w:val="superscript"/>
        </w:rPr>
        <w:footnoteReference w:id="21"/>
      </w:r>
      <w:r w:rsidR="00027850" w:rsidRPr="00280E67">
        <w:rPr>
          <w:sz w:val="24"/>
          <w:szCs w:val="24"/>
        </w:rPr>
        <w:t>:</w:t>
      </w:r>
    </w:p>
    <w:p w14:paraId="628BFEC9" w14:textId="77777777" w:rsidR="00027850" w:rsidRPr="00280E67" w:rsidRDefault="00027850" w:rsidP="003C2DB0">
      <w:pPr>
        <w:overflowPunct w:val="0"/>
        <w:autoSpaceDE w:val="0"/>
        <w:autoSpaceDN w:val="0"/>
        <w:adjustRightInd w:val="0"/>
        <w:spacing w:line="276" w:lineRule="auto"/>
        <w:contextualSpacing/>
        <w:rPr>
          <w:sz w:val="24"/>
          <w:szCs w:val="24"/>
        </w:rPr>
      </w:pPr>
    </w:p>
    <w:p w14:paraId="2FBA4EBF" w14:textId="463D7AD9" w:rsidR="00027850" w:rsidRPr="00280E67" w:rsidRDefault="00EB0959" w:rsidP="003C2DB0">
      <w:pPr>
        <w:overflowPunct w:val="0"/>
        <w:autoSpaceDE w:val="0"/>
        <w:autoSpaceDN w:val="0"/>
        <w:adjustRightInd w:val="0"/>
        <w:spacing w:line="276" w:lineRule="auto"/>
        <w:contextualSpacing/>
        <w:rPr>
          <w:sz w:val="24"/>
          <w:szCs w:val="24"/>
        </w:rPr>
      </w:pPr>
      <w:r w:rsidRPr="00280E67">
        <w:rPr>
          <w:b/>
          <w:sz w:val="24"/>
          <w:szCs w:val="24"/>
        </w:rPr>
        <w:t>4</w:t>
      </w:r>
      <w:r w:rsidR="00027850" w:rsidRPr="00280E67">
        <w:rPr>
          <w:b/>
          <w:sz w:val="24"/>
          <w:szCs w:val="24"/>
        </w:rPr>
        <w:t xml:space="preserve">.2.1. </w:t>
      </w:r>
      <w:r w:rsidR="00CE2681" w:rsidRPr="00280E67">
        <w:rPr>
          <w:sz w:val="24"/>
          <w:szCs w:val="24"/>
        </w:rPr>
        <w:tab/>
        <w:t>La Sala Civil del</w:t>
      </w:r>
      <w:r w:rsidR="00027850" w:rsidRPr="00280E67">
        <w:rPr>
          <w:sz w:val="24"/>
          <w:szCs w:val="24"/>
        </w:rPr>
        <w:t xml:space="preserve"> Tribunal Superior del Distrito de Cali interpretó de manera incorrecta la causal prevista en el numeral 9° del artículo 41 de la Ley 1563 de 2012, </w:t>
      </w:r>
      <w:r w:rsidR="004303C5" w:rsidRPr="00280E67">
        <w:rPr>
          <w:sz w:val="24"/>
          <w:szCs w:val="24"/>
        </w:rPr>
        <w:t>dado que</w:t>
      </w:r>
      <w:r w:rsidR="00027850" w:rsidRPr="00280E67">
        <w:rPr>
          <w:sz w:val="24"/>
          <w:szCs w:val="24"/>
        </w:rPr>
        <w:t xml:space="preserve"> </w:t>
      </w:r>
      <w:r w:rsidR="0046487B" w:rsidRPr="00280E67">
        <w:rPr>
          <w:sz w:val="24"/>
          <w:szCs w:val="24"/>
        </w:rPr>
        <w:t>el recurrente n</w:t>
      </w:r>
      <w:r w:rsidR="00027850" w:rsidRPr="00280E67">
        <w:rPr>
          <w:sz w:val="24"/>
          <w:szCs w:val="24"/>
        </w:rPr>
        <w:t xml:space="preserve">o </w:t>
      </w:r>
      <w:r w:rsidR="0046487B" w:rsidRPr="00280E67">
        <w:rPr>
          <w:sz w:val="24"/>
          <w:szCs w:val="24"/>
        </w:rPr>
        <w:t xml:space="preserve">pretendía debatir </w:t>
      </w:r>
      <w:r w:rsidR="00027850" w:rsidRPr="00280E67">
        <w:rPr>
          <w:sz w:val="24"/>
          <w:szCs w:val="24"/>
        </w:rPr>
        <w:t xml:space="preserve">el contenido de la cláusula compromisoria, sino el respeto </w:t>
      </w:r>
      <w:r w:rsidR="004303C5" w:rsidRPr="00280E67">
        <w:rPr>
          <w:sz w:val="24"/>
          <w:szCs w:val="24"/>
        </w:rPr>
        <w:t>por el</w:t>
      </w:r>
      <w:r w:rsidR="00027850" w:rsidRPr="00280E67">
        <w:rPr>
          <w:sz w:val="24"/>
          <w:szCs w:val="24"/>
        </w:rPr>
        <w:t xml:space="preserve"> principio de congruencia en el laudo arbitral. </w:t>
      </w:r>
      <w:r w:rsidR="004303C5" w:rsidRPr="00280E67">
        <w:rPr>
          <w:sz w:val="24"/>
          <w:szCs w:val="24"/>
        </w:rPr>
        <w:t xml:space="preserve">Por otra parte, </w:t>
      </w:r>
      <w:r w:rsidR="0046487B" w:rsidRPr="00280E67">
        <w:rPr>
          <w:sz w:val="24"/>
          <w:szCs w:val="24"/>
        </w:rPr>
        <w:t xml:space="preserve">reprocha el accionante que </w:t>
      </w:r>
      <w:r w:rsidR="004303C5" w:rsidRPr="00280E67">
        <w:rPr>
          <w:sz w:val="24"/>
          <w:szCs w:val="24"/>
        </w:rPr>
        <w:t xml:space="preserve">esa autoridad judicial </w:t>
      </w:r>
      <w:r w:rsidR="0046487B" w:rsidRPr="00280E67">
        <w:rPr>
          <w:sz w:val="24"/>
          <w:szCs w:val="24"/>
        </w:rPr>
        <w:t xml:space="preserve">haya </w:t>
      </w:r>
      <w:r w:rsidR="004303C5" w:rsidRPr="00280E67">
        <w:rPr>
          <w:sz w:val="24"/>
          <w:szCs w:val="24"/>
        </w:rPr>
        <w:t>fundament</w:t>
      </w:r>
      <w:r w:rsidR="0046487B" w:rsidRPr="00280E67">
        <w:rPr>
          <w:sz w:val="24"/>
          <w:szCs w:val="24"/>
        </w:rPr>
        <w:t>ado</w:t>
      </w:r>
      <w:r w:rsidR="004303C5" w:rsidRPr="00280E67">
        <w:rPr>
          <w:sz w:val="24"/>
          <w:szCs w:val="24"/>
        </w:rPr>
        <w:t xml:space="preserve"> su incompetencia para estudiar la mencionada causal, en decisiones judiciales en las que solo intervinieron entidades </w:t>
      </w:r>
      <w:r w:rsidRPr="00280E67">
        <w:rPr>
          <w:sz w:val="24"/>
          <w:szCs w:val="24"/>
        </w:rPr>
        <w:t>públicas</w:t>
      </w:r>
      <w:r w:rsidR="004303C5" w:rsidRPr="00280E67">
        <w:rPr>
          <w:sz w:val="24"/>
          <w:szCs w:val="24"/>
        </w:rPr>
        <w:t xml:space="preserve">. </w:t>
      </w:r>
      <w:r w:rsidR="0046487B" w:rsidRPr="00280E67">
        <w:rPr>
          <w:sz w:val="24"/>
          <w:szCs w:val="24"/>
        </w:rPr>
        <w:t>Finalmente, protesta que e</w:t>
      </w:r>
      <w:r w:rsidR="00027850" w:rsidRPr="00280E67">
        <w:rPr>
          <w:sz w:val="24"/>
          <w:szCs w:val="24"/>
        </w:rPr>
        <w:t xml:space="preserve">l Tribunal </w:t>
      </w:r>
      <w:r w:rsidR="0046487B" w:rsidRPr="00280E67">
        <w:rPr>
          <w:sz w:val="24"/>
          <w:szCs w:val="24"/>
        </w:rPr>
        <w:lastRenderedPageBreak/>
        <w:t xml:space="preserve">haya </w:t>
      </w:r>
      <w:r w:rsidR="00027850" w:rsidRPr="00280E67">
        <w:rPr>
          <w:sz w:val="24"/>
          <w:szCs w:val="24"/>
        </w:rPr>
        <w:t>guard</w:t>
      </w:r>
      <w:r w:rsidR="0046487B" w:rsidRPr="00280E67">
        <w:rPr>
          <w:sz w:val="24"/>
          <w:szCs w:val="24"/>
        </w:rPr>
        <w:t>ado</w:t>
      </w:r>
      <w:r w:rsidR="00027850" w:rsidRPr="00280E67">
        <w:rPr>
          <w:sz w:val="24"/>
          <w:szCs w:val="24"/>
        </w:rPr>
        <w:t xml:space="preserve"> silencio sobre el desconoci</w:t>
      </w:r>
      <w:r w:rsidR="00E43FC5" w:rsidRPr="00280E67">
        <w:rPr>
          <w:sz w:val="24"/>
          <w:szCs w:val="24"/>
        </w:rPr>
        <w:t>miento de la cláusula 19.4 del Acuerdo de A</w:t>
      </w:r>
      <w:r w:rsidR="00027850" w:rsidRPr="00280E67">
        <w:rPr>
          <w:sz w:val="24"/>
          <w:szCs w:val="24"/>
        </w:rPr>
        <w:t xml:space="preserve">ccionistas. </w:t>
      </w:r>
    </w:p>
    <w:p w14:paraId="196BB42E" w14:textId="77777777" w:rsidR="00027850" w:rsidRPr="00280E67" w:rsidRDefault="00027850" w:rsidP="003C2DB0">
      <w:pPr>
        <w:overflowPunct w:val="0"/>
        <w:autoSpaceDE w:val="0"/>
        <w:autoSpaceDN w:val="0"/>
        <w:adjustRightInd w:val="0"/>
        <w:spacing w:line="276" w:lineRule="auto"/>
        <w:contextualSpacing/>
        <w:rPr>
          <w:sz w:val="24"/>
          <w:szCs w:val="24"/>
        </w:rPr>
      </w:pPr>
    </w:p>
    <w:p w14:paraId="53EC046E" w14:textId="588F9F3D" w:rsidR="00027850" w:rsidRPr="00280E67" w:rsidRDefault="00EB0959" w:rsidP="003C2DB0">
      <w:pPr>
        <w:overflowPunct w:val="0"/>
        <w:autoSpaceDE w:val="0"/>
        <w:autoSpaceDN w:val="0"/>
        <w:adjustRightInd w:val="0"/>
        <w:spacing w:line="276" w:lineRule="auto"/>
        <w:contextualSpacing/>
        <w:rPr>
          <w:sz w:val="24"/>
          <w:szCs w:val="24"/>
        </w:rPr>
      </w:pPr>
      <w:r w:rsidRPr="00280E67">
        <w:rPr>
          <w:b/>
          <w:sz w:val="24"/>
          <w:szCs w:val="24"/>
        </w:rPr>
        <w:t>4</w:t>
      </w:r>
      <w:r w:rsidR="00211BB3" w:rsidRPr="00280E67">
        <w:rPr>
          <w:b/>
          <w:sz w:val="24"/>
          <w:szCs w:val="24"/>
        </w:rPr>
        <w:t>.2</w:t>
      </w:r>
      <w:r w:rsidR="00027850" w:rsidRPr="00280E67">
        <w:rPr>
          <w:b/>
          <w:sz w:val="24"/>
          <w:szCs w:val="24"/>
        </w:rPr>
        <w:t>.2.</w:t>
      </w:r>
      <w:r w:rsidR="0046487B" w:rsidRPr="00280E67">
        <w:rPr>
          <w:b/>
          <w:sz w:val="24"/>
          <w:szCs w:val="24"/>
        </w:rPr>
        <w:t xml:space="preserve"> </w:t>
      </w:r>
      <w:r w:rsidR="0046487B" w:rsidRPr="00280E67">
        <w:rPr>
          <w:sz w:val="24"/>
          <w:szCs w:val="24"/>
        </w:rPr>
        <w:t>Considera el accionante que l</w:t>
      </w:r>
      <w:r w:rsidR="00027850" w:rsidRPr="00280E67">
        <w:rPr>
          <w:sz w:val="24"/>
          <w:szCs w:val="24"/>
        </w:rPr>
        <w:t xml:space="preserve">a falta de competencia no debe estudiarse de manera abstracta, </w:t>
      </w:r>
      <w:r w:rsidR="0046487B" w:rsidRPr="00280E67">
        <w:rPr>
          <w:sz w:val="24"/>
          <w:szCs w:val="24"/>
        </w:rPr>
        <w:t xml:space="preserve">como al parecer lo habría hecho el Tribunal, </w:t>
      </w:r>
      <w:r w:rsidR="00027850" w:rsidRPr="00280E67">
        <w:rPr>
          <w:sz w:val="24"/>
          <w:szCs w:val="24"/>
        </w:rPr>
        <w:t xml:space="preserve">sino de conformidad con las particularidades del caso concreto. En este asunto, Transfuvalle no tenía la carga de interponer el recurso de reposición en la primera audiencia de trámite, </w:t>
      </w:r>
      <w:r w:rsidRPr="00280E67">
        <w:rPr>
          <w:sz w:val="24"/>
          <w:szCs w:val="24"/>
        </w:rPr>
        <w:t>puesto</w:t>
      </w:r>
      <w:r w:rsidR="00027850" w:rsidRPr="00280E67">
        <w:rPr>
          <w:sz w:val="24"/>
          <w:szCs w:val="24"/>
        </w:rPr>
        <w:t xml:space="preserve"> que </w:t>
      </w:r>
      <w:r w:rsidR="0046487B" w:rsidRPr="00280E67">
        <w:rPr>
          <w:sz w:val="24"/>
          <w:szCs w:val="24"/>
        </w:rPr>
        <w:t xml:space="preserve">su </w:t>
      </w:r>
      <w:r w:rsidR="00027850" w:rsidRPr="00280E67">
        <w:rPr>
          <w:sz w:val="24"/>
          <w:szCs w:val="24"/>
        </w:rPr>
        <w:t xml:space="preserve">inconformidad </w:t>
      </w:r>
      <w:r w:rsidR="0046487B" w:rsidRPr="00280E67">
        <w:rPr>
          <w:sz w:val="24"/>
          <w:szCs w:val="24"/>
        </w:rPr>
        <w:t xml:space="preserve">no gravitaba sobre </w:t>
      </w:r>
      <w:r w:rsidR="00027850" w:rsidRPr="00280E67">
        <w:rPr>
          <w:sz w:val="24"/>
          <w:szCs w:val="24"/>
        </w:rPr>
        <w:t>la decisión que estableció la competencia</w:t>
      </w:r>
      <w:r w:rsidR="0046487B" w:rsidRPr="00280E67">
        <w:rPr>
          <w:sz w:val="24"/>
          <w:szCs w:val="24"/>
        </w:rPr>
        <w:t xml:space="preserve"> del Tribunal de arbitramento</w:t>
      </w:r>
      <w:r w:rsidR="00027850" w:rsidRPr="00280E67">
        <w:rPr>
          <w:sz w:val="24"/>
          <w:szCs w:val="24"/>
        </w:rPr>
        <w:t xml:space="preserve">, sino </w:t>
      </w:r>
      <w:r w:rsidR="00267434" w:rsidRPr="00280E67">
        <w:rPr>
          <w:sz w:val="24"/>
          <w:szCs w:val="24"/>
        </w:rPr>
        <w:t>por</w:t>
      </w:r>
      <w:r w:rsidR="00027850" w:rsidRPr="00280E67">
        <w:rPr>
          <w:sz w:val="24"/>
          <w:szCs w:val="24"/>
        </w:rPr>
        <w:t xml:space="preserve"> </w:t>
      </w:r>
      <w:r w:rsidR="0001756D" w:rsidRPr="00280E67">
        <w:rPr>
          <w:sz w:val="24"/>
          <w:szCs w:val="24"/>
        </w:rPr>
        <w:t>el</w:t>
      </w:r>
      <w:r w:rsidR="0046487B" w:rsidRPr="00280E67">
        <w:rPr>
          <w:sz w:val="24"/>
          <w:szCs w:val="24"/>
        </w:rPr>
        <w:t xml:space="preserve"> contenido mismo del </w:t>
      </w:r>
      <w:r w:rsidR="00027850" w:rsidRPr="00280E67">
        <w:rPr>
          <w:sz w:val="24"/>
          <w:szCs w:val="24"/>
        </w:rPr>
        <w:t xml:space="preserve">laudo </w:t>
      </w:r>
      <w:r w:rsidR="0046487B" w:rsidRPr="00280E67">
        <w:rPr>
          <w:sz w:val="24"/>
          <w:szCs w:val="24"/>
        </w:rPr>
        <w:t>en cuanto aquel se pronunció sobre asuntos al margen de l</w:t>
      </w:r>
      <w:r w:rsidR="00027850" w:rsidRPr="00280E67">
        <w:rPr>
          <w:sz w:val="24"/>
          <w:szCs w:val="24"/>
        </w:rPr>
        <w:t xml:space="preserve">a competencia ya </w:t>
      </w:r>
      <w:r w:rsidR="00267434" w:rsidRPr="00280E67">
        <w:rPr>
          <w:sz w:val="24"/>
          <w:szCs w:val="24"/>
        </w:rPr>
        <w:t>definida</w:t>
      </w:r>
      <w:r w:rsidR="00027850" w:rsidRPr="00280E67">
        <w:rPr>
          <w:sz w:val="24"/>
          <w:szCs w:val="24"/>
        </w:rPr>
        <w:t xml:space="preserve"> en el proceso.</w:t>
      </w:r>
    </w:p>
    <w:p w14:paraId="2072C0E3" w14:textId="77777777" w:rsidR="00027850" w:rsidRPr="00280E67" w:rsidRDefault="00027850" w:rsidP="003C2DB0">
      <w:pPr>
        <w:overflowPunct w:val="0"/>
        <w:autoSpaceDE w:val="0"/>
        <w:autoSpaceDN w:val="0"/>
        <w:adjustRightInd w:val="0"/>
        <w:spacing w:line="276" w:lineRule="auto"/>
        <w:contextualSpacing/>
        <w:rPr>
          <w:sz w:val="24"/>
          <w:szCs w:val="24"/>
        </w:rPr>
      </w:pPr>
    </w:p>
    <w:p w14:paraId="6D5E7E88" w14:textId="4F8830AA" w:rsidR="00027850" w:rsidRPr="00280E67" w:rsidRDefault="00EB0959" w:rsidP="003C2DB0">
      <w:pPr>
        <w:overflowPunct w:val="0"/>
        <w:autoSpaceDE w:val="0"/>
        <w:autoSpaceDN w:val="0"/>
        <w:adjustRightInd w:val="0"/>
        <w:spacing w:line="276" w:lineRule="auto"/>
        <w:contextualSpacing/>
        <w:rPr>
          <w:sz w:val="24"/>
          <w:szCs w:val="24"/>
        </w:rPr>
      </w:pPr>
      <w:r w:rsidRPr="00280E67">
        <w:rPr>
          <w:b/>
          <w:sz w:val="24"/>
          <w:szCs w:val="24"/>
        </w:rPr>
        <w:t>4</w:t>
      </w:r>
      <w:r w:rsidR="00211BB3" w:rsidRPr="00280E67">
        <w:rPr>
          <w:b/>
          <w:sz w:val="24"/>
          <w:szCs w:val="24"/>
        </w:rPr>
        <w:t>.2</w:t>
      </w:r>
      <w:r w:rsidR="00027850" w:rsidRPr="00280E67">
        <w:rPr>
          <w:b/>
          <w:sz w:val="24"/>
          <w:szCs w:val="24"/>
        </w:rPr>
        <w:t xml:space="preserve">.3. </w:t>
      </w:r>
      <w:r w:rsidR="0046487B" w:rsidRPr="00280E67">
        <w:rPr>
          <w:bCs/>
          <w:sz w:val="24"/>
          <w:szCs w:val="24"/>
        </w:rPr>
        <w:t>El Tribunal de arbitramento no tuvo en cuenta que l</w:t>
      </w:r>
      <w:r w:rsidR="00027850" w:rsidRPr="00280E67">
        <w:rPr>
          <w:bCs/>
          <w:sz w:val="24"/>
          <w:szCs w:val="24"/>
        </w:rPr>
        <w:t>a</w:t>
      </w:r>
      <w:r w:rsidR="00027850" w:rsidRPr="00280E67">
        <w:rPr>
          <w:sz w:val="24"/>
          <w:szCs w:val="24"/>
        </w:rPr>
        <w:t xml:space="preserve"> cláusula compromisoria no </w:t>
      </w:r>
      <w:r w:rsidRPr="00280E67">
        <w:rPr>
          <w:sz w:val="24"/>
          <w:szCs w:val="24"/>
        </w:rPr>
        <w:t>era</w:t>
      </w:r>
      <w:r w:rsidR="00027850" w:rsidRPr="00280E67">
        <w:rPr>
          <w:sz w:val="24"/>
          <w:szCs w:val="24"/>
        </w:rPr>
        <w:t xml:space="preserve"> abierta, sino que su contenido e</w:t>
      </w:r>
      <w:r w:rsidR="0046487B" w:rsidRPr="00280E67">
        <w:rPr>
          <w:sz w:val="24"/>
          <w:szCs w:val="24"/>
        </w:rPr>
        <w:t>ra</w:t>
      </w:r>
      <w:r w:rsidR="00027850" w:rsidRPr="00280E67">
        <w:rPr>
          <w:sz w:val="24"/>
          <w:szCs w:val="24"/>
        </w:rPr>
        <w:t xml:space="preserve"> espec</w:t>
      </w:r>
      <w:r w:rsidR="00AC5ED4">
        <w:rPr>
          <w:sz w:val="24"/>
          <w:szCs w:val="24"/>
        </w:rPr>
        <w:t>í</w:t>
      </w:r>
      <w:r w:rsidR="00027850" w:rsidRPr="00280E67">
        <w:rPr>
          <w:sz w:val="24"/>
          <w:szCs w:val="24"/>
        </w:rPr>
        <w:t>fico</w:t>
      </w:r>
      <w:r w:rsidRPr="00280E67">
        <w:rPr>
          <w:sz w:val="24"/>
          <w:szCs w:val="24"/>
        </w:rPr>
        <w:t xml:space="preserve">, al limitar </w:t>
      </w:r>
      <w:r w:rsidR="003D2558" w:rsidRPr="00280E67">
        <w:rPr>
          <w:sz w:val="24"/>
          <w:szCs w:val="24"/>
        </w:rPr>
        <w:t>la competencia del Tribunal de A</w:t>
      </w:r>
      <w:r w:rsidR="00027850" w:rsidRPr="00280E67">
        <w:rPr>
          <w:sz w:val="24"/>
          <w:szCs w:val="24"/>
        </w:rPr>
        <w:t>rbitramento</w:t>
      </w:r>
      <w:r w:rsidRPr="00280E67">
        <w:rPr>
          <w:sz w:val="24"/>
          <w:szCs w:val="24"/>
        </w:rPr>
        <w:t xml:space="preserve"> a la controversia que fuera planteada en la demanda arbitral</w:t>
      </w:r>
      <w:r w:rsidR="00027850" w:rsidRPr="00280E67">
        <w:rPr>
          <w:sz w:val="24"/>
          <w:szCs w:val="24"/>
        </w:rPr>
        <w:t>.</w:t>
      </w:r>
    </w:p>
    <w:p w14:paraId="5D291ED7" w14:textId="77777777" w:rsidR="00027850" w:rsidRPr="00280E67" w:rsidRDefault="00027850" w:rsidP="003C2DB0">
      <w:pPr>
        <w:overflowPunct w:val="0"/>
        <w:autoSpaceDE w:val="0"/>
        <w:autoSpaceDN w:val="0"/>
        <w:adjustRightInd w:val="0"/>
        <w:spacing w:line="276" w:lineRule="auto"/>
        <w:contextualSpacing/>
        <w:rPr>
          <w:sz w:val="24"/>
          <w:szCs w:val="24"/>
        </w:rPr>
      </w:pPr>
    </w:p>
    <w:p w14:paraId="0D910CA1" w14:textId="704BD45D" w:rsidR="00027850" w:rsidRPr="00280E67" w:rsidRDefault="00EB0959" w:rsidP="003C2DB0">
      <w:pPr>
        <w:overflowPunct w:val="0"/>
        <w:autoSpaceDE w:val="0"/>
        <w:autoSpaceDN w:val="0"/>
        <w:adjustRightInd w:val="0"/>
        <w:spacing w:line="276" w:lineRule="auto"/>
        <w:contextualSpacing/>
        <w:rPr>
          <w:sz w:val="24"/>
          <w:szCs w:val="24"/>
        </w:rPr>
      </w:pPr>
      <w:r w:rsidRPr="00280E67">
        <w:rPr>
          <w:b/>
          <w:sz w:val="24"/>
          <w:szCs w:val="24"/>
        </w:rPr>
        <w:t>4</w:t>
      </w:r>
      <w:r w:rsidR="00211BB3" w:rsidRPr="00280E67">
        <w:rPr>
          <w:b/>
          <w:sz w:val="24"/>
          <w:szCs w:val="24"/>
        </w:rPr>
        <w:t>.2.</w:t>
      </w:r>
      <w:r w:rsidR="00027850" w:rsidRPr="00280E67">
        <w:rPr>
          <w:b/>
          <w:sz w:val="24"/>
          <w:szCs w:val="24"/>
        </w:rPr>
        <w:t>4.</w:t>
      </w:r>
      <w:r w:rsidR="00027850" w:rsidRPr="00280E67">
        <w:rPr>
          <w:sz w:val="24"/>
          <w:szCs w:val="24"/>
        </w:rPr>
        <w:t xml:space="preserve"> </w:t>
      </w:r>
      <w:r w:rsidR="00CE2681" w:rsidRPr="00280E67">
        <w:rPr>
          <w:sz w:val="24"/>
          <w:szCs w:val="24"/>
        </w:rPr>
        <w:t>La Sala Civil del Tribunal Superior del Distrito de Cali</w:t>
      </w:r>
      <w:r w:rsidR="00027850" w:rsidRPr="00280E67">
        <w:rPr>
          <w:sz w:val="24"/>
          <w:szCs w:val="24"/>
        </w:rPr>
        <w:t>, al estudiar la causal quinta del artículo 41 de la Ley 1563 de 2012, no tenía c</w:t>
      </w:r>
      <w:r w:rsidRPr="00280E67">
        <w:rPr>
          <w:sz w:val="24"/>
          <w:szCs w:val="24"/>
        </w:rPr>
        <w:t>ompetencia para establecer si lo</w:t>
      </w:r>
      <w:r w:rsidR="00027850" w:rsidRPr="00280E67">
        <w:rPr>
          <w:sz w:val="24"/>
          <w:szCs w:val="24"/>
        </w:rPr>
        <w:t xml:space="preserve">s </w:t>
      </w:r>
      <w:r w:rsidRPr="00280E67">
        <w:rPr>
          <w:sz w:val="24"/>
          <w:szCs w:val="24"/>
        </w:rPr>
        <w:t>documentos requeridos eran necesario</w:t>
      </w:r>
      <w:r w:rsidR="00027850" w:rsidRPr="00280E67">
        <w:rPr>
          <w:sz w:val="24"/>
          <w:szCs w:val="24"/>
        </w:rPr>
        <w:t xml:space="preserve">s y trascendentes para alterar el juicio del juzgador, pues </w:t>
      </w:r>
      <w:r w:rsidRPr="00280E67">
        <w:rPr>
          <w:sz w:val="24"/>
          <w:szCs w:val="24"/>
        </w:rPr>
        <w:t>solo le correspondía</w:t>
      </w:r>
      <w:r w:rsidR="00027850" w:rsidRPr="00280E67">
        <w:rPr>
          <w:sz w:val="24"/>
          <w:szCs w:val="24"/>
        </w:rPr>
        <w:t xml:space="preserve"> verificar si se </w:t>
      </w:r>
      <w:r w:rsidRPr="00280E67">
        <w:rPr>
          <w:sz w:val="24"/>
          <w:szCs w:val="24"/>
        </w:rPr>
        <w:t>practicó o no una prueba ya</w:t>
      </w:r>
      <w:r w:rsidR="00027850" w:rsidRPr="00280E67">
        <w:rPr>
          <w:sz w:val="24"/>
          <w:szCs w:val="24"/>
        </w:rPr>
        <w:t xml:space="preserve"> decretada. En esa medida, </w:t>
      </w:r>
      <w:r w:rsidR="0046487B" w:rsidRPr="00280E67">
        <w:rPr>
          <w:sz w:val="24"/>
          <w:szCs w:val="24"/>
        </w:rPr>
        <w:t xml:space="preserve">señala que </w:t>
      </w:r>
      <w:r w:rsidR="00027850" w:rsidRPr="00280E67">
        <w:rPr>
          <w:sz w:val="24"/>
          <w:szCs w:val="24"/>
        </w:rPr>
        <w:t>el fallo de anulación se pronunci</w:t>
      </w:r>
      <w:r w:rsidR="0046487B" w:rsidRPr="00280E67">
        <w:rPr>
          <w:sz w:val="24"/>
          <w:szCs w:val="24"/>
        </w:rPr>
        <w:t>ó</w:t>
      </w:r>
      <w:r w:rsidR="00027850" w:rsidRPr="00280E67">
        <w:rPr>
          <w:sz w:val="24"/>
          <w:szCs w:val="24"/>
        </w:rPr>
        <w:t xml:space="preserve"> sobre aspectos sustanciales del laudo</w:t>
      </w:r>
      <w:r w:rsidRPr="00280E67">
        <w:rPr>
          <w:sz w:val="24"/>
          <w:szCs w:val="24"/>
        </w:rPr>
        <w:t xml:space="preserve"> arbitral</w:t>
      </w:r>
      <w:r w:rsidR="00027850" w:rsidRPr="00280E67">
        <w:rPr>
          <w:sz w:val="24"/>
          <w:szCs w:val="24"/>
        </w:rPr>
        <w:t xml:space="preserve">. </w:t>
      </w:r>
    </w:p>
    <w:p w14:paraId="109E2CE5" w14:textId="77777777" w:rsidR="00027850" w:rsidRPr="00280E67" w:rsidRDefault="00027850" w:rsidP="003C2DB0">
      <w:pPr>
        <w:overflowPunct w:val="0"/>
        <w:autoSpaceDE w:val="0"/>
        <w:autoSpaceDN w:val="0"/>
        <w:adjustRightInd w:val="0"/>
        <w:spacing w:line="276" w:lineRule="auto"/>
        <w:contextualSpacing/>
        <w:rPr>
          <w:sz w:val="24"/>
          <w:szCs w:val="24"/>
        </w:rPr>
      </w:pPr>
    </w:p>
    <w:p w14:paraId="1F2D0DB5" w14:textId="7426D35E" w:rsidR="00027850" w:rsidRPr="00280E67" w:rsidRDefault="00EB0959" w:rsidP="003C2DB0">
      <w:pPr>
        <w:overflowPunct w:val="0"/>
        <w:autoSpaceDE w:val="0"/>
        <w:autoSpaceDN w:val="0"/>
        <w:adjustRightInd w:val="0"/>
        <w:spacing w:line="276" w:lineRule="auto"/>
        <w:contextualSpacing/>
        <w:rPr>
          <w:rFonts w:eastAsia="Times New Roman"/>
          <w:b/>
          <w:sz w:val="24"/>
          <w:szCs w:val="24"/>
          <w:lang w:eastAsia="es-ES"/>
        </w:rPr>
      </w:pPr>
      <w:r w:rsidRPr="00280E67">
        <w:rPr>
          <w:b/>
          <w:sz w:val="24"/>
          <w:szCs w:val="24"/>
        </w:rPr>
        <w:t>5</w:t>
      </w:r>
      <w:r w:rsidR="00027850" w:rsidRPr="00280E67">
        <w:rPr>
          <w:b/>
          <w:sz w:val="24"/>
          <w:szCs w:val="24"/>
        </w:rPr>
        <w:t xml:space="preserve">. Trámite de tutela e intervenciones  </w:t>
      </w:r>
    </w:p>
    <w:p w14:paraId="1E739B4B" w14:textId="77777777" w:rsidR="00027850" w:rsidRPr="00280E67" w:rsidRDefault="00027850" w:rsidP="003C2DB0">
      <w:pPr>
        <w:overflowPunct w:val="0"/>
        <w:autoSpaceDE w:val="0"/>
        <w:autoSpaceDN w:val="0"/>
        <w:adjustRightInd w:val="0"/>
        <w:spacing w:line="276" w:lineRule="auto"/>
        <w:contextualSpacing/>
        <w:rPr>
          <w:sz w:val="24"/>
          <w:szCs w:val="24"/>
        </w:rPr>
      </w:pPr>
    </w:p>
    <w:p w14:paraId="54194B1C" w14:textId="595AD706" w:rsidR="00027850" w:rsidRPr="00280E67" w:rsidRDefault="00EB0959" w:rsidP="003C2DB0">
      <w:pPr>
        <w:overflowPunct w:val="0"/>
        <w:autoSpaceDE w:val="0"/>
        <w:autoSpaceDN w:val="0"/>
        <w:adjustRightInd w:val="0"/>
        <w:spacing w:line="276" w:lineRule="auto"/>
        <w:contextualSpacing/>
        <w:rPr>
          <w:sz w:val="24"/>
          <w:szCs w:val="24"/>
        </w:rPr>
      </w:pPr>
      <w:r w:rsidRPr="00280E67">
        <w:rPr>
          <w:b/>
          <w:sz w:val="24"/>
          <w:szCs w:val="24"/>
        </w:rPr>
        <w:t>5</w:t>
      </w:r>
      <w:r w:rsidR="00027850" w:rsidRPr="00280E67">
        <w:rPr>
          <w:b/>
          <w:sz w:val="24"/>
          <w:szCs w:val="24"/>
        </w:rPr>
        <w:t xml:space="preserve">.1. </w:t>
      </w:r>
      <w:r w:rsidR="00027850" w:rsidRPr="00280E67">
        <w:rPr>
          <w:sz w:val="24"/>
          <w:szCs w:val="24"/>
        </w:rPr>
        <w:t xml:space="preserve">El </w:t>
      </w:r>
      <w:r w:rsidR="00027850" w:rsidRPr="00280E67">
        <w:rPr>
          <w:b/>
          <w:sz w:val="24"/>
          <w:szCs w:val="24"/>
        </w:rPr>
        <w:t>Despacho Sustanciador</w:t>
      </w:r>
      <w:r w:rsidR="00027850" w:rsidRPr="00280E67">
        <w:rPr>
          <w:sz w:val="24"/>
          <w:szCs w:val="24"/>
        </w:rPr>
        <w:t xml:space="preserve"> </w:t>
      </w:r>
      <w:r w:rsidR="00CE2681" w:rsidRPr="00280E67">
        <w:rPr>
          <w:sz w:val="24"/>
          <w:szCs w:val="24"/>
        </w:rPr>
        <w:t xml:space="preserve">de esta Sala </w:t>
      </w:r>
      <w:r w:rsidR="00027850" w:rsidRPr="00280E67">
        <w:rPr>
          <w:sz w:val="24"/>
          <w:szCs w:val="24"/>
        </w:rPr>
        <w:t>admitió la acción por auto del 18 de diciembre de 2020</w:t>
      </w:r>
      <w:r w:rsidR="00027850" w:rsidRPr="00280E67">
        <w:rPr>
          <w:sz w:val="24"/>
          <w:szCs w:val="24"/>
          <w:vertAlign w:val="superscript"/>
        </w:rPr>
        <w:footnoteReference w:id="22"/>
      </w:r>
      <w:r w:rsidR="00027850" w:rsidRPr="00280E67">
        <w:rPr>
          <w:sz w:val="24"/>
          <w:szCs w:val="24"/>
        </w:rPr>
        <w:t xml:space="preserve">. Notificadas </w:t>
      </w:r>
      <w:r w:rsidR="005A7982" w:rsidRPr="00280E67">
        <w:rPr>
          <w:sz w:val="24"/>
          <w:szCs w:val="24"/>
        </w:rPr>
        <w:t xml:space="preserve">de esa providencia </w:t>
      </w:r>
      <w:r w:rsidR="00027850" w:rsidRPr="00280E67">
        <w:rPr>
          <w:sz w:val="24"/>
          <w:szCs w:val="24"/>
        </w:rPr>
        <w:t xml:space="preserve">las partes y vinculados </w:t>
      </w:r>
      <w:r w:rsidR="005A7982" w:rsidRPr="00280E67">
        <w:rPr>
          <w:sz w:val="24"/>
          <w:szCs w:val="24"/>
        </w:rPr>
        <w:t xml:space="preserve">quienes participaron en el proceso ordinario al trámite de la tutela </w:t>
      </w:r>
      <w:r w:rsidR="00027850" w:rsidRPr="00280E67">
        <w:rPr>
          <w:sz w:val="24"/>
          <w:szCs w:val="24"/>
        </w:rPr>
        <w:t>como terceros interesados</w:t>
      </w:r>
      <w:r w:rsidR="005A7982" w:rsidRPr="00280E67">
        <w:rPr>
          <w:sz w:val="24"/>
          <w:szCs w:val="24"/>
        </w:rPr>
        <w:t>, el despacho</w:t>
      </w:r>
      <w:r w:rsidR="00027850" w:rsidRPr="00280E67">
        <w:rPr>
          <w:sz w:val="24"/>
          <w:szCs w:val="24"/>
        </w:rPr>
        <w:t xml:space="preserve"> recibió las siguientes respuestas:</w:t>
      </w:r>
    </w:p>
    <w:p w14:paraId="69635A38" w14:textId="77777777" w:rsidR="00027850" w:rsidRPr="00280E67" w:rsidRDefault="00027850" w:rsidP="003C2DB0">
      <w:pPr>
        <w:overflowPunct w:val="0"/>
        <w:autoSpaceDE w:val="0"/>
        <w:autoSpaceDN w:val="0"/>
        <w:adjustRightInd w:val="0"/>
        <w:spacing w:line="276" w:lineRule="auto"/>
        <w:contextualSpacing/>
        <w:rPr>
          <w:sz w:val="24"/>
          <w:szCs w:val="24"/>
        </w:rPr>
      </w:pPr>
    </w:p>
    <w:p w14:paraId="23890983" w14:textId="253B5390" w:rsidR="00027850" w:rsidRPr="00280E67" w:rsidRDefault="00EB0959" w:rsidP="003C2DB0">
      <w:pPr>
        <w:overflowPunct w:val="0"/>
        <w:autoSpaceDE w:val="0"/>
        <w:autoSpaceDN w:val="0"/>
        <w:adjustRightInd w:val="0"/>
        <w:spacing w:line="276" w:lineRule="auto"/>
        <w:contextualSpacing/>
        <w:rPr>
          <w:sz w:val="24"/>
          <w:szCs w:val="24"/>
        </w:rPr>
      </w:pPr>
      <w:r w:rsidRPr="00280E67">
        <w:rPr>
          <w:b/>
          <w:sz w:val="24"/>
          <w:szCs w:val="24"/>
        </w:rPr>
        <w:t>5</w:t>
      </w:r>
      <w:r w:rsidR="00027850" w:rsidRPr="00280E67">
        <w:rPr>
          <w:b/>
          <w:sz w:val="24"/>
          <w:szCs w:val="24"/>
        </w:rPr>
        <w:t xml:space="preserve">.2. </w:t>
      </w:r>
      <w:r w:rsidR="00027850" w:rsidRPr="00280E67">
        <w:rPr>
          <w:sz w:val="24"/>
          <w:szCs w:val="24"/>
        </w:rPr>
        <w:t xml:space="preserve">El </w:t>
      </w:r>
      <w:r w:rsidR="00027850" w:rsidRPr="00280E67">
        <w:rPr>
          <w:b/>
          <w:sz w:val="24"/>
          <w:szCs w:val="24"/>
        </w:rPr>
        <w:t>Tribunal de Arbitramento accionado</w:t>
      </w:r>
      <w:r w:rsidR="00027850" w:rsidRPr="00280E67">
        <w:rPr>
          <w:sz w:val="24"/>
          <w:szCs w:val="24"/>
          <w:vertAlign w:val="superscript"/>
        </w:rPr>
        <w:footnoteReference w:id="23"/>
      </w:r>
      <w:r w:rsidR="00027850" w:rsidRPr="00280E67">
        <w:rPr>
          <w:sz w:val="24"/>
          <w:szCs w:val="24"/>
        </w:rPr>
        <w:t xml:space="preserve">, el </w:t>
      </w:r>
      <w:r w:rsidR="003D2558" w:rsidRPr="00280E67">
        <w:rPr>
          <w:sz w:val="24"/>
          <w:szCs w:val="24"/>
        </w:rPr>
        <w:t>14 de enero de 2020, solicitó</w:t>
      </w:r>
      <w:r w:rsidR="00027850" w:rsidRPr="00280E67">
        <w:rPr>
          <w:sz w:val="24"/>
          <w:szCs w:val="24"/>
        </w:rPr>
        <w:t xml:space="preserve"> que </w:t>
      </w:r>
      <w:r w:rsidR="00190630">
        <w:rPr>
          <w:sz w:val="24"/>
          <w:szCs w:val="24"/>
        </w:rPr>
        <w:t>“</w:t>
      </w:r>
      <w:r w:rsidR="00027850" w:rsidRPr="00280E67">
        <w:rPr>
          <w:sz w:val="24"/>
          <w:szCs w:val="24"/>
        </w:rPr>
        <w:t>se negara el amparo, por cuanto carece de relevancia constitucional</w:t>
      </w:r>
      <w:r w:rsidR="00190630">
        <w:rPr>
          <w:sz w:val="24"/>
          <w:szCs w:val="24"/>
          <w:lang w:val="es-ES"/>
        </w:rPr>
        <w:t>”</w:t>
      </w:r>
      <w:r w:rsidR="00027850" w:rsidRPr="00280E67">
        <w:rPr>
          <w:sz w:val="24"/>
          <w:szCs w:val="24"/>
        </w:rPr>
        <w:t xml:space="preserve">. Además, </w:t>
      </w:r>
      <w:r w:rsidR="003D2558" w:rsidRPr="00280E67">
        <w:rPr>
          <w:sz w:val="24"/>
          <w:szCs w:val="24"/>
        </w:rPr>
        <w:t>manifestó</w:t>
      </w:r>
      <w:r w:rsidR="00027850" w:rsidRPr="00280E67">
        <w:rPr>
          <w:sz w:val="24"/>
          <w:szCs w:val="24"/>
        </w:rPr>
        <w:t xml:space="preserve"> que: (i) en su momento, la sociedad accionante pudo presentar acción de tutela contra la providencia que resolvió la oposición a la exhibición de documentos, sin tener que esperar a la decisión que resolvió el recurso</w:t>
      </w:r>
      <w:r w:rsidR="003D2558" w:rsidRPr="00280E67">
        <w:rPr>
          <w:sz w:val="24"/>
          <w:szCs w:val="24"/>
        </w:rPr>
        <w:t xml:space="preserve"> de anulación</w:t>
      </w:r>
      <w:r w:rsidR="00027850" w:rsidRPr="00280E67">
        <w:rPr>
          <w:sz w:val="24"/>
          <w:szCs w:val="24"/>
        </w:rPr>
        <w:t>; (ii) la solicitud de amparo pretende de manera forzad</w:t>
      </w:r>
      <w:r w:rsidR="003D2558" w:rsidRPr="00280E67">
        <w:rPr>
          <w:sz w:val="24"/>
          <w:szCs w:val="24"/>
        </w:rPr>
        <w:t xml:space="preserve">a que esta Corporación </w:t>
      </w:r>
      <w:r w:rsidR="005A7982" w:rsidRPr="00280E67">
        <w:rPr>
          <w:sz w:val="24"/>
          <w:szCs w:val="24"/>
        </w:rPr>
        <w:t>infiera que hubo</w:t>
      </w:r>
      <w:r w:rsidR="00027850" w:rsidRPr="00280E67">
        <w:rPr>
          <w:sz w:val="24"/>
          <w:szCs w:val="24"/>
        </w:rPr>
        <w:t xml:space="preserve"> un desborde </w:t>
      </w:r>
      <w:r w:rsidR="003D2558" w:rsidRPr="00280E67">
        <w:rPr>
          <w:sz w:val="24"/>
          <w:szCs w:val="24"/>
        </w:rPr>
        <w:t xml:space="preserve">de </w:t>
      </w:r>
      <w:r w:rsidR="00027850" w:rsidRPr="00280E67">
        <w:rPr>
          <w:sz w:val="24"/>
          <w:szCs w:val="24"/>
        </w:rPr>
        <w:t>la competencia del Tribunal</w:t>
      </w:r>
      <w:r w:rsidR="00267434" w:rsidRPr="00280E67">
        <w:rPr>
          <w:sz w:val="24"/>
          <w:szCs w:val="24"/>
        </w:rPr>
        <w:t xml:space="preserve"> de Arbitramento</w:t>
      </w:r>
      <w:r w:rsidR="00027850" w:rsidRPr="00280E67">
        <w:rPr>
          <w:sz w:val="24"/>
          <w:szCs w:val="24"/>
        </w:rPr>
        <w:t xml:space="preserve">, por no restringir su examen únicamente al incumplimiento de las obligaciones </w:t>
      </w:r>
      <w:r w:rsidR="003D2558" w:rsidRPr="00280E67">
        <w:rPr>
          <w:sz w:val="24"/>
          <w:szCs w:val="24"/>
        </w:rPr>
        <w:t>pactadas en el</w:t>
      </w:r>
      <w:r w:rsidR="00E43FC5" w:rsidRPr="00280E67">
        <w:rPr>
          <w:sz w:val="24"/>
          <w:szCs w:val="24"/>
        </w:rPr>
        <w:t xml:space="preserve"> Acuerdo de A</w:t>
      </w:r>
      <w:r w:rsidR="002855AC" w:rsidRPr="00280E67">
        <w:rPr>
          <w:sz w:val="24"/>
          <w:szCs w:val="24"/>
        </w:rPr>
        <w:t>ccionistas; (iii</w:t>
      </w:r>
      <w:r w:rsidR="00027850" w:rsidRPr="00280E67">
        <w:rPr>
          <w:sz w:val="24"/>
          <w:szCs w:val="24"/>
        </w:rPr>
        <w:t>) las pruebas referidas por el actor s</w:t>
      </w:r>
      <w:r w:rsidR="005A7982" w:rsidRPr="00280E67">
        <w:rPr>
          <w:sz w:val="24"/>
          <w:szCs w:val="24"/>
        </w:rPr>
        <w:t>í</w:t>
      </w:r>
      <w:r w:rsidR="00027850" w:rsidRPr="00280E67">
        <w:rPr>
          <w:sz w:val="24"/>
          <w:szCs w:val="24"/>
        </w:rPr>
        <w:t xml:space="preserve"> fueron practicadas, </w:t>
      </w:r>
      <w:r w:rsidR="00027850" w:rsidRPr="00280E67">
        <w:rPr>
          <w:sz w:val="24"/>
          <w:szCs w:val="24"/>
        </w:rPr>
        <w:lastRenderedPageBreak/>
        <w:t>lo que ocurre es que fueron objeto del trámite de oposición; y (</w:t>
      </w:r>
      <w:r w:rsidR="002855AC" w:rsidRPr="00280E67">
        <w:rPr>
          <w:sz w:val="24"/>
          <w:szCs w:val="24"/>
        </w:rPr>
        <w:t>i</w:t>
      </w:r>
      <w:r w:rsidR="00027850" w:rsidRPr="00280E67">
        <w:rPr>
          <w:sz w:val="24"/>
          <w:szCs w:val="24"/>
        </w:rPr>
        <w:t xml:space="preserve">v) el contenido de la decisión que resolvió el recurso de anulación es claro y suficiente.  </w:t>
      </w:r>
    </w:p>
    <w:p w14:paraId="5B3EA108" w14:textId="77777777" w:rsidR="00027850" w:rsidRPr="00280E67" w:rsidRDefault="00027850" w:rsidP="003C2DB0">
      <w:pPr>
        <w:overflowPunct w:val="0"/>
        <w:autoSpaceDE w:val="0"/>
        <w:autoSpaceDN w:val="0"/>
        <w:adjustRightInd w:val="0"/>
        <w:spacing w:line="276" w:lineRule="auto"/>
        <w:contextualSpacing/>
        <w:rPr>
          <w:sz w:val="24"/>
          <w:szCs w:val="24"/>
        </w:rPr>
      </w:pPr>
    </w:p>
    <w:p w14:paraId="0CB4A3D3" w14:textId="72FE8600" w:rsidR="00027850" w:rsidRPr="00280E67" w:rsidRDefault="00EB0959" w:rsidP="003C2DB0">
      <w:pPr>
        <w:overflowPunct w:val="0"/>
        <w:autoSpaceDE w:val="0"/>
        <w:autoSpaceDN w:val="0"/>
        <w:adjustRightInd w:val="0"/>
        <w:spacing w:line="276" w:lineRule="auto"/>
        <w:contextualSpacing/>
        <w:rPr>
          <w:sz w:val="24"/>
          <w:szCs w:val="24"/>
        </w:rPr>
      </w:pPr>
      <w:r w:rsidRPr="00280E67">
        <w:rPr>
          <w:b/>
          <w:sz w:val="24"/>
          <w:szCs w:val="24"/>
        </w:rPr>
        <w:t>5</w:t>
      </w:r>
      <w:r w:rsidR="00027850" w:rsidRPr="00280E67">
        <w:rPr>
          <w:b/>
          <w:sz w:val="24"/>
          <w:szCs w:val="24"/>
        </w:rPr>
        <w:t>.3. GIT Masivo</w:t>
      </w:r>
      <w:r w:rsidR="00027850" w:rsidRPr="00280E67">
        <w:rPr>
          <w:sz w:val="24"/>
          <w:szCs w:val="24"/>
          <w:vertAlign w:val="superscript"/>
        </w:rPr>
        <w:footnoteReference w:id="24"/>
      </w:r>
      <w:r w:rsidR="00027850" w:rsidRPr="00280E67">
        <w:rPr>
          <w:b/>
          <w:sz w:val="24"/>
          <w:szCs w:val="24"/>
        </w:rPr>
        <w:t xml:space="preserve"> </w:t>
      </w:r>
      <w:r w:rsidR="0001756D" w:rsidRPr="00280E67">
        <w:rPr>
          <w:sz w:val="24"/>
          <w:szCs w:val="24"/>
        </w:rPr>
        <w:t>peticionó</w:t>
      </w:r>
      <w:r w:rsidR="00027850" w:rsidRPr="00280E67">
        <w:rPr>
          <w:sz w:val="24"/>
          <w:szCs w:val="24"/>
        </w:rPr>
        <w:t xml:space="preserve"> que se le desvinculara del presente trámite constitucional, toda vez que </w:t>
      </w:r>
      <w:r w:rsidR="003D2558" w:rsidRPr="00280E67">
        <w:rPr>
          <w:sz w:val="24"/>
          <w:szCs w:val="24"/>
        </w:rPr>
        <w:t>el escrito de tutela</w:t>
      </w:r>
      <w:r w:rsidR="00027850" w:rsidRPr="00280E67">
        <w:rPr>
          <w:sz w:val="24"/>
          <w:szCs w:val="24"/>
        </w:rPr>
        <w:t xml:space="preserve"> ataca providencias judiciales proferidas en procesos en los que </w:t>
      </w:r>
      <w:r w:rsidR="003D2558" w:rsidRPr="00280E67">
        <w:rPr>
          <w:sz w:val="24"/>
          <w:szCs w:val="24"/>
        </w:rPr>
        <w:t>esa sociedad no</w:t>
      </w:r>
      <w:r w:rsidR="00027850" w:rsidRPr="00280E67">
        <w:rPr>
          <w:sz w:val="24"/>
          <w:szCs w:val="24"/>
        </w:rPr>
        <w:t xml:space="preserve"> fue parte. En todo caso, expresó que su oposición a la exhibición de documentos estuvo sustentada en el artículo 268 del Código General del Proceso.</w:t>
      </w:r>
    </w:p>
    <w:p w14:paraId="08FD890F" w14:textId="77777777" w:rsidR="00027850" w:rsidRPr="00280E67" w:rsidRDefault="00027850" w:rsidP="003C2DB0">
      <w:pPr>
        <w:overflowPunct w:val="0"/>
        <w:autoSpaceDE w:val="0"/>
        <w:autoSpaceDN w:val="0"/>
        <w:adjustRightInd w:val="0"/>
        <w:spacing w:line="276" w:lineRule="auto"/>
        <w:contextualSpacing/>
        <w:rPr>
          <w:sz w:val="24"/>
          <w:szCs w:val="24"/>
        </w:rPr>
      </w:pPr>
    </w:p>
    <w:p w14:paraId="017FA8CB" w14:textId="4E72A730" w:rsidR="00027850" w:rsidRPr="00190630" w:rsidRDefault="00EB0959" w:rsidP="003C2DB0">
      <w:pPr>
        <w:overflowPunct w:val="0"/>
        <w:autoSpaceDE w:val="0"/>
        <w:autoSpaceDN w:val="0"/>
        <w:adjustRightInd w:val="0"/>
        <w:spacing w:line="276" w:lineRule="auto"/>
        <w:contextualSpacing/>
        <w:rPr>
          <w:sz w:val="24"/>
          <w:szCs w:val="24"/>
        </w:rPr>
      </w:pPr>
      <w:r w:rsidRPr="00190630">
        <w:rPr>
          <w:b/>
          <w:sz w:val="24"/>
          <w:szCs w:val="24"/>
        </w:rPr>
        <w:t>5</w:t>
      </w:r>
      <w:r w:rsidR="00027850" w:rsidRPr="00190630">
        <w:rPr>
          <w:b/>
          <w:sz w:val="24"/>
          <w:szCs w:val="24"/>
        </w:rPr>
        <w:t xml:space="preserve">.4. </w:t>
      </w:r>
      <w:r w:rsidR="00027850" w:rsidRPr="00190630">
        <w:rPr>
          <w:sz w:val="24"/>
          <w:szCs w:val="24"/>
        </w:rPr>
        <w:t xml:space="preserve">El </w:t>
      </w:r>
      <w:r w:rsidRPr="00190630">
        <w:rPr>
          <w:rFonts w:eastAsia="Times New Roman"/>
          <w:b/>
          <w:sz w:val="24"/>
          <w:szCs w:val="24"/>
          <w:lang w:val="es-ES_tradnl"/>
        </w:rPr>
        <w:t>magistrado de la Sala Civil del Tribunal Superior del Distrito de Cali</w:t>
      </w:r>
      <w:r w:rsidRPr="00190630">
        <w:rPr>
          <w:rFonts w:eastAsia="Times New Roman"/>
          <w:sz w:val="24"/>
          <w:szCs w:val="24"/>
          <w:lang w:val="es-ES_tradnl"/>
        </w:rPr>
        <w:t>,</w:t>
      </w:r>
      <w:r w:rsidRPr="00190630">
        <w:rPr>
          <w:sz w:val="24"/>
          <w:szCs w:val="24"/>
        </w:rPr>
        <w:t xml:space="preserve"> </w:t>
      </w:r>
      <w:r w:rsidRPr="00190630">
        <w:rPr>
          <w:rFonts w:eastAsia="Times New Roman"/>
          <w:sz w:val="24"/>
          <w:szCs w:val="24"/>
          <w:lang w:val="es-ES_tradnl"/>
        </w:rPr>
        <w:t>Homero Mora Insuasty</w:t>
      </w:r>
      <w:r w:rsidRPr="00190630">
        <w:rPr>
          <w:sz w:val="24"/>
          <w:szCs w:val="24"/>
          <w:vertAlign w:val="superscript"/>
        </w:rPr>
        <w:footnoteReference w:id="25"/>
      </w:r>
      <w:r w:rsidRPr="00190630">
        <w:rPr>
          <w:rFonts w:eastAsia="Times New Roman"/>
          <w:sz w:val="24"/>
          <w:szCs w:val="24"/>
          <w:lang w:val="es-ES_tradnl"/>
        </w:rPr>
        <w:t>,</w:t>
      </w:r>
      <w:r w:rsidR="00190630" w:rsidRPr="00190630">
        <w:rPr>
          <w:sz w:val="24"/>
          <w:szCs w:val="24"/>
          <w:vertAlign w:val="superscript"/>
        </w:rPr>
        <w:t xml:space="preserve"> </w:t>
      </w:r>
      <w:r w:rsidR="00190630" w:rsidRPr="00190630">
        <w:rPr>
          <w:sz w:val="24"/>
          <w:szCs w:val="24"/>
        </w:rPr>
        <w:t xml:space="preserve">considera que la Corte Suprema de Justicia es </w:t>
      </w:r>
      <w:r w:rsidR="00716FE5">
        <w:rPr>
          <w:sz w:val="24"/>
          <w:szCs w:val="24"/>
        </w:rPr>
        <w:t>el</w:t>
      </w:r>
      <w:r w:rsidR="00190630" w:rsidRPr="00190630">
        <w:rPr>
          <w:sz w:val="24"/>
          <w:szCs w:val="24"/>
        </w:rPr>
        <w:t xml:space="preserve"> co</w:t>
      </w:r>
      <w:r w:rsidR="00716FE5">
        <w:rPr>
          <w:sz w:val="24"/>
          <w:szCs w:val="24"/>
        </w:rPr>
        <w:t>mpetente para conocer el asunto. Por tanto,</w:t>
      </w:r>
      <w:r w:rsidR="00190630" w:rsidRPr="00190630">
        <w:rPr>
          <w:sz w:val="24"/>
          <w:szCs w:val="24"/>
        </w:rPr>
        <w:t xml:space="preserve"> requirió que se remitiera el expediente</w:t>
      </w:r>
      <w:r w:rsidR="00716FE5">
        <w:rPr>
          <w:sz w:val="24"/>
          <w:szCs w:val="24"/>
        </w:rPr>
        <w:t xml:space="preserve"> a la referida autoridad judicial</w:t>
      </w:r>
      <w:r w:rsidR="00190630" w:rsidRPr="00190630">
        <w:rPr>
          <w:sz w:val="24"/>
          <w:szCs w:val="24"/>
        </w:rPr>
        <w:t xml:space="preserve">. </w:t>
      </w:r>
      <w:r w:rsidR="00027850" w:rsidRPr="00190630">
        <w:rPr>
          <w:sz w:val="24"/>
          <w:szCs w:val="24"/>
        </w:rPr>
        <w:t xml:space="preserve">Además, </w:t>
      </w:r>
      <w:r w:rsidR="0001756D" w:rsidRPr="00190630">
        <w:rPr>
          <w:sz w:val="24"/>
          <w:szCs w:val="24"/>
        </w:rPr>
        <w:t>solicitó</w:t>
      </w:r>
      <w:r w:rsidR="00027850" w:rsidRPr="00190630">
        <w:rPr>
          <w:sz w:val="24"/>
          <w:szCs w:val="24"/>
        </w:rPr>
        <w:t xml:space="preserve"> que se </w:t>
      </w:r>
      <w:r w:rsidR="003D2558" w:rsidRPr="00190630">
        <w:rPr>
          <w:sz w:val="24"/>
          <w:szCs w:val="24"/>
        </w:rPr>
        <w:t>negara</w:t>
      </w:r>
      <w:r w:rsidR="00027850" w:rsidRPr="00190630">
        <w:rPr>
          <w:sz w:val="24"/>
          <w:szCs w:val="24"/>
        </w:rPr>
        <w:t xml:space="preserve"> el amparo deprecado, en la medida en que la decisión que resolvió el recurso de anulación no fue consecuencia de la arbitrariedad.</w:t>
      </w:r>
      <w:r w:rsidRPr="00190630">
        <w:rPr>
          <w:sz w:val="24"/>
          <w:szCs w:val="24"/>
        </w:rPr>
        <w:t xml:space="preserve"> </w:t>
      </w:r>
    </w:p>
    <w:p w14:paraId="197B2AE5" w14:textId="77777777" w:rsidR="00027850" w:rsidRPr="00190630" w:rsidRDefault="00027850" w:rsidP="003C2DB0">
      <w:pPr>
        <w:overflowPunct w:val="0"/>
        <w:autoSpaceDE w:val="0"/>
        <w:autoSpaceDN w:val="0"/>
        <w:adjustRightInd w:val="0"/>
        <w:spacing w:line="276" w:lineRule="auto"/>
        <w:contextualSpacing/>
        <w:rPr>
          <w:sz w:val="24"/>
          <w:szCs w:val="24"/>
        </w:rPr>
      </w:pPr>
    </w:p>
    <w:p w14:paraId="2529610C" w14:textId="77777777" w:rsidR="00027850" w:rsidRPr="00190630" w:rsidRDefault="00027850" w:rsidP="003C2DB0">
      <w:pPr>
        <w:keepNext/>
        <w:numPr>
          <w:ilvl w:val="0"/>
          <w:numId w:val="5"/>
        </w:numPr>
        <w:spacing w:line="276" w:lineRule="auto"/>
        <w:ind w:left="714" w:hanging="357"/>
        <w:jc w:val="center"/>
        <w:outlineLvl w:val="0"/>
        <w:rPr>
          <w:rFonts w:eastAsia="Times New Roman"/>
          <w:b/>
          <w:bCs/>
          <w:caps/>
          <w:kern w:val="32"/>
          <w:sz w:val="24"/>
          <w:szCs w:val="24"/>
          <w:lang w:val="es-ES_tradnl"/>
        </w:rPr>
      </w:pPr>
      <w:r w:rsidRPr="00190630">
        <w:rPr>
          <w:rFonts w:eastAsia="Times New Roman"/>
          <w:b/>
          <w:bCs/>
          <w:caps/>
          <w:kern w:val="32"/>
          <w:sz w:val="24"/>
          <w:szCs w:val="24"/>
          <w:lang w:val="es-ES_tradnl"/>
        </w:rPr>
        <w:t>CONSIDERACIONES</w:t>
      </w:r>
    </w:p>
    <w:p w14:paraId="3F7CBDC6" w14:textId="77777777" w:rsidR="00027850" w:rsidRPr="00190630" w:rsidRDefault="00027850" w:rsidP="003C2DB0">
      <w:pPr>
        <w:spacing w:line="276" w:lineRule="auto"/>
        <w:rPr>
          <w:sz w:val="24"/>
          <w:szCs w:val="24"/>
          <w:lang w:val="es-ES_tradnl"/>
        </w:rPr>
      </w:pPr>
    </w:p>
    <w:p w14:paraId="2F891DCC" w14:textId="77777777" w:rsidR="00027850" w:rsidRPr="00190630" w:rsidRDefault="00027850" w:rsidP="003C2DB0">
      <w:pPr>
        <w:numPr>
          <w:ilvl w:val="0"/>
          <w:numId w:val="1"/>
        </w:numPr>
        <w:tabs>
          <w:tab w:val="left" w:pos="426"/>
        </w:tabs>
        <w:spacing w:line="276" w:lineRule="auto"/>
        <w:ind w:left="0" w:firstLine="0"/>
        <w:contextualSpacing/>
        <w:rPr>
          <w:b/>
          <w:sz w:val="24"/>
          <w:szCs w:val="24"/>
          <w:lang w:val="es-ES_tradnl"/>
        </w:rPr>
      </w:pPr>
      <w:r w:rsidRPr="00190630">
        <w:rPr>
          <w:b/>
          <w:sz w:val="24"/>
          <w:szCs w:val="24"/>
          <w:lang w:val="es-ES_tradnl"/>
        </w:rPr>
        <w:t>Competencia</w:t>
      </w:r>
    </w:p>
    <w:p w14:paraId="3A48FA92" w14:textId="77777777" w:rsidR="00027850" w:rsidRPr="00190630" w:rsidRDefault="00027850" w:rsidP="003C2DB0">
      <w:pPr>
        <w:spacing w:line="276" w:lineRule="auto"/>
        <w:contextualSpacing/>
        <w:rPr>
          <w:b/>
          <w:sz w:val="24"/>
          <w:szCs w:val="24"/>
          <w:lang w:val="es-ES_tradnl"/>
        </w:rPr>
      </w:pPr>
    </w:p>
    <w:p w14:paraId="1CC17641" w14:textId="36912E22" w:rsidR="00027850" w:rsidRPr="00280E67" w:rsidRDefault="00CE2681" w:rsidP="003C2DB0">
      <w:pPr>
        <w:overflowPunct w:val="0"/>
        <w:autoSpaceDE w:val="0"/>
        <w:autoSpaceDN w:val="0"/>
        <w:adjustRightInd w:val="0"/>
        <w:spacing w:line="276" w:lineRule="auto"/>
        <w:contextualSpacing/>
        <w:rPr>
          <w:rFonts w:eastAsia="Times New Roman"/>
          <w:sz w:val="24"/>
          <w:szCs w:val="24"/>
          <w:lang w:eastAsia="es-ES"/>
        </w:rPr>
      </w:pPr>
      <w:r w:rsidRPr="00190630">
        <w:rPr>
          <w:sz w:val="24"/>
          <w:szCs w:val="24"/>
        </w:rPr>
        <w:t xml:space="preserve">El </w:t>
      </w:r>
      <w:r w:rsidRPr="00190630">
        <w:rPr>
          <w:rFonts w:eastAsia="Times New Roman"/>
          <w:sz w:val="24"/>
          <w:szCs w:val="24"/>
          <w:lang w:val="es-ES_tradnl"/>
        </w:rPr>
        <w:t>magistrado de la Sala Civil del Tribunal Superior del Distrito de Cali,</w:t>
      </w:r>
      <w:r w:rsidRPr="00190630">
        <w:rPr>
          <w:sz w:val="24"/>
          <w:szCs w:val="24"/>
        </w:rPr>
        <w:t xml:space="preserve"> </w:t>
      </w:r>
      <w:r w:rsidRPr="00190630">
        <w:rPr>
          <w:rFonts w:eastAsia="Times New Roman"/>
          <w:sz w:val="24"/>
          <w:szCs w:val="24"/>
          <w:lang w:val="es-ES_tradnl"/>
        </w:rPr>
        <w:t>Homero Mora Insuasty</w:t>
      </w:r>
      <w:r w:rsidR="003D2558" w:rsidRPr="00190630">
        <w:rPr>
          <w:rFonts w:eastAsia="Times New Roman"/>
          <w:sz w:val="24"/>
          <w:szCs w:val="24"/>
          <w:lang w:val="es-ES_tradnl"/>
        </w:rPr>
        <w:t>,</w:t>
      </w:r>
      <w:r w:rsidRPr="00190630">
        <w:rPr>
          <w:rFonts w:eastAsia="Times New Roman"/>
          <w:sz w:val="24"/>
          <w:szCs w:val="24"/>
          <w:lang w:eastAsia="es-ES"/>
        </w:rPr>
        <w:t xml:space="preserve"> </w:t>
      </w:r>
      <w:r w:rsidR="00027850" w:rsidRPr="00190630">
        <w:rPr>
          <w:rFonts w:eastAsia="Times New Roman"/>
          <w:sz w:val="24"/>
          <w:szCs w:val="24"/>
          <w:lang w:eastAsia="es-ES"/>
        </w:rPr>
        <w:t>solicitó que esta Corporación remitiera el expediente a la Corte Suprema de Justicia, porque, en su opinión, esa autoridad judicial es la competente para conocer del asunto,</w:t>
      </w:r>
      <w:r w:rsidR="00027850" w:rsidRPr="00280E67">
        <w:rPr>
          <w:rFonts w:eastAsia="Times New Roman"/>
          <w:sz w:val="24"/>
          <w:szCs w:val="24"/>
          <w:lang w:eastAsia="es-ES"/>
        </w:rPr>
        <w:t xml:space="preserve"> como superior funcional del juez de la anulación, según lo dispuesto en el numeral 5° del Decreto 1983 de 2017</w:t>
      </w:r>
      <w:r w:rsidR="00027850" w:rsidRPr="00280E67">
        <w:rPr>
          <w:rFonts w:eastAsia="Times New Roman"/>
          <w:sz w:val="24"/>
          <w:szCs w:val="24"/>
          <w:vertAlign w:val="superscript"/>
          <w:lang w:eastAsia="es-ES"/>
        </w:rPr>
        <w:footnoteReference w:id="26"/>
      </w:r>
      <w:r w:rsidR="00027850" w:rsidRPr="00280E67">
        <w:rPr>
          <w:rFonts w:eastAsia="Times New Roman"/>
          <w:sz w:val="24"/>
          <w:szCs w:val="24"/>
          <w:lang w:eastAsia="es-ES"/>
        </w:rPr>
        <w:t xml:space="preserve">. </w:t>
      </w:r>
    </w:p>
    <w:p w14:paraId="44E24C77" w14:textId="77777777" w:rsidR="00027850" w:rsidRPr="00280E67" w:rsidRDefault="00027850" w:rsidP="003C2DB0">
      <w:pPr>
        <w:overflowPunct w:val="0"/>
        <w:autoSpaceDE w:val="0"/>
        <w:autoSpaceDN w:val="0"/>
        <w:adjustRightInd w:val="0"/>
        <w:spacing w:line="276" w:lineRule="auto"/>
        <w:contextualSpacing/>
        <w:rPr>
          <w:rFonts w:eastAsia="Times New Roman"/>
          <w:sz w:val="24"/>
          <w:szCs w:val="24"/>
          <w:lang w:eastAsia="es-ES"/>
        </w:rPr>
      </w:pPr>
    </w:p>
    <w:p w14:paraId="389C5B8E" w14:textId="00565C45" w:rsidR="00027850" w:rsidRPr="00280E67" w:rsidRDefault="00E542CE" w:rsidP="003C2DB0">
      <w:pPr>
        <w:overflowPunct w:val="0"/>
        <w:autoSpaceDE w:val="0"/>
        <w:autoSpaceDN w:val="0"/>
        <w:adjustRightInd w:val="0"/>
        <w:spacing w:line="276" w:lineRule="auto"/>
        <w:rPr>
          <w:rFonts w:eastAsia="Times New Roman"/>
          <w:sz w:val="24"/>
          <w:szCs w:val="24"/>
          <w:lang w:eastAsia="es-ES"/>
        </w:rPr>
      </w:pPr>
      <w:r w:rsidRPr="00280E67">
        <w:rPr>
          <w:rFonts w:eastAsia="Times New Roman"/>
          <w:sz w:val="24"/>
          <w:szCs w:val="24"/>
          <w:lang w:eastAsia="es-ES"/>
        </w:rPr>
        <w:t xml:space="preserve">Frente a esto, </w:t>
      </w:r>
      <w:r w:rsidR="005A7982" w:rsidRPr="00280E67">
        <w:rPr>
          <w:rFonts w:eastAsia="Times New Roman"/>
          <w:sz w:val="24"/>
          <w:szCs w:val="24"/>
          <w:lang w:eastAsia="es-ES"/>
        </w:rPr>
        <w:t xml:space="preserve">esta sala toma </w:t>
      </w:r>
      <w:r w:rsidR="00366EC1" w:rsidRPr="00280E67">
        <w:rPr>
          <w:rFonts w:eastAsia="Times New Roman"/>
          <w:sz w:val="24"/>
          <w:szCs w:val="24"/>
          <w:lang w:eastAsia="es-ES"/>
        </w:rPr>
        <w:t xml:space="preserve">en consideración que </w:t>
      </w:r>
      <w:r w:rsidRPr="00280E67">
        <w:rPr>
          <w:rFonts w:eastAsia="Times New Roman"/>
          <w:sz w:val="24"/>
          <w:szCs w:val="24"/>
          <w:lang w:eastAsia="es-ES"/>
        </w:rPr>
        <w:t>d</w:t>
      </w:r>
      <w:r w:rsidR="00027850" w:rsidRPr="00280E67">
        <w:rPr>
          <w:rFonts w:eastAsia="Times New Roman"/>
          <w:sz w:val="24"/>
          <w:szCs w:val="24"/>
          <w:lang w:eastAsia="es-ES"/>
        </w:rPr>
        <w:t>e conformidad con los a</w:t>
      </w:r>
      <w:r w:rsidR="00F91321">
        <w:rPr>
          <w:rFonts w:eastAsia="Times New Roman"/>
          <w:sz w:val="24"/>
          <w:szCs w:val="24"/>
          <w:lang w:eastAsia="es-ES"/>
        </w:rPr>
        <w:t>rtículos 86 de la Constitución</w:t>
      </w:r>
      <w:r w:rsidR="00B07964">
        <w:rPr>
          <w:rFonts w:eastAsia="Times New Roman"/>
          <w:sz w:val="24"/>
          <w:szCs w:val="24"/>
          <w:lang w:eastAsia="es-ES"/>
        </w:rPr>
        <w:t xml:space="preserve"> y</w:t>
      </w:r>
      <w:r w:rsidR="00027850" w:rsidRPr="00280E67">
        <w:rPr>
          <w:rFonts w:eastAsia="Times New Roman"/>
          <w:sz w:val="24"/>
          <w:szCs w:val="24"/>
          <w:lang w:eastAsia="es-ES"/>
        </w:rPr>
        <w:t xml:space="preserve"> 32 y 37 del Decreto 2591 de 1991, y con la jurisprudencia constitucional, existen tres factores de asignación de competencia en materia de tutela, a saber: “</w:t>
      </w:r>
      <w:r w:rsidR="00027850" w:rsidRPr="00280E67">
        <w:rPr>
          <w:rFonts w:eastAsia="Times New Roman"/>
          <w:b/>
          <w:bCs/>
          <w:sz w:val="24"/>
          <w:szCs w:val="24"/>
          <w:lang w:eastAsia="es-ES"/>
        </w:rPr>
        <w:t>(i)</w:t>
      </w:r>
      <w:r w:rsidR="00027850" w:rsidRPr="00280E67">
        <w:rPr>
          <w:rFonts w:eastAsia="Times New Roman"/>
          <w:sz w:val="24"/>
          <w:szCs w:val="24"/>
          <w:lang w:eastAsia="es-ES"/>
        </w:rPr>
        <w:t> el </w:t>
      </w:r>
      <w:r w:rsidR="00027850" w:rsidRPr="00280E67">
        <w:rPr>
          <w:rFonts w:eastAsia="Times New Roman"/>
          <w:i/>
          <w:iCs/>
          <w:sz w:val="24"/>
          <w:szCs w:val="24"/>
          <w:lang w:eastAsia="es-ES"/>
        </w:rPr>
        <w:t>factor territorial</w:t>
      </w:r>
      <w:r w:rsidR="00027850" w:rsidRPr="00280E67">
        <w:rPr>
          <w:rFonts w:eastAsia="Times New Roman"/>
          <w:sz w:val="24"/>
          <w:szCs w:val="24"/>
          <w:lang w:eastAsia="es-ES"/>
        </w:rPr>
        <w:t>, en virtud del cual son competentes </w:t>
      </w:r>
      <w:r w:rsidR="00027850" w:rsidRPr="00280E67">
        <w:rPr>
          <w:rFonts w:eastAsia="Times New Roman"/>
          <w:i/>
          <w:iCs/>
          <w:sz w:val="24"/>
          <w:szCs w:val="24"/>
          <w:lang w:eastAsia="es-ES"/>
        </w:rPr>
        <w:t>“a prevención</w:t>
      </w:r>
      <w:r w:rsidR="00027850" w:rsidRPr="00280E67">
        <w:rPr>
          <w:rFonts w:eastAsia="Times New Roman"/>
          <w:i/>
          <w:iCs/>
          <w:sz w:val="24"/>
          <w:szCs w:val="24"/>
          <w:vertAlign w:val="superscript"/>
          <w:lang w:eastAsia="es-ES"/>
        </w:rPr>
        <w:footnoteReference w:id="27"/>
      </w:r>
      <w:r w:rsidR="00027850" w:rsidRPr="00280E67">
        <w:rPr>
          <w:rFonts w:eastAsia="Times New Roman"/>
          <w:i/>
          <w:iCs/>
          <w:sz w:val="24"/>
          <w:szCs w:val="24"/>
          <w:lang w:eastAsia="es-ES"/>
        </w:rPr>
        <w:t>”</w:t>
      </w:r>
      <w:r w:rsidR="00027850" w:rsidRPr="00280E67">
        <w:rPr>
          <w:rFonts w:eastAsia="Times New Roman"/>
          <w:b/>
          <w:bCs/>
          <w:i/>
          <w:iCs/>
          <w:sz w:val="24"/>
          <w:szCs w:val="24"/>
          <w:lang w:eastAsia="es-ES"/>
        </w:rPr>
        <w:t> </w:t>
      </w:r>
      <w:r w:rsidR="00027850" w:rsidRPr="00280E67">
        <w:rPr>
          <w:rFonts w:eastAsia="Times New Roman"/>
          <w:sz w:val="24"/>
          <w:szCs w:val="24"/>
          <w:lang w:eastAsia="es-ES"/>
        </w:rPr>
        <w:t xml:space="preserve">los jueces con jurisdicción en el lugar donde </w:t>
      </w:r>
      <w:r w:rsidR="00027850" w:rsidRPr="00280E67">
        <w:rPr>
          <w:rFonts w:eastAsia="Times New Roman"/>
          <w:b/>
          <w:iCs/>
          <w:sz w:val="24"/>
          <w:szCs w:val="24"/>
          <w:lang w:eastAsia="es-ES"/>
        </w:rPr>
        <w:t>(a)</w:t>
      </w:r>
      <w:r w:rsidR="00027850" w:rsidRPr="00280E67">
        <w:rPr>
          <w:rFonts w:eastAsia="Times New Roman"/>
          <w:iCs/>
          <w:sz w:val="24"/>
          <w:szCs w:val="24"/>
          <w:lang w:eastAsia="es-ES"/>
        </w:rPr>
        <w:t xml:space="preserve"> ocurre la vulneración o la amenaza que motiva la presentación de la solicitud, o </w:t>
      </w:r>
      <w:r w:rsidR="00027850" w:rsidRPr="00280E67">
        <w:rPr>
          <w:rFonts w:eastAsia="Times New Roman"/>
          <w:b/>
          <w:iCs/>
          <w:sz w:val="24"/>
          <w:szCs w:val="24"/>
          <w:lang w:eastAsia="es-ES"/>
        </w:rPr>
        <w:t>(b)</w:t>
      </w:r>
      <w:r w:rsidR="00027850" w:rsidRPr="00280E67">
        <w:rPr>
          <w:rFonts w:eastAsia="Times New Roman"/>
          <w:iCs/>
          <w:sz w:val="24"/>
          <w:szCs w:val="24"/>
          <w:lang w:eastAsia="es-ES"/>
        </w:rPr>
        <w:t xml:space="preserve"> donde se produzcan sus efectos</w:t>
      </w:r>
      <w:r w:rsidR="00027850" w:rsidRPr="00280E67">
        <w:rPr>
          <w:rFonts w:eastAsia="Times New Roman"/>
          <w:iCs/>
          <w:sz w:val="24"/>
          <w:szCs w:val="24"/>
          <w:vertAlign w:val="superscript"/>
          <w:lang w:eastAsia="es-ES"/>
        </w:rPr>
        <w:footnoteReference w:id="28"/>
      </w:r>
      <w:r w:rsidR="00027850" w:rsidRPr="00280E67">
        <w:rPr>
          <w:rFonts w:eastAsia="Times New Roman"/>
          <w:iCs/>
          <w:sz w:val="24"/>
          <w:szCs w:val="24"/>
          <w:lang w:eastAsia="es-ES"/>
        </w:rPr>
        <w:t>; </w:t>
      </w:r>
      <w:r w:rsidR="00027850" w:rsidRPr="00280E67">
        <w:rPr>
          <w:rFonts w:eastAsia="Times New Roman"/>
          <w:b/>
          <w:bCs/>
          <w:iCs/>
          <w:sz w:val="24"/>
          <w:szCs w:val="24"/>
          <w:lang w:eastAsia="es-ES"/>
        </w:rPr>
        <w:t>(ii) </w:t>
      </w:r>
      <w:r w:rsidR="00027850" w:rsidRPr="00280E67">
        <w:rPr>
          <w:rFonts w:eastAsia="Times New Roman"/>
          <w:iCs/>
          <w:sz w:val="24"/>
          <w:szCs w:val="24"/>
          <w:lang w:eastAsia="es-ES"/>
        </w:rPr>
        <w:t xml:space="preserve">el factor subjetivo, que corresponde al caso de las acciones de tutela interpuestas en contra de </w:t>
      </w:r>
      <w:r w:rsidR="00027850" w:rsidRPr="00280E67">
        <w:rPr>
          <w:rFonts w:eastAsia="Times New Roman"/>
          <w:b/>
          <w:iCs/>
          <w:sz w:val="24"/>
          <w:szCs w:val="24"/>
          <w:lang w:eastAsia="es-ES"/>
        </w:rPr>
        <w:t>(a)</w:t>
      </w:r>
      <w:r w:rsidR="00027850" w:rsidRPr="00280E67">
        <w:rPr>
          <w:rFonts w:eastAsia="Times New Roman"/>
          <w:iCs/>
          <w:sz w:val="24"/>
          <w:szCs w:val="24"/>
          <w:lang w:eastAsia="es-ES"/>
        </w:rPr>
        <w:t xml:space="preserve"> los medios de comunicación, cuyo conocimiento fue asignado a los jueces del circuito y </w:t>
      </w:r>
      <w:r w:rsidR="00027850" w:rsidRPr="00280E67">
        <w:rPr>
          <w:rFonts w:eastAsia="Times New Roman"/>
          <w:b/>
          <w:iCs/>
          <w:sz w:val="24"/>
          <w:szCs w:val="24"/>
          <w:lang w:eastAsia="es-ES"/>
        </w:rPr>
        <w:t>(b)</w:t>
      </w:r>
      <w:r w:rsidR="00027850" w:rsidRPr="00280E67">
        <w:rPr>
          <w:rFonts w:eastAsia="Times New Roman"/>
          <w:iCs/>
          <w:sz w:val="24"/>
          <w:szCs w:val="24"/>
          <w:lang w:eastAsia="es-ES"/>
        </w:rPr>
        <w:t xml:space="preserve"> las autoridades de la Jurisdicción Especial para la Paz, cuya resolución corresponde al Tribunal para la Paz; y</w:t>
      </w:r>
      <w:r w:rsidR="00027850" w:rsidRPr="00280E67">
        <w:rPr>
          <w:rFonts w:eastAsia="Times New Roman"/>
          <w:sz w:val="24"/>
          <w:szCs w:val="24"/>
          <w:lang w:eastAsia="es-ES"/>
        </w:rPr>
        <w:t> </w:t>
      </w:r>
      <w:r w:rsidR="00027850" w:rsidRPr="00280E67">
        <w:rPr>
          <w:rFonts w:eastAsia="Times New Roman"/>
          <w:b/>
          <w:bCs/>
          <w:sz w:val="24"/>
          <w:szCs w:val="24"/>
          <w:lang w:eastAsia="es-ES"/>
        </w:rPr>
        <w:t>(iii)</w:t>
      </w:r>
      <w:r w:rsidR="00027850" w:rsidRPr="00280E67">
        <w:rPr>
          <w:rFonts w:eastAsia="Times New Roman"/>
          <w:sz w:val="24"/>
          <w:szCs w:val="24"/>
          <w:lang w:eastAsia="es-ES"/>
        </w:rPr>
        <w:t> el </w:t>
      </w:r>
      <w:r w:rsidR="00027850" w:rsidRPr="00280E67">
        <w:rPr>
          <w:rFonts w:eastAsia="Times New Roman"/>
          <w:i/>
          <w:iCs/>
          <w:sz w:val="24"/>
          <w:szCs w:val="24"/>
          <w:lang w:eastAsia="es-ES"/>
        </w:rPr>
        <w:t>factor funcional</w:t>
      </w:r>
      <w:r w:rsidR="00027850" w:rsidRPr="00280E67">
        <w:rPr>
          <w:rFonts w:eastAsia="Times New Roman"/>
          <w:sz w:val="24"/>
          <w:szCs w:val="24"/>
          <w:lang w:eastAsia="es-ES"/>
        </w:rPr>
        <w:t xml:space="preserve">, que debe ser verificado por las autoridades judiciales al momento de asumir el conocimiento de la impugnación de una acción de tutela y que implica que </w:t>
      </w:r>
      <w:r w:rsidR="00027850" w:rsidRPr="00280E67">
        <w:rPr>
          <w:rFonts w:eastAsia="Times New Roman"/>
          <w:sz w:val="24"/>
          <w:szCs w:val="24"/>
          <w:lang w:eastAsia="es-ES"/>
        </w:rPr>
        <w:lastRenderedPageBreak/>
        <w:t>únicamente pueden conocer de ella las autoridades judiciales que tengan la condición de </w:t>
      </w:r>
      <w:r w:rsidR="00027850" w:rsidRPr="00280E67">
        <w:rPr>
          <w:rFonts w:eastAsia="Times New Roman"/>
          <w:iCs/>
          <w:sz w:val="24"/>
          <w:szCs w:val="24"/>
          <w:lang w:eastAsia="es-ES"/>
        </w:rPr>
        <w:t>“</w:t>
      </w:r>
      <w:r w:rsidR="00027850" w:rsidRPr="00280E67">
        <w:rPr>
          <w:rFonts w:eastAsia="Times New Roman"/>
          <w:i/>
          <w:iCs/>
          <w:sz w:val="24"/>
          <w:szCs w:val="24"/>
          <w:lang w:eastAsia="es-ES"/>
        </w:rPr>
        <w:t>superior jerárquico correspondiente</w:t>
      </w:r>
      <w:r w:rsidR="00027850" w:rsidRPr="00280E67">
        <w:rPr>
          <w:rFonts w:eastAsia="Times New Roman"/>
          <w:iCs/>
          <w:sz w:val="24"/>
          <w:szCs w:val="24"/>
          <w:lang w:eastAsia="es-ES"/>
        </w:rPr>
        <w:t>”</w:t>
      </w:r>
      <w:r w:rsidR="00027850" w:rsidRPr="00280E67">
        <w:rPr>
          <w:rFonts w:eastAsia="Times New Roman"/>
          <w:iCs/>
          <w:sz w:val="24"/>
          <w:szCs w:val="24"/>
          <w:vertAlign w:val="superscript"/>
          <w:lang w:eastAsia="es-ES"/>
        </w:rPr>
        <w:footnoteReference w:id="29"/>
      </w:r>
      <w:r w:rsidR="00027850" w:rsidRPr="00280E67">
        <w:rPr>
          <w:rFonts w:eastAsia="Times New Roman"/>
          <w:sz w:val="24"/>
          <w:szCs w:val="24"/>
          <w:lang w:eastAsia="es-ES"/>
        </w:rPr>
        <w:t>.</w:t>
      </w:r>
    </w:p>
    <w:p w14:paraId="617126C2" w14:textId="77777777" w:rsidR="00027850" w:rsidRPr="00280E67" w:rsidRDefault="00027850" w:rsidP="003C2DB0">
      <w:pPr>
        <w:overflowPunct w:val="0"/>
        <w:autoSpaceDE w:val="0"/>
        <w:autoSpaceDN w:val="0"/>
        <w:adjustRightInd w:val="0"/>
        <w:spacing w:line="276" w:lineRule="auto"/>
        <w:rPr>
          <w:rFonts w:eastAsia="Times New Roman"/>
          <w:sz w:val="24"/>
          <w:szCs w:val="24"/>
          <w:lang w:val="es-ES" w:eastAsia="es-ES"/>
        </w:rPr>
      </w:pPr>
    </w:p>
    <w:p w14:paraId="4D95DA05" w14:textId="296CAC7C" w:rsidR="00366EC1" w:rsidRPr="00280E67" w:rsidRDefault="00366EC1" w:rsidP="00366EC1">
      <w:pPr>
        <w:overflowPunct w:val="0"/>
        <w:autoSpaceDE w:val="0"/>
        <w:autoSpaceDN w:val="0"/>
        <w:adjustRightInd w:val="0"/>
        <w:spacing w:line="276" w:lineRule="auto"/>
        <w:rPr>
          <w:rFonts w:eastAsia="Times New Roman"/>
          <w:sz w:val="24"/>
          <w:szCs w:val="24"/>
          <w:lang w:eastAsia="es-ES"/>
        </w:rPr>
      </w:pPr>
      <w:r w:rsidRPr="00280E67">
        <w:rPr>
          <w:rFonts w:eastAsia="Times New Roman"/>
          <w:sz w:val="24"/>
          <w:szCs w:val="24"/>
          <w:lang w:eastAsia="es-ES"/>
        </w:rPr>
        <w:t>De manera que las normas de competencia aplicables al trámite de tutela están definidas en el orden constitucional, y legal</w:t>
      </w:r>
      <w:r w:rsidRPr="00280E67">
        <w:rPr>
          <w:rFonts w:eastAsia="Times New Roman"/>
          <w:sz w:val="24"/>
          <w:szCs w:val="24"/>
          <w:vertAlign w:val="superscript"/>
          <w:lang w:eastAsia="es-ES"/>
        </w:rPr>
        <w:footnoteReference w:id="30"/>
      </w:r>
      <w:r w:rsidRPr="00280E67">
        <w:rPr>
          <w:rFonts w:eastAsia="Times New Roman"/>
          <w:sz w:val="24"/>
          <w:szCs w:val="24"/>
          <w:lang w:eastAsia="es-ES"/>
        </w:rPr>
        <w:t xml:space="preserve">. </w:t>
      </w:r>
      <w:r w:rsidR="005A7982" w:rsidRPr="00280E67">
        <w:rPr>
          <w:rFonts w:eastAsia="Times New Roman"/>
          <w:sz w:val="24"/>
          <w:szCs w:val="24"/>
          <w:lang w:eastAsia="es-ES"/>
        </w:rPr>
        <w:t>Al margen de ello</w:t>
      </w:r>
      <w:r w:rsidRPr="00280E67">
        <w:rPr>
          <w:rFonts w:eastAsia="Times New Roman"/>
          <w:sz w:val="24"/>
          <w:szCs w:val="24"/>
          <w:lang w:eastAsia="es-ES"/>
        </w:rPr>
        <w:t xml:space="preserve">, la regulación administrativa derivada se ha encargado de establecer las reglas de reparto que, en todo caso, no son de ninguna manera reglas de competencia. </w:t>
      </w:r>
    </w:p>
    <w:p w14:paraId="194BAF90" w14:textId="50DB2514" w:rsidR="00027850" w:rsidRPr="00280E67" w:rsidRDefault="00027850" w:rsidP="003C2DB0">
      <w:pPr>
        <w:overflowPunct w:val="0"/>
        <w:autoSpaceDE w:val="0"/>
        <w:autoSpaceDN w:val="0"/>
        <w:adjustRightInd w:val="0"/>
        <w:spacing w:line="276" w:lineRule="auto"/>
        <w:rPr>
          <w:rFonts w:eastAsia="Times New Roman"/>
          <w:sz w:val="24"/>
          <w:szCs w:val="24"/>
          <w:lang w:eastAsia="es-ES"/>
        </w:rPr>
      </w:pPr>
    </w:p>
    <w:p w14:paraId="7EEB79F7" w14:textId="77777777" w:rsidR="00366EC1" w:rsidRPr="00280E67" w:rsidRDefault="00366EC1" w:rsidP="00366EC1">
      <w:pPr>
        <w:overflowPunct w:val="0"/>
        <w:autoSpaceDE w:val="0"/>
        <w:autoSpaceDN w:val="0"/>
        <w:adjustRightInd w:val="0"/>
        <w:spacing w:line="276" w:lineRule="auto"/>
        <w:rPr>
          <w:rFonts w:eastAsia="Times New Roman"/>
          <w:sz w:val="24"/>
          <w:szCs w:val="24"/>
          <w:lang w:eastAsia="es-ES"/>
        </w:rPr>
      </w:pPr>
      <w:r w:rsidRPr="00280E67">
        <w:rPr>
          <w:rFonts w:eastAsia="Times New Roman"/>
          <w:sz w:val="24"/>
          <w:szCs w:val="24"/>
          <w:lang w:eastAsia="es-ES"/>
        </w:rPr>
        <w:t>Según la Corte Constitucional, estas reglas de reparto “[...] se encaminan de forma exclusiva a la estructuración de pautas que deben ser utilizadas por las oficinas de apoyo judicial, cuando distribuyen las acciones de tutela entre los distintos despachos judiciales a los que les asiste competencia. Las reglas de reparto organizan la distribución de los asuntos entre varios jueces competentes por razón del principio de desconcentración, mas no determinan concretamente el juez o jueces”</w:t>
      </w:r>
      <w:r w:rsidRPr="00280E67">
        <w:rPr>
          <w:rFonts w:eastAsia="Times New Roman"/>
          <w:sz w:val="24"/>
          <w:szCs w:val="24"/>
          <w:vertAlign w:val="superscript"/>
          <w:lang w:eastAsia="es-ES"/>
        </w:rPr>
        <w:footnoteReference w:id="31"/>
      </w:r>
      <w:r w:rsidRPr="00280E67">
        <w:rPr>
          <w:rFonts w:eastAsia="Times New Roman"/>
          <w:sz w:val="24"/>
          <w:szCs w:val="24"/>
          <w:lang w:eastAsia="es-ES"/>
        </w:rPr>
        <w:t>.</w:t>
      </w:r>
    </w:p>
    <w:p w14:paraId="022A4D8E" w14:textId="33ED948D" w:rsidR="00366EC1" w:rsidRPr="00280E67" w:rsidRDefault="00366EC1" w:rsidP="003C2DB0">
      <w:pPr>
        <w:overflowPunct w:val="0"/>
        <w:autoSpaceDE w:val="0"/>
        <w:autoSpaceDN w:val="0"/>
        <w:adjustRightInd w:val="0"/>
        <w:spacing w:line="276" w:lineRule="auto"/>
        <w:rPr>
          <w:rFonts w:eastAsia="Times New Roman"/>
          <w:sz w:val="24"/>
          <w:szCs w:val="24"/>
          <w:lang w:eastAsia="es-ES"/>
        </w:rPr>
      </w:pPr>
    </w:p>
    <w:p w14:paraId="2B0C3DC3" w14:textId="00F51F6C" w:rsidR="00366EC1" w:rsidRPr="00280E67" w:rsidRDefault="00366EC1" w:rsidP="00366EC1">
      <w:pPr>
        <w:overflowPunct w:val="0"/>
        <w:autoSpaceDE w:val="0"/>
        <w:autoSpaceDN w:val="0"/>
        <w:adjustRightInd w:val="0"/>
        <w:spacing w:line="276" w:lineRule="auto"/>
        <w:rPr>
          <w:rFonts w:eastAsia="Times New Roman"/>
          <w:sz w:val="24"/>
          <w:szCs w:val="24"/>
          <w:lang w:eastAsia="es-ES"/>
        </w:rPr>
      </w:pPr>
      <w:r w:rsidRPr="00280E67">
        <w:rPr>
          <w:rFonts w:eastAsia="Times New Roman"/>
          <w:sz w:val="24"/>
          <w:szCs w:val="24"/>
          <w:lang w:eastAsia="es-ES"/>
        </w:rPr>
        <w:t xml:space="preserve">Este reparto </w:t>
      </w:r>
      <w:r w:rsidRPr="00280E67">
        <w:rPr>
          <w:rFonts w:eastAsia="Times New Roman"/>
          <w:b/>
          <w:sz w:val="24"/>
          <w:szCs w:val="24"/>
          <w:lang w:eastAsia="es-ES"/>
        </w:rPr>
        <w:t xml:space="preserve">en la primera instancia </w:t>
      </w:r>
      <w:r w:rsidRPr="00280E67">
        <w:rPr>
          <w:rFonts w:eastAsia="Times New Roman"/>
          <w:sz w:val="24"/>
          <w:szCs w:val="24"/>
          <w:lang w:eastAsia="es-ES"/>
        </w:rPr>
        <w:t xml:space="preserve">—como sucede en el presente asunto— </w:t>
      </w:r>
      <w:r w:rsidR="005C3B6D" w:rsidRPr="00280E67">
        <w:rPr>
          <w:rFonts w:eastAsia="Times New Roman"/>
          <w:sz w:val="24"/>
          <w:szCs w:val="24"/>
          <w:lang w:eastAsia="es-ES"/>
        </w:rPr>
        <w:t>se realiza</w:t>
      </w:r>
      <w:r w:rsidRPr="00280E67">
        <w:rPr>
          <w:rFonts w:eastAsia="Times New Roman"/>
          <w:sz w:val="24"/>
          <w:szCs w:val="24"/>
          <w:lang w:eastAsia="es-ES"/>
        </w:rPr>
        <w:t xml:space="preserve"> en atención a que la jurisdicción constitucional es una sola y basta con que se reparta a un funcionario judicial superior, sin importar la especialidad</w:t>
      </w:r>
      <w:r w:rsidR="005450A0" w:rsidRPr="00280E67">
        <w:rPr>
          <w:rStyle w:val="Refdenotaalpie"/>
          <w:rFonts w:eastAsia="Times New Roman"/>
          <w:sz w:val="24"/>
          <w:szCs w:val="24"/>
          <w:lang w:eastAsia="es-ES"/>
        </w:rPr>
        <w:footnoteReference w:id="32"/>
      </w:r>
      <w:r w:rsidRPr="00280E67">
        <w:rPr>
          <w:rFonts w:eastAsia="Times New Roman"/>
          <w:sz w:val="24"/>
          <w:szCs w:val="24"/>
          <w:lang w:eastAsia="es-ES"/>
        </w:rPr>
        <w:t xml:space="preserve">. En este contexto, cabe aclarar que las normas de competencia y las de reparto tienen una aplicación sistemática con el principio de jerarquía judicial, de manera que, cuando se trata de una acción de tutela contra una providencia judicial, sea un superior jerárquico de la autoridad accionada quien decida </w:t>
      </w:r>
      <w:r w:rsidR="00C46F9D" w:rsidRPr="00280E67">
        <w:rPr>
          <w:rFonts w:eastAsia="Times New Roman"/>
          <w:sz w:val="24"/>
          <w:szCs w:val="24"/>
          <w:lang w:eastAsia="es-ES"/>
        </w:rPr>
        <w:t>el amparo constitucional deprecado</w:t>
      </w:r>
      <w:r w:rsidRPr="00280E67">
        <w:rPr>
          <w:rFonts w:eastAsia="Times New Roman"/>
          <w:sz w:val="24"/>
          <w:szCs w:val="24"/>
          <w:lang w:eastAsia="es-ES"/>
        </w:rPr>
        <w:t xml:space="preserve">. </w:t>
      </w:r>
    </w:p>
    <w:p w14:paraId="60B515F8" w14:textId="1789839A" w:rsidR="00366EC1" w:rsidRPr="00280E67" w:rsidRDefault="00366EC1" w:rsidP="00366EC1">
      <w:pPr>
        <w:overflowPunct w:val="0"/>
        <w:autoSpaceDE w:val="0"/>
        <w:autoSpaceDN w:val="0"/>
        <w:adjustRightInd w:val="0"/>
        <w:spacing w:line="276" w:lineRule="auto"/>
        <w:rPr>
          <w:rFonts w:eastAsia="Times New Roman"/>
          <w:bCs/>
          <w:sz w:val="24"/>
          <w:szCs w:val="24"/>
          <w:lang w:eastAsia="es-ES"/>
        </w:rPr>
      </w:pPr>
    </w:p>
    <w:p w14:paraId="03CD192E" w14:textId="4E1A02C0" w:rsidR="00366EC1" w:rsidRPr="00280E67" w:rsidRDefault="00366EC1" w:rsidP="00366EC1">
      <w:pPr>
        <w:spacing w:line="276" w:lineRule="auto"/>
        <w:rPr>
          <w:sz w:val="24"/>
          <w:szCs w:val="24"/>
          <w:bdr w:val="none" w:sz="0" w:space="0" w:color="auto" w:frame="1"/>
          <w:shd w:val="clear" w:color="auto" w:fill="FFFFFF"/>
        </w:rPr>
      </w:pPr>
      <w:r w:rsidRPr="00280E67">
        <w:rPr>
          <w:sz w:val="24"/>
          <w:szCs w:val="24"/>
          <w:bdr w:val="none" w:sz="0" w:space="0" w:color="auto" w:frame="1"/>
          <w:shd w:val="clear" w:color="auto" w:fill="FFFFFF"/>
        </w:rPr>
        <w:t xml:space="preserve">No le asiste razón, entonces, al magistrado del Tribunal Superior del Distrito de Cali cuando afirma que, según la regla de reparto, el conocimiento de este trámite constitucional era de la Corte Suprema de Justicia, pues, como se indicó con anterioridad, la regla de reparto </w:t>
      </w:r>
      <w:r w:rsidRPr="00280E67">
        <w:rPr>
          <w:b/>
          <w:sz w:val="24"/>
          <w:szCs w:val="24"/>
          <w:bdr w:val="none" w:sz="0" w:space="0" w:color="auto" w:frame="1"/>
          <w:shd w:val="clear" w:color="auto" w:fill="FFFFFF"/>
        </w:rPr>
        <w:t>de la primera instancia</w:t>
      </w:r>
      <w:r w:rsidRPr="00280E67">
        <w:rPr>
          <w:sz w:val="24"/>
          <w:szCs w:val="24"/>
          <w:bdr w:val="none" w:sz="0" w:space="0" w:color="auto" w:frame="1"/>
          <w:shd w:val="clear" w:color="auto" w:fill="FFFFFF"/>
        </w:rPr>
        <w:t xml:space="preserve">, en correspondencia con el principio de jerarquía judicial, establece que, en los casos de las acciones de tutela </w:t>
      </w:r>
      <w:r w:rsidRPr="00280E67">
        <w:rPr>
          <w:sz w:val="24"/>
          <w:szCs w:val="24"/>
          <w:bdr w:val="none" w:sz="0" w:space="0" w:color="auto" w:frame="1"/>
          <w:shd w:val="clear" w:color="auto" w:fill="FFFFFF"/>
        </w:rPr>
        <w:lastRenderedPageBreak/>
        <w:t xml:space="preserve">contra providencias judiciales, debe conocer un superior jerárquico. A todas luces, este mandamiento se cumple en el presente asunto, en tanto que el Consejo de Estado es un tribunal de cierre. </w:t>
      </w:r>
    </w:p>
    <w:p w14:paraId="6E4BA34B" w14:textId="77777777" w:rsidR="00366EC1" w:rsidRPr="00280E67" w:rsidRDefault="00366EC1" w:rsidP="00366EC1">
      <w:pPr>
        <w:spacing w:line="276" w:lineRule="auto"/>
        <w:rPr>
          <w:sz w:val="24"/>
          <w:szCs w:val="24"/>
          <w:bdr w:val="none" w:sz="0" w:space="0" w:color="auto" w:frame="1"/>
          <w:shd w:val="clear" w:color="auto" w:fill="FFFFFF"/>
        </w:rPr>
      </w:pPr>
    </w:p>
    <w:p w14:paraId="66C46D2E" w14:textId="09B7953B" w:rsidR="00366EC1" w:rsidRPr="00280E67" w:rsidRDefault="00366EC1" w:rsidP="00366EC1">
      <w:pPr>
        <w:autoSpaceDE w:val="0"/>
        <w:autoSpaceDN w:val="0"/>
        <w:adjustRightInd w:val="0"/>
        <w:spacing w:line="276" w:lineRule="auto"/>
        <w:contextualSpacing/>
        <w:rPr>
          <w:sz w:val="24"/>
          <w:szCs w:val="24"/>
        </w:rPr>
      </w:pPr>
      <w:r w:rsidRPr="00280E67">
        <w:rPr>
          <w:sz w:val="24"/>
          <w:szCs w:val="24"/>
          <w:bdr w:val="none" w:sz="0" w:space="0" w:color="auto" w:frame="1"/>
          <w:shd w:val="clear" w:color="auto" w:fill="FFFFFF"/>
        </w:rPr>
        <w:t xml:space="preserve">Así las cosas, la Subsección C de la Sección Tercera del Consejo de Estado continuará con el conocimiento como </w:t>
      </w:r>
      <w:r w:rsidRPr="00280E67">
        <w:rPr>
          <w:b/>
          <w:sz w:val="24"/>
          <w:szCs w:val="24"/>
          <w:bdr w:val="none" w:sz="0" w:space="0" w:color="auto" w:frame="1"/>
          <w:shd w:val="clear" w:color="auto" w:fill="FFFFFF"/>
        </w:rPr>
        <w:t>juez de primera instancia</w:t>
      </w:r>
      <w:r w:rsidRPr="00280E67">
        <w:rPr>
          <w:sz w:val="24"/>
          <w:szCs w:val="24"/>
          <w:bdr w:val="none" w:sz="0" w:space="0" w:color="auto" w:frame="1"/>
          <w:shd w:val="clear" w:color="auto" w:fill="FFFFFF"/>
        </w:rPr>
        <w:t xml:space="preserve"> de la acción de tutela </w:t>
      </w:r>
      <w:r w:rsidR="00A820AD" w:rsidRPr="00280E67">
        <w:rPr>
          <w:sz w:val="24"/>
          <w:szCs w:val="24"/>
          <w:bdr w:val="none" w:sz="0" w:space="0" w:color="auto" w:frame="1"/>
          <w:shd w:val="clear" w:color="auto" w:fill="FFFFFF"/>
        </w:rPr>
        <w:t>formulada</w:t>
      </w:r>
      <w:r w:rsidRPr="00280E67">
        <w:rPr>
          <w:sz w:val="24"/>
          <w:szCs w:val="24"/>
          <w:bdr w:val="none" w:sz="0" w:space="0" w:color="auto" w:frame="1"/>
          <w:shd w:val="clear" w:color="auto" w:fill="FFFFFF"/>
        </w:rPr>
        <w:t xml:space="preserve"> por </w:t>
      </w:r>
      <w:r w:rsidRPr="00280E67">
        <w:rPr>
          <w:bCs/>
          <w:sz w:val="24"/>
          <w:szCs w:val="24"/>
          <w:lang w:val="es-ES"/>
        </w:rPr>
        <w:t xml:space="preserve">Transfuvalle </w:t>
      </w:r>
      <w:r w:rsidRPr="00280E67">
        <w:rPr>
          <w:sz w:val="24"/>
          <w:szCs w:val="24"/>
        </w:rPr>
        <w:t>en contra de la Sala Civil del Tr</w:t>
      </w:r>
      <w:r w:rsidRPr="00280E67">
        <w:rPr>
          <w:sz w:val="24"/>
          <w:szCs w:val="24"/>
          <w:bdr w:val="none" w:sz="0" w:space="0" w:color="auto" w:frame="1"/>
          <w:shd w:val="clear" w:color="auto" w:fill="FFFFFF"/>
        </w:rPr>
        <w:t>ibunal Superior del Distrito Judicial de Cali y del comentado Tribunal de Arbitramento</w:t>
      </w:r>
      <w:r w:rsidRPr="00280E67">
        <w:rPr>
          <w:sz w:val="24"/>
          <w:szCs w:val="24"/>
        </w:rPr>
        <w:t xml:space="preserve">, por haber sido la primera autoridad judicial a la que se repartió la solicitud de amparo y, principalmente, </w:t>
      </w:r>
      <w:r w:rsidR="00A820AD" w:rsidRPr="00280E67">
        <w:rPr>
          <w:sz w:val="24"/>
          <w:szCs w:val="24"/>
        </w:rPr>
        <w:t>con fundamento en</w:t>
      </w:r>
      <w:r w:rsidR="00EF7782" w:rsidRPr="00280E67">
        <w:rPr>
          <w:sz w:val="24"/>
          <w:szCs w:val="24"/>
        </w:rPr>
        <w:t xml:space="preserve"> </w:t>
      </w:r>
      <w:r w:rsidR="00156A7A" w:rsidRPr="00280E67">
        <w:rPr>
          <w:sz w:val="24"/>
          <w:szCs w:val="24"/>
        </w:rPr>
        <w:t>los</w:t>
      </w:r>
      <w:r w:rsidR="00EF7782" w:rsidRPr="00280E67">
        <w:rPr>
          <w:sz w:val="24"/>
          <w:szCs w:val="24"/>
        </w:rPr>
        <w:t xml:space="preserve"> fin</w:t>
      </w:r>
      <w:r w:rsidRPr="00280E67">
        <w:rPr>
          <w:sz w:val="24"/>
          <w:szCs w:val="24"/>
        </w:rPr>
        <w:t>es de la acción de tutela y los principios de garantía efectiva de los derechos fundamentales (artículo 2 de la Constitución), de primacía de los derechos inalienables de las personas (artículo 5 ídem) y de informalidad, sumariedad y celeridad que deben informar el trámite de la acción constitucional de amparo (artículo 86 ídem y artículo 37 del Decreto 2591 de 1991).</w:t>
      </w:r>
    </w:p>
    <w:p w14:paraId="26657EF8" w14:textId="77777777" w:rsidR="00027850" w:rsidRPr="00280E67" w:rsidRDefault="00027850" w:rsidP="003C2DB0">
      <w:pPr>
        <w:overflowPunct w:val="0"/>
        <w:autoSpaceDE w:val="0"/>
        <w:autoSpaceDN w:val="0"/>
        <w:adjustRightInd w:val="0"/>
        <w:spacing w:line="276" w:lineRule="auto"/>
        <w:contextualSpacing/>
        <w:rPr>
          <w:rFonts w:eastAsia="Times New Roman"/>
          <w:sz w:val="24"/>
          <w:szCs w:val="24"/>
          <w:lang w:eastAsia="es-ES"/>
        </w:rPr>
      </w:pPr>
    </w:p>
    <w:p w14:paraId="1EC4A645" w14:textId="77777777" w:rsidR="00027850" w:rsidRPr="00280E67" w:rsidRDefault="00027850" w:rsidP="003C2DB0">
      <w:pPr>
        <w:numPr>
          <w:ilvl w:val="0"/>
          <w:numId w:val="1"/>
        </w:numPr>
        <w:spacing w:line="276" w:lineRule="auto"/>
        <w:ind w:left="426"/>
        <w:contextualSpacing/>
        <w:rPr>
          <w:b/>
          <w:sz w:val="24"/>
          <w:szCs w:val="24"/>
          <w:lang w:val="es-ES_tradnl"/>
        </w:rPr>
      </w:pPr>
      <w:r w:rsidRPr="00280E67">
        <w:rPr>
          <w:b/>
          <w:sz w:val="24"/>
          <w:szCs w:val="24"/>
          <w:lang w:val="es-ES_tradnl"/>
        </w:rPr>
        <w:t>Procedibilidad de la acción</w:t>
      </w:r>
    </w:p>
    <w:p w14:paraId="792B650D" w14:textId="77777777" w:rsidR="00027850" w:rsidRPr="00280E67" w:rsidRDefault="00027850" w:rsidP="003C2DB0">
      <w:pPr>
        <w:spacing w:line="276" w:lineRule="auto"/>
        <w:contextualSpacing/>
        <w:rPr>
          <w:sz w:val="24"/>
          <w:szCs w:val="24"/>
          <w:lang w:val="es-ES_tradnl"/>
        </w:rPr>
      </w:pPr>
    </w:p>
    <w:p w14:paraId="10D0A893" w14:textId="4CA27BB1" w:rsidR="00027850" w:rsidRPr="00280E67" w:rsidRDefault="00027850" w:rsidP="003C2DB0">
      <w:pPr>
        <w:tabs>
          <w:tab w:val="left" w:pos="0"/>
        </w:tabs>
        <w:spacing w:line="276" w:lineRule="auto"/>
        <w:contextualSpacing/>
        <w:rPr>
          <w:sz w:val="24"/>
          <w:szCs w:val="24"/>
        </w:rPr>
      </w:pPr>
      <w:r w:rsidRPr="00280E67">
        <w:rPr>
          <w:sz w:val="24"/>
          <w:szCs w:val="24"/>
          <w:lang w:val="es-MX"/>
        </w:rPr>
        <w:t xml:space="preserve">En los casos en que </w:t>
      </w:r>
      <w:r w:rsidRPr="00280E67">
        <w:rPr>
          <w:sz w:val="24"/>
          <w:szCs w:val="24"/>
        </w:rPr>
        <w:t>la solicitud de amparo ataca una providencia judicial, la doctrina constitucional</w:t>
      </w:r>
      <w:r w:rsidRPr="00280E67">
        <w:rPr>
          <w:sz w:val="24"/>
          <w:szCs w:val="24"/>
          <w:vertAlign w:val="superscript"/>
        </w:rPr>
        <w:footnoteReference w:id="33"/>
      </w:r>
      <w:r w:rsidRPr="00280E67">
        <w:rPr>
          <w:sz w:val="24"/>
          <w:szCs w:val="24"/>
          <w:lang w:val="es-MX"/>
        </w:rPr>
        <w:t xml:space="preserve"> ha indicado que el juez de tutela debe, en forma preliminar, realizar </w:t>
      </w:r>
      <w:r w:rsidRPr="00280E67">
        <w:rPr>
          <w:sz w:val="24"/>
          <w:szCs w:val="24"/>
        </w:rPr>
        <w:t>un examen de procedibilidad general</w:t>
      </w:r>
      <w:r w:rsidRPr="00280E67">
        <w:rPr>
          <w:sz w:val="24"/>
          <w:szCs w:val="24"/>
          <w:vertAlign w:val="superscript"/>
        </w:rPr>
        <w:footnoteReference w:id="34"/>
      </w:r>
      <w:r w:rsidRPr="00280E67">
        <w:rPr>
          <w:sz w:val="24"/>
          <w:szCs w:val="24"/>
        </w:rPr>
        <w:t xml:space="preserve"> de la acción; pues, s</w:t>
      </w:r>
      <w:r w:rsidR="001E265A">
        <w:rPr>
          <w:sz w:val="24"/>
          <w:szCs w:val="24"/>
        </w:rPr>
        <w:t>o</w:t>
      </w:r>
      <w:r w:rsidRPr="00280E67">
        <w:rPr>
          <w:sz w:val="24"/>
          <w:szCs w:val="24"/>
        </w:rPr>
        <w:t>lo una vez verificada la observancia de los requisitos que la determinan, procede el pronunciamiento de fondo sobre la problemática jurídica que el actor plantea en función de los defectos que reprocha a la actuación acusada y conforme a las causales específicas de procedencia de la acción de tutela contra providencias judiciales</w:t>
      </w:r>
      <w:r w:rsidRPr="00280E67">
        <w:rPr>
          <w:sz w:val="24"/>
          <w:szCs w:val="24"/>
          <w:vertAlign w:val="superscript"/>
        </w:rPr>
        <w:footnoteReference w:id="35"/>
      </w:r>
      <w:r w:rsidRPr="00280E67">
        <w:rPr>
          <w:sz w:val="24"/>
          <w:szCs w:val="24"/>
        </w:rPr>
        <w:t>.</w:t>
      </w:r>
    </w:p>
    <w:p w14:paraId="0B1D114D" w14:textId="24494A11" w:rsidR="00E21631" w:rsidRPr="00280E67" w:rsidRDefault="00E21631" w:rsidP="003C2DB0">
      <w:pPr>
        <w:tabs>
          <w:tab w:val="left" w:pos="0"/>
        </w:tabs>
        <w:spacing w:line="276" w:lineRule="auto"/>
        <w:contextualSpacing/>
        <w:rPr>
          <w:sz w:val="24"/>
          <w:szCs w:val="24"/>
        </w:rPr>
      </w:pPr>
    </w:p>
    <w:p w14:paraId="02533C7E" w14:textId="77777777" w:rsidR="00E21631" w:rsidRPr="00280E67" w:rsidRDefault="00E21631" w:rsidP="003C2DB0">
      <w:pPr>
        <w:spacing w:line="276" w:lineRule="auto"/>
        <w:contextualSpacing/>
        <w:rPr>
          <w:sz w:val="24"/>
          <w:szCs w:val="24"/>
          <w:lang w:val="es-ES_tradnl" w:eastAsia="en-US"/>
        </w:rPr>
      </w:pPr>
      <w:r w:rsidRPr="00280E67">
        <w:rPr>
          <w:sz w:val="24"/>
          <w:szCs w:val="24"/>
          <w:lang w:val="es-ES_tradnl" w:eastAsia="en-US"/>
        </w:rPr>
        <w:t xml:space="preserve">Ahora bien, en atención a la naturaleza jurisdiccional de los laudos, la Corte Constitucional ha extendido la doctrina de los requisitos de procedencia y procedibilidad de las acciones de tutela interpuestas para cuestionar providencias judiciales, a aquellas solicitudes de amparo constitucional que se inicien en contra de decisiones proferidas por tribunales arbitrales, reparando, por supuesto, en la </w:t>
      </w:r>
      <w:r w:rsidRPr="00280E67">
        <w:rPr>
          <w:sz w:val="24"/>
          <w:szCs w:val="24"/>
          <w:lang w:val="es-ES_tradnl" w:eastAsia="en-US"/>
        </w:rPr>
        <w:lastRenderedPageBreak/>
        <w:t>necesidad de verificar que se hayan respetado las características propias de proceso arbitral</w:t>
      </w:r>
      <w:r w:rsidRPr="00280E67">
        <w:rPr>
          <w:rFonts w:eastAsia="Times New Roman"/>
          <w:sz w:val="24"/>
          <w:szCs w:val="24"/>
          <w:vertAlign w:val="superscript"/>
          <w:lang w:eastAsia="es-ES"/>
        </w:rPr>
        <w:footnoteReference w:id="36"/>
      </w:r>
      <w:r w:rsidRPr="00280E67">
        <w:rPr>
          <w:sz w:val="24"/>
          <w:szCs w:val="24"/>
          <w:lang w:val="es-ES_tradnl" w:eastAsia="en-US"/>
        </w:rPr>
        <w:t>.</w:t>
      </w:r>
    </w:p>
    <w:p w14:paraId="5C8A7A40" w14:textId="2C26C07D" w:rsidR="00D6033A" w:rsidRPr="00280E67" w:rsidRDefault="00D6033A" w:rsidP="003C2DB0">
      <w:pPr>
        <w:tabs>
          <w:tab w:val="left" w:pos="0"/>
        </w:tabs>
        <w:spacing w:line="276" w:lineRule="auto"/>
        <w:contextualSpacing/>
        <w:rPr>
          <w:sz w:val="24"/>
          <w:szCs w:val="24"/>
        </w:rPr>
      </w:pPr>
    </w:p>
    <w:p w14:paraId="368EC00C" w14:textId="77777777" w:rsidR="00027850" w:rsidRPr="00280E67" w:rsidRDefault="00027850" w:rsidP="003C2DB0">
      <w:pPr>
        <w:tabs>
          <w:tab w:val="left" w:pos="0"/>
        </w:tabs>
        <w:spacing w:line="276" w:lineRule="auto"/>
        <w:contextualSpacing/>
        <w:rPr>
          <w:b/>
          <w:bCs/>
          <w:sz w:val="24"/>
          <w:szCs w:val="24"/>
          <w:lang w:val="es-ES_tradnl"/>
        </w:rPr>
      </w:pPr>
      <w:r w:rsidRPr="00280E67">
        <w:rPr>
          <w:b/>
          <w:bCs/>
          <w:sz w:val="24"/>
          <w:szCs w:val="24"/>
          <w:lang w:val="es-ES_tradnl"/>
        </w:rPr>
        <w:t>2.1. Legitimación</w:t>
      </w:r>
    </w:p>
    <w:p w14:paraId="1D6A6DB2" w14:textId="77777777" w:rsidR="00027850" w:rsidRPr="00280E67" w:rsidRDefault="00027850" w:rsidP="003C2DB0">
      <w:pPr>
        <w:tabs>
          <w:tab w:val="left" w:pos="0"/>
        </w:tabs>
        <w:spacing w:line="276" w:lineRule="auto"/>
        <w:contextualSpacing/>
        <w:rPr>
          <w:b/>
          <w:bCs/>
          <w:sz w:val="24"/>
          <w:szCs w:val="24"/>
          <w:lang w:val="es-ES_tradnl"/>
        </w:rPr>
      </w:pPr>
    </w:p>
    <w:p w14:paraId="16FEF745" w14:textId="77777777" w:rsidR="00027850" w:rsidRPr="00280E67" w:rsidRDefault="00027850" w:rsidP="003C2DB0">
      <w:pPr>
        <w:shd w:val="clear" w:color="auto" w:fill="FFFFFF"/>
        <w:spacing w:line="276" w:lineRule="auto"/>
        <w:textAlignment w:val="baseline"/>
        <w:rPr>
          <w:sz w:val="24"/>
          <w:szCs w:val="24"/>
          <w:bdr w:val="none" w:sz="0" w:space="0" w:color="auto" w:frame="1"/>
        </w:rPr>
      </w:pPr>
      <w:r w:rsidRPr="00280E67">
        <w:rPr>
          <w:sz w:val="24"/>
          <w:szCs w:val="24"/>
          <w:bdr w:val="none" w:sz="0" w:space="0" w:color="auto" w:frame="1"/>
        </w:rPr>
        <w:t>La Corte Constitucional ha expresado en varias oportunidades que las personas jurídicas son titulares de derechos fundamentales, y, en esa medida, se encuentran legitimadas para presentar acciones de tutela</w:t>
      </w:r>
      <w:r w:rsidRPr="00280E67">
        <w:rPr>
          <w:sz w:val="24"/>
          <w:szCs w:val="24"/>
          <w:bdr w:val="none" w:sz="0" w:space="0" w:color="auto" w:frame="1"/>
          <w:vertAlign w:val="superscript"/>
        </w:rPr>
        <w:footnoteReference w:id="37"/>
      </w:r>
      <w:r w:rsidRPr="00280E67">
        <w:rPr>
          <w:sz w:val="24"/>
          <w:szCs w:val="24"/>
          <w:bdr w:val="none" w:sz="0" w:space="0" w:color="auto" w:frame="1"/>
        </w:rPr>
        <w:t xml:space="preserve">. </w:t>
      </w:r>
      <w:r w:rsidRPr="00280E67">
        <w:rPr>
          <w:color w:val="000000"/>
          <w:sz w:val="24"/>
          <w:szCs w:val="24"/>
          <w:shd w:val="clear" w:color="auto" w:fill="FFFFFF"/>
        </w:rPr>
        <w:t>En la sentencia T-889 de 2013, esa Corporación precisó que “la legitimidad por activa para la defensa de los derechos fundamentales de las personas jurídicas depende de que exista una relación de representación legal o apoderamiento judicial entre la persona natural que alega la vulneración y la persona jurídica que ha sido afectada”.</w:t>
      </w:r>
    </w:p>
    <w:p w14:paraId="4E60CEFC" w14:textId="77777777" w:rsidR="00027850" w:rsidRPr="00280E67" w:rsidRDefault="00027850" w:rsidP="003C2DB0">
      <w:pPr>
        <w:shd w:val="clear" w:color="auto" w:fill="FFFFFF"/>
        <w:spacing w:line="276" w:lineRule="auto"/>
        <w:textAlignment w:val="baseline"/>
        <w:rPr>
          <w:sz w:val="24"/>
          <w:szCs w:val="24"/>
          <w:bdr w:val="none" w:sz="0" w:space="0" w:color="auto" w:frame="1"/>
        </w:rPr>
      </w:pPr>
    </w:p>
    <w:p w14:paraId="72F166DF" w14:textId="74194328" w:rsidR="00027850" w:rsidRPr="00280E67" w:rsidRDefault="00027850" w:rsidP="003C2DB0">
      <w:pPr>
        <w:shd w:val="clear" w:color="auto" w:fill="FFFFFF"/>
        <w:spacing w:line="276" w:lineRule="auto"/>
        <w:textAlignment w:val="baseline"/>
        <w:rPr>
          <w:sz w:val="24"/>
          <w:szCs w:val="24"/>
          <w:bdr w:val="none" w:sz="0" w:space="0" w:color="auto" w:frame="1"/>
        </w:rPr>
      </w:pPr>
      <w:r w:rsidRPr="00280E67">
        <w:rPr>
          <w:sz w:val="24"/>
          <w:szCs w:val="24"/>
          <w:bdr w:val="none" w:sz="0" w:space="0" w:color="auto" w:frame="1"/>
        </w:rPr>
        <w:t>En este caso, Transfuvalle presentó la acción de tutela por conducto de su representante legal,</w:t>
      </w:r>
      <w:r w:rsidRPr="00280E67">
        <w:rPr>
          <w:sz w:val="24"/>
          <w:szCs w:val="24"/>
          <w:lang w:eastAsia="en-US"/>
        </w:rPr>
        <w:t xml:space="preserve"> Reinaldo Marín Ayala. Lo anterior, conforme al certificado de existencia y representación legal expedido por la Cámara de Comercio de Cali el 21 de noviembre de 2020</w:t>
      </w:r>
      <w:r w:rsidRPr="00280E67">
        <w:rPr>
          <w:sz w:val="24"/>
          <w:szCs w:val="24"/>
          <w:vertAlign w:val="superscript"/>
          <w:lang w:eastAsia="en-US"/>
        </w:rPr>
        <w:footnoteReference w:id="38"/>
      </w:r>
      <w:r w:rsidRPr="00280E67">
        <w:rPr>
          <w:sz w:val="24"/>
          <w:szCs w:val="24"/>
          <w:lang w:eastAsia="en-US"/>
        </w:rPr>
        <w:t>. Asimismo, resulta relevante tener en cuenta que la referida sociedad fue la parte convocante en el proceso arbitral y la recurrente en el trámite del recurso de anulación interpuesto contra</w:t>
      </w:r>
      <w:r w:rsidR="003D2558" w:rsidRPr="00280E67">
        <w:rPr>
          <w:sz w:val="24"/>
          <w:szCs w:val="24"/>
          <w:lang w:eastAsia="en-US"/>
        </w:rPr>
        <w:t xml:space="preserve"> la</w:t>
      </w:r>
      <w:r w:rsidRPr="00280E67">
        <w:rPr>
          <w:sz w:val="24"/>
          <w:szCs w:val="24"/>
          <w:lang w:eastAsia="en-US"/>
        </w:rPr>
        <w:t xml:space="preserve"> </w:t>
      </w:r>
      <w:r w:rsidR="00B816F2" w:rsidRPr="00280E67">
        <w:rPr>
          <w:sz w:val="24"/>
          <w:szCs w:val="24"/>
          <w:lang w:eastAsia="en-US"/>
        </w:rPr>
        <w:t>decisión objeto de arbitraje</w:t>
      </w:r>
      <w:r w:rsidR="003D2558" w:rsidRPr="00280E67">
        <w:rPr>
          <w:sz w:val="24"/>
          <w:szCs w:val="24"/>
          <w:lang w:eastAsia="en-US"/>
        </w:rPr>
        <w:t>. Por</w:t>
      </w:r>
      <w:r w:rsidR="00B816F2" w:rsidRPr="00280E67">
        <w:rPr>
          <w:sz w:val="24"/>
          <w:szCs w:val="24"/>
          <w:lang w:eastAsia="en-US"/>
        </w:rPr>
        <w:t xml:space="preserve"> tanto, </w:t>
      </w:r>
      <w:r w:rsidR="003D2558" w:rsidRPr="00280E67">
        <w:rPr>
          <w:rFonts w:eastAsia="Times New Roman"/>
          <w:bCs/>
          <w:color w:val="000000"/>
          <w:sz w:val="24"/>
          <w:szCs w:val="24"/>
          <w:lang w:val="es-ES"/>
        </w:rPr>
        <w:t xml:space="preserve">la </w:t>
      </w:r>
      <w:r w:rsidR="003D2558" w:rsidRPr="00280E67">
        <w:rPr>
          <w:bCs/>
          <w:sz w:val="24"/>
          <w:szCs w:val="24"/>
          <w:lang w:eastAsia="en-US"/>
        </w:rPr>
        <w:t xml:space="preserve">parte accionante </w:t>
      </w:r>
      <w:r w:rsidRPr="00280E67">
        <w:rPr>
          <w:sz w:val="24"/>
          <w:szCs w:val="24"/>
          <w:lang w:eastAsia="en-US"/>
        </w:rPr>
        <w:t xml:space="preserve">es titular de los derechos fundamentales invocados </w:t>
      </w:r>
      <w:r w:rsidR="003D2558" w:rsidRPr="00280E67">
        <w:rPr>
          <w:rFonts w:eastAsia="Times New Roman"/>
          <w:bCs/>
          <w:color w:val="000000"/>
          <w:sz w:val="24"/>
          <w:szCs w:val="24"/>
          <w:lang w:val="es-ES"/>
        </w:rPr>
        <w:t>y, en consecuencia,</w:t>
      </w:r>
      <w:r w:rsidRPr="00280E67">
        <w:rPr>
          <w:rFonts w:eastAsia="Times New Roman"/>
          <w:bCs/>
          <w:color w:val="000000"/>
          <w:sz w:val="24"/>
          <w:szCs w:val="24"/>
          <w:lang w:val="es-ES"/>
        </w:rPr>
        <w:t xml:space="preserve"> </w:t>
      </w:r>
      <w:r w:rsidRPr="00280E67">
        <w:rPr>
          <w:bCs/>
          <w:sz w:val="24"/>
          <w:szCs w:val="24"/>
          <w:lang w:eastAsia="en-US"/>
        </w:rPr>
        <w:t xml:space="preserve">está </w:t>
      </w:r>
      <w:r w:rsidRPr="00280E67">
        <w:rPr>
          <w:b/>
          <w:sz w:val="24"/>
          <w:szCs w:val="24"/>
          <w:lang w:eastAsia="en-US"/>
        </w:rPr>
        <w:t>legitimada por activa</w:t>
      </w:r>
      <w:r w:rsidR="00B816F2" w:rsidRPr="00280E67">
        <w:rPr>
          <w:bCs/>
          <w:sz w:val="24"/>
          <w:szCs w:val="24"/>
          <w:lang w:eastAsia="en-US"/>
        </w:rPr>
        <w:t>.</w:t>
      </w:r>
    </w:p>
    <w:p w14:paraId="3204643C" w14:textId="77777777" w:rsidR="00027850" w:rsidRPr="00280E67" w:rsidRDefault="00027850" w:rsidP="003C2DB0">
      <w:pPr>
        <w:tabs>
          <w:tab w:val="left" w:pos="0"/>
        </w:tabs>
        <w:spacing w:line="276" w:lineRule="auto"/>
        <w:contextualSpacing/>
        <w:rPr>
          <w:b/>
          <w:bCs/>
          <w:sz w:val="24"/>
          <w:szCs w:val="24"/>
        </w:rPr>
      </w:pPr>
    </w:p>
    <w:p w14:paraId="6D8628F0" w14:textId="7D0A152E" w:rsidR="00027850" w:rsidRPr="00280E67" w:rsidRDefault="00027850" w:rsidP="003C2DB0">
      <w:pPr>
        <w:tabs>
          <w:tab w:val="left" w:pos="0"/>
        </w:tabs>
        <w:spacing w:line="276" w:lineRule="auto"/>
        <w:contextualSpacing/>
        <w:rPr>
          <w:bCs/>
          <w:sz w:val="24"/>
          <w:szCs w:val="24"/>
          <w:lang w:val="es-ES_tradnl"/>
        </w:rPr>
      </w:pPr>
      <w:r w:rsidRPr="00280E67">
        <w:rPr>
          <w:bCs/>
          <w:sz w:val="24"/>
          <w:szCs w:val="24"/>
          <w:lang w:val="es-ES_tradnl"/>
        </w:rPr>
        <w:t xml:space="preserve">La Sala Civil del Tribunal Superior del Distrito de Cali y el </w:t>
      </w:r>
      <w:r w:rsidRPr="00280E67">
        <w:rPr>
          <w:bCs/>
          <w:sz w:val="24"/>
          <w:szCs w:val="24"/>
          <w:lang w:val="es-ES" w:eastAsia="en-US"/>
        </w:rPr>
        <w:t xml:space="preserve">Tribunal de Arbitramento, integrado por los árbitros: Mónica Fernanda Rúgeles Martínez, Antonio Pabón Santander y Henry Sanabria Santos, por su parte, están </w:t>
      </w:r>
      <w:r w:rsidRPr="00280E67">
        <w:rPr>
          <w:b/>
          <w:bCs/>
          <w:sz w:val="24"/>
          <w:szCs w:val="24"/>
          <w:lang w:val="es-ES" w:eastAsia="en-US"/>
        </w:rPr>
        <w:t>legitimado</w:t>
      </w:r>
      <w:r w:rsidR="00EF7782" w:rsidRPr="00280E67">
        <w:rPr>
          <w:b/>
          <w:bCs/>
          <w:sz w:val="24"/>
          <w:szCs w:val="24"/>
          <w:lang w:val="es-ES" w:eastAsia="en-US"/>
        </w:rPr>
        <w:t>s</w:t>
      </w:r>
      <w:r w:rsidRPr="00280E67">
        <w:rPr>
          <w:b/>
          <w:bCs/>
          <w:sz w:val="24"/>
          <w:szCs w:val="24"/>
          <w:lang w:val="es-ES" w:eastAsia="en-US"/>
        </w:rPr>
        <w:t xml:space="preserve"> por pasiva</w:t>
      </w:r>
      <w:r w:rsidRPr="00280E67">
        <w:rPr>
          <w:bCs/>
          <w:sz w:val="24"/>
          <w:szCs w:val="24"/>
          <w:lang w:val="es-ES" w:eastAsia="en-US"/>
        </w:rPr>
        <w:t xml:space="preserve">, toda vez que fueron quienes profirieron las providencias objeto de la </w:t>
      </w:r>
      <w:r w:rsidR="00B816F2" w:rsidRPr="00280E67">
        <w:rPr>
          <w:bCs/>
          <w:sz w:val="24"/>
          <w:szCs w:val="24"/>
          <w:lang w:val="es-ES" w:eastAsia="en-US"/>
        </w:rPr>
        <w:t>solicitud de amparo</w:t>
      </w:r>
      <w:r w:rsidRPr="00280E67">
        <w:rPr>
          <w:bCs/>
          <w:sz w:val="24"/>
          <w:szCs w:val="24"/>
          <w:lang w:val="es-ES" w:eastAsia="en-US"/>
        </w:rPr>
        <w:t>.</w:t>
      </w:r>
    </w:p>
    <w:p w14:paraId="3F23AC57" w14:textId="2D6104A5" w:rsidR="00B812C3" w:rsidRPr="00280E67" w:rsidRDefault="00B812C3" w:rsidP="003C2DB0">
      <w:pPr>
        <w:spacing w:line="276" w:lineRule="auto"/>
        <w:rPr>
          <w:iCs/>
          <w:sz w:val="24"/>
          <w:szCs w:val="24"/>
          <w:lang w:val="es-419"/>
        </w:rPr>
      </w:pPr>
    </w:p>
    <w:p w14:paraId="7086E639" w14:textId="77777777" w:rsidR="00027850" w:rsidRPr="00280E67" w:rsidRDefault="00027850" w:rsidP="003C2DB0">
      <w:pPr>
        <w:spacing w:line="276" w:lineRule="auto"/>
        <w:rPr>
          <w:b/>
          <w:bCs/>
          <w:iCs/>
          <w:sz w:val="24"/>
          <w:szCs w:val="24"/>
          <w:lang w:val="es-419"/>
        </w:rPr>
      </w:pPr>
      <w:r w:rsidRPr="00280E67">
        <w:rPr>
          <w:b/>
          <w:bCs/>
          <w:iCs/>
          <w:sz w:val="24"/>
          <w:szCs w:val="24"/>
          <w:lang w:val="es-419"/>
        </w:rPr>
        <w:t>2.2.</w:t>
      </w:r>
      <w:r w:rsidRPr="00280E67">
        <w:rPr>
          <w:iCs/>
          <w:sz w:val="24"/>
          <w:szCs w:val="24"/>
          <w:lang w:val="es-419"/>
        </w:rPr>
        <w:t xml:space="preserve"> </w:t>
      </w:r>
      <w:r w:rsidRPr="00280E67">
        <w:rPr>
          <w:b/>
          <w:bCs/>
          <w:iCs/>
          <w:sz w:val="24"/>
          <w:szCs w:val="24"/>
          <w:lang w:val="es-419"/>
        </w:rPr>
        <w:t xml:space="preserve">Relevancia constitucional </w:t>
      </w:r>
    </w:p>
    <w:p w14:paraId="023B0E46" w14:textId="77777777" w:rsidR="00027850" w:rsidRPr="00280E67" w:rsidRDefault="00027850" w:rsidP="003C2DB0">
      <w:pPr>
        <w:spacing w:line="276" w:lineRule="auto"/>
        <w:rPr>
          <w:bCs/>
          <w:iCs/>
          <w:sz w:val="24"/>
          <w:szCs w:val="24"/>
        </w:rPr>
      </w:pPr>
    </w:p>
    <w:p w14:paraId="2E9F46C2" w14:textId="65641F78" w:rsidR="00027850" w:rsidRPr="00280E67" w:rsidRDefault="00027850" w:rsidP="003C2DB0">
      <w:pPr>
        <w:spacing w:line="276" w:lineRule="auto"/>
        <w:rPr>
          <w:bCs/>
          <w:iCs/>
          <w:sz w:val="24"/>
          <w:szCs w:val="24"/>
        </w:rPr>
      </w:pPr>
      <w:r w:rsidRPr="00280E67">
        <w:rPr>
          <w:b/>
          <w:bCs/>
          <w:iCs/>
          <w:sz w:val="24"/>
          <w:szCs w:val="24"/>
        </w:rPr>
        <w:t xml:space="preserve">2.2.1. </w:t>
      </w:r>
      <w:r w:rsidRPr="00280E67">
        <w:rPr>
          <w:bCs/>
          <w:iCs/>
          <w:sz w:val="24"/>
          <w:szCs w:val="24"/>
        </w:rPr>
        <w:t>La jurisprudencia constitucional</w:t>
      </w:r>
      <w:r w:rsidRPr="00280E67">
        <w:rPr>
          <w:bCs/>
          <w:iCs/>
          <w:sz w:val="24"/>
          <w:szCs w:val="24"/>
          <w:vertAlign w:val="superscript"/>
        </w:rPr>
        <w:footnoteReference w:id="39"/>
      </w:r>
      <w:r w:rsidRPr="00280E67">
        <w:rPr>
          <w:bCs/>
          <w:iCs/>
          <w:sz w:val="24"/>
          <w:szCs w:val="24"/>
        </w:rPr>
        <w:t xml:space="preserve"> ha reiterado que el examen de procedibilidad de las acciones de tutela, contra laudos arbitrales o providencias que resuelven recursos en contra de este tipo de decisiones, debe ser más riguroso que el efectuado sobre las sentencias y autos proferidos por los jueces ordinarios. La razón de ello obedece a que estamos ante un escenario en el que las partes expresan su voluntad de apartarse de la jurisdicción ordinaria y, en consecuencia, someter sus controversias a la decisión</w:t>
      </w:r>
      <w:r w:rsidR="00B812C3" w:rsidRPr="00280E67">
        <w:rPr>
          <w:bCs/>
          <w:iCs/>
          <w:sz w:val="24"/>
          <w:szCs w:val="24"/>
        </w:rPr>
        <w:t xml:space="preserve"> de</w:t>
      </w:r>
      <w:r w:rsidRPr="00280E67">
        <w:rPr>
          <w:bCs/>
          <w:iCs/>
          <w:sz w:val="24"/>
          <w:szCs w:val="24"/>
        </w:rPr>
        <w:t xml:space="preserve"> un particular habilitado</w:t>
      </w:r>
      <w:r w:rsidR="00EF7782" w:rsidRPr="00280E67">
        <w:rPr>
          <w:bCs/>
          <w:iCs/>
          <w:sz w:val="24"/>
          <w:szCs w:val="24"/>
        </w:rPr>
        <w:t xml:space="preserve"> legal y constitucionalmente</w:t>
      </w:r>
      <w:r w:rsidRPr="00280E67">
        <w:rPr>
          <w:bCs/>
          <w:iCs/>
          <w:sz w:val="24"/>
          <w:szCs w:val="24"/>
        </w:rPr>
        <w:t xml:space="preserve"> para ello. </w:t>
      </w:r>
      <w:r w:rsidR="00190630">
        <w:rPr>
          <w:bCs/>
          <w:iCs/>
          <w:sz w:val="24"/>
          <w:szCs w:val="24"/>
        </w:rPr>
        <w:t xml:space="preserve">Lo que </w:t>
      </w:r>
      <w:r w:rsidRPr="00280E67">
        <w:rPr>
          <w:bCs/>
          <w:iCs/>
          <w:sz w:val="24"/>
          <w:szCs w:val="24"/>
        </w:rPr>
        <w:t xml:space="preserve">implica restringir el examen de procedibilidad al aspecto meramente procesal, </w:t>
      </w:r>
      <w:r w:rsidR="00367756" w:rsidRPr="00280E67">
        <w:rPr>
          <w:bCs/>
          <w:iCs/>
          <w:sz w:val="24"/>
          <w:szCs w:val="24"/>
        </w:rPr>
        <w:t>para así garantizar la estabilidad jurídica del laudo, la expresión de la voluntad de los intervinientes y la condición excepcio</w:t>
      </w:r>
      <w:r w:rsidR="00D06A86" w:rsidRPr="00280E67">
        <w:rPr>
          <w:bCs/>
          <w:iCs/>
          <w:sz w:val="24"/>
          <w:szCs w:val="24"/>
        </w:rPr>
        <w:t>nal del mecanismo del arbitraje. Ó</w:t>
      </w:r>
      <w:r w:rsidR="003C2DB0" w:rsidRPr="00280E67">
        <w:rPr>
          <w:bCs/>
          <w:iCs/>
          <w:sz w:val="24"/>
          <w:szCs w:val="24"/>
        </w:rPr>
        <w:t>rbita que está por fuera de la competencia del</w:t>
      </w:r>
      <w:r w:rsidR="00367756" w:rsidRPr="00280E67">
        <w:rPr>
          <w:bCs/>
          <w:iCs/>
          <w:sz w:val="24"/>
          <w:szCs w:val="24"/>
        </w:rPr>
        <w:t xml:space="preserve"> juez de </w:t>
      </w:r>
      <w:r w:rsidR="00367756" w:rsidRPr="00280E67">
        <w:rPr>
          <w:bCs/>
          <w:iCs/>
          <w:sz w:val="24"/>
          <w:szCs w:val="24"/>
        </w:rPr>
        <w:lastRenderedPageBreak/>
        <w:t xml:space="preserve">tutela, </w:t>
      </w:r>
      <w:r w:rsidRPr="00280E67">
        <w:rPr>
          <w:bCs/>
          <w:iCs/>
          <w:sz w:val="24"/>
          <w:szCs w:val="24"/>
        </w:rPr>
        <w:t xml:space="preserve">quien está impedido de pronunciarse directamente sobre el fondo del asunto sometido a arbitramento. </w:t>
      </w:r>
    </w:p>
    <w:p w14:paraId="2F6A4437" w14:textId="77777777" w:rsidR="00027850" w:rsidRPr="00280E67" w:rsidRDefault="00027850" w:rsidP="003C2DB0">
      <w:pPr>
        <w:spacing w:line="276" w:lineRule="auto"/>
        <w:rPr>
          <w:bCs/>
          <w:iCs/>
          <w:sz w:val="24"/>
          <w:szCs w:val="24"/>
        </w:rPr>
      </w:pPr>
    </w:p>
    <w:p w14:paraId="1AC7C441" w14:textId="6D5CD5AA" w:rsidR="00027850" w:rsidRPr="00280E67" w:rsidRDefault="00027850" w:rsidP="003C2DB0">
      <w:pPr>
        <w:spacing w:line="276" w:lineRule="auto"/>
        <w:rPr>
          <w:bCs/>
          <w:iCs/>
          <w:sz w:val="24"/>
          <w:szCs w:val="24"/>
          <w:shd w:val="clear" w:color="auto" w:fill="FFFFFF"/>
        </w:rPr>
      </w:pPr>
      <w:r w:rsidRPr="00280E67">
        <w:rPr>
          <w:b/>
          <w:bCs/>
          <w:iCs/>
          <w:sz w:val="24"/>
          <w:szCs w:val="24"/>
        </w:rPr>
        <w:t xml:space="preserve">2.2.2. </w:t>
      </w:r>
      <w:r w:rsidRPr="00280E67">
        <w:rPr>
          <w:bCs/>
          <w:iCs/>
          <w:sz w:val="24"/>
          <w:szCs w:val="24"/>
        </w:rPr>
        <w:t xml:space="preserve">Visto lo anterior, </w:t>
      </w:r>
      <w:r w:rsidR="005A7982" w:rsidRPr="00280E67">
        <w:rPr>
          <w:bCs/>
          <w:iCs/>
          <w:sz w:val="24"/>
          <w:szCs w:val="24"/>
        </w:rPr>
        <w:t xml:space="preserve">en tratándose </w:t>
      </w:r>
      <w:r w:rsidRPr="00280E67">
        <w:rPr>
          <w:bCs/>
          <w:iCs/>
          <w:sz w:val="24"/>
          <w:szCs w:val="24"/>
        </w:rPr>
        <w:t xml:space="preserve">de acciones de tutela contra laudos arbitrales, </w:t>
      </w:r>
      <w:r w:rsidRPr="00280E67">
        <w:rPr>
          <w:sz w:val="24"/>
          <w:szCs w:val="24"/>
          <w:shd w:val="clear" w:color="auto" w:fill="FFFFFF"/>
        </w:rPr>
        <w:t xml:space="preserve">el presupuesto de relevancia constitucional requiere de una sólida carga argumentativa, que tenga la vocación de </w:t>
      </w:r>
      <w:r w:rsidR="00C5768B" w:rsidRPr="00280E67">
        <w:rPr>
          <w:sz w:val="24"/>
          <w:szCs w:val="24"/>
          <w:shd w:val="clear" w:color="auto" w:fill="FFFFFF"/>
        </w:rPr>
        <w:t>evidenciar</w:t>
      </w:r>
      <w:r w:rsidRPr="00280E67">
        <w:rPr>
          <w:sz w:val="24"/>
          <w:szCs w:val="24"/>
          <w:shd w:val="clear" w:color="auto" w:fill="FFFFFF"/>
        </w:rPr>
        <w:t xml:space="preserve"> </w:t>
      </w:r>
      <w:r w:rsidR="00C5768B" w:rsidRPr="00280E67">
        <w:rPr>
          <w:sz w:val="24"/>
          <w:szCs w:val="24"/>
          <w:shd w:val="clear" w:color="auto" w:fill="FFFFFF"/>
        </w:rPr>
        <w:t>una presunta vulneración</w:t>
      </w:r>
      <w:r w:rsidRPr="00280E67">
        <w:rPr>
          <w:sz w:val="24"/>
          <w:szCs w:val="24"/>
          <w:shd w:val="clear" w:color="auto" w:fill="FFFFFF"/>
        </w:rPr>
        <w:t xml:space="preserve"> de derechos </w:t>
      </w:r>
      <w:r w:rsidR="00C5768B" w:rsidRPr="00280E67">
        <w:rPr>
          <w:sz w:val="24"/>
          <w:szCs w:val="24"/>
          <w:shd w:val="clear" w:color="auto" w:fill="FFFFFF"/>
        </w:rPr>
        <w:t>fundamentales,</w:t>
      </w:r>
      <w:r w:rsidRPr="00280E67">
        <w:rPr>
          <w:sz w:val="24"/>
          <w:szCs w:val="24"/>
          <w:shd w:val="clear" w:color="auto" w:fill="FFFFFF"/>
        </w:rPr>
        <w:t xml:space="preserve"> </w:t>
      </w:r>
      <w:r w:rsidR="00C5768B" w:rsidRPr="00280E67">
        <w:rPr>
          <w:sz w:val="24"/>
          <w:szCs w:val="24"/>
          <w:shd w:val="clear" w:color="auto" w:fill="FFFFFF"/>
        </w:rPr>
        <w:t xml:space="preserve">distinta </w:t>
      </w:r>
      <w:r w:rsidR="00211BB3" w:rsidRPr="00280E67">
        <w:rPr>
          <w:sz w:val="24"/>
          <w:szCs w:val="24"/>
          <w:shd w:val="clear" w:color="auto" w:fill="FFFFFF"/>
        </w:rPr>
        <w:t>de</w:t>
      </w:r>
      <w:r w:rsidR="00C5768B" w:rsidRPr="00280E67">
        <w:rPr>
          <w:sz w:val="24"/>
          <w:szCs w:val="24"/>
          <w:shd w:val="clear" w:color="auto" w:fill="FFFFFF"/>
        </w:rPr>
        <w:t xml:space="preserve"> los reproches que involucrarían</w:t>
      </w:r>
      <w:r w:rsidRPr="00280E67">
        <w:rPr>
          <w:sz w:val="24"/>
          <w:szCs w:val="24"/>
          <w:shd w:val="clear" w:color="auto" w:fill="FFFFFF"/>
        </w:rPr>
        <w:t xml:space="preserve"> las causales reguladas para</w:t>
      </w:r>
      <w:r w:rsidR="00B542D5" w:rsidRPr="00280E67">
        <w:rPr>
          <w:sz w:val="24"/>
          <w:szCs w:val="24"/>
          <w:shd w:val="clear" w:color="auto" w:fill="FFFFFF"/>
        </w:rPr>
        <w:t xml:space="preserve"> fundar el recurso de anulación</w:t>
      </w:r>
      <w:r w:rsidR="00211BB3" w:rsidRPr="00280E67">
        <w:rPr>
          <w:sz w:val="24"/>
          <w:szCs w:val="24"/>
          <w:shd w:val="clear" w:color="auto" w:fill="FFFFFF"/>
        </w:rPr>
        <w:t xml:space="preserve"> o el de revisión</w:t>
      </w:r>
      <w:r w:rsidR="00B542D5" w:rsidRPr="00280E67">
        <w:rPr>
          <w:sz w:val="24"/>
          <w:szCs w:val="24"/>
          <w:shd w:val="clear" w:color="auto" w:fill="FFFFFF"/>
        </w:rPr>
        <w:t>. Lo anterior, con el objeto de</w:t>
      </w:r>
      <w:r w:rsidRPr="00280E67">
        <w:rPr>
          <w:sz w:val="24"/>
          <w:szCs w:val="24"/>
          <w:shd w:val="clear" w:color="auto" w:fill="FFFFFF"/>
        </w:rPr>
        <w:t xml:space="preserve"> hacer inminente la intervención del juez </w:t>
      </w:r>
      <w:r w:rsidR="00354654" w:rsidRPr="00280E67">
        <w:rPr>
          <w:sz w:val="24"/>
          <w:szCs w:val="24"/>
          <w:shd w:val="clear" w:color="auto" w:fill="FFFFFF"/>
        </w:rPr>
        <w:t>de tutela</w:t>
      </w:r>
      <w:r w:rsidRPr="00280E67">
        <w:rPr>
          <w:sz w:val="24"/>
          <w:szCs w:val="24"/>
          <w:shd w:val="clear" w:color="auto" w:fill="FFFFFF"/>
        </w:rPr>
        <w:t xml:space="preserve"> al margen de </w:t>
      </w:r>
      <w:r w:rsidR="00211BB3" w:rsidRPr="00280E67">
        <w:rPr>
          <w:sz w:val="24"/>
          <w:szCs w:val="24"/>
          <w:shd w:val="clear" w:color="auto" w:fill="FFFFFF"/>
        </w:rPr>
        <w:t xml:space="preserve">la </w:t>
      </w:r>
      <w:r w:rsidRPr="00280E67">
        <w:rPr>
          <w:sz w:val="24"/>
          <w:szCs w:val="24"/>
          <w:shd w:val="clear" w:color="auto" w:fill="FFFFFF"/>
        </w:rPr>
        <w:t xml:space="preserve">autonomía </w:t>
      </w:r>
      <w:r w:rsidR="00E542CE" w:rsidRPr="00280E67">
        <w:rPr>
          <w:sz w:val="24"/>
          <w:szCs w:val="24"/>
          <w:shd w:val="clear" w:color="auto" w:fill="FFFFFF"/>
        </w:rPr>
        <w:t>que poseen</w:t>
      </w:r>
      <w:r w:rsidRPr="00280E67">
        <w:rPr>
          <w:sz w:val="24"/>
          <w:szCs w:val="24"/>
          <w:shd w:val="clear" w:color="auto" w:fill="FFFFFF"/>
        </w:rPr>
        <w:t xml:space="preserve"> los árbitros </w:t>
      </w:r>
      <w:r w:rsidR="00E542CE" w:rsidRPr="00280E67">
        <w:rPr>
          <w:sz w:val="24"/>
          <w:szCs w:val="24"/>
          <w:shd w:val="clear" w:color="auto" w:fill="FFFFFF"/>
        </w:rPr>
        <w:t>al resolver</w:t>
      </w:r>
      <w:r w:rsidRPr="00280E67">
        <w:rPr>
          <w:sz w:val="24"/>
          <w:szCs w:val="24"/>
          <w:shd w:val="clear" w:color="auto" w:fill="FFFFFF"/>
        </w:rPr>
        <w:t xml:space="preserve"> el fondo del litigio. En concreto, el requisito exige demostrar el quebrantamiento del debido proceso constitucional en su dimensión </w:t>
      </w:r>
      <w:r w:rsidRPr="00280E67">
        <w:rPr>
          <w:i/>
          <w:iCs/>
          <w:sz w:val="24"/>
          <w:szCs w:val="24"/>
          <w:shd w:val="clear" w:color="auto" w:fill="FFFFFF"/>
        </w:rPr>
        <w:t>in procedendo</w:t>
      </w:r>
      <w:r w:rsidRPr="00280E67">
        <w:rPr>
          <w:sz w:val="24"/>
          <w:szCs w:val="24"/>
          <w:shd w:val="clear" w:color="auto" w:fill="FFFFFF"/>
        </w:rPr>
        <w:t xml:space="preserve">, y no razonamientos, </w:t>
      </w:r>
      <w:r w:rsidRPr="00280E67">
        <w:rPr>
          <w:i/>
          <w:iCs/>
          <w:sz w:val="24"/>
          <w:szCs w:val="24"/>
          <w:shd w:val="clear" w:color="auto" w:fill="FFFFFF"/>
        </w:rPr>
        <w:t>in iudicando, </w:t>
      </w:r>
      <w:r w:rsidRPr="00280E67">
        <w:rPr>
          <w:sz w:val="24"/>
          <w:szCs w:val="24"/>
          <w:shd w:val="clear" w:color="auto" w:fill="FFFFFF"/>
        </w:rPr>
        <w:t xml:space="preserve">los cuales </w:t>
      </w:r>
      <w:r w:rsidR="003C2DB0" w:rsidRPr="00280E67">
        <w:rPr>
          <w:sz w:val="24"/>
          <w:szCs w:val="24"/>
          <w:shd w:val="clear" w:color="auto" w:fill="FFFFFF"/>
        </w:rPr>
        <w:t>buscan</w:t>
      </w:r>
      <w:r w:rsidRPr="00280E67">
        <w:rPr>
          <w:sz w:val="24"/>
          <w:szCs w:val="24"/>
          <w:shd w:val="clear" w:color="auto" w:fill="FFFFFF"/>
        </w:rPr>
        <w:t xml:space="preserve"> reabrir el fondo del asunto que ya ha sido decidido por la jurisdicción que las partes libremente escogieron</w:t>
      </w:r>
      <w:r w:rsidRPr="00280E67">
        <w:rPr>
          <w:sz w:val="24"/>
          <w:szCs w:val="24"/>
          <w:shd w:val="clear" w:color="auto" w:fill="FFFFFF"/>
          <w:vertAlign w:val="superscript"/>
        </w:rPr>
        <w:footnoteReference w:id="40"/>
      </w:r>
      <w:r w:rsidRPr="00280E67">
        <w:rPr>
          <w:sz w:val="24"/>
          <w:szCs w:val="24"/>
          <w:shd w:val="clear" w:color="auto" w:fill="FFFFFF"/>
        </w:rPr>
        <w:t xml:space="preserve">. </w:t>
      </w:r>
    </w:p>
    <w:p w14:paraId="7CC0B605" w14:textId="77777777" w:rsidR="00027850" w:rsidRPr="00280E67" w:rsidRDefault="00027850" w:rsidP="003C2DB0">
      <w:pPr>
        <w:spacing w:line="276" w:lineRule="auto"/>
        <w:rPr>
          <w:sz w:val="24"/>
          <w:szCs w:val="24"/>
          <w:shd w:val="clear" w:color="auto" w:fill="FFFFFF"/>
        </w:rPr>
      </w:pPr>
    </w:p>
    <w:p w14:paraId="0813D7CE" w14:textId="559B9821" w:rsidR="00027850" w:rsidRPr="00280E67" w:rsidRDefault="00027850" w:rsidP="003C2DB0">
      <w:pPr>
        <w:spacing w:line="276" w:lineRule="auto"/>
        <w:rPr>
          <w:sz w:val="24"/>
          <w:szCs w:val="24"/>
          <w:shd w:val="clear" w:color="auto" w:fill="FFFFFF"/>
        </w:rPr>
      </w:pPr>
      <w:r w:rsidRPr="00280E67">
        <w:rPr>
          <w:sz w:val="24"/>
          <w:szCs w:val="24"/>
          <w:shd w:val="clear" w:color="auto" w:fill="FFFFFF"/>
        </w:rPr>
        <w:t xml:space="preserve">Y en relación con las reclamaciones </w:t>
      </w:r>
      <w:r w:rsidRPr="00280E67">
        <w:rPr>
          <w:i/>
          <w:sz w:val="24"/>
          <w:szCs w:val="24"/>
          <w:shd w:val="clear" w:color="auto" w:fill="FFFFFF"/>
        </w:rPr>
        <w:t xml:space="preserve">iusfundamentales </w:t>
      </w:r>
      <w:r w:rsidRPr="00280E67">
        <w:rPr>
          <w:sz w:val="24"/>
          <w:szCs w:val="24"/>
          <w:shd w:val="clear" w:color="auto" w:fill="FFFFFF"/>
        </w:rPr>
        <w:t xml:space="preserve">dirigidas contra las providencias que </w:t>
      </w:r>
      <w:r w:rsidR="00B542D5" w:rsidRPr="00280E67">
        <w:rPr>
          <w:sz w:val="24"/>
          <w:szCs w:val="24"/>
          <w:shd w:val="clear" w:color="auto" w:fill="FFFFFF"/>
        </w:rPr>
        <w:t>resuelven</w:t>
      </w:r>
      <w:r w:rsidRPr="00280E67">
        <w:rPr>
          <w:sz w:val="24"/>
          <w:szCs w:val="24"/>
          <w:shd w:val="clear" w:color="auto" w:fill="FFFFFF"/>
        </w:rPr>
        <w:t xml:space="preserve"> los recursos interpuestos en contra de </w:t>
      </w:r>
      <w:r w:rsidR="00211BB3" w:rsidRPr="00280E67">
        <w:rPr>
          <w:sz w:val="24"/>
          <w:szCs w:val="24"/>
          <w:shd w:val="clear" w:color="auto" w:fill="FFFFFF"/>
        </w:rPr>
        <w:t>laudos arbitrales</w:t>
      </w:r>
      <w:r w:rsidRPr="00280E67">
        <w:rPr>
          <w:sz w:val="24"/>
          <w:szCs w:val="24"/>
          <w:shd w:val="clear" w:color="auto" w:fill="FFFFFF"/>
        </w:rPr>
        <w:t xml:space="preserve">, </w:t>
      </w:r>
      <w:r w:rsidR="00F53AF7" w:rsidRPr="00280E67">
        <w:rPr>
          <w:sz w:val="24"/>
          <w:szCs w:val="24"/>
          <w:shd w:val="clear" w:color="auto" w:fill="FFFFFF"/>
        </w:rPr>
        <w:t xml:space="preserve">al </w:t>
      </w:r>
      <w:r w:rsidRPr="00280E67">
        <w:rPr>
          <w:sz w:val="24"/>
          <w:szCs w:val="24"/>
          <w:shd w:val="clear" w:color="auto" w:fill="FFFFFF"/>
        </w:rPr>
        <w:t xml:space="preserve">juez de tutela </w:t>
      </w:r>
      <w:r w:rsidR="00F53AF7" w:rsidRPr="00280E67">
        <w:rPr>
          <w:sz w:val="24"/>
          <w:szCs w:val="24"/>
          <w:shd w:val="clear" w:color="auto" w:fill="FFFFFF"/>
        </w:rPr>
        <w:t xml:space="preserve">debe presentarse </w:t>
      </w:r>
      <w:r w:rsidRPr="00280E67">
        <w:rPr>
          <w:sz w:val="24"/>
          <w:szCs w:val="24"/>
          <w:shd w:val="clear" w:color="auto" w:fill="FFFFFF"/>
        </w:rPr>
        <w:t xml:space="preserve">un reproche de índole constitucional que </w:t>
      </w:r>
      <w:r w:rsidR="00F53AF7" w:rsidRPr="00280E67">
        <w:rPr>
          <w:sz w:val="24"/>
          <w:szCs w:val="24"/>
          <w:shd w:val="clear" w:color="auto" w:fill="FFFFFF"/>
        </w:rPr>
        <w:t>cuestione la actividad de c</w:t>
      </w:r>
      <w:r w:rsidR="00C5768B" w:rsidRPr="00280E67">
        <w:rPr>
          <w:sz w:val="24"/>
          <w:szCs w:val="24"/>
          <w:shd w:val="clear" w:color="auto" w:fill="FFFFFF"/>
        </w:rPr>
        <w:t xml:space="preserve">ontrol </w:t>
      </w:r>
      <w:r w:rsidR="00F53AF7" w:rsidRPr="00280E67">
        <w:rPr>
          <w:sz w:val="24"/>
          <w:szCs w:val="24"/>
          <w:shd w:val="clear" w:color="auto" w:fill="FFFFFF"/>
        </w:rPr>
        <w:t xml:space="preserve">judicial </w:t>
      </w:r>
      <w:r w:rsidR="00C5768B" w:rsidRPr="00280E67">
        <w:rPr>
          <w:sz w:val="24"/>
          <w:szCs w:val="24"/>
          <w:shd w:val="clear" w:color="auto" w:fill="FFFFFF"/>
        </w:rPr>
        <w:t>ya adelant</w:t>
      </w:r>
      <w:r w:rsidR="00B1696E" w:rsidRPr="00280E67">
        <w:rPr>
          <w:sz w:val="24"/>
          <w:szCs w:val="24"/>
          <w:shd w:val="clear" w:color="auto" w:fill="FFFFFF"/>
        </w:rPr>
        <w:t>ada</w:t>
      </w:r>
      <w:r w:rsidRPr="00280E67">
        <w:rPr>
          <w:sz w:val="24"/>
          <w:szCs w:val="24"/>
          <w:shd w:val="clear" w:color="auto" w:fill="FFFFFF"/>
        </w:rPr>
        <w:t xml:space="preserve"> frente a la decisión objeto de arbitraje</w:t>
      </w:r>
      <w:r w:rsidR="00D06A86" w:rsidRPr="00280E67">
        <w:rPr>
          <w:sz w:val="24"/>
          <w:szCs w:val="24"/>
          <w:shd w:val="clear" w:color="auto" w:fill="FFFFFF"/>
        </w:rPr>
        <w:t>, en términos de los defectos previstos por la jurisprudencia constitucional</w:t>
      </w:r>
      <w:r w:rsidR="00354654" w:rsidRPr="00280E67">
        <w:rPr>
          <w:rStyle w:val="Refdenotaalpie"/>
          <w:sz w:val="24"/>
          <w:szCs w:val="24"/>
          <w:shd w:val="clear" w:color="auto" w:fill="FFFFFF"/>
        </w:rPr>
        <w:footnoteReference w:id="41"/>
      </w:r>
      <w:r w:rsidRPr="00280E67">
        <w:rPr>
          <w:sz w:val="24"/>
          <w:szCs w:val="24"/>
          <w:shd w:val="clear" w:color="auto" w:fill="FFFFFF"/>
        </w:rPr>
        <w:t>; y no</w:t>
      </w:r>
      <w:r w:rsidR="00B542D5" w:rsidRPr="00280E67">
        <w:rPr>
          <w:sz w:val="24"/>
          <w:szCs w:val="24"/>
          <w:shd w:val="clear" w:color="auto" w:fill="FFFFFF"/>
        </w:rPr>
        <w:t xml:space="preserve"> un argumento conducente a</w:t>
      </w:r>
      <w:r w:rsidRPr="00280E67">
        <w:rPr>
          <w:sz w:val="24"/>
          <w:szCs w:val="24"/>
          <w:shd w:val="clear" w:color="auto" w:fill="FFFFFF"/>
        </w:rPr>
        <w:t xml:space="preserve"> </w:t>
      </w:r>
      <w:r w:rsidRPr="00280E67">
        <w:rPr>
          <w:bCs/>
          <w:iCs/>
          <w:sz w:val="24"/>
          <w:szCs w:val="24"/>
        </w:rPr>
        <w:t>reabrir el debate sobre las causales invocadas en el recurso de anulación</w:t>
      </w:r>
      <w:r w:rsidR="00E542CE" w:rsidRPr="00280E67">
        <w:rPr>
          <w:bCs/>
          <w:iCs/>
          <w:sz w:val="24"/>
          <w:szCs w:val="24"/>
        </w:rPr>
        <w:t>,</w:t>
      </w:r>
      <w:r w:rsidRPr="00280E67">
        <w:rPr>
          <w:bCs/>
          <w:iCs/>
          <w:sz w:val="24"/>
          <w:szCs w:val="24"/>
        </w:rPr>
        <w:t xml:space="preserve"> o a plantear asuntos que merecen un estudio de fondo</w:t>
      </w:r>
      <w:r w:rsidR="00354654" w:rsidRPr="00280E67">
        <w:rPr>
          <w:rStyle w:val="Refdenotaalpie"/>
          <w:bCs/>
          <w:iCs/>
          <w:sz w:val="24"/>
          <w:szCs w:val="24"/>
        </w:rPr>
        <w:footnoteReference w:id="42"/>
      </w:r>
      <w:r w:rsidRPr="00280E67">
        <w:rPr>
          <w:sz w:val="24"/>
          <w:szCs w:val="24"/>
          <w:shd w:val="clear" w:color="auto" w:fill="FFFFFF"/>
        </w:rPr>
        <w:t>.</w:t>
      </w:r>
    </w:p>
    <w:p w14:paraId="4659F7D7" w14:textId="1D996604" w:rsidR="00B542D5" w:rsidRPr="00280E67" w:rsidRDefault="00B542D5" w:rsidP="003C2DB0">
      <w:pPr>
        <w:spacing w:line="276" w:lineRule="auto"/>
        <w:rPr>
          <w:bCs/>
          <w:iCs/>
          <w:sz w:val="24"/>
          <w:szCs w:val="24"/>
        </w:rPr>
      </w:pPr>
    </w:p>
    <w:p w14:paraId="2C2D7CEC" w14:textId="00F1D7A1" w:rsidR="001D4AF9" w:rsidRPr="00280E67" w:rsidRDefault="00367756" w:rsidP="003C2DB0">
      <w:pPr>
        <w:spacing w:line="276" w:lineRule="auto"/>
        <w:rPr>
          <w:bCs/>
          <w:sz w:val="24"/>
          <w:szCs w:val="24"/>
          <w:lang w:val="es-ES" w:eastAsia="en-US"/>
        </w:rPr>
      </w:pPr>
      <w:r w:rsidRPr="00280E67">
        <w:rPr>
          <w:b/>
          <w:bCs/>
          <w:iCs/>
          <w:sz w:val="24"/>
          <w:szCs w:val="24"/>
        </w:rPr>
        <w:t>2.2.3</w:t>
      </w:r>
      <w:r w:rsidR="00027850" w:rsidRPr="00280E67">
        <w:rPr>
          <w:b/>
          <w:bCs/>
          <w:iCs/>
          <w:sz w:val="24"/>
          <w:szCs w:val="24"/>
        </w:rPr>
        <w:t>.</w:t>
      </w:r>
      <w:r w:rsidR="00027850" w:rsidRPr="00280E67">
        <w:rPr>
          <w:iCs/>
          <w:sz w:val="24"/>
          <w:szCs w:val="24"/>
        </w:rPr>
        <w:t xml:space="preserve"> </w:t>
      </w:r>
      <w:r w:rsidR="00F53AF7" w:rsidRPr="00280E67">
        <w:rPr>
          <w:iCs/>
          <w:sz w:val="24"/>
          <w:szCs w:val="24"/>
        </w:rPr>
        <w:t>En este caso, l</w:t>
      </w:r>
      <w:r w:rsidR="00027850" w:rsidRPr="00280E67">
        <w:rPr>
          <w:bCs/>
          <w:iCs/>
          <w:sz w:val="24"/>
          <w:szCs w:val="24"/>
        </w:rPr>
        <w:t>a parte accionan</w:t>
      </w:r>
      <w:r w:rsidRPr="00280E67">
        <w:rPr>
          <w:bCs/>
          <w:iCs/>
          <w:sz w:val="24"/>
          <w:szCs w:val="24"/>
        </w:rPr>
        <w:t xml:space="preserve">te protesta que </w:t>
      </w:r>
      <w:r w:rsidRPr="00280E67">
        <w:rPr>
          <w:b/>
          <w:bCs/>
          <w:iCs/>
          <w:sz w:val="24"/>
          <w:szCs w:val="24"/>
        </w:rPr>
        <w:t>el Tribunal de A</w:t>
      </w:r>
      <w:r w:rsidR="00027850" w:rsidRPr="00280E67">
        <w:rPr>
          <w:b/>
          <w:bCs/>
          <w:iCs/>
          <w:sz w:val="24"/>
          <w:szCs w:val="24"/>
        </w:rPr>
        <w:t xml:space="preserve">rbitramento accionado, en el laudo arbitral reprochado, </w:t>
      </w:r>
      <w:r w:rsidR="00027850" w:rsidRPr="00280E67">
        <w:rPr>
          <w:b/>
          <w:bCs/>
          <w:sz w:val="24"/>
          <w:szCs w:val="24"/>
          <w:lang w:val="es-ES" w:eastAsia="en-US"/>
        </w:rPr>
        <w:t>incurrió en los siguientes defectos</w:t>
      </w:r>
      <w:r w:rsidR="00027850" w:rsidRPr="00280E67">
        <w:rPr>
          <w:bCs/>
          <w:sz w:val="24"/>
          <w:szCs w:val="24"/>
          <w:lang w:val="es-ES" w:eastAsia="en-US"/>
        </w:rPr>
        <w:t xml:space="preserve">: (i) orgánico, </w:t>
      </w:r>
      <w:r w:rsidR="00B1696E" w:rsidRPr="00280E67">
        <w:rPr>
          <w:bCs/>
          <w:sz w:val="24"/>
          <w:szCs w:val="24"/>
          <w:lang w:val="es-ES" w:eastAsia="en-US"/>
        </w:rPr>
        <w:t xml:space="preserve">por desbordar su ámbito de competencia cuando adelantó un control de legalidad del Acuerdo de Accionistas, pues </w:t>
      </w:r>
      <w:r w:rsidR="00D70C0B" w:rsidRPr="00280E67">
        <w:rPr>
          <w:bCs/>
          <w:sz w:val="24"/>
          <w:szCs w:val="24"/>
          <w:lang w:val="es-ES" w:eastAsia="en-US"/>
        </w:rPr>
        <w:t>el objeto de la controversia en el trámite arbitral</w:t>
      </w:r>
      <w:r w:rsidR="00D6033A" w:rsidRPr="00280E67">
        <w:rPr>
          <w:bCs/>
          <w:sz w:val="24"/>
          <w:szCs w:val="24"/>
          <w:lang w:val="es-ES" w:eastAsia="en-US"/>
        </w:rPr>
        <w:t xml:space="preserve"> solo</w:t>
      </w:r>
      <w:r w:rsidR="00D70C0B" w:rsidRPr="00280E67">
        <w:rPr>
          <w:bCs/>
          <w:sz w:val="24"/>
          <w:szCs w:val="24"/>
          <w:lang w:val="es-ES" w:eastAsia="en-US"/>
        </w:rPr>
        <w:t xml:space="preserve"> se centraba en verificar el incumplimiento de unas obligaciones del referido acuerdo por parte de Somos K</w:t>
      </w:r>
      <w:r w:rsidR="00056DF7" w:rsidRPr="00280E67">
        <w:rPr>
          <w:bCs/>
          <w:sz w:val="24"/>
          <w:szCs w:val="24"/>
          <w:lang w:val="es-ES" w:eastAsia="en-US"/>
        </w:rPr>
        <w:t>,</w:t>
      </w:r>
      <w:r w:rsidR="00D70C0B" w:rsidRPr="00280E67">
        <w:rPr>
          <w:bCs/>
          <w:sz w:val="24"/>
          <w:szCs w:val="24"/>
          <w:lang w:val="es-ES" w:eastAsia="en-US"/>
        </w:rPr>
        <w:t xml:space="preserve"> y la interpretación de la cláusula</w:t>
      </w:r>
      <w:r w:rsidR="00B1696E" w:rsidRPr="00280E67">
        <w:rPr>
          <w:bCs/>
          <w:sz w:val="24"/>
          <w:szCs w:val="24"/>
          <w:lang w:val="es-ES" w:eastAsia="en-US"/>
        </w:rPr>
        <w:t xml:space="preserve"> </w:t>
      </w:r>
      <w:r w:rsidR="00D70C0B" w:rsidRPr="00280E67">
        <w:rPr>
          <w:bCs/>
          <w:sz w:val="24"/>
          <w:szCs w:val="24"/>
          <w:lang w:val="es-ES" w:eastAsia="en-US"/>
        </w:rPr>
        <w:t>compromisoria se definía a partir del conflicto planteado en la demanda</w:t>
      </w:r>
      <w:r w:rsidR="00027850" w:rsidRPr="00280E67">
        <w:rPr>
          <w:bCs/>
          <w:sz w:val="24"/>
          <w:szCs w:val="24"/>
          <w:lang w:val="es-ES" w:eastAsia="en-US"/>
        </w:rPr>
        <w:t>; (ii)</w:t>
      </w:r>
      <w:r w:rsidR="00B542D5" w:rsidRPr="00280E67">
        <w:rPr>
          <w:bCs/>
          <w:sz w:val="24"/>
          <w:szCs w:val="24"/>
          <w:lang w:val="es-ES" w:eastAsia="en-US"/>
        </w:rPr>
        <w:t xml:space="preserve"> sustantivo, puesto que admitir la facultad de los árbitros para evaluar el carácter jurídico del </w:t>
      </w:r>
      <w:r w:rsidR="00341D8D" w:rsidRPr="00280E67">
        <w:rPr>
          <w:bCs/>
          <w:sz w:val="24"/>
          <w:szCs w:val="24"/>
          <w:lang w:val="es-ES" w:eastAsia="en-US"/>
        </w:rPr>
        <w:t>referido acuerdo</w:t>
      </w:r>
      <w:r w:rsidR="00B542D5" w:rsidRPr="00280E67">
        <w:rPr>
          <w:bCs/>
          <w:sz w:val="24"/>
          <w:szCs w:val="24"/>
          <w:lang w:val="es-ES" w:eastAsia="en-US"/>
        </w:rPr>
        <w:t xml:space="preserve">, </w:t>
      </w:r>
      <w:r w:rsidR="00341D8D" w:rsidRPr="00280E67">
        <w:rPr>
          <w:bCs/>
          <w:sz w:val="24"/>
          <w:szCs w:val="24"/>
          <w:lang w:val="es-ES" w:eastAsia="en-US"/>
        </w:rPr>
        <w:t>implica</w:t>
      </w:r>
      <w:r w:rsidR="001D4AF9" w:rsidRPr="00280E67">
        <w:rPr>
          <w:bCs/>
          <w:sz w:val="24"/>
          <w:szCs w:val="24"/>
          <w:lang w:val="es-ES" w:eastAsia="en-US"/>
        </w:rPr>
        <w:t xml:space="preserve"> desconocer</w:t>
      </w:r>
      <w:r w:rsidR="00B542D5" w:rsidRPr="00280E67">
        <w:rPr>
          <w:bCs/>
          <w:sz w:val="24"/>
          <w:szCs w:val="24"/>
          <w:lang w:val="es-ES" w:eastAsia="en-US"/>
        </w:rPr>
        <w:t xml:space="preserve"> la voluntad </w:t>
      </w:r>
      <w:r w:rsidR="001D4AF9" w:rsidRPr="00280E67">
        <w:rPr>
          <w:bCs/>
          <w:sz w:val="24"/>
          <w:szCs w:val="24"/>
          <w:lang w:val="es-ES" w:eastAsia="en-US"/>
        </w:rPr>
        <w:t>de las partes</w:t>
      </w:r>
      <w:r w:rsidR="00FE5A21" w:rsidRPr="00280E67">
        <w:rPr>
          <w:bCs/>
          <w:sz w:val="24"/>
          <w:szCs w:val="24"/>
          <w:lang w:val="es-ES" w:eastAsia="en-US"/>
        </w:rPr>
        <w:t xml:space="preserve"> (artículo 1602 del Código Civil)</w:t>
      </w:r>
      <w:r w:rsidR="001D4AF9" w:rsidRPr="00280E67">
        <w:rPr>
          <w:bCs/>
          <w:sz w:val="24"/>
          <w:szCs w:val="24"/>
          <w:lang w:val="es-ES" w:eastAsia="en-US"/>
        </w:rPr>
        <w:t xml:space="preserve"> de no otorgar un alcance amplio y extenso a la cláusula compromisoria pactada, como así lo pretende el Tribunal de Arbitramento; </w:t>
      </w:r>
      <w:r w:rsidR="00027850" w:rsidRPr="00280E67">
        <w:rPr>
          <w:bCs/>
          <w:sz w:val="24"/>
          <w:szCs w:val="24"/>
          <w:lang w:val="es-ES" w:eastAsia="en-US"/>
        </w:rPr>
        <w:t xml:space="preserve">y (iii) </w:t>
      </w:r>
      <w:r w:rsidR="00B542D5" w:rsidRPr="00280E67">
        <w:rPr>
          <w:bCs/>
          <w:sz w:val="24"/>
          <w:szCs w:val="24"/>
          <w:lang w:val="es-ES" w:eastAsia="en-US"/>
        </w:rPr>
        <w:t xml:space="preserve">fáctico, al omitir la valoración de </w:t>
      </w:r>
      <w:r w:rsidR="001D4AF9" w:rsidRPr="00280E67">
        <w:rPr>
          <w:bCs/>
          <w:sz w:val="24"/>
          <w:szCs w:val="24"/>
          <w:lang w:val="es-ES" w:eastAsia="en-US"/>
        </w:rPr>
        <w:t>unos medios de pruebas que los árbitros decretaron pero no practicaron. Estos eran los correspondientes a la exhibición de documentos que se iba</w:t>
      </w:r>
      <w:r w:rsidR="001D088E">
        <w:rPr>
          <w:bCs/>
          <w:sz w:val="24"/>
          <w:szCs w:val="24"/>
          <w:lang w:val="es-ES" w:eastAsia="en-US"/>
        </w:rPr>
        <w:t xml:space="preserve"> a</w:t>
      </w:r>
      <w:r w:rsidR="001D4AF9" w:rsidRPr="00280E67">
        <w:rPr>
          <w:bCs/>
          <w:sz w:val="24"/>
          <w:szCs w:val="24"/>
          <w:lang w:val="es-ES" w:eastAsia="en-US"/>
        </w:rPr>
        <w:t xml:space="preserve"> adelantar en las instalaciones de GIT Masivo, pero que no ocurrió así por la oposición presentada por la referida sociedad</w:t>
      </w:r>
      <w:r w:rsidR="00056DF7" w:rsidRPr="00280E67">
        <w:rPr>
          <w:bCs/>
          <w:sz w:val="24"/>
          <w:szCs w:val="24"/>
          <w:lang w:val="es-ES" w:eastAsia="en-US"/>
        </w:rPr>
        <w:t>, y de la que el Tribunal de Arbitramento, en su momento, aceptó</w:t>
      </w:r>
      <w:r w:rsidR="001D4AF9" w:rsidRPr="00280E67">
        <w:rPr>
          <w:bCs/>
          <w:sz w:val="24"/>
          <w:szCs w:val="24"/>
          <w:lang w:val="es-ES" w:eastAsia="en-US"/>
        </w:rPr>
        <w:t xml:space="preserve">. </w:t>
      </w:r>
      <w:r w:rsidR="00D6033A" w:rsidRPr="00280E67">
        <w:rPr>
          <w:bCs/>
          <w:sz w:val="24"/>
          <w:szCs w:val="24"/>
          <w:lang w:val="es-ES" w:eastAsia="en-US"/>
        </w:rPr>
        <w:t>Medios</w:t>
      </w:r>
      <w:r w:rsidR="001D4AF9" w:rsidRPr="00280E67">
        <w:rPr>
          <w:bCs/>
          <w:sz w:val="24"/>
          <w:szCs w:val="24"/>
          <w:lang w:val="es-ES" w:eastAsia="en-US"/>
        </w:rPr>
        <w:t xml:space="preserve"> de convicción</w:t>
      </w:r>
      <w:r w:rsidR="00D6033A" w:rsidRPr="00280E67">
        <w:rPr>
          <w:bCs/>
          <w:sz w:val="24"/>
          <w:szCs w:val="24"/>
          <w:lang w:val="es-ES" w:eastAsia="en-US"/>
        </w:rPr>
        <w:t xml:space="preserve"> que, </w:t>
      </w:r>
      <w:r w:rsidR="00056DF7" w:rsidRPr="00280E67">
        <w:rPr>
          <w:bCs/>
          <w:sz w:val="24"/>
          <w:szCs w:val="24"/>
          <w:lang w:val="es-ES" w:eastAsia="en-US"/>
        </w:rPr>
        <w:t>en su criterio</w:t>
      </w:r>
      <w:r w:rsidR="00D6033A" w:rsidRPr="00280E67">
        <w:rPr>
          <w:bCs/>
          <w:sz w:val="24"/>
          <w:szCs w:val="24"/>
          <w:lang w:val="es-ES" w:eastAsia="en-US"/>
        </w:rPr>
        <w:t>,</w:t>
      </w:r>
      <w:r w:rsidR="001D4AF9" w:rsidRPr="00280E67">
        <w:rPr>
          <w:bCs/>
          <w:sz w:val="24"/>
          <w:szCs w:val="24"/>
          <w:lang w:val="es-ES" w:eastAsia="en-US"/>
        </w:rPr>
        <w:t xml:space="preserve"> no </w:t>
      </w:r>
      <w:r w:rsidR="001D4AF9" w:rsidRPr="00280E67">
        <w:rPr>
          <w:bCs/>
          <w:sz w:val="24"/>
          <w:szCs w:val="24"/>
          <w:lang w:val="es-ES" w:eastAsia="en-US"/>
        </w:rPr>
        <w:lastRenderedPageBreak/>
        <w:t xml:space="preserve">estaban sujetos a reserva y debían ser revelados </w:t>
      </w:r>
      <w:r w:rsidR="00FE5A21" w:rsidRPr="00280E67">
        <w:rPr>
          <w:bCs/>
          <w:sz w:val="24"/>
          <w:szCs w:val="24"/>
          <w:lang w:val="es-ES" w:eastAsia="en-US"/>
        </w:rPr>
        <w:t>en el proceso arbitral</w:t>
      </w:r>
      <w:r w:rsidR="00D6033A" w:rsidRPr="00280E67">
        <w:rPr>
          <w:bCs/>
          <w:sz w:val="24"/>
          <w:szCs w:val="24"/>
          <w:lang w:val="es-ES" w:eastAsia="en-US"/>
        </w:rPr>
        <w:t xml:space="preserve"> para demostrar </w:t>
      </w:r>
      <w:r w:rsidR="00056DF7" w:rsidRPr="00280E67">
        <w:rPr>
          <w:bCs/>
          <w:sz w:val="24"/>
          <w:szCs w:val="24"/>
          <w:lang w:val="es-ES" w:eastAsia="en-US"/>
        </w:rPr>
        <w:t>la desobediencia contractual cometida</w:t>
      </w:r>
      <w:r w:rsidR="00D6033A" w:rsidRPr="00280E67">
        <w:rPr>
          <w:bCs/>
          <w:sz w:val="24"/>
          <w:szCs w:val="24"/>
          <w:lang w:val="es-ES" w:eastAsia="en-US"/>
        </w:rPr>
        <w:t xml:space="preserve"> por Somos K</w:t>
      </w:r>
      <w:r w:rsidR="00FE5A21" w:rsidRPr="00280E67">
        <w:rPr>
          <w:bCs/>
          <w:sz w:val="24"/>
          <w:szCs w:val="24"/>
          <w:lang w:val="es-ES" w:eastAsia="en-US"/>
        </w:rPr>
        <w:t>.</w:t>
      </w:r>
    </w:p>
    <w:p w14:paraId="2C657905" w14:textId="5F7EF832" w:rsidR="00027850" w:rsidRPr="00280E67" w:rsidRDefault="00027850" w:rsidP="003C2DB0">
      <w:pPr>
        <w:spacing w:line="276" w:lineRule="auto"/>
        <w:rPr>
          <w:bCs/>
          <w:sz w:val="24"/>
          <w:szCs w:val="24"/>
          <w:lang w:val="es-ES" w:eastAsia="en-US"/>
        </w:rPr>
      </w:pPr>
    </w:p>
    <w:p w14:paraId="4BE07FE5" w14:textId="7CD610F8" w:rsidR="00027850" w:rsidRPr="00280E67" w:rsidRDefault="00CB708E" w:rsidP="003C2DB0">
      <w:pPr>
        <w:spacing w:line="276" w:lineRule="auto"/>
        <w:rPr>
          <w:bCs/>
          <w:sz w:val="24"/>
          <w:szCs w:val="24"/>
          <w:lang w:val="es-ES" w:eastAsia="en-US"/>
        </w:rPr>
      </w:pPr>
      <w:r w:rsidRPr="00280E67">
        <w:rPr>
          <w:bCs/>
          <w:iCs/>
          <w:sz w:val="24"/>
          <w:szCs w:val="24"/>
          <w:lang w:val="es-ES"/>
        </w:rPr>
        <w:t>L</w:t>
      </w:r>
      <w:r w:rsidR="00154F07" w:rsidRPr="00280E67">
        <w:rPr>
          <w:bCs/>
          <w:iCs/>
          <w:sz w:val="24"/>
          <w:szCs w:val="24"/>
        </w:rPr>
        <w:t xml:space="preserve">lama la atención que el accionante en sede de tutela </w:t>
      </w:r>
      <w:r w:rsidR="00D6033A" w:rsidRPr="00280E67">
        <w:rPr>
          <w:bCs/>
          <w:iCs/>
          <w:sz w:val="24"/>
          <w:szCs w:val="24"/>
        </w:rPr>
        <w:t xml:space="preserve">pretenda </w:t>
      </w:r>
      <w:r w:rsidR="00154F07" w:rsidRPr="00280E67">
        <w:rPr>
          <w:bCs/>
          <w:iCs/>
          <w:sz w:val="24"/>
          <w:szCs w:val="24"/>
        </w:rPr>
        <w:t xml:space="preserve">plantear las anteriores cuestiones, que </w:t>
      </w:r>
      <w:r w:rsidRPr="00280E67">
        <w:rPr>
          <w:bCs/>
          <w:iCs/>
          <w:sz w:val="24"/>
          <w:szCs w:val="24"/>
        </w:rPr>
        <w:t xml:space="preserve">justamente constituyeron de manera parcial los cargos que sustentaron las causales invocadas en el recurso de anulación interpuesto contra el laudo arbitral acusado. </w:t>
      </w:r>
      <w:r w:rsidR="003C2DB0" w:rsidRPr="00280E67">
        <w:rPr>
          <w:bCs/>
          <w:sz w:val="24"/>
          <w:szCs w:val="24"/>
          <w:lang w:val="es-ES" w:eastAsia="en-US"/>
        </w:rPr>
        <w:t xml:space="preserve">En efecto, </w:t>
      </w:r>
      <w:r w:rsidR="00FE5A21" w:rsidRPr="00280E67">
        <w:rPr>
          <w:bCs/>
          <w:sz w:val="24"/>
          <w:szCs w:val="24"/>
          <w:lang w:val="es-ES" w:eastAsia="en-US"/>
        </w:rPr>
        <w:t>Transfuvalle afirmó, en el acápite número 2 del citado medio de impugnación, que el Tribunal de Arbitramento examinó aspectos y documentos anteriores a la celebración del acuerdo de accionistas, sin tener competencia para ello.</w:t>
      </w:r>
      <w:r w:rsidR="00C80DDB" w:rsidRPr="00280E67">
        <w:rPr>
          <w:bCs/>
          <w:sz w:val="24"/>
          <w:szCs w:val="24"/>
          <w:lang w:val="es-ES" w:eastAsia="en-US"/>
        </w:rPr>
        <w:t xml:space="preserve"> Además, expresó que la cláusula compromisoria del Acuerdo de Accionistas debía ser interpretada a partir de la de estipulación del negocio jurídico que impuso la prevalencia de la voluntad de las partes, y del artículo 1602 del </w:t>
      </w:r>
      <w:r w:rsidR="00E92033" w:rsidRPr="00280E67">
        <w:rPr>
          <w:bCs/>
          <w:sz w:val="24"/>
          <w:szCs w:val="24"/>
          <w:lang w:val="es-ES" w:eastAsia="en-US"/>
        </w:rPr>
        <w:t>Código</w:t>
      </w:r>
      <w:r w:rsidR="00C80DDB" w:rsidRPr="00280E67">
        <w:rPr>
          <w:bCs/>
          <w:sz w:val="24"/>
          <w:szCs w:val="24"/>
          <w:lang w:val="es-ES" w:eastAsia="en-US"/>
        </w:rPr>
        <w:t xml:space="preserve"> Civil y del principio </w:t>
      </w:r>
      <w:r w:rsidR="00C80DDB" w:rsidRPr="00280E67">
        <w:rPr>
          <w:bCs/>
          <w:i/>
          <w:sz w:val="24"/>
          <w:szCs w:val="24"/>
          <w:lang w:val="es-ES" w:eastAsia="en-US"/>
        </w:rPr>
        <w:t>pacta sunt servanda</w:t>
      </w:r>
      <w:r w:rsidR="00E92033" w:rsidRPr="00280E67">
        <w:rPr>
          <w:rStyle w:val="Refdenotaalpie"/>
          <w:bCs/>
          <w:sz w:val="24"/>
          <w:szCs w:val="24"/>
          <w:lang w:val="es-ES" w:eastAsia="en-US"/>
        </w:rPr>
        <w:footnoteReference w:id="43"/>
      </w:r>
      <w:r w:rsidR="00C80DDB" w:rsidRPr="00280E67">
        <w:rPr>
          <w:bCs/>
          <w:sz w:val="24"/>
          <w:szCs w:val="24"/>
          <w:lang w:val="es-ES" w:eastAsia="en-US"/>
        </w:rPr>
        <w:t xml:space="preserve">. </w:t>
      </w:r>
      <w:r w:rsidR="00027850" w:rsidRPr="00280E67">
        <w:rPr>
          <w:bCs/>
          <w:sz w:val="24"/>
          <w:szCs w:val="24"/>
          <w:lang w:val="es-ES" w:eastAsia="en-US"/>
        </w:rPr>
        <w:t>Finalmente, expresó: “TRANSFUVALLE es socia de GIT MASIVO, y por lo tanto la denegación de la práctica de la totalidad de la prueba por parte del Tribunal, carece de legitimidad, más aún, por cuanto frente a mi representada, la documentación no goza de reserva legal alguna, ni su exhibición causaba, repito, perjuicio alguno a GIT MASIVO […]”</w:t>
      </w:r>
      <w:r w:rsidR="00CE2681" w:rsidRPr="00280E67">
        <w:rPr>
          <w:rStyle w:val="Refdenotaalpie"/>
          <w:bCs/>
          <w:sz w:val="24"/>
          <w:szCs w:val="24"/>
          <w:lang w:val="es-ES" w:eastAsia="en-US"/>
        </w:rPr>
        <w:footnoteReference w:id="44"/>
      </w:r>
      <w:r w:rsidR="00027850" w:rsidRPr="00280E67">
        <w:rPr>
          <w:bCs/>
          <w:sz w:val="24"/>
          <w:szCs w:val="24"/>
          <w:lang w:val="es-ES" w:eastAsia="en-US"/>
        </w:rPr>
        <w:t xml:space="preserve">. </w:t>
      </w:r>
    </w:p>
    <w:p w14:paraId="7E974E2D" w14:textId="77777777" w:rsidR="00027850" w:rsidRPr="00280E67" w:rsidRDefault="00027850" w:rsidP="003C2DB0">
      <w:pPr>
        <w:spacing w:line="276" w:lineRule="auto"/>
        <w:rPr>
          <w:bCs/>
          <w:iCs/>
          <w:sz w:val="24"/>
          <w:szCs w:val="24"/>
        </w:rPr>
      </w:pPr>
    </w:p>
    <w:p w14:paraId="0D9F1A53" w14:textId="345E14ED" w:rsidR="00027850" w:rsidRPr="00280E67" w:rsidRDefault="00CB708E" w:rsidP="003C2DB0">
      <w:pPr>
        <w:spacing w:line="276" w:lineRule="auto"/>
        <w:rPr>
          <w:bCs/>
          <w:iCs/>
          <w:sz w:val="24"/>
          <w:szCs w:val="24"/>
        </w:rPr>
      </w:pPr>
      <w:r w:rsidRPr="00280E67">
        <w:rPr>
          <w:bCs/>
          <w:iCs/>
          <w:sz w:val="24"/>
          <w:szCs w:val="24"/>
        </w:rPr>
        <w:t xml:space="preserve">Además, </w:t>
      </w:r>
      <w:r w:rsidR="004527A7" w:rsidRPr="00280E67">
        <w:rPr>
          <w:bCs/>
          <w:iCs/>
          <w:sz w:val="24"/>
          <w:szCs w:val="24"/>
        </w:rPr>
        <w:t>la parte actora</w:t>
      </w:r>
      <w:r w:rsidRPr="00280E67">
        <w:rPr>
          <w:bCs/>
          <w:iCs/>
          <w:sz w:val="24"/>
          <w:szCs w:val="24"/>
        </w:rPr>
        <w:t xml:space="preserve"> </w:t>
      </w:r>
      <w:r w:rsidR="00D6033A" w:rsidRPr="00280E67">
        <w:rPr>
          <w:bCs/>
          <w:iCs/>
          <w:sz w:val="24"/>
          <w:szCs w:val="24"/>
        </w:rPr>
        <w:t>pasa por alto</w:t>
      </w:r>
      <w:r w:rsidRPr="00280E67">
        <w:rPr>
          <w:bCs/>
          <w:iCs/>
          <w:sz w:val="24"/>
          <w:szCs w:val="24"/>
        </w:rPr>
        <w:t xml:space="preserve"> </w:t>
      </w:r>
      <w:r w:rsidR="004527A7" w:rsidRPr="00280E67">
        <w:rPr>
          <w:bCs/>
          <w:iCs/>
          <w:sz w:val="24"/>
          <w:szCs w:val="24"/>
        </w:rPr>
        <w:t>que</w:t>
      </w:r>
      <w:r w:rsidRPr="00280E67">
        <w:rPr>
          <w:bCs/>
          <w:iCs/>
          <w:sz w:val="24"/>
          <w:szCs w:val="24"/>
        </w:rPr>
        <w:t xml:space="preserve"> la Sala Civil del Tribunal Superior del Distrito de Cali ya </w:t>
      </w:r>
      <w:r w:rsidR="004527A7" w:rsidRPr="00280E67">
        <w:rPr>
          <w:bCs/>
          <w:iCs/>
          <w:sz w:val="24"/>
          <w:szCs w:val="24"/>
        </w:rPr>
        <w:t>se pronunció</w:t>
      </w:r>
      <w:r w:rsidRPr="00280E67">
        <w:rPr>
          <w:bCs/>
          <w:iCs/>
          <w:sz w:val="24"/>
          <w:szCs w:val="24"/>
        </w:rPr>
        <w:t xml:space="preserve"> </w:t>
      </w:r>
      <w:r w:rsidR="004527A7" w:rsidRPr="00280E67">
        <w:rPr>
          <w:bCs/>
          <w:iCs/>
          <w:sz w:val="24"/>
          <w:szCs w:val="24"/>
        </w:rPr>
        <w:t>sobre las anteriores cuestiones</w:t>
      </w:r>
      <w:r w:rsidRPr="00280E67">
        <w:rPr>
          <w:bCs/>
          <w:iCs/>
          <w:sz w:val="24"/>
          <w:szCs w:val="24"/>
        </w:rPr>
        <w:t>, cuando manifestó que:</w:t>
      </w:r>
      <w:r w:rsidR="00027850" w:rsidRPr="00280E67">
        <w:rPr>
          <w:bCs/>
          <w:iCs/>
          <w:sz w:val="24"/>
          <w:szCs w:val="24"/>
        </w:rPr>
        <w:t xml:space="preserve"> (i) </w:t>
      </w:r>
      <w:r w:rsidR="00E115ED" w:rsidRPr="00280E67">
        <w:rPr>
          <w:bCs/>
          <w:iCs/>
          <w:sz w:val="24"/>
          <w:szCs w:val="24"/>
        </w:rPr>
        <w:t>sus</w:t>
      </w:r>
      <w:r w:rsidRPr="00280E67">
        <w:rPr>
          <w:bCs/>
          <w:iCs/>
          <w:sz w:val="24"/>
          <w:szCs w:val="24"/>
        </w:rPr>
        <w:t xml:space="preserve"> reclamaciones relacionadas con la falta de competencia del Tribunal de Arbitramento resultan improcedentes, por cuanto la parte recurrente no satisfizo el requisito de procedibilidad exigido en la ley, este es, haberlas alegado</w:t>
      </w:r>
      <w:r w:rsidR="00710DD8" w:rsidRPr="00280E67">
        <w:rPr>
          <w:bCs/>
          <w:iCs/>
          <w:sz w:val="24"/>
          <w:szCs w:val="24"/>
        </w:rPr>
        <w:t xml:space="preserve"> por medio de un recurso de</w:t>
      </w:r>
      <w:r w:rsidRPr="00280E67">
        <w:rPr>
          <w:bCs/>
          <w:iCs/>
          <w:sz w:val="24"/>
          <w:szCs w:val="24"/>
        </w:rPr>
        <w:t xml:space="preserve"> reposici</w:t>
      </w:r>
      <w:r w:rsidR="00710DD8" w:rsidRPr="00280E67">
        <w:rPr>
          <w:bCs/>
          <w:iCs/>
          <w:sz w:val="24"/>
          <w:szCs w:val="24"/>
        </w:rPr>
        <w:t xml:space="preserve">ón contra el auto de asunción de competencia; (ii) la decisión contenida en el laudo arbitral no </w:t>
      </w:r>
      <w:r w:rsidR="00E115ED" w:rsidRPr="00280E67">
        <w:rPr>
          <w:bCs/>
          <w:iCs/>
          <w:sz w:val="24"/>
          <w:szCs w:val="24"/>
        </w:rPr>
        <w:t>ignoró</w:t>
      </w:r>
      <w:r w:rsidR="00710DD8" w:rsidRPr="00280E67">
        <w:rPr>
          <w:bCs/>
          <w:iCs/>
          <w:sz w:val="24"/>
          <w:szCs w:val="24"/>
        </w:rPr>
        <w:t xml:space="preserve"> la cláusula compromisoria, pues de la lectura de su contenido se desprendía la posibilidad de conocer cualquier controversia vinculada con el </w:t>
      </w:r>
      <w:r w:rsidR="00710DD8" w:rsidRPr="00280E67">
        <w:rPr>
          <w:bCs/>
          <w:sz w:val="24"/>
          <w:szCs w:val="24"/>
          <w:lang w:val="es-ES" w:eastAsia="en-US"/>
        </w:rPr>
        <w:t>Acuerdo de Accionistas</w:t>
      </w:r>
      <w:r w:rsidR="00710DD8" w:rsidRPr="00280E67">
        <w:rPr>
          <w:bCs/>
          <w:iCs/>
          <w:sz w:val="24"/>
          <w:szCs w:val="24"/>
        </w:rPr>
        <w:t xml:space="preserve"> y sus actos derivados de él, como en efecto  ocurrió;</w:t>
      </w:r>
      <w:r w:rsidR="00E115ED" w:rsidRPr="00280E67">
        <w:rPr>
          <w:bCs/>
          <w:iCs/>
          <w:sz w:val="24"/>
          <w:szCs w:val="24"/>
        </w:rPr>
        <w:t xml:space="preserve"> y</w:t>
      </w:r>
      <w:r w:rsidR="00027850" w:rsidRPr="00280E67">
        <w:rPr>
          <w:bCs/>
          <w:iCs/>
          <w:sz w:val="24"/>
          <w:szCs w:val="24"/>
        </w:rPr>
        <w:t xml:space="preserve"> (iii) los documentos</w:t>
      </w:r>
      <w:r w:rsidR="00E115ED" w:rsidRPr="00280E67">
        <w:rPr>
          <w:bCs/>
          <w:iCs/>
          <w:sz w:val="24"/>
          <w:szCs w:val="24"/>
        </w:rPr>
        <w:t>,</w:t>
      </w:r>
      <w:r w:rsidR="00027850" w:rsidRPr="00280E67">
        <w:rPr>
          <w:bCs/>
          <w:iCs/>
          <w:sz w:val="24"/>
          <w:szCs w:val="24"/>
        </w:rPr>
        <w:t xml:space="preserve"> </w:t>
      </w:r>
      <w:r w:rsidR="00E115ED" w:rsidRPr="00280E67">
        <w:rPr>
          <w:bCs/>
          <w:iCs/>
          <w:sz w:val="24"/>
          <w:szCs w:val="24"/>
        </w:rPr>
        <w:t xml:space="preserve">que </w:t>
      </w:r>
      <w:r w:rsidR="00027850" w:rsidRPr="00280E67">
        <w:rPr>
          <w:bCs/>
          <w:iCs/>
          <w:sz w:val="24"/>
          <w:szCs w:val="24"/>
        </w:rPr>
        <w:t>GIT Masivo</w:t>
      </w:r>
      <w:r w:rsidR="00E115ED" w:rsidRPr="00280E67">
        <w:rPr>
          <w:bCs/>
          <w:iCs/>
          <w:sz w:val="24"/>
          <w:szCs w:val="24"/>
        </w:rPr>
        <w:t xml:space="preserve"> se opuso a </w:t>
      </w:r>
      <w:r w:rsidR="005B79D9">
        <w:rPr>
          <w:bCs/>
          <w:iCs/>
          <w:sz w:val="24"/>
          <w:szCs w:val="24"/>
        </w:rPr>
        <w:t>exhibir</w:t>
      </w:r>
      <w:r w:rsidR="00E115ED" w:rsidRPr="00280E67">
        <w:rPr>
          <w:bCs/>
          <w:iCs/>
          <w:sz w:val="24"/>
          <w:szCs w:val="24"/>
        </w:rPr>
        <w:t>,</w:t>
      </w:r>
      <w:r w:rsidR="00027850" w:rsidRPr="00280E67">
        <w:rPr>
          <w:bCs/>
          <w:iCs/>
          <w:sz w:val="24"/>
          <w:szCs w:val="24"/>
        </w:rPr>
        <w:t xml:space="preserve"> no tenían la trascendencia para modificar el criterio de los árbitros, por lo que la causal </w:t>
      </w:r>
      <w:r w:rsidR="00354654" w:rsidRPr="00280E67">
        <w:rPr>
          <w:bCs/>
          <w:iCs/>
          <w:sz w:val="24"/>
          <w:szCs w:val="24"/>
        </w:rPr>
        <w:t>concerniente</w:t>
      </w:r>
      <w:r w:rsidR="00027850" w:rsidRPr="00280E67">
        <w:rPr>
          <w:bCs/>
          <w:iCs/>
          <w:sz w:val="24"/>
          <w:szCs w:val="24"/>
        </w:rPr>
        <w:t xml:space="preserve"> </w:t>
      </w:r>
      <w:r w:rsidR="00354654" w:rsidRPr="00280E67">
        <w:rPr>
          <w:bCs/>
          <w:iCs/>
          <w:sz w:val="24"/>
          <w:szCs w:val="24"/>
        </w:rPr>
        <w:t>a</w:t>
      </w:r>
      <w:r w:rsidR="00027850" w:rsidRPr="00280E67">
        <w:rPr>
          <w:bCs/>
          <w:iCs/>
          <w:sz w:val="24"/>
          <w:szCs w:val="24"/>
        </w:rPr>
        <w:t xml:space="preserve"> la </w:t>
      </w:r>
      <w:r w:rsidR="003C2DB0" w:rsidRPr="00280E67">
        <w:rPr>
          <w:bCs/>
          <w:iCs/>
          <w:sz w:val="24"/>
          <w:szCs w:val="24"/>
        </w:rPr>
        <w:t>omisión</w:t>
      </w:r>
      <w:r w:rsidR="00027850" w:rsidRPr="00280E67">
        <w:rPr>
          <w:bCs/>
          <w:iCs/>
          <w:sz w:val="24"/>
          <w:szCs w:val="24"/>
        </w:rPr>
        <w:t xml:space="preserve"> de </w:t>
      </w:r>
      <w:r w:rsidR="003C2DB0" w:rsidRPr="00280E67">
        <w:rPr>
          <w:bCs/>
          <w:iCs/>
          <w:sz w:val="24"/>
          <w:szCs w:val="24"/>
        </w:rPr>
        <w:t>practicar</w:t>
      </w:r>
      <w:r w:rsidR="00027850" w:rsidRPr="00280E67">
        <w:rPr>
          <w:bCs/>
          <w:iCs/>
          <w:sz w:val="24"/>
          <w:szCs w:val="24"/>
        </w:rPr>
        <w:t xml:space="preserve"> una prueba ya decretada</w:t>
      </w:r>
      <w:r w:rsidR="00710DD8" w:rsidRPr="00280E67">
        <w:rPr>
          <w:bCs/>
          <w:iCs/>
          <w:sz w:val="24"/>
          <w:szCs w:val="24"/>
        </w:rPr>
        <w:t>,</w:t>
      </w:r>
      <w:r w:rsidR="00027850" w:rsidRPr="00280E67">
        <w:rPr>
          <w:bCs/>
          <w:iCs/>
          <w:sz w:val="24"/>
          <w:szCs w:val="24"/>
        </w:rPr>
        <w:t xml:space="preserve"> se </w:t>
      </w:r>
      <w:r w:rsidR="00E115ED" w:rsidRPr="00280E67">
        <w:rPr>
          <w:bCs/>
          <w:iCs/>
          <w:sz w:val="24"/>
          <w:szCs w:val="24"/>
        </w:rPr>
        <w:t>encontraba</w:t>
      </w:r>
      <w:r w:rsidR="00027850" w:rsidRPr="00280E67">
        <w:rPr>
          <w:bCs/>
          <w:iCs/>
          <w:sz w:val="24"/>
          <w:szCs w:val="24"/>
        </w:rPr>
        <w:t xml:space="preserve"> infundada.</w:t>
      </w:r>
    </w:p>
    <w:p w14:paraId="2BC18CF0" w14:textId="77777777" w:rsidR="00027850" w:rsidRPr="00280E67" w:rsidRDefault="00027850" w:rsidP="003C2DB0">
      <w:pPr>
        <w:spacing w:line="276" w:lineRule="auto"/>
        <w:rPr>
          <w:bCs/>
          <w:iCs/>
          <w:sz w:val="24"/>
          <w:szCs w:val="24"/>
        </w:rPr>
      </w:pPr>
    </w:p>
    <w:p w14:paraId="72523A5A" w14:textId="33C5111B" w:rsidR="00B207FB" w:rsidRPr="00280E67" w:rsidRDefault="004527A7" w:rsidP="00683F08">
      <w:pPr>
        <w:shd w:val="clear" w:color="auto" w:fill="FFFFFF"/>
        <w:spacing w:line="276" w:lineRule="auto"/>
        <w:rPr>
          <w:bCs/>
          <w:iCs/>
          <w:sz w:val="24"/>
          <w:szCs w:val="24"/>
        </w:rPr>
      </w:pPr>
      <w:r w:rsidRPr="00280E67">
        <w:rPr>
          <w:bCs/>
          <w:iCs/>
          <w:sz w:val="24"/>
          <w:szCs w:val="24"/>
        </w:rPr>
        <w:t xml:space="preserve">En ese orden, </w:t>
      </w:r>
      <w:r w:rsidR="008F57D5" w:rsidRPr="00280E67">
        <w:rPr>
          <w:bCs/>
          <w:iCs/>
          <w:sz w:val="24"/>
          <w:szCs w:val="24"/>
        </w:rPr>
        <w:t>en relación con</w:t>
      </w:r>
      <w:r w:rsidRPr="00280E67">
        <w:rPr>
          <w:bCs/>
          <w:iCs/>
          <w:sz w:val="24"/>
          <w:szCs w:val="24"/>
        </w:rPr>
        <w:t xml:space="preserve"> los motivos del escrito de tutela </w:t>
      </w:r>
      <w:r w:rsidRPr="00280E67">
        <w:rPr>
          <w:iCs/>
          <w:sz w:val="24"/>
          <w:szCs w:val="24"/>
        </w:rPr>
        <w:t>dirigidos a endilgar algún defecto al laudo arbitral</w:t>
      </w:r>
      <w:r w:rsidRPr="00280E67">
        <w:rPr>
          <w:b/>
          <w:iCs/>
          <w:sz w:val="24"/>
          <w:szCs w:val="24"/>
        </w:rPr>
        <w:t xml:space="preserve"> </w:t>
      </w:r>
      <w:r w:rsidRPr="00280E67">
        <w:rPr>
          <w:iCs/>
          <w:sz w:val="24"/>
          <w:szCs w:val="24"/>
        </w:rPr>
        <w:t xml:space="preserve">cuestionado, </w:t>
      </w:r>
      <w:r w:rsidR="008F57D5" w:rsidRPr="00280E67">
        <w:rPr>
          <w:bCs/>
          <w:iCs/>
          <w:sz w:val="24"/>
          <w:szCs w:val="24"/>
        </w:rPr>
        <w:t xml:space="preserve">la Sala encuentra que </w:t>
      </w:r>
      <w:r w:rsidRPr="00280E67">
        <w:rPr>
          <w:bCs/>
          <w:iCs/>
          <w:sz w:val="24"/>
          <w:szCs w:val="24"/>
        </w:rPr>
        <w:t>Transfuvalle</w:t>
      </w:r>
      <w:r w:rsidR="00683F08" w:rsidRPr="00280E67">
        <w:rPr>
          <w:bCs/>
          <w:iCs/>
          <w:sz w:val="24"/>
          <w:szCs w:val="24"/>
        </w:rPr>
        <w:t xml:space="preserve"> los plantea en los mismos términos en los que los llevó al recurso extraordinario de revisión y</w:t>
      </w:r>
      <w:r w:rsidR="00B207FB" w:rsidRPr="00280E67">
        <w:rPr>
          <w:bCs/>
          <w:iCs/>
          <w:sz w:val="24"/>
          <w:szCs w:val="24"/>
        </w:rPr>
        <w:t>, en consecuencia,</w:t>
      </w:r>
      <w:r w:rsidR="00683F08" w:rsidRPr="00280E67">
        <w:rPr>
          <w:bCs/>
          <w:iCs/>
          <w:sz w:val="24"/>
          <w:szCs w:val="24"/>
        </w:rPr>
        <w:t xml:space="preserve"> </w:t>
      </w:r>
      <w:r w:rsidR="00280E67" w:rsidRPr="00280E67">
        <w:rPr>
          <w:bCs/>
          <w:iCs/>
          <w:sz w:val="24"/>
          <w:szCs w:val="24"/>
        </w:rPr>
        <w:t xml:space="preserve">pasando por alto que </w:t>
      </w:r>
      <w:r w:rsidR="00683F08" w:rsidRPr="00280E67">
        <w:rPr>
          <w:bCs/>
          <w:iCs/>
          <w:sz w:val="24"/>
          <w:szCs w:val="24"/>
        </w:rPr>
        <w:t>sus protestas ya fueron abordadas y definidas con efectos de cosa juzgada,</w:t>
      </w:r>
      <w:r w:rsidR="00280E67" w:rsidRPr="00280E67">
        <w:rPr>
          <w:bCs/>
          <w:iCs/>
          <w:sz w:val="24"/>
          <w:szCs w:val="24"/>
        </w:rPr>
        <w:t xml:space="preserve"> con la pretensión de </w:t>
      </w:r>
      <w:r w:rsidR="00683F08" w:rsidRPr="00280E67">
        <w:rPr>
          <w:bCs/>
          <w:iCs/>
          <w:sz w:val="24"/>
          <w:szCs w:val="24"/>
        </w:rPr>
        <w:t xml:space="preserve">que el juez de amparo se pronuncie de manera </w:t>
      </w:r>
      <w:r w:rsidR="00B207FB" w:rsidRPr="00280E67">
        <w:rPr>
          <w:bCs/>
          <w:iCs/>
          <w:sz w:val="24"/>
          <w:szCs w:val="24"/>
        </w:rPr>
        <w:t>original sobre</w:t>
      </w:r>
      <w:r w:rsidR="00683F08" w:rsidRPr="00280E67">
        <w:rPr>
          <w:bCs/>
          <w:iCs/>
          <w:sz w:val="24"/>
          <w:szCs w:val="24"/>
        </w:rPr>
        <w:t xml:space="preserve"> los términos del laudo arbitral. Esto llevaría a que, con este trámite constitucional, se reemplazara la decisión del Tribunal Superior del Distrito Judicial de Cali, al resolver el recurso de anulación sobre los reproches de orden fáctico. </w:t>
      </w:r>
    </w:p>
    <w:p w14:paraId="25A91685" w14:textId="77777777" w:rsidR="00B207FB" w:rsidRPr="00280E67" w:rsidRDefault="00B207FB" w:rsidP="00683F08">
      <w:pPr>
        <w:shd w:val="clear" w:color="auto" w:fill="FFFFFF"/>
        <w:spacing w:line="276" w:lineRule="auto"/>
        <w:rPr>
          <w:bCs/>
          <w:iCs/>
          <w:sz w:val="24"/>
          <w:szCs w:val="24"/>
        </w:rPr>
      </w:pPr>
    </w:p>
    <w:p w14:paraId="7FDDE68A" w14:textId="321B8C96" w:rsidR="004527A7" w:rsidRPr="00280E67" w:rsidRDefault="002E45A6" w:rsidP="00683F08">
      <w:pPr>
        <w:shd w:val="clear" w:color="auto" w:fill="FFFFFF"/>
        <w:spacing w:line="276" w:lineRule="auto"/>
        <w:rPr>
          <w:bCs/>
          <w:iCs/>
          <w:sz w:val="24"/>
          <w:szCs w:val="24"/>
        </w:rPr>
      </w:pPr>
      <w:r w:rsidRPr="00280E67">
        <w:rPr>
          <w:bCs/>
          <w:iCs/>
          <w:sz w:val="24"/>
          <w:szCs w:val="24"/>
        </w:rPr>
        <w:lastRenderedPageBreak/>
        <w:t xml:space="preserve">En otros términos, la parte actora no plantea defectos contra la decisión judicial que resolvió definitivamente el asunto y, en su lugar, busca que, en sede de </w:t>
      </w:r>
      <w:r w:rsidR="00B207FB" w:rsidRPr="00280E67">
        <w:rPr>
          <w:bCs/>
          <w:iCs/>
          <w:sz w:val="24"/>
          <w:szCs w:val="24"/>
        </w:rPr>
        <w:t>tutela</w:t>
      </w:r>
      <w:r w:rsidRPr="00280E67">
        <w:rPr>
          <w:bCs/>
          <w:iCs/>
          <w:sz w:val="24"/>
          <w:szCs w:val="24"/>
        </w:rPr>
        <w:t>, se estudie nuevamente su postura particular en relación con las pruebas supuestamente omitidas.</w:t>
      </w:r>
      <w:r w:rsidR="00B640F8" w:rsidRPr="00280E67">
        <w:rPr>
          <w:bCs/>
          <w:iCs/>
          <w:sz w:val="24"/>
          <w:szCs w:val="24"/>
        </w:rPr>
        <w:t xml:space="preserve"> </w:t>
      </w:r>
      <w:r w:rsidR="00B207FB" w:rsidRPr="00280E67">
        <w:rPr>
          <w:bCs/>
          <w:iCs/>
          <w:sz w:val="24"/>
          <w:szCs w:val="24"/>
        </w:rPr>
        <w:t>Lo que</w:t>
      </w:r>
      <w:r w:rsidR="00683F08" w:rsidRPr="00280E67">
        <w:rPr>
          <w:bCs/>
          <w:iCs/>
          <w:sz w:val="24"/>
          <w:szCs w:val="24"/>
        </w:rPr>
        <w:t xml:space="preserve"> deriva en que los argumentos </w:t>
      </w:r>
      <w:r w:rsidRPr="00280E67">
        <w:rPr>
          <w:bCs/>
          <w:iCs/>
          <w:sz w:val="24"/>
          <w:szCs w:val="24"/>
        </w:rPr>
        <w:t>expuestos</w:t>
      </w:r>
      <w:r w:rsidR="00683F08" w:rsidRPr="00280E67">
        <w:rPr>
          <w:bCs/>
          <w:iCs/>
          <w:sz w:val="24"/>
          <w:szCs w:val="24"/>
        </w:rPr>
        <w:t xml:space="preserve"> carezcan </w:t>
      </w:r>
      <w:r w:rsidR="000803C5" w:rsidRPr="00280E67">
        <w:rPr>
          <w:bCs/>
          <w:iCs/>
          <w:sz w:val="24"/>
          <w:szCs w:val="24"/>
        </w:rPr>
        <w:t xml:space="preserve">de relevancia constitucional, </w:t>
      </w:r>
      <w:r w:rsidR="00683F08" w:rsidRPr="00280E67">
        <w:rPr>
          <w:bCs/>
          <w:iCs/>
          <w:sz w:val="24"/>
          <w:szCs w:val="24"/>
        </w:rPr>
        <w:t xml:space="preserve">pues no cuestionan la providencia judicial que ya dio respuesta a las reclamaciones que ahora repite, ni </w:t>
      </w:r>
      <w:r w:rsidRPr="00280E67">
        <w:rPr>
          <w:bCs/>
          <w:iCs/>
          <w:sz w:val="24"/>
          <w:szCs w:val="24"/>
        </w:rPr>
        <w:t>tampoco muestran</w:t>
      </w:r>
      <w:r w:rsidR="00683F08" w:rsidRPr="00280E67">
        <w:rPr>
          <w:bCs/>
          <w:iCs/>
          <w:sz w:val="24"/>
          <w:szCs w:val="24"/>
        </w:rPr>
        <w:t xml:space="preserve"> de qué manera la solución dada por el Tribunal Superior del Distrito Judicial de </w:t>
      </w:r>
      <w:r w:rsidRPr="00280E67">
        <w:rPr>
          <w:bCs/>
          <w:iCs/>
          <w:sz w:val="24"/>
          <w:szCs w:val="24"/>
        </w:rPr>
        <w:t>Cali vulneró</w:t>
      </w:r>
      <w:r w:rsidR="00683F08" w:rsidRPr="00280E67">
        <w:rPr>
          <w:bCs/>
          <w:iCs/>
          <w:sz w:val="24"/>
          <w:szCs w:val="24"/>
        </w:rPr>
        <w:t xml:space="preserve"> sus derechos fundamentales con la solución que dio a las protestas que ahora reitera</w:t>
      </w:r>
      <w:r w:rsidRPr="00280E67">
        <w:rPr>
          <w:bCs/>
          <w:iCs/>
          <w:sz w:val="24"/>
          <w:szCs w:val="24"/>
        </w:rPr>
        <w:t>.</w:t>
      </w:r>
    </w:p>
    <w:p w14:paraId="5C5F15C1" w14:textId="232C4F7E" w:rsidR="00E115ED" w:rsidRPr="00280E67" w:rsidRDefault="00E115ED" w:rsidP="003C2DB0">
      <w:pPr>
        <w:shd w:val="clear" w:color="auto" w:fill="FFFFFF"/>
        <w:spacing w:line="276" w:lineRule="auto"/>
        <w:rPr>
          <w:bCs/>
          <w:iCs/>
          <w:sz w:val="24"/>
          <w:szCs w:val="24"/>
        </w:rPr>
      </w:pPr>
    </w:p>
    <w:p w14:paraId="1EB6AEC1" w14:textId="3A83B43A" w:rsidR="00E115ED" w:rsidRPr="00280E67" w:rsidRDefault="00367756" w:rsidP="000803C5">
      <w:pPr>
        <w:spacing w:line="276" w:lineRule="auto"/>
        <w:rPr>
          <w:bCs/>
          <w:iCs/>
          <w:sz w:val="24"/>
          <w:szCs w:val="24"/>
        </w:rPr>
      </w:pPr>
      <w:r w:rsidRPr="00280E67">
        <w:rPr>
          <w:b/>
          <w:bCs/>
          <w:iCs/>
          <w:sz w:val="24"/>
          <w:szCs w:val="24"/>
        </w:rPr>
        <w:t>2.2.4</w:t>
      </w:r>
      <w:r w:rsidR="00027850" w:rsidRPr="00280E67">
        <w:rPr>
          <w:b/>
          <w:bCs/>
          <w:iCs/>
          <w:sz w:val="24"/>
          <w:szCs w:val="24"/>
        </w:rPr>
        <w:t xml:space="preserve">. </w:t>
      </w:r>
      <w:r w:rsidR="00027850" w:rsidRPr="00280E67">
        <w:rPr>
          <w:bCs/>
          <w:iCs/>
          <w:sz w:val="24"/>
          <w:szCs w:val="24"/>
        </w:rPr>
        <w:t xml:space="preserve">Ahora bien, </w:t>
      </w:r>
      <w:r w:rsidR="00E115ED" w:rsidRPr="00280E67">
        <w:rPr>
          <w:bCs/>
          <w:iCs/>
          <w:sz w:val="24"/>
          <w:szCs w:val="24"/>
        </w:rPr>
        <w:t xml:space="preserve">de la lectura de </w:t>
      </w:r>
      <w:r w:rsidR="00027850" w:rsidRPr="00280E67">
        <w:rPr>
          <w:bCs/>
          <w:iCs/>
          <w:sz w:val="24"/>
          <w:szCs w:val="24"/>
        </w:rPr>
        <w:t xml:space="preserve">los </w:t>
      </w:r>
      <w:r w:rsidR="00027850" w:rsidRPr="00280E67">
        <w:rPr>
          <w:b/>
          <w:bCs/>
          <w:iCs/>
          <w:sz w:val="24"/>
          <w:szCs w:val="24"/>
        </w:rPr>
        <w:t xml:space="preserve">argumentos </w:t>
      </w:r>
      <w:r w:rsidR="001163F9" w:rsidRPr="00280E67">
        <w:rPr>
          <w:b/>
          <w:bCs/>
          <w:iCs/>
          <w:sz w:val="24"/>
          <w:szCs w:val="24"/>
        </w:rPr>
        <w:t>dirigidos a</w:t>
      </w:r>
      <w:r w:rsidR="00027850" w:rsidRPr="00280E67">
        <w:rPr>
          <w:b/>
          <w:bCs/>
          <w:iCs/>
          <w:sz w:val="24"/>
          <w:szCs w:val="24"/>
        </w:rPr>
        <w:t xml:space="preserve"> </w:t>
      </w:r>
      <w:r w:rsidR="00F53AF7" w:rsidRPr="00280E67">
        <w:rPr>
          <w:b/>
          <w:bCs/>
          <w:iCs/>
          <w:sz w:val="24"/>
          <w:szCs w:val="24"/>
        </w:rPr>
        <w:t xml:space="preserve">cuestionar </w:t>
      </w:r>
      <w:r w:rsidR="00027850" w:rsidRPr="00280E67">
        <w:rPr>
          <w:b/>
          <w:bCs/>
          <w:iCs/>
          <w:sz w:val="24"/>
          <w:szCs w:val="24"/>
        </w:rPr>
        <w:t>la providencia que resolvió el recurso de anulación</w:t>
      </w:r>
      <w:r w:rsidR="00E115ED" w:rsidRPr="00280E67">
        <w:rPr>
          <w:b/>
          <w:bCs/>
          <w:iCs/>
          <w:sz w:val="24"/>
          <w:szCs w:val="24"/>
        </w:rPr>
        <w:t xml:space="preserve"> </w:t>
      </w:r>
      <w:r w:rsidR="00E115ED" w:rsidRPr="00280E67">
        <w:rPr>
          <w:bCs/>
          <w:iCs/>
          <w:sz w:val="24"/>
          <w:szCs w:val="24"/>
        </w:rPr>
        <w:t xml:space="preserve">se desprende la </w:t>
      </w:r>
      <w:r w:rsidR="00E41849" w:rsidRPr="00280E67">
        <w:rPr>
          <w:bCs/>
          <w:iCs/>
          <w:sz w:val="24"/>
          <w:szCs w:val="24"/>
        </w:rPr>
        <w:t xml:space="preserve">intención </w:t>
      </w:r>
      <w:r w:rsidR="00E115ED" w:rsidRPr="00280E67">
        <w:rPr>
          <w:bCs/>
          <w:iCs/>
          <w:sz w:val="24"/>
          <w:szCs w:val="24"/>
        </w:rPr>
        <w:t xml:space="preserve">de la parte actora dirigida a establecer que </w:t>
      </w:r>
      <w:r w:rsidR="00027850" w:rsidRPr="00280E67">
        <w:rPr>
          <w:bCs/>
          <w:iCs/>
          <w:sz w:val="24"/>
          <w:szCs w:val="24"/>
        </w:rPr>
        <w:t>la Sala Civil del Tribunal Superior del Distrito de Cali incurrió en un defecto sustantivo</w:t>
      </w:r>
      <w:r w:rsidR="00564CB3" w:rsidRPr="00280E67">
        <w:rPr>
          <w:bCs/>
          <w:iCs/>
          <w:sz w:val="24"/>
          <w:szCs w:val="24"/>
        </w:rPr>
        <w:t xml:space="preserve"> por indebida interpretación del artículo 41 de la Ley 1563 de 2012, específicamente en lo que tiene que ver con las causales segunda, quinta y novena del medio de impugnación </w:t>
      </w:r>
      <w:r w:rsidR="001A71B1" w:rsidRPr="00280E67">
        <w:rPr>
          <w:bCs/>
          <w:iCs/>
          <w:sz w:val="24"/>
          <w:szCs w:val="24"/>
        </w:rPr>
        <w:t>aludido</w:t>
      </w:r>
      <w:r w:rsidR="00564CB3" w:rsidRPr="00280E67">
        <w:rPr>
          <w:bCs/>
          <w:iCs/>
          <w:sz w:val="24"/>
          <w:szCs w:val="24"/>
        </w:rPr>
        <w:t>.</w:t>
      </w:r>
      <w:r w:rsidR="00E115ED" w:rsidRPr="00280E67">
        <w:rPr>
          <w:bCs/>
          <w:iCs/>
          <w:sz w:val="24"/>
          <w:szCs w:val="24"/>
        </w:rPr>
        <w:t xml:space="preserve"> </w:t>
      </w:r>
    </w:p>
    <w:p w14:paraId="27C2B25D" w14:textId="278F5828" w:rsidR="000803C5" w:rsidRPr="00280E67" w:rsidRDefault="000803C5" w:rsidP="003C2DB0">
      <w:pPr>
        <w:spacing w:line="276" w:lineRule="auto"/>
        <w:rPr>
          <w:bCs/>
          <w:iCs/>
          <w:sz w:val="24"/>
          <w:szCs w:val="24"/>
        </w:rPr>
      </w:pPr>
    </w:p>
    <w:p w14:paraId="1747BDDE" w14:textId="783E7589" w:rsidR="00505ABA" w:rsidRPr="00280E67" w:rsidRDefault="00506158" w:rsidP="00505ABA">
      <w:pPr>
        <w:spacing w:line="276" w:lineRule="auto"/>
        <w:rPr>
          <w:bCs/>
          <w:iCs/>
          <w:sz w:val="24"/>
          <w:szCs w:val="24"/>
        </w:rPr>
      </w:pPr>
      <w:r w:rsidRPr="00280E67">
        <w:rPr>
          <w:b/>
          <w:bCs/>
          <w:iCs/>
          <w:sz w:val="24"/>
          <w:szCs w:val="24"/>
        </w:rPr>
        <w:t xml:space="preserve">2.2.4.1. </w:t>
      </w:r>
      <w:r w:rsidR="000803C5" w:rsidRPr="00280E67">
        <w:rPr>
          <w:bCs/>
          <w:iCs/>
          <w:sz w:val="24"/>
          <w:szCs w:val="24"/>
        </w:rPr>
        <w:t xml:space="preserve">En </w:t>
      </w:r>
      <w:r w:rsidR="000424FC" w:rsidRPr="00280E67">
        <w:rPr>
          <w:bCs/>
          <w:iCs/>
          <w:sz w:val="24"/>
          <w:szCs w:val="24"/>
        </w:rPr>
        <w:t>efecto</w:t>
      </w:r>
      <w:r w:rsidR="000803C5" w:rsidRPr="00280E67">
        <w:rPr>
          <w:bCs/>
          <w:iCs/>
          <w:sz w:val="24"/>
          <w:szCs w:val="24"/>
        </w:rPr>
        <w:t>, Transfuvalle adujo</w:t>
      </w:r>
      <w:r w:rsidR="000803C5" w:rsidRPr="00280E67">
        <w:rPr>
          <w:bCs/>
          <w:iCs/>
          <w:color w:val="FF0000"/>
          <w:sz w:val="24"/>
          <w:szCs w:val="24"/>
        </w:rPr>
        <w:t xml:space="preserve"> </w:t>
      </w:r>
      <w:r w:rsidR="000803C5" w:rsidRPr="00280E67">
        <w:rPr>
          <w:bCs/>
          <w:iCs/>
          <w:sz w:val="24"/>
          <w:szCs w:val="24"/>
        </w:rPr>
        <w:t xml:space="preserve">que la causal prevista en el numeral noveno </w:t>
      </w:r>
      <w:r w:rsidR="00E115ED" w:rsidRPr="00280E67">
        <w:rPr>
          <w:bCs/>
          <w:iCs/>
          <w:sz w:val="24"/>
          <w:szCs w:val="24"/>
        </w:rPr>
        <w:t>del artículo 41 de la Ley 1563 de 2012</w:t>
      </w:r>
      <w:r w:rsidR="000803C5" w:rsidRPr="00280E67">
        <w:rPr>
          <w:bCs/>
          <w:iCs/>
          <w:sz w:val="24"/>
          <w:szCs w:val="24"/>
        </w:rPr>
        <w:t xml:space="preserve"> no exige examinar el contenido de la cláusula compromisoria, s</w:t>
      </w:r>
      <w:r w:rsidR="00B07964">
        <w:rPr>
          <w:bCs/>
          <w:iCs/>
          <w:sz w:val="24"/>
          <w:szCs w:val="24"/>
        </w:rPr>
        <w:t>ino el respeto del principio de</w:t>
      </w:r>
      <w:r w:rsidR="000803C5" w:rsidRPr="00280E67">
        <w:rPr>
          <w:bCs/>
          <w:iCs/>
          <w:sz w:val="24"/>
          <w:szCs w:val="24"/>
        </w:rPr>
        <w:t xml:space="preserve"> congruencia en el laudo cuestionado</w:t>
      </w:r>
      <w:r w:rsidR="00D11EC1" w:rsidRPr="00280E67">
        <w:rPr>
          <w:bCs/>
          <w:iCs/>
          <w:sz w:val="24"/>
          <w:szCs w:val="24"/>
        </w:rPr>
        <w:t>. Con base en lo expuesto, afirmó que el laudo arbitral desconoció el principio de congruencia, al alejarse del debate formulado en la demanda y en las excepciones.</w:t>
      </w:r>
      <w:r w:rsidR="00505ABA" w:rsidRPr="00280E67">
        <w:rPr>
          <w:bCs/>
          <w:iCs/>
          <w:sz w:val="24"/>
          <w:szCs w:val="24"/>
        </w:rPr>
        <w:t xml:space="preserve"> </w:t>
      </w:r>
    </w:p>
    <w:p w14:paraId="1F9F76EC" w14:textId="32D9E820" w:rsidR="000803C5" w:rsidRPr="00280E67" w:rsidRDefault="000803C5" w:rsidP="003C2DB0">
      <w:pPr>
        <w:spacing w:line="276" w:lineRule="auto"/>
        <w:rPr>
          <w:bCs/>
          <w:iCs/>
          <w:sz w:val="24"/>
          <w:szCs w:val="24"/>
        </w:rPr>
      </w:pPr>
    </w:p>
    <w:p w14:paraId="3C169701" w14:textId="4BF1C4EF" w:rsidR="00E41849" w:rsidRPr="00280E67" w:rsidRDefault="00505ABA" w:rsidP="00506158">
      <w:pPr>
        <w:spacing w:line="276" w:lineRule="auto"/>
        <w:rPr>
          <w:bCs/>
          <w:iCs/>
          <w:sz w:val="24"/>
          <w:szCs w:val="24"/>
        </w:rPr>
      </w:pPr>
      <w:r w:rsidRPr="00280E67">
        <w:rPr>
          <w:bCs/>
          <w:iCs/>
          <w:sz w:val="24"/>
          <w:szCs w:val="24"/>
        </w:rPr>
        <w:t>Frente a esto, la Sala Civil del Tribunal Superior del Distrito de Cali afirmó</w:t>
      </w:r>
      <w:r w:rsidR="00506158" w:rsidRPr="00280E67">
        <w:rPr>
          <w:bCs/>
          <w:iCs/>
          <w:sz w:val="24"/>
          <w:szCs w:val="24"/>
        </w:rPr>
        <w:t xml:space="preserve"> que las razones que fundamentan la causal novena del artículo 41 de la Ley 1563 de 2012, y que pretenden poner de presente la irregularidad de aprehender el estudio de materias que no estaban enlistadas en la cláusula compromisoria, </w:t>
      </w:r>
      <w:r w:rsidR="00E712E6">
        <w:rPr>
          <w:bCs/>
          <w:iCs/>
          <w:sz w:val="24"/>
          <w:szCs w:val="24"/>
        </w:rPr>
        <w:t xml:space="preserve">no </w:t>
      </w:r>
      <w:r w:rsidR="00506158" w:rsidRPr="00280E67">
        <w:rPr>
          <w:bCs/>
          <w:iCs/>
          <w:sz w:val="24"/>
          <w:szCs w:val="24"/>
        </w:rPr>
        <w:t>deben ser dirimidas bajo la óptica de la causal aludida, sino</w:t>
      </w:r>
      <w:r w:rsidR="00E712E6">
        <w:rPr>
          <w:bCs/>
          <w:iCs/>
          <w:sz w:val="24"/>
          <w:szCs w:val="24"/>
        </w:rPr>
        <w:t xml:space="preserve"> respecto del</w:t>
      </w:r>
      <w:r w:rsidR="00506158" w:rsidRPr="00280E67">
        <w:rPr>
          <w:bCs/>
          <w:iCs/>
          <w:sz w:val="24"/>
          <w:szCs w:val="24"/>
        </w:rPr>
        <w:t xml:space="preserve"> reproche que fundamenta la falta de competencia (causal segunda de la citada norma). </w:t>
      </w:r>
      <w:r w:rsidRPr="00280E67">
        <w:rPr>
          <w:bCs/>
          <w:iCs/>
          <w:sz w:val="24"/>
          <w:szCs w:val="24"/>
        </w:rPr>
        <w:t>Asimismo</w:t>
      </w:r>
      <w:r w:rsidR="00E41849" w:rsidRPr="00280E67">
        <w:rPr>
          <w:bCs/>
          <w:iCs/>
          <w:sz w:val="24"/>
          <w:szCs w:val="24"/>
        </w:rPr>
        <w:t xml:space="preserve">, tras un análisis de la demanda y de la contestación a aquella, </w:t>
      </w:r>
      <w:r w:rsidR="00506158" w:rsidRPr="00280E67">
        <w:rPr>
          <w:bCs/>
          <w:iCs/>
          <w:sz w:val="24"/>
          <w:szCs w:val="24"/>
        </w:rPr>
        <w:t xml:space="preserve">el referido accionado concluyó </w:t>
      </w:r>
      <w:r w:rsidR="00E41849" w:rsidRPr="00280E67">
        <w:rPr>
          <w:bCs/>
          <w:iCs/>
          <w:sz w:val="24"/>
          <w:szCs w:val="24"/>
        </w:rPr>
        <w:t>que el Tribunal de Arbitramento no se excedió ni se sustrajo del litigio definido por las partes, para estimar su decisión como incongruente, y que la parte recurrente pretende que la controversia sea resuelta únicamente a partir de sus razones y de una nueva valoración de las pruebas, lo cual no resulta plausible.</w:t>
      </w:r>
    </w:p>
    <w:p w14:paraId="24810398" w14:textId="19C855CE" w:rsidR="00505ABA" w:rsidRPr="00280E67" w:rsidRDefault="00505ABA" w:rsidP="00506158">
      <w:pPr>
        <w:spacing w:line="276" w:lineRule="auto"/>
        <w:rPr>
          <w:bCs/>
          <w:iCs/>
          <w:sz w:val="24"/>
          <w:szCs w:val="24"/>
        </w:rPr>
      </w:pPr>
    </w:p>
    <w:p w14:paraId="6D5062CB" w14:textId="46A8FDDD" w:rsidR="002E45A6" w:rsidRPr="00280E67" w:rsidRDefault="00505ABA" w:rsidP="00717A54">
      <w:pPr>
        <w:spacing w:line="276" w:lineRule="auto"/>
        <w:rPr>
          <w:bCs/>
          <w:iCs/>
          <w:sz w:val="24"/>
          <w:szCs w:val="24"/>
        </w:rPr>
      </w:pPr>
      <w:r w:rsidRPr="00280E67">
        <w:rPr>
          <w:bCs/>
          <w:iCs/>
          <w:sz w:val="24"/>
          <w:szCs w:val="24"/>
        </w:rPr>
        <w:t xml:space="preserve">Como podemos </w:t>
      </w:r>
      <w:r w:rsidR="00717A54" w:rsidRPr="00280E67">
        <w:rPr>
          <w:bCs/>
          <w:iCs/>
          <w:sz w:val="24"/>
          <w:szCs w:val="24"/>
        </w:rPr>
        <w:t xml:space="preserve">observar, la interpretación normativa presentada por el accionante no contiene un reproche dirigido a desvirtuar la razonabilidad del planteamiento descrito por la Sala Civil del Tribunal Superior del Distrito de Cali, </w:t>
      </w:r>
      <w:r w:rsidR="00B640F8" w:rsidRPr="00280E67">
        <w:rPr>
          <w:bCs/>
          <w:iCs/>
          <w:sz w:val="24"/>
          <w:szCs w:val="24"/>
        </w:rPr>
        <w:t>que tiene como objeto indicar que</w:t>
      </w:r>
      <w:r w:rsidR="002E45A6" w:rsidRPr="00280E67">
        <w:rPr>
          <w:bCs/>
          <w:iCs/>
          <w:sz w:val="24"/>
          <w:szCs w:val="24"/>
        </w:rPr>
        <w:t xml:space="preserve"> en este caso los argumentos del recurso de anulación</w:t>
      </w:r>
      <w:r w:rsidR="00B640F8" w:rsidRPr="00280E67">
        <w:rPr>
          <w:bCs/>
          <w:iCs/>
          <w:sz w:val="24"/>
          <w:szCs w:val="24"/>
        </w:rPr>
        <w:t>,</w:t>
      </w:r>
      <w:r w:rsidR="002E45A6" w:rsidRPr="00280E67">
        <w:rPr>
          <w:bCs/>
          <w:iCs/>
          <w:sz w:val="24"/>
          <w:szCs w:val="24"/>
        </w:rPr>
        <w:t xml:space="preserve"> </w:t>
      </w:r>
      <w:r w:rsidR="00B640F8" w:rsidRPr="00280E67">
        <w:rPr>
          <w:bCs/>
          <w:iCs/>
          <w:sz w:val="24"/>
          <w:szCs w:val="24"/>
        </w:rPr>
        <w:t>que sustentan la invocación de</w:t>
      </w:r>
      <w:r w:rsidR="002E45A6" w:rsidRPr="00280E67">
        <w:rPr>
          <w:bCs/>
          <w:iCs/>
          <w:sz w:val="24"/>
          <w:szCs w:val="24"/>
        </w:rPr>
        <w:t xml:space="preserve"> la causal novena</w:t>
      </w:r>
      <w:r w:rsidR="00B640F8" w:rsidRPr="00280E67">
        <w:rPr>
          <w:bCs/>
          <w:iCs/>
          <w:sz w:val="24"/>
          <w:szCs w:val="24"/>
        </w:rPr>
        <w:t>,</w:t>
      </w:r>
      <w:r w:rsidR="002E45A6" w:rsidRPr="00280E67">
        <w:rPr>
          <w:bCs/>
          <w:iCs/>
          <w:sz w:val="24"/>
          <w:szCs w:val="24"/>
        </w:rPr>
        <w:t xml:space="preserve"> únicamente podían ser resueltos al margen del presupuesto que pretende alegar una falta de competencia</w:t>
      </w:r>
      <w:r w:rsidR="00B640F8" w:rsidRPr="00280E67">
        <w:rPr>
          <w:bCs/>
          <w:iCs/>
          <w:sz w:val="24"/>
          <w:szCs w:val="24"/>
        </w:rPr>
        <w:t xml:space="preserve"> del Tribunal de Arbitramento</w:t>
      </w:r>
      <w:r w:rsidR="002E45A6" w:rsidRPr="00280E67">
        <w:rPr>
          <w:bCs/>
          <w:iCs/>
          <w:sz w:val="24"/>
          <w:szCs w:val="24"/>
        </w:rPr>
        <w:t>.</w:t>
      </w:r>
    </w:p>
    <w:p w14:paraId="142AAC72" w14:textId="3F632C62" w:rsidR="00E41849" w:rsidRPr="00280E67" w:rsidRDefault="00E41849" w:rsidP="00582896">
      <w:pPr>
        <w:spacing w:line="276" w:lineRule="auto"/>
        <w:rPr>
          <w:bCs/>
          <w:iCs/>
          <w:sz w:val="24"/>
          <w:szCs w:val="24"/>
        </w:rPr>
      </w:pPr>
    </w:p>
    <w:p w14:paraId="689F847C" w14:textId="31A4C4D8" w:rsidR="00582896" w:rsidRPr="00280E67" w:rsidRDefault="00506158" w:rsidP="00582896">
      <w:pPr>
        <w:spacing w:line="276" w:lineRule="auto"/>
        <w:rPr>
          <w:bCs/>
          <w:iCs/>
          <w:sz w:val="24"/>
          <w:szCs w:val="24"/>
        </w:rPr>
      </w:pPr>
      <w:r w:rsidRPr="00280E67">
        <w:rPr>
          <w:b/>
          <w:bCs/>
          <w:iCs/>
          <w:sz w:val="24"/>
          <w:szCs w:val="24"/>
        </w:rPr>
        <w:lastRenderedPageBreak/>
        <w:t xml:space="preserve">2.2.4.2. </w:t>
      </w:r>
      <w:r w:rsidR="00717A54" w:rsidRPr="00280E67">
        <w:rPr>
          <w:bCs/>
          <w:iCs/>
          <w:sz w:val="24"/>
          <w:szCs w:val="24"/>
        </w:rPr>
        <w:t>Por otro lado</w:t>
      </w:r>
      <w:r w:rsidR="00D11EC1" w:rsidRPr="00280E67">
        <w:rPr>
          <w:bCs/>
          <w:iCs/>
          <w:sz w:val="24"/>
          <w:szCs w:val="24"/>
        </w:rPr>
        <w:t>, la parte accionante</w:t>
      </w:r>
      <w:r w:rsidR="00582896" w:rsidRPr="00280E67">
        <w:rPr>
          <w:bCs/>
          <w:iCs/>
          <w:sz w:val="24"/>
          <w:szCs w:val="24"/>
        </w:rPr>
        <w:t xml:space="preserve"> </w:t>
      </w:r>
      <w:r w:rsidR="00E41849" w:rsidRPr="00280E67">
        <w:rPr>
          <w:bCs/>
          <w:iCs/>
          <w:sz w:val="24"/>
          <w:szCs w:val="24"/>
        </w:rPr>
        <w:t>consideró</w:t>
      </w:r>
      <w:r w:rsidR="00582896" w:rsidRPr="00280E67">
        <w:rPr>
          <w:bCs/>
          <w:iCs/>
          <w:sz w:val="24"/>
          <w:szCs w:val="24"/>
        </w:rPr>
        <w:t xml:space="preserve"> que, </w:t>
      </w:r>
      <w:r w:rsidR="00002EF0" w:rsidRPr="00280E67">
        <w:rPr>
          <w:bCs/>
          <w:iCs/>
          <w:sz w:val="24"/>
          <w:szCs w:val="24"/>
        </w:rPr>
        <w:t xml:space="preserve">por las particularidades del caso, no </w:t>
      </w:r>
      <w:r w:rsidR="002F0F3B" w:rsidRPr="00280E67">
        <w:rPr>
          <w:bCs/>
          <w:iCs/>
          <w:sz w:val="24"/>
          <w:szCs w:val="24"/>
        </w:rPr>
        <w:t>era necesario</w:t>
      </w:r>
      <w:r w:rsidR="00002EF0" w:rsidRPr="00280E67">
        <w:rPr>
          <w:bCs/>
          <w:iCs/>
          <w:sz w:val="24"/>
          <w:szCs w:val="24"/>
        </w:rPr>
        <w:t xml:space="preserve"> satisfacer el requisito de procedibilidad para invocar la causal de falta de competencia, exigido en el artículo 41 de la Ley 1563 de 2012, puesto que </w:t>
      </w:r>
      <w:r w:rsidR="00582896" w:rsidRPr="00280E67">
        <w:rPr>
          <w:bCs/>
          <w:iCs/>
          <w:sz w:val="24"/>
          <w:szCs w:val="24"/>
        </w:rPr>
        <w:t xml:space="preserve">su inconformidad no tiene lugar a partir del momento en el que los árbitros dictaron </w:t>
      </w:r>
      <w:r w:rsidR="00C7260E" w:rsidRPr="00280E67">
        <w:rPr>
          <w:bCs/>
          <w:iCs/>
          <w:sz w:val="24"/>
          <w:szCs w:val="24"/>
        </w:rPr>
        <w:t>el auto con el</w:t>
      </w:r>
      <w:r w:rsidR="00582896" w:rsidRPr="00280E67">
        <w:rPr>
          <w:bCs/>
          <w:iCs/>
          <w:sz w:val="24"/>
          <w:szCs w:val="24"/>
        </w:rPr>
        <w:t xml:space="preserve"> que </w:t>
      </w:r>
      <w:r w:rsidR="00E115ED" w:rsidRPr="00280E67">
        <w:rPr>
          <w:bCs/>
          <w:iCs/>
          <w:sz w:val="24"/>
          <w:szCs w:val="24"/>
        </w:rPr>
        <w:t>a</w:t>
      </w:r>
      <w:r w:rsidR="00B07964">
        <w:rPr>
          <w:bCs/>
          <w:iCs/>
          <w:sz w:val="24"/>
          <w:szCs w:val="24"/>
        </w:rPr>
        <w:t>sumieron</w:t>
      </w:r>
      <w:r w:rsidR="00582896" w:rsidRPr="00280E67">
        <w:rPr>
          <w:bCs/>
          <w:iCs/>
          <w:sz w:val="24"/>
          <w:szCs w:val="24"/>
        </w:rPr>
        <w:t xml:space="preserve"> competencia, sino</w:t>
      </w:r>
      <w:r w:rsidR="00C7260E" w:rsidRPr="00280E67">
        <w:rPr>
          <w:bCs/>
          <w:iCs/>
          <w:sz w:val="24"/>
          <w:szCs w:val="24"/>
        </w:rPr>
        <w:t xml:space="preserve"> precisamente</w:t>
      </w:r>
      <w:r w:rsidR="00582896" w:rsidRPr="00280E67">
        <w:rPr>
          <w:bCs/>
          <w:iCs/>
          <w:sz w:val="24"/>
          <w:szCs w:val="24"/>
        </w:rPr>
        <w:t xml:space="preserve"> desde que el Tribunal de Arbitramento asumió el conocimiento de asuntos por fuera </w:t>
      </w:r>
      <w:r w:rsidR="0029035D" w:rsidRPr="00280E67">
        <w:rPr>
          <w:bCs/>
          <w:iCs/>
          <w:sz w:val="24"/>
          <w:szCs w:val="24"/>
        </w:rPr>
        <w:t>del</w:t>
      </w:r>
      <w:r w:rsidR="00582896" w:rsidRPr="00280E67">
        <w:rPr>
          <w:bCs/>
          <w:iCs/>
          <w:sz w:val="24"/>
          <w:szCs w:val="24"/>
        </w:rPr>
        <w:t xml:space="preserve"> ámbito ya fijado</w:t>
      </w:r>
      <w:r w:rsidR="00E115ED" w:rsidRPr="00280E67">
        <w:rPr>
          <w:bCs/>
          <w:iCs/>
          <w:sz w:val="24"/>
          <w:szCs w:val="24"/>
        </w:rPr>
        <w:t xml:space="preserve"> precisamente en </w:t>
      </w:r>
      <w:r w:rsidR="00C7260E" w:rsidRPr="00280E67">
        <w:rPr>
          <w:bCs/>
          <w:iCs/>
          <w:sz w:val="24"/>
          <w:szCs w:val="24"/>
        </w:rPr>
        <w:t>aquella providencia</w:t>
      </w:r>
      <w:r w:rsidR="00582896" w:rsidRPr="00280E67">
        <w:rPr>
          <w:bCs/>
          <w:iCs/>
          <w:sz w:val="24"/>
          <w:szCs w:val="24"/>
        </w:rPr>
        <w:t>.</w:t>
      </w:r>
      <w:r w:rsidR="00E84E11" w:rsidRPr="00280E67">
        <w:rPr>
          <w:bCs/>
          <w:iCs/>
          <w:sz w:val="24"/>
          <w:szCs w:val="24"/>
        </w:rPr>
        <w:t xml:space="preserve"> En ese orden, el juez de la anulación</w:t>
      </w:r>
      <w:r w:rsidR="003D217C" w:rsidRPr="00280E67">
        <w:rPr>
          <w:bCs/>
          <w:iCs/>
          <w:sz w:val="24"/>
          <w:szCs w:val="24"/>
        </w:rPr>
        <w:t>, adujo</w:t>
      </w:r>
      <w:r w:rsidR="00C7260E" w:rsidRPr="00280E67">
        <w:rPr>
          <w:bCs/>
          <w:iCs/>
          <w:sz w:val="24"/>
          <w:szCs w:val="24"/>
        </w:rPr>
        <w:t>,</w:t>
      </w:r>
      <w:r w:rsidR="00E84E11" w:rsidRPr="00280E67">
        <w:rPr>
          <w:bCs/>
          <w:iCs/>
          <w:sz w:val="24"/>
          <w:szCs w:val="24"/>
        </w:rPr>
        <w:t xml:space="preserve"> debió reconocer que la cláusula compromisoria no es abierta e ilimitada, y, en consecuencia, entender que en este caso su alcance </w:t>
      </w:r>
      <w:r w:rsidR="00E84E11" w:rsidRPr="00E712E6">
        <w:rPr>
          <w:bCs/>
          <w:iCs/>
          <w:sz w:val="24"/>
          <w:szCs w:val="24"/>
        </w:rPr>
        <w:t>parte</w:t>
      </w:r>
      <w:r w:rsidR="00E84E11" w:rsidRPr="00280E67">
        <w:rPr>
          <w:bCs/>
          <w:iCs/>
          <w:sz w:val="24"/>
          <w:szCs w:val="24"/>
        </w:rPr>
        <w:t xml:space="preserve"> de la competencia que </w:t>
      </w:r>
      <w:r w:rsidR="00E712E6">
        <w:rPr>
          <w:bCs/>
          <w:iCs/>
          <w:sz w:val="24"/>
          <w:szCs w:val="24"/>
        </w:rPr>
        <w:t>el convocante y el convocado</w:t>
      </w:r>
      <w:r w:rsidR="00E84E11" w:rsidRPr="00280E67">
        <w:rPr>
          <w:bCs/>
          <w:iCs/>
          <w:sz w:val="24"/>
          <w:szCs w:val="24"/>
        </w:rPr>
        <w:t xml:space="preserve"> solamente</w:t>
      </w:r>
      <w:r w:rsidR="0029035D" w:rsidRPr="00280E67">
        <w:rPr>
          <w:bCs/>
          <w:iCs/>
          <w:sz w:val="24"/>
          <w:szCs w:val="24"/>
        </w:rPr>
        <w:t xml:space="preserve"> le</w:t>
      </w:r>
      <w:r w:rsidR="00E84E11" w:rsidRPr="00280E67">
        <w:rPr>
          <w:bCs/>
          <w:iCs/>
          <w:sz w:val="24"/>
          <w:szCs w:val="24"/>
        </w:rPr>
        <w:t xml:space="preserve"> otorgaron para definir el cumplimiento o no de las estipulaciones del negocio jurídico.</w:t>
      </w:r>
    </w:p>
    <w:p w14:paraId="486044DC" w14:textId="77777777" w:rsidR="002E45A6" w:rsidRPr="00280E67" w:rsidRDefault="002E45A6" w:rsidP="00506158">
      <w:pPr>
        <w:spacing w:line="276" w:lineRule="auto"/>
        <w:rPr>
          <w:bCs/>
          <w:iCs/>
          <w:sz w:val="24"/>
          <w:szCs w:val="24"/>
        </w:rPr>
      </w:pPr>
    </w:p>
    <w:p w14:paraId="0779B1CB" w14:textId="1740CDBA" w:rsidR="00506158" w:rsidRPr="00280E67" w:rsidRDefault="00717A54" w:rsidP="00506158">
      <w:pPr>
        <w:spacing w:line="276" w:lineRule="auto"/>
        <w:rPr>
          <w:bCs/>
          <w:iCs/>
          <w:sz w:val="24"/>
          <w:szCs w:val="24"/>
        </w:rPr>
      </w:pPr>
      <w:r w:rsidRPr="00280E67">
        <w:rPr>
          <w:bCs/>
          <w:iCs/>
          <w:sz w:val="24"/>
          <w:szCs w:val="24"/>
        </w:rPr>
        <w:t>De lo anterior l</w:t>
      </w:r>
      <w:r w:rsidR="00506158" w:rsidRPr="00280E67">
        <w:rPr>
          <w:bCs/>
          <w:iCs/>
          <w:sz w:val="24"/>
          <w:szCs w:val="24"/>
        </w:rPr>
        <w:t>a Sala Civil del Tribunal Superior del Distrito de Cali</w:t>
      </w:r>
      <w:r w:rsidRPr="00280E67">
        <w:rPr>
          <w:bCs/>
          <w:iCs/>
          <w:sz w:val="24"/>
          <w:szCs w:val="24"/>
        </w:rPr>
        <w:t xml:space="preserve"> </w:t>
      </w:r>
      <w:r w:rsidR="00506158" w:rsidRPr="00280E67">
        <w:rPr>
          <w:bCs/>
          <w:iCs/>
          <w:sz w:val="24"/>
          <w:szCs w:val="24"/>
          <w:lang w:val="es-ES_tradnl"/>
        </w:rPr>
        <w:t xml:space="preserve">estableció que la reclamación que fundamenta la causal por falta de competencia, resultaba improcedente, toda vez que la parte recurrente incumplió el requisito de procedibilidad exigido en la ley para invocar aquella causal, este es, haberla alegado, por medio del recurso de reposición, en el momento en el que el Tribunal de Arbitramento profirió el auto con el </w:t>
      </w:r>
      <w:r w:rsidR="00A91299">
        <w:rPr>
          <w:bCs/>
          <w:iCs/>
          <w:sz w:val="24"/>
          <w:szCs w:val="24"/>
          <w:lang w:val="es-ES_tradnl"/>
        </w:rPr>
        <w:t xml:space="preserve">que </w:t>
      </w:r>
      <w:r w:rsidR="00506158" w:rsidRPr="00280E67">
        <w:rPr>
          <w:bCs/>
          <w:iCs/>
          <w:sz w:val="24"/>
          <w:szCs w:val="24"/>
          <w:lang w:val="es-ES_tradnl"/>
        </w:rPr>
        <w:t xml:space="preserve">asumió su competencia en el proceso. </w:t>
      </w:r>
    </w:p>
    <w:p w14:paraId="43CA7DD6" w14:textId="77777777" w:rsidR="00717A54" w:rsidRPr="00280E67" w:rsidRDefault="00717A54" w:rsidP="00506158">
      <w:pPr>
        <w:spacing w:line="276" w:lineRule="auto"/>
        <w:rPr>
          <w:bCs/>
          <w:iCs/>
          <w:sz w:val="24"/>
          <w:szCs w:val="24"/>
        </w:rPr>
      </w:pPr>
    </w:p>
    <w:p w14:paraId="15B2C74F" w14:textId="7E86E8DF" w:rsidR="00506158" w:rsidRPr="00280E67" w:rsidRDefault="00717A54" w:rsidP="00506158">
      <w:pPr>
        <w:spacing w:line="276" w:lineRule="auto"/>
        <w:rPr>
          <w:bCs/>
          <w:iCs/>
          <w:sz w:val="24"/>
          <w:szCs w:val="24"/>
        </w:rPr>
      </w:pPr>
      <w:r w:rsidRPr="00280E67">
        <w:rPr>
          <w:bCs/>
          <w:iCs/>
          <w:sz w:val="24"/>
          <w:szCs w:val="24"/>
        </w:rPr>
        <w:t>Asimismo</w:t>
      </w:r>
      <w:r w:rsidR="00506158" w:rsidRPr="00280E67">
        <w:rPr>
          <w:bCs/>
          <w:iCs/>
          <w:sz w:val="24"/>
          <w:szCs w:val="24"/>
        </w:rPr>
        <w:t xml:space="preserve">, </w:t>
      </w:r>
      <w:r w:rsidRPr="00280E67">
        <w:rPr>
          <w:bCs/>
          <w:iCs/>
          <w:sz w:val="24"/>
          <w:szCs w:val="24"/>
        </w:rPr>
        <w:t xml:space="preserve">la </w:t>
      </w:r>
      <w:r w:rsidR="0048256D" w:rsidRPr="00280E67">
        <w:rPr>
          <w:bCs/>
          <w:iCs/>
          <w:sz w:val="24"/>
          <w:szCs w:val="24"/>
        </w:rPr>
        <w:t xml:space="preserve">autoridad judicial </w:t>
      </w:r>
      <w:r w:rsidR="0048256D" w:rsidRPr="00B07964">
        <w:rPr>
          <w:bCs/>
          <w:iCs/>
          <w:sz w:val="24"/>
          <w:szCs w:val="24"/>
        </w:rPr>
        <w:t>aludida</w:t>
      </w:r>
      <w:r w:rsidR="0048256D" w:rsidRPr="00280E67">
        <w:rPr>
          <w:bCs/>
          <w:iCs/>
          <w:sz w:val="24"/>
          <w:szCs w:val="24"/>
        </w:rPr>
        <w:t xml:space="preserve"> </w:t>
      </w:r>
      <w:r w:rsidR="001268C6" w:rsidRPr="00280E67">
        <w:rPr>
          <w:bCs/>
          <w:iCs/>
          <w:sz w:val="24"/>
          <w:szCs w:val="24"/>
        </w:rPr>
        <w:t>expresó</w:t>
      </w:r>
      <w:r w:rsidRPr="00280E67">
        <w:rPr>
          <w:bCs/>
          <w:iCs/>
          <w:sz w:val="24"/>
          <w:szCs w:val="24"/>
        </w:rPr>
        <w:t xml:space="preserve"> </w:t>
      </w:r>
      <w:r w:rsidR="001268C6" w:rsidRPr="00280E67">
        <w:rPr>
          <w:bCs/>
          <w:iCs/>
          <w:sz w:val="24"/>
          <w:szCs w:val="24"/>
        </w:rPr>
        <w:t>que,</w:t>
      </w:r>
      <w:r w:rsidRPr="00280E67">
        <w:rPr>
          <w:bCs/>
          <w:iCs/>
          <w:sz w:val="24"/>
          <w:szCs w:val="24"/>
        </w:rPr>
        <w:t xml:space="preserve"> </w:t>
      </w:r>
      <w:r w:rsidR="00506158" w:rsidRPr="00280E67">
        <w:rPr>
          <w:bCs/>
          <w:iCs/>
          <w:sz w:val="24"/>
          <w:szCs w:val="24"/>
        </w:rPr>
        <w:t>si la anulación hubiese satisfecho la</w:t>
      </w:r>
      <w:r w:rsidR="00B07964">
        <w:rPr>
          <w:bCs/>
          <w:iCs/>
          <w:sz w:val="24"/>
          <w:szCs w:val="24"/>
        </w:rPr>
        <w:t xml:space="preserve"> referida</w:t>
      </w:r>
      <w:r w:rsidR="00506158" w:rsidRPr="00280E67">
        <w:rPr>
          <w:bCs/>
          <w:iCs/>
          <w:sz w:val="24"/>
          <w:szCs w:val="24"/>
        </w:rPr>
        <w:t xml:space="preserve"> exigencia</w:t>
      </w:r>
      <w:r w:rsidR="00B07964" w:rsidRPr="00B07964">
        <w:rPr>
          <w:bCs/>
          <w:iCs/>
          <w:sz w:val="24"/>
          <w:szCs w:val="24"/>
        </w:rPr>
        <w:t>,</w:t>
      </w:r>
      <w:r w:rsidR="00506158" w:rsidRPr="00280E67">
        <w:rPr>
          <w:bCs/>
          <w:iCs/>
          <w:sz w:val="24"/>
          <w:szCs w:val="24"/>
        </w:rPr>
        <w:t xml:space="preserve"> el cargo no hubiera prosperado, puesto que la cláusula compromisoria otorgó competencia a los particulares, investidos de jurisdicción, para que definieran cualquier problemática derivada del </w:t>
      </w:r>
      <w:r w:rsidR="00506158" w:rsidRPr="00280E67">
        <w:rPr>
          <w:bCs/>
          <w:iCs/>
          <w:sz w:val="24"/>
          <w:szCs w:val="24"/>
          <w:lang w:val="es-ES"/>
        </w:rPr>
        <w:t>Acuerdo de Accionistas</w:t>
      </w:r>
      <w:r w:rsidR="00506158" w:rsidRPr="00280E67">
        <w:rPr>
          <w:bCs/>
          <w:iCs/>
          <w:sz w:val="24"/>
          <w:szCs w:val="24"/>
        </w:rPr>
        <w:t xml:space="preserve"> y de los actos que tienen relación con él; como en este caso ocurrió. Lo que, en consecuencia, lleva a suponer que no había motivo alguno para que los árbitros se encontraran impedidos de examinar los actos que dieron origen al negocio jurídico. </w:t>
      </w:r>
    </w:p>
    <w:p w14:paraId="5C8BE4C9" w14:textId="43E11F54" w:rsidR="00506158" w:rsidRPr="00280E67" w:rsidRDefault="00506158" w:rsidP="00506158">
      <w:pPr>
        <w:spacing w:line="276" w:lineRule="auto"/>
        <w:rPr>
          <w:bCs/>
          <w:iCs/>
          <w:sz w:val="24"/>
          <w:szCs w:val="24"/>
        </w:rPr>
      </w:pPr>
    </w:p>
    <w:p w14:paraId="3FFB8A41" w14:textId="7EB0D65E" w:rsidR="0048256D" w:rsidRPr="00280E67" w:rsidRDefault="00DF1D6B" w:rsidP="00DF1D6B">
      <w:pPr>
        <w:spacing w:line="276" w:lineRule="auto"/>
        <w:rPr>
          <w:bCs/>
          <w:iCs/>
          <w:sz w:val="24"/>
          <w:szCs w:val="24"/>
        </w:rPr>
      </w:pPr>
      <w:r w:rsidRPr="00280E67">
        <w:rPr>
          <w:bCs/>
          <w:iCs/>
          <w:sz w:val="24"/>
          <w:szCs w:val="24"/>
        </w:rPr>
        <w:t xml:space="preserve">Es evidente que la Sala Civil del Tribunal Superior del Distrito de Cali, más allá del posible incumplimiento del requisito de procedibilidad, resolvió el cargo de fondo relacionado con la falta de competencia, en el sentido de establecer que el alcance de la cláusula compromisoria </w:t>
      </w:r>
      <w:r w:rsidR="00B640F8" w:rsidRPr="00280E67">
        <w:rPr>
          <w:bCs/>
          <w:iCs/>
          <w:sz w:val="24"/>
          <w:szCs w:val="24"/>
        </w:rPr>
        <w:t>les</w:t>
      </w:r>
      <w:r w:rsidRPr="00280E67">
        <w:rPr>
          <w:bCs/>
          <w:iCs/>
          <w:sz w:val="24"/>
          <w:szCs w:val="24"/>
        </w:rPr>
        <w:t xml:space="preserve"> permitía a los árbitros resolver el asunto de la manera en la que lo hicieron. Cuestión de la que no se encuentra </w:t>
      </w:r>
      <w:r w:rsidR="00EA219F" w:rsidRPr="00280E67">
        <w:rPr>
          <w:bCs/>
          <w:iCs/>
          <w:sz w:val="24"/>
          <w:szCs w:val="24"/>
        </w:rPr>
        <w:t>reclamación</w:t>
      </w:r>
      <w:r w:rsidRPr="00280E67">
        <w:rPr>
          <w:bCs/>
          <w:iCs/>
          <w:sz w:val="24"/>
          <w:szCs w:val="24"/>
        </w:rPr>
        <w:t xml:space="preserve"> </w:t>
      </w:r>
      <w:r w:rsidR="00EA219F" w:rsidRPr="00280E67">
        <w:rPr>
          <w:bCs/>
          <w:iCs/>
          <w:sz w:val="24"/>
          <w:szCs w:val="24"/>
        </w:rPr>
        <w:t>alguna</w:t>
      </w:r>
      <w:r w:rsidRPr="00280E67">
        <w:rPr>
          <w:bCs/>
          <w:iCs/>
          <w:sz w:val="24"/>
          <w:szCs w:val="24"/>
        </w:rPr>
        <w:t xml:space="preserve"> por parte del accionante, pues sus desacuerdos se concentraron</w:t>
      </w:r>
      <w:r w:rsidR="003D217C" w:rsidRPr="00280E67">
        <w:rPr>
          <w:bCs/>
          <w:iCs/>
          <w:sz w:val="24"/>
          <w:szCs w:val="24"/>
        </w:rPr>
        <w:t xml:space="preserve"> únicamente</w:t>
      </w:r>
      <w:r w:rsidRPr="00280E67">
        <w:rPr>
          <w:bCs/>
          <w:iCs/>
          <w:sz w:val="24"/>
          <w:szCs w:val="24"/>
        </w:rPr>
        <w:t xml:space="preserve"> en plantear una interpretación personal de la cláusula compromisoria y de la causal segunda del artículo 41 de la Ley 1563 de 2012.</w:t>
      </w:r>
    </w:p>
    <w:p w14:paraId="15328B49" w14:textId="77777777" w:rsidR="00717A54" w:rsidRPr="00280E67" w:rsidRDefault="00717A54" w:rsidP="00506158">
      <w:pPr>
        <w:spacing w:line="276" w:lineRule="auto"/>
        <w:rPr>
          <w:bCs/>
          <w:iCs/>
          <w:sz w:val="24"/>
          <w:szCs w:val="24"/>
        </w:rPr>
      </w:pPr>
    </w:p>
    <w:p w14:paraId="5A998BCE" w14:textId="745CB42C" w:rsidR="00582896" w:rsidRPr="00280E67" w:rsidRDefault="00506158" w:rsidP="003C2DB0">
      <w:pPr>
        <w:spacing w:line="276" w:lineRule="auto"/>
        <w:rPr>
          <w:bCs/>
          <w:iCs/>
          <w:sz w:val="24"/>
          <w:szCs w:val="24"/>
        </w:rPr>
      </w:pPr>
      <w:r w:rsidRPr="00280E67">
        <w:rPr>
          <w:b/>
          <w:bCs/>
          <w:iCs/>
          <w:sz w:val="24"/>
          <w:szCs w:val="24"/>
        </w:rPr>
        <w:t xml:space="preserve">2.2.4.3. </w:t>
      </w:r>
      <w:r w:rsidR="00582896" w:rsidRPr="00280E67">
        <w:rPr>
          <w:bCs/>
          <w:iCs/>
          <w:sz w:val="24"/>
          <w:szCs w:val="24"/>
        </w:rPr>
        <w:t xml:space="preserve">Al final, en el escrito de tutela </w:t>
      </w:r>
      <w:r w:rsidR="00E41849" w:rsidRPr="00280E67">
        <w:rPr>
          <w:bCs/>
          <w:iCs/>
          <w:sz w:val="24"/>
          <w:szCs w:val="24"/>
        </w:rPr>
        <w:t>el accionante indicó</w:t>
      </w:r>
      <w:r w:rsidR="00582896" w:rsidRPr="00280E67">
        <w:rPr>
          <w:bCs/>
          <w:iCs/>
          <w:sz w:val="24"/>
          <w:szCs w:val="24"/>
        </w:rPr>
        <w:t xml:space="preserve"> que la causal prevista en el numeral quinto de la norma citada impone la carga al juez de la anulación de verificar únicamente la práctica o no de una prueba ya decretada, sin que sea posible analizar la trascendencia del medio de convicción para alterar el convencimiento del </w:t>
      </w:r>
      <w:r w:rsidR="007976EC">
        <w:rPr>
          <w:bCs/>
          <w:iCs/>
          <w:sz w:val="24"/>
          <w:szCs w:val="24"/>
        </w:rPr>
        <w:t>T</w:t>
      </w:r>
      <w:r w:rsidR="00582896" w:rsidRPr="00280E67">
        <w:rPr>
          <w:bCs/>
          <w:iCs/>
          <w:sz w:val="24"/>
          <w:szCs w:val="24"/>
        </w:rPr>
        <w:t xml:space="preserve">ribunal de </w:t>
      </w:r>
      <w:r w:rsidR="007976EC">
        <w:rPr>
          <w:bCs/>
          <w:iCs/>
          <w:sz w:val="24"/>
          <w:szCs w:val="24"/>
        </w:rPr>
        <w:t>A</w:t>
      </w:r>
      <w:r w:rsidR="00582896" w:rsidRPr="00280E67">
        <w:rPr>
          <w:bCs/>
          <w:iCs/>
          <w:sz w:val="24"/>
          <w:szCs w:val="24"/>
        </w:rPr>
        <w:t xml:space="preserve">rbitraje. En todo caso, afirma, </w:t>
      </w:r>
      <w:r w:rsidR="00C7260E" w:rsidRPr="00280E67">
        <w:rPr>
          <w:bCs/>
          <w:iCs/>
          <w:sz w:val="24"/>
          <w:szCs w:val="24"/>
        </w:rPr>
        <w:t xml:space="preserve">sí le </w:t>
      </w:r>
      <w:r w:rsidR="00582896" w:rsidRPr="00280E67">
        <w:rPr>
          <w:bCs/>
          <w:iCs/>
          <w:sz w:val="24"/>
          <w:szCs w:val="24"/>
        </w:rPr>
        <w:t xml:space="preserve">correspondía a la Sala Civil del Tribunal Superior de Distrito Judicial de Cali tener en cuenta estas cuestiones: (i) el Tribunal de Arbitramento ya había definido la conducencia, </w:t>
      </w:r>
      <w:r w:rsidR="00582896" w:rsidRPr="00280E67">
        <w:rPr>
          <w:bCs/>
          <w:iCs/>
          <w:sz w:val="24"/>
          <w:szCs w:val="24"/>
        </w:rPr>
        <w:lastRenderedPageBreak/>
        <w:t>pertinencia y utilidad de los documentos requeridos para su exhibición, en el auto que decretó pruebas;</w:t>
      </w:r>
      <w:r w:rsidR="00C7260E" w:rsidRPr="00280E67">
        <w:rPr>
          <w:bCs/>
          <w:iCs/>
          <w:sz w:val="24"/>
          <w:szCs w:val="24"/>
        </w:rPr>
        <w:t xml:space="preserve"> y</w:t>
      </w:r>
      <w:r w:rsidR="00582896" w:rsidRPr="00280E67">
        <w:rPr>
          <w:bCs/>
          <w:iCs/>
          <w:sz w:val="24"/>
          <w:szCs w:val="24"/>
        </w:rPr>
        <w:t xml:space="preserve"> (ii) la </w:t>
      </w:r>
      <w:r w:rsidR="002E45A6" w:rsidRPr="00280E67">
        <w:rPr>
          <w:bCs/>
          <w:iCs/>
          <w:sz w:val="24"/>
          <w:szCs w:val="24"/>
        </w:rPr>
        <w:t xml:space="preserve">necesidad de practicar la </w:t>
      </w:r>
      <w:r w:rsidR="0048256D" w:rsidRPr="00280E67">
        <w:rPr>
          <w:bCs/>
          <w:iCs/>
          <w:sz w:val="24"/>
          <w:szCs w:val="24"/>
        </w:rPr>
        <w:t>exhibición</w:t>
      </w:r>
      <w:r w:rsidR="00582896" w:rsidRPr="00280E67">
        <w:rPr>
          <w:bCs/>
          <w:iCs/>
          <w:sz w:val="24"/>
          <w:szCs w:val="24"/>
        </w:rPr>
        <w:t xml:space="preserve"> de los documentos opuestos por GIT Masivo, por su trascendencia en demostrar el incumplimiento de las obligaciones pactadas en el </w:t>
      </w:r>
      <w:r w:rsidR="00582896" w:rsidRPr="00280E67">
        <w:rPr>
          <w:bCs/>
          <w:sz w:val="24"/>
          <w:szCs w:val="24"/>
          <w:lang w:val="es-ES" w:eastAsia="en-US"/>
        </w:rPr>
        <w:t>Acuerdo de Accionistas</w:t>
      </w:r>
      <w:r w:rsidR="00E84E11" w:rsidRPr="00280E67">
        <w:rPr>
          <w:bCs/>
          <w:sz w:val="24"/>
          <w:szCs w:val="24"/>
          <w:lang w:val="es-ES" w:eastAsia="en-US"/>
        </w:rPr>
        <w:t>.</w:t>
      </w:r>
    </w:p>
    <w:p w14:paraId="48E0A3E3" w14:textId="77777777" w:rsidR="00E84E11" w:rsidRPr="00280E67" w:rsidRDefault="00E84E11" w:rsidP="003C2DB0">
      <w:pPr>
        <w:spacing w:line="276" w:lineRule="auto"/>
        <w:rPr>
          <w:bCs/>
          <w:iCs/>
          <w:sz w:val="24"/>
          <w:szCs w:val="24"/>
        </w:rPr>
      </w:pPr>
    </w:p>
    <w:p w14:paraId="4D6E0A85" w14:textId="0B48014C" w:rsidR="00027850" w:rsidRPr="00280E67" w:rsidRDefault="00506158" w:rsidP="00506158">
      <w:pPr>
        <w:spacing w:line="276" w:lineRule="auto"/>
        <w:rPr>
          <w:bCs/>
          <w:iCs/>
          <w:sz w:val="24"/>
          <w:szCs w:val="24"/>
        </w:rPr>
      </w:pPr>
      <w:r w:rsidRPr="00280E67">
        <w:rPr>
          <w:bCs/>
          <w:iCs/>
          <w:sz w:val="24"/>
          <w:szCs w:val="24"/>
        </w:rPr>
        <w:t>L</w:t>
      </w:r>
      <w:r w:rsidR="00E84E11" w:rsidRPr="00280E67">
        <w:rPr>
          <w:bCs/>
          <w:iCs/>
          <w:sz w:val="24"/>
          <w:szCs w:val="24"/>
        </w:rPr>
        <w:t xml:space="preserve">a Sala Civil del Tribunal Superior del Distrito de Cali </w:t>
      </w:r>
      <w:r w:rsidRPr="00280E67">
        <w:rPr>
          <w:bCs/>
          <w:iCs/>
          <w:sz w:val="24"/>
          <w:szCs w:val="24"/>
        </w:rPr>
        <w:t xml:space="preserve">dio respuesta a lo anterior, en el sentido de advertir que </w:t>
      </w:r>
      <w:r w:rsidRPr="00280E67">
        <w:rPr>
          <w:bCs/>
          <w:iCs/>
          <w:sz w:val="24"/>
          <w:szCs w:val="24"/>
          <w:lang w:val="es-ES_tradnl"/>
        </w:rPr>
        <w:t>l</w:t>
      </w:r>
      <w:r w:rsidR="00FF305D" w:rsidRPr="00280E67">
        <w:rPr>
          <w:bCs/>
          <w:iCs/>
          <w:sz w:val="24"/>
          <w:szCs w:val="24"/>
        </w:rPr>
        <w:t xml:space="preserve">a causal quinta del artículo 41 de la Ley 1563 de 2012, invocada por el accionante, resulta infundada, en la medida en que </w:t>
      </w:r>
      <w:r w:rsidR="00582170" w:rsidRPr="00280E67">
        <w:rPr>
          <w:bCs/>
          <w:iCs/>
          <w:sz w:val="24"/>
          <w:szCs w:val="24"/>
        </w:rPr>
        <w:t>las pruebas referenciadas en el recurso de anulaci</w:t>
      </w:r>
      <w:r w:rsidR="00690DAF" w:rsidRPr="00280E67">
        <w:rPr>
          <w:bCs/>
          <w:iCs/>
          <w:sz w:val="24"/>
          <w:szCs w:val="24"/>
        </w:rPr>
        <w:t>ón</w:t>
      </w:r>
      <w:r w:rsidR="00582170" w:rsidRPr="00280E67">
        <w:rPr>
          <w:bCs/>
          <w:iCs/>
          <w:sz w:val="24"/>
          <w:szCs w:val="24"/>
        </w:rPr>
        <w:t xml:space="preserve"> </w:t>
      </w:r>
      <w:r w:rsidR="00690DAF" w:rsidRPr="00280E67">
        <w:rPr>
          <w:bCs/>
          <w:iCs/>
          <w:sz w:val="24"/>
          <w:szCs w:val="24"/>
        </w:rPr>
        <w:t>(</w:t>
      </w:r>
      <w:r w:rsidR="00582170" w:rsidRPr="00280E67">
        <w:rPr>
          <w:bCs/>
          <w:iCs/>
          <w:sz w:val="24"/>
          <w:szCs w:val="24"/>
        </w:rPr>
        <w:t>unos documentos que se encontraban en las oficinas de GIT Masivo</w:t>
      </w:r>
      <w:r w:rsidR="00690DAF" w:rsidRPr="00280E67">
        <w:rPr>
          <w:bCs/>
          <w:iCs/>
          <w:sz w:val="24"/>
          <w:szCs w:val="24"/>
        </w:rPr>
        <w:t>)</w:t>
      </w:r>
      <w:r w:rsidR="00582170" w:rsidRPr="00280E67">
        <w:rPr>
          <w:bCs/>
          <w:iCs/>
          <w:sz w:val="24"/>
          <w:szCs w:val="24"/>
        </w:rPr>
        <w:t>, resulta</w:t>
      </w:r>
      <w:r w:rsidR="00690DAF" w:rsidRPr="00280E67">
        <w:rPr>
          <w:bCs/>
          <w:iCs/>
          <w:sz w:val="24"/>
          <w:szCs w:val="24"/>
        </w:rPr>
        <w:t>ba</w:t>
      </w:r>
      <w:r w:rsidR="00582170" w:rsidRPr="00280E67">
        <w:rPr>
          <w:bCs/>
          <w:iCs/>
          <w:sz w:val="24"/>
          <w:szCs w:val="24"/>
        </w:rPr>
        <w:t xml:space="preserve">n inútiles e innecesarias para </w:t>
      </w:r>
      <w:r w:rsidR="00690DAF" w:rsidRPr="00280E67">
        <w:rPr>
          <w:bCs/>
          <w:iCs/>
          <w:sz w:val="24"/>
          <w:szCs w:val="24"/>
        </w:rPr>
        <w:t>definir la solución a</w:t>
      </w:r>
      <w:r w:rsidR="00582170" w:rsidRPr="00280E67">
        <w:rPr>
          <w:bCs/>
          <w:iCs/>
          <w:sz w:val="24"/>
          <w:szCs w:val="24"/>
        </w:rPr>
        <w:t xml:space="preserve"> la controversia </w:t>
      </w:r>
      <w:r w:rsidR="00690DAF" w:rsidRPr="00280E67">
        <w:rPr>
          <w:bCs/>
          <w:iCs/>
          <w:sz w:val="24"/>
          <w:szCs w:val="24"/>
        </w:rPr>
        <w:t>de la demanda arbitral</w:t>
      </w:r>
      <w:r w:rsidR="00582170" w:rsidRPr="00280E67">
        <w:rPr>
          <w:bCs/>
          <w:iCs/>
          <w:sz w:val="24"/>
          <w:szCs w:val="24"/>
        </w:rPr>
        <w:t xml:space="preserve">, </w:t>
      </w:r>
      <w:r w:rsidR="00FF305D" w:rsidRPr="00280E67">
        <w:rPr>
          <w:bCs/>
          <w:iCs/>
          <w:sz w:val="24"/>
          <w:szCs w:val="24"/>
        </w:rPr>
        <w:t>pues</w:t>
      </w:r>
      <w:r w:rsidR="00C7260E" w:rsidRPr="00280E67">
        <w:rPr>
          <w:bCs/>
          <w:iCs/>
          <w:sz w:val="24"/>
          <w:szCs w:val="24"/>
        </w:rPr>
        <w:t xml:space="preserve"> ya</w:t>
      </w:r>
      <w:r w:rsidR="00FF305D" w:rsidRPr="00280E67">
        <w:rPr>
          <w:bCs/>
          <w:iCs/>
          <w:sz w:val="24"/>
          <w:szCs w:val="24"/>
        </w:rPr>
        <w:t xml:space="preserve"> existían otros medios de </w:t>
      </w:r>
      <w:r w:rsidR="00582170" w:rsidRPr="00280E67">
        <w:rPr>
          <w:bCs/>
          <w:iCs/>
          <w:sz w:val="24"/>
          <w:szCs w:val="24"/>
        </w:rPr>
        <w:t>convicción</w:t>
      </w:r>
      <w:r w:rsidR="00FF305D" w:rsidRPr="00280E67">
        <w:rPr>
          <w:bCs/>
          <w:iCs/>
          <w:sz w:val="24"/>
          <w:szCs w:val="24"/>
        </w:rPr>
        <w:t xml:space="preserve"> que permitían </w:t>
      </w:r>
      <w:r w:rsidR="007A352C" w:rsidRPr="00280E67">
        <w:rPr>
          <w:bCs/>
          <w:iCs/>
          <w:sz w:val="24"/>
          <w:szCs w:val="24"/>
        </w:rPr>
        <w:t>valorar</w:t>
      </w:r>
      <w:r w:rsidR="00FF305D" w:rsidRPr="00280E67">
        <w:rPr>
          <w:bCs/>
          <w:iCs/>
          <w:sz w:val="24"/>
          <w:szCs w:val="24"/>
        </w:rPr>
        <w:t xml:space="preserve"> los </w:t>
      </w:r>
      <w:r w:rsidR="00690DAF" w:rsidRPr="00280E67">
        <w:rPr>
          <w:bCs/>
          <w:iCs/>
          <w:sz w:val="24"/>
          <w:szCs w:val="24"/>
        </w:rPr>
        <w:t xml:space="preserve">mismos </w:t>
      </w:r>
      <w:r w:rsidR="00FF305D" w:rsidRPr="00280E67">
        <w:rPr>
          <w:bCs/>
          <w:iCs/>
          <w:sz w:val="24"/>
          <w:szCs w:val="24"/>
        </w:rPr>
        <w:t>hechos que</w:t>
      </w:r>
      <w:r w:rsidR="007976EC">
        <w:rPr>
          <w:bCs/>
          <w:iCs/>
          <w:sz w:val="24"/>
          <w:szCs w:val="24"/>
        </w:rPr>
        <w:t xml:space="preserve"> se</w:t>
      </w:r>
      <w:r w:rsidR="00FF305D" w:rsidRPr="00280E67">
        <w:rPr>
          <w:bCs/>
          <w:iCs/>
          <w:sz w:val="24"/>
          <w:szCs w:val="24"/>
        </w:rPr>
        <w:t xml:space="preserve"> pretendía</w:t>
      </w:r>
      <w:r w:rsidR="007976EC">
        <w:rPr>
          <w:bCs/>
          <w:iCs/>
          <w:sz w:val="24"/>
          <w:szCs w:val="24"/>
        </w:rPr>
        <w:t>n</w:t>
      </w:r>
      <w:r w:rsidR="00FF305D" w:rsidRPr="00280E67">
        <w:rPr>
          <w:bCs/>
          <w:iCs/>
          <w:sz w:val="24"/>
          <w:szCs w:val="24"/>
        </w:rPr>
        <w:t xml:space="preserve"> demostrar</w:t>
      </w:r>
      <w:r w:rsidR="00211BB3" w:rsidRPr="00280E67">
        <w:rPr>
          <w:bCs/>
          <w:iCs/>
          <w:sz w:val="24"/>
          <w:szCs w:val="24"/>
        </w:rPr>
        <w:t xml:space="preserve"> con aquella documentación</w:t>
      </w:r>
      <w:r w:rsidR="00FF305D" w:rsidRPr="00280E67">
        <w:rPr>
          <w:bCs/>
          <w:iCs/>
          <w:sz w:val="24"/>
          <w:szCs w:val="24"/>
        </w:rPr>
        <w:t>.</w:t>
      </w:r>
    </w:p>
    <w:p w14:paraId="770FDD37" w14:textId="77777777" w:rsidR="002E45A6" w:rsidRPr="00280E67" w:rsidRDefault="002E45A6" w:rsidP="003C2DB0">
      <w:pPr>
        <w:spacing w:line="276" w:lineRule="auto"/>
        <w:rPr>
          <w:bCs/>
          <w:iCs/>
          <w:sz w:val="24"/>
          <w:szCs w:val="24"/>
        </w:rPr>
      </w:pPr>
    </w:p>
    <w:p w14:paraId="688501DC" w14:textId="3117F4B8" w:rsidR="00B06AF6" w:rsidRPr="00280E67" w:rsidRDefault="002E45A6" w:rsidP="003C2DB0">
      <w:pPr>
        <w:spacing w:line="276" w:lineRule="auto"/>
        <w:rPr>
          <w:bCs/>
          <w:iCs/>
          <w:sz w:val="24"/>
          <w:szCs w:val="24"/>
        </w:rPr>
      </w:pPr>
      <w:r w:rsidRPr="00280E67">
        <w:rPr>
          <w:bCs/>
          <w:iCs/>
          <w:sz w:val="24"/>
          <w:szCs w:val="24"/>
        </w:rPr>
        <w:t xml:space="preserve">Visto lo anterior, </w:t>
      </w:r>
      <w:r w:rsidR="0048256D" w:rsidRPr="00280E67">
        <w:rPr>
          <w:bCs/>
          <w:iCs/>
          <w:sz w:val="24"/>
          <w:szCs w:val="24"/>
        </w:rPr>
        <w:t>esta Subsección</w:t>
      </w:r>
      <w:r w:rsidRPr="00280E67">
        <w:rPr>
          <w:bCs/>
          <w:iCs/>
          <w:sz w:val="24"/>
          <w:szCs w:val="24"/>
        </w:rPr>
        <w:t xml:space="preserve"> echa de menos</w:t>
      </w:r>
      <w:r w:rsidR="00A0061E" w:rsidRPr="00280E67">
        <w:rPr>
          <w:bCs/>
          <w:iCs/>
          <w:sz w:val="24"/>
          <w:szCs w:val="24"/>
        </w:rPr>
        <w:t xml:space="preserve"> </w:t>
      </w:r>
      <w:r w:rsidR="00280E67" w:rsidRPr="00280E67">
        <w:rPr>
          <w:bCs/>
          <w:iCs/>
          <w:sz w:val="24"/>
          <w:szCs w:val="24"/>
        </w:rPr>
        <w:t xml:space="preserve">la exposición por parte del accionante de </w:t>
      </w:r>
      <w:r w:rsidR="00A0061E" w:rsidRPr="00280E67">
        <w:rPr>
          <w:bCs/>
          <w:iCs/>
          <w:sz w:val="24"/>
          <w:szCs w:val="24"/>
        </w:rPr>
        <w:t xml:space="preserve">los motivos por los que, en su decir, la labor hermenéutica efectuada por la Sala Civil del Tribunal Superior del Distrito de Cali, de la causal quinta </w:t>
      </w:r>
      <w:r w:rsidR="00EA219F" w:rsidRPr="00280E67">
        <w:rPr>
          <w:bCs/>
          <w:iCs/>
          <w:sz w:val="24"/>
          <w:szCs w:val="24"/>
        </w:rPr>
        <w:t>del recurso de anulación</w:t>
      </w:r>
      <w:r w:rsidR="00A0061E" w:rsidRPr="00280E67">
        <w:rPr>
          <w:bCs/>
          <w:iCs/>
          <w:sz w:val="24"/>
          <w:szCs w:val="24"/>
        </w:rPr>
        <w:t>, resulta desproporcionada y caprichosa a la luz de los criterios previstos por el ordenamiento jurídico</w:t>
      </w:r>
      <w:r w:rsidR="00B640F8" w:rsidRPr="00280E67">
        <w:rPr>
          <w:bCs/>
          <w:iCs/>
          <w:sz w:val="24"/>
          <w:szCs w:val="24"/>
        </w:rPr>
        <w:t>, y, en concreto, del artículo 41 de la Ley 1563 de 2012</w:t>
      </w:r>
      <w:r w:rsidR="00A0061E" w:rsidRPr="00280E67">
        <w:rPr>
          <w:bCs/>
          <w:iCs/>
          <w:sz w:val="24"/>
          <w:szCs w:val="24"/>
        </w:rPr>
        <w:t xml:space="preserve">. </w:t>
      </w:r>
      <w:r w:rsidR="00B640F8" w:rsidRPr="00E712E6">
        <w:rPr>
          <w:bCs/>
          <w:iCs/>
          <w:sz w:val="24"/>
          <w:szCs w:val="24"/>
        </w:rPr>
        <w:t>Asunto</w:t>
      </w:r>
      <w:r w:rsidR="00A0061E" w:rsidRPr="00280E67">
        <w:rPr>
          <w:bCs/>
          <w:iCs/>
          <w:sz w:val="24"/>
          <w:szCs w:val="24"/>
        </w:rPr>
        <w:t xml:space="preserve"> que resulta indispensable para evitar que el fallador de tutela defina sobre </w:t>
      </w:r>
      <w:r w:rsidR="00E712E6">
        <w:rPr>
          <w:bCs/>
          <w:iCs/>
          <w:sz w:val="24"/>
          <w:szCs w:val="24"/>
        </w:rPr>
        <w:t>aspectos</w:t>
      </w:r>
      <w:r w:rsidR="00A0061E" w:rsidRPr="00280E67">
        <w:rPr>
          <w:bCs/>
          <w:iCs/>
          <w:sz w:val="24"/>
          <w:szCs w:val="24"/>
        </w:rPr>
        <w:t xml:space="preserve"> propios del ámbito del juez ordinario, como resulta ser la exégesis de la norma aplicable a un caso concreto</w:t>
      </w:r>
      <w:r w:rsidRPr="00280E67">
        <w:rPr>
          <w:bCs/>
          <w:iCs/>
          <w:sz w:val="24"/>
          <w:szCs w:val="24"/>
        </w:rPr>
        <w:t>.</w:t>
      </w:r>
    </w:p>
    <w:p w14:paraId="38C9BBD8" w14:textId="77777777" w:rsidR="00B06AF6" w:rsidRPr="00280E67" w:rsidRDefault="00B06AF6" w:rsidP="003C2DB0">
      <w:pPr>
        <w:spacing w:line="276" w:lineRule="auto"/>
        <w:rPr>
          <w:bCs/>
          <w:iCs/>
          <w:sz w:val="24"/>
          <w:szCs w:val="24"/>
        </w:rPr>
      </w:pPr>
    </w:p>
    <w:p w14:paraId="6C01A8CB" w14:textId="0145441E" w:rsidR="00A0061E" w:rsidRPr="00280E67" w:rsidRDefault="002E45A6" w:rsidP="00A0061E">
      <w:pPr>
        <w:spacing w:line="276" w:lineRule="auto"/>
        <w:rPr>
          <w:bCs/>
          <w:iCs/>
          <w:sz w:val="24"/>
          <w:szCs w:val="24"/>
        </w:rPr>
      </w:pPr>
      <w:r w:rsidRPr="00280E67">
        <w:rPr>
          <w:b/>
          <w:bCs/>
          <w:iCs/>
          <w:sz w:val="24"/>
          <w:szCs w:val="24"/>
        </w:rPr>
        <w:t xml:space="preserve">2.2.4.4. </w:t>
      </w:r>
      <w:r w:rsidR="00A0061E" w:rsidRPr="00280E67">
        <w:rPr>
          <w:bCs/>
          <w:iCs/>
          <w:sz w:val="24"/>
          <w:szCs w:val="24"/>
        </w:rPr>
        <w:t xml:space="preserve">Por </w:t>
      </w:r>
      <w:r w:rsidRPr="00280E67">
        <w:rPr>
          <w:bCs/>
          <w:iCs/>
          <w:sz w:val="24"/>
          <w:szCs w:val="24"/>
        </w:rPr>
        <w:t>los motivos expuestos</w:t>
      </w:r>
      <w:r w:rsidR="00A0061E" w:rsidRPr="00280E67">
        <w:rPr>
          <w:bCs/>
          <w:iCs/>
          <w:sz w:val="24"/>
          <w:szCs w:val="24"/>
        </w:rPr>
        <w:t>, las glosas que se centran en cuestionar la actuación judicial de la Sala Civil del Tribunal Superior del Distrito de Cali tampoco superan la relevancia constitucional, en la medida en que pretenden reabrir el debate ya resuelto, con posturas personales, y cuestiones de mera legalidad</w:t>
      </w:r>
      <w:r w:rsidR="00A91299">
        <w:rPr>
          <w:bCs/>
          <w:iCs/>
          <w:sz w:val="24"/>
          <w:szCs w:val="24"/>
        </w:rPr>
        <w:t xml:space="preserve">, desconociendo </w:t>
      </w:r>
      <w:r w:rsidR="00A0061E" w:rsidRPr="00280E67">
        <w:rPr>
          <w:bCs/>
          <w:iCs/>
          <w:sz w:val="24"/>
          <w:szCs w:val="24"/>
        </w:rPr>
        <w:t>los criterios estrictos que giran en torno a la acción de tutela contra providencias judiciales que resuelven recursos interpuestos para controvertir los laudos arbitrales.</w:t>
      </w:r>
    </w:p>
    <w:p w14:paraId="54F5F124" w14:textId="167E43C2" w:rsidR="00254A38" w:rsidRPr="00280E67" w:rsidRDefault="00254A38" w:rsidP="003C2DB0">
      <w:pPr>
        <w:spacing w:line="276" w:lineRule="auto"/>
        <w:rPr>
          <w:bCs/>
          <w:iCs/>
          <w:sz w:val="24"/>
          <w:szCs w:val="24"/>
        </w:rPr>
      </w:pPr>
    </w:p>
    <w:p w14:paraId="18026434" w14:textId="2F58BAA2" w:rsidR="007434F6" w:rsidRPr="00280E67" w:rsidRDefault="00367756" w:rsidP="00254A38">
      <w:pPr>
        <w:spacing w:line="276" w:lineRule="auto"/>
        <w:rPr>
          <w:bCs/>
          <w:iCs/>
          <w:sz w:val="24"/>
          <w:szCs w:val="24"/>
        </w:rPr>
      </w:pPr>
      <w:r w:rsidRPr="00280E67">
        <w:rPr>
          <w:b/>
          <w:bCs/>
          <w:iCs/>
          <w:sz w:val="24"/>
          <w:szCs w:val="24"/>
        </w:rPr>
        <w:t>2.2.5</w:t>
      </w:r>
      <w:r w:rsidR="00027850" w:rsidRPr="00280E67">
        <w:rPr>
          <w:b/>
          <w:bCs/>
          <w:iCs/>
          <w:sz w:val="24"/>
          <w:szCs w:val="24"/>
        </w:rPr>
        <w:t xml:space="preserve">. </w:t>
      </w:r>
      <w:r w:rsidR="00027850" w:rsidRPr="00280E67">
        <w:rPr>
          <w:bCs/>
          <w:iCs/>
          <w:sz w:val="24"/>
          <w:szCs w:val="24"/>
        </w:rPr>
        <w:t>Por las razo</w:t>
      </w:r>
      <w:r w:rsidR="00B640F8" w:rsidRPr="00280E67">
        <w:rPr>
          <w:bCs/>
          <w:iCs/>
          <w:sz w:val="24"/>
          <w:szCs w:val="24"/>
        </w:rPr>
        <w:t>nes expuestas, la Sala declarará</w:t>
      </w:r>
      <w:r w:rsidR="00027850" w:rsidRPr="00280E67">
        <w:rPr>
          <w:bCs/>
          <w:iCs/>
          <w:sz w:val="24"/>
          <w:szCs w:val="24"/>
        </w:rPr>
        <w:t xml:space="preserve"> improcedente la acción de tutela presentada por Transfuvalle, al no satisfacer el requisito de la relevancia constitucional, puesto que</w:t>
      </w:r>
      <w:r w:rsidR="007434F6" w:rsidRPr="00280E67">
        <w:rPr>
          <w:bCs/>
          <w:iCs/>
          <w:sz w:val="24"/>
          <w:szCs w:val="24"/>
        </w:rPr>
        <w:t xml:space="preserve"> </w:t>
      </w:r>
      <w:r w:rsidR="00027850" w:rsidRPr="00280E67">
        <w:rPr>
          <w:bCs/>
          <w:iCs/>
          <w:sz w:val="24"/>
          <w:szCs w:val="24"/>
        </w:rPr>
        <w:t>sus reproches están dirigidos</w:t>
      </w:r>
      <w:r w:rsidR="007434F6" w:rsidRPr="00280E67">
        <w:rPr>
          <w:bCs/>
          <w:iCs/>
          <w:sz w:val="24"/>
          <w:szCs w:val="24"/>
        </w:rPr>
        <w:t>, por un lado,</w:t>
      </w:r>
      <w:r w:rsidR="00027850" w:rsidRPr="00280E67">
        <w:rPr>
          <w:bCs/>
          <w:iCs/>
          <w:sz w:val="24"/>
          <w:szCs w:val="24"/>
        </w:rPr>
        <w:t xml:space="preserve"> a ignorar </w:t>
      </w:r>
      <w:r w:rsidR="0040083B" w:rsidRPr="00280E67">
        <w:rPr>
          <w:bCs/>
          <w:iCs/>
          <w:sz w:val="24"/>
          <w:szCs w:val="24"/>
        </w:rPr>
        <w:t xml:space="preserve">el mecanismo ya utilizado para </w:t>
      </w:r>
      <w:r w:rsidR="00AB4172" w:rsidRPr="00280E67">
        <w:rPr>
          <w:bCs/>
          <w:iCs/>
          <w:sz w:val="24"/>
          <w:szCs w:val="24"/>
        </w:rPr>
        <w:t>corregir</w:t>
      </w:r>
      <w:r w:rsidR="0040083B" w:rsidRPr="00280E67">
        <w:rPr>
          <w:bCs/>
          <w:iCs/>
          <w:sz w:val="24"/>
          <w:szCs w:val="24"/>
        </w:rPr>
        <w:t xml:space="preserve"> los presuntos </w:t>
      </w:r>
      <w:r w:rsidR="00AB4172" w:rsidRPr="00280E67">
        <w:rPr>
          <w:bCs/>
          <w:iCs/>
          <w:sz w:val="24"/>
          <w:szCs w:val="24"/>
        </w:rPr>
        <w:t>errores</w:t>
      </w:r>
      <w:r w:rsidR="0040083B" w:rsidRPr="00280E67">
        <w:rPr>
          <w:bCs/>
          <w:iCs/>
          <w:sz w:val="24"/>
          <w:szCs w:val="24"/>
        </w:rPr>
        <w:t xml:space="preserve"> en los que pudo ha</w:t>
      </w:r>
      <w:r w:rsidR="007434F6" w:rsidRPr="00280E67">
        <w:rPr>
          <w:bCs/>
          <w:iCs/>
          <w:sz w:val="24"/>
          <w:szCs w:val="24"/>
        </w:rPr>
        <w:t xml:space="preserve">ber incurrido un laudo arbitral; y, por el otro, </w:t>
      </w:r>
      <w:r w:rsidR="00254A38" w:rsidRPr="00280E67">
        <w:rPr>
          <w:bCs/>
          <w:iCs/>
          <w:sz w:val="24"/>
          <w:szCs w:val="24"/>
        </w:rPr>
        <w:t xml:space="preserve">a </w:t>
      </w:r>
      <w:r w:rsidR="009269E5" w:rsidRPr="00280E67">
        <w:rPr>
          <w:bCs/>
          <w:iCs/>
          <w:sz w:val="24"/>
          <w:szCs w:val="24"/>
        </w:rPr>
        <w:t>replantear</w:t>
      </w:r>
      <w:r w:rsidR="00254A38" w:rsidRPr="00280E67">
        <w:rPr>
          <w:bCs/>
          <w:iCs/>
          <w:sz w:val="24"/>
          <w:szCs w:val="24"/>
        </w:rPr>
        <w:t xml:space="preserve"> el debate sobre las cuestiones que la Sala Civil del Tribunal Superior del Distrito de Cali </w:t>
      </w:r>
      <w:r w:rsidR="00C7260E" w:rsidRPr="00280E67">
        <w:rPr>
          <w:bCs/>
          <w:iCs/>
          <w:sz w:val="24"/>
          <w:szCs w:val="24"/>
        </w:rPr>
        <w:t xml:space="preserve">precisamente </w:t>
      </w:r>
      <w:r w:rsidR="00254A38" w:rsidRPr="00280E67">
        <w:rPr>
          <w:bCs/>
          <w:iCs/>
          <w:sz w:val="24"/>
          <w:szCs w:val="24"/>
        </w:rPr>
        <w:t xml:space="preserve">ya definió, y </w:t>
      </w:r>
      <w:r w:rsidR="00EA1A9C" w:rsidRPr="00280E67">
        <w:rPr>
          <w:bCs/>
          <w:iCs/>
          <w:sz w:val="24"/>
          <w:szCs w:val="24"/>
        </w:rPr>
        <w:t>de</w:t>
      </w:r>
      <w:r w:rsidR="00254A38" w:rsidRPr="00280E67">
        <w:rPr>
          <w:bCs/>
          <w:iCs/>
          <w:sz w:val="24"/>
          <w:szCs w:val="24"/>
        </w:rPr>
        <w:t xml:space="preserve"> las que era necesario atacar su</w:t>
      </w:r>
      <w:r w:rsidR="0029035D" w:rsidRPr="00280E67">
        <w:rPr>
          <w:bCs/>
          <w:iCs/>
          <w:sz w:val="24"/>
          <w:szCs w:val="24"/>
        </w:rPr>
        <w:t>s</w:t>
      </w:r>
      <w:r w:rsidR="00254A38" w:rsidRPr="00280E67">
        <w:rPr>
          <w:bCs/>
          <w:iCs/>
          <w:sz w:val="24"/>
          <w:szCs w:val="24"/>
        </w:rPr>
        <w:t xml:space="preserve"> fundamentos, en términos de los defectos definidos por la jurisprudencia</w:t>
      </w:r>
      <w:r w:rsidR="00EA1A9C" w:rsidRPr="00280E67">
        <w:rPr>
          <w:bCs/>
          <w:iCs/>
          <w:sz w:val="24"/>
          <w:szCs w:val="24"/>
        </w:rPr>
        <w:t xml:space="preserve"> constitucional</w:t>
      </w:r>
      <w:r w:rsidR="00254A38" w:rsidRPr="00280E67">
        <w:rPr>
          <w:bCs/>
          <w:iCs/>
          <w:sz w:val="24"/>
          <w:szCs w:val="24"/>
        </w:rPr>
        <w:t>.</w:t>
      </w:r>
    </w:p>
    <w:p w14:paraId="212FDCFB" w14:textId="08DA4214" w:rsidR="00027850" w:rsidRPr="00280E67" w:rsidRDefault="00027850" w:rsidP="003C2DB0">
      <w:pPr>
        <w:spacing w:line="276" w:lineRule="auto"/>
        <w:rPr>
          <w:rFonts w:eastAsia="Times New Roman"/>
          <w:sz w:val="24"/>
          <w:szCs w:val="24"/>
          <w:lang w:eastAsia="es-CO"/>
        </w:rPr>
      </w:pPr>
    </w:p>
    <w:p w14:paraId="443D4EB8" w14:textId="77777777" w:rsidR="00027850" w:rsidRPr="00280E67" w:rsidRDefault="00027850" w:rsidP="003C2DB0">
      <w:pPr>
        <w:spacing w:line="276" w:lineRule="auto"/>
        <w:rPr>
          <w:rFonts w:eastAsia="Times New Roman"/>
          <w:sz w:val="24"/>
          <w:szCs w:val="24"/>
          <w:lang w:eastAsia="es-CO"/>
        </w:rPr>
      </w:pPr>
      <w:r w:rsidRPr="00280E67">
        <w:rPr>
          <w:rFonts w:eastAsia="Times New Roman"/>
          <w:sz w:val="24"/>
          <w:szCs w:val="24"/>
          <w:lang w:eastAsia="es-CO"/>
        </w:rPr>
        <w:t>En mérito de lo expuesto, el Consejo de Estado en Sala de lo Contencioso Administrativo, Sección Tercera, Subsección C, administrando justicia en nombre de la República y por autoridad de la ley,</w:t>
      </w:r>
    </w:p>
    <w:p w14:paraId="7F01B1E5" w14:textId="77777777" w:rsidR="00027850" w:rsidRPr="00280E67" w:rsidRDefault="00027850" w:rsidP="00027850">
      <w:pPr>
        <w:spacing w:line="276" w:lineRule="auto"/>
        <w:rPr>
          <w:rFonts w:eastAsia="Times New Roman"/>
          <w:sz w:val="24"/>
          <w:szCs w:val="24"/>
          <w:lang w:eastAsia="es-CO"/>
        </w:rPr>
      </w:pPr>
    </w:p>
    <w:p w14:paraId="7F12A236" w14:textId="77777777" w:rsidR="00027850" w:rsidRPr="00280E67" w:rsidRDefault="00027850" w:rsidP="00027850">
      <w:pPr>
        <w:keepNext/>
        <w:spacing w:line="276" w:lineRule="auto"/>
        <w:jc w:val="center"/>
        <w:outlineLvl w:val="2"/>
        <w:rPr>
          <w:rFonts w:eastAsia="Verdana"/>
          <w:b/>
          <w:caps/>
          <w:kern w:val="32"/>
          <w:sz w:val="24"/>
          <w:szCs w:val="26"/>
          <w:lang w:val="es-ES_tradnl"/>
        </w:rPr>
      </w:pPr>
      <w:r w:rsidRPr="00280E67">
        <w:rPr>
          <w:rFonts w:eastAsia="Verdana"/>
          <w:b/>
          <w:caps/>
          <w:kern w:val="32"/>
          <w:sz w:val="24"/>
          <w:szCs w:val="26"/>
          <w:lang w:val="es-ES_tradnl"/>
        </w:rPr>
        <w:lastRenderedPageBreak/>
        <w:t>FALLA</w:t>
      </w:r>
    </w:p>
    <w:p w14:paraId="08E5F3EC" w14:textId="77777777" w:rsidR="00027850" w:rsidRPr="00280E67" w:rsidRDefault="00027850" w:rsidP="00027850">
      <w:pPr>
        <w:keepNext/>
        <w:spacing w:line="276" w:lineRule="auto"/>
        <w:outlineLvl w:val="2"/>
        <w:rPr>
          <w:rFonts w:eastAsia="Verdana"/>
          <w:b/>
          <w:caps/>
          <w:kern w:val="32"/>
          <w:sz w:val="24"/>
          <w:szCs w:val="26"/>
          <w:lang w:val="es-ES_tradnl"/>
        </w:rPr>
      </w:pPr>
    </w:p>
    <w:p w14:paraId="78CB5369" w14:textId="77777777" w:rsidR="00027850" w:rsidRPr="00280E67" w:rsidRDefault="00027850" w:rsidP="00027850">
      <w:pPr>
        <w:spacing w:line="276" w:lineRule="auto"/>
        <w:rPr>
          <w:rFonts w:eastAsia="Times New Roman"/>
          <w:sz w:val="24"/>
          <w:szCs w:val="24"/>
          <w:lang w:val="es-ES_tradnl"/>
        </w:rPr>
      </w:pPr>
      <w:r w:rsidRPr="00280E67">
        <w:rPr>
          <w:rFonts w:eastAsia="Times New Roman"/>
          <w:b/>
          <w:sz w:val="24"/>
          <w:szCs w:val="24"/>
          <w:lang w:val="es-ES_tradnl"/>
        </w:rPr>
        <w:t xml:space="preserve">PRIMERO: NEGAR </w:t>
      </w:r>
      <w:r w:rsidRPr="00280E67">
        <w:rPr>
          <w:rFonts w:eastAsia="Times New Roman"/>
          <w:sz w:val="24"/>
          <w:szCs w:val="24"/>
          <w:lang w:val="es-ES_tradnl"/>
        </w:rPr>
        <w:t>la solicitud de remisión del expediente de tutela presentada por el magistrado de la Sala Civil del Tribunal Superior del Distrito de Cali,</w:t>
      </w:r>
      <w:r w:rsidRPr="00280E67">
        <w:t xml:space="preserve"> </w:t>
      </w:r>
      <w:r w:rsidRPr="00280E67">
        <w:rPr>
          <w:rFonts w:eastAsia="Times New Roman"/>
          <w:sz w:val="24"/>
          <w:szCs w:val="24"/>
          <w:lang w:val="es-ES_tradnl"/>
        </w:rPr>
        <w:t>Homero Mora Insuasty, por los motivos expuestos en esta providencia.</w:t>
      </w:r>
    </w:p>
    <w:p w14:paraId="2B4BE991" w14:textId="77777777" w:rsidR="00027850" w:rsidRPr="00280E67" w:rsidRDefault="00027850" w:rsidP="00027850">
      <w:pPr>
        <w:spacing w:line="276" w:lineRule="auto"/>
        <w:rPr>
          <w:rFonts w:eastAsia="Times New Roman"/>
          <w:b/>
          <w:sz w:val="24"/>
          <w:szCs w:val="24"/>
          <w:lang w:val="es-ES_tradnl"/>
        </w:rPr>
      </w:pPr>
    </w:p>
    <w:p w14:paraId="1A4C346C" w14:textId="4490F127" w:rsidR="00027850" w:rsidRPr="00280E67" w:rsidRDefault="00027850" w:rsidP="00027850">
      <w:pPr>
        <w:spacing w:line="276" w:lineRule="auto"/>
        <w:rPr>
          <w:bCs/>
          <w:sz w:val="24"/>
          <w:szCs w:val="24"/>
          <w:lang w:val="es-ES" w:eastAsia="en-US"/>
        </w:rPr>
      </w:pPr>
      <w:r w:rsidRPr="00280E67">
        <w:rPr>
          <w:rFonts w:eastAsia="Times New Roman"/>
          <w:b/>
          <w:sz w:val="24"/>
          <w:szCs w:val="24"/>
          <w:lang w:val="es-ES_tradnl"/>
        </w:rPr>
        <w:t xml:space="preserve">SEGUNDO: DECLARAR </w:t>
      </w:r>
      <w:r w:rsidRPr="00280E67">
        <w:rPr>
          <w:rFonts w:eastAsia="Times New Roman"/>
          <w:sz w:val="24"/>
          <w:szCs w:val="24"/>
          <w:lang w:val="es-ES_tradnl"/>
        </w:rPr>
        <w:t xml:space="preserve">improcedente la </w:t>
      </w:r>
      <w:r w:rsidRPr="00280E67">
        <w:rPr>
          <w:rFonts w:eastAsia="Verdana"/>
          <w:sz w:val="24"/>
          <w:szCs w:val="24"/>
        </w:rPr>
        <w:t xml:space="preserve">acción de tutela presentada por </w:t>
      </w:r>
      <w:r w:rsidRPr="00280E67">
        <w:rPr>
          <w:bCs/>
          <w:sz w:val="24"/>
          <w:szCs w:val="24"/>
          <w:lang w:val="es-ES" w:eastAsia="en-US"/>
        </w:rPr>
        <w:t xml:space="preserve">Transportes Futuros del Valle S.A. </w:t>
      </w:r>
      <w:r w:rsidRPr="00280E67">
        <w:rPr>
          <w:bCs/>
          <w:sz w:val="24"/>
          <w:szCs w:val="24"/>
        </w:rPr>
        <w:t xml:space="preserve">en contra </w:t>
      </w:r>
      <w:r w:rsidRPr="00280E67">
        <w:rPr>
          <w:bCs/>
          <w:sz w:val="24"/>
          <w:szCs w:val="24"/>
          <w:lang w:val="es-ES"/>
        </w:rPr>
        <w:t xml:space="preserve">del </w:t>
      </w:r>
      <w:r w:rsidRPr="00280E67">
        <w:rPr>
          <w:bCs/>
          <w:sz w:val="24"/>
          <w:szCs w:val="24"/>
          <w:lang w:val="es-ES" w:eastAsia="en-US"/>
        </w:rPr>
        <w:t>Tribunal de Arbitramento integrado por los árbitros: Mónica Fernanda Rúgeles Martínez, Antonio Pabón Sa</w:t>
      </w:r>
      <w:r w:rsidR="00F101AA" w:rsidRPr="00280E67">
        <w:rPr>
          <w:bCs/>
          <w:sz w:val="24"/>
          <w:szCs w:val="24"/>
          <w:lang w:val="es-ES" w:eastAsia="en-US"/>
        </w:rPr>
        <w:t>ntander y Henry Sanabria Santos,</w:t>
      </w:r>
      <w:r w:rsidRPr="00280E67">
        <w:rPr>
          <w:bCs/>
          <w:sz w:val="24"/>
          <w:szCs w:val="24"/>
          <w:lang w:val="es-ES" w:eastAsia="en-US"/>
        </w:rPr>
        <w:t xml:space="preserve"> y de la Sala Civil del Tribunal Superior del Distrito Judicial de Cali, por las razones expuestas en esta providencia.</w:t>
      </w:r>
    </w:p>
    <w:p w14:paraId="7883D76A" w14:textId="77777777" w:rsidR="00027850" w:rsidRPr="00280E67" w:rsidRDefault="00027850" w:rsidP="00027850">
      <w:pPr>
        <w:tabs>
          <w:tab w:val="left" w:pos="851"/>
        </w:tabs>
        <w:spacing w:line="276" w:lineRule="auto"/>
        <w:contextualSpacing/>
        <w:rPr>
          <w:rFonts w:eastAsia="Verdana"/>
          <w:b/>
          <w:sz w:val="24"/>
          <w:szCs w:val="24"/>
          <w:lang w:val="es-ES"/>
        </w:rPr>
      </w:pPr>
    </w:p>
    <w:p w14:paraId="74EC08F2" w14:textId="77777777" w:rsidR="00027850" w:rsidRPr="00280E67" w:rsidRDefault="00027850" w:rsidP="00027850">
      <w:pPr>
        <w:tabs>
          <w:tab w:val="left" w:pos="851"/>
        </w:tabs>
        <w:spacing w:line="276" w:lineRule="auto"/>
        <w:contextualSpacing/>
        <w:rPr>
          <w:sz w:val="24"/>
          <w:szCs w:val="24"/>
          <w:lang w:val="es-ES" w:eastAsia="en-US"/>
        </w:rPr>
      </w:pPr>
      <w:r w:rsidRPr="00280E67">
        <w:rPr>
          <w:rFonts w:eastAsia="Verdana"/>
          <w:b/>
          <w:sz w:val="24"/>
          <w:szCs w:val="24"/>
          <w:lang w:val="es-ES_tradnl"/>
        </w:rPr>
        <w:t xml:space="preserve">SEGUNDO: </w:t>
      </w:r>
      <w:r w:rsidRPr="00280E67">
        <w:rPr>
          <w:rFonts w:eastAsia="Verdana"/>
          <w:b/>
          <w:sz w:val="24"/>
          <w:szCs w:val="24"/>
          <w:lang w:eastAsia="en-US"/>
        </w:rPr>
        <w:t xml:space="preserve">NOTIFICAR </w:t>
      </w:r>
      <w:r w:rsidRPr="00280E67">
        <w:rPr>
          <w:rFonts w:eastAsia="Verdana"/>
          <w:sz w:val="24"/>
          <w:szCs w:val="24"/>
          <w:lang w:eastAsia="en-US"/>
        </w:rPr>
        <w:t>la presente decisión a las partes y a los interesados, por el medio más expedito.</w:t>
      </w:r>
    </w:p>
    <w:p w14:paraId="1E202D78" w14:textId="77777777" w:rsidR="00027850" w:rsidRPr="00280E67" w:rsidRDefault="00027850" w:rsidP="00027850">
      <w:pPr>
        <w:tabs>
          <w:tab w:val="left" w:pos="851"/>
        </w:tabs>
        <w:spacing w:line="276" w:lineRule="auto"/>
        <w:contextualSpacing/>
        <w:rPr>
          <w:rFonts w:eastAsia="Verdana"/>
          <w:sz w:val="24"/>
          <w:szCs w:val="24"/>
          <w:lang w:val="es-ES_tradnl"/>
        </w:rPr>
      </w:pPr>
    </w:p>
    <w:p w14:paraId="537D0A51" w14:textId="77777777" w:rsidR="00027850" w:rsidRPr="00280E67" w:rsidRDefault="00027850" w:rsidP="00027850">
      <w:pPr>
        <w:spacing w:line="276" w:lineRule="auto"/>
        <w:contextualSpacing/>
        <w:rPr>
          <w:rFonts w:eastAsia="Verdana"/>
          <w:sz w:val="24"/>
          <w:szCs w:val="24"/>
          <w:lang w:eastAsia="en-US"/>
        </w:rPr>
      </w:pPr>
      <w:r w:rsidRPr="00280E67">
        <w:rPr>
          <w:b/>
          <w:sz w:val="24"/>
          <w:szCs w:val="24"/>
          <w:lang w:eastAsia="en-US"/>
        </w:rPr>
        <w:t xml:space="preserve">TERCERO: </w:t>
      </w:r>
      <w:r w:rsidRPr="00280E67">
        <w:rPr>
          <w:rFonts w:eastAsia="Verdana"/>
          <w:b/>
          <w:sz w:val="24"/>
          <w:szCs w:val="24"/>
          <w:lang w:eastAsia="en-US"/>
        </w:rPr>
        <w:t xml:space="preserve">ENVIAR </w:t>
      </w:r>
      <w:r w:rsidRPr="00280E67">
        <w:rPr>
          <w:rFonts w:eastAsia="Verdana"/>
          <w:sz w:val="24"/>
          <w:szCs w:val="24"/>
          <w:lang w:eastAsia="en-US"/>
        </w:rPr>
        <w:t>la presente providencia a la Corte Constitucional para su eventual revisión, en caso de que no fuere impugnada.</w:t>
      </w:r>
    </w:p>
    <w:p w14:paraId="7F01A854" w14:textId="77777777" w:rsidR="00027850" w:rsidRPr="00280E67" w:rsidRDefault="00027850" w:rsidP="00027850">
      <w:pPr>
        <w:spacing w:line="276" w:lineRule="auto"/>
        <w:contextualSpacing/>
        <w:rPr>
          <w:rFonts w:eastAsia="Verdana"/>
          <w:b/>
          <w:sz w:val="24"/>
          <w:szCs w:val="24"/>
        </w:rPr>
      </w:pPr>
    </w:p>
    <w:p w14:paraId="7DA395B9" w14:textId="77777777" w:rsidR="00027850" w:rsidRPr="00280E67" w:rsidRDefault="00027850" w:rsidP="00027850">
      <w:pPr>
        <w:spacing w:line="276" w:lineRule="auto"/>
        <w:contextualSpacing/>
        <w:rPr>
          <w:rFonts w:eastAsia="Verdana"/>
          <w:b/>
          <w:sz w:val="24"/>
          <w:szCs w:val="24"/>
          <w:lang w:val="es-ES_tradnl"/>
        </w:rPr>
      </w:pPr>
      <w:r w:rsidRPr="00280E67">
        <w:rPr>
          <w:rFonts w:eastAsia="Verdana"/>
          <w:b/>
          <w:sz w:val="24"/>
          <w:szCs w:val="24"/>
          <w:lang w:val="es-ES_tradnl"/>
        </w:rPr>
        <w:t>NOTIFÍQUESE Y CÚMPLASE</w:t>
      </w:r>
    </w:p>
    <w:p w14:paraId="07B3DA1D" w14:textId="77777777" w:rsidR="00027850" w:rsidRPr="00280E67" w:rsidRDefault="00027850" w:rsidP="00027850">
      <w:pPr>
        <w:spacing w:line="276" w:lineRule="auto"/>
        <w:contextualSpacing/>
        <w:jc w:val="center"/>
        <w:rPr>
          <w:rFonts w:eastAsia="Verdana"/>
          <w:b/>
          <w:sz w:val="24"/>
          <w:szCs w:val="24"/>
          <w:lang w:val="es-ES_tradnl"/>
        </w:rPr>
      </w:pPr>
    </w:p>
    <w:p w14:paraId="728AC69F" w14:textId="518B7EF0" w:rsidR="00027850" w:rsidRPr="00280E67" w:rsidRDefault="00027850" w:rsidP="00C46F9D">
      <w:pPr>
        <w:spacing w:line="276" w:lineRule="auto"/>
        <w:contextualSpacing/>
        <w:rPr>
          <w:rFonts w:eastAsia="Verdana"/>
          <w:b/>
          <w:sz w:val="24"/>
          <w:szCs w:val="24"/>
          <w:lang w:val="es-ES_tradnl"/>
        </w:rPr>
      </w:pPr>
    </w:p>
    <w:p w14:paraId="50F2B0BB" w14:textId="77777777" w:rsidR="00027850" w:rsidRPr="00280E67" w:rsidRDefault="00027850" w:rsidP="00027850">
      <w:pPr>
        <w:spacing w:line="276" w:lineRule="auto"/>
        <w:contextualSpacing/>
        <w:jc w:val="center"/>
        <w:rPr>
          <w:rFonts w:eastAsia="Verdana"/>
          <w:b/>
          <w:sz w:val="24"/>
          <w:szCs w:val="24"/>
          <w:lang w:val="es-ES_tradnl"/>
        </w:rPr>
      </w:pPr>
      <w:r w:rsidRPr="00280E67">
        <w:rPr>
          <w:rFonts w:eastAsia="Verdana"/>
          <w:b/>
          <w:sz w:val="24"/>
          <w:szCs w:val="24"/>
          <w:lang w:val="es-ES_tradnl"/>
        </w:rPr>
        <w:t>GUILLERMO SÁNCHEZ LUQUE</w:t>
      </w:r>
    </w:p>
    <w:p w14:paraId="0972D03A" w14:textId="39876262" w:rsidR="00027850" w:rsidRDefault="00027850" w:rsidP="00027850">
      <w:pPr>
        <w:spacing w:line="276" w:lineRule="auto"/>
        <w:contextualSpacing/>
        <w:jc w:val="center"/>
        <w:rPr>
          <w:rFonts w:eastAsia="Verdana"/>
          <w:b/>
          <w:sz w:val="24"/>
          <w:szCs w:val="24"/>
          <w:lang w:val="es-ES_tradnl"/>
        </w:rPr>
      </w:pPr>
      <w:r w:rsidRPr="00280E67">
        <w:rPr>
          <w:rFonts w:eastAsia="Verdana"/>
          <w:b/>
          <w:sz w:val="24"/>
          <w:szCs w:val="24"/>
          <w:lang w:val="es-ES_tradnl"/>
        </w:rPr>
        <w:t>Presidente de Sala</w:t>
      </w:r>
    </w:p>
    <w:p w14:paraId="19D619C7" w14:textId="19C77A2A" w:rsidR="00716FE5" w:rsidRPr="00280E67" w:rsidRDefault="00716FE5" w:rsidP="00027850">
      <w:pPr>
        <w:spacing w:line="276" w:lineRule="auto"/>
        <w:contextualSpacing/>
        <w:jc w:val="center"/>
        <w:rPr>
          <w:rFonts w:eastAsia="Verdana"/>
          <w:b/>
          <w:sz w:val="24"/>
          <w:szCs w:val="24"/>
          <w:lang w:val="es-ES_tradnl"/>
        </w:rPr>
      </w:pPr>
      <w:r>
        <w:rPr>
          <w:rFonts w:eastAsia="Verdana"/>
          <w:b/>
          <w:sz w:val="24"/>
          <w:szCs w:val="24"/>
          <w:lang w:val="es-ES_tradnl"/>
        </w:rPr>
        <w:t>Salvamento de voto</w:t>
      </w:r>
      <w:bookmarkStart w:id="5" w:name="_GoBack"/>
      <w:bookmarkEnd w:id="5"/>
    </w:p>
    <w:p w14:paraId="53B9DBAF" w14:textId="27A1275D" w:rsidR="00027850" w:rsidRPr="00280E67" w:rsidRDefault="00027850" w:rsidP="00C46F9D">
      <w:pPr>
        <w:spacing w:line="276" w:lineRule="auto"/>
        <w:contextualSpacing/>
        <w:rPr>
          <w:rFonts w:eastAsia="Verdana"/>
          <w:b/>
          <w:sz w:val="24"/>
          <w:szCs w:val="24"/>
          <w:lang w:val="es-ES_tradnl"/>
        </w:rPr>
      </w:pPr>
    </w:p>
    <w:p w14:paraId="6C6FE26A" w14:textId="77777777" w:rsidR="00056DF7" w:rsidRPr="00280E67" w:rsidRDefault="00056DF7" w:rsidP="00C46F9D">
      <w:pPr>
        <w:spacing w:line="276" w:lineRule="auto"/>
        <w:contextualSpacing/>
        <w:rPr>
          <w:rFonts w:eastAsia="Verdana"/>
          <w:b/>
          <w:sz w:val="24"/>
          <w:szCs w:val="24"/>
          <w:lang w:val="es-ES_tradnl"/>
        </w:rPr>
      </w:pPr>
    </w:p>
    <w:p w14:paraId="1C2DA5B6" w14:textId="77777777" w:rsidR="00027850" w:rsidRPr="00280E67" w:rsidRDefault="00027850" w:rsidP="00027850">
      <w:pPr>
        <w:spacing w:line="276" w:lineRule="auto"/>
        <w:contextualSpacing/>
        <w:jc w:val="center"/>
        <w:rPr>
          <w:rFonts w:eastAsia="Verdana"/>
          <w:b/>
          <w:sz w:val="24"/>
          <w:szCs w:val="24"/>
          <w:lang w:val="es-ES_tradnl"/>
        </w:rPr>
      </w:pPr>
      <w:r w:rsidRPr="00280E67">
        <w:rPr>
          <w:rFonts w:eastAsia="Verdana"/>
          <w:b/>
          <w:sz w:val="24"/>
          <w:szCs w:val="24"/>
          <w:lang w:val="es-ES_tradnl"/>
        </w:rPr>
        <w:t>JAIME ENRIQUE RODRÍGUEZ NAVAS</w:t>
      </w:r>
    </w:p>
    <w:p w14:paraId="1E3B087E" w14:textId="77777777" w:rsidR="00027850" w:rsidRPr="00280E67" w:rsidRDefault="00027850" w:rsidP="00027850">
      <w:pPr>
        <w:spacing w:line="276" w:lineRule="auto"/>
        <w:contextualSpacing/>
        <w:jc w:val="center"/>
        <w:rPr>
          <w:rFonts w:eastAsia="Verdana"/>
          <w:b/>
          <w:sz w:val="24"/>
          <w:szCs w:val="24"/>
          <w:lang w:val="es-ES_tradnl"/>
        </w:rPr>
      </w:pPr>
      <w:r w:rsidRPr="00280E67">
        <w:rPr>
          <w:rFonts w:eastAsia="Verdana"/>
          <w:b/>
          <w:sz w:val="24"/>
          <w:szCs w:val="24"/>
          <w:lang w:val="es-ES_tradnl"/>
        </w:rPr>
        <w:t>Magistrado</w:t>
      </w:r>
    </w:p>
    <w:p w14:paraId="13D3917A" w14:textId="2E214265" w:rsidR="00027850" w:rsidRPr="00280E67" w:rsidRDefault="00027850" w:rsidP="00C46F9D">
      <w:pPr>
        <w:spacing w:line="276" w:lineRule="auto"/>
        <w:contextualSpacing/>
        <w:rPr>
          <w:rFonts w:eastAsia="Verdana"/>
          <w:b/>
          <w:sz w:val="24"/>
          <w:szCs w:val="24"/>
          <w:lang w:val="es-ES_tradnl"/>
        </w:rPr>
      </w:pPr>
    </w:p>
    <w:p w14:paraId="4CFCD736" w14:textId="77777777" w:rsidR="00056DF7" w:rsidRPr="00280E67" w:rsidRDefault="00056DF7" w:rsidP="00C46F9D">
      <w:pPr>
        <w:spacing w:line="276" w:lineRule="auto"/>
        <w:contextualSpacing/>
        <w:rPr>
          <w:rFonts w:eastAsia="Verdana"/>
          <w:b/>
          <w:sz w:val="24"/>
          <w:szCs w:val="24"/>
          <w:lang w:val="es-ES_tradnl"/>
        </w:rPr>
      </w:pPr>
    </w:p>
    <w:p w14:paraId="3680A919" w14:textId="77777777" w:rsidR="00027850" w:rsidRPr="00280E67" w:rsidRDefault="00027850" w:rsidP="00027850">
      <w:pPr>
        <w:spacing w:line="276" w:lineRule="auto"/>
        <w:contextualSpacing/>
        <w:jc w:val="center"/>
        <w:rPr>
          <w:rFonts w:eastAsia="Verdana"/>
          <w:b/>
          <w:sz w:val="24"/>
          <w:szCs w:val="24"/>
          <w:lang w:val="es-ES_tradnl"/>
        </w:rPr>
      </w:pPr>
      <w:r w:rsidRPr="00280E67">
        <w:rPr>
          <w:rFonts w:eastAsia="Verdana"/>
          <w:b/>
          <w:sz w:val="24"/>
          <w:szCs w:val="24"/>
          <w:lang w:val="es-ES_tradnl"/>
        </w:rPr>
        <w:t>NICOLÁS YEPES CORRALES</w:t>
      </w:r>
    </w:p>
    <w:p w14:paraId="00E3EB45" w14:textId="77777777" w:rsidR="00027850" w:rsidRPr="00027850" w:rsidRDefault="00027850" w:rsidP="00027850">
      <w:pPr>
        <w:spacing w:line="276" w:lineRule="auto"/>
        <w:contextualSpacing/>
        <w:jc w:val="center"/>
        <w:rPr>
          <w:rFonts w:eastAsia="Verdana"/>
          <w:b/>
          <w:sz w:val="24"/>
          <w:szCs w:val="24"/>
          <w:lang w:val="es-ES_tradnl"/>
        </w:rPr>
      </w:pPr>
      <w:r w:rsidRPr="00280E67">
        <w:rPr>
          <w:rFonts w:eastAsia="Verdana"/>
          <w:b/>
          <w:sz w:val="24"/>
          <w:szCs w:val="24"/>
          <w:lang w:val="es-ES_tradnl"/>
        </w:rPr>
        <w:t>Magistrado</w:t>
      </w:r>
    </w:p>
    <w:p w14:paraId="463F29E8" w14:textId="77777777" w:rsidR="004849BB" w:rsidRPr="004849BB" w:rsidRDefault="004849BB" w:rsidP="004849BB">
      <w:pPr>
        <w:tabs>
          <w:tab w:val="left" w:pos="3109"/>
        </w:tabs>
        <w:rPr>
          <w:sz w:val="24"/>
          <w:szCs w:val="24"/>
        </w:rPr>
      </w:pPr>
    </w:p>
    <w:sectPr w:rsidR="004849BB" w:rsidRPr="004849BB" w:rsidSect="007F6ADF">
      <w:headerReference w:type="default" r:id="rId11"/>
      <w:footerReference w:type="default" r:id="rId12"/>
      <w:headerReference w:type="first" r:id="rId13"/>
      <w:footerReference w:type="first" r:id="rId14"/>
      <w:pgSz w:w="12242" w:h="18722" w:code="119"/>
      <w:pgMar w:top="2495" w:right="1469" w:bottom="2041" w:left="1701" w:header="709" w:footer="97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3733E" w16cex:dateUtc="2021-02-14T15:00:00Z"/>
  <w16cex:commentExtensible w16cex:durableId="23D36AB3" w16cex:dateUtc="2021-02-14T14:24:00Z"/>
  <w16cex:commentExtensible w16cex:durableId="23D36C74" w16cex:dateUtc="2021-02-14T14:31:00Z"/>
  <w16cex:commentExtensible w16cex:durableId="23D36DCD" w16cex:dateUtc="2021-02-14T14:37:00Z"/>
  <w16cex:commentExtensible w16cex:durableId="23D36DF7" w16cex:dateUtc="2021-02-14T14:37:00Z"/>
  <w16cex:commentExtensible w16cex:durableId="23D36E3F" w16cex:dateUtc="2021-02-14T14:39:00Z"/>
  <w16cex:commentExtensible w16cex:durableId="23D36FB1" w16cex:dateUtc="2021-02-14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135EAA" w16cid:durableId="23D3639B"/>
  <w16cid:commentId w16cid:paraId="3006985D" w16cid:durableId="23D3733E"/>
  <w16cid:commentId w16cid:paraId="1826C030" w16cid:durableId="23D3639E"/>
  <w16cid:commentId w16cid:paraId="6D307DA9" w16cid:durableId="23D3639F"/>
  <w16cid:commentId w16cid:paraId="74731029" w16cid:durableId="23D363A0"/>
  <w16cid:commentId w16cid:paraId="0741F769" w16cid:durableId="23D36AB3"/>
  <w16cid:commentId w16cid:paraId="12CEE4C9" w16cid:durableId="23D363A1"/>
  <w16cid:commentId w16cid:paraId="0EB338BE" w16cid:durableId="23D363A2"/>
  <w16cid:commentId w16cid:paraId="0F53DCFC" w16cid:durableId="23D36C74"/>
  <w16cid:commentId w16cid:paraId="5C9469AC" w16cid:durableId="23D363A3"/>
  <w16cid:commentId w16cid:paraId="2533A436" w16cid:durableId="23D36DCD"/>
  <w16cid:commentId w16cid:paraId="5B5F2F30" w16cid:durableId="23D36DF7"/>
  <w16cid:commentId w16cid:paraId="2D00D4C0" w16cid:durableId="23D36E3F"/>
  <w16cid:commentId w16cid:paraId="5C74A2CD" w16cid:durableId="23D36FB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53E1C" w14:textId="77777777" w:rsidR="003B0A9C" w:rsidRDefault="003B0A9C" w:rsidP="00117091">
      <w:r>
        <w:separator/>
      </w:r>
    </w:p>
  </w:endnote>
  <w:endnote w:type="continuationSeparator" w:id="0">
    <w:p w14:paraId="3D38AE1E" w14:textId="77777777" w:rsidR="003B0A9C" w:rsidRDefault="003B0A9C"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Helvetica Neue"/>
    <w:panose1 w:val="00000000000000000000"/>
    <w:charset w:val="00"/>
    <w:family w:val="auto"/>
    <w:notTrueType/>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8837"/>
      <w:gridCol w:w="465"/>
    </w:tblGrid>
    <w:tr w:rsidR="00367756" w14:paraId="4830A873" w14:textId="77777777" w:rsidTr="00B6429B">
      <w:trPr>
        <w:jc w:val="right"/>
      </w:trPr>
      <w:tc>
        <w:tcPr>
          <w:tcW w:w="4795" w:type="dxa"/>
          <w:vAlign w:val="center"/>
        </w:tcPr>
        <w:p w14:paraId="0C43E376" w14:textId="77777777" w:rsidR="00367756" w:rsidRDefault="00367756"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367756" w:rsidRPr="00A21194" w:rsidRDefault="00367756"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0B2DFD7D" w:rsidR="00367756" w:rsidRPr="00B6429B" w:rsidRDefault="00367756" w:rsidP="00B6429B">
          <w:pPr>
            <w:pStyle w:val="Piedepgina"/>
            <w:jc w:val="center"/>
          </w:pPr>
          <w:r w:rsidRPr="00B6429B">
            <w:fldChar w:fldCharType="begin"/>
          </w:r>
          <w:r w:rsidRPr="00B6429B">
            <w:instrText>PAGE   \* MERGEFORMAT</w:instrText>
          </w:r>
          <w:r w:rsidRPr="00B6429B">
            <w:fldChar w:fldCharType="separate"/>
          </w:r>
          <w:r w:rsidR="00716FE5" w:rsidRPr="00716FE5">
            <w:rPr>
              <w:noProof/>
              <w:lang w:val="es-ES"/>
            </w:rPr>
            <w:t>8</w:t>
          </w:r>
          <w:r w:rsidRPr="00B6429B">
            <w:fldChar w:fldCharType="end"/>
          </w:r>
        </w:p>
      </w:tc>
    </w:tr>
  </w:tbl>
  <w:p w14:paraId="17AD93B2" w14:textId="77777777" w:rsidR="00367756" w:rsidRPr="008C0DBE" w:rsidRDefault="00367756"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8837"/>
      <w:gridCol w:w="465"/>
    </w:tblGrid>
    <w:tr w:rsidR="00367756" w14:paraId="7BC39794" w14:textId="77777777" w:rsidTr="00B6429B">
      <w:trPr>
        <w:jc w:val="right"/>
      </w:trPr>
      <w:tc>
        <w:tcPr>
          <w:tcW w:w="4795" w:type="dxa"/>
          <w:vAlign w:val="center"/>
        </w:tcPr>
        <w:p w14:paraId="60E1FF49" w14:textId="77777777" w:rsidR="00367756" w:rsidRDefault="00367756"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367756" w:rsidRPr="00A21194" w:rsidRDefault="00367756"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46DCAA56" w:rsidR="00367756" w:rsidRPr="00B6429B" w:rsidRDefault="00367756">
          <w:pPr>
            <w:pStyle w:val="Piedepgina"/>
            <w:jc w:val="center"/>
          </w:pPr>
          <w:r w:rsidRPr="00B6429B">
            <w:fldChar w:fldCharType="begin"/>
          </w:r>
          <w:r w:rsidRPr="00B6429B">
            <w:instrText>PAGE   \* MERGEFORMAT</w:instrText>
          </w:r>
          <w:r w:rsidRPr="00B6429B">
            <w:fldChar w:fldCharType="separate"/>
          </w:r>
          <w:r w:rsidR="00716FE5" w:rsidRPr="00716FE5">
            <w:rPr>
              <w:noProof/>
              <w:lang w:val="es-ES"/>
            </w:rPr>
            <w:t>1</w:t>
          </w:r>
          <w:r w:rsidRPr="00B6429B">
            <w:fldChar w:fldCharType="end"/>
          </w:r>
        </w:p>
      </w:tc>
    </w:tr>
  </w:tbl>
  <w:p w14:paraId="5630AD66" w14:textId="77777777" w:rsidR="00367756" w:rsidRDefault="0036775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9473A" w14:textId="77777777" w:rsidR="003B0A9C" w:rsidRDefault="003B0A9C" w:rsidP="00117091">
      <w:r>
        <w:separator/>
      </w:r>
    </w:p>
  </w:footnote>
  <w:footnote w:type="continuationSeparator" w:id="0">
    <w:p w14:paraId="22F77F42" w14:textId="77777777" w:rsidR="003B0A9C" w:rsidRDefault="003B0A9C" w:rsidP="00117091">
      <w:r>
        <w:continuationSeparator/>
      </w:r>
    </w:p>
  </w:footnote>
  <w:footnote w:id="1">
    <w:p w14:paraId="42C5589C" w14:textId="77777777" w:rsidR="00367756" w:rsidRPr="00366EC1" w:rsidRDefault="00367756" w:rsidP="00366EC1">
      <w:pPr>
        <w:pStyle w:val="Textonotapie"/>
      </w:pPr>
      <w:r w:rsidRPr="00366EC1">
        <w:rPr>
          <w:rStyle w:val="Refdenotaalpie"/>
        </w:rPr>
        <w:footnoteRef/>
      </w:r>
      <w:r w:rsidRPr="00366EC1">
        <w:t xml:space="preserve"> Páginas 1 a 40 del archivo electrónico que contiene la acción de tutela y sus anexos, con ubicación: 93A369E0C21FB8EC 0E96AF5840FC47A6 A37215AAF7DC8E28 0A44D6D57E9A82D9.</w:t>
      </w:r>
    </w:p>
  </w:footnote>
  <w:footnote w:id="2">
    <w:p w14:paraId="27E52866" w14:textId="77777777" w:rsidR="00367756" w:rsidRPr="00366EC1" w:rsidRDefault="00367756" w:rsidP="00366EC1">
      <w:pPr>
        <w:pStyle w:val="Textonotapie"/>
      </w:pPr>
      <w:r w:rsidRPr="00366EC1">
        <w:rPr>
          <w:rStyle w:val="Refdenotaalpie"/>
        </w:rPr>
        <w:footnoteRef/>
      </w:r>
      <w:r w:rsidRPr="00366EC1">
        <w:t xml:space="preserve">  Páginas 41 a 90. Ibid.</w:t>
      </w:r>
    </w:p>
  </w:footnote>
  <w:footnote w:id="3">
    <w:p w14:paraId="1D4B9A30" w14:textId="77777777" w:rsidR="00367756" w:rsidRPr="00366EC1" w:rsidRDefault="00367756" w:rsidP="00366EC1">
      <w:pPr>
        <w:pStyle w:val="Textonotapie"/>
      </w:pPr>
      <w:r w:rsidRPr="00366EC1">
        <w:rPr>
          <w:rStyle w:val="Refdenotaalpie"/>
        </w:rPr>
        <w:footnoteRef/>
      </w:r>
      <w:r w:rsidRPr="00366EC1">
        <w:t xml:space="preserve"> Página 63. Ibid. </w:t>
      </w:r>
    </w:p>
  </w:footnote>
  <w:footnote w:id="4">
    <w:p w14:paraId="7866E1B3" w14:textId="77777777" w:rsidR="00367756" w:rsidRPr="00366EC1" w:rsidRDefault="00367756" w:rsidP="00366EC1">
      <w:pPr>
        <w:pStyle w:val="Textonotapie"/>
      </w:pPr>
      <w:r w:rsidRPr="00366EC1">
        <w:rPr>
          <w:rStyle w:val="Refdenotaalpie"/>
        </w:rPr>
        <w:footnoteRef/>
      </w:r>
      <w:r w:rsidRPr="00366EC1">
        <w:t xml:space="preserve"> Archivo electrónico que contiene documentos del proceso ordinario, con ubicación: AA5381CC8528C071 07F2B5C269784FB3 60F9B491AD206744 604C205CE643E9C7.</w:t>
      </w:r>
    </w:p>
  </w:footnote>
  <w:footnote w:id="5">
    <w:p w14:paraId="1DED8E0F" w14:textId="77777777" w:rsidR="00367756" w:rsidRPr="00366EC1" w:rsidRDefault="00367756" w:rsidP="00366EC1">
      <w:pPr>
        <w:pStyle w:val="Textonotapie"/>
      </w:pPr>
      <w:r w:rsidRPr="00366EC1">
        <w:rPr>
          <w:rStyle w:val="Refdenotaalpie"/>
        </w:rPr>
        <w:footnoteRef/>
      </w:r>
      <w:r w:rsidRPr="00366EC1">
        <w:t xml:space="preserve"> Páginas 126 a 131 del archivo electrónico que contiene la acción de tutela y sus anexos, con ubicación: 93A369E0C21FB8EC 0E96AF5840FC47A6 A37215AAF7DC8E28 0A44D6D57E9A82D9.</w:t>
      </w:r>
    </w:p>
  </w:footnote>
  <w:footnote w:id="6">
    <w:p w14:paraId="3D6F9D02" w14:textId="77777777" w:rsidR="00367756" w:rsidRPr="00366EC1" w:rsidRDefault="00367756" w:rsidP="00366EC1">
      <w:pPr>
        <w:pStyle w:val="Textonotapie"/>
      </w:pPr>
      <w:r w:rsidRPr="00366EC1">
        <w:rPr>
          <w:rStyle w:val="Refdenotaalpie"/>
        </w:rPr>
        <w:footnoteRef/>
      </w:r>
      <w:r w:rsidRPr="00366EC1">
        <w:t xml:space="preserve"> Páginas 134 y 135. Ibid.</w:t>
      </w:r>
    </w:p>
  </w:footnote>
  <w:footnote w:id="7">
    <w:p w14:paraId="1EF4B782" w14:textId="77777777" w:rsidR="00367756" w:rsidRPr="00366EC1" w:rsidRDefault="00367756" w:rsidP="00366EC1">
      <w:pPr>
        <w:pStyle w:val="Textonotapie"/>
      </w:pPr>
      <w:r w:rsidRPr="00366EC1">
        <w:rPr>
          <w:rStyle w:val="Refdenotaalpie"/>
        </w:rPr>
        <w:footnoteRef/>
      </w:r>
      <w:r w:rsidRPr="00366EC1">
        <w:t xml:space="preserve"> Páginas 144 y 145. Ibid.</w:t>
      </w:r>
    </w:p>
  </w:footnote>
  <w:footnote w:id="8">
    <w:p w14:paraId="2607E2A8" w14:textId="77777777" w:rsidR="00367756" w:rsidRPr="00366EC1" w:rsidRDefault="00367756" w:rsidP="00366EC1">
      <w:pPr>
        <w:pStyle w:val="Textonotapie"/>
      </w:pPr>
      <w:r w:rsidRPr="00366EC1">
        <w:rPr>
          <w:rStyle w:val="Refdenotaalpie"/>
        </w:rPr>
        <w:footnoteRef/>
      </w:r>
      <w:r w:rsidRPr="00366EC1">
        <w:t xml:space="preserve"> Páginas 145 a 146. Ibid.</w:t>
      </w:r>
    </w:p>
  </w:footnote>
  <w:footnote w:id="9">
    <w:p w14:paraId="178F06A6" w14:textId="780F70FE" w:rsidR="00367756" w:rsidRPr="00366EC1" w:rsidRDefault="00367756" w:rsidP="00366EC1">
      <w:pPr>
        <w:pStyle w:val="Textonotapie"/>
      </w:pPr>
      <w:r w:rsidRPr="00366EC1">
        <w:rPr>
          <w:rStyle w:val="Refdenotaalpie"/>
        </w:rPr>
        <w:footnoteRef/>
      </w:r>
      <w:r w:rsidR="00806839">
        <w:t xml:space="preserve"> Páginas 152 a 235</w:t>
      </w:r>
      <w:r w:rsidRPr="00366EC1">
        <w:t>. Ibid.</w:t>
      </w:r>
    </w:p>
  </w:footnote>
  <w:footnote w:id="10">
    <w:p w14:paraId="64FEC9F2" w14:textId="77777777" w:rsidR="00367756" w:rsidRPr="00366EC1" w:rsidRDefault="00367756" w:rsidP="00366EC1">
      <w:pPr>
        <w:pStyle w:val="Textonotapie"/>
      </w:pPr>
      <w:r w:rsidRPr="00366EC1">
        <w:rPr>
          <w:rStyle w:val="Refdenotaalpie"/>
        </w:rPr>
        <w:footnoteRef/>
      </w:r>
      <w:r w:rsidRPr="00366EC1">
        <w:t xml:space="preserve"> Páginas 236 a 245. Ibid.</w:t>
      </w:r>
    </w:p>
  </w:footnote>
  <w:footnote w:id="11">
    <w:p w14:paraId="1D96393C" w14:textId="77777777" w:rsidR="00367756" w:rsidRPr="00366EC1" w:rsidRDefault="00367756" w:rsidP="00366EC1">
      <w:pPr>
        <w:pStyle w:val="Textonotapie"/>
      </w:pPr>
      <w:r w:rsidRPr="00366EC1">
        <w:rPr>
          <w:rStyle w:val="Refdenotaalpie"/>
        </w:rPr>
        <w:footnoteRef/>
      </w:r>
      <w:r w:rsidRPr="00366EC1">
        <w:t xml:space="preserve"> “2. La caducidad de la acción, la falta de jurisdicción o de competencia”.</w:t>
      </w:r>
    </w:p>
  </w:footnote>
  <w:footnote w:id="12">
    <w:p w14:paraId="271E70FD" w14:textId="77777777" w:rsidR="00367756" w:rsidRPr="00366EC1" w:rsidRDefault="00367756" w:rsidP="00366EC1">
      <w:pPr>
        <w:pStyle w:val="Textonotapie"/>
      </w:pPr>
      <w:r w:rsidRPr="00366EC1">
        <w:rPr>
          <w:rStyle w:val="Refdenotaalpie"/>
        </w:rPr>
        <w:footnoteRef/>
      </w:r>
      <w:r w:rsidRPr="00366EC1">
        <w:t xml:space="preserve"> “5. Haberse negado el decreto de una prueba pedida oportunamente o haberse dejado de practicar una prueba decretada, sin fundamento legal, siempre y cuando se hubiere alegado la omisión oportunamente mediante el recurso de reposición y aquélla pudiera tener incidencia en la decisión”.</w:t>
      </w:r>
    </w:p>
  </w:footnote>
  <w:footnote w:id="13">
    <w:p w14:paraId="55E16A9B" w14:textId="77777777" w:rsidR="00367756" w:rsidRPr="00366EC1" w:rsidRDefault="00367756" w:rsidP="00366EC1">
      <w:pPr>
        <w:pStyle w:val="Textonotapie"/>
      </w:pPr>
      <w:r w:rsidRPr="00366EC1">
        <w:rPr>
          <w:rStyle w:val="Refdenotaalpie"/>
        </w:rPr>
        <w:footnoteRef/>
      </w:r>
      <w:r w:rsidRPr="00366EC1">
        <w:t xml:space="preserve"> “9. Haber recaído el laudo sobre aspectos no sujetos a la decisión de los árbitros, haber concedido más de lo pedido o no haber decidido sobre cuestiones sujetas al arbitramento”.</w:t>
      </w:r>
    </w:p>
  </w:footnote>
  <w:footnote w:id="14">
    <w:p w14:paraId="43C3AE33" w14:textId="77777777" w:rsidR="00367756" w:rsidRPr="00366EC1" w:rsidRDefault="00367756" w:rsidP="00366EC1">
      <w:pPr>
        <w:pStyle w:val="Textonotapie"/>
      </w:pPr>
      <w:r w:rsidRPr="00366EC1">
        <w:rPr>
          <w:rStyle w:val="Refdenotaalpie"/>
        </w:rPr>
        <w:footnoteRef/>
      </w:r>
      <w:r w:rsidRPr="00366EC1">
        <w:t xml:space="preserve"> Páginas 246 a 282 del archivo electrónico que contiene la acción de tutela y sus anexos, con ubicación: 93A369E0C21FB8EC 0E96AF5840FC47A6 A37215AAF7DC8E28 0A44D6D57E9A82D9.</w:t>
      </w:r>
    </w:p>
  </w:footnote>
  <w:footnote w:id="15">
    <w:p w14:paraId="44FEB7F7" w14:textId="77777777" w:rsidR="00367756" w:rsidRPr="00366EC1" w:rsidRDefault="00367756" w:rsidP="00366EC1">
      <w:pPr>
        <w:pStyle w:val="Textonotapie"/>
      </w:pPr>
      <w:r w:rsidRPr="00366EC1">
        <w:rPr>
          <w:rStyle w:val="Refdenotaalpie"/>
        </w:rPr>
        <w:footnoteRef/>
      </w:r>
      <w:r w:rsidRPr="00366EC1">
        <w:t xml:space="preserve"> Páginas 216 a 283. Ibid.</w:t>
      </w:r>
    </w:p>
  </w:footnote>
  <w:footnote w:id="16">
    <w:p w14:paraId="13466C05" w14:textId="77777777" w:rsidR="00367756" w:rsidRPr="00366EC1" w:rsidRDefault="00367756" w:rsidP="00366EC1">
      <w:pPr>
        <w:pStyle w:val="Textonotapie"/>
      </w:pPr>
      <w:r w:rsidRPr="00366EC1">
        <w:rPr>
          <w:rStyle w:val="Refdenotaalpie"/>
        </w:rPr>
        <w:footnoteRef/>
      </w:r>
      <w:r w:rsidRPr="00366EC1">
        <w:t xml:space="preserve"> Página 37. Ibid.</w:t>
      </w:r>
    </w:p>
  </w:footnote>
  <w:footnote w:id="17">
    <w:p w14:paraId="085C152C" w14:textId="6CF4B98E" w:rsidR="00367756" w:rsidRPr="00366EC1" w:rsidRDefault="00367756" w:rsidP="00366EC1">
      <w:pPr>
        <w:pStyle w:val="Textonotapie"/>
      </w:pPr>
      <w:r w:rsidRPr="00366EC1">
        <w:rPr>
          <w:rStyle w:val="Refdenotaalpie"/>
        </w:rPr>
        <w:footnoteRef/>
      </w:r>
      <w:r w:rsidRPr="00366EC1">
        <w:t xml:space="preserve"> Ibid.</w:t>
      </w:r>
    </w:p>
  </w:footnote>
  <w:footnote w:id="18">
    <w:p w14:paraId="6FF0E10C" w14:textId="426F0552" w:rsidR="00367756" w:rsidRPr="00366EC1" w:rsidRDefault="00367756" w:rsidP="00366EC1">
      <w:pPr>
        <w:pStyle w:val="Textonotapie"/>
      </w:pPr>
      <w:r w:rsidRPr="00366EC1">
        <w:rPr>
          <w:rStyle w:val="Refdenotaalpie"/>
        </w:rPr>
        <w:footnoteRef/>
      </w:r>
      <w:r w:rsidRPr="00366EC1">
        <w:t xml:space="preserve"> Ibid.</w:t>
      </w:r>
    </w:p>
  </w:footnote>
  <w:footnote w:id="19">
    <w:p w14:paraId="224F6B6F" w14:textId="77777777" w:rsidR="00367756" w:rsidRPr="00366EC1" w:rsidRDefault="00367756" w:rsidP="00366EC1">
      <w:pPr>
        <w:pStyle w:val="Textonotapie"/>
      </w:pPr>
      <w:r w:rsidRPr="00366EC1">
        <w:rPr>
          <w:rStyle w:val="Refdenotaalpie"/>
        </w:rPr>
        <w:footnoteRef/>
      </w:r>
      <w:r w:rsidRPr="00366EC1">
        <w:t xml:space="preserve"> Páginas 9 a 25. Ibid.</w:t>
      </w:r>
    </w:p>
  </w:footnote>
  <w:footnote w:id="20">
    <w:p w14:paraId="14552D95" w14:textId="0B05AAB0" w:rsidR="00056DF7" w:rsidRDefault="00056DF7">
      <w:pPr>
        <w:pStyle w:val="Textonotapie"/>
      </w:pPr>
      <w:r>
        <w:rPr>
          <w:rStyle w:val="Refdenotaalpie"/>
        </w:rPr>
        <w:footnoteRef/>
      </w:r>
      <w:r>
        <w:t xml:space="preserve"> Negrilla en el texto.</w:t>
      </w:r>
    </w:p>
  </w:footnote>
  <w:footnote w:id="21">
    <w:p w14:paraId="5BD93B3E" w14:textId="04E8628E" w:rsidR="00367756" w:rsidRPr="00366EC1" w:rsidRDefault="00367756" w:rsidP="00366EC1">
      <w:pPr>
        <w:pStyle w:val="Textonotapie"/>
      </w:pPr>
      <w:r w:rsidRPr="00366EC1">
        <w:rPr>
          <w:rStyle w:val="Refdenotaalpie"/>
        </w:rPr>
        <w:footnoteRef/>
      </w:r>
      <w:r w:rsidRPr="00366EC1">
        <w:t xml:space="preserve"> Páginas 26 a 37. Ibid.</w:t>
      </w:r>
    </w:p>
  </w:footnote>
  <w:footnote w:id="22">
    <w:p w14:paraId="37C2A306" w14:textId="77777777" w:rsidR="00367756" w:rsidRPr="00366EC1" w:rsidRDefault="00367756" w:rsidP="00366EC1">
      <w:pPr>
        <w:pStyle w:val="Textonotapie"/>
      </w:pPr>
      <w:r w:rsidRPr="00366EC1">
        <w:rPr>
          <w:rStyle w:val="Refdenotaalpie"/>
        </w:rPr>
        <w:footnoteRef/>
      </w:r>
      <w:r w:rsidRPr="00366EC1">
        <w:t xml:space="preserve"> Archivo electrónico que contiene el auto admisorio, con ubicación: E047A45BB1C264DE 21F32EC6F61B6B97 75CEDA7E9AE22E26 0C85778856CD92A3.</w:t>
      </w:r>
    </w:p>
  </w:footnote>
  <w:footnote w:id="23">
    <w:p w14:paraId="40F4ED6E" w14:textId="77777777" w:rsidR="00367756" w:rsidRPr="00366EC1" w:rsidRDefault="00367756" w:rsidP="00366EC1">
      <w:pPr>
        <w:pStyle w:val="Textonotapie"/>
      </w:pPr>
      <w:r w:rsidRPr="00366EC1">
        <w:rPr>
          <w:rStyle w:val="Refdenotaalpie"/>
        </w:rPr>
        <w:footnoteRef/>
      </w:r>
      <w:r w:rsidRPr="00366EC1">
        <w:t xml:space="preserve"> Archivo electrónico que contiene la intervención del tribunal de arbitramento, con ubicación: 626FFF8E86A03C4A 6C825931023078B3 1BB71A85282D76AE AC80FB7AF78528A7.</w:t>
      </w:r>
    </w:p>
  </w:footnote>
  <w:footnote w:id="24">
    <w:p w14:paraId="0F455D0C" w14:textId="07C4EC54" w:rsidR="00367756" w:rsidRPr="00366EC1" w:rsidRDefault="00367756" w:rsidP="00366EC1">
      <w:pPr>
        <w:pStyle w:val="Textonotapie"/>
      </w:pPr>
      <w:r w:rsidRPr="00366EC1">
        <w:rPr>
          <w:rStyle w:val="Refdenotaalpie"/>
        </w:rPr>
        <w:footnoteRef/>
      </w:r>
      <w:r w:rsidRPr="00366EC1">
        <w:t xml:space="preserve"> Archivo electrónico que contiene la respuesta de GIT Masivo, con ubicación: B1E7456552F4CA23 DF437AF080EDFE50 810FF393E3DFE487 D957E8E1AC5446B7.</w:t>
      </w:r>
    </w:p>
  </w:footnote>
  <w:footnote w:id="25">
    <w:p w14:paraId="12214817" w14:textId="77777777" w:rsidR="00367756" w:rsidRPr="00366EC1" w:rsidRDefault="00367756" w:rsidP="00366EC1">
      <w:pPr>
        <w:pStyle w:val="Textonotapie"/>
      </w:pPr>
      <w:r w:rsidRPr="00366EC1">
        <w:rPr>
          <w:rStyle w:val="Refdenotaalpie"/>
        </w:rPr>
        <w:footnoteRef/>
      </w:r>
      <w:r w:rsidRPr="00366EC1">
        <w:t xml:space="preserve"> Archivo electrónico que contiene la respuesta de la Sala Civil del Tribunal Superior del Distrito de Cali, con ubicación: 67948BC019636451 A057BF21FDF60A68 814966894E8F9B35 F129A05A158519D6.</w:t>
      </w:r>
    </w:p>
  </w:footnote>
  <w:footnote w:id="26">
    <w:p w14:paraId="2AE8DCBF" w14:textId="77777777" w:rsidR="00367756" w:rsidRPr="00366EC1" w:rsidRDefault="00367756" w:rsidP="00366EC1">
      <w:pPr>
        <w:pStyle w:val="Textonotapie"/>
      </w:pPr>
      <w:r w:rsidRPr="00366EC1">
        <w:rPr>
          <w:rStyle w:val="Refdenotaalpie"/>
        </w:rPr>
        <w:footnoteRef/>
      </w:r>
      <w:r w:rsidRPr="00366EC1">
        <w:t xml:space="preserve"> “5. Las acciones de tutela dirigidas contra los Jueces o Tribunales serán repartidas, para su conocimiento en primera instancia, al respectivo superior funcional de la autoridad jurisdiccional accionada”.</w:t>
      </w:r>
    </w:p>
  </w:footnote>
  <w:footnote w:id="27">
    <w:p w14:paraId="42694D8C" w14:textId="77777777" w:rsidR="00367756" w:rsidRPr="00366EC1" w:rsidRDefault="00367756" w:rsidP="00366EC1">
      <w:pPr>
        <w:pStyle w:val="NormalWeb"/>
        <w:rPr>
          <w:rFonts w:ascii="Arial" w:hAnsi="Arial" w:cs="Arial"/>
          <w:sz w:val="16"/>
          <w:szCs w:val="16"/>
        </w:rPr>
      </w:pPr>
      <w:r w:rsidRPr="00366EC1">
        <w:rPr>
          <w:rStyle w:val="Refdenotaalpie"/>
          <w:rFonts w:ascii="Arial" w:hAnsi="Arial" w:cs="Arial"/>
          <w:sz w:val="16"/>
          <w:szCs w:val="16"/>
        </w:rPr>
        <w:footnoteRef/>
      </w:r>
      <w:r w:rsidRPr="00366EC1">
        <w:rPr>
          <w:rFonts w:ascii="Arial" w:hAnsi="Arial" w:cs="Arial"/>
          <w:sz w:val="16"/>
          <w:szCs w:val="16"/>
        </w:rPr>
        <w:t xml:space="preserve"> </w:t>
      </w:r>
      <w:r w:rsidRPr="00366EC1">
        <w:rPr>
          <w:rFonts w:ascii="Arial" w:hAnsi="Arial" w:cs="Arial"/>
          <w:sz w:val="16"/>
          <w:szCs w:val="16"/>
          <w:lang w:val="es-ES"/>
        </w:rPr>
        <w:t xml:space="preserve">Corte Constitucional, Auto 493 de 2017. </w:t>
      </w:r>
      <w:bookmarkStart w:id="4" w:name="CiTag-1"/>
      <w:r w:rsidRPr="00366EC1">
        <w:rPr>
          <w:rFonts w:ascii="Arial" w:hAnsi="Arial" w:cs="Arial"/>
          <w:sz w:val="16"/>
          <w:szCs w:val="16"/>
        </w:rPr>
        <w:t>El término a prevención contenido en el citado artículo 37 se refiere a la posibilidad que tiene el actor de presentar la acción de tutela en el lugar donde ocurre la amenaza o vulneración o, donde se producen sus efectos. </w:t>
      </w:r>
      <w:bookmarkEnd w:id="4"/>
    </w:p>
  </w:footnote>
  <w:footnote w:id="28">
    <w:p w14:paraId="5CD0DC9C" w14:textId="2258BB7D" w:rsidR="00367756" w:rsidRPr="00366EC1" w:rsidRDefault="00367756" w:rsidP="00366EC1">
      <w:pPr>
        <w:pStyle w:val="Textonotapie"/>
        <w:rPr>
          <w:lang w:val="es-ES"/>
        </w:rPr>
      </w:pPr>
      <w:r w:rsidRPr="00366EC1">
        <w:rPr>
          <w:rStyle w:val="Refdenotaalpie"/>
        </w:rPr>
        <w:footnoteRef/>
      </w:r>
      <w:r w:rsidRPr="00366EC1">
        <w:t xml:space="preserve"> </w:t>
      </w:r>
      <w:r w:rsidR="00D25AE1">
        <w:rPr>
          <w:lang w:val="es-ES"/>
        </w:rPr>
        <w:t>Corte Constitucional. I</w:t>
      </w:r>
      <w:r w:rsidRPr="00366EC1">
        <w:rPr>
          <w:lang w:val="es-ES"/>
        </w:rPr>
        <w:t>bid.</w:t>
      </w:r>
    </w:p>
  </w:footnote>
  <w:footnote w:id="29">
    <w:p w14:paraId="53AC23F6" w14:textId="40E3EB7C" w:rsidR="00367756" w:rsidRPr="00366EC1" w:rsidRDefault="00367756" w:rsidP="00366EC1">
      <w:pPr>
        <w:pStyle w:val="Textonotapie"/>
        <w:rPr>
          <w:lang w:val="es-ES"/>
        </w:rPr>
      </w:pPr>
      <w:r w:rsidRPr="00366EC1">
        <w:rPr>
          <w:rStyle w:val="Refdenotaalpie"/>
        </w:rPr>
        <w:footnoteRef/>
      </w:r>
      <w:r w:rsidRPr="00366EC1">
        <w:t xml:space="preserve"> </w:t>
      </w:r>
      <w:r w:rsidR="006B52B8">
        <w:rPr>
          <w:lang w:val="es-ES"/>
        </w:rPr>
        <w:t>Corte Constitucional.</w:t>
      </w:r>
      <w:r w:rsidRPr="00366EC1">
        <w:rPr>
          <w:lang w:val="es-ES"/>
        </w:rPr>
        <w:t xml:space="preserve"> Autos 486 y 496 de 2017.</w:t>
      </w:r>
    </w:p>
  </w:footnote>
  <w:footnote w:id="30">
    <w:p w14:paraId="08D9C836" w14:textId="6942583E" w:rsidR="00366EC1" w:rsidRPr="00366EC1" w:rsidRDefault="00366EC1" w:rsidP="00366EC1">
      <w:pPr>
        <w:pStyle w:val="Textonotapie"/>
        <w:rPr>
          <w:lang w:val="es-ES"/>
        </w:rPr>
      </w:pPr>
      <w:r w:rsidRPr="00366EC1">
        <w:rPr>
          <w:rStyle w:val="Refdenotaalpie"/>
        </w:rPr>
        <w:footnoteRef/>
      </w:r>
      <w:r w:rsidRPr="00366EC1">
        <w:t xml:space="preserve"> </w:t>
      </w:r>
      <w:r w:rsidRPr="00366EC1">
        <w:rPr>
          <w:lang w:val="es-ES"/>
        </w:rPr>
        <w:t>Corte Constituci</w:t>
      </w:r>
      <w:r w:rsidR="006B52B8">
        <w:rPr>
          <w:lang w:val="es-ES"/>
        </w:rPr>
        <w:t>onal.</w:t>
      </w:r>
      <w:r w:rsidRPr="00366EC1">
        <w:rPr>
          <w:lang w:val="es-ES"/>
        </w:rPr>
        <w:t xml:space="preserve"> Auto 124 de 2009. </w:t>
      </w:r>
      <w:r w:rsidRPr="00366EC1">
        <w:t>“(…) De lo expuesto se desprende que hay una disparidad de criterios en la jurisprudencia constitucional, sin embargo, es claro que la segunda posición es la que se ha adoptado en la mayoría de los casos recientes pues, desde el año 2007, sólo ha existido un auto (el 101 de 2008) en el que se ha adoptado la postura contraria. En todo caso, la Sala Plena considera necesario clarificar su posición en este tema acogiendo la segunda de las opciones descritas porque, además de ser la mayoritaria, es la que se ajusta al texto constitucional. // En efecto, por las razones antes anotadas, las reglas del decreto reglamentario 1382 de 2000 son simplemente de reparto y no de competencia pues las únicas normas que determinan esta última en materia de tutela son el artículo 86 de la Constitución, que señala que ésta se puede interponer ante cualquier juez, y el artículo 37 de Decreto 2591 de 1991, que establece la competencia territorial y la de las acciones de tutela que se dirijan contra los medios de comunicación. Siendo ello así, no resulta coherente señalar que su desconocimiento genera falta de competencia y, en consecuencia, nulidad por violación al debido proceso a causa de la vulneración del principio del juez natural. Tampoco es consecuente afirmar que los jueces no están facultados para declararse incompetentes con base en la</w:t>
      </w:r>
      <w:r>
        <w:t>s</w:t>
      </w:r>
      <w:r w:rsidRPr="00366EC1">
        <w:t xml:space="preserve"> reglas del decreto 1382 de 2000 y después concluir que el desconocimiento de las mismas genera nulidad por incompetencia</w:t>
      </w:r>
      <w:r w:rsidR="006B52B8">
        <w:t>”</w:t>
      </w:r>
      <w:r w:rsidRPr="00366EC1">
        <w:t>.</w:t>
      </w:r>
    </w:p>
  </w:footnote>
  <w:footnote w:id="31">
    <w:p w14:paraId="2AB2F08B" w14:textId="77777777" w:rsidR="00366EC1" w:rsidRPr="00366EC1" w:rsidRDefault="00366EC1" w:rsidP="00366EC1">
      <w:pPr>
        <w:pStyle w:val="Textonotapie"/>
      </w:pPr>
      <w:r w:rsidRPr="00366EC1">
        <w:rPr>
          <w:rStyle w:val="Refdenotaalpie"/>
        </w:rPr>
        <w:footnoteRef/>
      </w:r>
      <w:r w:rsidRPr="00366EC1">
        <w:t xml:space="preserve"> Auto 124 de 2009.</w:t>
      </w:r>
    </w:p>
  </w:footnote>
  <w:footnote w:id="32">
    <w:p w14:paraId="56C313A7" w14:textId="2E4335D2" w:rsidR="005450A0" w:rsidRPr="005450A0" w:rsidRDefault="005450A0">
      <w:pPr>
        <w:pStyle w:val="Textonotapie"/>
      </w:pPr>
      <w:r>
        <w:rPr>
          <w:rStyle w:val="Refdenotaalpie"/>
        </w:rPr>
        <w:footnoteRef/>
      </w:r>
      <w:r>
        <w:t xml:space="preserve"> </w:t>
      </w:r>
      <w:r w:rsidR="00D12D4E">
        <w:t>Auto 124 de 2016. “</w:t>
      </w:r>
      <w:r w:rsidR="00D12D4E" w:rsidRPr="00D12D4E">
        <w:t>Y por otra, se reitera, la sujeción a las disposiciones de reparto no puede justificar el desconocimiento de la norma que adjudica la competencia en tutela –salvo en los términos puntuales a que se hizo alusión en líneas precedentes–, de suerte que todos los Jueces del Circuito con jurisdicción en el lugar de los hechos, independientemente de su especialidad, están habilitados para conocer la </w:t>
      </w:r>
      <w:r w:rsidR="00D12D4E" w:rsidRPr="00D12D4E">
        <w:rPr>
          <w:i/>
          <w:iCs/>
        </w:rPr>
        <w:t>litis</w:t>
      </w:r>
      <w:r w:rsidR="00D12D4E" w:rsidRPr="00D12D4E">
        <w:t>, ya que en el ámbito de la tutela no se establece distinción alguna fundada en los diversos campos del saber jurídico, en tanto los jueces en cuestión pertenecen invariablemente a la jurisdicción constitucional</w:t>
      </w:r>
      <w:r w:rsidR="00D12D4E">
        <w:t>”</w:t>
      </w:r>
      <w:r w:rsidR="00D12D4E" w:rsidRPr="00D12D4E">
        <w:t>.</w:t>
      </w:r>
      <w:r w:rsidR="00D12D4E">
        <w:t xml:space="preserve"> </w:t>
      </w:r>
      <w:r>
        <w:t>Auto 269 de 2019. “</w:t>
      </w:r>
      <w:r w:rsidRPr="005450A0">
        <w:t>Respecto de acciones de tutela contra autoridades judiciales (numeral 5º del artículo 1º del Decreto 1983 de 2017), en principio no se configura reparto caprichoso cuando se asigna la solicitud de amparo a un juez de mayor jerarquía, </w:t>
      </w:r>
      <w:r w:rsidRPr="005450A0">
        <w:rPr>
          <w:b/>
          <w:bCs/>
        </w:rPr>
        <w:t>con independencia de que no se trate del superior correspondiente a su especialidad</w:t>
      </w:r>
      <w:r w:rsidRPr="005450A0">
        <w:rPr>
          <w:bCs/>
        </w:rPr>
        <w:t>”</w:t>
      </w:r>
      <w:r>
        <w:rPr>
          <w:bCs/>
        </w:rPr>
        <w:t>. [Negrilla en el texto].</w:t>
      </w:r>
    </w:p>
  </w:footnote>
  <w:footnote w:id="33">
    <w:p w14:paraId="6876AD43" w14:textId="77777777" w:rsidR="00367756" w:rsidRPr="00366EC1" w:rsidRDefault="00367756" w:rsidP="00366EC1">
      <w:pPr>
        <w:pStyle w:val="Textonotapie"/>
      </w:pPr>
      <w:r w:rsidRPr="00366EC1">
        <w:rPr>
          <w:rStyle w:val="Refdenotaalpie"/>
        </w:rPr>
        <w:footnoteRef/>
      </w:r>
      <w:r w:rsidRPr="00366EC1">
        <w:t xml:space="preserve"> Cfr. Corte Constitucional C-590 de 2005.</w:t>
      </w:r>
    </w:p>
  </w:footnote>
  <w:footnote w:id="34">
    <w:p w14:paraId="2BE1DA1A" w14:textId="77777777" w:rsidR="00367756" w:rsidRPr="00366EC1" w:rsidRDefault="00367756" w:rsidP="00366EC1">
      <w:pPr>
        <w:pStyle w:val="Textonotapie"/>
      </w:pPr>
      <w:r w:rsidRPr="00366EC1">
        <w:rPr>
          <w:rStyle w:val="Refdenotaalpie"/>
        </w:rPr>
        <w:footnoteRef/>
      </w:r>
      <w:r w:rsidRPr="00366EC1">
        <w:t xml:space="preserve"> Antes que todo es necesario (i) verificar la legitimación en la causa como una exigencia preliminar en cualquier acción de amparo, para, posteriormente, pasar a constatar los demás requisitos generales de procedibilidad, en los siguientes términos: (ii) que en la solicitud de tutela se expresen de manera clara los hechos y los fundamentos de la afectación de derechos que se imputa a la decisión judicial; (iii) que la cuestión que se discute tenga relevancia constitucional; (iv) que previo a la solicitud de tutela se hayan agotado todos los medios de defensa judicial con los que cuenta la persona afectada; (v) que se cumpla con el principio de inmediatez; (vi) que en caso de que se alegue una irregularidad procesal, la misma tenga la entidad de afectar la decisión; y de manera general, (vii) no procede elevar una solicitud de amparo contra decisiones proferidas dentro de procesos de tutela.</w:t>
      </w:r>
    </w:p>
  </w:footnote>
  <w:footnote w:id="35">
    <w:p w14:paraId="1278ED77" w14:textId="77777777" w:rsidR="00367756" w:rsidRPr="00366EC1" w:rsidRDefault="00367756" w:rsidP="00366EC1">
      <w:pPr>
        <w:pStyle w:val="Textonotapie"/>
      </w:pPr>
      <w:r w:rsidRPr="00366EC1">
        <w:rPr>
          <w:rStyle w:val="Refdenotaalpie"/>
        </w:rPr>
        <w:footnoteRef/>
      </w:r>
      <w:r w:rsidRPr="00366EC1">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36">
    <w:p w14:paraId="4E44539D" w14:textId="2ECC83D5" w:rsidR="00367756" w:rsidRPr="00366EC1" w:rsidRDefault="00367756" w:rsidP="00366EC1">
      <w:pPr>
        <w:pStyle w:val="Textonotapie"/>
      </w:pPr>
      <w:r w:rsidRPr="00366EC1">
        <w:rPr>
          <w:rStyle w:val="Refdenotaalpie"/>
        </w:rPr>
        <w:footnoteRef/>
      </w:r>
      <w:r w:rsidRPr="00366EC1">
        <w:t xml:space="preserve"> </w:t>
      </w:r>
      <w:r w:rsidR="006B52B8" w:rsidRPr="00366EC1">
        <w:t xml:space="preserve">Corte Constitucional. </w:t>
      </w:r>
      <w:r w:rsidRPr="00366EC1">
        <w:t>Sentencia</w:t>
      </w:r>
      <w:r w:rsidR="006B52B8">
        <w:t xml:space="preserve"> T-244 de 2007.</w:t>
      </w:r>
    </w:p>
  </w:footnote>
  <w:footnote w:id="37">
    <w:p w14:paraId="443AB5C9" w14:textId="77777777" w:rsidR="00367756" w:rsidRPr="00366EC1" w:rsidRDefault="00367756" w:rsidP="00366EC1">
      <w:pPr>
        <w:pStyle w:val="Textonotapie"/>
      </w:pPr>
      <w:r w:rsidRPr="00366EC1">
        <w:rPr>
          <w:rStyle w:val="Refdenotaalpie"/>
        </w:rPr>
        <w:footnoteRef/>
      </w:r>
      <w:r w:rsidRPr="00366EC1">
        <w:t xml:space="preserve"> Corte Constitucional. Sentencia T-627 de 2017.</w:t>
      </w:r>
    </w:p>
  </w:footnote>
  <w:footnote w:id="38">
    <w:p w14:paraId="1B5CCBC5" w14:textId="77777777" w:rsidR="00367756" w:rsidRPr="00366EC1" w:rsidRDefault="00367756" w:rsidP="00366EC1">
      <w:pPr>
        <w:pStyle w:val="Textonotapie"/>
      </w:pPr>
      <w:r w:rsidRPr="00366EC1">
        <w:rPr>
          <w:rStyle w:val="Refdenotaalpie"/>
        </w:rPr>
        <w:footnoteRef/>
      </w:r>
      <w:r w:rsidRPr="00366EC1">
        <w:t xml:space="preserve"> Páginas 106 a 124 del archivo electrónico que contiene la acción de tutela y sus anexos, con ubicación: 93A369E0C21FB8EC 0E96AF5840FC47A6 A37215AAF7DC8E28 0A44D6D57E9A82D9. </w:t>
      </w:r>
    </w:p>
  </w:footnote>
  <w:footnote w:id="39">
    <w:p w14:paraId="5201FFAF" w14:textId="4B9FA288" w:rsidR="00367756" w:rsidRPr="00366EC1" w:rsidRDefault="00367756" w:rsidP="00366EC1">
      <w:pPr>
        <w:pStyle w:val="Textonotapie"/>
      </w:pPr>
      <w:r w:rsidRPr="00366EC1">
        <w:rPr>
          <w:rStyle w:val="Refdenotaalpie"/>
        </w:rPr>
        <w:footnoteRef/>
      </w:r>
      <w:r w:rsidRPr="00366EC1">
        <w:t xml:space="preserve"> Corte Constitucional. Sentencia</w:t>
      </w:r>
      <w:r w:rsidR="00C46F9D">
        <w:t>s</w:t>
      </w:r>
      <w:r w:rsidRPr="00366EC1">
        <w:t xml:space="preserve"> SU-033 de 2018</w:t>
      </w:r>
      <w:r w:rsidR="00C46F9D">
        <w:t xml:space="preserve"> y </w:t>
      </w:r>
      <w:r w:rsidR="00C46F9D" w:rsidRPr="00366EC1">
        <w:t>SU-500 de 2015.</w:t>
      </w:r>
    </w:p>
  </w:footnote>
  <w:footnote w:id="40">
    <w:p w14:paraId="31BAC27A" w14:textId="77777777" w:rsidR="00367756" w:rsidRPr="00366EC1" w:rsidRDefault="00367756" w:rsidP="00366EC1">
      <w:pPr>
        <w:pStyle w:val="Textonotapie"/>
      </w:pPr>
      <w:r w:rsidRPr="00366EC1">
        <w:rPr>
          <w:rStyle w:val="Refdenotaalpie"/>
        </w:rPr>
        <w:footnoteRef/>
      </w:r>
      <w:r w:rsidRPr="00366EC1">
        <w:t xml:space="preserve"> Corte Constitucional. Sentencia SU-500 de 2015.</w:t>
      </w:r>
    </w:p>
  </w:footnote>
  <w:footnote w:id="41">
    <w:p w14:paraId="3E2A1481" w14:textId="70AD3270" w:rsidR="00354654" w:rsidRDefault="00354654" w:rsidP="00354654">
      <w:pPr>
        <w:pStyle w:val="Textonotapie"/>
      </w:pPr>
      <w:r>
        <w:rPr>
          <w:rStyle w:val="Refdenotaalpie"/>
        </w:rPr>
        <w:footnoteRef/>
      </w:r>
      <w:r>
        <w:t xml:space="preserve"> </w:t>
      </w:r>
      <w:r w:rsidRPr="00354654">
        <w:rPr>
          <w:rFonts w:eastAsia="Verdana"/>
        </w:rPr>
        <w:t>Quien</w:t>
      </w:r>
      <w:r w:rsidRPr="00354654">
        <w:rPr>
          <w:lang w:val="es-ES"/>
        </w:rPr>
        <w:t xml:space="preserve"> solicita el amparo </w:t>
      </w:r>
      <w:r w:rsidRPr="00354654">
        <w:rPr>
          <w:rFonts w:eastAsia="Verdana"/>
        </w:rPr>
        <w:t xml:space="preserve">debe </w:t>
      </w:r>
      <w:r w:rsidRPr="00354654">
        <w:rPr>
          <w:rFonts w:eastAsia="Times New Roman"/>
          <w:lang w:eastAsia="es-ES"/>
        </w:rPr>
        <w:t>cumplir con la carga de exponer las</w:t>
      </w:r>
      <w:r w:rsidRPr="00093B84">
        <w:t xml:space="preserve"> </w:t>
      </w:r>
      <w:r>
        <w:t>razones</w:t>
      </w:r>
      <w:r w:rsidRPr="00093B84">
        <w:t xml:space="preserve"> </w:t>
      </w:r>
      <w:r>
        <w:t>por las que el reproche a una providencia que ha hecho tránsito a cosa juzgada, trasciende de</w:t>
      </w:r>
      <w:r w:rsidRPr="00093B84">
        <w:t xml:space="preserve"> la </w:t>
      </w:r>
      <w:r>
        <w:t>controversia</w:t>
      </w:r>
      <w:r w:rsidRPr="00093B84">
        <w:t xml:space="preserve"> litigiosa propia de la causa ordinaria, </w:t>
      </w:r>
      <w:r>
        <w:t xml:space="preserve">a una cuestión con </w:t>
      </w:r>
      <w:r w:rsidRPr="00354654">
        <w:rPr>
          <w:b/>
        </w:rPr>
        <w:t>relevancia constitucional</w:t>
      </w:r>
      <w:r>
        <w:t>, en términos de</w:t>
      </w:r>
      <w:r w:rsidRPr="00354654">
        <w:rPr>
          <w:rFonts w:eastAsia="Times New Roman"/>
          <w:lang w:eastAsia="es-ES"/>
        </w:rPr>
        <w:t xml:space="preserve"> los defectos definidos por la jurisprudencia como únicas causales que habilitan el control constitucional concreto.</w:t>
      </w:r>
      <w:r>
        <w:rPr>
          <w:rFonts w:eastAsia="Times New Roman"/>
          <w:lang w:eastAsia="es-ES"/>
        </w:rPr>
        <w:t xml:space="preserve"> </w:t>
      </w:r>
      <w:r w:rsidRPr="00D83286">
        <w:t xml:space="preserve">Cfr. </w:t>
      </w:r>
      <w:r w:rsidRPr="00D83286">
        <w:rPr>
          <w:lang w:val="es-ES"/>
        </w:rPr>
        <w:t>sentencia C-590 de 2005.</w:t>
      </w:r>
    </w:p>
  </w:footnote>
  <w:footnote w:id="42">
    <w:p w14:paraId="701EA6BD" w14:textId="1EC3A456" w:rsidR="00354654" w:rsidRDefault="00354654">
      <w:pPr>
        <w:pStyle w:val="Textonotapie"/>
      </w:pPr>
      <w:r>
        <w:rPr>
          <w:rStyle w:val="Refdenotaalpie"/>
        </w:rPr>
        <w:footnoteRef/>
      </w:r>
      <w:r>
        <w:t xml:space="preserve"> </w:t>
      </w:r>
      <w:r w:rsidRPr="007B0D56">
        <w:t xml:space="preserve">“No se trata de convertir la tutela en un mecanismo ritualista, sino de exigir una actuación razonable para conciliar la protección eficaz de los derechos fundamentales, con los principios y valores en juego, al controvertir una providencia </w:t>
      </w:r>
      <w:r>
        <w:t>judicial”. Corte Constitucional, s</w:t>
      </w:r>
      <w:r w:rsidRPr="007B0D56">
        <w:t>entencia T-066 de 2019.</w:t>
      </w:r>
    </w:p>
  </w:footnote>
  <w:footnote w:id="43">
    <w:p w14:paraId="3B55F667" w14:textId="190BCFC5" w:rsidR="00E92033" w:rsidRDefault="00E92033">
      <w:pPr>
        <w:pStyle w:val="Textonotapie"/>
      </w:pPr>
      <w:r>
        <w:rPr>
          <w:rStyle w:val="Refdenotaalpie"/>
        </w:rPr>
        <w:footnoteRef/>
      </w:r>
      <w:r>
        <w:t xml:space="preserve"> Página 258. Ibid</w:t>
      </w:r>
    </w:p>
  </w:footnote>
  <w:footnote w:id="44">
    <w:p w14:paraId="674930CF" w14:textId="6F521124" w:rsidR="00367756" w:rsidRPr="00366EC1" w:rsidRDefault="00367756" w:rsidP="00366EC1">
      <w:pPr>
        <w:pStyle w:val="Textonotapie"/>
      </w:pPr>
      <w:r w:rsidRPr="00366EC1">
        <w:rPr>
          <w:rStyle w:val="Refdenotaalpie"/>
        </w:rPr>
        <w:footnoteRef/>
      </w:r>
      <w:r w:rsidRPr="00366EC1">
        <w:t xml:space="preserve"> Página 280. Ibid.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6ABD7" w14:textId="77777777" w:rsidR="00367756" w:rsidRPr="00A15ACE" w:rsidRDefault="00367756">
    <w:pPr>
      <w:pStyle w:val="Encabezado"/>
    </w:pPr>
    <w:r>
      <w:rPr>
        <w:noProof/>
        <w:lang w:val="en-US" w:eastAsia="en-U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4" name="Imagen 4"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367756" w:rsidRPr="00A15ACE" w:rsidRDefault="00367756">
    <w:pPr>
      <w:pStyle w:val="Encabezado"/>
    </w:pPr>
  </w:p>
  <w:p w14:paraId="4B90DC7A" w14:textId="77777777" w:rsidR="00367756" w:rsidRPr="00A15ACE" w:rsidRDefault="00367756">
    <w:pPr>
      <w:pStyle w:val="Encabezado"/>
    </w:pPr>
    <w:r w:rsidRPr="0070023E">
      <w:rPr>
        <w:noProof/>
        <w:sz w:val="20"/>
        <w:szCs w:val="20"/>
        <w:lang w:val="en-US" w:eastAsia="en-U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07F3C78"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30802553" w:rsidR="00367756" w:rsidRPr="00D86793" w:rsidRDefault="00367756" w:rsidP="00D86793">
    <w:pPr>
      <w:tabs>
        <w:tab w:val="center" w:pos="4252"/>
        <w:tab w:val="right" w:pos="8504"/>
      </w:tabs>
      <w:jc w:val="right"/>
      <w:rPr>
        <w:color w:val="767171"/>
        <w:sz w:val="20"/>
        <w:szCs w:val="20"/>
      </w:rPr>
    </w:pPr>
    <w:r w:rsidRPr="00D86793">
      <w:rPr>
        <w:color w:val="767171"/>
        <w:sz w:val="20"/>
        <w:szCs w:val="20"/>
      </w:rPr>
      <w:t xml:space="preserve">Radicado: </w:t>
    </w:r>
    <w:r w:rsidRPr="00EB0959">
      <w:rPr>
        <w:color w:val="767171"/>
        <w:sz w:val="20"/>
        <w:szCs w:val="20"/>
      </w:rPr>
      <w:t>11001-03-15-000-2020-05221-00</w:t>
    </w:r>
  </w:p>
  <w:p w14:paraId="0991BC67" w14:textId="3EBA48A7" w:rsidR="00367756" w:rsidRPr="00D86793" w:rsidRDefault="00367756" w:rsidP="00D86793">
    <w:pPr>
      <w:tabs>
        <w:tab w:val="center" w:pos="4252"/>
        <w:tab w:val="right" w:pos="8504"/>
      </w:tabs>
      <w:jc w:val="right"/>
      <w:rPr>
        <w:bCs/>
        <w:color w:val="767171"/>
        <w:sz w:val="20"/>
        <w:szCs w:val="20"/>
      </w:rPr>
    </w:pPr>
    <w:r>
      <w:rPr>
        <w:color w:val="767171"/>
        <w:sz w:val="20"/>
        <w:szCs w:val="20"/>
      </w:rPr>
      <w:tab/>
    </w:r>
    <w:r w:rsidRPr="00D86793">
      <w:rPr>
        <w:color w:val="767171"/>
        <w:sz w:val="20"/>
        <w:szCs w:val="20"/>
      </w:rPr>
      <w:t xml:space="preserve">Accionante: </w:t>
    </w:r>
    <w:r w:rsidRPr="00EB0959">
      <w:rPr>
        <w:bCs/>
        <w:color w:val="767171"/>
        <w:sz w:val="20"/>
        <w:szCs w:val="20"/>
        <w:lang w:val="es-ES"/>
      </w:rPr>
      <w:t>Transportes Futuros del Valle S.A. (Transfuvalle S.A.)</w:t>
    </w:r>
  </w:p>
  <w:p w14:paraId="07B33FD0" w14:textId="25561C82" w:rsidR="00367756" w:rsidRPr="00F532EA" w:rsidRDefault="00367756"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9D0D6" w14:textId="77777777" w:rsidR="00367756" w:rsidRPr="00A15ACE" w:rsidRDefault="00367756" w:rsidP="00F1441F">
    <w:pPr>
      <w:pStyle w:val="Encabezado"/>
    </w:pPr>
    <w:r>
      <w:rPr>
        <w:noProof/>
        <w:lang w:val="en-US" w:eastAsia="en-U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5" name="Imagen 5"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367756" w:rsidRPr="00A15ACE" w:rsidRDefault="00367756" w:rsidP="00F1441F">
    <w:pPr>
      <w:pStyle w:val="Encabezado"/>
      <w:rPr>
        <w:color w:val="767171"/>
      </w:rPr>
    </w:pPr>
  </w:p>
  <w:p w14:paraId="3F3B7A5B" w14:textId="77777777" w:rsidR="00367756" w:rsidRPr="007F276C" w:rsidRDefault="00367756" w:rsidP="00D86793">
    <w:pPr>
      <w:pStyle w:val="Sinespaciado"/>
    </w:pPr>
    <w:r w:rsidRPr="007F276C">
      <w:t>CONSEJO DE ESTADO</w:t>
    </w:r>
  </w:p>
  <w:p w14:paraId="6EF027A0" w14:textId="77777777" w:rsidR="00367756" w:rsidRPr="007F276C" w:rsidRDefault="00367756" w:rsidP="00D86793">
    <w:pPr>
      <w:pStyle w:val="Sinespaciado"/>
    </w:pPr>
    <w:r w:rsidRPr="007F276C">
      <w:t>SALA DE LO CONTENCIOSO ADMINISTRATIVO</w:t>
    </w:r>
  </w:p>
  <w:p w14:paraId="2FC4305D" w14:textId="77777777" w:rsidR="00367756" w:rsidRPr="007F276C" w:rsidRDefault="00367756" w:rsidP="00D86793">
    <w:pPr>
      <w:pStyle w:val="Sinespaciado"/>
    </w:pPr>
    <w:r w:rsidRPr="007F276C">
      <w:t>SECCIÓN TERCERA – SUBSECCIÓN C</w:t>
    </w:r>
  </w:p>
  <w:p w14:paraId="2BA226A1" w14:textId="77777777" w:rsidR="00367756" w:rsidRDefault="0036775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CC3531F"/>
    <w:multiLevelType w:val="hybridMultilevel"/>
    <w:tmpl w:val="45AC3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A495A60"/>
    <w:multiLevelType w:val="hybridMultilevel"/>
    <w:tmpl w:val="4D182638"/>
    <w:lvl w:ilvl="0" w:tplc="BF98A0B8">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5"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EC40068"/>
    <w:multiLevelType w:val="hybridMultilevel"/>
    <w:tmpl w:val="5FA8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C891937"/>
    <w:multiLevelType w:val="multilevel"/>
    <w:tmpl w:val="D46491E8"/>
    <w:lvl w:ilvl="0">
      <w:start w:val="1"/>
      <w:numFmt w:val="decimal"/>
      <w:pStyle w:val="Ttulo2"/>
      <w:lvlText w:val="%1."/>
      <w:lvlJc w:val="left"/>
      <w:pPr>
        <w:ind w:left="720" w:hanging="360"/>
      </w:pPr>
    </w:lvl>
    <w:lvl w:ilvl="1">
      <w:start w:val="6"/>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1"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14"/>
  </w:num>
  <w:num w:numId="6">
    <w:abstractNumId w:val="30"/>
  </w:num>
  <w:num w:numId="7">
    <w:abstractNumId w:val="24"/>
  </w:num>
  <w:num w:numId="8">
    <w:abstractNumId w:val="33"/>
  </w:num>
  <w:num w:numId="9">
    <w:abstractNumId w:val="15"/>
  </w:num>
  <w:num w:numId="10">
    <w:abstractNumId w:val="13"/>
  </w:num>
  <w:num w:numId="11">
    <w:abstractNumId w:val="31"/>
  </w:num>
  <w:num w:numId="12">
    <w:abstractNumId w:val="9"/>
  </w:num>
  <w:num w:numId="13">
    <w:abstractNumId w:val="21"/>
  </w:num>
  <w:num w:numId="14">
    <w:abstractNumId w:val="25"/>
  </w:num>
  <w:num w:numId="15">
    <w:abstractNumId w:val="27"/>
  </w:num>
  <w:num w:numId="16">
    <w:abstractNumId w:val="28"/>
  </w:num>
  <w:num w:numId="17">
    <w:abstractNumId w:val="19"/>
  </w:num>
  <w:num w:numId="18">
    <w:abstractNumId w:val="34"/>
  </w:num>
  <w:num w:numId="19">
    <w:abstractNumId w:val="18"/>
  </w:num>
  <w:num w:numId="20">
    <w:abstractNumId w:val="5"/>
  </w:num>
  <w:num w:numId="21">
    <w:abstractNumId w:val="10"/>
  </w:num>
  <w:num w:numId="22">
    <w:abstractNumId w:val="32"/>
  </w:num>
  <w:num w:numId="23">
    <w:abstractNumId w:val="29"/>
  </w:num>
  <w:num w:numId="24">
    <w:abstractNumId w:val="22"/>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7"/>
  </w:num>
  <w:num w:numId="30">
    <w:abstractNumId w:val="8"/>
  </w:num>
  <w:num w:numId="31">
    <w:abstractNumId w:val="16"/>
  </w:num>
  <w:num w:numId="32">
    <w:abstractNumId w:val="4"/>
  </w:num>
  <w:num w:numId="33">
    <w:abstractNumId w:val="20"/>
  </w:num>
  <w:num w:numId="34">
    <w:abstractNumId w:val="12"/>
  </w:num>
  <w:num w:numId="35">
    <w:abstractNumId w:val="6"/>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286"/>
    <w:rsid w:val="00002EF0"/>
    <w:rsid w:val="000030FE"/>
    <w:rsid w:val="00006D3C"/>
    <w:rsid w:val="0001756D"/>
    <w:rsid w:val="00017CB3"/>
    <w:rsid w:val="00027850"/>
    <w:rsid w:val="000424FC"/>
    <w:rsid w:val="00047317"/>
    <w:rsid w:val="00056943"/>
    <w:rsid w:val="00056DF7"/>
    <w:rsid w:val="000572F7"/>
    <w:rsid w:val="000577E4"/>
    <w:rsid w:val="00061B93"/>
    <w:rsid w:val="000728E0"/>
    <w:rsid w:val="00073869"/>
    <w:rsid w:val="000778B0"/>
    <w:rsid w:val="000803C5"/>
    <w:rsid w:val="00083B8F"/>
    <w:rsid w:val="00094E7B"/>
    <w:rsid w:val="000C2B43"/>
    <w:rsid w:val="000C5DB7"/>
    <w:rsid w:val="000C7B4F"/>
    <w:rsid w:val="000D0E41"/>
    <w:rsid w:val="000D5563"/>
    <w:rsid w:val="000E2D62"/>
    <w:rsid w:val="001163F9"/>
    <w:rsid w:val="00117091"/>
    <w:rsid w:val="001268C6"/>
    <w:rsid w:val="001314F6"/>
    <w:rsid w:val="00133F91"/>
    <w:rsid w:val="0015444A"/>
    <w:rsid w:val="001548DE"/>
    <w:rsid w:val="00154F07"/>
    <w:rsid w:val="00155E78"/>
    <w:rsid w:val="00156A7A"/>
    <w:rsid w:val="00166AF6"/>
    <w:rsid w:val="00173BAF"/>
    <w:rsid w:val="00190630"/>
    <w:rsid w:val="00194CD0"/>
    <w:rsid w:val="0019697F"/>
    <w:rsid w:val="001A08BD"/>
    <w:rsid w:val="001A51D1"/>
    <w:rsid w:val="001A71B1"/>
    <w:rsid w:val="001C3C1F"/>
    <w:rsid w:val="001D088E"/>
    <w:rsid w:val="001D3EFC"/>
    <w:rsid w:val="001D4AF9"/>
    <w:rsid w:val="001D4E62"/>
    <w:rsid w:val="001E115B"/>
    <w:rsid w:val="001E265A"/>
    <w:rsid w:val="00201EC3"/>
    <w:rsid w:val="00206B87"/>
    <w:rsid w:val="00211BB3"/>
    <w:rsid w:val="00214D23"/>
    <w:rsid w:val="002230E3"/>
    <w:rsid w:val="00224C36"/>
    <w:rsid w:val="002322C6"/>
    <w:rsid w:val="00236DB4"/>
    <w:rsid w:val="0024538F"/>
    <w:rsid w:val="00246239"/>
    <w:rsid w:val="00254098"/>
    <w:rsid w:val="00254A38"/>
    <w:rsid w:val="00267434"/>
    <w:rsid w:val="002727C5"/>
    <w:rsid w:val="00280E67"/>
    <w:rsid w:val="00281874"/>
    <w:rsid w:val="002855AC"/>
    <w:rsid w:val="0028665C"/>
    <w:rsid w:val="0029035D"/>
    <w:rsid w:val="002C12BC"/>
    <w:rsid w:val="002D480B"/>
    <w:rsid w:val="002E1978"/>
    <w:rsid w:val="002E45A6"/>
    <w:rsid w:val="002F03BA"/>
    <w:rsid w:val="002F0F3B"/>
    <w:rsid w:val="00304A11"/>
    <w:rsid w:val="00305607"/>
    <w:rsid w:val="00306BD4"/>
    <w:rsid w:val="0031514A"/>
    <w:rsid w:val="00341D8D"/>
    <w:rsid w:val="00354654"/>
    <w:rsid w:val="00360658"/>
    <w:rsid w:val="00361478"/>
    <w:rsid w:val="00365DD6"/>
    <w:rsid w:val="00366EC1"/>
    <w:rsid w:val="00367756"/>
    <w:rsid w:val="00374674"/>
    <w:rsid w:val="00383156"/>
    <w:rsid w:val="00383425"/>
    <w:rsid w:val="00384507"/>
    <w:rsid w:val="00387BBC"/>
    <w:rsid w:val="00394A69"/>
    <w:rsid w:val="00396358"/>
    <w:rsid w:val="003A08F3"/>
    <w:rsid w:val="003A12C4"/>
    <w:rsid w:val="003B0A9C"/>
    <w:rsid w:val="003B4515"/>
    <w:rsid w:val="003C2382"/>
    <w:rsid w:val="003C2DB0"/>
    <w:rsid w:val="003D1B94"/>
    <w:rsid w:val="003D217C"/>
    <w:rsid w:val="003D2558"/>
    <w:rsid w:val="003E3CA0"/>
    <w:rsid w:val="003F2BA3"/>
    <w:rsid w:val="003F47EC"/>
    <w:rsid w:val="003F4EE1"/>
    <w:rsid w:val="003F7FF5"/>
    <w:rsid w:val="0040083B"/>
    <w:rsid w:val="0040213E"/>
    <w:rsid w:val="00402998"/>
    <w:rsid w:val="0040696B"/>
    <w:rsid w:val="004168CB"/>
    <w:rsid w:val="004211FA"/>
    <w:rsid w:val="00424723"/>
    <w:rsid w:val="00430389"/>
    <w:rsid w:val="004303C5"/>
    <w:rsid w:val="00430D89"/>
    <w:rsid w:val="00447956"/>
    <w:rsid w:val="004527A7"/>
    <w:rsid w:val="0046487B"/>
    <w:rsid w:val="0047256F"/>
    <w:rsid w:val="0048256D"/>
    <w:rsid w:val="004849BB"/>
    <w:rsid w:val="004857F6"/>
    <w:rsid w:val="00491910"/>
    <w:rsid w:val="00491D4D"/>
    <w:rsid w:val="00497735"/>
    <w:rsid w:val="004A1D38"/>
    <w:rsid w:val="004A4030"/>
    <w:rsid w:val="004A59E5"/>
    <w:rsid w:val="004D5983"/>
    <w:rsid w:val="004D63F2"/>
    <w:rsid w:val="004E3D73"/>
    <w:rsid w:val="004F0615"/>
    <w:rsid w:val="004F5E24"/>
    <w:rsid w:val="00501E95"/>
    <w:rsid w:val="005026D6"/>
    <w:rsid w:val="00505263"/>
    <w:rsid w:val="00505ABA"/>
    <w:rsid w:val="00506158"/>
    <w:rsid w:val="005127CB"/>
    <w:rsid w:val="00522073"/>
    <w:rsid w:val="00530CAD"/>
    <w:rsid w:val="0053162F"/>
    <w:rsid w:val="00535144"/>
    <w:rsid w:val="0054069D"/>
    <w:rsid w:val="00544773"/>
    <w:rsid w:val="005450A0"/>
    <w:rsid w:val="00564CB3"/>
    <w:rsid w:val="00566726"/>
    <w:rsid w:val="00582170"/>
    <w:rsid w:val="00582896"/>
    <w:rsid w:val="00585CA2"/>
    <w:rsid w:val="005A1ED5"/>
    <w:rsid w:val="005A358C"/>
    <w:rsid w:val="005A7982"/>
    <w:rsid w:val="005B5ADA"/>
    <w:rsid w:val="005B5D73"/>
    <w:rsid w:val="005B680D"/>
    <w:rsid w:val="005B79D9"/>
    <w:rsid w:val="005C3B6D"/>
    <w:rsid w:val="005C7D60"/>
    <w:rsid w:val="005D1791"/>
    <w:rsid w:val="005F0AEA"/>
    <w:rsid w:val="006146CC"/>
    <w:rsid w:val="00621F3E"/>
    <w:rsid w:val="00632238"/>
    <w:rsid w:val="006371BF"/>
    <w:rsid w:val="00643ACE"/>
    <w:rsid w:val="0064436A"/>
    <w:rsid w:val="006501F2"/>
    <w:rsid w:val="00651F05"/>
    <w:rsid w:val="006527C6"/>
    <w:rsid w:val="00652B15"/>
    <w:rsid w:val="006608BE"/>
    <w:rsid w:val="006615F2"/>
    <w:rsid w:val="00663267"/>
    <w:rsid w:val="00664A8F"/>
    <w:rsid w:val="00670737"/>
    <w:rsid w:val="00683F08"/>
    <w:rsid w:val="00685672"/>
    <w:rsid w:val="00687E32"/>
    <w:rsid w:val="00690DAF"/>
    <w:rsid w:val="006B52B8"/>
    <w:rsid w:val="006D4799"/>
    <w:rsid w:val="006D5982"/>
    <w:rsid w:val="006F5132"/>
    <w:rsid w:val="006F6047"/>
    <w:rsid w:val="0070023E"/>
    <w:rsid w:val="00701255"/>
    <w:rsid w:val="007038A9"/>
    <w:rsid w:val="00710DD8"/>
    <w:rsid w:val="00716FE5"/>
    <w:rsid w:val="00717A54"/>
    <w:rsid w:val="0072475A"/>
    <w:rsid w:val="00725D39"/>
    <w:rsid w:val="0074235D"/>
    <w:rsid w:val="007434F6"/>
    <w:rsid w:val="00745D63"/>
    <w:rsid w:val="00746E9B"/>
    <w:rsid w:val="00751493"/>
    <w:rsid w:val="00760DAF"/>
    <w:rsid w:val="007706B2"/>
    <w:rsid w:val="00771FE5"/>
    <w:rsid w:val="00773A85"/>
    <w:rsid w:val="007976EC"/>
    <w:rsid w:val="007A352C"/>
    <w:rsid w:val="007C0DAA"/>
    <w:rsid w:val="007C7F6D"/>
    <w:rsid w:val="007D4A96"/>
    <w:rsid w:val="007D6741"/>
    <w:rsid w:val="007F276C"/>
    <w:rsid w:val="007F3540"/>
    <w:rsid w:val="007F6ADF"/>
    <w:rsid w:val="00806839"/>
    <w:rsid w:val="00817A38"/>
    <w:rsid w:val="008203B5"/>
    <w:rsid w:val="00822EDC"/>
    <w:rsid w:val="00823E1F"/>
    <w:rsid w:val="00835345"/>
    <w:rsid w:val="00871943"/>
    <w:rsid w:val="00880936"/>
    <w:rsid w:val="008879C5"/>
    <w:rsid w:val="00893200"/>
    <w:rsid w:val="008C0626"/>
    <w:rsid w:val="008C0DBE"/>
    <w:rsid w:val="008C2028"/>
    <w:rsid w:val="008C4606"/>
    <w:rsid w:val="008C64B2"/>
    <w:rsid w:val="008D54E2"/>
    <w:rsid w:val="008D7532"/>
    <w:rsid w:val="008F57D5"/>
    <w:rsid w:val="00900BD2"/>
    <w:rsid w:val="00911C03"/>
    <w:rsid w:val="00911C2B"/>
    <w:rsid w:val="0091298E"/>
    <w:rsid w:val="009210E8"/>
    <w:rsid w:val="009214E2"/>
    <w:rsid w:val="009269E5"/>
    <w:rsid w:val="00940813"/>
    <w:rsid w:val="009705EE"/>
    <w:rsid w:val="0097486A"/>
    <w:rsid w:val="00975664"/>
    <w:rsid w:val="009765AB"/>
    <w:rsid w:val="00986FEF"/>
    <w:rsid w:val="00990451"/>
    <w:rsid w:val="00996286"/>
    <w:rsid w:val="009A4799"/>
    <w:rsid w:val="009A5798"/>
    <w:rsid w:val="009D3549"/>
    <w:rsid w:val="009E34CB"/>
    <w:rsid w:val="009F5813"/>
    <w:rsid w:val="00A0061E"/>
    <w:rsid w:val="00A0511A"/>
    <w:rsid w:val="00A15ACE"/>
    <w:rsid w:val="00A21194"/>
    <w:rsid w:val="00A25C52"/>
    <w:rsid w:val="00A26DEE"/>
    <w:rsid w:val="00A369E1"/>
    <w:rsid w:val="00A37038"/>
    <w:rsid w:val="00A4379F"/>
    <w:rsid w:val="00A467BD"/>
    <w:rsid w:val="00A4760F"/>
    <w:rsid w:val="00A73868"/>
    <w:rsid w:val="00A820AD"/>
    <w:rsid w:val="00A8702B"/>
    <w:rsid w:val="00A91299"/>
    <w:rsid w:val="00AA2FDB"/>
    <w:rsid w:val="00AA46D0"/>
    <w:rsid w:val="00AA4DCB"/>
    <w:rsid w:val="00AB33F4"/>
    <w:rsid w:val="00AB4172"/>
    <w:rsid w:val="00AC5837"/>
    <w:rsid w:val="00AC5ED4"/>
    <w:rsid w:val="00AC623E"/>
    <w:rsid w:val="00AC7886"/>
    <w:rsid w:val="00AD3B2F"/>
    <w:rsid w:val="00AE5822"/>
    <w:rsid w:val="00AF634C"/>
    <w:rsid w:val="00B00068"/>
    <w:rsid w:val="00B04EDB"/>
    <w:rsid w:val="00B06AF6"/>
    <w:rsid w:val="00B07964"/>
    <w:rsid w:val="00B14389"/>
    <w:rsid w:val="00B1696E"/>
    <w:rsid w:val="00B207FB"/>
    <w:rsid w:val="00B251D5"/>
    <w:rsid w:val="00B533FD"/>
    <w:rsid w:val="00B542D5"/>
    <w:rsid w:val="00B62820"/>
    <w:rsid w:val="00B640F8"/>
    <w:rsid w:val="00B6429B"/>
    <w:rsid w:val="00B812C3"/>
    <w:rsid w:val="00B816F2"/>
    <w:rsid w:val="00B866C5"/>
    <w:rsid w:val="00B9314A"/>
    <w:rsid w:val="00B97E8B"/>
    <w:rsid w:val="00BB0DD6"/>
    <w:rsid w:val="00BB79AE"/>
    <w:rsid w:val="00BC10C0"/>
    <w:rsid w:val="00BC416A"/>
    <w:rsid w:val="00BD2E8B"/>
    <w:rsid w:val="00BD4EF3"/>
    <w:rsid w:val="00BD67B1"/>
    <w:rsid w:val="00BF2ACB"/>
    <w:rsid w:val="00BF6472"/>
    <w:rsid w:val="00C018AC"/>
    <w:rsid w:val="00C43CA0"/>
    <w:rsid w:val="00C46F9D"/>
    <w:rsid w:val="00C47FCD"/>
    <w:rsid w:val="00C54A33"/>
    <w:rsid w:val="00C54C36"/>
    <w:rsid w:val="00C5768B"/>
    <w:rsid w:val="00C7260E"/>
    <w:rsid w:val="00C7549A"/>
    <w:rsid w:val="00C80DDB"/>
    <w:rsid w:val="00C87516"/>
    <w:rsid w:val="00CB3811"/>
    <w:rsid w:val="00CB708E"/>
    <w:rsid w:val="00CC3520"/>
    <w:rsid w:val="00CD046F"/>
    <w:rsid w:val="00CE2681"/>
    <w:rsid w:val="00CE2C4C"/>
    <w:rsid w:val="00CF5938"/>
    <w:rsid w:val="00D02709"/>
    <w:rsid w:val="00D02FD1"/>
    <w:rsid w:val="00D037DD"/>
    <w:rsid w:val="00D06A86"/>
    <w:rsid w:val="00D11562"/>
    <w:rsid w:val="00D11EC1"/>
    <w:rsid w:val="00D12D4E"/>
    <w:rsid w:val="00D163C7"/>
    <w:rsid w:val="00D25AE1"/>
    <w:rsid w:val="00D2756B"/>
    <w:rsid w:val="00D2782F"/>
    <w:rsid w:val="00D31837"/>
    <w:rsid w:val="00D53A8F"/>
    <w:rsid w:val="00D6033A"/>
    <w:rsid w:val="00D67E46"/>
    <w:rsid w:val="00D70C0B"/>
    <w:rsid w:val="00D729A8"/>
    <w:rsid w:val="00D77B21"/>
    <w:rsid w:val="00D83E55"/>
    <w:rsid w:val="00D86793"/>
    <w:rsid w:val="00D93A00"/>
    <w:rsid w:val="00DA1179"/>
    <w:rsid w:val="00DB4688"/>
    <w:rsid w:val="00DB7A08"/>
    <w:rsid w:val="00DC2A7A"/>
    <w:rsid w:val="00DD082C"/>
    <w:rsid w:val="00DE4091"/>
    <w:rsid w:val="00DE7123"/>
    <w:rsid w:val="00DF1D6B"/>
    <w:rsid w:val="00E05366"/>
    <w:rsid w:val="00E115ED"/>
    <w:rsid w:val="00E21631"/>
    <w:rsid w:val="00E41849"/>
    <w:rsid w:val="00E43048"/>
    <w:rsid w:val="00E4328A"/>
    <w:rsid w:val="00E43FC5"/>
    <w:rsid w:val="00E45687"/>
    <w:rsid w:val="00E53692"/>
    <w:rsid w:val="00E542CE"/>
    <w:rsid w:val="00E560B5"/>
    <w:rsid w:val="00E653CA"/>
    <w:rsid w:val="00E67FC5"/>
    <w:rsid w:val="00E70863"/>
    <w:rsid w:val="00E712E6"/>
    <w:rsid w:val="00E800E8"/>
    <w:rsid w:val="00E84E11"/>
    <w:rsid w:val="00E87355"/>
    <w:rsid w:val="00E92033"/>
    <w:rsid w:val="00E92BB9"/>
    <w:rsid w:val="00EA1A9C"/>
    <w:rsid w:val="00EA219F"/>
    <w:rsid w:val="00EA58FA"/>
    <w:rsid w:val="00EA62DB"/>
    <w:rsid w:val="00EB0959"/>
    <w:rsid w:val="00EB57EA"/>
    <w:rsid w:val="00EC38ED"/>
    <w:rsid w:val="00ED0ADA"/>
    <w:rsid w:val="00ED370F"/>
    <w:rsid w:val="00ED72BB"/>
    <w:rsid w:val="00EE50B9"/>
    <w:rsid w:val="00EE725F"/>
    <w:rsid w:val="00EF7782"/>
    <w:rsid w:val="00F01167"/>
    <w:rsid w:val="00F0772F"/>
    <w:rsid w:val="00F101AA"/>
    <w:rsid w:val="00F1215B"/>
    <w:rsid w:val="00F1441F"/>
    <w:rsid w:val="00F145D2"/>
    <w:rsid w:val="00F16FD3"/>
    <w:rsid w:val="00F41540"/>
    <w:rsid w:val="00F476AA"/>
    <w:rsid w:val="00F532EA"/>
    <w:rsid w:val="00F53AF7"/>
    <w:rsid w:val="00F606FB"/>
    <w:rsid w:val="00F6085F"/>
    <w:rsid w:val="00F713AF"/>
    <w:rsid w:val="00F91321"/>
    <w:rsid w:val="00F91B32"/>
    <w:rsid w:val="00FA5BD0"/>
    <w:rsid w:val="00FD3474"/>
    <w:rsid w:val="00FE09DF"/>
    <w:rsid w:val="00FE2726"/>
    <w:rsid w:val="00FE3D08"/>
    <w:rsid w:val="00FE5765"/>
    <w:rsid w:val="00FE5A21"/>
    <w:rsid w:val="00FF0BD7"/>
    <w:rsid w:val="00FF190B"/>
    <w:rsid w:val="00FF305D"/>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4D092DC9-955D-0848-B8FF-7FF16329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89320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893200"/>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 w:type="paragraph" w:styleId="Revisin">
    <w:name w:val="Revision"/>
    <w:hidden/>
    <w:uiPriority w:val="99"/>
    <w:semiHidden/>
    <w:rsid w:val="00B07964"/>
    <w:rPr>
      <w:sz w:val="16"/>
      <w:szCs w:val="16"/>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91BD539F-C23D-49D4-949E-97B0A11A8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89E29-BFC8-4F39-B098-BE504796BF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2F397B-0064-4042-B7AB-083957104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16</Pages>
  <Words>5765</Words>
  <Characters>32863</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Luis Vergara</cp:lastModifiedBy>
  <cp:revision>11</cp:revision>
  <dcterms:created xsi:type="dcterms:W3CDTF">2021-02-09T22:12:00Z</dcterms:created>
  <dcterms:modified xsi:type="dcterms:W3CDTF">2021-02-22T19:02:00Z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