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0BD6F" w14:textId="77777777" w:rsidR="009E3ECE" w:rsidRPr="00B2794C" w:rsidRDefault="009E3ECE" w:rsidP="00392598">
      <w:pPr>
        <w:pStyle w:val="Sinespaciado"/>
        <w:rPr>
          <w:color w:val="auto"/>
          <w:szCs w:val="24"/>
        </w:rPr>
      </w:pPr>
      <w:r w:rsidRPr="00B2794C">
        <w:rPr>
          <w:color w:val="auto"/>
          <w:szCs w:val="24"/>
        </w:rPr>
        <w:t>CONSEJERO PONENTE: JAIME ENRIQUE RODRÍGUEZ NAVAS</w:t>
      </w:r>
    </w:p>
    <w:p w14:paraId="66003472" w14:textId="77777777" w:rsidR="009E3ECE" w:rsidRPr="00B2794C" w:rsidRDefault="009E3ECE" w:rsidP="00392598">
      <w:pPr>
        <w:contextualSpacing/>
        <w:rPr>
          <w:b/>
          <w:bCs/>
          <w:sz w:val="24"/>
          <w:szCs w:val="24"/>
        </w:rPr>
      </w:pPr>
    </w:p>
    <w:p w14:paraId="30E8F38C" w14:textId="1E6A56F2" w:rsidR="009E3ECE" w:rsidRPr="00B2794C" w:rsidRDefault="00BE70DA" w:rsidP="00392598">
      <w:pPr>
        <w:contextualSpacing/>
        <w:rPr>
          <w:bCs/>
          <w:sz w:val="24"/>
          <w:szCs w:val="24"/>
        </w:rPr>
      </w:pPr>
      <w:r w:rsidRPr="00B2794C">
        <w:rPr>
          <w:bCs/>
          <w:sz w:val="24"/>
          <w:szCs w:val="24"/>
        </w:rPr>
        <w:t xml:space="preserve">Bogotá D.C., </w:t>
      </w:r>
      <w:r w:rsidR="00D71E69">
        <w:rPr>
          <w:bCs/>
          <w:sz w:val="24"/>
          <w:szCs w:val="24"/>
        </w:rPr>
        <w:t>quince</w:t>
      </w:r>
      <w:r w:rsidR="00392C1E" w:rsidRPr="00B2794C">
        <w:rPr>
          <w:bCs/>
          <w:sz w:val="24"/>
          <w:szCs w:val="24"/>
        </w:rPr>
        <w:t xml:space="preserve"> </w:t>
      </w:r>
      <w:r w:rsidR="00F67C50" w:rsidRPr="00B2794C">
        <w:rPr>
          <w:bCs/>
          <w:sz w:val="24"/>
          <w:szCs w:val="24"/>
        </w:rPr>
        <w:t>(</w:t>
      </w:r>
      <w:r w:rsidR="00EA772D" w:rsidRPr="00B2794C">
        <w:rPr>
          <w:bCs/>
          <w:sz w:val="24"/>
          <w:szCs w:val="24"/>
        </w:rPr>
        <w:t>1</w:t>
      </w:r>
      <w:r w:rsidR="00D71E69">
        <w:rPr>
          <w:bCs/>
          <w:sz w:val="24"/>
          <w:szCs w:val="24"/>
        </w:rPr>
        <w:t>5</w:t>
      </w:r>
      <w:r w:rsidR="009E3ECE" w:rsidRPr="00B2794C">
        <w:rPr>
          <w:bCs/>
          <w:sz w:val="24"/>
          <w:szCs w:val="24"/>
        </w:rPr>
        <w:t>) de</w:t>
      </w:r>
      <w:r w:rsidR="00EA772D" w:rsidRPr="00B2794C">
        <w:rPr>
          <w:bCs/>
          <w:sz w:val="24"/>
          <w:szCs w:val="24"/>
        </w:rPr>
        <w:t xml:space="preserve"> febrero</w:t>
      </w:r>
      <w:r w:rsidR="00392C1E" w:rsidRPr="00B2794C">
        <w:rPr>
          <w:bCs/>
          <w:sz w:val="24"/>
          <w:szCs w:val="24"/>
        </w:rPr>
        <w:t xml:space="preserve"> dos mil veintiuno (2021</w:t>
      </w:r>
      <w:r w:rsidR="009E3ECE" w:rsidRPr="00B2794C">
        <w:rPr>
          <w:bCs/>
          <w:sz w:val="24"/>
          <w:szCs w:val="24"/>
        </w:rPr>
        <w:t>).</w:t>
      </w:r>
    </w:p>
    <w:p w14:paraId="73D41E8B" w14:textId="77777777" w:rsidR="009E3ECE" w:rsidRPr="00B2794C" w:rsidRDefault="009E3ECE" w:rsidP="00392598">
      <w:pPr>
        <w:contextualSpacing/>
        <w:rPr>
          <w:b/>
          <w:sz w:val="24"/>
          <w:szCs w:val="24"/>
        </w:rPr>
      </w:pPr>
    </w:p>
    <w:p w14:paraId="2BA4AEC9" w14:textId="77777777" w:rsidR="009E3ECE" w:rsidRPr="00B2794C" w:rsidRDefault="009E3ECE" w:rsidP="00392598">
      <w:pPr>
        <w:ind w:left="1985" w:hanging="1985"/>
        <w:contextualSpacing/>
        <w:rPr>
          <w:b/>
          <w:sz w:val="24"/>
          <w:szCs w:val="24"/>
        </w:rPr>
      </w:pPr>
      <w:r w:rsidRPr="00B2794C">
        <w:rPr>
          <w:b/>
          <w:sz w:val="24"/>
          <w:szCs w:val="24"/>
        </w:rPr>
        <w:t xml:space="preserve">Referencia: </w:t>
      </w:r>
      <w:r w:rsidRPr="00B2794C">
        <w:rPr>
          <w:b/>
          <w:sz w:val="24"/>
          <w:szCs w:val="24"/>
        </w:rPr>
        <w:tab/>
      </w:r>
      <w:r w:rsidRPr="00B2794C">
        <w:rPr>
          <w:sz w:val="24"/>
          <w:szCs w:val="24"/>
        </w:rPr>
        <w:t>Acción de tutela.</w:t>
      </w:r>
    </w:p>
    <w:p w14:paraId="67D22B43" w14:textId="2C8EE15A" w:rsidR="009E3ECE" w:rsidRPr="00B2794C" w:rsidRDefault="009E3ECE" w:rsidP="00392598">
      <w:pPr>
        <w:tabs>
          <w:tab w:val="left" w:pos="1985"/>
        </w:tabs>
        <w:contextualSpacing/>
        <w:rPr>
          <w:sz w:val="24"/>
          <w:szCs w:val="24"/>
        </w:rPr>
      </w:pPr>
      <w:r w:rsidRPr="00B2794C">
        <w:rPr>
          <w:b/>
          <w:sz w:val="24"/>
          <w:szCs w:val="24"/>
        </w:rPr>
        <w:t>Radicación:</w:t>
      </w:r>
      <w:r w:rsidRPr="00B2794C">
        <w:rPr>
          <w:b/>
          <w:sz w:val="24"/>
          <w:szCs w:val="24"/>
        </w:rPr>
        <w:tab/>
      </w:r>
      <w:r w:rsidR="00542042" w:rsidRPr="00B2794C">
        <w:rPr>
          <w:sz w:val="24"/>
          <w:szCs w:val="24"/>
        </w:rPr>
        <w:t>11001-03-15-000-2020-05272</w:t>
      </w:r>
      <w:r w:rsidRPr="00B2794C">
        <w:rPr>
          <w:sz w:val="24"/>
          <w:szCs w:val="24"/>
        </w:rPr>
        <w:t>-00.</w:t>
      </w:r>
    </w:p>
    <w:p w14:paraId="04D285CE" w14:textId="59FC9EBC" w:rsidR="009E3ECE" w:rsidRPr="00B2794C" w:rsidRDefault="009E3ECE" w:rsidP="00392598">
      <w:pPr>
        <w:tabs>
          <w:tab w:val="left" w:pos="1985"/>
        </w:tabs>
        <w:contextualSpacing/>
        <w:rPr>
          <w:sz w:val="24"/>
          <w:szCs w:val="24"/>
        </w:rPr>
      </w:pPr>
      <w:r w:rsidRPr="00B2794C">
        <w:rPr>
          <w:b/>
          <w:sz w:val="24"/>
          <w:szCs w:val="24"/>
        </w:rPr>
        <w:t>Accionante:</w:t>
      </w:r>
      <w:r w:rsidRPr="00B2794C">
        <w:rPr>
          <w:b/>
          <w:sz w:val="24"/>
          <w:szCs w:val="24"/>
        </w:rPr>
        <w:tab/>
      </w:r>
      <w:r w:rsidR="00542042" w:rsidRPr="00B2794C">
        <w:rPr>
          <w:sz w:val="24"/>
          <w:szCs w:val="24"/>
        </w:rPr>
        <w:t>Deyanira Rico Herrera</w:t>
      </w:r>
      <w:r w:rsidRPr="00B2794C">
        <w:rPr>
          <w:sz w:val="24"/>
          <w:szCs w:val="24"/>
        </w:rPr>
        <w:t>.</w:t>
      </w:r>
    </w:p>
    <w:p w14:paraId="1B63E8DC" w14:textId="38AE3243" w:rsidR="009E3ECE" w:rsidRPr="00B2794C" w:rsidRDefault="009E3ECE" w:rsidP="00392598">
      <w:pPr>
        <w:tabs>
          <w:tab w:val="left" w:pos="1985"/>
        </w:tabs>
        <w:ind w:left="1985" w:right="51" w:hanging="1985"/>
        <w:contextualSpacing/>
        <w:rPr>
          <w:bCs/>
          <w:sz w:val="24"/>
          <w:szCs w:val="24"/>
        </w:rPr>
      </w:pPr>
      <w:r w:rsidRPr="00B2794C">
        <w:rPr>
          <w:b/>
          <w:sz w:val="24"/>
          <w:szCs w:val="24"/>
        </w:rPr>
        <w:t>Accionado</w:t>
      </w:r>
      <w:r w:rsidR="006B4A79" w:rsidRPr="00B2794C">
        <w:rPr>
          <w:b/>
          <w:sz w:val="24"/>
          <w:szCs w:val="24"/>
        </w:rPr>
        <w:t>s</w:t>
      </w:r>
      <w:r w:rsidRPr="00B2794C">
        <w:rPr>
          <w:b/>
          <w:sz w:val="24"/>
          <w:szCs w:val="24"/>
        </w:rPr>
        <w:t>:</w:t>
      </w:r>
      <w:r w:rsidRPr="00B2794C">
        <w:rPr>
          <w:b/>
          <w:sz w:val="24"/>
          <w:szCs w:val="24"/>
        </w:rPr>
        <w:tab/>
      </w:r>
      <w:r w:rsidR="00542042" w:rsidRPr="00B2794C">
        <w:rPr>
          <w:sz w:val="24"/>
          <w:szCs w:val="24"/>
        </w:rPr>
        <w:t>Subsección A de la Sección Segunda del Consejo de Estado.</w:t>
      </w:r>
    </w:p>
    <w:p w14:paraId="62E8FC2A" w14:textId="77777777" w:rsidR="009E3ECE" w:rsidRPr="00B2794C" w:rsidRDefault="009E3ECE" w:rsidP="00392598">
      <w:pPr>
        <w:tabs>
          <w:tab w:val="left" w:pos="8222"/>
        </w:tabs>
        <w:ind w:right="51"/>
        <w:contextualSpacing/>
        <w:rPr>
          <w:b/>
          <w:sz w:val="24"/>
          <w:szCs w:val="24"/>
        </w:rPr>
      </w:pPr>
    </w:p>
    <w:p w14:paraId="1F1EB299" w14:textId="77777777" w:rsidR="009E3ECE" w:rsidRPr="00B2794C" w:rsidRDefault="009E3ECE" w:rsidP="00392598">
      <w:pPr>
        <w:pBdr>
          <w:bottom w:val="single" w:sz="12" w:space="0" w:color="auto"/>
        </w:pBdr>
        <w:ind w:left="2832" w:hanging="2832"/>
        <w:contextualSpacing/>
        <w:rPr>
          <w:b/>
          <w:sz w:val="24"/>
          <w:szCs w:val="24"/>
        </w:rPr>
      </w:pPr>
      <w:r w:rsidRPr="00B2794C">
        <w:rPr>
          <w:b/>
          <w:sz w:val="24"/>
          <w:szCs w:val="24"/>
        </w:rPr>
        <w:t>SENTENCIA DE PRIMERA INSTANCIA</w:t>
      </w:r>
    </w:p>
    <w:p w14:paraId="77B65B2A" w14:textId="77777777" w:rsidR="009E3ECE" w:rsidRPr="00B2794C" w:rsidRDefault="009E3ECE" w:rsidP="00392598">
      <w:pPr>
        <w:contextualSpacing/>
        <w:jc w:val="center"/>
        <w:rPr>
          <w:b/>
          <w:sz w:val="24"/>
          <w:szCs w:val="24"/>
        </w:rPr>
      </w:pPr>
    </w:p>
    <w:p w14:paraId="51B37D38" w14:textId="122ED95C" w:rsidR="009E3ECE" w:rsidRPr="00B2794C" w:rsidRDefault="009E3ECE" w:rsidP="00392598">
      <w:pPr>
        <w:pStyle w:val="Textoindependiente21"/>
        <w:spacing w:after="0"/>
        <w:ind w:left="0"/>
        <w:jc w:val="both"/>
        <w:rPr>
          <w:rFonts w:cs="Arial"/>
          <w:bCs/>
          <w:sz w:val="24"/>
          <w:szCs w:val="24"/>
          <w:lang w:val="es-CO"/>
        </w:rPr>
      </w:pPr>
      <w:r w:rsidRPr="00B2794C">
        <w:rPr>
          <w:rFonts w:cs="Arial"/>
          <w:sz w:val="24"/>
          <w:szCs w:val="24"/>
        </w:rPr>
        <w:t>La Sala decide en primera instancia la acción de tutela incoada por</w:t>
      </w:r>
      <w:r w:rsidR="00BE70DA" w:rsidRPr="00B2794C">
        <w:rPr>
          <w:rFonts w:cs="Arial"/>
          <w:sz w:val="24"/>
          <w:szCs w:val="24"/>
        </w:rPr>
        <w:t xml:space="preserve"> </w:t>
      </w:r>
      <w:r w:rsidR="00542042" w:rsidRPr="00B2794C">
        <w:rPr>
          <w:rFonts w:cs="Arial"/>
          <w:sz w:val="24"/>
          <w:szCs w:val="24"/>
        </w:rPr>
        <w:t>Deyanira Rico Herrera</w:t>
      </w:r>
      <w:r w:rsidR="00542042" w:rsidRPr="00B2794C">
        <w:rPr>
          <w:rFonts w:cs="Arial"/>
          <w:sz w:val="24"/>
          <w:szCs w:val="24"/>
          <w:lang w:val="es-CO"/>
        </w:rPr>
        <w:t xml:space="preserve"> </w:t>
      </w:r>
      <w:r w:rsidRPr="00B2794C">
        <w:rPr>
          <w:rFonts w:cs="Arial"/>
          <w:sz w:val="24"/>
          <w:szCs w:val="24"/>
          <w:lang w:val="es-CO"/>
        </w:rPr>
        <w:t>en contra</w:t>
      </w:r>
      <w:bookmarkStart w:id="0" w:name="_Hlk49761891"/>
      <w:r w:rsidR="00147982" w:rsidRPr="00B2794C">
        <w:rPr>
          <w:rFonts w:cs="Arial"/>
          <w:bCs/>
          <w:sz w:val="24"/>
          <w:szCs w:val="24"/>
        </w:rPr>
        <w:t xml:space="preserve"> de la </w:t>
      </w:r>
      <w:r w:rsidR="00542042" w:rsidRPr="00B2794C">
        <w:rPr>
          <w:rFonts w:cs="Arial"/>
          <w:sz w:val="24"/>
          <w:szCs w:val="24"/>
        </w:rPr>
        <w:t>Subsección A de la Sección Segunda del Consejo de Estado</w:t>
      </w:r>
      <w:r w:rsidRPr="00B2794C">
        <w:rPr>
          <w:rFonts w:cs="Arial"/>
          <w:bCs/>
          <w:sz w:val="24"/>
          <w:szCs w:val="24"/>
          <w:lang w:val="es-CO"/>
        </w:rPr>
        <w:t>.</w:t>
      </w:r>
    </w:p>
    <w:p w14:paraId="3651B085" w14:textId="77777777" w:rsidR="0015104D" w:rsidRPr="00B2794C" w:rsidRDefault="0015104D" w:rsidP="00392598">
      <w:pPr>
        <w:pStyle w:val="Textoindependiente21"/>
        <w:spacing w:after="0"/>
        <w:ind w:left="0"/>
        <w:jc w:val="both"/>
        <w:rPr>
          <w:rFonts w:cs="Arial"/>
          <w:bCs/>
          <w:sz w:val="24"/>
          <w:szCs w:val="24"/>
          <w:lang w:val="es-CO"/>
        </w:rPr>
      </w:pPr>
    </w:p>
    <w:bookmarkEnd w:id="0"/>
    <w:p w14:paraId="6DD7A65B" w14:textId="77777777" w:rsidR="009E3ECE" w:rsidRPr="00B2794C" w:rsidRDefault="009E3ECE" w:rsidP="00392598">
      <w:pPr>
        <w:pStyle w:val="Ttulo1"/>
        <w:spacing w:before="0" w:after="0" w:line="240" w:lineRule="auto"/>
        <w:rPr>
          <w:rFonts w:cs="Arial"/>
          <w:szCs w:val="24"/>
        </w:rPr>
      </w:pPr>
      <w:r w:rsidRPr="00B2794C">
        <w:rPr>
          <w:rFonts w:cs="Arial"/>
          <w:szCs w:val="24"/>
        </w:rPr>
        <w:t>ANTECEDENTES</w:t>
      </w:r>
    </w:p>
    <w:p w14:paraId="0515E92C" w14:textId="77777777" w:rsidR="009E3ECE" w:rsidRPr="00B2794C" w:rsidRDefault="009E3ECE" w:rsidP="00392598">
      <w:pPr>
        <w:rPr>
          <w:sz w:val="24"/>
          <w:szCs w:val="24"/>
        </w:rPr>
      </w:pPr>
    </w:p>
    <w:p w14:paraId="349EF70E" w14:textId="77777777" w:rsidR="009E3ECE" w:rsidRPr="00B2794C" w:rsidRDefault="009E3ECE" w:rsidP="00392598">
      <w:pPr>
        <w:pStyle w:val="Ttulo2"/>
        <w:spacing w:before="0" w:after="0"/>
        <w:rPr>
          <w:rFonts w:cs="Arial"/>
          <w:szCs w:val="24"/>
          <w:lang w:eastAsia="es-ES"/>
        </w:rPr>
      </w:pPr>
      <w:r w:rsidRPr="00B2794C">
        <w:rPr>
          <w:rFonts w:cs="Arial"/>
          <w:szCs w:val="24"/>
          <w:lang w:eastAsia="es-ES"/>
        </w:rPr>
        <w:t>Solicitud de tutela</w:t>
      </w:r>
    </w:p>
    <w:p w14:paraId="5178A528" w14:textId="77777777" w:rsidR="009E3ECE" w:rsidRPr="00B2794C" w:rsidRDefault="009E3ECE" w:rsidP="00392598">
      <w:pPr>
        <w:overflowPunct w:val="0"/>
        <w:autoSpaceDE w:val="0"/>
        <w:autoSpaceDN w:val="0"/>
        <w:adjustRightInd w:val="0"/>
        <w:contextualSpacing/>
        <w:textAlignment w:val="baseline"/>
        <w:rPr>
          <w:sz w:val="24"/>
          <w:szCs w:val="24"/>
        </w:rPr>
      </w:pPr>
    </w:p>
    <w:p w14:paraId="4718E0D0" w14:textId="1BD320E2" w:rsidR="001C4D01" w:rsidRPr="00B2794C" w:rsidRDefault="00542042" w:rsidP="00392598">
      <w:pPr>
        <w:autoSpaceDE w:val="0"/>
        <w:autoSpaceDN w:val="0"/>
        <w:adjustRightInd w:val="0"/>
        <w:rPr>
          <w:sz w:val="24"/>
          <w:szCs w:val="24"/>
          <w:lang w:val="es-MX" w:eastAsia="ja-JP"/>
        </w:rPr>
      </w:pPr>
      <w:r w:rsidRPr="00B2794C">
        <w:rPr>
          <w:sz w:val="24"/>
          <w:szCs w:val="24"/>
        </w:rPr>
        <w:t>Deyanira Rico Herrera</w:t>
      </w:r>
      <w:r w:rsidR="006B4A79" w:rsidRPr="00B2794C">
        <w:rPr>
          <w:sz w:val="24"/>
          <w:szCs w:val="24"/>
          <w:lang w:val="es-MX" w:eastAsia="ja-JP"/>
        </w:rPr>
        <w:t xml:space="preserve"> solicitó</w:t>
      </w:r>
      <w:r w:rsidR="0054247D" w:rsidRPr="00B2794C">
        <w:rPr>
          <w:sz w:val="24"/>
          <w:szCs w:val="24"/>
          <w:lang w:val="es-MX" w:eastAsia="ja-JP"/>
        </w:rPr>
        <w:t xml:space="preserve"> el amparo constitucional de su</w:t>
      </w:r>
      <w:r w:rsidR="002B26F8" w:rsidRPr="00B2794C">
        <w:rPr>
          <w:sz w:val="24"/>
          <w:szCs w:val="24"/>
          <w:lang w:val="es-MX" w:eastAsia="ja-JP"/>
        </w:rPr>
        <w:t>s</w:t>
      </w:r>
      <w:r w:rsidR="0054247D" w:rsidRPr="00B2794C">
        <w:rPr>
          <w:sz w:val="24"/>
          <w:szCs w:val="24"/>
          <w:lang w:val="es-MX" w:eastAsia="ja-JP"/>
        </w:rPr>
        <w:t xml:space="preserve"> </w:t>
      </w:r>
      <w:r w:rsidR="0015104D" w:rsidRPr="00B2794C">
        <w:rPr>
          <w:sz w:val="24"/>
          <w:szCs w:val="24"/>
          <w:lang w:val="es-MX" w:eastAsia="ja-JP"/>
        </w:rPr>
        <w:t xml:space="preserve">derechos fundamentales </w:t>
      </w:r>
      <w:r w:rsidRPr="00B2794C">
        <w:rPr>
          <w:sz w:val="24"/>
          <w:szCs w:val="24"/>
          <w:lang w:val="es-MX" w:eastAsia="ja-JP"/>
        </w:rPr>
        <w:t xml:space="preserve">a la igualdad, al debido proceso y al trabajo, </w:t>
      </w:r>
      <w:r w:rsidR="000B5617" w:rsidRPr="00B2794C">
        <w:rPr>
          <w:sz w:val="24"/>
          <w:szCs w:val="24"/>
          <w:lang w:val="es-MX" w:eastAsia="ja-JP"/>
        </w:rPr>
        <w:t xml:space="preserve">que consideró </w:t>
      </w:r>
      <w:r w:rsidR="0015104D" w:rsidRPr="00B2794C">
        <w:rPr>
          <w:sz w:val="24"/>
          <w:szCs w:val="24"/>
          <w:lang w:val="es-MX" w:eastAsia="ja-JP"/>
        </w:rPr>
        <w:t>fueron vulnerados por</w:t>
      </w:r>
      <w:r w:rsidR="00147982" w:rsidRPr="00B2794C">
        <w:rPr>
          <w:sz w:val="24"/>
          <w:szCs w:val="24"/>
          <w:lang w:val="es-MX" w:eastAsia="ja-JP"/>
        </w:rPr>
        <w:t xml:space="preserve"> la</w:t>
      </w:r>
      <w:r w:rsidRPr="00B2794C">
        <w:rPr>
          <w:sz w:val="24"/>
          <w:szCs w:val="24"/>
          <w:lang w:val="es-MX" w:eastAsia="ja-JP"/>
        </w:rPr>
        <w:t xml:space="preserve"> Subsección A de la Sección Segunda del Consejo de Estado</w:t>
      </w:r>
      <w:r w:rsidR="0015104D" w:rsidRPr="00B2794C">
        <w:rPr>
          <w:sz w:val="24"/>
          <w:szCs w:val="24"/>
          <w:lang w:val="es-MX" w:eastAsia="ja-JP"/>
        </w:rPr>
        <w:t xml:space="preserve">, </w:t>
      </w:r>
      <w:r w:rsidR="00147982" w:rsidRPr="00B2794C">
        <w:rPr>
          <w:sz w:val="24"/>
          <w:szCs w:val="24"/>
          <w:lang w:val="es-MX" w:eastAsia="ja-JP"/>
        </w:rPr>
        <w:t xml:space="preserve">con ocasión de la sentencia </w:t>
      </w:r>
      <w:r w:rsidRPr="00B2794C">
        <w:rPr>
          <w:sz w:val="24"/>
          <w:szCs w:val="24"/>
          <w:lang w:val="es-MX" w:eastAsia="ja-JP"/>
        </w:rPr>
        <w:t xml:space="preserve">de segunda instancia </w:t>
      </w:r>
      <w:r w:rsidR="00287E91" w:rsidRPr="00B2794C">
        <w:rPr>
          <w:sz w:val="24"/>
          <w:szCs w:val="24"/>
          <w:lang w:val="es-MX" w:eastAsia="ja-JP"/>
        </w:rPr>
        <w:t xml:space="preserve">que dicha autoridad profirió el </w:t>
      </w:r>
      <w:r w:rsidRPr="00B2794C">
        <w:rPr>
          <w:sz w:val="24"/>
          <w:szCs w:val="24"/>
          <w:lang w:val="es-MX" w:eastAsia="ja-JP"/>
        </w:rPr>
        <w:t>30 de julio</w:t>
      </w:r>
      <w:r w:rsidR="00147982" w:rsidRPr="00B2794C">
        <w:rPr>
          <w:sz w:val="24"/>
          <w:szCs w:val="24"/>
          <w:lang w:val="es-MX" w:eastAsia="ja-JP"/>
        </w:rPr>
        <w:t xml:space="preserve"> de 2020 dentro del proceso </w:t>
      </w:r>
      <w:r w:rsidRPr="00B2794C">
        <w:rPr>
          <w:sz w:val="24"/>
          <w:szCs w:val="24"/>
          <w:lang w:val="es-MX" w:eastAsia="ja-JP"/>
        </w:rPr>
        <w:t xml:space="preserve">de nulidad y restablecimiento del derecho </w:t>
      </w:r>
      <w:r w:rsidR="0015104D" w:rsidRPr="00B2794C">
        <w:rPr>
          <w:sz w:val="24"/>
          <w:szCs w:val="24"/>
          <w:lang w:val="es-MX" w:eastAsia="ja-JP"/>
        </w:rPr>
        <w:t>con ra</w:t>
      </w:r>
      <w:r w:rsidR="001917C4" w:rsidRPr="00B2794C">
        <w:rPr>
          <w:sz w:val="24"/>
          <w:szCs w:val="24"/>
          <w:lang w:val="es-MX" w:eastAsia="ja-JP"/>
        </w:rPr>
        <w:t xml:space="preserve">dicado </w:t>
      </w:r>
      <w:r w:rsidRPr="00B2794C">
        <w:rPr>
          <w:sz w:val="24"/>
          <w:szCs w:val="24"/>
          <w:lang w:val="es-MX" w:eastAsia="ja-JP"/>
        </w:rPr>
        <w:t>25000-23-42-000-2015-03244-01</w:t>
      </w:r>
      <w:r w:rsidR="0015104D" w:rsidRPr="00B2794C">
        <w:rPr>
          <w:sz w:val="24"/>
          <w:szCs w:val="24"/>
          <w:lang w:val="es-MX" w:eastAsia="ja-JP"/>
        </w:rPr>
        <w:t>.</w:t>
      </w:r>
    </w:p>
    <w:p w14:paraId="542B452B" w14:textId="77777777" w:rsidR="001917C4" w:rsidRPr="00B2794C" w:rsidRDefault="001917C4" w:rsidP="00392598">
      <w:pPr>
        <w:autoSpaceDE w:val="0"/>
        <w:autoSpaceDN w:val="0"/>
        <w:adjustRightInd w:val="0"/>
        <w:rPr>
          <w:rFonts w:eastAsia="Verdana"/>
          <w:sz w:val="24"/>
          <w:szCs w:val="24"/>
          <w:lang w:val="es-MX"/>
        </w:rPr>
      </w:pPr>
    </w:p>
    <w:p w14:paraId="2075725E" w14:textId="3555F784" w:rsidR="001C4D01" w:rsidRPr="00B2794C" w:rsidRDefault="001C4D01" w:rsidP="00392598">
      <w:pPr>
        <w:numPr>
          <w:ilvl w:val="0"/>
          <w:numId w:val="3"/>
        </w:numPr>
        <w:contextualSpacing/>
        <w:rPr>
          <w:rFonts w:eastAsia="Verdana"/>
          <w:b/>
          <w:sz w:val="24"/>
          <w:szCs w:val="24"/>
        </w:rPr>
      </w:pPr>
      <w:r w:rsidRPr="00B2794C">
        <w:rPr>
          <w:rFonts w:eastAsia="Verdana"/>
          <w:b/>
          <w:sz w:val="24"/>
          <w:szCs w:val="24"/>
        </w:rPr>
        <w:t>Hechos</w:t>
      </w:r>
      <w:r w:rsidR="000161D5" w:rsidRPr="00B2794C">
        <w:rPr>
          <w:rStyle w:val="Refdenotaalpie"/>
          <w:rFonts w:eastAsia="Verdana"/>
          <w:b/>
          <w:sz w:val="24"/>
          <w:szCs w:val="24"/>
        </w:rPr>
        <w:footnoteReference w:id="1"/>
      </w:r>
    </w:p>
    <w:p w14:paraId="681D9517" w14:textId="77777777" w:rsidR="00B2794C" w:rsidRPr="00B2794C" w:rsidRDefault="00B2794C" w:rsidP="00B2794C">
      <w:pPr>
        <w:pStyle w:val="Default"/>
        <w:jc w:val="both"/>
      </w:pPr>
    </w:p>
    <w:p w14:paraId="3761E725" w14:textId="193349E1" w:rsidR="00027BE4" w:rsidRDefault="00D71E69" w:rsidP="00B2794C">
      <w:pPr>
        <w:pStyle w:val="Default"/>
        <w:jc w:val="both"/>
        <w:rPr>
          <w:lang w:val="es-MX"/>
        </w:rPr>
      </w:pPr>
      <w:r>
        <w:rPr>
          <w:b/>
        </w:rPr>
        <w:t>2.1</w:t>
      </w:r>
      <w:r w:rsidR="00B2794C" w:rsidRPr="00B2794C">
        <w:rPr>
          <w:b/>
        </w:rPr>
        <w:t xml:space="preserve">. </w:t>
      </w:r>
      <w:r w:rsidR="00B2794C" w:rsidRPr="00B2794C">
        <w:t>Deyanira Rico Herrera presentó demanda en ejercicio del medio de control de nulidad y restablecimiento del derecho, en contra de</w:t>
      </w:r>
      <w:r>
        <w:t xml:space="preserve"> la Administradora Colombiana de Pensiones (Colpensiones)</w:t>
      </w:r>
      <w:r w:rsidR="00B2794C" w:rsidRPr="00B2794C">
        <w:t>, en la que solicitó que se declar</w:t>
      </w:r>
      <w:r w:rsidR="00B2794C">
        <w:t>ara</w:t>
      </w:r>
      <w:r w:rsidR="00B2794C" w:rsidRPr="00B2794C">
        <w:t xml:space="preserve"> la nulidad parcial de las Resoluciones </w:t>
      </w:r>
      <w:r w:rsidR="00B67FA5">
        <w:t xml:space="preserve">núms. </w:t>
      </w:r>
      <w:r w:rsidR="00B2794C" w:rsidRPr="00B2794C">
        <w:t xml:space="preserve">28817 de 2012 y </w:t>
      </w:r>
      <w:r w:rsidR="00B2794C" w:rsidRPr="00B2794C">
        <w:rPr>
          <w:lang w:val="es-MX"/>
        </w:rPr>
        <w:t xml:space="preserve">GNR 309117 de 2014 y, en consecuencia, se ordenara </w:t>
      </w:r>
      <w:r w:rsidR="00B2794C">
        <w:rPr>
          <w:lang w:val="es-MX"/>
        </w:rPr>
        <w:t xml:space="preserve">la reliquidación de su mesada de jubilación de conformidad con lo dispuesto en el Decreto 546 de 1971, en </w:t>
      </w:r>
      <w:r>
        <w:rPr>
          <w:lang w:val="es-MX"/>
        </w:rPr>
        <w:t xml:space="preserve">una </w:t>
      </w:r>
      <w:r w:rsidR="00B2794C">
        <w:rPr>
          <w:lang w:val="es-MX"/>
        </w:rPr>
        <w:t xml:space="preserve">cuantía del 75% de la asignación </w:t>
      </w:r>
      <w:r w:rsidR="00B2794C">
        <w:rPr>
          <w:lang w:val="es-MX"/>
        </w:rPr>
        <w:t xml:space="preserve">mensual </w:t>
      </w:r>
      <w:r w:rsidR="00215178">
        <w:rPr>
          <w:lang w:val="es-MX"/>
        </w:rPr>
        <w:t xml:space="preserve">más </w:t>
      </w:r>
      <w:r w:rsidR="00B2794C">
        <w:rPr>
          <w:lang w:val="es-MX"/>
        </w:rPr>
        <w:t xml:space="preserve">alta </w:t>
      </w:r>
      <w:r w:rsidR="00283C63">
        <w:rPr>
          <w:lang w:val="es-MX"/>
        </w:rPr>
        <w:t>que percibió</w:t>
      </w:r>
      <w:r w:rsidR="00B2794C">
        <w:rPr>
          <w:lang w:val="es-MX"/>
        </w:rPr>
        <w:t xml:space="preserve"> en el último año de servicios, con la inclusión de todos los factores salariales </w:t>
      </w:r>
      <w:r w:rsidR="00283C63">
        <w:rPr>
          <w:lang w:val="es-MX"/>
        </w:rPr>
        <w:t>que devengó</w:t>
      </w:r>
      <w:r w:rsidR="00027BE4">
        <w:rPr>
          <w:lang w:val="es-MX"/>
        </w:rPr>
        <w:t xml:space="preserve">. </w:t>
      </w:r>
    </w:p>
    <w:p w14:paraId="46C65BFE" w14:textId="77777777" w:rsidR="00027BE4" w:rsidRDefault="00027BE4" w:rsidP="00B2794C">
      <w:pPr>
        <w:pStyle w:val="Default"/>
        <w:jc w:val="both"/>
        <w:rPr>
          <w:lang w:val="es-MX"/>
        </w:rPr>
      </w:pPr>
    </w:p>
    <w:p w14:paraId="31447524" w14:textId="7487C363" w:rsidR="00095D8F" w:rsidRDefault="00095D8F" w:rsidP="00B2794C">
      <w:pPr>
        <w:pStyle w:val="Default"/>
        <w:jc w:val="both"/>
        <w:rPr>
          <w:lang w:val="es-MX"/>
        </w:rPr>
      </w:pPr>
      <w:r>
        <w:rPr>
          <w:lang w:val="es-MX"/>
        </w:rPr>
        <w:t xml:space="preserve">Fundamentó su pretensión de nulidad y restablecimiento en que, a la entrada en vigencia de la Ley 100 de 1993 contaba con más de 35 años de edad, y que, con posterioridad, laboró por más de 17 años de trabajo para la rama judicial. </w:t>
      </w:r>
    </w:p>
    <w:p w14:paraId="2A4EAB8A" w14:textId="77777777" w:rsidR="00095D8F" w:rsidRDefault="00095D8F" w:rsidP="00B2794C">
      <w:pPr>
        <w:pStyle w:val="Default"/>
        <w:jc w:val="both"/>
        <w:rPr>
          <w:lang w:val="es-MX"/>
        </w:rPr>
      </w:pPr>
    </w:p>
    <w:p w14:paraId="51ED7D4E" w14:textId="32A89BB2" w:rsidR="00B2794C" w:rsidRDefault="00027BE4" w:rsidP="00B2794C">
      <w:pPr>
        <w:pStyle w:val="Default"/>
        <w:jc w:val="both"/>
        <w:rPr>
          <w:lang w:val="es-MX"/>
        </w:rPr>
      </w:pPr>
      <w:r>
        <w:rPr>
          <w:lang w:val="es-MX"/>
        </w:rPr>
        <w:t>Explicó que tiene derecho al reconocimiento de las pretensiones, dado que,</w:t>
      </w:r>
      <w:r w:rsidR="00B67FA5">
        <w:rPr>
          <w:lang w:val="es-MX"/>
        </w:rPr>
        <w:t xml:space="preserve"> entre otras,</w:t>
      </w:r>
      <w:r>
        <w:rPr>
          <w:lang w:val="es-MX"/>
        </w:rPr>
        <w:t xml:space="preserve"> en la sentencia del 25 de noviembre de 2010 (</w:t>
      </w:r>
      <w:r w:rsidRPr="00283C63">
        <w:rPr>
          <w:u w:val="single"/>
          <w:lang w:val="es-MX"/>
        </w:rPr>
        <w:t>expediente 2109-09</w:t>
      </w:r>
      <w:r>
        <w:rPr>
          <w:lang w:val="es-MX"/>
        </w:rPr>
        <w:t xml:space="preserve">) el Consejo de Estado reconoció una pensión bajo el Decreto 546 de 1971 a una persona que trabajó para la Rama Judicial desde el 19 de septiembre de 1994. </w:t>
      </w:r>
    </w:p>
    <w:p w14:paraId="6B4071E0" w14:textId="77777777" w:rsidR="00027BE4" w:rsidRDefault="00027BE4" w:rsidP="00B2794C">
      <w:pPr>
        <w:pStyle w:val="Default"/>
        <w:jc w:val="both"/>
        <w:rPr>
          <w:lang w:val="es-MX"/>
        </w:rPr>
      </w:pPr>
    </w:p>
    <w:p w14:paraId="7D97EA49" w14:textId="698FE5A9" w:rsidR="001D2377" w:rsidRDefault="00027BE4" w:rsidP="00B2794C">
      <w:pPr>
        <w:pStyle w:val="Default"/>
        <w:jc w:val="both"/>
        <w:rPr>
          <w:lang w:val="es-MX"/>
        </w:rPr>
      </w:pPr>
      <w:r>
        <w:rPr>
          <w:b/>
          <w:lang w:val="es-MX"/>
        </w:rPr>
        <w:t>2.</w:t>
      </w:r>
      <w:r w:rsidR="00283C63">
        <w:rPr>
          <w:b/>
          <w:lang w:val="es-MX"/>
        </w:rPr>
        <w:t>2</w:t>
      </w:r>
      <w:r w:rsidR="00E42D77">
        <w:rPr>
          <w:b/>
          <w:lang w:val="es-MX"/>
        </w:rPr>
        <w:t>.</w:t>
      </w:r>
      <w:r w:rsidR="00283C63">
        <w:rPr>
          <w:b/>
          <w:lang w:val="es-MX"/>
        </w:rPr>
        <w:t xml:space="preserve"> </w:t>
      </w:r>
      <w:r>
        <w:rPr>
          <w:lang w:val="es-MX"/>
        </w:rPr>
        <w:t xml:space="preserve">El asunto correspondió conocerlo al Tribunal Administrativo de Cundinamarca, bajo el radicado </w:t>
      </w:r>
      <w:r w:rsidRPr="00B2794C">
        <w:rPr>
          <w:lang w:val="es-MX"/>
        </w:rPr>
        <w:t>25000-23-42-000-2015-03244-01</w:t>
      </w:r>
      <w:r>
        <w:rPr>
          <w:lang w:val="es-MX"/>
        </w:rPr>
        <w:t xml:space="preserve">, autoridad que profirió sentencia el 31 de enero de 2017 en la que accedió a las pretensiones de la demanda. </w:t>
      </w:r>
    </w:p>
    <w:p w14:paraId="57309B3C" w14:textId="77777777" w:rsidR="001D2377" w:rsidRDefault="001D2377" w:rsidP="00B2794C">
      <w:pPr>
        <w:pStyle w:val="Default"/>
        <w:jc w:val="both"/>
        <w:rPr>
          <w:lang w:val="es-MX"/>
        </w:rPr>
      </w:pPr>
    </w:p>
    <w:p w14:paraId="31DBD963" w14:textId="59DD14D2" w:rsidR="001D2377" w:rsidRDefault="00027BE4" w:rsidP="00B2794C">
      <w:pPr>
        <w:pStyle w:val="Default"/>
        <w:jc w:val="both"/>
        <w:rPr>
          <w:lang w:val="es-MX"/>
        </w:rPr>
      </w:pPr>
      <w:r>
        <w:rPr>
          <w:lang w:val="es-MX"/>
        </w:rPr>
        <w:lastRenderedPageBreak/>
        <w:t xml:space="preserve">Consideró el </w:t>
      </w:r>
      <w:r>
        <w:rPr>
          <w:i/>
          <w:lang w:val="es-MX"/>
        </w:rPr>
        <w:t xml:space="preserve">a quo </w:t>
      </w:r>
      <w:r>
        <w:rPr>
          <w:lang w:val="es-MX"/>
        </w:rPr>
        <w:t xml:space="preserve">que la señora Rico Herrera estaba amparada </w:t>
      </w:r>
      <w:r w:rsidR="001D2377">
        <w:rPr>
          <w:lang w:val="es-MX"/>
        </w:rPr>
        <w:t>bajo</w:t>
      </w:r>
      <w:r>
        <w:rPr>
          <w:lang w:val="es-MX"/>
        </w:rPr>
        <w:t xml:space="preserve"> el régimen de transición de la Ley 100 de 1</w:t>
      </w:r>
      <w:r w:rsidR="00283C63">
        <w:rPr>
          <w:lang w:val="es-MX"/>
        </w:rPr>
        <w:t>993, puesto que al momento de la</w:t>
      </w:r>
      <w:r>
        <w:rPr>
          <w:lang w:val="es-MX"/>
        </w:rPr>
        <w:t xml:space="preserve"> entrada en vigencia</w:t>
      </w:r>
      <w:r w:rsidR="00283C63">
        <w:rPr>
          <w:lang w:val="es-MX"/>
        </w:rPr>
        <w:t xml:space="preserve"> de esta norma</w:t>
      </w:r>
      <w:r w:rsidR="003C242A">
        <w:rPr>
          <w:lang w:val="es-MX"/>
        </w:rPr>
        <w:t>, esto es, el 1 de abril de 1994,</w:t>
      </w:r>
      <w:r>
        <w:rPr>
          <w:lang w:val="es-MX"/>
        </w:rPr>
        <w:t xml:space="preserve"> con</w:t>
      </w:r>
      <w:r w:rsidR="00283C63">
        <w:rPr>
          <w:lang w:val="es-MX"/>
        </w:rPr>
        <w:t>taba con más de 35 años de edad. Además</w:t>
      </w:r>
      <w:r>
        <w:rPr>
          <w:lang w:val="es-MX"/>
        </w:rPr>
        <w:t xml:space="preserve"> que</w:t>
      </w:r>
      <w:r w:rsidR="001D2377">
        <w:rPr>
          <w:lang w:val="es-MX"/>
        </w:rPr>
        <w:t xml:space="preserve"> el reconocimiento pensional no estaba sujeto a que el empleado hubiera estado vinculado a la Rama Judicial o al Ministerio Públ</w:t>
      </w:r>
      <w:r w:rsidR="003C242A">
        <w:rPr>
          <w:lang w:val="es-MX"/>
        </w:rPr>
        <w:t xml:space="preserve">ico con anterioridad al </w:t>
      </w:r>
      <w:r w:rsidR="00283C63">
        <w:rPr>
          <w:lang w:val="es-MX"/>
        </w:rPr>
        <w:t>1 de abril de 1994</w:t>
      </w:r>
      <w:r w:rsidR="003C242A">
        <w:rPr>
          <w:lang w:val="es-MX"/>
        </w:rPr>
        <w:t>.</w:t>
      </w:r>
    </w:p>
    <w:p w14:paraId="6A1B261F" w14:textId="77777777" w:rsidR="001D2377" w:rsidRDefault="001D2377" w:rsidP="00B2794C">
      <w:pPr>
        <w:pStyle w:val="Default"/>
        <w:jc w:val="both"/>
        <w:rPr>
          <w:lang w:val="es-MX"/>
        </w:rPr>
      </w:pPr>
    </w:p>
    <w:p w14:paraId="225D8002" w14:textId="1C0CD134" w:rsidR="00027BE4" w:rsidRDefault="001D2377" w:rsidP="00B2794C">
      <w:pPr>
        <w:pStyle w:val="Default"/>
        <w:jc w:val="both"/>
        <w:rPr>
          <w:lang w:val="es-MX"/>
        </w:rPr>
      </w:pPr>
      <w:r>
        <w:rPr>
          <w:b/>
          <w:lang w:val="es-MX"/>
        </w:rPr>
        <w:t>2.</w:t>
      </w:r>
      <w:r w:rsidR="00283C63">
        <w:rPr>
          <w:b/>
          <w:lang w:val="es-MX"/>
        </w:rPr>
        <w:t>3</w:t>
      </w:r>
      <w:r w:rsidR="00E42D77">
        <w:rPr>
          <w:b/>
          <w:lang w:val="es-MX"/>
        </w:rPr>
        <w:t xml:space="preserve">. </w:t>
      </w:r>
      <w:r>
        <w:rPr>
          <w:lang w:val="es-MX"/>
        </w:rPr>
        <w:t xml:space="preserve">Colpensiones presentó recurso de apelación en contra de la anterior decisión, </w:t>
      </w:r>
      <w:r w:rsidR="003A136F">
        <w:rPr>
          <w:lang w:val="es-MX"/>
        </w:rPr>
        <w:t>en la medida en que afirmó que</w:t>
      </w:r>
      <w:r>
        <w:rPr>
          <w:lang w:val="es-MX"/>
        </w:rPr>
        <w:t>, por un lado</w:t>
      </w:r>
      <w:bookmarkStart w:id="1" w:name="_GoBack"/>
      <w:bookmarkEnd w:id="1"/>
      <w:r>
        <w:rPr>
          <w:lang w:val="es-MX"/>
        </w:rPr>
        <w:t>, la situación pensional de la demandante no se encontraba cobijada por el Decreto 546 de 1971</w:t>
      </w:r>
      <w:r w:rsidR="00283C63">
        <w:rPr>
          <w:lang w:val="es-MX"/>
        </w:rPr>
        <w:t>,</w:t>
      </w:r>
      <w:r>
        <w:rPr>
          <w:lang w:val="es-MX"/>
        </w:rPr>
        <w:t xml:space="preserve"> y, por otro lado, </w:t>
      </w:r>
      <w:r w:rsidR="00283C63">
        <w:rPr>
          <w:lang w:val="es-MX"/>
        </w:rPr>
        <w:t xml:space="preserve">que </w:t>
      </w:r>
      <w:r>
        <w:rPr>
          <w:lang w:val="es-MX"/>
        </w:rPr>
        <w:t>el IBL no formaba parte del régimen de transición</w:t>
      </w:r>
      <w:r w:rsidR="003A136F">
        <w:rPr>
          <w:lang w:val="es-MX"/>
        </w:rPr>
        <w:t xml:space="preserve">, por lo que estaba regulado </w:t>
      </w:r>
      <w:r w:rsidR="00283C63">
        <w:rPr>
          <w:lang w:val="es-MX"/>
        </w:rPr>
        <w:t>en</w:t>
      </w:r>
      <w:r w:rsidR="003A136F">
        <w:rPr>
          <w:lang w:val="es-MX"/>
        </w:rPr>
        <w:t xml:space="preserve"> la Ley 100 de 1993. </w:t>
      </w:r>
    </w:p>
    <w:p w14:paraId="5973DB7D" w14:textId="77777777" w:rsidR="003A136F" w:rsidRDefault="003A136F" w:rsidP="00B2794C">
      <w:pPr>
        <w:pStyle w:val="Default"/>
        <w:jc w:val="both"/>
        <w:rPr>
          <w:lang w:val="es-MX"/>
        </w:rPr>
      </w:pPr>
    </w:p>
    <w:p w14:paraId="7985DD13" w14:textId="6A2A4976" w:rsidR="003A136F" w:rsidRDefault="003A136F" w:rsidP="00B2794C">
      <w:pPr>
        <w:pStyle w:val="Default"/>
        <w:jc w:val="both"/>
        <w:rPr>
          <w:lang w:val="es-MX"/>
        </w:rPr>
      </w:pPr>
      <w:r>
        <w:rPr>
          <w:b/>
          <w:lang w:val="es-MX"/>
        </w:rPr>
        <w:t>2.</w:t>
      </w:r>
      <w:r w:rsidR="00283C63">
        <w:rPr>
          <w:b/>
          <w:lang w:val="es-MX"/>
        </w:rPr>
        <w:t>4</w:t>
      </w:r>
      <w:r w:rsidR="00E42D77">
        <w:rPr>
          <w:b/>
          <w:lang w:val="es-MX"/>
        </w:rPr>
        <w:t xml:space="preserve">. </w:t>
      </w:r>
      <w:r>
        <w:rPr>
          <w:lang w:val="es-MX"/>
        </w:rPr>
        <w:t xml:space="preserve">En segunda instancia, la Subsección A de la Sección Segunda del Consejo de Estado profirió sentencia el </w:t>
      </w:r>
      <w:r w:rsidRPr="00920A84">
        <w:rPr>
          <w:b/>
          <w:lang w:val="es-MX"/>
        </w:rPr>
        <w:t>30 de julio de 2020</w:t>
      </w:r>
      <w:r>
        <w:rPr>
          <w:lang w:val="es-MX"/>
        </w:rPr>
        <w:t xml:space="preserve">, en la que desató el recurso de alzada en el sentido de revocar el fallo del </w:t>
      </w:r>
      <w:r>
        <w:rPr>
          <w:i/>
          <w:lang w:val="es-MX"/>
        </w:rPr>
        <w:t xml:space="preserve">a quo </w:t>
      </w:r>
      <w:r>
        <w:rPr>
          <w:lang w:val="es-MX"/>
        </w:rPr>
        <w:t>y, en consecuencia, negó las pretensiones de la demanda. Como fundamento de su decisión, l</w:t>
      </w:r>
      <w:r w:rsidR="003C242A">
        <w:rPr>
          <w:lang w:val="es-MX"/>
        </w:rPr>
        <w:t>a autoridad judicial presentó lo</w:t>
      </w:r>
      <w:r>
        <w:rPr>
          <w:lang w:val="es-MX"/>
        </w:rPr>
        <w:t xml:space="preserve">s </w:t>
      </w:r>
      <w:r w:rsidR="003C242A">
        <w:rPr>
          <w:lang w:val="es-MX"/>
        </w:rPr>
        <w:t xml:space="preserve">argumentos que </w:t>
      </w:r>
      <w:r w:rsidR="00283C63">
        <w:rPr>
          <w:lang w:val="es-MX"/>
        </w:rPr>
        <w:t xml:space="preserve">la Sala resume </w:t>
      </w:r>
      <w:r w:rsidR="003C242A">
        <w:rPr>
          <w:lang w:val="es-MX"/>
        </w:rPr>
        <w:t>a continuación</w:t>
      </w:r>
      <w:r>
        <w:rPr>
          <w:lang w:val="es-MX"/>
        </w:rPr>
        <w:t>:</w:t>
      </w:r>
    </w:p>
    <w:p w14:paraId="2C1BA980" w14:textId="77777777" w:rsidR="00283C63" w:rsidRDefault="00283C63" w:rsidP="00B2794C">
      <w:pPr>
        <w:pStyle w:val="Default"/>
        <w:jc w:val="both"/>
        <w:rPr>
          <w:lang w:val="es-MX"/>
        </w:rPr>
      </w:pPr>
    </w:p>
    <w:p w14:paraId="745AC66A" w14:textId="5FA5EE0A" w:rsidR="003A136F" w:rsidRDefault="00283C63" w:rsidP="00B2794C">
      <w:pPr>
        <w:pStyle w:val="Default"/>
        <w:jc w:val="both"/>
        <w:rPr>
          <w:lang w:val="es-MX"/>
        </w:rPr>
      </w:pPr>
      <w:r>
        <w:rPr>
          <w:b/>
          <w:lang w:val="es-MX"/>
        </w:rPr>
        <w:t>2.4</w:t>
      </w:r>
      <w:r w:rsidR="00920A84">
        <w:rPr>
          <w:b/>
          <w:lang w:val="es-MX"/>
        </w:rPr>
        <w:t xml:space="preserve">.1. </w:t>
      </w:r>
      <w:r w:rsidR="003C242A">
        <w:rPr>
          <w:lang w:val="es-MX"/>
        </w:rPr>
        <w:t xml:space="preserve">La Corte Constitucional </w:t>
      </w:r>
      <w:r w:rsidR="00EB502F">
        <w:rPr>
          <w:lang w:val="es-MX"/>
        </w:rPr>
        <w:t xml:space="preserve">y el Consejo de Estado han atravesado en su jurisprudencia por distintas posturas frente a la relación del régimen especial de la Rama Judicial con la Ley 100 de 1993. </w:t>
      </w:r>
      <w:r>
        <w:rPr>
          <w:lang w:val="es-MX"/>
        </w:rPr>
        <w:t>De una parte</w:t>
      </w:r>
      <w:r w:rsidR="00EB502F">
        <w:rPr>
          <w:lang w:val="es-MX"/>
        </w:rPr>
        <w:t xml:space="preserve">, afirmaban </w:t>
      </w:r>
      <w:r>
        <w:rPr>
          <w:lang w:val="es-MX"/>
        </w:rPr>
        <w:t xml:space="preserve">(las salas de revisión del Tribunal </w:t>
      </w:r>
      <w:r>
        <w:rPr>
          <w:lang w:val="es-MX"/>
        </w:rPr>
        <w:t xml:space="preserve">Constitucional y la Sección </w:t>
      </w:r>
      <w:r>
        <w:rPr>
          <w:lang w:val="es-MX"/>
        </w:rPr>
        <w:t xml:space="preserve">Segunda del Tribunal Contencioso Administrativo) </w:t>
      </w:r>
      <w:r w:rsidR="00EB502F">
        <w:rPr>
          <w:lang w:val="es-MX"/>
        </w:rPr>
        <w:t xml:space="preserve">que se debía aplicar en su integridad el Decreto 546 de 1971 con fundamento en el principio de inescindibilidad de las normas; por otro lado, </w:t>
      </w:r>
      <w:r>
        <w:rPr>
          <w:lang w:val="es-MX"/>
        </w:rPr>
        <w:t xml:space="preserve">disponían </w:t>
      </w:r>
      <w:r w:rsidR="00EB502F">
        <w:rPr>
          <w:lang w:val="es-MX"/>
        </w:rPr>
        <w:t>que</w:t>
      </w:r>
      <w:r>
        <w:rPr>
          <w:lang w:val="es-MX"/>
        </w:rPr>
        <w:t xml:space="preserve"> (en control abstracto de la constitucionalidad del artículo 36 de la Ley 100 de 1993 y la Sala Plena de esta Corporación),</w:t>
      </w:r>
      <w:r w:rsidR="00EB502F">
        <w:rPr>
          <w:lang w:val="es-MX"/>
        </w:rPr>
        <w:t xml:space="preserve"> en todo caso, el IBL que debía regir era el del régimen general de seguridad social. </w:t>
      </w:r>
    </w:p>
    <w:p w14:paraId="0E25B683" w14:textId="02404401" w:rsidR="003C242A" w:rsidRDefault="003C242A" w:rsidP="00B2794C">
      <w:pPr>
        <w:pStyle w:val="Default"/>
        <w:jc w:val="both"/>
        <w:rPr>
          <w:lang w:val="es-MX"/>
        </w:rPr>
      </w:pPr>
    </w:p>
    <w:p w14:paraId="51C36403" w14:textId="7BA9E366" w:rsidR="00BB3CAD" w:rsidRDefault="00BB3CAD" w:rsidP="00B2794C">
      <w:pPr>
        <w:pStyle w:val="Default"/>
        <w:jc w:val="both"/>
        <w:rPr>
          <w:lang w:val="es-MX"/>
        </w:rPr>
      </w:pPr>
      <w:r>
        <w:rPr>
          <w:lang w:val="es-MX"/>
        </w:rPr>
        <w:t xml:space="preserve">En virtud de lo anterior, la Sala Plena de la Sección Segunda decidió unificar su jurisprudencia en </w:t>
      </w:r>
      <w:r w:rsidR="00283C63">
        <w:rPr>
          <w:lang w:val="es-MX"/>
        </w:rPr>
        <w:t xml:space="preserve">la </w:t>
      </w:r>
      <w:r>
        <w:rPr>
          <w:lang w:val="es-MX"/>
        </w:rPr>
        <w:t>sentencia del 11 de junio de 2020</w:t>
      </w:r>
      <w:r w:rsidR="00BC4264">
        <w:rPr>
          <w:lang w:val="es-MX"/>
        </w:rPr>
        <w:t xml:space="preserve"> (SUJ-S2-021-20)</w:t>
      </w:r>
      <w:r>
        <w:rPr>
          <w:lang w:val="es-MX"/>
        </w:rPr>
        <w:t>, y determinó que, quienes a la entrada en vigencia de la Ley 100 de 1993 fueran beneficiarios de su régimen de transición, tenían derecho a que su pensión fuera liquidada con los requisitos de edad, tiempo de servicio y monto previstos en el Decreto 546 de 1971, y</w:t>
      </w:r>
      <w:r w:rsidR="00283C63">
        <w:rPr>
          <w:lang w:val="es-MX"/>
        </w:rPr>
        <w:t xml:space="preserve"> que</w:t>
      </w:r>
      <w:r>
        <w:rPr>
          <w:lang w:val="es-MX"/>
        </w:rPr>
        <w:t xml:space="preserve"> el IBL debía corresponder al definido en el artículo 21 de la mencionada </w:t>
      </w:r>
      <w:r w:rsidR="00A21890">
        <w:rPr>
          <w:lang w:val="es-MX"/>
        </w:rPr>
        <w:t xml:space="preserve">Ley </w:t>
      </w:r>
      <w:r>
        <w:rPr>
          <w:lang w:val="es-MX"/>
        </w:rPr>
        <w:t xml:space="preserve">100. </w:t>
      </w:r>
    </w:p>
    <w:p w14:paraId="26ECE47A" w14:textId="77777777" w:rsidR="00BB3CAD" w:rsidRDefault="00BB3CAD" w:rsidP="00B2794C">
      <w:pPr>
        <w:pStyle w:val="Default"/>
        <w:jc w:val="both"/>
        <w:rPr>
          <w:lang w:val="es-MX"/>
        </w:rPr>
      </w:pPr>
    </w:p>
    <w:p w14:paraId="6905E11A" w14:textId="3F85C43B" w:rsidR="00BB3CAD" w:rsidRDefault="00BB3CAD" w:rsidP="00B2794C">
      <w:pPr>
        <w:pStyle w:val="Default"/>
        <w:jc w:val="both"/>
        <w:rPr>
          <w:lang w:val="es-MX"/>
        </w:rPr>
      </w:pPr>
      <w:r>
        <w:rPr>
          <w:lang w:val="es-MX"/>
        </w:rPr>
        <w:t>En esta sentencia de unificación, la Sección Segunda</w:t>
      </w:r>
      <w:r w:rsidR="008F382B">
        <w:rPr>
          <w:lang w:val="es-MX"/>
        </w:rPr>
        <w:t xml:space="preserve">, en ejercicio de sus atribuciones </w:t>
      </w:r>
      <w:r w:rsidR="00A21890">
        <w:rPr>
          <w:lang w:val="es-MX"/>
        </w:rPr>
        <w:t xml:space="preserve">constitucionales </w:t>
      </w:r>
      <w:r w:rsidR="008F382B">
        <w:rPr>
          <w:lang w:val="es-MX"/>
        </w:rPr>
        <w:t>y legales,</w:t>
      </w:r>
      <w:r>
        <w:rPr>
          <w:lang w:val="es-MX"/>
        </w:rPr>
        <w:t xml:space="preserve"> especificó que sus reglas eran vinculantes para asuntos que estuvieran en etapa administrativa, o que no hubieran sido resueltos </w:t>
      </w:r>
      <w:r w:rsidR="00F32ECA">
        <w:rPr>
          <w:lang w:val="es-MX"/>
        </w:rPr>
        <w:t xml:space="preserve">en vía judicial, por lo que excluyó aquellos ya finalizados con cosa juzgada, los cuales serían inmodificables. </w:t>
      </w:r>
    </w:p>
    <w:p w14:paraId="54915833" w14:textId="77777777" w:rsidR="00F32ECA" w:rsidRDefault="00F32ECA" w:rsidP="00B2794C">
      <w:pPr>
        <w:pStyle w:val="Default"/>
        <w:jc w:val="both"/>
        <w:rPr>
          <w:lang w:val="es-MX"/>
        </w:rPr>
      </w:pPr>
    </w:p>
    <w:p w14:paraId="66F16F2C" w14:textId="049B26E7" w:rsidR="00F32ECA" w:rsidRDefault="00F32ECA" w:rsidP="00B2794C">
      <w:pPr>
        <w:pStyle w:val="Default"/>
        <w:jc w:val="both"/>
        <w:rPr>
          <w:lang w:val="es-MX"/>
        </w:rPr>
      </w:pPr>
      <w:r>
        <w:rPr>
          <w:lang w:val="es-MX"/>
        </w:rPr>
        <w:t>Ahora bien, el fallo del 11 de junio de 2020 no se pronunció frente a</w:t>
      </w:r>
      <w:r w:rsidR="00286184">
        <w:rPr>
          <w:lang w:val="es-MX"/>
        </w:rPr>
        <w:t xml:space="preserve"> la situación de los</w:t>
      </w:r>
      <w:r>
        <w:rPr>
          <w:lang w:val="es-MX"/>
        </w:rPr>
        <w:t xml:space="preserve"> funcionarios beneficiaros del régimen de transición</w:t>
      </w:r>
      <w:r w:rsidR="00283C63">
        <w:rPr>
          <w:lang w:val="es-MX"/>
        </w:rPr>
        <w:t xml:space="preserve"> de la Ley 100 de 1993 </w:t>
      </w:r>
      <w:r>
        <w:rPr>
          <w:lang w:val="es-MX"/>
        </w:rPr>
        <w:t>que no habían sido vinculados a la Rama Judicial o al Ministerio Público</w:t>
      </w:r>
      <w:r w:rsidR="00283C63">
        <w:rPr>
          <w:lang w:val="es-MX"/>
        </w:rPr>
        <w:t xml:space="preserve"> antes del 1 de abril de 1994</w:t>
      </w:r>
      <w:r>
        <w:rPr>
          <w:lang w:val="es-MX"/>
        </w:rPr>
        <w:t xml:space="preserve">. Sobre este punto, la Corte Constitucional y el Consejo de Estado también han sostenido </w:t>
      </w:r>
      <w:r w:rsidR="00A21890">
        <w:rPr>
          <w:lang w:val="es-MX"/>
        </w:rPr>
        <w:t xml:space="preserve">diferentes </w:t>
      </w:r>
      <w:r>
        <w:rPr>
          <w:lang w:val="es-MX"/>
        </w:rPr>
        <w:t>posturas.</w:t>
      </w:r>
    </w:p>
    <w:p w14:paraId="3090E342" w14:textId="77777777" w:rsidR="00F32ECA" w:rsidRDefault="00F32ECA" w:rsidP="00B2794C">
      <w:pPr>
        <w:pStyle w:val="Default"/>
        <w:jc w:val="both"/>
        <w:rPr>
          <w:lang w:val="es-MX"/>
        </w:rPr>
      </w:pPr>
    </w:p>
    <w:p w14:paraId="523C964B" w14:textId="4F3027A3" w:rsidR="00F32ECA" w:rsidRDefault="00F32ECA" w:rsidP="00B2794C">
      <w:pPr>
        <w:pStyle w:val="Default"/>
        <w:jc w:val="both"/>
        <w:rPr>
          <w:lang w:val="es-MX"/>
        </w:rPr>
      </w:pPr>
      <w:r>
        <w:rPr>
          <w:lang w:val="es-MX"/>
        </w:rPr>
        <w:t>En un primer momento, en la sentencia C-596 de 1997 se indicó que para ser beneficiario de un régimen especial en virtud de la transición</w:t>
      </w:r>
      <w:r w:rsidR="002B4B28">
        <w:rPr>
          <w:lang w:val="es-MX"/>
        </w:rPr>
        <w:t xml:space="preserve"> de la Ley 100</w:t>
      </w:r>
      <w:r>
        <w:rPr>
          <w:lang w:val="es-MX"/>
        </w:rPr>
        <w:t xml:space="preserve">, era necesario estar vinculado al mismo, ya que la norma buscaba proteger la expectativa </w:t>
      </w:r>
      <w:r>
        <w:rPr>
          <w:lang w:val="es-MX"/>
        </w:rPr>
        <w:lastRenderedPageBreak/>
        <w:t xml:space="preserve">de una persona a ser </w:t>
      </w:r>
      <w:r w:rsidR="00E53F1D">
        <w:rPr>
          <w:lang w:val="es-MX"/>
        </w:rPr>
        <w:t xml:space="preserve">pensionada </w:t>
      </w:r>
      <w:r>
        <w:rPr>
          <w:lang w:val="es-MX"/>
        </w:rPr>
        <w:t>bajo dichas reglas. Luego, en la sentencia T-483 de 2009 se afirmó que no era necesario dicha vinculación con anterior</w:t>
      </w:r>
      <w:r w:rsidR="002B4B28">
        <w:rPr>
          <w:lang w:val="es-MX"/>
        </w:rPr>
        <w:t>idad a la entrada en vigencia del régimen general de seguridad social</w:t>
      </w:r>
      <w:r>
        <w:rPr>
          <w:lang w:val="es-MX"/>
        </w:rPr>
        <w:t xml:space="preserve">. </w:t>
      </w:r>
    </w:p>
    <w:p w14:paraId="4EF6F503" w14:textId="77777777" w:rsidR="0003698D" w:rsidRDefault="0003698D" w:rsidP="00B2794C">
      <w:pPr>
        <w:pStyle w:val="Default"/>
        <w:jc w:val="both"/>
        <w:rPr>
          <w:lang w:val="es-MX"/>
        </w:rPr>
      </w:pPr>
    </w:p>
    <w:p w14:paraId="416B2561" w14:textId="5CA6A5FD" w:rsidR="00F32ECA" w:rsidRDefault="00F32ECA" w:rsidP="00B2794C">
      <w:pPr>
        <w:pStyle w:val="Default"/>
        <w:jc w:val="both"/>
        <w:rPr>
          <w:lang w:val="es-MX"/>
        </w:rPr>
      </w:pPr>
      <w:r>
        <w:rPr>
          <w:lang w:val="es-MX"/>
        </w:rPr>
        <w:t xml:space="preserve">Posteriormente, en la sentencia T-353 de 2012 la Sala de Revisión propuso retomar la postura inicial, dado que el fallo T-483 de 2009 desnaturalizaba el régimen </w:t>
      </w:r>
      <w:r w:rsidR="003E0A62">
        <w:rPr>
          <w:lang w:val="es-MX"/>
        </w:rPr>
        <w:t>de transición</w:t>
      </w:r>
      <w:r w:rsidR="002B4B28">
        <w:rPr>
          <w:lang w:val="es-MX"/>
        </w:rPr>
        <w:t>.</w:t>
      </w:r>
      <w:r w:rsidR="003E0A62">
        <w:rPr>
          <w:lang w:val="es-MX"/>
        </w:rPr>
        <w:t xml:space="preserve"> </w:t>
      </w:r>
      <w:r w:rsidR="002B4B28">
        <w:rPr>
          <w:lang w:val="es-MX"/>
        </w:rPr>
        <w:t xml:space="preserve">Esto, en virtud </w:t>
      </w:r>
      <w:r w:rsidR="00503270">
        <w:rPr>
          <w:lang w:val="es-MX"/>
        </w:rPr>
        <w:t xml:space="preserve">de </w:t>
      </w:r>
      <w:r w:rsidR="002B4B28">
        <w:rPr>
          <w:lang w:val="es-MX"/>
        </w:rPr>
        <w:t xml:space="preserve">que el </w:t>
      </w:r>
      <w:r w:rsidR="003E0A62">
        <w:rPr>
          <w:lang w:val="es-MX"/>
        </w:rPr>
        <w:t>propósito del legislador fue proteger las expectativas legítimas de las personas con determinado régimen al que se encont</w:t>
      </w:r>
      <w:r w:rsidR="002B4B28">
        <w:rPr>
          <w:lang w:val="es-MX"/>
        </w:rPr>
        <w:t>raban aspirando a ser pensionada</w:t>
      </w:r>
      <w:r w:rsidR="003E0A62">
        <w:rPr>
          <w:lang w:val="es-MX"/>
        </w:rPr>
        <w:t xml:space="preserve">s, pues de lo contrario, no </w:t>
      </w:r>
      <w:r w:rsidR="002B4B28">
        <w:rPr>
          <w:lang w:val="es-MX"/>
        </w:rPr>
        <w:t>había</w:t>
      </w:r>
      <w:r w:rsidR="003E0A62">
        <w:rPr>
          <w:lang w:val="es-MX"/>
        </w:rPr>
        <w:t xml:space="preserve"> expectativas. Posición ratificada por la Corte en sentencia T-080 de 2013. </w:t>
      </w:r>
    </w:p>
    <w:p w14:paraId="364A1DD8" w14:textId="77777777" w:rsidR="00E554E6" w:rsidRDefault="00E554E6" w:rsidP="00B2794C">
      <w:pPr>
        <w:pStyle w:val="Default"/>
        <w:jc w:val="both"/>
        <w:rPr>
          <w:lang w:val="es-MX"/>
        </w:rPr>
      </w:pPr>
    </w:p>
    <w:p w14:paraId="663EAF70" w14:textId="0BD783E4" w:rsidR="00FA6FCF" w:rsidRDefault="00E554E6" w:rsidP="00B2794C">
      <w:pPr>
        <w:pStyle w:val="Default"/>
        <w:jc w:val="both"/>
        <w:rPr>
          <w:lang w:val="es-MX"/>
        </w:rPr>
      </w:pPr>
      <w:r>
        <w:rPr>
          <w:lang w:val="es-MX"/>
        </w:rPr>
        <w:t xml:space="preserve">Por su parte, el Consejo de Estado sostuvo </w:t>
      </w:r>
      <w:r w:rsidR="00FA6FCF">
        <w:rPr>
          <w:lang w:val="es-MX"/>
        </w:rPr>
        <w:t>inicialmente</w:t>
      </w:r>
      <w:r w:rsidR="00286184">
        <w:rPr>
          <w:lang w:val="es-MX"/>
        </w:rPr>
        <w:t>,</w:t>
      </w:r>
      <w:r w:rsidR="002B4B28">
        <w:rPr>
          <w:lang w:val="es-MX"/>
        </w:rPr>
        <w:t xml:space="preserve"> </w:t>
      </w:r>
      <w:r>
        <w:rPr>
          <w:lang w:val="es-MX"/>
        </w:rPr>
        <w:t>en</w:t>
      </w:r>
      <w:r w:rsidR="002B4B28">
        <w:rPr>
          <w:lang w:val="es-MX"/>
        </w:rPr>
        <w:t xml:space="preserve"> la</w:t>
      </w:r>
      <w:r>
        <w:rPr>
          <w:lang w:val="es-MX"/>
        </w:rPr>
        <w:t xml:space="preserve"> sentencia del 2 de febrero de 2009 (expediente 1732-</w:t>
      </w:r>
      <w:r w:rsidR="00784A39">
        <w:rPr>
          <w:lang w:val="es-MX"/>
        </w:rPr>
        <w:t>20</w:t>
      </w:r>
      <w:r>
        <w:rPr>
          <w:lang w:val="es-MX"/>
        </w:rPr>
        <w:t>08)</w:t>
      </w:r>
      <w:r w:rsidR="002B4B28">
        <w:rPr>
          <w:lang w:val="es-MX"/>
        </w:rPr>
        <w:t>,</w:t>
      </w:r>
      <w:r>
        <w:rPr>
          <w:lang w:val="es-MX"/>
        </w:rPr>
        <w:t xml:space="preserve"> que no era necesario que</w:t>
      </w:r>
      <w:r w:rsidR="002B4B28">
        <w:rPr>
          <w:lang w:val="es-MX"/>
        </w:rPr>
        <w:t xml:space="preserve"> el peticionario perteneciera a un</w:t>
      </w:r>
      <w:r>
        <w:rPr>
          <w:lang w:val="es-MX"/>
        </w:rPr>
        <w:t xml:space="preserve"> régimen pensional determinado al momento de</w:t>
      </w:r>
      <w:r w:rsidR="002B4B28">
        <w:rPr>
          <w:lang w:val="es-MX"/>
        </w:rPr>
        <w:t xml:space="preserve"> la</w:t>
      </w:r>
      <w:r>
        <w:rPr>
          <w:lang w:val="es-MX"/>
        </w:rPr>
        <w:t xml:space="preserve"> entrada en vigencia de la Ley 100 de 1993</w:t>
      </w:r>
      <w:r w:rsidR="002B4B28">
        <w:rPr>
          <w:lang w:val="es-MX"/>
        </w:rPr>
        <w:t>, siempre y cuando</w:t>
      </w:r>
      <w:r w:rsidR="00FA6FCF">
        <w:rPr>
          <w:lang w:val="es-MX"/>
        </w:rPr>
        <w:t xml:space="preserve"> fuera beneficiario de</w:t>
      </w:r>
      <w:r w:rsidR="002B4B28">
        <w:rPr>
          <w:lang w:val="es-MX"/>
        </w:rPr>
        <w:t xml:space="preserve"> la</w:t>
      </w:r>
      <w:r w:rsidR="00FA6FCF">
        <w:rPr>
          <w:lang w:val="es-MX"/>
        </w:rPr>
        <w:t xml:space="preserve"> transición</w:t>
      </w:r>
      <w:r>
        <w:rPr>
          <w:lang w:val="es-MX"/>
        </w:rPr>
        <w:t xml:space="preserve">, posición reiterada en </w:t>
      </w:r>
      <w:r w:rsidR="002B4B28">
        <w:rPr>
          <w:lang w:val="es-MX"/>
        </w:rPr>
        <w:t xml:space="preserve">la </w:t>
      </w:r>
      <w:r>
        <w:rPr>
          <w:lang w:val="es-MX"/>
        </w:rPr>
        <w:t>providencia del 25 de noviembre de 2010 (</w:t>
      </w:r>
      <w:r w:rsidR="00FA6FCF">
        <w:rPr>
          <w:u w:val="single"/>
          <w:lang w:val="es-MX"/>
        </w:rPr>
        <w:t>e</w:t>
      </w:r>
      <w:r w:rsidRPr="00E554E6">
        <w:rPr>
          <w:u w:val="single"/>
          <w:lang w:val="es-MX"/>
        </w:rPr>
        <w:t>xpediente 2109-</w:t>
      </w:r>
      <w:r w:rsidR="00784A39">
        <w:rPr>
          <w:u w:val="single"/>
          <w:lang w:val="es-MX"/>
        </w:rPr>
        <w:t>20</w:t>
      </w:r>
      <w:r w:rsidRPr="00E554E6">
        <w:rPr>
          <w:u w:val="single"/>
          <w:lang w:val="es-MX"/>
        </w:rPr>
        <w:t>09</w:t>
      </w:r>
      <w:r>
        <w:rPr>
          <w:lang w:val="es-MX"/>
        </w:rPr>
        <w:t xml:space="preserve">). </w:t>
      </w:r>
    </w:p>
    <w:p w14:paraId="7D7789E3" w14:textId="77777777" w:rsidR="00FA6FCF" w:rsidRDefault="00FA6FCF" w:rsidP="00B2794C">
      <w:pPr>
        <w:pStyle w:val="Default"/>
        <w:jc w:val="both"/>
        <w:rPr>
          <w:lang w:val="es-MX"/>
        </w:rPr>
      </w:pPr>
    </w:p>
    <w:p w14:paraId="7C9C1E8D" w14:textId="4B4039DC" w:rsidR="00E554E6" w:rsidRDefault="00E554E6" w:rsidP="00B2794C">
      <w:pPr>
        <w:pStyle w:val="Default"/>
        <w:jc w:val="both"/>
        <w:rPr>
          <w:lang w:val="es-MX"/>
        </w:rPr>
      </w:pPr>
      <w:r>
        <w:rPr>
          <w:lang w:val="es-MX"/>
        </w:rPr>
        <w:t xml:space="preserve">No obstante, el Alto Tribunal Administrativo modificó su </w:t>
      </w:r>
      <w:r w:rsidR="00FA6FCF">
        <w:rPr>
          <w:lang w:val="es-MX"/>
        </w:rPr>
        <w:t>postura en la sentencia del 12 de abril de 2012 (expediente 1977-</w:t>
      </w:r>
      <w:r w:rsidR="00784A39">
        <w:rPr>
          <w:lang w:val="es-MX"/>
        </w:rPr>
        <w:t>20</w:t>
      </w:r>
      <w:r w:rsidR="00FA6FCF">
        <w:rPr>
          <w:lang w:val="es-MX"/>
        </w:rPr>
        <w:t xml:space="preserve">10), en la que expresó la necesidad de que el funcionario estuviera vinculado al régimen </w:t>
      </w:r>
      <w:r w:rsidR="002B4B28">
        <w:rPr>
          <w:lang w:val="es-MX"/>
        </w:rPr>
        <w:t xml:space="preserve">al </w:t>
      </w:r>
      <w:r w:rsidR="00FA6FCF">
        <w:rPr>
          <w:lang w:val="es-MX"/>
        </w:rPr>
        <w:t>que aspiraba a ser pensionado antes de la entrada en vigencia de la Ley 100 de 1993. A pesar de ello, l</w:t>
      </w:r>
      <w:r w:rsidR="00784A39">
        <w:rPr>
          <w:lang w:val="es-MX"/>
        </w:rPr>
        <w:t xml:space="preserve">a Corporación Judicial profirió sentencia el 12 de septiembre de 2014 (expediente 1434-2014), en el que aplicó el régimen del Decreto 546 de 1971 a una funcionaria que no estaba vinculada a la Rama judicial al 1 de </w:t>
      </w:r>
      <w:r w:rsidR="00286184">
        <w:rPr>
          <w:lang w:val="es-MX"/>
        </w:rPr>
        <w:t>abril de 1994, pero sí lo estuvo en</w:t>
      </w:r>
      <w:r w:rsidR="002B4B28">
        <w:rPr>
          <w:lang w:val="es-MX"/>
        </w:rPr>
        <w:t xml:space="preserve"> 1981 y</w:t>
      </w:r>
      <w:r w:rsidR="00784A39">
        <w:rPr>
          <w:lang w:val="es-MX"/>
        </w:rPr>
        <w:t xml:space="preserve"> 1982, y del 2002 en adelante hasta el 2011. </w:t>
      </w:r>
    </w:p>
    <w:p w14:paraId="51A55884" w14:textId="77777777" w:rsidR="00784A39" w:rsidRDefault="00784A39" w:rsidP="00B2794C">
      <w:pPr>
        <w:pStyle w:val="Default"/>
        <w:jc w:val="both"/>
        <w:rPr>
          <w:lang w:val="es-MX"/>
        </w:rPr>
      </w:pPr>
    </w:p>
    <w:p w14:paraId="4F41914A" w14:textId="51674426" w:rsidR="00784A39" w:rsidRDefault="005C36FB" w:rsidP="00B2794C">
      <w:pPr>
        <w:pStyle w:val="Default"/>
        <w:jc w:val="both"/>
        <w:rPr>
          <w:lang w:val="es-MX"/>
        </w:rPr>
      </w:pPr>
      <w:r>
        <w:rPr>
          <w:lang w:val="es-MX"/>
        </w:rPr>
        <w:t xml:space="preserve">En </w:t>
      </w:r>
      <w:r w:rsidR="00784A39">
        <w:rPr>
          <w:lang w:val="es-MX"/>
        </w:rPr>
        <w:t>sentencias del 26 de mayo de 2016 (</w:t>
      </w:r>
      <w:r w:rsidR="002B4B28">
        <w:rPr>
          <w:lang w:val="es-MX"/>
        </w:rPr>
        <w:t xml:space="preserve">expediente </w:t>
      </w:r>
      <w:r w:rsidR="00784A39">
        <w:rPr>
          <w:lang w:val="es-MX"/>
        </w:rPr>
        <w:t>4554-2013), 2 de marzo de 2017 (expediente 1363-2015)</w:t>
      </w:r>
      <w:r>
        <w:rPr>
          <w:lang w:val="es-MX"/>
        </w:rPr>
        <w:t xml:space="preserve"> y </w:t>
      </w:r>
      <w:r w:rsidR="00784A39">
        <w:rPr>
          <w:lang w:val="es-MX"/>
        </w:rPr>
        <w:t>9 de marzo de 2017 (</w:t>
      </w:r>
      <w:r w:rsidR="002B4B28">
        <w:rPr>
          <w:lang w:val="es-MX"/>
        </w:rPr>
        <w:t xml:space="preserve">expediente </w:t>
      </w:r>
      <w:r>
        <w:rPr>
          <w:lang w:val="es-MX"/>
        </w:rPr>
        <w:t>2306-2016</w:t>
      </w:r>
      <w:r w:rsidR="00784A39">
        <w:rPr>
          <w:lang w:val="es-MX"/>
        </w:rPr>
        <w:t>)</w:t>
      </w:r>
      <w:r>
        <w:rPr>
          <w:lang w:val="es-MX"/>
        </w:rPr>
        <w:t xml:space="preserve">, entre otras, la Sección Segunda continuó </w:t>
      </w:r>
      <w:r w:rsidR="00920A84">
        <w:rPr>
          <w:lang w:val="es-MX"/>
        </w:rPr>
        <w:t xml:space="preserve">el criterio de que era </w:t>
      </w:r>
      <w:r w:rsidR="00920A84">
        <w:rPr>
          <w:lang w:val="es-MX"/>
        </w:rPr>
        <w:t>necesari</w:t>
      </w:r>
      <w:r w:rsidR="00503270">
        <w:rPr>
          <w:lang w:val="es-MX"/>
        </w:rPr>
        <w:t>a</w:t>
      </w:r>
      <w:r w:rsidR="00920A84">
        <w:rPr>
          <w:lang w:val="es-MX"/>
        </w:rPr>
        <w:t xml:space="preserve"> la vinculación </w:t>
      </w:r>
      <w:r w:rsidR="00920A84">
        <w:rPr>
          <w:lang w:val="es-MX"/>
        </w:rPr>
        <w:t>del empleado a la Rama Judicial o al Ministerio Público para ser beneficiario del Decreto 546 de 1971</w:t>
      </w:r>
      <w:r w:rsidR="00E53F1D">
        <w:rPr>
          <w:lang w:val="es-MX"/>
        </w:rPr>
        <w:t>,</w:t>
      </w:r>
      <w:r w:rsidR="00920A84">
        <w:rPr>
          <w:lang w:val="es-MX"/>
        </w:rPr>
        <w:t xml:space="preserve"> en virtud del régimen de transición de la ley 100 de 1993.</w:t>
      </w:r>
    </w:p>
    <w:p w14:paraId="2CBB42A4" w14:textId="77777777" w:rsidR="00920A84" w:rsidRDefault="00920A84" w:rsidP="00B2794C">
      <w:pPr>
        <w:pStyle w:val="Default"/>
        <w:jc w:val="both"/>
        <w:rPr>
          <w:lang w:val="es-MX"/>
        </w:rPr>
      </w:pPr>
    </w:p>
    <w:p w14:paraId="26F86612" w14:textId="01AE36E2" w:rsidR="00920A84" w:rsidRDefault="00920A84" w:rsidP="00B2794C">
      <w:pPr>
        <w:pStyle w:val="Default"/>
        <w:jc w:val="both"/>
        <w:rPr>
          <w:lang w:val="es-MX"/>
        </w:rPr>
      </w:pPr>
      <w:r>
        <w:rPr>
          <w:lang w:val="es-MX"/>
        </w:rPr>
        <w:t xml:space="preserve">Finalmente, la Subsección B de la Sección Segunda de esta Corporación profirió sentencia el 22 de octubre de 2018 (expediente 1792-2013), en la que </w:t>
      </w:r>
      <w:r w:rsidRPr="00920A84">
        <w:rPr>
          <w:lang w:val="es-MX"/>
        </w:rPr>
        <w:t>explicó que en los casos en el que se pide la aplicación del régimen especial de los servidores de la Rama Judicial y del Ministerio Público, la persona deberá demostrar que antes del 1 de abril de 1994</w:t>
      </w:r>
      <w:r>
        <w:rPr>
          <w:lang w:val="es-MX"/>
        </w:rPr>
        <w:t xml:space="preserve">, laboró en tal condición, </w:t>
      </w:r>
      <w:r w:rsidR="002B4B28">
        <w:rPr>
          <w:lang w:val="es-MX"/>
        </w:rPr>
        <w:t xml:space="preserve">para lo cual se debía tener en cuenta </w:t>
      </w:r>
      <w:r>
        <w:rPr>
          <w:lang w:val="es-MX"/>
        </w:rPr>
        <w:t xml:space="preserve">la vinculación o las cotizaciones que haya realizado. </w:t>
      </w:r>
    </w:p>
    <w:p w14:paraId="242CEF01" w14:textId="77777777" w:rsidR="00920A84" w:rsidRDefault="00920A84" w:rsidP="00B2794C">
      <w:pPr>
        <w:pStyle w:val="Default"/>
        <w:jc w:val="both"/>
        <w:rPr>
          <w:lang w:val="es-MX"/>
        </w:rPr>
      </w:pPr>
    </w:p>
    <w:p w14:paraId="6AD9B2C2" w14:textId="1B8DF139" w:rsidR="00920A84" w:rsidRDefault="00E42D77" w:rsidP="00B2794C">
      <w:pPr>
        <w:pStyle w:val="Default"/>
        <w:jc w:val="both"/>
        <w:rPr>
          <w:lang w:val="es-MX"/>
        </w:rPr>
      </w:pPr>
      <w:r>
        <w:rPr>
          <w:b/>
          <w:lang w:val="es-MX"/>
        </w:rPr>
        <w:t>2.</w:t>
      </w:r>
      <w:r w:rsidR="00095D8F">
        <w:rPr>
          <w:b/>
          <w:lang w:val="es-MX"/>
        </w:rPr>
        <w:t>4</w:t>
      </w:r>
      <w:r w:rsidR="00920A84">
        <w:rPr>
          <w:b/>
          <w:lang w:val="es-MX"/>
        </w:rPr>
        <w:t xml:space="preserve">.2. </w:t>
      </w:r>
      <w:r w:rsidR="00920A84">
        <w:rPr>
          <w:lang w:val="es-MX"/>
        </w:rPr>
        <w:t>En virtud de toda</w:t>
      </w:r>
      <w:r>
        <w:rPr>
          <w:lang w:val="es-MX"/>
        </w:rPr>
        <w:t>s</w:t>
      </w:r>
      <w:r w:rsidR="00920A84">
        <w:rPr>
          <w:lang w:val="es-MX"/>
        </w:rPr>
        <w:t xml:space="preserve"> la</w:t>
      </w:r>
      <w:r>
        <w:rPr>
          <w:lang w:val="es-MX"/>
        </w:rPr>
        <w:t>s</w:t>
      </w:r>
      <w:r w:rsidR="00920A84">
        <w:rPr>
          <w:lang w:val="es-MX"/>
        </w:rPr>
        <w:t xml:space="preserve"> líneas jurisprudenciales asumidas por la Corte Constitucional y el Consejo</w:t>
      </w:r>
      <w:r>
        <w:rPr>
          <w:lang w:val="es-MX"/>
        </w:rPr>
        <w:t xml:space="preserve"> de Estado relacionadas </w:t>
      </w:r>
      <w:r w:rsidR="00920A84">
        <w:rPr>
          <w:lang w:val="es-MX"/>
        </w:rPr>
        <w:t xml:space="preserve">con el tema </w:t>
      </w:r>
      <w:r>
        <w:rPr>
          <w:lang w:val="es-MX"/>
        </w:rPr>
        <w:t xml:space="preserve">de la demanda, la Subsección A de la Sección Segunda acogió el ultimo criterio, consistente en que, por un lado, quien sea beneficiario del régimen de transición de la Ley 100 de 1993 debe haber estado vinculado a la Rama Judicial o al Ministerio Público </w:t>
      </w:r>
      <w:r>
        <w:rPr>
          <w:u w:val="single"/>
          <w:lang w:val="es-MX"/>
        </w:rPr>
        <w:t xml:space="preserve">antes </w:t>
      </w:r>
      <w:r w:rsidR="00C8082A">
        <w:rPr>
          <w:lang w:val="es-MX"/>
        </w:rPr>
        <w:t>del 1 de abril de 1994</w:t>
      </w:r>
      <w:r>
        <w:rPr>
          <w:lang w:val="es-MX"/>
        </w:rPr>
        <w:t>, para pensionarse conforme lo disponga el Decreto 546 de 1971. Ademá</w:t>
      </w:r>
      <w:r w:rsidR="00286184">
        <w:rPr>
          <w:lang w:val="es-MX"/>
        </w:rPr>
        <w:t>s, que en todo caso, el IBL debía</w:t>
      </w:r>
      <w:r>
        <w:rPr>
          <w:lang w:val="es-MX"/>
        </w:rPr>
        <w:t xml:space="preserve"> corresponder a lo dispuesto en el régimen general de prestaciones sociales. </w:t>
      </w:r>
    </w:p>
    <w:p w14:paraId="64D9DDC4" w14:textId="77777777" w:rsidR="00E42D77" w:rsidRDefault="00E42D77" w:rsidP="00B2794C">
      <w:pPr>
        <w:pStyle w:val="Default"/>
        <w:jc w:val="both"/>
        <w:rPr>
          <w:lang w:val="es-MX"/>
        </w:rPr>
      </w:pPr>
    </w:p>
    <w:p w14:paraId="2DAD1123" w14:textId="5641B187" w:rsidR="00E42D77" w:rsidRDefault="00E42D77" w:rsidP="00B2794C">
      <w:pPr>
        <w:pStyle w:val="Default"/>
        <w:jc w:val="both"/>
        <w:rPr>
          <w:lang w:val="es-MX"/>
        </w:rPr>
      </w:pPr>
      <w:r>
        <w:rPr>
          <w:b/>
          <w:lang w:val="es-MX"/>
        </w:rPr>
        <w:t>2.</w:t>
      </w:r>
      <w:r w:rsidR="00095D8F">
        <w:rPr>
          <w:b/>
          <w:lang w:val="es-MX"/>
        </w:rPr>
        <w:t>4</w:t>
      </w:r>
      <w:r>
        <w:rPr>
          <w:b/>
          <w:lang w:val="es-MX"/>
        </w:rPr>
        <w:t xml:space="preserve">.3. </w:t>
      </w:r>
      <w:r>
        <w:rPr>
          <w:lang w:val="es-MX"/>
        </w:rPr>
        <w:t xml:space="preserve">En consecuencia, el </w:t>
      </w:r>
      <w:r>
        <w:rPr>
          <w:i/>
          <w:lang w:val="es-MX"/>
        </w:rPr>
        <w:t xml:space="preserve">ad quem </w:t>
      </w:r>
      <w:r>
        <w:rPr>
          <w:lang w:val="es-MX"/>
        </w:rPr>
        <w:t>determinó en el caso concreto que, si bien Deyanira Rico Herrera</w:t>
      </w:r>
      <w:r w:rsidR="00034C12">
        <w:rPr>
          <w:lang w:val="es-MX"/>
        </w:rPr>
        <w:t xml:space="preserve"> fue beneficiaria de la transición de la Ley 100 de 1993, puesto </w:t>
      </w:r>
      <w:r w:rsidR="00034C12">
        <w:rPr>
          <w:lang w:val="es-MX"/>
        </w:rPr>
        <w:lastRenderedPageBreak/>
        <w:t>que a su entrada en vigencia contaba con más de 35 años de</w:t>
      </w:r>
      <w:r w:rsidR="00286184">
        <w:rPr>
          <w:lang w:val="es-MX"/>
        </w:rPr>
        <w:t xml:space="preserve"> edad, lo cierto era</w:t>
      </w:r>
      <w:r w:rsidR="00C8082A">
        <w:rPr>
          <w:lang w:val="es-MX"/>
        </w:rPr>
        <w:t xml:space="preserve"> que no tenía</w:t>
      </w:r>
      <w:r w:rsidR="00034C12">
        <w:rPr>
          <w:lang w:val="es-MX"/>
        </w:rPr>
        <w:t xml:space="preserve"> derecho a ser pensionada bajo el régimen especial contenido en el Decreto 546 de 1971</w:t>
      </w:r>
      <w:r w:rsidR="0036798C">
        <w:rPr>
          <w:lang w:val="es-MX"/>
        </w:rPr>
        <w:t>, a pesar de haber trabajado más de 17 años para la Fiscalía General de la Nación,</w:t>
      </w:r>
      <w:r w:rsidR="00034C12">
        <w:rPr>
          <w:lang w:val="es-MX"/>
        </w:rPr>
        <w:t xml:space="preserve"> porque antes del 1 de abril de 1994 no perteneció a la Rama Judicial o al Ministerio Público. Además, que el IBL que se tuvo en cuenta para su pensión debió corresponder al regulado en el régimen general de prestaciones sociales, y no con el que fue </w:t>
      </w:r>
      <w:r w:rsidR="00C8082A">
        <w:rPr>
          <w:lang w:val="es-MX"/>
        </w:rPr>
        <w:t>liquidado</w:t>
      </w:r>
      <w:r w:rsidR="00034C12">
        <w:rPr>
          <w:lang w:val="es-MX"/>
        </w:rPr>
        <w:t xml:space="preserve"> por Colpensiones.  </w:t>
      </w:r>
    </w:p>
    <w:p w14:paraId="6CE7EEC4" w14:textId="77777777" w:rsidR="00034C12" w:rsidRDefault="00034C12" w:rsidP="00B2794C">
      <w:pPr>
        <w:pStyle w:val="Default"/>
        <w:jc w:val="both"/>
        <w:rPr>
          <w:lang w:val="es-MX"/>
        </w:rPr>
      </w:pPr>
    </w:p>
    <w:p w14:paraId="18BFBE41" w14:textId="086FD0AC" w:rsidR="00034C12" w:rsidRDefault="00034C12" w:rsidP="00B2794C">
      <w:pPr>
        <w:pStyle w:val="Default"/>
        <w:jc w:val="both"/>
        <w:rPr>
          <w:sz w:val="23"/>
          <w:szCs w:val="23"/>
        </w:rPr>
      </w:pPr>
      <w:r>
        <w:rPr>
          <w:lang w:val="es-MX"/>
        </w:rPr>
        <w:t xml:space="preserve">En ese orden, la autoridad judicial manifestó que </w:t>
      </w:r>
      <w:r>
        <w:rPr>
          <w:sz w:val="23"/>
          <w:szCs w:val="23"/>
        </w:rPr>
        <w:t>“[b]ajo tal entendido no le asiste razón a la demandante en que su pensión de jubilación sea liquidada con el 75% del salario más alto devengado en el último año de prestación de servicios, con inclusión de todos los factores salariales devengados, razón que impone revocar la decisión de primera instancia y en su lugar, negar las pretensiones de la demanda comoquiera que el régimen cuya aplicación reclama no se trata del que le corresponde en derecho, por lo que no se hará ningún pronunciamiento adicional al respecto con miras a no desmejorar su mesada, que fue en suma superior, a la que en realidad le corresponde”</w:t>
      </w:r>
      <w:r w:rsidR="00677074">
        <w:rPr>
          <w:rStyle w:val="Refdenotaalpie"/>
          <w:sz w:val="23"/>
          <w:szCs w:val="23"/>
        </w:rPr>
        <w:footnoteReference w:id="2"/>
      </w:r>
      <w:r>
        <w:rPr>
          <w:sz w:val="23"/>
          <w:szCs w:val="23"/>
        </w:rPr>
        <w:t xml:space="preserve">. </w:t>
      </w:r>
    </w:p>
    <w:p w14:paraId="2FC55C33" w14:textId="77777777" w:rsidR="00034C12" w:rsidRDefault="00034C12" w:rsidP="00B2794C">
      <w:pPr>
        <w:pStyle w:val="Default"/>
        <w:jc w:val="both"/>
        <w:rPr>
          <w:sz w:val="23"/>
          <w:szCs w:val="23"/>
        </w:rPr>
      </w:pPr>
    </w:p>
    <w:p w14:paraId="7CE368A5" w14:textId="77777777" w:rsidR="009E3ECE" w:rsidRPr="00B2794C" w:rsidRDefault="009E3ECE" w:rsidP="00392598">
      <w:pPr>
        <w:numPr>
          <w:ilvl w:val="0"/>
          <w:numId w:val="3"/>
        </w:numPr>
        <w:overflowPunct w:val="0"/>
        <w:autoSpaceDE w:val="0"/>
        <w:autoSpaceDN w:val="0"/>
        <w:adjustRightInd w:val="0"/>
        <w:contextualSpacing/>
        <w:rPr>
          <w:rFonts w:eastAsia="Times New Roman"/>
          <w:b/>
          <w:sz w:val="24"/>
          <w:szCs w:val="24"/>
          <w:lang w:eastAsia="es-ES"/>
        </w:rPr>
      </w:pPr>
      <w:r w:rsidRPr="00B2794C">
        <w:rPr>
          <w:rFonts w:eastAsia="Times New Roman"/>
          <w:b/>
          <w:sz w:val="24"/>
          <w:szCs w:val="24"/>
          <w:lang w:eastAsia="es-ES"/>
        </w:rPr>
        <w:t>Pretensiones de tutela</w:t>
      </w:r>
    </w:p>
    <w:p w14:paraId="3B3284B1" w14:textId="77777777" w:rsidR="009E3ECE" w:rsidRPr="00B2794C" w:rsidRDefault="009E3ECE" w:rsidP="00392598">
      <w:pPr>
        <w:overflowPunct w:val="0"/>
        <w:autoSpaceDE w:val="0"/>
        <w:autoSpaceDN w:val="0"/>
        <w:adjustRightInd w:val="0"/>
        <w:contextualSpacing/>
        <w:rPr>
          <w:rFonts w:eastAsia="Times New Roman"/>
          <w:sz w:val="24"/>
          <w:szCs w:val="24"/>
          <w:lang w:eastAsia="es-ES"/>
        </w:rPr>
      </w:pPr>
    </w:p>
    <w:p w14:paraId="1C1952CB" w14:textId="2AC6FE93" w:rsidR="009E3ECE" w:rsidRPr="00B2794C" w:rsidRDefault="009741E5" w:rsidP="00392598">
      <w:pPr>
        <w:autoSpaceDE w:val="0"/>
        <w:autoSpaceDN w:val="0"/>
        <w:adjustRightInd w:val="0"/>
        <w:rPr>
          <w:sz w:val="24"/>
          <w:szCs w:val="24"/>
          <w:lang w:val="es-MX" w:eastAsia="ja-JP"/>
        </w:rPr>
      </w:pPr>
      <w:r>
        <w:rPr>
          <w:sz w:val="24"/>
          <w:szCs w:val="24"/>
          <w:lang w:val="es-MX" w:eastAsia="ja-JP"/>
        </w:rPr>
        <w:t>Deyanira Rico Herrera</w:t>
      </w:r>
      <w:r w:rsidR="00740F25" w:rsidRPr="00B2794C">
        <w:rPr>
          <w:sz w:val="24"/>
          <w:szCs w:val="24"/>
          <w:lang w:val="es-MX" w:eastAsia="ja-JP"/>
        </w:rPr>
        <w:t xml:space="preserve"> presentó</w:t>
      </w:r>
      <w:r w:rsidR="009E3ECE" w:rsidRPr="00B2794C">
        <w:rPr>
          <w:sz w:val="24"/>
          <w:szCs w:val="24"/>
          <w:lang w:val="es-MX" w:eastAsia="ja-JP"/>
        </w:rPr>
        <w:t xml:space="preserve"> escrito de tutela</w:t>
      </w:r>
      <w:r w:rsidR="003405C2" w:rsidRPr="00B2794C">
        <w:rPr>
          <w:rStyle w:val="Refdenotaalpie"/>
          <w:sz w:val="24"/>
          <w:szCs w:val="24"/>
          <w:lang w:val="es-MX" w:eastAsia="ja-JP"/>
        </w:rPr>
        <w:footnoteReference w:id="3"/>
      </w:r>
      <w:r w:rsidR="009E3ECE" w:rsidRPr="00B2794C">
        <w:rPr>
          <w:sz w:val="24"/>
          <w:szCs w:val="24"/>
          <w:lang w:val="es-MX" w:eastAsia="ja-JP"/>
        </w:rPr>
        <w:t xml:space="preserve"> en el que solicit</w:t>
      </w:r>
      <w:r w:rsidR="00740F25" w:rsidRPr="00B2794C">
        <w:rPr>
          <w:sz w:val="24"/>
          <w:szCs w:val="24"/>
          <w:lang w:val="es-MX" w:eastAsia="ja-JP"/>
        </w:rPr>
        <w:t>ó</w:t>
      </w:r>
      <w:r w:rsidR="009E3ECE" w:rsidRPr="00B2794C">
        <w:rPr>
          <w:sz w:val="24"/>
          <w:szCs w:val="24"/>
          <w:lang w:val="es-MX" w:eastAsia="ja-JP"/>
        </w:rPr>
        <w:t xml:space="preserve"> al juez </w:t>
      </w:r>
      <w:r w:rsidR="00CD43AF" w:rsidRPr="00B2794C">
        <w:rPr>
          <w:sz w:val="24"/>
          <w:szCs w:val="24"/>
          <w:lang w:val="es-MX" w:eastAsia="ja-JP"/>
        </w:rPr>
        <w:t>constitucional</w:t>
      </w:r>
      <w:r w:rsidR="00790427" w:rsidRPr="00B2794C">
        <w:rPr>
          <w:sz w:val="24"/>
          <w:szCs w:val="24"/>
          <w:lang w:val="es-MX" w:eastAsia="ja-JP"/>
        </w:rPr>
        <w:t xml:space="preserve"> </w:t>
      </w:r>
      <w:r w:rsidR="00392C1E" w:rsidRPr="00B2794C">
        <w:rPr>
          <w:sz w:val="24"/>
          <w:szCs w:val="24"/>
          <w:lang w:val="es-MX" w:eastAsia="ja-JP"/>
        </w:rPr>
        <w:t xml:space="preserve">que </w:t>
      </w:r>
      <w:r w:rsidR="009E3ECE" w:rsidRPr="00B2794C">
        <w:rPr>
          <w:sz w:val="24"/>
          <w:szCs w:val="24"/>
          <w:lang w:val="es-MX" w:eastAsia="ja-JP"/>
        </w:rPr>
        <w:t>ampar</w:t>
      </w:r>
      <w:r w:rsidR="00392C1E" w:rsidRPr="00B2794C">
        <w:rPr>
          <w:sz w:val="24"/>
          <w:szCs w:val="24"/>
          <w:lang w:val="es-MX" w:eastAsia="ja-JP"/>
        </w:rPr>
        <w:t>e</w:t>
      </w:r>
      <w:r w:rsidR="00790427" w:rsidRPr="00B2794C">
        <w:rPr>
          <w:sz w:val="24"/>
          <w:szCs w:val="24"/>
          <w:lang w:val="es-MX" w:eastAsia="ja-JP"/>
        </w:rPr>
        <w:t xml:space="preserve"> </w:t>
      </w:r>
      <w:r w:rsidR="009E3ECE" w:rsidRPr="00B2794C">
        <w:rPr>
          <w:sz w:val="24"/>
          <w:szCs w:val="24"/>
          <w:lang w:val="es-MX" w:eastAsia="ja-JP"/>
        </w:rPr>
        <w:t xml:space="preserve">sus derechos </w:t>
      </w:r>
      <w:r w:rsidR="009E3ECE" w:rsidRPr="00B2794C">
        <w:rPr>
          <w:sz w:val="24"/>
          <w:szCs w:val="24"/>
          <w:lang w:val="es-MX" w:eastAsia="ja-JP"/>
        </w:rPr>
        <w:t>fundamentales</w:t>
      </w:r>
      <w:r w:rsidR="00A66786">
        <w:rPr>
          <w:sz w:val="24"/>
          <w:szCs w:val="24"/>
          <w:lang w:val="es-MX" w:eastAsia="ja-JP"/>
        </w:rPr>
        <w:t xml:space="preserve"> a</w:t>
      </w:r>
      <w:r w:rsidR="00C6675F" w:rsidRPr="00B2794C">
        <w:rPr>
          <w:sz w:val="24"/>
          <w:szCs w:val="24"/>
          <w:lang w:val="es-MX" w:eastAsia="ja-JP"/>
        </w:rPr>
        <w:t xml:space="preserve"> </w:t>
      </w:r>
      <w:r w:rsidRPr="00B2794C">
        <w:rPr>
          <w:sz w:val="24"/>
          <w:szCs w:val="24"/>
          <w:lang w:val="es-MX" w:eastAsia="ja-JP"/>
        </w:rPr>
        <w:t xml:space="preserve">la </w:t>
      </w:r>
      <w:r w:rsidRPr="00B2794C">
        <w:rPr>
          <w:sz w:val="24"/>
          <w:szCs w:val="24"/>
          <w:lang w:val="es-MX" w:eastAsia="ja-JP"/>
        </w:rPr>
        <w:t>igualdad, al debido proceso y al trabajo</w:t>
      </w:r>
      <w:r w:rsidR="00E21709" w:rsidRPr="00B2794C">
        <w:rPr>
          <w:sz w:val="24"/>
          <w:szCs w:val="24"/>
          <w:lang w:val="es-MX" w:eastAsia="ja-JP"/>
        </w:rPr>
        <w:t>. E</w:t>
      </w:r>
      <w:r w:rsidR="00C6675F" w:rsidRPr="00B2794C">
        <w:rPr>
          <w:sz w:val="24"/>
          <w:szCs w:val="24"/>
          <w:lang w:val="es-MX" w:eastAsia="ja-JP"/>
        </w:rPr>
        <w:t>n consecuencia,</w:t>
      </w:r>
      <w:r w:rsidR="00E21709" w:rsidRPr="00B2794C">
        <w:rPr>
          <w:sz w:val="24"/>
          <w:szCs w:val="24"/>
          <w:lang w:val="es-MX" w:eastAsia="ja-JP"/>
        </w:rPr>
        <w:t xml:space="preserve"> pidió que se</w:t>
      </w:r>
      <w:r w:rsidR="00C17726" w:rsidRPr="00B2794C">
        <w:rPr>
          <w:sz w:val="24"/>
          <w:szCs w:val="24"/>
          <w:lang w:val="es-MX" w:eastAsia="ja-JP"/>
        </w:rPr>
        <w:t xml:space="preserve"> </w:t>
      </w:r>
      <w:r w:rsidR="00C160B8" w:rsidRPr="00B2794C">
        <w:rPr>
          <w:sz w:val="24"/>
          <w:szCs w:val="24"/>
          <w:lang w:val="es-MX" w:eastAsia="ja-JP"/>
        </w:rPr>
        <w:t>rev</w:t>
      </w:r>
      <w:r>
        <w:rPr>
          <w:sz w:val="24"/>
          <w:szCs w:val="24"/>
          <w:lang w:val="es-MX" w:eastAsia="ja-JP"/>
        </w:rPr>
        <w:t xml:space="preserve">oque la sentencia proferida el 30 </w:t>
      </w:r>
      <w:r w:rsidR="00C160B8" w:rsidRPr="00B2794C">
        <w:rPr>
          <w:sz w:val="24"/>
          <w:szCs w:val="24"/>
          <w:lang w:val="es-MX" w:eastAsia="ja-JP"/>
        </w:rPr>
        <w:t xml:space="preserve">de </w:t>
      </w:r>
      <w:r>
        <w:rPr>
          <w:sz w:val="24"/>
          <w:szCs w:val="24"/>
          <w:lang w:val="es-MX" w:eastAsia="ja-JP"/>
        </w:rPr>
        <w:t>julio</w:t>
      </w:r>
      <w:r w:rsidR="00C160B8" w:rsidRPr="00B2794C">
        <w:rPr>
          <w:sz w:val="24"/>
          <w:szCs w:val="24"/>
          <w:lang w:val="es-MX" w:eastAsia="ja-JP"/>
        </w:rPr>
        <w:t xml:space="preserve"> de 2020 por </w:t>
      </w:r>
      <w:r>
        <w:rPr>
          <w:sz w:val="24"/>
          <w:szCs w:val="24"/>
          <w:lang w:val="es-MX" w:eastAsia="ja-JP"/>
        </w:rPr>
        <w:t xml:space="preserve">la Subsección A de la Sección Segunda del Consejo de Estado </w:t>
      </w:r>
      <w:r w:rsidR="008D780C" w:rsidRPr="00B2794C">
        <w:rPr>
          <w:sz w:val="24"/>
          <w:szCs w:val="24"/>
          <w:lang w:val="es-MX" w:eastAsia="ja-JP"/>
        </w:rPr>
        <w:t xml:space="preserve">y </w:t>
      </w:r>
      <w:r w:rsidR="00E21709" w:rsidRPr="00B2794C">
        <w:rPr>
          <w:sz w:val="24"/>
          <w:szCs w:val="24"/>
          <w:lang w:val="es-MX" w:eastAsia="ja-JP"/>
        </w:rPr>
        <w:t xml:space="preserve">se </w:t>
      </w:r>
      <w:r w:rsidR="008D780C" w:rsidRPr="00B2794C">
        <w:rPr>
          <w:sz w:val="24"/>
          <w:szCs w:val="24"/>
          <w:lang w:val="es-MX" w:eastAsia="ja-JP"/>
        </w:rPr>
        <w:t>ordene</w:t>
      </w:r>
      <w:r>
        <w:rPr>
          <w:sz w:val="24"/>
          <w:szCs w:val="24"/>
          <w:lang w:val="es-MX" w:eastAsia="ja-JP"/>
        </w:rPr>
        <w:t xml:space="preserve"> que se confirme el fallo </w:t>
      </w:r>
      <w:r w:rsidR="00C8082A">
        <w:rPr>
          <w:sz w:val="24"/>
          <w:szCs w:val="24"/>
          <w:lang w:val="es-MX" w:eastAsia="ja-JP"/>
        </w:rPr>
        <w:t>emitido</w:t>
      </w:r>
      <w:r>
        <w:rPr>
          <w:sz w:val="24"/>
          <w:szCs w:val="24"/>
          <w:lang w:val="es-MX" w:eastAsia="ja-JP"/>
        </w:rPr>
        <w:t xml:space="preserve"> en primera instancia por el Tribunal Administrativo de Cundinamarca.</w:t>
      </w:r>
    </w:p>
    <w:p w14:paraId="08ADB977" w14:textId="77777777" w:rsidR="00957978" w:rsidRPr="00B2794C" w:rsidRDefault="00957978" w:rsidP="00392598">
      <w:pPr>
        <w:autoSpaceDE w:val="0"/>
        <w:autoSpaceDN w:val="0"/>
        <w:adjustRightInd w:val="0"/>
        <w:rPr>
          <w:sz w:val="24"/>
          <w:szCs w:val="24"/>
          <w:lang w:val="es-MX" w:eastAsia="ja-JP"/>
        </w:rPr>
      </w:pPr>
    </w:p>
    <w:p w14:paraId="52BEBF1B" w14:textId="77777777" w:rsidR="009E3ECE" w:rsidRPr="00B2794C" w:rsidRDefault="009E3ECE" w:rsidP="00392598">
      <w:pPr>
        <w:numPr>
          <w:ilvl w:val="0"/>
          <w:numId w:val="3"/>
        </w:numPr>
        <w:overflowPunct w:val="0"/>
        <w:autoSpaceDE w:val="0"/>
        <w:autoSpaceDN w:val="0"/>
        <w:adjustRightInd w:val="0"/>
        <w:contextualSpacing/>
        <w:rPr>
          <w:sz w:val="24"/>
          <w:szCs w:val="24"/>
        </w:rPr>
      </w:pPr>
      <w:r w:rsidRPr="00B2794C">
        <w:rPr>
          <w:rFonts w:eastAsia="Arial Unicode MS"/>
          <w:b/>
          <w:sz w:val="24"/>
          <w:szCs w:val="24"/>
        </w:rPr>
        <w:t>Argumentos de la solicitud de tutela</w:t>
      </w:r>
    </w:p>
    <w:p w14:paraId="7AB65CA6" w14:textId="77777777" w:rsidR="009E3ECE" w:rsidRPr="00B2794C" w:rsidRDefault="009E3ECE" w:rsidP="00392598">
      <w:pPr>
        <w:overflowPunct w:val="0"/>
        <w:autoSpaceDE w:val="0"/>
        <w:autoSpaceDN w:val="0"/>
        <w:adjustRightInd w:val="0"/>
        <w:contextualSpacing/>
        <w:rPr>
          <w:sz w:val="24"/>
          <w:szCs w:val="24"/>
        </w:rPr>
      </w:pPr>
    </w:p>
    <w:p w14:paraId="34DC7100" w14:textId="05F2D09F" w:rsidR="00B51F89" w:rsidRPr="00B2794C" w:rsidRDefault="00B51F89" w:rsidP="00392598">
      <w:pPr>
        <w:pStyle w:val="Textoindependiente21"/>
        <w:spacing w:after="0"/>
        <w:ind w:left="0"/>
        <w:jc w:val="both"/>
        <w:rPr>
          <w:rFonts w:cs="Arial"/>
          <w:sz w:val="24"/>
          <w:szCs w:val="24"/>
        </w:rPr>
      </w:pPr>
      <w:r w:rsidRPr="00677074">
        <w:rPr>
          <w:rFonts w:cs="Arial"/>
          <w:sz w:val="24"/>
          <w:szCs w:val="24"/>
        </w:rPr>
        <w:t>La</w:t>
      </w:r>
      <w:r w:rsidR="001A475E" w:rsidRPr="00677074">
        <w:rPr>
          <w:rFonts w:cs="Arial"/>
          <w:sz w:val="24"/>
          <w:szCs w:val="24"/>
        </w:rPr>
        <w:t xml:space="preserve"> accionante</w:t>
      </w:r>
      <w:r w:rsidR="001A475E" w:rsidRPr="00B2794C">
        <w:rPr>
          <w:rFonts w:cs="Arial"/>
          <w:sz w:val="24"/>
          <w:szCs w:val="24"/>
        </w:rPr>
        <w:t xml:space="preserve"> manifestó que </w:t>
      </w:r>
      <w:r w:rsidRPr="00B2794C">
        <w:rPr>
          <w:rFonts w:cs="Arial"/>
          <w:sz w:val="24"/>
          <w:szCs w:val="24"/>
        </w:rPr>
        <w:t xml:space="preserve">la </w:t>
      </w:r>
      <w:r w:rsidR="0036798C">
        <w:rPr>
          <w:rFonts w:cs="Arial"/>
          <w:sz w:val="24"/>
          <w:szCs w:val="24"/>
        </w:rPr>
        <w:t xml:space="preserve">Subsección A de la </w:t>
      </w:r>
      <w:r w:rsidR="00BC4B0C">
        <w:rPr>
          <w:rFonts w:cs="Arial"/>
          <w:sz w:val="24"/>
          <w:szCs w:val="24"/>
        </w:rPr>
        <w:t>Sección Segunda del Consejo de E</w:t>
      </w:r>
      <w:r w:rsidR="0036798C">
        <w:rPr>
          <w:rFonts w:cs="Arial"/>
          <w:sz w:val="24"/>
          <w:szCs w:val="24"/>
        </w:rPr>
        <w:t xml:space="preserve">stado </w:t>
      </w:r>
      <w:r w:rsidRPr="00B2794C">
        <w:rPr>
          <w:rFonts w:cs="Arial"/>
          <w:sz w:val="24"/>
          <w:szCs w:val="24"/>
        </w:rPr>
        <w:t>vulneró sus derechos fundamentales</w:t>
      </w:r>
      <w:r w:rsidR="00361B8F">
        <w:rPr>
          <w:rFonts w:cs="Arial"/>
          <w:sz w:val="24"/>
          <w:szCs w:val="24"/>
        </w:rPr>
        <w:t xml:space="preserve"> en la sentencia del 30 de jul</w:t>
      </w:r>
      <w:r w:rsidR="00C60FF6">
        <w:rPr>
          <w:rFonts w:cs="Arial"/>
          <w:sz w:val="24"/>
          <w:szCs w:val="24"/>
        </w:rPr>
        <w:t>io de 2020</w:t>
      </w:r>
      <w:r w:rsidRPr="00B2794C">
        <w:rPr>
          <w:rFonts w:cs="Arial"/>
          <w:sz w:val="24"/>
          <w:szCs w:val="24"/>
        </w:rPr>
        <w:t>, por los argumentos que la Sala resume a continuación:</w:t>
      </w:r>
    </w:p>
    <w:p w14:paraId="24B2D43D" w14:textId="77777777" w:rsidR="00E21709" w:rsidRPr="00B2794C" w:rsidRDefault="00E21709" w:rsidP="00392598">
      <w:pPr>
        <w:pStyle w:val="Textoindependiente21"/>
        <w:spacing w:after="0"/>
        <w:ind w:left="0"/>
        <w:jc w:val="both"/>
        <w:rPr>
          <w:rFonts w:cs="Arial"/>
          <w:sz w:val="24"/>
          <w:szCs w:val="24"/>
        </w:rPr>
      </w:pPr>
    </w:p>
    <w:p w14:paraId="6961F3FB" w14:textId="22A72E40" w:rsidR="00B51F89" w:rsidRDefault="00B51F89" w:rsidP="0036798C">
      <w:pPr>
        <w:pStyle w:val="Textoindependiente21"/>
        <w:spacing w:after="0"/>
        <w:ind w:left="0"/>
        <w:jc w:val="both"/>
        <w:rPr>
          <w:rFonts w:cs="Arial"/>
          <w:sz w:val="24"/>
          <w:szCs w:val="24"/>
        </w:rPr>
      </w:pPr>
      <w:r w:rsidRPr="00B2794C">
        <w:rPr>
          <w:rFonts w:cs="Arial"/>
          <w:b/>
          <w:sz w:val="24"/>
          <w:szCs w:val="24"/>
        </w:rPr>
        <w:t>4.1.</w:t>
      </w:r>
      <w:r w:rsidRPr="00B2794C">
        <w:rPr>
          <w:rFonts w:cs="Arial"/>
          <w:sz w:val="24"/>
          <w:szCs w:val="24"/>
        </w:rPr>
        <w:t xml:space="preserve"> </w:t>
      </w:r>
      <w:r w:rsidR="00C60FF6">
        <w:rPr>
          <w:rFonts w:cs="Arial"/>
          <w:sz w:val="24"/>
          <w:szCs w:val="24"/>
        </w:rPr>
        <w:t xml:space="preserve">El Alto Tribunal unificó su postura en el fallo SUJ-S2-021-20 y optó por un criterio contrario al asumido por la Corte </w:t>
      </w:r>
      <w:r w:rsidR="00A66786">
        <w:rPr>
          <w:rFonts w:cs="Arial"/>
          <w:sz w:val="24"/>
          <w:szCs w:val="24"/>
        </w:rPr>
        <w:t>Constitucional</w:t>
      </w:r>
      <w:r w:rsidR="00C60FF6">
        <w:rPr>
          <w:rFonts w:cs="Arial"/>
          <w:sz w:val="24"/>
          <w:szCs w:val="24"/>
        </w:rPr>
        <w:t xml:space="preserve">. Así, la Corporación Contenciosa Administrativa </w:t>
      </w:r>
      <w:r w:rsidR="00FF1DFE">
        <w:rPr>
          <w:rFonts w:cs="Arial"/>
          <w:sz w:val="24"/>
          <w:szCs w:val="24"/>
        </w:rPr>
        <w:t xml:space="preserve">desconoció el </w:t>
      </w:r>
      <w:r w:rsidR="00C60FF6">
        <w:rPr>
          <w:rFonts w:cs="Arial"/>
          <w:sz w:val="24"/>
          <w:szCs w:val="24"/>
        </w:rPr>
        <w:t>Decreto 546 de 1971</w:t>
      </w:r>
      <w:r w:rsidR="00FF1DFE">
        <w:rPr>
          <w:rFonts w:cs="Arial"/>
          <w:sz w:val="24"/>
          <w:szCs w:val="24"/>
        </w:rPr>
        <w:t xml:space="preserve"> y le adicionó requisitos,</w:t>
      </w:r>
      <w:r w:rsidR="00C60FF6">
        <w:rPr>
          <w:rFonts w:cs="Arial"/>
          <w:sz w:val="24"/>
          <w:szCs w:val="24"/>
        </w:rPr>
        <w:t xml:space="preserve"> al exigir que la persona </w:t>
      </w:r>
      <w:r w:rsidR="00FF1DFE">
        <w:rPr>
          <w:rFonts w:cs="Arial"/>
          <w:sz w:val="24"/>
          <w:szCs w:val="24"/>
        </w:rPr>
        <w:t xml:space="preserve">que aspira a pensionarse </w:t>
      </w:r>
      <w:r w:rsidR="00BC4B0C">
        <w:rPr>
          <w:rFonts w:cs="Arial"/>
          <w:sz w:val="24"/>
          <w:szCs w:val="24"/>
        </w:rPr>
        <w:t>debía</w:t>
      </w:r>
      <w:r w:rsidR="00C60FF6">
        <w:rPr>
          <w:rFonts w:cs="Arial"/>
          <w:sz w:val="24"/>
          <w:szCs w:val="24"/>
        </w:rPr>
        <w:t xml:space="preserve"> estar vinculad</w:t>
      </w:r>
      <w:r w:rsidR="00FF1DFE">
        <w:rPr>
          <w:rFonts w:cs="Arial"/>
          <w:sz w:val="24"/>
          <w:szCs w:val="24"/>
        </w:rPr>
        <w:t>a</w:t>
      </w:r>
      <w:r w:rsidR="00C60FF6">
        <w:rPr>
          <w:rFonts w:cs="Arial"/>
          <w:sz w:val="24"/>
          <w:szCs w:val="24"/>
        </w:rPr>
        <w:t xml:space="preserve"> a la Rama Judicial o al Ministerio Público con anterioridad al 1 de abril de 1994</w:t>
      </w:r>
      <w:r w:rsidR="00FF1DFE">
        <w:rPr>
          <w:rFonts w:cs="Arial"/>
          <w:sz w:val="24"/>
          <w:szCs w:val="24"/>
        </w:rPr>
        <w:t>.</w:t>
      </w:r>
    </w:p>
    <w:p w14:paraId="1EB0B629" w14:textId="77777777" w:rsidR="00FF1DFE" w:rsidRDefault="00FF1DFE" w:rsidP="0036798C">
      <w:pPr>
        <w:pStyle w:val="Textoindependiente21"/>
        <w:spacing w:after="0"/>
        <w:ind w:left="0"/>
        <w:jc w:val="both"/>
        <w:rPr>
          <w:rFonts w:cs="Arial"/>
          <w:sz w:val="24"/>
          <w:szCs w:val="24"/>
        </w:rPr>
      </w:pPr>
    </w:p>
    <w:p w14:paraId="7C48FF95" w14:textId="5EBC0AE0" w:rsidR="00FF1DFE" w:rsidRDefault="00FF1DFE" w:rsidP="0036798C">
      <w:pPr>
        <w:pStyle w:val="Textoindependiente21"/>
        <w:spacing w:after="0"/>
        <w:ind w:left="0"/>
        <w:jc w:val="both"/>
        <w:rPr>
          <w:rFonts w:cs="Arial"/>
          <w:sz w:val="24"/>
          <w:szCs w:val="24"/>
        </w:rPr>
      </w:pPr>
      <w:r>
        <w:rPr>
          <w:rFonts w:cs="Arial"/>
          <w:b/>
          <w:sz w:val="24"/>
          <w:szCs w:val="24"/>
        </w:rPr>
        <w:t>4.2.</w:t>
      </w:r>
      <w:r w:rsidR="00BC4B0C">
        <w:rPr>
          <w:rFonts w:cs="Arial"/>
          <w:b/>
          <w:sz w:val="24"/>
          <w:szCs w:val="24"/>
        </w:rPr>
        <w:t xml:space="preserve"> </w:t>
      </w:r>
      <w:r w:rsidR="00BC4B0C">
        <w:rPr>
          <w:rFonts w:cs="Arial"/>
          <w:sz w:val="24"/>
          <w:szCs w:val="24"/>
        </w:rPr>
        <w:t xml:space="preserve">El </w:t>
      </w:r>
      <w:r>
        <w:rPr>
          <w:rFonts w:cs="Arial"/>
          <w:sz w:val="24"/>
          <w:szCs w:val="24"/>
        </w:rPr>
        <w:t xml:space="preserve">Decreto 929 de 1976 de la Contraloría General de la República no puede definir </w:t>
      </w:r>
      <w:r w:rsidRPr="00677074">
        <w:rPr>
          <w:rFonts w:cs="Arial"/>
          <w:sz w:val="24"/>
          <w:szCs w:val="24"/>
        </w:rPr>
        <w:t>la situación de Deyanira Rico Herrera</w:t>
      </w:r>
      <w:r>
        <w:rPr>
          <w:rFonts w:cs="Arial"/>
          <w:sz w:val="24"/>
          <w:szCs w:val="24"/>
        </w:rPr>
        <w:t xml:space="preserve">, porque la norma aplicable es el Decreto 546 de 1971. </w:t>
      </w:r>
    </w:p>
    <w:p w14:paraId="608DC2F9" w14:textId="77777777" w:rsidR="00FF1DFE" w:rsidRDefault="00FF1DFE" w:rsidP="0036798C">
      <w:pPr>
        <w:pStyle w:val="Textoindependiente21"/>
        <w:spacing w:after="0"/>
        <w:ind w:left="0"/>
        <w:jc w:val="both"/>
        <w:rPr>
          <w:rFonts w:cs="Arial"/>
          <w:sz w:val="24"/>
          <w:szCs w:val="24"/>
        </w:rPr>
      </w:pPr>
    </w:p>
    <w:p w14:paraId="397DAFC3" w14:textId="2AAE962B" w:rsidR="00FF1DFE" w:rsidRDefault="00FF1DFE" w:rsidP="0036798C">
      <w:pPr>
        <w:pStyle w:val="Textoindependiente21"/>
        <w:spacing w:after="0"/>
        <w:ind w:left="0"/>
        <w:jc w:val="both"/>
        <w:rPr>
          <w:rFonts w:cs="Arial"/>
          <w:sz w:val="24"/>
          <w:szCs w:val="24"/>
        </w:rPr>
      </w:pPr>
      <w:r>
        <w:rPr>
          <w:rFonts w:cs="Arial"/>
          <w:b/>
          <w:sz w:val="24"/>
          <w:szCs w:val="24"/>
        </w:rPr>
        <w:t>4.3</w:t>
      </w:r>
      <w:r w:rsidR="00A66786">
        <w:rPr>
          <w:rFonts w:cs="Arial"/>
          <w:b/>
          <w:sz w:val="24"/>
          <w:szCs w:val="24"/>
        </w:rPr>
        <w:t>.</w:t>
      </w:r>
      <w:r>
        <w:rPr>
          <w:rFonts w:cs="Arial"/>
          <w:b/>
          <w:sz w:val="24"/>
          <w:szCs w:val="24"/>
        </w:rPr>
        <w:t xml:space="preserve"> </w:t>
      </w:r>
      <w:r>
        <w:rPr>
          <w:rFonts w:cs="Arial"/>
          <w:sz w:val="24"/>
          <w:szCs w:val="24"/>
        </w:rPr>
        <w:t xml:space="preserve">No </w:t>
      </w:r>
      <w:r>
        <w:rPr>
          <w:rFonts w:cs="Arial"/>
          <w:sz w:val="24"/>
          <w:szCs w:val="24"/>
        </w:rPr>
        <w:t xml:space="preserve">tuvo en cuenta la autoridad accionada que la </w:t>
      </w:r>
      <w:r w:rsidRPr="00677074">
        <w:rPr>
          <w:rFonts w:cs="Arial"/>
          <w:sz w:val="24"/>
          <w:szCs w:val="24"/>
        </w:rPr>
        <w:t>señora Rico Herrera</w:t>
      </w:r>
      <w:r>
        <w:rPr>
          <w:rFonts w:cs="Arial"/>
          <w:sz w:val="24"/>
          <w:szCs w:val="24"/>
        </w:rPr>
        <w:t xml:space="preserve"> trabajó </w:t>
      </w:r>
      <w:r w:rsidR="008F382B">
        <w:rPr>
          <w:rFonts w:cs="Arial"/>
          <w:sz w:val="24"/>
          <w:szCs w:val="24"/>
        </w:rPr>
        <w:t xml:space="preserve">11 años para la Contraloría General de la República y 17 años para la Rama judicial, </w:t>
      </w:r>
      <w:r>
        <w:rPr>
          <w:rFonts w:cs="Arial"/>
          <w:sz w:val="24"/>
          <w:szCs w:val="24"/>
        </w:rPr>
        <w:t>y que fue beneficiaria del régimen de transición de la Ley 100 de 1993.</w:t>
      </w:r>
    </w:p>
    <w:p w14:paraId="277EBB3D" w14:textId="77777777" w:rsidR="00FF1DFE" w:rsidRDefault="00FF1DFE" w:rsidP="0036798C">
      <w:pPr>
        <w:pStyle w:val="Textoindependiente21"/>
        <w:spacing w:after="0"/>
        <w:ind w:left="0"/>
        <w:jc w:val="both"/>
        <w:rPr>
          <w:rFonts w:cs="Arial"/>
          <w:sz w:val="24"/>
          <w:szCs w:val="24"/>
        </w:rPr>
      </w:pPr>
    </w:p>
    <w:p w14:paraId="43E1E61B" w14:textId="34674417" w:rsidR="00FF1DFE" w:rsidRDefault="00FF1DFE" w:rsidP="0036798C">
      <w:pPr>
        <w:pStyle w:val="Textoindependiente21"/>
        <w:spacing w:after="0"/>
        <w:ind w:left="0"/>
        <w:jc w:val="both"/>
        <w:rPr>
          <w:rFonts w:cs="Arial"/>
          <w:sz w:val="24"/>
          <w:szCs w:val="24"/>
        </w:rPr>
      </w:pPr>
      <w:r>
        <w:rPr>
          <w:rFonts w:cs="Arial"/>
          <w:b/>
          <w:sz w:val="24"/>
          <w:szCs w:val="24"/>
        </w:rPr>
        <w:t xml:space="preserve">4.4. </w:t>
      </w:r>
      <w:r>
        <w:rPr>
          <w:rFonts w:cs="Arial"/>
          <w:sz w:val="24"/>
          <w:szCs w:val="24"/>
        </w:rPr>
        <w:t>El derecho a la igualdad</w:t>
      </w:r>
      <w:r w:rsidR="008F382B">
        <w:rPr>
          <w:rFonts w:cs="Arial"/>
          <w:sz w:val="24"/>
          <w:szCs w:val="24"/>
        </w:rPr>
        <w:t xml:space="preserve"> de la tutelante</w:t>
      </w:r>
      <w:r>
        <w:rPr>
          <w:rFonts w:cs="Arial"/>
          <w:sz w:val="24"/>
          <w:szCs w:val="24"/>
        </w:rPr>
        <w:t xml:space="preserve"> fue vulnerado</w:t>
      </w:r>
      <w:r w:rsidR="008F382B">
        <w:rPr>
          <w:rFonts w:cs="Arial"/>
          <w:sz w:val="24"/>
          <w:szCs w:val="24"/>
        </w:rPr>
        <w:t>,</w:t>
      </w:r>
      <w:r>
        <w:rPr>
          <w:rFonts w:cs="Arial"/>
          <w:sz w:val="24"/>
          <w:szCs w:val="24"/>
        </w:rPr>
        <w:t xml:space="preserve"> porque en sentencia del 25 de noviembre de 2010 (expediente 2109-2009), el Consejo de Estado ordenó </w:t>
      </w:r>
      <w:r>
        <w:rPr>
          <w:rFonts w:cs="Arial"/>
          <w:sz w:val="24"/>
          <w:szCs w:val="24"/>
        </w:rPr>
        <w:lastRenderedPageBreak/>
        <w:t>pensionar a una funcionaria con fundamento en el Decreto 546 de 1971, quien se desempeñó en la Rama Judicial a partir del 19 de septiembre de 1994</w:t>
      </w:r>
      <w:r w:rsidR="008F382B">
        <w:rPr>
          <w:rFonts w:cs="Arial"/>
          <w:sz w:val="24"/>
          <w:szCs w:val="24"/>
        </w:rPr>
        <w:t>.</w:t>
      </w:r>
    </w:p>
    <w:p w14:paraId="78AC00CA" w14:textId="77777777" w:rsidR="008F382B" w:rsidRDefault="008F382B" w:rsidP="0036798C">
      <w:pPr>
        <w:pStyle w:val="Textoindependiente21"/>
        <w:spacing w:after="0"/>
        <w:ind w:left="0"/>
        <w:jc w:val="both"/>
        <w:rPr>
          <w:rFonts w:cs="Arial"/>
          <w:sz w:val="24"/>
          <w:szCs w:val="24"/>
        </w:rPr>
      </w:pPr>
    </w:p>
    <w:p w14:paraId="79A74ECC" w14:textId="0B833584" w:rsidR="008F382B" w:rsidRDefault="008F382B" w:rsidP="0036798C">
      <w:pPr>
        <w:pStyle w:val="Textoindependiente21"/>
        <w:spacing w:after="0"/>
        <w:ind w:left="0"/>
        <w:jc w:val="both"/>
        <w:rPr>
          <w:rFonts w:cs="Arial"/>
          <w:sz w:val="24"/>
          <w:szCs w:val="24"/>
        </w:rPr>
      </w:pPr>
      <w:r>
        <w:rPr>
          <w:rFonts w:cs="Arial"/>
          <w:b/>
          <w:sz w:val="24"/>
          <w:szCs w:val="24"/>
        </w:rPr>
        <w:t xml:space="preserve">4.5. </w:t>
      </w:r>
      <w:r>
        <w:rPr>
          <w:rFonts w:cs="Arial"/>
          <w:sz w:val="24"/>
          <w:szCs w:val="24"/>
        </w:rPr>
        <w:t>El cambio jurisprudencial afect</w:t>
      </w:r>
      <w:r w:rsidR="00BC4B0C">
        <w:rPr>
          <w:rFonts w:cs="Arial"/>
          <w:sz w:val="24"/>
          <w:szCs w:val="24"/>
        </w:rPr>
        <w:t>ó</w:t>
      </w:r>
      <w:r>
        <w:rPr>
          <w:rFonts w:cs="Arial"/>
          <w:sz w:val="24"/>
          <w:szCs w:val="24"/>
        </w:rPr>
        <w:t xml:space="preserve"> los derechos de quienes acuden a la administración de justicia, debido a que los distintos casos puestos en conocimiento del juez son resueltos de formas distintas y con favorabilidad solo para unos. </w:t>
      </w:r>
    </w:p>
    <w:p w14:paraId="6E7D08F3" w14:textId="77777777" w:rsidR="008F382B" w:rsidRPr="008F382B" w:rsidRDefault="008F382B" w:rsidP="0036798C">
      <w:pPr>
        <w:pStyle w:val="Textoindependiente21"/>
        <w:spacing w:after="0"/>
        <w:ind w:left="0"/>
        <w:jc w:val="both"/>
        <w:rPr>
          <w:rFonts w:cs="Arial"/>
          <w:sz w:val="24"/>
          <w:szCs w:val="24"/>
        </w:rPr>
      </w:pPr>
    </w:p>
    <w:p w14:paraId="5DE4D0FE" w14:textId="77777777" w:rsidR="009E3ECE" w:rsidRPr="00B2794C" w:rsidRDefault="009E3ECE" w:rsidP="00392598">
      <w:pPr>
        <w:numPr>
          <w:ilvl w:val="0"/>
          <w:numId w:val="3"/>
        </w:numPr>
        <w:overflowPunct w:val="0"/>
        <w:autoSpaceDE w:val="0"/>
        <w:autoSpaceDN w:val="0"/>
        <w:adjustRightInd w:val="0"/>
        <w:contextualSpacing/>
        <w:rPr>
          <w:rFonts w:eastAsia="Times New Roman"/>
          <w:b/>
          <w:sz w:val="24"/>
          <w:szCs w:val="24"/>
          <w:lang w:eastAsia="es-ES"/>
        </w:rPr>
      </w:pPr>
      <w:r w:rsidRPr="00B2794C">
        <w:rPr>
          <w:b/>
          <w:sz w:val="24"/>
          <w:szCs w:val="24"/>
        </w:rPr>
        <w:t xml:space="preserve">Trámite de tutela e intervenciones  </w:t>
      </w:r>
    </w:p>
    <w:p w14:paraId="531E15CB" w14:textId="77777777" w:rsidR="00DB6618" w:rsidRPr="00B2794C" w:rsidRDefault="00DB6618" w:rsidP="00392598">
      <w:pPr>
        <w:overflowPunct w:val="0"/>
        <w:autoSpaceDE w:val="0"/>
        <w:autoSpaceDN w:val="0"/>
        <w:adjustRightInd w:val="0"/>
        <w:contextualSpacing/>
        <w:rPr>
          <w:rFonts w:eastAsia="Times New Roman"/>
          <w:b/>
          <w:sz w:val="24"/>
          <w:szCs w:val="24"/>
          <w:lang w:eastAsia="es-ES"/>
        </w:rPr>
      </w:pPr>
    </w:p>
    <w:p w14:paraId="408F7FBF" w14:textId="363B82B9" w:rsidR="00797B1F" w:rsidRPr="00B2794C" w:rsidRDefault="009E3ECE" w:rsidP="00392598">
      <w:pPr>
        <w:overflowPunct w:val="0"/>
        <w:autoSpaceDE w:val="0"/>
        <w:autoSpaceDN w:val="0"/>
        <w:adjustRightInd w:val="0"/>
        <w:rPr>
          <w:rFonts w:eastAsia="Times New Roman"/>
          <w:bCs/>
          <w:sz w:val="24"/>
          <w:szCs w:val="24"/>
          <w:lang w:eastAsia="es-ES"/>
        </w:rPr>
      </w:pPr>
      <w:r w:rsidRPr="00B2794C">
        <w:rPr>
          <w:b/>
          <w:sz w:val="24"/>
          <w:szCs w:val="24"/>
          <w:lang w:val="es-MX" w:eastAsia="ja-JP"/>
        </w:rPr>
        <w:t>5.1.</w:t>
      </w:r>
      <w:r w:rsidRPr="00B2794C">
        <w:rPr>
          <w:sz w:val="24"/>
          <w:szCs w:val="24"/>
          <w:lang w:val="es-MX" w:eastAsia="ja-JP"/>
        </w:rPr>
        <w:t xml:space="preserve"> </w:t>
      </w:r>
      <w:r w:rsidRPr="00B2794C">
        <w:rPr>
          <w:rFonts w:eastAsia="Times New Roman"/>
          <w:bCs/>
          <w:sz w:val="24"/>
          <w:szCs w:val="24"/>
          <w:lang w:eastAsia="es-ES"/>
        </w:rPr>
        <w:t>El Despacho del Mag</w:t>
      </w:r>
      <w:r w:rsidR="00337D9B" w:rsidRPr="00B2794C">
        <w:rPr>
          <w:rFonts w:eastAsia="Times New Roman"/>
          <w:bCs/>
          <w:sz w:val="24"/>
          <w:szCs w:val="24"/>
          <w:lang w:eastAsia="es-ES"/>
        </w:rPr>
        <w:t>istrado ponen</w:t>
      </w:r>
      <w:r w:rsidR="008F382B">
        <w:rPr>
          <w:rFonts w:eastAsia="Times New Roman"/>
          <w:bCs/>
          <w:sz w:val="24"/>
          <w:szCs w:val="24"/>
          <w:lang w:eastAsia="es-ES"/>
        </w:rPr>
        <w:t>te, con auto del 14</w:t>
      </w:r>
      <w:r w:rsidRPr="00B2794C">
        <w:rPr>
          <w:rFonts w:eastAsia="Times New Roman"/>
          <w:bCs/>
          <w:sz w:val="24"/>
          <w:szCs w:val="24"/>
          <w:lang w:eastAsia="es-ES"/>
        </w:rPr>
        <w:t xml:space="preserve"> de </w:t>
      </w:r>
      <w:r w:rsidR="008F382B">
        <w:rPr>
          <w:rFonts w:eastAsia="Times New Roman"/>
          <w:bCs/>
          <w:sz w:val="24"/>
          <w:szCs w:val="24"/>
          <w:lang w:eastAsia="es-ES"/>
        </w:rPr>
        <w:t xml:space="preserve">enero </w:t>
      </w:r>
      <w:r w:rsidR="00BC77DA" w:rsidRPr="00B2794C">
        <w:rPr>
          <w:rFonts w:eastAsia="Times New Roman"/>
          <w:bCs/>
          <w:sz w:val="24"/>
          <w:szCs w:val="24"/>
          <w:lang w:eastAsia="es-ES"/>
        </w:rPr>
        <w:t xml:space="preserve">de </w:t>
      </w:r>
      <w:r w:rsidRPr="00B2794C">
        <w:rPr>
          <w:rFonts w:eastAsia="Times New Roman"/>
          <w:bCs/>
          <w:sz w:val="24"/>
          <w:szCs w:val="24"/>
          <w:lang w:eastAsia="es-ES"/>
        </w:rPr>
        <w:t>202</w:t>
      </w:r>
      <w:r w:rsidR="008F382B">
        <w:rPr>
          <w:rFonts w:eastAsia="Times New Roman"/>
          <w:bCs/>
          <w:sz w:val="24"/>
          <w:szCs w:val="24"/>
          <w:lang w:eastAsia="es-ES"/>
        </w:rPr>
        <w:t>1</w:t>
      </w:r>
      <w:r w:rsidR="00CB4C21" w:rsidRPr="00B2794C">
        <w:rPr>
          <w:rStyle w:val="Refdenotaalpie"/>
          <w:rFonts w:eastAsia="Times New Roman"/>
          <w:bCs/>
          <w:sz w:val="24"/>
          <w:szCs w:val="24"/>
          <w:lang w:eastAsia="es-ES"/>
        </w:rPr>
        <w:footnoteReference w:id="4"/>
      </w:r>
      <w:r w:rsidRPr="00B2794C">
        <w:rPr>
          <w:rFonts w:eastAsia="Times New Roman"/>
          <w:bCs/>
          <w:sz w:val="24"/>
          <w:szCs w:val="24"/>
          <w:lang w:eastAsia="es-ES"/>
        </w:rPr>
        <w:t xml:space="preserve">, admitió la acción, </w:t>
      </w:r>
      <w:r w:rsidR="008F382B">
        <w:rPr>
          <w:rFonts w:eastAsia="Times New Roman"/>
          <w:bCs/>
          <w:sz w:val="24"/>
          <w:szCs w:val="24"/>
          <w:lang w:eastAsia="es-ES"/>
        </w:rPr>
        <w:t xml:space="preserve">ordenó vincular a Colpensiones </w:t>
      </w:r>
      <w:r w:rsidR="00797B1F" w:rsidRPr="00B2794C">
        <w:rPr>
          <w:rFonts w:eastAsia="Times New Roman"/>
          <w:bCs/>
          <w:sz w:val="24"/>
          <w:szCs w:val="24"/>
          <w:lang w:eastAsia="es-ES"/>
        </w:rPr>
        <w:t xml:space="preserve">y ordenó notificar a </w:t>
      </w:r>
      <w:r w:rsidR="008F382B">
        <w:rPr>
          <w:rFonts w:eastAsia="Times New Roman"/>
          <w:bCs/>
          <w:sz w:val="24"/>
          <w:szCs w:val="24"/>
          <w:lang w:eastAsia="es-ES"/>
        </w:rPr>
        <w:t>los sujetos procesales.</w:t>
      </w:r>
      <w:r w:rsidR="00797B1F" w:rsidRPr="00B2794C">
        <w:rPr>
          <w:rFonts w:eastAsia="Times New Roman"/>
          <w:bCs/>
          <w:sz w:val="24"/>
          <w:szCs w:val="24"/>
          <w:lang w:eastAsia="es-ES"/>
        </w:rPr>
        <w:t xml:space="preserve"> </w:t>
      </w:r>
    </w:p>
    <w:p w14:paraId="056A3926" w14:textId="77777777" w:rsidR="00797B1F" w:rsidRPr="00B2794C" w:rsidRDefault="00797B1F" w:rsidP="00392598">
      <w:pPr>
        <w:overflowPunct w:val="0"/>
        <w:autoSpaceDE w:val="0"/>
        <w:autoSpaceDN w:val="0"/>
        <w:adjustRightInd w:val="0"/>
        <w:rPr>
          <w:rFonts w:eastAsia="Times New Roman"/>
          <w:bCs/>
          <w:sz w:val="24"/>
          <w:szCs w:val="24"/>
          <w:lang w:eastAsia="es-ES"/>
        </w:rPr>
      </w:pPr>
    </w:p>
    <w:p w14:paraId="2412CFF8" w14:textId="389E6CE7" w:rsidR="008F382B" w:rsidRDefault="009E3ECE" w:rsidP="00392598">
      <w:pPr>
        <w:autoSpaceDE w:val="0"/>
        <w:autoSpaceDN w:val="0"/>
        <w:adjustRightInd w:val="0"/>
        <w:rPr>
          <w:sz w:val="24"/>
          <w:szCs w:val="24"/>
          <w:lang w:val="es-MX" w:eastAsia="ja-JP"/>
        </w:rPr>
      </w:pPr>
      <w:r w:rsidRPr="00B2794C">
        <w:rPr>
          <w:b/>
          <w:sz w:val="24"/>
          <w:szCs w:val="24"/>
          <w:lang w:val="es-MX" w:eastAsia="ja-JP"/>
        </w:rPr>
        <w:t>5.2.</w:t>
      </w:r>
      <w:r w:rsidR="006A5D80" w:rsidRPr="00B2794C">
        <w:rPr>
          <w:sz w:val="24"/>
          <w:szCs w:val="24"/>
          <w:lang w:val="es-MX" w:eastAsia="ja-JP"/>
        </w:rPr>
        <w:t xml:space="preserve"> </w:t>
      </w:r>
      <w:r w:rsidR="008F382B">
        <w:rPr>
          <w:sz w:val="24"/>
          <w:szCs w:val="24"/>
          <w:lang w:val="es-MX" w:eastAsia="ja-JP"/>
        </w:rPr>
        <w:t>La Subsección A de la Sección Segunda del Consejo de Estado contestó</w:t>
      </w:r>
      <w:r w:rsidR="0008068C" w:rsidRPr="00B2794C">
        <w:rPr>
          <w:rStyle w:val="Refdenotaalpie"/>
          <w:rFonts w:eastAsia="Times New Roman"/>
          <w:bCs/>
          <w:sz w:val="24"/>
          <w:szCs w:val="24"/>
          <w:lang w:eastAsia="es-ES"/>
        </w:rPr>
        <w:footnoteReference w:id="5"/>
      </w:r>
      <w:r w:rsidR="00677074">
        <w:rPr>
          <w:sz w:val="24"/>
          <w:szCs w:val="24"/>
          <w:lang w:val="es-MX" w:eastAsia="ja-JP"/>
        </w:rPr>
        <w:t xml:space="preserve"> que la</w:t>
      </w:r>
      <w:r w:rsidR="008F382B">
        <w:rPr>
          <w:sz w:val="24"/>
          <w:szCs w:val="24"/>
          <w:lang w:val="es-MX" w:eastAsia="ja-JP"/>
        </w:rPr>
        <w:t xml:space="preserve"> tutelante no expuso con precisión los defectos atribuidos a la sentencia que reprochó</w:t>
      </w:r>
      <w:r w:rsidR="008F7720">
        <w:rPr>
          <w:sz w:val="24"/>
          <w:szCs w:val="24"/>
          <w:lang w:val="es-MX" w:eastAsia="ja-JP"/>
        </w:rPr>
        <w:t>,</w:t>
      </w:r>
      <w:r w:rsidR="008F382B">
        <w:rPr>
          <w:sz w:val="24"/>
          <w:szCs w:val="24"/>
          <w:lang w:val="es-MX" w:eastAsia="ja-JP"/>
        </w:rPr>
        <w:t xml:space="preserve"> sino que pretende que se adelante una tercera instancia. Además, afirmó que realizó un análisis detallado y pormenorizado de las normas y la jurisprudencia de la Corte Constitucional y de esta Corporación </w:t>
      </w:r>
      <w:r w:rsidR="0008068C">
        <w:rPr>
          <w:sz w:val="24"/>
          <w:szCs w:val="24"/>
          <w:lang w:val="es-MX" w:eastAsia="ja-JP"/>
        </w:rPr>
        <w:t xml:space="preserve">aplicables al caso, y que la decisión fue suficientemente razonada en virtud de los argumentos del recurso de apelación. Por lo tanto, solicitó </w:t>
      </w:r>
      <w:r w:rsidR="008F7720">
        <w:rPr>
          <w:sz w:val="24"/>
          <w:szCs w:val="24"/>
          <w:lang w:val="es-MX" w:eastAsia="ja-JP"/>
        </w:rPr>
        <w:t xml:space="preserve">que </w:t>
      </w:r>
      <w:r w:rsidR="0008068C">
        <w:rPr>
          <w:sz w:val="24"/>
          <w:szCs w:val="24"/>
          <w:lang w:val="es-MX" w:eastAsia="ja-JP"/>
        </w:rPr>
        <w:t>se declarara la improcedencia de la acción.</w:t>
      </w:r>
    </w:p>
    <w:p w14:paraId="5137268E" w14:textId="77777777" w:rsidR="0008068C" w:rsidRDefault="0008068C" w:rsidP="00392598">
      <w:pPr>
        <w:autoSpaceDE w:val="0"/>
        <w:autoSpaceDN w:val="0"/>
        <w:adjustRightInd w:val="0"/>
        <w:rPr>
          <w:sz w:val="24"/>
          <w:szCs w:val="24"/>
          <w:lang w:val="es-MX" w:eastAsia="ja-JP"/>
        </w:rPr>
      </w:pPr>
    </w:p>
    <w:p w14:paraId="67F14635" w14:textId="13492365" w:rsidR="001C01CE" w:rsidRPr="00B2794C" w:rsidRDefault="001C01CE" w:rsidP="001C01CE">
      <w:pPr>
        <w:autoSpaceDE w:val="0"/>
        <w:autoSpaceDN w:val="0"/>
        <w:adjustRightInd w:val="0"/>
        <w:rPr>
          <w:sz w:val="24"/>
          <w:szCs w:val="24"/>
          <w:lang w:val="es-MX" w:eastAsia="ja-JP"/>
        </w:rPr>
      </w:pPr>
      <w:r>
        <w:rPr>
          <w:b/>
          <w:sz w:val="24"/>
          <w:szCs w:val="24"/>
          <w:lang w:val="es-MX" w:eastAsia="ja-JP"/>
        </w:rPr>
        <w:t xml:space="preserve">5.3. </w:t>
      </w:r>
      <w:r>
        <w:rPr>
          <w:sz w:val="24"/>
          <w:szCs w:val="24"/>
          <w:lang w:val="es-MX" w:eastAsia="ja-JP"/>
        </w:rPr>
        <w:t xml:space="preserve">Por su parte, Colpensiones solicitó </w:t>
      </w:r>
      <w:r w:rsidR="008F7720">
        <w:rPr>
          <w:sz w:val="24"/>
          <w:szCs w:val="24"/>
          <w:lang w:val="es-MX" w:eastAsia="ja-JP"/>
        </w:rPr>
        <w:t xml:space="preserve">que </w:t>
      </w:r>
      <w:r>
        <w:rPr>
          <w:sz w:val="24"/>
          <w:szCs w:val="24"/>
          <w:lang w:val="es-MX" w:eastAsia="ja-JP"/>
        </w:rPr>
        <w:t>se nieguen las pretensiones de la solicitud de amparo, como quiera que no cumple con los requisitos de procedibilidad del trámite constitucional en atención a que no vulneró derechos fundamentales de Deyanira Rico Herrera.</w:t>
      </w:r>
    </w:p>
    <w:p w14:paraId="5E29EF3F" w14:textId="77777777" w:rsidR="00DA62E8" w:rsidRPr="00B2794C" w:rsidRDefault="00DA62E8" w:rsidP="00392598">
      <w:pPr>
        <w:autoSpaceDE w:val="0"/>
        <w:autoSpaceDN w:val="0"/>
        <w:adjustRightInd w:val="0"/>
        <w:rPr>
          <w:sz w:val="24"/>
          <w:szCs w:val="24"/>
          <w:lang w:val="es-MX" w:eastAsia="ja-JP"/>
        </w:rPr>
      </w:pPr>
    </w:p>
    <w:p w14:paraId="2DA9C0B1" w14:textId="5F8D06C5" w:rsidR="006155A3" w:rsidRPr="00B2794C" w:rsidRDefault="000C5DB7" w:rsidP="00392598">
      <w:pPr>
        <w:pStyle w:val="Ttulo1"/>
        <w:spacing w:before="0" w:after="0" w:line="240" w:lineRule="auto"/>
        <w:rPr>
          <w:rFonts w:cs="Arial"/>
          <w:szCs w:val="24"/>
          <w:lang w:val="es-ES_tradnl"/>
        </w:rPr>
      </w:pPr>
      <w:r w:rsidRPr="00B2794C">
        <w:rPr>
          <w:rFonts w:cs="Arial"/>
          <w:szCs w:val="24"/>
          <w:lang w:val="es-ES_tradnl"/>
        </w:rPr>
        <w:t>CONSIDERACIONES</w:t>
      </w:r>
    </w:p>
    <w:p w14:paraId="4049A947" w14:textId="77777777" w:rsidR="006155A3" w:rsidRPr="00B2794C" w:rsidRDefault="006155A3" w:rsidP="00392598">
      <w:pPr>
        <w:rPr>
          <w:sz w:val="24"/>
          <w:szCs w:val="24"/>
          <w:lang w:val="es-ES_tradnl"/>
        </w:rPr>
      </w:pPr>
    </w:p>
    <w:p w14:paraId="4101652C" w14:textId="55031700" w:rsidR="000C5DB7" w:rsidRPr="00B2794C" w:rsidRDefault="000C5DB7" w:rsidP="00392598">
      <w:pPr>
        <w:numPr>
          <w:ilvl w:val="0"/>
          <w:numId w:val="1"/>
        </w:numPr>
        <w:tabs>
          <w:tab w:val="left" w:pos="426"/>
        </w:tabs>
        <w:ind w:left="0" w:firstLine="0"/>
        <w:contextualSpacing/>
        <w:rPr>
          <w:b/>
          <w:sz w:val="24"/>
          <w:szCs w:val="24"/>
          <w:lang w:val="es-ES_tradnl"/>
        </w:rPr>
      </w:pPr>
      <w:r w:rsidRPr="00B2794C">
        <w:rPr>
          <w:b/>
          <w:sz w:val="24"/>
          <w:szCs w:val="24"/>
          <w:lang w:val="es-ES_tradnl"/>
        </w:rPr>
        <w:t>Competencia</w:t>
      </w:r>
    </w:p>
    <w:p w14:paraId="729641CD" w14:textId="77777777" w:rsidR="006E742C" w:rsidRPr="00B2794C" w:rsidRDefault="006E742C" w:rsidP="00392598">
      <w:pPr>
        <w:tabs>
          <w:tab w:val="left" w:pos="426"/>
        </w:tabs>
        <w:contextualSpacing/>
        <w:rPr>
          <w:b/>
          <w:sz w:val="24"/>
          <w:szCs w:val="24"/>
          <w:lang w:val="es-ES_tradnl"/>
        </w:rPr>
      </w:pPr>
    </w:p>
    <w:p w14:paraId="23384028" w14:textId="77777777" w:rsidR="00D51DED" w:rsidRPr="00B2794C" w:rsidRDefault="00D51DED" w:rsidP="00392598">
      <w:pPr>
        <w:pStyle w:val="Prrafodelista"/>
        <w:ind w:left="0"/>
        <w:jc w:val="both"/>
        <w:rPr>
          <w:rFonts w:ascii="Arial" w:hAnsi="Arial" w:cs="Arial"/>
        </w:rPr>
      </w:pPr>
      <w:r w:rsidRPr="00B2794C">
        <w:rPr>
          <w:rFonts w:ascii="Arial" w:hAnsi="Arial" w:cs="Arial"/>
        </w:rPr>
        <w:t>La Sala es competente para decidir la presente acción de tutela en virtud de lo dispuesto en el artículo 86 de la Constitución Política, en el Decreto 2591 de 1991, en el Decreto 1983 de 2017 que modificó el Decreto 1069 de 2015 y en el Acuerdo de Sala Plena del Consejo de Estado No. 080 del 12 de marzo de 2019</w:t>
      </w:r>
      <w:r w:rsidRPr="00B2794C">
        <w:rPr>
          <w:rStyle w:val="Refdenotaalpie"/>
          <w:rFonts w:ascii="Arial" w:hAnsi="Arial" w:cs="Arial"/>
        </w:rPr>
        <w:footnoteReference w:id="6"/>
      </w:r>
      <w:r w:rsidRPr="00B2794C">
        <w:rPr>
          <w:rFonts w:ascii="Arial" w:hAnsi="Arial" w:cs="Arial"/>
        </w:rPr>
        <w:t>.</w:t>
      </w:r>
    </w:p>
    <w:p w14:paraId="5F822D9A" w14:textId="77777777" w:rsidR="00403849" w:rsidRPr="00B2794C" w:rsidRDefault="00403849" w:rsidP="00392598">
      <w:pPr>
        <w:overflowPunct w:val="0"/>
        <w:autoSpaceDE w:val="0"/>
        <w:autoSpaceDN w:val="0"/>
        <w:adjustRightInd w:val="0"/>
        <w:contextualSpacing/>
        <w:rPr>
          <w:rFonts w:eastAsia="Times New Roman"/>
          <w:sz w:val="24"/>
          <w:szCs w:val="24"/>
          <w:lang w:val="es-MX" w:eastAsia="es-ES"/>
        </w:rPr>
      </w:pPr>
    </w:p>
    <w:p w14:paraId="15CACC09" w14:textId="77777777" w:rsidR="000C5DB7" w:rsidRPr="00B2794C" w:rsidRDefault="000C5DB7" w:rsidP="00392598">
      <w:pPr>
        <w:numPr>
          <w:ilvl w:val="0"/>
          <w:numId w:val="1"/>
        </w:numPr>
        <w:ind w:left="426"/>
        <w:contextualSpacing/>
        <w:rPr>
          <w:b/>
          <w:bCs/>
          <w:sz w:val="24"/>
          <w:szCs w:val="24"/>
          <w:lang w:val="es-ES_tradnl"/>
        </w:rPr>
      </w:pPr>
      <w:r w:rsidRPr="00B2794C">
        <w:rPr>
          <w:b/>
          <w:bCs/>
          <w:sz w:val="24"/>
          <w:szCs w:val="24"/>
          <w:lang w:val="es-ES"/>
        </w:rPr>
        <w:t>Procedibilidad de la acción</w:t>
      </w:r>
    </w:p>
    <w:p w14:paraId="4B96FEE6" w14:textId="1DE7AB28" w:rsidR="000C5DB7" w:rsidRPr="00B2794C" w:rsidRDefault="000C5DB7" w:rsidP="00392598">
      <w:pPr>
        <w:contextualSpacing/>
        <w:rPr>
          <w:sz w:val="24"/>
          <w:szCs w:val="24"/>
        </w:rPr>
      </w:pPr>
    </w:p>
    <w:p w14:paraId="2FA06BDA" w14:textId="68EBABED" w:rsidR="00904A3A" w:rsidRPr="00B2794C" w:rsidRDefault="00D51DED" w:rsidP="00392598">
      <w:pPr>
        <w:contextualSpacing/>
        <w:rPr>
          <w:rFonts w:eastAsia="Arial"/>
          <w:sz w:val="24"/>
          <w:szCs w:val="24"/>
          <w:lang w:val="es-MX"/>
        </w:rPr>
      </w:pPr>
      <w:r w:rsidRPr="00B2794C">
        <w:rPr>
          <w:rFonts w:eastAsia="Arial"/>
          <w:sz w:val="24"/>
          <w:szCs w:val="24"/>
          <w:lang w:val="es-MX"/>
        </w:rPr>
        <w:t>En los casos en que la solicitud de amparo ataca una providencia judicial, la doctrina constitucional ha indicado que el juez de tutela debe, en forma preliminar, realizar un examen de procedibilidad general de la acción; pues, solo 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r w:rsidRPr="00B2794C">
        <w:rPr>
          <w:sz w:val="24"/>
          <w:szCs w:val="24"/>
          <w:vertAlign w:val="superscript"/>
        </w:rPr>
        <w:footnoteReference w:id="7"/>
      </w:r>
      <w:r w:rsidRPr="00B2794C">
        <w:rPr>
          <w:rFonts w:eastAsia="Arial"/>
          <w:sz w:val="24"/>
          <w:szCs w:val="24"/>
          <w:lang w:val="es-MX"/>
        </w:rPr>
        <w:t>.</w:t>
      </w:r>
    </w:p>
    <w:p w14:paraId="7EABD710" w14:textId="645CC055" w:rsidR="00974D27" w:rsidRPr="00B2794C" w:rsidRDefault="000C5DB7" w:rsidP="00392598">
      <w:pPr>
        <w:autoSpaceDE w:val="0"/>
        <w:autoSpaceDN w:val="0"/>
        <w:adjustRightInd w:val="0"/>
        <w:rPr>
          <w:sz w:val="24"/>
          <w:szCs w:val="24"/>
        </w:rPr>
      </w:pPr>
      <w:r w:rsidRPr="00B2794C">
        <w:rPr>
          <w:rFonts w:eastAsia="Verdana"/>
          <w:b/>
          <w:sz w:val="24"/>
          <w:szCs w:val="24"/>
          <w:lang w:val="es-ES_tradnl"/>
        </w:rPr>
        <w:lastRenderedPageBreak/>
        <w:t xml:space="preserve">2.1. </w:t>
      </w:r>
      <w:r w:rsidR="00D51DED" w:rsidRPr="00B2794C">
        <w:rPr>
          <w:rFonts w:eastAsia="Verdana"/>
          <w:sz w:val="24"/>
          <w:szCs w:val="24"/>
          <w:lang w:val="es-ES_tradnl"/>
        </w:rPr>
        <w:t xml:space="preserve">La </w:t>
      </w:r>
      <w:r w:rsidRPr="00B2794C">
        <w:rPr>
          <w:b/>
          <w:sz w:val="24"/>
          <w:szCs w:val="24"/>
          <w:lang w:val="es-ES_tradnl"/>
        </w:rPr>
        <w:t>legitimación</w:t>
      </w:r>
      <w:r w:rsidRPr="00B2794C">
        <w:rPr>
          <w:sz w:val="24"/>
          <w:szCs w:val="24"/>
          <w:lang w:val="es-ES_tradnl"/>
        </w:rPr>
        <w:t xml:space="preserve"> </w:t>
      </w:r>
      <w:r w:rsidRPr="00B2794C">
        <w:rPr>
          <w:b/>
          <w:sz w:val="24"/>
          <w:szCs w:val="24"/>
          <w:lang w:val="es-ES_tradnl"/>
        </w:rPr>
        <w:t>en la causa</w:t>
      </w:r>
      <w:r w:rsidRPr="00B2794C">
        <w:rPr>
          <w:sz w:val="24"/>
          <w:szCs w:val="24"/>
          <w:lang w:val="es-ES_tradnl"/>
        </w:rPr>
        <w:t xml:space="preserve"> </w:t>
      </w:r>
      <w:r w:rsidRPr="00B2794C">
        <w:rPr>
          <w:b/>
          <w:sz w:val="24"/>
          <w:szCs w:val="24"/>
          <w:lang w:val="es-ES_tradnl"/>
        </w:rPr>
        <w:t>por</w:t>
      </w:r>
      <w:r w:rsidRPr="00B2794C">
        <w:rPr>
          <w:sz w:val="24"/>
          <w:szCs w:val="24"/>
          <w:lang w:val="es-ES_tradnl"/>
        </w:rPr>
        <w:t xml:space="preserve"> </w:t>
      </w:r>
      <w:r w:rsidRPr="00B2794C">
        <w:rPr>
          <w:b/>
          <w:sz w:val="24"/>
          <w:szCs w:val="24"/>
          <w:lang w:val="es-ES_tradnl"/>
        </w:rPr>
        <w:t>activa</w:t>
      </w:r>
      <w:r w:rsidR="00D51DED" w:rsidRPr="00B2794C">
        <w:rPr>
          <w:sz w:val="24"/>
          <w:szCs w:val="24"/>
          <w:lang w:val="es-ES_tradnl"/>
        </w:rPr>
        <w:t xml:space="preserve"> de </w:t>
      </w:r>
      <w:r w:rsidR="001C01CE">
        <w:rPr>
          <w:sz w:val="24"/>
          <w:szCs w:val="24"/>
          <w:lang w:val="es-ES_tradnl"/>
        </w:rPr>
        <w:t>Deyanira Rico Herrera</w:t>
      </w:r>
      <w:r w:rsidR="00974D27" w:rsidRPr="00B2794C">
        <w:rPr>
          <w:sz w:val="24"/>
          <w:szCs w:val="24"/>
          <w:lang w:val="es-ES_tradnl"/>
        </w:rPr>
        <w:t xml:space="preserve"> se </w:t>
      </w:r>
      <w:r w:rsidR="00671674" w:rsidRPr="00B2794C">
        <w:rPr>
          <w:sz w:val="24"/>
          <w:szCs w:val="24"/>
          <w:lang w:val="es-ES_tradnl"/>
        </w:rPr>
        <w:t>encuentra acreditada, pues fungió</w:t>
      </w:r>
      <w:r w:rsidR="00974D27" w:rsidRPr="00B2794C">
        <w:rPr>
          <w:sz w:val="24"/>
          <w:szCs w:val="24"/>
          <w:lang w:val="es-ES_tradnl"/>
        </w:rPr>
        <w:t xml:space="preserve"> como </w:t>
      </w:r>
      <w:r w:rsidR="001C01CE">
        <w:rPr>
          <w:sz w:val="24"/>
          <w:szCs w:val="24"/>
          <w:lang w:val="es-ES_tradnl"/>
        </w:rPr>
        <w:t>demandante</w:t>
      </w:r>
      <w:r w:rsidR="00671674" w:rsidRPr="00B2794C">
        <w:rPr>
          <w:sz w:val="24"/>
          <w:szCs w:val="24"/>
          <w:lang w:val="es-ES_tradnl"/>
        </w:rPr>
        <w:t xml:space="preserve"> </w:t>
      </w:r>
      <w:r w:rsidR="00974D27" w:rsidRPr="00B2794C">
        <w:rPr>
          <w:sz w:val="24"/>
          <w:szCs w:val="24"/>
          <w:lang w:val="es-ES_tradnl"/>
        </w:rPr>
        <w:t>dentro del proceso</w:t>
      </w:r>
      <w:r w:rsidR="005B5903">
        <w:rPr>
          <w:sz w:val="24"/>
          <w:szCs w:val="24"/>
          <w:lang w:val="es-ES_tradnl"/>
        </w:rPr>
        <w:t xml:space="preserve"> de nulidad y restablecimiento del derecho</w:t>
      </w:r>
      <w:r w:rsidR="00974D27" w:rsidRPr="00B2794C">
        <w:rPr>
          <w:sz w:val="24"/>
          <w:szCs w:val="24"/>
          <w:lang w:val="es-ES_tradnl"/>
        </w:rPr>
        <w:t xml:space="preserve"> con radicado </w:t>
      </w:r>
      <w:r w:rsidR="005B5903" w:rsidRPr="00B2794C">
        <w:rPr>
          <w:sz w:val="24"/>
          <w:szCs w:val="24"/>
          <w:lang w:val="es-MX" w:eastAsia="ja-JP"/>
        </w:rPr>
        <w:t>25000-23-42-000-2015-03244-01</w:t>
      </w:r>
      <w:r w:rsidR="00974D27" w:rsidRPr="00B2794C">
        <w:rPr>
          <w:sz w:val="24"/>
          <w:szCs w:val="24"/>
          <w:lang w:val="es-MX" w:eastAsia="ja-JP"/>
        </w:rPr>
        <w:t>, y es</w:t>
      </w:r>
      <w:r w:rsidR="005704D4" w:rsidRPr="00B2794C">
        <w:rPr>
          <w:sz w:val="24"/>
          <w:szCs w:val="24"/>
          <w:lang w:val="es-MX" w:eastAsia="ja-JP"/>
        </w:rPr>
        <w:t xml:space="preserve"> la</w:t>
      </w:r>
      <w:r w:rsidR="00974D27" w:rsidRPr="00B2794C">
        <w:rPr>
          <w:sz w:val="24"/>
          <w:szCs w:val="24"/>
          <w:lang w:val="es-MX" w:eastAsia="ja-JP"/>
        </w:rPr>
        <w:t xml:space="preserve"> titular de los der</w:t>
      </w:r>
      <w:r w:rsidR="00671674" w:rsidRPr="00B2794C">
        <w:rPr>
          <w:sz w:val="24"/>
          <w:szCs w:val="24"/>
          <w:lang w:val="es-MX" w:eastAsia="ja-JP"/>
        </w:rPr>
        <w:t xml:space="preserve">echos fundamentales </w:t>
      </w:r>
      <w:r w:rsidR="002A58EF">
        <w:rPr>
          <w:sz w:val="24"/>
          <w:szCs w:val="24"/>
          <w:lang w:val="es-MX" w:eastAsia="ja-JP"/>
        </w:rPr>
        <w:t>cuyo amparo pretende</w:t>
      </w:r>
      <w:r w:rsidR="007E051D" w:rsidRPr="00B2794C">
        <w:rPr>
          <w:sz w:val="24"/>
          <w:szCs w:val="24"/>
          <w:lang w:val="es-MX" w:eastAsia="ja-JP"/>
        </w:rPr>
        <w:t>.</w:t>
      </w:r>
    </w:p>
    <w:p w14:paraId="572635A6" w14:textId="77777777" w:rsidR="005704D4" w:rsidRPr="00B2794C" w:rsidRDefault="005704D4" w:rsidP="00392598">
      <w:pPr>
        <w:tabs>
          <w:tab w:val="left" w:pos="0"/>
        </w:tabs>
        <w:contextualSpacing/>
        <w:rPr>
          <w:sz w:val="24"/>
          <w:szCs w:val="24"/>
          <w:lang w:val="es-ES_tradnl"/>
        </w:rPr>
      </w:pPr>
    </w:p>
    <w:p w14:paraId="72DD4F63" w14:textId="1AD32897" w:rsidR="00263CB2" w:rsidRPr="00B2794C" w:rsidRDefault="005704D4" w:rsidP="00392598">
      <w:pPr>
        <w:tabs>
          <w:tab w:val="left" w:pos="0"/>
        </w:tabs>
        <w:contextualSpacing/>
        <w:rPr>
          <w:sz w:val="24"/>
          <w:szCs w:val="24"/>
          <w:lang w:val="es-ES_tradnl"/>
        </w:rPr>
      </w:pPr>
      <w:r w:rsidRPr="00B2794C">
        <w:rPr>
          <w:sz w:val="24"/>
          <w:szCs w:val="24"/>
          <w:lang w:val="es-ES_tradnl"/>
        </w:rPr>
        <w:t xml:space="preserve">También está probada </w:t>
      </w:r>
      <w:r w:rsidRPr="00B2794C">
        <w:rPr>
          <w:b/>
          <w:sz w:val="24"/>
          <w:szCs w:val="24"/>
          <w:lang w:val="es-ES_tradnl"/>
        </w:rPr>
        <w:t>la legitimación en la causa por pasiva</w:t>
      </w:r>
      <w:r w:rsidRPr="00B2794C">
        <w:rPr>
          <w:sz w:val="24"/>
          <w:szCs w:val="24"/>
          <w:lang w:val="es-ES_tradnl"/>
        </w:rPr>
        <w:t xml:space="preserve"> de la</w:t>
      </w:r>
      <w:r w:rsidR="005B5903">
        <w:rPr>
          <w:sz w:val="24"/>
          <w:szCs w:val="24"/>
          <w:lang w:val="es-ES_tradnl"/>
        </w:rPr>
        <w:t xml:space="preserve"> Subsección A de la Sección Segunda del Consejo de Estado</w:t>
      </w:r>
      <w:r w:rsidRPr="00B2794C">
        <w:rPr>
          <w:sz w:val="24"/>
          <w:szCs w:val="24"/>
          <w:lang w:val="es-ES_tradnl"/>
        </w:rPr>
        <w:t xml:space="preserve">, en la medida en que fue la autoridad que profirió la sentencia del </w:t>
      </w:r>
      <w:r w:rsidR="005B5903">
        <w:rPr>
          <w:sz w:val="24"/>
          <w:szCs w:val="24"/>
          <w:lang w:val="es-MX" w:eastAsia="ja-JP"/>
        </w:rPr>
        <w:t>30 de julio</w:t>
      </w:r>
      <w:r w:rsidRPr="00B2794C">
        <w:rPr>
          <w:sz w:val="24"/>
          <w:szCs w:val="24"/>
          <w:lang w:val="es-MX" w:eastAsia="ja-JP"/>
        </w:rPr>
        <w:t xml:space="preserve"> de 2020 </w:t>
      </w:r>
      <w:r w:rsidRPr="00B2794C">
        <w:rPr>
          <w:sz w:val="24"/>
          <w:szCs w:val="24"/>
          <w:lang w:val="es-ES_tradnl"/>
        </w:rPr>
        <w:t>que, según la tutelante, vulner</w:t>
      </w:r>
      <w:r w:rsidR="00A76E34" w:rsidRPr="00B2794C">
        <w:rPr>
          <w:sz w:val="24"/>
          <w:szCs w:val="24"/>
          <w:lang w:val="es-ES_tradnl"/>
        </w:rPr>
        <w:t>ó</w:t>
      </w:r>
      <w:r w:rsidRPr="00B2794C">
        <w:rPr>
          <w:sz w:val="24"/>
          <w:szCs w:val="24"/>
          <w:lang w:val="es-ES_tradnl"/>
        </w:rPr>
        <w:t xml:space="preserve"> sus derechos fundamentales.</w:t>
      </w:r>
    </w:p>
    <w:p w14:paraId="76E5FF86" w14:textId="77777777" w:rsidR="005704D4" w:rsidRPr="00B2794C" w:rsidRDefault="005704D4" w:rsidP="00392598">
      <w:pPr>
        <w:ind w:right="-93"/>
        <w:rPr>
          <w:sz w:val="24"/>
          <w:szCs w:val="24"/>
        </w:rPr>
      </w:pPr>
    </w:p>
    <w:p w14:paraId="3C1A5F72" w14:textId="7D3F0080" w:rsidR="00E21709" w:rsidRPr="00B2794C" w:rsidRDefault="000A093D" w:rsidP="00392598">
      <w:pPr>
        <w:ind w:right="-93"/>
        <w:rPr>
          <w:sz w:val="24"/>
          <w:szCs w:val="24"/>
        </w:rPr>
      </w:pPr>
      <w:r w:rsidRPr="00B2794C">
        <w:rPr>
          <w:b/>
          <w:sz w:val="24"/>
          <w:szCs w:val="24"/>
        </w:rPr>
        <w:t>2.2.</w:t>
      </w:r>
      <w:r w:rsidR="00263CB2" w:rsidRPr="00B2794C">
        <w:rPr>
          <w:b/>
          <w:sz w:val="24"/>
          <w:szCs w:val="24"/>
        </w:rPr>
        <w:t xml:space="preserve"> </w:t>
      </w:r>
      <w:r w:rsidR="005704D4" w:rsidRPr="00B2794C">
        <w:rPr>
          <w:b/>
          <w:sz w:val="24"/>
          <w:szCs w:val="24"/>
        </w:rPr>
        <w:t xml:space="preserve">Relevancia constitucional. </w:t>
      </w:r>
      <w:r w:rsidR="00C23E21" w:rsidRPr="00B2794C">
        <w:rPr>
          <w:sz w:val="24"/>
          <w:szCs w:val="24"/>
        </w:rPr>
        <w:t xml:space="preserve">En el </w:t>
      </w:r>
      <w:r w:rsidR="00E21709" w:rsidRPr="00B2794C">
        <w:rPr>
          <w:sz w:val="24"/>
          <w:szCs w:val="24"/>
        </w:rPr>
        <w:t>presente asunto</w:t>
      </w:r>
      <w:r w:rsidR="00C23E21" w:rsidRPr="00B2794C">
        <w:rPr>
          <w:sz w:val="24"/>
          <w:szCs w:val="24"/>
        </w:rPr>
        <w:t xml:space="preserve">, </w:t>
      </w:r>
      <w:r w:rsidR="00361B8F">
        <w:rPr>
          <w:sz w:val="24"/>
          <w:szCs w:val="24"/>
        </w:rPr>
        <w:t xml:space="preserve">Deyanira Rico Herrera </w:t>
      </w:r>
      <w:r w:rsidR="00E21709" w:rsidRPr="00B2794C">
        <w:rPr>
          <w:sz w:val="24"/>
          <w:szCs w:val="24"/>
        </w:rPr>
        <w:t>indicó</w:t>
      </w:r>
      <w:r w:rsidR="00677074">
        <w:rPr>
          <w:sz w:val="24"/>
          <w:szCs w:val="24"/>
        </w:rPr>
        <w:t>,</w:t>
      </w:r>
      <w:r w:rsidR="00E21709" w:rsidRPr="00B2794C">
        <w:rPr>
          <w:sz w:val="24"/>
          <w:szCs w:val="24"/>
        </w:rPr>
        <w:t xml:space="preserve"> como </w:t>
      </w:r>
      <w:r w:rsidR="0033546F" w:rsidRPr="00B2794C">
        <w:rPr>
          <w:sz w:val="24"/>
          <w:szCs w:val="24"/>
        </w:rPr>
        <w:t>fundamento de su escrito de tutela, en concreto,</w:t>
      </w:r>
      <w:r w:rsidR="00361B8F">
        <w:rPr>
          <w:sz w:val="24"/>
          <w:szCs w:val="24"/>
        </w:rPr>
        <w:t xml:space="preserve"> que en la sentencia del 30 de </w:t>
      </w:r>
      <w:r w:rsidR="002820EC">
        <w:rPr>
          <w:sz w:val="24"/>
          <w:szCs w:val="24"/>
        </w:rPr>
        <w:t>julio se desconoció que: i) el Decreto 929 de 1976 de la Contraloría General de la República no era aplicable; ii) el reconocimiento pensional debió ordenarse conforme a los requisitos previstos por el Decreto 546 de 1971; iii) laboró 17 años para la Rama Judicial; y</w:t>
      </w:r>
      <w:r w:rsidR="00677074">
        <w:rPr>
          <w:sz w:val="24"/>
          <w:szCs w:val="24"/>
        </w:rPr>
        <w:t xml:space="preserve"> v) las altas corte han proferido jurisprudencia favorable a su</w:t>
      </w:r>
      <w:r w:rsidR="002820EC">
        <w:rPr>
          <w:sz w:val="24"/>
          <w:szCs w:val="24"/>
        </w:rPr>
        <w:t xml:space="preserve">s intereses. </w:t>
      </w:r>
    </w:p>
    <w:p w14:paraId="207D009C" w14:textId="77777777" w:rsidR="00361B8F" w:rsidRPr="00B2794C" w:rsidRDefault="00361B8F" w:rsidP="00392598">
      <w:pPr>
        <w:ind w:right="-93"/>
        <w:rPr>
          <w:sz w:val="24"/>
          <w:szCs w:val="24"/>
        </w:rPr>
      </w:pPr>
    </w:p>
    <w:p w14:paraId="11A5747E" w14:textId="77777777" w:rsidR="009F4147" w:rsidRPr="00B2794C" w:rsidRDefault="009F4147" w:rsidP="00B52AF1">
      <w:pPr>
        <w:rPr>
          <w:rFonts w:eastAsia="Verdana"/>
          <w:sz w:val="24"/>
          <w:szCs w:val="24"/>
        </w:rPr>
      </w:pPr>
      <w:r w:rsidRPr="00B2794C">
        <w:rPr>
          <w:sz w:val="24"/>
          <w:szCs w:val="24"/>
          <w:lang w:val="es-ES"/>
        </w:rPr>
        <w:t>Al respecto, es preciso recordar que en</w:t>
      </w:r>
      <w:r w:rsidR="00B52AF1" w:rsidRPr="00B2794C">
        <w:rPr>
          <w:sz w:val="24"/>
          <w:szCs w:val="24"/>
          <w:lang w:val="es-ES"/>
        </w:rPr>
        <w:t xml:space="preserve"> las acciones de tutela contra providencias judiciales, </w:t>
      </w:r>
      <w:r w:rsidR="00B52AF1" w:rsidRPr="00B2794C">
        <w:rPr>
          <w:rFonts w:eastAsia="Verdana"/>
          <w:sz w:val="24"/>
          <w:szCs w:val="24"/>
        </w:rPr>
        <w:t>“la función del juez de tutela no es la de fungir como una instancia adicional del procedimiento judicial que se cuestiona</w:t>
      </w:r>
      <w:bookmarkStart w:id="2" w:name="_ftnref40"/>
      <w:r w:rsidR="00B52AF1" w:rsidRPr="00B2794C">
        <w:rPr>
          <w:rFonts w:eastAsia="Verdana"/>
          <w:sz w:val="24"/>
          <w:szCs w:val="24"/>
        </w:rPr>
        <w:fldChar w:fldCharType="begin"/>
      </w:r>
      <w:r w:rsidR="00B52AF1" w:rsidRPr="00B2794C">
        <w:rPr>
          <w:rFonts w:eastAsia="Verdana"/>
          <w:sz w:val="24"/>
          <w:szCs w:val="24"/>
        </w:rPr>
        <w:instrText xml:space="preserve"> HYPERLINK "http://www.corteconstitucional.gov.co/relatoria/2019/t-066-19.htm" \l "_ftn40" \o "" </w:instrText>
      </w:r>
      <w:r w:rsidR="00B52AF1" w:rsidRPr="00B2794C">
        <w:rPr>
          <w:rFonts w:eastAsia="Verdana"/>
          <w:sz w:val="24"/>
          <w:szCs w:val="24"/>
        </w:rPr>
        <w:fldChar w:fldCharType="end"/>
      </w:r>
      <w:bookmarkEnd w:id="2"/>
      <w:r w:rsidR="00B52AF1" w:rsidRPr="00B2794C">
        <w:rPr>
          <w:rFonts w:eastAsia="Verdana"/>
          <w:sz w:val="24"/>
          <w:szCs w:val="24"/>
        </w:rPr>
        <w:t>, pues ello desconocería la competencia y finalidad de administración de justicia por parte de los jueces naturales, así como su autonomía funcional”</w:t>
      </w:r>
      <w:r w:rsidR="00B52AF1" w:rsidRPr="00B2794C">
        <w:rPr>
          <w:rFonts w:eastAsia="Verdana"/>
          <w:sz w:val="24"/>
          <w:szCs w:val="24"/>
          <w:vertAlign w:val="superscript"/>
        </w:rPr>
        <w:footnoteReference w:id="8"/>
      </w:r>
      <w:r w:rsidR="00B52AF1" w:rsidRPr="00B2794C">
        <w:rPr>
          <w:rFonts w:eastAsia="Verdana"/>
          <w:sz w:val="24"/>
          <w:szCs w:val="24"/>
        </w:rPr>
        <w:t xml:space="preserve">. </w:t>
      </w:r>
    </w:p>
    <w:p w14:paraId="3419D3D6" w14:textId="77777777" w:rsidR="009F4147" w:rsidRPr="00B2794C" w:rsidRDefault="009F4147" w:rsidP="00B52AF1">
      <w:pPr>
        <w:rPr>
          <w:rFonts w:eastAsia="Verdana"/>
          <w:sz w:val="24"/>
          <w:szCs w:val="24"/>
        </w:rPr>
      </w:pPr>
    </w:p>
    <w:p w14:paraId="1FD972A9" w14:textId="1372BF19" w:rsidR="00B52AF1" w:rsidRPr="00B2794C" w:rsidRDefault="00B52AF1" w:rsidP="00B52AF1">
      <w:pPr>
        <w:rPr>
          <w:rFonts w:eastAsia="Times New Roman"/>
          <w:sz w:val="24"/>
          <w:szCs w:val="24"/>
          <w:lang w:eastAsia="es-ES"/>
        </w:rPr>
      </w:pPr>
      <w:r w:rsidRPr="00B2794C">
        <w:rPr>
          <w:rFonts w:eastAsia="Verdana"/>
          <w:sz w:val="24"/>
          <w:szCs w:val="24"/>
        </w:rPr>
        <w:t>Quien</w:t>
      </w:r>
      <w:r w:rsidRPr="00B2794C">
        <w:rPr>
          <w:sz w:val="24"/>
          <w:szCs w:val="24"/>
          <w:lang w:val="es-ES"/>
        </w:rPr>
        <w:t xml:space="preserve"> solicita el amparo </w:t>
      </w:r>
      <w:r w:rsidRPr="00B2794C">
        <w:rPr>
          <w:rFonts w:eastAsia="Verdana"/>
          <w:sz w:val="24"/>
          <w:szCs w:val="24"/>
        </w:rPr>
        <w:t xml:space="preserve">debe </w:t>
      </w:r>
      <w:r w:rsidRPr="00B2794C">
        <w:rPr>
          <w:rFonts w:eastAsia="Times New Roman"/>
          <w:sz w:val="24"/>
          <w:szCs w:val="24"/>
          <w:lang w:eastAsia="es-ES"/>
        </w:rPr>
        <w:t>cumplir con la carga de exponer las</w:t>
      </w:r>
      <w:r w:rsidRPr="00B2794C">
        <w:rPr>
          <w:sz w:val="24"/>
          <w:szCs w:val="24"/>
        </w:rPr>
        <w:t xml:space="preserve"> razones por las que el reproche a una providencia que ha hecho tránsito a cosa juzgada, trasciende de la controversia litigiosa propia de la causa ordinaria</w:t>
      </w:r>
      <w:r w:rsidRPr="00B2794C">
        <w:rPr>
          <w:iCs/>
          <w:sz w:val="24"/>
          <w:szCs w:val="24"/>
          <w:vertAlign w:val="superscript"/>
        </w:rPr>
        <w:footnoteReference w:id="9"/>
      </w:r>
      <w:r w:rsidRPr="00B2794C">
        <w:rPr>
          <w:sz w:val="24"/>
          <w:szCs w:val="24"/>
        </w:rPr>
        <w:t xml:space="preserve">, a una cuestión con </w:t>
      </w:r>
      <w:r w:rsidRPr="00B2794C">
        <w:rPr>
          <w:b/>
          <w:sz w:val="24"/>
          <w:szCs w:val="24"/>
        </w:rPr>
        <w:t>relevancia constitucional</w:t>
      </w:r>
      <w:r w:rsidRPr="00B2794C">
        <w:rPr>
          <w:sz w:val="24"/>
          <w:szCs w:val="24"/>
        </w:rPr>
        <w:t>, en términos de</w:t>
      </w:r>
      <w:r w:rsidRPr="00B2794C">
        <w:rPr>
          <w:rFonts w:eastAsia="Times New Roman"/>
          <w:sz w:val="24"/>
          <w:szCs w:val="24"/>
          <w:lang w:eastAsia="es-ES"/>
        </w:rPr>
        <w:t xml:space="preserve"> los defectos definidos por la jurisprudencia como únicas causales que habilitan el control constitucional concreto</w:t>
      </w:r>
      <w:r w:rsidRPr="00B2794C">
        <w:rPr>
          <w:rStyle w:val="Refdenotaalpie"/>
          <w:rFonts w:eastAsia="Verdana"/>
          <w:sz w:val="24"/>
          <w:szCs w:val="24"/>
        </w:rPr>
        <w:footnoteReference w:id="10"/>
      </w:r>
      <w:r w:rsidRPr="00B2794C">
        <w:rPr>
          <w:rFonts w:eastAsia="Times New Roman"/>
          <w:sz w:val="24"/>
          <w:szCs w:val="24"/>
          <w:lang w:eastAsia="es-ES"/>
        </w:rPr>
        <w:t xml:space="preserve">. </w:t>
      </w:r>
    </w:p>
    <w:p w14:paraId="6DEC5471" w14:textId="77777777" w:rsidR="00E21709" w:rsidRPr="00B2794C" w:rsidRDefault="00E21709" w:rsidP="00392598">
      <w:pPr>
        <w:ind w:right="-93"/>
        <w:rPr>
          <w:sz w:val="24"/>
          <w:szCs w:val="24"/>
        </w:rPr>
      </w:pPr>
    </w:p>
    <w:p w14:paraId="41A85735" w14:textId="2DBEA208" w:rsidR="00BE5606" w:rsidRDefault="008F3AB5" w:rsidP="00392598">
      <w:pPr>
        <w:ind w:right="-93"/>
        <w:rPr>
          <w:sz w:val="24"/>
          <w:szCs w:val="24"/>
        </w:rPr>
      </w:pPr>
      <w:r w:rsidRPr="00B2794C">
        <w:rPr>
          <w:sz w:val="24"/>
          <w:szCs w:val="24"/>
        </w:rPr>
        <w:t>En</w:t>
      </w:r>
      <w:r w:rsidR="00B52AF1" w:rsidRPr="00B2794C">
        <w:rPr>
          <w:sz w:val="24"/>
          <w:szCs w:val="24"/>
        </w:rPr>
        <w:t xml:space="preserve"> el presente asunto</w:t>
      </w:r>
      <w:r w:rsidRPr="00B2794C">
        <w:rPr>
          <w:sz w:val="24"/>
          <w:szCs w:val="24"/>
        </w:rPr>
        <w:t xml:space="preserve">, </w:t>
      </w:r>
      <w:r w:rsidR="0046141F" w:rsidRPr="00B2794C">
        <w:rPr>
          <w:sz w:val="24"/>
          <w:szCs w:val="24"/>
        </w:rPr>
        <w:t xml:space="preserve">para verificar que </w:t>
      </w:r>
      <w:r w:rsidR="00271F7D" w:rsidRPr="00B2794C">
        <w:rPr>
          <w:sz w:val="24"/>
          <w:szCs w:val="24"/>
        </w:rPr>
        <w:t xml:space="preserve">la acción de tutela cumple con </w:t>
      </w:r>
      <w:r w:rsidR="0046141F" w:rsidRPr="00B2794C">
        <w:rPr>
          <w:sz w:val="24"/>
          <w:szCs w:val="24"/>
        </w:rPr>
        <w:t xml:space="preserve">el requisito de relevancia constitucional, </w:t>
      </w:r>
      <w:r w:rsidRPr="00B2794C">
        <w:rPr>
          <w:sz w:val="24"/>
          <w:szCs w:val="24"/>
        </w:rPr>
        <w:t xml:space="preserve">esta Sala </w:t>
      </w:r>
      <w:r w:rsidR="004A04B5" w:rsidRPr="00B2794C">
        <w:rPr>
          <w:sz w:val="24"/>
          <w:szCs w:val="24"/>
        </w:rPr>
        <w:t xml:space="preserve">no </w:t>
      </w:r>
      <w:r w:rsidR="00307E2C" w:rsidRPr="00B2794C">
        <w:rPr>
          <w:sz w:val="24"/>
          <w:szCs w:val="24"/>
        </w:rPr>
        <w:t xml:space="preserve">puede </w:t>
      </w:r>
      <w:r w:rsidR="004A04B5" w:rsidRPr="00B2794C">
        <w:rPr>
          <w:sz w:val="24"/>
          <w:szCs w:val="24"/>
        </w:rPr>
        <w:t>pasa</w:t>
      </w:r>
      <w:r w:rsidR="004958EF" w:rsidRPr="00B2794C">
        <w:rPr>
          <w:sz w:val="24"/>
          <w:szCs w:val="24"/>
        </w:rPr>
        <w:t>r</w:t>
      </w:r>
      <w:r w:rsidR="004A04B5" w:rsidRPr="00B2794C">
        <w:rPr>
          <w:sz w:val="24"/>
          <w:szCs w:val="24"/>
        </w:rPr>
        <w:t xml:space="preserve"> por alto</w:t>
      </w:r>
      <w:r w:rsidRPr="00B2794C">
        <w:rPr>
          <w:sz w:val="24"/>
          <w:szCs w:val="24"/>
        </w:rPr>
        <w:t xml:space="preserve"> que la autoridad tutelada</w:t>
      </w:r>
      <w:r w:rsidR="004A04B5" w:rsidRPr="00B2794C">
        <w:rPr>
          <w:sz w:val="24"/>
          <w:szCs w:val="24"/>
        </w:rPr>
        <w:t xml:space="preserve">, </w:t>
      </w:r>
      <w:r w:rsidRPr="00B2794C">
        <w:rPr>
          <w:sz w:val="24"/>
          <w:szCs w:val="24"/>
        </w:rPr>
        <w:t xml:space="preserve">en la </w:t>
      </w:r>
      <w:r w:rsidR="002820EC">
        <w:rPr>
          <w:sz w:val="24"/>
          <w:szCs w:val="24"/>
        </w:rPr>
        <w:t xml:space="preserve">sentencia del 30 de julio de 2020, explicó con extensión las distintas </w:t>
      </w:r>
      <w:r w:rsidR="00BE5606">
        <w:rPr>
          <w:sz w:val="24"/>
          <w:szCs w:val="24"/>
        </w:rPr>
        <w:t>posiciones</w:t>
      </w:r>
      <w:r w:rsidR="002820EC">
        <w:rPr>
          <w:sz w:val="24"/>
          <w:szCs w:val="24"/>
        </w:rPr>
        <w:t xml:space="preserve"> que ha asumido la Corte Constitucional y el Consejo de Estado en su jurisprudencia</w:t>
      </w:r>
      <w:r w:rsidR="00A81B33">
        <w:rPr>
          <w:sz w:val="24"/>
          <w:szCs w:val="24"/>
        </w:rPr>
        <w:t>,</w:t>
      </w:r>
      <w:r w:rsidR="002820EC">
        <w:rPr>
          <w:sz w:val="24"/>
          <w:szCs w:val="24"/>
        </w:rPr>
        <w:t xml:space="preserve"> </w:t>
      </w:r>
      <w:r w:rsidR="00307522">
        <w:rPr>
          <w:sz w:val="24"/>
          <w:szCs w:val="24"/>
        </w:rPr>
        <w:t>concerniente</w:t>
      </w:r>
      <w:r w:rsidR="00074F2A">
        <w:rPr>
          <w:sz w:val="24"/>
          <w:szCs w:val="24"/>
        </w:rPr>
        <w:t>s</w:t>
      </w:r>
      <w:r w:rsidR="00EE337E">
        <w:rPr>
          <w:sz w:val="24"/>
          <w:szCs w:val="24"/>
        </w:rPr>
        <w:t xml:space="preserve"> a </w:t>
      </w:r>
      <w:r w:rsidR="00EE337E" w:rsidRPr="00EE337E">
        <w:rPr>
          <w:sz w:val="24"/>
          <w:szCs w:val="24"/>
        </w:rPr>
        <w:t xml:space="preserve">la relación </w:t>
      </w:r>
      <w:r w:rsidR="002755E1">
        <w:rPr>
          <w:sz w:val="24"/>
          <w:szCs w:val="24"/>
        </w:rPr>
        <w:t>entre el</w:t>
      </w:r>
      <w:r w:rsidR="00EE337E" w:rsidRPr="00EE337E">
        <w:rPr>
          <w:sz w:val="24"/>
          <w:szCs w:val="24"/>
        </w:rPr>
        <w:t xml:space="preserve"> régimen especial de la Rama Judicial con la Ley </w:t>
      </w:r>
      <w:r w:rsidR="00EE337E" w:rsidRPr="00EE337E">
        <w:rPr>
          <w:sz w:val="24"/>
          <w:szCs w:val="24"/>
        </w:rPr>
        <w:lastRenderedPageBreak/>
        <w:t>100 de 1993</w:t>
      </w:r>
      <w:r w:rsidR="002820EC">
        <w:rPr>
          <w:sz w:val="24"/>
          <w:szCs w:val="24"/>
        </w:rPr>
        <w:t>, y los actuales criterios establecidos por dichas Corporaciones</w:t>
      </w:r>
      <w:r w:rsidR="00BE5606">
        <w:rPr>
          <w:sz w:val="24"/>
          <w:szCs w:val="24"/>
        </w:rPr>
        <w:t xml:space="preserve"> y sus fundamentos</w:t>
      </w:r>
      <w:r w:rsidR="002820EC">
        <w:rPr>
          <w:sz w:val="24"/>
          <w:szCs w:val="24"/>
        </w:rPr>
        <w:t xml:space="preserve">. </w:t>
      </w:r>
    </w:p>
    <w:p w14:paraId="4677F4C5" w14:textId="77777777" w:rsidR="00BE5606" w:rsidRDefault="00BE5606" w:rsidP="00392598">
      <w:pPr>
        <w:ind w:right="-93"/>
        <w:rPr>
          <w:sz w:val="24"/>
          <w:szCs w:val="24"/>
        </w:rPr>
      </w:pPr>
    </w:p>
    <w:p w14:paraId="2D0B2989" w14:textId="533A122C" w:rsidR="003A0202" w:rsidRDefault="002820EC" w:rsidP="003A0202">
      <w:pPr>
        <w:ind w:right="-93"/>
        <w:rPr>
          <w:sz w:val="24"/>
          <w:szCs w:val="24"/>
        </w:rPr>
      </w:pPr>
      <w:r>
        <w:rPr>
          <w:sz w:val="24"/>
          <w:szCs w:val="24"/>
        </w:rPr>
        <w:t xml:space="preserve">Además, que </w:t>
      </w:r>
      <w:r w:rsidR="00BE5606">
        <w:rPr>
          <w:sz w:val="24"/>
          <w:szCs w:val="24"/>
        </w:rPr>
        <w:t xml:space="preserve">la Subsección reprochada </w:t>
      </w:r>
      <w:r>
        <w:rPr>
          <w:sz w:val="24"/>
          <w:szCs w:val="24"/>
        </w:rPr>
        <w:t>expuso con cla</w:t>
      </w:r>
      <w:r w:rsidR="00BE5606">
        <w:rPr>
          <w:sz w:val="24"/>
          <w:szCs w:val="24"/>
        </w:rPr>
        <w:t>ridad las razones por las que, con base en las últimas posturas de la jurisprudencia de la Sección Segunda de esta Corporación</w:t>
      </w:r>
      <w:r w:rsidR="00EE337E">
        <w:rPr>
          <w:sz w:val="24"/>
          <w:szCs w:val="24"/>
        </w:rPr>
        <w:t xml:space="preserve"> y los hechos probados al interior del proceso de nulidad y restablecimiento del derecho, </w:t>
      </w:r>
      <w:r w:rsidR="00BE5606">
        <w:rPr>
          <w:sz w:val="24"/>
          <w:szCs w:val="24"/>
        </w:rPr>
        <w:t>no era posible que Deyanira Rico Herrera fuera beneficiaria del régimen de la Rama Judicial a pesar de haber trabajado más de 17 años para la Fiscalía General de la Naci</w:t>
      </w:r>
      <w:r w:rsidR="00EE337E">
        <w:rPr>
          <w:sz w:val="24"/>
          <w:szCs w:val="24"/>
        </w:rPr>
        <w:t>ón.</w:t>
      </w:r>
    </w:p>
    <w:p w14:paraId="20452FFC" w14:textId="77777777" w:rsidR="003A0202" w:rsidRPr="00B2794C" w:rsidRDefault="003A0202" w:rsidP="00392598">
      <w:pPr>
        <w:overflowPunct w:val="0"/>
        <w:autoSpaceDE w:val="0"/>
        <w:autoSpaceDN w:val="0"/>
        <w:adjustRightInd w:val="0"/>
        <w:contextualSpacing/>
        <w:rPr>
          <w:sz w:val="24"/>
          <w:szCs w:val="24"/>
        </w:rPr>
      </w:pPr>
    </w:p>
    <w:p w14:paraId="213A94E5" w14:textId="33CC509A" w:rsidR="001D4CE9" w:rsidRPr="00B2794C" w:rsidRDefault="00B52AF1" w:rsidP="00392598">
      <w:pPr>
        <w:overflowPunct w:val="0"/>
        <w:autoSpaceDE w:val="0"/>
        <w:autoSpaceDN w:val="0"/>
        <w:adjustRightInd w:val="0"/>
        <w:contextualSpacing/>
        <w:rPr>
          <w:sz w:val="24"/>
          <w:szCs w:val="24"/>
          <w:lang w:val="es-ES"/>
        </w:rPr>
      </w:pPr>
      <w:r w:rsidRPr="00B2794C">
        <w:rPr>
          <w:sz w:val="24"/>
          <w:szCs w:val="24"/>
          <w:lang w:val="es-ES"/>
        </w:rPr>
        <w:t>Visto lo anterior</w:t>
      </w:r>
      <w:r w:rsidR="0061679D" w:rsidRPr="00B2794C">
        <w:rPr>
          <w:sz w:val="24"/>
          <w:szCs w:val="24"/>
          <w:lang w:val="es-ES"/>
        </w:rPr>
        <w:t>, en el caso concreto</w:t>
      </w:r>
      <w:r w:rsidR="00BE5606">
        <w:rPr>
          <w:sz w:val="24"/>
          <w:szCs w:val="24"/>
          <w:lang w:val="es-ES"/>
        </w:rPr>
        <w:t>,</w:t>
      </w:r>
      <w:r w:rsidRPr="00B2794C">
        <w:rPr>
          <w:sz w:val="24"/>
          <w:szCs w:val="24"/>
          <w:lang w:val="es-ES"/>
        </w:rPr>
        <w:t xml:space="preserve"> la </w:t>
      </w:r>
      <w:r w:rsidR="00BE5606">
        <w:rPr>
          <w:sz w:val="24"/>
          <w:szCs w:val="24"/>
          <w:lang w:val="es-ES"/>
        </w:rPr>
        <w:t>Sala</w:t>
      </w:r>
      <w:r w:rsidRPr="00B2794C">
        <w:rPr>
          <w:sz w:val="24"/>
          <w:szCs w:val="24"/>
          <w:lang w:val="es-ES"/>
        </w:rPr>
        <w:t xml:space="preserve"> observa que</w:t>
      </w:r>
      <w:r w:rsidR="00BE09D7" w:rsidRPr="00B2794C">
        <w:rPr>
          <w:sz w:val="24"/>
          <w:szCs w:val="24"/>
          <w:lang w:val="es-ES"/>
        </w:rPr>
        <w:t xml:space="preserve"> los argumentos </w:t>
      </w:r>
      <w:r w:rsidR="004958EF" w:rsidRPr="00B2794C">
        <w:rPr>
          <w:sz w:val="24"/>
          <w:szCs w:val="24"/>
          <w:lang w:val="es-ES"/>
        </w:rPr>
        <w:t>de</w:t>
      </w:r>
      <w:r w:rsidR="00BE09D7" w:rsidRPr="00B2794C">
        <w:rPr>
          <w:sz w:val="24"/>
          <w:szCs w:val="24"/>
          <w:lang w:val="es-ES"/>
        </w:rPr>
        <w:t xml:space="preserve"> </w:t>
      </w:r>
      <w:r w:rsidR="004958EF" w:rsidRPr="00B2794C">
        <w:rPr>
          <w:sz w:val="24"/>
          <w:szCs w:val="24"/>
          <w:lang w:val="es-ES"/>
        </w:rPr>
        <w:t xml:space="preserve">tutela </w:t>
      </w:r>
      <w:r w:rsidR="004B1AE0">
        <w:rPr>
          <w:sz w:val="24"/>
          <w:szCs w:val="24"/>
          <w:lang w:val="es-ES"/>
        </w:rPr>
        <w:t xml:space="preserve">ya </w:t>
      </w:r>
      <w:r w:rsidR="00BE09D7" w:rsidRPr="00B2794C">
        <w:rPr>
          <w:sz w:val="24"/>
          <w:szCs w:val="24"/>
          <w:lang w:val="es-ES"/>
        </w:rPr>
        <w:t xml:space="preserve">fueron abordados y decididos </w:t>
      </w:r>
      <w:r w:rsidR="0061679D" w:rsidRPr="00B2794C">
        <w:rPr>
          <w:sz w:val="24"/>
          <w:szCs w:val="24"/>
          <w:lang w:val="es-ES"/>
        </w:rPr>
        <w:t>dentro del proceso</w:t>
      </w:r>
      <w:r w:rsidR="004958EF" w:rsidRPr="00B2794C">
        <w:rPr>
          <w:sz w:val="24"/>
          <w:szCs w:val="24"/>
          <w:lang w:val="es-ES"/>
        </w:rPr>
        <w:t xml:space="preserve"> </w:t>
      </w:r>
      <w:r w:rsidR="00BE5606">
        <w:rPr>
          <w:sz w:val="24"/>
          <w:szCs w:val="24"/>
          <w:lang w:val="es-ES"/>
        </w:rPr>
        <w:t>de nulidad y restablecimiento del derecho, y que</w:t>
      </w:r>
      <w:r w:rsidR="0061679D" w:rsidRPr="00B2794C">
        <w:rPr>
          <w:sz w:val="24"/>
          <w:szCs w:val="24"/>
          <w:lang w:val="es-ES"/>
        </w:rPr>
        <w:t xml:space="preserve"> los reproches</w:t>
      </w:r>
      <w:r w:rsidR="004B1AE0">
        <w:rPr>
          <w:sz w:val="24"/>
          <w:szCs w:val="24"/>
          <w:lang w:val="es-ES"/>
        </w:rPr>
        <w:t xml:space="preserve"> de </w:t>
      </w:r>
      <w:r w:rsidR="009E5D3B">
        <w:rPr>
          <w:sz w:val="24"/>
          <w:szCs w:val="24"/>
          <w:lang w:val="es-ES"/>
        </w:rPr>
        <w:t xml:space="preserve">la señora </w:t>
      </w:r>
      <w:r w:rsidR="004B1AE0">
        <w:rPr>
          <w:sz w:val="24"/>
          <w:szCs w:val="24"/>
          <w:lang w:val="es-ES"/>
        </w:rPr>
        <w:t>Rico Herrera</w:t>
      </w:r>
      <w:r w:rsidR="009A604B">
        <w:rPr>
          <w:sz w:val="24"/>
          <w:szCs w:val="24"/>
          <w:lang w:val="es-ES"/>
        </w:rPr>
        <w:t>, además de que</w:t>
      </w:r>
      <w:r w:rsidR="00BE5606">
        <w:rPr>
          <w:sz w:val="24"/>
          <w:szCs w:val="24"/>
          <w:lang w:val="es-ES"/>
        </w:rPr>
        <w:t xml:space="preserve"> no</w:t>
      </w:r>
      <w:r w:rsidR="0061679D" w:rsidRPr="00B2794C">
        <w:rPr>
          <w:sz w:val="24"/>
          <w:szCs w:val="24"/>
          <w:lang w:val="es-ES"/>
        </w:rPr>
        <w:t xml:space="preserve"> </w:t>
      </w:r>
      <w:r w:rsidR="00BE5606">
        <w:rPr>
          <w:sz w:val="24"/>
          <w:szCs w:val="24"/>
          <w:lang w:val="es-ES"/>
        </w:rPr>
        <w:t>está</w:t>
      </w:r>
      <w:r w:rsidR="0061679D" w:rsidRPr="00B2794C">
        <w:rPr>
          <w:sz w:val="24"/>
          <w:szCs w:val="24"/>
          <w:lang w:val="es-ES"/>
        </w:rPr>
        <w:t>n dirigidos en contra de las razone</w:t>
      </w:r>
      <w:r w:rsidR="00BE5606">
        <w:rPr>
          <w:sz w:val="24"/>
          <w:szCs w:val="24"/>
          <w:lang w:val="es-ES"/>
        </w:rPr>
        <w:t>s que sirvieron de fundamento en la se</w:t>
      </w:r>
      <w:r w:rsidR="001E2CF4">
        <w:rPr>
          <w:sz w:val="24"/>
          <w:szCs w:val="24"/>
          <w:lang w:val="es-ES"/>
        </w:rPr>
        <w:t>n</w:t>
      </w:r>
      <w:r w:rsidR="009A604B">
        <w:rPr>
          <w:sz w:val="24"/>
          <w:szCs w:val="24"/>
          <w:lang w:val="es-ES"/>
        </w:rPr>
        <w:t>tencia del 30 d</w:t>
      </w:r>
      <w:r w:rsidR="00537CEE">
        <w:rPr>
          <w:sz w:val="24"/>
          <w:szCs w:val="24"/>
          <w:lang w:val="es-ES"/>
        </w:rPr>
        <w:t>e julio de 2020, las desconoce</w:t>
      </w:r>
      <w:r w:rsidR="009E5D3B">
        <w:rPr>
          <w:sz w:val="24"/>
          <w:szCs w:val="24"/>
          <w:lang w:val="es-ES"/>
        </w:rPr>
        <w:t xml:space="preserve"> por completo</w:t>
      </w:r>
      <w:r w:rsidR="00537CEE">
        <w:rPr>
          <w:sz w:val="24"/>
          <w:szCs w:val="24"/>
          <w:lang w:val="es-ES"/>
        </w:rPr>
        <w:t>.</w:t>
      </w:r>
    </w:p>
    <w:p w14:paraId="4A3D6EB8" w14:textId="77777777" w:rsidR="00991113" w:rsidRPr="00B2794C" w:rsidRDefault="00991113" w:rsidP="00392598">
      <w:pPr>
        <w:overflowPunct w:val="0"/>
        <w:autoSpaceDE w:val="0"/>
        <w:autoSpaceDN w:val="0"/>
        <w:adjustRightInd w:val="0"/>
        <w:contextualSpacing/>
        <w:rPr>
          <w:sz w:val="24"/>
          <w:szCs w:val="24"/>
          <w:lang w:val="es-ES"/>
        </w:rPr>
      </w:pPr>
    </w:p>
    <w:p w14:paraId="31CD526D" w14:textId="39970F44" w:rsidR="00991113" w:rsidRPr="00B2794C" w:rsidRDefault="00991113" w:rsidP="00392598">
      <w:pPr>
        <w:overflowPunct w:val="0"/>
        <w:autoSpaceDE w:val="0"/>
        <w:autoSpaceDN w:val="0"/>
        <w:adjustRightInd w:val="0"/>
        <w:contextualSpacing/>
        <w:rPr>
          <w:sz w:val="24"/>
          <w:szCs w:val="24"/>
          <w:lang w:val="es-ES"/>
        </w:rPr>
      </w:pPr>
      <w:r w:rsidRPr="00B2794C">
        <w:rPr>
          <w:sz w:val="24"/>
          <w:szCs w:val="24"/>
          <w:lang w:val="es-ES"/>
        </w:rPr>
        <w:t xml:space="preserve">En ese orden, </w:t>
      </w:r>
      <w:r w:rsidR="00DD3AB3" w:rsidRPr="00B2794C">
        <w:rPr>
          <w:sz w:val="24"/>
          <w:szCs w:val="24"/>
          <w:lang w:val="es-ES"/>
        </w:rPr>
        <w:t>la Sala procederá a dec</w:t>
      </w:r>
      <w:r w:rsidR="005C42C3" w:rsidRPr="00B2794C">
        <w:rPr>
          <w:sz w:val="24"/>
          <w:szCs w:val="24"/>
          <w:lang w:val="es-ES"/>
        </w:rPr>
        <w:t>larar improcedente la tutela</w:t>
      </w:r>
      <w:r w:rsidR="009E5D3B">
        <w:rPr>
          <w:sz w:val="24"/>
          <w:szCs w:val="24"/>
          <w:lang w:val="es-ES"/>
        </w:rPr>
        <w:t>,</w:t>
      </w:r>
      <w:r w:rsidR="005C42C3" w:rsidRPr="00B2794C">
        <w:rPr>
          <w:sz w:val="24"/>
          <w:szCs w:val="24"/>
          <w:lang w:val="es-ES"/>
        </w:rPr>
        <w:t xml:space="preserve"> en la medida en que no cumplió con el </w:t>
      </w:r>
      <w:r w:rsidR="00DD3AB3" w:rsidRPr="00B2794C">
        <w:rPr>
          <w:sz w:val="24"/>
          <w:szCs w:val="24"/>
          <w:lang w:val="es-ES"/>
        </w:rPr>
        <w:t>requisito de relevancia constitucional, pues la actora</w:t>
      </w:r>
      <w:r w:rsidRPr="00B2794C">
        <w:rPr>
          <w:sz w:val="24"/>
          <w:szCs w:val="24"/>
          <w:lang w:val="es-ES"/>
        </w:rPr>
        <w:t>, lejos de presentar</w:t>
      </w:r>
      <w:r w:rsidR="00E62305" w:rsidRPr="00B2794C">
        <w:rPr>
          <w:sz w:val="24"/>
          <w:szCs w:val="24"/>
          <w:lang w:val="es-ES"/>
        </w:rPr>
        <w:t xml:space="preserve"> la vulneración de un derecho fundamental a partir de</w:t>
      </w:r>
      <w:r w:rsidRPr="00B2794C">
        <w:rPr>
          <w:sz w:val="24"/>
          <w:szCs w:val="24"/>
          <w:lang w:val="es-ES"/>
        </w:rPr>
        <w:t xml:space="preserve"> la posible configuración de</w:t>
      </w:r>
      <w:r w:rsidR="00E62305" w:rsidRPr="00B2794C">
        <w:rPr>
          <w:sz w:val="24"/>
          <w:szCs w:val="24"/>
          <w:lang w:val="es-ES"/>
        </w:rPr>
        <w:t xml:space="preserve"> un defecto</w:t>
      </w:r>
      <w:r w:rsidR="001E2CF4">
        <w:rPr>
          <w:sz w:val="24"/>
          <w:szCs w:val="24"/>
          <w:lang w:val="es-ES"/>
        </w:rPr>
        <w:t xml:space="preserve"> en la sentencia del 30</w:t>
      </w:r>
      <w:r w:rsidRPr="00B2794C">
        <w:rPr>
          <w:sz w:val="24"/>
          <w:szCs w:val="24"/>
          <w:lang w:val="es-ES"/>
        </w:rPr>
        <w:t xml:space="preserve"> de </w:t>
      </w:r>
      <w:r w:rsidR="001E2CF4">
        <w:rPr>
          <w:sz w:val="24"/>
          <w:szCs w:val="24"/>
          <w:lang w:val="es-ES"/>
        </w:rPr>
        <w:t>julio</w:t>
      </w:r>
      <w:r w:rsidRPr="00B2794C">
        <w:rPr>
          <w:sz w:val="24"/>
          <w:szCs w:val="24"/>
          <w:lang w:val="es-ES"/>
        </w:rPr>
        <w:t xml:space="preserve"> de 2020</w:t>
      </w:r>
      <w:r w:rsidR="00E62305" w:rsidRPr="00B2794C">
        <w:rPr>
          <w:sz w:val="24"/>
          <w:szCs w:val="24"/>
          <w:lang w:val="es-ES"/>
        </w:rPr>
        <w:t xml:space="preserve">, </w:t>
      </w:r>
      <w:r w:rsidR="001E2CF4">
        <w:rPr>
          <w:sz w:val="24"/>
          <w:szCs w:val="24"/>
          <w:lang w:val="es-ES"/>
        </w:rPr>
        <w:t xml:space="preserve">acude a argumentos de simple inconformidad, a través de este mecanismo constitucional, </w:t>
      </w:r>
      <w:r w:rsidR="00E62305" w:rsidRPr="00B2794C">
        <w:rPr>
          <w:sz w:val="24"/>
          <w:szCs w:val="24"/>
          <w:lang w:val="es-ES"/>
        </w:rPr>
        <w:t xml:space="preserve">para </w:t>
      </w:r>
      <w:r w:rsidR="00DD3AB3" w:rsidRPr="00B2794C">
        <w:rPr>
          <w:sz w:val="24"/>
          <w:szCs w:val="24"/>
          <w:lang w:val="es-ES"/>
        </w:rPr>
        <w:t>plantear</w:t>
      </w:r>
      <w:r w:rsidR="004B5A58">
        <w:rPr>
          <w:sz w:val="24"/>
          <w:szCs w:val="24"/>
          <w:lang w:val="es-ES"/>
        </w:rPr>
        <w:t xml:space="preserve"> de nuevo</w:t>
      </w:r>
      <w:r w:rsidR="00DD3AB3" w:rsidRPr="00B2794C">
        <w:rPr>
          <w:sz w:val="24"/>
          <w:szCs w:val="24"/>
          <w:lang w:val="es-ES"/>
        </w:rPr>
        <w:t xml:space="preserve"> un debate de orden legal </w:t>
      </w:r>
      <w:r w:rsidR="005C42C3" w:rsidRPr="00B2794C">
        <w:rPr>
          <w:sz w:val="24"/>
          <w:szCs w:val="24"/>
          <w:lang w:val="es-ES"/>
        </w:rPr>
        <w:t xml:space="preserve">que ya fue </w:t>
      </w:r>
      <w:r w:rsidR="001E2CF4">
        <w:rPr>
          <w:sz w:val="24"/>
          <w:szCs w:val="24"/>
          <w:lang w:val="es-ES"/>
        </w:rPr>
        <w:t>resuelto</w:t>
      </w:r>
      <w:r w:rsidR="005C42C3" w:rsidRPr="00B2794C">
        <w:rPr>
          <w:sz w:val="24"/>
          <w:szCs w:val="24"/>
          <w:lang w:val="es-ES"/>
        </w:rPr>
        <w:t xml:space="preserve"> en </w:t>
      </w:r>
      <w:r w:rsidR="00DD3AB3" w:rsidRPr="00B2794C">
        <w:rPr>
          <w:sz w:val="24"/>
          <w:szCs w:val="24"/>
          <w:lang w:val="es-ES"/>
        </w:rPr>
        <w:t xml:space="preserve">el proceso </w:t>
      </w:r>
      <w:r w:rsidR="001E2CF4">
        <w:rPr>
          <w:sz w:val="24"/>
          <w:szCs w:val="24"/>
          <w:lang w:val="es-ES"/>
        </w:rPr>
        <w:t>de nulidad y restablecimiento del derecho.</w:t>
      </w:r>
    </w:p>
    <w:p w14:paraId="422F66A5" w14:textId="77777777" w:rsidR="00455A82" w:rsidRPr="00B2794C" w:rsidRDefault="00455A82" w:rsidP="00392598">
      <w:pPr>
        <w:rPr>
          <w:sz w:val="24"/>
          <w:szCs w:val="24"/>
          <w:lang w:val="es-MX" w:eastAsia="ja-JP"/>
        </w:rPr>
      </w:pPr>
    </w:p>
    <w:p w14:paraId="67A515BA" w14:textId="5C27439D" w:rsidR="006733D3" w:rsidRPr="00B2794C" w:rsidRDefault="00012249" w:rsidP="00392598">
      <w:pPr>
        <w:rPr>
          <w:sz w:val="24"/>
          <w:szCs w:val="24"/>
          <w:lang w:eastAsia="es-CO"/>
        </w:rPr>
      </w:pPr>
      <w:r w:rsidRPr="00B2794C">
        <w:rPr>
          <w:sz w:val="24"/>
          <w:szCs w:val="24"/>
          <w:lang w:eastAsia="es-CO"/>
        </w:rPr>
        <w:t>En mérito de lo expuesto, el Consejo de Estado en Sala de lo Contencioso Administrativo, Sección Tercera, Subsección C administrando justicia en nombre de la República y por autoridad de la ley,</w:t>
      </w:r>
    </w:p>
    <w:p w14:paraId="433F637A" w14:textId="77777777" w:rsidR="006733D3" w:rsidRPr="00B2794C" w:rsidRDefault="006733D3" w:rsidP="00392598">
      <w:pPr>
        <w:tabs>
          <w:tab w:val="left" w:pos="5169"/>
        </w:tabs>
        <w:rPr>
          <w:rFonts w:eastAsia="Verdana"/>
          <w:sz w:val="24"/>
          <w:szCs w:val="24"/>
        </w:rPr>
      </w:pPr>
    </w:p>
    <w:p w14:paraId="7AC504C2" w14:textId="77777777" w:rsidR="00012249" w:rsidRPr="00B2794C" w:rsidRDefault="00012249" w:rsidP="00392598">
      <w:pPr>
        <w:tabs>
          <w:tab w:val="left" w:pos="851"/>
        </w:tabs>
        <w:jc w:val="center"/>
        <w:rPr>
          <w:rFonts w:eastAsia="Verdana"/>
          <w:sz w:val="24"/>
          <w:szCs w:val="24"/>
        </w:rPr>
      </w:pPr>
      <w:r w:rsidRPr="00B2794C">
        <w:rPr>
          <w:rFonts w:eastAsia="Verdana"/>
          <w:b/>
          <w:sz w:val="24"/>
          <w:szCs w:val="24"/>
        </w:rPr>
        <w:t>FALLA</w:t>
      </w:r>
    </w:p>
    <w:p w14:paraId="08F11B17" w14:textId="77777777" w:rsidR="006733D3" w:rsidRPr="00B2794C" w:rsidRDefault="006733D3" w:rsidP="00392598">
      <w:pPr>
        <w:tabs>
          <w:tab w:val="left" w:pos="709"/>
          <w:tab w:val="left" w:pos="9000"/>
        </w:tabs>
        <w:outlineLvl w:val="6"/>
        <w:rPr>
          <w:sz w:val="24"/>
          <w:szCs w:val="24"/>
        </w:rPr>
      </w:pPr>
    </w:p>
    <w:p w14:paraId="0AE17F74" w14:textId="0C933CA8" w:rsidR="00E432FD" w:rsidRPr="00B2794C" w:rsidRDefault="00012249" w:rsidP="00392598">
      <w:pPr>
        <w:tabs>
          <w:tab w:val="left" w:pos="851"/>
        </w:tabs>
        <w:rPr>
          <w:rFonts w:eastAsia="Verdana"/>
          <w:sz w:val="24"/>
          <w:szCs w:val="24"/>
        </w:rPr>
      </w:pPr>
      <w:r w:rsidRPr="00B2794C">
        <w:rPr>
          <w:rFonts w:eastAsia="Verdana"/>
          <w:b/>
          <w:sz w:val="24"/>
          <w:szCs w:val="24"/>
        </w:rPr>
        <w:t xml:space="preserve">PRIMERO: </w:t>
      </w:r>
      <w:r w:rsidR="00DD3AB3" w:rsidRPr="00B2794C">
        <w:rPr>
          <w:rFonts w:eastAsia="Verdana"/>
          <w:b/>
          <w:sz w:val="24"/>
          <w:szCs w:val="24"/>
        </w:rPr>
        <w:t xml:space="preserve">DECLARAR IMPROCEDENTE </w:t>
      </w:r>
      <w:r w:rsidR="00DD3AB3" w:rsidRPr="00B2794C">
        <w:rPr>
          <w:rFonts w:eastAsia="Verdana"/>
          <w:sz w:val="24"/>
          <w:szCs w:val="24"/>
        </w:rPr>
        <w:t xml:space="preserve">la acción de tutela </w:t>
      </w:r>
      <w:r w:rsidR="00DD3AB3" w:rsidRPr="00B2794C">
        <w:rPr>
          <w:sz w:val="24"/>
          <w:szCs w:val="24"/>
          <w:lang w:val="es-ES_tradnl" w:eastAsia="es-ES"/>
        </w:rPr>
        <w:t xml:space="preserve">interpuesta por </w:t>
      </w:r>
      <w:r w:rsidR="00316B80">
        <w:rPr>
          <w:sz w:val="24"/>
          <w:szCs w:val="24"/>
        </w:rPr>
        <w:t xml:space="preserve">Deyanira Rico Herrera </w:t>
      </w:r>
      <w:r w:rsidR="00DD3AB3" w:rsidRPr="00B2794C">
        <w:rPr>
          <w:sz w:val="24"/>
          <w:szCs w:val="24"/>
          <w:lang w:val="es-ES_tradnl" w:eastAsia="es-ES"/>
        </w:rPr>
        <w:t xml:space="preserve">en contra </w:t>
      </w:r>
      <w:r w:rsidR="007803F9" w:rsidRPr="00B2794C">
        <w:rPr>
          <w:sz w:val="24"/>
          <w:szCs w:val="24"/>
          <w:lang w:val="es-ES_tradnl" w:eastAsia="es-ES"/>
        </w:rPr>
        <w:t>de la</w:t>
      </w:r>
      <w:r w:rsidR="00316B80">
        <w:rPr>
          <w:sz w:val="24"/>
          <w:szCs w:val="24"/>
          <w:lang w:val="es-ES_tradnl" w:eastAsia="es-ES"/>
        </w:rPr>
        <w:t xml:space="preserve"> Subsección A de la Sección Segunda del Consejo de Estado</w:t>
      </w:r>
      <w:r w:rsidR="00DD3AB3" w:rsidRPr="00B2794C">
        <w:rPr>
          <w:sz w:val="24"/>
          <w:szCs w:val="24"/>
          <w:lang w:val="es-ES_tradnl" w:eastAsia="es-ES"/>
        </w:rPr>
        <w:t>, por los motivos expuestos en esta providencia.</w:t>
      </w:r>
    </w:p>
    <w:p w14:paraId="34D461FE" w14:textId="77777777" w:rsidR="00E432FD" w:rsidRPr="00B2794C" w:rsidRDefault="00E432FD" w:rsidP="00392598">
      <w:pPr>
        <w:tabs>
          <w:tab w:val="left" w:pos="851"/>
        </w:tabs>
        <w:rPr>
          <w:rFonts w:eastAsia="Verdana"/>
          <w:b/>
          <w:sz w:val="24"/>
          <w:szCs w:val="24"/>
        </w:rPr>
      </w:pPr>
    </w:p>
    <w:p w14:paraId="0ACE4969" w14:textId="5F052D28" w:rsidR="00012249" w:rsidRPr="00B2794C" w:rsidRDefault="00E432FD" w:rsidP="00392598">
      <w:pPr>
        <w:tabs>
          <w:tab w:val="left" w:pos="851"/>
        </w:tabs>
        <w:rPr>
          <w:sz w:val="24"/>
          <w:szCs w:val="24"/>
          <w:lang w:val="es-ES_tradnl" w:eastAsia="es-ES"/>
        </w:rPr>
      </w:pPr>
      <w:r w:rsidRPr="00B2794C">
        <w:rPr>
          <w:rFonts w:eastAsia="Verdana"/>
          <w:b/>
          <w:sz w:val="24"/>
          <w:szCs w:val="24"/>
        </w:rPr>
        <w:t>SEGUNDO:</w:t>
      </w:r>
      <w:r w:rsidR="00DD3AB3" w:rsidRPr="00B2794C">
        <w:rPr>
          <w:rFonts w:eastAsia="Verdana"/>
          <w:b/>
          <w:sz w:val="24"/>
          <w:szCs w:val="24"/>
        </w:rPr>
        <w:t xml:space="preserve"> NOTIFICAR</w:t>
      </w:r>
      <w:r w:rsidR="00DD3AB3" w:rsidRPr="00B2794C">
        <w:rPr>
          <w:rFonts w:eastAsia="Verdana"/>
          <w:sz w:val="24"/>
          <w:szCs w:val="24"/>
        </w:rPr>
        <w:t xml:space="preserve"> a las partes e intervinientes en la forma prevista en el artículo 30 del Decreto Ley 2591 de 1991.</w:t>
      </w:r>
    </w:p>
    <w:p w14:paraId="4E7CF418" w14:textId="77777777" w:rsidR="00C33466" w:rsidRPr="00B2794C" w:rsidRDefault="00C33466" w:rsidP="00392598">
      <w:pPr>
        <w:tabs>
          <w:tab w:val="left" w:pos="851"/>
        </w:tabs>
        <w:rPr>
          <w:rFonts w:eastAsia="Verdana"/>
          <w:sz w:val="24"/>
          <w:szCs w:val="24"/>
        </w:rPr>
      </w:pPr>
    </w:p>
    <w:p w14:paraId="113B344C" w14:textId="31257CD5" w:rsidR="00012249" w:rsidRPr="00B2794C" w:rsidRDefault="00DB7B7E" w:rsidP="00392598">
      <w:pPr>
        <w:tabs>
          <w:tab w:val="left" w:pos="851"/>
        </w:tabs>
        <w:rPr>
          <w:rFonts w:eastAsia="Verdana"/>
          <w:sz w:val="24"/>
          <w:szCs w:val="24"/>
        </w:rPr>
      </w:pPr>
      <w:r w:rsidRPr="00B2794C">
        <w:rPr>
          <w:rFonts w:eastAsia="Verdana"/>
          <w:b/>
          <w:sz w:val="24"/>
          <w:szCs w:val="24"/>
        </w:rPr>
        <w:t>TERCERO</w:t>
      </w:r>
      <w:r w:rsidR="00DD3AB3" w:rsidRPr="00B2794C">
        <w:rPr>
          <w:rFonts w:eastAsia="Verdana"/>
          <w:b/>
          <w:sz w:val="24"/>
          <w:szCs w:val="24"/>
        </w:rPr>
        <w:t>: REMITIR</w:t>
      </w:r>
      <w:r w:rsidR="00DD3AB3" w:rsidRPr="00B2794C">
        <w:rPr>
          <w:rFonts w:eastAsia="Verdana"/>
          <w:sz w:val="24"/>
          <w:szCs w:val="24"/>
        </w:rPr>
        <w:t xml:space="preserve"> la presente providencia, si no fuere impugnada, a la Corte Constitucional para su eventual revisión.</w:t>
      </w:r>
    </w:p>
    <w:p w14:paraId="2751F192" w14:textId="77777777" w:rsidR="00012249" w:rsidRPr="00B2794C" w:rsidRDefault="00012249" w:rsidP="00392598">
      <w:pPr>
        <w:tabs>
          <w:tab w:val="left" w:pos="709"/>
          <w:tab w:val="left" w:pos="9000"/>
        </w:tabs>
        <w:outlineLvl w:val="6"/>
        <w:rPr>
          <w:rFonts w:eastAsia="Verdana"/>
          <w:sz w:val="24"/>
          <w:szCs w:val="24"/>
        </w:rPr>
      </w:pPr>
    </w:p>
    <w:p w14:paraId="0DAD3D18" w14:textId="77777777" w:rsidR="00012249" w:rsidRPr="00B2794C" w:rsidRDefault="00012249" w:rsidP="00392598">
      <w:pPr>
        <w:tabs>
          <w:tab w:val="left" w:pos="709"/>
          <w:tab w:val="left" w:pos="9000"/>
        </w:tabs>
        <w:outlineLvl w:val="6"/>
        <w:rPr>
          <w:rFonts w:eastAsia="Verdana"/>
          <w:b/>
          <w:sz w:val="24"/>
          <w:szCs w:val="24"/>
        </w:rPr>
      </w:pPr>
      <w:r w:rsidRPr="00B2794C">
        <w:rPr>
          <w:rFonts w:eastAsia="Verdana"/>
          <w:b/>
          <w:sz w:val="24"/>
          <w:szCs w:val="24"/>
        </w:rPr>
        <w:t>Notifíquese y cúmplase</w:t>
      </w:r>
    </w:p>
    <w:p w14:paraId="28CF0325" w14:textId="77777777" w:rsidR="008A45EA" w:rsidRPr="00B2794C" w:rsidRDefault="008A45EA" w:rsidP="00392598">
      <w:pPr>
        <w:tabs>
          <w:tab w:val="left" w:pos="709"/>
          <w:tab w:val="left" w:pos="9000"/>
        </w:tabs>
        <w:jc w:val="center"/>
        <w:outlineLvl w:val="6"/>
        <w:rPr>
          <w:rFonts w:eastAsia="Verdana"/>
          <w:b/>
          <w:sz w:val="24"/>
          <w:szCs w:val="24"/>
        </w:rPr>
      </w:pPr>
    </w:p>
    <w:p w14:paraId="345EC6FA" w14:textId="77777777" w:rsidR="00012249" w:rsidRPr="00B2794C" w:rsidRDefault="00012249" w:rsidP="00392598">
      <w:pPr>
        <w:pStyle w:val="Textodecuerpo31"/>
        <w:widowControl w:val="0"/>
        <w:tabs>
          <w:tab w:val="left" w:pos="708"/>
        </w:tabs>
        <w:spacing w:line="240" w:lineRule="auto"/>
        <w:ind w:right="51"/>
        <w:jc w:val="center"/>
        <w:rPr>
          <w:rFonts w:cs="Arial"/>
          <w:b/>
          <w:szCs w:val="24"/>
        </w:rPr>
      </w:pPr>
      <w:r w:rsidRPr="00B2794C">
        <w:rPr>
          <w:rFonts w:cs="Arial"/>
          <w:b/>
          <w:szCs w:val="24"/>
        </w:rPr>
        <w:t>GUILLERMO SÁNCHEZ LUQUE</w:t>
      </w:r>
    </w:p>
    <w:p w14:paraId="458F349A" w14:textId="179AEDF4" w:rsidR="008A0F13" w:rsidRDefault="00012249" w:rsidP="00392598">
      <w:pPr>
        <w:pStyle w:val="Textodecuerpo31"/>
        <w:widowControl w:val="0"/>
        <w:tabs>
          <w:tab w:val="left" w:pos="708"/>
        </w:tabs>
        <w:spacing w:line="240" w:lineRule="auto"/>
        <w:ind w:right="51"/>
        <w:jc w:val="center"/>
        <w:rPr>
          <w:rFonts w:cs="Arial"/>
          <w:b/>
          <w:szCs w:val="24"/>
        </w:rPr>
      </w:pPr>
      <w:r w:rsidRPr="00B2794C">
        <w:rPr>
          <w:rFonts w:cs="Arial"/>
          <w:b/>
          <w:szCs w:val="24"/>
        </w:rPr>
        <w:t>Presidente de Sala</w:t>
      </w:r>
    </w:p>
    <w:p w14:paraId="721CFCAA" w14:textId="6B8961CE" w:rsidR="00A2284B" w:rsidRPr="00B2794C" w:rsidRDefault="00A2284B" w:rsidP="00392598">
      <w:pPr>
        <w:pStyle w:val="Textodecuerpo31"/>
        <w:widowControl w:val="0"/>
        <w:tabs>
          <w:tab w:val="left" w:pos="708"/>
        </w:tabs>
        <w:spacing w:line="240" w:lineRule="auto"/>
        <w:ind w:right="51"/>
        <w:jc w:val="center"/>
        <w:rPr>
          <w:rFonts w:cs="Arial"/>
          <w:b/>
          <w:szCs w:val="24"/>
        </w:rPr>
      </w:pPr>
      <w:r w:rsidRPr="00A2284B">
        <w:rPr>
          <w:rFonts w:cs="Arial"/>
          <w:b/>
          <w:szCs w:val="24"/>
        </w:rPr>
        <w:t>Aclaración de voto Cfr. Rad. 11001-03-15-000-2019-01299-0</w:t>
      </w:r>
      <w:r w:rsidRPr="00A2284B">
        <w:rPr>
          <w:rFonts w:cs="Arial"/>
          <w:b/>
          <w:szCs w:val="24"/>
        </w:rPr>
        <w:t>0</w:t>
      </w:r>
    </w:p>
    <w:p w14:paraId="4FAC874A" w14:textId="77777777" w:rsidR="008A45EA" w:rsidRPr="00B2794C" w:rsidRDefault="008A45EA" w:rsidP="00392598">
      <w:pPr>
        <w:pStyle w:val="Textodecuerpo31"/>
        <w:widowControl w:val="0"/>
        <w:tabs>
          <w:tab w:val="left" w:pos="708"/>
        </w:tabs>
        <w:spacing w:line="240" w:lineRule="auto"/>
        <w:ind w:right="51"/>
        <w:jc w:val="center"/>
        <w:rPr>
          <w:rFonts w:cs="Arial"/>
          <w:b/>
          <w:szCs w:val="24"/>
        </w:rPr>
      </w:pPr>
    </w:p>
    <w:p w14:paraId="45163332" w14:textId="77777777" w:rsidR="00012249" w:rsidRPr="00B2794C" w:rsidRDefault="00012249" w:rsidP="00392598">
      <w:pPr>
        <w:pStyle w:val="Textodecuerpo31"/>
        <w:widowControl w:val="0"/>
        <w:tabs>
          <w:tab w:val="left" w:pos="708"/>
        </w:tabs>
        <w:spacing w:line="240" w:lineRule="auto"/>
        <w:ind w:right="51"/>
        <w:jc w:val="center"/>
        <w:rPr>
          <w:rFonts w:cs="Arial"/>
          <w:b/>
          <w:szCs w:val="24"/>
        </w:rPr>
      </w:pPr>
      <w:r w:rsidRPr="00B2794C">
        <w:rPr>
          <w:rFonts w:cs="Arial"/>
          <w:b/>
          <w:szCs w:val="24"/>
        </w:rPr>
        <w:t>JAIME ENRIQUE RODRÍGUEZ NAVAS</w:t>
      </w:r>
    </w:p>
    <w:p w14:paraId="7FB6EF09" w14:textId="77777777" w:rsidR="00012249" w:rsidRPr="00B2794C" w:rsidRDefault="00012249" w:rsidP="00392598">
      <w:pPr>
        <w:pStyle w:val="Textodecuerpo31"/>
        <w:widowControl w:val="0"/>
        <w:tabs>
          <w:tab w:val="left" w:pos="708"/>
        </w:tabs>
        <w:spacing w:line="240" w:lineRule="auto"/>
        <w:ind w:right="51"/>
        <w:jc w:val="center"/>
        <w:rPr>
          <w:rFonts w:cs="Arial"/>
          <w:b/>
          <w:szCs w:val="24"/>
        </w:rPr>
      </w:pPr>
      <w:r w:rsidRPr="00B2794C">
        <w:rPr>
          <w:rFonts w:cs="Arial"/>
          <w:b/>
          <w:szCs w:val="24"/>
        </w:rPr>
        <w:t>Magistrado</w:t>
      </w:r>
    </w:p>
    <w:p w14:paraId="7989795C" w14:textId="77777777" w:rsidR="008A45EA" w:rsidRPr="00B2794C" w:rsidRDefault="008A45EA" w:rsidP="00392598">
      <w:pPr>
        <w:pStyle w:val="Textodecuerpo31"/>
        <w:widowControl w:val="0"/>
        <w:tabs>
          <w:tab w:val="left" w:pos="708"/>
        </w:tabs>
        <w:spacing w:line="240" w:lineRule="auto"/>
        <w:ind w:right="51"/>
        <w:jc w:val="center"/>
        <w:rPr>
          <w:rFonts w:cs="Arial"/>
          <w:b/>
          <w:szCs w:val="24"/>
        </w:rPr>
      </w:pPr>
    </w:p>
    <w:p w14:paraId="44BD4066" w14:textId="77777777" w:rsidR="00012249" w:rsidRPr="00B2794C" w:rsidRDefault="00012249" w:rsidP="00392598">
      <w:pPr>
        <w:pStyle w:val="Textodecuerpo31"/>
        <w:widowControl w:val="0"/>
        <w:tabs>
          <w:tab w:val="left" w:pos="708"/>
        </w:tabs>
        <w:spacing w:line="240" w:lineRule="auto"/>
        <w:ind w:right="51"/>
        <w:jc w:val="center"/>
        <w:rPr>
          <w:rFonts w:cs="Arial"/>
          <w:b/>
          <w:szCs w:val="24"/>
        </w:rPr>
      </w:pPr>
      <w:r w:rsidRPr="00B2794C">
        <w:rPr>
          <w:rFonts w:cs="Arial"/>
          <w:b/>
          <w:szCs w:val="24"/>
        </w:rPr>
        <w:t>NICOLÁS YEPES CORRALES</w:t>
      </w:r>
    </w:p>
    <w:p w14:paraId="24576D51" w14:textId="2953BF9C" w:rsidR="00A743C6" w:rsidRPr="00B2794C" w:rsidRDefault="00012249" w:rsidP="00392598">
      <w:pPr>
        <w:pStyle w:val="Textodecuerpo31"/>
        <w:widowControl w:val="0"/>
        <w:tabs>
          <w:tab w:val="left" w:pos="708"/>
        </w:tabs>
        <w:spacing w:line="240" w:lineRule="auto"/>
        <w:ind w:right="51"/>
        <w:jc w:val="center"/>
        <w:rPr>
          <w:rFonts w:cs="Arial"/>
          <w:b/>
          <w:szCs w:val="24"/>
        </w:rPr>
      </w:pPr>
      <w:r w:rsidRPr="00B2794C">
        <w:rPr>
          <w:rFonts w:cs="Arial"/>
          <w:b/>
          <w:szCs w:val="24"/>
        </w:rPr>
        <w:t>Magistrado</w:t>
      </w:r>
    </w:p>
    <w:sectPr w:rsidR="00A743C6" w:rsidRPr="00B2794C"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CB3D6" w16cex:dateUtc="2021-02-21T15:26:00Z"/>
  <w16cex:commentExtensible w16cex:durableId="23DCB410" w16cex:dateUtc="2021-02-21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623388" w16cid:durableId="23D928F2"/>
  <w16cid:commentId w16cid:paraId="7031A36B" w16cid:durableId="23D92B3D"/>
  <w16cid:commentId w16cid:paraId="71FC40B8" w16cid:durableId="23D92CF8"/>
  <w16cid:commentId w16cid:paraId="45DAB7CD" w16cid:durableId="23D92D82"/>
  <w16cid:commentId w16cid:paraId="382699BA" w16cid:durableId="23D92D8A"/>
  <w16cid:commentId w16cid:paraId="5D7D090C" w16cid:durableId="23D92E2B"/>
  <w16cid:commentId w16cid:paraId="391B12F3" w16cid:durableId="23D92E04"/>
  <w16cid:commentId w16cid:paraId="442FDF31" w16cid:durableId="23D92EE4"/>
  <w16cid:commentId w16cid:paraId="785308D1" w16cid:durableId="23DCB3D6"/>
  <w16cid:commentId w16cid:paraId="4A3AB1E4" w16cid:durableId="23DCB410"/>
  <w16cid:commentId w16cid:paraId="01D201BC" w16cid:durableId="23D931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51EB1" w14:textId="77777777" w:rsidR="00817201" w:rsidRDefault="00817201" w:rsidP="00117091">
      <w:r>
        <w:separator/>
      </w:r>
    </w:p>
  </w:endnote>
  <w:endnote w:type="continuationSeparator" w:id="0">
    <w:p w14:paraId="17DBF488" w14:textId="77777777" w:rsidR="00817201" w:rsidRDefault="00817201"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FF1DFE" w14:paraId="4830A873" w14:textId="77777777" w:rsidTr="00B6429B">
      <w:trPr>
        <w:jc w:val="right"/>
      </w:trPr>
      <w:tc>
        <w:tcPr>
          <w:tcW w:w="4795" w:type="dxa"/>
          <w:vAlign w:val="center"/>
        </w:tcPr>
        <w:p w14:paraId="0C43E376" w14:textId="77777777" w:rsidR="00FF1DFE" w:rsidRDefault="00FF1DFE"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FF1DFE" w:rsidRPr="00A21194" w:rsidRDefault="00FF1DFE"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7777777" w:rsidR="00FF1DFE" w:rsidRPr="00B6429B" w:rsidRDefault="00FF1DFE" w:rsidP="00B6429B">
          <w:pPr>
            <w:pStyle w:val="Piedepgina"/>
            <w:jc w:val="center"/>
          </w:pPr>
          <w:r w:rsidRPr="00B6429B">
            <w:fldChar w:fldCharType="begin"/>
          </w:r>
          <w:r w:rsidRPr="00B6429B">
            <w:instrText>PAGE   \* MERGEFORMAT</w:instrText>
          </w:r>
          <w:r w:rsidRPr="00B6429B">
            <w:fldChar w:fldCharType="separate"/>
          </w:r>
          <w:r w:rsidR="00A031F6" w:rsidRPr="00A031F6">
            <w:rPr>
              <w:noProof/>
              <w:lang w:val="es-ES"/>
            </w:rPr>
            <w:t>7</w:t>
          </w:r>
          <w:r w:rsidRPr="00B6429B">
            <w:fldChar w:fldCharType="end"/>
          </w:r>
        </w:p>
      </w:tc>
    </w:tr>
  </w:tbl>
  <w:p w14:paraId="17AD93B2" w14:textId="77777777" w:rsidR="00FF1DFE" w:rsidRPr="008C0DBE" w:rsidRDefault="00FF1DFE"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FF1DFE" w14:paraId="7BC39794" w14:textId="77777777" w:rsidTr="00B6429B">
      <w:trPr>
        <w:jc w:val="right"/>
      </w:trPr>
      <w:tc>
        <w:tcPr>
          <w:tcW w:w="4795" w:type="dxa"/>
          <w:vAlign w:val="center"/>
        </w:tcPr>
        <w:p w14:paraId="60E1FF49" w14:textId="77777777" w:rsidR="00FF1DFE" w:rsidRDefault="00FF1DFE"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FF1DFE" w:rsidRPr="00A21194" w:rsidRDefault="00FF1DFE"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777777" w:rsidR="00FF1DFE" w:rsidRPr="00B6429B" w:rsidRDefault="00FF1DFE">
          <w:pPr>
            <w:pStyle w:val="Piedepgina"/>
            <w:jc w:val="center"/>
          </w:pPr>
          <w:r w:rsidRPr="00B6429B">
            <w:fldChar w:fldCharType="begin"/>
          </w:r>
          <w:r w:rsidRPr="00B6429B">
            <w:instrText>PAGE   \* MERGEFORMAT</w:instrText>
          </w:r>
          <w:r w:rsidRPr="00B6429B">
            <w:fldChar w:fldCharType="separate"/>
          </w:r>
          <w:r w:rsidR="00A031F6" w:rsidRPr="00A031F6">
            <w:rPr>
              <w:noProof/>
              <w:lang w:val="es-ES"/>
            </w:rPr>
            <w:t>1</w:t>
          </w:r>
          <w:r w:rsidRPr="00B6429B">
            <w:fldChar w:fldCharType="end"/>
          </w:r>
        </w:p>
      </w:tc>
    </w:tr>
  </w:tbl>
  <w:p w14:paraId="5630AD66" w14:textId="77777777" w:rsidR="00FF1DFE" w:rsidRDefault="00FF1D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9FB2F" w14:textId="77777777" w:rsidR="00817201" w:rsidRDefault="00817201" w:rsidP="00117091">
      <w:r>
        <w:separator/>
      </w:r>
    </w:p>
  </w:footnote>
  <w:footnote w:type="continuationSeparator" w:id="0">
    <w:p w14:paraId="52E0D406" w14:textId="77777777" w:rsidR="00817201" w:rsidRDefault="00817201" w:rsidP="00117091">
      <w:r>
        <w:continuationSeparator/>
      </w:r>
    </w:p>
  </w:footnote>
  <w:footnote w:id="1">
    <w:p w14:paraId="3E054869" w14:textId="1C973E30" w:rsidR="00FF1DFE" w:rsidRDefault="00FF1DFE">
      <w:pPr>
        <w:pStyle w:val="Textonotapie"/>
      </w:pPr>
      <w:r>
        <w:rPr>
          <w:rStyle w:val="Refdenotaalpie"/>
        </w:rPr>
        <w:footnoteRef/>
      </w:r>
      <w:r>
        <w:t xml:space="preserve"> Los hechos fueron extraídos de la sentencia del </w:t>
      </w:r>
      <w:r w:rsidR="00696644">
        <w:t>30</w:t>
      </w:r>
      <w:r>
        <w:t xml:space="preserve"> de </w:t>
      </w:r>
      <w:r w:rsidR="00696644">
        <w:t>julio</w:t>
      </w:r>
      <w:r>
        <w:t xml:space="preserve"> de 2020, </w:t>
      </w:r>
      <w:r w:rsidR="00696644">
        <w:t>d</w:t>
      </w:r>
      <w:r>
        <w:t xml:space="preserve">el expediente digital de tutela con certificado </w:t>
      </w:r>
      <w:r w:rsidR="00696644" w:rsidRPr="00696644">
        <w:t>3656138EF466FB4F 209243196B522AAA 1EADC2F8E0ECACDA DEE068510A808F6A</w:t>
      </w:r>
      <w:r>
        <w:t xml:space="preserve">. </w:t>
      </w:r>
    </w:p>
  </w:footnote>
  <w:footnote w:id="2">
    <w:p w14:paraId="44A50A43" w14:textId="69EE1D9B" w:rsidR="00677074" w:rsidRDefault="00677074">
      <w:pPr>
        <w:pStyle w:val="Textonotapie"/>
      </w:pPr>
      <w:r>
        <w:rPr>
          <w:rStyle w:val="Refdenotaalpie"/>
        </w:rPr>
        <w:footnoteRef/>
      </w:r>
      <w:r>
        <w:t xml:space="preserve"> Ver página 35 de la sentencia del 30 de julio de 2020. </w:t>
      </w:r>
    </w:p>
  </w:footnote>
  <w:footnote w:id="3">
    <w:p w14:paraId="03246747" w14:textId="4F91AD03" w:rsidR="00FF1DFE" w:rsidRDefault="00FF1DFE" w:rsidP="003405C2">
      <w:pPr>
        <w:pStyle w:val="Textonotapie"/>
      </w:pPr>
      <w:r>
        <w:rPr>
          <w:rStyle w:val="Refdenotaalpie"/>
        </w:rPr>
        <w:footnoteRef/>
      </w:r>
      <w:r w:rsidR="00677074">
        <w:t xml:space="preserve"> D</w:t>
      </w:r>
      <w:r>
        <w:t xml:space="preserve">ocumento contenido en el expediente digital de tutela con certificado </w:t>
      </w:r>
      <w:r w:rsidR="00677074" w:rsidRPr="00677074">
        <w:t>7E18CE9027DE6D46 CE958475A8B6D7DA 1105AFBF1F878F76 52B155167B1F7F86</w:t>
      </w:r>
      <w:r>
        <w:t>.</w:t>
      </w:r>
    </w:p>
  </w:footnote>
  <w:footnote w:id="4">
    <w:p w14:paraId="5C1ACB0C" w14:textId="376D14EA" w:rsidR="00FF1DFE" w:rsidRPr="00891D7A" w:rsidRDefault="00FF1DFE" w:rsidP="000851C4">
      <w:pPr>
        <w:pStyle w:val="Textonotapie"/>
      </w:pPr>
      <w:r w:rsidRPr="00891D7A">
        <w:rPr>
          <w:rStyle w:val="Refdenotaalpie"/>
        </w:rPr>
        <w:footnoteRef/>
      </w:r>
      <w:r w:rsidRPr="00891D7A">
        <w:t xml:space="preserve"> Documento visible en el expediente digital de tutela, con certificado </w:t>
      </w:r>
      <w:r w:rsidR="008F382B" w:rsidRPr="008F382B">
        <w:t>6CE28DAE73D7CA31 D8B0AF3064F2F058 988E1B02C59F0A5B 67203EAF7B28E99A</w:t>
      </w:r>
      <w:r w:rsidRPr="00891D7A">
        <w:t xml:space="preserve">. </w:t>
      </w:r>
    </w:p>
  </w:footnote>
  <w:footnote w:id="5">
    <w:p w14:paraId="51DC9B98" w14:textId="272C24B0" w:rsidR="0008068C" w:rsidRPr="00891D7A" w:rsidRDefault="0008068C" w:rsidP="0008068C">
      <w:pPr>
        <w:pStyle w:val="Textonotapie"/>
      </w:pPr>
      <w:r w:rsidRPr="00891D7A">
        <w:rPr>
          <w:rStyle w:val="Refdenotaalpie"/>
        </w:rPr>
        <w:footnoteRef/>
      </w:r>
      <w:r w:rsidRPr="00891D7A">
        <w:t xml:space="preserve"> Documento visible en el expediente digital de tutela, con certificado </w:t>
      </w:r>
      <w:r w:rsidRPr="0008068C">
        <w:t>95DDDF66AAC47C4B A1504009B68D85A6 C8A8EC9FC48F6B9F E940A03383F36114</w:t>
      </w:r>
      <w:r w:rsidRPr="00891D7A">
        <w:t xml:space="preserve">. </w:t>
      </w:r>
    </w:p>
  </w:footnote>
  <w:footnote w:id="6">
    <w:p w14:paraId="40020749" w14:textId="77777777" w:rsidR="00FF1DFE" w:rsidRPr="00891D7A" w:rsidRDefault="00FF1DFE" w:rsidP="000851C4">
      <w:pPr>
        <w:pStyle w:val="Textonotapie"/>
      </w:pPr>
      <w:r w:rsidRPr="00891D7A">
        <w:rPr>
          <w:rStyle w:val="Refdenotaalpie"/>
        </w:rPr>
        <w:footnoteRef/>
      </w:r>
      <w:r w:rsidRPr="00891D7A">
        <w:t xml:space="preserve"> Publicado en el diario oficial 50.913 del 1 de abril de 2019.</w:t>
      </w:r>
    </w:p>
  </w:footnote>
  <w:footnote w:id="7">
    <w:p w14:paraId="5174E950" w14:textId="77777777" w:rsidR="00FF1DFE" w:rsidRPr="00891D7A" w:rsidRDefault="00FF1DFE" w:rsidP="000851C4">
      <w:pPr>
        <w:pStyle w:val="Textonotapie"/>
      </w:pPr>
      <w:r w:rsidRPr="00891D7A">
        <w:rPr>
          <w:rStyle w:val="Refdenotaalpie"/>
        </w:rPr>
        <w:footnoteRef/>
      </w:r>
      <w:r w:rsidRPr="00891D7A">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8">
    <w:p w14:paraId="741084A6" w14:textId="77777777" w:rsidR="00FF1DFE" w:rsidRPr="00A47040" w:rsidRDefault="00FF1DFE" w:rsidP="00B52AF1">
      <w:pPr>
        <w:pStyle w:val="Textonotapie"/>
      </w:pPr>
      <w:r w:rsidRPr="00A47040">
        <w:rPr>
          <w:rStyle w:val="Refdenotaalpie"/>
        </w:rPr>
        <w:footnoteRef/>
      </w:r>
      <w:r w:rsidRPr="00A47040">
        <w:t xml:space="preserve"> Sentencia de la Corte Constitucional T</w:t>
      </w:r>
      <w:r>
        <w:t>-</w:t>
      </w:r>
      <w:r w:rsidRPr="00A47040">
        <w:t>066 de 2019, que, a su vez reitera la T-336 de 2004.</w:t>
      </w:r>
    </w:p>
  </w:footnote>
  <w:footnote w:id="9">
    <w:p w14:paraId="38BDCA8B" w14:textId="77777777" w:rsidR="00FF1DFE" w:rsidRDefault="00FF1DFE" w:rsidP="00B52AF1">
      <w:pPr>
        <w:pStyle w:val="Textonotapie"/>
      </w:pPr>
      <w:r w:rsidRPr="007B0D56">
        <w:rPr>
          <w:rStyle w:val="Refdenotaalpie"/>
        </w:rPr>
        <w:footnoteRef/>
      </w:r>
      <w:r w:rsidRPr="007B0D56">
        <w:t xml:space="preserve"> “No se trata de convertir la tutela en un mecanismo ritualista, sino de exigir una actuación razonable para conciliar la protección eficaz de los derechos fundamentales, con los principios y valores en juego, al controvertir una providencia </w:t>
      </w:r>
      <w:r>
        <w:t>judicial”. Corte Constitucional, s</w:t>
      </w:r>
      <w:r w:rsidRPr="007B0D56">
        <w:t>entencia T-066 de 2019.</w:t>
      </w:r>
    </w:p>
    <w:p w14:paraId="6410023F" w14:textId="77777777" w:rsidR="00FF1DFE" w:rsidRPr="007B0D56" w:rsidRDefault="00FF1DFE" w:rsidP="00B52AF1">
      <w:pPr>
        <w:pStyle w:val="Textonotapie"/>
      </w:pPr>
      <w:r w:rsidRPr="00D83286">
        <w:rPr>
          <w:szCs w:val="16"/>
        </w:rPr>
        <w:t xml:space="preserve">Por supuesto, el fallador de tutela requiere examinar que, de esos asuntos legales, no se desprendan violaciones a los derechos y deberes constitucionales, pues, de ser así, adquieren relevancia constitucional inmediata. Corte Constitucional. Sentencia T-1031 de 2001, citada por </w:t>
      </w:r>
      <w:r>
        <w:rPr>
          <w:szCs w:val="16"/>
        </w:rPr>
        <w:t>la Corte Constitucional en las s</w:t>
      </w:r>
      <w:r w:rsidRPr="00D83286">
        <w:rPr>
          <w:szCs w:val="16"/>
        </w:rPr>
        <w:t>entencias T-114 de 2002 y T-136 de 2015.</w:t>
      </w:r>
    </w:p>
  </w:footnote>
  <w:footnote w:id="10">
    <w:p w14:paraId="55331D3A" w14:textId="5EA6A4BD" w:rsidR="00FF1DFE" w:rsidRPr="00D83286" w:rsidRDefault="00FF1DFE" w:rsidP="00B52AF1">
      <w:pPr>
        <w:pStyle w:val="Textonotapie"/>
        <w:rPr>
          <w:szCs w:val="16"/>
        </w:rPr>
      </w:pPr>
      <w:r w:rsidRPr="00D83286">
        <w:rPr>
          <w:rStyle w:val="Refdenotaalpie"/>
          <w:szCs w:val="16"/>
        </w:rPr>
        <w:footnoteRef/>
      </w:r>
      <w:r w:rsidRPr="00D83286">
        <w:rPr>
          <w:szCs w:val="16"/>
        </w:rPr>
        <w:t xml:space="preserve"> Cfr. </w:t>
      </w:r>
      <w:r w:rsidR="00A81B33">
        <w:rPr>
          <w:szCs w:val="16"/>
          <w:lang w:val="es-ES"/>
        </w:rPr>
        <w:t>S</w:t>
      </w:r>
      <w:r w:rsidR="00A81B33" w:rsidRPr="00D83286">
        <w:rPr>
          <w:szCs w:val="16"/>
          <w:lang w:val="es-ES"/>
        </w:rPr>
        <w:t xml:space="preserve">entencia </w:t>
      </w:r>
      <w:r w:rsidRPr="00D83286">
        <w:rPr>
          <w:szCs w:val="16"/>
          <w:lang w:val="es-ES"/>
        </w:rPr>
        <w:t>C-590 de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777777" w:rsidR="00FF1DFE" w:rsidRPr="00A15ACE" w:rsidRDefault="00FF1DFE">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FF1DFE" w:rsidRPr="00A15ACE" w:rsidRDefault="00FF1DFE">
    <w:pPr>
      <w:pStyle w:val="Encabezado"/>
    </w:pPr>
  </w:p>
  <w:p w14:paraId="4B90DC7A" w14:textId="77777777" w:rsidR="00FF1DFE" w:rsidRPr="00A15ACE" w:rsidRDefault="00FF1DFE">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A71A6FC">
            <v:shapetype id="_x0000_t32" coordsize="21600,21600" o:oned="t" filled="f" o:spt="32" path="m,l21600,21600e" w14:anchorId="78ABC559">
              <v:path fillok="f" arrowok="t" o:connecttype="none"/>
              <o:lock v:ext="edit" shapetype="t"/>
            </v:shapetype>
            <v:shape id="AutoShape 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7D508FF0" w14:textId="4BD193A0" w:rsidR="00FF1DFE" w:rsidRPr="00F532EA" w:rsidRDefault="00FF1DFE" w:rsidP="0054069D">
    <w:pPr>
      <w:pStyle w:val="Encabezado"/>
      <w:jc w:val="right"/>
      <w:rPr>
        <w:color w:val="767171"/>
        <w:sz w:val="20"/>
        <w:szCs w:val="20"/>
      </w:rPr>
    </w:pPr>
    <w:r w:rsidRPr="00F532EA">
      <w:rPr>
        <w:color w:val="767171"/>
        <w:sz w:val="20"/>
        <w:szCs w:val="20"/>
      </w:rPr>
      <w:t xml:space="preserve">Radicado: </w:t>
    </w:r>
    <w:r w:rsidR="00BF657D">
      <w:rPr>
        <w:color w:val="767171"/>
        <w:sz w:val="20"/>
        <w:szCs w:val="20"/>
      </w:rPr>
      <w:t>11001-03-15-000-2020-05272</w:t>
    </w:r>
    <w:r>
      <w:rPr>
        <w:color w:val="767171"/>
        <w:sz w:val="20"/>
        <w:szCs w:val="20"/>
      </w:rPr>
      <w:t>-00</w:t>
    </w:r>
  </w:p>
  <w:p w14:paraId="07B33FD0" w14:textId="5D794195" w:rsidR="00FF1DFE" w:rsidRPr="00F532EA" w:rsidRDefault="00FF1DFE" w:rsidP="0054069D">
    <w:pPr>
      <w:pStyle w:val="Encabezado"/>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Accion</w:t>
    </w:r>
    <w:r w:rsidRPr="00F532EA">
      <w:rPr>
        <w:color w:val="767171"/>
        <w:sz w:val="20"/>
        <w:szCs w:val="20"/>
      </w:rPr>
      <w:t>ante</w:t>
    </w:r>
    <w:r w:rsidR="00BF657D">
      <w:rPr>
        <w:color w:val="767171"/>
        <w:sz w:val="20"/>
        <w:szCs w:val="20"/>
      </w:rPr>
      <w:t>: Deyanira Rico Herrera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FF1DFE" w:rsidRPr="00A15ACE" w:rsidRDefault="00FF1DFE" w:rsidP="00F1441F">
    <w:pPr>
      <w:pStyle w:val="Encabezado"/>
    </w:pPr>
    <w:r>
      <w:rPr>
        <w:noProof/>
        <w:lang w:val="es-ES" w:eastAsia="es-ES"/>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F1DFE" w:rsidRPr="00A15ACE" w:rsidRDefault="00FF1DFE" w:rsidP="00F1441F">
    <w:pPr>
      <w:pStyle w:val="Encabezado"/>
      <w:rPr>
        <w:color w:val="767171"/>
      </w:rPr>
    </w:pPr>
  </w:p>
  <w:p w14:paraId="3F3B7A5B" w14:textId="77777777" w:rsidR="00FF1DFE" w:rsidRPr="007F276C" w:rsidRDefault="00FF1DFE" w:rsidP="007F276C">
    <w:pPr>
      <w:pStyle w:val="Sinespaciado"/>
    </w:pPr>
    <w:r w:rsidRPr="007F276C">
      <w:t>CONSEJO DE ESTADO</w:t>
    </w:r>
  </w:p>
  <w:p w14:paraId="6EF027A0" w14:textId="77777777" w:rsidR="00FF1DFE" w:rsidRPr="007F276C" w:rsidRDefault="00FF1DFE" w:rsidP="007F276C">
    <w:pPr>
      <w:pStyle w:val="Sinespaciado"/>
    </w:pPr>
    <w:r w:rsidRPr="007F276C">
      <w:t>SALA DE LO CONTENCIOSO ADMINISTRATIVO</w:t>
    </w:r>
  </w:p>
  <w:p w14:paraId="2FC4305D" w14:textId="77777777" w:rsidR="00FF1DFE" w:rsidRPr="007F276C" w:rsidRDefault="00FF1DFE" w:rsidP="007F276C">
    <w:pPr>
      <w:pStyle w:val="Sinespaciado"/>
    </w:pPr>
    <w:r w:rsidRPr="007F276C">
      <w:t>SECCIÓN TERCERA – SUBSECCIÓN C</w:t>
    </w:r>
  </w:p>
  <w:p w14:paraId="2BA226A1" w14:textId="77777777" w:rsidR="00FF1DFE" w:rsidRDefault="00FF1D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4FD1AD8"/>
    <w:multiLevelType w:val="hybridMultilevel"/>
    <w:tmpl w:val="02024372"/>
    <w:lvl w:ilvl="0" w:tplc="50123A82">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069A"/>
    <w:rsid w:val="00001220"/>
    <w:rsid w:val="00001765"/>
    <w:rsid w:val="00004070"/>
    <w:rsid w:val="00004379"/>
    <w:rsid w:val="00004405"/>
    <w:rsid w:val="00004D80"/>
    <w:rsid w:val="00005B2C"/>
    <w:rsid w:val="00006D3C"/>
    <w:rsid w:val="0001012C"/>
    <w:rsid w:val="0001030E"/>
    <w:rsid w:val="00011344"/>
    <w:rsid w:val="00012249"/>
    <w:rsid w:val="0001454F"/>
    <w:rsid w:val="00015C84"/>
    <w:rsid w:val="000161D5"/>
    <w:rsid w:val="00016FD6"/>
    <w:rsid w:val="00017CB3"/>
    <w:rsid w:val="00023E74"/>
    <w:rsid w:val="0002471B"/>
    <w:rsid w:val="00027BE4"/>
    <w:rsid w:val="00031008"/>
    <w:rsid w:val="00034C12"/>
    <w:rsid w:val="00035B36"/>
    <w:rsid w:val="0003698D"/>
    <w:rsid w:val="000379C1"/>
    <w:rsid w:val="00044E63"/>
    <w:rsid w:val="00045A3D"/>
    <w:rsid w:val="000558C9"/>
    <w:rsid w:val="0005595B"/>
    <w:rsid w:val="000566B5"/>
    <w:rsid w:val="000572CE"/>
    <w:rsid w:val="000578BC"/>
    <w:rsid w:val="0006185D"/>
    <w:rsid w:val="00061B93"/>
    <w:rsid w:val="000640FF"/>
    <w:rsid w:val="00065048"/>
    <w:rsid w:val="00065263"/>
    <w:rsid w:val="00071F03"/>
    <w:rsid w:val="00072695"/>
    <w:rsid w:val="000728E0"/>
    <w:rsid w:val="00073800"/>
    <w:rsid w:val="00073869"/>
    <w:rsid w:val="00074D00"/>
    <w:rsid w:val="00074F2A"/>
    <w:rsid w:val="00076747"/>
    <w:rsid w:val="0008068C"/>
    <w:rsid w:val="0008344D"/>
    <w:rsid w:val="00083B8F"/>
    <w:rsid w:val="00084ACD"/>
    <w:rsid w:val="000851C4"/>
    <w:rsid w:val="0008675F"/>
    <w:rsid w:val="00086B66"/>
    <w:rsid w:val="00094E7B"/>
    <w:rsid w:val="00094EAB"/>
    <w:rsid w:val="00095D8F"/>
    <w:rsid w:val="00095EDE"/>
    <w:rsid w:val="000A093D"/>
    <w:rsid w:val="000A3C6F"/>
    <w:rsid w:val="000A3CA1"/>
    <w:rsid w:val="000A428A"/>
    <w:rsid w:val="000A54E3"/>
    <w:rsid w:val="000B0A8D"/>
    <w:rsid w:val="000B5617"/>
    <w:rsid w:val="000C18BD"/>
    <w:rsid w:val="000C2B43"/>
    <w:rsid w:val="000C341D"/>
    <w:rsid w:val="000C3525"/>
    <w:rsid w:val="000C5DB7"/>
    <w:rsid w:val="000C639A"/>
    <w:rsid w:val="000C7AB3"/>
    <w:rsid w:val="000C7B4F"/>
    <w:rsid w:val="000D0E41"/>
    <w:rsid w:val="000D12BC"/>
    <w:rsid w:val="000D1A55"/>
    <w:rsid w:val="000D2A20"/>
    <w:rsid w:val="000D38FD"/>
    <w:rsid w:val="000D4AD7"/>
    <w:rsid w:val="000D5563"/>
    <w:rsid w:val="000D7042"/>
    <w:rsid w:val="000E121D"/>
    <w:rsid w:val="000E1F28"/>
    <w:rsid w:val="000E2D62"/>
    <w:rsid w:val="000E508B"/>
    <w:rsid w:val="000F1497"/>
    <w:rsid w:val="000F189F"/>
    <w:rsid w:val="000F3FD8"/>
    <w:rsid w:val="000F4A94"/>
    <w:rsid w:val="000F7E10"/>
    <w:rsid w:val="00100DE6"/>
    <w:rsid w:val="00101981"/>
    <w:rsid w:val="00101D3B"/>
    <w:rsid w:val="00102722"/>
    <w:rsid w:val="001064F3"/>
    <w:rsid w:val="00106D53"/>
    <w:rsid w:val="001073C5"/>
    <w:rsid w:val="00110B2A"/>
    <w:rsid w:val="001117E0"/>
    <w:rsid w:val="00111F8A"/>
    <w:rsid w:val="001121D7"/>
    <w:rsid w:val="00114418"/>
    <w:rsid w:val="00114E48"/>
    <w:rsid w:val="00116930"/>
    <w:rsid w:val="0011700D"/>
    <w:rsid w:val="00117091"/>
    <w:rsid w:val="0012059B"/>
    <w:rsid w:val="00121C55"/>
    <w:rsid w:val="001225C4"/>
    <w:rsid w:val="00125394"/>
    <w:rsid w:val="00125A89"/>
    <w:rsid w:val="001264E9"/>
    <w:rsid w:val="00127A99"/>
    <w:rsid w:val="00130367"/>
    <w:rsid w:val="001314F6"/>
    <w:rsid w:val="001314FA"/>
    <w:rsid w:val="0013280E"/>
    <w:rsid w:val="00132AB9"/>
    <w:rsid w:val="00133F91"/>
    <w:rsid w:val="001341B1"/>
    <w:rsid w:val="00135B29"/>
    <w:rsid w:val="00136C8D"/>
    <w:rsid w:val="00137D2F"/>
    <w:rsid w:val="00143CD4"/>
    <w:rsid w:val="00146828"/>
    <w:rsid w:val="00146A7C"/>
    <w:rsid w:val="00147982"/>
    <w:rsid w:val="001502BD"/>
    <w:rsid w:val="00150F41"/>
    <w:rsid w:val="0015104D"/>
    <w:rsid w:val="0015444A"/>
    <w:rsid w:val="00154D0E"/>
    <w:rsid w:val="00155E78"/>
    <w:rsid w:val="00155FE7"/>
    <w:rsid w:val="00161A22"/>
    <w:rsid w:val="00161EAA"/>
    <w:rsid w:val="0016208B"/>
    <w:rsid w:val="00162961"/>
    <w:rsid w:val="001641DE"/>
    <w:rsid w:val="0016439C"/>
    <w:rsid w:val="001658C9"/>
    <w:rsid w:val="00165935"/>
    <w:rsid w:val="00165C5B"/>
    <w:rsid w:val="00166AF6"/>
    <w:rsid w:val="001674CF"/>
    <w:rsid w:val="00170FE3"/>
    <w:rsid w:val="00171038"/>
    <w:rsid w:val="00171E2D"/>
    <w:rsid w:val="00172093"/>
    <w:rsid w:val="00172D24"/>
    <w:rsid w:val="00174C02"/>
    <w:rsid w:val="00175282"/>
    <w:rsid w:val="001820A7"/>
    <w:rsid w:val="001838C6"/>
    <w:rsid w:val="00190924"/>
    <w:rsid w:val="001909A8"/>
    <w:rsid w:val="001915E1"/>
    <w:rsid w:val="001917C4"/>
    <w:rsid w:val="00194CD0"/>
    <w:rsid w:val="001A12BB"/>
    <w:rsid w:val="001A44C6"/>
    <w:rsid w:val="001A475E"/>
    <w:rsid w:val="001B35D8"/>
    <w:rsid w:val="001B60B5"/>
    <w:rsid w:val="001B72F6"/>
    <w:rsid w:val="001B7E39"/>
    <w:rsid w:val="001C01CE"/>
    <w:rsid w:val="001C049C"/>
    <w:rsid w:val="001C29D8"/>
    <w:rsid w:val="001C319D"/>
    <w:rsid w:val="001C3C1F"/>
    <w:rsid w:val="001C4808"/>
    <w:rsid w:val="001C4D01"/>
    <w:rsid w:val="001C6DF4"/>
    <w:rsid w:val="001D0208"/>
    <w:rsid w:val="001D2377"/>
    <w:rsid w:val="001D4888"/>
    <w:rsid w:val="001D4B71"/>
    <w:rsid w:val="001D4CE9"/>
    <w:rsid w:val="001D4E62"/>
    <w:rsid w:val="001D5BEE"/>
    <w:rsid w:val="001D60C0"/>
    <w:rsid w:val="001D61E8"/>
    <w:rsid w:val="001D66AE"/>
    <w:rsid w:val="001D67F0"/>
    <w:rsid w:val="001E2CF4"/>
    <w:rsid w:val="001F0E32"/>
    <w:rsid w:val="001F31C1"/>
    <w:rsid w:val="001F4B0A"/>
    <w:rsid w:val="001F6D2F"/>
    <w:rsid w:val="00201EC3"/>
    <w:rsid w:val="002035BF"/>
    <w:rsid w:val="0020567B"/>
    <w:rsid w:val="00206DB2"/>
    <w:rsid w:val="00207116"/>
    <w:rsid w:val="00213F12"/>
    <w:rsid w:val="00214D23"/>
    <w:rsid w:val="00215178"/>
    <w:rsid w:val="002230E3"/>
    <w:rsid w:val="002232EB"/>
    <w:rsid w:val="00223E8F"/>
    <w:rsid w:val="002253B6"/>
    <w:rsid w:val="002255B3"/>
    <w:rsid w:val="00225FD3"/>
    <w:rsid w:val="002269CD"/>
    <w:rsid w:val="00226D45"/>
    <w:rsid w:val="0023161F"/>
    <w:rsid w:val="002323D7"/>
    <w:rsid w:val="002365FF"/>
    <w:rsid w:val="00241A20"/>
    <w:rsid w:val="00241DC8"/>
    <w:rsid w:val="00243E3F"/>
    <w:rsid w:val="00245202"/>
    <w:rsid w:val="00246239"/>
    <w:rsid w:val="002468A7"/>
    <w:rsid w:val="0025021D"/>
    <w:rsid w:val="00252DB0"/>
    <w:rsid w:val="00254098"/>
    <w:rsid w:val="00255C63"/>
    <w:rsid w:val="0026122E"/>
    <w:rsid w:val="002618FA"/>
    <w:rsid w:val="00263CB2"/>
    <w:rsid w:val="002652EE"/>
    <w:rsid w:val="0026613C"/>
    <w:rsid w:val="00266DCD"/>
    <w:rsid w:val="002715FF"/>
    <w:rsid w:val="00271F7D"/>
    <w:rsid w:val="0027248E"/>
    <w:rsid w:val="00273406"/>
    <w:rsid w:val="00274744"/>
    <w:rsid w:val="002753A1"/>
    <w:rsid w:val="002755E1"/>
    <w:rsid w:val="00275638"/>
    <w:rsid w:val="00276E47"/>
    <w:rsid w:val="00277551"/>
    <w:rsid w:val="00281874"/>
    <w:rsid w:val="002820EC"/>
    <w:rsid w:val="0028309F"/>
    <w:rsid w:val="00283C63"/>
    <w:rsid w:val="00286184"/>
    <w:rsid w:val="0028665C"/>
    <w:rsid w:val="00287048"/>
    <w:rsid w:val="00287E91"/>
    <w:rsid w:val="00291407"/>
    <w:rsid w:val="0029280A"/>
    <w:rsid w:val="0029390A"/>
    <w:rsid w:val="00295308"/>
    <w:rsid w:val="002956F6"/>
    <w:rsid w:val="002A04D0"/>
    <w:rsid w:val="002A39C7"/>
    <w:rsid w:val="002A3BCF"/>
    <w:rsid w:val="002A5310"/>
    <w:rsid w:val="002A58EF"/>
    <w:rsid w:val="002A6BED"/>
    <w:rsid w:val="002A7DC7"/>
    <w:rsid w:val="002B26F8"/>
    <w:rsid w:val="002B3E8E"/>
    <w:rsid w:val="002B4B28"/>
    <w:rsid w:val="002B5870"/>
    <w:rsid w:val="002B6FC2"/>
    <w:rsid w:val="002B7816"/>
    <w:rsid w:val="002C0F7C"/>
    <w:rsid w:val="002C12BC"/>
    <w:rsid w:val="002C4C34"/>
    <w:rsid w:val="002D033D"/>
    <w:rsid w:val="002D1219"/>
    <w:rsid w:val="002D1F32"/>
    <w:rsid w:val="002D2B80"/>
    <w:rsid w:val="002D3CAC"/>
    <w:rsid w:val="002D480B"/>
    <w:rsid w:val="002E0126"/>
    <w:rsid w:val="002E1978"/>
    <w:rsid w:val="002F29A7"/>
    <w:rsid w:val="002F3B62"/>
    <w:rsid w:val="002F42B8"/>
    <w:rsid w:val="002F6F94"/>
    <w:rsid w:val="002F7B5B"/>
    <w:rsid w:val="002F7E24"/>
    <w:rsid w:val="003007E6"/>
    <w:rsid w:val="00301EAE"/>
    <w:rsid w:val="00301FD7"/>
    <w:rsid w:val="0030212E"/>
    <w:rsid w:val="003026EB"/>
    <w:rsid w:val="00302CF5"/>
    <w:rsid w:val="003049C7"/>
    <w:rsid w:val="00304A7F"/>
    <w:rsid w:val="00306C59"/>
    <w:rsid w:val="00307522"/>
    <w:rsid w:val="00307E2C"/>
    <w:rsid w:val="0031514A"/>
    <w:rsid w:val="0031562F"/>
    <w:rsid w:val="00316A7F"/>
    <w:rsid w:val="00316B80"/>
    <w:rsid w:val="00320783"/>
    <w:rsid w:val="00322AE9"/>
    <w:rsid w:val="00324724"/>
    <w:rsid w:val="00325CD1"/>
    <w:rsid w:val="003260C7"/>
    <w:rsid w:val="00327C43"/>
    <w:rsid w:val="003336FD"/>
    <w:rsid w:val="00334ED8"/>
    <w:rsid w:val="003353F5"/>
    <w:rsid w:val="0033546F"/>
    <w:rsid w:val="00337D9B"/>
    <w:rsid w:val="003405C2"/>
    <w:rsid w:val="00340AC8"/>
    <w:rsid w:val="0034340E"/>
    <w:rsid w:val="00343766"/>
    <w:rsid w:val="00344D69"/>
    <w:rsid w:val="003451B9"/>
    <w:rsid w:val="00345E1C"/>
    <w:rsid w:val="00347076"/>
    <w:rsid w:val="00351B5E"/>
    <w:rsid w:val="00352BAD"/>
    <w:rsid w:val="0035542D"/>
    <w:rsid w:val="00357451"/>
    <w:rsid w:val="00357E22"/>
    <w:rsid w:val="00360658"/>
    <w:rsid w:val="00361478"/>
    <w:rsid w:val="003614D2"/>
    <w:rsid w:val="00361B8F"/>
    <w:rsid w:val="003628C8"/>
    <w:rsid w:val="0036363D"/>
    <w:rsid w:val="0036383A"/>
    <w:rsid w:val="003639E2"/>
    <w:rsid w:val="003644A3"/>
    <w:rsid w:val="003674B8"/>
    <w:rsid w:val="0036798C"/>
    <w:rsid w:val="003707A2"/>
    <w:rsid w:val="003727A7"/>
    <w:rsid w:val="003736AC"/>
    <w:rsid w:val="00374674"/>
    <w:rsid w:val="00377720"/>
    <w:rsid w:val="00377E1B"/>
    <w:rsid w:val="00380082"/>
    <w:rsid w:val="003806E6"/>
    <w:rsid w:val="00382293"/>
    <w:rsid w:val="00383156"/>
    <w:rsid w:val="003831EF"/>
    <w:rsid w:val="00383425"/>
    <w:rsid w:val="00384507"/>
    <w:rsid w:val="00386152"/>
    <w:rsid w:val="00386B09"/>
    <w:rsid w:val="00387BBC"/>
    <w:rsid w:val="00387CA1"/>
    <w:rsid w:val="00392598"/>
    <w:rsid w:val="00392C1E"/>
    <w:rsid w:val="00392C97"/>
    <w:rsid w:val="00392D66"/>
    <w:rsid w:val="00393843"/>
    <w:rsid w:val="00394A69"/>
    <w:rsid w:val="0039548C"/>
    <w:rsid w:val="003A0174"/>
    <w:rsid w:val="003A0202"/>
    <w:rsid w:val="003A12C4"/>
    <w:rsid w:val="003A1348"/>
    <w:rsid w:val="003A136F"/>
    <w:rsid w:val="003A1C83"/>
    <w:rsid w:val="003A35B4"/>
    <w:rsid w:val="003A3FC4"/>
    <w:rsid w:val="003A4B37"/>
    <w:rsid w:val="003B1539"/>
    <w:rsid w:val="003B1695"/>
    <w:rsid w:val="003B4515"/>
    <w:rsid w:val="003C242A"/>
    <w:rsid w:val="003C24DE"/>
    <w:rsid w:val="003C63E7"/>
    <w:rsid w:val="003C78FA"/>
    <w:rsid w:val="003D068E"/>
    <w:rsid w:val="003D0F7C"/>
    <w:rsid w:val="003D1B94"/>
    <w:rsid w:val="003D44B8"/>
    <w:rsid w:val="003D4892"/>
    <w:rsid w:val="003D58E3"/>
    <w:rsid w:val="003D6548"/>
    <w:rsid w:val="003D7632"/>
    <w:rsid w:val="003E06B6"/>
    <w:rsid w:val="003E0A62"/>
    <w:rsid w:val="003E25FB"/>
    <w:rsid w:val="003E4253"/>
    <w:rsid w:val="003E62BC"/>
    <w:rsid w:val="003E7A58"/>
    <w:rsid w:val="003F1DF9"/>
    <w:rsid w:val="003F2236"/>
    <w:rsid w:val="003F2BA3"/>
    <w:rsid w:val="003F31BD"/>
    <w:rsid w:val="003F4EE1"/>
    <w:rsid w:val="003F7144"/>
    <w:rsid w:val="003F7FF5"/>
    <w:rsid w:val="0040213E"/>
    <w:rsid w:val="00402998"/>
    <w:rsid w:val="00403849"/>
    <w:rsid w:val="00403B4C"/>
    <w:rsid w:val="00406678"/>
    <w:rsid w:val="00406772"/>
    <w:rsid w:val="004139B0"/>
    <w:rsid w:val="004150BA"/>
    <w:rsid w:val="004168CB"/>
    <w:rsid w:val="00416A7B"/>
    <w:rsid w:val="004211FA"/>
    <w:rsid w:val="0042227D"/>
    <w:rsid w:val="004224E1"/>
    <w:rsid w:val="004230AD"/>
    <w:rsid w:val="004232B9"/>
    <w:rsid w:val="00424723"/>
    <w:rsid w:val="00425815"/>
    <w:rsid w:val="004269E2"/>
    <w:rsid w:val="004270A8"/>
    <w:rsid w:val="00430389"/>
    <w:rsid w:val="00430D89"/>
    <w:rsid w:val="00432814"/>
    <w:rsid w:val="00432FAE"/>
    <w:rsid w:val="00433C67"/>
    <w:rsid w:val="00433E19"/>
    <w:rsid w:val="00434725"/>
    <w:rsid w:val="0043594A"/>
    <w:rsid w:val="00440DE3"/>
    <w:rsid w:val="00444D42"/>
    <w:rsid w:val="00447745"/>
    <w:rsid w:val="00447956"/>
    <w:rsid w:val="00450F08"/>
    <w:rsid w:val="00452267"/>
    <w:rsid w:val="0045254F"/>
    <w:rsid w:val="00454FBA"/>
    <w:rsid w:val="00455545"/>
    <w:rsid w:val="00455723"/>
    <w:rsid w:val="00455A82"/>
    <w:rsid w:val="004579FB"/>
    <w:rsid w:val="00460A71"/>
    <w:rsid w:val="0046141F"/>
    <w:rsid w:val="004654A4"/>
    <w:rsid w:val="00465D19"/>
    <w:rsid w:val="00467F77"/>
    <w:rsid w:val="00471300"/>
    <w:rsid w:val="0047256F"/>
    <w:rsid w:val="00475103"/>
    <w:rsid w:val="004758EB"/>
    <w:rsid w:val="00477A81"/>
    <w:rsid w:val="00477AD8"/>
    <w:rsid w:val="00477CD1"/>
    <w:rsid w:val="00480BDB"/>
    <w:rsid w:val="00483A7E"/>
    <w:rsid w:val="004849BB"/>
    <w:rsid w:val="00484DEF"/>
    <w:rsid w:val="00485743"/>
    <w:rsid w:val="004857F6"/>
    <w:rsid w:val="00486447"/>
    <w:rsid w:val="00487892"/>
    <w:rsid w:val="00490268"/>
    <w:rsid w:val="00491910"/>
    <w:rsid w:val="00491D4D"/>
    <w:rsid w:val="00494668"/>
    <w:rsid w:val="00494CC1"/>
    <w:rsid w:val="00494F5F"/>
    <w:rsid w:val="004958EF"/>
    <w:rsid w:val="00496046"/>
    <w:rsid w:val="00497536"/>
    <w:rsid w:val="00497572"/>
    <w:rsid w:val="00497735"/>
    <w:rsid w:val="00497B7C"/>
    <w:rsid w:val="004A04B5"/>
    <w:rsid w:val="004A04BC"/>
    <w:rsid w:val="004A0E84"/>
    <w:rsid w:val="004A1D38"/>
    <w:rsid w:val="004A278D"/>
    <w:rsid w:val="004A59E5"/>
    <w:rsid w:val="004A7C12"/>
    <w:rsid w:val="004B1658"/>
    <w:rsid w:val="004B1AE0"/>
    <w:rsid w:val="004B48F9"/>
    <w:rsid w:val="004B4E43"/>
    <w:rsid w:val="004B546A"/>
    <w:rsid w:val="004B5A58"/>
    <w:rsid w:val="004B68A0"/>
    <w:rsid w:val="004B71FA"/>
    <w:rsid w:val="004B773D"/>
    <w:rsid w:val="004B7869"/>
    <w:rsid w:val="004C09AA"/>
    <w:rsid w:val="004C0BAB"/>
    <w:rsid w:val="004C4E69"/>
    <w:rsid w:val="004C5C30"/>
    <w:rsid w:val="004D0916"/>
    <w:rsid w:val="004D1E7E"/>
    <w:rsid w:val="004D43F5"/>
    <w:rsid w:val="004D49EB"/>
    <w:rsid w:val="004D55D4"/>
    <w:rsid w:val="004D5983"/>
    <w:rsid w:val="004D63F2"/>
    <w:rsid w:val="004D6555"/>
    <w:rsid w:val="004D6896"/>
    <w:rsid w:val="004E01C0"/>
    <w:rsid w:val="004E1BB1"/>
    <w:rsid w:val="004E2B86"/>
    <w:rsid w:val="004E36C6"/>
    <w:rsid w:val="004E3D73"/>
    <w:rsid w:val="004E6970"/>
    <w:rsid w:val="004E7976"/>
    <w:rsid w:val="004F0F06"/>
    <w:rsid w:val="004F2163"/>
    <w:rsid w:val="004F29EF"/>
    <w:rsid w:val="004F3056"/>
    <w:rsid w:val="004F3EFC"/>
    <w:rsid w:val="004F64C5"/>
    <w:rsid w:val="004F64E9"/>
    <w:rsid w:val="004F68ED"/>
    <w:rsid w:val="004F6E40"/>
    <w:rsid w:val="004F7002"/>
    <w:rsid w:val="00500786"/>
    <w:rsid w:val="00503270"/>
    <w:rsid w:val="00505263"/>
    <w:rsid w:val="00505C36"/>
    <w:rsid w:val="0051090B"/>
    <w:rsid w:val="005113B7"/>
    <w:rsid w:val="00512657"/>
    <w:rsid w:val="005127CB"/>
    <w:rsid w:val="005173A7"/>
    <w:rsid w:val="005211BD"/>
    <w:rsid w:val="00521C3D"/>
    <w:rsid w:val="00522073"/>
    <w:rsid w:val="005229CC"/>
    <w:rsid w:val="00522B4B"/>
    <w:rsid w:val="00523AF5"/>
    <w:rsid w:val="00525B66"/>
    <w:rsid w:val="0052799A"/>
    <w:rsid w:val="00530CAD"/>
    <w:rsid w:val="00537CEE"/>
    <w:rsid w:val="0054069D"/>
    <w:rsid w:val="00540E31"/>
    <w:rsid w:val="00540F5C"/>
    <w:rsid w:val="005414C8"/>
    <w:rsid w:val="0054160F"/>
    <w:rsid w:val="00542042"/>
    <w:rsid w:val="00542050"/>
    <w:rsid w:val="0054247D"/>
    <w:rsid w:val="0054313B"/>
    <w:rsid w:val="00543FA4"/>
    <w:rsid w:val="00545CA7"/>
    <w:rsid w:val="0055229B"/>
    <w:rsid w:val="005522BC"/>
    <w:rsid w:val="0055391D"/>
    <w:rsid w:val="00553E6E"/>
    <w:rsid w:val="00560C9F"/>
    <w:rsid w:val="00562465"/>
    <w:rsid w:val="005626E4"/>
    <w:rsid w:val="00562E45"/>
    <w:rsid w:val="00564169"/>
    <w:rsid w:val="00564DCB"/>
    <w:rsid w:val="00565A93"/>
    <w:rsid w:val="00566726"/>
    <w:rsid w:val="00566F5D"/>
    <w:rsid w:val="005671A8"/>
    <w:rsid w:val="005702A7"/>
    <w:rsid w:val="005704D4"/>
    <w:rsid w:val="0057157A"/>
    <w:rsid w:val="00576DFD"/>
    <w:rsid w:val="00577059"/>
    <w:rsid w:val="00585CA2"/>
    <w:rsid w:val="00586281"/>
    <w:rsid w:val="00591F8F"/>
    <w:rsid w:val="0059201B"/>
    <w:rsid w:val="00592923"/>
    <w:rsid w:val="00593F37"/>
    <w:rsid w:val="00595248"/>
    <w:rsid w:val="00595F8B"/>
    <w:rsid w:val="00597938"/>
    <w:rsid w:val="005A0024"/>
    <w:rsid w:val="005A1C94"/>
    <w:rsid w:val="005A1D89"/>
    <w:rsid w:val="005A2030"/>
    <w:rsid w:val="005A236C"/>
    <w:rsid w:val="005A358C"/>
    <w:rsid w:val="005A510D"/>
    <w:rsid w:val="005A6124"/>
    <w:rsid w:val="005A77E9"/>
    <w:rsid w:val="005B3AF1"/>
    <w:rsid w:val="005B4121"/>
    <w:rsid w:val="005B5903"/>
    <w:rsid w:val="005B6A6F"/>
    <w:rsid w:val="005C3057"/>
    <w:rsid w:val="005C36FB"/>
    <w:rsid w:val="005C38DE"/>
    <w:rsid w:val="005C41D9"/>
    <w:rsid w:val="005C42C3"/>
    <w:rsid w:val="005C4D54"/>
    <w:rsid w:val="005C7059"/>
    <w:rsid w:val="005C72E5"/>
    <w:rsid w:val="005D0429"/>
    <w:rsid w:val="005D1160"/>
    <w:rsid w:val="005D1791"/>
    <w:rsid w:val="005D6D4F"/>
    <w:rsid w:val="005D7E03"/>
    <w:rsid w:val="005E0F7D"/>
    <w:rsid w:val="005F0AEA"/>
    <w:rsid w:val="005F2232"/>
    <w:rsid w:val="005F2A79"/>
    <w:rsid w:val="005F4B65"/>
    <w:rsid w:val="005F6DC4"/>
    <w:rsid w:val="006045FD"/>
    <w:rsid w:val="00606C5C"/>
    <w:rsid w:val="00606E0A"/>
    <w:rsid w:val="00606E3D"/>
    <w:rsid w:val="0061110F"/>
    <w:rsid w:val="00611CF0"/>
    <w:rsid w:val="0061288C"/>
    <w:rsid w:val="006146CC"/>
    <w:rsid w:val="00614FB3"/>
    <w:rsid w:val="006155A3"/>
    <w:rsid w:val="0061679D"/>
    <w:rsid w:val="00616D34"/>
    <w:rsid w:val="00617301"/>
    <w:rsid w:val="00617D85"/>
    <w:rsid w:val="00620227"/>
    <w:rsid w:val="00620DE7"/>
    <w:rsid w:val="00621F3E"/>
    <w:rsid w:val="00621F92"/>
    <w:rsid w:val="00623623"/>
    <w:rsid w:val="00624631"/>
    <w:rsid w:val="00625806"/>
    <w:rsid w:val="00627010"/>
    <w:rsid w:val="00630AE3"/>
    <w:rsid w:val="00631B95"/>
    <w:rsid w:val="00632DBD"/>
    <w:rsid w:val="006332F1"/>
    <w:rsid w:val="00634B10"/>
    <w:rsid w:val="006362F7"/>
    <w:rsid w:val="006371BF"/>
    <w:rsid w:val="006371C6"/>
    <w:rsid w:val="006422B2"/>
    <w:rsid w:val="0064439B"/>
    <w:rsid w:val="00644990"/>
    <w:rsid w:val="0064573D"/>
    <w:rsid w:val="00647B40"/>
    <w:rsid w:val="00651F05"/>
    <w:rsid w:val="006549D9"/>
    <w:rsid w:val="00660C54"/>
    <w:rsid w:val="006613D9"/>
    <w:rsid w:val="006615F2"/>
    <w:rsid w:val="00661E21"/>
    <w:rsid w:val="00663267"/>
    <w:rsid w:val="00664A8F"/>
    <w:rsid w:val="00664B82"/>
    <w:rsid w:val="0067053C"/>
    <w:rsid w:val="00670737"/>
    <w:rsid w:val="00670796"/>
    <w:rsid w:val="00671674"/>
    <w:rsid w:val="006733D3"/>
    <w:rsid w:val="00673AF4"/>
    <w:rsid w:val="00675394"/>
    <w:rsid w:val="00676069"/>
    <w:rsid w:val="00677074"/>
    <w:rsid w:val="00677791"/>
    <w:rsid w:val="006804E5"/>
    <w:rsid w:val="0068169A"/>
    <w:rsid w:val="00685672"/>
    <w:rsid w:val="00687E32"/>
    <w:rsid w:val="00687E3A"/>
    <w:rsid w:val="00692C53"/>
    <w:rsid w:val="00693FE3"/>
    <w:rsid w:val="00694B53"/>
    <w:rsid w:val="00695217"/>
    <w:rsid w:val="00696644"/>
    <w:rsid w:val="00697934"/>
    <w:rsid w:val="006A02A8"/>
    <w:rsid w:val="006A4C31"/>
    <w:rsid w:val="006A5D80"/>
    <w:rsid w:val="006B082C"/>
    <w:rsid w:val="006B11F8"/>
    <w:rsid w:val="006B2A4A"/>
    <w:rsid w:val="006B3043"/>
    <w:rsid w:val="006B4A79"/>
    <w:rsid w:val="006B6837"/>
    <w:rsid w:val="006C53D5"/>
    <w:rsid w:val="006C5B42"/>
    <w:rsid w:val="006D4799"/>
    <w:rsid w:val="006D4FDD"/>
    <w:rsid w:val="006D548B"/>
    <w:rsid w:val="006D6458"/>
    <w:rsid w:val="006D648A"/>
    <w:rsid w:val="006E1157"/>
    <w:rsid w:val="006E5E5C"/>
    <w:rsid w:val="006E742C"/>
    <w:rsid w:val="006F0062"/>
    <w:rsid w:val="006F1879"/>
    <w:rsid w:val="006F52FC"/>
    <w:rsid w:val="006F55FF"/>
    <w:rsid w:val="006F5AF7"/>
    <w:rsid w:val="006F6047"/>
    <w:rsid w:val="0070023E"/>
    <w:rsid w:val="00700DB7"/>
    <w:rsid w:val="0070124D"/>
    <w:rsid w:val="00701255"/>
    <w:rsid w:val="00703DAC"/>
    <w:rsid w:val="007040D7"/>
    <w:rsid w:val="00710127"/>
    <w:rsid w:val="00710146"/>
    <w:rsid w:val="007102FC"/>
    <w:rsid w:val="00711880"/>
    <w:rsid w:val="0071195F"/>
    <w:rsid w:val="00711E02"/>
    <w:rsid w:val="00712234"/>
    <w:rsid w:val="007122E0"/>
    <w:rsid w:val="0071239E"/>
    <w:rsid w:val="00714E71"/>
    <w:rsid w:val="007152BF"/>
    <w:rsid w:val="00715CC5"/>
    <w:rsid w:val="00720C92"/>
    <w:rsid w:val="0072475A"/>
    <w:rsid w:val="00724EAF"/>
    <w:rsid w:val="007277C6"/>
    <w:rsid w:val="00730552"/>
    <w:rsid w:val="007306AA"/>
    <w:rsid w:val="007306BC"/>
    <w:rsid w:val="00733784"/>
    <w:rsid w:val="00733E5F"/>
    <w:rsid w:val="00737644"/>
    <w:rsid w:val="00740F25"/>
    <w:rsid w:val="00741C24"/>
    <w:rsid w:val="0074235D"/>
    <w:rsid w:val="007423CB"/>
    <w:rsid w:val="00742806"/>
    <w:rsid w:val="00744CFE"/>
    <w:rsid w:val="0074590F"/>
    <w:rsid w:val="00745D63"/>
    <w:rsid w:val="00746E9B"/>
    <w:rsid w:val="007504EE"/>
    <w:rsid w:val="00750DB0"/>
    <w:rsid w:val="00751493"/>
    <w:rsid w:val="00754423"/>
    <w:rsid w:val="00754FBF"/>
    <w:rsid w:val="00756BFC"/>
    <w:rsid w:val="007601C6"/>
    <w:rsid w:val="00760DAF"/>
    <w:rsid w:val="0076661A"/>
    <w:rsid w:val="007669D8"/>
    <w:rsid w:val="007706B2"/>
    <w:rsid w:val="0077139D"/>
    <w:rsid w:val="00772E54"/>
    <w:rsid w:val="00773A85"/>
    <w:rsid w:val="00775682"/>
    <w:rsid w:val="007768B5"/>
    <w:rsid w:val="00780216"/>
    <w:rsid w:val="00780252"/>
    <w:rsid w:val="007803F9"/>
    <w:rsid w:val="0078120E"/>
    <w:rsid w:val="00781869"/>
    <w:rsid w:val="00782894"/>
    <w:rsid w:val="00784A39"/>
    <w:rsid w:val="00787DF9"/>
    <w:rsid w:val="00790427"/>
    <w:rsid w:val="00791657"/>
    <w:rsid w:val="00792212"/>
    <w:rsid w:val="00794AE2"/>
    <w:rsid w:val="00794C39"/>
    <w:rsid w:val="00795009"/>
    <w:rsid w:val="007957B1"/>
    <w:rsid w:val="007963F9"/>
    <w:rsid w:val="00797B1F"/>
    <w:rsid w:val="007A35CB"/>
    <w:rsid w:val="007A39E5"/>
    <w:rsid w:val="007A430E"/>
    <w:rsid w:val="007A47BB"/>
    <w:rsid w:val="007A54A5"/>
    <w:rsid w:val="007A5AE1"/>
    <w:rsid w:val="007B1CC6"/>
    <w:rsid w:val="007B420C"/>
    <w:rsid w:val="007B7318"/>
    <w:rsid w:val="007B7D0D"/>
    <w:rsid w:val="007B7D21"/>
    <w:rsid w:val="007C13BD"/>
    <w:rsid w:val="007C143D"/>
    <w:rsid w:val="007C4AC9"/>
    <w:rsid w:val="007C5349"/>
    <w:rsid w:val="007C56F8"/>
    <w:rsid w:val="007C7E98"/>
    <w:rsid w:val="007D0457"/>
    <w:rsid w:val="007D152D"/>
    <w:rsid w:val="007D1DEB"/>
    <w:rsid w:val="007D39E2"/>
    <w:rsid w:val="007D3A5C"/>
    <w:rsid w:val="007D4A96"/>
    <w:rsid w:val="007E051D"/>
    <w:rsid w:val="007E1524"/>
    <w:rsid w:val="007E2ACD"/>
    <w:rsid w:val="007E3C96"/>
    <w:rsid w:val="007E3D1B"/>
    <w:rsid w:val="007E409E"/>
    <w:rsid w:val="007E4422"/>
    <w:rsid w:val="007F2052"/>
    <w:rsid w:val="007F276C"/>
    <w:rsid w:val="007F3540"/>
    <w:rsid w:val="007F5A5F"/>
    <w:rsid w:val="00800150"/>
    <w:rsid w:val="0080119B"/>
    <w:rsid w:val="0080156D"/>
    <w:rsid w:val="008022DF"/>
    <w:rsid w:val="00802867"/>
    <w:rsid w:val="0080392B"/>
    <w:rsid w:val="008053FA"/>
    <w:rsid w:val="00806C81"/>
    <w:rsid w:val="00810A16"/>
    <w:rsid w:val="00812379"/>
    <w:rsid w:val="008162D1"/>
    <w:rsid w:val="00817201"/>
    <w:rsid w:val="00817A38"/>
    <w:rsid w:val="00817D85"/>
    <w:rsid w:val="00820CE3"/>
    <w:rsid w:val="00822AA9"/>
    <w:rsid w:val="00822EDC"/>
    <w:rsid w:val="00823E1F"/>
    <w:rsid w:val="0082499F"/>
    <w:rsid w:val="0082667C"/>
    <w:rsid w:val="00826D5A"/>
    <w:rsid w:val="0083034A"/>
    <w:rsid w:val="008310CF"/>
    <w:rsid w:val="00835345"/>
    <w:rsid w:val="008360AD"/>
    <w:rsid w:val="00837D7D"/>
    <w:rsid w:val="0084199E"/>
    <w:rsid w:val="0084204C"/>
    <w:rsid w:val="00843B7E"/>
    <w:rsid w:val="00851373"/>
    <w:rsid w:val="00851A98"/>
    <w:rsid w:val="0085250A"/>
    <w:rsid w:val="0085388E"/>
    <w:rsid w:val="00853B01"/>
    <w:rsid w:val="008567E3"/>
    <w:rsid w:val="0086059B"/>
    <w:rsid w:val="00860B32"/>
    <w:rsid w:val="00860E1C"/>
    <w:rsid w:val="00860FC2"/>
    <w:rsid w:val="008620F1"/>
    <w:rsid w:val="00862920"/>
    <w:rsid w:val="00866A49"/>
    <w:rsid w:val="00871943"/>
    <w:rsid w:val="008735EC"/>
    <w:rsid w:val="00873A63"/>
    <w:rsid w:val="00873E35"/>
    <w:rsid w:val="00873F56"/>
    <w:rsid w:val="008800C1"/>
    <w:rsid w:val="00880936"/>
    <w:rsid w:val="00880C45"/>
    <w:rsid w:val="00884392"/>
    <w:rsid w:val="008879C5"/>
    <w:rsid w:val="00891D7A"/>
    <w:rsid w:val="00893C32"/>
    <w:rsid w:val="00897F89"/>
    <w:rsid w:val="008A0025"/>
    <w:rsid w:val="008A0F13"/>
    <w:rsid w:val="008A1E5F"/>
    <w:rsid w:val="008A2A69"/>
    <w:rsid w:val="008A3448"/>
    <w:rsid w:val="008A369C"/>
    <w:rsid w:val="008A3EA3"/>
    <w:rsid w:val="008A45EA"/>
    <w:rsid w:val="008A6D52"/>
    <w:rsid w:val="008A7065"/>
    <w:rsid w:val="008B1C62"/>
    <w:rsid w:val="008B2713"/>
    <w:rsid w:val="008B46E5"/>
    <w:rsid w:val="008B7429"/>
    <w:rsid w:val="008C0DBE"/>
    <w:rsid w:val="008C29F3"/>
    <w:rsid w:val="008C3C3D"/>
    <w:rsid w:val="008C4606"/>
    <w:rsid w:val="008C5108"/>
    <w:rsid w:val="008C5C9B"/>
    <w:rsid w:val="008C64B2"/>
    <w:rsid w:val="008D0387"/>
    <w:rsid w:val="008D4DF3"/>
    <w:rsid w:val="008D566D"/>
    <w:rsid w:val="008D6969"/>
    <w:rsid w:val="008D7532"/>
    <w:rsid w:val="008D780C"/>
    <w:rsid w:val="008E0A03"/>
    <w:rsid w:val="008E4D34"/>
    <w:rsid w:val="008F026B"/>
    <w:rsid w:val="008F0E54"/>
    <w:rsid w:val="008F1B52"/>
    <w:rsid w:val="008F1C30"/>
    <w:rsid w:val="008F24EE"/>
    <w:rsid w:val="008F2652"/>
    <w:rsid w:val="008F2BA7"/>
    <w:rsid w:val="008F382B"/>
    <w:rsid w:val="008F3A6D"/>
    <w:rsid w:val="008F3AB5"/>
    <w:rsid w:val="008F4493"/>
    <w:rsid w:val="008F46EE"/>
    <w:rsid w:val="008F4E01"/>
    <w:rsid w:val="008F60F3"/>
    <w:rsid w:val="008F7720"/>
    <w:rsid w:val="00900BD2"/>
    <w:rsid w:val="00901557"/>
    <w:rsid w:val="00901676"/>
    <w:rsid w:val="00901E6A"/>
    <w:rsid w:val="00901EF3"/>
    <w:rsid w:val="00902E76"/>
    <w:rsid w:val="00902FC0"/>
    <w:rsid w:val="00904A3A"/>
    <w:rsid w:val="00911C03"/>
    <w:rsid w:val="00911C2B"/>
    <w:rsid w:val="0091212B"/>
    <w:rsid w:val="0091719F"/>
    <w:rsid w:val="0092036E"/>
    <w:rsid w:val="00920A84"/>
    <w:rsid w:val="00920EA3"/>
    <w:rsid w:val="009210E8"/>
    <w:rsid w:val="009214E2"/>
    <w:rsid w:val="009221F1"/>
    <w:rsid w:val="00922625"/>
    <w:rsid w:val="00924665"/>
    <w:rsid w:val="00927F4D"/>
    <w:rsid w:val="009323BF"/>
    <w:rsid w:val="00933F80"/>
    <w:rsid w:val="0093434A"/>
    <w:rsid w:val="00935E4F"/>
    <w:rsid w:val="00936906"/>
    <w:rsid w:val="00936C7B"/>
    <w:rsid w:val="00940813"/>
    <w:rsid w:val="00941766"/>
    <w:rsid w:val="00942223"/>
    <w:rsid w:val="009440B2"/>
    <w:rsid w:val="00945F7B"/>
    <w:rsid w:val="009469CE"/>
    <w:rsid w:val="00954070"/>
    <w:rsid w:val="00956DA2"/>
    <w:rsid w:val="00957978"/>
    <w:rsid w:val="00960832"/>
    <w:rsid w:val="0096193A"/>
    <w:rsid w:val="00961F77"/>
    <w:rsid w:val="00961F9A"/>
    <w:rsid w:val="009625F5"/>
    <w:rsid w:val="00963767"/>
    <w:rsid w:val="00965004"/>
    <w:rsid w:val="00967439"/>
    <w:rsid w:val="009705EE"/>
    <w:rsid w:val="009730CE"/>
    <w:rsid w:val="00973D76"/>
    <w:rsid w:val="009741E5"/>
    <w:rsid w:val="00974260"/>
    <w:rsid w:val="0097486A"/>
    <w:rsid w:val="00974D27"/>
    <w:rsid w:val="00980220"/>
    <w:rsid w:val="00981205"/>
    <w:rsid w:val="009838A1"/>
    <w:rsid w:val="0098395F"/>
    <w:rsid w:val="009842D4"/>
    <w:rsid w:val="00984400"/>
    <w:rsid w:val="00986FEF"/>
    <w:rsid w:val="00991113"/>
    <w:rsid w:val="00996286"/>
    <w:rsid w:val="009A037F"/>
    <w:rsid w:val="009A4799"/>
    <w:rsid w:val="009A4CAD"/>
    <w:rsid w:val="009A5798"/>
    <w:rsid w:val="009A5E58"/>
    <w:rsid w:val="009A604B"/>
    <w:rsid w:val="009A62D1"/>
    <w:rsid w:val="009A6F25"/>
    <w:rsid w:val="009B1A69"/>
    <w:rsid w:val="009B7F6D"/>
    <w:rsid w:val="009C12A7"/>
    <w:rsid w:val="009C4F09"/>
    <w:rsid w:val="009C7498"/>
    <w:rsid w:val="009C78F2"/>
    <w:rsid w:val="009D1DD8"/>
    <w:rsid w:val="009D24AC"/>
    <w:rsid w:val="009D299C"/>
    <w:rsid w:val="009D3549"/>
    <w:rsid w:val="009D5736"/>
    <w:rsid w:val="009E29A6"/>
    <w:rsid w:val="009E3ECE"/>
    <w:rsid w:val="009E49F1"/>
    <w:rsid w:val="009E5D3B"/>
    <w:rsid w:val="009E7CF6"/>
    <w:rsid w:val="009F07BE"/>
    <w:rsid w:val="009F0873"/>
    <w:rsid w:val="009F0CAE"/>
    <w:rsid w:val="009F2E2B"/>
    <w:rsid w:val="009F3060"/>
    <w:rsid w:val="009F4147"/>
    <w:rsid w:val="009F4A20"/>
    <w:rsid w:val="009F5813"/>
    <w:rsid w:val="00A00356"/>
    <w:rsid w:val="00A02529"/>
    <w:rsid w:val="00A031F6"/>
    <w:rsid w:val="00A034E5"/>
    <w:rsid w:val="00A03D0C"/>
    <w:rsid w:val="00A03F3F"/>
    <w:rsid w:val="00A0511A"/>
    <w:rsid w:val="00A06A1B"/>
    <w:rsid w:val="00A0768B"/>
    <w:rsid w:val="00A11441"/>
    <w:rsid w:val="00A147F6"/>
    <w:rsid w:val="00A15ACE"/>
    <w:rsid w:val="00A21194"/>
    <w:rsid w:val="00A21890"/>
    <w:rsid w:val="00A2284B"/>
    <w:rsid w:val="00A24C22"/>
    <w:rsid w:val="00A25C52"/>
    <w:rsid w:val="00A26DB6"/>
    <w:rsid w:val="00A26DEE"/>
    <w:rsid w:val="00A2765D"/>
    <w:rsid w:val="00A30E3E"/>
    <w:rsid w:val="00A3456D"/>
    <w:rsid w:val="00A34EC3"/>
    <w:rsid w:val="00A37038"/>
    <w:rsid w:val="00A378E5"/>
    <w:rsid w:val="00A37C10"/>
    <w:rsid w:val="00A400E0"/>
    <w:rsid w:val="00A4379F"/>
    <w:rsid w:val="00A451A2"/>
    <w:rsid w:val="00A45ECE"/>
    <w:rsid w:val="00A467BD"/>
    <w:rsid w:val="00A50DEF"/>
    <w:rsid w:val="00A52DAE"/>
    <w:rsid w:val="00A53225"/>
    <w:rsid w:val="00A537C1"/>
    <w:rsid w:val="00A558CB"/>
    <w:rsid w:val="00A578DA"/>
    <w:rsid w:val="00A62736"/>
    <w:rsid w:val="00A63F23"/>
    <w:rsid w:val="00A64CA8"/>
    <w:rsid w:val="00A64DC6"/>
    <w:rsid w:val="00A6558B"/>
    <w:rsid w:val="00A65B0C"/>
    <w:rsid w:val="00A66786"/>
    <w:rsid w:val="00A6785F"/>
    <w:rsid w:val="00A70C95"/>
    <w:rsid w:val="00A70E6C"/>
    <w:rsid w:val="00A7365C"/>
    <w:rsid w:val="00A73868"/>
    <w:rsid w:val="00A73F42"/>
    <w:rsid w:val="00A743C6"/>
    <w:rsid w:val="00A76E34"/>
    <w:rsid w:val="00A80795"/>
    <w:rsid w:val="00A81B33"/>
    <w:rsid w:val="00A8589E"/>
    <w:rsid w:val="00A8702B"/>
    <w:rsid w:val="00A96D47"/>
    <w:rsid w:val="00AA028F"/>
    <w:rsid w:val="00AA0793"/>
    <w:rsid w:val="00AA3029"/>
    <w:rsid w:val="00AA70ED"/>
    <w:rsid w:val="00AA796D"/>
    <w:rsid w:val="00AB0A05"/>
    <w:rsid w:val="00AB0E06"/>
    <w:rsid w:val="00AB33F4"/>
    <w:rsid w:val="00AB4C5A"/>
    <w:rsid w:val="00AB4F0C"/>
    <w:rsid w:val="00AB5365"/>
    <w:rsid w:val="00AB5377"/>
    <w:rsid w:val="00AB7C4A"/>
    <w:rsid w:val="00AB7EEB"/>
    <w:rsid w:val="00AC0B9E"/>
    <w:rsid w:val="00AC4F49"/>
    <w:rsid w:val="00AC5598"/>
    <w:rsid w:val="00AC5837"/>
    <w:rsid w:val="00AC76A3"/>
    <w:rsid w:val="00AD24EF"/>
    <w:rsid w:val="00AD3B2F"/>
    <w:rsid w:val="00AD7BBC"/>
    <w:rsid w:val="00AE14AC"/>
    <w:rsid w:val="00AE5822"/>
    <w:rsid w:val="00AE616C"/>
    <w:rsid w:val="00AE7A18"/>
    <w:rsid w:val="00AF1B5E"/>
    <w:rsid w:val="00AF2259"/>
    <w:rsid w:val="00AF3280"/>
    <w:rsid w:val="00AF634C"/>
    <w:rsid w:val="00AF6380"/>
    <w:rsid w:val="00B00068"/>
    <w:rsid w:val="00B0364D"/>
    <w:rsid w:val="00B04B97"/>
    <w:rsid w:val="00B04EDB"/>
    <w:rsid w:val="00B05045"/>
    <w:rsid w:val="00B06A24"/>
    <w:rsid w:val="00B14389"/>
    <w:rsid w:val="00B144A3"/>
    <w:rsid w:val="00B14A51"/>
    <w:rsid w:val="00B16B0C"/>
    <w:rsid w:val="00B16D5A"/>
    <w:rsid w:val="00B205F4"/>
    <w:rsid w:val="00B209D5"/>
    <w:rsid w:val="00B217A8"/>
    <w:rsid w:val="00B25052"/>
    <w:rsid w:val="00B251D5"/>
    <w:rsid w:val="00B2794C"/>
    <w:rsid w:val="00B32D00"/>
    <w:rsid w:val="00B339C2"/>
    <w:rsid w:val="00B34923"/>
    <w:rsid w:val="00B36950"/>
    <w:rsid w:val="00B40CD2"/>
    <w:rsid w:val="00B41CC3"/>
    <w:rsid w:val="00B4332C"/>
    <w:rsid w:val="00B4406B"/>
    <w:rsid w:val="00B45272"/>
    <w:rsid w:val="00B51F89"/>
    <w:rsid w:val="00B521D8"/>
    <w:rsid w:val="00B52AF1"/>
    <w:rsid w:val="00B531AE"/>
    <w:rsid w:val="00B539DC"/>
    <w:rsid w:val="00B552F3"/>
    <w:rsid w:val="00B55B6A"/>
    <w:rsid w:val="00B64080"/>
    <w:rsid w:val="00B6429B"/>
    <w:rsid w:val="00B67FA5"/>
    <w:rsid w:val="00B717B2"/>
    <w:rsid w:val="00B741DB"/>
    <w:rsid w:val="00B76382"/>
    <w:rsid w:val="00B8107F"/>
    <w:rsid w:val="00B83F5F"/>
    <w:rsid w:val="00B866C5"/>
    <w:rsid w:val="00B87013"/>
    <w:rsid w:val="00B906DE"/>
    <w:rsid w:val="00B91B67"/>
    <w:rsid w:val="00B9314A"/>
    <w:rsid w:val="00B95839"/>
    <w:rsid w:val="00B96299"/>
    <w:rsid w:val="00B96E71"/>
    <w:rsid w:val="00B97262"/>
    <w:rsid w:val="00B975F7"/>
    <w:rsid w:val="00B97E8B"/>
    <w:rsid w:val="00BA0FA6"/>
    <w:rsid w:val="00BA110E"/>
    <w:rsid w:val="00BA1C2A"/>
    <w:rsid w:val="00BA73DE"/>
    <w:rsid w:val="00BB0DD6"/>
    <w:rsid w:val="00BB121C"/>
    <w:rsid w:val="00BB15D7"/>
    <w:rsid w:val="00BB17EE"/>
    <w:rsid w:val="00BB1A92"/>
    <w:rsid w:val="00BB3CAD"/>
    <w:rsid w:val="00BB4668"/>
    <w:rsid w:val="00BB4CB6"/>
    <w:rsid w:val="00BB5C27"/>
    <w:rsid w:val="00BB5D60"/>
    <w:rsid w:val="00BB7430"/>
    <w:rsid w:val="00BB79AE"/>
    <w:rsid w:val="00BC016F"/>
    <w:rsid w:val="00BC02E8"/>
    <w:rsid w:val="00BC09DE"/>
    <w:rsid w:val="00BC1120"/>
    <w:rsid w:val="00BC124A"/>
    <w:rsid w:val="00BC39CD"/>
    <w:rsid w:val="00BC4264"/>
    <w:rsid w:val="00BC4B0C"/>
    <w:rsid w:val="00BC4C44"/>
    <w:rsid w:val="00BC5AD6"/>
    <w:rsid w:val="00BC77DA"/>
    <w:rsid w:val="00BC7EE6"/>
    <w:rsid w:val="00BD13FF"/>
    <w:rsid w:val="00BD4FE9"/>
    <w:rsid w:val="00BD54BC"/>
    <w:rsid w:val="00BD6202"/>
    <w:rsid w:val="00BD64E9"/>
    <w:rsid w:val="00BD67B1"/>
    <w:rsid w:val="00BD6F20"/>
    <w:rsid w:val="00BE09D7"/>
    <w:rsid w:val="00BE1F69"/>
    <w:rsid w:val="00BE4D56"/>
    <w:rsid w:val="00BE5606"/>
    <w:rsid w:val="00BE5A16"/>
    <w:rsid w:val="00BE6922"/>
    <w:rsid w:val="00BE70DA"/>
    <w:rsid w:val="00BF2ACB"/>
    <w:rsid w:val="00BF4D00"/>
    <w:rsid w:val="00BF6472"/>
    <w:rsid w:val="00BF657D"/>
    <w:rsid w:val="00BF7C11"/>
    <w:rsid w:val="00C00951"/>
    <w:rsid w:val="00C00F1C"/>
    <w:rsid w:val="00C018AC"/>
    <w:rsid w:val="00C02E74"/>
    <w:rsid w:val="00C052A9"/>
    <w:rsid w:val="00C06A02"/>
    <w:rsid w:val="00C078E8"/>
    <w:rsid w:val="00C07F10"/>
    <w:rsid w:val="00C12D0B"/>
    <w:rsid w:val="00C160B8"/>
    <w:rsid w:val="00C170E1"/>
    <w:rsid w:val="00C17726"/>
    <w:rsid w:val="00C17A83"/>
    <w:rsid w:val="00C20B69"/>
    <w:rsid w:val="00C21D09"/>
    <w:rsid w:val="00C22319"/>
    <w:rsid w:val="00C2251F"/>
    <w:rsid w:val="00C23A2D"/>
    <w:rsid w:val="00C23E21"/>
    <w:rsid w:val="00C30804"/>
    <w:rsid w:val="00C30BFB"/>
    <w:rsid w:val="00C31604"/>
    <w:rsid w:val="00C33466"/>
    <w:rsid w:val="00C34ECD"/>
    <w:rsid w:val="00C359F3"/>
    <w:rsid w:val="00C41B92"/>
    <w:rsid w:val="00C43CA0"/>
    <w:rsid w:val="00C46218"/>
    <w:rsid w:val="00C47342"/>
    <w:rsid w:val="00C50A44"/>
    <w:rsid w:val="00C51A0D"/>
    <w:rsid w:val="00C52BB4"/>
    <w:rsid w:val="00C52D83"/>
    <w:rsid w:val="00C53355"/>
    <w:rsid w:val="00C53C69"/>
    <w:rsid w:val="00C53EE6"/>
    <w:rsid w:val="00C54313"/>
    <w:rsid w:val="00C54A33"/>
    <w:rsid w:val="00C55060"/>
    <w:rsid w:val="00C57501"/>
    <w:rsid w:val="00C57607"/>
    <w:rsid w:val="00C57FA2"/>
    <w:rsid w:val="00C60FF6"/>
    <w:rsid w:val="00C62B2C"/>
    <w:rsid w:val="00C62BDF"/>
    <w:rsid w:val="00C639C5"/>
    <w:rsid w:val="00C661F4"/>
    <w:rsid w:val="00C6675F"/>
    <w:rsid w:val="00C70BC8"/>
    <w:rsid w:val="00C728C6"/>
    <w:rsid w:val="00C7549A"/>
    <w:rsid w:val="00C7564C"/>
    <w:rsid w:val="00C77684"/>
    <w:rsid w:val="00C8082A"/>
    <w:rsid w:val="00C82DBD"/>
    <w:rsid w:val="00C859EC"/>
    <w:rsid w:val="00C866D0"/>
    <w:rsid w:val="00C87516"/>
    <w:rsid w:val="00C91CDA"/>
    <w:rsid w:val="00C9265A"/>
    <w:rsid w:val="00C940C6"/>
    <w:rsid w:val="00C969E0"/>
    <w:rsid w:val="00C97812"/>
    <w:rsid w:val="00CA4E7F"/>
    <w:rsid w:val="00CA6674"/>
    <w:rsid w:val="00CA72B7"/>
    <w:rsid w:val="00CB0BF1"/>
    <w:rsid w:val="00CB2314"/>
    <w:rsid w:val="00CB3811"/>
    <w:rsid w:val="00CB4C21"/>
    <w:rsid w:val="00CC0071"/>
    <w:rsid w:val="00CC041A"/>
    <w:rsid w:val="00CC4EAF"/>
    <w:rsid w:val="00CC6CB4"/>
    <w:rsid w:val="00CC7C2E"/>
    <w:rsid w:val="00CD239A"/>
    <w:rsid w:val="00CD3696"/>
    <w:rsid w:val="00CD43AF"/>
    <w:rsid w:val="00CD59F2"/>
    <w:rsid w:val="00CD64AE"/>
    <w:rsid w:val="00CE1432"/>
    <w:rsid w:val="00CE2C4C"/>
    <w:rsid w:val="00CE31E4"/>
    <w:rsid w:val="00CE6AFE"/>
    <w:rsid w:val="00CF1FB5"/>
    <w:rsid w:val="00CF26B6"/>
    <w:rsid w:val="00CF2F8E"/>
    <w:rsid w:val="00CF52EC"/>
    <w:rsid w:val="00CF5E1A"/>
    <w:rsid w:val="00CF69DF"/>
    <w:rsid w:val="00CF6F38"/>
    <w:rsid w:val="00D00D22"/>
    <w:rsid w:val="00D049C6"/>
    <w:rsid w:val="00D069C9"/>
    <w:rsid w:val="00D163C7"/>
    <w:rsid w:val="00D16C4B"/>
    <w:rsid w:val="00D179E8"/>
    <w:rsid w:val="00D249DC"/>
    <w:rsid w:val="00D2756B"/>
    <w:rsid w:val="00D27FEB"/>
    <w:rsid w:val="00D30A57"/>
    <w:rsid w:val="00D31837"/>
    <w:rsid w:val="00D33968"/>
    <w:rsid w:val="00D346D7"/>
    <w:rsid w:val="00D45AD0"/>
    <w:rsid w:val="00D5033E"/>
    <w:rsid w:val="00D5086A"/>
    <w:rsid w:val="00D51DED"/>
    <w:rsid w:val="00D5277D"/>
    <w:rsid w:val="00D53A8F"/>
    <w:rsid w:val="00D56AAD"/>
    <w:rsid w:val="00D60586"/>
    <w:rsid w:val="00D64E8B"/>
    <w:rsid w:val="00D657E5"/>
    <w:rsid w:val="00D67159"/>
    <w:rsid w:val="00D67E46"/>
    <w:rsid w:val="00D705F9"/>
    <w:rsid w:val="00D70D05"/>
    <w:rsid w:val="00D71E69"/>
    <w:rsid w:val="00D729A8"/>
    <w:rsid w:val="00D72EB2"/>
    <w:rsid w:val="00D746F9"/>
    <w:rsid w:val="00D8059B"/>
    <w:rsid w:val="00D84355"/>
    <w:rsid w:val="00D862E7"/>
    <w:rsid w:val="00D873FC"/>
    <w:rsid w:val="00D87AA3"/>
    <w:rsid w:val="00D92074"/>
    <w:rsid w:val="00D9299D"/>
    <w:rsid w:val="00D93A30"/>
    <w:rsid w:val="00D94A80"/>
    <w:rsid w:val="00D965A8"/>
    <w:rsid w:val="00DA1955"/>
    <w:rsid w:val="00DA38A4"/>
    <w:rsid w:val="00DA4061"/>
    <w:rsid w:val="00DA62E8"/>
    <w:rsid w:val="00DA6643"/>
    <w:rsid w:val="00DB0BFB"/>
    <w:rsid w:val="00DB4688"/>
    <w:rsid w:val="00DB576B"/>
    <w:rsid w:val="00DB5835"/>
    <w:rsid w:val="00DB6618"/>
    <w:rsid w:val="00DB6F6A"/>
    <w:rsid w:val="00DB7A08"/>
    <w:rsid w:val="00DB7B7E"/>
    <w:rsid w:val="00DC285E"/>
    <w:rsid w:val="00DC2932"/>
    <w:rsid w:val="00DD17AA"/>
    <w:rsid w:val="00DD221A"/>
    <w:rsid w:val="00DD3AB3"/>
    <w:rsid w:val="00DD3CB8"/>
    <w:rsid w:val="00DD4029"/>
    <w:rsid w:val="00DD5C43"/>
    <w:rsid w:val="00DE1BF0"/>
    <w:rsid w:val="00DE38A8"/>
    <w:rsid w:val="00DE589B"/>
    <w:rsid w:val="00DE6CFA"/>
    <w:rsid w:val="00DE7123"/>
    <w:rsid w:val="00DE73D1"/>
    <w:rsid w:val="00DF0CCF"/>
    <w:rsid w:val="00DF317C"/>
    <w:rsid w:val="00E009D9"/>
    <w:rsid w:val="00E02E5E"/>
    <w:rsid w:val="00E07B91"/>
    <w:rsid w:val="00E12334"/>
    <w:rsid w:val="00E126CD"/>
    <w:rsid w:val="00E128B9"/>
    <w:rsid w:val="00E12E28"/>
    <w:rsid w:val="00E14D9D"/>
    <w:rsid w:val="00E15C6F"/>
    <w:rsid w:val="00E202F3"/>
    <w:rsid w:val="00E21709"/>
    <w:rsid w:val="00E23440"/>
    <w:rsid w:val="00E250CD"/>
    <w:rsid w:val="00E30AD2"/>
    <w:rsid w:val="00E3102E"/>
    <w:rsid w:val="00E337AE"/>
    <w:rsid w:val="00E3418F"/>
    <w:rsid w:val="00E35C4F"/>
    <w:rsid w:val="00E36222"/>
    <w:rsid w:val="00E36952"/>
    <w:rsid w:val="00E36CB9"/>
    <w:rsid w:val="00E420BC"/>
    <w:rsid w:val="00E42D77"/>
    <w:rsid w:val="00E4328A"/>
    <w:rsid w:val="00E432FD"/>
    <w:rsid w:val="00E45687"/>
    <w:rsid w:val="00E45B2E"/>
    <w:rsid w:val="00E45E7D"/>
    <w:rsid w:val="00E46097"/>
    <w:rsid w:val="00E47EAF"/>
    <w:rsid w:val="00E52B9D"/>
    <w:rsid w:val="00E53C25"/>
    <w:rsid w:val="00E53F1D"/>
    <w:rsid w:val="00E554E6"/>
    <w:rsid w:val="00E55CB9"/>
    <w:rsid w:val="00E560A4"/>
    <w:rsid w:val="00E560B5"/>
    <w:rsid w:val="00E56667"/>
    <w:rsid w:val="00E56C22"/>
    <w:rsid w:val="00E57611"/>
    <w:rsid w:val="00E62305"/>
    <w:rsid w:val="00E63C2D"/>
    <w:rsid w:val="00E6448F"/>
    <w:rsid w:val="00E64BA9"/>
    <w:rsid w:val="00E66097"/>
    <w:rsid w:val="00E66E93"/>
    <w:rsid w:val="00E70863"/>
    <w:rsid w:val="00E716B5"/>
    <w:rsid w:val="00E7198F"/>
    <w:rsid w:val="00E734AF"/>
    <w:rsid w:val="00E7453C"/>
    <w:rsid w:val="00E74D96"/>
    <w:rsid w:val="00E779C4"/>
    <w:rsid w:val="00E8001F"/>
    <w:rsid w:val="00E800E8"/>
    <w:rsid w:val="00E80F44"/>
    <w:rsid w:val="00E82D51"/>
    <w:rsid w:val="00E82D71"/>
    <w:rsid w:val="00E8601B"/>
    <w:rsid w:val="00E87355"/>
    <w:rsid w:val="00E8783B"/>
    <w:rsid w:val="00E91C9B"/>
    <w:rsid w:val="00E91F8D"/>
    <w:rsid w:val="00E934BD"/>
    <w:rsid w:val="00E93753"/>
    <w:rsid w:val="00E958D7"/>
    <w:rsid w:val="00E969EF"/>
    <w:rsid w:val="00E97334"/>
    <w:rsid w:val="00E97497"/>
    <w:rsid w:val="00EA44B2"/>
    <w:rsid w:val="00EA4C94"/>
    <w:rsid w:val="00EA58FA"/>
    <w:rsid w:val="00EA65C6"/>
    <w:rsid w:val="00EA69A6"/>
    <w:rsid w:val="00EA72EF"/>
    <w:rsid w:val="00EA772D"/>
    <w:rsid w:val="00EB39C8"/>
    <w:rsid w:val="00EB502F"/>
    <w:rsid w:val="00EB57EA"/>
    <w:rsid w:val="00EB65A3"/>
    <w:rsid w:val="00EC0424"/>
    <w:rsid w:val="00EC38ED"/>
    <w:rsid w:val="00EC3A34"/>
    <w:rsid w:val="00EC3E24"/>
    <w:rsid w:val="00EC40F6"/>
    <w:rsid w:val="00EC566D"/>
    <w:rsid w:val="00ED5B39"/>
    <w:rsid w:val="00ED72BB"/>
    <w:rsid w:val="00EE215D"/>
    <w:rsid w:val="00EE25EE"/>
    <w:rsid w:val="00EE337E"/>
    <w:rsid w:val="00EE3D41"/>
    <w:rsid w:val="00EE46A1"/>
    <w:rsid w:val="00EE4D04"/>
    <w:rsid w:val="00EE50B9"/>
    <w:rsid w:val="00EE52A0"/>
    <w:rsid w:val="00EE704F"/>
    <w:rsid w:val="00EF3DBD"/>
    <w:rsid w:val="00EF48BD"/>
    <w:rsid w:val="00EF4F65"/>
    <w:rsid w:val="00EF55F9"/>
    <w:rsid w:val="00EF728C"/>
    <w:rsid w:val="00EF7FBA"/>
    <w:rsid w:val="00F0099C"/>
    <w:rsid w:val="00F01167"/>
    <w:rsid w:val="00F02EEB"/>
    <w:rsid w:val="00F0772F"/>
    <w:rsid w:val="00F1441F"/>
    <w:rsid w:val="00F164E5"/>
    <w:rsid w:val="00F16FD3"/>
    <w:rsid w:val="00F21FEF"/>
    <w:rsid w:val="00F2260D"/>
    <w:rsid w:val="00F24877"/>
    <w:rsid w:val="00F260CE"/>
    <w:rsid w:val="00F26341"/>
    <w:rsid w:val="00F27D5E"/>
    <w:rsid w:val="00F30465"/>
    <w:rsid w:val="00F315ED"/>
    <w:rsid w:val="00F32348"/>
    <w:rsid w:val="00F32ECA"/>
    <w:rsid w:val="00F34FD4"/>
    <w:rsid w:val="00F36692"/>
    <w:rsid w:val="00F37B4D"/>
    <w:rsid w:val="00F4004D"/>
    <w:rsid w:val="00F41540"/>
    <w:rsid w:val="00F41AA9"/>
    <w:rsid w:val="00F43CFC"/>
    <w:rsid w:val="00F44240"/>
    <w:rsid w:val="00F44535"/>
    <w:rsid w:val="00F449DD"/>
    <w:rsid w:val="00F476AA"/>
    <w:rsid w:val="00F47A2A"/>
    <w:rsid w:val="00F50F2C"/>
    <w:rsid w:val="00F52B69"/>
    <w:rsid w:val="00F52F4E"/>
    <w:rsid w:val="00F532EA"/>
    <w:rsid w:val="00F53A99"/>
    <w:rsid w:val="00F55B42"/>
    <w:rsid w:val="00F57B57"/>
    <w:rsid w:val="00F57D46"/>
    <w:rsid w:val="00F6085F"/>
    <w:rsid w:val="00F638C1"/>
    <w:rsid w:val="00F64B42"/>
    <w:rsid w:val="00F67C50"/>
    <w:rsid w:val="00F713AF"/>
    <w:rsid w:val="00F71BFD"/>
    <w:rsid w:val="00F73E3E"/>
    <w:rsid w:val="00F7465F"/>
    <w:rsid w:val="00F758C9"/>
    <w:rsid w:val="00F825E8"/>
    <w:rsid w:val="00F836EF"/>
    <w:rsid w:val="00F85EFA"/>
    <w:rsid w:val="00F875F6"/>
    <w:rsid w:val="00F87ACB"/>
    <w:rsid w:val="00F91B32"/>
    <w:rsid w:val="00F92285"/>
    <w:rsid w:val="00F92C8D"/>
    <w:rsid w:val="00F949FF"/>
    <w:rsid w:val="00F97733"/>
    <w:rsid w:val="00FA03FF"/>
    <w:rsid w:val="00FA5BD0"/>
    <w:rsid w:val="00FA6FCF"/>
    <w:rsid w:val="00FB17C2"/>
    <w:rsid w:val="00FB2AB1"/>
    <w:rsid w:val="00FB3B87"/>
    <w:rsid w:val="00FB5480"/>
    <w:rsid w:val="00FB70CF"/>
    <w:rsid w:val="00FC38D2"/>
    <w:rsid w:val="00FC67B2"/>
    <w:rsid w:val="00FC74CA"/>
    <w:rsid w:val="00FC7C84"/>
    <w:rsid w:val="00FD0B2C"/>
    <w:rsid w:val="00FD10C7"/>
    <w:rsid w:val="00FD3474"/>
    <w:rsid w:val="00FD53E2"/>
    <w:rsid w:val="00FD7CE1"/>
    <w:rsid w:val="00FE09DF"/>
    <w:rsid w:val="00FE2726"/>
    <w:rsid w:val="00FE2A0F"/>
    <w:rsid w:val="00FE3D08"/>
    <w:rsid w:val="00FE42E8"/>
    <w:rsid w:val="00FE56B3"/>
    <w:rsid w:val="00FE7AE7"/>
    <w:rsid w:val="00FF016C"/>
    <w:rsid w:val="00FF0BD7"/>
    <w:rsid w:val="00FF190B"/>
    <w:rsid w:val="00FF1DFE"/>
    <w:rsid w:val="00FF3A06"/>
    <w:rsid w:val="00FF54F4"/>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9730C4"/>
  <w15:chartTrackingRefBased/>
  <w15:docId w15:val="{A0345F9C-DE9C-45EE-802A-EE792135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8C29F3"/>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8C29F3"/>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semiHidden/>
    <w:unhideWhenUsed/>
    <w:rsid w:val="008D6969"/>
    <w:pPr>
      <w:spacing w:after="120"/>
    </w:pPr>
  </w:style>
  <w:style w:type="character" w:customStyle="1" w:styleId="TextoindependienteCar">
    <w:name w:val="Texto independiente Car"/>
    <w:basedOn w:val="Fuentedeprrafopredeter"/>
    <w:link w:val="Textoindependiente"/>
    <w:uiPriority w:val="99"/>
    <w:semiHidden/>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212302520">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05862978">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 w:id="2039117070">
      <w:bodyDiv w:val="1"/>
      <w:marLeft w:val="0"/>
      <w:marRight w:val="0"/>
      <w:marTop w:val="0"/>
      <w:marBottom w:val="0"/>
      <w:divBdr>
        <w:top w:val="none" w:sz="0" w:space="0" w:color="auto"/>
        <w:left w:val="none" w:sz="0" w:space="0" w:color="auto"/>
        <w:bottom w:val="none" w:sz="0" w:space="0" w:color="auto"/>
        <w:right w:val="none" w:sz="0" w:space="0" w:color="auto"/>
      </w:divBdr>
    </w:div>
    <w:div w:id="206328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F0E533-1B27-4730-8569-4F8E78A9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3352244E-985A-454B-A754-66D91FB1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2932</Words>
  <Characters>16131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Windows User</cp:lastModifiedBy>
  <cp:revision>15</cp:revision>
  <cp:lastPrinted>2020-10-28T23:04:00Z</cp:lastPrinted>
  <dcterms:created xsi:type="dcterms:W3CDTF">2021-02-18T23:28:00Z</dcterms:created>
  <dcterms:modified xsi:type="dcterms:W3CDTF">2021-02-26T18:01:00Z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