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E0B6E" w14:textId="77777777" w:rsidR="00937471" w:rsidRPr="00844003" w:rsidRDefault="00937471" w:rsidP="00B25A4C">
      <w:pPr>
        <w:spacing w:line="276" w:lineRule="auto"/>
        <w:jc w:val="center"/>
        <w:rPr>
          <w:b/>
          <w:caps/>
          <w:sz w:val="24"/>
          <w:szCs w:val="24"/>
        </w:rPr>
      </w:pPr>
      <w:bookmarkStart w:id="0" w:name="_Hlk47200753"/>
      <w:r w:rsidRPr="00844003">
        <w:rPr>
          <w:b/>
          <w:caps/>
          <w:sz w:val="24"/>
          <w:szCs w:val="24"/>
        </w:rPr>
        <w:t>CONSEJERO PONENTE: JAIME ENRIQUE RODRÍGUEZ NAVAS</w:t>
      </w:r>
    </w:p>
    <w:p w14:paraId="53398534" w14:textId="77777777" w:rsidR="00937471" w:rsidRPr="00844003" w:rsidRDefault="00937471" w:rsidP="00B25A4C">
      <w:pPr>
        <w:spacing w:line="276" w:lineRule="auto"/>
        <w:contextualSpacing/>
        <w:rPr>
          <w:b/>
          <w:bCs/>
          <w:sz w:val="24"/>
          <w:szCs w:val="24"/>
        </w:rPr>
      </w:pPr>
    </w:p>
    <w:p w14:paraId="60B7FAAC" w14:textId="5B29AE6E" w:rsidR="00937471" w:rsidRPr="00844003" w:rsidRDefault="009C7485" w:rsidP="00B25A4C">
      <w:pPr>
        <w:spacing w:line="276" w:lineRule="auto"/>
        <w:contextualSpacing/>
        <w:rPr>
          <w:bCs/>
          <w:sz w:val="24"/>
          <w:szCs w:val="24"/>
        </w:rPr>
      </w:pPr>
      <w:r w:rsidRPr="00844003">
        <w:rPr>
          <w:bCs/>
          <w:sz w:val="24"/>
          <w:szCs w:val="24"/>
        </w:rPr>
        <w:t xml:space="preserve">Bogotá D.C., </w:t>
      </w:r>
      <w:r w:rsidR="009E1193" w:rsidRPr="00844003">
        <w:rPr>
          <w:bCs/>
          <w:sz w:val="24"/>
          <w:szCs w:val="24"/>
        </w:rPr>
        <w:t>quince (15</w:t>
      </w:r>
      <w:r w:rsidR="00937471" w:rsidRPr="00844003">
        <w:rPr>
          <w:bCs/>
          <w:sz w:val="24"/>
          <w:szCs w:val="24"/>
        </w:rPr>
        <w:t xml:space="preserve">) de </w:t>
      </w:r>
      <w:r w:rsidR="009E1193" w:rsidRPr="00844003">
        <w:rPr>
          <w:bCs/>
          <w:sz w:val="24"/>
          <w:szCs w:val="24"/>
        </w:rPr>
        <w:t>febrero</w:t>
      </w:r>
      <w:r w:rsidR="00937471" w:rsidRPr="00844003">
        <w:rPr>
          <w:bCs/>
          <w:sz w:val="24"/>
          <w:szCs w:val="24"/>
        </w:rPr>
        <w:t xml:space="preserve"> de </w:t>
      </w:r>
      <w:r w:rsidR="002F64FE" w:rsidRPr="00844003">
        <w:rPr>
          <w:bCs/>
          <w:sz w:val="24"/>
          <w:szCs w:val="24"/>
        </w:rPr>
        <w:t>dos mil veintiuno</w:t>
      </w:r>
      <w:r w:rsidR="00744EF2" w:rsidRPr="00844003">
        <w:rPr>
          <w:bCs/>
          <w:sz w:val="24"/>
          <w:szCs w:val="24"/>
        </w:rPr>
        <w:t xml:space="preserve"> (2021</w:t>
      </w:r>
      <w:r w:rsidR="00937471" w:rsidRPr="00844003">
        <w:rPr>
          <w:bCs/>
          <w:sz w:val="24"/>
          <w:szCs w:val="24"/>
        </w:rPr>
        <w:t>)</w:t>
      </w:r>
    </w:p>
    <w:p w14:paraId="0D189013" w14:textId="77777777" w:rsidR="00937471" w:rsidRPr="00844003" w:rsidRDefault="00937471" w:rsidP="00B25A4C">
      <w:pPr>
        <w:spacing w:line="276" w:lineRule="auto"/>
        <w:contextualSpacing/>
        <w:rPr>
          <w:b/>
          <w:sz w:val="24"/>
          <w:szCs w:val="24"/>
        </w:rPr>
      </w:pPr>
    </w:p>
    <w:p w14:paraId="025BD87C" w14:textId="77777777" w:rsidR="00937471" w:rsidRPr="00844003" w:rsidRDefault="00937471" w:rsidP="00B25A4C">
      <w:pPr>
        <w:spacing w:line="276" w:lineRule="auto"/>
        <w:ind w:left="1985" w:hanging="1985"/>
        <w:contextualSpacing/>
        <w:rPr>
          <w:b/>
          <w:sz w:val="24"/>
          <w:szCs w:val="24"/>
        </w:rPr>
      </w:pPr>
      <w:r w:rsidRPr="00844003">
        <w:rPr>
          <w:b/>
          <w:sz w:val="24"/>
          <w:szCs w:val="24"/>
        </w:rPr>
        <w:t xml:space="preserve">Referencia: </w:t>
      </w:r>
      <w:r w:rsidRPr="00844003">
        <w:rPr>
          <w:b/>
          <w:sz w:val="24"/>
          <w:szCs w:val="24"/>
        </w:rPr>
        <w:tab/>
      </w:r>
      <w:r w:rsidRPr="00844003">
        <w:rPr>
          <w:sz w:val="24"/>
          <w:szCs w:val="24"/>
        </w:rPr>
        <w:t>Acción de tutela</w:t>
      </w:r>
    </w:p>
    <w:p w14:paraId="37D3EDBA" w14:textId="77777777" w:rsidR="009E1193" w:rsidRPr="00844003" w:rsidRDefault="009E1193" w:rsidP="00B25A4C">
      <w:pPr>
        <w:tabs>
          <w:tab w:val="left" w:pos="1985"/>
        </w:tabs>
        <w:spacing w:line="276" w:lineRule="auto"/>
        <w:rPr>
          <w:b/>
          <w:sz w:val="24"/>
          <w:szCs w:val="24"/>
          <w:lang w:val="es-ES" w:eastAsia="en-US"/>
        </w:rPr>
      </w:pPr>
      <w:r w:rsidRPr="00844003">
        <w:rPr>
          <w:b/>
          <w:sz w:val="24"/>
          <w:szCs w:val="24"/>
          <w:lang w:val="es-ES" w:eastAsia="en-US"/>
        </w:rPr>
        <w:t>Radicación:</w:t>
      </w:r>
      <w:r w:rsidRPr="00844003">
        <w:rPr>
          <w:b/>
          <w:sz w:val="24"/>
          <w:szCs w:val="24"/>
          <w:lang w:val="es-ES" w:eastAsia="en-US"/>
        </w:rPr>
        <w:tab/>
      </w:r>
      <w:bookmarkStart w:id="1" w:name="_Hlk38370324"/>
      <w:r w:rsidRPr="00844003">
        <w:rPr>
          <w:bCs/>
          <w:sz w:val="24"/>
          <w:szCs w:val="24"/>
          <w:lang w:eastAsia="en-US"/>
        </w:rPr>
        <w:t>11001-03-15-000-2020-04335-00</w:t>
      </w:r>
    </w:p>
    <w:bookmarkEnd w:id="1"/>
    <w:p w14:paraId="5853CBAA" w14:textId="77777777" w:rsidR="009E1193" w:rsidRPr="00844003" w:rsidRDefault="009E1193" w:rsidP="00B25A4C">
      <w:pPr>
        <w:tabs>
          <w:tab w:val="left" w:pos="1985"/>
        </w:tabs>
        <w:spacing w:line="276" w:lineRule="auto"/>
        <w:ind w:left="1980" w:hanging="1980"/>
        <w:rPr>
          <w:bCs/>
          <w:sz w:val="24"/>
          <w:szCs w:val="24"/>
          <w:lang w:eastAsia="en-US"/>
        </w:rPr>
      </w:pPr>
      <w:r w:rsidRPr="00844003">
        <w:rPr>
          <w:b/>
          <w:sz w:val="24"/>
          <w:szCs w:val="24"/>
          <w:lang w:val="es-ES" w:eastAsia="en-US"/>
        </w:rPr>
        <w:t>Accionante:</w:t>
      </w:r>
      <w:r w:rsidRPr="00844003">
        <w:rPr>
          <w:b/>
          <w:sz w:val="24"/>
          <w:szCs w:val="24"/>
          <w:lang w:val="es-ES" w:eastAsia="en-US"/>
        </w:rPr>
        <w:tab/>
      </w:r>
      <w:bookmarkStart w:id="2" w:name="_Hlk39513731"/>
      <w:r w:rsidRPr="00844003">
        <w:rPr>
          <w:bCs/>
          <w:sz w:val="24"/>
          <w:szCs w:val="24"/>
          <w:lang w:eastAsia="en-US"/>
        </w:rPr>
        <w:t>Luis Felipe Barrios Barrios</w:t>
      </w:r>
    </w:p>
    <w:bookmarkEnd w:id="2"/>
    <w:p w14:paraId="21B92375" w14:textId="77777777" w:rsidR="009E1193" w:rsidRPr="00844003" w:rsidRDefault="009E1193" w:rsidP="00B25A4C">
      <w:pPr>
        <w:tabs>
          <w:tab w:val="left" w:pos="1985"/>
        </w:tabs>
        <w:spacing w:line="276" w:lineRule="auto"/>
        <w:ind w:left="1980" w:hanging="1980"/>
        <w:rPr>
          <w:sz w:val="24"/>
          <w:szCs w:val="24"/>
          <w:lang w:val="es-ES" w:eastAsia="en-US"/>
        </w:rPr>
      </w:pPr>
      <w:r w:rsidRPr="00844003">
        <w:rPr>
          <w:b/>
          <w:sz w:val="24"/>
          <w:szCs w:val="24"/>
          <w:lang w:val="es-ES" w:eastAsia="en-US"/>
        </w:rPr>
        <w:t>Accionado:</w:t>
      </w:r>
      <w:r w:rsidRPr="00844003">
        <w:rPr>
          <w:b/>
          <w:sz w:val="24"/>
          <w:szCs w:val="24"/>
          <w:lang w:val="es-ES" w:eastAsia="en-US"/>
        </w:rPr>
        <w:tab/>
      </w:r>
      <w:r w:rsidRPr="00844003">
        <w:rPr>
          <w:sz w:val="24"/>
          <w:szCs w:val="24"/>
          <w:lang w:eastAsia="en-US"/>
        </w:rPr>
        <w:t>Sala Plena del Consejo de Estado</w:t>
      </w:r>
    </w:p>
    <w:p w14:paraId="0264FA14" w14:textId="77777777" w:rsidR="00937471" w:rsidRPr="00844003" w:rsidRDefault="00937471" w:rsidP="00B25A4C">
      <w:pPr>
        <w:tabs>
          <w:tab w:val="left" w:pos="8222"/>
        </w:tabs>
        <w:spacing w:line="276" w:lineRule="auto"/>
        <w:ind w:right="51"/>
        <w:contextualSpacing/>
        <w:rPr>
          <w:b/>
          <w:sz w:val="24"/>
          <w:szCs w:val="24"/>
          <w:lang w:val="es-ES"/>
        </w:rPr>
      </w:pPr>
    </w:p>
    <w:p w14:paraId="76DA7BF9" w14:textId="77777777" w:rsidR="00937471" w:rsidRPr="00844003" w:rsidRDefault="00937471" w:rsidP="00B25A4C">
      <w:pPr>
        <w:pBdr>
          <w:bottom w:val="single" w:sz="12" w:space="0" w:color="auto"/>
        </w:pBdr>
        <w:spacing w:line="276" w:lineRule="auto"/>
        <w:ind w:left="2832" w:hanging="2832"/>
        <w:contextualSpacing/>
        <w:rPr>
          <w:b/>
          <w:sz w:val="24"/>
          <w:szCs w:val="24"/>
        </w:rPr>
      </w:pPr>
      <w:r w:rsidRPr="00844003">
        <w:rPr>
          <w:b/>
          <w:sz w:val="24"/>
          <w:szCs w:val="24"/>
        </w:rPr>
        <w:t>SENTENCIA DE PRIMERA INSTANCIA</w:t>
      </w:r>
    </w:p>
    <w:p w14:paraId="36D2EDD4" w14:textId="77777777" w:rsidR="00937471" w:rsidRPr="00844003" w:rsidRDefault="00937471" w:rsidP="00B25A4C">
      <w:pPr>
        <w:spacing w:line="276" w:lineRule="auto"/>
        <w:contextualSpacing/>
        <w:rPr>
          <w:b/>
          <w:sz w:val="24"/>
          <w:szCs w:val="24"/>
        </w:rPr>
      </w:pPr>
    </w:p>
    <w:p w14:paraId="54FABDD9" w14:textId="49642515" w:rsidR="00937471" w:rsidRPr="00844003" w:rsidRDefault="00937471" w:rsidP="00B25A4C">
      <w:pPr>
        <w:spacing w:line="276" w:lineRule="auto"/>
        <w:rPr>
          <w:bCs/>
          <w:sz w:val="24"/>
          <w:szCs w:val="24"/>
          <w:lang w:val="es-ES"/>
        </w:rPr>
      </w:pPr>
      <w:r w:rsidRPr="00844003">
        <w:rPr>
          <w:rFonts w:eastAsia="Verdana"/>
          <w:sz w:val="24"/>
          <w:szCs w:val="24"/>
        </w:rPr>
        <w:t xml:space="preserve">La Sala decide la acción de tutela presentada por </w:t>
      </w:r>
      <w:r w:rsidR="009E1193" w:rsidRPr="00844003">
        <w:rPr>
          <w:bCs/>
          <w:sz w:val="24"/>
          <w:szCs w:val="24"/>
        </w:rPr>
        <w:t>Luis Felipe Barrios Barrios</w:t>
      </w:r>
      <w:r w:rsidRPr="00844003">
        <w:rPr>
          <w:bCs/>
          <w:sz w:val="24"/>
          <w:szCs w:val="24"/>
        </w:rPr>
        <w:t xml:space="preserve"> en contra </w:t>
      </w:r>
      <w:r w:rsidR="009C7485" w:rsidRPr="00844003">
        <w:rPr>
          <w:bCs/>
          <w:sz w:val="24"/>
          <w:szCs w:val="24"/>
        </w:rPr>
        <w:t>de</w:t>
      </w:r>
      <w:r w:rsidR="009E1193" w:rsidRPr="00844003">
        <w:rPr>
          <w:bCs/>
          <w:sz w:val="24"/>
          <w:szCs w:val="24"/>
        </w:rPr>
        <w:t xml:space="preserve"> </w:t>
      </w:r>
      <w:r w:rsidR="009C7485" w:rsidRPr="00844003">
        <w:rPr>
          <w:bCs/>
          <w:sz w:val="24"/>
          <w:szCs w:val="24"/>
        </w:rPr>
        <w:t>l</w:t>
      </w:r>
      <w:r w:rsidR="009E1193" w:rsidRPr="00844003">
        <w:rPr>
          <w:bCs/>
          <w:sz w:val="24"/>
          <w:szCs w:val="24"/>
        </w:rPr>
        <w:t>a</w:t>
      </w:r>
      <w:r w:rsidR="009C7485" w:rsidRPr="00844003">
        <w:rPr>
          <w:bCs/>
          <w:sz w:val="24"/>
          <w:szCs w:val="24"/>
        </w:rPr>
        <w:t xml:space="preserve"> </w:t>
      </w:r>
      <w:r w:rsidR="009E1193" w:rsidRPr="00844003">
        <w:rPr>
          <w:bCs/>
          <w:sz w:val="24"/>
          <w:szCs w:val="24"/>
        </w:rPr>
        <w:t>Sala Plena del Consejo de Estado</w:t>
      </w:r>
      <w:r w:rsidRPr="00844003">
        <w:rPr>
          <w:bCs/>
          <w:sz w:val="24"/>
          <w:szCs w:val="24"/>
        </w:rPr>
        <w:t>.</w:t>
      </w:r>
    </w:p>
    <w:p w14:paraId="325213E3" w14:textId="77777777" w:rsidR="00937471" w:rsidRPr="00844003" w:rsidRDefault="00937471" w:rsidP="00B25A4C">
      <w:pPr>
        <w:spacing w:line="276" w:lineRule="auto"/>
        <w:rPr>
          <w:rFonts w:eastAsia="Verdana"/>
          <w:sz w:val="24"/>
          <w:szCs w:val="24"/>
        </w:rPr>
      </w:pPr>
    </w:p>
    <w:p w14:paraId="11D1AE14" w14:textId="163621A1" w:rsidR="00937471" w:rsidRPr="00844003" w:rsidRDefault="00937471" w:rsidP="00B25A4C">
      <w:pPr>
        <w:pStyle w:val="Ttulo1"/>
        <w:numPr>
          <w:ilvl w:val="0"/>
          <w:numId w:val="41"/>
        </w:numPr>
        <w:spacing w:before="0" w:after="0"/>
        <w:rPr>
          <w:rFonts w:cs="Arial"/>
        </w:rPr>
      </w:pPr>
      <w:r w:rsidRPr="00844003">
        <w:rPr>
          <w:rFonts w:cs="Arial"/>
        </w:rPr>
        <w:t>ANTECEDENTES</w:t>
      </w:r>
    </w:p>
    <w:p w14:paraId="340FFB1A" w14:textId="77777777" w:rsidR="00937471" w:rsidRPr="00844003" w:rsidRDefault="00937471" w:rsidP="00B25A4C">
      <w:pPr>
        <w:spacing w:line="276" w:lineRule="auto"/>
        <w:rPr>
          <w:sz w:val="24"/>
          <w:szCs w:val="24"/>
        </w:rPr>
      </w:pPr>
    </w:p>
    <w:p w14:paraId="6420D302" w14:textId="77777777" w:rsidR="00937471" w:rsidRPr="00844003" w:rsidRDefault="00937471" w:rsidP="00B25A4C">
      <w:pPr>
        <w:keepNext/>
        <w:numPr>
          <w:ilvl w:val="0"/>
          <w:numId w:val="6"/>
        </w:numPr>
        <w:spacing w:line="276" w:lineRule="auto"/>
        <w:ind w:left="360"/>
        <w:jc w:val="left"/>
        <w:outlineLvl w:val="1"/>
        <w:rPr>
          <w:rFonts w:eastAsia="Times New Roman"/>
          <w:b/>
          <w:bCs/>
          <w:iCs/>
          <w:sz w:val="24"/>
          <w:szCs w:val="24"/>
          <w:lang w:eastAsia="es-ES"/>
        </w:rPr>
      </w:pPr>
      <w:r w:rsidRPr="00844003">
        <w:rPr>
          <w:rFonts w:eastAsia="Times New Roman"/>
          <w:b/>
          <w:bCs/>
          <w:iCs/>
          <w:sz w:val="24"/>
          <w:szCs w:val="24"/>
          <w:lang w:eastAsia="es-ES"/>
        </w:rPr>
        <w:t>Solicitud de tutela</w:t>
      </w:r>
    </w:p>
    <w:p w14:paraId="5A4BE744" w14:textId="77777777" w:rsidR="00937471" w:rsidRPr="00844003" w:rsidRDefault="00937471" w:rsidP="00B25A4C">
      <w:pPr>
        <w:spacing w:line="276" w:lineRule="auto"/>
        <w:contextualSpacing/>
        <w:rPr>
          <w:bCs/>
          <w:sz w:val="24"/>
          <w:szCs w:val="24"/>
        </w:rPr>
      </w:pPr>
    </w:p>
    <w:p w14:paraId="30E70644" w14:textId="2C3338D2" w:rsidR="006E3805" w:rsidRPr="00844003" w:rsidRDefault="009E1193" w:rsidP="00B25A4C">
      <w:pPr>
        <w:tabs>
          <w:tab w:val="left" w:pos="1985"/>
        </w:tabs>
        <w:spacing w:line="276" w:lineRule="auto"/>
        <w:rPr>
          <w:bCs/>
          <w:sz w:val="24"/>
          <w:szCs w:val="24"/>
        </w:rPr>
      </w:pPr>
      <w:r w:rsidRPr="00844003">
        <w:rPr>
          <w:bCs/>
          <w:sz w:val="24"/>
          <w:szCs w:val="24"/>
        </w:rPr>
        <w:t>Luis Felipe Barrios Barrios, por medio de apoderado, presentó acción de tutela</w:t>
      </w:r>
      <w:r w:rsidR="00844003">
        <w:rPr>
          <w:bCs/>
          <w:sz w:val="24"/>
          <w:szCs w:val="24"/>
        </w:rPr>
        <w:t>, el 7 de octubre de 2020,</w:t>
      </w:r>
      <w:r w:rsidRPr="00844003">
        <w:rPr>
          <w:bCs/>
          <w:sz w:val="24"/>
          <w:szCs w:val="24"/>
        </w:rPr>
        <w:t xml:space="preserve"> </w:t>
      </w:r>
      <w:r w:rsidR="00777AF7" w:rsidRPr="00844003">
        <w:rPr>
          <w:bCs/>
          <w:sz w:val="24"/>
          <w:szCs w:val="24"/>
        </w:rPr>
        <w:t>con la pretensión de que se amparara</w:t>
      </w:r>
      <w:r w:rsidRPr="00844003">
        <w:rPr>
          <w:bCs/>
          <w:sz w:val="24"/>
          <w:szCs w:val="24"/>
        </w:rPr>
        <w:t xml:space="preserve">n sus derechos al debido proceso, a la igualdad, al ejercicio de los derechos políticos de elegir y ser elegido, </w:t>
      </w:r>
      <w:r w:rsidR="00777AF7" w:rsidRPr="00844003">
        <w:rPr>
          <w:bCs/>
          <w:sz w:val="24"/>
          <w:szCs w:val="24"/>
        </w:rPr>
        <w:t>al acceso a la administración de justicia, así como “</w:t>
      </w:r>
      <w:r w:rsidRPr="00844003">
        <w:rPr>
          <w:bCs/>
          <w:sz w:val="24"/>
          <w:szCs w:val="24"/>
        </w:rPr>
        <w:t xml:space="preserve">la aplicación del principio </w:t>
      </w:r>
      <w:r w:rsidRPr="00844003">
        <w:rPr>
          <w:bCs/>
          <w:i/>
          <w:sz w:val="24"/>
          <w:szCs w:val="24"/>
        </w:rPr>
        <w:t>pro homine</w:t>
      </w:r>
      <w:r w:rsidR="00777AF7" w:rsidRPr="00844003">
        <w:rPr>
          <w:bCs/>
          <w:sz w:val="24"/>
          <w:szCs w:val="24"/>
        </w:rPr>
        <w:t>”</w:t>
      </w:r>
      <w:r w:rsidR="002B7A72" w:rsidRPr="00844003">
        <w:rPr>
          <w:rStyle w:val="Refdenotaalpie"/>
          <w:bCs/>
          <w:sz w:val="24"/>
          <w:szCs w:val="24"/>
        </w:rPr>
        <w:footnoteReference w:id="1"/>
      </w:r>
      <w:r w:rsidRPr="00844003">
        <w:rPr>
          <w:bCs/>
          <w:sz w:val="24"/>
          <w:szCs w:val="24"/>
        </w:rPr>
        <w:t xml:space="preserve">. </w:t>
      </w:r>
      <w:r w:rsidR="00997AC5" w:rsidRPr="00844003">
        <w:rPr>
          <w:bCs/>
          <w:sz w:val="24"/>
          <w:szCs w:val="24"/>
        </w:rPr>
        <w:t>El accionante consideró</w:t>
      </w:r>
      <w:r w:rsidR="00777AF7" w:rsidRPr="00844003">
        <w:rPr>
          <w:bCs/>
          <w:sz w:val="24"/>
          <w:szCs w:val="24"/>
        </w:rPr>
        <w:t xml:space="preserve"> vulneradas las anteriores</w:t>
      </w:r>
      <w:r w:rsidRPr="00844003">
        <w:rPr>
          <w:bCs/>
          <w:sz w:val="24"/>
          <w:szCs w:val="24"/>
        </w:rPr>
        <w:t xml:space="preserve"> garantías</w:t>
      </w:r>
      <w:r w:rsidR="00997AC5" w:rsidRPr="00844003">
        <w:rPr>
          <w:bCs/>
          <w:sz w:val="24"/>
          <w:szCs w:val="24"/>
        </w:rPr>
        <w:t>,</w:t>
      </w:r>
      <w:r w:rsidRPr="00844003">
        <w:rPr>
          <w:bCs/>
          <w:sz w:val="24"/>
          <w:szCs w:val="24"/>
        </w:rPr>
        <w:t xml:space="preserve"> </w:t>
      </w:r>
      <w:r w:rsidR="006E3805" w:rsidRPr="00844003">
        <w:rPr>
          <w:sz w:val="24"/>
          <w:szCs w:val="24"/>
          <w:lang w:eastAsia="en-US"/>
        </w:rPr>
        <w:t>con ocasión de la s</w:t>
      </w:r>
      <w:r w:rsidR="00777AF7" w:rsidRPr="00844003">
        <w:rPr>
          <w:sz w:val="24"/>
          <w:szCs w:val="24"/>
          <w:lang w:eastAsia="en-US"/>
        </w:rPr>
        <w:t>entencia del 27 de julio de 2010</w:t>
      </w:r>
      <w:r w:rsidR="006E3805" w:rsidRPr="00844003">
        <w:rPr>
          <w:sz w:val="24"/>
          <w:szCs w:val="24"/>
          <w:lang w:eastAsia="en-US"/>
        </w:rPr>
        <w:t xml:space="preserve"> proferida por la Sala Plena del Consejo de Estado, que</w:t>
      </w:r>
      <w:r w:rsidR="00777AF7" w:rsidRPr="00844003">
        <w:rPr>
          <w:sz w:val="24"/>
          <w:szCs w:val="24"/>
          <w:lang w:eastAsia="en-US"/>
        </w:rPr>
        <w:t xml:space="preserve"> le</w:t>
      </w:r>
      <w:r w:rsidR="006E3805" w:rsidRPr="00844003">
        <w:rPr>
          <w:sz w:val="24"/>
          <w:szCs w:val="24"/>
          <w:lang w:eastAsia="en-US"/>
        </w:rPr>
        <w:t xml:space="preserve"> </w:t>
      </w:r>
      <w:r w:rsidR="0024432D" w:rsidRPr="00844003">
        <w:rPr>
          <w:sz w:val="24"/>
          <w:szCs w:val="24"/>
          <w:lang w:eastAsia="en-US"/>
        </w:rPr>
        <w:t>decretó</w:t>
      </w:r>
      <w:r w:rsidR="006E3805" w:rsidRPr="00844003">
        <w:rPr>
          <w:sz w:val="24"/>
          <w:szCs w:val="24"/>
          <w:lang w:eastAsia="en-US"/>
        </w:rPr>
        <w:t xml:space="preserve"> la </w:t>
      </w:r>
      <w:r w:rsidR="00777AF7" w:rsidRPr="00844003">
        <w:rPr>
          <w:sz w:val="24"/>
          <w:szCs w:val="24"/>
          <w:lang w:eastAsia="en-US"/>
        </w:rPr>
        <w:t>pérdida</w:t>
      </w:r>
      <w:r w:rsidR="006E3805" w:rsidRPr="00844003">
        <w:rPr>
          <w:sz w:val="24"/>
          <w:szCs w:val="24"/>
          <w:lang w:eastAsia="en-US"/>
        </w:rPr>
        <w:t xml:space="preserve"> de investidura</w:t>
      </w:r>
      <w:r w:rsidR="00DD2034">
        <w:rPr>
          <w:sz w:val="24"/>
          <w:szCs w:val="24"/>
          <w:lang w:eastAsia="en-US"/>
        </w:rPr>
        <w:t xml:space="preserve"> </w:t>
      </w:r>
      <w:r w:rsidR="005839DF">
        <w:rPr>
          <w:sz w:val="24"/>
          <w:szCs w:val="24"/>
          <w:lang w:eastAsia="en-US"/>
        </w:rPr>
        <w:t>como Representante a la C</w:t>
      </w:r>
      <w:r w:rsidR="006E3805" w:rsidRPr="00844003">
        <w:rPr>
          <w:sz w:val="24"/>
          <w:szCs w:val="24"/>
          <w:lang w:eastAsia="en-US"/>
        </w:rPr>
        <w:t>ámara del Congreso de la República,</w:t>
      </w:r>
      <w:r w:rsidR="00777AF7" w:rsidRPr="00844003">
        <w:rPr>
          <w:bCs/>
          <w:sz w:val="24"/>
          <w:szCs w:val="24"/>
          <w:lang w:eastAsia="ja-JP"/>
        </w:rPr>
        <w:t xml:space="preserve"> en el proceso tramitado</w:t>
      </w:r>
      <w:r w:rsidR="006E3805" w:rsidRPr="00844003">
        <w:rPr>
          <w:bCs/>
          <w:sz w:val="24"/>
          <w:szCs w:val="24"/>
          <w:lang w:eastAsia="ja-JP"/>
        </w:rPr>
        <w:t xml:space="preserve"> bajo el número de radicado 11001-03-15-000-2009-01219-00</w:t>
      </w:r>
      <w:r w:rsidR="006E3805" w:rsidRPr="00844003">
        <w:rPr>
          <w:sz w:val="24"/>
          <w:szCs w:val="24"/>
          <w:lang w:eastAsia="en-US"/>
        </w:rPr>
        <w:t>.</w:t>
      </w:r>
    </w:p>
    <w:p w14:paraId="5B61A6AE" w14:textId="314D23D0" w:rsidR="009E1193" w:rsidRPr="00844003" w:rsidRDefault="009E1193" w:rsidP="00B25A4C">
      <w:pPr>
        <w:tabs>
          <w:tab w:val="left" w:pos="1985"/>
        </w:tabs>
        <w:spacing w:line="276" w:lineRule="auto"/>
        <w:rPr>
          <w:rFonts w:eastAsia="Times New Roman"/>
          <w:bCs/>
          <w:sz w:val="24"/>
          <w:szCs w:val="24"/>
          <w:lang w:eastAsia="es-ES"/>
        </w:rPr>
      </w:pPr>
    </w:p>
    <w:p w14:paraId="7803FCFA" w14:textId="77777777" w:rsidR="00937471" w:rsidRPr="00844003" w:rsidRDefault="00937471" w:rsidP="00B25A4C">
      <w:pPr>
        <w:numPr>
          <w:ilvl w:val="0"/>
          <w:numId w:val="3"/>
        </w:numPr>
        <w:spacing w:line="276" w:lineRule="auto"/>
        <w:contextualSpacing/>
        <w:rPr>
          <w:rFonts w:eastAsia="Verdana"/>
          <w:b/>
          <w:sz w:val="24"/>
          <w:szCs w:val="24"/>
        </w:rPr>
      </w:pPr>
      <w:r w:rsidRPr="00844003">
        <w:rPr>
          <w:rFonts w:eastAsia="Verdana"/>
          <w:b/>
          <w:sz w:val="24"/>
          <w:szCs w:val="24"/>
        </w:rPr>
        <w:t>Hechos</w:t>
      </w:r>
    </w:p>
    <w:p w14:paraId="4C0D08A4" w14:textId="77777777" w:rsidR="00937471" w:rsidRPr="00844003" w:rsidRDefault="00937471" w:rsidP="00B25A4C">
      <w:pPr>
        <w:spacing w:line="276" w:lineRule="auto"/>
        <w:contextualSpacing/>
        <w:rPr>
          <w:rFonts w:eastAsia="Verdana"/>
          <w:bCs/>
          <w:sz w:val="24"/>
          <w:szCs w:val="24"/>
        </w:rPr>
      </w:pPr>
    </w:p>
    <w:p w14:paraId="536059DE" w14:textId="53FF71C1" w:rsidR="00F2092C" w:rsidRPr="00844003" w:rsidRDefault="00F2092C" w:rsidP="00B25A4C">
      <w:pPr>
        <w:spacing w:line="276" w:lineRule="auto"/>
        <w:rPr>
          <w:rFonts w:eastAsia="Arial"/>
          <w:color w:val="000000"/>
          <w:sz w:val="24"/>
          <w:szCs w:val="24"/>
          <w:lang w:val="es-ES" w:eastAsia="es-CO"/>
        </w:rPr>
      </w:pPr>
      <w:r w:rsidRPr="00844003">
        <w:rPr>
          <w:rFonts w:eastAsia="Arial"/>
          <w:b/>
          <w:color w:val="000000"/>
          <w:sz w:val="24"/>
          <w:szCs w:val="24"/>
          <w:lang w:eastAsia="es-CO"/>
        </w:rPr>
        <w:t xml:space="preserve">2.1. </w:t>
      </w:r>
      <w:r w:rsidR="00997AC5" w:rsidRPr="00844003">
        <w:rPr>
          <w:rFonts w:eastAsia="Arial"/>
          <w:color w:val="000000"/>
          <w:sz w:val="24"/>
          <w:szCs w:val="24"/>
          <w:lang w:val="es-ES" w:eastAsia="es-CO"/>
        </w:rPr>
        <w:t xml:space="preserve">Cesar Alberto Sierra Avellaneda </w:t>
      </w:r>
      <w:r w:rsidR="0024432D" w:rsidRPr="00844003">
        <w:rPr>
          <w:rFonts w:eastAsia="Arial"/>
          <w:color w:val="000000"/>
          <w:sz w:val="24"/>
          <w:szCs w:val="24"/>
          <w:lang w:val="es-ES" w:eastAsia="es-CO"/>
        </w:rPr>
        <w:t>solicitó</w:t>
      </w:r>
      <w:r w:rsidRPr="00844003">
        <w:rPr>
          <w:rFonts w:eastAsia="Arial"/>
          <w:color w:val="000000"/>
          <w:sz w:val="24"/>
          <w:szCs w:val="24"/>
          <w:lang w:val="es-ES" w:eastAsia="es-CO"/>
        </w:rPr>
        <w:t xml:space="preserve"> que se decretara</w:t>
      </w:r>
      <w:r w:rsidR="00FE7282" w:rsidRPr="00844003">
        <w:rPr>
          <w:rFonts w:eastAsia="Arial"/>
          <w:color w:val="000000"/>
          <w:sz w:val="24"/>
          <w:szCs w:val="24"/>
          <w:lang w:val="es-ES" w:eastAsia="es-CO"/>
        </w:rPr>
        <w:t xml:space="preserve"> la pé</w:t>
      </w:r>
      <w:r w:rsidR="0024432D" w:rsidRPr="00844003">
        <w:rPr>
          <w:rFonts w:eastAsia="Arial"/>
          <w:color w:val="000000"/>
          <w:sz w:val="24"/>
          <w:szCs w:val="24"/>
          <w:lang w:val="es-ES" w:eastAsia="es-CO"/>
        </w:rPr>
        <w:t>rdida de investidura</w:t>
      </w:r>
      <w:r w:rsidRPr="00844003">
        <w:rPr>
          <w:rFonts w:eastAsia="Arial"/>
          <w:color w:val="000000"/>
          <w:sz w:val="24"/>
          <w:szCs w:val="24"/>
          <w:lang w:val="es-ES" w:eastAsia="es-CO"/>
        </w:rPr>
        <w:t xml:space="preserve"> de Luis Felipe Barrios, Representante a la Cámara</w:t>
      </w:r>
      <w:r w:rsidR="009446B7" w:rsidRPr="00844003">
        <w:rPr>
          <w:rFonts w:eastAsia="Arial"/>
          <w:color w:val="000000"/>
          <w:sz w:val="24"/>
          <w:szCs w:val="24"/>
          <w:lang w:val="es-ES" w:eastAsia="es-CO"/>
        </w:rPr>
        <w:t xml:space="preserve"> por la circ</w:t>
      </w:r>
      <w:r w:rsidRPr="00844003">
        <w:rPr>
          <w:rFonts w:eastAsia="Arial"/>
          <w:color w:val="000000"/>
          <w:sz w:val="24"/>
          <w:szCs w:val="24"/>
          <w:lang w:val="es-ES" w:eastAsia="es-CO"/>
        </w:rPr>
        <w:t>unscripción electoral de Bogotá para el periodo constitucional 2006-2010, por</w:t>
      </w:r>
      <w:r w:rsidR="00844003">
        <w:rPr>
          <w:rFonts w:eastAsia="Arial"/>
          <w:color w:val="000000"/>
          <w:sz w:val="24"/>
          <w:szCs w:val="24"/>
          <w:lang w:val="es-ES" w:eastAsia="es-CO"/>
        </w:rPr>
        <w:t>que, a</w:t>
      </w:r>
      <w:r w:rsidR="000B4EEA">
        <w:rPr>
          <w:rFonts w:eastAsia="Arial"/>
          <w:color w:val="000000"/>
          <w:sz w:val="24"/>
          <w:szCs w:val="24"/>
          <w:lang w:val="es-ES" w:eastAsia="es-CO"/>
        </w:rPr>
        <w:t xml:space="preserve"> su juicio</w:t>
      </w:r>
      <w:r w:rsidR="00844003">
        <w:rPr>
          <w:rFonts w:eastAsia="Arial"/>
          <w:color w:val="000000"/>
          <w:sz w:val="24"/>
          <w:szCs w:val="24"/>
          <w:lang w:val="es-ES" w:eastAsia="es-CO"/>
        </w:rPr>
        <w:t>,</w:t>
      </w:r>
      <w:r w:rsidRPr="00844003">
        <w:rPr>
          <w:rFonts w:eastAsia="Arial"/>
          <w:color w:val="000000"/>
          <w:sz w:val="24"/>
          <w:szCs w:val="24"/>
          <w:lang w:val="es-ES" w:eastAsia="es-CO"/>
        </w:rPr>
        <w:t xml:space="preserve"> </w:t>
      </w:r>
      <w:r w:rsidR="00844003">
        <w:rPr>
          <w:rFonts w:eastAsia="Arial"/>
          <w:color w:val="000000"/>
          <w:sz w:val="24"/>
          <w:szCs w:val="24"/>
          <w:lang w:val="es-ES" w:eastAsia="es-CO"/>
        </w:rPr>
        <w:t>incurrió</w:t>
      </w:r>
      <w:r w:rsidR="004B4A7E" w:rsidRPr="00844003">
        <w:rPr>
          <w:rFonts w:eastAsia="Arial"/>
          <w:color w:val="000000"/>
          <w:sz w:val="24"/>
          <w:szCs w:val="24"/>
          <w:lang w:val="es-ES" w:eastAsia="es-CO"/>
        </w:rPr>
        <w:t xml:space="preserve"> en una </w:t>
      </w:r>
      <w:r w:rsidRPr="00844003">
        <w:rPr>
          <w:rFonts w:eastAsia="Arial"/>
          <w:color w:val="000000"/>
          <w:sz w:val="24"/>
          <w:szCs w:val="24"/>
          <w:lang w:val="es-ES" w:eastAsia="es-CO"/>
        </w:rPr>
        <w:t>violación al régimen de conflicto de intereses</w:t>
      </w:r>
      <w:r w:rsidR="0024432D" w:rsidRPr="00844003">
        <w:rPr>
          <w:rFonts w:eastAsia="Arial"/>
          <w:color w:val="000000"/>
          <w:sz w:val="24"/>
          <w:szCs w:val="24"/>
          <w:lang w:val="es-ES" w:eastAsia="es-CO"/>
        </w:rPr>
        <w:t xml:space="preserve"> </w:t>
      </w:r>
      <w:r w:rsidRPr="00844003">
        <w:rPr>
          <w:rFonts w:eastAsia="Arial"/>
          <w:color w:val="000000"/>
          <w:sz w:val="24"/>
          <w:szCs w:val="24"/>
          <w:lang w:val="es-ES" w:eastAsia="es-CO"/>
        </w:rPr>
        <w:t xml:space="preserve">(numeral 1° del artículo 183 Superior). </w:t>
      </w:r>
      <w:r w:rsidR="004B4A7E" w:rsidRPr="00844003">
        <w:rPr>
          <w:rFonts w:eastAsia="Arial"/>
          <w:color w:val="000000"/>
          <w:sz w:val="24"/>
          <w:szCs w:val="24"/>
          <w:lang w:val="es-ES" w:eastAsia="es-CO"/>
        </w:rPr>
        <w:t>En concreto, por haber intervenido</w:t>
      </w:r>
      <w:r w:rsidR="00961510">
        <w:rPr>
          <w:rFonts w:eastAsia="Arial"/>
          <w:color w:val="000000"/>
          <w:sz w:val="24"/>
          <w:szCs w:val="24"/>
          <w:lang w:val="es-ES" w:eastAsia="es-CO"/>
        </w:rPr>
        <w:t>, en su calidad de congresista,</w:t>
      </w:r>
      <w:r w:rsidR="004B4A7E" w:rsidRPr="00844003">
        <w:rPr>
          <w:rFonts w:eastAsia="Arial"/>
          <w:color w:val="000000"/>
          <w:sz w:val="24"/>
          <w:szCs w:val="24"/>
          <w:lang w:val="es-ES" w:eastAsia="es-CO"/>
        </w:rPr>
        <w:t xml:space="preserve"> en un asunto cuya decisión lo afectaba de manera directa.</w:t>
      </w:r>
    </w:p>
    <w:p w14:paraId="081269C8" w14:textId="307AC2EA" w:rsidR="0024432D" w:rsidRPr="00844003" w:rsidRDefault="0024432D" w:rsidP="00B25A4C">
      <w:pPr>
        <w:spacing w:line="276" w:lineRule="auto"/>
        <w:contextualSpacing/>
        <w:rPr>
          <w:rFonts w:eastAsia="Arial"/>
          <w:color w:val="000000"/>
          <w:sz w:val="24"/>
          <w:szCs w:val="24"/>
          <w:lang w:val="es-ES" w:eastAsia="es-CO"/>
        </w:rPr>
      </w:pPr>
    </w:p>
    <w:p w14:paraId="1FE7C954" w14:textId="79C0AA7A" w:rsidR="0024432D" w:rsidRPr="00844003" w:rsidRDefault="0024432D" w:rsidP="00B25A4C">
      <w:pPr>
        <w:spacing w:line="276" w:lineRule="auto"/>
        <w:contextualSpacing/>
        <w:rPr>
          <w:rFonts w:eastAsia="Arial"/>
          <w:color w:val="000000"/>
          <w:sz w:val="24"/>
          <w:szCs w:val="24"/>
          <w:lang w:val="es-ES" w:eastAsia="es-CO"/>
        </w:rPr>
      </w:pPr>
      <w:r w:rsidRPr="00844003">
        <w:rPr>
          <w:rFonts w:eastAsia="Arial"/>
          <w:b/>
          <w:color w:val="000000"/>
          <w:sz w:val="24"/>
          <w:szCs w:val="24"/>
          <w:lang w:val="es-ES" w:eastAsia="es-CO"/>
        </w:rPr>
        <w:t xml:space="preserve">2.2. </w:t>
      </w:r>
      <w:r w:rsidRPr="00844003">
        <w:rPr>
          <w:rFonts w:eastAsia="Arial"/>
          <w:color w:val="000000"/>
          <w:sz w:val="24"/>
          <w:szCs w:val="24"/>
          <w:lang w:val="es-ES" w:eastAsia="es-CO"/>
        </w:rPr>
        <w:t>La Sala Plena del Consejo de Estado, con sentencia del 27</w:t>
      </w:r>
      <w:r w:rsidR="00FE7282" w:rsidRPr="00844003">
        <w:rPr>
          <w:rFonts w:eastAsia="Arial"/>
          <w:color w:val="000000"/>
          <w:sz w:val="24"/>
          <w:szCs w:val="24"/>
          <w:lang w:val="es-ES" w:eastAsia="es-CO"/>
        </w:rPr>
        <w:t xml:space="preserve"> de julio de 2010, decretó la pé</w:t>
      </w:r>
      <w:r w:rsidRPr="00844003">
        <w:rPr>
          <w:rFonts w:eastAsia="Arial"/>
          <w:color w:val="000000"/>
          <w:sz w:val="24"/>
          <w:szCs w:val="24"/>
          <w:lang w:val="es-ES" w:eastAsia="es-CO"/>
        </w:rPr>
        <w:t>rdida de investidura del Representante a la Cámara Luis Felipe Barrios Barrios</w:t>
      </w:r>
      <w:r w:rsidR="00961510">
        <w:rPr>
          <w:rFonts w:eastAsia="Arial"/>
          <w:color w:val="000000"/>
          <w:sz w:val="24"/>
          <w:szCs w:val="24"/>
          <w:lang w:val="es-ES" w:eastAsia="es-CO"/>
        </w:rPr>
        <w:t>, al encontrar que este último</w:t>
      </w:r>
      <w:r w:rsidR="00D930F7" w:rsidRPr="00844003">
        <w:rPr>
          <w:rFonts w:eastAsia="Arial"/>
          <w:color w:val="000000"/>
          <w:sz w:val="24"/>
          <w:szCs w:val="24"/>
          <w:lang w:val="es-ES" w:eastAsia="es-CO"/>
        </w:rPr>
        <w:t xml:space="preserve"> </w:t>
      </w:r>
      <w:r w:rsidR="00961510">
        <w:rPr>
          <w:rFonts w:eastAsia="Arial"/>
          <w:color w:val="000000"/>
          <w:sz w:val="24"/>
          <w:szCs w:val="24"/>
          <w:lang w:val="es-ES" w:eastAsia="es-CO"/>
        </w:rPr>
        <w:t>desconoció el</w:t>
      </w:r>
      <w:r w:rsidR="00D930F7" w:rsidRPr="00844003">
        <w:rPr>
          <w:rFonts w:eastAsia="Arial"/>
          <w:color w:val="000000"/>
          <w:sz w:val="24"/>
          <w:szCs w:val="24"/>
          <w:lang w:val="es-ES" w:eastAsia="es-CO"/>
        </w:rPr>
        <w:t xml:space="preserve"> régimen de conflicto de intereses</w:t>
      </w:r>
      <w:r w:rsidR="002B7A72" w:rsidRPr="00844003">
        <w:rPr>
          <w:rStyle w:val="Refdenotaalpie"/>
          <w:rFonts w:eastAsia="Arial"/>
          <w:color w:val="000000"/>
          <w:sz w:val="24"/>
          <w:szCs w:val="24"/>
          <w:lang w:val="es-ES" w:eastAsia="es-CO"/>
        </w:rPr>
        <w:footnoteReference w:id="2"/>
      </w:r>
      <w:r w:rsidR="004B4A7E" w:rsidRPr="00844003">
        <w:rPr>
          <w:rFonts w:eastAsia="Arial"/>
          <w:color w:val="000000"/>
          <w:sz w:val="24"/>
          <w:szCs w:val="24"/>
          <w:lang w:val="es-ES" w:eastAsia="es-CO"/>
        </w:rPr>
        <w:t>.</w:t>
      </w:r>
    </w:p>
    <w:p w14:paraId="09F4D4CA" w14:textId="44AB322D" w:rsidR="00DE4E7C" w:rsidRPr="00844003" w:rsidRDefault="00DE4E7C" w:rsidP="00B25A4C">
      <w:pPr>
        <w:spacing w:line="276" w:lineRule="auto"/>
        <w:contextualSpacing/>
        <w:rPr>
          <w:rFonts w:eastAsia="Arial"/>
          <w:color w:val="000000"/>
          <w:sz w:val="24"/>
          <w:szCs w:val="24"/>
          <w:lang w:val="es-ES" w:eastAsia="es-CO"/>
        </w:rPr>
      </w:pPr>
    </w:p>
    <w:p w14:paraId="76B0C21C" w14:textId="3E568451" w:rsidR="00DE4E7C" w:rsidRPr="00844003" w:rsidRDefault="00DE4E7C" w:rsidP="00B25A4C">
      <w:pPr>
        <w:spacing w:line="276" w:lineRule="auto"/>
        <w:contextualSpacing/>
        <w:rPr>
          <w:rFonts w:eastAsia="Arial"/>
          <w:color w:val="000000"/>
          <w:sz w:val="24"/>
          <w:szCs w:val="24"/>
          <w:lang w:val="es-ES" w:eastAsia="es-CO"/>
        </w:rPr>
      </w:pPr>
      <w:r w:rsidRPr="00844003">
        <w:rPr>
          <w:rFonts w:eastAsia="Arial"/>
          <w:b/>
          <w:color w:val="000000"/>
          <w:sz w:val="24"/>
          <w:szCs w:val="24"/>
          <w:lang w:val="es-ES" w:eastAsia="es-CO"/>
        </w:rPr>
        <w:lastRenderedPageBreak/>
        <w:t xml:space="preserve">2.3. </w:t>
      </w:r>
      <w:r w:rsidR="00844003" w:rsidRPr="00844003">
        <w:rPr>
          <w:rFonts w:eastAsia="Arial"/>
          <w:color w:val="000000"/>
          <w:sz w:val="24"/>
          <w:szCs w:val="24"/>
          <w:lang w:val="es-ES" w:eastAsia="es-CO"/>
        </w:rPr>
        <w:t>Tras ello,</w:t>
      </w:r>
      <w:r w:rsidR="00844003">
        <w:rPr>
          <w:rFonts w:eastAsia="Arial"/>
          <w:b/>
          <w:color w:val="000000"/>
          <w:sz w:val="24"/>
          <w:szCs w:val="24"/>
          <w:lang w:val="es-ES" w:eastAsia="es-CO"/>
        </w:rPr>
        <w:t xml:space="preserve"> </w:t>
      </w:r>
      <w:r w:rsidR="00961510">
        <w:rPr>
          <w:rFonts w:eastAsia="Arial"/>
          <w:color w:val="000000"/>
          <w:sz w:val="24"/>
          <w:szCs w:val="24"/>
          <w:lang w:val="es-ES" w:eastAsia="es-CO"/>
        </w:rPr>
        <w:t>l</w:t>
      </w:r>
      <w:r w:rsidR="00961510" w:rsidRPr="00961510">
        <w:rPr>
          <w:rFonts w:eastAsia="Arial"/>
          <w:color w:val="000000"/>
          <w:sz w:val="24"/>
          <w:szCs w:val="24"/>
          <w:lang w:val="es-ES" w:eastAsia="es-CO"/>
        </w:rPr>
        <w:t xml:space="preserve">a Sala Plena del Consejo de Estado </w:t>
      </w:r>
      <w:r w:rsidRPr="00844003">
        <w:rPr>
          <w:rFonts w:eastAsia="Arial"/>
          <w:color w:val="000000"/>
          <w:sz w:val="24"/>
          <w:szCs w:val="24"/>
          <w:lang w:val="es-ES" w:eastAsia="es-CO"/>
        </w:rPr>
        <w:t xml:space="preserve">negó la solicitud de aclaración a la </w:t>
      </w:r>
      <w:r w:rsidR="00844003">
        <w:rPr>
          <w:rFonts w:eastAsia="Arial"/>
          <w:color w:val="000000"/>
          <w:sz w:val="24"/>
          <w:szCs w:val="24"/>
          <w:lang w:val="es-ES" w:eastAsia="es-CO"/>
        </w:rPr>
        <w:t>referida</w:t>
      </w:r>
      <w:r w:rsidRPr="00844003">
        <w:rPr>
          <w:rFonts w:eastAsia="Arial"/>
          <w:color w:val="000000"/>
          <w:sz w:val="24"/>
          <w:szCs w:val="24"/>
          <w:lang w:val="es-ES" w:eastAsia="es-CO"/>
        </w:rPr>
        <w:t xml:space="preserve"> sentencia</w:t>
      </w:r>
      <w:r w:rsidR="00844003">
        <w:rPr>
          <w:rFonts w:eastAsia="Arial"/>
          <w:color w:val="000000"/>
          <w:sz w:val="24"/>
          <w:szCs w:val="24"/>
          <w:lang w:val="es-ES" w:eastAsia="es-CO"/>
        </w:rPr>
        <w:t>,</w:t>
      </w:r>
      <w:r w:rsidRPr="00844003">
        <w:rPr>
          <w:rFonts w:eastAsia="Arial"/>
          <w:color w:val="000000"/>
          <w:sz w:val="24"/>
          <w:szCs w:val="24"/>
          <w:lang w:val="es-ES" w:eastAsia="es-CO"/>
        </w:rPr>
        <w:t xml:space="preserve"> promovida por el señor Barrios Barrios, por medio del auto del 28 de septiembre de 2010.</w:t>
      </w:r>
    </w:p>
    <w:p w14:paraId="49B6F85F" w14:textId="6EE4410C" w:rsidR="00DE4E7C" w:rsidRPr="00844003" w:rsidRDefault="00DE4E7C" w:rsidP="00B25A4C">
      <w:pPr>
        <w:spacing w:line="276" w:lineRule="auto"/>
        <w:contextualSpacing/>
        <w:rPr>
          <w:rFonts w:eastAsia="Arial"/>
          <w:color w:val="000000"/>
          <w:sz w:val="24"/>
          <w:szCs w:val="24"/>
          <w:lang w:val="es-ES" w:eastAsia="es-CO"/>
        </w:rPr>
      </w:pPr>
    </w:p>
    <w:p w14:paraId="45A067C3" w14:textId="3BBD4FA7" w:rsidR="00DE4E7C" w:rsidRPr="00844003" w:rsidRDefault="00DE4E7C" w:rsidP="00B25A4C">
      <w:pPr>
        <w:spacing w:line="276" w:lineRule="auto"/>
        <w:contextualSpacing/>
        <w:rPr>
          <w:rFonts w:eastAsia="Arial"/>
          <w:color w:val="000000"/>
          <w:sz w:val="24"/>
          <w:szCs w:val="24"/>
          <w:lang w:val="es-ES" w:eastAsia="es-CO"/>
        </w:rPr>
      </w:pPr>
      <w:r w:rsidRPr="00844003">
        <w:rPr>
          <w:rFonts w:eastAsia="Arial"/>
          <w:b/>
          <w:color w:val="000000"/>
          <w:sz w:val="24"/>
          <w:szCs w:val="24"/>
          <w:lang w:val="es-ES" w:eastAsia="es-CO"/>
        </w:rPr>
        <w:t xml:space="preserve">2.4. </w:t>
      </w:r>
      <w:r w:rsidR="00961510">
        <w:rPr>
          <w:rFonts w:eastAsia="Arial"/>
          <w:color w:val="000000"/>
          <w:sz w:val="24"/>
          <w:szCs w:val="24"/>
          <w:lang w:val="es-ES" w:eastAsia="es-CO"/>
        </w:rPr>
        <w:t>Además, l</w:t>
      </w:r>
      <w:r w:rsidRPr="00844003">
        <w:rPr>
          <w:rFonts w:eastAsia="Arial"/>
          <w:color w:val="000000"/>
          <w:sz w:val="24"/>
          <w:szCs w:val="24"/>
          <w:lang w:val="es-ES" w:eastAsia="es-CO"/>
        </w:rPr>
        <w:t>a Sala Plena del Consejo de Estado, el 17 de abril de 2012, rechazó un incidente de nulidad en contra del comentado fallo</w:t>
      </w:r>
      <w:r w:rsidR="002A2E49">
        <w:rPr>
          <w:rFonts w:eastAsia="Arial"/>
          <w:color w:val="000000"/>
          <w:sz w:val="24"/>
          <w:szCs w:val="24"/>
          <w:lang w:val="es-ES" w:eastAsia="es-CO"/>
        </w:rPr>
        <w:t>, formulado por el señor Barrios</w:t>
      </w:r>
      <w:r w:rsidRPr="00844003">
        <w:rPr>
          <w:rFonts w:eastAsia="Arial"/>
          <w:color w:val="000000"/>
          <w:sz w:val="24"/>
          <w:szCs w:val="24"/>
          <w:lang w:val="es-ES" w:eastAsia="es-CO"/>
        </w:rPr>
        <w:t>.</w:t>
      </w:r>
    </w:p>
    <w:p w14:paraId="600BE8C4" w14:textId="77777777" w:rsidR="0024432D" w:rsidRPr="00844003" w:rsidRDefault="0024432D" w:rsidP="00B25A4C">
      <w:pPr>
        <w:spacing w:line="276" w:lineRule="auto"/>
        <w:contextualSpacing/>
        <w:rPr>
          <w:rFonts w:eastAsia="Arial"/>
          <w:color w:val="000000"/>
          <w:sz w:val="24"/>
          <w:szCs w:val="24"/>
          <w:lang w:val="es-ES" w:eastAsia="es-CO"/>
        </w:rPr>
      </w:pPr>
    </w:p>
    <w:p w14:paraId="3ADA9A7B" w14:textId="6D02416A" w:rsidR="0024432D" w:rsidRDefault="00103707" w:rsidP="00B25A4C">
      <w:pPr>
        <w:spacing w:line="276" w:lineRule="auto"/>
        <w:contextualSpacing/>
        <w:rPr>
          <w:rFonts w:eastAsia="Arial"/>
          <w:color w:val="000000"/>
          <w:sz w:val="24"/>
          <w:szCs w:val="24"/>
          <w:lang w:eastAsia="es-CO"/>
        </w:rPr>
      </w:pPr>
      <w:r w:rsidRPr="00844003">
        <w:rPr>
          <w:rFonts w:eastAsia="Arial"/>
          <w:b/>
          <w:color w:val="000000"/>
          <w:sz w:val="24"/>
          <w:szCs w:val="24"/>
          <w:lang w:val="es-ES" w:eastAsia="es-CO"/>
        </w:rPr>
        <w:t>2.5</w:t>
      </w:r>
      <w:r w:rsidR="0024432D" w:rsidRPr="00844003">
        <w:rPr>
          <w:rFonts w:eastAsia="Arial"/>
          <w:b/>
          <w:color w:val="000000"/>
          <w:sz w:val="24"/>
          <w:szCs w:val="24"/>
          <w:lang w:val="es-ES" w:eastAsia="es-CO"/>
        </w:rPr>
        <w:t xml:space="preserve">. </w:t>
      </w:r>
      <w:r w:rsidR="0024432D" w:rsidRPr="00844003">
        <w:rPr>
          <w:rFonts w:eastAsia="Arial"/>
          <w:color w:val="000000"/>
          <w:sz w:val="24"/>
          <w:szCs w:val="24"/>
          <w:lang w:val="es-ES" w:eastAsia="es-CO"/>
        </w:rPr>
        <w:t xml:space="preserve">Luis Felipe Barrios Barrios, </w:t>
      </w:r>
      <w:r w:rsidR="00D930F7" w:rsidRPr="00844003">
        <w:rPr>
          <w:rFonts w:eastAsia="Arial"/>
          <w:color w:val="000000"/>
          <w:sz w:val="24"/>
          <w:szCs w:val="24"/>
          <w:lang w:val="es-ES" w:eastAsia="es-CO"/>
        </w:rPr>
        <w:t>el 16 de septiembre de 2015</w:t>
      </w:r>
      <w:r w:rsidR="0024432D" w:rsidRPr="00844003">
        <w:rPr>
          <w:rFonts w:eastAsia="Arial"/>
          <w:color w:val="000000"/>
          <w:sz w:val="24"/>
          <w:szCs w:val="24"/>
          <w:lang w:val="es-ES" w:eastAsia="es-CO"/>
        </w:rPr>
        <w:t>, interpuso recu</w:t>
      </w:r>
      <w:r w:rsidR="00424E5E" w:rsidRPr="00844003">
        <w:rPr>
          <w:rFonts w:eastAsia="Arial"/>
          <w:color w:val="000000"/>
          <w:sz w:val="24"/>
          <w:szCs w:val="24"/>
          <w:lang w:val="es-ES" w:eastAsia="es-CO"/>
        </w:rPr>
        <w:t>rso extraordinario de revisión en contra de la sentencia del 27 de julio de 2010. Para ello, invocó la</w:t>
      </w:r>
      <w:r w:rsidR="002A2E49">
        <w:rPr>
          <w:rFonts w:eastAsia="Arial"/>
          <w:color w:val="000000"/>
          <w:sz w:val="24"/>
          <w:szCs w:val="24"/>
          <w:lang w:val="es-ES" w:eastAsia="es-CO"/>
        </w:rPr>
        <w:t>s</w:t>
      </w:r>
      <w:r w:rsidR="00424E5E" w:rsidRPr="00844003">
        <w:rPr>
          <w:rFonts w:eastAsia="Arial"/>
          <w:color w:val="000000"/>
          <w:sz w:val="24"/>
          <w:szCs w:val="24"/>
          <w:lang w:val="es-ES" w:eastAsia="es-CO"/>
        </w:rPr>
        <w:t xml:space="preserve"> </w:t>
      </w:r>
      <w:r w:rsidR="00D930F7" w:rsidRPr="00844003">
        <w:rPr>
          <w:rFonts w:eastAsia="Arial"/>
          <w:color w:val="000000"/>
          <w:sz w:val="24"/>
          <w:szCs w:val="24"/>
          <w:lang w:val="es-ES" w:eastAsia="es-CO"/>
        </w:rPr>
        <w:t>causal</w:t>
      </w:r>
      <w:r w:rsidR="002A2E49">
        <w:rPr>
          <w:rFonts w:eastAsia="Arial"/>
          <w:color w:val="000000"/>
          <w:sz w:val="24"/>
          <w:szCs w:val="24"/>
          <w:lang w:val="es-ES" w:eastAsia="es-CO"/>
        </w:rPr>
        <w:t>es</w:t>
      </w:r>
      <w:r w:rsidR="00D930F7" w:rsidRPr="00844003">
        <w:rPr>
          <w:rFonts w:eastAsia="Arial"/>
          <w:color w:val="000000"/>
          <w:sz w:val="24"/>
          <w:szCs w:val="24"/>
          <w:lang w:val="es-ES" w:eastAsia="es-CO"/>
        </w:rPr>
        <w:t xml:space="preserve"> dispuesta</w:t>
      </w:r>
      <w:r w:rsidR="002A2E49">
        <w:rPr>
          <w:rFonts w:eastAsia="Arial"/>
          <w:color w:val="000000"/>
          <w:sz w:val="24"/>
          <w:szCs w:val="24"/>
          <w:lang w:val="es-ES" w:eastAsia="es-CO"/>
        </w:rPr>
        <w:t>s</w:t>
      </w:r>
      <w:r w:rsidR="00D930F7" w:rsidRPr="00844003">
        <w:rPr>
          <w:rFonts w:eastAsia="Arial"/>
          <w:color w:val="000000"/>
          <w:sz w:val="24"/>
          <w:szCs w:val="24"/>
          <w:lang w:val="es-ES" w:eastAsia="es-CO"/>
        </w:rPr>
        <w:t xml:space="preserve"> </w:t>
      </w:r>
      <w:r w:rsidR="002A2E49" w:rsidRPr="002A2E49">
        <w:rPr>
          <w:rFonts w:eastAsia="Arial"/>
          <w:color w:val="000000"/>
          <w:sz w:val="24"/>
          <w:szCs w:val="24"/>
          <w:lang w:eastAsia="es-CO"/>
        </w:rPr>
        <w:t>en los literales a) y b) del artículo 17 de la Ley 144 de 1994 y en el numeral 6° del artículo 188 del Código Contencioso Administrativo</w:t>
      </w:r>
      <w:r w:rsidR="006C2295">
        <w:rPr>
          <w:rFonts w:eastAsia="Arial"/>
          <w:color w:val="000000"/>
          <w:sz w:val="24"/>
          <w:szCs w:val="24"/>
          <w:lang w:eastAsia="es-CO"/>
        </w:rPr>
        <w:t xml:space="preserve"> (CCA)</w:t>
      </w:r>
      <w:r w:rsidR="002A2E49">
        <w:rPr>
          <w:rFonts w:eastAsia="Arial"/>
          <w:color w:val="000000"/>
          <w:sz w:val="24"/>
          <w:szCs w:val="24"/>
          <w:lang w:eastAsia="es-CO"/>
        </w:rPr>
        <w:t>.</w:t>
      </w:r>
    </w:p>
    <w:p w14:paraId="15897396" w14:textId="77777777" w:rsidR="002A2E49" w:rsidRPr="00844003" w:rsidRDefault="002A2E49" w:rsidP="00B25A4C">
      <w:pPr>
        <w:spacing w:line="276" w:lineRule="auto"/>
        <w:contextualSpacing/>
        <w:rPr>
          <w:rFonts w:eastAsia="Arial"/>
          <w:color w:val="000000"/>
          <w:sz w:val="24"/>
          <w:szCs w:val="24"/>
          <w:lang w:val="es-ES" w:eastAsia="es-CO"/>
        </w:rPr>
      </w:pPr>
    </w:p>
    <w:p w14:paraId="3D09E7DC" w14:textId="1F403924" w:rsidR="0024432D" w:rsidRPr="00844003" w:rsidRDefault="00103707" w:rsidP="00B25A4C">
      <w:pPr>
        <w:spacing w:line="276" w:lineRule="auto"/>
        <w:contextualSpacing/>
        <w:rPr>
          <w:rFonts w:eastAsia="Arial"/>
          <w:color w:val="000000"/>
          <w:sz w:val="24"/>
          <w:szCs w:val="24"/>
          <w:lang w:val="es-ES" w:eastAsia="es-CO"/>
        </w:rPr>
      </w:pPr>
      <w:r w:rsidRPr="00844003">
        <w:rPr>
          <w:rFonts w:eastAsia="Arial"/>
          <w:b/>
          <w:color w:val="000000"/>
          <w:sz w:val="24"/>
          <w:szCs w:val="24"/>
          <w:lang w:val="es-ES" w:eastAsia="es-CO"/>
        </w:rPr>
        <w:t>2.6</w:t>
      </w:r>
      <w:r w:rsidR="0024432D" w:rsidRPr="00844003">
        <w:rPr>
          <w:rFonts w:eastAsia="Arial"/>
          <w:b/>
          <w:color w:val="000000"/>
          <w:sz w:val="24"/>
          <w:szCs w:val="24"/>
          <w:lang w:val="es-ES" w:eastAsia="es-CO"/>
        </w:rPr>
        <w:t xml:space="preserve">. </w:t>
      </w:r>
      <w:r w:rsidR="0024432D" w:rsidRPr="00844003">
        <w:rPr>
          <w:rFonts w:eastAsia="Arial"/>
          <w:color w:val="000000"/>
          <w:sz w:val="24"/>
          <w:szCs w:val="24"/>
          <w:lang w:val="es-ES" w:eastAsia="es-CO"/>
        </w:rPr>
        <w:t xml:space="preserve">El despacho sustanciador de la Sala Plena del Consejo de Estado, con auto del 3 de noviembre de 2015, </w:t>
      </w:r>
      <w:r w:rsidR="00D930F7" w:rsidRPr="00844003">
        <w:rPr>
          <w:rFonts w:eastAsia="Arial"/>
          <w:color w:val="000000"/>
          <w:sz w:val="24"/>
          <w:szCs w:val="24"/>
          <w:lang w:val="es-ES" w:eastAsia="es-CO"/>
        </w:rPr>
        <w:t>admitió el referido recurso extraordinario de revisión interpuesto.</w:t>
      </w:r>
    </w:p>
    <w:p w14:paraId="43CEE0AF" w14:textId="37D71044" w:rsidR="00997AC5" w:rsidRPr="00844003" w:rsidRDefault="00997AC5" w:rsidP="00B25A4C">
      <w:pPr>
        <w:spacing w:line="276" w:lineRule="auto"/>
        <w:contextualSpacing/>
        <w:rPr>
          <w:b/>
          <w:sz w:val="24"/>
          <w:szCs w:val="24"/>
        </w:rPr>
      </w:pPr>
    </w:p>
    <w:p w14:paraId="07B17072" w14:textId="552758A3" w:rsidR="00937471" w:rsidRPr="00844003" w:rsidRDefault="00937471" w:rsidP="00B25A4C">
      <w:pPr>
        <w:overflowPunct w:val="0"/>
        <w:autoSpaceDE w:val="0"/>
        <w:autoSpaceDN w:val="0"/>
        <w:adjustRightInd w:val="0"/>
        <w:spacing w:line="276" w:lineRule="auto"/>
        <w:contextualSpacing/>
        <w:rPr>
          <w:rFonts w:eastAsia="Times New Roman"/>
          <w:b/>
          <w:sz w:val="24"/>
          <w:szCs w:val="24"/>
          <w:lang w:eastAsia="es-ES"/>
        </w:rPr>
      </w:pPr>
      <w:r w:rsidRPr="00844003">
        <w:rPr>
          <w:rFonts w:eastAsia="Times New Roman"/>
          <w:b/>
          <w:sz w:val="24"/>
          <w:szCs w:val="24"/>
          <w:lang w:eastAsia="es-ES"/>
        </w:rPr>
        <w:t xml:space="preserve">3. Pretensiones </w:t>
      </w:r>
      <w:r w:rsidRPr="00844003">
        <w:rPr>
          <w:rFonts w:eastAsia="Arial Unicode MS"/>
          <w:b/>
          <w:sz w:val="24"/>
          <w:szCs w:val="24"/>
        </w:rPr>
        <w:t>de la solicitud de tutela</w:t>
      </w:r>
    </w:p>
    <w:p w14:paraId="3D3367E2" w14:textId="77A76B23" w:rsidR="00937471" w:rsidRPr="00844003" w:rsidRDefault="00937471" w:rsidP="00B25A4C">
      <w:pPr>
        <w:overflowPunct w:val="0"/>
        <w:autoSpaceDE w:val="0"/>
        <w:autoSpaceDN w:val="0"/>
        <w:adjustRightInd w:val="0"/>
        <w:spacing w:line="276" w:lineRule="auto"/>
        <w:contextualSpacing/>
        <w:rPr>
          <w:rFonts w:eastAsia="Times New Roman"/>
          <w:sz w:val="24"/>
          <w:szCs w:val="24"/>
          <w:lang w:eastAsia="es-ES"/>
        </w:rPr>
      </w:pPr>
    </w:p>
    <w:p w14:paraId="6CC61DB1" w14:textId="2A3375BF" w:rsidR="00D930F7" w:rsidRPr="00844003" w:rsidRDefault="00D930F7" w:rsidP="00B25A4C">
      <w:pPr>
        <w:overflowPunct w:val="0"/>
        <w:autoSpaceDE w:val="0"/>
        <w:autoSpaceDN w:val="0"/>
        <w:adjustRightInd w:val="0"/>
        <w:spacing w:line="276" w:lineRule="auto"/>
        <w:contextualSpacing/>
        <w:rPr>
          <w:rFonts w:eastAsia="Times New Roman"/>
          <w:sz w:val="24"/>
          <w:szCs w:val="24"/>
          <w:lang w:eastAsia="es-ES"/>
        </w:rPr>
      </w:pPr>
      <w:r w:rsidRPr="00844003">
        <w:rPr>
          <w:rFonts w:eastAsia="Times New Roman"/>
          <w:sz w:val="24"/>
          <w:szCs w:val="24"/>
          <w:lang w:eastAsia="es-ES"/>
        </w:rPr>
        <w:t>La parte accionante solicita que se “declare la prosperidad de la presente acción de tutela”</w:t>
      </w:r>
      <w:r w:rsidR="002A2E49">
        <w:rPr>
          <w:rStyle w:val="Refdenotaalpie"/>
          <w:rFonts w:eastAsia="Times New Roman"/>
          <w:sz w:val="24"/>
          <w:szCs w:val="24"/>
          <w:lang w:eastAsia="es-ES"/>
        </w:rPr>
        <w:footnoteReference w:id="3"/>
      </w:r>
      <w:r w:rsidRPr="00844003">
        <w:rPr>
          <w:rFonts w:eastAsia="Times New Roman"/>
          <w:sz w:val="24"/>
          <w:szCs w:val="24"/>
          <w:lang w:eastAsia="es-ES"/>
        </w:rPr>
        <w:t xml:space="preserve"> y se deje sin efecto el fallo d</w:t>
      </w:r>
      <w:r w:rsidR="00103707" w:rsidRPr="00844003">
        <w:rPr>
          <w:rFonts w:eastAsia="Times New Roman"/>
          <w:sz w:val="24"/>
          <w:szCs w:val="24"/>
          <w:lang w:eastAsia="es-ES"/>
        </w:rPr>
        <w:t>el 27 de julio de 2010 proferido</w:t>
      </w:r>
      <w:r w:rsidRPr="00844003">
        <w:rPr>
          <w:rFonts w:eastAsia="Times New Roman"/>
          <w:sz w:val="24"/>
          <w:szCs w:val="24"/>
          <w:lang w:eastAsia="es-ES"/>
        </w:rPr>
        <w:t xml:space="preserve"> por la Sala Plena del Consejo de Estado, para que, en consecuencia, </w:t>
      </w:r>
      <w:r w:rsidR="00961510">
        <w:rPr>
          <w:rFonts w:eastAsia="Times New Roman"/>
          <w:sz w:val="24"/>
          <w:szCs w:val="24"/>
          <w:lang w:eastAsia="es-ES"/>
        </w:rPr>
        <w:t>esta Corporación</w:t>
      </w:r>
      <w:r w:rsidRPr="00844003">
        <w:rPr>
          <w:rFonts w:eastAsia="Times New Roman"/>
          <w:sz w:val="24"/>
          <w:szCs w:val="24"/>
          <w:lang w:eastAsia="es-ES"/>
        </w:rPr>
        <w:t xml:space="preserve"> le habilite </w:t>
      </w:r>
      <w:r w:rsidR="00A71555" w:rsidRPr="00844003">
        <w:rPr>
          <w:rFonts w:eastAsia="Times New Roman"/>
          <w:sz w:val="24"/>
          <w:szCs w:val="24"/>
          <w:lang w:eastAsia="es-ES"/>
        </w:rPr>
        <w:t>la oportunidad de</w:t>
      </w:r>
      <w:r w:rsidRPr="00844003">
        <w:rPr>
          <w:rFonts w:eastAsia="Times New Roman"/>
          <w:sz w:val="24"/>
          <w:szCs w:val="24"/>
          <w:lang w:eastAsia="es-ES"/>
        </w:rPr>
        <w:t xml:space="preserve"> presentar “el recurso de doble conformidad contra la aludida sentencia”</w:t>
      </w:r>
      <w:r w:rsidR="002B7A72" w:rsidRPr="00844003">
        <w:rPr>
          <w:rStyle w:val="Refdenotaalpie"/>
          <w:rFonts w:eastAsia="Times New Roman"/>
          <w:sz w:val="24"/>
          <w:szCs w:val="24"/>
          <w:lang w:eastAsia="es-ES"/>
        </w:rPr>
        <w:footnoteReference w:id="4"/>
      </w:r>
      <w:r w:rsidRPr="00844003">
        <w:rPr>
          <w:rFonts w:eastAsia="Times New Roman"/>
          <w:sz w:val="24"/>
          <w:szCs w:val="24"/>
          <w:lang w:eastAsia="es-ES"/>
        </w:rPr>
        <w:t>.</w:t>
      </w:r>
    </w:p>
    <w:p w14:paraId="7ADCB1DE" w14:textId="33E0968C" w:rsidR="00917A62" w:rsidRPr="00844003" w:rsidRDefault="00917A62" w:rsidP="00B25A4C">
      <w:pPr>
        <w:overflowPunct w:val="0"/>
        <w:autoSpaceDE w:val="0"/>
        <w:autoSpaceDN w:val="0"/>
        <w:adjustRightInd w:val="0"/>
        <w:spacing w:line="276" w:lineRule="auto"/>
        <w:contextualSpacing/>
        <w:rPr>
          <w:rFonts w:eastAsia="Times New Roman"/>
          <w:sz w:val="24"/>
          <w:szCs w:val="24"/>
          <w:lang w:eastAsia="es-ES"/>
        </w:rPr>
      </w:pPr>
    </w:p>
    <w:p w14:paraId="40B5CC22" w14:textId="1545922B" w:rsidR="00917A62" w:rsidRPr="00844003" w:rsidRDefault="00917A62" w:rsidP="00B25A4C">
      <w:pPr>
        <w:overflowPunct w:val="0"/>
        <w:autoSpaceDE w:val="0"/>
        <w:autoSpaceDN w:val="0"/>
        <w:adjustRightInd w:val="0"/>
        <w:spacing w:line="276" w:lineRule="auto"/>
        <w:rPr>
          <w:rFonts w:eastAsia="Times New Roman"/>
          <w:sz w:val="24"/>
          <w:szCs w:val="24"/>
          <w:lang w:eastAsia="es-ES"/>
        </w:rPr>
      </w:pPr>
      <w:r w:rsidRPr="00844003">
        <w:rPr>
          <w:rFonts w:eastAsia="Times New Roman"/>
          <w:b/>
          <w:sz w:val="24"/>
          <w:szCs w:val="24"/>
          <w:lang w:eastAsia="es-ES"/>
        </w:rPr>
        <w:t>4. Argumentos de la solicitud de tutela</w:t>
      </w:r>
    </w:p>
    <w:p w14:paraId="0948665B" w14:textId="768B3EB0" w:rsidR="00CF0F7B" w:rsidRPr="00844003" w:rsidRDefault="00CF0F7B" w:rsidP="00B25A4C">
      <w:pPr>
        <w:overflowPunct w:val="0"/>
        <w:autoSpaceDE w:val="0"/>
        <w:autoSpaceDN w:val="0"/>
        <w:adjustRightInd w:val="0"/>
        <w:spacing w:line="276" w:lineRule="auto"/>
        <w:contextualSpacing/>
        <w:rPr>
          <w:rFonts w:eastAsia="Times New Roman"/>
          <w:sz w:val="24"/>
          <w:szCs w:val="24"/>
          <w:lang w:eastAsia="es-ES"/>
        </w:rPr>
      </w:pPr>
    </w:p>
    <w:p w14:paraId="646DFFBA" w14:textId="3515FDD7" w:rsidR="001844D1" w:rsidRPr="00844003" w:rsidRDefault="00103707" w:rsidP="00B25A4C">
      <w:pPr>
        <w:overflowPunct w:val="0"/>
        <w:autoSpaceDE w:val="0"/>
        <w:autoSpaceDN w:val="0"/>
        <w:adjustRightInd w:val="0"/>
        <w:spacing w:line="276" w:lineRule="auto"/>
        <w:rPr>
          <w:sz w:val="24"/>
        </w:rPr>
      </w:pPr>
      <w:r w:rsidRPr="00844003">
        <w:rPr>
          <w:sz w:val="24"/>
        </w:rPr>
        <w:t>Como sustento de sus peticiones, l</w:t>
      </w:r>
      <w:r w:rsidR="00A71555" w:rsidRPr="00844003">
        <w:rPr>
          <w:sz w:val="24"/>
        </w:rPr>
        <w:t>a parte accionante presenta los siguientes argumentos en el escrito de tutela</w:t>
      </w:r>
      <w:r w:rsidR="00CD0A8F" w:rsidRPr="00844003">
        <w:rPr>
          <w:rStyle w:val="Refdenotaalpie"/>
          <w:sz w:val="24"/>
        </w:rPr>
        <w:footnoteReference w:id="5"/>
      </w:r>
      <w:r w:rsidR="00A71555" w:rsidRPr="00844003">
        <w:rPr>
          <w:sz w:val="24"/>
        </w:rPr>
        <w:t>:</w:t>
      </w:r>
    </w:p>
    <w:p w14:paraId="3BFD971E" w14:textId="6ABC3547" w:rsidR="00A71555" w:rsidRPr="00844003" w:rsidRDefault="00A71555" w:rsidP="00B25A4C">
      <w:pPr>
        <w:overflowPunct w:val="0"/>
        <w:autoSpaceDE w:val="0"/>
        <w:autoSpaceDN w:val="0"/>
        <w:adjustRightInd w:val="0"/>
        <w:spacing w:line="276" w:lineRule="auto"/>
        <w:rPr>
          <w:sz w:val="24"/>
        </w:rPr>
      </w:pPr>
    </w:p>
    <w:p w14:paraId="5154C261" w14:textId="0B6C14A2" w:rsidR="00A71555" w:rsidRPr="00844003" w:rsidRDefault="007A6554" w:rsidP="00B25A4C">
      <w:pPr>
        <w:overflowPunct w:val="0"/>
        <w:autoSpaceDE w:val="0"/>
        <w:autoSpaceDN w:val="0"/>
        <w:adjustRightInd w:val="0"/>
        <w:spacing w:line="276" w:lineRule="auto"/>
        <w:rPr>
          <w:sz w:val="24"/>
        </w:rPr>
      </w:pPr>
      <w:r w:rsidRPr="00844003">
        <w:rPr>
          <w:b/>
          <w:sz w:val="24"/>
        </w:rPr>
        <w:t xml:space="preserve">4.1. </w:t>
      </w:r>
      <w:r w:rsidR="00A71555" w:rsidRPr="00844003">
        <w:rPr>
          <w:sz w:val="24"/>
        </w:rPr>
        <w:t>La sentencia del 17 de noviembre de 2009 proferida por la Corte Interamericana de Derechos Humanos</w:t>
      </w:r>
      <w:r w:rsidR="00B25A4C" w:rsidRPr="00844003">
        <w:rPr>
          <w:sz w:val="24"/>
        </w:rPr>
        <w:t xml:space="preserve"> (en adelante, la CIDH)</w:t>
      </w:r>
      <w:r w:rsidR="00A71555" w:rsidRPr="00844003">
        <w:rPr>
          <w:sz w:val="24"/>
        </w:rPr>
        <w:t>, en el caso Barreto Leiva vs Venezuela, establece claramente que aun el aforado inmerso en el proceso judicial sancionatorio</w:t>
      </w:r>
      <w:r w:rsidR="00961510">
        <w:rPr>
          <w:sz w:val="24"/>
        </w:rPr>
        <w:t>,</w:t>
      </w:r>
      <w:r w:rsidR="00A71555" w:rsidRPr="00844003">
        <w:rPr>
          <w:sz w:val="24"/>
        </w:rPr>
        <w:t xml:space="preserve"> debe gozar de la garantía de la impugnación; por lo que, a partir de aquel pronunciamiento, es claro que debe existir un trámite que permita cumplir el principio de la doble conformidad. Sin embargo, en Colombia no existe </w:t>
      </w:r>
      <w:r w:rsidR="002A2E49">
        <w:rPr>
          <w:sz w:val="24"/>
        </w:rPr>
        <w:t>tal posibilidad.</w:t>
      </w:r>
    </w:p>
    <w:p w14:paraId="779F72F6" w14:textId="4DAAF85F" w:rsidR="00A71555" w:rsidRPr="00844003" w:rsidRDefault="00A71555" w:rsidP="00B25A4C">
      <w:pPr>
        <w:overflowPunct w:val="0"/>
        <w:autoSpaceDE w:val="0"/>
        <w:autoSpaceDN w:val="0"/>
        <w:adjustRightInd w:val="0"/>
        <w:spacing w:line="276" w:lineRule="auto"/>
        <w:rPr>
          <w:sz w:val="24"/>
        </w:rPr>
      </w:pPr>
    </w:p>
    <w:p w14:paraId="3307426F" w14:textId="4E78D586" w:rsidR="00A71555" w:rsidRPr="00844003" w:rsidRDefault="007A6554" w:rsidP="00B25A4C">
      <w:pPr>
        <w:overflowPunct w:val="0"/>
        <w:autoSpaceDE w:val="0"/>
        <w:autoSpaceDN w:val="0"/>
        <w:adjustRightInd w:val="0"/>
        <w:spacing w:line="276" w:lineRule="auto"/>
        <w:rPr>
          <w:sz w:val="24"/>
        </w:rPr>
      </w:pPr>
      <w:r w:rsidRPr="00844003">
        <w:rPr>
          <w:b/>
          <w:sz w:val="24"/>
        </w:rPr>
        <w:t xml:space="preserve">4.2. </w:t>
      </w:r>
      <w:r w:rsidR="00A71555" w:rsidRPr="00844003">
        <w:rPr>
          <w:sz w:val="24"/>
        </w:rPr>
        <w:t xml:space="preserve">La sentencia </w:t>
      </w:r>
      <w:r w:rsidR="000B4EEA">
        <w:rPr>
          <w:sz w:val="24"/>
        </w:rPr>
        <w:t xml:space="preserve">objeto de su </w:t>
      </w:r>
      <w:r w:rsidR="00A71555" w:rsidRPr="00844003">
        <w:rPr>
          <w:sz w:val="24"/>
        </w:rPr>
        <w:t>reproch</w:t>
      </w:r>
      <w:r w:rsidR="000B4EEA">
        <w:rPr>
          <w:sz w:val="24"/>
        </w:rPr>
        <w:t>e</w:t>
      </w:r>
      <w:r w:rsidR="00103707" w:rsidRPr="00844003">
        <w:rPr>
          <w:sz w:val="24"/>
        </w:rPr>
        <w:t>, por un lado,</w:t>
      </w:r>
      <w:r w:rsidR="00492256" w:rsidRPr="00844003">
        <w:rPr>
          <w:sz w:val="24"/>
        </w:rPr>
        <w:t xml:space="preserve"> </w:t>
      </w:r>
      <w:r w:rsidR="00103707" w:rsidRPr="00844003">
        <w:rPr>
          <w:sz w:val="24"/>
        </w:rPr>
        <w:t xml:space="preserve">desconoce sus derechos políticos, como </w:t>
      </w:r>
      <w:r w:rsidR="002A2E49">
        <w:rPr>
          <w:sz w:val="24"/>
        </w:rPr>
        <w:t>por ejemplo el acceso a</w:t>
      </w:r>
      <w:r w:rsidR="00103707" w:rsidRPr="00844003">
        <w:rPr>
          <w:sz w:val="24"/>
        </w:rPr>
        <w:t xml:space="preserve"> un cargo público de elección popular</w:t>
      </w:r>
      <w:r w:rsidR="00AC3047" w:rsidRPr="00844003">
        <w:rPr>
          <w:sz w:val="24"/>
        </w:rPr>
        <w:t>;</w:t>
      </w:r>
      <w:r w:rsidR="00103707" w:rsidRPr="00844003">
        <w:rPr>
          <w:sz w:val="24"/>
        </w:rPr>
        <w:t xml:space="preserve"> y, por el otro, </w:t>
      </w:r>
      <w:r w:rsidR="00492256" w:rsidRPr="00844003">
        <w:rPr>
          <w:sz w:val="24"/>
        </w:rPr>
        <w:t>le</w:t>
      </w:r>
      <w:r w:rsidR="00A71555" w:rsidRPr="00844003">
        <w:rPr>
          <w:sz w:val="24"/>
        </w:rPr>
        <w:t xml:space="preserve"> </w:t>
      </w:r>
      <w:r w:rsidR="00492256" w:rsidRPr="00844003">
        <w:rPr>
          <w:sz w:val="24"/>
        </w:rPr>
        <w:t xml:space="preserve">causa un perjuicio irremediable, </w:t>
      </w:r>
      <w:r w:rsidR="00AC3047" w:rsidRPr="00844003">
        <w:rPr>
          <w:sz w:val="24"/>
        </w:rPr>
        <w:t>al no permitírsele</w:t>
      </w:r>
      <w:r w:rsidR="00492256" w:rsidRPr="00844003">
        <w:rPr>
          <w:sz w:val="24"/>
        </w:rPr>
        <w:t xml:space="preserve"> </w:t>
      </w:r>
      <w:r w:rsidR="00961510">
        <w:rPr>
          <w:sz w:val="24"/>
        </w:rPr>
        <w:t>el ejercicio del</w:t>
      </w:r>
      <w:r w:rsidR="00492256" w:rsidRPr="00844003">
        <w:rPr>
          <w:sz w:val="24"/>
        </w:rPr>
        <w:t xml:space="preserve"> </w:t>
      </w:r>
      <w:r w:rsidR="00AC3047" w:rsidRPr="00844003">
        <w:rPr>
          <w:sz w:val="24"/>
        </w:rPr>
        <w:t>derecho a la doble conformidad.</w:t>
      </w:r>
    </w:p>
    <w:p w14:paraId="1C447528" w14:textId="309BAC8D" w:rsidR="00492256" w:rsidRPr="00844003" w:rsidRDefault="00492256" w:rsidP="00B25A4C">
      <w:pPr>
        <w:overflowPunct w:val="0"/>
        <w:autoSpaceDE w:val="0"/>
        <w:autoSpaceDN w:val="0"/>
        <w:adjustRightInd w:val="0"/>
        <w:spacing w:line="276" w:lineRule="auto"/>
        <w:rPr>
          <w:sz w:val="24"/>
        </w:rPr>
      </w:pPr>
    </w:p>
    <w:p w14:paraId="6495F66F" w14:textId="30BDB2FD" w:rsidR="00AA2139" w:rsidRPr="00844003" w:rsidRDefault="007A6554" w:rsidP="00B25A4C">
      <w:pPr>
        <w:overflowPunct w:val="0"/>
        <w:autoSpaceDE w:val="0"/>
        <w:autoSpaceDN w:val="0"/>
        <w:adjustRightInd w:val="0"/>
        <w:spacing w:line="276" w:lineRule="auto"/>
        <w:rPr>
          <w:sz w:val="24"/>
        </w:rPr>
      </w:pPr>
      <w:r w:rsidRPr="00844003">
        <w:rPr>
          <w:b/>
          <w:sz w:val="24"/>
        </w:rPr>
        <w:lastRenderedPageBreak/>
        <w:t xml:space="preserve">4.3. </w:t>
      </w:r>
      <w:r w:rsidR="00492256" w:rsidRPr="00844003">
        <w:rPr>
          <w:sz w:val="24"/>
        </w:rPr>
        <w:t xml:space="preserve">En </w:t>
      </w:r>
      <w:r w:rsidR="00AC3047" w:rsidRPr="00844003">
        <w:rPr>
          <w:sz w:val="24"/>
        </w:rPr>
        <w:t>el caso concreto</w:t>
      </w:r>
      <w:r w:rsidR="00492256" w:rsidRPr="00844003">
        <w:rPr>
          <w:sz w:val="24"/>
        </w:rPr>
        <w:t xml:space="preserve"> resulta proceden</w:t>
      </w:r>
      <w:r w:rsidR="00500231" w:rsidRPr="00844003">
        <w:rPr>
          <w:sz w:val="24"/>
        </w:rPr>
        <w:t xml:space="preserve">te aplicar </w:t>
      </w:r>
      <w:r w:rsidR="00AA2139" w:rsidRPr="00844003">
        <w:rPr>
          <w:sz w:val="24"/>
        </w:rPr>
        <w:t>el principio de favorabilidad</w:t>
      </w:r>
      <w:r w:rsidR="00500231" w:rsidRPr="00844003">
        <w:rPr>
          <w:sz w:val="24"/>
        </w:rPr>
        <w:t>,</w:t>
      </w:r>
      <w:r w:rsidR="00AA2139" w:rsidRPr="00844003">
        <w:rPr>
          <w:sz w:val="24"/>
        </w:rPr>
        <w:t xml:space="preserve"> para habilitar la posibilidad de </w:t>
      </w:r>
      <w:r w:rsidR="00500231" w:rsidRPr="00844003">
        <w:rPr>
          <w:sz w:val="24"/>
        </w:rPr>
        <w:t xml:space="preserve">impugnar </w:t>
      </w:r>
      <w:r w:rsidR="006E541C">
        <w:rPr>
          <w:sz w:val="24"/>
        </w:rPr>
        <w:t>el fallo acusado</w:t>
      </w:r>
      <w:r w:rsidR="00500231" w:rsidRPr="00844003">
        <w:rPr>
          <w:sz w:val="24"/>
        </w:rPr>
        <w:t>, toda vez que la sentencia SU-146 de 2020 proferida por la Corte Constitucional exige, como componente del debido proceso, la garantía a la doble conformidad para fallos condenatorios penales y aquellos que son sancionatorios de carác</w:t>
      </w:r>
      <w:r w:rsidR="00961510">
        <w:rPr>
          <w:sz w:val="24"/>
        </w:rPr>
        <w:t>ter disciplinario</w:t>
      </w:r>
      <w:r w:rsidR="00500231" w:rsidRPr="00844003">
        <w:rPr>
          <w:sz w:val="24"/>
        </w:rPr>
        <w:t xml:space="preserve">. </w:t>
      </w:r>
    </w:p>
    <w:p w14:paraId="0EF5FE82" w14:textId="77777777" w:rsidR="00AA2139" w:rsidRPr="00844003" w:rsidRDefault="00AA2139" w:rsidP="00B25A4C">
      <w:pPr>
        <w:overflowPunct w:val="0"/>
        <w:autoSpaceDE w:val="0"/>
        <w:autoSpaceDN w:val="0"/>
        <w:adjustRightInd w:val="0"/>
        <w:spacing w:line="276" w:lineRule="auto"/>
        <w:rPr>
          <w:sz w:val="24"/>
        </w:rPr>
      </w:pPr>
    </w:p>
    <w:p w14:paraId="2C00E951" w14:textId="3FFC6EEE" w:rsidR="00864EA7" w:rsidRPr="00844003" w:rsidRDefault="007A6554" w:rsidP="00B25A4C">
      <w:pPr>
        <w:overflowPunct w:val="0"/>
        <w:autoSpaceDE w:val="0"/>
        <w:autoSpaceDN w:val="0"/>
        <w:adjustRightInd w:val="0"/>
        <w:spacing w:line="276" w:lineRule="auto"/>
        <w:rPr>
          <w:sz w:val="24"/>
          <w:szCs w:val="24"/>
        </w:rPr>
      </w:pPr>
      <w:r w:rsidRPr="00844003">
        <w:rPr>
          <w:b/>
          <w:sz w:val="24"/>
          <w:szCs w:val="24"/>
        </w:rPr>
        <w:t xml:space="preserve">4.4. </w:t>
      </w:r>
      <w:r w:rsidR="00864EA7" w:rsidRPr="00844003">
        <w:rPr>
          <w:sz w:val="24"/>
          <w:szCs w:val="24"/>
        </w:rPr>
        <w:t>La</w:t>
      </w:r>
      <w:r w:rsidR="000B4EEA">
        <w:rPr>
          <w:sz w:val="24"/>
          <w:szCs w:val="24"/>
        </w:rPr>
        <w:t xml:space="preserve"> </w:t>
      </w:r>
      <w:r w:rsidR="000B4EEA" w:rsidRPr="00844003">
        <w:rPr>
          <w:bCs/>
          <w:sz w:val="24"/>
          <w:szCs w:val="24"/>
        </w:rPr>
        <w:t>Sala Plena del Consejo de Estado</w:t>
      </w:r>
      <w:r w:rsidR="000B4EEA">
        <w:rPr>
          <w:bCs/>
          <w:sz w:val="24"/>
          <w:szCs w:val="24"/>
        </w:rPr>
        <w:t>,</w:t>
      </w:r>
      <w:r w:rsidR="00864EA7" w:rsidRPr="00844003">
        <w:rPr>
          <w:sz w:val="24"/>
          <w:szCs w:val="24"/>
        </w:rPr>
        <w:t xml:space="preserve"> al proferir el fallo acusado:</w:t>
      </w:r>
      <w:r w:rsidR="00AC3047" w:rsidRPr="00844003">
        <w:rPr>
          <w:sz w:val="24"/>
          <w:szCs w:val="24"/>
        </w:rPr>
        <w:t xml:space="preserve"> </w:t>
      </w:r>
    </w:p>
    <w:p w14:paraId="034339E1" w14:textId="77777777" w:rsidR="00864EA7" w:rsidRPr="00844003" w:rsidRDefault="00864EA7" w:rsidP="00B25A4C">
      <w:pPr>
        <w:overflowPunct w:val="0"/>
        <w:autoSpaceDE w:val="0"/>
        <w:autoSpaceDN w:val="0"/>
        <w:adjustRightInd w:val="0"/>
        <w:spacing w:line="276" w:lineRule="auto"/>
        <w:rPr>
          <w:sz w:val="24"/>
          <w:szCs w:val="24"/>
        </w:rPr>
      </w:pPr>
    </w:p>
    <w:p w14:paraId="6445B789" w14:textId="0D7C48D7" w:rsidR="00AC3047" w:rsidRPr="00844003" w:rsidRDefault="00864EA7" w:rsidP="00B25A4C">
      <w:pPr>
        <w:overflowPunct w:val="0"/>
        <w:autoSpaceDE w:val="0"/>
        <w:autoSpaceDN w:val="0"/>
        <w:adjustRightInd w:val="0"/>
        <w:spacing w:line="276" w:lineRule="auto"/>
        <w:rPr>
          <w:sz w:val="24"/>
          <w:szCs w:val="24"/>
        </w:rPr>
      </w:pPr>
      <w:r w:rsidRPr="00844003">
        <w:rPr>
          <w:sz w:val="24"/>
          <w:szCs w:val="24"/>
        </w:rPr>
        <w:t>(i) desconoció</w:t>
      </w:r>
      <w:r w:rsidR="00AC3047" w:rsidRPr="00844003">
        <w:rPr>
          <w:sz w:val="24"/>
          <w:szCs w:val="24"/>
        </w:rPr>
        <w:t xml:space="preserve"> el principio de efectividad de los derechos fundamentales, al impedir el pleno disfrute de aquellos, a pesar de que es clara su vigencia y cumplimiento en la Carta Política.</w:t>
      </w:r>
    </w:p>
    <w:p w14:paraId="06EFB2D1" w14:textId="7BF32DAE" w:rsidR="00AA2139" w:rsidRPr="00844003" w:rsidRDefault="00AA2139" w:rsidP="00B25A4C">
      <w:pPr>
        <w:overflowPunct w:val="0"/>
        <w:autoSpaceDE w:val="0"/>
        <w:autoSpaceDN w:val="0"/>
        <w:adjustRightInd w:val="0"/>
        <w:spacing w:line="276" w:lineRule="auto"/>
        <w:rPr>
          <w:sz w:val="24"/>
          <w:szCs w:val="24"/>
        </w:rPr>
      </w:pPr>
    </w:p>
    <w:p w14:paraId="37287FCD" w14:textId="73474F9F" w:rsidR="007A6554" w:rsidRPr="00844003" w:rsidRDefault="00864EA7" w:rsidP="00B25A4C">
      <w:pPr>
        <w:overflowPunct w:val="0"/>
        <w:autoSpaceDE w:val="0"/>
        <w:autoSpaceDN w:val="0"/>
        <w:adjustRightInd w:val="0"/>
        <w:spacing w:line="276" w:lineRule="auto"/>
        <w:rPr>
          <w:sz w:val="24"/>
          <w:szCs w:val="24"/>
        </w:rPr>
      </w:pPr>
      <w:r w:rsidRPr="00844003">
        <w:rPr>
          <w:sz w:val="24"/>
          <w:szCs w:val="24"/>
        </w:rPr>
        <w:t>(ii) incurrió en</w:t>
      </w:r>
      <w:r w:rsidR="00AC3047" w:rsidRPr="00844003">
        <w:rPr>
          <w:sz w:val="24"/>
          <w:szCs w:val="24"/>
        </w:rPr>
        <w:t xml:space="preserve"> un defecto sustantivo por violación al derecho a la igualdad</w:t>
      </w:r>
      <w:r w:rsidR="00606DD9" w:rsidRPr="00844003">
        <w:rPr>
          <w:sz w:val="24"/>
          <w:szCs w:val="24"/>
        </w:rPr>
        <w:t xml:space="preserve">, al </w:t>
      </w:r>
      <w:r w:rsidRPr="00844003">
        <w:rPr>
          <w:sz w:val="24"/>
          <w:szCs w:val="24"/>
        </w:rPr>
        <w:t>cometer</w:t>
      </w:r>
      <w:r w:rsidR="00606DD9" w:rsidRPr="00844003">
        <w:rPr>
          <w:sz w:val="24"/>
          <w:szCs w:val="24"/>
        </w:rPr>
        <w:t xml:space="preserve"> una evidente discriminación cuando niega </w:t>
      </w:r>
      <w:r w:rsidR="007A6554" w:rsidRPr="00844003">
        <w:rPr>
          <w:sz w:val="24"/>
          <w:szCs w:val="24"/>
        </w:rPr>
        <w:t>la aplicación de normas jurídicas vigentes y aplicables</w:t>
      </w:r>
      <w:r w:rsidR="00AC3047" w:rsidRPr="00844003">
        <w:rPr>
          <w:sz w:val="24"/>
          <w:szCs w:val="24"/>
        </w:rPr>
        <w:t>,</w:t>
      </w:r>
      <w:r w:rsidR="007A6554" w:rsidRPr="00844003">
        <w:rPr>
          <w:sz w:val="24"/>
          <w:szCs w:val="24"/>
        </w:rPr>
        <w:t xml:space="preserve"> y de la jurisprudencia correspondiente</w:t>
      </w:r>
      <w:r w:rsidR="00606DD9" w:rsidRPr="00844003">
        <w:rPr>
          <w:sz w:val="24"/>
          <w:szCs w:val="24"/>
        </w:rPr>
        <w:t>, sin un fundamento razonable</w:t>
      </w:r>
      <w:r w:rsidR="007A6554" w:rsidRPr="00844003">
        <w:rPr>
          <w:sz w:val="24"/>
          <w:szCs w:val="24"/>
        </w:rPr>
        <w:t>.</w:t>
      </w:r>
      <w:r w:rsidRPr="00844003">
        <w:rPr>
          <w:sz w:val="24"/>
          <w:szCs w:val="24"/>
        </w:rPr>
        <w:t xml:space="preserve"> En este caso no concurría</w:t>
      </w:r>
      <w:r w:rsidR="00606DD9" w:rsidRPr="00844003">
        <w:rPr>
          <w:sz w:val="24"/>
          <w:szCs w:val="24"/>
        </w:rPr>
        <w:t xml:space="preserve">n los elementos propios de un trato distinto y admitido por la jurisprudencia constitucional. </w:t>
      </w:r>
    </w:p>
    <w:p w14:paraId="416FD46D" w14:textId="77777777" w:rsidR="007A6554" w:rsidRPr="00844003" w:rsidRDefault="007A6554" w:rsidP="00B25A4C">
      <w:pPr>
        <w:overflowPunct w:val="0"/>
        <w:autoSpaceDE w:val="0"/>
        <w:autoSpaceDN w:val="0"/>
        <w:adjustRightInd w:val="0"/>
        <w:spacing w:line="276" w:lineRule="auto"/>
        <w:rPr>
          <w:sz w:val="24"/>
          <w:szCs w:val="24"/>
        </w:rPr>
      </w:pPr>
    </w:p>
    <w:p w14:paraId="1ACC0D5A" w14:textId="6BAF2B4E" w:rsidR="00A73E8D" w:rsidRPr="00844003" w:rsidRDefault="00864EA7" w:rsidP="00B25A4C">
      <w:pPr>
        <w:overflowPunct w:val="0"/>
        <w:autoSpaceDE w:val="0"/>
        <w:autoSpaceDN w:val="0"/>
        <w:adjustRightInd w:val="0"/>
        <w:spacing w:line="276" w:lineRule="auto"/>
        <w:rPr>
          <w:sz w:val="24"/>
          <w:szCs w:val="24"/>
        </w:rPr>
      </w:pPr>
      <w:r w:rsidRPr="00844003">
        <w:rPr>
          <w:sz w:val="24"/>
          <w:szCs w:val="24"/>
        </w:rPr>
        <w:t>(iii) negó</w:t>
      </w:r>
      <w:r w:rsidR="00606DD9" w:rsidRPr="00844003">
        <w:rPr>
          <w:sz w:val="24"/>
          <w:szCs w:val="24"/>
        </w:rPr>
        <w:t xml:space="preserve"> la aplicación del principio </w:t>
      </w:r>
      <w:r w:rsidR="00606DD9" w:rsidRPr="00844003">
        <w:rPr>
          <w:i/>
          <w:sz w:val="24"/>
          <w:szCs w:val="24"/>
        </w:rPr>
        <w:t>pro homine</w:t>
      </w:r>
      <w:r w:rsidR="00606DD9" w:rsidRPr="00844003">
        <w:rPr>
          <w:sz w:val="24"/>
          <w:szCs w:val="24"/>
        </w:rPr>
        <w:t>, cuando pasa por alto la presencia de</w:t>
      </w:r>
      <w:r w:rsidR="007A6554" w:rsidRPr="00844003">
        <w:rPr>
          <w:sz w:val="24"/>
          <w:szCs w:val="24"/>
        </w:rPr>
        <w:t xml:space="preserve"> otra interpretación de los hech</w:t>
      </w:r>
      <w:r w:rsidR="00606DD9" w:rsidRPr="00844003">
        <w:rPr>
          <w:sz w:val="24"/>
          <w:szCs w:val="24"/>
        </w:rPr>
        <w:t xml:space="preserve">os objeto del proceso judicial ordinario, que </w:t>
      </w:r>
      <w:r w:rsidR="007A6554" w:rsidRPr="00844003">
        <w:rPr>
          <w:sz w:val="24"/>
          <w:szCs w:val="24"/>
        </w:rPr>
        <w:t>resulta más favorable al ser humano y a su dignidad</w:t>
      </w:r>
      <w:r w:rsidR="007A6554" w:rsidRPr="00844003">
        <w:rPr>
          <w:iCs/>
          <w:sz w:val="24"/>
          <w:szCs w:val="24"/>
        </w:rPr>
        <w:t>.</w:t>
      </w:r>
    </w:p>
    <w:p w14:paraId="4C4F05D6" w14:textId="3AE62DFE" w:rsidR="00A73E8D" w:rsidRPr="00844003" w:rsidRDefault="00A73E8D" w:rsidP="00B25A4C">
      <w:pPr>
        <w:overflowPunct w:val="0"/>
        <w:autoSpaceDE w:val="0"/>
        <w:autoSpaceDN w:val="0"/>
        <w:adjustRightInd w:val="0"/>
        <w:spacing w:line="276" w:lineRule="auto"/>
        <w:rPr>
          <w:sz w:val="24"/>
          <w:szCs w:val="24"/>
        </w:rPr>
      </w:pPr>
    </w:p>
    <w:p w14:paraId="35D2CD4E" w14:textId="2931CA97" w:rsidR="00937471" w:rsidRPr="00844003" w:rsidRDefault="001269EB" w:rsidP="00B25A4C">
      <w:pPr>
        <w:overflowPunct w:val="0"/>
        <w:autoSpaceDE w:val="0"/>
        <w:autoSpaceDN w:val="0"/>
        <w:adjustRightInd w:val="0"/>
        <w:spacing w:line="276" w:lineRule="auto"/>
        <w:contextualSpacing/>
        <w:rPr>
          <w:rFonts w:eastAsia="Times New Roman"/>
          <w:b/>
          <w:sz w:val="24"/>
          <w:szCs w:val="24"/>
          <w:lang w:eastAsia="es-ES"/>
        </w:rPr>
      </w:pPr>
      <w:r w:rsidRPr="00844003">
        <w:rPr>
          <w:b/>
          <w:sz w:val="24"/>
          <w:szCs w:val="24"/>
        </w:rPr>
        <w:t>5</w:t>
      </w:r>
      <w:r w:rsidR="00937471" w:rsidRPr="00844003">
        <w:rPr>
          <w:b/>
          <w:sz w:val="24"/>
          <w:szCs w:val="24"/>
        </w:rPr>
        <w:t xml:space="preserve">. Trámite de tutela </w:t>
      </w:r>
    </w:p>
    <w:p w14:paraId="5DB56046" w14:textId="77777777" w:rsidR="00A73E8D" w:rsidRPr="00844003" w:rsidRDefault="00A73E8D" w:rsidP="00B25A4C">
      <w:pPr>
        <w:overflowPunct w:val="0"/>
        <w:autoSpaceDE w:val="0"/>
        <w:autoSpaceDN w:val="0"/>
        <w:adjustRightInd w:val="0"/>
        <w:spacing w:line="276" w:lineRule="auto"/>
        <w:contextualSpacing/>
        <w:rPr>
          <w:sz w:val="24"/>
          <w:szCs w:val="24"/>
        </w:rPr>
      </w:pPr>
    </w:p>
    <w:p w14:paraId="6B92E9D6" w14:textId="2806F21A" w:rsidR="00F869D3" w:rsidRPr="00844003" w:rsidRDefault="007A6554" w:rsidP="00B25A4C">
      <w:pPr>
        <w:overflowPunct w:val="0"/>
        <w:autoSpaceDE w:val="0"/>
        <w:autoSpaceDN w:val="0"/>
        <w:adjustRightInd w:val="0"/>
        <w:spacing w:line="276" w:lineRule="auto"/>
        <w:contextualSpacing/>
        <w:rPr>
          <w:rFonts w:eastAsia="Verdana"/>
          <w:sz w:val="24"/>
          <w:szCs w:val="24"/>
        </w:rPr>
      </w:pPr>
      <w:r w:rsidRPr="00844003">
        <w:rPr>
          <w:b/>
          <w:sz w:val="24"/>
          <w:szCs w:val="24"/>
        </w:rPr>
        <w:t xml:space="preserve">5.1. </w:t>
      </w:r>
      <w:r w:rsidR="00362652" w:rsidRPr="00844003">
        <w:rPr>
          <w:sz w:val="24"/>
          <w:szCs w:val="24"/>
        </w:rPr>
        <w:t xml:space="preserve">La Secretaría General de esta Corporación repartió el expediente al magistrado de esta Subsección, Nicolás Yepes Corrales, quien </w:t>
      </w:r>
      <w:r w:rsidR="00F869D3" w:rsidRPr="00844003">
        <w:rPr>
          <w:rFonts w:eastAsia="Verdana"/>
          <w:sz w:val="24"/>
          <w:szCs w:val="24"/>
        </w:rPr>
        <w:t>manifestó que se encuentra incurso en la causal de impedimento para conocer del asunto, prevista en el numeral sexto del artículo 56 del Código de Procedimiento Penal</w:t>
      </w:r>
      <w:r w:rsidR="00F869D3" w:rsidRPr="00844003">
        <w:rPr>
          <w:rFonts w:eastAsia="Verdana"/>
          <w:sz w:val="24"/>
          <w:szCs w:val="24"/>
          <w:vertAlign w:val="superscript"/>
        </w:rPr>
        <w:footnoteReference w:id="6"/>
      </w:r>
      <w:r w:rsidR="00F869D3" w:rsidRPr="00844003">
        <w:rPr>
          <w:rFonts w:eastAsia="Verdana"/>
          <w:sz w:val="24"/>
          <w:szCs w:val="24"/>
        </w:rPr>
        <w:t xml:space="preserve">. Como sustento de lo anterior, </w:t>
      </w:r>
      <w:r w:rsidR="002A2E49">
        <w:rPr>
          <w:rFonts w:eastAsia="Verdana"/>
          <w:sz w:val="24"/>
          <w:szCs w:val="24"/>
        </w:rPr>
        <w:t xml:space="preserve">el señor Yepes Corrales </w:t>
      </w:r>
      <w:r w:rsidR="00F869D3" w:rsidRPr="00844003">
        <w:rPr>
          <w:rFonts w:eastAsia="Verdana"/>
          <w:sz w:val="24"/>
          <w:szCs w:val="24"/>
        </w:rPr>
        <w:t xml:space="preserve">expresó </w:t>
      </w:r>
      <w:r w:rsidR="00F869D3" w:rsidRPr="00844003">
        <w:rPr>
          <w:sz w:val="24"/>
          <w:szCs w:val="24"/>
        </w:rPr>
        <w:t xml:space="preserve">que es el </w:t>
      </w:r>
      <w:r w:rsidR="00362652" w:rsidRPr="00844003">
        <w:rPr>
          <w:sz w:val="24"/>
          <w:szCs w:val="24"/>
        </w:rPr>
        <w:t xml:space="preserve">magistrado ponente </w:t>
      </w:r>
      <w:r w:rsidR="00F869D3" w:rsidRPr="00844003">
        <w:rPr>
          <w:sz w:val="24"/>
          <w:szCs w:val="24"/>
        </w:rPr>
        <w:t xml:space="preserve">en el trámite del recurso extraordinario interpuesto en contra de la sentencia objeto del escrito de tutela </w:t>
      </w:r>
    </w:p>
    <w:p w14:paraId="4300FB94" w14:textId="77777777" w:rsidR="00362652" w:rsidRPr="00844003" w:rsidRDefault="00362652" w:rsidP="00B25A4C">
      <w:pPr>
        <w:overflowPunct w:val="0"/>
        <w:autoSpaceDE w:val="0"/>
        <w:autoSpaceDN w:val="0"/>
        <w:adjustRightInd w:val="0"/>
        <w:spacing w:line="276" w:lineRule="auto"/>
        <w:contextualSpacing/>
        <w:rPr>
          <w:sz w:val="24"/>
          <w:szCs w:val="24"/>
        </w:rPr>
      </w:pPr>
    </w:p>
    <w:p w14:paraId="72251B13" w14:textId="7ADED6F7" w:rsidR="00362652" w:rsidRPr="00844003" w:rsidRDefault="004758E5" w:rsidP="00B25A4C">
      <w:pPr>
        <w:overflowPunct w:val="0"/>
        <w:autoSpaceDE w:val="0"/>
        <w:autoSpaceDN w:val="0"/>
        <w:adjustRightInd w:val="0"/>
        <w:spacing w:line="276" w:lineRule="auto"/>
        <w:contextualSpacing/>
        <w:rPr>
          <w:rFonts w:eastAsia="Verdana"/>
          <w:sz w:val="24"/>
          <w:szCs w:val="24"/>
        </w:rPr>
      </w:pPr>
      <w:r w:rsidRPr="00844003">
        <w:rPr>
          <w:b/>
          <w:sz w:val="24"/>
          <w:szCs w:val="24"/>
        </w:rPr>
        <w:t>5.2</w:t>
      </w:r>
      <w:r w:rsidR="00F869D3" w:rsidRPr="00844003">
        <w:rPr>
          <w:b/>
          <w:sz w:val="24"/>
          <w:szCs w:val="24"/>
        </w:rPr>
        <w:t>.</w:t>
      </w:r>
      <w:r w:rsidR="00F869D3" w:rsidRPr="00844003">
        <w:rPr>
          <w:rFonts w:eastAsia="Verdana"/>
          <w:sz w:val="24"/>
          <w:szCs w:val="24"/>
        </w:rPr>
        <w:t xml:space="preserve"> El Despacho del magistrado</w:t>
      </w:r>
      <w:r w:rsidR="00BF1A9B">
        <w:rPr>
          <w:rFonts w:eastAsia="Verdana"/>
          <w:sz w:val="24"/>
          <w:szCs w:val="24"/>
        </w:rPr>
        <w:t xml:space="preserve"> de esta Subsección</w:t>
      </w:r>
      <w:r w:rsidR="00F869D3" w:rsidRPr="00844003">
        <w:rPr>
          <w:rFonts w:eastAsia="Verdana"/>
          <w:sz w:val="24"/>
          <w:szCs w:val="24"/>
        </w:rPr>
        <w:t xml:space="preserve">, Jaime Enrique Rodríguez Navas, declaró </w:t>
      </w:r>
      <w:r w:rsidR="00F869D3" w:rsidRPr="00844003">
        <w:rPr>
          <w:bCs/>
          <w:sz w:val="24"/>
          <w:szCs w:val="24"/>
        </w:rPr>
        <w:t>fundado</w:t>
      </w:r>
      <w:r w:rsidR="00F869D3" w:rsidRPr="00844003">
        <w:rPr>
          <w:sz w:val="24"/>
          <w:szCs w:val="24"/>
        </w:rPr>
        <w:t xml:space="preserve"> el impedimento manifestado por el magistrado, Nicolás Yepes Corrales, para conocer del presente proceso constitucional, y, en consecuencia, lo separó de este asunto. Lo anterior, por medio del auto 26 de octubre de 2020</w:t>
      </w:r>
      <w:r w:rsidR="00CD0A8F" w:rsidRPr="00844003">
        <w:rPr>
          <w:rStyle w:val="Refdenotaalpie"/>
          <w:sz w:val="24"/>
          <w:szCs w:val="24"/>
        </w:rPr>
        <w:footnoteReference w:id="7"/>
      </w:r>
      <w:r w:rsidR="00F869D3" w:rsidRPr="00844003">
        <w:rPr>
          <w:sz w:val="24"/>
          <w:szCs w:val="24"/>
        </w:rPr>
        <w:t>.</w:t>
      </w:r>
    </w:p>
    <w:p w14:paraId="729F838E" w14:textId="77777777" w:rsidR="00362652" w:rsidRPr="00844003" w:rsidRDefault="00362652" w:rsidP="00B25A4C">
      <w:pPr>
        <w:spacing w:line="276" w:lineRule="auto"/>
        <w:ind w:right="51"/>
        <w:contextualSpacing/>
        <w:rPr>
          <w:rFonts w:eastAsia="Verdana"/>
          <w:sz w:val="24"/>
          <w:szCs w:val="24"/>
        </w:rPr>
      </w:pPr>
    </w:p>
    <w:p w14:paraId="31D87640" w14:textId="6D9BFFAD" w:rsidR="00362652" w:rsidRPr="00844003" w:rsidRDefault="004758E5" w:rsidP="00B25A4C">
      <w:pPr>
        <w:spacing w:line="276" w:lineRule="auto"/>
        <w:ind w:right="51"/>
        <w:contextualSpacing/>
        <w:rPr>
          <w:sz w:val="24"/>
          <w:szCs w:val="24"/>
        </w:rPr>
      </w:pPr>
      <w:r w:rsidRPr="00844003">
        <w:rPr>
          <w:b/>
          <w:sz w:val="24"/>
          <w:szCs w:val="24"/>
        </w:rPr>
        <w:t xml:space="preserve">5.3. </w:t>
      </w:r>
      <w:r w:rsidR="00BF1A9B">
        <w:rPr>
          <w:sz w:val="24"/>
          <w:szCs w:val="24"/>
        </w:rPr>
        <w:t>Tras ello, el d</w:t>
      </w:r>
      <w:r w:rsidR="006E6C52" w:rsidRPr="00844003">
        <w:rPr>
          <w:sz w:val="24"/>
          <w:szCs w:val="24"/>
        </w:rPr>
        <w:t xml:space="preserve">espacho </w:t>
      </w:r>
      <w:r w:rsidR="00BF1A9B">
        <w:rPr>
          <w:rFonts w:eastAsia="Verdana"/>
          <w:sz w:val="24"/>
          <w:szCs w:val="24"/>
        </w:rPr>
        <w:t>sustanciador de la Sala</w:t>
      </w:r>
      <w:r w:rsidR="006E6C52" w:rsidRPr="00844003">
        <w:rPr>
          <w:rFonts w:eastAsia="Verdana"/>
          <w:sz w:val="24"/>
          <w:szCs w:val="24"/>
        </w:rPr>
        <w:t xml:space="preserve">, </w:t>
      </w:r>
      <w:r w:rsidR="006E6C52" w:rsidRPr="00844003">
        <w:rPr>
          <w:sz w:val="24"/>
          <w:szCs w:val="24"/>
        </w:rPr>
        <w:t>el 16 de diciembre de 2020, admitió la acción de tutela</w:t>
      </w:r>
      <w:r w:rsidR="006E6C52" w:rsidRPr="00844003">
        <w:rPr>
          <w:sz w:val="24"/>
          <w:szCs w:val="24"/>
          <w:vertAlign w:val="superscript"/>
        </w:rPr>
        <w:footnoteReference w:id="8"/>
      </w:r>
      <w:r w:rsidR="006E6C52" w:rsidRPr="00844003">
        <w:rPr>
          <w:sz w:val="24"/>
          <w:szCs w:val="24"/>
        </w:rPr>
        <w:t>.</w:t>
      </w:r>
    </w:p>
    <w:p w14:paraId="1317C916" w14:textId="6804C1E4" w:rsidR="006E6C52" w:rsidRPr="00844003" w:rsidRDefault="006E6C52" w:rsidP="00B25A4C">
      <w:pPr>
        <w:spacing w:line="276" w:lineRule="auto"/>
        <w:ind w:right="51"/>
        <w:contextualSpacing/>
        <w:rPr>
          <w:sz w:val="24"/>
          <w:szCs w:val="24"/>
        </w:rPr>
      </w:pPr>
    </w:p>
    <w:p w14:paraId="198F30E1" w14:textId="4ED12A81" w:rsidR="006E6C52" w:rsidRPr="00844003" w:rsidRDefault="006E6C52" w:rsidP="00B25A4C">
      <w:pPr>
        <w:spacing w:line="276" w:lineRule="auto"/>
        <w:ind w:right="51"/>
        <w:contextualSpacing/>
        <w:rPr>
          <w:sz w:val="24"/>
          <w:szCs w:val="24"/>
        </w:rPr>
      </w:pPr>
      <w:r w:rsidRPr="00844003">
        <w:rPr>
          <w:b/>
          <w:sz w:val="24"/>
          <w:szCs w:val="24"/>
        </w:rPr>
        <w:lastRenderedPageBreak/>
        <w:t xml:space="preserve">5.4. </w:t>
      </w:r>
      <w:r w:rsidRPr="00844003">
        <w:rPr>
          <w:sz w:val="24"/>
          <w:szCs w:val="24"/>
        </w:rPr>
        <w:t>Luego de la diligencia de notificación del auto admisorio, las partes y los sujetos vinculados guardaron silencio.</w:t>
      </w:r>
    </w:p>
    <w:p w14:paraId="0E3954AD" w14:textId="4762EDBB" w:rsidR="00864EA7" w:rsidRPr="00844003" w:rsidRDefault="00864EA7" w:rsidP="00B25A4C">
      <w:pPr>
        <w:overflowPunct w:val="0"/>
        <w:autoSpaceDE w:val="0"/>
        <w:autoSpaceDN w:val="0"/>
        <w:adjustRightInd w:val="0"/>
        <w:spacing w:line="276" w:lineRule="auto"/>
        <w:contextualSpacing/>
        <w:rPr>
          <w:sz w:val="24"/>
          <w:szCs w:val="24"/>
        </w:rPr>
      </w:pPr>
    </w:p>
    <w:p w14:paraId="75EC2292" w14:textId="1ACC381B" w:rsidR="00937471" w:rsidRPr="00844003" w:rsidRDefault="00937471" w:rsidP="00B25A4C">
      <w:pPr>
        <w:pStyle w:val="Ttulo1"/>
        <w:numPr>
          <w:ilvl w:val="0"/>
          <w:numId w:val="41"/>
        </w:numPr>
        <w:spacing w:before="0" w:after="0"/>
        <w:rPr>
          <w:rFonts w:cs="Arial"/>
          <w:szCs w:val="24"/>
          <w:lang w:val="es-ES_tradnl"/>
        </w:rPr>
      </w:pPr>
      <w:r w:rsidRPr="00844003">
        <w:rPr>
          <w:rFonts w:cs="Arial"/>
          <w:szCs w:val="24"/>
          <w:lang w:val="es-ES_tradnl"/>
        </w:rPr>
        <w:t>CONSIDERACIONES</w:t>
      </w:r>
    </w:p>
    <w:p w14:paraId="27911424" w14:textId="77777777" w:rsidR="00CD0A8F" w:rsidRPr="00844003" w:rsidRDefault="00CD0A8F" w:rsidP="00B25A4C">
      <w:pPr>
        <w:spacing w:line="276" w:lineRule="auto"/>
        <w:rPr>
          <w:sz w:val="24"/>
          <w:szCs w:val="24"/>
          <w:lang w:val="es-ES_tradnl"/>
        </w:rPr>
      </w:pPr>
    </w:p>
    <w:p w14:paraId="7EF73698" w14:textId="77777777" w:rsidR="00937471" w:rsidRPr="00844003" w:rsidRDefault="00937471" w:rsidP="00B25A4C">
      <w:pPr>
        <w:numPr>
          <w:ilvl w:val="0"/>
          <w:numId w:val="1"/>
        </w:numPr>
        <w:tabs>
          <w:tab w:val="left" w:pos="426"/>
        </w:tabs>
        <w:spacing w:line="276" w:lineRule="auto"/>
        <w:ind w:left="0" w:firstLine="0"/>
        <w:contextualSpacing/>
        <w:rPr>
          <w:b/>
          <w:sz w:val="24"/>
          <w:szCs w:val="24"/>
          <w:lang w:val="es-ES_tradnl"/>
        </w:rPr>
      </w:pPr>
      <w:r w:rsidRPr="00844003">
        <w:rPr>
          <w:b/>
          <w:sz w:val="24"/>
          <w:szCs w:val="24"/>
          <w:lang w:val="es-ES_tradnl"/>
        </w:rPr>
        <w:t>Competencia</w:t>
      </w:r>
    </w:p>
    <w:p w14:paraId="6CF65349" w14:textId="77777777" w:rsidR="00937471" w:rsidRPr="00844003" w:rsidRDefault="00937471" w:rsidP="00B25A4C">
      <w:pPr>
        <w:spacing w:line="276" w:lineRule="auto"/>
        <w:contextualSpacing/>
        <w:rPr>
          <w:b/>
          <w:sz w:val="24"/>
          <w:szCs w:val="24"/>
          <w:lang w:val="es-ES_tradnl"/>
        </w:rPr>
      </w:pPr>
    </w:p>
    <w:p w14:paraId="40E61147" w14:textId="77777777" w:rsidR="00937471" w:rsidRPr="00844003" w:rsidRDefault="00937471" w:rsidP="00B25A4C">
      <w:pPr>
        <w:overflowPunct w:val="0"/>
        <w:autoSpaceDE w:val="0"/>
        <w:autoSpaceDN w:val="0"/>
        <w:adjustRightInd w:val="0"/>
        <w:spacing w:line="276" w:lineRule="auto"/>
        <w:contextualSpacing/>
        <w:rPr>
          <w:rFonts w:eastAsia="Times New Roman"/>
          <w:sz w:val="24"/>
          <w:szCs w:val="24"/>
          <w:lang w:eastAsia="es-ES"/>
        </w:rPr>
      </w:pPr>
      <w:r w:rsidRPr="00844003">
        <w:rPr>
          <w:rFonts w:eastAsia="Times New Roman"/>
          <w:sz w:val="24"/>
          <w:szCs w:val="24"/>
          <w:lang w:eastAsia="es-ES"/>
        </w:rPr>
        <w:t>La Sala es competente para conocer del amparo constitucional deprecado por la parte actora, en virtud de lo dispuesto en el artículo 37 del Decreto 2591 de 1991, en el artículo 1°, numeral 5 del Decreto 1983 de 2017 que modificó el Decreto 1069 de 2015.</w:t>
      </w:r>
    </w:p>
    <w:p w14:paraId="68554CB5" w14:textId="0784BF4E" w:rsidR="00DB0C6E" w:rsidRPr="00844003" w:rsidRDefault="00DB0C6E" w:rsidP="00B25A4C">
      <w:pPr>
        <w:overflowPunct w:val="0"/>
        <w:autoSpaceDE w:val="0"/>
        <w:autoSpaceDN w:val="0"/>
        <w:adjustRightInd w:val="0"/>
        <w:spacing w:line="276" w:lineRule="auto"/>
        <w:contextualSpacing/>
        <w:rPr>
          <w:rFonts w:eastAsia="Times New Roman"/>
          <w:sz w:val="24"/>
          <w:szCs w:val="24"/>
          <w:lang w:eastAsia="es-ES"/>
        </w:rPr>
      </w:pPr>
    </w:p>
    <w:p w14:paraId="6E630F66" w14:textId="77777777" w:rsidR="00937471" w:rsidRPr="00844003" w:rsidRDefault="00937471" w:rsidP="00B25A4C">
      <w:pPr>
        <w:numPr>
          <w:ilvl w:val="0"/>
          <w:numId w:val="1"/>
        </w:numPr>
        <w:spacing w:line="276" w:lineRule="auto"/>
        <w:ind w:left="426"/>
        <w:contextualSpacing/>
        <w:rPr>
          <w:b/>
          <w:sz w:val="24"/>
          <w:szCs w:val="24"/>
          <w:lang w:val="es-ES_tradnl"/>
        </w:rPr>
      </w:pPr>
      <w:r w:rsidRPr="00844003">
        <w:rPr>
          <w:b/>
          <w:sz w:val="24"/>
          <w:szCs w:val="24"/>
          <w:lang w:val="es-ES_tradnl"/>
        </w:rPr>
        <w:t>Procedibilidad de la acción</w:t>
      </w:r>
    </w:p>
    <w:p w14:paraId="6952B2AA" w14:textId="77777777" w:rsidR="00937471" w:rsidRPr="00844003" w:rsidRDefault="00937471" w:rsidP="00B25A4C">
      <w:pPr>
        <w:spacing w:line="276" w:lineRule="auto"/>
        <w:contextualSpacing/>
        <w:rPr>
          <w:sz w:val="24"/>
          <w:szCs w:val="24"/>
          <w:lang w:val="es-ES_tradnl"/>
        </w:rPr>
      </w:pPr>
    </w:p>
    <w:p w14:paraId="249D1247" w14:textId="77777777" w:rsidR="00937471" w:rsidRPr="00844003" w:rsidRDefault="00937471" w:rsidP="00B25A4C">
      <w:pPr>
        <w:tabs>
          <w:tab w:val="left" w:pos="0"/>
        </w:tabs>
        <w:spacing w:line="276" w:lineRule="auto"/>
        <w:contextualSpacing/>
        <w:rPr>
          <w:sz w:val="24"/>
          <w:szCs w:val="24"/>
          <w:vertAlign w:val="superscript"/>
        </w:rPr>
      </w:pPr>
      <w:r w:rsidRPr="00844003">
        <w:rPr>
          <w:sz w:val="24"/>
          <w:szCs w:val="24"/>
          <w:lang w:val="es-MX"/>
        </w:rPr>
        <w:t xml:space="preserve">En los casos en que </w:t>
      </w:r>
      <w:r w:rsidRPr="00844003">
        <w:rPr>
          <w:sz w:val="24"/>
          <w:szCs w:val="24"/>
        </w:rPr>
        <w:t>la solicitud de amparo ataca una providencia judicial, la doctrina constitucional</w:t>
      </w:r>
      <w:r w:rsidRPr="00844003">
        <w:rPr>
          <w:sz w:val="24"/>
          <w:szCs w:val="24"/>
          <w:vertAlign w:val="superscript"/>
        </w:rPr>
        <w:footnoteReference w:id="9"/>
      </w:r>
      <w:r w:rsidRPr="00844003">
        <w:rPr>
          <w:sz w:val="24"/>
          <w:szCs w:val="24"/>
          <w:lang w:val="es-MX"/>
        </w:rPr>
        <w:t xml:space="preserve"> ha indicado que el juez de tutela debe, en forma preliminar, realizar </w:t>
      </w:r>
      <w:r w:rsidRPr="00844003">
        <w:rPr>
          <w:sz w:val="24"/>
          <w:szCs w:val="24"/>
        </w:rPr>
        <w:t>un examen de procedibilidad general</w:t>
      </w:r>
      <w:r w:rsidRPr="00844003">
        <w:rPr>
          <w:sz w:val="24"/>
          <w:szCs w:val="24"/>
          <w:vertAlign w:val="superscript"/>
        </w:rPr>
        <w:footnoteReference w:id="10"/>
      </w:r>
      <w:r w:rsidRPr="00844003">
        <w:rPr>
          <w:sz w:val="24"/>
          <w:szCs w:val="24"/>
        </w:rPr>
        <w:t xml:space="preserve"> de la acción; pues, sólo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r w:rsidRPr="00844003">
        <w:rPr>
          <w:sz w:val="24"/>
          <w:szCs w:val="24"/>
          <w:vertAlign w:val="superscript"/>
        </w:rPr>
        <w:footnoteReference w:id="11"/>
      </w:r>
      <w:r w:rsidRPr="00844003">
        <w:rPr>
          <w:sz w:val="24"/>
          <w:szCs w:val="24"/>
        </w:rPr>
        <w:t>.</w:t>
      </w:r>
    </w:p>
    <w:p w14:paraId="38D30490" w14:textId="77777777" w:rsidR="00937471" w:rsidRPr="00844003" w:rsidRDefault="00937471" w:rsidP="00B25A4C">
      <w:pPr>
        <w:tabs>
          <w:tab w:val="left" w:pos="0"/>
        </w:tabs>
        <w:spacing w:line="276" w:lineRule="auto"/>
        <w:contextualSpacing/>
        <w:rPr>
          <w:sz w:val="24"/>
          <w:szCs w:val="24"/>
        </w:rPr>
      </w:pPr>
    </w:p>
    <w:p w14:paraId="340C0E3D" w14:textId="73A795B6" w:rsidR="00744EF2" w:rsidRPr="00844003" w:rsidRDefault="00937471" w:rsidP="00B25A4C">
      <w:pPr>
        <w:tabs>
          <w:tab w:val="left" w:pos="0"/>
        </w:tabs>
        <w:spacing w:line="276" w:lineRule="auto"/>
        <w:contextualSpacing/>
        <w:rPr>
          <w:b/>
          <w:bCs/>
          <w:sz w:val="24"/>
          <w:szCs w:val="24"/>
          <w:lang w:val="es-ES_tradnl"/>
        </w:rPr>
      </w:pPr>
      <w:r w:rsidRPr="00844003">
        <w:rPr>
          <w:b/>
          <w:bCs/>
          <w:sz w:val="24"/>
          <w:szCs w:val="24"/>
          <w:lang w:val="es-ES_tradnl"/>
        </w:rPr>
        <w:t xml:space="preserve">2.1. </w:t>
      </w:r>
      <w:r w:rsidR="00744EF2" w:rsidRPr="00844003">
        <w:rPr>
          <w:b/>
          <w:bCs/>
          <w:sz w:val="24"/>
          <w:szCs w:val="24"/>
          <w:lang w:val="es-ES_tradnl"/>
        </w:rPr>
        <w:t>Legitimación</w:t>
      </w:r>
    </w:p>
    <w:p w14:paraId="44158D3C" w14:textId="77777777" w:rsidR="00744EF2" w:rsidRPr="00844003" w:rsidRDefault="00744EF2" w:rsidP="00B25A4C">
      <w:pPr>
        <w:tabs>
          <w:tab w:val="left" w:pos="0"/>
        </w:tabs>
        <w:spacing w:line="276" w:lineRule="auto"/>
        <w:contextualSpacing/>
        <w:rPr>
          <w:b/>
          <w:bCs/>
          <w:sz w:val="24"/>
          <w:szCs w:val="24"/>
          <w:lang w:val="es-ES_tradnl"/>
        </w:rPr>
      </w:pPr>
    </w:p>
    <w:p w14:paraId="07B76F2A" w14:textId="0A9710CA" w:rsidR="006E6C52" w:rsidRPr="00844003" w:rsidRDefault="006E6C52" w:rsidP="00B25A4C">
      <w:pPr>
        <w:tabs>
          <w:tab w:val="left" w:pos="0"/>
        </w:tabs>
        <w:spacing w:line="276" w:lineRule="auto"/>
        <w:contextualSpacing/>
        <w:rPr>
          <w:sz w:val="24"/>
          <w:szCs w:val="24"/>
          <w:lang w:val="es-ES_tradnl"/>
        </w:rPr>
      </w:pPr>
      <w:r w:rsidRPr="00844003">
        <w:rPr>
          <w:sz w:val="24"/>
          <w:szCs w:val="24"/>
          <w:lang w:val="es-ES_tradnl"/>
        </w:rPr>
        <w:t xml:space="preserve">En el caso concreto hay </w:t>
      </w:r>
      <w:r w:rsidRPr="00844003">
        <w:rPr>
          <w:b/>
          <w:bCs/>
          <w:sz w:val="24"/>
          <w:szCs w:val="24"/>
          <w:lang w:val="es-ES_tradnl"/>
        </w:rPr>
        <w:t>legitimación</w:t>
      </w:r>
      <w:r w:rsidRPr="00844003">
        <w:rPr>
          <w:sz w:val="24"/>
          <w:szCs w:val="24"/>
          <w:lang w:val="es-ES_tradnl"/>
        </w:rPr>
        <w:t xml:space="preserve"> </w:t>
      </w:r>
      <w:r w:rsidRPr="00844003">
        <w:rPr>
          <w:b/>
          <w:sz w:val="24"/>
          <w:szCs w:val="24"/>
          <w:lang w:val="es-ES_tradnl"/>
        </w:rPr>
        <w:t>por activa</w:t>
      </w:r>
      <w:r w:rsidR="00121E1C">
        <w:rPr>
          <w:sz w:val="24"/>
          <w:szCs w:val="24"/>
          <w:lang w:val="es-ES_tradnl"/>
        </w:rPr>
        <w:t>,</w:t>
      </w:r>
      <w:r w:rsidRPr="00844003">
        <w:rPr>
          <w:b/>
          <w:sz w:val="24"/>
          <w:szCs w:val="24"/>
          <w:lang w:val="es-ES_tradnl"/>
        </w:rPr>
        <w:t xml:space="preserve"> </w:t>
      </w:r>
      <w:r w:rsidRPr="00844003">
        <w:rPr>
          <w:sz w:val="24"/>
          <w:szCs w:val="24"/>
        </w:rPr>
        <w:t xml:space="preserve">ya que </w:t>
      </w:r>
      <w:r w:rsidR="002724AE" w:rsidRPr="00844003">
        <w:rPr>
          <w:sz w:val="24"/>
          <w:szCs w:val="24"/>
        </w:rPr>
        <w:t xml:space="preserve">Luis Felpe Barrios Barrios </w:t>
      </w:r>
      <w:r w:rsidRPr="00844003">
        <w:rPr>
          <w:sz w:val="24"/>
          <w:szCs w:val="24"/>
        </w:rPr>
        <w:t xml:space="preserve">fungió como demandado </w:t>
      </w:r>
      <w:r w:rsidRPr="00844003">
        <w:rPr>
          <w:sz w:val="24"/>
          <w:szCs w:val="24"/>
          <w:lang w:val="es-ES_tradnl"/>
        </w:rPr>
        <w:t xml:space="preserve">en el proceso tramitado bajo la </w:t>
      </w:r>
      <w:r w:rsidR="00FE7282" w:rsidRPr="00844003">
        <w:rPr>
          <w:sz w:val="24"/>
          <w:szCs w:val="24"/>
          <w:lang w:val="es-ES_tradnl"/>
        </w:rPr>
        <w:t>solicitud de pé</w:t>
      </w:r>
      <w:r w:rsidR="002724AE" w:rsidRPr="00844003">
        <w:rPr>
          <w:sz w:val="24"/>
          <w:szCs w:val="24"/>
          <w:lang w:val="es-ES_tradnl"/>
        </w:rPr>
        <w:t>rdida de investidura</w:t>
      </w:r>
      <w:r w:rsidR="002A2E49">
        <w:rPr>
          <w:sz w:val="24"/>
          <w:szCs w:val="24"/>
          <w:lang w:val="es-ES_tradnl"/>
        </w:rPr>
        <w:t xml:space="preserve"> con</w:t>
      </w:r>
      <w:r w:rsidR="002A2E49" w:rsidRPr="002A2E49">
        <w:rPr>
          <w:bCs/>
          <w:sz w:val="24"/>
          <w:szCs w:val="24"/>
          <w:lang w:eastAsia="ja-JP"/>
        </w:rPr>
        <w:t xml:space="preserve"> </w:t>
      </w:r>
      <w:r w:rsidR="002A2E49" w:rsidRPr="002A2E49">
        <w:rPr>
          <w:bCs/>
          <w:sz w:val="24"/>
          <w:szCs w:val="24"/>
        </w:rPr>
        <w:t>número de radicado 11001-03-15-000-2009-01219-00</w:t>
      </w:r>
      <w:r w:rsidRPr="00844003">
        <w:rPr>
          <w:sz w:val="24"/>
          <w:szCs w:val="24"/>
          <w:lang w:val="es-ES_tradnl"/>
        </w:rPr>
        <w:t xml:space="preserve">, y, por lo tanto, </w:t>
      </w:r>
      <w:r w:rsidR="002724AE" w:rsidRPr="00844003">
        <w:rPr>
          <w:sz w:val="24"/>
          <w:szCs w:val="24"/>
          <w:lang w:val="es-ES_tradnl"/>
        </w:rPr>
        <w:t>es</w:t>
      </w:r>
      <w:r w:rsidRPr="00844003">
        <w:rPr>
          <w:sz w:val="24"/>
          <w:szCs w:val="24"/>
          <w:lang w:val="es-ES_tradnl"/>
        </w:rPr>
        <w:t xml:space="preserve"> t</w:t>
      </w:r>
      <w:r w:rsidR="002724AE" w:rsidRPr="00844003">
        <w:rPr>
          <w:sz w:val="24"/>
          <w:szCs w:val="24"/>
          <w:lang w:val="es-ES_tradnl"/>
        </w:rPr>
        <w:t>itular</w:t>
      </w:r>
      <w:r w:rsidRPr="00844003">
        <w:rPr>
          <w:sz w:val="24"/>
          <w:szCs w:val="24"/>
          <w:lang w:val="es-ES_tradnl"/>
        </w:rPr>
        <w:t xml:space="preserve"> de los derechos</w:t>
      </w:r>
      <w:r w:rsidR="002724AE" w:rsidRPr="00844003">
        <w:rPr>
          <w:sz w:val="24"/>
          <w:szCs w:val="24"/>
          <w:lang w:val="es-ES_tradnl"/>
        </w:rPr>
        <w:t xml:space="preserve"> invocados</w:t>
      </w:r>
      <w:r w:rsidRPr="00844003">
        <w:rPr>
          <w:sz w:val="24"/>
          <w:szCs w:val="24"/>
          <w:lang w:val="es-ES_tradnl"/>
        </w:rPr>
        <w:t xml:space="preserve"> </w:t>
      </w:r>
      <w:r w:rsidR="00931DA6" w:rsidRPr="00844003">
        <w:rPr>
          <w:sz w:val="24"/>
          <w:szCs w:val="24"/>
          <w:lang w:val="es-ES_tradnl"/>
        </w:rPr>
        <w:t xml:space="preserve">en la solicitud de amparo </w:t>
      </w:r>
      <w:r w:rsidRPr="00844003">
        <w:rPr>
          <w:sz w:val="24"/>
          <w:szCs w:val="24"/>
          <w:lang w:val="es-ES_tradnl"/>
        </w:rPr>
        <w:t xml:space="preserve">que </w:t>
      </w:r>
      <w:r w:rsidR="00931DA6" w:rsidRPr="00844003">
        <w:rPr>
          <w:sz w:val="24"/>
          <w:szCs w:val="24"/>
          <w:lang w:val="es-ES_tradnl"/>
        </w:rPr>
        <w:t xml:space="preserve">consideró </w:t>
      </w:r>
      <w:r w:rsidR="002B7A72" w:rsidRPr="00844003">
        <w:rPr>
          <w:sz w:val="24"/>
          <w:szCs w:val="24"/>
          <w:lang w:val="es-ES_tradnl"/>
        </w:rPr>
        <w:t>vulnerados con la sentencia acusada.</w:t>
      </w:r>
      <w:r w:rsidR="00071092" w:rsidRPr="00844003">
        <w:rPr>
          <w:sz w:val="24"/>
          <w:szCs w:val="24"/>
          <w:lang w:val="es-ES_tradnl"/>
        </w:rPr>
        <w:t xml:space="preserve"> </w:t>
      </w:r>
      <w:r w:rsidRPr="00844003">
        <w:rPr>
          <w:sz w:val="24"/>
          <w:szCs w:val="24"/>
        </w:rPr>
        <w:t>Por otra parte,</w:t>
      </w:r>
      <w:r w:rsidR="00071092" w:rsidRPr="00844003">
        <w:rPr>
          <w:sz w:val="24"/>
          <w:szCs w:val="24"/>
        </w:rPr>
        <w:t xml:space="preserve"> la Sala Plena del Consejo de Estado está </w:t>
      </w:r>
      <w:r w:rsidR="00864EA7" w:rsidRPr="00844003">
        <w:rPr>
          <w:b/>
          <w:sz w:val="24"/>
          <w:szCs w:val="24"/>
        </w:rPr>
        <w:t>legitimada</w:t>
      </w:r>
      <w:r w:rsidR="00071092" w:rsidRPr="00844003">
        <w:rPr>
          <w:b/>
          <w:sz w:val="24"/>
          <w:szCs w:val="24"/>
        </w:rPr>
        <w:t xml:space="preserve"> por pasiva</w:t>
      </w:r>
      <w:r w:rsidR="00071092" w:rsidRPr="00844003">
        <w:rPr>
          <w:sz w:val="24"/>
          <w:szCs w:val="24"/>
        </w:rPr>
        <w:t xml:space="preserve">, </w:t>
      </w:r>
      <w:r w:rsidRPr="00844003">
        <w:rPr>
          <w:sz w:val="24"/>
          <w:szCs w:val="24"/>
        </w:rPr>
        <w:t>pues</w:t>
      </w:r>
      <w:r w:rsidR="00931DA6" w:rsidRPr="00844003">
        <w:rPr>
          <w:sz w:val="24"/>
          <w:szCs w:val="24"/>
        </w:rPr>
        <w:t xml:space="preserve"> fue la autoridad judicial que</w:t>
      </w:r>
      <w:r w:rsidRPr="00844003">
        <w:rPr>
          <w:sz w:val="24"/>
          <w:szCs w:val="24"/>
        </w:rPr>
        <w:t xml:space="preserve"> profiri</w:t>
      </w:r>
      <w:r w:rsidR="00071092" w:rsidRPr="00844003">
        <w:rPr>
          <w:sz w:val="24"/>
          <w:szCs w:val="24"/>
        </w:rPr>
        <w:t>ó</w:t>
      </w:r>
      <w:r w:rsidRPr="00844003">
        <w:rPr>
          <w:sz w:val="24"/>
          <w:szCs w:val="24"/>
        </w:rPr>
        <w:t xml:space="preserve"> </w:t>
      </w:r>
      <w:r w:rsidR="00071092" w:rsidRPr="00844003">
        <w:rPr>
          <w:sz w:val="24"/>
          <w:szCs w:val="24"/>
        </w:rPr>
        <w:t>el fallo</w:t>
      </w:r>
      <w:r w:rsidRPr="00844003">
        <w:rPr>
          <w:sz w:val="24"/>
          <w:szCs w:val="24"/>
        </w:rPr>
        <w:t xml:space="preserve"> objeto de tutela. </w:t>
      </w:r>
    </w:p>
    <w:p w14:paraId="4683D382" w14:textId="2111E422" w:rsidR="003C5D1F" w:rsidRPr="00844003" w:rsidRDefault="003C5D1F" w:rsidP="00B25A4C">
      <w:pPr>
        <w:spacing w:line="276" w:lineRule="auto"/>
        <w:rPr>
          <w:bCs/>
          <w:sz w:val="24"/>
          <w:szCs w:val="24"/>
          <w:lang w:val="es-ES_tradnl"/>
        </w:rPr>
      </w:pPr>
    </w:p>
    <w:p w14:paraId="791CADCD" w14:textId="4084C4EB" w:rsidR="002B7A72" w:rsidRPr="00844003" w:rsidRDefault="002B7A72" w:rsidP="00B25A4C">
      <w:pPr>
        <w:spacing w:line="276" w:lineRule="auto"/>
        <w:rPr>
          <w:b/>
          <w:bCs/>
          <w:sz w:val="24"/>
          <w:szCs w:val="24"/>
          <w:lang w:val="es-ES_tradnl"/>
        </w:rPr>
      </w:pPr>
      <w:r w:rsidRPr="00844003">
        <w:rPr>
          <w:b/>
          <w:bCs/>
          <w:sz w:val="24"/>
          <w:szCs w:val="24"/>
          <w:lang w:val="es-ES_tradnl"/>
        </w:rPr>
        <w:t>2.2. Subsidiariedad</w:t>
      </w:r>
    </w:p>
    <w:p w14:paraId="56C9BA80" w14:textId="1F625DC9" w:rsidR="00A60B1F" w:rsidRPr="00844003" w:rsidRDefault="00A60B1F" w:rsidP="00B25A4C">
      <w:pPr>
        <w:spacing w:line="276" w:lineRule="auto"/>
        <w:rPr>
          <w:rFonts w:eastAsia="Times New Roman"/>
          <w:sz w:val="24"/>
          <w:szCs w:val="24"/>
          <w:lang w:val="es-ES_tradnl" w:eastAsia="es-CO"/>
        </w:rPr>
      </w:pPr>
    </w:p>
    <w:p w14:paraId="75063A3D" w14:textId="19042C7E" w:rsidR="00D503BB" w:rsidRPr="00844003" w:rsidRDefault="00AE3484" w:rsidP="00B25A4C">
      <w:pPr>
        <w:spacing w:line="276" w:lineRule="auto"/>
        <w:rPr>
          <w:rFonts w:eastAsia="Times New Roman"/>
          <w:sz w:val="24"/>
          <w:szCs w:val="24"/>
          <w:lang w:eastAsia="es-CO"/>
        </w:rPr>
      </w:pPr>
      <w:r w:rsidRPr="00844003">
        <w:rPr>
          <w:rFonts w:eastAsia="Times New Roman"/>
          <w:sz w:val="24"/>
          <w:szCs w:val="24"/>
          <w:lang w:val="es-ES_tradnl" w:eastAsia="es-CO"/>
        </w:rPr>
        <w:t>De</w:t>
      </w:r>
      <w:r w:rsidRPr="00844003">
        <w:rPr>
          <w:rFonts w:eastAsia="Times New Roman"/>
          <w:sz w:val="24"/>
          <w:szCs w:val="24"/>
          <w:lang w:eastAsia="es-CO"/>
        </w:rPr>
        <w:t xml:space="preserve"> la lectura del escrito de tutela se desprende que los </w:t>
      </w:r>
      <w:r w:rsidR="00D503BB" w:rsidRPr="00844003">
        <w:rPr>
          <w:rFonts w:eastAsia="Times New Roman"/>
          <w:sz w:val="24"/>
          <w:szCs w:val="24"/>
          <w:lang w:eastAsia="es-CO"/>
        </w:rPr>
        <w:t xml:space="preserve">argumentos del accionante se dividen en dos grupos, a saber: (i) los que están dirigidos contra la decisión contenida en la sentencia del 27 de julio de 2010 dictada por la Sala Plena del Consejo de Estado; y (ii) aquellos que tienen como objeto establecer un trámite que garantice el </w:t>
      </w:r>
      <w:r w:rsidR="00AB520E">
        <w:rPr>
          <w:rFonts w:eastAsia="Times New Roman"/>
          <w:sz w:val="24"/>
          <w:szCs w:val="24"/>
          <w:lang w:eastAsia="es-CO"/>
        </w:rPr>
        <w:t>derecho</w:t>
      </w:r>
      <w:r w:rsidR="00D503BB" w:rsidRPr="00844003">
        <w:rPr>
          <w:rFonts w:eastAsia="Times New Roman"/>
          <w:sz w:val="24"/>
          <w:szCs w:val="24"/>
          <w:lang w:eastAsia="es-CO"/>
        </w:rPr>
        <w:t xml:space="preserve"> a la doble conformidad, en el proceso </w:t>
      </w:r>
      <w:r w:rsidR="00121E1C">
        <w:rPr>
          <w:rFonts w:eastAsia="Times New Roman"/>
          <w:sz w:val="24"/>
          <w:szCs w:val="24"/>
          <w:lang w:eastAsia="es-CO"/>
        </w:rPr>
        <w:t xml:space="preserve"> de única instancia, </w:t>
      </w:r>
      <w:r w:rsidR="00D503BB" w:rsidRPr="00844003">
        <w:rPr>
          <w:rFonts w:eastAsia="Times New Roman"/>
          <w:sz w:val="24"/>
          <w:szCs w:val="24"/>
          <w:lang w:eastAsia="es-CO"/>
        </w:rPr>
        <w:t>ad</w:t>
      </w:r>
      <w:r w:rsidR="00FE7282" w:rsidRPr="00844003">
        <w:rPr>
          <w:rFonts w:eastAsia="Times New Roman"/>
          <w:sz w:val="24"/>
          <w:szCs w:val="24"/>
          <w:lang w:eastAsia="es-CO"/>
        </w:rPr>
        <w:t>elantado bajo la solicitud de pé</w:t>
      </w:r>
      <w:r w:rsidR="00D503BB" w:rsidRPr="00844003">
        <w:rPr>
          <w:rFonts w:eastAsia="Times New Roman"/>
          <w:sz w:val="24"/>
          <w:szCs w:val="24"/>
          <w:lang w:eastAsia="es-CO"/>
        </w:rPr>
        <w:t xml:space="preserve">rdida de investidura con número de radicado </w:t>
      </w:r>
      <w:r w:rsidR="00D503BB" w:rsidRPr="00844003">
        <w:rPr>
          <w:bCs/>
          <w:sz w:val="24"/>
          <w:szCs w:val="24"/>
          <w:lang w:eastAsia="ja-JP"/>
        </w:rPr>
        <w:t>11001-03-15-000-2009-01219-00</w:t>
      </w:r>
      <w:r w:rsidR="00D503BB" w:rsidRPr="00844003">
        <w:rPr>
          <w:rFonts w:eastAsia="Times New Roman"/>
          <w:sz w:val="24"/>
          <w:szCs w:val="24"/>
          <w:lang w:eastAsia="es-CO"/>
        </w:rPr>
        <w:t xml:space="preserve">. La Sala adelantará el examen del requisito de subsidiariedad, por separado, de cada uno de estos grupos de reclamaciones </w:t>
      </w:r>
      <w:r w:rsidR="00D503BB" w:rsidRPr="00844003">
        <w:rPr>
          <w:rFonts w:eastAsia="Times New Roman"/>
          <w:i/>
          <w:sz w:val="24"/>
          <w:szCs w:val="24"/>
          <w:lang w:eastAsia="es-CO"/>
        </w:rPr>
        <w:t>iusfundamentales</w:t>
      </w:r>
      <w:r w:rsidR="00D503BB" w:rsidRPr="00844003">
        <w:rPr>
          <w:rFonts w:eastAsia="Times New Roman"/>
          <w:sz w:val="24"/>
          <w:szCs w:val="24"/>
          <w:lang w:eastAsia="es-CO"/>
        </w:rPr>
        <w:t>.</w:t>
      </w:r>
    </w:p>
    <w:p w14:paraId="637E57A6" w14:textId="77777777" w:rsidR="00D503BB" w:rsidRPr="00844003" w:rsidRDefault="00D503BB" w:rsidP="00B25A4C">
      <w:pPr>
        <w:spacing w:line="276" w:lineRule="auto"/>
        <w:rPr>
          <w:rFonts w:eastAsia="Times New Roman"/>
          <w:sz w:val="24"/>
          <w:szCs w:val="24"/>
          <w:lang w:eastAsia="es-CO"/>
        </w:rPr>
      </w:pPr>
    </w:p>
    <w:p w14:paraId="68338049" w14:textId="77777777" w:rsidR="005630DC" w:rsidRDefault="00D503BB" w:rsidP="005630DC">
      <w:pPr>
        <w:overflowPunct w:val="0"/>
        <w:autoSpaceDE w:val="0"/>
        <w:autoSpaceDN w:val="0"/>
        <w:adjustRightInd w:val="0"/>
        <w:spacing w:line="276" w:lineRule="auto"/>
        <w:rPr>
          <w:rFonts w:eastAsia="Verdana"/>
          <w:sz w:val="24"/>
          <w:szCs w:val="24"/>
          <w:lang w:val="es-ES_tradnl"/>
        </w:rPr>
      </w:pPr>
      <w:r w:rsidRPr="00844003">
        <w:rPr>
          <w:rFonts w:eastAsia="Times New Roman"/>
          <w:b/>
          <w:sz w:val="24"/>
          <w:szCs w:val="24"/>
          <w:lang w:eastAsia="es-CO"/>
        </w:rPr>
        <w:t xml:space="preserve">2.2.1. </w:t>
      </w:r>
      <w:r w:rsidR="005630DC" w:rsidRPr="00844003">
        <w:rPr>
          <w:rFonts w:eastAsia="Verdana"/>
          <w:sz w:val="24"/>
          <w:szCs w:val="24"/>
          <w:lang w:val="es-ES"/>
        </w:rPr>
        <w:t>La subsidiariedad, como requisito de procedibilidad de la solicitud de amparo en contra de una providencia judicial, parte de la idea de que</w:t>
      </w:r>
      <w:r w:rsidR="005630DC" w:rsidRPr="00844003">
        <w:rPr>
          <w:rFonts w:eastAsia="Verdana"/>
          <w:sz w:val="24"/>
          <w:szCs w:val="24"/>
          <w:lang w:val="es-ES_tradnl"/>
        </w:rPr>
        <w:t xml:space="preserve"> los jueces ordinarios son, en primer lugar, los encargados de proteger los derechos fundamentales dentro del proceso que dirigen.</w:t>
      </w:r>
      <w:r w:rsidR="005630DC">
        <w:rPr>
          <w:rFonts w:eastAsia="Verdana"/>
          <w:sz w:val="24"/>
          <w:szCs w:val="24"/>
          <w:lang w:val="es-ES_tradnl"/>
        </w:rPr>
        <w:t xml:space="preserve"> </w:t>
      </w:r>
      <w:r w:rsidR="005630DC" w:rsidRPr="00121E1C">
        <w:rPr>
          <w:color w:val="000000"/>
          <w:sz w:val="24"/>
          <w:szCs w:val="24"/>
          <w:lang w:val="es-ES_tradnl" w:eastAsia="en-US"/>
        </w:rPr>
        <w:t xml:space="preserve">Específicamente </w:t>
      </w:r>
      <w:r w:rsidR="005630DC">
        <w:rPr>
          <w:color w:val="000000"/>
          <w:sz w:val="24"/>
          <w:szCs w:val="24"/>
          <w:lang w:val="es-ES_tradnl" w:eastAsia="en-US"/>
        </w:rPr>
        <w:t>esa exigencia</w:t>
      </w:r>
      <w:r w:rsidR="005630DC" w:rsidRPr="00121E1C">
        <w:rPr>
          <w:color w:val="000000"/>
          <w:sz w:val="24"/>
          <w:szCs w:val="24"/>
          <w:lang w:val="es-ES_tradnl" w:eastAsia="en-US"/>
        </w:rPr>
        <w:t xml:space="preserve"> deriva en (i) </w:t>
      </w:r>
      <w:r w:rsidR="005630DC" w:rsidRPr="00121E1C">
        <w:rPr>
          <w:rFonts w:eastAsia="Times New Roman"/>
          <w:color w:val="000000"/>
          <w:sz w:val="24"/>
          <w:szCs w:val="24"/>
          <w:shd w:val="clear" w:color="auto" w:fill="FFFFFF"/>
          <w:lang w:val="es-ES_tradnl" w:eastAsia="en-US"/>
        </w:rPr>
        <w:t>evitar la intromisión indebida de una autoridad distinta de la que adelanta el proceso ordinario;</w:t>
      </w:r>
      <w:r w:rsidR="005630DC">
        <w:rPr>
          <w:rFonts w:eastAsia="Times New Roman"/>
          <w:color w:val="000000"/>
          <w:sz w:val="24"/>
          <w:szCs w:val="24"/>
          <w:shd w:val="clear" w:color="auto" w:fill="FFFFFF"/>
          <w:lang w:val="es-ES_tradnl" w:eastAsia="en-US"/>
        </w:rPr>
        <w:t xml:space="preserve"> y</w:t>
      </w:r>
      <w:r w:rsidR="005630DC" w:rsidRPr="00121E1C">
        <w:rPr>
          <w:rFonts w:eastAsia="Times New Roman"/>
          <w:color w:val="000000"/>
          <w:sz w:val="24"/>
          <w:szCs w:val="24"/>
          <w:shd w:val="clear" w:color="auto" w:fill="FFFFFF"/>
          <w:lang w:val="es-ES_tradnl" w:eastAsia="en-US"/>
        </w:rPr>
        <w:t xml:space="preserve"> (ii) que no se alteren o sustituyan de manera fraudulenta los la ciudadanía observe un mínimo de diligencia en la gestión de sus asuntos, pues no es esta la forma de enmendar errores o descuidos, ni de recuperar oportunidades vencidas al interior de un proceso judicial</w:t>
      </w:r>
      <w:r w:rsidR="005630DC" w:rsidRPr="00844003">
        <w:rPr>
          <w:rStyle w:val="Refdenotaalpie"/>
          <w:rFonts w:eastAsia="Verdana"/>
          <w:sz w:val="24"/>
          <w:szCs w:val="24"/>
          <w:lang w:val="es-ES_tradnl"/>
        </w:rPr>
        <w:footnoteReference w:id="12"/>
      </w:r>
      <w:r w:rsidR="005630DC">
        <w:rPr>
          <w:rFonts w:eastAsia="Times New Roman"/>
          <w:color w:val="000000"/>
          <w:sz w:val="24"/>
          <w:szCs w:val="24"/>
          <w:shd w:val="clear" w:color="auto" w:fill="FFFFFF"/>
          <w:lang w:val="es-ES_tradnl" w:eastAsia="en-US"/>
        </w:rPr>
        <w:t>.</w:t>
      </w:r>
    </w:p>
    <w:p w14:paraId="12566E45" w14:textId="77777777" w:rsidR="005630DC" w:rsidRDefault="005630DC" w:rsidP="00B25A4C">
      <w:pPr>
        <w:spacing w:line="276" w:lineRule="auto"/>
        <w:rPr>
          <w:rFonts w:eastAsia="Times New Roman"/>
          <w:sz w:val="24"/>
          <w:szCs w:val="24"/>
          <w:lang w:eastAsia="es-CO"/>
        </w:rPr>
      </w:pPr>
    </w:p>
    <w:p w14:paraId="6D3A3AF2" w14:textId="778A5E74" w:rsidR="00D503BB" w:rsidRPr="00844003" w:rsidRDefault="00D503BB" w:rsidP="00B25A4C">
      <w:pPr>
        <w:spacing w:line="276" w:lineRule="auto"/>
        <w:rPr>
          <w:rFonts w:eastAsia="Times New Roman"/>
          <w:sz w:val="24"/>
          <w:szCs w:val="24"/>
          <w:lang w:eastAsia="es-CO"/>
        </w:rPr>
      </w:pPr>
      <w:r w:rsidRPr="00844003">
        <w:rPr>
          <w:rFonts w:eastAsia="Times New Roman"/>
          <w:sz w:val="24"/>
          <w:szCs w:val="24"/>
          <w:lang w:eastAsia="es-CO"/>
        </w:rPr>
        <w:t xml:space="preserve">En relación con el </w:t>
      </w:r>
      <w:r w:rsidRPr="00844003">
        <w:rPr>
          <w:rFonts w:eastAsia="Times New Roman"/>
          <w:b/>
          <w:sz w:val="24"/>
          <w:szCs w:val="24"/>
          <w:lang w:eastAsia="es-CO"/>
        </w:rPr>
        <w:t xml:space="preserve">primer grupo </w:t>
      </w:r>
      <w:r w:rsidR="00472F35" w:rsidRPr="00844003">
        <w:rPr>
          <w:rFonts w:eastAsia="Times New Roman"/>
          <w:b/>
          <w:sz w:val="24"/>
          <w:szCs w:val="24"/>
          <w:lang w:eastAsia="es-CO"/>
        </w:rPr>
        <w:t>de argumentos</w:t>
      </w:r>
      <w:r w:rsidR="00472F35" w:rsidRPr="00844003">
        <w:rPr>
          <w:rFonts w:eastAsia="Times New Roman"/>
          <w:sz w:val="24"/>
          <w:szCs w:val="24"/>
          <w:lang w:eastAsia="es-CO"/>
        </w:rPr>
        <w:t xml:space="preserve">, la parte actora protesta que la sentencia acusada: (i) vulnera el derecho a la igualdad, </w:t>
      </w:r>
      <w:r w:rsidR="00605133" w:rsidRPr="00844003">
        <w:rPr>
          <w:rFonts w:eastAsia="Times New Roman"/>
          <w:sz w:val="24"/>
          <w:szCs w:val="24"/>
          <w:lang w:eastAsia="es-CO"/>
        </w:rPr>
        <w:t>al discriminarlo de manera injustificada de la aplicación de normas vigentes y de la jurisprudencia</w:t>
      </w:r>
      <w:r w:rsidR="00DB7233" w:rsidRPr="00844003">
        <w:rPr>
          <w:rFonts w:eastAsia="Times New Roman"/>
          <w:sz w:val="24"/>
          <w:szCs w:val="24"/>
          <w:lang w:eastAsia="es-CO"/>
        </w:rPr>
        <w:t xml:space="preserve"> pertinente</w:t>
      </w:r>
      <w:r w:rsidR="00FC779E" w:rsidRPr="00844003">
        <w:rPr>
          <w:rFonts w:eastAsia="Times New Roman"/>
          <w:sz w:val="24"/>
          <w:szCs w:val="24"/>
          <w:lang w:eastAsia="es-CO"/>
        </w:rPr>
        <w:t xml:space="preserve">; (ii) viola el principio </w:t>
      </w:r>
      <w:r w:rsidR="00FC779E" w:rsidRPr="00844003">
        <w:rPr>
          <w:rFonts w:eastAsia="Times New Roman"/>
          <w:i/>
          <w:sz w:val="24"/>
          <w:szCs w:val="24"/>
          <w:lang w:eastAsia="es-CO"/>
        </w:rPr>
        <w:t>pro homine</w:t>
      </w:r>
      <w:r w:rsidR="00FC779E" w:rsidRPr="00844003">
        <w:rPr>
          <w:rFonts w:eastAsia="Times New Roman"/>
          <w:sz w:val="24"/>
          <w:szCs w:val="24"/>
          <w:lang w:eastAsia="es-CO"/>
        </w:rPr>
        <w:t>, al no tener en cuenta una interpretación</w:t>
      </w:r>
      <w:r w:rsidR="000C1526" w:rsidRPr="00844003">
        <w:rPr>
          <w:rFonts w:eastAsia="Times New Roman"/>
          <w:sz w:val="24"/>
          <w:szCs w:val="24"/>
          <w:lang w:eastAsia="es-CO"/>
        </w:rPr>
        <w:t xml:space="preserve"> que resulta más favorable</w:t>
      </w:r>
      <w:r w:rsidR="00121E1C">
        <w:rPr>
          <w:rFonts w:eastAsia="Times New Roman"/>
          <w:sz w:val="24"/>
          <w:szCs w:val="24"/>
          <w:lang w:eastAsia="es-CO"/>
        </w:rPr>
        <w:t xml:space="preserve"> a la dignidad del ser humano; e</w:t>
      </w:r>
      <w:r w:rsidR="000C1526" w:rsidRPr="00844003">
        <w:rPr>
          <w:rFonts w:eastAsia="Times New Roman"/>
          <w:sz w:val="24"/>
          <w:szCs w:val="24"/>
          <w:lang w:eastAsia="es-CO"/>
        </w:rPr>
        <w:t xml:space="preserve"> (iii) ignora el principio de </w:t>
      </w:r>
      <w:r w:rsidR="00472F35" w:rsidRPr="00844003">
        <w:rPr>
          <w:rFonts w:eastAsia="Times New Roman"/>
          <w:sz w:val="24"/>
          <w:szCs w:val="24"/>
          <w:lang w:eastAsia="es-CO"/>
        </w:rPr>
        <w:t>efectividad</w:t>
      </w:r>
      <w:r w:rsidR="00472F35" w:rsidRPr="00844003">
        <w:rPr>
          <w:rFonts w:eastAsia="Times New Roman"/>
          <w:i/>
          <w:sz w:val="24"/>
          <w:szCs w:val="24"/>
          <w:lang w:eastAsia="es-CO"/>
        </w:rPr>
        <w:t xml:space="preserve"> </w:t>
      </w:r>
      <w:r w:rsidR="00472F35" w:rsidRPr="00844003">
        <w:rPr>
          <w:rFonts w:eastAsia="Times New Roman"/>
          <w:sz w:val="24"/>
          <w:szCs w:val="24"/>
          <w:lang w:eastAsia="es-CO"/>
        </w:rPr>
        <w:t>de los derechos fundamentales</w:t>
      </w:r>
      <w:r w:rsidR="000C1526" w:rsidRPr="00844003">
        <w:rPr>
          <w:rFonts w:eastAsia="Times New Roman"/>
          <w:sz w:val="24"/>
          <w:szCs w:val="24"/>
          <w:lang w:eastAsia="es-CO"/>
        </w:rPr>
        <w:t xml:space="preserve">, </w:t>
      </w:r>
      <w:r w:rsidR="00121E1C">
        <w:rPr>
          <w:rFonts w:eastAsia="Times New Roman"/>
          <w:sz w:val="24"/>
          <w:szCs w:val="24"/>
          <w:lang w:eastAsia="es-CO"/>
        </w:rPr>
        <w:t xml:space="preserve">cuando impide </w:t>
      </w:r>
      <w:r w:rsidR="000C1526" w:rsidRPr="00844003">
        <w:rPr>
          <w:rFonts w:eastAsia="Times New Roman"/>
          <w:sz w:val="24"/>
          <w:szCs w:val="24"/>
          <w:lang w:eastAsia="es-CO"/>
        </w:rPr>
        <w:t>el pleno disfrute de aquellas garantías</w:t>
      </w:r>
      <w:r w:rsidR="00472F35" w:rsidRPr="00844003">
        <w:rPr>
          <w:rFonts w:eastAsia="Times New Roman"/>
          <w:sz w:val="24"/>
          <w:szCs w:val="24"/>
          <w:lang w:eastAsia="es-CO"/>
        </w:rPr>
        <w:t>.</w:t>
      </w:r>
    </w:p>
    <w:p w14:paraId="7126B73E" w14:textId="1CBA2E6D" w:rsidR="00416BFD" w:rsidRPr="00844003" w:rsidRDefault="00416BFD" w:rsidP="00B25A4C">
      <w:pPr>
        <w:overflowPunct w:val="0"/>
        <w:autoSpaceDE w:val="0"/>
        <w:autoSpaceDN w:val="0"/>
        <w:adjustRightInd w:val="0"/>
        <w:spacing w:line="276" w:lineRule="auto"/>
        <w:rPr>
          <w:rFonts w:eastAsia="Verdana"/>
          <w:sz w:val="24"/>
          <w:szCs w:val="24"/>
        </w:rPr>
      </w:pPr>
    </w:p>
    <w:p w14:paraId="3C72ED26" w14:textId="61766469" w:rsidR="005630DC" w:rsidRDefault="005630DC" w:rsidP="005630DC">
      <w:pPr>
        <w:overflowPunct w:val="0"/>
        <w:autoSpaceDE w:val="0"/>
        <w:autoSpaceDN w:val="0"/>
        <w:adjustRightInd w:val="0"/>
        <w:spacing w:line="276" w:lineRule="auto"/>
        <w:rPr>
          <w:rFonts w:eastAsia="Verdana"/>
          <w:sz w:val="24"/>
          <w:szCs w:val="24"/>
        </w:rPr>
      </w:pPr>
      <w:r w:rsidRPr="00844003">
        <w:rPr>
          <w:rFonts w:eastAsia="Verdana"/>
          <w:sz w:val="24"/>
          <w:szCs w:val="24"/>
        </w:rPr>
        <w:t>Para efectos del examen requisito de subsidiariedad, el accionante considera que las irregularidades planteadas sobre el fallo acusado no se adecúan a las causales previstas para el recurso extraordinario de revisión.</w:t>
      </w:r>
    </w:p>
    <w:p w14:paraId="15F6E9FD" w14:textId="77777777" w:rsidR="005630DC" w:rsidRPr="00844003" w:rsidRDefault="005630DC" w:rsidP="005630DC">
      <w:pPr>
        <w:overflowPunct w:val="0"/>
        <w:autoSpaceDE w:val="0"/>
        <w:autoSpaceDN w:val="0"/>
        <w:adjustRightInd w:val="0"/>
        <w:spacing w:line="276" w:lineRule="auto"/>
        <w:rPr>
          <w:rFonts w:eastAsia="Verdana"/>
          <w:sz w:val="24"/>
          <w:szCs w:val="24"/>
        </w:rPr>
      </w:pPr>
    </w:p>
    <w:p w14:paraId="4F1C7F07" w14:textId="1D2B873B" w:rsidR="000C1526" w:rsidRPr="00844003" w:rsidRDefault="00416BFD" w:rsidP="00B25A4C">
      <w:pPr>
        <w:overflowPunct w:val="0"/>
        <w:autoSpaceDE w:val="0"/>
        <w:autoSpaceDN w:val="0"/>
        <w:adjustRightInd w:val="0"/>
        <w:spacing w:line="276" w:lineRule="auto"/>
        <w:rPr>
          <w:rFonts w:eastAsia="Times New Roman"/>
          <w:sz w:val="24"/>
          <w:szCs w:val="24"/>
          <w:lang w:eastAsia="es-CO"/>
        </w:rPr>
      </w:pPr>
      <w:r w:rsidRPr="00844003">
        <w:rPr>
          <w:rFonts w:eastAsia="Verdana"/>
          <w:sz w:val="24"/>
          <w:szCs w:val="24"/>
        </w:rPr>
        <w:t xml:space="preserve">Al revisar el expediente del recurso </w:t>
      </w:r>
      <w:r w:rsidR="000C1526" w:rsidRPr="00844003">
        <w:rPr>
          <w:rFonts w:eastAsia="Times New Roman"/>
          <w:sz w:val="24"/>
          <w:szCs w:val="24"/>
          <w:lang w:eastAsia="es-CO"/>
        </w:rPr>
        <w:t>extraordinario de revisión interpuesto en contra</w:t>
      </w:r>
      <w:r w:rsidRPr="00844003">
        <w:rPr>
          <w:rFonts w:eastAsia="Times New Roman"/>
          <w:sz w:val="24"/>
          <w:szCs w:val="24"/>
          <w:lang w:eastAsia="es-CO"/>
        </w:rPr>
        <w:t xml:space="preserve"> de</w:t>
      </w:r>
      <w:r w:rsidR="000C1526" w:rsidRPr="00844003">
        <w:rPr>
          <w:rFonts w:eastAsia="Times New Roman"/>
          <w:sz w:val="24"/>
          <w:szCs w:val="24"/>
          <w:lang w:eastAsia="es-CO"/>
        </w:rPr>
        <w:t xml:space="preserve"> la sentencia del 27 de julio de 2010 proferida por la Sala Plena del Consejo de Estado,</w:t>
      </w:r>
      <w:r w:rsidRPr="00844003">
        <w:rPr>
          <w:rFonts w:eastAsia="Times New Roman"/>
          <w:sz w:val="24"/>
          <w:szCs w:val="24"/>
          <w:lang w:eastAsia="es-CO"/>
        </w:rPr>
        <w:t xml:space="preserve"> es posible constatar que </w:t>
      </w:r>
      <w:r w:rsidR="000C1526" w:rsidRPr="00844003">
        <w:rPr>
          <w:rFonts w:eastAsia="Times New Roman"/>
          <w:sz w:val="24"/>
          <w:szCs w:val="24"/>
          <w:lang w:eastAsia="es-CO"/>
        </w:rPr>
        <w:t>el apoderado del señor Barrios Barrios invocó las causales establecidas en los literales a) y b)</w:t>
      </w:r>
      <w:r w:rsidR="003F3E88">
        <w:rPr>
          <w:rStyle w:val="Refdenotaalpie"/>
          <w:rFonts w:eastAsia="Times New Roman"/>
          <w:sz w:val="24"/>
          <w:szCs w:val="24"/>
          <w:lang w:eastAsia="es-CO"/>
        </w:rPr>
        <w:footnoteReference w:id="13"/>
      </w:r>
      <w:r w:rsidR="000C1526" w:rsidRPr="00844003">
        <w:rPr>
          <w:rFonts w:eastAsia="Times New Roman"/>
          <w:sz w:val="24"/>
          <w:szCs w:val="24"/>
          <w:lang w:eastAsia="es-CO"/>
        </w:rPr>
        <w:t xml:space="preserve"> del artículo 17 de la Ley 144 de 1994 y en el numeral 6° del artículo 188 del </w:t>
      </w:r>
      <w:r w:rsidR="006C2295">
        <w:rPr>
          <w:rFonts w:eastAsia="Times New Roman"/>
          <w:sz w:val="24"/>
          <w:szCs w:val="24"/>
          <w:lang w:eastAsia="es-CO"/>
        </w:rPr>
        <w:t>CCA</w:t>
      </w:r>
      <w:r w:rsidR="003F3E88">
        <w:rPr>
          <w:rStyle w:val="Refdenotaalpie"/>
          <w:rFonts w:eastAsia="Times New Roman"/>
          <w:sz w:val="24"/>
          <w:szCs w:val="24"/>
          <w:lang w:eastAsia="es-CO"/>
        </w:rPr>
        <w:footnoteReference w:id="14"/>
      </w:r>
      <w:r w:rsidR="000C1526" w:rsidRPr="00844003">
        <w:rPr>
          <w:rFonts w:eastAsia="Times New Roman"/>
          <w:sz w:val="24"/>
          <w:szCs w:val="24"/>
          <w:lang w:eastAsia="es-CO"/>
        </w:rPr>
        <w:t>, con sustento en los siguientes cargos, entre otros:</w:t>
      </w:r>
    </w:p>
    <w:p w14:paraId="1194D546" w14:textId="6C9195EE" w:rsidR="00624823" w:rsidRPr="00844003" w:rsidRDefault="00624823" w:rsidP="00B25A4C">
      <w:pPr>
        <w:spacing w:line="276" w:lineRule="auto"/>
        <w:rPr>
          <w:rFonts w:eastAsia="Times New Roman"/>
          <w:sz w:val="24"/>
          <w:szCs w:val="24"/>
          <w:lang w:eastAsia="es-CO"/>
        </w:rPr>
      </w:pPr>
    </w:p>
    <w:p w14:paraId="53C2743B" w14:textId="57452754" w:rsidR="00624823" w:rsidRPr="00844003" w:rsidRDefault="00624823" w:rsidP="00B25A4C">
      <w:pPr>
        <w:spacing w:line="276" w:lineRule="auto"/>
        <w:ind w:left="708"/>
        <w:rPr>
          <w:rFonts w:eastAsia="Times New Roman"/>
          <w:sz w:val="22"/>
          <w:szCs w:val="24"/>
          <w:lang w:eastAsia="es-CO"/>
        </w:rPr>
      </w:pPr>
      <w:r w:rsidRPr="00844003">
        <w:rPr>
          <w:rFonts w:eastAsia="Times New Roman"/>
          <w:sz w:val="22"/>
          <w:szCs w:val="24"/>
          <w:lang w:eastAsia="es-CO"/>
        </w:rPr>
        <w:t>“</w:t>
      </w:r>
      <w:r w:rsidRPr="00844003">
        <w:rPr>
          <w:rFonts w:eastAsia="Times New Roman"/>
          <w:b/>
          <w:sz w:val="22"/>
          <w:szCs w:val="24"/>
          <w:lang w:eastAsia="es-CO"/>
        </w:rPr>
        <w:t>1.5. La providencia acusada viola la aplicación del principio de la efectividad de los derechos fundamentales.</w:t>
      </w:r>
    </w:p>
    <w:p w14:paraId="77A11676" w14:textId="75CBDF2E" w:rsidR="00624823" w:rsidRPr="00844003" w:rsidRDefault="00624823" w:rsidP="00B25A4C">
      <w:pPr>
        <w:spacing w:line="276" w:lineRule="auto"/>
        <w:ind w:left="708"/>
        <w:rPr>
          <w:rFonts w:eastAsia="Times New Roman"/>
          <w:sz w:val="22"/>
          <w:szCs w:val="24"/>
          <w:lang w:eastAsia="es-CO"/>
        </w:rPr>
      </w:pPr>
      <w:r w:rsidRPr="00844003">
        <w:rPr>
          <w:rFonts w:eastAsia="Times New Roman"/>
          <w:sz w:val="22"/>
          <w:szCs w:val="24"/>
          <w:lang w:eastAsia="es-CO"/>
        </w:rPr>
        <w:t>[…]</w:t>
      </w:r>
    </w:p>
    <w:p w14:paraId="293DCE70" w14:textId="5A120932" w:rsidR="00624823" w:rsidRPr="00844003" w:rsidRDefault="00624823" w:rsidP="00B25A4C">
      <w:pPr>
        <w:spacing w:line="276" w:lineRule="auto"/>
        <w:ind w:left="708"/>
        <w:rPr>
          <w:rFonts w:eastAsia="Times New Roman"/>
          <w:b/>
          <w:sz w:val="22"/>
          <w:szCs w:val="24"/>
          <w:lang w:eastAsia="es-CO"/>
        </w:rPr>
      </w:pPr>
      <w:r w:rsidRPr="00844003">
        <w:rPr>
          <w:rFonts w:eastAsia="Times New Roman"/>
          <w:b/>
          <w:sz w:val="22"/>
          <w:szCs w:val="24"/>
          <w:lang w:eastAsia="es-CO"/>
        </w:rPr>
        <w:lastRenderedPageBreak/>
        <w:t>1.6. La providencia acusada niega la aplicación del principio pro homine.</w:t>
      </w:r>
    </w:p>
    <w:p w14:paraId="00F7AAA5" w14:textId="1EB4CB80" w:rsidR="00624823" w:rsidRPr="00844003" w:rsidRDefault="00624823" w:rsidP="00B25A4C">
      <w:pPr>
        <w:spacing w:line="276" w:lineRule="auto"/>
        <w:ind w:left="708"/>
        <w:rPr>
          <w:rFonts w:eastAsia="Times New Roman"/>
          <w:sz w:val="22"/>
          <w:szCs w:val="24"/>
          <w:lang w:eastAsia="es-CO"/>
        </w:rPr>
      </w:pPr>
      <w:r w:rsidRPr="00844003">
        <w:rPr>
          <w:rFonts w:eastAsia="Times New Roman"/>
          <w:sz w:val="22"/>
          <w:szCs w:val="24"/>
          <w:lang w:eastAsia="es-CO"/>
        </w:rPr>
        <w:t>[…]</w:t>
      </w:r>
    </w:p>
    <w:p w14:paraId="32313FC2" w14:textId="1777A60A" w:rsidR="00624823" w:rsidRPr="00844003" w:rsidRDefault="006E541C" w:rsidP="00B25A4C">
      <w:pPr>
        <w:spacing w:line="276" w:lineRule="auto"/>
        <w:ind w:left="708"/>
        <w:rPr>
          <w:rFonts w:eastAsia="Times New Roman"/>
          <w:sz w:val="24"/>
          <w:szCs w:val="24"/>
          <w:lang w:eastAsia="es-CO"/>
        </w:rPr>
      </w:pPr>
      <w:r>
        <w:rPr>
          <w:rFonts w:eastAsia="Times New Roman"/>
          <w:b/>
          <w:sz w:val="22"/>
          <w:szCs w:val="24"/>
          <w:lang w:eastAsia="es-CO"/>
        </w:rPr>
        <w:t>1.8</w:t>
      </w:r>
      <w:r w:rsidR="00624823" w:rsidRPr="00844003">
        <w:rPr>
          <w:rFonts w:eastAsia="Times New Roman"/>
          <w:b/>
          <w:sz w:val="22"/>
          <w:szCs w:val="24"/>
          <w:lang w:eastAsia="es-CO"/>
        </w:rPr>
        <w:t>. La providencia acusada viola el derecho a la igualdad de mi poderdante</w:t>
      </w:r>
      <w:r w:rsidR="00624823" w:rsidRPr="00844003">
        <w:rPr>
          <w:rFonts w:eastAsia="Times New Roman"/>
          <w:sz w:val="22"/>
          <w:szCs w:val="24"/>
          <w:lang w:eastAsia="es-CO"/>
        </w:rPr>
        <w:t>”</w:t>
      </w:r>
      <w:r w:rsidR="005839DF">
        <w:rPr>
          <w:rStyle w:val="Refdenotaalpie"/>
          <w:rFonts w:eastAsia="Times New Roman"/>
          <w:sz w:val="22"/>
          <w:szCs w:val="24"/>
          <w:lang w:eastAsia="es-CO"/>
        </w:rPr>
        <w:footnoteReference w:id="15"/>
      </w:r>
      <w:r w:rsidR="005839DF">
        <w:rPr>
          <w:rFonts w:eastAsia="Times New Roman"/>
          <w:sz w:val="22"/>
          <w:szCs w:val="24"/>
          <w:lang w:eastAsia="es-CO"/>
        </w:rPr>
        <w:t>.</w:t>
      </w:r>
      <w:r w:rsidR="00624823" w:rsidRPr="00844003">
        <w:rPr>
          <w:rFonts w:eastAsia="Times New Roman"/>
          <w:sz w:val="22"/>
          <w:szCs w:val="24"/>
          <w:lang w:eastAsia="es-CO"/>
        </w:rPr>
        <w:t xml:space="preserve"> [</w:t>
      </w:r>
      <w:r w:rsidR="00624823" w:rsidRPr="00844003">
        <w:rPr>
          <w:rFonts w:eastAsia="Times New Roman"/>
          <w:b/>
          <w:sz w:val="22"/>
          <w:szCs w:val="24"/>
          <w:lang w:eastAsia="es-CO"/>
        </w:rPr>
        <w:t>Negrilla en el texto</w:t>
      </w:r>
      <w:r w:rsidR="00624823" w:rsidRPr="00844003">
        <w:rPr>
          <w:rFonts w:eastAsia="Times New Roman"/>
          <w:sz w:val="22"/>
          <w:szCs w:val="24"/>
          <w:lang w:eastAsia="es-CO"/>
        </w:rPr>
        <w:t>].</w:t>
      </w:r>
    </w:p>
    <w:p w14:paraId="250BED73" w14:textId="77777777" w:rsidR="001C2C9C" w:rsidRPr="00844003" w:rsidRDefault="001C2C9C" w:rsidP="00B25A4C">
      <w:pPr>
        <w:spacing w:line="276" w:lineRule="auto"/>
        <w:rPr>
          <w:rFonts w:eastAsia="Times New Roman"/>
          <w:sz w:val="24"/>
          <w:szCs w:val="24"/>
          <w:lang w:eastAsia="es-CO"/>
        </w:rPr>
      </w:pPr>
    </w:p>
    <w:p w14:paraId="3CBAC1E2" w14:textId="4D9D1A60" w:rsidR="000C1526" w:rsidRPr="00844003" w:rsidRDefault="00AB520E" w:rsidP="00B25A4C">
      <w:pPr>
        <w:spacing w:line="276" w:lineRule="auto"/>
        <w:rPr>
          <w:rFonts w:eastAsia="Times New Roman"/>
          <w:sz w:val="24"/>
          <w:szCs w:val="24"/>
          <w:lang w:eastAsia="es-CO"/>
        </w:rPr>
      </w:pPr>
      <w:r>
        <w:rPr>
          <w:rFonts w:eastAsia="Times New Roman"/>
          <w:sz w:val="24"/>
          <w:szCs w:val="24"/>
          <w:lang w:eastAsia="es-CO"/>
        </w:rPr>
        <w:t>De la lectura</w:t>
      </w:r>
      <w:r w:rsidR="000C1526" w:rsidRPr="00844003">
        <w:rPr>
          <w:rFonts w:eastAsia="Times New Roman"/>
          <w:sz w:val="24"/>
          <w:szCs w:val="24"/>
          <w:lang w:eastAsia="es-CO"/>
        </w:rPr>
        <w:t xml:space="preserve"> </w:t>
      </w:r>
      <w:r>
        <w:rPr>
          <w:rFonts w:eastAsia="Times New Roman"/>
          <w:sz w:val="24"/>
          <w:szCs w:val="24"/>
          <w:lang w:eastAsia="es-CO"/>
        </w:rPr>
        <w:t>d</w:t>
      </w:r>
      <w:r w:rsidR="000C1526" w:rsidRPr="00844003">
        <w:rPr>
          <w:rFonts w:eastAsia="Times New Roman"/>
          <w:sz w:val="24"/>
          <w:szCs w:val="24"/>
          <w:lang w:eastAsia="es-CO"/>
        </w:rPr>
        <w:t xml:space="preserve">el contenido de los motivos que </w:t>
      </w:r>
      <w:r w:rsidR="00416BFD" w:rsidRPr="00844003">
        <w:rPr>
          <w:rFonts w:eastAsia="Times New Roman"/>
          <w:sz w:val="24"/>
          <w:szCs w:val="24"/>
          <w:lang w:eastAsia="es-CO"/>
        </w:rPr>
        <w:t>fundamentan</w:t>
      </w:r>
      <w:r w:rsidR="000C1526" w:rsidRPr="00844003">
        <w:rPr>
          <w:rFonts w:eastAsia="Times New Roman"/>
          <w:sz w:val="24"/>
          <w:szCs w:val="24"/>
          <w:lang w:eastAsia="es-CO"/>
        </w:rPr>
        <w:t xml:space="preserve"> cada uno de los </w:t>
      </w:r>
      <w:r>
        <w:rPr>
          <w:rFonts w:eastAsia="Times New Roman"/>
          <w:sz w:val="24"/>
          <w:szCs w:val="24"/>
          <w:lang w:eastAsia="es-CO"/>
        </w:rPr>
        <w:t>citados</w:t>
      </w:r>
      <w:r w:rsidR="000C1526" w:rsidRPr="00844003">
        <w:rPr>
          <w:rFonts w:eastAsia="Times New Roman"/>
          <w:sz w:val="24"/>
          <w:szCs w:val="24"/>
          <w:lang w:eastAsia="es-CO"/>
        </w:rPr>
        <w:t xml:space="preserve"> cargos del recurso extraordinario de revisión</w:t>
      </w:r>
      <w:r w:rsidR="00BD7E70" w:rsidRPr="00844003">
        <w:rPr>
          <w:rFonts w:eastAsia="Times New Roman"/>
          <w:sz w:val="24"/>
          <w:szCs w:val="24"/>
          <w:lang w:eastAsia="es-CO"/>
        </w:rPr>
        <w:t xml:space="preserve"> interpuesto por Luis Felipe Barrios</w:t>
      </w:r>
      <w:r w:rsidR="006E541C">
        <w:rPr>
          <w:rStyle w:val="Refdenotaalpie"/>
          <w:rFonts w:eastAsia="Times New Roman"/>
          <w:sz w:val="24"/>
          <w:szCs w:val="24"/>
          <w:lang w:eastAsia="es-CO"/>
        </w:rPr>
        <w:footnoteReference w:id="16"/>
      </w:r>
      <w:r w:rsidR="00795A98">
        <w:rPr>
          <w:rFonts w:eastAsia="Times New Roman"/>
          <w:sz w:val="24"/>
          <w:szCs w:val="24"/>
          <w:lang w:eastAsia="es-CO"/>
        </w:rPr>
        <w:t>, la Sala</w:t>
      </w:r>
      <w:r>
        <w:rPr>
          <w:rFonts w:eastAsia="Times New Roman"/>
          <w:sz w:val="24"/>
          <w:szCs w:val="24"/>
          <w:lang w:eastAsia="es-CO"/>
        </w:rPr>
        <w:t xml:space="preserve"> </w:t>
      </w:r>
      <w:r w:rsidR="00795A98">
        <w:rPr>
          <w:rFonts w:eastAsia="Times New Roman"/>
          <w:sz w:val="24"/>
          <w:szCs w:val="24"/>
          <w:lang w:eastAsia="es-CO"/>
        </w:rPr>
        <w:t>observa</w:t>
      </w:r>
      <w:r>
        <w:rPr>
          <w:rFonts w:eastAsia="Times New Roman"/>
          <w:sz w:val="24"/>
          <w:szCs w:val="24"/>
          <w:lang w:eastAsia="es-CO"/>
        </w:rPr>
        <w:t xml:space="preserve"> </w:t>
      </w:r>
      <w:r w:rsidR="000C1526" w:rsidRPr="00844003">
        <w:rPr>
          <w:rFonts w:eastAsia="Times New Roman"/>
          <w:sz w:val="24"/>
          <w:szCs w:val="24"/>
          <w:lang w:eastAsia="es-CO"/>
        </w:rPr>
        <w:t>que</w:t>
      </w:r>
      <w:r w:rsidR="000B4EEA">
        <w:rPr>
          <w:rFonts w:eastAsia="Times New Roman"/>
          <w:sz w:val="24"/>
          <w:szCs w:val="24"/>
          <w:lang w:eastAsia="es-CO"/>
        </w:rPr>
        <w:t xml:space="preserve"> ellos</w:t>
      </w:r>
      <w:r w:rsidR="000C1526" w:rsidRPr="00844003">
        <w:rPr>
          <w:rFonts w:eastAsia="Times New Roman"/>
          <w:sz w:val="24"/>
          <w:szCs w:val="24"/>
          <w:lang w:eastAsia="es-CO"/>
        </w:rPr>
        <w:t xml:space="preserve"> están expresados en los mismos términos que está planteado el primer grupo de argumentos del escrito de tutela</w:t>
      </w:r>
      <w:r w:rsidR="00795A98">
        <w:rPr>
          <w:rFonts w:eastAsia="Times New Roman"/>
          <w:sz w:val="24"/>
          <w:szCs w:val="24"/>
          <w:lang w:eastAsia="es-CO"/>
        </w:rPr>
        <w:t xml:space="preserve"> en el presente trámite</w:t>
      </w:r>
      <w:r w:rsidR="006E541C">
        <w:rPr>
          <w:rStyle w:val="Refdenotaalpie"/>
          <w:rFonts w:eastAsia="Times New Roman"/>
          <w:sz w:val="24"/>
          <w:szCs w:val="24"/>
          <w:lang w:eastAsia="es-CO"/>
        </w:rPr>
        <w:footnoteReference w:id="17"/>
      </w:r>
      <w:r w:rsidR="000C1526" w:rsidRPr="00844003">
        <w:rPr>
          <w:rFonts w:eastAsia="Times New Roman"/>
          <w:sz w:val="24"/>
          <w:szCs w:val="24"/>
          <w:lang w:eastAsia="es-CO"/>
        </w:rPr>
        <w:t>.</w:t>
      </w:r>
    </w:p>
    <w:p w14:paraId="52DBBA31" w14:textId="77777777" w:rsidR="000C1526" w:rsidRPr="00844003" w:rsidRDefault="000C1526" w:rsidP="00B25A4C">
      <w:pPr>
        <w:spacing w:line="276" w:lineRule="auto"/>
        <w:rPr>
          <w:rFonts w:eastAsia="Times New Roman"/>
          <w:sz w:val="24"/>
          <w:szCs w:val="24"/>
          <w:lang w:eastAsia="es-CO"/>
        </w:rPr>
      </w:pPr>
    </w:p>
    <w:p w14:paraId="78B9BC30" w14:textId="7E560BB9" w:rsidR="00F0005C" w:rsidRPr="00844003" w:rsidRDefault="00416BFD" w:rsidP="00B25A4C">
      <w:pPr>
        <w:spacing w:line="276" w:lineRule="auto"/>
        <w:rPr>
          <w:rFonts w:eastAsia="Times New Roman"/>
          <w:sz w:val="24"/>
          <w:szCs w:val="24"/>
          <w:lang w:eastAsia="es-CO"/>
        </w:rPr>
      </w:pPr>
      <w:r w:rsidRPr="00844003">
        <w:rPr>
          <w:rFonts w:eastAsia="Times New Roman"/>
          <w:sz w:val="24"/>
          <w:szCs w:val="24"/>
          <w:lang w:eastAsia="es-CO"/>
        </w:rPr>
        <w:t>Según</w:t>
      </w:r>
      <w:r w:rsidR="00F0005C" w:rsidRPr="00844003">
        <w:rPr>
          <w:rFonts w:eastAsia="Times New Roman"/>
          <w:sz w:val="24"/>
          <w:szCs w:val="24"/>
          <w:lang w:eastAsia="es-CO"/>
        </w:rPr>
        <w:t xml:space="preserve"> la sede electrónica para la gestión judicial de esta Corporación denominada “SAMAI”, </w:t>
      </w:r>
      <w:r w:rsidR="00F4584E" w:rsidRPr="00844003">
        <w:rPr>
          <w:rFonts w:eastAsia="Times New Roman"/>
          <w:sz w:val="24"/>
          <w:szCs w:val="24"/>
          <w:lang w:eastAsia="es-CO"/>
        </w:rPr>
        <w:t xml:space="preserve">la Sala Plena del Consejo de Estado no ha resuelto de fondo </w:t>
      </w:r>
      <w:r w:rsidR="00F0005C" w:rsidRPr="00844003">
        <w:rPr>
          <w:rFonts w:eastAsia="Times New Roman"/>
          <w:sz w:val="24"/>
          <w:szCs w:val="24"/>
          <w:lang w:eastAsia="es-CO"/>
        </w:rPr>
        <w:t>el recurso extraordinario de revisión</w:t>
      </w:r>
      <w:r w:rsidR="001862A2" w:rsidRPr="00844003">
        <w:rPr>
          <w:rFonts w:eastAsia="Times New Roman"/>
          <w:sz w:val="24"/>
          <w:szCs w:val="24"/>
          <w:lang w:eastAsia="es-CO"/>
        </w:rPr>
        <w:t xml:space="preserve"> interpuesto en contra de la sentencia 27 de julio de 2010,</w:t>
      </w:r>
      <w:r w:rsidR="00F0005C" w:rsidRPr="00844003">
        <w:rPr>
          <w:rFonts w:eastAsia="Times New Roman"/>
          <w:sz w:val="24"/>
          <w:szCs w:val="24"/>
          <w:lang w:eastAsia="es-CO"/>
        </w:rPr>
        <w:t xml:space="preserve"> adelantado bajo el proceso con número de radicado 11001-03-15-000-2015-02568-00</w:t>
      </w:r>
      <w:r w:rsidR="001862A2" w:rsidRPr="00844003">
        <w:rPr>
          <w:rFonts w:eastAsia="Times New Roman"/>
          <w:sz w:val="24"/>
          <w:szCs w:val="24"/>
          <w:lang w:eastAsia="es-CO"/>
        </w:rPr>
        <w:t>.</w:t>
      </w:r>
      <w:r w:rsidR="00BD7E70" w:rsidRPr="00844003">
        <w:rPr>
          <w:rFonts w:eastAsia="Times New Roman"/>
          <w:sz w:val="24"/>
          <w:szCs w:val="24"/>
          <w:lang w:eastAsia="es-CO"/>
        </w:rPr>
        <w:t xml:space="preserve"> Lo anterior, pues la última actuación que se encuentra registrada, el 20 de abril de 2019, únicamente contiene la siguiente anotación: “Cambio de ponente por posesión del nuevo magistrado. Ponente anterior: JAIME ORLANDO SANTOFIMIO GAMBOA y nuevo ponente: NICOLAS YEPES CORRALES”</w:t>
      </w:r>
      <w:r w:rsidR="006C2295">
        <w:rPr>
          <w:rStyle w:val="Refdenotaalpie"/>
          <w:rFonts w:eastAsia="Times New Roman"/>
          <w:sz w:val="24"/>
          <w:szCs w:val="24"/>
          <w:lang w:eastAsia="es-CO"/>
        </w:rPr>
        <w:footnoteReference w:id="18"/>
      </w:r>
      <w:r w:rsidR="00BD7E70" w:rsidRPr="00844003">
        <w:rPr>
          <w:rFonts w:eastAsia="Times New Roman"/>
          <w:sz w:val="24"/>
          <w:szCs w:val="24"/>
          <w:lang w:eastAsia="es-CO"/>
        </w:rPr>
        <w:t>.</w:t>
      </w:r>
    </w:p>
    <w:p w14:paraId="151D8AE8" w14:textId="67178CA0" w:rsidR="00795A98" w:rsidRDefault="00795A98" w:rsidP="00E26DC1">
      <w:pPr>
        <w:overflowPunct w:val="0"/>
        <w:autoSpaceDE w:val="0"/>
        <w:autoSpaceDN w:val="0"/>
        <w:adjustRightInd w:val="0"/>
        <w:spacing w:line="276" w:lineRule="auto"/>
        <w:rPr>
          <w:rFonts w:eastAsia="Verdana"/>
          <w:sz w:val="24"/>
          <w:szCs w:val="24"/>
          <w:lang w:val="es-ES_tradnl"/>
        </w:rPr>
      </w:pPr>
    </w:p>
    <w:p w14:paraId="601B8FB4" w14:textId="2603CF95" w:rsidR="00FE7282" w:rsidRPr="00844003" w:rsidRDefault="00795A98" w:rsidP="00E26DC1">
      <w:pPr>
        <w:overflowPunct w:val="0"/>
        <w:autoSpaceDE w:val="0"/>
        <w:autoSpaceDN w:val="0"/>
        <w:adjustRightInd w:val="0"/>
        <w:spacing w:line="276" w:lineRule="auto"/>
        <w:rPr>
          <w:rFonts w:eastAsia="Verdana"/>
          <w:sz w:val="24"/>
          <w:szCs w:val="24"/>
        </w:rPr>
      </w:pPr>
      <w:r>
        <w:rPr>
          <w:rFonts w:eastAsia="Verdana"/>
          <w:sz w:val="24"/>
          <w:szCs w:val="24"/>
        </w:rPr>
        <w:t xml:space="preserve">A juicio de esta Sala, más allá del debate que pueda haber sobre enmarcar </w:t>
      </w:r>
      <w:r w:rsidR="003F3E88">
        <w:rPr>
          <w:rFonts w:eastAsia="Verdana"/>
          <w:sz w:val="24"/>
          <w:szCs w:val="24"/>
        </w:rPr>
        <w:t>estas</w:t>
      </w:r>
      <w:r>
        <w:rPr>
          <w:rFonts w:eastAsia="Verdana"/>
          <w:sz w:val="24"/>
          <w:szCs w:val="24"/>
        </w:rPr>
        <w:t xml:space="preserve"> razones del escrito de tutela en alguna de las causales del recurso de revisión, el hecho de que </w:t>
      </w:r>
      <w:r w:rsidR="003F3E88">
        <w:rPr>
          <w:rFonts w:eastAsia="Verdana"/>
          <w:sz w:val="24"/>
          <w:szCs w:val="24"/>
        </w:rPr>
        <w:t xml:space="preserve">el actor </w:t>
      </w:r>
      <w:r>
        <w:rPr>
          <w:rFonts w:eastAsia="Verdana"/>
          <w:sz w:val="24"/>
          <w:szCs w:val="24"/>
        </w:rPr>
        <w:t>ya</w:t>
      </w:r>
      <w:r w:rsidR="003F3E88">
        <w:rPr>
          <w:rFonts w:eastAsia="Verdana"/>
          <w:sz w:val="24"/>
          <w:szCs w:val="24"/>
        </w:rPr>
        <w:t xml:space="preserve"> las</w:t>
      </w:r>
      <w:r>
        <w:rPr>
          <w:rFonts w:eastAsia="Verdana"/>
          <w:sz w:val="24"/>
          <w:szCs w:val="24"/>
        </w:rPr>
        <w:t xml:space="preserve"> haya planteado al momento de promover el referido medio extraordinario de impugnación, resulta ser motivo suficiente para que el juez ordinario competente, en este caso la Sala Plena del Consejo de Estado, se pronuncie al respecto, pues precisamente constituye el primer escenario para garantizar la protección de</w:t>
      </w:r>
      <w:r w:rsidR="003F34D0">
        <w:rPr>
          <w:rFonts w:eastAsia="Verdana"/>
          <w:sz w:val="24"/>
          <w:szCs w:val="24"/>
        </w:rPr>
        <w:t xml:space="preserve"> los</w:t>
      </w:r>
      <w:r>
        <w:rPr>
          <w:rFonts w:eastAsia="Verdana"/>
          <w:sz w:val="24"/>
          <w:szCs w:val="24"/>
        </w:rPr>
        <w:t xml:space="preserve"> derechos fundamentales</w:t>
      </w:r>
      <w:r w:rsidR="003F34D0">
        <w:rPr>
          <w:rFonts w:eastAsia="Verdana"/>
          <w:sz w:val="24"/>
          <w:szCs w:val="24"/>
        </w:rPr>
        <w:t xml:space="preserve"> del actor, en relación con aquellos argumentos del escrito de tutela, </w:t>
      </w:r>
      <w:r>
        <w:rPr>
          <w:rFonts w:eastAsia="Verdana"/>
          <w:sz w:val="24"/>
          <w:szCs w:val="24"/>
        </w:rPr>
        <w:t xml:space="preserve">que puedan verse afectadas por el proceder de la administración de justicia. </w:t>
      </w:r>
    </w:p>
    <w:p w14:paraId="48429275" w14:textId="77777777" w:rsidR="00FE7282" w:rsidRPr="00844003" w:rsidRDefault="00FE7282" w:rsidP="00B25A4C">
      <w:pPr>
        <w:overflowPunct w:val="0"/>
        <w:autoSpaceDE w:val="0"/>
        <w:autoSpaceDN w:val="0"/>
        <w:adjustRightInd w:val="0"/>
        <w:spacing w:line="276" w:lineRule="auto"/>
        <w:rPr>
          <w:rFonts w:eastAsia="Verdana"/>
          <w:sz w:val="24"/>
          <w:szCs w:val="24"/>
        </w:rPr>
      </w:pPr>
    </w:p>
    <w:p w14:paraId="4632752B" w14:textId="6DD5297C" w:rsidR="00A60B1F" w:rsidRPr="00844003" w:rsidRDefault="00557225" w:rsidP="00B25A4C">
      <w:pPr>
        <w:overflowPunct w:val="0"/>
        <w:autoSpaceDE w:val="0"/>
        <w:autoSpaceDN w:val="0"/>
        <w:adjustRightInd w:val="0"/>
        <w:spacing w:line="276" w:lineRule="auto"/>
        <w:rPr>
          <w:rFonts w:eastAsia="Verdana"/>
          <w:sz w:val="24"/>
          <w:szCs w:val="24"/>
        </w:rPr>
      </w:pPr>
      <w:r w:rsidRPr="00844003">
        <w:rPr>
          <w:rFonts w:eastAsia="Verdana"/>
          <w:sz w:val="24"/>
          <w:szCs w:val="24"/>
        </w:rPr>
        <w:t xml:space="preserve">Así las cosas, comoquiera que </w:t>
      </w:r>
      <w:r w:rsidR="00BD7E70" w:rsidRPr="00844003">
        <w:rPr>
          <w:rFonts w:eastAsia="Verdana"/>
          <w:sz w:val="24"/>
          <w:szCs w:val="24"/>
        </w:rPr>
        <w:t>no ha sido resuelto</w:t>
      </w:r>
      <w:r w:rsidR="00795A98">
        <w:rPr>
          <w:rFonts w:eastAsia="Verdana"/>
          <w:sz w:val="24"/>
          <w:szCs w:val="24"/>
        </w:rPr>
        <w:t xml:space="preserve"> de fondo el recurso extraordinario de revisión interpuesto por el señor Barrios Barrios</w:t>
      </w:r>
      <w:r w:rsidR="00BD7E70" w:rsidRPr="00844003">
        <w:rPr>
          <w:rFonts w:eastAsia="Verdana"/>
          <w:sz w:val="24"/>
          <w:szCs w:val="24"/>
        </w:rPr>
        <w:t xml:space="preserve">, </w:t>
      </w:r>
      <w:r w:rsidRPr="00844003">
        <w:rPr>
          <w:rFonts w:eastAsia="Verdana"/>
          <w:sz w:val="24"/>
          <w:szCs w:val="24"/>
        </w:rPr>
        <w:t>no resulta</w:t>
      </w:r>
      <w:r w:rsidR="00BD7E70" w:rsidRPr="00844003">
        <w:rPr>
          <w:rFonts w:eastAsia="Verdana"/>
          <w:sz w:val="24"/>
          <w:szCs w:val="24"/>
        </w:rPr>
        <w:t xml:space="preserve"> viable que el juez constitucional se pronuncie sobre </w:t>
      </w:r>
      <w:r w:rsidR="003F3E88">
        <w:rPr>
          <w:rFonts w:eastAsia="Verdana"/>
          <w:sz w:val="24"/>
          <w:szCs w:val="24"/>
        </w:rPr>
        <w:t xml:space="preserve">el derecho a la igualdad o los principios </w:t>
      </w:r>
      <w:r w:rsidR="003F3E88">
        <w:rPr>
          <w:rFonts w:eastAsia="Verdana"/>
          <w:i/>
          <w:sz w:val="24"/>
          <w:szCs w:val="24"/>
        </w:rPr>
        <w:t xml:space="preserve">pro homine </w:t>
      </w:r>
      <w:r w:rsidR="003F3E88">
        <w:rPr>
          <w:rFonts w:eastAsia="Verdana"/>
          <w:sz w:val="24"/>
          <w:szCs w:val="24"/>
        </w:rPr>
        <w:t>y efectividad</w:t>
      </w:r>
      <w:r w:rsidR="00121E1C">
        <w:rPr>
          <w:rFonts w:eastAsia="Verdana"/>
          <w:sz w:val="24"/>
          <w:szCs w:val="24"/>
        </w:rPr>
        <w:t xml:space="preserve"> de los derechos fundamentales</w:t>
      </w:r>
      <w:r w:rsidR="00BD7E70" w:rsidRPr="00844003">
        <w:rPr>
          <w:rFonts w:eastAsia="Verdana"/>
          <w:sz w:val="24"/>
          <w:szCs w:val="24"/>
        </w:rPr>
        <w:t xml:space="preserve">, </w:t>
      </w:r>
      <w:r w:rsidR="003F3E88">
        <w:rPr>
          <w:rFonts w:eastAsia="Verdana"/>
          <w:sz w:val="24"/>
          <w:szCs w:val="24"/>
        </w:rPr>
        <w:t xml:space="preserve">pues no se encuentran, hasta el momento, en la órbita de su competencia. </w:t>
      </w:r>
      <w:r w:rsidR="00121E1C">
        <w:rPr>
          <w:rFonts w:eastAsia="Verdana"/>
          <w:sz w:val="24"/>
          <w:szCs w:val="24"/>
        </w:rPr>
        <w:t>Por otro lado</w:t>
      </w:r>
      <w:r w:rsidR="003F3E88">
        <w:rPr>
          <w:rFonts w:eastAsia="Verdana"/>
          <w:sz w:val="24"/>
          <w:szCs w:val="24"/>
        </w:rPr>
        <w:t xml:space="preserve">, cabe agregar que la parte actora no acreditó una </w:t>
      </w:r>
      <w:r w:rsidR="00A60B1F" w:rsidRPr="00844003">
        <w:rPr>
          <w:rFonts w:eastAsia="Verdana"/>
          <w:sz w:val="24"/>
          <w:szCs w:val="24"/>
        </w:rPr>
        <w:t>situación constitutiva de perjuicio irremediable</w:t>
      </w:r>
      <w:r w:rsidR="003F3E88">
        <w:rPr>
          <w:rFonts w:eastAsia="Verdana"/>
          <w:sz w:val="24"/>
          <w:szCs w:val="24"/>
        </w:rPr>
        <w:t xml:space="preserve"> que merezca una intervención inmediata del fallador constitucional</w:t>
      </w:r>
      <w:r w:rsidR="00121E1C">
        <w:rPr>
          <w:rFonts w:eastAsia="Verdana"/>
          <w:sz w:val="24"/>
          <w:szCs w:val="24"/>
        </w:rPr>
        <w:t>, ni adujo una razón para que no fuera idóneo el mentado recurso extraordinario</w:t>
      </w:r>
      <w:r w:rsidR="00A60B1F" w:rsidRPr="00844003">
        <w:rPr>
          <w:rFonts w:eastAsia="Verdana"/>
          <w:sz w:val="24"/>
          <w:szCs w:val="24"/>
        </w:rPr>
        <w:t>.</w:t>
      </w:r>
    </w:p>
    <w:p w14:paraId="502FE801" w14:textId="77777777" w:rsidR="00A60B1F" w:rsidRPr="00844003" w:rsidRDefault="00A60B1F" w:rsidP="00B25A4C">
      <w:pPr>
        <w:overflowPunct w:val="0"/>
        <w:autoSpaceDE w:val="0"/>
        <w:autoSpaceDN w:val="0"/>
        <w:adjustRightInd w:val="0"/>
        <w:spacing w:line="276" w:lineRule="auto"/>
        <w:rPr>
          <w:rFonts w:eastAsia="Verdana"/>
          <w:sz w:val="24"/>
          <w:szCs w:val="24"/>
        </w:rPr>
      </w:pPr>
    </w:p>
    <w:p w14:paraId="3FFDD415" w14:textId="37FB6DEB" w:rsidR="003F3E88" w:rsidRPr="0046147E" w:rsidRDefault="00BD7E70" w:rsidP="0046147E">
      <w:pPr>
        <w:overflowPunct w:val="0"/>
        <w:autoSpaceDE w:val="0"/>
        <w:autoSpaceDN w:val="0"/>
        <w:adjustRightInd w:val="0"/>
        <w:spacing w:line="276" w:lineRule="auto"/>
        <w:rPr>
          <w:rFonts w:eastAsia="Verdana"/>
          <w:sz w:val="24"/>
          <w:szCs w:val="24"/>
          <w:lang w:val="es-ES"/>
        </w:rPr>
      </w:pPr>
      <w:r w:rsidRPr="0046147E">
        <w:rPr>
          <w:rFonts w:eastAsia="Verdana"/>
          <w:sz w:val="24"/>
          <w:szCs w:val="24"/>
        </w:rPr>
        <w:t xml:space="preserve">Por tanto, la Sala declarará improcedente la acción de tutela, </w:t>
      </w:r>
      <w:r w:rsidR="005630DC">
        <w:rPr>
          <w:rFonts w:eastAsia="Verdana"/>
          <w:sz w:val="24"/>
          <w:szCs w:val="24"/>
        </w:rPr>
        <w:t>respecto de los</w:t>
      </w:r>
      <w:r w:rsidRPr="0046147E">
        <w:rPr>
          <w:rFonts w:eastAsia="Verdana"/>
          <w:sz w:val="24"/>
          <w:szCs w:val="24"/>
        </w:rPr>
        <w:t xml:space="preserve"> argumentos</w:t>
      </w:r>
      <w:r w:rsidR="005630DC">
        <w:rPr>
          <w:rFonts w:eastAsia="Verdana"/>
          <w:sz w:val="24"/>
          <w:szCs w:val="24"/>
        </w:rPr>
        <w:t xml:space="preserve"> que</w:t>
      </w:r>
      <w:r w:rsidRPr="0046147E">
        <w:rPr>
          <w:rFonts w:eastAsia="Verdana"/>
          <w:sz w:val="24"/>
          <w:szCs w:val="24"/>
        </w:rPr>
        <w:t xml:space="preserve"> </w:t>
      </w:r>
      <w:r w:rsidR="005630DC" w:rsidRPr="005630DC">
        <w:rPr>
          <w:rFonts w:eastAsia="Verdana"/>
          <w:sz w:val="24"/>
          <w:szCs w:val="24"/>
        </w:rPr>
        <w:t xml:space="preserve">están dirigidos contra la decisión contenida en la sentencia del 27 de </w:t>
      </w:r>
      <w:r w:rsidR="005630DC" w:rsidRPr="005630DC">
        <w:rPr>
          <w:rFonts w:eastAsia="Verdana"/>
          <w:sz w:val="24"/>
          <w:szCs w:val="24"/>
        </w:rPr>
        <w:lastRenderedPageBreak/>
        <w:t>julio de 2010 dictada por la Sala Plena del Consejo de Estado</w:t>
      </w:r>
      <w:r w:rsidRPr="0046147E">
        <w:rPr>
          <w:rFonts w:eastAsia="Verdana"/>
          <w:sz w:val="24"/>
          <w:szCs w:val="24"/>
        </w:rPr>
        <w:t xml:space="preserve">, </w:t>
      </w:r>
      <w:r w:rsidR="005630DC">
        <w:rPr>
          <w:rFonts w:eastAsia="Verdana"/>
          <w:sz w:val="24"/>
          <w:szCs w:val="24"/>
        </w:rPr>
        <w:t>por falta de subsidiariedad,</w:t>
      </w:r>
      <w:r w:rsidR="005630DC" w:rsidRPr="0046147E">
        <w:rPr>
          <w:rFonts w:eastAsia="Verdana"/>
          <w:sz w:val="24"/>
          <w:szCs w:val="24"/>
        </w:rPr>
        <w:t xml:space="preserve"> </w:t>
      </w:r>
      <w:r w:rsidRPr="0046147E">
        <w:rPr>
          <w:rFonts w:eastAsia="Verdana"/>
          <w:sz w:val="24"/>
          <w:szCs w:val="24"/>
        </w:rPr>
        <w:t>pues</w:t>
      </w:r>
      <w:r w:rsidR="0046147E">
        <w:rPr>
          <w:rFonts w:eastAsia="Verdana"/>
          <w:sz w:val="24"/>
          <w:szCs w:val="24"/>
        </w:rPr>
        <w:t>to que</w:t>
      </w:r>
      <w:r w:rsidRPr="0046147E">
        <w:rPr>
          <w:rFonts w:eastAsia="Verdana"/>
          <w:sz w:val="24"/>
          <w:szCs w:val="24"/>
        </w:rPr>
        <w:t xml:space="preserve"> se encuentra en curso el mecanismo judicial e idóneo </w:t>
      </w:r>
      <w:r w:rsidR="00EC2B64" w:rsidRPr="0046147E">
        <w:rPr>
          <w:rFonts w:eastAsia="Verdana"/>
          <w:sz w:val="24"/>
          <w:szCs w:val="24"/>
        </w:rPr>
        <w:t xml:space="preserve">que </w:t>
      </w:r>
      <w:r w:rsidR="003F3E88" w:rsidRPr="0046147E">
        <w:rPr>
          <w:rFonts w:eastAsia="Verdana"/>
          <w:sz w:val="24"/>
          <w:szCs w:val="24"/>
        </w:rPr>
        <w:t xml:space="preserve">pueda efectuar un pronunciamiento sobre aquellas reclamaciones </w:t>
      </w:r>
      <w:r w:rsidR="003F3E88" w:rsidRPr="0046147E">
        <w:rPr>
          <w:rFonts w:eastAsia="Verdana"/>
          <w:i/>
          <w:sz w:val="24"/>
          <w:szCs w:val="24"/>
        </w:rPr>
        <w:t>iusfundamentales</w:t>
      </w:r>
      <w:r w:rsidR="003F3E88" w:rsidRPr="0046147E">
        <w:rPr>
          <w:rFonts w:eastAsia="Verdana"/>
          <w:sz w:val="24"/>
          <w:szCs w:val="24"/>
        </w:rPr>
        <w:t xml:space="preserve">, </w:t>
      </w:r>
      <w:r w:rsidR="0046147E" w:rsidRPr="0046147E">
        <w:rPr>
          <w:rFonts w:eastAsia="Verdana"/>
          <w:sz w:val="24"/>
          <w:szCs w:val="24"/>
          <w:lang w:val="es-ES_tradnl"/>
        </w:rPr>
        <w:t>y</w:t>
      </w:r>
      <w:r w:rsidR="005630DC">
        <w:rPr>
          <w:rFonts w:eastAsia="Verdana"/>
          <w:sz w:val="24"/>
          <w:szCs w:val="24"/>
          <w:lang w:val="es-ES_tradnl"/>
        </w:rPr>
        <w:t>, además,</w:t>
      </w:r>
      <w:r w:rsidR="0046147E" w:rsidRPr="0046147E">
        <w:rPr>
          <w:rFonts w:eastAsia="Verdana"/>
          <w:sz w:val="24"/>
          <w:szCs w:val="24"/>
          <w:lang w:val="es-ES_tradnl"/>
        </w:rPr>
        <w:t xml:space="preserve"> carece de una justificación suficiente y razonable para que, en su condición de juez de tutela, desplace al juzgador ordinario y acometa el análisis de fondo que procura la actora</w:t>
      </w:r>
      <w:r w:rsidR="003F3E88" w:rsidRPr="0046147E">
        <w:rPr>
          <w:rFonts w:eastAsia="Verdana"/>
          <w:sz w:val="24"/>
          <w:szCs w:val="24"/>
        </w:rPr>
        <w:t>.</w:t>
      </w:r>
      <w:r w:rsidR="003F3E88" w:rsidRPr="0046147E">
        <w:rPr>
          <w:rFonts w:eastAsia="Verdana"/>
          <w:i/>
          <w:sz w:val="24"/>
          <w:szCs w:val="24"/>
        </w:rPr>
        <w:t xml:space="preserve"> </w:t>
      </w:r>
    </w:p>
    <w:p w14:paraId="1209AE90" w14:textId="55DC4BEC" w:rsidR="00D33CCD" w:rsidRPr="00844003" w:rsidRDefault="00D33CCD" w:rsidP="00B25A4C">
      <w:pPr>
        <w:overflowPunct w:val="0"/>
        <w:autoSpaceDE w:val="0"/>
        <w:autoSpaceDN w:val="0"/>
        <w:adjustRightInd w:val="0"/>
        <w:spacing w:line="276" w:lineRule="auto"/>
        <w:rPr>
          <w:rFonts w:eastAsia="Verdana"/>
          <w:sz w:val="24"/>
          <w:szCs w:val="24"/>
        </w:rPr>
      </w:pPr>
    </w:p>
    <w:p w14:paraId="3E44189E" w14:textId="194BB2B2" w:rsidR="00EC2B64" w:rsidRPr="00844003" w:rsidRDefault="00B41170" w:rsidP="00B25A4C">
      <w:pPr>
        <w:overflowPunct w:val="0"/>
        <w:autoSpaceDE w:val="0"/>
        <w:autoSpaceDN w:val="0"/>
        <w:adjustRightInd w:val="0"/>
        <w:spacing w:line="276" w:lineRule="auto"/>
        <w:rPr>
          <w:rFonts w:eastAsia="Verdana"/>
          <w:sz w:val="24"/>
          <w:szCs w:val="24"/>
        </w:rPr>
      </w:pPr>
      <w:r w:rsidRPr="00844003">
        <w:rPr>
          <w:rFonts w:eastAsia="Verdana"/>
          <w:b/>
          <w:sz w:val="24"/>
          <w:szCs w:val="24"/>
        </w:rPr>
        <w:t xml:space="preserve">2.2.2. </w:t>
      </w:r>
      <w:r w:rsidR="00D33CCD" w:rsidRPr="00844003">
        <w:rPr>
          <w:rFonts w:eastAsia="Verdana"/>
          <w:sz w:val="24"/>
          <w:szCs w:val="24"/>
        </w:rPr>
        <w:t xml:space="preserve">Ahora bien, en cuanto al </w:t>
      </w:r>
      <w:r w:rsidR="00D33CCD" w:rsidRPr="00844003">
        <w:rPr>
          <w:rFonts w:eastAsia="Verdana"/>
          <w:b/>
          <w:sz w:val="24"/>
          <w:szCs w:val="24"/>
        </w:rPr>
        <w:t>segundo grupo de argumentos del escrito de tutela</w:t>
      </w:r>
      <w:r w:rsidR="00D33CCD" w:rsidRPr="00844003">
        <w:rPr>
          <w:rFonts w:eastAsia="Verdana"/>
          <w:sz w:val="24"/>
          <w:szCs w:val="24"/>
        </w:rPr>
        <w:t xml:space="preserve">, la parte actora reclama </w:t>
      </w:r>
      <w:r w:rsidR="003238FC" w:rsidRPr="00844003">
        <w:rPr>
          <w:rFonts w:eastAsia="Verdana"/>
          <w:sz w:val="24"/>
          <w:szCs w:val="24"/>
        </w:rPr>
        <w:t xml:space="preserve">que la autoridad judicial accionada desconoce </w:t>
      </w:r>
      <w:r w:rsidR="00EC2B64" w:rsidRPr="00844003">
        <w:rPr>
          <w:rFonts w:eastAsia="Verdana"/>
          <w:sz w:val="24"/>
          <w:szCs w:val="24"/>
        </w:rPr>
        <w:t xml:space="preserve">el derecho a la doble conformidad, </w:t>
      </w:r>
      <w:r w:rsidR="00121E1C">
        <w:rPr>
          <w:rFonts w:eastAsia="Verdana"/>
          <w:sz w:val="24"/>
          <w:szCs w:val="24"/>
        </w:rPr>
        <w:t>cuando profiere una decisión de única instancia, sin</w:t>
      </w:r>
      <w:r w:rsidR="00557225" w:rsidRPr="00844003">
        <w:rPr>
          <w:rFonts w:eastAsia="Verdana"/>
          <w:sz w:val="24"/>
          <w:szCs w:val="24"/>
        </w:rPr>
        <w:t xml:space="preserve"> </w:t>
      </w:r>
      <w:r w:rsidR="00121E1C">
        <w:rPr>
          <w:rFonts w:eastAsia="Verdana"/>
          <w:sz w:val="24"/>
          <w:szCs w:val="24"/>
        </w:rPr>
        <w:t>tener presente que</w:t>
      </w:r>
      <w:r w:rsidR="003B4057" w:rsidRPr="00844003">
        <w:rPr>
          <w:rFonts w:eastAsia="Verdana"/>
          <w:sz w:val="24"/>
          <w:szCs w:val="24"/>
        </w:rPr>
        <w:t>: (i)</w:t>
      </w:r>
      <w:r w:rsidR="00557225" w:rsidRPr="00844003">
        <w:rPr>
          <w:rFonts w:eastAsia="Verdana"/>
          <w:sz w:val="24"/>
          <w:szCs w:val="24"/>
        </w:rPr>
        <w:t xml:space="preserve"> </w:t>
      </w:r>
      <w:r w:rsidR="00EC2B64" w:rsidRPr="00844003">
        <w:rPr>
          <w:rFonts w:eastAsia="Verdana"/>
          <w:sz w:val="24"/>
          <w:szCs w:val="24"/>
        </w:rPr>
        <w:t xml:space="preserve">el fallo de la </w:t>
      </w:r>
      <w:r w:rsidR="00B25A4C" w:rsidRPr="00844003">
        <w:rPr>
          <w:rFonts w:eastAsia="Verdana"/>
          <w:sz w:val="24"/>
          <w:szCs w:val="24"/>
        </w:rPr>
        <w:t>CIDH</w:t>
      </w:r>
      <w:r w:rsidR="00557225" w:rsidRPr="00844003">
        <w:rPr>
          <w:rFonts w:eastAsia="Verdana"/>
          <w:sz w:val="24"/>
          <w:szCs w:val="24"/>
        </w:rPr>
        <w:t xml:space="preserve">, que </w:t>
      </w:r>
      <w:r w:rsidR="00AA2FF0">
        <w:rPr>
          <w:rFonts w:eastAsia="Verdana"/>
          <w:sz w:val="24"/>
          <w:szCs w:val="24"/>
        </w:rPr>
        <w:t>aborda de fondo</w:t>
      </w:r>
      <w:r w:rsidR="00557225" w:rsidRPr="00844003">
        <w:rPr>
          <w:rFonts w:eastAsia="Verdana"/>
          <w:sz w:val="24"/>
          <w:szCs w:val="24"/>
        </w:rPr>
        <w:t xml:space="preserve"> el</w:t>
      </w:r>
      <w:r w:rsidR="00EC2B64" w:rsidRPr="00844003">
        <w:rPr>
          <w:rFonts w:eastAsia="Verdana"/>
          <w:sz w:val="24"/>
          <w:szCs w:val="24"/>
        </w:rPr>
        <w:t xml:space="preserve"> caso Barreto Leiva vs Venezuela</w:t>
      </w:r>
      <w:r w:rsidR="00121E1C">
        <w:rPr>
          <w:rFonts w:eastAsia="Verdana"/>
          <w:sz w:val="24"/>
          <w:szCs w:val="24"/>
        </w:rPr>
        <w:t>,</w:t>
      </w:r>
      <w:r w:rsidR="00557225" w:rsidRPr="00844003">
        <w:rPr>
          <w:rFonts w:eastAsia="Verdana"/>
          <w:sz w:val="24"/>
          <w:szCs w:val="24"/>
        </w:rPr>
        <w:t xml:space="preserve"> </w:t>
      </w:r>
      <w:r w:rsidR="003B4057" w:rsidRPr="00844003">
        <w:rPr>
          <w:rFonts w:eastAsia="Verdana"/>
          <w:sz w:val="24"/>
          <w:szCs w:val="24"/>
        </w:rPr>
        <w:t>resguarda la protección de aquella garantía</w:t>
      </w:r>
      <w:r w:rsidR="00EC2B64" w:rsidRPr="00844003">
        <w:rPr>
          <w:rFonts w:eastAsia="Verdana"/>
          <w:sz w:val="24"/>
          <w:szCs w:val="24"/>
        </w:rPr>
        <w:t xml:space="preserve">; </w:t>
      </w:r>
      <w:r w:rsidR="003B4057" w:rsidRPr="00844003">
        <w:rPr>
          <w:rFonts w:eastAsia="Verdana"/>
          <w:sz w:val="24"/>
          <w:szCs w:val="24"/>
        </w:rPr>
        <w:t>(ii) la aplicación del principio de favorabilidad a su situación particular, con base en lo dispuesto en la sentencia SU-146 de 2020 de la Corte Constitucional</w:t>
      </w:r>
      <w:r w:rsidR="00EC2B64" w:rsidRPr="00844003">
        <w:rPr>
          <w:rFonts w:eastAsia="Verdana"/>
          <w:sz w:val="24"/>
          <w:szCs w:val="24"/>
        </w:rPr>
        <w:t xml:space="preserve">; y </w:t>
      </w:r>
      <w:r w:rsidR="003B4057" w:rsidRPr="00844003">
        <w:rPr>
          <w:rFonts w:eastAsia="Verdana"/>
          <w:sz w:val="24"/>
          <w:szCs w:val="24"/>
        </w:rPr>
        <w:t xml:space="preserve">(iii) que </w:t>
      </w:r>
      <w:r w:rsidR="00EC2B64" w:rsidRPr="00844003">
        <w:rPr>
          <w:rFonts w:eastAsia="Verdana"/>
          <w:sz w:val="24"/>
          <w:szCs w:val="24"/>
        </w:rPr>
        <w:t>la sanción impuesta</w:t>
      </w:r>
      <w:r w:rsidR="003B4057" w:rsidRPr="00844003">
        <w:rPr>
          <w:rFonts w:eastAsia="Verdana"/>
          <w:sz w:val="24"/>
          <w:szCs w:val="24"/>
        </w:rPr>
        <w:t xml:space="preserve"> en el fallo reprochado </w:t>
      </w:r>
      <w:r w:rsidR="00EC2B64" w:rsidRPr="00844003">
        <w:rPr>
          <w:rFonts w:eastAsia="Verdana"/>
          <w:sz w:val="24"/>
          <w:szCs w:val="24"/>
        </w:rPr>
        <w:t>le causa un perjuicio irremediable</w:t>
      </w:r>
      <w:r w:rsidR="003B4057" w:rsidRPr="00844003">
        <w:rPr>
          <w:rFonts w:eastAsia="Verdana"/>
          <w:sz w:val="24"/>
          <w:szCs w:val="24"/>
        </w:rPr>
        <w:t>,</w:t>
      </w:r>
      <w:r w:rsidR="00EC2B64" w:rsidRPr="00844003">
        <w:rPr>
          <w:rFonts w:eastAsia="Verdana"/>
          <w:sz w:val="24"/>
          <w:szCs w:val="24"/>
        </w:rPr>
        <w:t xml:space="preserve"> al punto que anulan sus derechos políticos de ser elegido o </w:t>
      </w:r>
      <w:r w:rsidR="003B4057" w:rsidRPr="00844003">
        <w:rPr>
          <w:rFonts w:eastAsia="Verdana"/>
          <w:sz w:val="24"/>
          <w:szCs w:val="24"/>
        </w:rPr>
        <w:t>de</w:t>
      </w:r>
      <w:r w:rsidR="00EC2B64" w:rsidRPr="00844003">
        <w:rPr>
          <w:rFonts w:eastAsia="Verdana"/>
          <w:sz w:val="24"/>
          <w:szCs w:val="24"/>
        </w:rPr>
        <w:t xml:space="preserve"> acceder al desempeño de funciones y cargos públicos.</w:t>
      </w:r>
    </w:p>
    <w:p w14:paraId="7496F337" w14:textId="46D2C51E" w:rsidR="009952F2" w:rsidRPr="00844003" w:rsidRDefault="009952F2" w:rsidP="00B25A4C">
      <w:pPr>
        <w:overflowPunct w:val="0"/>
        <w:autoSpaceDE w:val="0"/>
        <w:autoSpaceDN w:val="0"/>
        <w:adjustRightInd w:val="0"/>
        <w:spacing w:line="276" w:lineRule="auto"/>
        <w:rPr>
          <w:rFonts w:eastAsia="Verdana"/>
          <w:sz w:val="24"/>
          <w:szCs w:val="24"/>
        </w:rPr>
      </w:pPr>
    </w:p>
    <w:p w14:paraId="6E55B301" w14:textId="2FBABF7A" w:rsidR="00AA2FF0" w:rsidRDefault="009952F2" w:rsidP="00B25A4C">
      <w:pPr>
        <w:overflowPunct w:val="0"/>
        <w:autoSpaceDE w:val="0"/>
        <w:autoSpaceDN w:val="0"/>
        <w:adjustRightInd w:val="0"/>
        <w:spacing w:line="276" w:lineRule="auto"/>
        <w:rPr>
          <w:rFonts w:eastAsia="Verdana"/>
          <w:sz w:val="24"/>
          <w:szCs w:val="24"/>
        </w:rPr>
      </w:pPr>
      <w:r w:rsidRPr="00844003">
        <w:rPr>
          <w:rFonts w:eastAsia="Verdana"/>
          <w:sz w:val="24"/>
          <w:szCs w:val="24"/>
        </w:rPr>
        <w:t xml:space="preserve">La </w:t>
      </w:r>
      <w:r w:rsidR="006C2295">
        <w:rPr>
          <w:rFonts w:eastAsia="Verdana"/>
          <w:sz w:val="24"/>
          <w:szCs w:val="24"/>
        </w:rPr>
        <w:t>Subsección</w:t>
      </w:r>
      <w:r w:rsidRPr="00844003">
        <w:rPr>
          <w:rFonts w:eastAsia="Verdana"/>
          <w:sz w:val="24"/>
          <w:szCs w:val="24"/>
        </w:rPr>
        <w:t xml:space="preserve"> encuentra </w:t>
      </w:r>
      <w:r w:rsidR="00D75BA3" w:rsidRPr="00844003">
        <w:rPr>
          <w:rFonts w:eastAsia="Verdana"/>
          <w:sz w:val="24"/>
          <w:szCs w:val="24"/>
        </w:rPr>
        <w:t>que l</w:t>
      </w:r>
      <w:r w:rsidR="000B4EEA">
        <w:rPr>
          <w:rFonts w:eastAsia="Verdana"/>
          <w:sz w:val="24"/>
          <w:szCs w:val="24"/>
        </w:rPr>
        <w:t xml:space="preserve">as razones del accionante, </w:t>
      </w:r>
      <w:r w:rsidR="003B4057" w:rsidRPr="00844003">
        <w:rPr>
          <w:rFonts w:eastAsia="Verdana"/>
          <w:sz w:val="24"/>
          <w:szCs w:val="24"/>
        </w:rPr>
        <w:t>dirigid</w:t>
      </w:r>
      <w:r w:rsidR="000B4EEA">
        <w:rPr>
          <w:rFonts w:eastAsia="Verdana"/>
          <w:sz w:val="24"/>
          <w:szCs w:val="24"/>
        </w:rPr>
        <w:t>a</w:t>
      </w:r>
      <w:r w:rsidR="003B4057" w:rsidRPr="00844003">
        <w:rPr>
          <w:rFonts w:eastAsia="Verdana"/>
          <w:sz w:val="24"/>
          <w:szCs w:val="24"/>
        </w:rPr>
        <w:t>s a exigir la protección de su derecho a la doble conformidad</w:t>
      </w:r>
      <w:r w:rsidR="00D75BA3" w:rsidRPr="00844003">
        <w:rPr>
          <w:rFonts w:eastAsia="Verdana"/>
          <w:sz w:val="24"/>
          <w:szCs w:val="24"/>
        </w:rPr>
        <w:t xml:space="preserve">, superan el requisito de subsidiariedad, en la medida en que no cuentan con un mecanismo jurídico idóneo para reclamar </w:t>
      </w:r>
      <w:r w:rsidR="003B4057" w:rsidRPr="00844003">
        <w:rPr>
          <w:rFonts w:eastAsia="Verdana"/>
          <w:sz w:val="24"/>
          <w:szCs w:val="24"/>
        </w:rPr>
        <w:t>aquel asunto</w:t>
      </w:r>
      <w:r w:rsidR="00D75BA3" w:rsidRPr="00844003">
        <w:rPr>
          <w:rFonts w:eastAsia="Verdana"/>
          <w:sz w:val="24"/>
          <w:szCs w:val="24"/>
        </w:rPr>
        <w:t>, pues</w:t>
      </w:r>
      <w:r w:rsidR="003B4057" w:rsidRPr="00844003">
        <w:rPr>
          <w:rFonts w:eastAsia="Verdana"/>
          <w:sz w:val="24"/>
          <w:szCs w:val="24"/>
        </w:rPr>
        <w:t xml:space="preserve"> </w:t>
      </w:r>
      <w:r w:rsidR="005630DC">
        <w:rPr>
          <w:rFonts w:eastAsia="Verdana"/>
          <w:sz w:val="24"/>
          <w:szCs w:val="24"/>
        </w:rPr>
        <w:t>justamente</w:t>
      </w:r>
      <w:r w:rsidR="00D75BA3" w:rsidRPr="00844003">
        <w:rPr>
          <w:rFonts w:eastAsia="Verdana"/>
          <w:sz w:val="24"/>
          <w:szCs w:val="24"/>
        </w:rPr>
        <w:t xml:space="preserve"> </w:t>
      </w:r>
      <w:r w:rsidR="006E541C">
        <w:rPr>
          <w:rFonts w:eastAsia="Verdana"/>
          <w:sz w:val="24"/>
          <w:szCs w:val="24"/>
        </w:rPr>
        <w:t>el fallo acusado</w:t>
      </w:r>
      <w:r w:rsidR="00D75BA3" w:rsidRPr="00844003">
        <w:rPr>
          <w:rFonts w:eastAsia="Verdana"/>
          <w:sz w:val="24"/>
          <w:szCs w:val="24"/>
        </w:rPr>
        <w:t xml:space="preserve"> tiene la connotación de ser de única instancia, conforme a los dispuesto en el artículo 1° de la Ley 144 de 1994</w:t>
      </w:r>
      <w:r w:rsidR="003B4057" w:rsidRPr="00844003">
        <w:rPr>
          <w:rStyle w:val="Refdenotaalpie"/>
          <w:rFonts w:eastAsia="Verdana"/>
          <w:sz w:val="24"/>
          <w:szCs w:val="24"/>
        </w:rPr>
        <w:footnoteReference w:id="19"/>
      </w:r>
      <w:r w:rsidR="00D75BA3" w:rsidRPr="00844003">
        <w:rPr>
          <w:rFonts w:eastAsia="Verdana"/>
          <w:sz w:val="24"/>
          <w:szCs w:val="24"/>
        </w:rPr>
        <w:t xml:space="preserve">. </w:t>
      </w:r>
      <w:r w:rsidR="005630DC">
        <w:rPr>
          <w:rFonts w:eastAsia="Verdana"/>
          <w:sz w:val="24"/>
          <w:szCs w:val="24"/>
        </w:rPr>
        <w:t>La</w:t>
      </w:r>
      <w:r w:rsidR="00AA2FF0" w:rsidRPr="00AA2FF0">
        <w:rPr>
          <w:rFonts w:eastAsia="Verdana"/>
          <w:sz w:val="24"/>
          <w:szCs w:val="24"/>
        </w:rPr>
        <w:t xml:space="preserve"> Corte Constitucional en otras ocasiones ha </w:t>
      </w:r>
      <w:r w:rsidR="000B4EEA">
        <w:rPr>
          <w:rFonts w:eastAsia="Verdana"/>
          <w:sz w:val="24"/>
          <w:szCs w:val="24"/>
        </w:rPr>
        <w:t xml:space="preserve">entendido </w:t>
      </w:r>
      <w:r w:rsidR="00AA2FF0" w:rsidRPr="00AA2FF0">
        <w:rPr>
          <w:rFonts w:eastAsia="Verdana"/>
          <w:sz w:val="24"/>
          <w:szCs w:val="24"/>
        </w:rPr>
        <w:t>superado</w:t>
      </w:r>
      <w:r w:rsidR="00AA2FF0">
        <w:rPr>
          <w:rFonts w:eastAsia="Verdana"/>
          <w:sz w:val="24"/>
          <w:szCs w:val="24"/>
        </w:rPr>
        <w:t xml:space="preserve"> el referido requisito de procedibilidad,</w:t>
      </w:r>
      <w:r w:rsidR="00AA2FF0" w:rsidRPr="00AA2FF0">
        <w:rPr>
          <w:rFonts w:eastAsia="Verdana"/>
          <w:sz w:val="24"/>
          <w:szCs w:val="24"/>
        </w:rPr>
        <w:t xml:space="preserve"> </w:t>
      </w:r>
      <w:r w:rsidR="00AA2FF0">
        <w:rPr>
          <w:rFonts w:eastAsia="Verdana"/>
          <w:sz w:val="24"/>
          <w:szCs w:val="24"/>
        </w:rPr>
        <w:t>dado que, al tratarse</w:t>
      </w:r>
      <w:r w:rsidR="00F64079">
        <w:rPr>
          <w:rFonts w:eastAsia="Verdana"/>
          <w:sz w:val="24"/>
          <w:szCs w:val="24"/>
        </w:rPr>
        <w:t xml:space="preserve"> de</w:t>
      </w:r>
      <w:r w:rsidR="00AA2FF0" w:rsidRPr="00AA2FF0">
        <w:rPr>
          <w:rFonts w:eastAsia="Verdana"/>
          <w:sz w:val="24"/>
          <w:szCs w:val="24"/>
        </w:rPr>
        <w:t xml:space="preserve"> </w:t>
      </w:r>
      <w:r w:rsidR="00AA2FF0">
        <w:rPr>
          <w:rFonts w:eastAsia="Verdana"/>
          <w:sz w:val="24"/>
          <w:szCs w:val="24"/>
        </w:rPr>
        <w:t>fallos de única instancia dictados por altas cortes, el interesado no dispone</w:t>
      </w:r>
      <w:r w:rsidR="00AA2FF0" w:rsidRPr="00AA2FF0">
        <w:rPr>
          <w:rFonts w:eastAsia="Verdana"/>
          <w:sz w:val="24"/>
          <w:szCs w:val="24"/>
        </w:rPr>
        <w:t xml:space="preserve"> de otro medio de judicial para reclamar </w:t>
      </w:r>
      <w:r w:rsidR="005630DC">
        <w:rPr>
          <w:rFonts w:eastAsia="Verdana"/>
          <w:sz w:val="24"/>
          <w:szCs w:val="24"/>
        </w:rPr>
        <w:t>el trámite de impugnación de una sentencia de mérito</w:t>
      </w:r>
      <w:r w:rsidR="00AA2FF0">
        <w:rPr>
          <w:rStyle w:val="Refdenotaalpie"/>
          <w:rFonts w:eastAsia="Verdana"/>
          <w:sz w:val="24"/>
          <w:szCs w:val="24"/>
        </w:rPr>
        <w:footnoteReference w:id="20"/>
      </w:r>
      <w:r w:rsidR="00AA2FF0" w:rsidRPr="00AA2FF0">
        <w:rPr>
          <w:rFonts w:eastAsia="Verdana"/>
          <w:sz w:val="24"/>
          <w:szCs w:val="24"/>
        </w:rPr>
        <w:t xml:space="preserve">. </w:t>
      </w:r>
    </w:p>
    <w:p w14:paraId="596A192D" w14:textId="77777777" w:rsidR="00AA2FF0" w:rsidRDefault="00AA2FF0" w:rsidP="00B25A4C">
      <w:pPr>
        <w:overflowPunct w:val="0"/>
        <w:autoSpaceDE w:val="0"/>
        <w:autoSpaceDN w:val="0"/>
        <w:adjustRightInd w:val="0"/>
        <w:spacing w:line="276" w:lineRule="auto"/>
        <w:rPr>
          <w:rFonts w:eastAsia="Verdana"/>
          <w:sz w:val="24"/>
          <w:szCs w:val="24"/>
        </w:rPr>
      </w:pPr>
    </w:p>
    <w:p w14:paraId="5CEA3D4F" w14:textId="59D5AB5C" w:rsidR="003B4057" w:rsidRPr="00844003" w:rsidRDefault="00D75BA3" w:rsidP="00B25A4C">
      <w:pPr>
        <w:overflowPunct w:val="0"/>
        <w:autoSpaceDE w:val="0"/>
        <w:autoSpaceDN w:val="0"/>
        <w:adjustRightInd w:val="0"/>
        <w:spacing w:line="276" w:lineRule="auto"/>
        <w:rPr>
          <w:rFonts w:eastAsia="Verdana"/>
          <w:sz w:val="24"/>
          <w:szCs w:val="24"/>
        </w:rPr>
      </w:pPr>
      <w:r w:rsidRPr="00844003">
        <w:rPr>
          <w:rFonts w:eastAsia="Verdana"/>
          <w:sz w:val="24"/>
          <w:szCs w:val="24"/>
        </w:rPr>
        <w:t xml:space="preserve">Además, </w:t>
      </w:r>
      <w:r w:rsidR="003B4057" w:rsidRPr="00844003">
        <w:rPr>
          <w:rFonts w:eastAsia="Verdana"/>
          <w:sz w:val="24"/>
          <w:szCs w:val="24"/>
        </w:rPr>
        <w:t xml:space="preserve">la garantía a la impugnación no se enmarca en alguna de las causales del recurso extraordinario de revisión dispuestas en </w:t>
      </w:r>
      <w:r w:rsidR="006C2295">
        <w:rPr>
          <w:rFonts w:eastAsia="Verdana"/>
          <w:sz w:val="24"/>
          <w:szCs w:val="24"/>
        </w:rPr>
        <w:t>la ley</w:t>
      </w:r>
      <w:r w:rsidR="003B4057" w:rsidRPr="00844003">
        <w:rPr>
          <w:rFonts w:eastAsia="Verdana"/>
          <w:sz w:val="24"/>
          <w:szCs w:val="24"/>
        </w:rPr>
        <w:t xml:space="preserve">. </w:t>
      </w:r>
      <w:r w:rsidR="0046147E">
        <w:rPr>
          <w:rFonts w:eastAsia="Verdana"/>
          <w:sz w:val="24"/>
          <w:szCs w:val="24"/>
        </w:rPr>
        <w:t>Tampoco</w:t>
      </w:r>
      <w:r w:rsidR="003B4057" w:rsidRPr="00844003">
        <w:rPr>
          <w:rFonts w:eastAsia="Verdana"/>
          <w:sz w:val="24"/>
          <w:szCs w:val="24"/>
        </w:rPr>
        <w:t xml:space="preserve"> lo expresó </w:t>
      </w:r>
      <w:r w:rsidR="0046147E">
        <w:rPr>
          <w:rFonts w:eastAsia="Verdana"/>
          <w:sz w:val="24"/>
          <w:szCs w:val="24"/>
        </w:rPr>
        <w:t xml:space="preserve">el tutelante, </w:t>
      </w:r>
      <w:r w:rsidR="003B4057" w:rsidRPr="00844003">
        <w:rPr>
          <w:rFonts w:eastAsia="Verdana"/>
          <w:sz w:val="24"/>
          <w:szCs w:val="24"/>
        </w:rPr>
        <w:t>dentro de los argumentos que fundamentan el</w:t>
      </w:r>
      <w:r w:rsidR="006C2295">
        <w:rPr>
          <w:rFonts w:eastAsia="Verdana"/>
          <w:sz w:val="24"/>
          <w:szCs w:val="24"/>
        </w:rPr>
        <w:t xml:space="preserve"> comentado</w:t>
      </w:r>
      <w:r w:rsidR="003B4057" w:rsidRPr="00844003">
        <w:rPr>
          <w:rFonts w:eastAsia="Verdana"/>
          <w:sz w:val="24"/>
          <w:szCs w:val="24"/>
        </w:rPr>
        <w:t xml:space="preserve"> medio de impugnación</w:t>
      </w:r>
      <w:r w:rsidR="005630DC">
        <w:rPr>
          <w:rFonts w:eastAsia="Verdana"/>
          <w:sz w:val="24"/>
          <w:szCs w:val="24"/>
        </w:rPr>
        <w:t xml:space="preserve"> extraordinario</w:t>
      </w:r>
      <w:r w:rsidR="003B4057" w:rsidRPr="00844003">
        <w:rPr>
          <w:rFonts w:eastAsia="Verdana"/>
          <w:sz w:val="24"/>
          <w:szCs w:val="24"/>
        </w:rPr>
        <w:t xml:space="preserve"> que se encuentra en trámite.</w:t>
      </w:r>
    </w:p>
    <w:p w14:paraId="497DAEAB" w14:textId="36387B50" w:rsidR="00D75BA3" w:rsidRPr="00844003" w:rsidRDefault="00D75BA3" w:rsidP="00B25A4C">
      <w:pPr>
        <w:overflowPunct w:val="0"/>
        <w:autoSpaceDE w:val="0"/>
        <w:autoSpaceDN w:val="0"/>
        <w:adjustRightInd w:val="0"/>
        <w:spacing w:line="276" w:lineRule="auto"/>
        <w:rPr>
          <w:rFonts w:eastAsia="Verdana"/>
          <w:sz w:val="24"/>
          <w:szCs w:val="24"/>
        </w:rPr>
      </w:pPr>
    </w:p>
    <w:p w14:paraId="26D7EF45" w14:textId="13555BDE" w:rsidR="00D75BA3" w:rsidRPr="00844003" w:rsidRDefault="00D75BA3" w:rsidP="00B25A4C">
      <w:pPr>
        <w:overflowPunct w:val="0"/>
        <w:autoSpaceDE w:val="0"/>
        <w:autoSpaceDN w:val="0"/>
        <w:adjustRightInd w:val="0"/>
        <w:spacing w:line="276" w:lineRule="auto"/>
        <w:rPr>
          <w:rFonts w:eastAsia="Verdana"/>
          <w:sz w:val="24"/>
          <w:szCs w:val="24"/>
        </w:rPr>
      </w:pPr>
      <w:r w:rsidRPr="00844003">
        <w:rPr>
          <w:rFonts w:eastAsia="Verdana"/>
          <w:sz w:val="24"/>
          <w:szCs w:val="24"/>
        </w:rPr>
        <w:t xml:space="preserve">Así las cosas, habrá lugar a continuar con el examen de los demás requisitos, únicamente respecto del segundo grupo de reproches del escrito de tutela ya expuesto. </w:t>
      </w:r>
    </w:p>
    <w:p w14:paraId="55E8D92F" w14:textId="6C0C2E22" w:rsidR="00123C3D" w:rsidRPr="00844003" w:rsidRDefault="00123C3D" w:rsidP="00B25A4C">
      <w:pPr>
        <w:overflowPunct w:val="0"/>
        <w:autoSpaceDE w:val="0"/>
        <w:autoSpaceDN w:val="0"/>
        <w:adjustRightInd w:val="0"/>
        <w:spacing w:line="276" w:lineRule="auto"/>
        <w:rPr>
          <w:rFonts w:eastAsia="Verdana"/>
          <w:sz w:val="24"/>
          <w:szCs w:val="24"/>
        </w:rPr>
      </w:pPr>
    </w:p>
    <w:p w14:paraId="7DC80882" w14:textId="77777777" w:rsidR="000831C0" w:rsidRPr="00844003" w:rsidRDefault="000222E9" w:rsidP="00B25A4C">
      <w:pPr>
        <w:overflowPunct w:val="0"/>
        <w:autoSpaceDE w:val="0"/>
        <w:autoSpaceDN w:val="0"/>
        <w:adjustRightInd w:val="0"/>
        <w:spacing w:line="276" w:lineRule="auto"/>
        <w:rPr>
          <w:rFonts w:eastAsia="Verdana"/>
          <w:b/>
          <w:sz w:val="24"/>
          <w:szCs w:val="24"/>
        </w:rPr>
      </w:pPr>
      <w:r w:rsidRPr="00844003">
        <w:rPr>
          <w:rFonts w:eastAsia="Verdana"/>
          <w:b/>
          <w:sz w:val="24"/>
          <w:szCs w:val="24"/>
        </w:rPr>
        <w:t xml:space="preserve">2.3. </w:t>
      </w:r>
      <w:r w:rsidR="000831C0" w:rsidRPr="00844003">
        <w:rPr>
          <w:rFonts w:eastAsia="Verdana"/>
          <w:b/>
          <w:sz w:val="24"/>
          <w:szCs w:val="24"/>
        </w:rPr>
        <w:t>Inmediatez</w:t>
      </w:r>
    </w:p>
    <w:p w14:paraId="3DDD8170" w14:textId="52446E81" w:rsidR="00E32483" w:rsidRPr="00844003" w:rsidRDefault="00E32483" w:rsidP="00B25A4C">
      <w:pPr>
        <w:spacing w:line="276" w:lineRule="auto"/>
        <w:rPr>
          <w:rFonts w:eastAsia="Times New Roman"/>
          <w:sz w:val="24"/>
          <w:szCs w:val="24"/>
          <w:lang w:eastAsia="es-CO"/>
        </w:rPr>
      </w:pPr>
    </w:p>
    <w:p w14:paraId="423DDFA1" w14:textId="5971DEF1" w:rsidR="00E32483" w:rsidRPr="00844003" w:rsidRDefault="00123C3D" w:rsidP="00B25A4C">
      <w:pPr>
        <w:spacing w:line="276" w:lineRule="auto"/>
        <w:rPr>
          <w:sz w:val="24"/>
          <w:szCs w:val="24"/>
          <w:lang w:val="es-ES_tradnl"/>
        </w:rPr>
      </w:pPr>
      <w:r w:rsidRPr="00844003">
        <w:rPr>
          <w:rFonts w:eastAsia="Times New Roman"/>
          <w:b/>
          <w:sz w:val="24"/>
          <w:szCs w:val="24"/>
          <w:lang w:eastAsia="es-CO"/>
        </w:rPr>
        <w:t xml:space="preserve">2.3.1. </w:t>
      </w:r>
      <w:r w:rsidR="00E32483" w:rsidRPr="00844003">
        <w:rPr>
          <w:rFonts w:eastAsia="Times New Roman"/>
          <w:sz w:val="24"/>
          <w:szCs w:val="24"/>
          <w:lang w:eastAsia="es-CO"/>
        </w:rPr>
        <w:t>La Secretaría General de esta Corporación notificó por edicto desfijado el 4 de octubre de 2010</w:t>
      </w:r>
      <w:r w:rsidR="003C5D1F" w:rsidRPr="00844003">
        <w:rPr>
          <w:rStyle w:val="Refdenotaalpie"/>
          <w:rFonts w:eastAsia="Times New Roman"/>
          <w:sz w:val="24"/>
          <w:szCs w:val="24"/>
          <w:lang w:eastAsia="es-CO"/>
        </w:rPr>
        <w:footnoteReference w:id="21"/>
      </w:r>
      <w:r w:rsidR="00E32483" w:rsidRPr="00844003">
        <w:rPr>
          <w:rFonts w:eastAsia="Times New Roman"/>
          <w:sz w:val="24"/>
          <w:szCs w:val="24"/>
          <w:lang w:eastAsia="es-CO"/>
        </w:rPr>
        <w:t xml:space="preserve"> la sentencia reprochada, y el accionante </w:t>
      </w:r>
      <w:r w:rsidR="00B25A4C" w:rsidRPr="00844003">
        <w:rPr>
          <w:rFonts w:eastAsia="Times New Roman"/>
          <w:sz w:val="24"/>
          <w:szCs w:val="24"/>
          <w:lang w:eastAsia="es-CO"/>
        </w:rPr>
        <w:t>envió por correo electrónico</w:t>
      </w:r>
      <w:r w:rsidR="00E32483" w:rsidRPr="00844003">
        <w:rPr>
          <w:rFonts w:eastAsia="Times New Roman"/>
          <w:sz w:val="24"/>
          <w:szCs w:val="24"/>
          <w:lang w:eastAsia="es-CO"/>
        </w:rPr>
        <w:t xml:space="preserve"> </w:t>
      </w:r>
      <w:r w:rsidR="00E32483" w:rsidRPr="00844003">
        <w:rPr>
          <w:rFonts w:eastAsia="Times New Roman"/>
          <w:sz w:val="24"/>
          <w:szCs w:val="24"/>
          <w:lang w:eastAsia="es-CO"/>
        </w:rPr>
        <w:lastRenderedPageBreak/>
        <w:t>la acción de tutela el 7 octubre de 2020</w:t>
      </w:r>
      <w:r w:rsidR="003C5D1F" w:rsidRPr="00844003">
        <w:rPr>
          <w:rStyle w:val="Refdenotaalpie"/>
          <w:rFonts w:eastAsia="Times New Roman"/>
          <w:sz w:val="24"/>
          <w:szCs w:val="24"/>
          <w:lang w:eastAsia="es-CO"/>
        </w:rPr>
        <w:footnoteReference w:id="22"/>
      </w:r>
      <w:r w:rsidR="00E32483" w:rsidRPr="00844003">
        <w:rPr>
          <w:rFonts w:eastAsia="Times New Roman"/>
          <w:sz w:val="24"/>
          <w:szCs w:val="24"/>
          <w:lang w:eastAsia="es-CO"/>
        </w:rPr>
        <w:t xml:space="preserve">. </w:t>
      </w:r>
      <w:r w:rsidR="00FD12D7" w:rsidRPr="00844003">
        <w:rPr>
          <w:sz w:val="24"/>
          <w:szCs w:val="24"/>
          <w:lang w:val="es-ES_tradnl"/>
        </w:rPr>
        <w:t>Como resulta</w:t>
      </w:r>
      <w:r w:rsidR="00F35683" w:rsidRPr="00844003">
        <w:rPr>
          <w:sz w:val="24"/>
          <w:szCs w:val="24"/>
          <w:lang w:val="es-ES_tradnl"/>
        </w:rPr>
        <w:t xml:space="preserve"> </w:t>
      </w:r>
      <w:r w:rsidR="00FD12D7" w:rsidRPr="00844003">
        <w:rPr>
          <w:sz w:val="24"/>
          <w:szCs w:val="24"/>
          <w:lang w:val="es-ES_tradnl"/>
        </w:rPr>
        <w:t xml:space="preserve">evidente que </w:t>
      </w:r>
      <w:r w:rsidR="00FD12D7" w:rsidRPr="00844003">
        <w:rPr>
          <w:rFonts w:eastAsia="Times New Roman"/>
          <w:sz w:val="24"/>
          <w:szCs w:val="24"/>
          <w:lang w:eastAsia="es-CO"/>
        </w:rPr>
        <w:t>en el caso concreto se supera el plazo</w:t>
      </w:r>
      <w:r w:rsidR="00FD12D7" w:rsidRPr="00844003">
        <w:rPr>
          <w:sz w:val="24"/>
          <w:szCs w:val="24"/>
          <w:lang w:val="es-ES_tradnl"/>
        </w:rPr>
        <w:t xml:space="preserve"> estimativo de seis meses previsto como razonable</w:t>
      </w:r>
      <w:r w:rsidR="00FD12D7" w:rsidRPr="00844003">
        <w:rPr>
          <w:sz w:val="24"/>
          <w:szCs w:val="24"/>
          <w:vertAlign w:val="superscript"/>
        </w:rPr>
        <w:footnoteReference w:id="23"/>
      </w:r>
      <w:r w:rsidR="00FD12D7" w:rsidRPr="00844003">
        <w:rPr>
          <w:sz w:val="24"/>
          <w:szCs w:val="24"/>
          <w:lang w:val="es-ES_tradnl"/>
        </w:rPr>
        <w:t xml:space="preserve"> para la presentación de solicitudes de amparo contra</w:t>
      </w:r>
      <w:bookmarkStart w:id="3" w:name="_GoBack"/>
      <w:bookmarkEnd w:id="3"/>
      <w:r w:rsidR="00FD12D7" w:rsidRPr="00844003">
        <w:rPr>
          <w:sz w:val="24"/>
          <w:szCs w:val="24"/>
          <w:lang w:val="es-ES_tradnl"/>
        </w:rPr>
        <w:t xml:space="preserve"> providencias judiciales, lo que corresponde</w:t>
      </w:r>
      <w:r w:rsidR="00B25A4C" w:rsidRPr="00844003">
        <w:rPr>
          <w:sz w:val="24"/>
          <w:szCs w:val="24"/>
          <w:lang w:val="es-ES_tradnl"/>
        </w:rPr>
        <w:t xml:space="preserve"> a la Sala es</w:t>
      </w:r>
      <w:r w:rsidR="00FD12D7" w:rsidRPr="00844003">
        <w:rPr>
          <w:sz w:val="24"/>
          <w:szCs w:val="24"/>
          <w:lang w:val="es-ES_tradnl"/>
        </w:rPr>
        <w:t xml:space="preserve"> </w:t>
      </w:r>
      <w:r w:rsidR="00B25A4C" w:rsidRPr="00844003">
        <w:rPr>
          <w:sz w:val="24"/>
          <w:szCs w:val="24"/>
          <w:lang w:val="es-ES_tradnl"/>
        </w:rPr>
        <w:t>definir</w:t>
      </w:r>
      <w:r w:rsidR="00FD12D7" w:rsidRPr="00844003">
        <w:rPr>
          <w:sz w:val="24"/>
          <w:szCs w:val="24"/>
          <w:lang w:val="es-ES_tradnl"/>
        </w:rPr>
        <w:t xml:space="preserve"> si los argumentos de la parte actora, dirigidos a sustentar la protección del derecho a la doble conformidad o a justificar la satisfacción de la referida exigencia de procedibilidad, revelan alguna circunstancia que </w:t>
      </w:r>
      <w:r w:rsidR="00B25A4C" w:rsidRPr="00844003">
        <w:rPr>
          <w:sz w:val="24"/>
          <w:szCs w:val="24"/>
          <w:lang w:val="es-ES_tradnl"/>
        </w:rPr>
        <w:t>pudiera</w:t>
      </w:r>
      <w:r w:rsidR="00FD12D7" w:rsidRPr="00844003">
        <w:rPr>
          <w:sz w:val="24"/>
          <w:szCs w:val="24"/>
          <w:lang w:val="es-ES_tradnl"/>
        </w:rPr>
        <w:t xml:space="preserve"> constituir un elemento adicional para </w:t>
      </w:r>
      <w:r w:rsidR="00B25A4C" w:rsidRPr="00844003">
        <w:rPr>
          <w:sz w:val="24"/>
          <w:szCs w:val="24"/>
          <w:lang w:val="es-ES_tradnl"/>
        </w:rPr>
        <w:t>contabilizar el</w:t>
      </w:r>
      <w:r w:rsidR="00FD12D7" w:rsidRPr="00844003">
        <w:rPr>
          <w:sz w:val="24"/>
          <w:szCs w:val="24"/>
          <w:lang w:val="es-ES_tradnl"/>
        </w:rPr>
        <w:t xml:space="preserve"> requisito en comento desde otro momento</w:t>
      </w:r>
      <w:r w:rsidR="00B25A4C" w:rsidRPr="00844003">
        <w:rPr>
          <w:sz w:val="24"/>
          <w:szCs w:val="24"/>
          <w:lang w:val="es-ES_tradnl"/>
        </w:rPr>
        <w:t xml:space="preserve">, </w:t>
      </w:r>
      <w:r w:rsidR="0046147E">
        <w:rPr>
          <w:sz w:val="24"/>
          <w:szCs w:val="24"/>
          <w:lang w:val="es-ES_tradnl"/>
        </w:rPr>
        <w:t>o en otra palabra</w:t>
      </w:r>
      <w:r w:rsidR="00B25A4C" w:rsidRPr="00844003">
        <w:rPr>
          <w:sz w:val="24"/>
          <w:szCs w:val="24"/>
          <w:lang w:val="es-ES_tradnl"/>
        </w:rPr>
        <w:t xml:space="preserve">, </w:t>
      </w:r>
      <w:r w:rsidR="0046147E">
        <w:rPr>
          <w:sz w:val="24"/>
          <w:szCs w:val="24"/>
          <w:lang w:val="es-ES_tradnl"/>
        </w:rPr>
        <w:t>que flexibilice</w:t>
      </w:r>
      <w:r w:rsidR="00B25A4C" w:rsidRPr="00844003">
        <w:rPr>
          <w:sz w:val="24"/>
          <w:szCs w:val="24"/>
          <w:lang w:val="es-ES_tradnl"/>
        </w:rPr>
        <w:t xml:space="preserve"> aquel presupuesto de procedibilidad</w:t>
      </w:r>
      <w:r w:rsidR="00FD12D7" w:rsidRPr="00844003">
        <w:rPr>
          <w:sz w:val="24"/>
          <w:szCs w:val="24"/>
          <w:vertAlign w:val="superscript"/>
          <w:lang w:val="es-ES_tradnl"/>
        </w:rPr>
        <w:footnoteReference w:id="24"/>
      </w:r>
      <w:r w:rsidR="00FD12D7" w:rsidRPr="00844003">
        <w:rPr>
          <w:sz w:val="24"/>
          <w:szCs w:val="24"/>
          <w:lang w:val="es-ES_tradnl"/>
        </w:rPr>
        <w:t xml:space="preserve">. </w:t>
      </w:r>
    </w:p>
    <w:p w14:paraId="74769044" w14:textId="77777777" w:rsidR="00E32483" w:rsidRPr="00844003" w:rsidRDefault="00E32483" w:rsidP="00B25A4C">
      <w:pPr>
        <w:spacing w:line="276" w:lineRule="auto"/>
        <w:rPr>
          <w:rFonts w:eastAsia="Times New Roman"/>
          <w:sz w:val="24"/>
          <w:szCs w:val="24"/>
          <w:lang w:eastAsia="es-CO"/>
        </w:rPr>
      </w:pPr>
    </w:p>
    <w:p w14:paraId="2850ABCE" w14:textId="4A62F933" w:rsidR="00290374" w:rsidRPr="00844003" w:rsidRDefault="00123C3D" w:rsidP="00B25A4C">
      <w:pPr>
        <w:spacing w:line="276" w:lineRule="auto"/>
        <w:rPr>
          <w:rFonts w:eastAsia="Times New Roman"/>
          <w:sz w:val="24"/>
          <w:szCs w:val="24"/>
          <w:lang w:eastAsia="es-CO"/>
        </w:rPr>
      </w:pPr>
      <w:r w:rsidRPr="00844003">
        <w:rPr>
          <w:rFonts w:eastAsia="Times New Roman"/>
          <w:b/>
          <w:sz w:val="24"/>
          <w:szCs w:val="24"/>
          <w:lang w:eastAsia="es-CO"/>
        </w:rPr>
        <w:t xml:space="preserve">2.3.2. </w:t>
      </w:r>
      <w:r w:rsidR="00290374" w:rsidRPr="00844003">
        <w:rPr>
          <w:rFonts w:eastAsia="Times New Roman"/>
          <w:sz w:val="24"/>
          <w:szCs w:val="24"/>
          <w:lang w:eastAsia="es-CO"/>
        </w:rPr>
        <w:t>Como ya lo mencionamos, el accionante reclama la oportunidad de poder impugnar la sentencia</w:t>
      </w:r>
      <w:r w:rsidR="00FD12D7" w:rsidRPr="00844003">
        <w:rPr>
          <w:rFonts w:eastAsia="Times New Roman"/>
          <w:sz w:val="24"/>
          <w:szCs w:val="24"/>
          <w:lang w:eastAsia="es-CO"/>
        </w:rPr>
        <w:t xml:space="preserve"> que decret</w:t>
      </w:r>
      <w:r w:rsidR="00FE7282" w:rsidRPr="00844003">
        <w:rPr>
          <w:rFonts w:eastAsia="Times New Roman"/>
          <w:sz w:val="24"/>
          <w:szCs w:val="24"/>
          <w:lang w:eastAsia="es-CO"/>
        </w:rPr>
        <w:t>ó la pé</w:t>
      </w:r>
      <w:r w:rsidR="00FD12D7" w:rsidRPr="00844003">
        <w:rPr>
          <w:rFonts w:eastAsia="Times New Roman"/>
          <w:sz w:val="24"/>
          <w:szCs w:val="24"/>
          <w:lang w:eastAsia="es-CO"/>
        </w:rPr>
        <w:t>rdida de investidura en su contra</w:t>
      </w:r>
      <w:r w:rsidR="00244CBE">
        <w:rPr>
          <w:rFonts w:eastAsia="Times New Roman"/>
          <w:sz w:val="24"/>
          <w:szCs w:val="24"/>
          <w:lang w:eastAsia="es-CO"/>
        </w:rPr>
        <w:t>,</w:t>
      </w:r>
      <w:r w:rsidR="00290374" w:rsidRPr="00844003">
        <w:rPr>
          <w:rFonts w:eastAsia="Times New Roman"/>
          <w:sz w:val="24"/>
          <w:szCs w:val="24"/>
          <w:lang w:eastAsia="es-CO"/>
        </w:rPr>
        <w:t xml:space="preserve"> por medio de un “recurso de doble conformidad”, con </w:t>
      </w:r>
      <w:r w:rsidR="00B25A4C" w:rsidRPr="00844003">
        <w:rPr>
          <w:rFonts w:eastAsia="Times New Roman"/>
          <w:sz w:val="24"/>
          <w:szCs w:val="24"/>
          <w:lang w:eastAsia="es-CO"/>
        </w:rPr>
        <w:t>base</w:t>
      </w:r>
      <w:r w:rsidR="00290374" w:rsidRPr="00844003">
        <w:rPr>
          <w:rFonts w:eastAsia="Times New Roman"/>
          <w:sz w:val="24"/>
          <w:szCs w:val="24"/>
          <w:lang w:eastAsia="es-CO"/>
        </w:rPr>
        <w:t xml:space="preserve"> en estas cuestiones:</w:t>
      </w:r>
    </w:p>
    <w:p w14:paraId="2A549E16" w14:textId="3D02D74F" w:rsidR="00290374" w:rsidRPr="00844003" w:rsidRDefault="00290374" w:rsidP="00B25A4C">
      <w:pPr>
        <w:spacing w:line="276" w:lineRule="auto"/>
        <w:rPr>
          <w:rFonts w:eastAsia="Times New Roman"/>
          <w:sz w:val="24"/>
          <w:szCs w:val="24"/>
          <w:lang w:eastAsia="es-CO"/>
        </w:rPr>
      </w:pPr>
    </w:p>
    <w:p w14:paraId="29A074A4" w14:textId="3FCE3E8C" w:rsidR="00E80E79" w:rsidRPr="00844003" w:rsidRDefault="00E80E79" w:rsidP="00B25A4C">
      <w:pPr>
        <w:pStyle w:val="Prrafodelista"/>
        <w:numPr>
          <w:ilvl w:val="0"/>
          <w:numId w:val="40"/>
        </w:numPr>
        <w:spacing w:line="276" w:lineRule="auto"/>
        <w:jc w:val="both"/>
        <w:rPr>
          <w:rFonts w:ascii="Arial" w:eastAsia="Times New Roman" w:hAnsi="Arial" w:cs="Arial"/>
          <w:lang w:eastAsia="es-CO"/>
        </w:rPr>
      </w:pPr>
      <w:r w:rsidRPr="00844003">
        <w:rPr>
          <w:rFonts w:ascii="Arial" w:eastAsia="Times New Roman" w:hAnsi="Arial" w:cs="Arial"/>
          <w:lang w:val="es-CO" w:eastAsia="es-CO"/>
        </w:rPr>
        <w:t xml:space="preserve">El artículo 14 del Pacto Internacional de Derechos Civiles y Políticos, ratificado por Colombia </w:t>
      </w:r>
      <w:r w:rsidR="00B25A4C" w:rsidRPr="00844003">
        <w:rPr>
          <w:rFonts w:ascii="Arial" w:eastAsia="Times New Roman" w:hAnsi="Arial" w:cs="Arial"/>
          <w:lang w:val="es-CO" w:eastAsia="es-CO"/>
        </w:rPr>
        <w:t>con la</w:t>
      </w:r>
      <w:r w:rsidRPr="00844003">
        <w:rPr>
          <w:rFonts w:ascii="Arial" w:eastAsia="Times New Roman" w:hAnsi="Arial" w:cs="Arial"/>
          <w:lang w:val="es-CO" w:eastAsia="es-CO"/>
        </w:rPr>
        <w:t xml:space="preserve"> Ley 74 de 1968.</w:t>
      </w:r>
    </w:p>
    <w:p w14:paraId="25FEB47A" w14:textId="4C6C5E64" w:rsidR="00E80E79" w:rsidRPr="00844003" w:rsidRDefault="00E80E79" w:rsidP="00B25A4C">
      <w:pPr>
        <w:pStyle w:val="Prrafodelista"/>
        <w:numPr>
          <w:ilvl w:val="0"/>
          <w:numId w:val="40"/>
        </w:numPr>
        <w:spacing w:line="276" w:lineRule="auto"/>
        <w:jc w:val="both"/>
        <w:rPr>
          <w:rFonts w:ascii="Arial" w:eastAsia="Times New Roman" w:hAnsi="Arial" w:cs="Arial"/>
          <w:lang w:eastAsia="es-CO"/>
        </w:rPr>
      </w:pPr>
      <w:r w:rsidRPr="00844003">
        <w:rPr>
          <w:rFonts w:ascii="Arial" w:eastAsia="Times New Roman" w:hAnsi="Arial" w:cs="Arial"/>
          <w:lang w:val="es-CO" w:eastAsia="es-CO"/>
        </w:rPr>
        <w:t>El artículo 8° de la Convenció</w:t>
      </w:r>
      <w:r w:rsidR="00F35683" w:rsidRPr="00844003">
        <w:rPr>
          <w:rFonts w:ascii="Arial" w:eastAsia="Times New Roman" w:hAnsi="Arial" w:cs="Arial"/>
          <w:lang w:val="es-CO" w:eastAsia="es-CO"/>
        </w:rPr>
        <w:t>n Americana de Derechos Humanos, ratificada por Colombia el 28 de mayo de 1973.</w:t>
      </w:r>
    </w:p>
    <w:p w14:paraId="746DB826" w14:textId="045F1EDD" w:rsidR="00290374" w:rsidRPr="00844003" w:rsidRDefault="00290374" w:rsidP="00B25A4C">
      <w:pPr>
        <w:pStyle w:val="Prrafodelista"/>
        <w:numPr>
          <w:ilvl w:val="0"/>
          <w:numId w:val="40"/>
        </w:numPr>
        <w:spacing w:line="276" w:lineRule="auto"/>
        <w:jc w:val="both"/>
        <w:rPr>
          <w:rFonts w:ascii="Arial" w:eastAsia="Times New Roman" w:hAnsi="Arial" w:cs="Arial"/>
          <w:lang w:eastAsia="es-CO"/>
        </w:rPr>
      </w:pPr>
      <w:r w:rsidRPr="00844003">
        <w:rPr>
          <w:rFonts w:ascii="Arial" w:eastAsia="Times New Roman" w:hAnsi="Arial" w:cs="Arial"/>
          <w:lang w:val="es-CO" w:eastAsia="es-CO"/>
        </w:rPr>
        <w:t xml:space="preserve">Sentencia de 17 de noviembre de 2009 de la </w:t>
      </w:r>
      <w:r w:rsidR="00B25A4C" w:rsidRPr="00844003">
        <w:rPr>
          <w:rFonts w:ascii="Arial" w:eastAsia="Times New Roman" w:hAnsi="Arial" w:cs="Arial"/>
          <w:lang w:val="es-CO" w:eastAsia="es-CO"/>
        </w:rPr>
        <w:t>CIDH</w:t>
      </w:r>
      <w:r w:rsidRPr="00844003">
        <w:rPr>
          <w:rFonts w:ascii="Arial" w:eastAsia="Times New Roman" w:hAnsi="Arial" w:cs="Arial"/>
          <w:lang w:val="es-CO" w:eastAsia="es-CO"/>
        </w:rPr>
        <w:t>, que resolvió el caso Barreto Leiva vs Venezuela.</w:t>
      </w:r>
    </w:p>
    <w:p w14:paraId="310AD4A5" w14:textId="5D630BDE" w:rsidR="00290374" w:rsidRPr="00844003" w:rsidRDefault="00E80E79" w:rsidP="00B25A4C">
      <w:pPr>
        <w:pStyle w:val="Prrafodelista"/>
        <w:numPr>
          <w:ilvl w:val="0"/>
          <w:numId w:val="40"/>
        </w:numPr>
        <w:spacing w:line="276" w:lineRule="auto"/>
        <w:jc w:val="both"/>
        <w:rPr>
          <w:rFonts w:ascii="Arial" w:eastAsia="Times New Roman" w:hAnsi="Arial" w:cs="Arial"/>
          <w:lang w:eastAsia="es-CO"/>
        </w:rPr>
      </w:pPr>
      <w:r w:rsidRPr="00844003">
        <w:rPr>
          <w:rFonts w:ascii="Arial" w:eastAsia="Times New Roman" w:hAnsi="Arial" w:cs="Arial"/>
          <w:lang w:val="es-CO" w:eastAsia="es-CO"/>
        </w:rPr>
        <w:t>La imposibilidad de ejercer sus derechos políticos como el de ser elegido y el del acceso al desempeño de funciones y cargos públicos</w:t>
      </w:r>
      <w:r w:rsidR="00F35683" w:rsidRPr="00844003">
        <w:rPr>
          <w:rFonts w:ascii="Arial" w:eastAsia="Times New Roman" w:hAnsi="Arial" w:cs="Arial"/>
          <w:lang w:val="es-CO" w:eastAsia="es-CO"/>
        </w:rPr>
        <w:t xml:space="preserve">, </w:t>
      </w:r>
      <w:r w:rsidR="00B25A4C" w:rsidRPr="00844003">
        <w:rPr>
          <w:rFonts w:ascii="Arial" w:eastAsia="Times New Roman" w:hAnsi="Arial" w:cs="Arial"/>
          <w:lang w:val="es-CO" w:eastAsia="es-CO"/>
        </w:rPr>
        <w:t xml:space="preserve">ambos </w:t>
      </w:r>
      <w:r w:rsidR="00F35683" w:rsidRPr="00844003">
        <w:rPr>
          <w:rFonts w:ascii="Arial" w:eastAsia="Times New Roman" w:hAnsi="Arial" w:cs="Arial"/>
          <w:lang w:val="es-CO" w:eastAsia="es-CO"/>
        </w:rPr>
        <w:t>reconocidos en la Constitución Política</w:t>
      </w:r>
      <w:r w:rsidR="00123C3D" w:rsidRPr="00844003">
        <w:rPr>
          <w:rFonts w:ascii="Arial" w:eastAsia="Times New Roman" w:hAnsi="Arial" w:cs="Arial"/>
          <w:lang w:val="es-CO" w:eastAsia="es-CO"/>
        </w:rPr>
        <w:t xml:space="preserve"> de 1991</w:t>
      </w:r>
      <w:r w:rsidRPr="00844003">
        <w:rPr>
          <w:rFonts w:ascii="Arial" w:eastAsia="Times New Roman" w:hAnsi="Arial" w:cs="Arial"/>
          <w:lang w:val="es-CO" w:eastAsia="es-CO"/>
        </w:rPr>
        <w:t>.</w:t>
      </w:r>
    </w:p>
    <w:p w14:paraId="78CC91BE" w14:textId="1040A7BC" w:rsidR="00290374" w:rsidRPr="00844003" w:rsidRDefault="00E80E79" w:rsidP="00B25A4C">
      <w:pPr>
        <w:pStyle w:val="Prrafodelista"/>
        <w:numPr>
          <w:ilvl w:val="0"/>
          <w:numId w:val="40"/>
        </w:numPr>
        <w:spacing w:line="276" w:lineRule="auto"/>
        <w:jc w:val="both"/>
        <w:rPr>
          <w:rFonts w:ascii="Arial" w:eastAsia="Times New Roman" w:hAnsi="Arial" w:cs="Arial"/>
          <w:lang w:eastAsia="es-CO"/>
        </w:rPr>
      </w:pPr>
      <w:r w:rsidRPr="00844003">
        <w:rPr>
          <w:rFonts w:ascii="Arial" w:eastAsia="Times New Roman" w:hAnsi="Arial" w:cs="Arial"/>
          <w:lang w:eastAsia="es-CO"/>
        </w:rPr>
        <w:t xml:space="preserve">La </w:t>
      </w:r>
      <w:r w:rsidR="0046147E">
        <w:rPr>
          <w:rFonts w:ascii="Arial" w:eastAsia="Times New Roman" w:hAnsi="Arial" w:cs="Arial"/>
          <w:lang w:eastAsia="es-CO"/>
        </w:rPr>
        <w:t xml:space="preserve">aplicación del principio de favorabilidad a su situación personal, debido a que la </w:t>
      </w:r>
      <w:r w:rsidRPr="00844003">
        <w:rPr>
          <w:rFonts w:ascii="Arial" w:eastAsia="Times New Roman" w:hAnsi="Arial" w:cs="Arial"/>
          <w:lang w:eastAsia="es-CO"/>
        </w:rPr>
        <w:t>sentencia SU-</w:t>
      </w:r>
      <w:r w:rsidR="00DE334E" w:rsidRPr="00844003">
        <w:rPr>
          <w:rFonts w:ascii="Arial" w:eastAsia="Times New Roman" w:hAnsi="Arial" w:cs="Arial"/>
          <w:lang w:eastAsia="es-CO"/>
        </w:rPr>
        <w:t>146 del 21 de mayo de 2020 de la Corte Constitucional</w:t>
      </w:r>
      <w:r w:rsidR="00123C3D" w:rsidRPr="00844003">
        <w:rPr>
          <w:rFonts w:ascii="Arial" w:eastAsia="Times New Roman" w:hAnsi="Arial" w:cs="Arial"/>
          <w:lang w:eastAsia="es-CO"/>
        </w:rPr>
        <w:t xml:space="preserve"> habilita la posibilidad de aplicar </w:t>
      </w:r>
      <w:r w:rsidR="0046147E">
        <w:rPr>
          <w:rFonts w:ascii="Arial" w:eastAsia="Times New Roman" w:hAnsi="Arial" w:cs="Arial"/>
          <w:lang w:eastAsia="es-CO"/>
        </w:rPr>
        <w:t>acceder al recurso de la doble conformidad.</w:t>
      </w:r>
    </w:p>
    <w:p w14:paraId="6E0A3C4F" w14:textId="4B97C021" w:rsidR="00DE334E" w:rsidRPr="0046147E" w:rsidRDefault="00DE334E" w:rsidP="00B25A4C">
      <w:pPr>
        <w:spacing w:line="276" w:lineRule="auto"/>
        <w:rPr>
          <w:rFonts w:eastAsia="Times New Roman"/>
          <w:sz w:val="24"/>
          <w:szCs w:val="24"/>
          <w:lang w:val="es-ES_tradnl" w:eastAsia="es-CO"/>
        </w:rPr>
      </w:pPr>
    </w:p>
    <w:p w14:paraId="3DEDC75B" w14:textId="7BC74300" w:rsidR="00FD12D7" w:rsidRPr="00844003" w:rsidRDefault="00123C3D" w:rsidP="00B25A4C">
      <w:pPr>
        <w:spacing w:line="276" w:lineRule="auto"/>
        <w:rPr>
          <w:rFonts w:eastAsia="Times New Roman"/>
          <w:sz w:val="24"/>
          <w:szCs w:val="24"/>
          <w:lang w:eastAsia="es-CO"/>
        </w:rPr>
      </w:pPr>
      <w:r w:rsidRPr="0046147E">
        <w:rPr>
          <w:rFonts w:eastAsia="Times New Roman"/>
          <w:b/>
          <w:sz w:val="24"/>
          <w:szCs w:val="24"/>
          <w:lang w:eastAsia="es-CO"/>
        </w:rPr>
        <w:t xml:space="preserve">2.3.2.1. </w:t>
      </w:r>
      <w:r w:rsidR="00F35683" w:rsidRPr="0046147E">
        <w:rPr>
          <w:rFonts w:eastAsia="Times New Roman"/>
          <w:sz w:val="24"/>
          <w:szCs w:val="24"/>
          <w:lang w:eastAsia="es-CO"/>
        </w:rPr>
        <w:t>En relación</w:t>
      </w:r>
      <w:r w:rsidR="00F35683" w:rsidRPr="00844003">
        <w:rPr>
          <w:rFonts w:eastAsia="Times New Roman"/>
          <w:sz w:val="24"/>
          <w:szCs w:val="24"/>
          <w:lang w:eastAsia="es-CO"/>
        </w:rPr>
        <w:t xml:space="preserve"> con las primeras cuatro cuestiones, es indiscutible que aluden a circunstancias anteriores al momento en el que la autoridad judicial accionada profirió </w:t>
      </w:r>
      <w:r w:rsidR="00C341E3" w:rsidRPr="00844003">
        <w:rPr>
          <w:rFonts w:eastAsia="Times New Roman"/>
          <w:sz w:val="24"/>
          <w:szCs w:val="24"/>
          <w:lang w:eastAsia="es-CO"/>
        </w:rPr>
        <w:lastRenderedPageBreak/>
        <w:t xml:space="preserve">y notificó </w:t>
      </w:r>
      <w:r w:rsidR="00F35683" w:rsidRPr="00844003">
        <w:rPr>
          <w:rFonts w:eastAsia="Times New Roman"/>
          <w:sz w:val="24"/>
          <w:szCs w:val="24"/>
          <w:lang w:eastAsia="es-CO"/>
        </w:rPr>
        <w:t xml:space="preserve">la sentencia del 27 de julio de 2010; por lo que </w:t>
      </w:r>
      <w:r w:rsidR="00C341E3" w:rsidRPr="00844003">
        <w:rPr>
          <w:rFonts w:eastAsia="Times New Roman"/>
          <w:sz w:val="24"/>
          <w:szCs w:val="24"/>
          <w:lang w:eastAsia="es-CO"/>
        </w:rPr>
        <w:t xml:space="preserve">no </w:t>
      </w:r>
      <w:r w:rsidR="000B4EEA">
        <w:rPr>
          <w:rFonts w:eastAsia="Times New Roman"/>
          <w:sz w:val="24"/>
          <w:szCs w:val="24"/>
          <w:lang w:eastAsia="es-CO"/>
        </w:rPr>
        <w:t xml:space="preserve">encuentra la Sala razón válida para que el actor haya omitido la solicitud de defensa de </w:t>
      </w:r>
      <w:r w:rsidR="00C341E3" w:rsidRPr="00844003">
        <w:rPr>
          <w:rFonts w:eastAsia="Times New Roman"/>
          <w:sz w:val="24"/>
          <w:szCs w:val="24"/>
          <w:lang w:eastAsia="es-CO"/>
        </w:rPr>
        <w:t>sus derechos</w:t>
      </w:r>
      <w:r w:rsidR="0046147E">
        <w:rPr>
          <w:rFonts w:eastAsia="Times New Roman"/>
          <w:sz w:val="24"/>
          <w:szCs w:val="24"/>
          <w:lang w:eastAsia="es-CO"/>
        </w:rPr>
        <w:t xml:space="preserve"> fundamentales</w:t>
      </w:r>
      <w:r w:rsidR="00C341E3" w:rsidRPr="00844003">
        <w:rPr>
          <w:rFonts w:eastAsia="Times New Roman"/>
          <w:sz w:val="24"/>
          <w:szCs w:val="24"/>
          <w:lang w:eastAsia="es-CO"/>
        </w:rPr>
        <w:t xml:space="preserve"> </w:t>
      </w:r>
      <w:r w:rsidRPr="00844003">
        <w:rPr>
          <w:rFonts w:eastAsia="Times New Roman"/>
          <w:sz w:val="24"/>
          <w:szCs w:val="24"/>
          <w:lang w:eastAsia="es-CO"/>
        </w:rPr>
        <w:t>dentro</w:t>
      </w:r>
      <w:r w:rsidR="00C341E3" w:rsidRPr="00844003">
        <w:rPr>
          <w:rFonts w:eastAsia="Times New Roman"/>
          <w:sz w:val="24"/>
          <w:szCs w:val="24"/>
          <w:lang w:eastAsia="es-CO"/>
        </w:rPr>
        <w:t xml:space="preserve"> </w:t>
      </w:r>
      <w:r w:rsidRPr="00844003">
        <w:rPr>
          <w:rFonts w:eastAsia="Times New Roman"/>
          <w:sz w:val="24"/>
          <w:szCs w:val="24"/>
          <w:lang w:eastAsia="es-CO"/>
        </w:rPr>
        <w:t>d</w:t>
      </w:r>
      <w:r w:rsidR="00C341E3" w:rsidRPr="00844003">
        <w:rPr>
          <w:rFonts w:eastAsia="Times New Roman"/>
          <w:sz w:val="24"/>
          <w:szCs w:val="24"/>
          <w:lang w:eastAsia="es-CO"/>
        </w:rPr>
        <w:t>el plazo razonable que ha definido la jurisprudencia constitucional</w:t>
      </w:r>
      <w:r w:rsidR="000B4EEA">
        <w:rPr>
          <w:rFonts w:eastAsia="Times New Roman"/>
          <w:sz w:val="24"/>
          <w:szCs w:val="24"/>
          <w:lang w:eastAsia="es-CO"/>
        </w:rPr>
        <w:t>, con fundamento en aquellas</w:t>
      </w:r>
      <w:r w:rsidR="00C341E3" w:rsidRPr="00844003">
        <w:rPr>
          <w:rFonts w:eastAsia="Times New Roman"/>
          <w:sz w:val="24"/>
          <w:szCs w:val="24"/>
          <w:lang w:eastAsia="es-CO"/>
        </w:rPr>
        <w:t>.</w:t>
      </w:r>
    </w:p>
    <w:p w14:paraId="7BC8EDC4" w14:textId="77777777" w:rsidR="00FD12D7" w:rsidRPr="00844003" w:rsidRDefault="00FD12D7" w:rsidP="00B25A4C">
      <w:pPr>
        <w:spacing w:line="276" w:lineRule="auto"/>
        <w:rPr>
          <w:rFonts w:eastAsia="Times New Roman"/>
          <w:sz w:val="24"/>
          <w:szCs w:val="24"/>
          <w:lang w:eastAsia="es-CO"/>
        </w:rPr>
      </w:pPr>
    </w:p>
    <w:p w14:paraId="0C0A9A77" w14:textId="2BEDFA03" w:rsidR="0000700B" w:rsidRPr="00844003" w:rsidRDefault="00123C3D" w:rsidP="00B25A4C">
      <w:pPr>
        <w:spacing w:line="276" w:lineRule="auto"/>
        <w:rPr>
          <w:rFonts w:eastAsia="Times New Roman"/>
          <w:sz w:val="24"/>
          <w:szCs w:val="24"/>
          <w:lang w:eastAsia="es-CO"/>
        </w:rPr>
      </w:pPr>
      <w:r w:rsidRPr="00844003">
        <w:rPr>
          <w:rFonts w:eastAsia="Times New Roman"/>
          <w:b/>
          <w:sz w:val="24"/>
          <w:szCs w:val="24"/>
          <w:lang w:eastAsia="es-CO"/>
        </w:rPr>
        <w:t xml:space="preserve">2.3.2.2. </w:t>
      </w:r>
      <w:r w:rsidR="00C341E3" w:rsidRPr="00844003">
        <w:rPr>
          <w:rFonts w:eastAsia="Times New Roman"/>
          <w:sz w:val="24"/>
          <w:szCs w:val="24"/>
          <w:lang w:eastAsia="es-CO"/>
        </w:rPr>
        <w:t xml:space="preserve">Ahora bien, la sentencia SU-146 del 21 de mayo de 2020 dictada por la Corte Constitucional ciertamente es posterior a la </w:t>
      </w:r>
      <w:r w:rsidR="00590624" w:rsidRPr="00844003">
        <w:rPr>
          <w:rFonts w:eastAsia="Times New Roman"/>
          <w:sz w:val="24"/>
          <w:szCs w:val="24"/>
          <w:lang w:eastAsia="es-CO"/>
        </w:rPr>
        <w:t>providencia</w:t>
      </w:r>
      <w:r w:rsidR="00C341E3" w:rsidRPr="00844003">
        <w:rPr>
          <w:rFonts w:eastAsia="Times New Roman"/>
          <w:sz w:val="24"/>
          <w:szCs w:val="24"/>
          <w:lang w:eastAsia="es-CO"/>
        </w:rPr>
        <w:t xml:space="preserve"> </w:t>
      </w:r>
      <w:r w:rsidR="000B4EEA">
        <w:rPr>
          <w:rFonts w:eastAsia="Times New Roman"/>
          <w:sz w:val="24"/>
          <w:szCs w:val="24"/>
          <w:lang w:eastAsia="es-CO"/>
        </w:rPr>
        <w:t>que el actor señala como lesiva de sus derechos fundamentales</w:t>
      </w:r>
      <w:r w:rsidR="00C341E3" w:rsidRPr="00844003">
        <w:rPr>
          <w:rFonts w:eastAsia="Times New Roman"/>
          <w:sz w:val="24"/>
          <w:szCs w:val="24"/>
          <w:lang w:eastAsia="es-CO"/>
        </w:rPr>
        <w:t xml:space="preserve">. </w:t>
      </w:r>
      <w:r w:rsidR="000B4EEA">
        <w:rPr>
          <w:rFonts w:eastAsia="Times New Roman"/>
          <w:sz w:val="24"/>
          <w:szCs w:val="24"/>
          <w:lang w:eastAsia="es-CO"/>
        </w:rPr>
        <w:t xml:space="preserve">Sin embargo, </w:t>
      </w:r>
      <w:r w:rsidR="00C341E3" w:rsidRPr="00844003">
        <w:rPr>
          <w:rFonts w:eastAsia="Times New Roman"/>
          <w:sz w:val="24"/>
          <w:szCs w:val="24"/>
          <w:lang w:eastAsia="es-CO"/>
        </w:rPr>
        <w:t xml:space="preserve">es importante resaltar que la jurisprudencia constitucional ha precisado que no en todos los casos </w:t>
      </w:r>
      <w:r w:rsidR="00590624" w:rsidRPr="00844003">
        <w:rPr>
          <w:rFonts w:eastAsia="Times New Roman"/>
          <w:sz w:val="24"/>
          <w:szCs w:val="24"/>
          <w:lang w:eastAsia="es-CO"/>
        </w:rPr>
        <w:t>un fallo de</w:t>
      </w:r>
      <w:r w:rsidR="00C341E3" w:rsidRPr="00844003">
        <w:rPr>
          <w:rFonts w:eastAsia="Times New Roman"/>
          <w:sz w:val="24"/>
          <w:szCs w:val="24"/>
          <w:lang w:eastAsia="es-CO"/>
        </w:rPr>
        <w:t xml:space="preserve"> unificación puede constituirse en un hecho nuevo, que permita al juez de tutela valorarlo como un elemento adicional </w:t>
      </w:r>
      <w:r w:rsidR="006E4B13" w:rsidRPr="00844003">
        <w:rPr>
          <w:rFonts w:eastAsia="Times New Roman"/>
          <w:sz w:val="24"/>
          <w:szCs w:val="24"/>
          <w:lang w:eastAsia="es-CO"/>
        </w:rPr>
        <w:t>en</w:t>
      </w:r>
      <w:r w:rsidR="00C341E3" w:rsidRPr="00844003">
        <w:rPr>
          <w:rFonts w:eastAsia="Times New Roman"/>
          <w:sz w:val="24"/>
          <w:szCs w:val="24"/>
          <w:lang w:eastAsia="es-CO"/>
        </w:rPr>
        <w:t xml:space="preserve"> el examen de la inmediatez</w:t>
      </w:r>
      <w:r w:rsidRPr="00844003">
        <w:rPr>
          <w:rStyle w:val="Refdenotaalpie"/>
          <w:rFonts w:eastAsia="Times New Roman"/>
          <w:sz w:val="24"/>
          <w:szCs w:val="24"/>
          <w:lang w:eastAsia="es-CO"/>
        </w:rPr>
        <w:footnoteReference w:id="25"/>
      </w:r>
      <w:r w:rsidR="00C341E3" w:rsidRPr="00844003">
        <w:rPr>
          <w:rFonts w:eastAsia="Times New Roman"/>
          <w:sz w:val="24"/>
          <w:szCs w:val="24"/>
          <w:lang w:eastAsia="es-CO"/>
        </w:rPr>
        <w:t xml:space="preserve">. En particular, </w:t>
      </w:r>
      <w:r w:rsidR="0000700B" w:rsidRPr="00844003">
        <w:rPr>
          <w:rFonts w:eastAsia="Times New Roman"/>
          <w:sz w:val="24"/>
          <w:szCs w:val="24"/>
          <w:lang w:eastAsia="es-CO"/>
        </w:rPr>
        <w:t>lo que ha resaltado el máximo órgano</w:t>
      </w:r>
      <w:r w:rsidR="0024709C" w:rsidRPr="00844003">
        <w:rPr>
          <w:rFonts w:eastAsia="Times New Roman"/>
          <w:sz w:val="24"/>
          <w:szCs w:val="24"/>
          <w:lang w:eastAsia="es-CO"/>
        </w:rPr>
        <w:t xml:space="preserve"> de la Jurisdicción C</w:t>
      </w:r>
      <w:r w:rsidR="0000700B" w:rsidRPr="00844003">
        <w:rPr>
          <w:rFonts w:eastAsia="Times New Roman"/>
          <w:sz w:val="24"/>
          <w:szCs w:val="24"/>
          <w:lang w:eastAsia="es-CO"/>
        </w:rPr>
        <w:t>onstitucional es que únicamente las sentencias de unificación que hubieren modificado drásticamente la jurisprudencia, pueden ser consideradas como un hecho nuevo que permita, a partir de ellas, reexaminar asuntos fundados en hechos acaecidos tiempo atrás,</w:t>
      </w:r>
      <w:r w:rsidR="00C341E3" w:rsidRPr="00844003">
        <w:rPr>
          <w:rFonts w:eastAsia="Times New Roman"/>
          <w:sz w:val="24"/>
          <w:szCs w:val="24"/>
          <w:lang w:eastAsia="es-CO"/>
        </w:rPr>
        <w:t xml:space="preserve"> </w:t>
      </w:r>
      <w:r w:rsidR="0000700B" w:rsidRPr="00844003">
        <w:rPr>
          <w:rFonts w:eastAsia="Times New Roman"/>
          <w:sz w:val="24"/>
          <w:szCs w:val="24"/>
          <w:lang w:eastAsia="es-CO"/>
        </w:rPr>
        <w:t xml:space="preserve">de </w:t>
      </w:r>
      <w:r w:rsidR="006E4B13" w:rsidRPr="00844003">
        <w:rPr>
          <w:rFonts w:eastAsia="Times New Roman"/>
          <w:sz w:val="24"/>
          <w:szCs w:val="24"/>
          <w:lang w:eastAsia="es-CO"/>
        </w:rPr>
        <w:t xml:space="preserve">tal </w:t>
      </w:r>
      <w:r w:rsidR="0000700B" w:rsidRPr="00844003">
        <w:rPr>
          <w:rFonts w:eastAsia="Times New Roman"/>
          <w:sz w:val="24"/>
          <w:szCs w:val="24"/>
          <w:lang w:eastAsia="es-CO"/>
        </w:rPr>
        <w:t xml:space="preserve">manera que exista una nueva posición sobre el asunto objeto de debate y haya una modificación </w:t>
      </w:r>
      <w:r w:rsidR="006E4B13" w:rsidRPr="00844003">
        <w:rPr>
          <w:rFonts w:eastAsia="Times New Roman"/>
          <w:sz w:val="24"/>
          <w:szCs w:val="24"/>
          <w:lang w:eastAsia="es-CO"/>
        </w:rPr>
        <w:t>radical</w:t>
      </w:r>
      <w:r w:rsidR="0000700B" w:rsidRPr="00844003">
        <w:rPr>
          <w:rFonts w:eastAsia="Times New Roman"/>
          <w:sz w:val="24"/>
          <w:szCs w:val="24"/>
          <w:lang w:eastAsia="es-CO"/>
        </w:rPr>
        <w:t xml:space="preserve"> </w:t>
      </w:r>
      <w:r w:rsidR="006E4B13" w:rsidRPr="00844003">
        <w:rPr>
          <w:rFonts w:eastAsia="Times New Roman"/>
          <w:sz w:val="24"/>
          <w:szCs w:val="24"/>
          <w:lang w:eastAsia="es-CO"/>
        </w:rPr>
        <w:t>a</w:t>
      </w:r>
      <w:r w:rsidR="0000700B" w:rsidRPr="00844003">
        <w:rPr>
          <w:rFonts w:eastAsia="Times New Roman"/>
          <w:sz w:val="24"/>
          <w:szCs w:val="24"/>
          <w:lang w:eastAsia="es-CO"/>
        </w:rPr>
        <w:t xml:space="preserve"> las circunstancias </w:t>
      </w:r>
      <w:r w:rsidR="00304C4E" w:rsidRPr="00844003">
        <w:rPr>
          <w:rFonts w:eastAsia="Times New Roman"/>
          <w:sz w:val="24"/>
          <w:szCs w:val="24"/>
          <w:lang w:eastAsia="es-CO"/>
        </w:rPr>
        <w:t>objeto de la controversia</w:t>
      </w:r>
      <w:r w:rsidRPr="00844003">
        <w:rPr>
          <w:rStyle w:val="Refdenotaalpie"/>
          <w:rFonts w:eastAsia="Times New Roman"/>
          <w:sz w:val="24"/>
          <w:szCs w:val="24"/>
          <w:lang w:eastAsia="es-CO"/>
        </w:rPr>
        <w:footnoteReference w:id="26"/>
      </w:r>
      <w:r w:rsidR="0000700B" w:rsidRPr="00844003">
        <w:rPr>
          <w:rFonts w:eastAsia="Times New Roman"/>
          <w:sz w:val="24"/>
          <w:szCs w:val="24"/>
          <w:lang w:eastAsia="es-CO"/>
        </w:rPr>
        <w:t xml:space="preserve">. </w:t>
      </w:r>
    </w:p>
    <w:p w14:paraId="282DAE7F" w14:textId="77777777" w:rsidR="0000700B" w:rsidRPr="00844003" w:rsidRDefault="0000700B" w:rsidP="00B25A4C">
      <w:pPr>
        <w:spacing w:line="276" w:lineRule="auto"/>
        <w:rPr>
          <w:rFonts w:eastAsia="Times New Roman"/>
          <w:sz w:val="24"/>
          <w:szCs w:val="24"/>
          <w:lang w:eastAsia="es-CO"/>
        </w:rPr>
      </w:pPr>
    </w:p>
    <w:p w14:paraId="12DB1145" w14:textId="1E585546" w:rsidR="0000700B" w:rsidRPr="00844003" w:rsidRDefault="0046147E" w:rsidP="00B25A4C">
      <w:pPr>
        <w:spacing w:line="276" w:lineRule="auto"/>
        <w:rPr>
          <w:rFonts w:eastAsia="Times New Roman"/>
          <w:sz w:val="24"/>
          <w:szCs w:val="24"/>
          <w:lang w:eastAsia="es-CO"/>
        </w:rPr>
      </w:pPr>
      <w:r>
        <w:rPr>
          <w:rFonts w:eastAsia="Times New Roman"/>
          <w:sz w:val="24"/>
          <w:szCs w:val="24"/>
          <w:lang w:eastAsia="es-CO"/>
        </w:rPr>
        <w:t>Lo anterior</w:t>
      </w:r>
      <w:r w:rsidR="0000700B" w:rsidRPr="00844003">
        <w:rPr>
          <w:rFonts w:eastAsia="Times New Roman"/>
          <w:sz w:val="24"/>
          <w:szCs w:val="24"/>
          <w:lang w:eastAsia="es-CO"/>
        </w:rPr>
        <w:t xml:space="preserve"> encuentra sentido</w:t>
      </w:r>
      <w:r>
        <w:rPr>
          <w:rFonts w:eastAsia="Times New Roman"/>
          <w:sz w:val="24"/>
          <w:szCs w:val="24"/>
          <w:lang w:eastAsia="es-CO"/>
        </w:rPr>
        <w:t>,</w:t>
      </w:r>
      <w:r w:rsidR="0000700B" w:rsidRPr="00844003">
        <w:rPr>
          <w:rFonts w:eastAsia="Times New Roman"/>
          <w:sz w:val="24"/>
          <w:szCs w:val="24"/>
          <w:lang w:eastAsia="es-CO"/>
        </w:rPr>
        <w:t xml:space="preserve"> </w:t>
      </w:r>
      <w:r>
        <w:rPr>
          <w:rFonts w:eastAsia="Times New Roman"/>
          <w:sz w:val="24"/>
          <w:szCs w:val="24"/>
          <w:lang w:eastAsia="es-CO"/>
        </w:rPr>
        <w:t>toda vez que</w:t>
      </w:r>
      <w:r w:rsidR="0000700B" w:rsidRPr="00844003">
        <w:rPr>
          <w:rFonts w:eastAsia="Times New Roman"/>
          <w:sz w:val="24"/>
          <w:szCs w:val="24"/>
          <w:lang w:eastAsia="es-CO"/>
        </w:rPr>
        <w:t xml:space="preserve"> si cualquier cambio de posición por parte de las altas cortes </w:t>
      </w:r>
      <w:r w:rsidR="00123C3D" w:rsidRPr="00844003">
        <w:rPr>
          <w:rFonts w:eastAsia="Times New Roman"/>
          <w:sz w:val="24"/>
          <w:szCs w:val="24"/>
          <w:lang w:eastAsia="es-CO"/>
        </w:rPr>
        <w:t>llegara a constituir</w:t>
      </w:r>
      <w:r w:rsidR="0000700B" w:rsidRPr="00844003">
        <w:rPr>
          <w:rFonts w:eastAsia="Times New Roman"/>
          <w:sz w:val="24"/>
          <w:szCs w:val="24"/>
          <w:lang w:eastAsia="es-CO"/>
        </w:rPr>
        <w:t xml:space="preserve"> un hecho nuevo, entonces las controversias sometidas a consideración de los jueces naturales nunca tendrían una respuesta definitiva por parte de la administración de justicia, lo que traería consigo un abandono de la institución de la cosa juzgada, la alteración de la seguridad jurídica que con ella se resguarda y un riesgo para la independencia y la autonomía de los jueces, quienes estarían sujetos a decisiones con efectos </w:t>
      </w:r>
      <w:r w:rsidR="0000700B" w:rsidRPr="00844003">
        <w:rPr>
          <w:rFonts w:eastAsia="Times New Roman"/>
          <w:i/>
          <w:iCs/>
          <w:sz w:val="24"/>
          <w:szCs w:val="24"/>
          <w:lang w:eastAsia="es-CO"/>
        </w:rPr>
        <w:t>inter partes,</w:t>
      </w:r>
      <w:r w:rsidR="0000700B" w:rsidRPr="00844003">
        <w:rPr>
          <w:rFonts w:eastAsia="Times New Roman"/>
          <w:sz w:val="24"/>
          <w:szCs w:val="24"/>
          <w:lang w:eastAsia="es-CO"/>
        </w:rPr>
        <w:t> que</w:t>
      </w:r>
      <w:r w:rsidR="00304C4E" w:rsidRPr="00844003">
        <w:rPr>
          <w:rFonts w:eastAsia="Times New Roman"/>
          <w:sz w:val="24"/>
          <w:szCs w:val="24"/>
          <w:lang w:eastAsia="es-CO"/>
        </w:rPr>
        <w:t>,</w:t>
      </w:r>
      <w:r w:rsidR="0000700B" w:rsidRPr="00844003">
        <w:rPr>
          <w:rFonts w:eastAsia="Times New Roman"/>
          <w:sz w:val="24"/>
          <w:szCs w:val="24"/>
          <w:lang w:eastAsia="es-CO"/>
        </w:rPr>
        <w:t xml:space="preserve"> en principio, no tienen vocación de modificar la fuerza normativa de las decisiones que han sido proferidas para otros casos en concreto</w:t>
      </w:r>
      <w:r w:rsidR="00123C3D" w:rsidRPr="00844003">
        <w:rPr>
          <w:rStyle w:val="Refdenotaalpie"/>
          <w:rFonts w:eastAsia="Times New Roman"/>
          <w:sz w:val="24"/>
          <w:szCs w:val="24"/>
          <w:lang w:eastAsia="es-CO"/>
        </w:rPr>
        <w:footnoteReference w:id="27"/>
      </w:r>
      <w:r w:rsidR="0000700B" w:rsidRPr="00844003">
        <w:rPr>
          <w:rFonts w:eastAsia="Times New Roman"/>
          <w:sz w:val="24"/>
          <w:szCs w:val="24"/>
          <w:lang w:eastAsia="es-CO"/>
        </w:rPr>
        <w:t>.</w:t>
      </w:r>
    </w:p>
    <w:p w14:paraId="1EB9A48B" w14:textId="77777777" w:rsidR="0000700B" w:rsidRPr="00844003" w:rsidRDefault="0000700B" w:rsidP="00B25A4C">
      <w:pPr>
        <w:spacing w:line="276" w:lineRule="auto"/>
        <w:rPr>
          <w:rFonts w:eastAsia="Times New Roman"/>
          <w:sz w:val="24"/>
          <w:szCs w:val="24"/>
          <w:lang w:eastAsia="es-CO"/>
        </w:rPr>
      </w:pPr>
    </w:p>
    <w:p w14:paraId="022DE9C4" w14:textId="0F0E3673" w:rsidR="0000700B" w:rsidRPr="00844003" w:rsidRDefault="0000700B" w:rsidP="00B25A4C">
      <w:pPr>
        <w:spacing w:line="276" w:lineRule="auto"/>
        <w:rPr>
          <w:rFonts w:eastAsia="Times New Roman"/>
          <w:sz w:val="24"/>
          <w:szCs w:val="24"/>
          <w:lang w:eastAsia="es-CO"/>
        </w:rPr>
      </w:pPr>
      <w:r w:rsidRPr="00844003">
        <w:rPr>
          <w:rFonts w:eastAsia="Times New Roman"/>
          <w:sz w:val="24"/>
          <w:szCs w:val="24"/>
          <w:lang w:eastAsia="es-CO"/>
        </w:rPr>
        <w:t xml:space="preserve">Conforme a lo ya expuesto, </w:t>
      </w:r>
      <w:r w:rsidR="00590624" w:rsidRPr="00844003">
        <w:rPr>
          <w:rFonts w:eastAsia="Times New Roman"/>
          <w:sz w:val="24"/>
          <w:szCs w:val="24"/>
          <w:lang w:eastAsia="es-CO"/>
        </w:rPr>
        <w:t>es</w:t>
      </w:r>
      <w:r w:rsidRPr="00844003">
        <w:rPr>
          <w:rFonts w:eastAsia="Times New Roman"/>
          <w:sz w:val="24"/>
          <w:szCs w:val="24"/>
          <w:lang w:eastAsia="es-CO"/>
        </w:rPr>
        <w:t xml:space="preserve"> menester definir el alcance material y temporal de la sentencia SU-146 de 2020, toda vez que la parte actora lo establece como un parámetro para la aplicación del principio de favorabilidad a su situación particular</w:t>
      </w:r>
      <w:r w:rsidR="00304C4E" w:rsidRPr="00844003">
        <w:rPr>
          <w:rFonts w:eastAsia="Times New Roman"/>
          <w:sz w:val="24"/>
          <w:szCs w:val="24"/>
          <w:lang w:eastAsia="es-CO"/>
        </w:rPr>
        <w:t xml:space="preserve">, es decir, como si </w:t>
      </w:r>
      <w:r w:rsidR="00590624" w:rsidRPr="00844003">
        <w:rPr>
          <w:rFonts w:eastAsia="Times New Roman"/>
          <w:sz w:val="24"/>
          <w:szCs w:val="24"/>
          <w:lang w:eastAsia="es-CO"/>
        </w:rPr>
        <w:t>constituyera</w:t>
      </w:r>
      <w:r w:rsidR="00304C4E" w:rsidRPr="00844003">
        <w:rPr>
          <w:rFonts w:eastAsia="Times New Roman"/>
          <w:sz w:val="24"/>
          <w:szCs w:val="24"/>
          <w:lang w:eastAsia="es-CO"/>
        </w:rPr>
        <w:t xml:space="preserve"> un hecho nuevo</w:t>
      </w:r>
      <w:r w:rsidRPr="00844003">
        <w:rPr>
          <w:rFonts w:eastAsia="Times New Roman"/>
          <w:sz w:val="24"/>
          <w:szCs w:val="24"/>
          <w:lang w:eastAsia="es-CO"/>
        </w:rPr>
        <w:t xml:space="preserve">. </w:t>
      </w:r>
    </w:p>
    <w:p w14:paraId="71A22994" w14:textId="344E856A" w:rsidR="00FD12D7" w:rsidRPr="00844003" w:rsidRDefault="00FD12D7" w:rsidP="00B25A4C">
      <w:pPr>
        <w:spacing w:line="276" w:lineRule="auto"/>
        <w:rPr>
          <w:rFonts w:eastAsia="Times New Roman"/>
          <w:sz w:val="24"/>
          <w:szCs w:val="24"/>
          <w:lang w:eastAsia="es-CO"/>
        </w:rPr>
      </w:pPr>
    </w:p>
    <w:p w14:paraId="7F9EC4FC" w14:textId="200B1B73" w:rsidR="00F03B38" w:rsidRPr="00844003" w:rsidRDefault="00F03B38" w:rsidP="00B25A4C">
      <w:pPr>
        <w:spacing w:line="276" w:lineRule="auto"/>
        <w:rPr>
          <w:rFonts w:eastAsia="Times New Roman"/>
          <w:sz w:val="24"/>
          <w:szCs w:val="24"/>
          <w:lang w:eastAsia="es-CO"/>
        </w:rPr>
      </w:pPr>
      <w:r w:rsidRPr="00844003">
        <w:rPr>
          <w:rFonts w:eastAsia="Times New Roman"/>
          <w:sz w:val="24"/>
          <w:szCs w:val="24"/>
          <w:lang w:eastAsia="es-CO"/>
        </w:rPr>
        <w:t xml:space="preserve">Por medio de la sentencia SU-146 de 2020, la Sala Plena de la Corte Constitucional estudió la acción de tutela presentada por Andrés Felipe Arias Leiva en contra del auto del 13 de febrero de 2019 proferido por la Sala de Casación Penal de la Corte Suprema de Justicia, que descartó la procedencia de la impugnación formulada por ese mismo accionante en contra </w:t>
      </w:r>
      <w:r w:rsidR="0046147E">
        <w:rPr>
          <w:rFonts w:eastAsia="Times New Roman"/>
          <w:sz w:val="24"/>
          <w:szCs w:val="24"/>
          <w:lang w:eastAsia="es-CO"/>
        </w:rPr>
        <w:t>del fallo</w:t>
      </w:r>
      <w:r w:rsidRPr="00844003">
        <w:rPr>
          <w:rFonts w:eastAsia="Times New Roman"/>
          <w:sz w:val="24"/>
          <w:szCs w:val="24"/>
          <w:lang w:eastAsia="es-CO"/>
        </w:rPr>
        <w:t xml:space="preserve"> del 16 de julio de 2014, que lo condenó, en única instancia, como autor de los delitos de celebración de contrato sin cumplimiento de requisitos legales y peculado por apropiación en favor de terceros. </w:t>
      </w:r>
      <w:r w:rsidR="00A60B1F" w:rsidRPr="00844003">
        <w:rPr>
          <w:rFonts w:eastAsia="Times New Roman"/>
          <w:sz w:val="24"/>
          <w:szCs w:val="24"/>
          <w:lang w:eastAsia="es-CO"/>
        </w:rPr>
        <w:t>En aquella ocasión, e</w:t>
      </w:r>
      <w:r w:rsidRPr="00844003">
        <w:rPr>
          <w:rFonts w:eastAsia="Times New Roman"/>
          <w:sz w:val="24"/>
          <w:szCs w:val="24"/>
          <w:lang w:eastAsia="es-CO"/>
        </w:rPr>
        <w:t xml:space="preserve">l problema jurídico se centró en establecer si la autoridad judicial accionada incurrió </w:t>
      </w:r>
      <w:r w:rsidRPr="00844003">
        <w:rPr>
          <w:rFonts w:eastAsia="Times New Roman"/>
          <w:sz w:val="24"/>
          <w:szCs w:val="24"/>
          <w:lang w:eastAsia="es-CO"/>
        </w:rPr>
        <w:lastRenderedPageBreak/>
        <w:t>en un defecto por violación directa de la Constitución, al desconocer su derecho al debido proceso, en particular, la garantía a impugnar la sentencia condenatoria.</w:t>
      </w:r>
    </w:p>
    <w:p w14:paraId="08F7F7C1" w14:textId="77777777" w:rsidR="00F03B38" w:rsidRPr="00844003" w:rsidRDefault="00F03B38" w:rsidP="00B25A4C">
      <w:pPr>
        <w:spacing w:line="276" w:lineRule="auto"/>
        <w:rPr>
          <w:rFonts w:eastAsia="Times New Roman"/>
          <w:sz w:val="24"/>
          <w:szCs w:val="24"/>
          <w:lang w:eastAsia="es-CO"/>
        </w:rPr>
      </w:pPr>
    </w:p>
    <w:p w14:paraId="2BE85280" w14:textId="09A04DCD" w:rsidR="00F03B38" w:rsidRPr="00844003" w:rsidRDefault="00F03B38" w:rsidP="00B25A4C">
      <w:pPr>
        <w:spacing w:line="276" w:lineRule="auto"/>
        <w:rPr>
          <w:rFonts w:eastAsia="Times New Roman"/>
          <w:sz w:val="24"/>
          <w:szCs w:val="24"/>
          <w:lang w:eastAsia="es-CO"/>
        </w:rPr>
      </w:pPr>
      <w:r w:rsidRPr="00844003">
        <w:rPr>
          <w:rFonts w:eastAsia="Times New Roman"/>
          <w:sz w:val="24"/>
          <w:szCs w:val="24"/>
          <w:lang w:eastAsia="es-CO"/>
        </w:rPr>
        <w:t>La Sala Plena de la Corte Constitucional, en ese caso, encontró que la Sala de Casación Penal de la Corte Suprema de Justicia incurrió en el defecto por violación directa de la Constitución al proferir el auto del 13 de febrero de 2019, porque desconoció los artículos 29 y 93 de la Constitución, 8.2.h. de la Convención Americana</w:t>
      </w:r>
      <w:r w:rsidR="00304C4E" w:rsidRPr="00844003">
        <w:rPr>
          <w:rFonts w:eastAsia="Times New Roman"/>
          <w:sz w:val="24"/>
          <w:szCs w:val="24"/>
          <w:lang w:eastAsia="es-CO"/>
        </w:rPr>
        <w:t xml:space="preserve"> de Derechos Humanos</w:t>
      </w:r>
      <w:r w:rsidRPr="00844003">
        <w:rPr>
          <w:rFonts w:eastAsia="Times New Roman"/>
          <w:sz w:val="24"/>
          <w:szCs w:val="24"/>
          <w:lang w:eastAsia="es-CO"/>
        </w:rPr>
        <w:t xml:space="preserve"> y 14.5. del Pacto Internacional de Derechos Civiles y Políticos. En consecuencia, coligió que era procedente el amparo del derecho al debido proceso del señor Arias</w:t>
      </w:r>
      <w:r w:rsidR="00304C4E" w:rsidRPr="00844003">
        <w:rPr>
          <w:rFonts w:eastAsia="Times New Roman"/>
          <w:sz w:val="24"/>
          <w:szCs w:val="24"/>
          <w:lang w:eastAsia="es-CO"/>
        </w:rPr>
        <w:t xml:space="preserve"> Leiva</w:t>
      </w:r>
      <w:r w:rsidRPr="00844003">
        <w:rPr>
          <w:rFonts w:eastAsia="Times New Roman"/>
          <w:sz w:val="24"/>
          <w:szCs w:val="24"/>
          <w:lang w:eastAsia="es-CO"/>
        </w:rPr>
        <w:t>.</w:t>
      </w:r>
    </w:p>
    <w:p w14:paraId="0AB1B280" w14:textId="77777777" w:rsidR="00F03B38" w:rsidRPr="00844003" w:rsidRDefault="00F03B38" w:rsidP="00B25A4C">
      <w:pPr>
        <w:spacing w:line="276" w:lineRule="auto"/>
        <w:rPr>
          <w:rFonts w:eastAsia="Times New Roman"/>
          <w:sz w:val="24"/>
          <w:szCs w:val="24"/>
          <w:lang w:eastAsia="es-CO"/>
        </w:rPr>
      </w:pPr>
    </w:p>
    <w:p w14:paraId="7F5FBD2D" w14:textId="041A0A2A" w:rsidR="00304C4E" w:rsidRPr="00844003" w:rsidRDefault="00356B90" w:rsidP="00B25A4C">
      <w:pPr>
        <w:spacing w:line="276" w:lineRule="auto"/>
        <w:rPr>
          <w:rFonts w:eastAsia="Times New Roman"/>
          <w:sz w:val="24"/>
          <w:szCs w:val="24"/>
          <w:lang w:eastAsia="es-CO"/>
        </w:rPr>
      </w:pPr>
      <w:r w:rsidRPr="00844003">
        <w:rPr>
          <w:rFonts w:eastAsia="Times New Roman"/>
          <w:sz w:val="24"/>
          <w:szCs w:val="24"/>
          <w:lang w:eastAsia="es-CO"/>
        </w:rPr>
        <w:t>L</w:t>
      </w:r>
      <w:r w:rsidR="00F03B38" w:rsidRPr="00844003">
        <w:rPr>
          <w:rFonts w:eastAsia="Times New Roman"/>
          <w:sz w:val="24"/>
          <w:szCs w:val="24"/>
          <w:lang w:eastAsia="es-CO"/>
        </w:rPr>
        <w:t>a Sala Plena de la Corte Constituci</w:t>
      </w:r>
      <w:r w:rsidR="00E31769" w:rsidRPr="00844003">
        <w:rPr>
          <w:rFonts w:eastAsia="Times New Roman"/>
          <w:sz w:val="24"/>
          <w:szCs w:val="24"/>
          <w:lang w:eastAsia="es-CO"/>
        </w:rPr>
        <w:t>onal</w:t>
      </w:r>
      <w:r w:rsidR="00F03B38" w:rsidRPr="00844003">
        <w:rPr>
          <w:rFonts w:eastAsia="Times New Roman"/>
          <w:sz w:val="24"/>
          <w:szCs w:val="24"/>
          <w:lang w:eastAsia="es-CO"/>
        </w:rPr>
        <w:t xml:space="preserve"> </w:t>
      </w:r>
      <w:r w:rsidR="00304C4E" w:rsidRPr="00844003">
        <w:rPr>
          <w:rFonts w:eastAsia="Times New Roman"/>
          <w:sz w:val="24"/>
          <w:szCs w:val="24"/>
          <w:lang w:eastAsia="es-CO"/>
        </w:rPr>
        <w:t xml:space="preserve">sustentó su decisión, a partir </w:t>
      </w:r>
      <w:r w:rsidR="0046147E">
        <w:rPr>
          <w:rFonts w:eastAsia="Times New Roman"/>
          <w:sz w:val="24"/>
          <w:szCs w:val="24"/>
          <w:lang w:eastAsia="es-CO"/>
        </w:rPr>
        <w:t>del análisis de</w:t>
      </w:r>
      <w:r w:rsidR="00304C4E" w:rsidRPr="00844003">
        <w:rPr>
          <w:rFonts w:eastAsia="Times New Roman"/>
          <w:sz w:val="24"/>
          <w:szCs w:val="24"/>
          <w:lang w:eastAsia="es-CO"/>
        </w:rPr>
        <w:t xml:space="preserve"> los momentos en los que la jurisprudencia y un acto legislativo</w:t>
      </w:r>
      <w:r w:rsidR="0046147E">
        <w:rPr>
          <w:rFonts w:eastAsia="Times New Roman"/>
          <w:sz w:val="24"/>
          <w:szCs w:val="24"/>
          <w:lang w:eastAsia="es-CO"/>
        </w:rPr>
        <w:t>, con anterioridad a esa controversia,</w:t>
      </w:r>
      <w:r w:rsidR="00304C4E" w:rsidRPr="00844003">
        <w:rPr>
          <w:rFonts w:eastAsia="Times New Roman"/>
          <w:sz w:val="24"/>
          <w:szCs w:val="24"/>
          <w:lang w:eastAsia="es-CO"/>
        </w:rPr>
        <w:t xml:space="preserve"> han definido </w:t>
      </w:r>
      <w:r w:rsidR="0046147E">
        <w:rPr>
          <w:rFonts w:eastAsia="Times New Roman"/>
          <w:sz w:val="24"/>
          <w:szCs w:val="24"/>
          <w:lang w:eastAsia="es-CO"/>
        </w:rPr>
        <w:t>el alcance del</w:t>
      </w:r>
      <w:r w:rsidR="00304C4E" w:rsidRPr="00844003">
        <w:rPr>
          <w:rFonts w:eastAsia="Times New Roman"/>
          <w:sz w:val="24"/>
          <w:szCs w:val="24"/>
          <w:lang w:eastAsia="es-CO"/>
        </w:rPr>
        <w:t xml:space="preserve"> derecho a la doble conformidad</w:t>
      </w:r>
      <w:r>
        <w:rPr>
          <w:rFonts w:eastAsia="Times New Roman"/>
          <w:sz w:val="24"/>
          <w:szCs w:val="24"/>
          <w:lang w:eastAsia="es-CO"/>
        </w:rPr>
        <w:t xml:space="preserve"> para aforados constitucionales</w:t>
      </w:r>
      <w:r w:rsidR="00304C4E" w:rsidRPr="00844003">
        <w:rPr>
          <w:rFonts w:eastAsia="Times New Roman"/>
          <w:sz w:val="24"/>
          <w:szCs w:val="24"/>
          <w:lang w:eastAsia="es-CO"/>
        </w:rPr>
        <w:t xml:space="preserve">. </w:t>
      </w:r>
    </w:p>
    <w:p w14:paraId="21E50A04" w14:textId="77777777" w:rsidR="00304C4E" w:rsidRPr="00844003" w:rsidRDefault="00304C4E" w:rsidP="00B25A4C">
      <w:pPr>
        <w:spacing w:line="276" w:lineRule="auto"/>
        <w:rPr>
          <w:rFonts w:eastAsia="Times New Roman"/>
          <w:sz w:val="24"/>
          <w:szCs w:val="24"/>
          <w:lang w:eastAsia="es-CO"/>
        </w:rPr>
      </w:pPr>
    </w:p>
    <w:p w14:paraId="15BBB11C" w14:textId="3636174C" w:rsidR="006E4B13" w:rsidRPr="00844003" w:rsidRDefault="00304C4E" w:rsidP="00B25A4C">
      <w:pPr>
        <w:spacing w:line="276" w:lineRule="auto"/>
        <w:rPr>
          <w:rFonts w:eastAsia="Times New Roman"/>
          <w:bCs/>
          <w:iCs/>
          <w:sz w:val="24"/>
          <w:szCs w:val="24"/>
          <w:lang w:eastAsia="es-CO"/>
        </w:rPr>
      </w:pPr>
      <w:r w:rsidRPr="00844003">
        <w:rPr>
          <w:rFonts w:eastAsia="Times New Roman"/>
          <w:sz w:val="24"/>
          <w:szCs w:val="24"/>
          <w:lang w:eastAsia="es-CO"/>
        </w:rPr>
        <w:t xml:space="preserve">En concreto, en primer lugar, la Sala Plena de la Corte Constitucional destacó la sentencia C-934 de 2006, que indicó la imprescindible lectura que debe efectuarse de la garantía a partir de los sistemas regionales y universales de protección de derechos humanos. </w:t>
      </w:r>
      <w:r w:rsidR="00FE200E" w:rsidRPr="00844003">
        <w:rPr>
          <w:rFonts w:eastAsia="Times New Roman"/>
          <w:sz w:val="24"/>
          <w:szCs w:val="24"/>
          <w:lang w:eastAsia="es-CO"/>
        </w:rPr>
        <w:t xml:space="preserve">Luego, en segundo lugar, puso de presente casos de la </w:t>
      </w:r>
      <w:r w:rsidR="00B25A4C" w:rsidRPr="00844003">
        <w:rPr>
          <w:rFonts w:eastAsia="Times New Roman"/>
          <w:sz w:val="24"/>
          <w:szCs w:val="24"/>
          <w:lang w:eastAsia="es-CO"/>
        </w:rPr>
        <w:t>CIDH</w:t>
      </w:r>
      <w:r w:rsidR="00FE200E" w:rsidRPr="00844003">
        <w:rPr>
          <w:rFonts w:eastAsia="Times New Roman"/>
          <w:sz w:val="24"/>
          <w:szCs w:val="24"/>
          <w:lang w:eastAsia="es-CO"/>
        </w:rPr>
        <w:t>, de 2009</w:t>
      </w:r>
      <w:r w:rsidR="006A0A5F" w:rsidRPr="00844003">
        <w:rPr>
          <w:rStyle w:val="Refdenotaalpie"/>
          <w:rFonts w:eastAsia="Times New Roman"/>
          <w:sz w:val="24"/>
          <w:szCs w:val="24"/>
          <w:lang w:eastAsia="es-CO"/>
        </w:rPr>
        <w:footnoteReference w:id="28"/>
      </w:r>
      <w:r w:rsidR="00FE200E" w:rsidRPr="00844003">
        <w:rPr>
          <w:rFonts w:eastAsia="Times New Roman"/>
          <w:sz w:val="24"/>
          <w:szCs w:val="24"/>
          <w:lang w:eastAsia="es-CO"/>
        </w:rPr>
        <w:t xml:space="preserve"> y 2014</w:t>
      </w:r>
      <w:r w:rsidR="006A0A5F" w:rsidRPr="00844003">
        <w:rPr>
          <w:rStyle w:val="Refdenotaalpie"/>
          <w:rFonts w:eastAsia="Times New Roman"/>
          <w:sz w:val="24"/>
          <w:szCs w:val="24"/>
          <w:lang w:eastAsia="es-CO"/>
        </w:rPr>
        <w:footnoteReference w:id="29"/>
      </w:r>
      <w:r w:rsidR="00FE200E" w:rsidRPr="00844003">
        <w:rPr>
          <w:rFonts w:eastAsia="Times New Roman"/>
          <w:sz w:val="24"/>
          <w:szCs w:val="24"/>
          <w:lang w:eastAsia="es-CO"/>
        </w:rPr>
        <w:t xml:space="preserve">, en los que esa autoridad judicial internacional </w:t>
      </w:r>
      <w:r w:rsidR="006A0A5F" w:rsidRPr="00844003">
        <w:rPr>
          <w:rFonts w:eastAsia="Times New Roman"/>
          <w:sz w:val="24"/>
          <w:szCs w:val="24"/>
          <w:lang w:eastAsia="es-CO"/>
        </w:rPr>
        <w:t>adujo</w:t>
      </w:r>
      <w:r w:rsidR="00FE200E" w:rsidRPr="00844003">
        <w:rPr>
          <w:rFonts w:eastAsia="Times New Roman"/>
          <w:sz w:val="24"/>
          <w:szCs w:val="24"/>
          <w:lang w:eastAsia="es-CO"/>
        </w:rPr>
        <w:t xml:space="preserve"> que, aunque lo</w:t>
      </w:r>
      <w:r w:rsidR="00F64079">
        <w:rPr>
          <w:rFonts w:eastAsia="Times New Roman"/>
          <w:sz w:val="24"/>
          <w:szCs w:val="24"/>
          <w:lang w:eastAsia="es-CO"/>
        </w:rPr>
        <w:t>s altos funcionarios del Estado</w:t>
      </w:r>
      <w:r w:rsidR="00FE200E" w:rsidRPr="00844003">
        <w:rPr>
          <w:rFonts w:eastAsia="Times New Roman"/>
          <w:sz w:val="24"/>
          <w:szCs w:val="24"/>
          <w:lang w:eastAsia="es-CO"/>
        </w:rPr>
        <w:t xml:space="preserve"> sean juzgados por las máximas autoridades judiciales de la justicia penal, debe garantizárseles el trámite de impugnación. En tercer lugar, con base en el anterior estándar, </w:t>
      </w:r>
      <w:r w:rsidR="00A60B1F" w:rsidRPr="00844003">
        <w:rPr>
          <w:rFonts w:eastAsia="Times New Roman"/>
          <w:sz w:val="24"/>
          <w:szCs w:val="24"/>
          <w:lang w:eastAsia="es-CO"/>
        </w:rPr>
        <w:t>destacó que</w:t>
      </w:r>
      <w:r w:rsidR="00FE200E" w:rsidRPr="00844003">
        <w:rPr>
          <w:rFonts w:eastAsia="Times New Roman"/>
          <w:sz w:val="24"/>
          <w:szCs w:val="24"/>
          <w:lang w:eastAsia="es-CO"/>
        </w:rPr>
        <w:t xml:space="preserve"> </w:t>
      </w:r>
      <w:r w:rsidR="006E541C">
        <w:rPr>
          <w:rFonts w:eastAsia="Times New Roman"/>
          <w:sz w:val="24"/>
          <w:szCs w:val="24"/>
          <w:lang w:eastAsia="es-CO"/>
        </w:rPr>
        <w:t>el fallo</w:t>
      </w:r>
      <w:r w:rsidR="00A60B1F" w:rsidRPr="00844003">
        <w:rPr>
          <w:rFonts w:eastAsia="Times New Roman"/>
          <w:sz w:val="24"/>
          <w:szCs w:val="24"/>
          <w:lang w:eastAsia="es-CO"/>
        </w:rPr>
        <w:t xml:space="preserve"> C-792 de 2014 actualizó la interpretación</w:t>
      </w:r>
      <w:r w:rsidR="00FE200E" w:rsidRPr="00844003">
        <w:rPr>
          <w:rFonts w:eastAsia="Times New Roman"/>
          <w:sz w:val="24"/>
          <w:szCs w:val="24"/>
          <w:lang w:eastAsia="es-CO"/>
        </w:rPr>
        <w:t xml:space="preserve"> de la garantía prevista en el artículo 29 Superior, para así denotar </w:t>
      </w:r>
      <w:r w:rsidR="00FE200E" w:rsidRPr="00844003">
        <w:rPr>
          <w:rFonts w:eastAsia="Times New Roman"/>
          <w:bCs/>
          <w:iCs/>
          <w:sz w:val="24"/>
          <w:szCs w:val="24"/>
          <w:lang w:eastAsia="es-CO"/>
        </w:rPr>
        <w:t>la existencia de un déficit en el alcance y diseño del recurso existente para su satisfacción</w:t>
      </w:r>
      <w:r w:rsidR="00A60B1F" w:rsidRPr="00844003">
        <w:rPr>
          <w:rFonts w:eastAsia="Times New Roman"/>
          <w:bCs/>
          <w:iCs/>
          <w:sz w:val="24"/>
          <w:szCs w:val="24"/>
          <w:lang w:eastAsia="es-CO"/>
        </w:rPr>
        <w:t>;</w:t>
      </w:r>
      <w:r w:rsidR="00FE200E" w:rsidRPr="00844003">
        <w:rPr>
          <w:rFonts w:eastAsia="Times New Roman"/>
          <w:bCs/>
          <w:iCs/>
          <w:sz w:val="24"/>
          <w:szCs w:val="24"/>
          <w:lang w:eastAsia="es-CO"/>
        </w:rPr>
        <w:t xml:space="preserve"> y, en consecuencia, exhortar al Congreso para asegurar una dimensión objetiva del derecho a la doble instancia. Lo expuesto en tal decisión, aseguró esa Sala, fue un factor preponderante en la expedición del Acto Legislativo 01 de 2018, que introdujo modificaciones a la Constitución Política</w:t>
      </w:r>
      <w:r w:rsidR="00356B90">
        <w:rPr>
          <w:rFonts w:eastAsia="Times New Roman"/>
          <w:bCs/>
          <w:iCs/>
          <w:sz w:val="24"/>
          <w:szCs w:val="24"/>
          <w:lang w:eastAsia="es-CO"/>
        </w:rPr>
        <w:t>,</w:t>
      </w:r>
      <w:r w:rsidR="00FE200E" w:rsidRPr="00844003">
        <w:rPr>
          <w:rFonts w:eastAsia="Times New Roman"/>
          <w:bCs/>
          <w:iCs/>
          <w:sz w:val="24"/>
          <w:szCs w:val="24"/>
          <w:lang w:eastAsia="es-CO"/>
        </w:rPr>
        <w:t xml:space="preserve"> con miras a la satisfacción de ese derecho para los aforados constitucionales, acogiendo el estándar vinculante para el Estado, derivado de la Convención Americana sobre Derechos Humanos y del Pacto Internacional de Derechos Civiles y Políticos. Y Finalmente, como último momento, </w:t>
      </w:r>
      <w:r w:rsidR="00FE200E" w:rsidRPr="00844003">
        <w:rPr>
          <w:rFonts w:eastAsia="Times New Roman"/>
          <w:sz w:val="24"/>
          <w:szCs w:val="24"/>
          <w:lang w:eastAsia="es-CO"/>
        </w:rPr>
        <w:t>expuso</w:t>
      </w:r>
      <w:r w:rsidR="002A31AD" w:rsidRPr="00844003">
        <w:rPr>
          <w:rFonts w:eastAsia="Times New Roman"/>
          <w:sz w:val="24"/>
          <w:szCs w:val="24"/>
          <w:lang w:eastAsia="es-CO"/>
        </w:rPr>
        <w:t xml:space="preserve"> </w:t>
      </w:r>
      <w:r w:rsidR="006E4B13" w:rsidRPr="00844003">
        <w:rPr>
          <w:rFonts w:eastAsia="Times New Roman"/>
          <w:sz w:val="24"/>
          <w:szCs w:val="24"/>
          <w:lang w:eastAsia="es-CO"/>
        </w:rPr>
        <w:t>tres</w:t>
      </w:r>
      <w:r w:rsidR="002A31AD" w:rsidRPr="00844003">
        <w:rPr>
          <w:rFonts w:eastAsia="Times New Roman"/>
          <w:sz w:val="24"/>
          <w:szCs w:val="24"/>
          <w:lang w:eastAsia="es-CO"/>
        </w:rPr>
        <w:t xml:space="preserve"> sentencias de</w:t>
      </w:r>
      <w:r w:rsidR="00EF5818">
        <w:rPr>
          <w:rFonts w:eastAsia="Times New Roman"/>
          <w:sz w:val="24"/>
          <w:szCs w:val="24"/>
          <w:lang w:eastAsia="es-CO"/>
        </w:rPr>
        <w:t xml:space="preserve"> unificación de</w:t>
      </w:r>
      <w:r w:rsidR="002A31AD" w:rsidRPr="00844003">
        <w:rPr>
          <w:rFonts w:eastAsia="Times New Roman"/>
          <w:sz w:val="24"/>
          <w:szCs w:val="24"/>
          <w:lang w:eastAsia="es-CO"/>
        </w:rPr>
        <w:t xml:space="preserve"> tutela proferidas por esa Corporación, con posterioridad al Acto Legislativo 01 de 2018, en las que</w:t>
      </w:r>
      <w:r w:rsidR="00FE200E" w:rsidRPr="00844003">
        <w:rPr>
          <w:rFonts w:eastAsia="Times New Roman"/>
          <w:sz w:val="24"/>
          <w:szCs w:val="24"/>
          <w:lang w:eastAsia="es-CO"/>
        </w:rPr>
        <w:t>, a partir de todo lo ya expuesto,</w:t>
      </w:r>
      <w:r w:rsidR="002A31AD" w:rsidRPr="00844003">
        <w:rPr>
          <w:rFonts w:eastAsia="Times New Roman"/>
          <w:sz w:val="24"/>
          <w:szCs w:val="24"/>
          <w:lang w:eastAsia="es-CO"/>
        </w:rPr>
        <w:t xml:space="preserve"> </w:t>
      </w:r>
      <w:r w:rsidR="00FE200E" w:rsidRPr="00844003">
        <w:rPr>
          <w:rFonts w:eastAsia="Times New Roman"/>
          <w:sz w:val="24"/>
          <w:szCs w:val="24"/>
          <w:lang w:eastAsia="es-CO"/>
        </w:rPr>
        <w:t>resolvieron</w:t>
      </w:r>
      <w:r w:rsidR="006E4B13" w:rsidRPr="00844003">
        <w:rPr>
          <w:rFonts w:eastAsia="Times New Roman"/>
          <w:sz w:val="24"/>
          <w:szCs w:val="24"/>
          <w:lang w:eastAsia="es-CO"/>
        </w:rPr>
        <w:t xml:space="preserve"> controversias </w:t>
      </w:r>
      <w:r w:rsidR="006A0A5F" w:rsidRPr="00844003">
        <w:rPr>
          <w:rFonts w:eastAsia="Times New Roman"/>
          <w:sz w:val="24"/>
          <w:szCs w:val="24"/>
          <w:lang w:eastAsia="es-CO"/>
        </w:rPr>
        <w:t xml:space="preserve">con miras a asegurar </w:t>
      </w:r>
      <w:r w:rsidR="006E4B13" w:rsidRPr="00844003">
        <w:rPr>
          <w:rFonts w:eastAsia="Times New Roman"/>
          <w:sz w:val="24"/>
          <w:szCs w:val="24"/>
          <w:lang w:eastAsia="es-CO"/>
        </w:rPr>
        <w:t xml:space="preserve">la protección del derecho a la doble conformidad. Estas </w:t>
      </w:r>
      <w:r w:rsidR="006A0A5F" w:rsidRPr="00844003">
        <w:rPr>
          <w:rFonts w:eastAsia="Times New Roman"/>
          <w:sz w:val="24"/>
          <w:szCs w:val="24"/>
          <w:lang w:eastAsia="es-CO"/>
        </w:rPr>
        <w:t>fueron</w:t>
      </w:r>
      <w:r w:rsidR="006E4B13" w:rsidRPr="00844003">
        <w:rPr>
          <w:rFonts w:eastAsia="Times New Roman"/>
          <w:sz w:val="24"/>
          <w:szCs w:val="24"/>
          <w:lang w:eastAsia="es-CO"/>
        </w:rPr>
        <w:t>: SU-217 de</w:t>
      </w:r>
      <w:r w:rsidR="00DD1FA1" w:rsidRPr="00844003">
        <w:rPr>
          <w:rFonts w:eastAsia="Times New Roman"/>
          <w:sz w:val="24"/>
          <w:szCs w:val="24"/>
          <w:lang w:eastAsia="es-CO"/>
        </w:rPr>
        <w:t>l 21 de mayo de</w:t>
      </w:r>
      <w:r w:rsidR="006E4B13" w:rsidRPr="00844003">
        <w:rPr>
          <w:rFonts w:eastAsia="Times New Roman"/>
          <w:sz w:val="24"/>
          <w:szCs w:val="24"/>
          <w:lang w:eastAsia="es-CO"/>
        </w:rPr>
        <w:t xml:space="preserve"> 2019, SU-218 de</w:t>
      </w:r>
      <w:r w:rsidR="00DD1FA1" w:rsidRPr="00844003">
        <w:rPr>
          <w:rFonts w:eastAsia="Times New Roman"/>
          <w:sz w:val="24"/>
          <w:szCs w:val="24"/>
          <w:lang w:eastAsia="es-CO"/>
        </w:rPr>
        <w:t>l 21 de mayo de</w:t>
      </w:r>
      <w:r w:rsidR="006E4B13" w:rsidRPr="00844003">
        <w:rPr>
          <w:rFonts w:eastAsia="Times New Roman"/>
          <w:sz w:val="24"/>
          <w:szCs w:val="24"/>
          <w:lang w:eastAsia="es-CO"/>
        </w:rPr>
        <w:t xml:space="preserve"> 2019 y SU-373 de</w:t>
      </w:r>
      <w:r w:rsidR="00DD1FA1" w:rsidRPr="00844003">
        <w:rPr>
          <w:rFonts w:eastAsia="Times New Roman"/>
          <w:sz w:val="24"/>
          <w:szCs w:val="24"/>
          <w:lang w:eastAsia="es-CO"/>
        </w:rPr>
        <w:t>l 15 de agosto</w:t>
      </w:r>
      <w:r w:rsidR="006E4B13" w:rsidRPr="00844003">
        <w:rPr>
          <w:rFonts w:eastAsia="Times New Roman"/>
          <w:sz w:val="24"/>
          <w:szCs w:val="24"/>
          <w:lang w:eastAsia="es-CO"/>
        </w:rPr>
        <w:t xml:space="preserve"> 2019.</w:t>
      </w:r>
    </w:p>
    <w:p w14:paraId="3A5F0432" w14:textId="75C52F68" w:rsidR="006A0A5F" w:rsidRPr="00844003" w:rsidRDefault="006A0A5F" w:rsidP="00B25A4C">
      <w:pPr>
        <w:spacing w:line="276" w:lineRule="auto"/>
        <w:rPr>
          <w:rFonts w:eastAsia="Times New Roman"/>
          <w:sz w:val="24"/>
          <w:szCs w:val="24"/>
          <w:lang w:eastAsia="es-CO"/>
        </w:rPr>
      </w:pPr>
    </w:p>
    <w:p w14:paraId="048BE804" w14:textId="6C8B2935" w:rsidR="009A2152" w:rsidRPr="00844003" w:rsidRDefault="00055F6C" w:rsidP="00B25A4C">
      <w:pPr>
        <w:spacing w:line="276" w:lineRule="auto"/>
        <w:rPr>
          <w:rFonts w:eastAsia="Times New Roman"/>
          <w:sz w:val="24"/>
          <w:szCs w:val="24"/>
          <w:lang w:eastAsia="es-CO"/>
        </w:rPr>
      </w:pPr>
      <w:r w:rsidRPr="00844003">
        <w:rPr>
          <w:rFonts w:eastAsia="Times New Roman"/>
          <w:sz w:val="24"/>
          <w:szCs w:val="24"/>
          <w:lang w:eastAsia="es-CO"/>
        </w:rPr>
        <w:t xml:space="preserve">Visto lo anterior, </w:t>
      </w:r>
      <w:r w:rsidR="00E62CD3" w:rsidRPr="00844003">
        <w:rPr>
          <w:rFonts w:eastAsia="Times New Roman"/>
          <w:sz w:val="24"/>
          <w:szCs w:val="24"/>
          <w:lang w:eastAsia="es-CO"/>
        </w:rPr>
        <w:t>la sentencia SU-146 de 2020</w:t>
      </w:r>
      <w:r w:rsidRPr="00844003">
        <w:rPr>
          <w:rFonts w:eastAsia="Times New Roman"/>
          <w:sz w:val="24"/>
          <w:szCs w:val="24"/>
          <w:lang w:eastAsia="es-CO"/>
        </w:rPr>
        <w:t xml:space="preserve"> no modific</w:t>
      </w:r>
      <w:r w:rsidR="00244CBE">
        <w:rPr>
          <w:rFonts w:eastAsia="Times New Roman"/>
          <w:sz w:val="24"/>
          <w:szCs w:val="24"/>
          <w:lang w:eastAsia="es-CO"/>
        </w:rPr>
        <w:t>ó</w:t>
      </w:r>
      <w:r w:rsidRPr="00844003">
        <w:rPr>
          <w:rFonts w:eastAsia="Times New Roman"/>
          <w:sz w:val="24"/>
          <w:szCs w:val="24"/>
          <w:lang w:eastAsia="es-CO"/>
        </w:rPr>
        <w:t xml:space="preserve"> drásticamente la jurisprudencia relacionada con el derecho a la doble conformidad, sino que, </w:t>
      </w:r>
      <w:r w:rsidR="00356B90">
        <w:rPr>
          <w:rFonts w:eastAsia="Times New Roman"/>
          <w:sz w:val="24"/>
          <w:szCs w:val="24"/>
          <w:lang w:eastAsia="es-CO"/>
        </w:rPr>
        <w:t>por el</w:t>
      </w:r>
      <w:r w:rsidRPr="00844003">
        <w:rPr>
          <w:rFonts w:eastAsia="Times New Roman"/>
          <w:sz w:val="24"/>
          <w:szCs w:val="24"/>
          <w:lang w:eastAsia="es-CO"/>
        </w:rPr>
        <w:t xml:space="preserve"> contrario, reiter</w:t>
      </w:r>
      <w:r w:rsidR="00244CBE">
        <w:rPr>
          <w:rFonts w:eastAsia="Times New Roman"/>
          <w:sz w:val="24"/>
          <w:szCs w:val="24"/>
          <w:lang w:eastAsia="es-CO"/>
        </w:rPr>
        <w:t>ó</w:t>
      </w:r>
      <w:r w:rsidRPr="00844003">
        <w:rPr>
          <w:rFonts w:eastAsia="Times New Roman"/>
          <w:sz w:val="24"/>
          <w:szCs w:val="24"/>
          <w:lang w:eastAsia="es-CO"/>
        </w:rPr>
        <w:t xml:space="preserve"> los criterios que la </w:t>
      </w:r>
      <w:r w:rsidR="00B25A4C" w:rsidRPr="00844003">
        <w:rPr>
          <w:rFonts w:eastAsia="Times New Roman"/>
          <w:sz w:val="24"/>
          <w:szCs w:val="24"/>
          <w:lang w:eastAsia="es-CO"/>
        </w:rPr>
        <w:t>CIDH</w:t>
      </w:r>
      <w:r w:rsidRPr="00844003">
        <w:rPr>
          <w:rFonts w:eastAsia="Times New Roman"/>
          <w:sz w:val="24"/>
          <w:szCs w:val="24"/>
          <w:lang w:eastAsia="es-CO"/>
        </w:rPr>
        <w:t xml:space="preserve"> y la Corte Constitucional ya han ido </w:t>
      </w:r>
      <w:r w:rsidRPr="00844003">
        <w:rPr>
          <w:rFonts w:eastAsia="Times New Roman"/>
          <w:sz w:val="24"/>
          <w:szCs w:val="24"/>
          <w:lang w:eastAsia="es-CO"/>
        </w:rPr>
        <w:lastRenderedPageBreak/>
        <w:t>decantado sobre la materia</w:t>
      </w:r>
      <w:r w:rsidR="00356B90">
        <w:rPr>
          <w:rFonts w:eastAsia="Times New Roman"/>
          <w:sz w:val="24"/>
          <w:szCs w:val="24"/>
          <w:lang w:eastAsia="es-CO"/>
        </w:rPr>
        <w:t>,</w:t>
      </w:r>
      <w:r w:rsidR="00576DEB" w:rsidRPr="00844003">
        <w:rPr>
          <w:rFonts w:eastAsia="Times New Roman"/>
          <w:sz w:val="24"/>
          <w:szCs w:val="24"/>
          <w:lang w:eastAsia="es-CO"/>
        </w:rPr>
        <w:t xml:space="preserve"> entre 2014 y 2018, </w:t>
      </w:r>
      <w:r w:rsidR="003F34D0">
        <w:rPr>
          <w:rFonts w:eastAsia="Times New Roman"/>
          <w:sz w:val="24"/>
          <w:szCs w:val="24"/>
          <w:lang w:eastAsia="es-CO"/>
        </w:rPr>
        <w:t>y luego pone en evidencia unos pronunciamientos que han tenido como objeto promover aquellos parámetros que resguardan la garantía a la doble conformidad.</w:t>
      </w:r>
    </w:p>
    <w:p w14:paraId="4F28880D" w14:textId="53F258E1" w:rsidR="009A2152" w:rsidRPr="00844003" w:rsidRDefault="009A2152" w:rsidP="00B25A4C">
      <w:pPr>
        <w:spacing w:line="276" w:lineRule="auto"/>
        <w:rPr>
          <w:rFonts w:eastAsia="Times New Roman"/>
          <w:sz w:val="24"/>
          <w:szCs w:val="24"/>
          <w:lang w:eastAsia="es-CO"/>
        </w:rPr>
      </w:pPr>
    </w:p>
    <w:p w14:paraId="09C9D8CE" w14:textId="09487178" w:rsidR="00576DEB" w:rsidRPr="00844003" w:rsidRDefault="00055F6C" w:rsidP="00B53CE1">
      <w:pPr>
        <w:spacing w:line="276" w:lineRule="auto"/>
        <w:rPr>
          <w:rFonts w:eastAsia="Times New Roman"/>
          <w:sz w:val="24"/>
          <w:szCs w:val="24"/>
          <w:lang w:eastAsia="es-CO"/>
        </w:rPr>
      </w:pPr>
      <w:r w:rsidRPr="00844003">
        <w:rPr>
          <w:rFonts w:eastAsia="Times New Roman"/>
          <w:sz w:val="24"/>
          <w:szCs w:val="24"/>
          <w:lang w:eastAsia="es-CO"/>
        </w:rPr>
        <w:t xml:space="preserve">En ese sentido, </w:t>
      </w:r>
      <w:r w:rsidR="009A2152" w:rsidRPr="00844003">
        <w:rPr>
          <w:rFonts w:eastAsia="Times New Roman"/>
          <w:sz w:val="24"/>
          <w:szCs w:val="24"/>
          <w:lang w:eastAsia="es-CO"/>
        </w:rPr>
        <w:t>el argumento que pretende justificar que, con fundamento en el principio de favorabilidad, debe aplicarse los criterios previstos en la sentencia SU-146 de 2020 a la situación particular del señor Barrios Barrios, no</w:t>
      </w:r>
      <w:r w:rsidR="00B53CE1" w:rsidRPr="00844003">
        <w:rPr>
          <w:rFonts w:eastAsia="Times New Roman"/>
          <w:sz w:val="24"/>
          <w:szCs w:val="24"/>
          <w:lang w:eastAsia="es-CO"/>
        </w:rPr>
        <w:t xml:space="preserve"> varía las condiciones del examen del requisito de inmediatez, porque </w:t>
      </w:r>
      <w:r w:rsidR="003F34D0">
        <w:rPr>
          <w:rFonts w:eastAsia="Times New Roman"/>
          <w:sz w:val="24"/>
          <w:szCs w:val="24"/>
          <w:lang w:eastAsia="es-CO"/>
        </w:rPr>
        <w:t>se centra en</w:t>
      </w:r>
      <w:r w:rsidR="00B53CE1" w:rsidRPr="00844003">
        <w:rPr>
          <w:rFonts w:eastAsia="Times New Roman"/>
          <w:sz w:val="24"/>
          <w:szCs w:val="24"/>
          <w:lang w:eastAsia="es-CO"/>
        </w:rPr>
        <w:t xml:space="preserve"> una providencia que no constituye un hecho nuevo </w:t>
      </w:r>
      <w:r w:rsidR="00576DEB" w:rsidRPr="00844003">
        <w:rPr>
          <w:rFonts w:eastAsia="Times New Roman"/>
          <w:sz w:val="24"/>
          <w:szCs w:val="24"/>
          <w:lang w:eastAsia="es-CO"/>
        </w:rPr>
        <w:t>que cambie abruptamente las particularidades</w:t>
      </w:r>
      <w:r w:rsidR="00B53CE1" w:rsidRPr="00844003">
        <w:rPr>
          <w:rFonts w:eastAsia="Times New Roman"/>
          <w:sz w:val="24"/>
          <w:szCs w:val="24"/>
          <w:lang w:eastAsia="es-CO"/>
        </w:rPr>
        <w:t xml:space="preserve"> del caso concreto</w:t>
      </w:r>
      <w:r w:rsidR="00356B90">
        <w:rPr>
          <w:rFonts w:eastAsia="Times New Roman"/>
          <w:sz w:val="24"/>
          <w:szCs w:val="24"/>
          <w:lang w:eastAsia="es-CO"/>
        </w:rPr>
        <w:t xml:space="preserve">, sino que reitera las reglas </w:t>
      </w:r>
      <w:r w:rsidR="003F34D0">
        <w:rPr>
          <w:rFonts w:eastAsia="Times New Roman"/>
          <w:sz w:val="24"/>
          <w:szCs w:val="24"/>
          <w:lang w:eastAsia="es-CO"/>
        </w:rPr>
        <w:t>jurisprudenciales ya definidas</w:t>
      </w:r>
      <w:r w:rsidR="00356B90">
        <w:rPr>
          <w:rFonts w:eastAsia="Times New Roman"/>
          <w:sz w:val="24"/>
          <w:szCs w:val="24"/>
          <w:lang w:eastAsia="es-CO"/>
        </w:rPr>
        <w:t xml:space="preserve"> </w:t>
      </w:r>
      <w:r w:rsidR="003F34D0">
        <w:rPr>
          <w:rFonts w:eastAsia="Times New Roman"/>
          <w:sz w:val="24"/>
          <w:szCs w:val="24"/>
          <w:lang w:eastAsia="es-CO"/>
        </w:rPr>
        <w:t>en épocas anteriores</w:t>
      </w:r>
      <w:r w:rsidR="00576DEB" w:rsidRPr="00844003">
        <w:rPr>
          <w:rFonts w:eastAsia="Times New Roman"/>
          <w:sz w:val="24"/>
          <w:szCs w:val="24"/>
          <w:lang w:eastAsia="es-CO"/>
        </w:rPr>
        <w:t xml:space="preserve">. Hubiera podido dar lugar a un examen distinto si el accionante hubiera promovido el amparo constitucional al momento de definirse las reglas de decisión sobre el derecho a la doble conformidad, entre 2014 y 2018, no obstante, como no ocurrió, el examen de inmediatez no </w:t>
      </w:r>
      <w:r w:rsidR="00DD2034">
        <w:rPr>
          <w:rFonts w:eastAsia="Times New Roman"/>
          <w:sz w:val="24"/>
          <w:szCs w:val="24"/>
          <w:lang w:eastAsia="es-CO"/>
        </w:rPr>
        <w:t>padece</w:t>
      </w:r>
      <w:r w:rsidR="00576DEB" w:rsidRPr="00844003">
        <w:rPr>
          <w:rFonts w:eastAsia="Times New Roman"/>
          <w:sz w:val="24"/>
          <w:szCs w:val="24"/>
          <w:lang w:eastAsia="es-CO"/>
        </w:rPr>
        <w:t xml:space="preserve"> modificación alguna.</w:t>
      </w:r>
    </w:p>
    <w:p w14:paraId="5B38F1E0" w14:textId="61075ABD" w:rsidR="0055563D" w:rsidRPr="00844003" w:rsidRDefault="0055563D" w:rsidP="00B25A4C">
      <w:pPr>
        <w:spacing w:line="276" w:lineRule="auto"/>
        <w:rPr>
          <w:rFonts w:eastAsia="Times New Roman"/>
          <w:sz w:val="24"/>
          <w:szCs w:val="24"/>
          <w:lang w:eastAsia="es-CO"/>
        </w:rPr>
      </w:pPr>
    </w:p>
    <w:p w14:paraId="091AF60B" w14:textId="0FF7A089" w:rsidR="0055563D" w:rsidRPr="00844003" w:rsidRDefault="00123C3D" w:rsidP="00B25A4C">
      <w:pPr>
        <w:spacing w:line="276" w:lineRule="auto"/>
        <w:rPr>
          <w:rFonts w:eastAsia="Times New Roman"/>
          <w:sz w:val="24"/>
          <w:szCs w:val="24"/>
          <w:lang w:eastAsia="es-CO"/>
        </w:rPr>
      </w:pPr>
      <w:r w:rsidRPr="00844003">
        <w:rPr>
          <w:rFonts w:eastAsia="Times New Roman"/>
          <w:b/>
          <w:sz w:val="24"/>
          <w:szCs w:val="24"/>
          <w:lang w:eastAsia="es-CO"/>
        </w:rPr>
        <w:t xml:space="preserve">2.3.3. </w:t>
      </w:r>
      <w:r w:rsidR="0055563D" w:rsidRPr="00844003">
        <w:rPr>
          <w:rFonts w:eastAsia="Times New Roman"/>
          <w:sz w:val="24"/>
          <w:szCs w:val="24"/>
          <w:lang w:eastAsia="es-CO"/>
        </w:rPr>
        <w:t xml:space="preserve">Por otro lado, </w:t>
      </w:r>
      <w:r w:rsidR="006763DE" w:rsidRPr="00844003">
        <w:rPr>
          <w:rFonts w:eastAsia="Times New Roman"/>
          <w:sz w:val="24"/>
          <w:szCs w:val="24"/>
          <w:lang w:eastAsia="es-CO"/>
        </w:rPr>
        <w:t xml:space="preserve">el accionante </w:t>
      </w:r>
      <w:r w:rsidR="00646B99" w:rsidRPr="00844003">
        <w:rPr>
          <w:rFonts w:eastAsia="Times New Roman"/>
          <w:sz w:val="24"/>
          <w:szCs w:val="24"/>
          <w:lang w:eastAsia="es-CO"/>
        </w:rPr>
        <w:t>expresó</w:t>
      </w:r>
      <w:r w:rsidR="006763DE" w:rsidRPr="00844003">
        <w:rPr>
          <w:rFonts w:eastAsia="Times New Roman"/>
          <w:sz w:val="24"/>
          <w:szCs w:val="24"/>
          <w:lang w:eastAsia="es-CO"/>
        </w:rPr>
        <w:t xml:space="preserve"> en el escrito de tutela</w:t>
      </w:r>
      <w:r w:rsidR="00E71B3E" w:rsidRPr="00844003">
        <w:rPr>
          <w:rFonts w:eastAsia="Times New Roman"/>
          <w:sz w:val="24"/>
          <w:szCs w:val="24"/>
          <w:lang w:eastAsia="es-CO"/>
        </w:rPr>
        <w:t xml:space="preserve"> que en este asunto se encuentra superada </w:t>
      </w:r>
      <w:r w:rsidR="006763DE" w:rsidRPr="00844003">
        <w:rPr>
          <w:rFonts w:eastAsia="Times New Roman"/>
          <w:sz w:val="24"/>
          <w:szCs w:val="24"/>
          <w:lang w:eastAsia="es-CO"/>
        </w:rPr>
        <w:t>la inmediatez</w:t>
      </w:r>
      <w:r w:rsidR="00646B99" w:rsidRPr="00844003">
        <w:rPr>
          <w:rFonts w:eastAsia="Times New Roman"/>
          <w:sz w:val="24"/>
          <w:szCs w:val="24"/>
          <w:lang w:eastAsia="es-CO"/>
        </w:rPr>
        <w:t>,</w:t>
      </w:r>
      <w:r w:rsidR="006763DE" w:rsidRPr="00844003">
        <w:rPr>
          <w:rFonts w:eastAsia="Times New Roman"/>
          <w:sz w:val="24"/>
          <w:szCs w:val="24"/>
          <w:lang w:eastAsia="es-CO"/>
        </w:rPr>
        <w:t xml:space="preserve"> porque</w:t>
      </w:r>
      <w:r w:rsidR="00646B99" w:rsidRPr="00844003">
        <w:rPr>
          <w:rFonts w:eastAsia="Times New Roman"/>
          <w:sz w:val="24"/>
          <w:szCs w:val="24"/>
          <w:lang w:eastAsia="es-CO"/>
        </w:rPr>
        <w:t xml:space="preserve"> “la vulneración es permanente en el tiempo y la situación desfavorable de irrespeto por los derechos de mi poderdante continúa y es actual, pues aún sufre y sufrirá de por vida los efectos de la pérdida de investidura impuesta”</w:t>
      </w:r>
      <w:r w:rsidR="003F34D0">
        <w:rPr>
          <w:rStyle w:val="Refdenotaalpie"/>
          <w:rFonts w:eastAsia="Times New Roman"/>
          <w:sz w:val="24"/>
          <w:szCs w:val="24"/>
          <w:lang w:eastAsia="es-CO"/>
        </w:rPr>
        <w:footnoteReference w:id="30"/>
      </w:r>
      <w:r w:rsidR="00646B99" w:rsidRPr="00844003">
        <w:rPr>
          <w:rFonts w:eastAsia="Times New Roman"/>
          <w:sz w:val="24"/>
          <w:szCs w:val="24"/>
          <w:lang w:eastAsia="es-CO"/>
        </w:rPr>
        <w:t xml:space="preserve">. </w:t>
      </w:r>
      <w:r w:rsidR="0055563D" w:rsidRPr="00844003">
        <w:rPr>
          <w:rFonts w:eastAsia="Times New Roman"/>
          <w:sz w:val="24"/>
          <w:szCs w:val="24"/>
          <w:lang w:eastAsia="es-CO"/>
        </w:rPr>
        <w:t xml:space="preserve">Esta justificación, que tiene como objeto flexibilizar el requisito, no puede ser de recibo, en la medida en que la sanción impuesta al señor Barrios Barrios, derivada de la decisión que decretó </w:t>
      </w:r>
      <w:r w:rsidR="00356B90">
        <w:rPr>
          <w:rFonts w:eastAsia="Times New Roman"/>
          <w:sz w:val="24"/>
          <w:szCs w:val="24"/>
          <w:lang w:eastAsia="es-CO"/>
        </w:rPr>
        <w:t>la</w:t>
      </w:r>
      <w:r w:rsidR="0055563D" w:rsidRPr="00844003">
        <w:rPr>
          <w:rFonts w:eastAsia="Times New Roman"/>
          <w:sz w:val="24"/>
          <w:szCs w:val="24"/>
          <w:lang w:eastAsia="es-CO"/>
        </w:rPr>
        <w:t xml:space="preserve"> pérdida de investidura</w:t>
      </w:r>
      <w:r w:rsidR="00356B90">
        <w:rPr>
          <w:rFonts w:eastAsia="Times New Roman"/>
          <w:sz w:val="24"/>
          <w:szCs w:val="24"/>
          <w:lang w:eastAsia="es-CO"/>
        </w:rPr>
        <w:t xml:space="preserve"> como congresista</w:t>
      </w:r>
      <w:r w:rsidR="0055563D" w:rsidRPr="00844003">
        <w:rPr>
          <w:rFonts w:eastAsia="Times New Roman"/>
          <w:sz w:val="24"/>
          <w:szCs w:val="24"/>
          <w:lang w:eastAsia="es-CO"/>
        </w:rPr>
        <w:t xml:space="preserve">, no </w:t>
      </w:r>
      <w:r w:rsidR="00246A73" w:rsidRPr="00844003">
        <w:rPr>
          <w:rFonts w:eastAsia="Times New Roman"/>
          <w:sz w:val="24"/>
          <w:szCs w:val="24"/>
          <w:lang w:eastAsia="es-CO"/>
        </w:rPr>
        <w:t>ha constituido</w:t>
      </w:r>
      <w:r w:rsidR="0055563D" w:rsidRPr="00844003">
        <w:rPr>
          <w:rFonts w:eastAsia="Times New Roman"/>
          <w:sz w:val="24"/>
          <w:szCs w:val="24"/>
          <w:lang w:eastAsia="es-CO"/>
        </w:rPr>
        <w:t xml:space="preserve"> impedimento </w:t>
      </w:r>
      <w:r w:rsidR="00246A73" w:rsidRPr="00844003">
        <w:rPr>
          <w:rFonts w:eastAsia="Times New Roman"/>
          <w:sz w:val="24"/>
          <w:szCs w:val="24"/>
          <w:lang w:eastAsia="es-CO"/>
        </w:rPr>
        <w:t xml:space="preserve">alguno, </w:t>
      </w:r>
      <w:r w:rsidR="0055563D" w:rsidRPr="00844003">
        <w:rPr>
          <w:rFonts w:eastAsia="Times New Roman"/>
          <w:sz w:val="24"/>
          <w:szCs w:val="24"/>
          <w:lang w:eastAsia="es-CO"/>
        </w:rPr>
        <w:t xml:space="preserve">para que, en su momento, hubiera promovido el amparo constitucional, </w:t>
      </w:r>
      <w:r w:rsidR="003F34D0">
        <w:rPr>
          <w:rFonts w:eastAsia="Times New Roman"/>
          <w:sz w:val="24"/>
          <w:szCs w:val="24"/>
          <w:lang w:eastAsia="es-CO"/>
        </w:rPr>
        <w:t xml:space="preserve">y así poder invocar la protección de su derecho </w:t>
      </w:r>
      <w:r w:rsidR="00246A73" w:rsidRPr="00844003">
        <w:rPr>
          <w:rFonts w:eastAsia="Times New Roman"/>
          <w:sz w:val="24"/>
          <w:szCs w:val="24"/>
          <w:lang w:eastAsia="es-CO"/>
        </w:rPr>
        <w:t>a la doble conformidad</w:t>
      </w:r>
      <w:r w:rsidR="00356B90">
        <w:rPr>
          <w:rFonts w:eastAsia="Times New Roman"/>
          <w:sz w:val="24"/>
          <w:szCs w:val="24"/>
          <w:lang w:eastAsia="es-CO"/>
        </w:rPr>
        <w:t>,</w:t>
      </w:r>
      <w:r w:rsidR="00CD0A8F" w:rsidRPr="00844003">
        <w:rPr>
          <w:rFonts w:eastAsia="Times New Roman"/>
          <w:sz w:val="24"/>
          <w:szCs w:val="24"/>
          <w:lang w:eastAsia="es-CO"/>
        </w:rPr>
        <w:t xml:space="preserve"> </w:t>
      </w:r>
      <w:r w:rsidR="003F34D0">
        <w:rPr>
          <w:rFonts w:eastAsia="Times New Roman"/>
          <w:sz w:val="24"/>
          <w:szCs w:val="24"/>
          <w:lang w:eastAsia="es-CO"/>
        </w:rPr>
        <w:t>con base en</w:t>
      </w:r>
      <w:r w:rsidR="00CD0A8F" w:rsidRPr="00844003">
        <w:rPr>
          <w:rFonts w:eastAsia="Times New Roman"/>
          <w:sz w:val="24"/>
          <w:szCs w:val="24"/>
          <w:lang w:eastAsia="es-CO"/>
        </w:rPr>
        <w:t xml:space="preserve"> lo que la jurisprudencia o las normas </w:t>
      </w:r>
      <w:r w:rsidR="00356B90">
        <w:rPr>
          <w:rFonts w:eastAsia="Times New Roman"/>
          <w:sz w:val="24"/>
          <w:szCs w:val="24"/>
          <w:lang w:eastAsia="es-CO"/>
        </w:rPr>
        <w:t xml:space="preserve">ya </w:t>
      </w:r>
      <w:r w:rsidR="00CD0A8F" w:rsidRPr="00844003">
        <w:rPr>
          <w:rFonts w:eastAsia="Times New Roman"/>
          <w:sz w:val="24"/>
          <w:szCs w:val="24"/>
          <w:lang w:eastAsia="es-CO"/>
        </w:rPr>
        <w:t xml:space="preserve">han definido </w:t>
      </w:r>
      <w:r w:rsidR="00356B90">
        <w:rPr>
          <w:rFonts w:eastAsia="Times New Roman"/>
          <w:sz w:val="24"/>
          <w:szCs w:val="24"/>
          <w:lang w:eastAsia="es-CO"/>
        </w:rPr>
        <w:t>desde ha</w:t>
      </w:r>
      <w:r w:rsidR="003F34D0">
        <w:rPr>
          <w:rFonts w:eastAsia="Times New Roman"/>
          <w:sz w:val="24"/>
          <w:szCs w:val="24"/>
          <w:lang w:eastAsia="es-CO"/>
        </w:rPr>
        <w:t>ce varios años sobre la materia.</w:t>
      </w:r>
    </w:p>
    <w:p w14:paraId="397153E8" w14:textId="77777777" w:rsidR="0055563D" w:rsidRPr="00844003" w:rsidRDefault="0055563D" w:rsidP="00B25A4C">
      <w:pPr>
        <w:spacing w:line="276" w:lineRule="auto"/>
        <w:rPr>
          <w:rFonts w:eastAsia="Times New Roman"/>
          <w:sz w:val="24"/>
          <w:szCs w:val="24"/>
          <w:lang w:eastAsia="es-CO"/>
        </w:rPr>
      </w:pPr>
    </w:p>
    <w:p w14:paraId="5AA9E176" w14:textId="1B56993A" w:rsidR="0055563D" w:rsidRPr="00844003" w:rsidRDefault="00123C3D" w:rsidP="00B25A4C">
      <w:pPr>
        <w:spacing w:line="276" w:lineRule="auto"/>
        <w:rPr>
          <w:rFonts w:eastAsia="Times New Roman"/>
          <w:sz w:val="24"/>
          <w:szCs w:val="24"/>
          <w:lang w:eastAsia="es-CO"/>
        </w:rPr>
      </w:pPr>
      <w:r w:rsidRPr="00844003">
        <w:rPr>
          <w:rFonts w:eastAsia="Times New Roman"/>
          <w:b/>
          <w:sz w:val="24"/>
          <w:szCs w:val="24"/>
          <w:lang w:eastAsia="es-CO"/>
        </w:rPr>
        <w:t xml:space="preserve">2.3.4. </w:t>
      </w:r>
      <w:r w:rsidR="0055563D" w:rsidRPr="00844003">
        <w:rPr>
          <w:rFonts w:eastAsia="Times New Roman"/>
          <w:sz w:val="24"/>
          <w:szCs w:val="24"/>
          <w:lang w:eastAsia="es-CO"/>
        </w:rPr>
        <w:t>En consecuencia, la Sala declarará improcedente la acción de tutela</w:t>
      </w:r>
      <w:r w:rsidR="00B25A4C" w:rsidRPr="00844003">
        <w:rPr>
          <w:rFonts w:eastAsia="Times New Roman"/>
          <w:sz w:val="24"/>
          <w:szCs w:val="24"/>
          <w:lang w:eastAsia="es-CO"/>
        </w:rPr>
        <w:t xml:space="preserve"> promovida por Luis Felipe Barrios Barrios</w:t>
      </w:r>
      <w:r w:rsidR="0055563D" w:rsidRPr="00844003">
        <w:rPr>
          <w:rFonts w:eastAsia="Times New Roman"/>
          <w:sz w:val="24"/>
          <w:szCs w:val="24"/>
          <w:lang w:eastAsia="es-CO"/>
        </w:rPr>
        <w:t>, respecto de los reproches dirigidos a reclamar la protección de su derecho a la doble conformidad, por incumplimiento del requisito de inmediatez, toda vez que el accionante promovió la defensa de sus derechos fundamentales por fuera del plazo razonable y no existe alguna circunstancia que justifique su inac</w:t>
      </w:r>
      <w:r w:rsidR="00B25A4C" w:rsidRPr="00844003">
        <w:rPr>
          <w:rFonts w:eastAsia="Times New Roman"/>
          <w:sz w:val="24"/>
          <w:szCs w:val="24"/>
          <w:lang w:eastAsia="es-CO"/>
        </w:rPr>
        <w:t>tividad para presentar el mecanismo constitucional</w:t>
      </w:r>
      <w:r w:rsidR="0055563D" w:rsidRPr="00844003">
        <w:rPr>
          <w:rFonts w:eastAsia="Times New Roman"/>
          <w:sz w:val="24"/>
          <w:szCs w:val="24"/>
          <w:lang w:eastAsia="es-CO"/>
        </w:rPr>
        <w:t xml:space="preserve">. </w:t>
      </w:r>
    </w:p>
    <w:p w14:paraId="4551D634" w14:textId="7ED41598" w:rsidR="002B7A72" w:rsidRPr="00844003" w:rsidRDefault="002B7A72" w:rsidP="00B25A4C">
      <w:pPr>
        <w:spacing w:line="276" w:lineRule="auto"/>
        <w:rPr>
          <w:rFonts w:eastAsia="Times New Roman"/>
          <w:sz w:val="24"/>
          <w:szCs w:val="24"/>
          <w:lang w:eastAsia="es-CO"/>
        </w:rPr>
      </w:pPr>
    </w:p>
    <w:p w14:paraId="1A43A7FC" w14:textId="77777777" w:rsidR="00937471" w:rsidRPr="00844003" w:rsidRDefault="00937471" w:rsidP="00B25A4C">
      <w:pPr>
        <w:spacing w:line="276" w:lineRule="auto"/>
        <w:rPr>
          <w:rFonts w:eastAsia="Times New Roman"/>
          <w:sz w:val="24"/>
          <w:szCs w:val="24"/>
          <w:lang w:eastAsia="es-CO"/>
        </w:rPr>
      </w:pPr>
      <w:r w:rsidRPr="00844003">
        <w:rPr>
          <w:rFonts w:eastAsia="Times New Roman"/>
          <w:sz w:val="24"/>
          <w:szCs w:val="24"/>
          <w:lang w:eastAsia="es-CO"/>
        </w:rPr>
        <w:t>En mérito de lo expuesto, el Consejo de Estado en Sala de lo Contencioso Administrativo, Sección Tercera, Subsección C, administrando justicia en nombre de la República y por autoridad de la ley,</w:t>
      </w:r>
    </w:p>
    <w:p w14:paraId="30903C53" w14:textId="77777777" w:rsidR="00937471" w:rsidRPr="00844003" w:rsidRDefault="00937471" w:rsidP="00B25A4C">
      <w:pPr>
        <w:spacing w:line="276" w:lineRule="auto"/>
        <w:rPr>
          <w:rFonts w:eastAsia="Times New Roman"/>
          <w:sz w:val="24"/>
          <w:szCs w:val="24"/>
          <w:lang w:eastAsia="es-CO"/>
        </w:rPr>
      </w:pPr>
    </w:p>
    <w:p w14:paraId="28670476" w14:textId="77777777" w:rsidR="00937471" w:rsidRPr="00844003" w:rsidRDefault="00937471" w:rsidP="00B25A4C">
      <w:pPr>
        <w:keepNext/>
        <w:spacing w:line="276" w:lineRule="auto"/>
        <w:jc w:val="center"/>
        <w:outlineLvl w:val="2"/>
        <w:rPr>
          <w:rFonts w:eastAsia="Verdana"/>
          <w:b/>
          <w:caps/>
          <w:kern w:val="32"/>
          <w:sz w:val="24"/>
          <w:szCs w:val="24"/>
          <w:lang w:val="es-ES_tradnl"/>
        </w:rPr>
      </w:pPr>
      <w:r w:rsidRPr="00844003">
        <w:rPr>
          <w:rFonts w:eastAsia="Verdana"/>
          <w:b/>
          <w:caps/>
          <w:kern w:val="32"/>
          <w:sz w:val="24"/>
          <w:szCs w:val="24"/>
          <w:lang w:val="es-ES_tradnl"/>
        </w:rPr>
        <w:t>Falla</w:t>
      </w:r>
    </w:p>
    <w:p w14:paraId="1322E136" w14:textId="77777777" w:rsidR="00937471" w:rsidRPr="00844003" w:rsidRDefault="00937471" w:rsidP="00B25A4C">
      <w:pPr>
        <w:keepNext/>
        <w:spacing w:line="276" w:lineRule="auto"/>
        <w:outlineLvl w:val="2"/>
        <w:rPr>
          <w:rFonts w:eastAsia="Verdana"/>
          <w:b/>
          <w:caps/>
          <w:kern w:val="32"/>
          <w:sz w:val="24"/>
          <w:szCs w:val="24"/>
          <w:lang w:val="es-ES_tradnl"/>
        </w:rPr>
      </w:pPr>
    </w:p>
    <w:p w14:paraId="54A7F99D" w14:textId="262170CA" w:rsidR="001269EB" w:rsidRPr="00844003" w:rsidRDefault="00937471" w:rsidP="00B25A4C">
      <w:pPr>
        <w:tabs>
          <w:tab w:val="left" w:pos="851"/>
        </w:tabs>
        <w:spacing w:line="276" w:lineRule="auto"/>
        <w:rPr>
          <w:rFonts w:eastAsia="Times New Roman"/>
          <w:b/>
          <w:sz w:val="24"/>
          <w:szCs w:val="24"/>
          <w:lang w:val="es-ES_tradnl"/>
        </w:rPr>
      </w:pPr>
      <w:r w:rsidRPr="00844003">
        <w:rPr>
          <w:rFonts w:eastAsia="Times New Roman"/>
          <w:b/>
          <w:sz w:val="24"/>
          <w:szCs w:val="24"/>
          <w:lang w:val="es-ES_tradnl"/>
        </w:rPr>
        <w:t xml:space="preserve">PRIMERO: </w:t>
      </w:r>
      <w:r w:rsidR="001269EB" w:rsidRPr="00844003">
        <w:rPr>
          <w:rFonts w:eastAsia="Verdana"/>
          <w:b/>
          <w:sz w:val="24"/>
          <w:szCs w:val="24"/>
        </w:rPr>
        <w:t xml:space="preserve">DECLARAR </w:t>
      </w:r>
      <w:r w:rsidR="008972E3" w:rsidRPr="00844003">
        <w:rPr>
          <w:rFonts w:eastAsia="Verdana"/>
          <w:sz w:val="24"/>
          <w:szCs w:val="24"/>
        </w:rPr>
        <w:t>improcedente</w:t>
      </w:r>
      <w:r w:rsidR="001269EB" w:rsidRPr="00844003">
        <w:rPr>
          <w:rFonts w:eastAsia="Verdana"/>
          <w:b/>
          <w:sz w:val="24"/>
          <w:szCs w:val="24"/>
        </w:rPr>
        <w:t xml:space="preserve"> </w:t>
      </w:r>
      <w:r w:rsidR="001269EB" w:rsidRPr="00844003">
        <w:rPr>
          <w:rFonts w:eastAsia="Verdana"/>
          <w:sz w:val="24"/>
          <w:szCs w:val="24"/>
        </w:rPr>
        <w:t xml:space="preserve">la </w:t>
      </w:r>
      <w:r w:rsidR="00931DA6" w:rsidRPr="00844003">
        <w:rPr>
          <w:rFonts w:eastAsia="Verdana"/>
          <w:sz w:val="24"/>
          <w:szCs w:val="24"/>
        </w:rPr>
        <w:t>acción de tutela presentada por Luis Felipe Barrios Barrios, por las razones expuestas.</w:t>
      </w:r>
    </w:p>
    <w:p w14:paraId="188463BE" w14:textId="77777777" w:rsidR="001269EB" w:rsidRPr="00844003" w:rsidRDefault="001269EB" w:rsidP="00B25A4C">
      <w:pPr>
        <w:tabs>
          <w:tab w:val="left" w:pos="851"/>
        </w:tabs>
        <w:spacing w:line="276" w:lineRule="auto"/>
        <w:rPr>
          <w:rFonts w:eastAsia="Verdana"/>
          <w:b/>
          <w:sz w:val="24"/>
          <w:szCs w:val="24"/>
        </w:rPr>
      </w:pPr>
    </w:p>
    <w:p w14:paraId="7683F456" w14:textId="6B93096B" w:rsidR="001269EB" w:rsidRPr="00844003" w:rsidRDefault="001269EB" w:rsidP="00B25A4C">
      <w:pPr>
        <w:tabs>
          <w:tab w:val="left" w:pos="851"/>
        </w:tabs>
        <w:spacing w:line="276" w:lineRule="auto"/>
        <w:rPr>
          <w:rFonts w:eastAsia="Times New Roman"/>
          <w:sz w:val="24"/>
          <w:szCs w:val="24"/>
        </w:rPr>
      </w:pPr>
      <w:r w:rsidRPr="00844003">
        <w:rPr>
          <w:rFonts w:eastAsia="Verdana"/>
          <w:b/>
          <w:sz w:val="24"/>
          <w:szCs w:val="24"/>
        </w:rPr>
        <w:t xml:space="preserve">SEGUNDO: </w:t>
      </w:r>
      <w:r w:rsidR="00931DA6" w:rsidRPr="00844003">
        <w:rPr>
          <w:rFonts w:eastAsia="Verdana"/>
          <w:b/>
          <w:sz w:val="24"/>
          <w:szCs w:val="24"/>
          <w:lang w:eastAsia="en-US"/>
        </w:rPr>
        <w:t xml:space="preserve">NOTIFICAR </w:t>
      </w:r>
      <w:r w:rsidR="00931DA6" w:rsidRPr="00844003">
        <w:rPr>
          <w:rFonts w:eastAsia="Verdana"/>
          <w:sz w:val="24"/>
          <w:szCs w:val="24"/>
          <w:lang w:eastAsia="en-US"/>
        </w:rPr>
        <w:t>la presente decisión a las partes y a los interesados, por el medio más expedito.</w:t>
      </w:r>
    </w:p>
    <w:p w14:paraId="29F33EDA" w14:textId="2F247940" w:rsidR="001269EB" w:rsidRPr="00844003" w:rsidRDefault="001269EB" w:rsidP="00B25A4C">
      <w:pPr>
        <w:tabs>
          <w:tab w:val="left" w:pos="851"/>
        </w:tabs>
        <w:spacing w:line="276" w:lineRule="auto"/>
        <w:rPr>
          <w:rFonts w:eastAsia="Verdana"/>
          <w:sz w:val="24"/>
          <w:szCs w:val="24"/>
        </w:rPr>
      </w:pPr>
    </w:p>
    <w:p w14:paraId="161198B9" w14:textId="0286EAB5" w:rsidR="00937471" w:rsidRPr="00844003" w:rsidRDefault="001269EB" w:rsidP="00B25A4C">
      <w:pPr>
        <w:tabs>
          <w:tab w:val="left" w:pos="851"/>
        </w:tabs>
        <w:spacing w:line="276" w:lineRule="auto"/>
        <w:rPr>
          <w:sz w:val="24"/>
          <w:szCs w:val="24"/>
          <w:lang w:val="es-ES" w:eastAsia="en-US"/>
        </w:rPr>
      </w:pPr>
      <w:r w:rsidRPr="00844003">
        <w:rPr>
          <w:b/>
          <w:sz w:val="24"/>
          <w:szCs w:val="24"/>
          <w:lang w:eastAsia="en-US"/>
        </w:rPr>
        <w:t>TERCERO</w:t>
      </w:r>
      <w:r w:rsidR="00937471" w:rsidRPr="00844003">
        <w:rPr>
          <w:rFonts w:eastAsia="Verdana"/>
          <w:b/>
          <w:sz w:val="24"/>
          <w:szCs w:val="24"/>
          <w:lang w:val="es-ES_tradnl"/>
        </w:rPr>
        <w:t>:</w:t>
      </w:r>
      <w:r w:rsidR="007E05DC" w:rsidRPr="00844003">
        <w:rPr>
          <w:rFonts w:eastAsia="Verdana"/>
          <w:b/>
          <w:sz w:val="24"/>
          <w:szCs w:val="24"/>
          <w:lang w:eastAsia="en-US"/>
        </w:rPr>
        <w:t xml:space="preserve"> </w:t>
      </w:r>
      <w:r w:rsidR="00931DA6" w:rsidRPr="00844003">
        <w:rPr>
          <w:rFonts w:eastAsia="Verdana"/>
          <w:b/>
          <w:sz w:val="24"/>
          <w:szCs w:val="24"/>
          <w:lang w:eastAsia="en-US"/>
        </w:rPr>
        <w:t xml:space="preserve">ENVIAR </w:t>
      </w:r>
      <w:r w:rsidR="00931DA6" w:rsidRPr="00844003">
        <w:rPr>
          <w:rFonts w:eastAsia="Verdana"/>
          <w:sz w:val="24"/>
          <w:szCs w:val="24"/>
          <w:lang w:eastAsia="en-US"/>
        </w:rPr>
        <w:t>la presente providencia a la Corte Constitucional para su eventual revisión, en caso de que no fuere impugnada</w:t>
      </w:r>
      <w:r w:rsidR="00356B90">
        <w:rPr>
          <w:rFonts w:eastAsia="Verdana"/>
          <w:sz w:val="24"/>
          <w:szCs w:val="24"/>
          <w:lang w:eastAsia="en-US"/>
        </w:rPr>
        <w:t>.</w:t>
      </w:r>
    </w:p>
    <w:p w14:paraId="1EAB796D" w14:textId="2B75BE02" w:rsidR="007650A8" w:rsidRPr="00844003" w:rsidRDefault="007650A8" w:rsidP="00B25A4C">
      <w:pPr>
        <w:spacing w:line="276" w:lineRule="auto"/>
        <w:contextualSpacing/>
        <w:rPr>
          <w:rFonts w:eastAsia="Verdana"/>
          <w:b/>
          <w:sz w:val="24"/>
          <w:szCs w:val="24"/>
          <w:highlight w:val="yellow"/>
        </w:rPr>
      </w:pPr>
    </w:p>
    <w:p w14:paraId="14AC0E95" w14:textId="77777777" w:rsidR="00937471" w:rsidRPr="00844003" w:rsidRDefault="00937471" w:rsidP="00B25A4C">
      <w:pPr>
        <w:spacing w:line="276" w:lineRule="auto"/>
        <w:contextualSpacing/>
        <w:rPr>
          <w:rFonts w:eastAsia="Verdana"/>
          <w:b/>
          <w:sz w:val="24"/>
          <w:szCs w:val="24"/>
          <w:lang w:val="es-ES_tradnl"/>
        </w:rPr>
      </w:pPr>
      <w:r w:rsidRPr="00844003">
        <w:rPr>
          <w:rFonts w:eastAsia="Verdana"/>
          <w:b/>
          <w:sz w:val="24"/>
          <w:szCs w:val="24"/>
          <w:lang w:val="es-ES_tradnl"/>
        </w:rPr>
        <w:t>NOTIFÍQUESE Y CÚMPLASE</w:t>
      </w:r>
    </w:p>
    <w:p w14:paraId="184313CF" w14:textId="7C593AF0" w:rsidR="002428C5" w:rsidRPr="00844003" w:rsidRDefault="002428C5" w:rsidP="00B25A4C">
      <w:pPr>
        <w:spacing w:line="276" w:lineRule="auto"/>
        <w:contextualSpacing/>
        <w:rPr>
          <w:rFonts w:eastAsia="Verdana"/>
          <w:b/>
          <w:sz w:val="24"/>
          <w:szCs w:val="24"/>
          <w:lang w:val="es-ES_tradnl"/>
        </w:rPr>
      </w:pPr>
    </w:p>
    <w:p w14:paraId="06370A38" w14:textId="77777777" w:rsidR="009E439C" w:rsidRPr="00844003" w:rsidRDefault="009E439C" w:rsidP="00B25A4C">
      <w:pPr>
        <w:spacing w:line="276" w:lineRule="auto"/>
        <w:contextualSpacing/>
        <w:rPr>
          <w:rFonts w:eastAsia="Verdana"/>
          <w:b/>
          <w:sz w:val="24"/>
          <w:szCs w:val="24"/>
          <w:lang w:val="es-ES_tradnl"/>
        </w:rPr>
      </w:pPr>
    </w:p>
    <w:p w14:paraId="0CB91B21" w14:textId="77777777" w:rsidR="00937471" w:rsidRPr="00844003" w:rsidRDefault="00937471" w:rsidP="00B25A4C">
      <w:pPr>
        <w:spacing w:line="276" w:lineRule="auto"/>
        <w:contextualSpacing/>
        <w:jc w:val="center"/>
        <w:rPr>
          <w:rFonts w:eastAsia="Verdana"/>
          <w:b/>
          <w:sz w:val="24"/>
          <w:szCs w:val="24"/>
          <w:lang w:val="es-ES_tradnl"/>
        </w:rPr>
      </w:pPr>
      <w:r w:rsidRPr="00844003">
        <w:rPr>
          <w:rFonts w:eastAsia="Verdana"/>
          <w:b/>
          <w:sz w:val="24"/>
          <w:szCs w:val="24"/>
          <w:lang w:val="es-ES_tradnl"/>
        </w:rPr>
        <w:t>GUILLERMO SÁNCHEZ LUQUE</w:t>
      </w:r>
    </w:p>
    <w:p w14:paraId="34527092" w14:textId="4103B5EB" w:rsidR="00937471" w:rsidRDefault="00937471" w:rsidP="00B25A4C">
      <w:pPr>
        <w:spacing w:line="276" w:lineRule="auto"/>
        <w:contextualSpacing/>
        <w:jc w:val="center"/>
        <w:rPr>
          <w:rFonts w:eastAsia="Verdana"/>
          <w:b/>
          <w:sz w:val="24"/>
          <w:szCs w:val="24"/>
          <w:lang w:val="es-ES_tradnl"/>
        </w:rPr>
      </w:pPr>
      <w:r w:rsidRPr="004D6EBF">
        <w:rPr>
          <w:rFonts w:eastAsia="Verdana"/>
          <w:b/>
          <w:sz w:val="24"/>
          <w:szCs w:val="24"/>
          <w:lang w:val="es-ES_tradnl"/>
        </w:rPr>
        <w:t>Presidente de Sala</w:t>
      </w:r>
    </w:p>
    <w:p w14:paraId="4666C5C6" w14:textId="13B60C3C" w:rsidR="004D6EBF" w:rsidRPr="00844003" w:rsidRDefault="004D6EBF" w:rsidP="00B25A4C">
      <w:pPr>
        <w:spacing w:line="276" w:lineRule="auto"/>
        <w:contextualSpacing/>
        <w:jc w:val="center"/>
        <w:rPr>
          <w:rFonts w:eastAsia="Verdana"/>
          <w:b/>
          <w:sz w:val="24"/>
          <w:szCs w:val="24"/>
          <w:lang w:val="es-ES_tradnl"/>
        </w:rPr>
      </w:pPr>
      <w:r>
        <w:rPr>
          <w:rFonts w:eastAsia="Verdana"/>
          <w:b/>
          <w:sz w:val="24"/>
          <w:szCs w:val="24"/>
          <w:lang w:val="es-ES_tradnl"/>
        </w:rPr>
        <w:t>Aclaración de voto</w:t>
      </w:r>
    </w:p>
    <w:p w14:paraId="7526E773" w14:textId="0A96C7A0" w:rsidR="002428C5" w:rsidRPr="00844003" w:rsidRDefault="002428C5" w:rsidP="00B25A4C">
      <w:pPr>
        <w:spacing w:line="276" w:lineRule="auto"/>
        <w:contextualSpacing/>
        <w:rPr>
          <w:rFonts w:eastAsia="Verdana"/>
          <w:b/>
          <w:sz w:val="24"/>
          <w:szCs w:val="24"/>
          <w:lang w:val="es-ES_tradnl"/>
        </w:rPr>
      </w:pPr>
    </w:p>
    <w:p w14:paraId="55750650" w14:textId="77777777" w:rsidR="00931DA6" w:rsidRPr="00844003" w:rsidRDefault="00931DA6" w:rsidP="00B25A4C">
      <w:pPr>
        <w:spacing w:line="276" w:lineRule="auto"/>
        <w:contextualSpacing/>
        <w:rPr>
          <w:rFonts w:eastAsia="Verdana"/>
          <w:b/>
          <w:sz w:val="24"/>
          <w:szCs w:val="24"/>
          <w:lang w:val="es-ES_tradnl"/>
        </w:rPr>
      </w:pPr>
    </w:p>
    <w:p w14:paraId="2D5B2F62" w14:textId="77777777" w:rsidR="00937471" w:rsidRPr="00844003" w:rsidRDefault="00937471" w:rsidP="00B25A4C">
      <w:pPr>
        <w:spacing w:line="276" w:lineRule="auto"/>
        <w:contextualSpacing/>
        <w:jc w:val="center"/>
        <w:rPr>
          <w:rFonts w:eastAsia="Verdana"/>
          <w:b/>
          <w:sz w:val="24"/>
          <w:szCs w:val="24"/>
          <w:lang w:val="es-ES_tradnl"/>
        </w:rPr>
      </w:pPr>
      <w:r w:rsidRPr="00844003">
        <w:rPr>
          <w:rFonts w:eastAsia="Verdana"/>
          <w:b/>
          <w:sz w:val="24"/>
          <w:szCs w:val="24"/>
          <w:lang w:val="es-ES_tradnl"/>
        </w:rPr>
        <w:t>JAIME ENRIQUE RODRÍGUEZ NAVAS</w:t>
      </w:r>
    </w:p>
    <w:p w14:paraId="1E3585AA" w14:textId="77777777" w:rsidR="00937471" w:rsidRPr="00844003" w:rsidRDefault="00937471" w:rsidP="00B25A4C">
      <w:pPr>
        <w:spacing w:line="276" w:lineRule="auto"/>
        <w:contextualSpacing/>
        <w:jc w:val="center"/>
        <w:rPr>
          <w:rFonts w:eastAsia="Verdana"/>
          <w:b/>
          <w:sz w:val="24"/>
          <w:szCs w:val="24"/>
          <w:lang w:val="es-ES_tradnl"/>
        </w:rPr>
      </w:pPr>
      <w:r w:rsidRPr="00844003">
        <w:rPr>
          <w:rFonts w:eastAsia="Verdana"/>
          <w:b/>
          <w:sz w:val="24"/>
          <w:szCs w:val="24"/>
          <w:lang w:val="es-ES_tradnl"/>
        </w:rPr>
        <w:t>Magistrado</w:t>
      </w:r>
    </w:p>
    <w:p w14:paraId="7BCCCC09" w14:textId="2153F10A" w:rsidR="006F5DF1" w:rsidRPr="00844003" w:rsidRDefault="006F5DF1" w:rsidP="00B25A4C">
      <w:pPr>
        <w:spacing w:line="276" w:lineRule="auto"/>
        <w:contextualSpacing/>
        <w:rPr>
          <w:rFonts w:eastAsia="Verdana"/>
          <w:b/>
          <w:sz w:val="24"/>
          <w:szCs w:val="24"/>
          <w:lang w:val="es-ES_tradnl"/>
        </w:rPr>
      </w:pPr>
    </w:p>
    <w:p w14:paraId="2C52CD86" w14:textId="77777777" w:rsidR="00931DA6" w:rsidRPr="00844003" w:rsidRDefault="00931DA6" w:rsidP="00B25A4C">
      <w:pPr>
        <w:spacing w:line="276" w:lineRule="auto"/>
        <w:contextualSpacing/>
        <w:rPr>
          <w:rFonts w:eastAsia="Verdana"/>
          <w:b/>
          <w:sz w:val="24"/>
          <w:szCs w:val="24"/>
          <w:lang w:val="es-ES_tradnl"/>
        </w:rPr>
      </w:pPr>
    </w:p>
    <w:p w14:paraId="21F5542B" w14:textId="77777777" w:rsidR="00937471" w:rsidRPr="00844003" w:rsidRDefault="00937471" w:rsidP="00B25A4C">
      <w:pPr>
        <w:spacing w:line="276" w:lineRule="auto"/>
        <w:contextualSpacing/>
        <w:jc w:val="center"/>
        <w:rPr>
          <w:rFonts w:eastAsia="Verdana"/>
          <w:b/>
          <w:sz w:val="24"/>
          <w:szCs w:val="24"/>
          <w:lang w:val="es-ES_tradnl"/>
        </w:rPr>
      </w:pPr>
      <w:r w:rsidRPr="00844003">
        <w:rPr>
          <w:rFonts w:eastAsia="Verdana"/>
          <w:b/>
          <w:sz w:val="24"/>
          <w:szCs w:val="24"/>
          <w:lang w:val="es-ES_tradnl"/>
        </w:rPr>
        <w:t>NICOLÁS YEPES CORRALES</w:t>
      </w:r>
    </w:p>
    <w:p w14:paraId="4BF36A40" w14:textId="1267799E" w:rsidR="00AB7F49" w:rsidRPr="00844003" w:rsidRDefault="00937471" w:rsidP="00B25A4C">
      <w:pPr>
        <w:spacing w:line="276" w:lineRule="auto"/>
        <w:contextualSpacing/>
        <w:jc w:val="center"/>
        <w:rPr>
          <w:rFonts w:eastAsia="Verdana"/>
          <w:b/>
          <w:sz w:val="24"/>
          <w:szCs w:val="24"/>
          <w:lang w:val="es-ES_tradnl"/>
        </w:rPr>
      </w:pPr>
      <w:r w:rsidRPr="00844003">
        <w:rPr>
          <w:rFonts w:eastAsia="Verdana"/>
          <w:b/>
          <w:sz w:val="24"/>
          <w:szCs w:val="24"/>
          <w:lang w:val="es-ES_tradnl"/>
        </w:rPr>
        <w:t>Magistrado</w:t>
      </w:r>
      <w:bookmarkEnd w:id="0"/>
    </w:p>
    <w:p w14:paraId="26B14F82" w14:textId="6218796A" w:rsidR="001862A2" w:rsidRPr="00844003" w:rsidRDefault="001862A2" w:rsidP="00B25A4C">
      <w:pPr>
        <w:spacing w:line="276" w:lineRule="auto"/>
        <w:contextualSpacing/>
        <w:jc w:val="center"/>
        <w:rPr>
          <w:rFonts w:eastAsia="Verdana"/>
          <w:b/>
          <w:sz w:val="24"/>
          <w:szCs w:val="24"/>
          <w:lang w:val="es-ES_tradnl"/>
        </w:rPr>
      </w:pPr>
      <w:r w:rsidRPr="00844003">
        <w:rPr>
          <w:rFonts w:eastAsia="Verdana"/>
          <w:b/>
          <w:sz w:val="24"/>
          <w:szCs w:val="24"/>
          <w:lang w:val="es-ES_tradnl"/>
        </w:rPr>
        <w:t>Impedido</w:t>
      </w:r>
    </w:p>
    <w:sectPr w:rsidR="001862A2" w:rsidRPr="00844003"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C1990" w14:textId="77777777" w:rsidR="003B3A4B" w:rsidRDefault="003B3A4B" w:rsidP="00117091">
      <w:r>
        <w:separator/>
      </w:r>
    </w:p>
  </w:endnote>
  <w:endnote w:type="continuationSeparator" w:id="0">
    <w:p w14:paraId="1EA905CE" w14:textId="77777777" w:rsidR="003B3A4B" w:rsidRDefault="003B3A4B"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3B4057" w14:paraId="4830A873" w14:textId="77777777" w:rsidTr="00B6429B">
      <w:trPr>
        <w:jc w:val="right"/>
      </w:trPr>
      <w:tc>
        <w:tcPr>
          <w:tcW w:w="4795" w:type="dxa"/>
          <w:vAlign w:val="center"/>
        </w:tcPr>
        <w:p w14:paraId="0C43E376" w14:textId="77777777" w:rsidR="003B4057" w:rsidRDefault="003B4057"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3B4057" w:rsidRPr="00A21194" w:rsidRDefault="003B4057"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6CD61A83" w:rsidR="003B4057" w:rsidRPr="00B6429B" w:rsidRDefault="003B4057" w:rsidP="00B6429B">
          <w:pPr>
            <w:pStyle w:val="Piedepgina"/>
            <w:jc w:val="center"/>
          </w:pPr>
          <w:r w:rsidRPr="00B6429B">
            <w:fldChar w:fldCharType="begin"/>
          </w:r>
          <w:r w:rsidRPr="00B6429B">
            <w:instrText>PAGE   \* MERGEFORMAT</w:instrText>
          </w:r>
          <w:r w:rsidRPr="00B6429B">
            <w:fldChar w:fldCharType="separate"/>
          </w:r>
          <w:r w:rsidR="004D6EBF" w:rsidRPr="004D6EBF">
            <w:rPr>
              <w:noProof/>
              <w:lang w:val="es-ES"/>
            </w:rPr>
            <w:t>12</w:t>
          </w:r>
          <w:r w:rsidRPr="00B6429B">
            <w:fldChar w:fldCharType="end"/>
          </w:r>
        </w:p>
      </w:tc>
    </w:tr>
  </w:tbl>
  <w:p w14:paraId="17AD93B2" w14:textId="77777777" w:rsidR="003B4057" w:rsidRPr="008C0DBE" w:rsidRDefault="003B4057"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3B4057" w14:paraId="7BC39794" w14:textId="77777777" w:rsidTr="00B6429B">
      <w:trPr>
        <w:jc w:val="right"/>
      </w:trPr>
      <w:tc>
        <w:tcPr>
          <w:tcW w:w="4795" w:type="dxa"/>
          <w:vAlign w:val="center"/>
        </w:tcPr>
        <w:p w14:paraId="60E1FF49" w14:textId="77777777" w:rsidR="003B4057" w:rsidRDefault="003B4057"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3B4057" w:rsidRPr="00A21194" w:rsidRDefault="003B4057"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14692F06" w:rsidR="003B4057" w:rsidRPr="00B6429B" w:rsidRDefault="003B4057">
          <w:pPr>
            <w:pStyle w:val="Piedepgina"/>
            <w:jc w:val="center"/>
          </w:pPr>
          <w:r w:rsidRPr="00B6429B">
            <w:fldChar w:fldCharType="begin"/>
          </w:r>
          <w:r w:rsidRPr="00B6429B">
            <w:instrText>PAGE   \* MERGEFORMAT</w:instrText>
          </w:r>
          <w:r w:rsidRPr="00B6429B">
            <w:fldChar w:fldCharType="separate"/>
          </w:r>
          <w:r w:rsidR="004D6EBF" w:rsidRPr="004D6EBF">
            <w:rPr>
              <w:noProof/>
              <w:lang w:val="es-ES"/>
            </w:rPr>
            <w:t>1</w:t>
          </w:r>
          <w:r w:rsidRPr="00B6429B">
            <w:fldChar w:fldCharType="end"/>
          </w:r>
        </w:p>
      </w:tc>
    </w:tr>
  </w:tbl>
  <w:p w14:paraId="5630AD66" w14:textId="77777777" w:rsidR="003B4057" w:rsidRDefault="003B405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98939" w14:textId="77777777" w:rsidR="003B3A4B" w:rsidRDefault="003B3A4B" w:rsidP="00117091">
      <w:r>
        <w:separator/>
      </w:r>
    </w:p>
  </w:footnote>
  <w:footnote w:type="continuationSeparator" w:id="0">
    <w:p w14:paraId="2177A1D9" w14:textId="77777777" w:rsidR="003B3A4B" w:rsidRDefault="003B3A4B" w:rsidP="00117091">
      <w:r>
        <w:continuationSeparator/>
      </w:r>
    </w:p>
  </w:footnote>
  <w:footnote w:id="1">
    <w:p w14:paraId="088414A9" w14:textId="47E5BA20" w:rsidR="003B4057" w:rsidRDefault="003B4057" w:rsidP="00123C3D">
      <w:pPr>
        <w:pStyle w:val="Textonotapie"/>
      </w:pPr>
      <w:r>
        <w:rPr>
          <w:rStyle w:val="Refdenotaalpie"/>
        </w:rPr>
        <w:footnoteRef/>
      </w:r>
      <w:r>
        <w:t xml:space="preserve"> Archivo electrónico que contiene la acción de tutela, con ubicación: </w:t>
      </w:r>
      <w:r w:rsidRPr="002B7A72">
        <w:t>C32ACA5E3B1A1F91 D7EE248AF10B3BF8 91410C0CE3984AA6 4C6B170471B763BB</w:t>
      </w:r>
      <w:r>
        <w:t>.</w:t>
      </w:r>
    </w:p>
  </w:footnote>
  <w:footnote w:id="2">
    <w:p w14:paraId="329D50C3" w14:textId="6C5B3C78" w:rsidR="003B4057" w:rsidRDefault="003B4057" w:rsidP="00123C3D">
      <w:pPr>
        <w:pStyle w:val="Textonotapie"/>
      </w:pPr>
      <w:r>
        <w:rPr>
          <w:rStyle w:val="Refdenotaalpie"/>
        </w:rPr>
        <w:footnoteRef/>
      </w:r>
      <w:r>
        <w:t xml:space="preserve"> Archivo electrónico que contiene la sentencia acusada, con ubicación: </w:t>
      </w:r>
      <w:r w:rsidRPr="002B7A72">
        <w:t>628E3FFD138B5193 54B95D49C4F52E87 FDEA378BC62740B8 3B589218E375F705</w:t>
      </w:r>
      <w:r>
        <w:t>.</w:t>
      </w:r>
    </w:p>
  </w:footnote>
  <w:footnote w:id="3">
    <w:p w14:paraId="08F2FCEC" w14:textId="5C0AD9C0" w:rsidR="002A2E49" w:rsidRDefault="002A2E49">
      <w:pPr>
        <w:pStyle w:val="Textonotapie"/>
      </w:pPr>
      <w:r>
        <w:rPr>
          <w:rStyle w:val="Refdenotaalpie"/>
        </w:rPr>
        <w:footnoteRef/>
      </w:r>
      <w:r>
        <w:t xml:space="preserve"> Páginas 1 y 2 del archivo electrónico que contiene la acción de tutela, con ubicación: </w:t>
      </w:r>
      <w:r w:rsidRPr="002B7A72">
        <w:t>C32ACA5E3B1A1F91 D7EE248AF10B3BF8 91410C0CE3984AA6 4C6B170471B763BB</w:t>
      </w:r>
      <w:r>
        <w:t>.</w:t>
      </w:r>
    </w:p>
  </w:footnote>
  <w:footnote w:id="4">
    <w:p w14:paraId="037D7C27" w14:textId="2FB21D28" w:rsidR="003B4057" w:rsidRDefault="003B4057" w:rsidP="00123C3D">
      <w:pPr>
        <w:pStyle w:val="Textonotapie"/>
      </w:pPr>
      <w:r>
        <w:rPr>
          <w:rStyle w:val="Refdenotaalpie"/>
        </w:rPr>
        <w:footnoteRef/>
      </w:r>
      <w:r>
        <w:t xml:space="preserve"> </w:t>
      </w:r>
      <w:r w:rsidR="002A2E49">
        <w:t>Ibid.</w:t>
      </w:r>
    </w:p>
  </w:footnote>
  <w:footnote w:id="5">
    <w:p w14:paraId="27B8019D" w14:textId="257CB384" w:rsidR="003B4057" w:rsidRDefault="003B4057">
      <w:pPr>
        <w:pStyle w:val="Textonotapie"/>
      </w:pPr>
      <w:r>
        <w:rPr>
          <w:rStyle w:val="Refdenotaalpie"/>
        </w:rPr>
        <w:footnoteRef/>
      </w:r>
      <w:r>
        <w:t xml:space="preserve"> Páginas 29 a 52. Ibid.</w:t>
      </w:r>
    </w:p>
  </w:footnote>
  <w:footnote w:id="6">
    <w:p w14:paraId="624DD4E0" w14:textId="44837826" w:rsidR="003B4057" w:rsidRDefault="003B4057" w:rsidP="00123C3D">
      <w:pPr>
        <w:pStyle w:val="Textonotapie"/>
      </w:pPr>
      <w:r>
        <w:rPr>
          <w:rStyle w:val="Refdenotaalpie"/>
        </w:rPr>
        <w:footnoteRef/>
      </w:r>
      <w:r>
        <w:t xml:space="preserve"> Archivo electrónico que contiene el impedimento, con ubicación: </w:t>
      </w:r>
      <w:r w:rsidRPr="00CD0A8F">
        <w:t>A217EABBE3FC9711 1B2B11E707D852AA DAD8C57FDB5BBC71 DEE55AF55B188EDA</w:t>
      </w:r>
      <w:r>
        <w:t>.</w:t>
      </w:r>
    </w:p>
  </w:footnote>
  <w:footnote w:id="7">
    <w:p w14:paraId="5B30BFA9" w14:textId="2EF51D59" w:rsidR="003B4057" w:rsidRDefault="003B4057">
      <w:pPr>
        <w:pStyle w:val="Textonotapie"/>
      </w:pPr>
      <w:r>
        <w:rPr>
          <w:rStyle w:val="Refdenotaalpie"/>
        </w:rPr>
        <w:footnoteRef/>
      </w:r>
      <w:r>
        <w:t xml:space="preserve"> Archivo electrónico que contiene el auto que resuelve el impedimento, con ubicación: </w:t>
      </w:r>
      <w:r w:rsidRPr="00CD0A8F">
        <w:t>914BD00F8FE8A49D 814DFF17AA2B69FE 60</w:t>
      </w:r>
      <w:r>
        <w:t>04B6CD518D7761 E627802C404C7743.</w:t>
      </w:r>
    </w:p>
  </w:footnote>
  <w:footnote w:id="8">
    <w:p w14:paraId="55371F49" w14:textId="2810AE66" w:rsidR="003B4057" w:rsidRDefault="003B4057" w:rsidP="00123C3D">
      <w:pPr>
        <w:pStyle w:val="Textonotapie"/>
      </w:pPr>
      <w:r>
        <w:rPr>
          <w:rStyle w:val="Refdenotaalpie"/>
        </w:rPr>
        <w:footnoteRef/>
      </w:r>
      <w:r>
        <w:t xml:space="preserve"> Archivo electrónico que contiene el auto admisorio, con ubicación: </w:t>
      </w:r>
      <w:r w:rsidRPr="00CD0A8F">
        <w:t>7DF8893D0D05F499 6D9C964B1DAD08E8 90</w:t>
      </w:r>
      <w:r>
        <w:t>123BBCFA7FFA9D 287EDA077A9BDF28.</w:t>
      </w:r>
    </w:p>
  </w:footnote>
  <w:footnote w:id="9">
    <w:p w14:paraId="719A1D17" w14:textId="77777777" w:rsidR="003B4057" w:rsidRPr="00E20E91" w:rsidRDefault="003B4057" w:rsidP="00123C3D">
      <w:pPr>
        <w:pStyle w:val="Textonotapie"/>
      </w:pPr>
      <w:r w:rsidRPr="00E20E91">
        <w:rPr>
          <w:rStyle w:val="Refdenotaalpie"/>
        </w:rPr>
        <w:footnoteRef/>
      </w:r>
      <w:r w:rsidRPr="00E20E91">
        <w:t xml:space="preserve"> Cfr. Corte Constitucional C-590 de 2005.</w:t>
      </w:r>
    </w:p>
  </w:footnote>
  <w:footnote w:id="10">
    <w:p w14:paraId="405AEB4C" w14:textId="77777777" w:rsidR="003B4057" w:rsidRPr="00E20E91" w:rsidRDefault="003B4057" w:rsidP="00123C3D">
      <w:pPr>
        <w:pStyle w:val="Textonotapie"/>
      </w:pPr>
      <w:r w:rsidRPr="00E20E91">
        <w:rPr>
          <w:rStyle w:val="Refdenotaalpie"/>
        </w:rPr>
        <w:footnoteRef/>
      </w:r>
      <w:r w:rsidRPr="00E20E91">
        <w:t xml:space="preserve"> Antes que todo es necesario (i) verificar la legitimación en la causa como una exigencia preliminar en cualquier acción de amparo, para, posteriormente, pasar a constatar los demás requisitos generales de procedibilidad, en los siguientes términos: (ii) que en la solicitud de tutela se expresen de manera clara los hechos y los fundamentos de la afectación de derechos que se imputa a la decisión judicial; (iii) que la cuestión que se discute tenga relevancia constitucional; (iv) que previo a la solicitud de tutela se hayan agotado todos los medios de defensa judicial con los que cuenta la persona afectada; (v) que se cumpla con el principio de inmediatez; (vi) que en caso de que se alegue una irregularidad procesal, la misma tenga la entidad de afectar la decisión; y de manera general, (vii) no procede elevar una solicitud de amparo contra decisiones proferidas dentro de procesos de tutela.</w:t>
      </w:r>
    </w:p>
  </w:footnote>
  <w:footnote w:id="11">
    <w:p w14:paraId="7B01AAD5" w14:textId="77777777" w:rsidR="003B4057" w:rsidRPr="00E20E91" w:rsidRDefault="003B4057" w:rsidP="00123C3D">
      <w:pPr>
        <w:pStyle w:val="Textonotapie"/>
      </w:pPr>
      <w:r w:rsidRPr="00E20E91">
        <w:rPr>
          <w:rStyle w:val="Refdenotaalpie"/>
        </w:rPr>
        <w:footnoteRef/>
      </w:r>
      <w:r w:rsidRPr="00E20E91">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12">
    <w:p w14:paraId="1ACD5A8C" w14:textId="77777777" w:rsidR="005630DC" w:rsidRPr="00E26DC1" w:rsidRDefault="005630DC" w:rsidP="005630DC">
      <w:pPr>
        <w:pStyle w:val="Textonotapie"/>
        <w:rPr>
          <w:b/>
          <w:lang w:val="es-ES"/>
        </w:rPr>
      </w:pPr>
      <w:r>
        <w:rPr>
          <w:rStyle w:val="Refdenotaalpie"/>
        </w:rPr>
        <w:footnoteRef/>
      </w:r>
      <w:r>
        <w:t xml:space="preserve"> </w:t>
      </w:r>
      <w:r w:rsidRPr="00B87480">
        <w:rPr>
          <w:lang w:val="es-ES"/>
        </w:rPr>
        <w:t>Sentencia T-598 de 2003 de la Corte Constitucional.</w:t>
      </w:r>
    </w:p>
  </w:footnote>
  <w:footnote w:id="13">
    <w:p w14:paraId="4CA466F2" w14:textId="54225A51" w:rsidR="003F3E88" w:rsidRDefault="003F3E88">
      <w:pPr>
        <w:pStyle w:val="Textonotapie"/>
      </w:pPr>
      <w:r>
        <w:rPr>
          <w:rStyle w:val="Refdenotaalpie"/>
        </w:rPr>
        <w:footnoteRef/>
      </w:r>
      <w:r>
        <w:t xml:space="preserve"> “</w:t>
      </w:r>
      <w:r w:rsidRPr="003F3E88">
        <w:t>a) Falta del debido proceso; b) Violación del derecho de defensa</w:t>
      </w:r>
      <w:r w:rsidR="00356B90">
        <w:t>; […]</w:t>
      </w:r>
      <w:r>
        <w:t>”.</w:t>
      </w:r>
    </w:p>
  </w:footnote>
  <w:footnote w:id="14">
    <w:p w14:paraId="47886022" w14:textId="2DAD7840" w:rsidR="003F3E88" w:rsidRDefault="003F3E88">
      <w:pPr>
        <w:pStyle w:val="Textonotapie"/>
      </w:pPr>
      <w:r>
        <w:rPr>
          <w:rStyle w:val="Refdenotaalpie"/>
        </w:rPr>
        <w:footnoteRef/>
      </w:r>
      <w:r>
        <w:t xml:space="preserve"> </w:t>
      </w:r>
      <w:r w:rsidR="00356B90">
        <w:t>“6</w:t>
      </w:r>
      <w:r w:rsidRPr="003F3E88">
        <w:t>. Existir nulidad originada en la sentencia que puso fin al proceso y contra la que no procede recurso de apelación</w:t>
      </w:r>
      <w:r w:rsidR="00356B90">
        <w:t>”.</w:t>
      </w:r>
    </w:p>
  </w:footnote>
  <w:footnote w:id="15">
    <w:p w14:paraId="21DA2461" w14:textId="362A0A4D" w:rsidR="005839DF" w:rsidRDefault="005839DF">
      <w:pPr>
        <w:pStyle w:val="Textonotapie"/>
      </w:pPr>
      <w:r>
        <w:rPr>
          <w:rStyle w:val="Refdenotaalpie"/>
        </w:rPr>
        <w:footnoteRef/>
      </w:r>
      <w:r>
        <w:t xml:space="preserve"> </w:t>
      </w:r>
      <w:r w:rsidR="006E541C">
        <w:t xml:space="preserve">Páginas 57 a 68 y 74 a 76 del archivo que contiene el recurso extraordinario de revisión, con ubicación: </w:t>
      </w:r>
      <w:r w:rsidR="006E541C" w:rsidRPr="006E541C">
        <w:t>832A72D182F8A6E0 581EC3DD3356459A CF</w:t>
      </w:r>
      <w:r w:rsidR="006E541C">
        <w:t>65D93EBDE57A52 6DA5195BC65B68E3.</w:t>
      </w:r>
    </w:p>
  </w:footnote>
  <w:footnote w:id="16">
    <w:p w14:paraId="18B1C1E3" w14:textId="0004AE29" w:rsidR="006E541C" w:rsidRDefault="006E541C">
      <w:pPr>
        <w:pStyle w:val="Textonotapie"/>
      </w:pPr>
      <w:r>
        <w:rPr>
          <w:rStyle w:val="Refdenotaalpie"/>
        </w:rPr>
        <w:footnoteRef/>
      </w:r>
      <w:r>
        <w:t xml:space="preserve"> Ibid.</w:t>
      </w:r>
    </w:p>
  </w:footnote>
  <w:footnote w:id="17">
    <w:p w14:paraId="5B98C30E" w14:textId="3AFF3BFE" w:rsidR="006E541C" w:rsidRDefault="006E541C">
      <w:pPr>
        <w:pStyle w:val="Textonotapie"/>
      </w:pPr>
      <w:r>
        <w:rPr>
          <w:rStyle w:val="Refdenotaalpie"/>
        </w:rPr>
        <w:footnoteRef/>
      </w:r>
      <w:r>
        <w:t xml:space="preserve"> Páginas 42 a 53 del que contiene la acción de tutela, con ubicación: </w:t>
      </w:r>
      <w:r w:rsidRPr="002B7A72">
        <w:t>C32ACA5E3B1A1F91 D7EE248AF10B3BF8 91410C0CE3984AA6 4C6B170471B763BB</w:t>
      </w:r>
      <w:r>
        <w:t>.</w:t>
      </w:r>
    </w:p>
  </w:footnote>
  <w:footnote w:id="18">
    <w:p w14:paraId="460CB377" w14:textId="61A740EB" w:rsidR="006C2295" w:rsidRDefault="006C2295">
      <w:pPr>
        <w:pStyle w:val="Textonotapie"/>
      </w:pPr>
      <w:r>
        <w:rPr>
          <w:rStyle w:val="Refdenotaalpie"/>
        </w:rPr>
        <w:footnoteRef/>
      </w:r>
      <w:r>
        <w:t xml:space="preserve"> Revisar en el aplicativo de SAMAI, el proceso con número de radicado </w:t>
      </w:r>
      <w:r w:rsidRPr="006C2295">
        <w:t>11001-03-15-000-2015-02568-00</w:t>
      </w:r>
      <w:r>
        <w:t>.</w:t>
      </w:r>
    </w:p>
  </w:footnote>
  <w:footnote w:id="19">
    <w:p w14:paraId="26B4B2B8" w14:textId="353DE84F" w:rsidR="003B4057" w:rsidRDefault="003B4057">
      <w:pPr>
        <w:pStyle w:val="Textonotapie"/>
      </w:pPr>
      <w:r>
        <w:rPr>
          <w:rStyle w:val="Refdenotaalpie"/>
        </w:rPr>
        <w:footnoteRef/>
      </w:r>
      <w:r>
        <w:t xml:space="preserve"> </w:t>
      </w:r>
      <w:r w:rsidR="00AA2FF0">
        <w:t>“</w:t>
      </w:r>
      <w:r w:rsidR="00AA2FF0" w:rsidRPr="00AA2FF0">
        <w:rPr>
          <w:bCs/>
        </w:rPr>
        <w:t>artículo 1.</w:t>
      </w:r>
      <w:r w:rsidR="00AA2FF0" w:rsidRPr="00AA2FF0">
        <w:t> El Consejo de Estado en pleno conocerá y sentenciará en única instancia los procesos relativos a la pérdida de la investidura de los Congresistas a solicitud de la Mesa Directiva de la Cámara correspondiente o de cualquier ciudadano y por las causas establecidas en la Constitución y la ley, en especial la Ley 5a. de 1992 en sus artículos 292 y 298</w:t>
      </w:r>
      <w:r w:rsidR="00AA2FF0">
        <w:t>”</w:t>
      </w:r>
      <w:r w:rsidR="00AA2FF0" w:rsidRPr="00AA2FF0">
        <w:t>. </w:t>
      </w:r>
    </w:p>
  </w:footnote>
  <w:footnote w:id="20">
    <w:p w14:paraId="59C32C17" w14:textId="5E9D4EED" w:rsidR="00AA2FF0" w:rsidRDefault="00AA2FF0">
      <w:pPr>
        <w:pStyle w:val="Textonotapie"/>
      </w:pPr>
      <w:r>
        <w:rPr>
          <w:rStyle w:val="Refdenotaalpie"/>
        </w:rPr>
        <w:footnoteRef/>
      </w:r>
      <w:r>
        <w:t xml:space="preserve"> </w:t>
      </w:r>
      <w:r w:rsidRPr="00AA2FF0">
        <w:rPr>
          <w:rFonts w:eastAsia="Verdana"/>
        </w:rPr>
        <w:t>Sentencia</w:t>
      </w:r>
      <w:r w:rsidR="00BF1A9B">
        <w:rPr>
          <w:rFonts w:eastAsia="Verdana"/>
        </w:rPr>
        <w:t>s</w:t>
      </w:r>
      <w:r w:rsidRPr="00AA2FF0">
        <w:rPr>
          <w:rFonts w:eastAsia="Verdana"/>
        </w:rPr>
        <w:t xml:space="preserve"> SU-</w:t>
      </w:r>
      <w:r w:rsidR="00F64079">
        <w:rPr>
          <w:rFonts w:eastAsia="Verdana"/>
        </w:rPr>
        <w:t>373</w:t>
      </w:r>
      <w:r w:rsidRPr="00AA2FF0">
        <w:rPr>
          <w:rFonts w:eastAsia="Verdana"/>
        </w:rPr>
        <w:t xml:space="preserve"> de 2019 y SU-218 de 2019.</w:t>
      </w:r>
    </w:p>
  </w:footnote>
  <w:footnote w:id="21">
    <w:p w14:paraId="473E75DE" w14:textId="32A71716" w:rsidR="003C5D1F" w:rsidRDefault="003C5D1F">
      <w:pPr>
        <w:pStyle w:val="Textonotapie"/>
      </w:pPr>
      <w:r>
        <w:rPr>
          <w:rStyle w:val="Refdenotaalpie"/>
        </w:rPr>
        <w:footnoteRef/>
      </w:r>
      <w:r>
        <w:t xml:space="preserve"> Información extraída de las piezas procesales adjuntadas al proceso con número de radicado </w:t>
      </w:r>
      <w:r w:rsidRPr="003C5D1F">
        <w:rPr>
          <w:bCs/>
        </w:rPr>
        <w:t>11001-03-15-000-2009-01219-00</w:t>
      </w:r>
      <w:r>
        <w:t xml:space="preserve">, </w:t>
      </w:r>
      <w:r w:rsidR="009A435F">
        <w:t>en</w:t>
      </w:r>
      <w:r>
        <w:t xml:space="preserve"> la sede electrónica para la gestión judicial de esta Corporación denominada “SAMAI”.</w:t>
      </w:r>
    </w:p>
  </w:footnote>
  <w:footnote w:id="22">
    <w:p w14:paraId="0804C015" w14:textId="58150F8E" w:rsidR="003C5D1F" w:rsidRDefault="003C5D1F">
      <w:pPr>
        <w:pStyle w:val="Textonotapie"/>
      </w:pPr>
      <w:r>
        <w:rPr>
          <w:rStyle w:val="Refdenotaalpie"/>
        </w:rPr>
        <w:footnoteRef/>
      </w:r>
      <w:r>
        <w:t xml:space="preserve"> Archivo electrónico que contiene el correo de envío de la acción de tutela, con ubicación: </w:t>
      </w:r>
      <w:r w:rsidRPr="003C5D1F">
        <w:t>2029346AC1EDEDEA 16E0F6F082A8FB46 CCF4D67F339D3A08 87C3360E2C3A6B0F</w:t>
      </w:r>
      <w:r>
        <w:t>.</w:t>
      </w:r>
    </w:p>
  </w:footnote>
  <w:footnote w:id="23">
    <w:p w14:paraId="3AE7D3AC" w14:textId="77777777" w:rsidR="003B4057" w:rsidRPr="00FF0215" w:rsidRDefault="003B4057" w:rsidP="00123C3D">
      <w:pPr>
        <w:pStyle w:val="Textonotapie"/>
        <w:rPr>
          <w:b/>
        </w:rPr>
      </w:pPr>
      <w:r w:rsidRPr="00FF0215">
        <w:rPr>
          <w:rStyle w:val="Refdenotaalpie"/>
          <w:color w:val="000000"/>
        </w:rPr>
        <w:footnoteRef/>
      </w:r>
      <w:r w:rsidRPr="00FF0215">
        <w:t xml:space="preserve"> Sobre este lapso de seis meses, ha habido una continua comunicación concordante entre la jurisprudencia de la Corte Constitucional y del Consejo de Estado, quienes, como tribunales de cierre en sus jurisdicciones lo han definido como razonable. Por ejemplo, en la sentencia del Tribunal Constitucional T-246 de 2015, se alude a este criterio a partir de la sentencia proferida por la Sala Plena de esta Corporación, del 5 de agosto de 2014,  en la que, explícitamente,  “(…) la Sala Plena, </w:t>
      </w:r>
      <w:r w:rsidRPr="00FF0215">
        <w:rPr>
          <w:u w:val="single"/>
        </w:rPr>
        <w:t>como regla general</w:t>
      </w:r>
      <w:r w:rsidRPr="00FF0215">
        <w:t>, acoge un plazo de seis meses, contados a partir de la notificación o ejecutoria de la sentencia, según el caso, para determinar si la acción de tutela contra providencias judiciales se ejerce oportunamente” (Radicado: 11001-03-15-000-2012-02201-01). Léase también en las sentencias T-269 de 2018 y T-079 de 2018.</w:t>
      </w:r>
    </w:p>
    <w:p w14:paraId="6AB0333E" w14:textId="77777777" w:rsidR="003B4057" w:rsidRPr="00FF0215" w:rsidRDefault="003B4057" w:rsidP="00123C3D">
      <w:pPr>
        <w:pStyle w:val="Textonotapie"/>
        <w:rPr>
          <w:b/>
        </w:rPr>
      </w:pPr>
      <w:r w:rsidRPr="00FF0215">
        <w:t>Lo anterior, en todo caso, debe tomarse de manera flexible a partir de las condiciones del caso concreto, pues, como lo deja claramente dicho la Corte Constitucional en la ya mencionada sentencia T-246 de 2015, confirmando las sentencias T-328 de 2010, T-860 de 2011, T-217 de 2013 y T-505 del mismo año, “el requisito de la inmediatez deberá ser abordado desde la discrecionalidad y autonomía judicial, con el fin de que cada juez evalúe si la solicitud fue presentada dentro de un plazo razonable y proporcional, toda vez que, </w:t>
      </w:r>
      <w:r w:rsidRPr="00FF0215">
        <w:rPr>
          <w:iCs/>
        </w:rPr>
        <w:t>“[…] en algunos casos, seis (6) meses podrían resultar suficientes para declarar la tutela improcedente; pero, en otros eventos, un término de 2 años se podría considerar razonable para ejercer la acción de tutela, ya que todo dependerá de las particularidades del caso”</w:t>
      </w:r>
      <w:r w:rsidRPr="00FF0215">
        <w:t>.</w:t>
      </w:r>
    </w:p>
  </w:footnote>
  <w:footnote w:id="24">
    <w:p w14:paraId="6A38CEAD" w14:textId="77777777" w:rsidR="003B4057" w:rsidRDefault="003B4057" w:rsidP="00123C3D">
      <w:pPr>
        <w:pStyle w:val="Textonotapie"/>
      </w:pPr>
      <w:r>
        <w:rPr>
          <w:rStyle w:val="Refdenotaalpie"/>
        </w:rPr>
        <w:footnoteRef/>
      </w:r>
      <w:r>
        <w:t xml:space="preserve"> </w:t>
      </w:r>
      <w:r w:rsidRPr="00FF0215">
        <w:t>Hay que tener en cuenta que la inmediatez no está prevista como un término o un plazo de caducidad para la presentación de las acciones de tutela, pero si exige que el escrito debe promoverse en un plazo razonable desde la posible vulneración de derechos acaecida. La sentencia SU-961de 1999 concretó el principio de inmediatez en términos de razonabilidad en el siguiente sentido:</w:t>
      </w:r>
      <w:r w:rsidRPr="00FF0215">
        <w:rPr>
          <w:b/>
        </w:rPr>
        <w:t xml:space="preserve"> </w:t>
      </w:r>
      <w:r w:rsidRPr="00FF0215">
        <w:t>“Teniendo en cuenta este sentido de proporcionalidad entre medios y fines, la inexistencia de un término de caducidad no puede significar que la acción de tutela no deba interponerse dentro de un plazo razonable.  La razonabilidad de este plazo está determinada por la finalidad misma de la tutela, que debe ser ponderada en cada caso concreto.  De acuerdo con los hechos, entonces, el juez está encargado de establecer si la tutela se interpuso dentro de un tiempo prudencial y adecuado, de tal modo que no se vulneren derechos de terceros.</w:t>
      </w:r>
      <w:r w:rsidRPr="00FF0215">
        <w:rPr>
          <w:b/>
        </w:rPr>
        <w:t xml:space="preserve"> </w:t>
      </w:r>
      <w:r w:rsidRPr="00FF0215">
        <w:rPr>
          <w:bCs/>
        </w:rPr>
        <w:t>||</w:t>
      </w:r>
      <w:r w:rsidRPr="00FF0215">
        <w:t xml:space="preserve"> Si bien el término para interponer la acción de tutela no es susceptible de establecerse de antemano de manera afirmativa, el juez está en la obligación de verificar cuándo ésta no se ha interpuesto de manera razonable, impidiendo que se convierta en factor de inseguridad, que de alguna forma afecte los derechos fundamentales de terceros, o que desnaturalice la acción […]”.</w:t>
      </w:r>
    </w:p>
  </w:footnote>
  <w:footnote w:id="25">
    <w:p w14:paraId="12A38EC0" w14:textId="269737B9" w:rsidR="003B4057" w:rsidRDefault="003B4057">
      <w:pPr>
        <w:pStyle w:val="Textonotapie"/>
      </w:pPr>
      <w:r>
        <w:rPr>
          <w:rStyle w:val="Refdenotaalpie"/>
        </w:rPr>
        <w:footnoteRef/>
      </w:r>
      <w:r>
        <w:t xml:space="preserve"> Corte Constitucional. Sentencia T-461 de 2019.</w:t>
      </w:r>
    </w:p>
  </w:footnote>
  <w:footnote w:id="26">
    <w:p w14:paraId="73AA6F53" w14:textId="686A8B0D" w:rsidR="003B4057" w:rsidRPr="00123C3D" w:rsidRDefault="003B4057" w:rsidP="00123C3D">
      <w:pPr>
        <w:pStyle w:val="Textonotapie"/>
        <w:shd w:val="clear" w:color="auto" w:fill="FFFFFF"/>
        <w:ind w:left="283" w:hanging="283"/>
        <w:rPr>
          <w:rFonts w:eastAsia="Times New Roman"/>
          <w:color w:val="000000"/>
          <w:lang w:eastAsia="en-US"/>
        </w:rPr>
      </w:pPr>
      <w:r w:rsidRPr="00123C3D">
        <w:rPr>
          <w:rStyle w:val="Refdenotaalpie"/>
        </w:rPr>
        <w:footnoteRef/>
      </w:r>
      <w:r w:rsidRPr="00123C3D">
        <w:t xml:space="preserve"> Corte Constitucional. Sentencia</w:t>
      </w:r>
      <w:r w:rsidR="00356B90">
        <w:t>s</w:t>
      </w:r>
      <w:r w:rsidRPr="00123C3D">
        <w:rPr>
          <w:rFonts w:eastAsia="Times New Roman"/>
          <w:color w:val="000000"/>
          <w:lang w:eastAsia="en-US"/>
        </w:rPr>
        <w:t xml:space="preserve"> SU-168 de 2017 y SU-108 de 2018.</w:t>
      </w:r>
    </w:p>
  </w:footnote>
  <w:footnote w:id="27">
    <w:p w14:paraId="567A5062" w14:textId="6E9F16D4" w:rsidR="003B4057" w:rsidRPr="00123C3D" w:rsidRDefault="003B4057" w:rsidP="00123C3D">
      <w:pPr>
        <w:pStyle w:val="Textonotapie"/>
      </w:pPr>
      <w:r w:rsidRPr="00123C3D">
        <w:rPr>
          <w:rStyle w:val="Refdenotaalpie"/>
        </w:rPr>
        <w:footnoteRef/>
      </w:r>
      <w:r w:rsidRPr="00123C3D">
        <w:t xml:space="preserve"> Corte Constitucional. Sentencias T-461 de 2019, </w:t>
      </w:r>
      <w:r w:rsidRPr="00123C3D">
        <w:rPr>
          <w:color w:val="000000"/>
          <w:shd w:val="clear" w:color="auto" w:fill="FFFFFF"/>
        </w:rPr>
        <w:t>SU-120 de 2003 y SU-055 de 2018.</w:t>
      </w:r>
    </w:p>
  </w:footnote>
  <w:footnote w:id="28">
    <w:p w14:paraId="3A6E7584" w14:textId="1BDC8E8C" w:rsidR="003B4057" w:rsidRDefault="003B4057">
      <w:pPr>
        <w:pStyle w:val="Textonotapie"/>
      </w:pPr>
      <w:r>
        <w:rPr>
          <w:rStyle w:val="Refdenotaalpie"/>
        </w:rPr>
        <w:footnoteRef/>
      </w:r>
      <w:r>
        <w:t xml:space="preserve"> </w:t>
      </w:r>
      <w:r w:rsidRPr="006A0A5F">
        <w:t>Barreto Leiva vs Venezuela, del 17 de noviembre de 2009</w:t>
      </w:r>
      <w:r>
        <w:t>.</w:t>
      </w:r>
    </w:p>
  </w:footnote>
  <w:footnote w:id="29">
    <w:p w14:paraId="4C9CE7B2" w14:textId="139B92A8" w:rsidR="003B4057" w:rsidRDefault="003B4057">
      <w:pPr>
        <w:pStyle w:val="Textonotapie"/>
      </w:pPr>
      <w:r>
        <w:rPr>
          <w:rStyle w:val="Refdenotaalpie"/>
        </w:rPr>
        <w:footnoteRef/>
      </w:r>
      <w:r>
        <w:t xml:space="preserve"> </w:t>
      </w:r>
      <w:r w:rsidRPr="006A0A5F">
        <w:t>Liakat A</w:t>
      </w:r>
      <w:r>
        <w:t>li Alibux vs. Suriname, d</w:t>
      </w:r>
      <w:r w:rsidRPr="006A0A5F">
        <w:t>el 30 de enero de 2014</w:t>
      </w:r>
      <w:r>
        <w:t>.</w:t>
      </w:r>
    </w:p>
  </w:footnote>
  <w:footnote w:id="30">
    <w:p w14:paraId="5B2ECD0F" w14:textId="227B5D19" w:rsidR="003F34D0" w:rsidRDefault="003F34D0">
      <w:pPr>
        <w:pStyle w:val="Textonotapie"/>
      </w:pPr>
      <w:r>
        <w:rPr>
          <w:rStyle w:val="Refdenotaalpie"/>
        </w:rPr>
        <w:footnoteRef/>
      </w:r>
      <w:r>
        <w:t xml:space="preserve"> Página 28 del archivo electrónico que contiene la acción de tutela, con ubicación: </w:t>
      </w:r>
      <w:r w:rsidRPr="002B7A72">
        <w:t>C32ACA5E3B1A1F91 D7EE248AF10B3BF8 91410C0CE3984AA6 4C6B170471B763BB</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6ABD7" w14:textId="77777777" w:rsidR="003B4057" w:rsidRPr="00A15ACE" w:rsidRDefault="003B4057">
    <w:pPr>
      <w:pStyle w:val="Encabezado"/>
    </w:pPr>
    <w:r>
      <w:rPr>
        <w:noProof/>
        <w:lang w:val="en-US" w:eastAsia="en-U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3B4057" w:rsidRPr="00A15ACE" w:rsidRDefault="003B4057">
    <w:pPr>
      <w:pStyle w:val="Encabezado"/>
    </w:pPr>
  </w:p>
  <w:p w14:paraId="4B90DC7A" w14:textId="77777777" w:rsidR="003B4057" w:rsidRPr="00A15ACE" w:rsidRDefault="003B4057">
    <w:pPr>
      <w:pStyle w:val="Encabezado"/>
    </w:pPr>
    <w:r w:rsidRPr="0070023E">
      <w:rPr>
        <w:noProof/>
        <w:sz w:val="20"/>
        <w:szCs w:val="20"/>
        <w:lang w:val="en-US" w:eastAsia="en-U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6386F07"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074EF6EC" w:rsidR="003B4057" w:rsidRPr="00E90759" w:rsidRDefault="003B4057" w:rsidP="00D86793">
    <w:pPr>
      <w:tabs>
        <w:tab w:val="center" w:pos="4252"/>
        <w:tab w:val="right" w:pos="8504"/>
      </w:tabs>
      <w:jc w:val="right"/>
      <w:rPr>
        <w:color w:val="767171"/>
        <w:sz w:val="20"/>
        <w:szCs w:val="20"/>
      </w:rPr>
    </w:pPr>
    <w:r w:rsidRPr="00E90759">
      <w:rPr>
        <w:color w:val="767171"/>
        <w:sz w:val="20"/>
        <w:szCs w:val="20"/>
      </w:rPr>
      <w:t xml:space="preserve">Radicado: </w:t>
    </w:r>
    <w:r w:rsidRPr="007A6554">
      <w:rPr>
        <w:bCs/>
        <w:color w:val="767171"/>
        <w:sz w:val="20"/>
        <w:szCs w:val="20"/>
      </w:rPr>
      <w:t>11001-03-15-000-2020-04335-00</w:t>
    </w:r>
  </w:p>
  <w:p w14:paraId="07B33FD0" w14:textId="61C669D8" w:rsidR="003B4057" w:rsidRPr="00F532EA" w:rsidRDefault="003B4057" w:rsidP="007A6554">
    <w:pPr>
      <w:tabs>
        <w:tab w:val="center" w:pos="4252"/>
        <w:tab w:val="right" w:pos="8504"/>
      </w:tabs>
      <w:jc w:val="right"/>
      <w:rPr>
        <w:color w:val="767171"/>
        <w:sz w:val="20"/>
        <w:szCs w:val="20"/>
      </w:rPr>
    </w:pPr>
    <w:r w:rsidRPr="00E90759">
      <w:rPr>
        <w:color w:val="767171"/>
        <w:sz w:val="20"/>
        <w:szCs w:val="20"/>
      </w:rPr>
      <w:tab/>
    </w:r>
    <w:r w:rsidRPr="00E90759">
      <w:rPr>
        <w:color w:val="767171"/>
        <w:sz w:val="20"/>
        <w:szCs w:val="20"/>
      </w:rPr>
      <w:tab/>
      <w:t>Accionante:</w:t>
    </w:r>
    <w:r>
      <w:rPr>
        <w:color w:val="767171"/>
        <w:sz w:val="20"/>
        <w:szCs w:val="20"/>
      </w:rPr>
      <w:t xml:space="preserve"> </w:t>
    </w:r>
    <w:r w:rsidRPr="007A6554">
      <w:rPr>
        <w:bCs/>
        <w:color w:val="767171"/>
        <w:sz w:val="20"/>
        <w:szCs w:val="20"/>
      </w:rPr>
      <w:t>Luis Felipe Barrios Barrios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9D0D6" w14:textId="77777777" w:rsidR="003B4057" w:rsidRPr="00A15ACE" w:rsidRDefault="003B4057" w:rsidP="00F1441F">
    <w:pPr>
      <w:pStyle w:val="Encabezado"/>
    </w:pPr>
    <w:r>
      <w:rPr>
        <w:noProof/>
        <w:lang w:val="en-US" w:eastAsia="en-U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3B4057" w:rsidRPr="00A15ACE" w:rsidRDefault="003B4057" w:rsidP="00F1441F">
    <w:pPr>
      <w:pStyle w:val="Encabezado"/>
      <w:rPr>
        <w:color w:val="767171"/>
      </w:rPr>
    </w:pPr>
  </w:p>
  <w:p w14:paraId="3F3B7A5B" w14:textId="77777777" w:rsidR="003B4057" w:rsidRPr="007F276C" w:rsidRDefault="003B4057" w:rsidP="00D86793">
    <w:pPr>
      <w:pStyle w:val="Sinespaciado"/>
    </w:pPr>
    <w:r w:rsidRPr="007F276C">
      <w:t>CONSEJO DE ESTADO</w:t>
    </w:r>
  </w:p>
  <w:p w14:paraId="6EF027A0" w14:textId="77777777" w:rsidR="003B4057" w:rsidRPr="007F276C" w:rsidRDefault="003B4057" w:rsidP="00D86793">
    <w:pPr>
      <w:pStyle w:val="Sinespaciado"/>
    </w:pPr>
    <w:r w:rsidRPr="007F276C">
      <w:t>SALA DE LO CONTENCIOSO ADMINISTRATIVO</w:t>
    </w:r>
  </w:p>
  <w:p w14:paraId="2FC4305D" w14:textId="77777777" w:rsidR="003B4057" w:rsidRPr="007F276C" w:rsidRDefault="003B4057" w:rsidP="00D86793">
    <w:pPr>
      <w:pStyle w:val="Sinespaciado"/>
    </w:pPr>
    <w:r w:rsidRPr="007F276C">
      <w:t>SECCIÓN TERCERA – SUBSECCIÓN C</w:t>
    </w:r>
  </w:p>
  <w:p w14:paraId="2BA226A1" w14:textId="77777777" w:rsidR="003B4057" w:rsidRDefault="003B405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176614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3870CD0"/>
    <w:multiLevelType w:val="hybridMultilevel"/>
    <w:tmpl w:val="EE9A0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094E1743"/>
    <w:multiLevelType w:val="multilevel"/>
    <w:tmpl w:val="771C0008"/>
    <w:lvl w:ilvl="0">
      <w:start w:val="1"/>
      <w:numFmt w:val="ordinalText"/>
      <w:lvlText w:val="%1."/>
      <w:lvlJc w:val="left"/>
      <w:pPr>
        <w:ind w:left="0" w:firstLine="0"/>
      </w:pPr>
      <w:rPr>
        <w:rFonts w:ascii="Arial" w:hAnsi="Arial" w:hint="default"/>
        <w:b/>
        <w:i w:val="0"/>
        <w:caps/>
        <w:strike w:val="0"/>
        <w:dstrike w:val="0"/>
        <w:vanish w:val="0"/>
        <w:sz w:val="24"/>
        <w:vertAlign w:val="baselin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3F28B4"/>
    <w:multiLevelType w:val="hybridMultilevel"/>
    <w:tmpl w:val="1876C7E4"/>
    <w:lvl w:ilvl="0" w:tplc="04DCEE46">
      <w:start w:val="4"/>
      <w:numFmt w:val="decimal"/>
      <w:lvlText w:val="%1."/>
      <w:lvlJc w:val="left"/>
      <w:pPr>
        <w:ind w:left="720" w:hanging="360"/>
      </w:pPr>
      <w:rPr>
        <w:rFonts w:ascii="Arial"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374F73"/>
    <w:multiLevelType w:val="multilevel"/>
    <w:tmpl w:val="AE463D5A"/>
    <w:lvl w:ilvl="0">
      <w:start w:val="1"/>
      <w:numFmt w:val="decimal"/>
      <w:pStyle w:val="Ttulo1"/>
      <w:lvlText w:val="%1)"/>
      <w:lvlJc w:val="left"/>
      <w:pPr>
        <w:ind w:left="720" w:hanging="360"/>
      </w:pPr>
    </w:lvl>
    <w:lvl w:ilvl="1">
      <w:start w:val="2"/>
      <w:numFmt w:val="decimal"/>
      <w:isLgl/>
      <w:lvlText w:val="%1.%2."/>
      <w:lvlJc w:val="left"/>
      <w:pPr>
        <w:ind w:left="1248" w:hanging="888"/>
      </w:pPr>
      <w:rPr>
        <w:rFonts w:hint="default"/>
        <w:b/>
      </w:rPr>
    </w:lvl>
    <w:lvl w:ilvl="2">
      <w:start w:val="2"/>
      <w:numFmt w:val="decimal"/>
      <w:isLgl/>
      <w:lvlText w:val="%1.%2.%3."/>
      <w:lvlJc w:val="left"/>
      <w:pPr>
        <w:ind w:left="1248" w:hanging="888"/>
      </w:pPr>
      <w:rPr>
        <w:rFonts w:hint="default"/>
        <w:b/>
      </w:rPr>
    </w:lvl>
    <w:lvl w:ilvl="3">
      <w:start w:val="2"/>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6"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5B47816"/>
    <w:multiLevelType w:val="hybridMultilevel"/>
    <w:tmpl w:val="14847664"/>
    <w:lvl w:ilvl="0" w:tplc="580AF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D0D1EDF"/>
    <w:multiLevelType w:val="hybridMultilevel"/>
    <w:tmpl w:val="3F8C5E48"/>
    <w:lvl w:ilvl="0" w:tplc="7010B0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1032F3"/>
    <w:multiLevelType w:val="hybridMultilevel"/>
    <w:tmpl w:val="BC86DE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5323BC"/>
    <w:multiLevelType w:val="hybridMultilevel"/>
    <w:tmpl w:val="CC347AC8"/>
    <w:lvl w:ilvl="0" w:tplc="D66EF7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0A71653"/>
    <w:multiLevelType w:val="hybridMultilevel"/>
    <w:tmpl w:val="5FB6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3"/>
  </w:num>
  <w:num w:numId="5">
    <w:abstractNumId w:val="15"/>
  </w:num>
  <w:num w:numId="6">
    <w:abstractNumId w:val="34"/>
  </w:num>
  <w:num w:numId="7">
    <w:abstractNumId w:val="27"/>
  </w:num>
  <w:num w:numId="8">
    <w:abstractNumId w:val="38"/>
  </w:num>
  <w:num w:numId="9">
    <w:abstractNumId w:val="16"/>
  </w:num>
  <w:num w:numId="10">
    <w:abstractNumId w:val="14"/>
  </w:num>
  <w:num w:numId="11">
    <w:abstractNumId w:val="35"/>
  </w:num>
  <w:num w:numId="12">
    <w:abstractNumId w:val="11"/>
  </w:num>
  <w:num w:numId="13">
    <w:abstractNumId w:val="23"/>
  </w:num>
  <w:num w:numId="14">
    <w:abstractNumId w:val="28"/>
  </w:num>
  <w:num w:numId="15">
    <w:abstractNumId w:val="30"/>
  </w:num>
  <w:num w:numId="16">
    <w:abstractNumId w:val="32"/>
  </w:num>
  <w:num w:numId="17">
    <w:abstractNumId w:val="21"/>
  </w:num>
  <w:num w:numId="18">
    <w:abstractNumId w:val="39"/>
  </w:num>
  <w:num w:numId="19">
    <w:abstractNumId w:val="20"/>
  </w:num>
  <w:num w:numId="20">
    <w:abstractNumId w:val="7"/>
  </w:num>
  <w:num w:numId="21">
    <w:abstractNumId w:val="12"/>
  </w:num>
  <w:num w:numId="22">
    <w:abstractNumId w:val="36"/>
  </w:num>
  <w:num w:numId="23">
    <w:abstractNumId w:val="33"/>
  </w:num>
  <w:num w:numId="24">
    <w:abstractNumId w:val="24"/>
  </w:num>
  <w:num w:numId="25">
    <w:abstractNumId w:val="1"/>
  </w:num>
  <w:num w:numId="26">
    <w:abstractNumId w:val="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9"/>
  </w:num>
  <w:num w:numId="30">
    <w:abstractNumId w:val="9"/>
  </w:num>
  <w:num w:numId="31">
    <w:abstractNumId w:val="18"/>
  </w:num>
  <w:num w:numId="32">
    <w:abstractNumId w:val="5"/>
  </w:num>
  <w:num w:numId="33">
    <w:abstractNumId w:val="22"/>
  </w:num>
  <w:num w:numId="34">
    <w:abstractNumId w:val="26"/>
  </w:num>
  <w:num w:numId="35">
    <w:abstractNumId w:val="31"/>
  </w:num>
  <w:num w:numId="36">
    <w:abstractNumId w:val="10"/>
  </w:num>
  <w:num w:numId="37">
    <w:abstractNumId w:val="25"/>
  </w:num>
  <w:num w:numId="38">
    <w:abstractNumId w:val="37"/>
  </w:num>
  <w:num w:numId="39">
    <w:abstractNumId w:val="6"/>
  </w:num>
  <w:num w:numId="40">
    <w:abstractNumId w:val="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30FE"/>
    <w:rsid w:val="00006D3C"/>
    <w:rsid w:val="0000700B"/>
    <w:rsid w:val="0001153F"/>
    <w:rsid w:val="00017CB3"/>
    <w:rsid w:val="000222E9"/>
    <w:rsid w:val="00047317"/>
    <w:rsid w:val="00050B7A"/>
    <w:rsid w:val="00055F6C"/>
    <w:rsid w:val="00061B93"/>
    <w:rsid w:val="00071092"/>
    <w:rsid w:val="000728E0"/>
    <w:rsid w:val="00073869"/>
    <w:rsid w:val="000831C0"/>
    <w:rsid w:val="00083B8F"/>
    <w:rsid w:val="00094E7B"/>
    <w:rsid w:val="000A08DB"/>
    <w:rsid w:val="000A4394"/>
    <w:rsid w:val="000B0F24"/>
    <w:rsid w:val="000B4EEA"/>
    <w:rsid w:val="000C1526"/>
    <w:rsid w:val="000C1653"/>
    <w:rsid w:val="000C2B43"/>
    <w:rsid w:val="000C5DB7"/>
    <w:rsid w:val="000C7B4F"/>
    <w:rsid w:val="000D0E41"/>
    <w:rsid w:val="000D5563"/>
    <w:rsid w:val="000D5B8F"/>
    <w:rsid w:val="000E2D62"/>
    <w:rsid w:val="000F12D1"/>
    <w:rsid w:val="000F2BDB"/>
    <w:rsid w:val="000F5F9A"/>
    <w:rsid w:val="00103707"/>
    <w:rsid w:val="001049F0"/>
    <w:rsid w:val="001053A0"/>
    <w:rsid w:val="0011573A"/>
    <w:rsid w:val="00117091"/>
    <w:rsid w:val="00121E1C"/>
    <w:rsid w:val="00123C3D"/>
    <w:rsid w:val="001269EB"/>
    <w:rsid w:val="00130D16"/>
    <w:rsid w:val="001314F6"/>
    <w:rsid w:val="00133F91"/>
    <w:rsid w:val="00137329"/>
    <w:rsid w:val="0014233F"/>
    <w:rsid w:val="001435BE"/>
    <w:rsid w:val="0015444A"/>
    <w:rsid w:val="00155E78"/>
    <w:rsid w:val="00164F76"/>
    <w:rsid w:val="00166AF6"/>
    <w:rsid w:val="001844D1"/>
    <w:rsid w:val="001862A2"/>
    <w:rsid w:val="00190848"/>
    <w:rsid w:val="001942F4"/>
    <w:rsid w:val="00194CD0"/>
    <w:rsid w:val="00196A61"/>
    <w:rsid w:val="00196FC9"/>
    <w:rsid w:val="001C2C9C"/>
    <w:rsid w:val="001C3C1F"/>
    <w:rsid w:val="001C660C"/>
    <w:rsid w:val="001D4E62"/>
    <w:rsid w:val="001E3667"/>
    <w:rsid w:val="00201EC3"/>
    <w:rsid w:val="00205BC7"/>
    <w:rsid w:val="00206285"/>
    <w:rsid w:val="0020681E"/>
    <w:rsid w:val="00210CB5"/>
    <w:rsid w:val="00213409"/>
    <w:rsid w:val="00213E7F"/>
    <w:rsid w:val="00214D23"/>
    <w:rsid w:val="002230E3"/>
    <w:rsid w:val="00225CCB"/>
    <w:rsid w:val="00231ADD"/>
    <w:rsid w:val="002412F4"/>
    <w:rsid w:val="002428C5"/>
    <w:rsid w:val="0024432D"/>
    <w:rsid w:val="00244CBE"/>
    <w:rsid w:val="00246239"/>
    <w:rsid w:val="00246A73"/>
    <w:rsid w:val="0024709C"/>
    <w:rsid w:val="00254098"/>
    <w:rsid w:val="002644F3"/>
    <w:rsid w:val="00265827"/>
    <w:rsid w:val="002724AE"/>
    <w:rsid w:val="002763AB"/>
    <w:rsid w:val="00281874"/>
    <w:rsid w:val="0028665C"/>
    <w:rsid w:val="002869A6"/>
    <w:rsid w:val="00290374"/>
    <w:rsid w:val="002A2E49"/>
    <w:rsid w:val="002A31AD"/>
    <w:rsid w:val="002B7A72"/>
    <w:rsid w:val="002C12BC"/>
    <w:rsid w:val="002C7515"/>
    <w:rsid w:val="002D480B"/>
    <w:rsid w:val="002D6ECC"/>
    <w:rsid w:val="002E1978"/>
    <w:rsid w:val="002E1F0E"/>
    <w:rsid w:val="002F03BA"/>
    <w:rsid w:val="002F64FE"/>
    <w:rsid w:val="003023C3"/>
    <w:rsid w:val="003039C9"/>
    <w:rsid w:val="00304C4E"/>
    <w:rsid w:val="003052E4"/>
    <w:rsid w:val="0031514A"/>
    <w:rsid w:val="003238FC"/>
    <w:rsid w:val="00324DE6"/>
    <w:rsid w:val="003510B9"/>
    <w:rsid w:val="0035183B"/>
    <w:rsid w:val="00356B90"/>
    <w:rsid w:val="003570E1"/>
    <w:rsid w:val="00357179"/>
    <w:rsid w:val="00360658"/>
    <w:rsid w:val="00361478"/>
    <w:rsid w:val="00362652"/>
    <w:rsid w:val="00371861"/>
    <w:rsid w:val="00374674"/>
    <w:rsid w:val="00381134"/>
    <w:rsid w:val="00383156"/>
    <w:rsid w:val="00383425"/>
    <w:rsid w:val="00384507"/>
    <w:rsid w:val="00387BBC"/>
    <w:rsid w:val="00390BCB"/>
    <w:rsid w:val="00393C50"/>
    <w:rsid w:val="00394A69"/>
    <w:rsid w:val="003A12C4"/>
    <w:rsid w:val="003A67E8"/>
    <w:rsid w:val="003B1610"/>
    <w:rsid w:val="003B3A4B"/>
    <w:rsid w:val="003B4057"/>
    <w:rsid w:val="003B4515"/>
    <w:rsid w:val="003B53C5"/>
    <w:rsid w:val="003C5D1F"/>
    <w:rsid w:val="003D1B94"/>
    <w:rsid w:val="003D5051"/>
    <w:rsid w:val="003F0530"/>
    <w:rsid w:val="003F2BA3"/>
    <w:rsid w:val="003F34D0"/>
    <w:rsid w:val="003F3E88"/>
    <w:rsid w:val="003F4EE1"/>
    <w:rsid w:val="003F7FF5"/>
    <w:rsid w:val="0040213E"/>
    <w:rsid w:val="00402998"/>
    <w:rsid w:val="0040300E"/>
    <w:rsid w:val="004034E1"/>
    <w:rsid w:val="0040696B"/>
    <w:rsid w:val="004168CB"/>
    <w:rsid w:val="00416BFD"/>
    <w:rsid w:val="004211FA"/>
    <w:rsid w:val="00424723"/>
    <w:rsid w:val="00424E5E"/>
    <w:rsid w:val="00430389"/>
    <w:rsid w:val="00430D89"/>
    <w:rsid w:val="00435B54"/>
    <w:rsid w:val="00447956"/>
    <w:rsid w:val="0045670F"/>
    <w:rsid w:val="0046112D"/>
    <w:rsid w:val="0046147E"/>
    <w:rsid w:val="00464534"/>
    <w:rsid w:val="0047256F"/>
    <w:rsid w:val="00472F35"/>
    <w:rsid w:val="004758E5"/>
    <w:rsid w:val="00477E88"/>
    <w:rsid w:val="004849BB"/>
    <w:rsid w:val="004857F6"/>
    <w:rsid w:val="00491910"/>
    <w:rsid w:val="00491D4D"/>
    <w:rsid w:val="00492256"/>
    <w:rsid w:val="00497735"/>
    <w:rsid w:val="004A1D38"/>
    <w:rsid w:val="004A59E5"/>
    <w:rsid w:val="004B2679"/>
    <w:rsid w:val="004B4A7E"/>
    <w:rsid w:val="004D5983"/>
    <w:rsid w:val="004D63F2"/>
    <w:rsid w:val="004D6EBF"/>
    <w:rsid w:val="004E2F3B"/>
    <w:rsid w:val="004E3D73"/>
    <w:rsid w:val="004E53AE"/>
    <w:rsid w:val="004E58D2"/>
    <w:rsid w:val="004F4ABD"/>
    <w:rsid w:val="00500231"/>
    <w:rsid w:val="005018DD"/>
    <w:rsid w:val="00503FCD"/>
    <w:rsid w:val="00505263"/>
    <w:rsid w:val="005127CB"/>
    <w:rsid w:val="00516527"/>
    <w:rsid w:val="00517C2C"/>
    <w:rsid w:val="00522073"/>
    <w:rsid w:val="00530CAD"/>
    <w:rsid w:val="00532FB6"/>
    <w:rsid w:val="0054069D"/>
    <w:rsid w:val="0055563D"/>
    <w:rsid w:val="00556E05"/>
    <w:rsid w:val="00557225"/>
    <w:rsid w:val="00557C40"/>
    <w:rsid w:val="00561A2D"/>
    <w:rsid w:val="005630DC"/>
    <w:rsid w:val="00566046"/>
    <w:rsid w:val="00566726"/>
    <w:rsid w:val="00576DEB"/>
    <w:rsid w:val="00580C78"/>
    <w:rsid w:val="005839DF"/>
    <w:rsid w:val="00585CA2"/>
    <w:rsid w:val="00590624"/>
    <w:rsid w:val="005A358C"/>
    <w:rsid w:val="005A487C"/>
    <w:rsid w:val="005B52CE"/>
    <w:rsid w:val="005C4899"/>
    <w:rsid w:val="005C4BEF"/>
    <w:rsid w:val="005D169C"/>
    <w:rsid w:val="005D1791"/>
    <w:rsid w:val="005D40F8"/>
    <w:rsid w:val="005E320E"/>
    <w:rsid w:val="005F0AEA"/>
    <w:rsid w:val="005F3FE0"/>
    <w:rsid w:val="00605133"/>
    <w:rsid w:val="00606DD9"/>
    <w:rsid w:val="006146CC"/>
    <w:rsid w:val="00621F3E"/>
    <w:rsid w:val="00624823"/>
    <w:rsid w:val="006346C2"/>
    <w:rsid w:val="006371BF"/>
    <w:rsid w:val="00646B99"/>
    <w:rsid w:val="00651F05"/>
    <w:rsid w:val="006615F2"/>
    <w:rsid w:val="00663267"/>
    <w:rsid w:val="00664A8F"/>
    <w:rsid w:val="00670737"/>
    <w:rsid w:val="00673A7B"/>
    <w:rsid w:val="006763DE"/>
    <w:rsid w:val="00683B42"/>
    <w:rsid w:val="00685672"/>
    <w:rsid w:val="00687E32"/>
    <w:rsid w:val="00693EC9"/>
    <w:rsid w:val="00695825"/>
    <w:rsid w:val="006A0A5F"/>
    <w:rsid w:val="006C2295"/>
    <w:rsid w:val="006D0C94"/>
    <w:rsid w:val="006D4799"/>
    <w:rsid w:val="006E3805"/>
    <w:rsid w:val="006E4B13"/>
    <w:rsid w:val="006E541C"/>
    <w:rsid w:val="006E6C52"/>
    <w:rsid w:val="006F375B"/>
    <w:rsid w:val="006F5DF1"/>
    <w:rsid w:val="006F6047"/>
    <w:rsid w:val="006F69B7"/>
    <w:rsid w:val="0070023E"/>
    <w:rsid w:val="00701255"/>
    <w:rsid w:val="0072475A"/>
    <w:rsid w:val="0074235D"/>
    <w:rsid w:val="00744ABF"/>
    <w:rsid w:val="00744EF2"/>
    <w:rsid w:val="00745D63"/>
    <w:rsid w:val="00746E9B"/>
    <w:rsid w:val="00751493"/>
    <w:rsid w:val="007548E5"/>
    <w:rsid w:val="00760DAF"/>
    <w:rsid w:val="007650A8"/>
    <w:rsid w:val="007655BD"/>
    <w:rsid w:val="007706B2"/>
    <w:rsid w:val="00773A85"/>
    <w:rsid w:val="00777AF7"/>
    <w:rsid w:val="00777F45"/>
    <w:rsid w:val="00782B25"/>
    <w:rsid w:val="00783E45"/>
    <w:rsid w:val="00784355"/>
    <w:rsid w:val="00795A98"/>
    <w:rsid w:val="007A31EA"/>
    <w:rsid w:val="007A6554"/>
    <w:rsid w:val="007B1BF3"/>
    <w:rsid w:val="007C24FD"/>
    <w:rsid w:val="007C6F4B"/>
    <w:rsid w:val="007D4A96"/>
    <w:rsid w:val="007E05DC"/>
    <w:rsid w:val="007E7672"/>
    <w:rsid w:val="007F276C"/>
    <w:rsid w:val="007F3540"/>
    <w:rsid w:val="007F440B"/>
    <w:rsid w:val="00815720"/>
    <w:rsid w:val="00817A38"/>
    <w:rsid w:val="00822EDC"/>
    <w:rsid w:val="00823E1F"/>
    <w:rsid w:val="00835345"/>
    <w:rsid w:val="00844003"/>
    <w:rsid w:val="00854D6E"/>
    <w:rsid w:val="0085503B"/>
    <w:rsid w:val="00861541"/>
    <w:rsid w:val="0086226C"/>
    <w:rsid w:val="008644CB"/>
    <w:rsid w:val="00864EA7"/>
    <w:rsid w:val="00871943"/>
    <w:rsid w:val="00880936"/>
    <w:rsid w:val="008879C5"/>
    <w:rsid w:val="00894356"/>
    <w:rsid w:val="008972E3"/>
    <w:rsid w:val="008B37C4"/>
    <w:rsid w:val="008C0C5B"/>
    <w:rsid w:val="008C0DBE"/>
    <w:rsid w:val="008C4606"/>
    <w:rsid w:val="008C64B2"/>
    <w:rsid w:val="008D0BBD"/>
    <w:rsid w:val="008D7532"/>
    <w:rsid w:val="008E1403"/>
    <w:rsid w:val="00900BD2"/>
    <w:rsid w:val="00911C03"/>
    <w:rsid w:val="00911C2B"/>
    <w:rsid w:val="0091659F"/>
    <w:rsid w:val="00917A62"/>
    <w:rsid w:val="009210E8"/>
    <w:rsid w:val="009214E2"/>
    <w:rsid w:val="00931DA6"/>
    <w:rsid w:val="009354F0"/>
    <w:rsid w:val="009372DA"/>
    <w:rsid w:val="00937471"/>
    <w:rsid w:val="00940813"/>
    <w:rsid w:val="009446B7"/>
    <w:rsid w:val="00950031"/>
    <w:rsid w:val="00961510"/>
    <w:rsid w:val="009705EE"/>
    <w:rsid w:val="0097486A"/>
    <w:rsid w:val="00986FEF"/>
    <w:rsid w:val="00994A47"/>
    <w:rsid w:val="009952F2"/>
    <w:rsid w:val="00996286"/>
    <w:rsid w:val="00997024"/>
    <w:rsid w:val="00997AC5"/>
    <w:rsid w:val="009A2152"/>
    <w:rsid w:val="009A435F"/>
    <w:rsid w:val="009A4799"/>
    <w:rsid w:val="009A5798"/>
    <w:rsid w:val="009A645A"/>
    <w:rsid w:val="009A67E7"/>
    <w:rsid w:val="009A7548"/>
    <w:rsid w:val="009B5FF6"/>
    <w:rsid w:val="009C228F"/>
    <w:rsid w:val="009C49C2"/>
    <w:rsid w:val="009C5621"/>
    <w:rsid w:val="009C7485"/>
    <w:rsid w:val="009D3549"/>
    <w:rsid w:val="009E1193"/>
    <w:rsid w:val="009E2A2B"/>
    <w:rsid w:val="009E439C"/>
    <w:rsid w:val="009F5813"/>
    <w:rsid w:val="009F6FC6"/>
    <w:rsid w:val="00A0511A"/>
    <w:rsid w:val="00A068F3"/>
    <w:rsid w:val="00A07BCE"/>
    <w:rsid w:val="00A1349F"/>
    <w:rsid w:val="00A15ACE"/>
    <w:rsid w:val="00A21194"/>
    <w:rsid w:val="00A21542"/>
    <w:rsid w:val="00A21D7D"/>
    <w:rsid w:val="00A25C52"/>
    <w:rsid w:val="00A26DEE"/>
    <w:rsid w:val="00A37038"/>
    <w:rsid w:val="00A4379F"/>
    <w:rsid w:val="00A45C19"/>
    <w:rsid w:val="00A467BD"/>
    <w:rsid w:val="00A46CFB"/>
    <w:rsid w:val="00A60B1F"/>
    <w:rsid w:val="00A67ED6"/>
    <w:rsid w:val="00A71555"/>
    <w:rsid w:val="00A73868"/>
    <w:rsid w:val="00A73997"/>
    <w:rsid w:val="00A73E8D"/>
    <w:rsid w:val="00A75EBF"/>
    <w:rsid w:val="00A8702B"/>
    <w:rsid w:val="00AA1733"/>
    <w:rsid w:val="00AA2139"/>
    <w:rsid w:val="00AA2FF0"/>
    <w:rsid w:val="00AB33F4"/>
    <w:rsid w:val="00AB4309"/>
    <w:rsid w:val="00AB520E"/>
    <w:rsid w:val="00AB7F49"/>
    <w:rsid w:val="00AC3047"/>
    <w:rsid w:val="00AC5837"/>
    <w:rsid w:val="00AD3B2F"/>
    <w:rsid w:val="00AE3484"/>
    <w:rsid w:val="00AE5822"/>
    <w:rsid w:val="00AF3ED4"/>
    <w:rsid w:val="00AF634C"/>
    <w:rsid w:val="00B00068"/>
    <w:rsid w:val="00B02272"/>
    <w:rsid w:val="00B04EDB"/>
    <w:rsid w:val="00B1430F"/>
    <w:rsid w:val="00B14389"/>
    <w:rsid w:val="00B2086D"/>
    <w:rsid w:val="00B248E2"/>
    <w:rsid w:val="00B251D5"/>
    <w:rsid w:val="00B25A4C"/>
    <w:rsid w:val="00B41170"/>
    <w:rsid w:val="00B42EEA"/>
    <w:rsid w:val="00B53CE1"/>
    <w:rsid w:val="00B6360A"/>
    <w:rsid w:val="00B6429B"/>
    <w:rsid w:val="00B85BBD"/>
    <w:rsid w:val="00B866C5"/>
    <w:rsid w:val="00B9314A"/>
    <w:rsid w:val="00B97E8B"/>
    <w:rsid w:val="00BB0DD6"/>
    <w:rsid w:val="00BB79AE"/>
    <w:rsid w:val="00BC4E8F"/>
    <w:rsid w:val="00BD2872"/>
    <w:rsid w:val="00BD67B1"/>
    <w:rsid w:val="00BD7E70"/>
    <w:rsid w:val="00BE482B"/>
    <w:rsid w:val="00BE62C9"/>
    <w:rsid w:val="00BF1A9B"/>
    <w:rsid w:val="00BF2ACB"/>
    <w:rsid w:val="00BF6472"/>
    <w:rsid w:val="00C018AC"/>
    <w:rsid w:val="00C032C5"/>
    <w:rsid w:val="00C261E4"/>
    <w:rsid w:val="00C31E9D"/>
    <w:rsid w:val="00C341E3"/>
    <w:rsid w:val="00C432E0"/>
    <w:rsid w:val="00C43CA0"/>
    <w:rsid w:val="00C54A33"/>
    <w:rsid w:val="00C54C36"/>
    <w:rsid w:val="00C56966"/>
    <w:rsid w:val="00C7549A"/>
    <w:rsid w:val="00C80F49"/>
    <w:rsid w:val="00C83005"/>
    <w:rsid w:val="00C854F7"/>
    <w:rsid w:val="00C87516"/>
    <w:rsid w:val="00C92CD1"/>
    <w:rsid w:val="00C96568"/>
    <w:rsid w:val="00CA194B"/>
    <w:rsid w:val="00CB08C8"/>
    <w:rsid w:val="00CB3811"/>
    <w:rsid w:val="00CB5960"/>
    <w:rsid w:val="00CC69A5"/>
    <w:rsid w:val="00CD0A8F"/>
    <w:rsid w:val="00CE19A0"/>
    <w:rsid w:val="00CE25BF"/>
    <w:rsid w:val="00CE2C4C"/>
    <w:rsid w:val="00CF0F7B"/>
    <w:rsid w:val="00D163C7"/>
    <w:rsid w:val="00D217D0"/>
    <w:rsid w:val="00D2756B"/>
    <w:rsid w:val="00D31837"/>
    <w:rsid w:val="00D33CCD"/>
    <w:rsid w:val="00D4335C"/>
    <w:rsid w:val="00D46979"/>
    <w:rsid w:val="00D503BB"/>
    <w:rsid w:val="00D50EE5"/>
    <w:rsid w:val="00D53A8F"/>
    <w:rsid w:val="00D64CD1"/>
    <w:rsid w:val="00D67E46"/>
    <w:rsid w:val="00D729A8"/>
    <w:rsid w:val="00D75BA3"/>
    <w:rsid w:val="00D86793"/>
    <w:rsid w:val="00D930F7"/>
    <w:rsid w:val="00D95227"/>
    <w:rsid w:val="00DA1179"/>
    <w:rsid w:val="00DA6147"/>
    <w:rsid w:val="00DB0C6E"/>
    <w:rsid w:val="00DB273A"/>
    <w:rsid w:val="00DB2EB4"/>
    <w:rsid w:val="00DB4688"/>
    <w:rsid w:val="00DB7233"/>
    <w:rsid w:val="00DB7A08"/>
    <w:rsid w:val="00DC3902"/>
    <w:rsid w:val="00DC4103"/>
    <w:rsid w:val="00DC7BFA"/>
    <w:rsid w:val="00DD1FA1"/>
    <w:rsid w:val="00DD2034"/>
    <w:rsid w:val="00DE334E"/>
    <w:rsid w:val="00DE3462"/>
    <w:rsid w:val="00DE4362"/>
    <w:rsid w:val="00DE4E7C"/>
    <w:rsid w:val="00DE5130"/>
    <w:rsid w:val="00DE62E0"/>
    <w:rsid w:val="00DE7123"/>
    <w:rsid w:val="00DF1712"/>
    <w:rsid w:val="00DF4A7F"/>
    <w:rsid w:val="00DF764B"/>
    <w:rsid w:val="00E03DA2"/>
    <w:rsid w:val="00E0705B"/>
    <w:rsid w:val="00E20E91"/>
    <w:rsid w:val="00E26DC1"/>
    <w:rsid w:val="00E31769"/>
    <w:rsid w:val="00E32483"/>
    <w:rsid w:val="00E4328A"/>
    <w:rsid w:val="00E43DC6"/>
    <w:rsid w:val="00E45584"/>
    <w:rsid w:val="00E45687"/>
    <w:rsid w:val="00E560B5"/>
    <w:rsid w:val="00E62CD3"/>
    <w:rsid w:val="00E6344E"/>
    <w:rsid w:val="00E653CA"/>
    <w:rsid w:val="00E70863"/>
    <w:rsid w:val="00E71B3E"/>
    <w:rsid w:val="00E800E8"/>
    <w:rsid w:val="00E80E79"/>
    <w:rsid w:val="00E87355"/>
    <w:rsid w:val="00E90759"/>
    <w:rsid w:val="00E93A4B"/>
    <w:rsid w:val="00EA24DF"/>
    <w:rsid w:val="00EA3CD2"/>
    <w:rsid w:val="00EA58FA"/>
    <w:rsid w:val="00EB5500"/>
    <w:rsid w:val="00EB57EA"/>
    <w:rsid w:val="00EC2B64"/>
    <w:rsid w:val="00EC38ED"/>
    <w:rsid w:val="00ED72BB"/>
    <w:rsid w:val="00EE50B9"/>
    <w:rsid w:val="00EF5818"/>
    <w:rsid w:val="00F0005C"/>
    <w:rsid w:val="00F01167"/>
    <w:rsid w:val="00F03B38"/>
    <w:rsid w:val="00F060D3"/>
    <w:rsid w:val="00F0772F"/>
    <w:rsid w:val="00F1441F"/>
    <w:rsid w:val="00F16FD3"/>
    <w:rsid w:val="00F2092C"/>
    <w:rsid w:val="00F350EB"/>
    <w:rsid w:val="00F35683"/>
    <w:rsid w:val="00F41540"/>
    <w:rsid w:val="00F4584E"/>
    <w:rsid w:val="00F476AA"/>
    <w:rsid w:val="00F532EA"/>
    <w:rsid w:val="00F5727C"/>
    <w:rsid w:val="00F605A9"/>
    <w:rsid w:val="00F6085F"/>
    <w:rsid w:val="00F64079"/>
    <w:rsid w:val="00F653D8"/>
    <w:rsid w:val="00F713AF"/>
    <w:rsid w:val="00F717B0"/>
    <w:rsid w:val="00F869D3"/>
    <w:rsid w:val="00F90E6F"/>
    <w:rsid w:val="00F91B32"/>
    <w:rsid w:val="00FA5BD0"/>
    <w:rsid w:val="00FB7C81"/>
    <w:rsid w:val="00FC779E"/>
    <w:rsid w:val="00FD12D7"/>
    <w:rsid w:val="00FD3474"/>
    <w:rsid w:val="00FE09DF"/>
    <w:rsid w:val="00FE200E"/>
    <w:rsid w:val="00FE2726"/>
    <w:rsid w:val="00FE3464"/>
    <w:rsid w:val="00FE3D08"/>
    <w:rsid w:val="00FE7282"/>
    <w:rsid w:val="00FF0BD7"/>
    <w:rsid w:val="00FF190B"/>
    <w:rsid w:val="00FF55A8"/>
    <w:rsid w:val="00FF5B79"/>
    <w:rsid w:val="00FF7CE2"/>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chartTrackingRefBased/>
  <w15:docId w15:val="{EBB81745-1CEE-45C9-8E93-7E1A9344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123C3D"/>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123C3D"/>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042">
      <w:bodyDiv w:val="1"/>
      <w:marLeft w:val="0"/>
      <w:marRight w:val="0"/>
      <w:marTop w:val="0"/>
      <w:marBottom w:val="0"/>
      <w:divBdr>
        <w:top w:val="none" w:sz="0" w:space="0" w:color="auto"/>
        <w:left w:val="none" w:sz="0" w:space="0" w:color="auto"/>
        <w:bottom w:val="none" w:sz="0" w:space="0" w:color="auto"/>
        <w:right w:val="none" w:sz="0" w:space="0" w:color="auto"/>
      </w:divBdr>
    </w:div>
    <w:div w:id="110787062">
      <w:bodyDiv w:val="1"/>
      <w:marLeft w:val="0"/>
      <w:marRight w:val="0"/>
      <w:marTop w:val="0"/>
      <w:marBottom w:val="0"/>
      <w:divBdr>
        <w:top w:val="none" w:sz="0" w:space="0" w:color="auto"/>
        <w:left w:val="none" w:sz="0" w:space="0" w:color="auto"/>
        <w:bottom w:val="none" w:sz="0" w:space="0" w:color="auto"/>
        <w:right w:val="none" w:sz="0" w:space="0" w:color="auto"/>
      </w:divBdr>
    </w:div>
    <w:div w:id="681854836">
      <w:bodyDiv w:val="1"/>
      <w:marLeft w:val="0"/>
      <w:marRight w:val="0"/>
      <w:marTop w:val="0"/>
      <w:marBottom w:val="0"/>
      <w:divBdr>
        <w:top w:val="none" w:sz="0" w:space="0" w:color="auto"/>
        <w:left w:val="none" w:sz="0" w:space="0" w:color="auto"/>
        <w:bottom w:val="none" w:sz="0" w:space="0" w:color="auto"/>
        <w:right w:val="none" w:sz="0" w:space="0" w:color="auto"/>
      </w:divBdr>
    </w:div>
    <w:div w:id="1127119650">
      <w:bodyDiv w:val="1"/>
      <w:marLeft w:val="0"/>
      <w:marRight w:val="0"/>
      <w:marTop w:val="0"/>
      <w:marBottom w:val="0"/>
      <w:divBdr>
        <w:top w:val="none" w:sz="0" w:space="0" w:color="auto"/>
        <w:left w:val="none" w:sz="0" w:space="0" w:color="auto"/>
        <w:bottom w:val="none" w:sz="0" w:space="0" w:color="auto"/>
        <w:right w:val="none" w:sz="0" w:space="0" w:color="auto"/>
      </w:divBdr>
    </w:div>
    <w:div w:id="1341657118">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30282745">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33981182">
      <w:bodyDiv w:val="1"/>
      <w:marLeft w:val="0"/>
      <w:marRight w:val="0"/>
      <w:marTop w:val="0"/>
      <w:marBottom w:val="0"/>
      <w:divBdr>
        <w:top w:val="none" w:sz="0" w:space="0" w:color="auto"/>
        <w:left w:val="none" w:sz="0" w:space="0" w:color="auto"/>
        <w:bottom w:val="none" w:sz="0" w:space="0" w:color="auto"/>
        <w:right w:val="none" w:sz="0" w:space="0" w:color="auto"/>
      </w:divBdr>
    </w:div>
    <w:div w:id="1895384548">
      <w:bodyDiv w:val="1"/>
      <w:marLeft w:val="0"/>
      <w:marRight w:val="0"/>
      <w:marTop w:val="0"/>
      <w:marBottom w:val="0"/>
      <w:divBdr>
        <w:top w:val="none" w:sz="0" w:space="0" w:color="auto"/>
        <w:left w:val="none" w:sz="0" w:space="0" w:color="auto"/>
        <w:bottom w:val="none" w:sz="0" w:space="0" w:color="auto"/>
        <w:right w:val="none" w:sz="0" w:space="0" w:color="auto"/>
      </w:divBdr>
    </w:div>
    <w:div w:id="189727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066053-BFF1-4D67-BA97-942921BE2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96221A0B-2FDC-4851-B341-419181E58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3965</Words>
  <Characters>22604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Luis Vergara</cp:lastModifiedBy>
  <cp:revision>3</cp:revision>
  <dcterms:created xsi:type="dcterms:W3CDTF">2021-02-11T21:23:00Z</dcterms:created>
  <dcterms:modified xsi:type="dcterms:W3CDTF">2021-02-24T16:03:00Z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